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Bdr>
          <w:top w:val="none" w:color="000000" w:sz="0" w:space="0"/>
          <w:left w:val="none" w:color="000000" w:sz="0" w:space="0"/>
          <w:bottom w:val="none" w:color="000000" w:sz="0" w:space="0"/>
          <w:right w:val="none" w:color="000000" w:sz="0" w:space="0"/>
        </w:pBdr>
        <w:spacing w:before="0" w:after="0" w:line="1039" w:lineRule="atLeast"/>
        <w:ind w:left="0" w:right="0" w:firstLine="0"/>
        <w:jc w:val="center"/>
        <w:rPr>
          <w:color w:val="000000" w:themeColor="text1"/>
          <w:highlight w:val="none"/>
          <w14:textFill>
            <w14:solidFill>
              <w14:schemeClr w14:val="tx1"/>
            </w14:solidFill>
          </w14:textFill>
        </w:rPr>
      </w:pPr>
      <w:r>
        <w:rPr>
          <w:rFonts w:ascii="黑体" w:hAnsi="黑体" w:eastAsia="黑体" w:cs="黑体"/>
          <w:b/>
          <w:color w:val="000000" w:themeColor="text1"/>
          <w:sz w:val="72"/>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1039" w:lineRule="atLeast"/>
        <w:ind w:left="0" w:right="0" w:firstLine="0"/>
        <w:jc w:val="center"/>
        <w:rPr>
          <w:color w:val="000000" w:themeColor="text1"/>
          <w:highlight w:val="none"/>
          <w14:textFill>
            <w14:solidFill>
              <w14:schemeClr w14:val="tx1"/>
            </w14:solidFill>
          </w14:textFill>
        </w:rPr>
      </w:pPr>
      <w:r>
        <w:rPr>
          <w:rFonts w:ascii="黑体" w:hAnsi="黑体" w:eastAsia="黑体" w:cs="黑体"/>
          <w:b/>
          <w:color w:val="000000" w:themeColor="text1"/>
          <w:sz w:val="72"/>
          <w:highlight w:val="none"/>
          <w14:textFill>
            <w14:solidFill>
              <w14:schemeClr w14:val="tx1"/>
            </w14:solidFill>
          </w14:textFill>
        </w:rPr>
        <w:t>公开招标文件</w:t>
      </w:r>
    </w:p>
    <w:p>
      <w:pPr>
        <w:pBdr>
          <w:top w:val="none" w:color="000000" w:sz="0" w:space="0"/>
          <w:left w:val="none" w:color="000000" w:sz="0" w:space="0"/>
          <w:bottom w:val="none" w:color="000000" w:sz="0" w:space="0"/>
          <w:right w:val="none" w:color="000000" w:sz="0" w:space="0"/>
        </w:pBdr>
        <w:tabs>
          <w:tab w:val="left" w:pos="4621"/>
        </w:tabs>
        <w:spacing w:before="0" w:after="0"/>
        <w:ind w:left="0" w:right="0" w:firstLine="0"/>
        <w:rPr>
          <w:color w:val="000000" w:themeColor="text1"/>
          <w:highlight w:val="none"/>
          <w14:textFill>
            <w14:solidFill>
              <w14:schemeClr w14:val="tx1"/>
            </w14:solidFill>
          </w14:textFill>
        </w:rPr>
      </w:pPr>
      <w:r>
        <w:rPr>
          <w:rFonts w:ascii="黑体" w:hAnsi="黑体" w:eastAsia="黑体" w:cs="黑体"/>
          <w:b/>
          <w:color w:val="000000" w:themeColor="text1"/>
          <w:sz w:val="72"/>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黑体" w:hAnsi="黑体" w:eastAsia="黑体" w:cs="黑体"/>
          <w:b/>
          <w:color w:val="000000" w:themeColor="text1"/>
          <w:sz w:val="32"/>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黑体" w:hAnsi="黑体" w:eastAsia="黑体" w:cs="黑体"/>
          <w:b/>
          <w:color w:val="000000" w:themeColor="text1"/>
          <w:sz w:val="32"/>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黑体" w:hAnsi="黑体" w:eastAsia="黑体" w:cs="黑体"/>
          <w:b/>
          <w:color w:val="000000" w:themeColor="text1"/>
          <w:sz w:val="32"/>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黑体" w:hAnsi="黑体" w:eastAsia="黑体" w:cs="黑体"/>
          <w:b/>
          <w:color w:val="000000" w:themeColor="text1"/>
          <w:sz w:val="32"/>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760" w:lineRule="atLeast"/>
        <w:ind w:left="0" w:right="0" w:firstLine="708"/>
        <w:jc w:val="both"/>
        <w:rPr>
          <w:color w:val="000000" w:themeColor="text1"/>
          <w:highlight w:val="none"/>
          <w14:textFill>
            <w14:solidFill>
              <w14:schemeClr w14:val="tx1"/>
            </w14:solidFill>
          </w14:textFill>
        </w:rPr>
      </w:pPr>
      <w:r>
        <w:rPr>
          <w:rFonts w:ascii="黑体" w:hAnsi="黑体" w:eastAsia="黑体" w:cs="黑体"/>
          <w:b/>
          <w:color w:val="000000" w:themeColor="text1"/>
          <w:sz w:val="36"/>
          <w:highlight w:val="none"/>
          <w14:textFill>
            <w14:solidFill>
              <w14:schemeClr w14:val="tx1"/>
            </w14:solidFill>
          </w14:textFill>
        </w:rPr>
        <w:t>项目名称:</w:t>
      </w:r>
      <w:r>
        <w:rPr>
          <w:rFonts w:hint="eastAsia" w:ascii="黑体" w:hAnsi="黑体" w:eastAsia="黑体" w:cs="黑体"/>
          <w:b/>
          <w:color w:val="000000" w:themeColor="text1"/>
          <w:sz w:val="36"/>
          <w:highlight w:val="none"/>
          <w:lang w:eastAsia="zh-CN"/>
          <w14:textFill>
            <w14:solidFill>
              <w14:schemeClr w14:val="tx1"/>
            </w14:solidFill>
          </w14:textFill>
        </w:rPr>
        <w:t>2026年度盱眙县住宅老旧电梯更新项目（一期）采购安装</w:t>
      </w:r>
      <w:r>
        <w:rPr>
          <w:rFonts w:ascii="黑体" w:hAnsi="黑体" w:eastAsia="黑体" w:cs="黑体"/>
          <w:b/>
          <w:color w:val="000000" w:themeColor="text1"/>
          <w:sz w:val="36"/>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760" w:lineRule="atLeast"/>
        <w:ind w:left="0" w:right="0" w:firstLine="0"/>
        <w:jc w:val="both"/>
        <w:rPr>
          <w:color w:val="000000" w:themeColor="text1"/>
          <w:highlight w:val="none"/>
          <w14:textFill>
            <w14:solidFill>
              <w14:schemeClr w14:val="tx1"/>
            </w14:solidFill>
          </w14:textFill>
        </w:rPr>
      </w:pPr>
      <w:r>
        <w:rPr>
          <w:rFonts w:ascii="黑体" w:hAnsi="黑体" w:eastAsia="黑体" w:cs="黑体"/>
          <w:b/>
          <w:color w:val="000000" w:themeColor="text1"/>
          <w:sz w:val="36"/>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760" w:lineRule="atLeast"/>
        <w:ind w:left="0" w:right="0" w:firstLine="0"/>
        <w:jc w:val="both"/>
        <w:rPr>
          <w:color w:val="000000" w:themeColor="text1"/>
          <w:highlight w:val="none"/>
          <w14:textFill>
            <w14:solidFill>
              <w14:schemeClr w14:val="tx1"/>
            </w14:solidFill>
          </w14:textFill>
        </w:rPr>
      </w:pPr>
      <w:r>
        <w:rPr>
          <w:rFonts w:ascii="黑体" w:hAnsi="黑体" w:eastAsia="黑体" w:cs="黑体"/>
          <w:b/>
          <w:color w:val="000000" w:themeColor="text1"/>
          <w:sz w:val="36"/>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760" w:lineRule="atLeast"/>
        <w:ind w:left="0" w:right="0" w:firstLine="0"/>
        <w:jc w:val="both"/>
        <w:rPr>
          <w:color w:val="000000" w:themeColor="text1"/>
          <w:highlight w:val="none"/>
          <w14:textFill>
            <w14:solidFill>
              <w14:schemeClr w14:val="tx1"/>
            </w14:solidFill>
          </w14:textFill>
        </w:rPr>
      </w:pPr>
      <w:r>
        <w:rPr>
          <w:rFonts w:ascii="黑体" w:hAnsi="黑体" w:eastAsia="黑体" w:cs="黑体"/>
          <w:b/>
          <w:color w:val="000000" w:themeColor="text1"/>
          <w:sz w:val="36"/>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760" w:lineRule="atLeast"/>
        <w:ind w:left="0" w:right="0" w:firstLine="708"/>
        <w:jc w:val="both"/>
        <w:rPr>
          <w:rFonts w:hint="eastAsia" w:eastAsia="黑体"/>
          <w:color w:val="000000" w:themeColor="text1"/>
          <w:highlight w:val="none"/>
          <w:lang w:eastAsia="zh-CN"/>
          <w14:textFill>
            <w14:solidFill>
              <w14:schemeClr w14:val="tx1"/>
            </w14:solidFill>
          </w14:textFill>
        </w:rPr>
      </w:pPr>
      <w:r>
        <w:rPr>
          <w:rFonts w:ascii="黑体" w:hAnsi="黑体" w:eastAsia="黑体" w:cs="黑体"/>
          <w:b/>
          <w:color w:val="000000" w:themeColor="text1"/>
          <w:sz w:val="36"/>
          <w:highlight w:val="none"/>
          <w14:textFill>
            <w14:solidFill>
              <w14:schemeClr w14:val="tx1"/>
            </w14:solidFill>
          </w14:textFill>
        </w:rPr>
        <w:t>项目编号:</w:t>
      </w:r>
      <w:r>
        <w:rPr>
          <w:rFonts w:hint="eastAsia" w:ascii="黑体" w:hAnsi="黑体" w:eastAsia="黑体" w:cs="黑体"/>
          <w:b/>
          <w:color w:val="000000" w:themeColor="text1"/>
          <w:sz w:val="36"/>
          <w:highlight w:val="none"/>
          <w:lang w:eastAsia="zh-CN"/>
          <w14:textFill>
            <w14:solidFill>
              <w14:schemeClr w14:val="tx1"/>
            </w14:solidFill>
          </w14:textFill>
        </w:rPr>
        <w:t>JSZC-320830-JZCG-G2026-0004</w:t>
      </w:r>
    </w:p>
    <w:p>
      <w:pPr>
        <w:pBdr>
          <w:top w:val="none" w:color="000000" w:sz="0" w:space="0"/>
          <w:left w:val="none" w:color="000000" w:sz="0" w:space="0"/>
          <w:bottom w:val="none" w:color="000000" w:sz="0" w:space="0"/>
          <w:right w:val="none" w:color="000000" w:sz="0" w:space="0"/>
        </w:pBdr>
        <w:spacing w:before="0" w:after="0"/>
        <w:ind w:left="-359" w:right="0" w:firstLine="360"/>
        <w:jc w:val="both"/>
        <w:rPr>
          <w:color w:val="000000" w:themeColor="text1"/>
          <w:highlight w:val="none"/>
          <w14:textFill>
            <w14:solidFill>
              <w14:schemeClr w14:val="tx1"/>
            </w14:solidFill>
          </w14:textFill>
        </w:rPr>
      </w:pPr>
      <w:r>
        <w:rPr>
          <w:rFonts w:ascii="黑体" w:hAnsi="黑体" w:eastAsia="黑体" w:cs="黑体"/>
          <w:b/>
          <w:color w:val="000000" w:themeColor="text1"/>
          <w:sz w:val="32"/>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黑体" w:hAnsi="黑体" w:eastAsia="黑体" w:cs="黑体"/>
          <w:b/>
          <w:color w:val="000000" w:themeColor="text1"/>
          <w:sz w:val="32"/>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黑体" w:hAnsi="黑体" w:eastAsia="黑体" w:cs="黑体"/>
          <w:b/>
          <w:color w:val="000000" w:themeColor="text1"/>
          <w:sz w:val="32"/>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p>
    <w:p>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黑体" w:hAnsi="黑体" w:eastAsia="黑体" w:cs="黑体"/>
          <w:b/>
          <w:color w:val="000000" w:themeColor="text1"/>
          <w:sz w:val="32"/>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黑体" w:hAnsi="黑体" w:eastAsia="黑体" w:cs="黑体"/>
          <w:b/>
          <w:color w:val="000000" w:themeColor="text1"/>
          <w:sz w:val="32"/>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600" w:lineRule="atLeast"/>
        <w:ind w:left="0" w:right="0" w:firstLine="0"/>
        <w:jc w:val="center"/>
        <w:rPr>
          <w:rFonts w:hint="eastAsia" w:eastAsia="宋体"/>
          <w:color w:val="000000" w:themeColor="text1"/>
          <w:highlight w:val="none"/>
          <w:lang w:eastAsia="zh-CN"/>
          <w14:textFill>
            <w14:solidFill>
              <w14:schemeClr w14:val="tx1"/>
            </w14:solidFill>
          </w14:textFill>
        </w:rPr>
      </w:pPr>
      <w:r>
        <w:rPr>
          <w:rFonts w:hint="eastAsia" w:ascii="黑体" w:hAnsi="黑体" w:eastAsia="黑体" w:cs="黑体"/>
          <w:b/>
          <w:color w:val="000000" w:themeColor="text1"/>
          <w:sz w:val="36"/>
          <w:highlight w:val="none"/>
          <w:lang w:eastAsia="zh-CN"/>
          <w14:textFill>
            <w14:solidFill>
              <w14:schemeClr w14:val="tx1"/>
            </w14:solidFill>
          </w14:textFill>
        </w:rPr>
        <w:t>淮安市公共资源交易中心盱眙分中心</w:t>
      </w:r>
    </w:p>
    <w:p>
      <w:pPr>
        <w:pBdr>
          <w:top w:val="none" w:color="000000" w:sz="0" w:space="0"/>
          <w:left w:val="none" w:color="000000" w:sz="0" w:space="0"/>
          <w:bottom w:val="none" w:color="000000" w:sz="0" w:space="0"/>
          <w:right w:val="none" w:color="000000" w:sz="0" w:space="0"/>
        </w:pBdr>
        <w:tabs>
          <w:tab w:val="left" w:pos="5215"/>
        </w:tabs>
        <w:spacing w:before="0" w:after="0" w:line="600" w:lineRule="atLeast"/>
        <w:ind w:left="0" w:right="0" w:firstLine="0"/>
        <w:jc w:val="center"/>
        <w:rPr>
          <w:rFonts w:ascii="黑体" w:hAnsi="黑体" w:eastAsia="黑体" w:cs="黑体"/>
          <w:b/>
          <w:color w:val="000000" w:themeColor="text1"/>
          <w:sz w:val="36"/>
          <w:highlight w:val="none"/>
          <w14:textFill>
            <w14:solidFill>
              <w14:schemeClr w14:val="tx1"/>
            </w14:solidFill>
          </w14:textFill>
        </w:rPr>
      </w:pPr>
    </w:p>
    <w:p>
      <w:pPr>
        <w:pBdr>
          <w:top w:val="none" w:color="000000" w:sz="0" w:space="0"/>
          <w:left w:val="none" w:color="000000" w:sz="0" w:space="0"/>
          <w:bottom w:val="none" w:color="000000" w:sz="0" w:space="0"/>
          <w:right w:val="none" w:color="000000" w:sz="0" w:space="0"/>
        </w:pBdr>
        <w:tabs>
          <w:tab w:val="left" w:pos="5215"/>
        </w:tabs>
        <w:spacing w:before="0" w:after="0" w:line="600" w:lineRule="atLeast"/>
        <w:ind w:left="0" w:right="0" w:firstLine="0"/>
        <w:jc w:val="center"/>
        <w:rPr>
          <w:color w:val="000000" w:themeColor="text1"/>
          <w:highlight w:val="none"/>
          <w14:textFill>
            <w14:solidFill>
              <w14:schemeClr w14:val="tx1"/>
            </w14:solidFill>
          </w14:textFill>
        </w:rPr>
      </w:pPr>
      <w:r>
        <w:rPr>
          <w:rFonts w:ascii="黑体" w:hAnsi="黑体" w:eastAsia="黑体" w:cs="黑体"/>
          <w:b/>
          <w:color w:val="000000" w:themeColor="text1"/>
          <w:sz w:val="36"/>
          <w:highlight w:val="none"/>
          <w14:textFill>
            <w14:solidFill>
              <w14:schemeClr w14:val="tx1"/>
            </w14:solidFill>
          </w14:textFill>
        </w:rPr>
        <w:t>二〇二六年</w:t>
      </w:r>
      <w:r>
        <w:rPr>
          <w:rFonts w:hint="eastAsia" w:ascii="黑体" w:hAnsi="黑体" w:eastAsia="黑体" w:cs="黑体"/>
          <w:b/>
          <w:color w:val="000000" w:themeColor="text1"/>
          <w:sz w:val="36"/>
          <w:highlight w:val="none"/>
          <w:lang w:val="en-US" w:eastAsia="zh-CN"/>
          <w14:textFill>
            <w14:solidFill>
              <w14:schemeClr w14:val="tx1"/>
            </w14:solidFill>
          </w14:textFill>
        </w:rPr>
        <w:t>七</w:t>
      </w:r>
      <w:r>
        <w:rPr>
          <w:rFonts w:ascii="黑体" w:hAnsi="黑体" w:eastAsia="黑体" w:cs="黑体"/>
          <w:b/>
          <w:color w:val="000000" w:themeColor="text1"/>
          <w:sz w:val="36"/>
          <w:highlight w:val="none"/>
          <w14:textFill>
            <w14:solidFill>
              <w14:schemeClr w14:val="tx1"/>
            </w14:solidFill>
          </w14:textFill>
        </w:rPr>
        <w:t>月</w:t>
      </w:r>
      <w:r>
        <w:rPr>
          <w:rFonts w:hint="eastAsia" w:ascii="黑体" w:hAnsi="黑体" w:eastAsia="黑体" w:cs="黑体"/>
          <w:b/>
          <w:color w:val="000000" w:themeColor="text1"/>
          <w:sz w:val="36"/>
          <w:highlight w:val="none"/>
          <w:lang w:val="en-US" w:eastAsia="zh-CN"/>
          <w14:textFill>
            <w14:solidFill>
              <w14:schemeClr w14:val="tx1"/>
            </w14:solidFill>
          </w14:textFill>
        </w:rPr>
        <w:t>十三</w:t>
      </w:r>
      <w:r>
        <w:rPr>
          <w:rFonts w:ascii="黑体" w:hAnsi="黑体" w:eastAsia="黑体" w:cs="黑体"/>
          <w:b/>
          <w:color w:val="000000" w:themeColor="text1"/>
          <w:sz w:val="36"/>
          <w:highlight w:val="none"/>
          <w14:textFill>
            <w14:solidFill>
              <w14:schemeClr w14:val="tx1"/>
            </w14:solidFill>
          </w14:textFill>
        </w:rPr>
        <w:t>日</w:t>
      </w:r>
    </w:p>
    <w:p>
      <w:pPr>
        <w:shd w:val="clear"/>
        <w:rPr>
          <w:color w:val="000000" w:themeColor="text1"/>
          <w:highlight w:val="none"/>
          <w14:textFill>
            <w14:solidFill>
              <w14:schemeClr w14:val="tx1"/>
            </w14:solidFill>
          </w14:textFill>
        </w:rPr>
      </w:pPr>
      <w:r>
        <w:rPr>
          <w:rFonts w:ascii="仿宋" w:hAnsi="仿宋" w:eastAsia="仿宋" w:cs="仿宋"/>
          <w:b/>
          <w:color w:val="000000" w:themeColor="text1"/>
          <w:sz w:val="36"/>
          <w:highlight w:val="none"/>
          <w14:textFill>
            <w14:solidFill>
              <w14:schemeClr w14:val="tx1"/>
            </w14:solidFill>
          </w14:textFill>
        </w:rPr>
        <w:br w:type="page" w:clear="all"/>
      </w:r>
    </w:p>
    <w:p>
      <w:pPr>
        <w:pBdr>
          <w:top w:val="none" w:color="000000" w:sz="0" w:space="0"/>
          <w:left w:val="none" w:color="000000" w:sz="0" w:space="0"/>
          <w:bottom w:val="none" w:color="000000" w:sz="0" w:space="0"/>
          <w:right w:val="none" w:color="000000" w:sz="0" w:space="0"/>
        </w:pBdr>
        <w:spacing w:before="0" w:after="0" w:line="519" w:lineRule="atLeast"/>
        <w:ind w:left="0" w:right="0" w:firstLine="2512"/>
        <w:jc w:val="both"/>
        <w:rPr>
          <w:rFonts w:ascii="仿宋" w:hAnsi="仿宋" w:eastAsia="仿宋" w:cs="仿宋"/>
          <w:b/>
          <w:bCs/>
          <w:color w:val="000000" w:themeColor="text1"/>
          <w:sz w:val="36"/>
          <w:szCs w:val="36"/>
          <w:highlight w:val="none"/>
          <w14:textFill>
            <w14:solidFill>
              <w14:schemeClr w14:val="tx1"/>
            </w14:solidFill>
          </w14:textFill>
        </w:rPr>
      </w:pPr>
      <w:r>
        <w:rPr>
          <w:rFonts w:ascii="仿宋" w:hAnsi="仿宋" w:eastAsia="仿宋" w:cs="仿宋"/>
          <w:b/>
          <w:color w:val="000000" w:themeColor="text1"/>
          <w:sz w:val="36"/>
          <w:highlight w:val="none"/>
          <w14:textFill>
            <w14:solidFill>
              <w14:schemeClr w14:val="tx1"/>
            </w14:solidFill>
          </w14:textFill>
        </w:rPr>
        <w:t>第一章投标邀请</w:t>
      </w:r>
    </w:p>
    <w:p>
      <w:pPr>
        <w:pBdr>
          <w:top w:val="none" w:color="000000" w:sz="0" w:space="0"/>
          <w:left w:val="none" w:color="000000" w:sz="0" w:space="0"/>
          <w:bottom w:val="none" w:color="000000" w:sz="0" w:space="0"/>
          <w:right w:val="none" w:color="000000" w:sz="0" w:space="0"/>
        </w:pBdr>
        <w:spacing w:before="0" w:after="0" w:line="499" w:lineRule="atLeast"/>
        <w:ind w:left="1" w:right="0" w:firstLine="537"/>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受</w:t>
      </w:r>
      <w:r>
        <w:rPr>
          <w:rFonts w:hint="eastAsia" w:ascii="仿宋" w:hAnsi="仿宋" w:eastAsia="仿宋" w:cs="仿宋"/>
          <w:color w:val="000000" w:themeColor="text1"/>
          <w:sz w:val="28"/>
          <w:highlight w:val="none"/>
          <w:lang w:eastAsia="zh-CN"/>
          <w14:textFill>
            <w14:solidFill>
              <w14:schemeClr w14:val="tx1"/>
            </w14:solidFill>
          </w14:textFill>
        </w:rPr>
        <w:t>盱眙县住房和城乡建设局</w:t>
      </w:r>
      <w:r>
        <w:rPr>
          <w:rFonts w:ascii="仿宋" w:hAnsi="仿宋" w:eastAsia="仿宋" w:cs="仿宋"/>
          <w:color w:val="000000" w:themeColor="text1"/>
          <w:sz w:val="28"/>
          <w:highlight w:val="none"/>
          <w14:textFill>
            <w14:solidFill>
              <w14:schemeClr w14:val="tx1"/>
            </w14:solidFill>
          </w14:textFill>
        </w:rPr>
        <w:t>的委托，</w:t>
      </w:r>
      <w:r>
        <w:rPr>
          <w:rFonts w:hint="eastAsia" w:ascii="仿宋" w:hAnsi="仿宋" w:eastAsia="仿宋" w:cs="仿宋"/>
          <w:color w:val="000000" w:themeColor="text1"/>
          <w:sz w:val="28"/>
          <w:highlight w:val="none"/>
          <w:lang w:eastAsia="zh-CN"/>
          <w14:textFill>
            <w14:solidFill>
              <w14:schemeClr w14:val="tx1"/>
            </w14:solidFill>
          </w14:textFill>
        </w:rPr>
        <w:t>淮安市公共资源交易中心盱眙分中心</w:t>
      </w:r>
      <w:r>
        <w:rPr>
          <w:rFonts w:ascii="仿宋" w:hAnsi="仿宋" w:eastAsia="仿宋" w:cs="仿宋"/>
          <w:color w:val="000000" w:themeColor="text1"/>
          <w:sz w:val="28"/>
          <w:highlight w:val="none"/>
          <w14:textFill>
            <w14:solidFill>
              <w14:schemeClr w14:val="tx1"/>
            </w14:solidFill>
          </w14:textFill>
        </w:rPr>
        <w:t>就</w:t>
      </w:r>
      <w:r>
        <w:rPr>
          <w:rFonts w:hint="eastAsia" w:ascii="仿宋" w:hAnsi="仿宋" w:eastAsia="仿宋" w:cs="仿宋"/>
          <w:color w:val="000000" w:themeColor="text1"/>
          <w:sz w:val="28"/>
          <w:highlight w:val="none"/>
          <w:lang w:eastAsia="zh-CN"/>
          <w14:textFill>
            <w14:solidFill>
              <w14:schemeClr w14:val="tx1"/>
            </w14:solidFill>
          </w14:textFill>
        </w:rPr>
        <w:t>2026年度盱眙县住宅老旧电梯更新项目（一期）采购安装</w:t>
      </w:r>
      <w:r>
        <w:rPr>
          <w:rFonts w:ascii="仿宋" w:hAnsi="仿宋" w:eastAsia="仿宋" w:cs="仿宋"/>
          <w:color w:val="000000" w:themeColor="text1"/>
          <w:sz w:val="28"/>
          <w:highlight w:val="none"/>
          <w14:textFill>
            <w14:solidFill>
              <w14:schemeClr w14:val="tx1"/>
            </w14:solidFill>
          </w14:textFill>
        </w:rPr>
        <w:t>项目进行公开招标采购，现邀请符合条件的投标人参加投标。</w:t>
      </w:r>
    </w:p>
    <w:p>
      <w:pPr>
        <w:pBdr>
          <w:top w:val="none" w:color="000000" w:sz="0" w:space="0"/>
          <w:left w:val="none" w:color="000000" w:sz="0" w:space="0"/>
          <w:bottom w:val="none" w:color="000000" w:sz="0" w:space="0"/>
          <w:right w:val="none" w:color="000000" w:sz="0" w:space="0"/>
        </w:pBdr>
        <w:spacing w:before="0" w:after="0" w:line="499" w:lineRule="atLeast"/>
        <w:ind w:left="1" w:right="0" w:firstLine="537"/>
        <w:jc w:val="both"/>
        <w:rPr>
          <w:color w:val="000000" w:themeColor="text1"/>
          <w:highlight w:val="none"/>
          <w14:textFill>
            <w14:solidFill>
              <w14:schemeClr w14:val="tx1"/>
            </w14:solidFill>
          </w14:textFill>
        </w:rPr>
      </w:pPr>
      <w:r>
        <mc:AlternateContent>
          <mc:Choice Requires="wps">
            <w:drawing>
              <wp:anchor distT="0" distB="0" distL="114935" distR="114935" simplePos="0" relativeHeight="251660288" behindDoc="0" locked="0" layoutInCell="1" allowOverlap="1">
                <wp:simplePos x="0" y="0"/>
                <wp:positionH relativeFrom="column">
                  <wp:posOffset>9525</wp:posOffset>
                </wp:positionH>
                <wp:positionV relativeFrom="paragraph">
                  <wp:posOffset>45720</wp:posOffset>
                </wp:positionV>
                <wp:extent cx="5456555" cy="1767205"/>
                <wp:effectExtent l="3175" t="3175" r="3175" b="3175"/>
                <wp:wrapNone/>
                <wp:docPr id="1" name="文本框 1"/>
                <wp:cNvGraphicFramePr/>
                <a:graphic xmlns:a="http://schemas.openxmlformats.org/drawingml/2006/main">
                  <a:graphicData uri="http://schemas.microsoft.com/office/word/2010/wordprocessingShape">
                    <wps:wsp>
                      <wps:cNvSpPr txBox="1"/>
                      <wps:spPr bwMode="auto">
                        <a:xfrm>
                          <a:off x="0" y="0"/>
                          <a:ext cx="5456402" cy="1767081"/>
                        </a:xfrm>
                        <a:prstGeom prst="rect">
                          <a:avLst/>
                        </a:prstGeom>
                        <a:solidFill>
                          <a:schemeClr val="lt1"/>
                        </a:solidFill>
                        <a:ln w="6350">
                          <a:solidFill>
                            <a:prstClr val="black"/>
                          </a:solidFill>
                        </a:ln>
                      </wps:spPr>
                      <wps:txbx>
                        <w:txbxContent>
                          <w:p>
                            <w:pPr>
                              <w:pBdr>
                                <w:top w:val="none" w:color="000000" w:sz="0" w:space="0"/>
                                <w:left w:val="none" w:color="000000" w:sz="0" w:space="0"/>
                                <w:bottom w:val="none" w:color="000000" w:sz="0" w:space="0"/>
                                <w:right w:val="none" w:color="000000" w:sz="0" w:space="0"/>
                              </w:pBdr>
                              <w:spacing w:before="0" w:after="0" w:line="519" w:lineRule="atLeast"/>
                              <w:ind w:left="0" w:right="0" w:firstLine="537"/>
                              <w:jc w:val="both"/>
                            </w:pPr>
                            <w:r>
                              <w:rPr>
                                <w:rFonts w:ascii="仿宋" w:hAnsi="仿宋" w:eastAsia="仿宋" w:cs="仿宋"/>
                                <w:color w:val="000000"/>
                                <w:sz w:val="28"/>
                              </w:rPr>
                              <w:t>项目概况:</w:t>
                            </w:r>
                            <w:r>
                              <w:rPr>
                                <w:rFonts w:ascii="仿宋" w:hAnsi="仿宋" w:eastAsia="仿宋" w:cs="仿宋"/>
                                <w:color w:val="000000"/>
                                <w:sz w:val="28"/>
                                <w:u w:val="single"/>
                              </w:rPr>
                              <w:t> </w:t>
                            </w:r>
                            <w:r>
                              <w:rPr>
                                <w:rFonts w:hint="eastAsia" w:ascii="仿宋" w:hAnsi="仿宋" w:eastAsia="仿宋" w:cs="仿宋"/>
                                <w:color w:val="000000"/>
                                <w:sz w:val="28"/>
                                <w:u w:val="single"/>
                                <w:lang w:eastAsia="zh-CN"/>
                              </w:rPr>
                              <w:t>2026年度盱眙县住宅老旧电梯更新项目（一期）采购安装</w:t>
                            </w:r>
                            <w:r>
                              <w:rPr>
                                <w:rFonts w:ascii="仿宋" w:hAnsi="仿宋" w:eastAsia="仿宋" w:cs="仿宋"/>
                                <w:color w:val="000000"/>
                                <w:sz w:val="28"/>
                              </w:rPr>
                              <w:t>招标项目的潜在投标人应在淮安市政府采购网（http://czj.huaian.gov.cn/col/13924_326175/index.html）自行免费下载招标文件，并于2026年</w:t>
                            </w:r>
                            <w:r>
                              <w:rPr>
                                <w:rFonts w:hint="eastAsia" w:ascii="仿宋" w:hAnsi="仿宋" w:eastAsia="仿宋" w:cs="仿宋"/>
                                <w:color w:val="000000"/>
                                <w:sz w:val="28"/>
                                <w:lang w:val="en-US" w:eastAsia="zh-CN"/>
                              </w:rPr>
                              <w:t>8</w:t>
                            </w:r>
                            <w:r>
                              <w:rPr>
                                <w:rFonts w:ascii="仿宋" w:hAnsi="仿宋" w:eastAsia="仿宋" w:cs="仿宋"/>
                                <w:color w:val="000000"/>
                                <w:sz w:val="28"/>
                              </w:rPr>
                              <w:t>月</w:t>
                            </w:r>
                            <w:r>
                              <w:rPr>
                                <w:rFonts w:hint="eastAsia" w:ascii="仿宋" w:hAnsi="仿宋" w:eastAsia="仿宋" w:cs="仿宋"/>
                                <w:color w:val="000000"/>
                                <w:sz w:val="28"/>
                                <w:lang w:val="en-US" w:eastAsia="zh-CN"/>
                              </w:rPr>
                              <w:t>03</w:t>
                            </w:r>
                            <w:r>
                              <w:rPr>
                                <w:rFonts w:ascii="仿宋" w:hAnsi="仿宋" w:eastAsia="仿宋" w:cs="仿宋"/>
                                <w:color w:val="000000"/>
                                <w:sz w:val="28"/>
                              </w:rPr>
                              <w:t>日</w:t>
                            </w:r>
                            <w:r>
                              <w:rPr>
                                <w:rFonts w:hint="eastAsia" w:ascii="仿宋" w:hAnsi="仿宋" w:eastAsia="仿宋" w:cs="仿宋"/>
                                <w:color w:val="000000"/>
                                <w:sz w:val="28"/>
                                <w:lang w:val="en-US" w:eastAsia="zh-CN"/>
                              </w:rPr>
                              <w:t>9</w:t>
                            </w:r>
                            <w:r>
                              <w:rPr>
                                <w:rFonts w:ascii="仿宋" w:hAnsi="仿宋" w:eastAsia="仿宋" w:cs="仿宋"/>
                                <w:color w:val="000000"/>
                                <w:sz w:val="28"/>
                              </w:rPr>
                              <w:t>点</w:t>
                            </w:r>
                            <w:r>
                              <w:rPr>
                                <w:rFonts w:hint="eastAsia" w:ascii="仿宋" w:hAnsi="仿宋" w:eastAsia="仿宋" w:cs="仿宋"/>
                                <w:color w:val="000000"/>
                                <w:sz w:val="28"/>
                                <w:lang w:val="en-US" w:eastAsia="zh-CN"/>
                              </w:rPr>
                              <w:t>00</w:t>
                            </w:r>
                            <w:r>
                              <w:rPr>
                                <w:rFonts w:ascii="仿宋" w:hAnsi="仿宋" w:eastAsia="仿宋" w:cs="仿宋"/>
                                <w:color w:val="000000"/>
                                <w:sz w:val="28"/>
                              </w:rPr>
                              <w:t>分（北京时间）前提交投标文件。</w:t>
                            </w:r>
                          </w:p>
                        </w:txbxContent>
                      </wps:txbx>
                      <wps:bodyPr vertOverflow="overflow" horzOverflow="overflow" vert="horz" wrap="square" lIns="91440" tIns="45720" rIns="91440" bIns="45720" numCol="1" spcCol="0" rtlCol="0" fromWordArt="0" anchor="t" anchorCtr="0" forceAA="0" upright="0" compatLnSpc="0"/>
                    </wps:wsp>
                  </a:graphicData>
                </a:graphic>
              </wp:anchor>
            </w:drawing>
          </mc:Choice>
          <mc:Fallback>
            <w:pict>
              <v:shape id="_x0000_s1026" o:spid="_x0000_s1026" o:spt="202" type="#_x0000_t202" style="position:absolute;left:0pt;margin-left:0.75pt;margin-top:3.6pt;height:139.15pt;width:429.65pt;z-index:251660288;mso-width-relative:page;mso-height-relative:page;" fillcolor="#FFFFFF [3201]" filled="t" stroked="t" coordsize="21600,21600" o:gfxdata="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DNsjo3UAAAABwEAAA8AAAAAAAAAAQAgAAAAIgAAAGRycy9kb3ducmV2LnhtbFBLAQIU&#10;ABQAAAAIAIdO4kC4oezgMAIAAE0EAAAOAAAAAAAAAAEAIAAAACMBAABkcnMvZTJvRG9jLnhtbFBL&#10;BQYAAAAABgAGAFkBAADFBQAAAAA=&#10;">
                <v:fill on="t" focussize="0,0"/>
                <v:stroke weight="0.5pt" color="#000000" joinstyle="round"/>
                <v:imagedata o:title=""/>
                <o:lock v:ext="edit" aspectratio="f"/>
                <v:textbox>
                  <w:txbxContent>
                    <w:p>
                      <w:pPr>
                        <w:pBdr>
                          <w:top w:val="none" w:color="000000" w:sz="0" w:space="0"/>
                          <w:left w:val="none" w:color="000000" w:sz="0" w:space="0"/>
                          <w:bottom w:val="none" w:color="000000" w:sz="0" w:space="0"/>
                          <w:right w:val="none" w:color="000000" w:sz="0" w:space="0"/>
                        </w:pBdr>
                        <w:spacing w:before="0" w:after="0" w:line="519" w:lineRule="atLeast"/>
                        <w:ind w:left="0" w:right="0" w:firstLine="537"/>
                        <w:jc w:val="both"/>
                      </w:pPr>
                      <w:r>
                        <w:rPr>
                          <w:rFonts w:ascii="仿宋" w:hAnsi="仿宋" w:eastAsia="仿宋" w:cs="仿宋"/>
                          <w:color w:val="000000"/>
                          <w:sz w:val="28"/>
                        </w:rPr>
                        <w:t>项目概况:</w:t>
                      </w:r>
                      <w:r>
                        <w:rPr>
                          <w:rFonts w:ascii="仿宋" w:hAnsi="仿宋" w:eastAsia="仿宋" w:cs="仿宋"/>
                          <w:color w:val="000000"/>
                          <w:sz w:val="28"/>
                          <w:u w:val="single"/>
                        </w:rPr>
                        <w:t> </w:t>
                      </w:r>
                      <w:r>
                        <w:rPr>
                          <w:rFonts w:hint="eastAsia" w:ascii="仿宋" w:hAnsi="仿宋" w:eastAsia="仿宋" w:cs="仿宋"/>
                          <w:color w:val="000000"/>
                          <w:sz w:val="28"/>
                          <w:u w:val="single"/>
                          <w:lang w:eastAsia="zh-CN"/>
                        </w:rPr>
                        <w:t>2026年度盱眙县住宅老旧电梯更新项目（一期）采购安装</w:t>
                      </w:r>
                      <w:r>
                        <w:rPr>
                          <w:rFonts w:ascii="仿宋" w:hAnsi="仿宋" w:eastAsia="仿宋" w:cs="仿宋"/>
                          <w:color w:val="000000"/>
                          <w:sz w:val="28"/>
                        </w:rPr>
                        <w:t>招标项目的潜在投标人应在淮安市政府采购网（http://czj.huaian.gov.cn/col/13924_326175/index.html）自行免费下载招标文件，并于2026年</w:t>
                      </w:r>
                      <w:r>
                        <w:rPr>
                          <w:rFonts w:hint="eastAsia" w:ascii="仿宋" w:hAnsi="仿宋" w:eastAsia="仿宋" w:cs="仿宋"/>
                          <w:color w:val="000000"/>
                          <w:sz w:val="28"/>
                          <w:lang w:val="en-US" w:eastAsia="zh-CN"/>
                        </w:rPr>
                        <w:t>8</w:t>
                      </w:r>
                      <w:r>
                        <w:rPr>
                          <w:rFonts w:ascii="仿宋" w:hAnsi="仿宋" w:eastAsia="仿宋" w:cs="仿宋"/>
                          <w:color w:val="000000"/>
                          <w:sz w:val="28"/>
                        </w:rPr>
                        <w:t>月</w:t>
                      </w:r>
                      <w:r>
                        <w:rPr>
                          <w:rFonts w:hint="eastAsia" w:ascii="仿宋" w:hAnsi="仿宋" w:eastAsia="仿宋" w:cs="仿宋"/>
                          <w:color w:val="000000"/>
                          <w:sz w:val="28"/>
                          <w:lang w:val="en-US" w:eastAsia="zh-CN"/>
                        </w:rPr>
                        <w:t>03</w:t>
                      </w:r>
                      <w:r>
                        <w:rPr>
                          <w:rFonts w:ascii="仿宋" w:hAnsi="仿宋" w:eastAsia="仿宋" w:cs="仿宋"/>
                          <w:color w:val="000000"/>
                          <w:sz w:val="28"/>
                        </w:rPr>
                        <w:t>日</w:t>
                      </w:r>
                      <w:r>
                        <w:rPr>
                          <w:rFonts w:hint="eastAsia" w:ascii="仿宋" w:hAnsi="仿宋" w:eastAsia="仿宋" w:cs="仿宋"/>
                          <w:color w:val="000000"/>
                          <w:sz w:val="28"/>
                          <w:lang w:val="en-US" w:eastAsia="zh-CN"/>
                        </w:rPr>
                        <w:t>9</w:t>
                      </w:r>
                      <w:r>
                        <w:rPr>
                          <w:rFonts w:ascii="仿宋" w:hAnsi="仿宋" w:eastAsia="仿宋" w:cs="仿宋"/>
                          <w:color w:val="000000"/>
                          <w:sz w:val="28"/>
                        </w:rPr>
                        <w:t>点</w:t>
                      </w:r>
                      <w:r>
                        <w:rPr>
                          <w:rFonts w:hint="eastAsia" w:ascii="仿宋" w:hAnsi="仿宋" w:eastAsia="仿宋" w:cs="仿宋"/>
                          <w:color w:val="000000"/>
                          <w:sz w:val="28"/>
                          <w:lang w:val="en-US" w:eastAsia="zh-CN"/>
                        </w:rPr>
                        <w:t>00</w:t>
                      </w:r>
                      <w:r>
                        <w:rPr>
                          <w:rFonts w:ascii="仿宋" w:hAnsi="仿宋" w:eastAsia="仿宋" w:cs="仿宋"/>
                          <w:color w:val="000000"/>
                          <w:sz w:val="28"/>
                        </w:rPr>
                        <w:t>分（北京时间）前提交投标文件。</w:t>
                      </w:r>
                    </w:p>
                  </w:txbxContent>
                </v:textbox>
              </v:shape>
            </w:pict>
          </mc:Fallback>
        </mc:AlternateContent>
      </w:r>
      <w:r>
        <w:rPr>
          <w:rFonts w:ascii="仿宋" w:hAnsi="仿宋" w:eastAsia="仿宋" w:cs="仿宋"/>
          <w:color w:val="000000" w:themeColor="text1"/>
          <w:sz w:val="28"/>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499" w:lineRule="atLeast"/>
        <w:ind w:left="1" w:right="0" w:firstLine="537"/>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499" w:lineRule="atLeast"/>
        <w:ind w:left="1" w:right="0" w:firstLine="537"/>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499" w:lineRule="atLeast"/>
        <w:ind w:left="1" w:right="0" w:firstLine="537"/>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499" w:lineRule="atLeast"/>
        <w:ind w:left="1" w:right="0" w:firstLine="537"/>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一、项目基本情况</w:t>
      </w:r>
    </w:p>
    <w:p>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rFonts w:hint="eastAsia" w:eastAsia="仿宋"/>
          <w:color w:val="000000" w:themeColor="text1"/>
          <w:highlight w:val="none"/>
          <w:lang w:eastAsia="zh-CN"/>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（一）项目编号:</w:t>
      </w:r>
      <w:r>
        <w:rPr>
          <w:rFonts w:hint="eastAsia" w:ascii="仿宋" w:hAnsi="仿宋" w:eastAsia="仿宋" w:cs="仿宋"/>
          <w:color w:val="000000" w:themeColor="text1"/>
          <w:sz w:val="28"/>
          <w:highlight w:val="none"/>
          <w:lang w:eastAsia="zh-CN"/>
          <w14:textFill>
            <w14:solidFill>
              <w14:schemeClr w14:val="tx1"/>
            </w14:solidFill>
          </w14:textFill>
        </w:rPr>
        <w:t>JSZC-320830-JZCG-G2026-0004</w:t>
      </w:r>
    </w:p>
    <w:p>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（二）项目名称:</w:t>
      </w:r>
      <w:r>
        <w:rPr>
          <w:rFonts w:hint="eastAsia" w:ascii="仿宋" w:hAnsi="仿宋" w:eastAsia="仿宋" w:cs="仿宋"/>
          <w:color w:val="000000" w:themeColor="text1"/>
          <w:sz w:val="28"/>
          <w:highlight w:val="none"/>
          <w:lang w:eastAsia="zh-CN"/>
          <w14:textFill>
            <w14:solidFill>
              <w14:schemeClr w14:val="tx1"/>
            </w14:solidFill>
          </w14:textFill>
        </w:rPr>
        <w:t>2026年度盱眙县住宅老旧电梯更新项目（一期）采购安装</w:t>
      </w:r>
      <w:r>
        <w:rPr>
          <w:rFonts w:ascii="仿宋" w:hAnsi="仿宋" w:eastAsia="仿宋" w:cs="仿宋"/>
          <w:color w:val="000000" w:themeColor="text1"/>
          <w:sz w:val="28"/>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（三）预算金额:</w:t>
      </w:r>
      <w:r>
        <w:rPr>
          <w:rFonts w:hint="eastAsia" w:ascii="仿宋" w:hAnsi="仿宋" w:eastAsia="仿宋" w:cs="仿宋"/>
          <w:color w:val="000000" w:themeColor="text1"/>
          <w:sz w:val="28"/>
          <w:highlight w:val="none"/>
          <w:lang w:eastAsia="zh-CN"/>
          <w14:textFill>
            <w14:solidFill>
              <w14:schemeClr w14:val="tx1"/>
            </w14:solidFill>
          </w14:textFill>
        </w:rPr>
        <w:t>157</w:t>
      </w:r>
      <w:r>
        <w:rPr>
          <w:rFonts w:ascii="仿宋" w:hAnsi="仿宋" w:eastAsia="仿宋" w:cs="仿宋"/>
          <w:color w:val="000000" w:themeColor="text1"/>
          <w:sz w:val="28"/>
          <w:highlight w:val="none"/>
          <w14:textFill>
            <w14:solidFill>
              <w14:schemeClr w14:val="tx1"/>
            </w14:solidFill>
          </w14:textFill>
        </w:rPr>
        <w:t>万元</w:t>
      </w:r>
    </w:p>
    <w:p>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（四）最高限价:</w:t>
      </w:r>
      <w:r>
        <w:rPr>
          <w:rFonts w:hint="eastAsia" w:ascii="仿宋" w:hAnsi="仿宋" w:eastAsia="仿宋" w:cs="仿宋"/>
          <w:color w:val="000000" w:themeColor="text1"/>
          <w:sz w:val="28"/>
          <w:highlight w:val="none"/>
          <w:lang w:eastAsia="zh-CN"/>
          <w14:textFill>
            <w14:solidFill>
              <w14:schemeClr w14:val="tx1"/>
            </w14:solidFill>
          </w14:textFill>
        </w:rPr>
        <w:t>157</w:t>
      </w:r>
      <w:r>
        <w:rPr>
          <w:rFonts w:ascii="仿宋" w:hAnsi="仿宋" w:eastAsia="仿宋" w:cs="仿宋"/>
          <w:color w:val="000000" w:themeColor="text1"/>
          <w:sz w:val="28"/>
          <w:highlight w:val="none"/>
          <w14:textFill>
            <w14:solidFill>
              <w14:schemeClr w14:val="tx1"/>
            </w14:solidFill>
          </w14:textFill>
        </w:rPr>
        <w:t>万元</w:t>
      </w:r>
    </w:p>
    <w:p>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（五）采购需求:</w:t>
      </w:r>
      <w:r>
        <w:rPr>
          <w:rFonts w:hint="eastAsia" w:ascii="仿宋" w:hAnsi="仿宋" w:eastAsia="仿宋" w:cs="仿宋"/>
          <w:color w:val="000000" w:themeColor="text1"/>
          <w:sz w:val="28"/>
          <w:highlight w:val="none"/>
          <w:lang w:val="en-US" w:eastAsia="zh-CN"/>
          <w14:textFill>
            <w14:solidFill>
              <w14:schemeClr w14:val="tx1"/>
            </w14:solidFill>
          </w14:textFill>
        </w:rPr>
        <w:t>老旧电梯更新改造11部（华夏国际中心3号楼4部、华夏国际中心2号楼5部、凤悦天晴小区2、3号楼各1部）：</w:t>
      </w:r>
      <w:r>
        <w:rPr>
          <w:rFonts w:hint="eastAsia" w:ascii="仿宋" w:hAnsi="仿宋" w:eastAsia="仿宋" w:cs="仿宋"/>
          <w:color w:val="000000" w:themeColor="text1"/>
          <w:sz w:val="28"/>
          <w:highlight w:val="none"/>
          <w14:textFill>
            <w14:solidFill>
              <w14:schemeClr w14:val="tx1"/>
            </w14:solidFill>
          </w14:textFill>
        </w:rPr>
        <w:t>包含原有电梯拆除、井道及机房改造、新电梯采购、安装及全包维保等具体详见招标文件第五章项目采购需求</w:t>
      </w:r>
      <w:r>
        <w:rPr>
          <w:rFonts w:ascii="仿宋" w:hAnsi="仿宋" w:eastAsia="仿宋" w:cs="仿宋"/>
          <w:color w:val="000000" w:themeColor="text1"/>
          <w:sz w:val="28"/>
          <w:highlight w:val="none"/>
          <w14:textFill>
            <w14:solidFill>
              <w14:schemeClr w14:val="tx1"/>
            </w14:solidFill>
          </w14:textFill>
        </w:rPr>
        <w:t>。</w:t>
      </w:r>
    </w:p>
    <w:p>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（六）合同履行期限:</w:t>
      </w:r>
      <w:r>
        <w:rPr>
          <w:rFonts w:hint="eastAsia" w:ascii="仿宋" w:hAnsi="仿宋" w:eastAsia="仿宋" w:cs="仿宋"/>
          <w:color w:val="000000" w:themeColor="text1"/>
          <w:sz w:val="28"/>
          <w:highlight w:val="none"/>
          <w:lang w:eastAsia="zh-CN"/>
          <w14:textFill>
            <w14:solidFill>
              <w14:schemeClr w14:val="tx1"/>
            </w14:solidFill>
          </w14:textFill>
        </w:rPr>
        <w:t>合同签订生效后，45个日历天完成生产、旧梯拆除、原井道及机房改造、安装、调试验收（为方便群众出行，中标单位应采取切实可行的措施，加快施工进度，安装好1台检验1台，合格后立即投入使用），免费原厂整机质保和全包维保不少于5年。</w:t>
      </w:r>
      <w:r>
        <w:rPr>
          <w:rFonts w:ascii="仿宋" w:hAnsi="仿宋" w:eastAsia="仿宋" w:cs="仿宋"/>
          <w:color w:val="000000" w:themeColor="text1"/>
          <w:sz w:val="28"/>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（七）本项目（</w:t>
      </w:r>
      <w:r>
        <w:rPr>
          <w:rFonts w:ascii="Arial" w:hAnsi="Arial" w:eastAsia="Arial" w:cs="Arial"/>
          <w:color w:val="000000"/>
          <w:sz w:val="28"/>
        </w:rPr>
        <w:t>×</w:t>
      </w:r>
      <w:r>
        <w:rPr>
          <w:rFonts w:ascii="仿宋" w:hAnsi="仿宋" w:eastAsia="仿宋" w:cs="仿宋"/>
          <w:color w:val="000000"/>
          <w:sz w:val="28"/>
        </w:rPr>
        <w:t>是</w:t>
      </w:r>
      <w:r>
        <w:rPr>
          <w:rFonts w:ascii="Arial" w:hAnsi="Arial" w:eastAsia="Arial" w:cs="Arial"/>
          <w:color w:val="000000"/>
          <w:sz w:val="28"/>
        </w:rPr>
        <w:t>√</w:t>
      </w:r>
      <w:r>
        <w:rPr>
          <w:rFonts w:ascii="仿宋" w:hAnsi="仿宋" w:eastAsia="仿宋" w:cs="仿宋"/>
          <w:color w:val="000000"/>
          <w:sz w:val="28"/>
        </w:rPr>
        <w:t>否</w:t>
      </w:r>
      <w:r>
        <w:rPr>
          <w:rFonts w:ascii="仿宋" w:hAnsi="仿宋" w:eastAsia="仿宋" w:cs="仿宋"/>
          <w:color w:val="000000" w:themeColor="text1"/>
          <w:sz w:val="28"/>
          <w:highlight w:val="none"/>
          <w14:textFill>
            <w14:solidFill>
              <w14:schemeClr w14:val="tx1"/>
            </w14:solidFill>
          </w14:textFill>
        </w:rPr>
        <w:t>）接受联合体投标。</w:t>
      </w:r>
    </w:p>
    <w:p>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（八）本项目采购标的对应的中小企业划分标准所属行业为</w:t>
      </w:r>
      <w:r>
        <w:rPr>
          <w:rFonts w:ascii="仿宋" w:hAnsi="仿宋" w:eastAsia="仿宋" w:cs="仿宋"/>
          <w:color w:val="000000" w:themeColor="text1"/>
          <w:sz w:val="28"/>
          <w:highlight w:val="none"/>
          <w:u w:val="single"/>
          <w14:textFill>
            <w14:solidFill>
              <w14:schemeClr w14:val="tx1"/>
            </w14:solidFill>
          </w14:textFill>
        </w:rPr>
        <w:t> 工业 </w:t>
      </w:r>
      <w:r>
        <w:rPr>
          <w:rFonts w:ascii="仿宋" w:hAnsi="仿宋" w:eastAsia="仿宋" w:cs="仿宋"/>
          <w:color w:val="000000" w:themeColor="text1"/>
          <w:sz w:val="28"/>
          <w:highlight w:val="none"/>
          <w14:textFill>
            <w14:solidFill>
              <w14:schemeClr w14:val="tx1"/>
            </w14:solidFill>
          </w14:textFill>
        </w:rPr>
        <w:t>。</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二、申请人的资格要求:</w:t>
      </w:r>
    </w:p>
    <w:p>
      <w:pPr>
        <w:pBdr>
          <w:top w:val="none" w:color="000000" w:sz="0" w:space="0"/>
          <w:left w:val="none" w:color="000000" w:sz="0" w:space="0"/>
          <w:bottom w:val="none" w:color="000000" w:sz="0" w:space="0"/>
          <w:right w:val="none" w:color="000000" w:sz="0" w:space="0"/>
        </w:pBdr>
        <w:spacing w:before="0" w:after="0" w:line="519" w:lineRule="atLeast"/>
        <w:ind w:left="559"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（一）符合《中华人民共和国政府采购法》第二十二条规定；</w:t>
      </w:r>
    </w:p>
    <w:p>
      <w:pPr>
        <w:pBdr>
          <w:top w:val="none" w:color="000000" w:sz="0" w:space="0"/>
          <w:left w:val="none" w:color="000000" w:sz="0" w:space="0"/>
          <w:bottom w:val="none" w:color="000000" w:sz="0" w:space="0"/>
          <w:right w:val="none" w:color="000000" w:sz="0" w:space="0"/>
        </w:pBdr>
        <w:spacing w:before="0" w:after="0" w:line="519" w:lineRule="atLeast"/>
        <w:ind w:left="559"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（二）落实政府采购政策需满足的资格要求:</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本项目按照以下第</w:t>
      </w:r>
      <w:r>
        <w:rPr>
          <w:rFonts w:ascii="仿宋" w:hAnsi="仿宋" w:eastAsia="仿宋" w:cs="仿宋"/>
          <w:color w:val="000000" w:themeColor="text1"/>
          <w:sz w:val="28"/>
          <w:highlight w:val="none"/>
          <w:u w:val="single"/>
          <w14:textFill>
            <w14:solidFill>
              <w14:schemeClr w14:val="tx1"/>
            </w14:solidFill>
          </w14:textFill>
        </w:rPr>
        <w:t> </w:t>
      </w:r>
      <w:r>
        <w:rPr>
          <w:rFonts w:hint="eastAsia" w:ascii="仿宋" w:hAnsi="仿宋" w:eastAsia="仿宋" w:cs="仿宋"/>
          <w:color w:val="000000" w:themeColor="text1"/>
          <w:sz w:val="28"/>
          <w:highlight w:val="none"/>
          <w:u w:val="single"/>
          <w:lang w:val="en-US" w:eastAsia="zh-CN"/>
          <w14:textFill>
            <w14:solidFill>
              <w14:schemeClr w14:val="tx1"/>
            </w14:solidFill>
          </w14:textFill>
        </w:rPr>
        <w:t>3</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种方式落实政府采购促进中小企业发展的要求：</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1、本项目为专门面向中小企业采购的项目。</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2、本项目通过以下第（）种方式预留部分采购份额采购中小企业服务：</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（1）本项目要求投标人以联合体形式参加，中小企业合同金额应当达到的比例为</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%，其中小微企业所占比例应为</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 %（两项比例均应符合《政府采购促进中小企业发展管理办法》第八条规定）。</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（2）本项目要求投标人进行合同分包，中小企业合同金额应当达到的比例为</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 %，其中小微企业所占比例应为</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 %（两项比例均应符合《政府采购促进中小企业发展管理办法》第八条规定）。</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3、本项目为非预留份额的采购项目，对小微企业报价给予扣除，用扣除后的价格参加评审，具体详见第二章“投标人须知”第33.1项。</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注:监狱企业、残疾人福利性单位视同小微企业；符合中小企业划分标准的个体工商户，在政府采购活动中视同中小企业，享受政府采购支持中小企业发展政策。</w:t>
      </w:r>
    </w:p>
    <w:p>
      <w:pPr>
        <w:numPr>
          <w:ilvl w:val="0"/>
          <w:numId w:val="4"/>
        </w:num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ascii="仿宋" w:hAnsi="仿宋" w:eastAsia="仿宋" w:cs="仿宋"/>
          <w:color w:val="000000" w:themeColor="text1"/>
          <w:sz w:val="28"/>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本项目的特定资格要求:</w:t>
      </w:r>
    </w:p>
    <w:p>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1、投标人如为电梯制造商，须具有有效期内的特种设备安装改造维修许可证（电梯）资质和特种设备制造许可证资质（电梯）或具有新证《中华人民共和国特种设备生产许可证》。</w:t>
      </w:r>
    </w:p>
    <w:p>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2、投标人为非电梯制造商的，须同时提供：</w:t>
      </w:r>
    </w:p>
    <w:p>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（1）投标人有效期内的特种设备安装改造维修许可证（电梯）资质或新证《中华人民共和国特种设备生产许可证》（含安装、维修）；</w:t>
      </w:r>
    </w:p>
    <w:p>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（2）投标人所投电梯制造商有效期内的特种设备制造许可证资质（电梯）或者新证《中华人民共和国特种设备生产许可证》；</w:t>
      </w:r>
    </w:p>
    <w:p>
      <w:pPr>
        <w:numPr>
          <w:ilvl w:val="0"/>
          <w:numId w:val="0"/>
        </w:numPr>
        <w:pBdr>
          <w:top w:val="none" w:color="000000" w:sz="0" w:space="0"/>
          <w:left w:val="none" w:color="000000" w:sz="0" w:space="0"/>
          <w:bottom w:val="none" w:color="000000" w:sz="0" w:space="0"/>
          <w:right w:val="none" w:color="000000" w:sz="0" w:space="0"/>
        </w:pBdr>
        <w:spacing w:before="0" w:after="0" w:line="519" w:lineRule="atLeast"/>
        <w:ind w:left="560" w:leftChars="0" w:right="0" w:rightChars="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（四）拒绝下述条件的投标人参加本次采购活动:</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1、投标人单位负责人为同一人或者存在直接控股、管理关系的不同投标人，不得同时参加同一合同项下的政府采购活动。</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2、凡为采购项目提供整体设计、规范编制或者项目管理、监理、检测等服务的投标人，不得再参加本项目的采购活动。</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3、投标人被“信用中国”网站、“中国政府采购网”列入失信被执行人、重大税收违法案件当事人名单、政府采购严重违法失信行为记录名单。</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三、获取招标文件</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（一）时间:自招标公告发布之日起五个工作日。</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（二）方式：在“淮安市政府采购网”自行免费下载招标文件。</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四、提交投标文件截止时间、开标时间和地点</w:t>
      </w:r>
    </w:p>
    <w:p>
      <w:pPr>
        <w:pBdr>
          <w:top w:val="none" w:color="000000" w:sz="0" w:space="0"/>
          <w:left w:val="none" w:color="000000" w:sz="0" w:space="0"/>
          <w:bottom w:val="none" w:color="000000" w:sz="0" w:space="0"/>
          <w:right w:val="none" w:color="000000" w:sz="0" w:space="0"/>
        </w:pBdr>
        <w:spacing w:before="0" w:after="0" w:line="519" w:lineRule="atLeast"/>
        <w:ind w:left="0" w:right="0" w:firstLine="28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（一）投标文件提交截止时间及开标时间:</w:t>
      </w:r>
      <w:r>
        <w:rPr>
          <w:rFonts w:ascii="仿宋" w:hAnsi="仿宋" w:eastAsia="仿宋" w:cs="仿宋"/>
          <w:color w:val="000000"/>
          <w:sz w:val="28"/>
        </w:rPr>
        <w:t>2026年</w:t>
      </w:r>
      <w:r>
        <w:rPr>
          <w:rFonts w:hint="eastAsia" w:ascii="仿宋" w:hAnsi="仿宋" w:eastAsia="仿宋" w:cs="仿宋"/>
          <w:color w:val="000000"/>
          <w:sz w:val="28"/>
          <w:lang w:val="en-US" w:eastAsia="zh-CN"/>
        </w:rPr>
        <w:t>8</w:t>
      </w:r>
      <w:r>
        <w:rPr>
          <w:rFonts w:ascii="仿宋" w:hAnsi="仿宋" w:eastAsia="仿宋" w:cs="仿宋"/>
          <w:color w:val="000000"/>
          <w:sz w:val="28"/>
        </w:rPr>
        <w:t>月</w:t>
      </w:r>
      <w:r>
        <w:rPr>
          <w:rFonts w:hint="eastAsia" w:ascii="仿宋" w:hAnsi="仿宋" w:eastAsia="仿宋" w:cs="仿宋"/>
          <w:color w:val="000000"/>
          <w:sz w:val="28"/>
          <w:lang w:val="en-US" w:eastAsia="zh-CN"/>
        </w:rPr>
        <w:t>03</w:t>
      </w:r>
      <w:r>
        <w:rPr>
          <w:rFonts w:ascii="仿宋" w:hAnsi="仿宋" w:eastAsia="仿宋" w:cs="仿宋"/>
          <w:color w:val="000000"/>
          <w:sz w:val="28"/>
        </w:rPr>
        <w:t>日</w:t>
      </w:r>
      <w:r>
        <w:rPr>
          <w:rFonts w:hint="eastAsia" w:ascii="仿宋" w:hAnsi="仿宋" w:eastAsia="仿宋" w:cs="仿宋"/>
          <w:color w:val="000000"/>
          <w:sz w:val="28"/>
          <w:lang w:val="en-US" w:eastAsia="zh-CN"/>
        </w:rPr>
        <w:t>9</w:t>
      </w:r>
      <w:r>
        <w:rPr>
          <w:rFonts w:ascii="仿宋" w:hAnsi="仿宋" w:eastAsia="仿宋" w:cs="仿宋"/>
          <w:color w:val="000000"/>
          <w:sz w:val="28"/>
        </w:rPr>
        <w:t>点</w:t>
      </w:r>
      <w:r>
        <w:rPr>
          <w:rFonts w:hint="eastAsia" w:ascii="仿宋" w:hAnsi="仿宋" w:eastAsia="仿宋" w:cs="仿宋"/>
          <w:color w:val="000000"/>
          <w:sz w:val="28"/>
          <w:lang w:val="en-US" w:eastAsia="zh-CN"/>
        </w:rPr>
        <w:t>00</w:t>
      </w:r>
      <w:r>
        <w:rPr>
          <w:rFonts w:ascii="仿宋" w:hAnsi="仿宋" w:eastAsia="仿宋" w:cs="仿宋"/>
          <w:color w:val="000000"/>
          <w:sz w:val="28"/>
        </w:rPr>
        <w:t>分</w:t>
      </w:r>
      <w:r>
        <w:rPr>
          <w:rFonts w:ascii="仿宋" w:hAnsi="仿宋" w:eastAsia="仿宋" w:cs="仿宋"/>
          <w:color w:val="000000" w:themeColor="text1"/>
          <w:sz w:val="28"/>
          <w:highlight w:val="none"/>
          <w14:textFill>
            <w14:solidFill>
              <w14:schemeClr w14:val="tx1"/>
            </w14:solidFill>
          </w14:textFill>
        </w:rPr>
        <w:t>。</w:t>
      </w:r>
    </w:p>
    <w:p>
      <w:pPr>
        <w:pBdr>
          <w:top w:val="none" w:color="000000" w:sz="0" w:space="0"/>
          <w:left w:val="none" w:color="000000" w:sz="0" w:space="0"/>
          <w:bottom w:val="none" w:color="000000" w:sz="0" w:space="0"/>
          <w:right w:val="none" w:color="000000" w:sz="0" w:space="0"/>
        </w:pBdr>
        <w:spacing w:before="0" w:after="0" w:line="519" w:lineRule="atLeast"/>
        <w:ind w:left="0" w:right="0" w:firstLine="28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（二）投标文件上传地址：“苏采云”政府采购交易系统网上开标大厅。</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五、公告期限</w:t>
      </w:r>
    </w:p>
    <w:p>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自本公告发布之日起五个工作日。</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六、其他补充事宜</w:t>
      </w:r>
    </w:p>
    <w:p>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本项目仅采购非进口产品（注:本文件所称进口产品是指通过中国海关报关验放进入中国境内且产自关境外的产品）。</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七、对本次采购提出询问，请按以下方式联系。</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1、采购人联系方式</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eastAsia="仿宋"/>
          <w:color w:val="000000" w:themeColor="text1"/>
          <w:highlight w:val="none"/>
          <w:lang w:eastAsia="zh-CN"/>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名称:</w:t>
      </w:r>
      <w:r>
        <w:rPr>
          <w:rFonts w:hint="eastAsia" w:ascii="仿宋" w:hAnsi="仿宋" w:eastAsia="仿宋" w:cs="仿宋"/>
          <w:color w:val="000000" w:themeColor="text1"/>
          <w:sz w:val="28"/>
          <w:highlight w:val="none"/>
          <w:lang w:eastAsia="zh-CN"/>
          <w14:textFill>
            <w14:solidFill>
              <w14:schemeClr w14:val="tx1"/>
            </w14:solidFill>
          </w14:textFill>
        </w:rPr>
        <w:t>盱眙县住房和城乡建设局</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地址:</w:t>
      </w:r>
      <w:r>
        <w:rPr>
          <w:rFonts w:hint="eastAsia" w:ascii="仿宋" w:hAnsi="仿宋" w:eastAsia="仿宋" w:cs="仿宋"/>
          <w:color w:val="000000" w:themeColor="text1"/>
          <w:sz w:val="28"/>
          <w:highlight w:val="none"/>
          <w14:textFill>
            <w14:solidFill>
              <w14:schemeClr w14:val="tx1"/>
            </w14:solidFill>
          </w14:textFill>
        </w:rPr>
        <w:t>淮安市盱眙县山水商务大厦</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联系方式：</w:t>
      </w:r>
      <w:r>
        <w:rPr>
          <w:rFonts w:hint="eastAsia" w:ascii="仿宋" w:hAnsi="仿宋" w:eastAsia="仿宋" w:cs="仿宋"/>
          <w:color w:val="000000" w:themeColor="text1"/>
          <w:sz w:val="28"/>
          <w:highlight w:val="none"/>
          <w:lang w:val="en-US" w:eastAsia="zh-CN"/>
          <w14:textFill>
            <w14:solidFill>
              <w14:schemeClr w14:val="tx1"/>
            </w14:solidFill>
          </w14:textFill>
        </w:rPr>
        <w:t>顾正刚</w:t>
      </w:r>
      <w:r>
        <w:rPr>
          <w:rFonts w:hint="eastAsia" w:ascii="仿宋" w:hAnsi="仿宋" w:eastAsia="仿宋" w:cs="仿宋"/>
          <w:color w:val="000000" w:themeColor="text1"/>
          <w:sz w:val="28"/>
          <w:highlight w:val="none"/>
          <w14:textFill>
            <w14:solidFill>
              <w14:schemeClr w14:val="tx1"/>
            </w14:solidFill>
          </w14:textFill>
        </w:rPr>
        <w:t>18360722213</w:t>
      </w:r>
    </w:p>
    <w:p>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2、采购代理机构信息</w:t>
      </w:r>
    </w:p>
    <w:p>
      <w:pPr>
        <w:spacing w:line="520" w:lineRule="exact"/>
        <w:ind w:firstLine="560"/>
        <w:rPr>
          <w:rFonts w:hint="eastAsia" w:ascii="仿宋" w:hAnsi="仿宋" w:eastAsia="仿宋"/>
          <w:sz w:val="28"/>
          <w:szCs w:val="28"/>
          <w:highlight w:val="none"/>
          <w:lang w:val="en-US"/>
        </w:rPr>
      </w:pPr>
      <w:r>
        <w:rPr>
          <w:rFonts w:hint="eastAsia" w:ascii="仿宋" w:hAnsi="仿宋" w:eastAsia="仿宋"/>
          <w:sz w:val="28"/>
          <w:szCs w:val="28"/>
          <w:highlight w:val="none"/>
          <w:lang w:val="en-US"/>
        </w:rPr>
        <w:t>名称：淮安市公共资源交易中心盱眙分中心</w:t>
      </w:r>
    </w:p>
    <w:p>
      <w:pPr>
        <w:spacing w:line="520" w:lineRule="exact"/>
        <w:ind w:firstLine="560"/>
        <w:rPr>
          <w:rFonts w:hint="eastAsia" w:ascii="仿宋" w:hAnsi="仿宋" w:eastAsia="仿宋"/>
          <w:sz w:val="28"/>
          <w:szCs w:val="28"/>
          <w:highlight w:val="none"/>
          <w:lang w:val="en-US"/>
        </w:rPr>
      </w:pPr>
      <w:r>
        <w:rPr>
          <w:rFonts w:hint="eastAsia" w:ascii="仿宋" w:hAnsi="仿宋" w:eastAsia="仿宋"/>
          <w:sz w:val="28"/>
          <w:szCs w:val="28"/>
          <w:highlight w:val="none"/>
          <w:lang w:val="en-US"/>
        </w:rPr>
        <w:t>地址：盱眙县金鹏大道2号（五墩农商行院内）</w:t>
      </w:r>
    </w:p>
    <w:p>
      <w:pPr>
        <w:spacing w:line="520" w:lineRule="exact"/>
        <w:ind w:firstLine="560"/>
        <w:rPr>
          <w:rFonts w:hint="eastAsia" w:ascii="仿宋" w:hAnsi="仿宋" w:eastAsia="仿宋"/>
          <w:sz w:val="28"/>
          <w:szCs w:val="28"/>
          <w:highlight w:val="none"/>
          <w:lang w:val="en-US"/>
        </w:rPr>
      </w:pPr>
      <w:r>
        <w:rPr>
          <w:rFonts w:hint="eastAsia" w:ascii="仿宋" w:hAnsi="仿宋" w:eastAsia="仿宋"/>
          <w:sz w:val="28"/>
          <w:szCs w:val="28"/>
          <w:highlight w:val="none"/>
          <w:lang w:val="en-US"/>
        </w:rPr>
        <w:t>联系方式：</w:t>
      </w:r>
      <w:r>
        <w:rPr>
          <w:rFonts w:hint="eastAsia" w:ascii="仿宋" w:hAnsi="仿宋" w:eastAsia="仿宋"/>
          <w:sz w:val="28"/>
          <w:szCs w:val="28"/>
          <w:highlight w:val="none"/>
          <w:lang w:val="en-US" w:eastAsia="zh-CN"/>
        </w:rPr>
        <w:t xml:space="preserve">吴小玄 </w:t>
      </w:r>
      <w:r>
        <w:rPr>
          <w:rFonts w:hint="eastAsia" w:ascii="仿宋" w:hAnsi="仿宋" w:eastAsia="仿宋"/>
          <w:sz w:val="28"/>
          <w:szCs w:val="28"/>
          <w:highlight w:val="none"/>
          <w:lang w:val="en-US"/>
        </w:rPr>
        <w:t>电话：15261779247</w:t>
      </w:r>
    </w:p>
    <w:p>
      <w:pPr>
        <w:spacing w:line="520" w:lineRule="exact"/>
        <w:ind w:firstLine="560"/>
        <w:rPr>
          <w:rFonts w:hint="eastAsia" w:ascii="仿宋" w:hAnsi="仿宋" w:eastAsia="仿宋"/>
          <w:sz w:val="28"/>
          <w:szCs w:val="28"/>
          <w:highlight w:val="none"/>
          <w:lang w:val="en-US"/>
        </w:rPr>
      </w:pPr>
      <w:r>
        <w:rPr>
          <w:rFonts w:hint="eastAsia" w:ascii="仿宋" w:hAnsi="仿宋" w:eastAsia="仿宋"/>
          <w:sz w:val="28"/>
          <w:szCs w:val="28"/>
          <w:highlight w:val="none"/>
          <w:lang w:val="en-US"/>
        </w:rPr>
        <w:t>3、项目联系方式</w:t>
      </w:r>
    </w:p>
    <w:p>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rFonts w:hint="eastAsia" w:ascii="仿宋" w:hAnsi="仿宋" w:eastAsia="仿宋"/>
          <w:sz w:val="28"/>
          <w:szCs w:val="28"/>
          <w:highlight w:val="none"/>
        </w:rPr>
      </w:pPr>
      <w:r>
        <w:rPr>
          <w:rFonts w:hint="eastAsia" w:ascii="仿宋" w:hAnsi="仿宋" w:eastAsia="仿宋"/>
          <w:sz w:val="28"/>
          <w:szCs w:val="28"/>
          <w:highlight w:val="none"/>
          <w:lang w:val="en-US"/>
        </w:rPr>
        <w:t>项目联系人：</w:t>
      </w:r>
      <w:r>
        <w:rPr>
          <w:rFonts w:hint="eastAsia" w:ascii="仿宋" w:hAnsi="仿宋" w:eastAsia="仿宋" w:cs="仿宋"/>
          <w:color w:val="000000" w:themeColor="text1"/>
          <w:sz w:val="28"/>
          <w:highlight w:val="none"/>
          <w:lang w:val="en-US" w:eastAsia="zh-CN"/>
          <w14:textFill>
            <w14:solidFill>
              <w14:schemeClr w14:val="tx1"/>
            </w14:solidFill>
          </w14:textFill>
        </w:rPr>
        <w:t>顾正刚</w:t>
      </w:r>
      <w:r>
        <w:rPr>
          <w:rFonts w:hint="eastAsia" w:ascii="仿宋" w:hAnsi="仿宋" w:eastAsia="仿宋" w:cs="仿宋"/>
          <w:color w:val="000000" w:themeColor="text1"/>
          <w:sz w:val="28"/>
          <w:highlight w:val="none"/>
          <w14:textFill>
            <w14:solidFill>
              <w14:schemeClr w14:val="tx1"/>
            </w14:solidFill>
          </w14:textFill>
        </w:rPr>
        <w:t>18360722213</w:t>
      </w:r>
    </w:p>
    <w:p>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八、其他</w:t>
      </w:r>
    </w:p>
    <w:p>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p>
    <w:p>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2.有关本次招标的事项若存在变动或修改，敬请及时关注</w:t>
      </w:r>
      <w:r>
        <w:rPr>
          <w:rFonts w:hint="eastAsia" w:ascii="仿宋" w:hAnsi="仿宋" w:eastAsia="仿宋" w:cs="仿宋"/>
          <w:color w:val="000000" w:themeColor="text1"/>
          <w:sz w:val="28"/>
          <w:highlight w:val="none"/>
          <w:lang w:val="en-US" w:eastAsia="zh-CN"/>
          <w14:textFill>
            <w14:solidFill>
              <w14:schemeClr w14:val="tx1"/>
            </w14:solidFill>
          </w14:textFill>
        </w:rPr>
        <w:t>招标人</w:t>
      </w:r>
      <w:r>
        <w:rPr>
          <w:rFonts w:ascii="仿宋" w:hAnsi="仿宋" w:eastAsia="仿宋" w:cs="仿宋"/>
          <w:color w:val="000000" w:themeColor="text1"/>
          <w:sz w:val="28"/>
          <w:highlight w:val="none"/>
          <w14:textFill>
            <w14:solidFill>
              <w14:schemeClr w14:val="tx1"/>
            </w14:solidFill>
          </w14:textFill>
        </w:rPr>
        <w:t>在“淮安市政府采购网”发布的更正公告。</w:t>
      </w:r>
    </w:p>
    <w:p>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3.本次招标不收取投标保证金。</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color w:val="000000" w:themeColor="text1"/>
          <w:highlight w:val="none"/>
          <w14:textFill>
            <w14:solidFill>
              <w14:schemeClr w14:val="tx1"/>
            </w14:solidFill>
          </w14:textFill>
        </w:rPr>
      </w:pPr>
      <w:r>
        <w:rPr>
          <w:rFonts w:ascii="仿宋" w:hAnsi="仿宋" w:eastAsia="仿宋" w:cs="仿宋"/>
          <w:b/>
          <w:color w:val="000000" w:themeColor="text1"/>
          <w:sz w:val="36"/>
          <w:highlight w:val="none"/>
          <w14:textFill>
            <w14:solidFill>
              <w14:schemeClr w14:val="tx1"/>
            </w14:solidFill>
          </w14:textFill>
        </w:rPr>
        <w:t>第二章投标人须知</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b/>
          <w:color w:val="000000" w:themeColor="text1"/>
          <w:sz w:val="32"/>
          <w:highlight w:val="none"/>
          <w14:textFill>
            <w14:solidFill>
              <w14:schemeClr w14:val="tx1"/>
            </w14:solidFill>
          </w14:textFill>
        </w:rPr>
        <w:t>一、总则</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1.适用范围</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本招标文件仅适用于本次投标邀请中所述项目的采购。</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2.合格的投标人</w:t>
      </w:r>
    </w:p>
    <w:p>
      <w:pPr>
        <w:pBdr>
          <w:top w:val="none" w:color="000000" w:sz="0" w:space="0"/>
          <w:left w:val="none" w:color="000000" w:sz="0" w:space="0"/>
          <w:bottom w:val="none" w:color="000000" w:sz="0" w:space="0"/>
          <w:right w:val="none" w:color="000000" w:sz="0" w:space="0"/>
        </w:pBdr>
        <w:spacing w:before="0" w:after="0" w:line="519" w:lineRule="atLeast"/>
        <w:ind w:left="0" w:right="0" w:firstLine="555"/>
        <w:jc w:val="both"/>
        <w:rPr>
          <w:rFonts w:hint="eastAsia" w:eastAsia="仿宋"/>
          <w:color w:val="000000" w:themeColor="text1"/>
          <w:highlight w:val="none"/>
          <w:lang w:eastAsia="zh-CN"/>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2.1满足第一章投标邀请中投标人资格要求的规定。</w:t>
      </w:r>
    </w:p>
    <w:p>
      <w:pPr>
        <w:pBdr>
          <w:top w:val="none" w:color="000000" w:sz="0" w:space="0"/>
          <w:left w:val="none" w:color="000000" w:sz="0" w:space="0"/>
          <w:bottom w:val="none" w:color="000000" w:sz="0" w:space="0"/>
          <w:right w:val="none" w:color="000000" w:sz="0" w:space="0"/>
        </w:pBdr>
        <w:spacing w:before="0" w:after="0" w:line="519" w:lineRule="atLeast"/>
        <w:ind w:left="0" w:right="0" w:firstLine="555"/>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2.2满足招标文件中实质性条款的规定。</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3.适用法律</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3.1《中华人民共和国政府采购法》《中华人民共和国政府采购法实施条例》《政府采购货物和服务招标投标管理办法》等有关法律、规章和规定等。</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3.2在本项目政府采购活动过程中，如果所执行的标准有更新的，按照最新标准执行。</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4.投标费用</w:t>
      </w:r>
    </w:p>
    <w:p>
      <w:pPr>
        <w:pBdr>
          <w:top w:val="none" w:color="000000" w:sz="0" w:space="0"/>
          <w:left w:val="none" w:color="000000" w:sz="0" w:space="0"/>
          <w:bottom w:val="none" w:color="000000" w:sz="0" w:space="0"/>
          <w:right w:val="none" w:color="000000" w:sz="0" w:space="0"/>
        </w:pBdr>
        <w:spacing w:before="0" w:after="0" w:line="519" w:lineRule="atLeast"/>
        <w:ind w:left="0" w:right="0" w:firstLine="555"/>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4.1 投标人应自行承担所有与参加投标有关的费用。不论投标的结果如何，</w:t>
      </w:r>
      <w:r>
        <w:rPr>
          <w:rFonts w:hint="eastAsia" w:ascii="仿宋" w:hAnsi="仿宋" w:eastAsia="仿宋" w:cs="仿宋"/>
          <w:color w:val="000000" w:themeColor="text1"/>
          <w:sz w:val="28"/>
          <w:highlight w:val="none"/>
          <w:lang w:eastAsia="zh-CN"/>
          <w14:textFill>
            <w14:solidFill>
              <w14:schemeClr w14:val="tx1"/>
            </w14:solidFill>
          </w14:textFill>
        </w:rPr>
        <w:t>淮安市公共资源交易中心盱眙分中心</w:t>
      </w:r>
      <w:r>
        <w:rPr>
          <w:rFonts w:ascii="仿宋" w:hAnsi="仿宋" w:eastAsia="仿宋" w:cs="仿宋"/>
          <w:color w:val="000000" w:themeColor="text1"/>
          <w:sz w:val="28"/>
          <w:highlight w:val="none"/>
          <w14:textFill>
            <w14:solidFill>
              <w14:schemeClr w14:val="tx1"/>
            </w14:solidFill>
          </w14:textFill>
        </w:rPr>
        <w:t>（以下简称采购中心）在任何情况下均无义务和责任承担这些费用。</w:t>
      </w:r>
    </w:p>
    <w:p>
      <w:pPr>
        <w:pBdr>
          <w:top w:val="none" w:color="000000" w:sz="0" w:space="0"/>
          <w:left w:val="none" w:color="000000" w:sz="0" w:space="0"/>
          <w:bottom w:val="none" w:color="000000" w:sz="0" w:space="0"/>
          <w:right w:val="none" w:color="000000" w:sz="0" w:space="0"/>
        </w:pBdr>
        <w:spacing w:before="0" w:after="0" w:line="519" w:lineRule="atLeast"/>
        <w:ind w:left="0" w:right="0" w:firstLine="555"/>
        <w:jc w:val="both"/>
        <w:rPr>
          <w:rFonts w:ascii="仿宋" w:hAnsi="仿宋" w:eastAsia="仿宋" w:cs="仿宋"/>
          <w:b/>
          <w:color w:val="000000" w:themeColor="text1"/>
          <w:sz w:val="28"/>
          <w:highlight w:val="none"/>
          <w14:textFill>
            <w14:solidFill>
              <w14:schemeClr w14:val="tx1"/>
            </w14:solidFill>
          </w14:textFill>
        </w:rPr>
      </w:pPr>
      <w:r>
        <w:rPr>
          <w:rFonts w:ascii="仿宋" w:hAnsi="仿宋" w:eastAsia="仿宋" w:cs="仿宋"/>
          <w:b/>
          <w:color w:val="000000" w:themeColor="text1"/>
          <w:sz w:val="28"/>
          <w:highlight w:val="none"/>
          <w14:textFill>
            <w14:solidFill>
              <w14:schemeClr w14:val="tx1"/>
            </w14:solidFill>
          </w14:textFill>
        </w:rPr>
        <w:t>4.2 本次采购项目不得以任何形式向投标人收取标书工本费及专家评审费。</w:t>
      </w:r>
    </w:p>
    <w:p>
      <w:pPr>
        <w:pStyle w:val="15"/>
        <w:rPr>
          <w:rFonts w:hint="default" w:eastAsia="仿宋"/>
          <w:lang w:val="en-US" w:eastAsia="zh-CN"/>
        </w:rPr>
      </w:pPr>
      <w:r>
        <w:rPr>
          <w:rFonts w:hint="eastAsia" w:ascii="仿宋" w:hAnsi="仿宋" w:eastAsia="仿宋" w:cs="仿宋"/>
          <w:b w:val="0"/>
          <w:bCs w:val="0"/>
          <w:color w:val="000000" w:themeColor="text1"/>
          <w:sz w:val="28"/>
          <w:highlight w:val="none"/>
          <w:lang w:val="en-US" w:eastAsia="zh-CN"/>
          <w14:textFill>
            <w14:solidFill>
              <w14:schemeClr w14:val="tx1"/>
            </w14:solidFill>
          </w14:textFill>
        </w:rPr>
        <w:t>4.3本项目由江苏泽豪工程咨询管理有限公司协助招标人作了前期咨询工作。因此各投标人在报价时必须将咨询费用包含在投标报价中，不需单独列项计取。本次项目咨询费7080元。成交人在领取成交通知书之日向江苏泽豪工程咨询管理有限公司支付。</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5、招标文件的约束力</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5.1投标人一旦参加本项目采购活动，即被认为接受了本招标文件的规定和约束。</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color w:val="000000" w:themeColor="text1"/>
          <w:highlight w:val="none"/>
          <w14:textFill>
            <w14:solidFill>
              <w14:schemeClr w14:val="tx1"/>
            </w14:solidFill>
          </w14:textFill>
        </w:rPr>
      </w:pPr>
      <w:r>
        <w:rPr>
          <w:rFonts w:ascii="仿宋" w:hAnsi="仿宋" w:eastAsia="仿宋" w:cs="仿宋"/>
          <w:b/>
          <w:color w:val="000000" w:themeColor="text1"/>
          <w:sz w:val="32"/>
          <w:highlight w:val="none"/>
          <w14:textFill>
            <w14:solidFill>
              <w14:schemeClr w14:val="tx1"/>
            </w14:solidFill>
          </w14:textFill>
        </w:rPr>
        <w:t>二、招标文件</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6.招标文件由以下部分组成:</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6.1 投标邀请</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6.2 投标人须知</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6.3评标方法与评标标准 </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6.4合同格式及条款</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6.5 项目采购需求</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6.6 投标文件</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7.招标文件的更正或补充</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7.1在投标截止时间前，采购中心可以对招标文件进行修改。</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7.2采购中心有权按照法定的要求推迟投标截止日期和开标日期。</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7.3招标文件的修改将在江苏政府采购网、淮安市政府采购网公布，补充文件将作为招标文件的组成部分，并对投标人具有约束力。</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b/>
          <w:color w:val="000000" w:themeColor="text1"/>
          <w:sz w:val="32"/>
          <w:highlight w:val="none"/>
          <w14:textFill>
            <w14:solidFill>
              <w14:schemeClr w14:val="tx1"/>
            </w14:solidFill>
          </w14:textFill>
        </w:rPr>
        <w:t>三、投标文件的编制</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8.投标文件的语言及度量衡单位</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8.1投标人提交的投标文件以及投标人与采购中心就有关投标的所有来往通知、函件和文件均应使用简体中文。</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8.2除技术性能另有规定外，投标文件所使用的度量衡单位，均须采用国家法定计量单位。</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9.投标文件构成</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9.1投标人编写的投标文件应包括资格证明文件、符合性证明文件、投标分项报价表、技术要求响应及偏离表、其他证明文件、投标函、开标一览表等部分。请投标人根据本招标文件的要求在指定模块中上传相应的投标材料，未按招标文件要求在指定模块上传相应的投标材料的，视同未提交该投标材料处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9.2如标书制作工具中格式和内容与“江苏省政府采购网”、“淮安市政府采购网”发布的招标文件不一致，请以“江苏省政府采购网”、“淮安市政府采购网”发布的招标文件为准。</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10.证明投标人及投标标的符合招标文件规定的文件</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10.1投标人应按照招标文件要求提交证明文件，证明其及投标标的符合招标文件规定。</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10.2招标文件对证明文件无明确形式要求的，证明文件可以以文字资料、图纸和数据等形式提交。</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11.投标分项报价表</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11.1投标人应按照招标文件规定格式填报投标分项报价表。</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ascii="仿宋" w:hAnsi="仿宋" w:eastAsia="仿宋" w:cs="仿宋"/>
          <w:color w:val="000000" w:themeColor="text1"/>
          <w:sz w:val="28"/>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11.2 投标货币。投标文件中的单价和总价无特殊规定的采用人民币报价，以元为单位标注。招标文件中另有规定的按规定执行。</w:t>
      </w:r>
    </w:p>
    <w:p>
      <w:pPr>
        <w:spacing w:line="520" w:lineRule="exact"/>
        <w:ind w:firstLine="560"/>
        <w:rPr>
          <w:rFonts w:hint="eastAsia" w:ascii="仿宋" w:hAnsi="仿宋" w:eastAsia="仿宋" w:cs="仿宋"/>
          <w:b/>
          <w:bCs/>
          <w:sz w:val="28"/>
        </w:rPr>
      </w:pPr>
      <w:r>
        <w:rPr>
          <w:rFonts w:hint="eastAsia" w:ascii="仿宋" w:hAnsi="仿宋" w:eastAsia="仿宋" w:cs="仿宋"/>
          <w:b/>
          <w:bCs/>
          <w:sz w:val="28"/>
          <w:lang w:val="en-US" w:eastAsia="zh-CN"/>
        </w:rPr>
        <w:t>11.3</w:t>
      </w:r>
      <w:r>
        <w:rPr>
          <w:rFonts w:hint="eastAsia" w:ascii="仿宋" w:hAnsi="仿宋" w:eastAsia="仿宋" w:cs="仿宋"/>
          <w:b/>
          <w:bCs/>
          <w:sz w:val="28"/>
        </w:rPr>
        <w:t>项目资金来源为国家超长期特别国债等，本次采购预算价为总价最高限价，各台电梯具体单价由投标单位自主综合考量后报价；报价时须充分考虑包括</w:t>
      </w:r>
      <w:r>
        <w:rPr>
          <w:rFonts w:hint="eastAsia" w:ascii="仿宋" w:hAnsi="仿宋" w:eastAsia="仿宋" w:cs="仿宋"/>
          <w:b/>
          <w:bCs/>
          <w:sz w:val="28"/>
          <w:highlight w:val="none"/>
        </w:rPr>
        <w:t>“</w:t>
      </w:r>
      <w:r>
        <w:rPr>
          <w:rFonts w:hint="eastAsia" w:ascii="仿宋" w:hAnsi="仿宋" w:eastAsia="仿宋" w:cs="仿宋"/>
          <w:b/>
          <w:bCs/>
          <w:sz w:val="28"/>
          <w:highlight w:val="none"/>
          <w:lang w:eastAsia="zh-CN"/>
        </w:rPr>
        <w:t>淮安市住房和城乡建设局</w:t>
      </w:r>
      <w:r>
        <w:rPr>
          <w:rFonts w:hint="eastAsia" w:ascii="仿宋" w:hAnsi="仿宋" w:eastAsia="仿宋" w:cs="仿宋"/>
          <w:b/>
          <w:bCs/>
          <w:sz w:val="28"/>
          <w:highlight w:val="none"/>
        </w:rPr>
        <w:t>《关于</w:t>
      </w:r>
      <w:r>
        <w:rPr>
          <w:rFonts w:hint="eastAsia" w:ascii="仿宋" w:hAnsi="仿宋" w:eastAsia="仿宋" w:cs="仿宋"/>
          <w:b/>
          <w:bCs/>
          <w:sz w:val="28"/>
          <w:highlight w:val="none"/>
          <w:lang w:eastAsia="zh-CN"/>
        </w:rPr>
        <w:t>做好</w:t>
      </w:r>
      <w:r>
        <w:rPr>
          <w:rFonts w:hint="eastAsia" w:ascii="仿宋" w:hAnsi="仿宋" w:eastAsia="仿宋" w:cs="仿宋"/>
          <w:b/>
          <w:bCs/>
          <w:sz w:val="28"/>
          <w:highlight w:val="none"/>
          <w:lang w:val="en-US" w:eastAsia="zh-CN"/>
        </w:rPr>
        <w:t>2026</w:t>
      </w:r>
      <w:r>
        <w:rPr>
          <w:rFonts w:hint="eastAsia" w:ascii="仿宋" w:hAnsi="仿宋" w:eastAsia="仿宋" w:cs="仿宋"/>
          <w:b/>
          <w:bCs/>
          <w:sz w:val="28"/>
          <w:highlight w:val="none"/>
        </w:rPr>
        <w:t>年</w:t>
      </w:r>
      <w:r>
        <w:rPr>
          <w:rFonts w:hint="eastAsia" w:ascii="仿宋" w:hAnsi="仿宋" w:eastAsia="仿宋" w:cs="仿宋"/>
          <w:b/>
          <w:bCs/>
          <w:sz w:val="28"/>
          <w:highlight w:val="none"/>
          <w:lang w:eastAsia="zh-CN"/>
        </w:rPr>
        <w:t>度首批</w:t>
      </w:r>
      <w:r>
        <w:rPr>
          <w:rFonts w:hint="eastAsia" w:ascii="仿宋" w:hAnsi="仿宋" w:eastAsia="仿宋" w:cs="仿宋"/>
          <w:b/>
          <w:bCs/>
          <w:sz w:val="28"/>
          <w:highlight w:val="none"/>
        </w:rPr>
        <w:t>住宅老旧电梯更新</w:t>
      </w:r>
      <w:r>
        <w:rPr>
          <w:rFonts w:hint="eastAsia" w:ascii="仿宋" w:hAnsi="仿宋" w:eastAsia="仿宋" w:cs="仿宋"/>
          <w:b/>
          <w:bCs/>
          <w:sz w:val="28"/>
          <w:highlight w:val="none"/>
          <w:lang w:eastAsia="zh-CN"/>
        </w:rPr>
        <w:t>工作</w:t>
      </w:r>
      <w:r>
        <w:rPr>
          <w:rFonts w:hint="eastAsia" w:ascii="仿宋" w:hAnsi="仿宋" w:eastAsia="仿宋" w:cs="仿宋"/>
          <w:b/>
          <w:bCs/>
          <w:sz w:val="28"/>
          <w:highlight w:val="none"/>
        </w:rPr>
        <w:t>的通知》”</w:t>
      </w:r>
      <w:r>
        <w:rPr>
          <w:rFonts w:hint="eastAsia" w:ascii="仿宋" w:hAnsi="仿宋" w:eastAsia="仿宋" w:cs="仿宋"/>
          <w:b/>
          <w:bCs/>
          <w:sz w:val="28"/>
        </w:rPr>
        <w:t>等使用超长期特别国债资金相关政策要求，若因投标人报价方案中部分电梯不符合前述政策文件规定，导致该部分电梯最终无法获取超长期特别国债资金补助，该部分费用不计入项目结算，由此产生的后果由投标人自行承担。</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12.技术要求响应及偏离表、商务要求响应及偏离表（如有）</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12.1投标人需对招标文件中的技术要求与商务要求逐项作出响应或偏离，并说明原因。</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12.2投标人可在投标文件中提供认为需要的其他技术文件或说明。</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13.服务承诺、培训计划、人员安排及其他（如有）</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13.1投标人需根据招标文件要求提供有关售后服务的管理制度，售后服务机构的分布情况，售后服务人员的数量、素质、技术水平及售后服务的反应能力等。</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13.2投标人需根据招标文件要求提供培训计划。</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13.3 投标人需根据招标文件要求提供所投标的的主要组成部分、功能设计、实现思路及关键技术等。</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14.投标函和开标一览表</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14.1投标人应按照招标文件中提供的格式完整、正确填写投标函、开标一览表。</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14.2对于采用货币报价的项目，开标一览表中的投标总报价应与投标分项报价表中的投标总报价一致，如不一致，不作为无效投标处理，但评标时按开标一览表中价格为准。</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15.投标有效期</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15.1 投标有效期为采购中心规定的开标之日后九十（90）天。投标有效期比规定短的将被视为未实质性响应招标文件而予以拒绝。</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16.投标有效期的延长</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hint="eastAsia" w:eastAsia="仿宋"/>
          <w:color w:val="000000" w:themeColor="text1"/>
          <w:highlight w:val="none"/>
          <w:lang w:eastAsia="zh-CN"/>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17.方案部分</w:t>
      </w:r>
      <w:r>
        <w:rPr>
          <w:rFonts w:hint="eastAsia" w:ascii="仿宋" w:hAnsi="仿宋" w:eastAsia="仿宋" w:cs="仿宋"/>
          <w:color w:val="000000" w:themeColor="text1"/>
          <w:sz w:val="28"/>
          <w:highlight w:val="none"/>
          <w:lang w:eastAsia="zh-CN"/>
          <w14:textFill>
            <w14:solidFill>
              <w14:schemeClr w14:val="tx1"/>
            </w14:solidFill>
          </w14:textFill>
        </w:rPr>
        <w:t>（</w:t>
      </w:r>
      <w:r>
        <w:rPr>
          <w:rFonts w:hint="eastAsia" w:ascii="仿宋" w:hAnsi="仿宋" w:eastAsia="仿宋" w:cs="仿宋"/>
          <w:color w:val="000000" w:themeColor="text1"/>
          <w:sz w:val="28"/>
          <w:highlight w:val="none"/>
          <w:lang w:val="en-US" w:eastAsia="zh-CN"/>
          <w14:textFill>
            <w14:solidFill>
              <w14:schemeClr w14:val="tx1"/>
            </w14:solidFill>
          </w14:textFill>
        </w:rPr>
        <w:t>本项目采用暗标方式</w:t>
      </w:r>
      <w:r>
        <w:rPr>
          <w:rFonts w:hint="eastAsia" w:ascii="仿宋" w:hAnsi="仿宋" w:eastAsia="仿宋" w:cs="仿宋"/>
          <w:color w:val="000000" w:themeColor="text1"/>
          <w:sz w:val="28"/>
          <w:highlight w:val="none"/>
          <w:lang w:eastAsia="zh-CN"/>
          <w14:textFill>
            <w14:solidFill>
              <w14:schemeClr w14:val="tx1"/>
            </w14:solidFill>
          </w14:textFill>
        </w:rPr>
        <w:t>）</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17.1 本项目评标标准中的方案部分采用明标方式进行评审。</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000000" w:themeColor="text1"/>
          <w:sz w:val="28"/>
          <w:highlight w:val="none"/>
          <w:lang w:eastAsia="zh-CN"/>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17.2 方案部分采用明标方式进行评审的编制要求</w:t>
      </w:r>
      <w:r>
        <w:rPr>
          <w:rFonts w:hint="eastAsia" w:ascii="仿宋" w:hAnsi="仿宋" w:eastAsia="仿宋" w:cs="仿宋"/>
          <w:color w:val="000000" w:themeColor="text1"/>
          <w:sz w:val="28"/>
          <w:highlight w:val="none"/>
          <w:lang w:eastAsia="zh-CN"/>
          <w14:textFill>
            <w14:solidFill>
              <w14:schemeClr w14:val="tx1"/>
            </w14:solidFill>
          </w14:textFill>
        </w:rPr>
        <w:t>：</w:t>
      </w:r>
    </w:p>
    <w:p>
      <w:pPr>
        <w:spacing w:line="520" w:lineRule="exact"/>
        <w:ind w:firstLine="560" w:firstLineChars="200"/>
        <w:rPr>
          <w:rFonts w:hint="eastAsia"/>
          <w:lang w:eastAsia="zh-CN"/>
        </w:rPr>
      </w:pPr>
      <w:r>
        <w:rPr>
          <w:rFonts w:hint="eastAsia" w:ascii="仿宋" w:hAnsi="仿宋" w:eastAsia="仿宋"/>
          <w:bCs/>
          <w:sz w:val="28"/>
          <w:szCs w:val="28"/>
          <w:highlight w:val="none"/>
        </w:rPr>
        <w:t>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17.3 供应商应按第17.2的要求编制方案，经三分之二评委认定，供应商未按第17.2的要求编制方案的，按未提供方案处理。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b/>
          <w:color w:val="000000" w:themeColor="text1"/>
          <w:sz w:val="32"/>
          <w:highlight w:val="none"/>
          <w14:textFill>
            <w14:solidFill>
              <w14:schemeClr w14:val="tx1"/>
            </w14:solidFill>
          </w14:textFill>
        </w:rPr>
        <w:t>四、投标文件上传</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18.投标文件的上传</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18.1 投标人应当按照《操作手册》规定，在投标截止时间前制作并上传电子投标文件。</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18.2 投标人上传的电子投标文件内容不清楚或不清晰的（含扫描件），造成无法评审或部分影响评审的，责任由投标人自负。</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18.3 投标人上传电子投标文件的时间不得迟于投标邀请中规定的截止时间。</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ascii="仿宋" w:hAnsi="仿宋" w:eastAsia="仿宋" w:cs="仿宋"/>
          <w:color w:val="000000" w:themeColor="text1"/>
          <w:sz w:val="28"/>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18.4 采购中心可以按第7条规定，通过修改招标文件有权酌情延长投标文件接收截止时间。在此情况下，投标人的所有权利和义务以及投标人受制约的截止日期均应以延长后新的截止日期为准。</w:t>
      </w:r>
    </w:p>
    <w:p>
      <w:pPr>
        <w:spacing w:line="520" w:lineRule="exact"/>
        <w:ind w:firstLine="560"/>
      </w:pPr>
      <w:r>
        <w:rPr>
          <w:rFonts w:hint="eastAsia" w:ascii="仿宋" w:hAnsi="仿宋" w:eastAsia="仿宋"/>
          <w:sz w:val="28"/>
          <w:szCs w:val="28"/>
        </w:rPr>
        <w:t>18.5中标人在领取中标通知书之前，必须提供三份与电子投标文件一致的纸质打印投标文件（打印胶装完整）。</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19.投标文件被拒绝接收的情形</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19.1 在招标文件规定的提交投标文件截止时间后上传的电子投标文件。</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20.投标文件的修改和撤回</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20.1 投标人在上传电子投标文件后可以对其修改或撤回，但这种修改和撤回，必须在规定的开标时间之前，具体操作方法见《操作手册》。</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20.2 投标人不得在开标时间以后修改电子投标文件。</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20.3 投标人不得在提交电子投标文件截止时间起至投标有效期满前撤回电子投标文件。</w:t>
      </w:r>
    </w:p>
    <w:p>
      <w:pPr>
        <w:pBdr>
          <w:top w:val="none" w:color="000000" w:sz="0" w:space="0"/>
          <w:left w:val="none" w:color="000000" w:sz="0" w:space="0"/>
          <w:bottom w:val="none" w:color="000000" w:sz="0" w:space="0"/>
          <w:right w:val="none" w:color="000000" w:sz="0" w:space="0"/>
        </w:pBdr>
        <w:spacing w:before="0" w:after="0" w:line="519" w:lineRule="atLeast"/>
        <w:ind w:left="0" w:firstLine="0"/>
        <w:jc w:val="both"/>
        <w:rPr>
          <w:color w:val="000000" w:themeColor="text1"/>
          <w:highlight w:val="none"/>
          <w14:textFill>
            <w14:solidFill>
              <w14:schemeClr w14:val="tx1"/>
            </w14:solidFill>
          </w14:textFill>
        </w:rPr>
      </w:pPr>
      <w:r>
        <w:rPr>
          <w:rFonts w:ascii="仿宋" w:hAnsi="仿宋" w:eastAsia="仿宋" w:cs="仿宋"/>
          <w:b/>
          <w:color w:val="000000" w:themeColor="text1"/>
          <w:sz w:val="32"/>
          <w:highlight w:val="none"/>
          <w14:textFill>
            <w14:solidFill>
              <w14:schemeClr w14:val="tx1"/>
            </w14:solidFill>
          </w14:textFill>
        </w:rPr>
        <w:t>五、开标及评标</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21.开标</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21.1采购中心将在招标公告中规定的时间和地点组织开标。投标人应当按照《操作手册》规定，参加开标活动和在苏采云系统规定的时间内对投标文件进行解密。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21.2 开标仪式由采购中心组织。苏采云系统将自动对项目进行开标，并宣布各投标人名称和投标价格。</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21.3 投标人在开标过程中涉及的投标文件解密、开标结果确认等工作，应按照《操作手册》规定执行。</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21.4 投标人如果对开标过程和开标记录有疑义，应当根据《操作手册》规定提出，如苏采云系统中《开标记录表》宣布后5分钟内未提出的，视同认可开标结果。</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22.评标委员会</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22.1 开标后，采购中心将立即组织评标委员会（以下简称评委会）进行评标。</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22.2评委会由采购人代表和有关技术、经济等方面的专家组成，且人员构成符合政府采购有关规定。</w:t>
      </w:r>
    </w:p>
    <w:p>
      <w:pPr>
        <w:pBdr>
          <w:top w:val="none" w:color="000000" w:sz="0" w:space="0"/>
          <w:left w:val="none" w:color="000000" w:sz="0" w:space="0"/>
          <w:bottom w:val="none" w:color="000000" w:sz="0" w:space="0"/>
          <w:right w:val="none" w:color="000000" w:sz="0" w:space="0"/>
        </w:pBdr>
        <w:spacing w:before="0" w:after="0" w:line="519" w:lineRule="atLeast"/>
        <w:ind w:left="0" w:right="0" w:firstLine="28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22.3 评委会独立工作，负责评审所有投标文件并确定中标候选人。</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23．评标过程的保密与公正</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23.1 凡是与审查、澄清、评价和比较投标的有关资料以及投标建议等，采购人、评委、采购中心均不得向投标人或与评标无关的其他人员透露。</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23.2 在评标过程中，投标人不得以任何行为影响评标过程，否则其投标文件将被作为无效投标文件。</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23.3 采购中心和评标委员会不向未中标的投标人解释未中标原因，也不公布评标过程中的相关细节。</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23.4 采用综合评分法的项目，未中标的投标人可于中标结果公告期限届满之日起通过苏采云系统查看自己的评审得分及排序情况。</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24．投标文件的澄清</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24.1 评标期间，评委会对投标文件中含义不明确、同类问题表述不一致或者有明显文字和计算错误的内容，有权要求投标人作出必要的澄清、说明或者补正。</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投标人的澄清、说明或者补正不得超出投标文件的范围或者改变投标文件的实质性内容。</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评委会并非对每个投标人都做澄清要求。</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24.2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24.3接到评委会澄清、说明和补正要求的投标人如未按规定作出澄清、说明和补正，其风险由投标人自行承担。</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25.对投标文件的初审</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25.1 投标文件初审分为资格审查和符合性审查。</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25.1.1资格审查：依据法律法规和招标文件的规定，由采购人对投标文件中的资格证明文件进行审查。资格审查的结论，采购人向评委会进行反馈。</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采购人在进行资格性审查的同时，将在“信用中国”网站（www.creditchina.gov.cn）查询投标人的信用记录，以确定投标人是否具备投标资格,查询结果留存并归档。</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接受联合体的项目，两个以上的自然人、法人或者其他组织组成一个联合体，以一个投标人的身份共同参加政府采购活动的,联合体成员中任何一方存在不良信用记录的，视同联合体存在不良应用记录。</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25.1.2符合性审查：依据招标文件的规定，由评委会从投标文件的有效性、完整性和对招标文件的响应程度进行审查，以确定是否对招标文件的实质性要求作出响应。</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25.1.3未通过资格审查或符合性审查的投标人，采购中心将在苏采云系统中告知未通过资格审查或符合性审查的原因，评审结束后，采购中心将不再告知未通过资格审查或符合性审查的原因。</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25.2 在详细评标之前，评委会将首先审查每份投标文件是否实质性响应了招标文件的要求。实质性响应的投标应该是与招标文件要求的全部条款、条件和规格相符，没有重大偏离或保留的投标。</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25.3 如果投标文件实质上没有响应招标文件的要求，评委会将予以拒绝，投标人不得通过修改或撤销不符合要求的偏离或保留而使其投标成为实质性响应的投标。</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25.4 评委会将对确定为实质性响应的投标进行进一步审核，看其是否有计算上或累加上的算术错误，修正错误的原则如下：</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（1）投标文件中开标一览表内容与投标文件中相应内容不一致的，以开标一览表为准。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（2）大写金额和小写金额不一致的，以大写金额为准。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（3）单价金额小数点或者百分比有明显错位的，以开标一览表的总价为准，并修改单价。</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（4）总价金额与按单价汇总金额不一致的，以单价金额计算结果为准。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同时出现两种以上错误的，按照前款规定的顺序修正。</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25.5 评委会将按上述修正错误的方法调整投标文件中的投标报价，并通过苏采云系统告知投标人，调整后的价格应对投标人具有约束力。如果投标人不接受修正后的价格，则其投标将被拒绝。</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25.6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非单一产品采购项目，招标文件中将载明其中的核心产品</w:t>
      </w:r>
      <w:r>
        <w:rPr>
          <w:rFonts w:ascii="仿宋" w:hAnsi="仿宋" w:eastAsia="仿宋" w:cs="仿宋"/>
          <w:b/>
          <w:bCs/>
          <w:color w:val="000000" w:themeColor="text1"/>
          <w:sz w:val="28"/>
          <w:highlight w:val="none"/>
          <w:u w:val="single"/>
          <w14:textFill>
            <w14:solidFill>
              <w14:schemeClr w14:val="tx1"/>
            </w14:solidFill>
          </w14:textFill>
        </w:rPr>
        <w:t>（</w:t>
      </w:r>
      <w:r>
        <w:rPr>
          <w:rFonts w:hint="eastAsia" w:ascii="仿宋" w:hAnsi="仿宋" w:eastAsia="仿宋" w:cs="仿宋"/>
          <w:b/>
          <w:bCs/>
          <w:color w:val="000000" w:themeColor="text1"/>
          <w:sz w:val="28"/>
          <w:highlight w:val="none"/>
          <w:u w:val="single"/>
          <w:lang w:val="en-US" w:eastAsia="zh-CN"/>
          <w14:textFill>
            <w14:solidFill>
              <w14:schemeClr w14:val="tx1"/>
            </w14:solidFill>
          </w14:textFill>
        </w:rPr>
        <w:t>有</w:t>
      </w:r>
      <w:r>
        <w:rPr>
          <w:rFonts w:ascii="仿宋" w:hAnsi="仿宋" w:eastAsia="仿宋" w:cs="仿宋"/>
          <w:b/>
          <w:bCs/>
          <w:color w:val="000000" w:themeColor="text1"/>
          <w:sz w:val="28"/>
          <w:highlight w:val="none"/>
          <w:u w:val="single"/>
          <w14:textFill>
            <w14:solidFill>
              <w14:schemeClr w14:val="tx1"/>
            </w14:solidFill>
          </w14:textFill>
        </w:rPr>
        <w:t>机房乘客电梯）</w:t>
      </w:r>
      <w:r>
        <w:rPr>
          <w:rFonts w:ascii="仿宋" w:hAnsi="仿宋" w:eastAsia="仿宋" w:cs="仿宋"/>
          <w:color w:val="000000" w:themeColor="text1"/>
          <w:sz w:val="28"/>
          <w:highlight w:val="none"/>
          <w14:textFill>
            <w14:solidFill>
              <w14:schemeClr w14:val="tx1"/>
            </w14:solidFill>
          </w14:textFill>
        </w:rPr>
        <w:t>。多家投标人提供的核心产品品牌相同的，按前两款规定处理。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25.7 投标人在开、评标全过程中应保持通讯畅通，及时登录苏采云系统查阅、答复相关信息，并安排专人与采购中心及评标委员会联系。</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26.无效投标条款和废标条款</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26.1无效投标条款</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26.1.1投标人在苏采云系统规定的时间内未成功解密电子投标文件的。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26.1.2 投标人未按照招标文件要求上传电子投标文件的。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26.1.3 同一投标人提交两个（含两个）以上不同的投标报价的。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26.1.4 投标人不具备招标文件中规定资格要求的。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26.1.5 投标人的报价超过了采购预算或最高限价的。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26.1.6 未通过符合性审查的。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26.1.7 不符合招标文件中规定的实质性要求和条件的（实质性要求和条件是指本招标文件中用带星号（“★”）的商务和技术要求）。</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26.1.9 投标文件含有采购人不能接受的附加条件的。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26.1.10 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26.1.11 按照第34.4的要求本项目中具有“强制采购”产品，但未提供经国家确定的认证机构出具的、处于有效期之内该节能产品认证证书图片的；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26.1.12 投标文件未按照招标文件要求加盖CA电子公章的。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ascii="仿宋" w:hAnsi="仿宋" w:eastAsia="仿宋" w:cs="仿宋"/>
          <w:color w:val="000000" w:themeColor="text1"/>
          <w:sz w:val="28"/>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26.1.13 其他法律法规及本招标文件规定的属于无效投标的情形。</w:t>
      </w:r>
    </w:p>
    <w:p>
      <w:pPr>
        <w:pStyle w:val="38"/>
        <w:ind w:firstLine="560" w:firstLineChars="200"/>
        <w:rPr>
          <w:rFonts w:hint="default" w:ascii="仿宋" w:hAnsi="仿宋" w:eastAsia="仿宋" w:cs="仿宋"/>
          <w:color w:val="000000" w:themeColor="text1"/>
          <w:sz w:val="28"/>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8"/>
          <w:szCs w:val="24"/>
          <w:highlight w:val="none"/>
          <w:lang w:val="en-US" w:eastAsia="zh-CN" w:bidi="ar-SA"/>
          <w14:textFill>
            <w14:solidFill>
              <w14:schemeClr w14:val="tx1"/>
            </w14:solidFill>
          </w14:textFill>
        </w:rPr>
        <w:t>26.1.14所投产品技术参数未完全满足招标文件第五章“技术参数”中标注“★”技术参数要求。</w:t>
      </w:r>
    </w:p>
    <w:p>
      <w:pPr>
        <w:spacing w:line="360" w:lineRule="auto"/>
        <w:ind w:firstLine="482"/>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26.1.17</w:t>
      </w:r>
      <w:r>
        <w:rPr>
          <w:rFonts w:hint="eastAsia" w:ascii="仿宋" w:hAnsi="仿宋" w:eastAsia="仿宋" w:cs="仿宋"/>
          <w:b/>
          <w:bCs/>
          <w:color w:val="000000"/>
          <w:sz w:val="28"/>
          <w:szCs w:val="28"/>
          <w:highlight w:val="none"/>
        </w:rPr>
        <w:t>根据《江苏省财政厅关于推动解决政府采购异常低价问题相关工作的通知》(苏财购〔2025〕62号)规定：</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(一)评审过程中出现下列情形之一的，评审委员会应当启动异常低价投标(响应)审查程序：</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1.投标(响应)报价低于采购项目预算50%的，即投标(响应)报价&lt;采购项目预算×50%;</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2.投标(响应)报价低于采购项目最高限价45%的，即投标(响应)报价&lt;采购项目最高限价×45%;</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3.评审委员会认定的供应商报价过低、有可能影响产品质量或者不能诚信履约的其他情形。</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pPr>
      <w:r>
        <w:rPr>
          <w:rFonts w:hint="eastAsia" w:ascii="仿宋" w:hAnsi="仿宋" w:eastAsia="仿宋" w:cs="仿宋"/>
          <w:color w:val="000000" w:themeColor="text1"/>
          <w:sz w:val="28"/>
          <w:highlight w:val="none"/>
          <w14:textFill>
            <w14:solidFill>
              <w14:schemeClr w14:val="tx1"/>
            </w14:solidFill>
          </w14:textFill>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26.2 废标条款</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26.2.1 符合专业条件的投标人或者对招标文件作实质响应的投标人不足三家的。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26.2.2 出现影响采购公正的违法、违规行为的。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26.2.3 因重大变故，采购任务取消的。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26.2.4 评标委员会认定招标文件存在歧义、重大缺陷导致评审工作无法进行。</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26.2.5因苏采云系统故障原因造成开标不成功的。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26.3投标截止时间结束后参加投标的投标人不足三家的处理：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26.3.1 如出现投标截止时间结束后参加投标的投标人或者在评标期间对招标文件做出实质响应的投标人不足三家情况，按政府采购相关规定执行。</w:t>
      </w:r>
    </w:p>
    <w:p>
      <w:pPr>
        <w:pBdr>
          <w:top w:val="none" w:color="000000" w:sz="0" w:space="0"/>
          <w:left w:val="none" w:color="000000" w:sz="0" w:space="0"/>
          <w:bottom w:val="none" w:color="000000" w:sz="0" w:space="0"/>
          <w:right w:val="none" w:color="000000" w:sz="0" w:space="0"/>
        </w:pBdr>
        <w:spacing w:before="0" w:after="0" w:line="519" w:lineRule="atLeast"/>
        <w:ind w:left="0" w:firstLine="0"/>
        <w:jc w:val="both"/>
        <w:rPr>
          <w:color w:val="000000" w:themeColor="text1"/>
          <w:highlight w:val="none"/>
          <w14:textFill>
            <w14:solidFill>
              <w14:schemeClr w14:val="tx1"/>
            </w14:solidFill>
          </w14:textFill>
        </w:rPr>
      </w:pPr>
      <w:r>
        <w:rPr>
          <w:rFonts w:ascii="仿宋" w:hAnsi="仿宋" w:eastAsia="仿宋" w:cs="仿宋"/>
          <w:b/>
          <w:color w:val="000000" w:themeColor="text1"/>
          <w:sz w:val="32"/>
          <w:highlight w:val="none"/>
          <w14:textFill>
            <w14:solidFill>
              <w14:schemeClr w14:val="tx1"/>
            </w14:solidFill>
          </w14:textFill>
        </w:rPr>
        <w:t>六、定标</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27.确定中标单位</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eastAsia="仿宋"/>
          <w:color w:val="000000" w:themeColor="text1"/>
          <w:highlight w:val="none"/>
          <w:lang w:eastAsia="zh-CN"/>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27.1 中标候选人的选取原则和数量见招标文件第三章规定。</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27.2采购人应根据评委会推荐的中标候选人确定中标人。</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27.3采购中心将在“江苏省政府采购网”、“淮安市政府采购网”发布中标公告，公告期限为1个工作日。</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27.4 若有充分证据证明，中标人出现下列情况之一的，一经查实，将被取消中标资格：</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27.4.1 提供虚假材料谋取中标的。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27.4.2 向采购人、采购中心行贿或者提供其他不正当利益的。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27.4.3 属于本文件规定的无效条件，但在评标过程中又未被评委会发现的。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27.4.4 与采购人或者其他投标人恶意串通的。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27.4.5 采取不正当手段诋毁、排挤其他投标人的。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27.5.有下列情形之一的，视为投标人串通投标，投标无效：</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27.5.1不同投标人的投标文件由同一单位或者个人编制；</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27.5.2不同投标人委托同一单位或者个人办理投标事宜；</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27.5.3不同投标人的投标文件载明的项目管理成员或者联系人员为同一人；</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27.5.4不同投标人的投标文件异常一致或者投标报价呈规律性差异；</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28．质疑处理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28.1 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28.5条的要求提供质疑的均不予受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28.2 上述应知其权益受到损害之日是指:</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（1）对招标文件提出质疑的，为采购文件公告期限届满之日起计算；</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（2）对采购过程提出质疑的，为各采购程序环节结束之日起计算；</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（3）对中标结果提出质疑的，为中标结果公告期限届满之日起计算。</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28.3 质疑投标人是指直接参加本次投标活动的投标人，未参加投标活动的投标人或在投标活动中自身权益未受到损害的投标人所提出的质疑不予受理。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28.4 质疑投标人在法定质疑期内应当一次性针对同一采购环节提出质疑，若质疑投标人针对同一环节提出两次及两次以上质疑，仅受理第一次提出的质疑。</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28.5 质疑函应当包括以下主要内容，附上相关证明材料。否则，采购中心不予受理。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（1）质疑投标人的名称、地址、邮编、联系人及联系电话；</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（2）质疑项目的名称、编号；</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（3）具体、明确的质疑事项和与质疑事实相关的请求；</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（4）事实依据；</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（5）必要的法律依据；</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（6）提起质疑的日期；</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【质疑函必须署名，由法定代表人或者其授权代表签字，并加盖单位电子公章。授权代表签字的，还需提供法定代表人出具的办理质疑事项授权书（授权中必须载明具体权限、期限和事项）。】</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28.6 投标人（含潜在投标人）对采购方式、采购需求、投标人资格条件、评审方法与评审标准、合同文本的询问、质疑请向采购人提出，由采购人负责答复。投标人对其他事项的询问、质疑请向采购中心提出，由采购中心负责答复。</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28.7 采购中心（采购人）收到质疑函后，将对质疑的形式和内容进行审查，如质疑函内容、格式不符合规定，采购中心（采购人）将告知质疑人进行补正。质疑人应当在法定质疑期限内进行补正并重新提交质疑函，拒不补正或者超过法定期限后未重新提交质疑函的，为无效质疑，采购中心（采购人）有权不予受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对于内容、格式符合规定的质疑函，采购中心（采购人）将在七个工作日内以电子文件的形式作出答复，但质疑答复的内容不涉及商业秘密。如果质疑投标人还需要纸质形式回复函的，需主动与采购中心（采购人）联系索取，或者在质疑函中明确提出该要求。</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28.8 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29.中标通知书</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29.l 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29.2 中标通知书将是合同的一个组成部分。对采购人和中标人均具有法律效力。中标通知书发出后，采购人改变中标结果的，或者中标人放弃中标项目的，应当依法承担法律责任。</w:t>
      </w:r>
    </w:p>
    <w:p>
      <w:pPr>
        <w:pBdr>
          <w:top w:val="none" w:color="000000" w:sz="0" w:space="0"/>
          <w:left w:val="none" w:color="000000" w:sz="0" w:space="0"/>
          <w:bottom w:val="none" w:color="000000" w:sz="0" w:space="0"/>
          <w:right w:val="none" w:color="000000" w:sz="0" w:space="0"/>
        </w:pBdr>
        <w:spacing w:before="0" w:after="0" w:line="519" w:lineRule="atLeast"/>
        <w:ind w:left="0" w:firstLine="0"/>
        <w:jc w:val="both"/>
        <w:rPr>
          <w:color w:val="000000" w:themeColor="text1"/>
          <w:highlight w:val="none"/>
          <w14:textFill>
            <w14:solidFill>
              <w14:schemeClr w14:val="tx1"/>
            </w14:solidFill>
          </w14:textFill>
        </w:rPr>
      </w:pPr>
      <w:r>
        <w:rPr>
          <w:rFonts w:ascii="仿宋" w:hAnsi="仿宋" w:eastAsia="仿宋" w:cs="仿宋"/>
          <w:b/>
          <w:color w:val="000000" w:themeColor="text1"/>
          <w:sz w:val="32"/>
          <w:highlight w:val="none"/>
          <w14:textFill>
            <w14:solidFill>
              <w14:schemeClr w14:val="tx1"/>
            </w14:solidFill>
          </w14:textFill>
        </w:rPr>
        <w:t>七、授予合同</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30.签订合同</w:t>
      </w:r>
      <w:r>
        <w:rPr>
          <w:rFonts w:ascii="仿宋" w:hAnsi="仿宋" w:eastAsia="仿宋" w:cs="仿宋"/>
          <w:color w:val="000000" w:themeColor="text1"/>
          <w:sz w:val="28"/>
          <w:highlight w:val="none"/>
          <w14:textFill>
            <w14:solidFill>
              <w14:schemeClr w14:val="tx1"/>
            </w14:solidFill>
          </w14:textFill>
        </w:rPr>
        <w:tab/>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30.l 中标人应当在中标通知书发出之日起三十日内，按照招标文件确定的事项与采购人签订政府采购合同。</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30.2 招标文件、中标人的投标文件及招标过程中有关澄清、承诺文件均应作为合同附件。</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30.3签订合同后，中标人不得将合同标的进行转包。未经采购人同意，中标人也不得采用分包的形式履行合同，否则采购人有权终止合同。转包或分包造成采购人损失的，中标人应承担相应赔偿责任。</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31.货物（包含与货物相关的服务）的追加</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政府采购合同履行中，采购人需追加与合同标的相同的货物（包含与货物相关的服务）的，在不改变合同其他条款的前提下，可以与中标人协商签订补充合同，但所有补充合同的采购金额不超过原合同金额10%。</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32.履约保证金</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32.1</w:t>
      </w:r>
      <w:r>
        <w:rPr>
          <w:rFonts w:ascii="仿宋" w:hAnsi="仿宋" w:eastAsia="仿宋"/>
          <w:sz w:val="28"/>
          <w:szCs w:val="28"/>
        </w:rPr>
        <w:t>乙方交纳</w:t>
      </w:r>
      <w:r>
        <w:rPr>
          <w:rFonts w:hint="eastAsia" w:ascii="仿宋" w:hAnsi="仿宋" w:eastAsia="仿宋"/>
          <w:b/>
          <w:bCs/>
          <w:sz w:val="28"/>
          <w:szCs w:val="28"/>
          <w:u w:val="single"/>
        </w:rPr>
        <w:t>合同金额的1</w:t>
      </w:r>
      <w:r>
        <w:rPr>
          <w:rFonts w:hint="eastAsia" w:ascii="仿宋" w:hAnsi="仿宋" w:eastAsia="仿宋"/>
          <w:b/>
          <w:bCs/>
          <w:sz w:val="28"/>
          <w:szCs w:val="28"/>
          <w:u w:val="single"/>
          <w:lang w:val="en-US" w:eastAsia="zh-CN"/>
        </w:rPr>
        <w:t>0</w:t>
      </w:r>
      <w:r>
        <w:rPr>
          <w:rFonts w:hint="eastAsia" w:ascii="仿宋" w:hAnsi="仿宋" w:eastAsia="仿宋"/>
          <w:b/>
          <w:bCs/>
          <w:sz w:val="28"/>
          <w:szCs w:val="28"/>
          <w:u w:val="single"/>
        </w:rPr>
        <w:t>%</w:t>
      </w:r>
      <w:r>
        <w:rPr>
          <w:rFonts w:ascii="仿宋" w:hAnsi="仿宋" w:eastAsia="仿宋"/>
          <w:sz w:val="28"/>
          <w:szCs w:val="28"/>
        </w:rPr>
        <w:t>作为本合同的履约保证金。</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32.2乙方提供的履约保证金可以是人民币形式（银行本票、汇票、支票、电汇），或银行保函、担保公司的保证担保或保险公司的保证保险等多种形式。</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32.3乙方选取银行保函、担保公司的保证担保或保险公司的保证保险等形式的向采购人缴纳的，如保函（担保、保险等）的约定期到期但乙方履约仍未结束的，乙方须进行续保。</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32.5如乙方未能履行合同规定的义务，甲方有权从履约保证金中取得补偿。</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ascii="仿宋" w:hAnsi="仿宋" w:eastAsia="仿宋" w:cs="仿宋"/>
          <w:color w:val="000000" w:themeColor="text1"/>
          <w:sz w:val="28"/>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32.6履约保证金在合同约定期间内不予退还或者应完全有效，约定期间届满之日起5个工作日内，甲方应将履约保证金退还乙方；逾期退还的，按中国人民银行同期贷款基准利率上浮20%后的利率支付超期资金占用费，但因乙方自身原因导致无法及时退还的除外。    </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32.7履约保证金在合同约定期间内不予退还或者应完全有效，履约保证金在项目验收合格后无息退还给乙方。</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b/>
          <w:color w:val="000000" w:themeColor="text1"/>
          <w:sz w:val="32"/>
          <w:highlight w:val="none"/>
          <w14:textFill>
            <w14:solidFill>
              <w14:schemeClr w14:val="tx1"/>
            </w14:solidFill>
          </w14:textFill>
        </w:rPr>
        <w:t>八、政府采购政策功能落实</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33.促进中小企业发展政策</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33.1 小微型企业价格扣除</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33.1.1 对于未专门面向中小企业或者未预留份额专门面向中小企业采购的采购项目，投标人提供的货物或者服务符合下列情形的，享受本办法规定的中小企业扶持政策给予小微企业报价20%的扣除，用扣除后的价格参与评审：</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（1）在货物采购项目中，货物由中小企业制造，即货物由中小企业生产且使用该中小企业商号或者注册商标；</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（2）在服务采购项目中，服务由中小企业承接，即提供服务的人员为中小企业依照《中华人民共和国劳动合同法》订立劳动合同的从业人员。</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33.1.2 在货物采购项目中，投标人提供的货物既有中小企业制造货物，也有大型企业制造货物的，不享受本办法规定的中小企业扶持政策。</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33.2 联合体及分包</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33.2.1 以联合体形式参加政府采购活动，联合体各方均为中小企业的，联合体视同中小企业。其中，联合体各方均为小微企业的，联合体视同小微企业。</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33.2.2享受扶持政策获得政府采购合同的，小微企业不得将合同分包给大中型企业，中型企业不得将合同分包给大型企业。</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33.2.3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33.2.4组成联合体或者接受分包的小微企业与联合体内其他企业、分包企业之间存在直接控股、管理关系的，不享受价格扣除优惠政策。价格扣除比例或者价格分加分比例对小型企业和微型企业同等对待，不作区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33.3小微型企业</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（1）投标人须按照招标文件的要求提供相应的《企业声明函》，详见招标文件第六章示范格式。</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（2）企业标准请参照《政府采购促进中小企业发展管理办法》（财库〔2020〕46号）文件规定自行填写。</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33.4残疾人福利单位</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（1）残疾人福利单位需按照招标文件的要求提供《残疾人福利性单位声明函》，详见招标文件第六章示范格式。</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（2）残疾人福利单位标准请参照《关于促进残疾人就业政府采购政策的通知》（财库〔2017〕141号）。</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33.5监狱和戒毒企业</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（1）监狱企业参加政府采购活动时，需提供由省级以上监狱管理局、戒毒管理局（含新疆生产建设兵团）出具的属于监狱企业的证明文件）（投标文件中上传加盖出具单位公章的电子件）。</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（2）监狱企业标准请参照《关于政府采购支持监狱企业发展有关问题的通知》（财库〔2014〕68号）。</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34.节能、环保政策</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34.1 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34.2 节能产品（本项目不涉及）</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本项目</w:t>
      </w:r>
      <w:r>
        <w:rPr>
          <w:rFonts w:ascii="仿宋" w:hAnsi="仿宋" w:eastAsia="仿宋" w:cs="仿宋"/>
          <w:color w:val="000000" w:themeColor="text1"/>
          <w:sz w:val="28"/>
          <w:highlight w:val="none"/>
          <w:u w:val="single"/>
          <w14:textFill>
            <w14:solidFill>
              <w14:schemeClr w14:val="tx1"/>
            </w14:solidFill>
          </w14:textFill>
        </w:rPr>
        <w:t> (采购产品)</w:t>
      </w:r>
      <w:r>
        <w:rPr>
          <w:rFonts w:ascii="仿宋" w:hAnsi="仿宋" w:eastAsia="仿宋" w:cs="仿宋"/>
          <w:color w:val="000000" w:themeColor="text1"/>
          <w:sz w:val="28"/>
          <w:highlight w:val="none"/>
          <w14:textFill>
            <w14:solidFill>
              <w14:schemeClr w14:val="tx1"/>
            </w14:solidFill>
          </w14:textFill>
        </w:rPr>
        <w:t>被列入“节能产品品目清单”的，实行</w:t>
      </w:r>
      <w:r>
        <w:rPr>
          <w:rFonts w:ascii="仿宋" w:hAnsi="仿宋" w:eastAsia="仿宋" w:cs="仿宋"/>
          <w:color w:val="000000" w:themeColor="text1"/>
          <w:sz w:val="28"/>
          <w:highlight w:val="none"/>
          <w:u w:val="single"/>
          <w14:textFill>
            <w14:solidFill>
              <w14:schemeClr w14:val="tx1"/>
            </w14:solidFill>
          </w14:textFill>
        </w:rPr>
        <w:t>（优先采购/强制采购）</w:t>
      </w:r>
      <w:r>
        <w:rPr>
          <w:rFonts w:ascii="仿宋" w:hAnsi="仿宋" w:eastAsia="仿宋" w:cs="仿宋"/>
          <w:color w:val="000000" w:themeColor="text1"/>
          <w:sz w:val="28"/>
          <w:highlight w:val="none"/>
          <w14:textFill>
            <w14:solidFill>
              <w14:schemeClr w14:val="tx1"/>
            </w14:solidFill>
          </w14:textFill>
        </w:rPr>
        <w:t>。</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34.3 环保产品（本项目不涉及）</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本项目中</w:t>
      </w:r>
      <w:r>
        <w:rPr>
          <w:rFonts w:ascii="仿宋" w:hAnsi="仿宋" w:eastAsia="仿宋" w:cs="仿宋"/>
          <w:color w:val="000000" w:themeColor="text1"/>
          <w:sz w:val="28"/>
          <w:highlight w:val="none"/>
          <w:u w:val="single"/>
          <w14:textFill>
            <w14:solidFill>
              <w14:schemeClr w14:val="tx1"/>
            </w14:solidFill>
          </w14:textFill>
        </w:rPr>
        <w:t> (采购产品)</w:t>
      </w:r>
      <w:r>
        <w:rPr>
          <w:rFonts w:ascii="仿宋" w:hAnsi="仿宋" w:eastAsia="仿宋" w:cs="仿宋"/>
          <w:color w:val="000000" w:themeColor="text1"/>
          <w:sz w:val="28"/>
          <w:highlight w:val="none"/>
          <w14:textFill>
            <w14:solidFill>
              <w14:schemeClr w14:val="tx1"/>
            </w14:solidFill>
          </w14:textFill>
        </w:rPr>
        <w:t>被列入“环境标志产品品目清单”的，实行优先采购。</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34.4 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34.5 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35．政府绿色采购</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ascii="仿宋" w:hAnsi="仿宋" w:eastAsia="仿宋" w:cs="仿宋"/>
          <w:color w:val="000000" w:themeColor="text1"/>
          <w:sz w:val="28"/>
          <w:szCs w:val="28"/>
          <w:highlight w:val="none"/>
          <w14:textFill>
            <w14:solidFill>
              <w14:schemeClr w14:val="tx1"/>
            </w14:solidFill>
          </w14:textFill>
          <w14:ligatures w14:val="none"/>
        </w:rPr>
      </w:pPr>
      <w:r>
        <w:rPr>
          <w:rFonts w:ascii="仿宋" w:hAnsi="仿宋" w:eastAsia="仿宋" w:cs="仿宋"/>
          <w:color w:val="000000" w:themeColor="text1"/>
          <w:sz w:val="28"/>
          <w:szCs w:val="28"/>
          <w:highlight w:val="none"/>
          <w14:textFill>
            <w14:solidFill>
              <w14:schemeClr w14:val="tx1"/>
            </w14:solidFill>
          </w14:textFill>
        </w:rPr>
        <w:t>根据《江苏省财政厅关于加强政府绿色采购有关事项的通知》（苏财购〔2023〕65号）的要求，落实政府绿色采购相关政策，具体如下：</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ascii="仿宋" w:hAnsi="仿宋" w:eastAsia="仿宋" w:cs="仿宋"/>
          <w:color w:val="000000" w:themeColor="text1"/>
          <w:sz w:val="28"/>
          <w:szCs w:val="28"/>
          <w:highlight w:val="none"/>
          <w14:textFill>
            <w14:solidFill>
              <w14:schemeClr w14:val="tx1"/>
            </w14:solidFill>
          </w14:textFill>
          <w14:ligatures w14:val="none"/>
        </w:rPr>
      </w:pPr>
      <w:r>
        <w:rPr>
          <w:rFonts w:ascii="仿宋" w:hAnsi="仿宋" w:eastAsia="仿宋" w:cs="仿宋"/>
          <w:color w:val="000000" w:themeColor="text1"/>
          <w:sz w:val="28"/>
          <w:szCs w:val="28"/>
          <w:highlight w:val="none"/>
          <w14:textFill>
            <w14:solidFill>
              <w14:schemeClr w14:val="tx1"/>
            </w14:solidFill>
          </w14:textFill>
        </w:rPr>
        <w:t>35.1 本项目为货物类采购项目的，所提供的产品需综合考虑节能环保、节水、循环再生、低碳、有机等因素；本项目为物业、合同能源管理等服务类采购项目的，应在服务中加强绿色低碳管理。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ascii="仿宋" w:hAnsi="仿宋" w:eastAsia="仿宋" w:cs="仿宋"/>
          <w:color w:val="000000" w:themeColor="text1"/>
          <w:sz w:val="28"/>
          <w:szCs w:val="28"/>
          <w:highlight w:val="none"/>
          <w14:textFill>
            <w14:solidFill>
              <w14:schemeClr w14:val="tx1"/>
            </w14:solidFill>
          </w14:textFill>
          <w14:ligatures w14:val="none"/>
        </w:rPr>
      </w:pPr>
      <w:r>
        <w:rPr>
          <w:rFonts w:ascii="仿宋" w:hAnsi="仿宋" w:eastAsia="仿宋" w:cs="仿宋"/>
          <w:color w:val="000000" w:themeColor="text1"/>
          <w:sz w:val="28"/>
          <w:szCs w:val="28"/>
          <w:highlight w:val="none"/>
          <w14:textFill>
            <w14:solidFill>
              <w14:schemeClr w14:val="tx1"/>
            </w14:solidFill>
          </w14:textFill>
        </w:rPr>
        <w:t>35.2 本项目中涉及商品的包装应按照“财办库〔2020〕123号《关于印发《商品包装政府采购需求标准（试行）》《快递包装政府采购需求标准（试行）》的通知》”执行,在供货、安装过程中能够做到低碳物流、环保节约、提高资源利用率；涉及设备运维参考《绿色数据中心政府采购需求标准（试行）》（财库〔2023〕7号文）执行。</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ascii="仿宋" w:hAnsi="仿宋" w:eastAsia="仿宋" w:cs="仿宋"/>
          <w:color w:val="000000" w:themeColor="text1"/>
          <w:sz w:val="28"/>
          <w:szCs w:val="28"/>
          <w:highlight w:val="none"/>
          <w14:textFill>
            <w14:solidFill>
              <w14:schemeClr w14:val="tx1"/>
            </w14:solidFill>
          </w14:textFill>
          <w14:ligatures w14:val="none"/>
        </w:rPr>
      </w:pPr>
      <w:r>
        <w:rPr>
          <w:rFonts w:ascii="仿宋" w:hAnsi="仿宋" w:eastAsia="仿宋" w:cs="仿宋"/>
          <w:color w:val="000000" w:themeColor="text1"/>
          <w:sz w:val="28"/>
          <w:szCs w:val="28"/>
          <w:highlight w:val="none"/>
          <w14:textFill>
            <w14:solidFill>
              <w14:schemeClr w14:val="tx1"/>
            </w14:solidFill>
          </w14:textFill>
        </w:rPr>
        <w:t>35.3 本项目中涉及涂料、胶黏剂、油墨、清洗剂等挥发性有机物产品的，要执行国家和江苏省VOCs含量限制标准，优先使用低挥发性原辅材料，使用低VOCs含量的涂料、胶黏剂等。</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ascii="仿宋" w:hAnsi="仿宋" w:eastAsia="仿宋" w:cs="仿宋"/>
          <w:color w:val="000000" w:themeColor="text1"/>
          <w:sz w:val="28"/>
          <w:szCs w:val="28"/>
          <w:highlight w:val="none"/>
          <w14:textFill>
            <w14:solidFill>
              <w14:schemeClr w14:val="tx1"/>
            </w14:solidFill>
          </w14:textFill>
          <w14:ligatures w14:val="none"/>
        </w:rPr>
      </w:pPr>
      <w:r>
        <w:rPr>
          <w:rFonts w:ascii="仿宋" w:hAnsi="仿宋" w:eastAsia="仿宋" w:cs="仿宋"/>
          <w:color w:val="000000" w:themeColor="text1"/>
          <w:sz w:val="28"/>
          <w:szCs w:val="28"/>
          <w:highlight w:val="none"/>
          <w14:textFill>
            <w14:solidFill>
              <w14:schemeClr w14:val="tx1"/>
            </w14:solidFill>
          </w14:textFill>
        </w:rPr>
        <w:t>36.履约资金扶持政策</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ascii="仿宋" w:hAnsi="仿宋" w:eastAsia="仿宋" w:cs="仿宋"/>
          <w:color w:val="000000" w:themeColor="text1"/>
          <w:sz w:val="28"/>
          <w:szCs w:val="28"/>
          <w:highlight w:val="none"/>
          <w14:textFill>
            <w14:solidFill>
              <w14:schemeClr w14:val="tx1"/>
            </w14:solidFill>
          </w14:textFill>
          <w14:ligatures w14:val="none"/>
        </w:rPr>
      </w:pPr>
      <w:r>
        <w:rPr>
          <w:rFonts w:ascii="仿宋" w:hAnsi="仿宋" w:eastAsia="仿宋" w:cs="仿宋"/>
          <w:color w:val="000000" w:themeColor="text1"/>
          <w:sz w:val="28"/>
          <w:szCs w:val="28"/>
          <w:highlight w:val="none"/>
          <w14:textFill>
            <w14:solidFill>
              <w14:schemeClr w14:val="tx1"/>
            </w14:solidFill>
          </w14:textFill>
        </w:rPr>
        <w:t>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ascii="仿宋" w:hAnsi="仿宋" w:eastAsia="仿宋" w:cs="仿宋"/>
          <w:color w:val="000000" w:themeColor="text1"/>
          <w:sz w:val="28"/>
          <w:szCs w:val="28"/>
          <w:highlight w:val="none"/>
          <w14:textFill>
            <w14:solidFill>
              <w14:schemeClr w14:val="tx1"/>
            </w14:solidFill>
          </w14:textFill>
          <w14:ligatures w14:val="none"/>
        </w:rPr>
      </w:pPr>
      <w:r>
        <w:rPr>
          <w:rFonts w:ascii="仿宋" w:hAnsi="仿宋" w:eastAsia="仿宋" w:cs="仿宋"/>
          <w:color w:val="000000" w:themeColor="text1"/>
          <w:sz w:val="28"/>
          <w:szCs w:val="28"/>
          <w:highlight w:val="none"/>
          <w14:textFill>
            <w14:solidFill>
              <w14:schemeClr w14:val="tx1"/>
            </w14:solidFill>
          </w14:textFill>
        </w:rPr>
        <w:t>36.2 有融资贷款需求的中标人，与采购人在苏采云【合同在线签订】模块中进行合同在线签订时，【账户信息完善】的“是否融资”一栏中需选择“是”，同时完善收款账号信息和合同补充协议（融资账号）。</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ascii="仿宋" w:hAnsi="仿宋" w:eastAsia="仿宋" w:cs="仿宋"/>
          <w:color w:val="000000" w:themeColor="text1"/>
          <w:sz w:val="28"/>
          <w:szCs w:val="28"/>
          <w:highlight w:val="none"/>
          <w14:textFill>
            <w14:solidFill>
              <w14:schemeClr w14:val="tx1"/>
            </w14:solidFill>
          </w14:textFill>
          <w14:ligatures w14:val="none"/>
        </w:rPr>
      </w:pPr>
      <w:r>
        <w:rPr>
          <w:rFonts w:ascii="仿宋" w:hAnsi="仿宋" w:eastAsia="仿宋" w:cs="仿宋"/>
          <w:color w:val="000000" w:themeColor="text1"/>
          <w:sz w:val="28"/>
          <w:szCs w:val="28"/>
          <w:highlight w:val="none"/>
          <w14:textFill>
            <w14:solidFill>
              <w14:schemeClr w14:val="tx1"/>
            </w14:solidFill>
          </w14:textFill>
        </w:rPr>
        <w:t>37.采购本国产品的支持政策</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ascii="仿宋" w:hAnsi="仿宋" w:eastAsia="仿宋" w:cs="仿宋"/>
          <w:color w:val="000000" w:themeColor="text1"/>
          <w:sz w:val="28"/>
          <w:szCs w:val="28"/>
          <w:highlight w:val="none"/>
          <w14:textFill>
            <w14:solidFill>
              <w14:schemeClr w14:val="tx1"/>
            </w14:solidFill>
          </w14:textFill>
          <w14:ligatures w14:val="none"/>
        </w:rPr>
      </w:pPr>
      <w:r>
        <w:rPr>
          <w:rFonts w:ascii="仿宋" w:hAnsi="仿宋" w:eastAsia="仿宋" w:cs="仿宋"/>
          <w:color w:val="000000" w:themeColor="text1"/>
          <w:sz w:val="28"/>
          <w:szCs w:val="28"/>
          <w:highlight w:val="none"/>
          <w14:textFill>
            <w14:solidFill>
              <w14:schemeClr w14:val="tx1"/>
            </w14:solidFill>
          </w14:textFill>
        </w:rPr>
        <w:t>37.1 本项目政府采购活动中既有本国产品又有非本国产品参与竞争的，依法对本国产品给予价格评审优惠，对本国产品的报价给予20%的价格扣除，用扣除后的价格参与评审。</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ascii="仿宋" w:hAnsi="仿宋" w:eastAsia="仿宋" w:cs="仿宋"/>
          <w:color w:val="000000" w:themeColor="text1"/>
          <w:sz w:val="28"/>
          <w:szCs w:val="28"/>
          <w:highlight w:val="none"/>
          <w14:textFill>
            <w14:solidFill>
              <w14:schemeClr w14:val="tx1"/>
            </w14:solidFill>
          </w14:textFill>
          <w14:ligatures w14:val="none"/>
        </w:rPr>
      </w:pPr>
      <w:r>
        <w:rPr>
          <w:rFonts w:ascii="仿宋" w:hAnsi="仿宋" w:eastAsia="仿宋" w:cs="仿宋"/>
          <w:color w:val="000000" w:themeColor="text1"/>
          <w:sz w:val="28"/>
          <w:szCs w:val="28"/>
          <w:highlight w:val="none"/>
          <w14:textFill>
            <w14:solidFill>
              <w14:schemeClr w14:val="tx1"/>
            </w14:solidFill>
          </w14:textFill>
        </w:rPr>
        <w:t>37.2 当采购</w:t>
      </w:r>
      <w:bookmarkStart w:id="3" w:name="_GoBack"/>
      <w:r>
        <w:rPr>
          <w:rFonts w:ascii="仿宋" w:hAnsi="仿宋" w:eastAsia="仿宋" w:cs="仿宋"/>
          <w:color w:val="000000" w:themeColor="text1"/>
          <w:sz w:val="28"/>
          <w:szCs w:val="28"/>
          <w:highlight w:val="none"/>
          <w14:textFill>
            <w14:solidFill>
              <w14:schemeClr w14:val="tx1"/>
            </w14:solidFill>
          </w14:textFill>
        </w:rPr>
        <w:t>项目或者采购包中含有多种产品，投标人为</w:t>
      </w:r>
      <w:bookmarkEnd w:id="3"/>
      <w:r>
        <w:rPr>
          <w:rFonts w:ascii="仿宋" w:hAnsi="仿宋" w:eastAsia="仿宋" w:cs="仿宋"/>
          <w:color w:val="000000" w:themeColor="text1"/>
          <w:sz w:val="28"/>
          <w:szCs w:val="28"/>
          <w:highlight w:val="none"/>
          <w14:textFill>
            <w14:solidFill>
              <w14:schemeClr w14:val="tx1"/>
            </w14:solidFill>
          </w14:textFill>
        </w:rPr>
        <w:t>该采购项目或者采购包提供的符合本国产品标准的产品成本之和占该投标人提供的全部产品成本之和的比例达到80%以上时（投标人需在“第六章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ascii="仿宋" w:hAnsi="仿宋" w:eastAsia="仿宋" w:cs="仿宋"/>
          <w:color w:val="000000" w:themeColor="text1"/>
          <w:sz w:val="28"/>
          <w:szCs w:val="28"/>
          <w:highlight w:val="none"/>
          <w14:textFill>
            <w14:solidFill>
              <w14:schemeClr w14:val="tx1"/>
            </w14:solidFill>
          </w14:textFill>
          <w14:ligatures w14:val="none"/>
        </w:rPr>
      </w:pPr>
      <w:r>
        <w:rPr>
          <w:rFonts w:ascii="仿宋" w:hAnsi="仿宋" w:eastAsia="仿宋" w:cs="仿宋"/>
          <w:color w:val="000000" w:themeColor="text1"/>
          <w:sz w:val="28"/>
          <w:szCs w:val="28"/>
          <w:highlight w:val="none"/>
          <w14:textFill>
            <w14:solidFill>
              <w14:schemeClr w14:val="tx1"/>
            </w14:solidFill>
          </w14:textFill>
        </w:rPr>
        <w:t>37.3 投标人需按照招标文件的要求提供《关于符合本国产品标准的声明函》（以下简称《声明函》，详见第六章“示范格式六”），如不提供将不享受本国产品价格评审优惠。</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ascii="仿宋" w:hAnsi="仿宋" w:eastAsia="仿宋" w:cs="仿宋"/>
          <w:color w:val="000000" w:themeColor="text1"/>
          <w:sz w:val="28"/>
          <w:szCs w:val="28"/>
          <w:highlight w:val="none"/>
          <w14:textFill>
            <w14:solidFill>
              <w14:schemeClr w14:val="tx1"/>
            </w14:solidFill>
          </w14:textFill>
          <w14:ligatures w14:val="none"/>
        </w:rPr>
      </w:pPr>
      <w:r>
        <w:rPr>
          <w:rFonts w:ascii="仿宋" w:hAnsi="仿宋" w:eastAsia="仿宋" w:cs="仿宋"/>
          <w:color w:val="000000" w:themeColor="text1"/>
          <w:sz w:val="28"/>
          <w:szCs w:val="28"/>
          <w:highlight w:val="none"/>
          <w14:textFill>
            <w14:solidFill>
              <w14:schemeClr w14:val="tx1"/>
            </w14:solidFill>
          </w14:textFill>
        </w:rPr>
        <w:t>37.4 投标人需在《声明函》中逐一、准确填写产品名称、厂名、生产厂址三项信息，三项信息中任意一项未填写的视为该项产品不符合本国产品标准，不享受本国产品价格评审优惠。</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ascii="仿宋" w:hAnsi="仿宋" w:eastAsia="仿宋" w:cs="仿宋"/>
          <w:color w:val="000000" w:themeColor="text1"/>
          <w:sz w:val="28"/>
          <w:szCs w:val="28"/>
          <w:highlight w:val="none"/>
          <w14:textFill>
            <w14:solidFill>
              <w14:schemeClr w14:val="tx1"/>
            </w14:solidFill>
          </w14:textFill>
          <w14:ligatures w14:val="none"/>
        </w:rPr>
      </w:pPr>
      <w:r>
        <w:rPr>
          <w:rFonts w:ascii="仿宋" w:hAnsi="仿宋" w:eastAsia="仿宋" w:cs="仿宋"/>
          <w:color w:val="000000" w:themeColor="text1"/>
          <w:sz w:val="28"/>
          <w:szCs w:val="28"/>
          <w:highlight w:val="none"/>
          <w14:textFill>
            <w14:solidFill>
              <w14:schemeClr w14:val="tx1"/>
            </w14:solidFill>
          </w14:textFill>
        </w:rPr>
        <w:t>37.5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ascii="仿宋" w:hAnsi="仿宋" w:eastAsia="仿宋" w:cs="仿宋"/>
          <w:color w:val="000000" w:themeColor="text1"/>
          <w:sz w:val="28"/>
          <w:szCs w:val="28"/>
          <w:highlight w:val="none"/>
          <w14:textFill>
            <w14:solidFill>
              <w14:schemeClr w14:val="tx1"/>
            </w14:solidFill>
          </w14:textFill>
          <w14:ligatures w14:val="none"/>
        </w:rPr>
      </w:pPr>
      <w:r>
        <w:rPr>
          <w:rFonts w:ascii="仿宋" w:hAnsi="仿宋" w:eastAsia="仿宋" w:cs="仿宋"/>
          <w:color w:val="000000" w:themeColor="text1"/>
          <w:sz w:val="28"/>
          <w:szCs w:val="28"/>
          <w:highlight w:val="none"/>
          <w14:textFill>
            <w14:solidFill>
              <w14:schemeClr w14:val="tx1"/>
            </w14:solidFill>
          </w14:textFill>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br w:type="page" w:clear="all"/>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color w:val="000000" w:themeColor="text1"/>
          <w:highlight w:val="none"/>
          <w14:textFill>
            <w14:solidFill>
              <w14:schemeClr w14:val="tx1"/>
            </w14:solidFill>
          </w14:textFill>
        </w:rPr>
      </w:pPr>
      <w:r>
        <w:rPr>
          <w:rFonts w:ascii="仿宋" w:hAnsi="仿宋" w:eastAsia="仿宋" w:cs="仿宋"/>
          <w:b/>
          <w:color w:val="000000" w:themeColor="text1"/>
          <w:sz w:val="36"/>
          <w:highlight w:val="none"/>
          <w14:textFill>
            <w14:solidFill>
              <w14:schemeClr w14:val="tx1"/>
            </w14:solidFill>
          </w14:textFill>
        </w:rPr>
        <w:t>第三章评标方法与评标标准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一、评委会根据招标文件中规定的评标标准对投标人进行综合评审，最终按综合评审得分由高到低的顺序推荐出3名中标候选人。</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三、评委会将依据下列评标标准进行评标，本评标标准的总分为100分。按评审后得分由高到低顺序排列。得分相同的，按投标报价由低到高顺序排列。得分且投标报价相同的并列,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四、具体标准:</w:t>
      </w:r>
    </w:p>
    <w:p>
      <w:pPr>
        <w:pBdr>
          <w:top w:val="none" w:color="000000" w:sz="0" w:space="0"/>
          <w:left w:val="none" w:color="000000" w:sz="0" w:space="0"/>
          <w:bottom w:val="none" w:color="000000" w:sz="0" w:space="0"/>
          <w:right w:val="none" w:color="000000" w:sz="0" w:space="0"/>
        </w:pBdr>
        <w:spacing w:before="0" w:after="0" w:line="519" w:lineRule="atLeast"/>
        <w:ind w:left="0" w:right="0" w:firstLine="495"/>
        <w:jc w:val="both"/>
        <w:rPr>
          <w:color w:val="000000" w:themeColor="text1"/>
          <w:highlight w:val="none"/>
          <w14:textFill>
            <w14:solidFill>
              <w14:schemeClr w14:val="tx1"/>
            </w14:solidFill>
          </w14:textFill>
        </w:rPr>
      </w:pPr>
      <w:r>
        <w:rPr>
          <w:rFonts w:hint="eastAsia" w:ascii="仿宋" w:hAnsi="仿宋" w:eastAsia="仿宋" w:cs="仿宋"/>
          <w:color w:val="000000" w:themeColor="text1"/>
          <w:sz w:val="28"/>
          <w:highlight w:val="none"/>
          <w:lang w:val="en-US" w:eastAsia="zh-CN"/>
          <w14:textFill>
            <w14:solidFill>
              <w14:schemeClr w14:val="tx1"/>
            </w14:solidFill>
          </w14:textFill>
        </w:rPr>
        <w:t>一</w:t>
      </w:r>
      <w:r>
        <w:rPr>
          <w:rFonts w:ascii="仿宋" w:hAnsi="仿宋" w:eastAsia="仿宋" w:cs="仿宋"/>
          <w:color w:val="000000" w:themeColor="text1"/>
          <w:sz w:val="28"/>
          <w:highlight w:val="none"/>
          <w14:textFill>
            <w14:solidFill>
              <w14:schemeClr w14:val="tx1"/>
            </w14:solidFill>
          </w14:textFill>
        </w:rPr>
        <w:t>、价格:</w:t>
      </w:r>
      <w:r>
        <w:rPr>
          <w:rFonts w:hint="eastAsia" w:ascii="仿宋" w:hAnsi="仿宋" w:eastAsia="仿宋" w:cs="仿宋"/>
          <w:color w:val="000000" w:themeColor="text1"/>
          <w:sz w:val="28"/>
          <w:highlight w:val="none"/>
          <w:lang w:val="en-US" w:eastAsia="zh-CN"/>
          <w14:textFill>
            <w14:solidFill>
              <w14:schemeClr w14:val="tx1"/>
            </w14:solidFill>
          </w14:textFill>
        </w:rPr>
        <w:t>35</w:t>
      </w:r>
      <w:r>
        <w:rPr>
          <w:rFonts w:ascii="仿宋" w:hAnsi="仿宋" w:eastAsia="仿宋" w:cs="仿宋"/>
          <w:color w:val="000000" w:themeColor="text1"/>
          <w:sz w:val="28"/>
          <w:highlight w:val="none"/>
          <w14:textFill>
            <w14:solidFill>
              <w14:schemeClr w14:val="tx1"/>
            </w14:solidFill>
          </w14:textFill>
        </w:rPr>
        <w:t>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采用低价优先法计算，即满足招标文件要求且投标价格最低的投标报价为评标基准价，其价格分为满分。其他投标人的价格分统一按照下列公式计算（小数点保留两位）:</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投标报价得分＝（评标基准价/投标报价）×</w:t>
      </w:r>
      <w:r>
        <w:rPr>
          <w:rFonts w:hint="eastAsia" w:ascii="仿宋" w:hAnsi="仿宋" w:eastAsia="仿宋" w:cs="仿宋"/>
          <w:color w:val="000000" w:themeColor="text1"/>
          <w:sz w:val="28"/>
          <w:highlight w:val="none"/>
          <w:lang w:val="en-US" w:eastAsia="zh-CN"/>
          <w14:textFill>
            <w14:solidFill>
              <w14:schemeClr w14:val="tx1"/>
            </w14:solidFill>
          </w14:textFill>
        </w:rPr>
        <w:t>35</w:t>
      </w:r>
      <w:r>
        <w:rPr>
          <w:rFonts w:ascii="仿宋" w:hAnsi="仿宋" w:eastAsia="仿宋" w:cs="仿宋"/>
          <w:color w:val="000000" w:themeColor="text1"/>
          <w:sz w:val="28"/>
          <w:highlight w:val="none"/>
          <w14:textFill>
            <w14:solidFill>
              <w14:schemeClr w14:val="tx1"/>
            </w14:solidFill>
          </w14:textFill>
        </w:rPr>
        <w:t>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lang w:val="en-US" w:eastAsia="zh-CN"/>
          <w14:textFill>
            <w14:solidFill>
              <w14:schemeClr w14:val="tx1"/>
            </w14:solidFill>
          </w14:textFill>
        </w:rPr>
        <w:t>二</w:t>
      </w:r>
      <w:r>
        <w:rPr>
          <w:rFonts w:ascii="仿宋" w:hAnsi="仿宋" w:eastAsia="仿宋" w:cs="仿宋"/>
          <w:color w:val="000000" w:themeColor="text1"/>
          <w:sz w:val="28"/>
          <w:highlight w:val="none"/>
          <w14:textFill>
            <w14:solidFill>
              <w14:schemeClr w14:val="tx1"/>
            </w14:solidFill>
          </w14:textFill>
        </w:rPr>
        <w:t>、</w:t>
      </w:r>
      <w:r>
        <w:rPr>
          <w:rFonts w:hint="eastAsia" w:ascii="仿宋" w:hAnsi="仿宋" w:eastAsia="仿宋" w:cs="仿宋"/>
          <w:color w:val="000000" w:themeColor="text1"/>
          <w:sz w:val="28"/>
          <w:highlight w:val="none"/>
          <w14:textFill>
            <w14:solidFill>
              <w14:schemeClr w14:val="tx1"/>
            </w14:solidFill>
          </w14:textFill>
        </w:rPr>
        <w:t>技术部分:</w:t>
      </w:r>
      <w:r>
        <w:rPr>
          <w:rFonts w:hint="eastAsia" w:ascii="仿宋" w:hAnsi="仿宋" w:eastAsia="仿宋" w:cs="仿宋"/>
          <w:color w:val="000000" w:themeColor="text1"/>
          <w:sz w:val="28"/>
          <w:highlight w:val="none"/>
          <w:lang w:val="en-US" w:eastAsia="zh-CN"/>
          <w14:textFill>
            <w14:solidFill>
              <w14:schemeClr w14:val="tx1"/>
            </w14:solidFill>
          </w14:textFill>
        </w:rPr>
        <w:t>25</w:t>
      </w:r>
      <w:r>
        <w:rPr>
          <w:rFonts w:hint="eastAsia" w:ascii="仿宋" w:hAnsi="仿宋" w:eastAsia="仿宋" w:cs="仿宋"/>
          <w:color w:val="000000" w:themeColor="text1"/>
          <w:sz w:val="28"/>
          <w:highlight w:val="none"/>
          <w14:textFill>
            <w14:solidFill>
              <w14:schemeClr w14:val="tx1"/>
            </w14:solidFill>
          </w14:textFill>
        </w:rPr>
        <w:t>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（1）产品技术参数（</w:t>
      </w:r>
      <w:r>
        <w:rPr>
          <w:rFonts w:hint="eastAsia" w:ascii="仿宋" w:hAnsi="仿宋" w:eastAsia="仿宋" w:cs="仿宋"/>
          <w:color w:val="000000" w:themeColor="text1"/>
          <w:sz w:val="28"/>
          <w:highlight w:val="none"/>
          <w:lang w:val="en-US" w:eastAsia="zh-CN"/>
          <w14:textFill>
            <w14:solidFill>
              <w14:schemeClr w14:val="tx1"/>
            </w14:solidFill>
          </w14:textFill>
        </w:rPr>
        <w:t>10</w:t>
      </w:r>
      <w:r>
        <w:rPr>
          <w:rFonts w:hint="eastAsia" w:ascii="仿宋" w:hAnsi="仿宋" w:eastAsia="仿宋" w:cs="仿宋"/>
          <w:color w:val="000000" w:themeColor="text1"/>
          <w:sz w:val="28"/>
          <w:highlight w:val="none"/>
          <w14:textFill>
            <w14:solidFill>
              <w14:schemeClr w14:val="tx1"/>
            </w14:solidFill>
          </w14:textFill>
        </w:rPr>
        <w:t>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投标人所投产品技术参数完全满足招标文件第五章中标注“★”技术参数要求的得</w:t>
      </w:r>
      <w:r>
        <w:rPr>
          <w:rFonts w:hint="eastAsia" w:ascii="仿宋" w:hAnsi="仿宋" w:eastAsia="仿宋" w:cs="仿宋"/>
          <w:color w:val="000000" w:themeColor="text1"/>
          <w:sz w:val="28"/>
          <w:highlight w:val="none"/>
          <w:lang w:val="en-US" w:eastAsia="zh-CN"/>
          <w14:textFill>
            <w14:solidFill>
              <w14:schemeClr w14:val="tx1"/>
            </w14:solidFill>
          </w14:textFill>
        </w:rPr>
        <w:t>10</w:t>
      </w:r>
      <w:r>
        <w:rPr>
          <w:rFonts w:hint="eastAsia" w:ascii="仿宋" w:hAnsi="仿宋" w:eastAsia="仿宋" w:cs="仿宋"/>
          <w:color w:val="000000" w:themeColor="text1"/>
          <w:sz w:val="28"/>
          <w:highlight w:val="none"/>
          <w14:textFill>
            <w14:solidFill>
              <w14:schemeClr w14:val="tx1"/>
            </w14:solidFill>
          </w14:textFill>
        </w:rPr>
        <w:t>分，未完全满足作无效投标处理。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投标人所投产品技术参数与招标文件第五章中未标注“★”技术参数要求相比较，以</w:t>
      </w:r>
      <w:r>
        <w:rPr>
          <w:rFonts w:hint="eastAsia" w:ascii="仿宋" w:hAnsi="仿宋" w:eastAsia="仿宋" w:cs="仿宋"/>
          <w:color w:val="000000" w:themeColor="text1"/>
          <w:sz w:val="28"/>
          <w:highlight w:val="none"/>
          <w:lang w:val="en-US" w:eastAsia="zh-CN"/>
          <w14:textFill>
            <w14:solidFill>
              <w14:schemeClr w14:val="tx1"/>
            </w14:solidFill>
          </w14:textFill>
        </w:rPr>
        <w:t>10</w:t>
      </w:r>
      <w:r>
        <w:rPr>
          <w:rFonts w:hint="eastAsia" w:ascii="仿宋" w:hAnsi="仿宋" w:eastAsia="仿宋" w:cs="仿宋"/>
          <w:color w:val="000000" w:themeColor="text1"/>
          <w:sz w:val="28"/>
          <w:highlight w:val="none"/>
          <w14:textFill>
            <w14:solidFill>
              <w14:schemeClr w14:val="tx1"/>
            </w14:solidFill>
          </w14:textFill>
        </w:rPr>
        <w:t>分为基数，每有一项负偏离扣</w:t>
      </w:r>
      <w:r>
        <w:rPr>
          <w:rFonts w:hint="eastAsia" w:ascii="仿宋" w:hAnsi="仿宋" w:eastAsia="仿宋" w:cs="仿宋"/>
          <w:color w:val="000000" w:themeColor="text1"/>
          <w:sz w:val="28"/>
          <w:highlight w:val="none"/>
          <w:lang w:val="en-US" w:eastAsia="zh-CN"/>
          <w14:textFill>
            <w14:solidFill>
              <w14:schemeClr w14:val="tx1"/>
            </w14:solidFill>
          </w14:textFill>
        </w:rPr>
        <w:t>0.2</w:t>
      </w:r>
      <w:r>
        <w:rPr>
          <w:rFonts w:hint="eastAsia" w:ascii="仿宋" w:hAnsi="仿宋" w:eastAsia="仿宋" w:cs="仿宋"/>
          <w:color w:val="000000" w:themeColor="text1"/>
          <w:sz w:val="28"/>
          <w:highlight w:val="none"/>
          <w14:textFill>
            <w14:solidFill>
              <w14:schemeClr w14:val="tx1"/>
            </w14:solidFill>
          </w14:textFill>
        </w:rPr>
        <w:t>分，扣完为止。</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2）投标人所投电梯产品的主要部件，包括曳引机、控制柜、门机（门系统）、限速器、安全钳、缓冲器，均为所投电梯品牌原厂生产的，得6分，其中有1项不满足扣1分，扣完为止。（提供承诺书，格式自拟，同时提供所投部件的型式试验报告扫描件，加盖投标单位电子签章）</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1、</w:t>
      </w:r>
      <w:r>
        <w:rPr>
          <w:rFonts w:ascii="仿宋" w:hAnsi="仿宋" w:eastAsia="仿宋" w:cs="仿宋"/>
          <w:color w:val="000000" w:themeColor="text1"/>
          <w:sz w:val="28"/>
          <w:highlight w:val="none"/>
          <w14:textFill>
            <w14:solidFill>
              <w14:schemeClr w14:val="tx1"/>
            </w14:solidFill>
          </w14:textFill>
        </w:rPr>
        <w:t>电梯制动器（</w:t>
      </w:r>
      <w:r>
        <w:rPr>
          <w:rFonts w:hint="eastAsia" w:ascii="仿宋" w:hAnsi="仿宋" w:eastAsia="仿宋" w:cs="仿宋"/>
          <w:color w:val="000000" w:themeColor="text1"/>
          <w:sz w:val="28"/>
          <w:highlight w:val="none"/>
          <w:lang w:val="en-US" w:eastAsia="zh-CN"/>
          <w14:textFill>
            <w14:solidFill>
              <w14:schemeClr w14:val="tx1"/>
            </w14:solidFill>
          </w14:textFill>
        </w:rPr>
        <w:t>3</w:t>
      </w:r>
      <w:r>
        <w:rPr>
          <w:rFonts w:ascii="仿宋" w:hAnsi="仿宋" w:eastAsia="仿宋" w:cs="仿宋"/>
          <w:color w:val="000000" w:themeColor="text1"/>
          <w:sz w:val="28"/>
          <w:highlight w:val="none"/>
          <w14:textFill>
            <w14:solidFill>
              <w14:schemeClr w14:val="tx1"/>
            </w14:solidFill>
          </w14:textFill>
        </w:rPr>
        <w:t>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000000" w:themeColor="text1"/>
          <w:sz w:val="28"/>
          <w:highlight w:val="none"/>
          <w:lang w:val="en-US" w:eastAsia="zh-CN"/>
          <w14:textFill>
            <w14:solidFill>
              <w14:schemeClr w14:val="tx1"/>
            </w14:solidFill>
          </w14:textFill>
        </w:rPr>
      </w:pPr>
      <w:r>
        <w:rPr>
          <w:rFonts w:hint="eastAsia" w:ascii="仿宋" w:hAnsi="仿宋" w:eastAsia="仿宋" w:cs="仿宋"/>
          <w:color w:val="000000" w:themeColor="text1"/>
          <w:sz w:val="28"/>
          <w:highlight w:val="none"/>
          <w:lang w:val="en-US" w:eastAsia="zh-CN"/>
          <w14:textFill>
            <w14:solidFill>
              <w14:schemeClr w14:val="tx1"/>
            </w14:solidFill>
          </w14:textFill>
        </w:rPr>
        <w:t>电梯制动器的动作寿命≥2000万次，得3分；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000000" w:themeColor="text1"/>
          <w:sz w:val="28"/>
          <w:highlight w:val="none"/>
          <w:lang w:val="en-US" w:eastAsia="zh-CN"/>
          <w14:textFill>
            <w14:solidFill>
              <w14:schemeClr w14:val="tx1"/>
            </w14:solidFill>
          </w14:textFill>
        </w:rPr>
      </w:pPr>
      <w:r>
        <w:rPr>
          <w:rFonts w:hint="eastAsia" w:ascii="仿宋" w:hAnsi="仿宋" w:eastAsia="仿宋" w:cs="仿宋"/>
          <w:color w:val="000000" w:themeColor="text1"/>
          <w:sz w:val="28"/>
          <w:highlight w:val="none"/>
          <w:lang w:val="en-US" w:eastAsia="zh-CN"/>
          <w14:textFill>
            <w14:solidFill>
              <w14:schemeClr w14:val="tx1"/>
            </w14:solidFill>
          </w14:textFill>
        </w:rPr>
        <w:t>1000万次≤电梯制动器的动作寿命＜2000万次，得2分；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000000" w:themeColor="text1"/>
          <w:sz w:val="28"/>
          <w:highlight w:val="none"/>
          <w:lang w:val="en-US" w:eastAsia="zh-CN"/>
          <w14:textFill>
            <w14:solidFill>
              <w14:schemeClr w14:val="tx1"/>
            </w14:solidFill>
          </w14:textFill>
        </w:rPr>
      </w:pPr>
      <w:r>
        <w:rPr>
          <w:rFonts w:hint="eastAsia" w:ascii="仿宋" w:hAnsi="仿宋" w:eastAsia="仿宋" w:cs="仿宋"/>
          <w:color w:val="000000" w:themeColor="text1"/>
          <w:sz w:val="28"/>
          <w:highlight w:val="none"/>
          <w:lang w:val="en-US" w:eastAsia="zh-CN"/>
          <w14:textFill>
            <w14:solidFill>
              <w14:schemeClr w14:val="tx1"/>
            </w14:solidFill>
          </w14:textFill>
        </w:rPr>
        <w:t>500万次≤电梯制动器的动作寿命＜1000万次，得1分；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000000" w:themeColor="text1"/>
          <w:sz w:val="28"/>
          <w:highlight w:val="none"/>
          <w:lang w:val="en-US" w:eastAsia="zh-CN"/>
          <w14:textFill>
            <w14:solidFill>
              <w14:schemeClr w14:val="tx1"/>
            </w14:solidFill>
          </w14:textFill>
        </w:rPr>
      </w:pPr>
      <w:r>
        <w:rPr>
          <w:rFonts w:hint="eastAsia" w:ascii="仿宋" w:hAnsi="仿宋" w:eastAsia="仿宋" w:cs="仿宋"/>
          <w:color w:val="000000" w:themeColor="text1"/>
          <w:sz w:val="28"/>
          <w:highlight w:val="none"/>
          <w:lang w:val="en-US" w:eastAsia="zh-CN"/>
          <w14:textFill>
            <w14:solidFill>
              <w14:schemeClr w14:val="tx1"/>
            </w14:solidFill>
          </w14:textFill>
        </w:rPr>
        <w:t>其余不得分。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000000" w:themeColor="text1"/>
          <w:sz w:val="28"/>
          <w:highlight w:val="none"/>
          <w:lang w:val="en-US" w:eastAsia="zh-CN"/>
          <w14:textFill>
            <w14:solidFill>
              <w14:schemeClr w14:val="tx1"/>
            </w14:solidFill>
          </w14:textFill>
        </w:rPr>
      </w:pPr>
      <w:r>
        <w:rPr>
          <w:rFonts w:hint="eastAsia" w:ascii="仿宋" w:hAnsi="仿宋" w:eastAsia="仿宋" w:cs="仿宋"/>
          <w:color w:val="000000" w:themeColor="text1"/>
          <w:sz w:val="28"/>
          <w:highlight w:val="none"/>
          <w:lang w:val="en-US" w:eastAsia="zh-CN"/>
          <w14:textFill>
            <w14:solidFill>
              <w14:schemeClr w14:val="tx1"/>
            </w14:solidFill>
          </w14:textFill>
        </w:rPr>
        <w:t>（提供省级特种设备检测研究院或国家电梯质量监督检验中心出具的检验报告原件扫描件上传至投标文件，未提供或提供不符合要求的均不得分）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lang w:val="en-US" w:eastAsia="zh-CN"/>
          <w14:textFill>
            <w14:solidFill>
              <w14:schemeClr w14:val="tx1"/>
            </w14:solidFill>
          </w14:textFill>
        </w:rPr>
        <w:t>2</w:t>
      </w:r>
      <w:r>
        <w:rPr>
          <w:rFonts w:hint="eastAsia" w:ascii="仿宋" w:hAnsi="仿宋" w:eastAsia="仿宋" w:cs="仿宋"/>
          <w:color w:val="000000" w:themeColor="text1"/>
          <w:sz w:val="28"/>
          <w:highlight w:val="none"/>
          <w14:textFill>
            <w14:solidFill>
              <w14:schemeClr w14:val="tx1"/>
            </w14:solidFill>
          </w14:textFill>
        </w:rPr>
        <w:t>、</w:t>
      </w:r>
      <w:r>
        <w:rPr>
          <w:rFonts w:hint="eastAsia" w:ascii="仿宋" w:hAnsi="仿宋" w:eastAsia="仿宋" w:cs="仿宋"/>
          <w:color w:val="000000" w:themeColor="text1"/>
          <w:sz w:val="28"/>
          <w:highlight w:val="none"/>
          <w:lang w:val="en-US" w:eastAsia="zh-CN"/>
          <w14:textFill>
            <w14:solidFill>
              <w14:schemeClr w14:val="tx1"/>
            </w14:solidFill>
          </w14:textFill>
        </w:rPr>
        <w:t>电梯轿厢</w:t>
      </w:r>
      <w:r>
        <w:rPr>
          <w:rFonts w:hint="eastAsia" w:ascii="仿宋" w:hAnsi="仿宋" w:eastAsia="仿宋" w:cs="仿宋"/>
          <w:color w:val="000000" w:themeColor="text1"/>
          <w:sz w:val="28"/>
          <w:highlight w:val="none"/>
          <w14:textFill>
            <w14:solidFill>
              <w14:schemeClr w14:val="tx1"/>
            </w14:solidFill>
          </w14:textFill>
        </w:rPr>
        <w:t>载荷</w:t>
      </w:r>
      <w:r>
        <w:rPr>
          <w:rFonts w:hint="eastAsia" w:ascii="仿宋" w:hAnsi="仿宋" w:eastAsia="仿宋" w:cs="仿宋"/>
          <w:color w:val="000000" w:themeColor="text1"/>
          <w:sz w:val="28"/>
          <w:highlight w:val="none"/>
          <w:lang w:val="en-US" w:eastAsia="zh-CN"/>
          <w14:textFill>
            <w14:solidFill>
              <w14:schemeClr w14:val="tx1"/>
            </w14:solidFill>
          </w14:textFill>
        </w:rPr>
        <w:t>试验</w:t>
      </w:r>
      <w:r>
        <w:rPr>
          <w:rFonts w:ascii="仿宋" w:hAnsi="仿宋" w:eastAsia="仿宋" w:cs="仿宋"/>
          <w:color w:val="000000" w:themeColor="text1"/>
          <w:sz w:val="28"/>
          <w:highlight w:val="none"/>
          <w14:textFill>
            <w14:solidFill>
              <w14:schemeClr w14:val="tx1"/>
            </w14:solidFill>
          </w14:textFill>
        </w:rPr>
        <w:t>（</w:t>
      </w:r>
      <w:r>
        <w:rPr>
          <w:rFonts w:hint="eastAsia" w:ascii="仿宋" w:hAnsi="仿宋" w:eastAsia="仿宋" w:cs="仿宋"/>
          <w:color w:val="000000" w:themeColor="text1"/>
          <w:sz w:val="28"/>
          <w:highlight w:val="none"/>
          <w:lang w:val="en-US" w:eastAsia="zh-CN"/>
          <w14:textFill>
            <w14:solidFill>
              <w14:schemeClr w14:val="tx1"/>
            </w14:solidFill>
          </w14:textFill>
        </w:rPr>
        <w:t>3</w:t>
      </w:r>
      <w:r>
        <w:rPr>
          <w:rFonts w:ascii="仿宋" w:hAnsi="仿宋" w:eastAsia="仿宋" w:cs="仿宋"/>
          <w:color w:val="000000" w:themeColor="text1"/>
          <w:sz w:val="28"/>
          <w:highlight w:val="none"/>
          <w14:textFill>
            <w14:solidFill>
              <w14:schemeClr w14:val="tx1"/>
            </w14:solidFill>
          </w14:textFill>
        </w:rPr>
        <w:t>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投标产品在轿厢内加载以下百分比的额定载荷并保持120min或以上后，应符合以下情况:1)各部件完好并保持良好的静态制动性能;2)曳引轮不转动。</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轿厢内加载至300%或以上额定载荷，能符合以上试验条件的，得</w:t>
      </w:r>
      <w:r>
        <w:rPr>
          <w:rFonts w:hint="eastAsia" w:ascii="仿宋" w:hAnsi="仿宋" w:eastAsia="仿宋" w:cs="仿宋"/>
          <w:color w:val="000000" w:themeColor="text1"/>
          <w:sz w:val="28"/>
          <w:highlight w:val="none"/>
          <w:lang w:val="en-US" w:eastAsia="zh-CN"/>
          <w14:textFill>
            <w14:solidFill>
              <w14:schemeClr w14:val="tx1"/>
            </w14:solidFill>
          </w14:textFill>
        </w:rPr>
        <w:t>3</w:t>
      </w:r>
      <w:r>
        <w:rPr>
          <w:rFonts w:hint="eastAsia" w:ascii="仿宋" w:hAnsi="仿宋" w:eastAsia="仿宋" w:cs="仿宋"/>
          <w:color w:val="000000" w:themeColor="text1"/>
          <w:sz w:val="28"/>
          <w:highlight w:val="none"/>
          <w14:textFill>
            <w14:solidFill>
              <w14:schemeClr w14:val="tx1"/>
            </w14:solidFill>
          </w14:textFill>
        </w:rPr>
        <w:t>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轿厢内加载至250%以上但不足300%的额定载荷能符合以上试验条件的，得</w:t>
      </w:r>
      <w:r>
        <w:rPr>
          <w:rFonts w:hint="eastAsia" w:ascii="仿宋" w:hAnsi="仿宋" w:eastAsia="仿宋" w:cs="仿宋"/>
          <w:color w:val="000000" w:themeColor="text1"/>
          <w:sz w:val="28"/>
          <w:highlight w:val="none"/>
          <w:lang w:val="en-US" w:eastAsia="zh-CN"/>
          <w14:textFill>
            <w14:solidFill>
              <w14:schemeClr w14:val="tx1"/>
            </w14:solidFill>
          </w14:textFill>
        </w:rPr>
        <w:t>2</w:t>
      </w:r>
      <w:r>
        <w:rPr>
          <w:rFonts w:hint="eastAsia" w:ascii="仿宋" w:hAnsi="仿宋" w:eastAsia="仿宋" w:cs="仿宋"/>
          <w:color w:val="000000" w:themeColor="text1"/>
          <w:sz w:val="28"/>
          <w:highlight w:val="none"/>
          <w14:textFill>
            <w14:solidFill>
              <w14:schemeClr w14:val="tx1"/>
            </w14:solidFill>
          </w14:textFill>
        </w:rPr>
        <w:t>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轿厢内加载至190%以上但不足250%的额定载荷能符合以上试验条件的，得1分；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其余不得分。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（提供省级特种设备检测研究院或国家电梯质量监督检验中心出具的检验报告原件扫描件上传至投标文件，未提供或提供不符合要求的均不得分）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lang w:val="en-US" w:eastAsia="zh-CN"/>
          <w14:textFill>
            <w14:solidFill>
              <w14:schemeClr w14:val="tx1"/>
            </w14:solidFill>
          </w14:textFill>
        </w:rPr>
        <w:t>3</w:t>
      </w:r>
      <w:r>
        <w:rPr>
          <w:rFonts w:hint="eastAsia" w:ascii="仿宋" w:hAnsi="仿宋" w:eastAsia="仿宋" w:cs="仿宋"/>
          <w:color w:val="000000" w:themeColor="text1"/>
          <w:sz w:val="28"/>
          <w:highlight w:val="none"/>
          <w14:textFill>
            <w14:solidFill>
              <w14:schemeClr w14:val="tx1"/>
            </w14:solidFill>
          </w14:textFill>
        </w:rPr>
        <w:t>、轿架强度</w:t>
      </w:r>
      <w:r>
        <w:rPr>
          <w:rFonts w:ascii="仿宋" w:hAnsi="仿宋" w:eastAsia="仿宋" w:cs="仿宋"/>
          <w:color w:val="000000" w:themeColor="text1"/>
          <w:sz w:val="28"/>
          <w:highlight w:val="none"/>
          <w14:textFill>
            <w14:solidFill>
              <w14:schemeClr w14:val="tx1"/>
            </w14:solidFill>
          </w14:textFill>
        </w:rPr>
        <w:t>（</w:t>
      </w:r>
      <w:r>
        <w:rPr>
          <w:rFonts w:hint="eastAsia" w:ascii="仿宋" w:hAnsi="仿宋" w:eastAsia="仿宋" w:cs="仿宋"/>
          <w:color w:val="000000" w:themeColor="text1"/>
          <w:sz w:val="28"/>
          <w:highlight w:val="none"/>
          <w:lang w:val="en-US" w:eastAsia="zh-CN"/>
          <w14:textFill>
            <w14:solidFill>
              <w14:schemeClr w14:val="tx1"/>
            </w14:solidFill>
          </w14:textFill>
        </w:rPr>
        <w:t>3</w:t>
      </w:r>
      <w:r>
        <w:rPr>
          <w:rFonts w:ascii="仿宋" w:hAnsi="仿宋" w:eastAsia="仿宋" w:cs="仿宋"/>
          <w:color w:val="000000" w:themeColor="text1"/>
          <w:sz w:val="28"/>
          <w:highlight w:val="none"/>
          <w14:textFill>
            <w14:solidFill>
              <w14:schemeClr w14:val="tx1"/>
            </w14:solidFill>
          </w14:textFill>
        </w:rPr>
        <w:t>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000000" w:themeColor="text1"/>
          <w:sz w:val="28"/>
          <w:highlight w:val="none"/>
          <w:lang w:val="en-US" w:eastAsia="zh-CN"/>
          <w14:textFill>
            <w14:solidFill>
              <w14:schemeClr w14:val="tx1"/>
            </w14:solidFill>
          </w14:textFill>
        </w:rPr>
      </w:pPr>
      <w:r>
        <w:rPr>
          <w:rFonts w:hint="eastAsia" w:ascii="仿宋" w:hAnsi="仿宋" w:eastAsia="仿宋" w:cs="仿宋"/>
          <w:color w:val="000000" w:themeColor="text1"/>
          <w:sz w:val="28"/>
          <w:highlight w:val="none"/>
          <w:lang w:val="en-US" w:eastAsia="zh-CN"/>
          <w14:textFill>
            <w14:solidFill>
              <w14:schemeClr w14:val="tx1"/>
            </w14:solidFill>
          </w14:textFill>
        </w:rPr>
        <w:t>按国标GB/T7588.1-2020要求，在电梯轿厢内加载125%的额定载重，电梯运行到额定速度时，制停轿厢后。</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000000" w:themeColor="text1"/>
          <w:sz w:val="28"/>
          <w:highlight w:val="none"/>
          <w:lang w:val="en-US" w:eastAsia="zh-CN"/>
          <w14:textFill>
            <w14:solidFill>
              <w14:schemeClr w14:val="tx1"/>
            </w14:solidFill>
          </w14:textFill>
        </w:rPr>
      </w:pPr>
      <w:r>
        <w:rPr>
          <w:rFonts w:hint="eastAsia" w:ascii="仿宋" w:hAnsi="仿宋" w:eastAsia="仿宋" w:cs="仿宋"/>
          <w:color w:val="000000" w:themeColor="text1"/>
          <w:sz w:val="28"/>
          <w:highlight w:val="none"/>
          <w:lang w:val="en-US" w:eastAsia="zh-CN"/>
          <w14:textFill>
            <w14:solidFill>
              <w14:schemeClr w14:val="tx1"/>
            </w14:solidFill>
          </w14:textFill>
        </w:rPr>
        <w:t>轿厢地面以及轿底梁变形量≤0.1mm，得3分；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000000" w:themeColor="text1"/>
          <w:sz w:val="28"/>
          <w:highlight w:val="none"/>
          <w:lang w:val="en-US" w:eastAsia="zh-CN"/>
          <w14:textFill>
            <w14:solidFill>
              <w14:schemeClr w14:val="tx1"/>
            </w14:solidFill>
          </w14:textFill>
        </w:rPr>
      </w:pPr>
      <w:r>
        <w:rPr>
          <w:rFonts w:hint="eastAsia" w:ascii="仿宋" w:hAnsi="仿宋" w:eastAsia="仿宋" w:cs="仿宋"/>
          <w:color w:val="000000" w:themeColor="text1"/>
          <w:sz w:val="28"/>
          <w:highlight w:val="none"/>
          <w:lang w:val="en-US" w:eastAsia="zh-CN"/>
          <w14:textFill>
            <w14:solidFill>
              <w14:schemeClr w14:val="tx1"/>
            </w14:solidFill>
          </w14:textFill>
        </w:rPr>
        <w:t>0.1mm＜轿厢地面以及轿底梁变形量≤0.3mm，得2分；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000000" w:themeColor="text1"/>
          <w:sz w:val="28"/>
          <w:highlight w:val="none"/>
          <w:lang w:val="en-US" w:eastAsia="zh-CN"/>
          <w14:textFill>
            <w14:solidFill>
              <w14:schemeClr w14:val="tx1"/>
            </w14:solidFill>
          </w14:textFill>
        </w:rPr>
      </w:pPr>
      <w:r>
        <w:rPr>
          <w:rFonts w:hint="eastAsia" w:ascii="仿宋" w:hAnsi="仿宋" w:eastAsia="仿宋" w:cs="仿宋"/>
          <w:color w:val="000000" w:themeColor="text1"/>
          <w:sz w:val="28"/>
          <w:highlight w:val="none"/>
          <w:lang w:val="en-US" w:eastAsia="zh-CN"/>
          <w14:textFill>
            <w14:solidFill>
              <w14:schemeClr w14:val="tx1"/>
            </w14:solidFill>
          </w14:textFill>
        </w:rPr>
        <w:t>0.3mm＜轿厢地面以及轿底梁变形量≤0.5mm，得1分；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000000" w:themeColor="text1"/>
          <w:sz w:val="28"/>
          <w:highlight w:val="none"/>
          <w:lang w:val="en-US" w:eastAsia="zh-CN"/>
          <w14:textFill>
            <w14:solidFill>
              <w14:schemeClr w14:val="tx1"/>
            </w14:solidFill>
          </w14:textFill>
        </w:rPr>
      </w:pPr>
      <w:r>
        <w:rPr>
          <w:rFonts w:hint="eastAsia" w:ascii="仿宋" w:hAnsi="仿宋" w:eastAsia="仿宋" w:cs="仿宋"/>
          <w:color w:val="000000" w:themeColor="text1"/>
          <w:sz w:val="28"/>
          <w:highlight w:val="none"/>
          <w:lang w:val="en-US" w:eastAsia="zh-CN"/>
          <w14:textFill>
            <w14:solidFill>
              <w14:schemeClr w14:val="tx1"/>
            </w14:solidFill>
          </w14:textFill>
        </w:rPr>
        <w:t>其余不得分。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000000" w:themeColor="text1"/>
          <w:sz w:val="28"/>
          <w:highlight w:val="none"/>
          <w:lang w:val="en-US" w:eastAsia="zh-CN"/>
          <w14:textFill>
            <w14:solidFill>
              <w14:schemeClr w14:val="tx1"/>
            </w14:solidFill>
          </w14:textFill>
        </w:rPr>
      </w:pPr>
      <w:r>
        <w:rPr>
          <w:rFonts w:hint="eastAsia" w:ascii="仿宋" w:hAnsi="仿宋" w:eastAsia="仿宋" w:cs="仿宋"/>
          <w:color w:val="000000" w:themeColor="text1"/>
          <w:sz w:val="28"/>
          <w:highlight w:val="none"/>
          <w:lang w:val="en-US" w:eastAsia="zh-CN"/>
          <w14:textFill>
            <w14:solidFill>
              <w14:schemeClr w14:val="tx1"/>
            </w14:solidFill>
          </w14:textFill>
        </w:rPr>
        <w:t>（提供省级特种设备检测研究院或国家电梯质量监督检验中心出具的检验报告原件扫描件上传至投标文件，未提供或提供不符合要求的均不得分）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hint="eastAsia" w:ascii="仿宋" w:hAnsi="仿宋" w:eastAsia="仿宋" w:cs="仿宋"/>
          <w:color w:val="000000" w:themeColor="text1"/>
          <w:sz w:val="28"/>
          <w:highlight w:val="none"/>
          <w:lang w:val="en-US" w:eastAsia="zh-CN"/>
          <w14:textFill>
            <w14:solidFill>
              <w14:schemeClr w14:val="tx1"/>
            </w14:solidFill>
          </w14:textFill>
        </w:rPr>
        <w:t>三</w:t>
      </w:r>
      <w:r>
        <w:rPr>
          <w:rFonts w:ascii="仿宋" w:hAnsi="仿宋" w:eastAsia="仿宋" w:cs="仿宋"/>
          <w:color w:val="000000" w:themeColor="text1"/>
          <w:sz w:val="28"/>
          <w:highlight w:val="none"/>
          <w14:textFill>
            <w14:solidFill>
              <w14:schemeClr w14:val="tx1"/>
            </w14:solidFill>
          </w14:textFill>
        </w:rPr>
        <w:t>、方案部分:24分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（1）电梯施工方案：（</w:t>
      </w:r>
      <w:r>
        <w:rPr>
          <w:rFonts w:hint="eastAsia" w:ascii="仿宋" w:hAnsi="仿宋" w:eastAsia="仿宋" w:cs="仿宋"/>
          <w:color w:val="000000" w:themeColor="text1"/>
          <w:sz w:val="28"/>
          <w:highlight w:val="none"/>
          <w:lang w:val="en-US" w:eastAsia="zh-CN"/>
          <w14:textFill>
            <w14:solidFill>
              <w14:schemeClr w14:val="tx1"/>
            </w14:solidFill>
          </w14:textFill>
        </w:rPr>
        <w:t>6</w:t>
      </w:r>
      <w:r>
        <w:rPr>
          <w:rFonts w:ascii="仿宋" w:hAnsi="仿宋" w:eastAsia="仿宋" w:cs="仿宋"/>
          <w:color w:val="000000" w:themeColor="text1"/>
          <w:sz w:val="28"/>
          <w:highlight w:val="none"/>
          <w14:textFill>
            <w14:solidFill>
              <w14:schemeClr w14:val="tx1"/>
            </w14:solidFill>
          </w14:textFill>
        </w:rPr>
        <w:t>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投标人针对本项目提供完整、合理、科学的施工方案，方案内容至少包括：①施工组织计划②旧电梯拆除方案③新电梯安装方案④施工安全、施工质量⑤施工环境管理⑥施工进度计划。</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pPr>
      <w:r>
        <w:rPr>
          <w:rFonts w:hint="eastAsia" w:ascii="仿宋" w:hAnsi="仿宋" w:eastAsia="仿宋" w:cs="仿宋"/>
          <w:color w:val="000000" w:themeColor="text1"/>
          <w:sz w:val="28"/>
          <w:highlight w:val="none"/>
          <w14:textFill>
            <w14:solidFill>
              <w14:schemeClr w14:val="tx1"/>
            </w14:solidFill>
          </w14:textFill>
        </w:rPr>
        <w:t>方案内容详细完善的得6分；方案内容较详细完善的得4分；方案内容一般的得2分；未提供不得分。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（2）应急方案：（</w:t>
      </w:r>
      <w:r>
        <w:rPr>
          <w:rFonts w:hint="eastAsia" w:ascii="仿宋" w:hAnsi="仿宋" w:eastAsia="仿宋" w:cs="仿宋"/>
          <w:color w:val="000000" w:themeColor="text1"/>
          <w:sz w:val="28"/>
          <w:highlight w:val="none"/>
          <w:lang w:val="en-US" w:eastAsia="zh-CN"/>
          <w14:textFill>
            <w14:solidFill>
              <w14:schemeClr w14:val="tx1"/>
            </w14:solidFill>
          </w14:textFill>
        </w:rPr>
        <w:t>6</w:t>
      </w:r>
      <w:r>
        <w:rPr>
          <w:rFonts w:ascii="仿宋" w:hAnsi="仿宋" w:eastAsia="仿宋" w:cs="仿宋"/>
          <w:color w:val="000000" w:themeColor="text1"/>
          <w:sz w:val="28"/>
          <w:highlight w:val="none"/>
          <w14:textFill>
            <w14:solidFill>
              <w14:schemeClr w14:val="tx1"/>
            </w14:solidFill>
          </w14:textFill>
        </w:rPr>
        <w:t>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投标人针对本项目提供完整、合理的应急预案，预案内容至少包含以下模块：①沟通平台建设②应急预案流程③安全保障措施④应急响应措施⑤对争议结果的解决方案。</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pPr>
      <w:r>
        <w:rPr>
          <w:rFonts w:hint="eastAsia" w:ascii="仿宋" w:hAnsi="仿宋" w:eastAsia="仿宋" w:cs="仿宋"/>
          <w:color w:val="000000" w:themeColor="text1"/>
          <w:sz w:val="28"/>
          <w:highlight w:val="none"/>
          <w14:textFill>
            <w14:solidFill>
              <w14:schemeClr w14:val="tx1"/>
            </w14:solidFill>
          </w14:textFill>
        </w:rPr>
        <w:t>方案内容详细完善的得6分；方案内容较详细完善的得4分；方案内容一般的得2分；未提供不得分。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（3）售后服务方案：（</w:t>
      </w:r>
      <w:r>
        <w:rPr>
          <w:rFonts w:hint="eastAsia" w:ascii="仿宋" w:hAnsi="仿宋" w:eastAsia="仿宋" w:cs="仿宋"/>
          <w:color w:val="000000" w:themeColor="text1"/>
          <w:sz w:val="28"/>
          <w:highlight w:val="none"/>
          <w:lang w:val="en-US" w:eastAsia="zh-CN"/>
          <w14:textFill>
            <w14:solidFill>
              <w14:schemeClr w14:val="tx1"/>
            </w14:solidFill>
          </w14:textFill>
        </w:rPr>
        <w:t>6</w:t>
      </w:r>
      <w:r>
        <w:rPr>
          <w:rFonts w:ascii="仿宋" w:hAnsi="仿宋" w:eastAsia="仿宋" w:cs="仿宋"/>
          <w:color w:val="000000" w:themeColor="text1"/>
          <w:sz w:val="28"/>
          <w:highlight w:val="none"/>
          <w14:textFill>
            <w14:solidFill>
              <w14:schemeClr w14:val="tx1"/>
            </w14:solidFill>
          </w14:textFill>
        </w:rPr>
        <w:t>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投标人针对本项目提供完整、合理的售后服务方案，售后服务方案内容至少包含以下模块：①售后服务机构地点及人员配置；②售后服务响应时间及方式；③质保内容；④对使用方人员的培训计划。</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方案内容详细完善的得6分；方案内容较详细完善的得4分；方案内容一般的得2分；未提供不得分。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000000" w:themeColor="text1"/>
          <w:sz w:val="28"/>
          <w:highlight w:val="none"/>
          <w:lang w:eastAsia="zh-CN"/>
          <w14:textFill>
            <w14:solidFill>
              <w14:schemeClr w14:val="tx1"/>
            </w14:solidFill>
          </w14:textFill>
        </w:rPr>
      </w:pPr>
      <w:r>
        <w:rPr>
          <w:rFonts w:hint="eastAsia" w:ascii="仿宋" w:hAnsi="仿宋" w:eastAsia="仿宋" w:cs="仿宋"/>
          <w:color w:val="000000" w:themeColor="text1"/>
          <w:sz w:val="28"/>
          <w:highlight w:val="none"/>
          <w:lang w:eastAsia="zh-CN"/>
          <w14:textFill>
            <w14:solidFill>
              <w14:schemeClr w14:val="tx1"/>
            </w14:solidFill>
          </w14:textFill>
        </w:rPr>
        <w:t>（</w:t>
      </w:r>
      <w:r>
        <w:rPr>
          <w:rFonts w:hint="eastAsia" w:ascii="仿宋" w:hAnsi="仿宋" w:eastAsia="仿宋" w:cs="仿宋"/>
          <w:color w:val="000000" w:themeColor="text1"/>
          <w:sz w:val="28"/>
          <w:highlight w:val="none"/>
          <w:lang w:val="en-US" w:eastAsia="zh-CN"/>
          <w14:textFill>
            <w14:solidFill>
              <w14:schemeClr w14:val="tx1"/>
            </w14:solidFill>
          </w14:textFill>
        </w:rPr>
        <w:t>4</w:t>
      </w:r>
      <w:r>
        <w:rPr>
          <w:rFonts w:hint="eastAsia" w:ascii="仿宋" w:hAnsi="仿宋" w:eastAsia="仿宋" w:cs="仿宋"/>
          <w:color w:val="000000" w:themeColor="text1"/>
          <w:sz w:val="28"/>
          <w:highlight w:val="none"/>
          <w:lang w:eastAsia="zh-CN"/>
          <w14:textFill>
            <w14:solidFill>
              <w14:schemeClr w14:val="tx1"/>
            </w14:solidFill>
          </w14:textFill>
        </w:rPr>
        <w:t>）旧电梯拆除方案（6分）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评委根据投标人提供的旧电梯拆除方案进行评审，包含：现场秩序维护，拆除进度方案，突发情况处置。以上每项内容逐条阐述。</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pPr>
      <w:r>
        <w:rPr>
          <w:rFonts w:hint="eastAsia" w:ascii="仿宋" w:hAnsi="仿宋" w:eastAsia="仿宋" w:cs="仿宋"/>
          <w:color w:val="000000" w:themeColor="text1"/>
          <w:sz w:val="28"/>
          <w:highlight w:val="none"/>
          <w14:textFill>
            <w14:solidFill>
              <w14:schemeClr w14:val="tx1"/>
            </w14:solidFill>
          </w14:textFill>
        </w:rPr>
        <w:t>方案内容详细完善的得6分；方案内容较详细完善的得4分；方案内容一般的得2分；未提供不得分。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4、商务部分:</w:t>
      </w:r>
      <w:r>
        <w:rPr>
          <w:rFonts w:hint="eastAsia" w:ascii="仿宋" w:hAnsi="仿宋" w:eastAsia="仿宋" w:cs="仿宋"/>
          <w:color w:val="000000" w:themeColor="text1"/>
          <w:sz w:val="28"/>
          <w:highlight w:val="none"/>
          <w:lang w:val="en-US" w:eastAsia="zh-CN"/>
          <w14:textFill>
            <w14:solidFill>
              <w14:schemeClr w14:val="tx1"/>
            </w14:solidFill>
          </w14:textFill>
        </w:rPr>
        <w:t>12</w:t>
      </w:r>
      <w:r>
        <w:rPr>
          <w:rFonts w:ascii="仿宋" w:hAnsi="仿宋" w:eastAsia="仿宋" w:cs="仿宋"/>
          <w:color w:val="000000" w:themeColor="text1"/>
          <w:sz w:val="28"/>
          <w:highlight w:val="none"/>
          <w14:textFill>
            <w14:solidFill>
              <w14:schemeClr w14:val="tx1"/>
            </w14:solidFill>
          </w14:textFill>
        </w:rPr>
        <w:t>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w:t>
      </w:r>
      <w:r>
        <w:rPr>
          <w:rFonts w:hint="eastAsia" w:ascii="仿宋" w:hAnsi="仿宋" w:eastAsia="仿宋" w:cs="仿宋"/>
          <w:color w:val="000000" w:themeColor="text1"/>
          <w:sz w:val="28"/>
          <w:highlight w:val="none"/>
          <w:lang w:val="en-US" w:eastAsia="zh-CN"/>
          <w14:textFill>
            <w14:solidFill>
              <w14:schemeClr w14:val="tx1"/>
            </w14:solidFill>
          </w14:textFill>
        </w:rPr>
        <w:t>1</w:t>
      </w:r>
      <w:r>
        <w:rPr>
          <w:rFonts w:ascii="仿宋" w:hAnsi="仿宋" w:eastAsia="仿宋" w:cs="仿宋"/>
          <w:color w:val="000000" w:themeColor="text1"/>
          <w:sz w:val="28"/>
          <w:highlight w:val="none"/>
          <w14:textFill>
            <w14:solidFill>
              <w14:schemeClr w14:val="tx1"/>
            </w14:solidFill>
          </w14:textFill>
        </w:rPr>
        <w:t>）</w:t>
      </w:r>
      <w:r>
        <w:rPr>
          <w:rFonts w:hint="eastAsia" w:ascii="仿宋" w:hAnsi="仿宋" w:eastAsia="仿宋" w:cs="仿宋"/>
          <w:color w:val="000000" w:themeColor="text1"/>
          <w:sz w:val="28"/>
          <w:highlight w:val="none"/>
          <w14:textFill>
            <w14:solidFill>
              <w14:schemeClr w14:val="tx1"/>
            </w14:solidFill>
          </w14:textFill>
        </w:rPr>
        <w:t>投标人或所投电梯品牌制造商自2023年</w:t>
      </w:r>
      <w:r>
        <w:rPr>
          <w:rFonts w:hint="eastAsia" w:ascii="仿宋" w:hAnsi="仿宋" w:eastAsia="仿宋" w:cs="仿宋"/>
          <w:color w:val="000000" w:themeColor="text1"/>
          <w:sz w:val="28"/>
          <w:highlight w:val="none"/>
          <w:lang w:val="en-US" w:eastAsia="zh-CN"/>
          <w14:textFill>
            <w14:solidFill>
              <w14:schemeClr w14:val="tx1"/>
            </w14:solidFill>
          </w14:textFill>
        </w:rPr>
        <w:t>7</w:t>
      </w:r>
      <w:r>
        <w:rPr>
          <w:rFonts w:hint="eastAsia" w:ascii="仿宋" w:hAnsi="仿宋" w:eastAsia="仿宋" w:cs="仿宋"/>
          <w:color w:val="000000" w:themeColor="text1"/>
          <w:sz w:val="28"/>
          <w:highlight w:val="none"/>
          <w14:textFill>
            <w14:solidFill>
              <w14:schemeClr w14:val="tx1"/>
            </w14:solidFill>
          </w14:textFill>
        </w:rPr>
        <w:t>月1日以来，承担过与所投电梯品牌一致的类似加装或拆装（旧梯拆除后重新安装）电梯成功案例的，每有一例得</w:t>
      </w:r>
      <w:r>
        <w:rPr>
          <w:rFonts w:hint="eastAsia" w:ascii="仿宋" w:hAnsi="仿宋" w:eastAsia="仿宋" w:cs="仿宋"/>
          <w:color w:val="000000" w:themeColor="text1"/>
          <w:sz w:val="28"/>
          <w:highlight w:val="none"/>
          <w:lang w:val="en-US" w:eastAsia="zh-CN"/>
          <w14:textFill>
            <w14:solidFill>
              <w14:schemeClr w14:val="tx1"/>
            </w14:solidFill>
          </w14:textFill>
        </w:rPr>
        <w:t>2</w:t>
      </w:r>
      <w:r>
        <w:rPr>
          <w:rFonts w:hint="eastAsia" w:ascii="仿宋" w:hAnsi="仿宋" w:eastAsia="仿宋" w:cs="仿宋"/>
          <w:color w:val="000000" w:themeColor="text1"/>
          <w:sz w:val="28"/>
          <w:highlight w:val="none"/>
          <w14:textFill>
            <w14:solidFill>
              <w14:schemeClr w14:val="tx1"/>
            </w14:solidFill>
          </w14:textFill>
        </w:rPr>
        <w:t>分，本项最多得</w:t>
      </w:r>
      <w:r>
        <w:rPr>
          <w:rFonts w:hint="eastAsia" w:ascii="仿宋" w:hAnsi="仿宋" w:eastAsia="仿宋" w:cs="仿宋"/>
          <w:color w:val="000000" w:themeColor="text1"/>
          <w:sz w:val="28"/>
          <w:highlight w:val="none"/>
          <w:lang w:val="en-US" w:eastAsia="zh-CN"/>
          <w14:textFill>
            <w14:solidFill>
              <w14:schemeClr w14:val="tx1"/>
            </w14:solidFill>
          </w14:textFill>
        </w:rPr>
        <w:t>8</w:t>
      </w:r>
      <w:r>
        <w:rPr>
          <w:rFonts w:hint="eastAsia" w:ascii="仿宋" w:hAnsi="仿宋" w:eastAsia="仿宋" w:cs="仿宋"/>
          <w:color w:val="000000" w:themeColor="text1"/>
          <w:sz w:val="28"/>
          <w:highlight w:val="none"/>
          <w14:textFill>
            <w14:solidFill>
              <w14:schemeClr w14:val="tx1"/>
            </w14:solidFill>
          </w14:textFill>
        </w:rPr>
        <w:t>分。（提供采购合同及竣工验收证明材料原件扫描件，时间和电梯品牌需在合同里体现，时间以</w:t>
      </w:r>
      <w:r>
        <w:rPr>
          <w:rFonts w:hint="eastAsia" w:ascii="仿宋" w:hAnsi="仿宋" w:eastAsia="仿宋" w:cs="仿宋"/>
          <w:color w:val="000000" w:themeColor="text1"/>
          <w:sz w:val="28"/>
          <w:highlight w:val="none"/>
          <w:lang w:val="en-US" w:eastAsia="zh-CN"/>
          <w14:textFill>
            <w14:solidFill>
              <w14:schemeClr w14:val="tx1"/>
            </w14:solidFill>
          </w14:textFill>
        </w:rPr>
        <w:t>竣工验收证明</w:t>
      </w:r>
      <w:r>
        <w:rPr>
          <w:rFonts w:hint="eastAsia" w:ascii="仿宋" w:hAnsi="仿宋" w:eastAsia="仿宋" w:cs="仿宋"/>
          <w:color w:val="000000" w:themeColor="text1"/>
          <w:sz w:val="28"/>
          <w:highlight w:val="none"/>
          <w14:textFill>
            <w14:solidFill>
              <w14:schemeClr w14:val="tx1"/>
            </w14:solidFill>
          </w14:textFill>
        </w:rPr>
        <w:t>为准，合同及竣工验收证明材料原件扫描件加盖投标人电子签章，否则不予计分）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ascii="仿宋" w:hAnsi="仿宋" w:eastAsia="仿宋" w:cs="仿宋"/>
          <w:color w:val="000000" w:themeColor="text1"/>
          <w:sz w:val="28"/>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w:t>
      </w:r>
      <w:r>
        <w:rPr>
          <w:rFonts w:hint="eastAsia" w:ascii="仿宋" w:hAnsi="仿宋" w:eastAsia="仿宋" w:cs="仿宋"/>
          <w:color w:val="000000" w:themeColor="text1"/>
          <w:sz w:val="28"/>
          <w:highlight w:val="none"/>
          <w:lang w:val="en-US" w:eastAsia="zh-CN"/>
          <w14:textFill>
            <w14:solidFill>
              <w14:schemeClr w14:val="tx1"/>
            </w14:solidFill>
          </w14:textFill>
        </w:rPr>
        <w:t>2</w:t>
      </w:r>
      <w:r>
        <w:rPr>
          <w:rFonts w:ascii="仿宋" w:hAnsi="仿宋" w:eastAsia="仿宋" w:cs="仿宋"/>
          <w:color w:val="000000" w:themeColor="text1"/>
          <w:sz w:val="28"/>
          <w:highlight w:val="none"/>
          <w14:textFill>
            <w14:solidFill>
              <w14:schemeClr w14:val="tx1"/>
            </w14:solidFill>
          </w14:textFill>
        </w:rPr>
        <w:t>）投标人或所投电梯制造商拥有中国合格评定国家认可委员会CNAS实验室认可证书的得</w:t>
      </w:r>
      <w:r>
        <w:rPr>
          <w:rFonts w:hint="eastAsia" w:ascii="仿宋" w:hAnsi="仿宋" w:eastAsia="仿宋" w:cs="仿宋"/>
          <w:color w:val="000000" w:themeColor="text1"/>
          <w:sz w:val="28"/>
          <w:highlight w:val="none"/>
          <w:lang w:val="en-US" w:eastAsia="zh-CN"/>
          <w14:textFill>
            <w14:solidFill>
              <w14:schemeClr w14:val="tx1"/>
            </w14:solidFill>
          </w14:textFill>
        </w:rPr>
        <w:t>2</w:t>
      </w:r>
      <w:r>
        <w:rPr>
          <w:rFonts w:ascii="仿宋" w:hAnsi="仿宋" w:eastAsia="仿宋" w:cs="仿宋"/>
          <w:color w:val="000000" w:themeColor="text1"/>
          <w:sz w:val="28"/>
          <w:highlight w:val="none"/>
          <w14:textFill>
            <w14:solidFill>
              <w14:schemeClr w14:val="tx1"/>
            </w14:solidFill>
          </w14:textFill>
        </w:rPr>
        <w:t>分，没有不得分。（提供证书扫描件加盖投标人电子签章，未提供不得分。证书标注的制造商名称与本次所投电梯制造商营业执照上名称必须一致）</w:t>
      </w:r>
    </w:p>
    <w:p>
      <w:pPr>
        <w:pStyle w:val="15"/>
        <w:ind w:firstLine="560" w:firstLineChars="200"/>
        <w:rPr>
          <w:rFonts w:hint="default" w:ascii="仿宋" w:hAnsi="仿宋" w:eastAsia="仿宋" w:cs="Times New Roman"/>
          <w:sz w:val="28"/>
          <w:szCs w:val="28"/>
          <w:lang w:val="en-US" w:eastAsia="zh-CN"/>
        </w:rPr>
      </w:pPr>
      <w:r>
        <w:rPr>
          <w:rFonts w:hint="eastAsia" w:ascii="仿宋" w:hAnsi="仿宋" w:eastAsia="仿宋" w:cs="Times New Roman"/>
          <w:sz w:val="28"/>
          <w:szCs w:val="28"/>
          <w:lang w:val="en-US" w:eastAsia="zh-CN"/>
        </w:rPr>
        <w:t>（3）电梯制造商获得国家政府部门颁发的绿色工厂、工业产品绿色设计示范企业、绿色供应链的得2分（提供国家工信部证书原件扫描件）</w:t>
      </w:r>
    </w:p>
    <w:p>
      <w:pPr>
        <w:pStyle w:val="15"/>
        <w:rPr>
          <w:rFonts w:hint="eastAsia" w:ascii="仿宋" w:hAnsi="仿宋" w:eastAsia="仿宋" w:cs="Times New Roman"/>
          <w:sz w:val="28"/>
          <w:szCs w:val="28"/>
        </w:rPr>
      </w:pPr>
      <w:r>
        <w:rPr>
          <w:rFonts w:hint="eastAsia" w:ascii="仿宋" w:hAnsi="仿宋" w:eastAsia="仿宋" w:cs="Times New Roman"/>
          <w:sz w:val="28"/>
          <w:szCs w:val="28"/>
        </w:rPr>
        <w:t>5、售后服务:</w:t>
      </w:r>
      <w:r>
        <w:rPr>
          <w:rFonts w:hint="eastAsia" w:ascii="仿宋" w:hAnsi="仿宋" w:eastAsia="仿宋" w:cs="Times New Roman"/>
          <w:sz w:val="28"/>
          <w:szCs w:val="28"/>
          <w:lang w:val="en-US" w:eastAsia="zh-CN"/>
        </w:rPr>
        <w:t>4</w:t>
      </w:r>
      <w:r>
        <w:rPr>
          <w:rFonts w:hint="eastAsia" w:ascii="仿宋" w:hAnsi="仿宋" w:eastAsia="仿宋" w:cs="Times New Roman"/>
          <w:sz w:val="28"/>
          <w:szCs w:val="28"/>
        </w:rPr>
        <w:t>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（1）投标人承诺所投产品的质保期在符合招标文件规定的免费质保</w:t>
      </w:r>
      <w:r>
        <w:rPr>
          <w:rFonts w:hint="eastAsia" w:ascii="仿宋" w:hAnsi="仿宋" w:eastAsia="仿宋" w:cs="仿宋"/>
          <w:color w:val="000000" w:themeColor="text1"/>
          <w:sz w:val="28"/>
          <w:highlight w:val="none"/>
          <w:lang w:eastAsia="zh-CN"/>
          <w14:textFill>
            <w14:solidFill>
              <w14:schemeClr w14:val="tx1"/>
            </w14:solidFill>
          </w14:textFill>
        </w:rPr>
        <w:t>、</w:t>
      </w:r>
      <w:r>
        <w:rPr>
          <w:rFonts w:hint="eastAsia" w:ascii="仿宋" w:hAnsi="仿宋" w:eastAsia="仿宋" w:cs="仿宋"/>
          <w:color w:val="000000" w:themeColor="text1"/>
          <w:sz w:val="28"/>
          <w:highlight w:val="none"/>
          <w:lang w:val="en-US" w:eastAsia="zh-CN"/>
          <w14:textFill>
            <w14:solidFill>
              <w14:schemeClr w14:val="tx1"/>
            </w14:solidFill>
          </w14:textFill>
        </w:rPr>
        <w:t>维保</w:t>
      </w:r>
      <w:r>
        <w:rPr>
          <w:rFonts w:ascii="仿宋" w:hAnsi="仿宋" w:eastAsia="仿宋" w:cs="仿宋"/>
          <w:color w:val="000000" w:themeColor="text1"/>
          <w:sz w:val="28"/>
          <w:highlight w:val="none"/>
          <w14:textFill>
            <w14:solidFill>
              <w14:schemeClr w14:val="tx1"/>
            </w14:solidFill>
          </w14:textFill>
        </w:rPr>
        <w:t>期限（5年）的基础上，每增加1年整机及所有零部件免费质保及上门</w:t>
      </w:r>
      <w:r>
        <w:rPr>
          <w:rFonts w:hint="eastAsia" w:ascii="仿宋" w:hAnsi="仿宋" w:eastAsia="仿宋" w:cs="仿宋"/>
          <w:color w:val="000000" w:themeColor="text1"/>
          <w:sz w:val="28"/>
          <w:highlight w:val="none"/>
          <w:lang w:val="en-US" w:eastAsia="zh-CN"/>
          <w14:textFill>
            <w14:solidFill>
              <w14:schemeClr w14:val="tx1"/>
            </w14:solidFill>
          </w14:textFill>
        </w:rPr>
        <w:t>维保、</w:t>
      </w:r>
      <w:r>
        <w:rPr>
          <w:rFonts w:ascii="仿宋" w:hAnsi="仿宋" w:eastAsia="仿宋" w:cs="仿宋"/>
          <w:color w:val="000000" w:themeColor="text1"/>
          <w:sz w:val="28"/>
          <w:highlight w:val="none"/>
          <w14:textFill>
            <w14:solidFill>
              <w14:schemeClr w14:val="tx1"/>
            </w14:solidFill>
          </w14:textFill>
        </w:rPr>
        <w:t>维修服务的得2分，本项最高得4分，未提供承诺的不得分。（提供承诺书加盖投标单位电子签章，未提供不得分）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color w:val="000000" w:themeColor="text1"/>
          <w:highlight w:val="none"/>
          <w14:textFill>
            <w14:solidFill>
              <w14:schemeClr w14:val="tx1"/>
            </w14:solidFill>
          </w14:textFill>
        </w:rPr>
      </w:pPr>
      <w:r>
        <w:rPr>
          <w:rFonts w:ascii="仿宋" w:hAnsi="仿宋" w:eastAsia="仿宋" w:cs="仿宋"/>
          <w:b/>
          <w:color w:val="000000" w:themeColor="text1"/>
          <w:sz w:val="36"/>
          <w:highlight w:val="none"/>
          <w14:textFill>
            <w14:solidFill>
              <w14:schemeClr w14:val="tx1"/>
            </w14:solidFill>
          </w14:textFill>
        </w:rPr>
        <w:t>第四章合同格式及条款</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注:以下为采购人提出中标后签订本项目合同的条款，投标人必须实质性响应，中标投标人不得提出实质性的修改，关于专用条款将由采购人与中标投标人结合本项目具体情况协商后签订。</w:t>
      </w:r>
    </w:p>
    <w:p>
      <w:pPr>
        <w:pBdr>
          <w:top w:val="none" w:color="000000" w:sz="0" w:space="0"/>
          <w:left w:val="none" w:color="000000" w:sz="0" w:space="0"/>
          <w:bottom w:val="none" w:color="000000" w:sz="0" w:space="0"/>
          <w:right w:val="none" w:color="000000" w:sz="0" w:space="0"/>
        </w:pBdr>
        <w:spacing w:before="0" w:after="0" w:line="519" w:lineRule="atLeast"/>
        <w:ind w:left="0" w:right="0" w:firstLine="3066"/>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3066"/>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一、合同格式</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rPr>
          <w:rFonts w:hint="eastAsia" w:eastAsia="仿宋"/>
          <w:color w:val="000000" w:themeColor="text1"/>
          <w:highlight w:val="none"/>
          <w:lang w:eastAsia="zh-CN"/>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甲方:</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乙方:</w:t>
      </w:r>
    </w:p>
    <w:p>
      <w:pPr>
        <w:pBdr>
          <w:top w:val="none" w:color="000000" w:sz="0" w:space="0"/>
          <w:left w:val="none" w:color="000000" w:sz="0" w:space="0"/>
          <w:bottom w:val="none" w:color="000000" w:sz="0" w:space="0"/>
          <w:right w:val="none" w:color="000000" w:sz="0" w:space="0"/>
        </w:pBdr>
        <w:spacing w:before="0" w:after="0" w:line="519" w:lineRule="atLeast"/>
        <w:ind w:left="0" w:right="0" w:firstLine="635"/>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甲、乙双方根据项目编号的</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采购项目公开招标采购结果及招标文件的要求,经协商一致,达成如下购销合同:</w:t>
      </w:r>
    </w:p>
    <w:p>
      <w:pPr>
        <w:pBdr>
          <w:top w:val="none" w:color="000000" w:sz="0" w:space="0"/>
          <w:left w:val="none" w:color="000000" w:sz="0" w:space="0"/>
          <w:bottom w:val="none" w:color="000000" w:sz="0" w:space="0"/>
          <w:right w:val="none" w:color="000000" w:sz="0" w:space="0"/>
        </w:pBdr>
        <w:spacing w:before="0" w:after="0" w:line="519" w:lineRule="atLeast"/>
        <w:ind w:left="-359" w:right="0" w:firstLine="963"/>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一、货物及数量</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本合同所提供的货物及数量详见“项目采购需求”。</w:t>
      </w:r>
    </w:p>
    <w:p>
      <w:pPr>
        <w:pBdr>
          <w:top w:val="none" w:color="000000" w:sz="0" w:space="0"/>
          <w:left w:val="none" w:color="000000" w:sz="0" w:space="0"/>
          <w:bottom w:val="none" w:color="000000" w:sz="0" w:space="0"/>
          <w:right w:val="none" w:color="000000" w:sz="0" w:space="0"/>
        </w:pBdr>
        <w:spacing w:before="0" w:after="0" w:line="519" w:lineRule="atLeast"/>
        <w:ind w:left="-359" w:right="0" w:firstLine="963"/>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二、合同金额</w:t>
      </w:r>
    </w:p>
    <w:p>
      <w:pPr>
        <w:pBdr>
          <w:top w:val="none" w:color="000000" w:sz="0" w:space="0"/>
          <w:left w:val="none" w:color="000000" w:sz="0" w:space="0"/>
          <w:bottom w:val="none" w:color="000000" w:sz="0" w:space="0"/>
          <w:right w:val="none" w:color="000000" w:sz="0" w:space="0"/>
        </w:pBdr>
        <w:spacing w:before="0" w:after="0" w:line="519" w:lineRule="atLeast"/>
        <w:ind w:left="0" w:right="0" w:firstLine="495"/>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本合同的总金额(大写)为___________元人民币，分项价格详见乙方提交的投标报价明细表。</w:t>
      </w:r>
    </w:p>
    <w:p>
      <w:pPr>
        <w:pBdr>
          <w:top w:val="none" w:color="000000" w:sz="0" w:space="0"/>
          <w:left w:val="none" w:color="000000" w:sz="0" w:space="0"/>
          <w:bottom w:val="none" w:color="000000" w:sz="0" w:space="0"/>
          <w:right w:val="none" w:color="000000" w:sz="0" w:space="0"/>
        </w:pBdr>
        <w:spacing w:before="0" w:after="0" w:line="519" w:lineRule="atLeast"/>
        <w:ind w:left="-359" w:right="0" w:firstLine="963"/>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三、供货时间和地点</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本合同供货时间和地点在招标文件中有明确规定。</w:t>
      </w:r>
    </w:p>
    <w:p>
      <w:pPr>
        <w:pBdr>
          <w:top w:val="none" w:color="000000" w:sz="0" w:space="0"/>
          <w:left w:val="none" w:color="000000" w:sz="0" w:space="0"/>
          <w:bottom w:val="none" w:color="000000" w:sz="0" w:space="0"/>
          <w:right w:val="none" w:color="000000" w:sz="0" w:space="0"/>
        </w:pBdr>
        <w:spacing w:before="0" w:after="0" w:line="519" w:lineRule="atLeast"/>
        <w:ind w:left="-357" w:right="0" w:firstLine="963"/>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四、付款</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000000" w:themeColor="text1"/>
          <w:sz w:val="28"/>
          <w:highlight w:val="none"/>
          <w:lang w:eastAsia="zh-CN"/>
          <w14:textFill>
            <w14:solidFill>
              <w14:schemeClr w14:val="tx1"/>
            </w14:solidFill>
          </w14:textFill>
        </w:rPr>
      </w:pPr>
      <w:r>
        <w:rPr>
          <w:rFonts w:hint="eastAsia" w:ascii="仿宋" w:hAnsi="仿宋" w:eastAsia="仿宋" w:cs="仿宋"/>
          <w:color w:val="000000" w:themeColor="text1"/>
          <w:sz w:val="28"/>
          <w:highlight w:val="none"/>
          <w:lang w:eastAsia="zh-CN"/>
          <w14:textFill>
            <w14:solidFill>
              <w14:schemeClr w14:val="tx1"/>
            </w14:solidFill>
          </w14:textFill>
        </w:rPr>
        <w:t>合同签订生效后预付40%作为预付款，设备安装调试全部完成，经特种设备安全监督管理部门验收合格资金到位后付至合同总价100%。</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ascii="仿宋" w:hAnsi="仿宋" w:eastAsia="仿宋" w:cs="仿宋"/>
          <w:color w:val="000000" w:themeColor="text1"/>
          <w:sz w:val="28"/>
          <w:highlight w:val="yellow"/>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注：</w:t>
      </w:r>
      <w:r>
        <w:rPr>
          <w:rFonts w:hint="eastAsia" w:ascii="仿宋" w:hAnsi="仿宋" w:eastAsia="仿宋"/>
          <w:sz w:val="28"/>
          <w:szCs w:val="28"/>
          <w:highlight w:val="none"/>
        </w:rPr>
        <w:t>本项目资金来源为长期国债资金等，其中单台电梯合同价</w:t>
      </w:r>
      <w:r>
        <w:rPr>
          <w:rFonts w:hint="eastAsia" w:ascii="仿宋" w:hAnsi="仿宋" w:eastAsia="仿宋"/>
          <w:sz w:val="28"/>
          <w:szCs w:val="28"/>
          <w:highlight w:val="none"/>
          <w:lang w:eastAsia="zh-CN"/>
        </w:rPr>
        <w:t>（单台电梯合同价：</w:t>
      </w:r>
      <w:r>
        <w:rPr>
          <w:rFonts w:hint="eastAsia" w:ascii="仿宋" w:hAnsi="仿宋" w:eastAsia="仿宋"/>
          <w:sz w:val="28"/>
          <w:szCs w:val="28"/>
          <w:highlight w:val="none"/>
          <w:lang w:val="en-US" w:eastAsia="zh-CN"/>
        </w:rPr>
        <w:t>9层及以下超12万元，10-18层超18万元</w:t>
      </w:r>
      <w:r>
        <w:rPr>
          <w:rFonts w:hint="eastAsia" w:ascii="仿宋" w:hAnsi="仿宋" w:eastAsia="仿宋"/>
          <w:sz w:val="28"/>
          <w:szCs w:val="28"/>
          <w:highlight w:val="none"/>
          <w:lang w:eastAsia="zh-CN"/>
        </w:rPr>
        <w:t>）符合补贴条件的</w:t>
      </w:r>
      <w:r>
        <w:rPr>
          <w:rFonts w:hint="eastAsia" w:ascii="仿宋" w:hAnsi="仿宋" w:eastAsia="仿宋"/>
          <w:sz w:val="28"/>
          <w:szCs w:val="28"/>
          <w:highlight w:val="none"/>
        </w:rPr>
        <w:t>，</w:t>
      </w:r>
      <w:r>
        <w:rPr>
          <w:rFonts w:hint="eastAsia" w:ascii="仿宋" w:hAnsi="仿宋" w:eastAsia="仿宋"/>
          <w:sz w:val="28"/>
          <w:szCs w:val="28"/>
          <w:highlight w:val="none"/>
          <w:lang w:eastAsia="zh-CN"/>
        </w:rPr>
        <w:t>补贴部分（单台补贴价：</w:t>
      </w:r>
      <w:r>
        <w:rPr>
          <w:rFonts w:hint="eastAsia" w:ascii="仿宋" w:hAnsi="仿宋" w:eastAsia="仿宋"/>
          <w:sz w:val="28"/>
          <w:szCs w:val="28"/>
          <w:highlight w:val="none"/>
          <w:lang w:val="en-US" w:eastAsia="zh-CN"/>
        </w:rPr>
        <w:t>9层及以下9万元，10-18层15万元</w:t>
      </w:r>
      <w:r>
        <w:rPr>
          <w:rFonts w:hint="eastAsia" w:ascii="仿宋" w:hAnsi="仿宋" w:eastAsia="仿宋"/>
          <w:sz w:val="28"/>
          <w:szCs w:val="28"/>
          <w:highlight w:val="none"/>
          <w:lang w:eastAsia="zh-CN"/>
        </w:rPr>
        <w:t>）</w:t>
      </w:r>
      <w:r>
        <w:rPr>
          <w:rFonts w:hint="eastAsia" w:ascii="仿宋" w:hAnsi="仿宋" w:eastAsia="仿宋"/>
          <w:sz w:val="28"/>
          <w:szCs w:val="28"/>
          <w:highlight w:val="none"/>
        </w:rPr>
        <w:t>从长期国债资金中列支，超出</w:t>
      </w:r>
      <w:r>
        <w:rPr>
          <w:rFonts w:hint="eastAsia" w:ascii="仿宋" w:hAnsi="仿宋" w:eastAsia="仿宋"/>
          <w:sz w:val="28"/>
          <w:szCs w:val="28"/>
          <w:highlight w:val="none"/>
          <w:lang w:eastAsia="zh-CN"/>
        </w:rPr>
        <w:t>补贴部分</w:t>
      </w:r>
      <w:r>
        <w:rPr>
          <w:rFonts w:hint="eastAsia" w:ascii="仿宋" w:hAnsi="仿宋" w:eastAsia="仿宋"/>
          <w:sz w:val="28"/>
          <w:szCs w:val="28"/>
          <w:highlight w:val="none"/>
        </w:rPr>
        <w:t>的剩余部分按</w:t>
      </w:r>
      <w:r>
        <w:rPr>
          <w:rFonts w:hint="eastAsia" w:ascii="仿宋" w:hAnsi="仿宋" w:eastAsia="仿宋" w:cs="仿宋"/>
          <w:b/>
          <w:bCs/>
          <w:sz w:val="28"/>
          <w:highlight w:val="none"/>
        </w:rPr>
        <w:t>“</w:t>
      </w:r>
      <w:r>
        <w:rPr>
          <w:rFonts w:hint="eastAsia" w:ascii="仿宋" w:hAnsi="仿宋" w:eastAsia="仿宋" w:cs="仿宋"/>
          <w:b/>
          <w:bCs/>
          <w:sz w:val="28"/>
          <w:highlight w:val="none"/>
          <w:lang w:eastAsia="zh-CN"/>
        </w:rPr>
        <w:t>淮安市住房和城乡建设局</w:t>
      </w:r>
      <w:r>
        <w:rPr>
          <w:rFonts w:hint="eastAsia" w:ascii="仿宋" w:hAnsi="仿宋" w:eastAsia="仿宋" w:cs="仿宋"/>
          <w:b/>
          <w:bCs/>
          <w:sz w:val="28"/>
          <w:highlight w:val="none"/>
        </w:rPr>
        <w:t>《关于</w:t>
      </w:r>
      <w:r>
        <w:rPr>
          <w:rFonts w:hint="eastAsia" w:ascii="仿宋" w:hAnsi="仿宋" w:eastAsia="仿宋" w:cs="仿宋"/>
          <w:b/>
          <w:bCs/>
          <w:sz w:val="28"/>
          <w:highlight w:val="none"/>
          <w:lang w:eastAsia="zh-CN"/>
        </w:rPr>
        <w:t>做好</w:t>
      </w:r>
      <w:r>
        <w:rPr>
          <w:rFonts w:hint="eastAsia" w:ascii="仿宋" w:hAnsi="仿宋" w:eastAsia="仿宋" w:cs="仿宋"/>
          <w:b/>
          <w:bCs/>
          <w:sz w:val="28"/>
          <w:highlight w:val="none"/>
          <w:lang w:val="en-US" w:eastAsia="zh-CN"/>
        </w:rPr>
        <w:t>2026</w:t>
      </w:r>
      <w:r>
        <w:rPr>
          <w:rFonts w:hint="eastAsia" w:ascii="仿宋" w:hAnsi="仿宋" w:eastAsia="仿宋" w:cs="仿宋"/>
          <w:b/>
          <w:bCs/>
          <w:sz w:val="28"/>
          <w:highlight w:val="none"/>
        </w:rPr>
        <w:t>年</w:t>
      </w:r>
      <w:r>
        <w:rPr>
          <w:rFonts w:hint="eastAsia" w:ascii="仿宋" w:hAnsi="仿宋" w:eastAsia="仿宋" w:cs="仿宋"/>
          <w:b/>
          <w:bCs/>
          <w:sz w:val="28"/>
          <w:highlight w:val="none"/>
          <w:lang w:eastAsia="zh-CN"/>
        </w:rPr>
        <w:t>度首批</w:t>
      </w:r>
      <w:r>
        <w:rPr>
          <w:rFonts w:hint="eastAsia" w:ascii="仿宋" w:hAnsi="仿宋" w:eastAsia="仿宋" w:cs="仿宋"/>
          <w:b/>
          <w:bCs/>
          <w:sz w:val="28"/>
          <w:highlight w:val="none"/>
        </w:rPr>
        <w:t>住宅老旧电梯更新</w:t>
      </w:r>
      <w:r>
        <w:rPr>
          <w:rFonts w:hint="eastAsia" w:ascii="仿宋" w:hAnsi="仿宋" w:eastAsia="仿宋" w:cs="仿宋"/>
          <w:b/>
          <w:bCs/>
          <w:sz w:val="28"/>
          <w:highlight w:val="none"/>
          <w:lang w:eastAsia="zh-CN"/>
        </w:rPr>
        <w:t>工作</w:t>
      </w:r>
      <w:r>
        <w:rPr>
          <w:rFonts w:hint="eastAsia" w:ascii="仿宋" w:hAnsi="仿宋" w:eastAsia="仿宋" w:cs="仿宋"/>
          <w:b/>
          <w:bCs/>
          <w:sz w:val="28"/>
          <w:highlight w:val="none"/>
        </w:rPr>
        <w:t>的通知》”</w:t>
      </w:r>
      <w:r>
        <w:rPr>
          <w:rFonts w:hint="eastAsia" w:ascii="仿宋" w:hAnsi="仿宋" w:eastAsia="仿宋"/>
          <w:sz w:val="28"/>
          <w:szCs w:val="28"/>
          <w:highlight w:val="none"/>
        </w:rPr>
        <w:t>中建议资金渠道支付；仅针对符合补贴条件的项目，待长期国债</w:t>
      </w:r>
      <w:r>
        <w:rPr>
          <w:rFonts w:hint="eastAsia" w:ascii="仿宋" w:hAnsi="仿宋" w:eastAsia="仿宋"/>
          <w:sz w:val="28"/>
          <w:szCs w:val="28"/>
        </w:rPr>
        <w:t>补贴资金拨付至甲方后，由甲方负责支付每台电梯的补贴部分，超出</w:t>
      </w:r>
      <w:r>
        <w:rPr>
          <w:rFonts w:hint="eastAsia" w:ascii="仿宋" w:hAnsi="仿宋" w:eastAsia="仿宋"/>
          <w:sz w:val="28"/>
          <w:szCs w:val="28"/>
          <w:lang w:eastAsia="zh-CN"/>
        </w:rPr>
        <w:t>部分</w:t>
      </w:r>
      <w:r>
        <w:rPr>
          <w:rFonts w:hint="eastAsia" w:ascii="仿宋" w:hAnsi="仿宋" w:eastAsia="仿宋"/>
          <w:sz w:val="28"/>
          <w:szCs w:val="28"/>
        </w:rPr>
        <w:t>的剩余款项由上述文件的建议资金渠道支付。</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000000" w:themeColor="text1"/>
          <w:sz w:val="28"/>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五、验收</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甲方按招标文件相关要求进行。如需委托第三方验收，第三方是指:，验收费用由乙方承担。因乙方交付的货物不符合标准导致甲方重复支出的验收费用，由乙方承担。</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六、履约保证金</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1、乙方交纳人民币_________元作为本合同的履约保证金。</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lang w:val="en-US" w:eastAsia="zh-CN"/>
          <w14:textFill>
            <w14:solidFill>
              <w14:schemeClr w14:val="tx1"/>
            </w14:solidFill>
          </w14:textFill>
        </w:rPr>
        <w:t>2、</w:t>
      </w:r>
      <w:r>
        <w:rPr>
          <w:rFonts w:ascii="仿宋" w:hAnsi="仿宋" w:eastAsia="仿宋" w:cs="仿宋"/>
          <w:color w:val="000000" w:themeColor="text1"/>
          <w:sz w:val="28"/>
          <w:highlight w:val="none"/>
          <w14:textFill>
            <w14:solidFill>
              <w14:schemeClr w14:val="tx1"/>
            </w14:solidFill>
          </w14:textFill>
        </w:rPr>
        <w:t>乙方提供的履约保证金可以是人民币形式（银行本票、汇票、支票、电汇），或银行保函、担保公司的保证担保或保险公司的保证保险等多种形式。</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lang w:val="en-US" w:eastAsia="zh-CN"/>
          <w14:textFill>
            <w14:solidFill>
              <w14:schemeClr w14:val="tx1"/>
            </w14:solidFill>
          </w14:textFill>
        </w:rPr>
        <w:t>3、</w:t>
      </w:r>
      <w:r>
        <w:rPr>
          <w:rFonts w:ascii="仿宋" w:hAnsi="仿宋" w:eastAsia="仿宋" w:cs="仿宋"/>
          <w:color w:val="000000" w:themeColor="text1"/>
          <w:sz w:val="28"/>
          <w:highlight w:val="none"/>
          <w14:textFill>
            <w14:solidFill>
              <w14:schemeClr w14:val="tx1"/>
            </w14:solidFill>
          </w14:textFill>
        </w:rPr>
        <w:t>乙方选取银行保函、担保公司的保证担保或保险公司的保证保险等形式的向采购人缴纳的，如保函（担保、保险等）的约定期到期但乙方履约仍未结束的，乙方须进行续保。</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lang w:val="en-US" w:eastAsia="zh-CN"/>
          <w14:textFill>
            <w14:solidFill>
              <w14:schemeClr w14:val="tx1"/>
            </w14:solidFill>
          </w14:textFill>
        </w:rPr>
        <w:t>4、</w:t>
      </w:r>
      <w:r>
        <w:rPr>
          <w:rFonts w:ascii="仿宋" w:hAnsi="仿宋" w:eastAsia="仿宋" w:cs="仿宋"/>
          <w:color w:val="000000" w:themeColor="text1"/>
          <w:sz w:val="28"/>
          <w:highlight w:val="none"/>
          <w14:textFill>
            <w14:solidFill>
              <w14:schemeClr w14:val="tx1"/>
            </w14:solidFill>
          </w14:textFill>
        </w:rPr>
        <w:t>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5、如乙方未能履行合同规定的义务，甲方有权从履约保证金中取得补偿。</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ascii="仿宋" w:hAnsi="仿宋" w:eastAsia="仿宋" w:cs="仿宋"/>
          <w:color w:val="000000" w:themeColor="text1"/>
          <w:sz w:val="28"/>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p>
    <w:p>
      <w:pPr>
        <w:pBdr>
          <w:top w:val="none" w:color="000000" w:sz="0" w:space="0"/>
          <w:left w:val="none" w:color="000000" w:sz="0" w:space="0"/>
          <w:bottom w:val="none" w:color="000000" w:sz="0" w:space="0"/>
          <w:right w:val="none" w:color="000000" w:sz="0" w:space="0"/>
        </w:pBdr>
        <w:spacing w:before="0" w:after="0" w:line="519" w:lineRule="atLeast"/>
        <w:ind w:right="0" w:firstLine="280" w:firstLineChars="10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7、履约保证金在合同约定期间内不予退还或者应完全有效，履约保证金在项目验收合格后无息退还给乙方。</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七、合同纠纷处理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本合同执行过程中发生纠纷，由甲乙双方协商解决，若协商不成，作如下</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处理: </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1、申请仲裁。选定仲裁机构为淮安仲裁委员会。 </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2、提起诉讼。约定由采购人所在地法院管辖。 </w:t>
      </w:r>
    </w:p>
    <w:p>
      <w:pPr>
        <w:pBdr>
          <w:top w:val="none" w:color="000000" w:sz="0" w:space="0"/>
          <w:left w:val="none" w:color="000000" w:sz="0" w:space="0"/>
          <w:bottom w:val="none" w:color="000000" w:sz="0" w:space="0"/>
          <w:right w:val="none" w:color="000000" w:sz="0" w:space="0"/>
        </w:pBdr>
        <w:spacing w:before="0" w:after="0" w:line="519" w:lineRule="atLeast"/>
        <w:ind w:left="0" w:right="0" w:firstLine="548"/>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八、合同生效及其它</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本合同经甲、乙双方加盖电子签章后生效。如有变动，必须经甲方、乙方协商一致后，方可更改。</w:t>
      </w:r>
    </w:p>
    <w:p>
      <w:pPr>
        <w:pBdr>
          <w:top w:val="none" w:color="000000" w:sz="0" w:space="0"/>
          <w:left w:val="none" w:color="000000" w:sz="0" w:space="0"/>
          <w:bottom w:val="none" w:color="000000" w:sz="0" w:space="0"/>
          <w:right w:val="none" w:color="000000" w:sz="0" w:space="0"/>
        </w:pBdr>
        <w:spacing w:before="0" w:after="0" w:line="519" w:lineRule="atLeast"/>
        <w:ind w:left="0" w:right="0" w:firstLine="548"/>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九、组成本合同的文件包括</w:t>
      </w:r>
    </w:p>
    <w:p>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1、合同格式及条款；</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2、招标文件和乙方的投标文件； </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3、中标通知书； </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4、甲乙双方商定的其他必要文件。 上述合同文件内容互为补充，如有不明确，由甲方负责解释。</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甲    方:                         乙    方:</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单位盖章:（电子签章）             单位盖章:（电子签章）</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代表签字:                         代表签字:</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签订日期:                         签订日期:</w:t>
      </w:r>
    </w:p>
    <w:p>
      <w:pPr>
        <w:pBdr>
          <w:top w:val="none" w:color="000000" w:sz="0" w:space="0"/>
          <w:left w:val="none" w:color="000000" w:sz="0" w:space="0"/>
          <w:bottom w:val="none" w:color="000000" w:sz="0" w:space="0"/>
          <w:right w:val="none" w:color="000000" w:sz="0" w:space="0"/>
        </w:pBdr>
        <w:tabs>
          <w:tab w:val="left" w:pos="180"/>
        </w:tabs>
        <w:spacing w:before="0" w:after="0" w:line="640"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8"/>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3113"/>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3113"/>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二、合同条款</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1.定义</w:t>
      </w:r>
    </w:p>
    <w:p>
      <w:pPr>
        <w:pBdr>
          <w:top w:val="none" w:color="000000" w:sz="0" w:space="0"/>
          <w:left w:val="none" w:color="000000" w:sz="0" w:space="0"/>
          <w:bottom w:val="none" w:color="000000" w:sz="0" w:space="0"/>
          <w:right w:val="none" w:color="000000" w:sz="0" w:space="0"/>
        </w:pBdr>
        <w:spacing w:before="0" w:after="0" w:line="519" w:lineRule="atLeast"/>
        <w:ind w:left="0" w:right="0" w:firstLine="6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本合同中下列术语应解释为:</w:t>
      </w:r>
    </w:p>
    <w:p>
      <w:pPr>
        <w:pBdr>
          <w:top w:val="none" w:color="000000" w:sz="0" w:space="0"/>
          <w:left w:val="none" w:color="000000" w:sz="0" w:space="0"/>
          <w:bottom w:val="none" w:color="000000" w:sz="0" w:space="0"/>
          <w:right w:val="none" w:color="000000" w:sz="0" w:space="0"/>
        </w:pBdr>
        <w:spacing w:before="0" w:after="0" w:line="519" w:lineRule="atLeast"/>
        <w:ind w:left="0" w:right="0" w:firstLine="42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（1）“合同”系指甲方和乙方（以下简称合同双方）签署的、合同格式中列明的合同双方所达成的协议，包括所有的附件、附录和构成合同的所有文件。</w:t>
      </w:r>
    </w:p>
    <w:p>
      <w:pPr>
        <w:pBdr>
          <w:top w:val="none" w:color="000000" w:sz="0" w:space="0"/>
          <w:left w:val="none" w:color="000000" w:sz="0" w:space="0"/>
          <w:bottom w:val="none" w:color="000000" w:sz="0" w:space="0"/>
          <w:right w:val="none" w:color="000000" w:sz="0" w:space="0"/>
        </w:pBdr>
        <w:spacing w:before="0" w:after="0" w:line="519" w:lineRule="atLeast"/>
        <w:ind w:left="0" w:right="0" w:firstLine="42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（2）“合同价”系指根据合同规定，乙方在完全履行合同义务后甲方应支付给乙方的价格。</w:t>
      </w:r>
    </w:p>
    <w:p>
      <w:pPr>
        <w:pBdr>
          <w:top w:val="none" w:color="000000" w:sz="0" w:space="0"/>
          <w:left w:val="none" w:color="000000" w:sz="0" w:space="0"/>
          <w:bottom w:val="none" w:color="000000" w:sz="0" w:space="0"/>
          <w:right w:val="none" w:color="000000" w:sz="0" w:space="0"/>
        </w:pBdr>
        <w:spacing w:before="0" w:after="0" w:line="519" w:lineRule="atLeast"/>
        <w:ind w:left="0" w:right="0" w:firstLine="42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（3）“货物（含软件及相关服务）”系指乙方按合同要求，须向甲方提供的一切设备、机械、仪表、备件、工具、技术及手册等有关材料。</w:t>
      </w:r>
    </w:p>
    <w:p>
      <w:pPr>
        <w:pBdr>
          <w:top w:val="none" w:color="000000" w:sz="0" w:space="0"/>
          <w:left w:val="none" w:color="000000" w:sz="0" w:space="0"/>
          <w:bottom w:val="none" w:color="000000" w:sz="0" w:space="0"/>
          <w:right w:val="none" w:color="000000" w:sz="0" w:space="0"/>
        </w:pBdr>
        <w:spacing w:before="0" w:after="0" w:line="519" w:lineRule="atLeast"/>
        <w:ind w:left="0" w:right="0" w:firstLine="42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（4）“服务”系指根据合同规定乙方承担与供货有关的所有辅助服务，如运输、保险以及其它的服务，如安装、调试、提供技术援助、培训和其他类似的义务。</w:t>
      </w:r>
    </w:p>
    <w:p>
      <w:pPr>
        <w:pBdr>
          <w:top w:val="none" w:color="000000" w:sz="0" w:space="0"/>
          <w:left w:val="none" w:color="000000" w:sz="0" w:space="0"/>
          <w:bottom w:val="none" w:color="000000" w:sz="0" w:space="0"/>
          <w:right w:val="none" w:color="000000" w:sz="0" w:space="0"/>
        </w:pBdr>
        <w:spacing w:before="0" w:after="0" w:line="519" w:lineRule="atLeast"/>
        <w:ind w:left="0" w:right="0" w:firstLine="42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（5）“甲方”系指购买货物（含软件及相关服务）的单位。</w:t>
      </w:r>
    </w:p>
    <w:p>
      <w:pPr>
        <w:pBdr>
          <w:top w:val="none" w:color="000000" w:sz="0" w:space="0"/>
          <w:left w:val="none" w:color="000000" w:sz="0" w:space="0"/>
          <w:bottom w:val="none" w:color="000000" w:sz="0" w:space="0"/>
          <w:right w:val="none" w:color="000000" w:sz="0" w:space="0"/>
        </w:pBdr>
        <w:spacing w:before="0" w:after="0" w:line="519" w:lineRule="atLeast"/>
        <w:ind w:left="0" w:right="0" w:firstLine="42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（6）“乙方”系指根据合同规定提供货物（含软件及相关服务）和服务的投标人。</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2.技术规范</w:t>
      </w:r>
    </w:p>
    <w:p>
      <w:pPr>
        <w:pBdr>
          <w:top w:val="none" w:color="000000" w:sz="0" w:space="0"/>
          <w:left w:val="none" w:color="000000" w:sz="0" w:space="0"/>
          <w:bottom w:val="none" w:color="000000" w:sz="0" w:space="0"/>
          <w:right w:val="none" w:color="000000" w:sz="0" w:space="0"/>
        </w:pBdr>
        <w:spacing w:before="0" w:after="0" w:line="519" w:lineRule="atLeast"/>
        <w:ind w:left="0" w:right="0" w:firstLine="6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3.专利权</w:t>
      </w:r>
    </w:p>
    <w:p>
      <w:pPr>
        <w:pBdr>
          <w:top w:val="none" w:color="000000" w:sz="0" w:space="0"/>
          <w:left w:val="none" w:color="000000" w:sz="0" w:space="0"/>
          <w:bottom w:val="none" w:color="000000" w:sz="0" w:space="0"/>
          <w:right w:val="none" w:color="000000" w:sz="0" w:space="0"/>
        </w:pBdr>
        <w:spacing w:before="0" w:after="0" w:line="519" w:lineRule="atLeast"/>
        <w:ind w:left="0" w:right="0" w:firstLine="6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4.包装要求</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4.1本项目中涉及商品的包装应按照“财办库〔2020〕123号《关于印发《商品包装政府采购需求标准（试行）》、《快递包装政府采购需求标准（试行）》的通知》”执行,在供货、安装过程中能够做到低碳物流、环保节约、提高资源利用率；涉及设备运维参考《绿色数据中心政府采购需求标准（试行）》（财库〔2023〕7号文）执行。</w:t>
      </w:r>
    </w:p>
    <w:p>
      <w:pPr>
        <w:pBdr>
          <w:top w:val="none" w:color="000000" w:sz="0" w:space="0"/>
          <w:left w:val="none" w:color="000000" w:sz="0" w:space="0"/>
          <w:bottom w:val="none" w:color="000000" w:sz="0" w:space="0"/>
          <w:right w:val="none" w:color="000000" w:sz="0" w:space="0"/>
        </w:pBdr>
        <w:spacing w:before="0" w:after="0" w:line="519" w:lineRule="atLeast"/>
        <w:ind w:left="0" w:right="0" w:firstLine="6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4.2除合同另有规定外，乙方提供的全部货物（含软件及相关服务），均应按相应的标准保护措施进行包装，使包装适应于远距离运输、防潮、防震、防锈和防粗暴装卸，确保货物（含软件及相关服务）安全无损运抵现场。由于包装不善所引起的货物（含软件及相关服务）锈蚀、损坏和损失均由乙方承担。</w:t>
      </w:r>
    </w:p>
    <w:p>
      <w:pPr>
        <w:pBdr>
          <w:top w:val="none" w:color="000000" w:sz="0" w:space="0"/>
          <w:left w:val="none" w:color="000000" w:sz="0" w:space="0"/>
          <w:bottom w:val="none" w:color="000000" w:sz="0" w:space="0"/>
          <w:right w:val="none" w:color="000000" w:sz="0" w:space="0"/>
        </w:pBdr>
        <w:spacing w:before="0" w:after="0" w:line="519" w:lineRule="atLeast"/>
        <w:ind w:left="0" w:right="0" w:firstLine="6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4.3每件包装箱内应附一份详细装箱单和质量合格证。</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5.装运标志</w:t>
      </w:r>
    </w:p>
    <w:p>
      <w:pPr>
        <w:pBdr>
          <w:top w:val="none" w:color="000000" w:sz="0" w:space="0"/>
          <w:left w:val="none" w:color="000000" w:sz="0" w:space="0"/>
          <w:bottom w:val="none" w:color="000000" w:sz="0" w:space="0"/>
          <w:right w:val="none" w:color="000000" w:sz="0" w:space="0"/>
        </w:pBdr>
        <w:spacing w:before="0" w:after="0" w:line="519" w:lineRule="atLeast"/>
        <w:ind w:left="0" w:right="0" w:firstLine="6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5.1乙方应在每一包装箱邻接的四侧用不褪色的油漆以醒目的中文字样做出下列标记: </w:t>
      </w:r>
    </w:p>
    <w:p>
      <w:pPr>
        <w:pBdr>
          <w:top w:val="none" w:color="000000" w:sz="0" w:space="0"/>
          <w:left w:val="none" w:color="000000" w:sz="0" w:space="0"/>
          <w:bottom w:val="none" w:color="000000" w:sz="0" w:space="0"/>
          <w:right w:val="none" w:color="000000" w:sz="0" w:space="0"/>
        </w:pBdr>
        <w:spacing w:before="0" w:after="0" w:line="519" w:lineRule="atLeast"/>
        <w:ind w:left="0" w:right="0" w:firstLine="42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（1）收货人 </w:t>
      </w:r>
    </w:p>
    <w:p>
      <w:pPr>
        <w:pBdr>
          <w:top w:val="none" w:color="000000" w:sz="0" w:space="0"/>
          <w:left w:val="none" w:color="000000" w:sz="0" w:space="0"/>
          <w:bottom w:val="none" w:color="000000" w:sz="0" w:space="0"/>
          <w:right w:val="none" w:color="000000" w:sz="0" w:space="0"/>
        </w:pBdr>
        <w:spacing w:before="0" w:after="0" w:line="519" w:lineRule="atLeast"/>
        <w:ind w:left="0" w:right="0" w:firstLine="42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（2）合同号 </w:t>
      </w:r>
    </w:p>
    <w:p>
      <w:pPr>
        <w:pBdr>
          <w:top w:val="none" w:color="000000" w:sz="0" w:space="0"/>
          <w:left w:val="none" w:color="000000" w:sz="0" w:space="0"/>
          <w:bottom w:val="none" w:color="000000" w:sz="0" w:space="0"/>
          <w:right w:val="none" w:color="000000" w:sz="0" w:space="0"/>
        </w:pBdr>
        <w:spacing w:before="0" w:after="0" w:line="519" w:lineRule="atLeast"/>
        <w:ind w:left="0" w:right="0" w:firstLine="42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（3）装运标志 </w:t>
      </w:r>
    </w:p>
    <w:p>
      <w:pPr>
        <w:pBdr>
          <w:top w:val="none" w:color="000000" w:sz="0" w:space="0"/>
          <w:left w:val="none" w:color="000000" w:sz="0" w:space="0"/>
          <w:bottom w:val="none" w:color="000000" w:sz="0" w:space="0"/>
          <w:right w:val="none" w:color="000000" w:sz="0" w:space="0"/>
        </w:pBdr>
        <w:spacing w:before="0" w:after="0" w:line="519" w:lineRule="atLeast"/>
        <w:ind w:left="0" w:right="0" w:firstLine="42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（4）收货人代号 </w:t>
      </w:r>
    </w:p>
    <w:p>
      <w:pPr>
        <w:pBdr>
          <w:top w:val="none" w:color="000000" w:sz="0" w:space="0"/>
          <w:left w:val="none" w:color="000000" w:sz="0" w:space="0"/>
          <w:bottom w:val="none" w:color="000000" w:sz="0" w:space="0"/>
          <w:right w:val="none" w:color="000000" w:sz="0" w:space="0"/>
        </w:pBdr>
        <w:spacing w:before="0" w:after="0" w:line="519" w:lineRule="atLeast"/>
        <w:ind w:left="0" w:right="0" w:firstLine="42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（5）目的地 </w:t>
      </w:r>
    </w:p>
    <w:p>
      <w:pPr>
        <w:pBdr>
          <w:top w:val="none" w:color="000000" w:sz="0" w:space="0"/>
          <w:left w:val="none" w:color="000000" w:sz="0" w:space="0"/>
          <w:bottom w:val="none" w:color="000000" w:sz="0" w:space="0"/>
          <w:right w:val="none" w:color="000000" w:sz="0" w:space="0"/>
        </w:pBdr>
        <w:spacing w:before="0" w:after="0" w:line="519" w:lineRule="atLeast"/>
        <w:ind w:left="0" w:right="0" w:firstLine="42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（6）货物（含软件及相关服务）名称、品目号和箱号</w:t>
      </w:r>
    </w:p>
    <w:p>
      <w:pPr>
        <w:pBdr>
          <w:top w:val="none" w:color="000000" w:sz="0" w:space="0"/>
          <w:left w:val="none" w:color="000000" w:sz="0" w:space="0"/>
          <w:bottom w:val="none" w:color="000000" w:sz="0" w:space="0"/>
          <w:right w:val="none" w:color="000000" w:sz="0" w:space="0"/>
        </w:pBdr>
        <w:spacing w:before="0" w:after="0" w:line="519" w:lineRule="atLeast"/>
        <w:ind w:left="0" w:right="0" w:firstLine="42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（7）毛重／净重 </w:t>
      </w:r>
    </w:p>
    <w:p>
      <w:pPr>
        <w:pBdr>
          <w:top w:val="none" w:color="000000" w:sz="0" w:space="0"/>
          <w:left w:val="none" w:color="000000" w:sz="0" w:space="0"/>
          <w:bottom w:val="none" w:color="000000" w:sz="0" w:space="0"/>
          <w:right w:val="none" w:color="000000" w:sz="0" w:space="0"/>
        </w:pBdr>
        <w:spacing w:before="0" w:after="0" w:line="519" w:lineRule="atLeast"/>
        <w:ind w:left="0" w:right="0" w:firstLine="42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（8）尺寸（长X宽X高，以厘米计） </w:t>
      </w:r>
    </w:p>
    <w:p>
      <w:pPr>
        <w:pBdr>
          <w:top w:val="none" w:color="000000" w:sz="0" w:space="0"/>
          <w:left w:val="none" w:color="000000" w:sz="0" w:space="0"/>
          <w:bottom w:val="none" w:color="000000" w:sz="0" w:space="0"/>
          <w:right w:val="none" w:color="000000" w:sz="0" w:space="0"/>
        </w:pBdr>
        <w:spacing w:before="0" w:after="0" w:line="519" w:lineRule="atLeast"/>
        <w:ind w:left="0" w:right="0" w:firstLine="6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5.2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p>
    <w:p>
      <w:pPr>
        <w:pBdr>
          <w:top w:val="none" w:color="000000" w:sz="0" w:space="0"/>
          <w:left w:val="none" w:color="000000" w:sz="0" w:space="0"/>
          <w:bottom w:val="none" w:color="000000" w:sz="0" w:space="0"/>
          <w:right w:val="none" w:color="000000" w:sz="0" w:space="0"/>
        </w:pBdr>
        <w:spacing w:before="0" w:after="0" w:line="519" w:lineRule="atLeast"/>
        <w:ind w:left="0" w:right="0" w:firstLine="6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5.3因缺少装运标志或者装运标志不明确导致货物在运输、装卸过程中产生的损失，乙方应承担相应的过错责任。</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6.付款方式</w:t>
      </w:r>
    </w:p>
    <w:p>
      <w:pPr>
        <w:pBdr>
          <w:top w:val="none" w:color="000000" w:sz="0" w:space="0"/>
          <w:left w:val="none" w:color="000000" w:sz="0" w:space="0"/>
          <w:bottom w:val="none" w:color="000000" w:sz="0" w:space="0"/>
          <w:right w:val="none" w:color="000000" w:sz="0" w:space="0"/>
        </w:pBdr>
        <w:spacing w:before="0" w:after="0" w:line="519" w:lineRule="atLeast"/>
        <w:ind w:left="0" w:right="0" w:firstLine="6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6.1本合同以人民币付款。</w:t>
      </w:r>
    </w:p>
    <w:p>
      <w:pPr>
        <w:pBdr>
          <w:top w:val="none" w:color="000000" w:sz="0" w:space="0"/>
          <w:left w:val="none" w:color="000000" w:sz="0" w:space="0"/>
          <w:bottom w:val="none" w:color="000000" w:sz="0" w:space="0"/>
          <w:right w:val="none" w:color="000000" w:sz="0" w:space="0"/>
        </w:pBdr>
        <w:spacing w:before="0" w:after="0" w:line="519" w:lineRule="atLeast"/>
        <w:ind w:left="0" w:right="0" w:firstLine="6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6.2乙方应按照与甲方签订的合同规定交货。交货后乙方向甲方提供下列单据，甲方按合同规定审核后付款:</w:t>
      </w:r>
    </w:p>
    <w:p>
      <w:pPr>
        <w:pBdr>
          <w:top w:val="none" w:color="000000" w:sz="0" w:space="0"/>
          <w:left w:val="none" w:color="000000" w:sz="0" w:space="0"/>
          <w:bottom w:val="none" w:color="000000" w:sz="0" w:space="0"/>
          <w:right w:val="none" w:color="000000" w:sz="0" w:space="0"/>
        </w:pBdr>
        <w:spacing w:before="0" w:after="0" w:line="519" w:lineRule="atLeast"/>
        <w:ind w:left="0" w:right="0" w:firstLine="6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（1）发票；</w:t>
      </w:r>
    </w:p>
    <w:p>
      <w:pPr>
        <w:pBdr>
          <w:top w:val="none" w:color="000000" w:sz="0" w:space="0"/>
          <w:left w:val="none" w:color="000000" w:sz="0" w:space="0"/>
          <w:bottom w:val="none" w:color="000000" w:sz="0" w:space="0"/>
          <w:right w:val="none" w:color="000000" w:sz="0" w:space="0"/>
        </w:pBdr>
        <w:spacing w:before="0" w:after="0" w:line="519" w:lineRule="atLeast"/>
        <w:ind w:left="0" w:right="0" w:firstLine="6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（2）制造厂家出具的质量检验证书等；</w:t>
      </w:r>
    </w:p>
    <w:p>
      <w:pPr>
        <w:pBdr>
          <w:top w:val="none" w:color="000000" w:sz="0" w:space="0"/>
          <w:left w:val="none" w:color="000000" w:sz="0" w:space="0"/>
          <w:bottom w:val="none" w:color="000000" w:sz="0" w:space="0"/>
          <w:right w:val="none" w:color="000000" w:sz="0" w:space="0"/>
        </w:pBdr>
        <w:spacing w:before="0" w:after="0" w:line="519" w:lineRule="atLeast"/>
        <w:ind w:left="0" w:right="0" w:firstLine="6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（3）装箱单；</w:t>
      </w:r>
    </w:p>
    <w:p>
      <w:pPr>
        <w:pBdr>
          <w:top w:val="none" w:color="000000" w:sz="0" w:space="0"/>
          <w:left w:val="none" w:color="000000" w:sz="0" w:space="0"/>
          <w:bottom w:val="none" w:color="000000" w:sz="0" w:space="0"/>
          <w:right w:val="none" w:color="000000" w:sz="0" w:space="0"/>
        </w:pBdr>
        <w:spacing w:before="0" w:after="0" w:line="519" w:lineRule="atLeast"/>
        <w:ind w:left="0" w:right="0" w:firstLine="6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（4）验收合格证；</w:t>
      </w:r>
    </w:p>
    <w:p>
      <w:pPr>
        <w:pBdr>
          <w:top w:val="none" w:color="000000" w:sz="0" w:space="0"/>
          <w:left w:val="none" w:color="000000" w:sz="0" w:space="0"/>
          <w:bottom w:val="none" w:color="000000" w:sz="0" w:space="0"/>
          <w:right w:val="none" w:color="000000" w:sz="0" w:space="0"/>
        </w:pBdr>
        <w:spacing w:before="0" w:after="0" w:line="519" w:lineRule="atLeast"/>
        <w:ind w:left="0" w:right="0" w:firstLine="6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（5）使用方加盖公章证明货物交付使用合格的验收表。</w:t>
      </w:r>
    </w:p>
    <w:p>
      <w:pPr>
        <w:pBdr>
          <w:top w:val="none" w:color="000000" w:sz="0" w:space="0"/>
          <w:left w:val="none" w:color="000000" w:sz="0" w:space="0"/>
          <w:bottom w:val="none" w:color="000000" w:sz="0" w:space="0"/>
          <w:right w:val="none" w:color="000000" w:sz="0" w:space="0"/>
        </w:pBdr>
        <w:spacing w:before="0" w:after="0" w:line="519" w:lineRule="atLeast"/>
        <w:ind w:left="0" w:right="0" w:firstLine="6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6.3甲方将按招标文件中规定的付款方式安排付款。</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7.伴随服务</w:t>
      </w:r>
    </w:p>
    <w:p>
      <w:pPr>
        <w:pBdr>
          <w:top w:val="none" w:color="000000" w:sz="0" w:space="0"/>
          <w:left w:val="none" w:color="000000" w:sz="0" w:space="0"/>
          <w:bottom w:val="none" w:color="000000" w:sz="0" w:space="0"/>
          <w:right w:val="none" w:color="000000" w:sz="0" w:space="0"/>
        </w:pBdr>
        <w:spacing w:before="0" w:after="0" w:line="519" w:lineRule="atLeast"/>
        <w:ind w:left="0" w:right="0" w:firstLine="6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7.1乙方应按照国家有关规定和合同中所附的服务承诺提供服务。</w:t>
      </w:r>
    </w:p>
    <w:p>
      <w:pPr>
        <w:pBdr>
          <w:top w:val="none" w:color="000000" w:sz="0" w:space="0"/>
          <w:left w:val="none" w:color="000000" w:sz="0" w:space="0"/>
          <w:bottom w:val="none" w:color="000000" w:sz="0" w:space="0"/>
          <w:right w:val="none" w:color="000000" w:sz="0" w:space="0"/>
        </w:pBdr>
        <w:spacing w:before="0" w:after="0" w:line="519" w:lineRule="atLeast"/>
        <w:ind w:left="0" w:right="0" w:firstLine="6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7.2除第7.1条规定外，乙方还应提供下列服务:</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（1）货物的现场安装和启动监督；</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（2）提供货物组装和维修所需的工具；</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（3）在合同中乙方承诺的期限内对所提供货物实施运行监督、维修，但前提条件是该服务并不能免除乙方在质量保证期内应承担的义务；</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（4）在项目交货现场就货物的安装、启动、运行、维护对甲方人员进行培训。</w:t>
      </w:r>
    </w:p>
    <w:p>
      <w:pPr>
        <w:pBdr>
          <w:top w:val="none" w:color="000000" w:sz="0" w:space="0"/>
          <w:left w:val="none" w:color="000000" w:sz="0" w:space="0"/>
          <w:bottom w:val="none" w:color="000000" w:sz="0" w:space="0"/>
          <w:right w:val="none" w:color="000000" w:sz="0" w:space="0"/>
        </w:pBdr>
        <w:spacing w:before="0" w:after="0" w:line="519" w:lineRule="atLeast"/>
        <w:ind w:left="0" w:right="0" w:firstLine="6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7.3伴随服务的费用应含在合同价中，不单独进行支付。</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8.质量保证</w:t>
      </w:r>
    </w:p>
    <w:p>
      <w:pPr>
        <w:pBdr>
          <w:top w:val="none" w:color="000000" w:sz="0" w:space="0"/>
          <w:left w:val="none" w:color="000000" w:sz="0" w:space="0"/>
          <w:bottom w:val="none" w:color="000000" w:sz="0" w:space="0"/>
          <w:right w:val="none" w:color="000000" w:sz="0" w:space="0"/>
        </w:pBdr>
        <w:spacing w:before="0" w:after="0" w:line="519" w:lineRule="atLeast"/>
        <w:ind w:left="0" w:right="0" w:firstLine="658"/>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p>
    <w:p>
      <w:pPr>
        <w:pBdr>
          <w:top w:val="none" w:color="000000" w:sz="0" w:space="0"/>
          <w:left w:val="none" w:color="000000" w:sz="0" w:space="0"/>
          <w:bottom w:val="none" w:color="000000" w:sz="0" w:space="0"/>
          <w:right w:val="none" w:color="000000" w:sz="0" w:space="0"/>
        </w:pBdr>
        <w:spacing w:before="0" w:after="0" w:line="519" w:lineRule="atLeast"/>
        <w:ind w:left="0" w:right="0" w:firstLine="658"/>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8.2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p>
    <w:p>
      <w:pPr>
        <w:pBdr>
          <w:top w:val="none" w:color="000000" w:sz="0" w:space="0"/>
          <w:left w:val="none" w:color="000000" w:sz="0" w:space="0"/>
          <w:bottom w:val="none" w:color="000000" w:sz="0" w:space="0"/>
          <w:right w:val="none" w:color="000000" w:sz="0" w:space="0"/>
        </w:pBdr>
        <w:spacing w:before="0" w:after="0" w:line="519" w:lineRule="atLeast"/>
        <w:ind w:left="0" w:right="0" w:firstLine="658"/>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8.3乙方在收到通知后三十天内应免费维修或更换有缺陷的货物（含软件及相关服务）或部件。 </w:t>
      </w:r>
    </w:p>
    <w:p>
      <w:pPr>
        <w:pBdr>
          <w:top w:val="none" w:color="000000" w:sz="0" w:space="0"/>
          <w:left w:val="none" w:color="000000" w:sz="0" w:space="0"/>
          <w:bottom w:val="none" w:color="000000" w:sz="0" w:space="0"/>
          <w:right w:val="none" w:color="000000" w:sz="0" w:space="0"/>
        </w:pBdr>
        <w:spacing w:before="0" w:after="0" w:line="519" w:lineRule="atLeast"/>
        <w:ind w:left="0" w:right="0" w:firstLine="658"/>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8.4如果乙方在收到通知后三十天内没有弥补缺陷，甲方可采取必要的补救措施，但风险和费用将由乙方承担。</w:t>
      </w:r>
    </w:p>
    <w:p>
      <w:pPr>
        <w:pBdr>
          <w:top w:val="none" w:color="000000" w:sz="0" w:space="0"/>
          <w:left w:val="none" w:color="000000" w:sz="0" w:space="0"/>
          <w:bottom w:val="none" w:color="000000" w:sz="0" w:space="0"/>
          <w:right w:val="none" w:color="000000" w:sz="0" w:space="0"/>
        </w:pBdr>
        <w:spacing w:before="0" w:after="0" w:line="519" w:lineRule="atLeast"/>
        <w:ind w:left="0" w:right="0" w:firstLine="658"/>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8.5除合同专用条款规定外，合同项下货物（含软件及相关服务）的质量保证期为自货物（含软件及相关服务）通过最终验收起12个月。</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9.检验及安装</w:t>
      </w:r>
    </w:p>
    <w:p>
      <w:pPr>
        <w:pBdr>
          <w:top w:val="none" w:color="000000" w:sz="0" w:space="0"/>
          <w:left w:val="none" w:color="000000" w:sz="0" w:space="0"/>
          <w:bottom w:val="none" w:color="000000" w:sz="0" w:space="0"/>
          <w:right w:val="none" w:color="000000" w:sz="0" w:space="0"/>
        </w:pBdr>
        <w:spacing w:before="0" w:after="0" w:line="519" w:lineRule="atLeast"/>
        <w:ind w:left="0" w:right="0" w:firstLine="6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p>
    <w:p>
      <w:pPr>
        <w:pBdr>
          <w:top w:val="none" w:color="000000" w:sz="0" w:space="0"/>
          <w:left w:val="none" w:color="000000" w:sz="0" w:space="0"/>
          <w:bottom w:val="none" w:color="000000" w:sz="0" w:space="0"/>
          <w:right w:val="none" w:color="000000" w:sz="0" w:space="0"/>
        </w:pBdr>
        <w:spacing w:before="0" w:after="0" w:line="519" w:lineRule="atLeast"/>
        <w:ind w:left="0" w:right="0" w:firstLine="6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9.2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p>
    <w:p>
      <w:pPr>
        <w:pBdr>
          <w:top w:val="none" w:color="000000" w:sz="0" w:space="0"/>
          <w:left w:val="none" w:color="000000" w:sz="0" w:space="0"/>
          <w:bottom w:val="none" w:color="000000" w:sz="0" w:space="0"/>
          <w:right w:val="none" w:color="000000" w:sz="0" w:space="0"/>
        </w:pBdr>
        <w:spacing w:before="0" w:after="0" w:line="519" w:lineRule="atLeast"/>
        <w:ind w:left="0" w:right="0" w:firstLine="6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9.3如果货物（含软件及相关服务）的质量和规格与合同不符，或在第11条规定的质量保证期内证实货物（含软件及相关服务）是有缺陷的，包括潜在的缺陷或使用不符合要求的材料，甲方将有权向乙方提出索赔。 </w:t>
      </w:r>
    </w:p>
    <w:p>
      <w:pPr>
        <w:pBdr>
          <w:top w:val="none" w:color="000000" w:sz="0" w:space="0"/>
          <w:left w:val="none" w:color="000000" w:sz="0" w:space="0"/>
          <w:bottom w:val="none" w:color="000000" w:sz="0" w:space="0"/>
          <w:right w:val="none" w:color="000000" w:sz="0" w:space="0"/>
        </w:pBdr>
        <w:spacing w:before="0" w:after="0" w:line="519" w:lineRule="atLeast"/>
        <w:ind w:left="0" w:right="0" w:firstLine="6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9.4甲方有权提出在货物（含软件及相关服务）制造过程中派人到制造厂进行监造，乙方有义务为甲方监造人员提供方便。</w:t>
      </w:r>
    </w:p>
    <w:p>
      <w:pPr>
        <w:pBdr>
          <w:top w:val="none" w:color="000000" w:sz="0" w:space="0"/>
          <w:left w:val="none" w:color="000000" w:sz="0" w:space="0"/>
          <w:bottom w:val="none" w:color="000000" w:sz="0" w:space="0"/>
          <w:right w:val="none" w:color="000000" w:sz="0" w:space="0"/>
        </w:pBdr>
        <w:spacing w:before="0" w:after="0" w:line="519" w:lineRule="atLeast"/>
        <w:ind w:left="0" w:right="0" w:firstLine="6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9.5制造厂对所供货物（含软件及相关服务）进行机械运转试验和性能试验时，必须提前通知甲方。 </w:t>
      </w:r>
    </w:p>
    <w:p>
      <w:pPr>
        <w:pBdr>
          <w:top w:val="none" w:color="000000" w:sz="0" w:space="0"/>
          <w:left w:val="none" w:color="000000" w:sz="0" w:space="0"/>
          <w:bottom w:val="none" w:color="000000" w:sz="0" w:space="0"/>
          <w:right w:val="none" w:color="000000" w:sz="0" w:space="0"/>
        </w:pBdr>
        <w:spacing w:before="0" w:after="0" w:line="519" w:lineRule="atLeast"/>
        <w:ind w:left="0" w:right="0" w:firstLine="6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9.6货物（含软件及相关服务）的安装按招标文件要求进行。</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10.索赔</w:t>
      </w:r>
    </w:p>
    <w:p>
      <w:pPr>
        <w:pBdr>
          <w:top w:val="none" w:color="000000" w:sz="0" w:space="0"/>
          <w:left w:val="none" w:color="000000" w:sz="0" w:space="0"/>
          <w:bottom w:val="none" w:color="000000" w:sz="0" w:space="0"/>
          <w:right w:val="none" w:color="000000" w:sz="0" w:space="0"/>
        </w:pBdr>
        <w:spacing w:before="0" w:after="0" w:line="519" w:lineRule="atLeast"/>
        <w:ind w:left="0" w:right="0" w:firstLine="658"/>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10.1除责任应由保险公司或运输部门承担的之外，甲方有权根据甲方按检验标准自己检验的结果或当地商检部门出具的商检证书向乙方提出索赔。 </w:t>
      </w:r>
    </w:p>
    <w:p>
      <w:pPr>
        <w:pBdr>
          <w:top w:val="none" w:color="000000" w:sz="0" w:space="0"/>
          <w:left w:val="none" w:color="000000" w:sz="0" w:space="0"/>
          <w:bottom w:val="none" w:color="000000" w:sz="0" w:space="0"/>
          <w:right w:val="none" w:color="000000" w:sz="0" w:space="0"/>
        </w:pBdr>
        <w:spacing w:before="0" w:after="0" w:line="519" w:lineRule="atLeast"/>
        <w:ind w:left="0" w:right="0" w:firstLine="658"/>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10.2在第 8条和第9条规定的检验期和质量保证期内，如果乙方对甲方提出的索赔和差异负有责任，乙方应按照甲方同意的下列一种或多种方式解决索赔事宜:</w:t>
      </w:r>
    </w:p>
    <w:p>
      <w:pPr>
        <w:pBdr>
          <w:top w:val="none" w:color="000000" w:sz="0" w:space="0"/>
          <w:left w:val="none" w:color="000000" w:sz="0" w:space="0"/>
          <w:bottom w:val="none" w:color="000000" w:sz="0" w:space="0"/>
          <w:right w:val="none" w:color="000000" w:sz="0" w:space="0"/>
        </w:pBdr>
        <w:spacing w:before="0" w:after="0" w:line="519" w:lineRule="atLeast"/>
        <w:ind w:left="0" w:right="0" w:firstLine="42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乙方同意退货，并按合同规定的同种货币将货款退还给甲方，并承担由此发生的一切损失和费用，包括利息、银行手续费、运费、保险费、检验费、仓储费、装卸费以及为保护退回货物（含软件及相关服务）所需的其它必要费用。</w:t>
      </w:r>
    </w:p>
    <w:p>
      <w:pPr>
        <w:pBdr>
          <w:top w:val="none" w:color="000000" w:sz="0" w:space="0"/>
          <w:left w:val="none" w:color="000000" w:sz="0" w:space="0"/>
          <w:bottom w:val="none" w:color="000000" w:sz="0" w:space="0"/>
          <w:right w:val="none" w:color="000000" w:sz="0" w:space="0"/>
        </w:pBdr>
        <w:spacing w:before="0" w:after="0" w:line="519" w:lineRule="atLeast"/>
        <w:ind w:left="0" w:right="0" w:firstLine="42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（2）根据货物（含软件及相关服务）的低劣程度、损坏程度以及甲方遭受损失的数额，经买卖双方商定降低货物（含软件及相关服务）的价格。</w:t>
      </w:r>
    </w:p>
    <w:p>
      <w:pPr>
        <w:pBdr>
          <w:top w:val="none" w:color="000000" w:sz="0" w:space="0"/>
          <w:left w:val="none" w:color="000000" w:sz="0" w:space="0"/>
          <w:bottom w:val="none" w:color="000000" w:sz="0" w:space="0"/>
          <w:right w:val="none" w:color="000000" w:sz="0" w:space="0"/>
        </w:pBdr>
        <w:spacing w:before="0" w:after="0" w:line="519" w:lineRule="atLeast"/>
        <w:ind w:left="0" w:right="0" w:firstLine="42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10.3如果在甲方发出索赔通知后30天内，乙方未能答复，上述索赔应视为已被乙方接受。若乙方未能在甲方提出索赔通知后30天内或甲方同意的更长时间内，按照第10.2条规定的任何一种方法解决索赔事宜，甲方将从已付款或从乙方开具的履约保证金中扣回索赔金额。如果这些金额不足以补偿索赔金额，甲方有权向乙方提出不足部分的补偿。</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11.拖延交货</w:t>
      </w:r>
    </w:p>
    <w:p>
      <w:pPr>
        <w:pBdr>
          <w:top w:val="none" w:color="000000" w:sz="0" w:space="0"/>
          <w:left w:val="none" w:color="000000" w:sz="0" w:space="0"/>
          <w:bottom w:val="none" w:color="000000" w:sz="0" w:space="0"/>
          <w:right w:val="none" w:color="000000" w:sz="0" w:space="0"/>
        </w:pBdr>
        <w:spacing w:before="0" w:after="0" w:line="519" w:lineRule="atLeast"/>
        <w:ind w:left="0" w:right="0" w:firstLine="567"/>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11.1 乙方应按照合同专用条款中规定的交货期交货和提供服务。 </w:t>
      </w:r>
    </w:p>
    <w:p>
      <w:pPr>
        <w:pBdr>
          <w:top w:val="none" w:color="000000" w:sz="0" w:space="0"/>
          <w:left w:val="none" w:color="000000" w:sz="0" w:space="0"/>
          <w:bottom w:val="none" w:color="000000" w:sz="0" w:space="0"/>
          <w:right w:val="none" w:color="000000" w:sz="0" w:space="0"/>
        </w:pBdr>
        <w:spacing w:before="0" w:after="0" w:line="519" w:lineRule="atLeast"/>
        <w:ind w:left="0" w:right="0" w:firstLine="567"/>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11.2如果乙方毫无理由地拖延交货，将受到以下制裁:没收履约保证金，加收违约损失赔偿</w:t>
      </w:r>
      <w:r>
        <w:rPr>
          <w:rFonts w:ascii="仿宋" w:hAnsi="仿宋" w:eastAsia="仿宋" w:cs="仿宋"/>
          <w:color w:val="000000" w:themeColor="text1"/>
          <w:sz w:val="28"/>
          <w:highlight w:val="none"/>
          <w:u w:val="single"/>
          <w14:textFill>
            <w14:solidFill>
              <w14:schemeClr w14:val="tx1"/>
            </w14:solidFill>
          </w14:textFill>
        </w:rPr>
        <w:t>和／或</w:t>
      </w:r>
      <w:r>
        <w:rPr>
          <w:rFonts w:ascii="仿宋" w:hAnsi="仿宋" w:eastAsia="仿宋" w:cs="仿宋"/>
          <w:color w:val="000000" w:themeColor="text1"/>
          <w:sz w:val="28"/>
          <w:highlight w:val="none"/>
          <w14:textFill>
            <w14:solidFill>
              <w14:schemeClr w14:val="tx1"/>
            </w14:solidFill>
          </w14:textFill>
        </w:rPr>
        <w:t>终止合同。 </w:t>
      </w:r>
    </w:p>
    <w:p>
      <w:pPr>
        <w:pBdr>
          <w:top w:val="none" w:color="000000" w:sz="0" w:space="0"/>
          <w:left w:val="none" w:color="000000" w:sz="0" w:space="0"/>
          <w:bottom w:val="none" w:color="000000" w:sz="0" w:space="0"/>
          <w:right w:val="none" w:color="000000" w:sz="0" w:space="0"/>
        </w:pBdr>
        <w:spacing w:before="0" w:after="0" w:line="519" w:lineRule="atLeast"/>
        <w:ind w:left="0" w:right="0" w:firstLine="567"/>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11.3在履行合同过程中，如果乙方遇到不能按时交货和提供服务的情况，应及时以书面形式将不能按时交货的理由、延误时间通知甲方。甲方在收到乙方通知后，应进行分析，可通过修改合同，酌情延长交货时间。 </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12.误期赔偿</w:t>
      </w:r>
    </w:p>
    <w:p>
      <w:pPr>
        <w:pBdr>
          <w:top w:val="none" w:color="000000" w:sz="0" w:space="0"/>
          <w:left w:val="none" w:color="000000" w:sz="0" w:space="0"/>
          <w:bottom w:val="none" w:color="000000" w:sz="0" w:space="0"/>
          <w:right w:val="none" w:color="000000" w:sz="0" w:space="0"/>
        </w:pBdr>
        <w:spacing w:before="0" w:after="0" w:line="519" w:lineRule="atLeast"/>
        <w:ind w:left="0" w:right="0" w:firstLine="567"/>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额为误期货物或服务合同价的5%。一旦达到误期赔偿的最高限额，甲方和见证方可考虑终止合同。</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13.不可抗力</w:t>
      </w:r>
    </w:p>
    <w:p>
      <w:pPr>
        <w:pBdr>
          <w:top w:val="none" w:color="000000" w:sz="0" w:space="0"/>
          <w:left w:val="none" w:color="000000" w:sz="0" w:space="0"/>
          <w:bottom w:val="none" w:color="000000" w:sz="0" w:space="0"/>
          <w:right w:val="none" w:color="000000" w:sz="0" w:space="0"/>
        </w:pBdr>
        <w:spacing w:before="0" w:after="0" w:line="519" w:lineRule="atLeast"/>
        <w:ind w:left="0" w:right="0" w:firstLine="567"/>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13.1 如果双方中任何一方由于战争、严重火灾、水灾、台风和地震以及其它经双方同意属于不可抗力的事故，致使合同履行受阻时，履行合同的期限应予以延长，延长的期限应相当于事故所影响的时间。 </w:t>
      </w:r>
    </w:p>
    <w:p>
      <w:pPr>
        <w:pBdr>
          <w:top w:val="none" w:color="000000" w:sz="0" w:space="0"/>
          <w:left w:val="none" w:color="000000" w:sz="0" w:space="0"/>
          <w:bottom w:val="none" w:color="000000" w:sz="0" w:space="0"/>
          <w:right w:val="none" w:color="000000" w:sz="0" w:space="0"/>
        </w:pBdr>
        <w:spacing w:before="0" w:after="0" w:line="519" w:lineRule="atLeast"/>
        <w:ind w:left="0" w:right="0" w:firstLine="567"/>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13.2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14.税费</w:t>
      </w:r>
    </w:p>
    <w:p>
      <w:pPr>
        <w:pBdr>
          <w:top w:val="none" w:color="000000" w:sz="0" w:space="0"/>
          <w:left w:val="none" w:color="000000" w:sz="0" w:space="0"/>
          <w:bottom w:val="none" w:color="000000" w:sz="0" w:space="0"/>
          <w:right w:val="none" w:color="000000" w:sz="0" w:space="0"/>
        </w:pBdr>
        <w:spacing w:before="0" w:after="0" w:line="519" w:lineRule="atLeast"/>
        <w:ind w:left="0" w:right="0" w:firstLine="567"/>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14.1中国政府根据现行税法规定对甲方征收的与本合同有关的一切税费，均由甲方负担。</w:t>
      </w:r>
    </w:p>
    <w:p>
      <w:pPr>
        <w:pBdr>
          <w:top w:val="none" w:color="000000" w:sz="0" w:space="0"/>
          <w:left w:val="none" w:color="000000" w:sz="0" w:space="0"/>
          <w:bottom w:val="none" w:color="000000" w:sz="0" w:space="0"/>
          <w:right w:val="none" w:color="000000" w:sz="0" w:space="0"/>
        </w:pBdr>
        <w:spacing w:before="0" w:after="0" w:line="519" w:lineRule="atLeast"/>
        <w:ind w:left="0" w:right="0" w:firstLine="567"/>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14.2中国政府根据现行税法规定对乙方征收的与本合同有关的一切税费均由乙方负担。</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15.仲裁</w:t>
      </w:r>
    </w:p>
    <w:p>
      <w:pPr>
        <w:pBdr>
          <w:top w:val="none" w:color="000000" w:sz="0" w:space="0"/>
          <w:left w:val="none" w:color="000000" w:sz="0" w:space="0"/>
          <w:bottom w:val="none" w:color="000000" w:sz="0" w:space="0"/>
          <w:right w:val="none" w:color="000000" w:sz="0" w:space="0"/>
        </w:pBdr>
        <w:spacing w:before="0" w:after="0" w:line="519" w:lineRule="atLeast"/>
        <w:ind w:left="0" w:right="0" w:firstLine="57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15.1 买卖双方应通过友好协商，解决在执行本合同中所发生的或与本合同有关的一切争端，如果协商仍得不到解决，任何一方均可按《中华人民共和国民法典》规定提交调解和仲裁。 </w:t>
      </w:r>
    </w:p>
    <w:p>
      <w:pPr>
        <w:pBdr>
          <w:top w:val="none" w:color="000000" w:sz="0" w:space="0"/>
          <w:left w:val="none" w:color="000000" w:sz="0" w:space="0"/>
          <w:bottom w:val="none" w:color="000000" w:sz="0" w:space="0"/>
          <w:right w:val="none" w:color="000000" w:sz="0" w:space="0"/>
        </w:pBdr>
        <w:spacing w:before="0" w:after="0" w:line="519" w:lineRule="atLeast"/>
        <w:ind w:left="0" w:right="0" w:firstLine="57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15.2仲裁裁决应为终局裁决，对双方均具有约束力。 </w:t>
      </w:r>
    </w:p>
    <w:p>
      <w:pPr>
        <w:pBdr>
          <w:top w:val="none" w:color="000000" w:sz="0" w:space="0"/>
          <w:left w:val="none" w:color="000000" w:sz="0" w:space="0"/>
          <w:bottom w:val="none" w:color="000000" w:sz="0" w:space="0"/>
          <w:right w:val="none" w:color="000000" w:sz="0" w:space="0"/>
        </w:pBdr>
        <w:spacing w:before="0" w:after="0" w:line="519" w:lineRule="atLeast"/>
        <w:ind w:left="0" w:right="0" w:firstLine="57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15.3仲裁费除仲裁机构另有裁决外应由败诉方负担。</w:t>
      </w:r>
    </w:p>
    <w:p>
      <w:pPr>
        <w:pBdr>
          <w:top w:val="none" w:color="000000" w:sz="0" w:space="0"/>
          <w:left w:val="none" w:color="000000" w:sz="0" w:space="0"/>
          <w:bottom w:val="none" w:color="000000" w:sz="0" w:space="0"/>
          <w:right w:val="none" w:color="000000" w:sz="0" w:space="0"/>
        </w:pBdr>
        <w:spacing w:before="0" w:after="0" w:line="519" w:lineRule="atLeast"/>
        <w:ind w:left="0" w:right="0" w:firstLine="57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15.4在仲裁期间，除正在进行仲裁的部分外，合同其他部分继续执行。</w:t>
      </w:r>
      <w:r>
        <w:rPr>
          <w:rFonts w:ascii="仿宋" w:hAnsi="仿宋" w:eastAsia="仿宋" w:cs="仿宋"/>
          <w:b/>
          <w:color w:val="000000" w:themeColor="text1"/>
          <w:sz w:val="28"/>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ascii="仿宋" w:hAnsi="仿宋" w:eastAsia="仿宋" w:cs="仿宋"/>
          <w:color w:val="000000" w:themeColor="text1"/>
          <w:sz w:val="28"/>
          <w:szCs w:val="28"/>
          <w:highlight w:val="none"/>
          <w14:textFill>
            <w14:solidFill>
              <w14:schemeClr w14:val="tx1"/>
            </w14:solidFill>
          </w14:textFill>
          <w14:ligatures w14:val="none"/>
        </w:rPr>
      </w:pPr>
      <w:r>
        <w:rPr>
          <w:rFonts w:ascii="仿宋" w:hAnsi="仿宋" w:eastAsia="仿宋" w:cs="仿宋"/>
          <w:color w:val="000000" w:themeColor="text1"/>
          <w:sz w:val="28"/>
          <w:szCs w:val="28"/>
          <w:highlight w:val="none"/>
          <w14:textFill>
            <w14:solidFill>
              <w14:schemeClr w14:val="tx1"/>
            </w14:solidFill>
          </w14:textFill>
        </w:rPr>
        <w:t>16.违约终止合同</w:t>
      </w:r>
    </w:p>
    <w:p>
      <w:pPr>
        <w:pBdr>
          <w:top w:val="none" w:color="000000" w:sz="0" w:space="0"/>
          <w:left w:val="none" w:color="000000" w:sz="0" w:space="0"/>
          <w:bottom w:val="none" w:color="000000" w:sz="0" w:space="0"/>
          <w:right w:val="none" w:color="000000" w:sz="0" w:space="0"/>
        </w:pBdr>
        <w:spacing w:before="0" w:after="0" w:line="519" w:lineRule="atLeast"/>
        <w:ind w:left="0" w:right="0" w:firstLine="570"/>
        <w:jc w:val="both"/>
        <w:rPr>
          <w:rFonts w:ascii="仿宋" w:hAnsi="仿宋" w:eastAsia="仿宋" w:cs="仿宋"/>
          <w:color w:val="000000" w:themeColor="text1"/>
          <w:sz w:val="28"/>
          <w:szCs w:val="28"/>
          <w:highlight w:val="none"/>
          <w14:textFill>
            <w14:solidFill>
              <w14:schemeClr w14:val="tx1"/>
            </w14:solidFill>
          </w14:textFill>
          <w14:ligatures w14:val="none"/>
        </w:rPr>
      </w:pPr>
      <w:r>
        <w:rPr>
          <w:rFonts w:ascii="仿宋" w:hAnsi="仿宋" w:eastAsia="仿宋" w:cs="仿宋"/>
          <w:color w:val="000000" w:themeColor="text1"/>
          <w:sz w:val="28"/>
          <w:szCs w:val="28"/>
          <w:highlight w:val="none"/>
          <w14:textFill>
            <w14:solidFill>
              <w14:schemeClr w14:val="tx1"/>
            </w14:solidFill>
          </w14:textFill>
        </w:rPr>
        <w:t>16.1乙方有下列违约情况之一，并在收到甲方违约通知后的合理时间内，或经甲方书面认可延长的时间内未能纠正其过失，甲方可向乙方发出书面通知，终止部分或全部合同。在这种情况下，并不影响甲方向乙方提出索赔。 </w:t>
      </w:r>
    </w:p>
    <w:p>
      <w:pPr>
        <w:pBdr>
          <w:top w:val="none" w:color="000000" w:sz="0" w:space="0"/>
          <w:left w:val="none" w:color="000000" w:sz="0" w:space="0"/>
          <w:bottom w:val="none" w:color="000000" w:sz="0" w:space="0"/>
          <w:right w:val="none" w:color="000000" w:sz="0" w:space="0"/>
        </w:pBdr>
        <w:spacing w:before="0" w:after="0" w:line="519" w:lineRule="atLeast"/>
        <w:ind w:left="0" w:right="0" w:firstLine="570"/>
        <w:jc w:val="both"/>
        <w:rPr>
          <w:rFonts w:ascii="仿宋" w:hAnsi="仿宋" w:eastAsia="仿宋" w:cs="仿宋"/>
          <w:color w:val="000000" w:themeColor="text1"/>
          <w:sz w:val="28"/>
          <w:szCs w:val="28"/>
          <w:highlight w:val="none"/>
          <w14:textFill>
            <w14:solidFill>
              <w14:schemeClr w14:val="tx1"/>
            </w14:solidFill>
          </w14:textFill>
          <w14:ligatures w14:val="none"/>
        </w:rPr>
      </w:pPr>
      <w:r>
        <w:rPr>
          <w:rFonts w:ascii="仿宋" w:hAnsi="仿宋" w:eastAsia="仿宋" w:cs="仿宋"/>
          <w:color w:val="000000" w:themeColor="text1"/>
          <w:sz w:val="28"/>
          <w:szCs w:val="28"/>
          <w:highlight w:val="none"/>
          <w14:textFill>
            <w14:solidFill>
              <w14:schemeClr w14:val="tx1"/>
            </w14:solidFill>
          </w14:textFill>
        </w:rPr>
        <w:t>（1）如果乙方未能在合同规定的期限或甲方同意延期的限期内提供全部或部分货物（含软件及相关服务）； </w:t>
      </w:r>
    </w:p>
    <w:p>
      <w:pPr>
        <w:pBdr>
          <w:top w:val="none" w:color="000000" w:sz="0" w:space="0"/>
          <w:left w:val="none" w:color="000000" w:sz="0" w:space="0"/>
          <w:bottom w:val="none" w:color="000000" w:sz="0" w:space="0"/>
          <w:right w:val="none" w:color="000000" w:sz="0" w:space="0"/>
        </w:pBdr>
        <w:spacing w:before="0" w:after="0" w:line="519" w:lineRule="atLeast"/>
        <w:ind w:left="0" w:right="0" w:firstLine="570"/>
        <w:jc w:val="both"/>
        <w:rPr>
          <w:rFonts w:ascii="仿宋" w:hAnsi="仿宋" w:eastAsia="仿宋" w:cs="仿宋"/>
          <w:color w:val="000000" w:themeColor="text1"/>
          <w:sz w:val="28"/>
          <w:szCs w:val="28"/>
          <w:highlight w:val="none"/>
          <w14:textFill>
            <w14:solidFill>
              <w14:schemeClr w14:val="tx1"/>
            </w14:solidFill>
          </w14:textFill>
          <w14:ligatures w14:val="none"/>
        </w:rPr>
      </w:pPr>
      <w:r>
        <w:rPr>
          <w:rFonts w:ascii="仿宋" w:hAnsi="仿宋" w:eastAsia="仿宋" w:cs="仿宋"/>
          <w:color w:val="000000" w:themeColor="text1"/>
          <w:sz w:val="28"/>
          <w:szCs w:val="28"/>
          <w:highlight w:val="none"/>
          <w14:textFill>
            <w14:solidFill>
              <w14:schemeClr w14:val="tx1"/>
            </w14:solidFill>
          </w14:textFill>
        </w:rPr>
        <w:t>（2）如果乙方未能履行合同规定的其它义务。 </w:t>
      </w:r>
    </w:p>
    <w:p>
      <w:pPr>
        <w:pBdr>
          <w:top w:val="none" w:color="000000" w:sz="0" w:space="0"/>
          <w:left w:val="none" w:color="000000" w:sz="0" w:space="0"/>
          <w:bottom w:val="none" w:color="000000" w:sz="0" w:space="0"/>
          <w:right w:val="none" w:color="000000" w:sz="0" w:space="0"/>
        </w:pBdr>
        <w:spacing w:before="0" w:after="0" w:line="519" w:lineRule="atLeast"/>
        <w:ind w:left="0" w:right="0" w:firstLine="570"/>
        <w:jc w:val="both"/>
        <w:rPr>
          <w:rFonts w:ascii="仿宋" w:hAnsi="仿宋" w:eastAsia="仿宋" w:cs="仿宋"/>
          <w:color w:val="000000" w:themeColor="text1"/>
          <w:sz w:val="28"/>
          <w:szCs w:val="28"/>
          <w:highlight w:val="none"/>
          <w14:textFill>
            <w14:solidFill>
              <w14:schemeClr w14:val="tx1"/>
            </w14:solidFill>
          </w14:textFill>
          <w14:ligatures w14:val="none"/>
        </w:rPr>
      </w:pPr>
      <w:r>
        <w:rPr>
          <w:rFonts w:ascii="仿宋" w:hAnsi="仿宋" w:eastAsia="仿宋" w:cs="仿宋"/>
          <w:color w:val="000000" w:themeColor="text1"/>
          <w:sz w:val="28"/>
          <w:szCs w:val="28"/>
          <w:highlight w:val="none"/>
          <w14:textFill>
            <w14:solidFill>
              <w14:schemeClr w14:val="tx1"/>
            </w14:solidFill>
          </w14:textFill>
        </w:rPr>
        <w:t>16.2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ascii="仿宋" w:hAnsi="仿宋" w:eastAsia="仿宋" w:cs="仿宋"/>
          <w:color w:val="000000" w:themeColor="text1"/>
          <w:sz w:val="28"/>
          <w:szCs w:val="28"/>
          <w:highlight w:val="none"/>
          <w14:textFill>
            <w14:solidFill>
              <w14:schemeClr w14:val="tx1"/>
            </w14:solidFill>
          </w14:textFill>
          <w14:ligatures w14:val="none"/>
        </w:rPr>
      </w:pPr>
      <w:r>
        <w:rPr>
          <w:rFonts w:ascii="仿宋" w:hAnsi="仿宋" w:eastAsia="仿宋" w:cs="仿宋"/>
          <w:color w:val="000000" w:themeColor="text1"/>
          <w:sz w:val="28"/>
          <w:szCs w:val="28"/>
          <w:highlight w:val="none"/>
          <w14:textFill>
            <w14:solidFill>
              <w14:schemeClr w14:val="tx1"/>
            </w14:solidFill>
          </w14:textFill>
        </w:rPr>
        <w:t>17.破产中止合同</w:t>
      </w:r>
    </w:p>
    <w:p>
      <w:pPr>
        <w:pBdr>
          <w:top w:val="none" w:color="000000" w:sz="0" w:space="0"/>
          <w:left w:val="none" w:color="000000" w:sz="0" w:space="0"/>
          <w:bottom w:val="none" w:color="000000" w:sz="0" w:space="0"/>
          <w:right w:val="none" w:color="000000" w:sz="0" w:space="0"/>
        </w:pBdr>
        <w:spacing w:before="0" w:after="0" w:line="519" w:lineRule="atLeast"/>
        <w:ind w:left="0" w:right="0" w:firstLine="570"/>
        <w:jc w:val="both"/>
        <w:rPr>
          <w:rFonts w:ascii="仿宋" w:hAnsi="仿宋" w:eastAsia="仿宋" w:cs="仿宋"/>
          <w:color w:val="000000" w:themeColor="text1"/>
          <w:sz w:val="28"/>
          <w:szCs w:val="28"/>
          <w:highlight w:val="none"/>
          <w14:textFill>
            <w14:solidFill>
              <w14:schemeClr w14:val="tx1"/>
            </w14:solidFill>
          </w14:textFill>
          <w14:ligatures w14:val="none"/>
        </w:rPr>
      </w:pPr>
      <w:r>
        <w:rPr>
          <w:rFonts w:ascii="仿宋" w:hAnsi="仿宋" w:eastAsia="仿宋" w:cs="仿宋"/>
          <w:color w:val="000000" w:themeColor="text1"/>
          <w:sz w:val="28"/>
          <w:szCs w:val="28"/>
          <w:highlight w:val="none"/>
          <w14:textFill>
            <w14:solidFill>
              <w14:schemeClr w14:val="tx1"/>
            </w14:solidFill>
          </w14:textFill>
        </w:rPr>
        <w:t>17.1如果乙方破产或无清偿能力，甲方可在任何时候以书面形式通知乙方终止合同而不给乙方补偿。该终止合同将不损害或影响甲方和使用方已经采取或将要采取的任何行动或补救措施的权力。</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ascii="仿宋" w:hAnsi="仿宋" w:eastAsia="仿宋" w:cs="仿宋"/>
          <w:color w:val="000000" w:themeColor="text1"/>
          <w:sz w:val="28"/>
          <w:szCs w:val="28"/>
          <w:highlight w:val="none"/>
          <w14:textFill>
            <w14:solidFill>
              <w14:schemeClr w14:val="tx1"/>
            </w14:solidFill>
          </w14:textFill>
          <w14:ligatures w14:val="none"/>
        </w:rPr>
      </w:pPr>
      <w:r>
        <w:rPr>
          <w:rFonts w:ascii="仿宋" w:hAnsi="仿宋" w:eastAsia="仿宋" w:cs="仿宋"/>
          <w:color w:val="000000" w:themeColor="text1"/>
          <w:sz w:val="28"/>
          <w:szCs w:val="28"/>
          <w:highlight w:val="none"/>
          <w14:textFill>
            <w14:solidFill>
              <w14:schemeClr w14:val="tx1"/>
            </w14:solidFill>
          </w14:textFill>
        </w:rPr>
        <w:t>18.转让</w:t>
      </w:r>
    </w:p>
    <w:p>
      <w:pPr>
        <w:pBdr>
          <w:top w:val="none" w:color="000000" w:sz="0" w:space="0"/>
          <w:left w:val="none" w:color="000000" w:sz="0" w:space="0"/>
          <w:bottom w:val="none" w:color="000000" w:sz="0" w:space="0"/>
          <w:right w:val="none" w:color="000000" w:sz="0" w:space="0"/>
        </w:pBdr>
        <w:spacing w:before="0" w:after="0" w:line="519" w:lineRule="atLeast"/>
        <w:ind w:left="0" w:right="0" w:firstLine="570"/>
        <w:jc w:val="both"/>
        <w:rPr>
          <w:rFonts w:ascii="仿宋" w:hAnsi="仿宋" w:eastAsia="仿宋" w:cs="仿宋"/>
          <w:color w:val="000000" w:themeColor="text1"/>
          <w:sz w:val="28"/>
          <w:szCs w:val="28"/>
          <w:highlight w:val="none"/>
          <w14:textFill>
            <w14:solidFill>
              <w14:schemeClr w14:val="tx1"/>
            </w14:solidFill>
          </w14:textFill>
          <w14:ligatures w14:val="none"/>
        </w:rPr>
      </w:pPr>
      <w:r>
        <w:rPr>
          <w:rFonts w:ascii="仿宋" w:hAnsi="仿宋" w:eastAsia="仿宋" w:cs="仿宋"/>
          <w:color w:val="000000" w:themeColor="text1"/>
          <w:sz w:val="28"/>
          <w:szCs w:val="28"/>
          <w:highlight w:val="none"/>
          <w14:textFill>
            <w14:solidFill>
              <w14:schemeClr w14:val="tx1"/>
            </w14:solidFill>
          </w14:textFill>
        </w:rPr>
        <w:t>18.1除甲方事先书面同意外，乙方不得部分转让或全部转让其应履行的合同义务。</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ascii="仿宋" w:hAnsi="仿宋" w:eastAsia="仿宋" w:cs="仿宋"/>
          <w:color w:val="000000" w:themeColor="text1"/>
          <w:sz w:val="28"/>
          <w:szCs w:val="28"/>
          <w:highlight w:val="none"/>
          <w14:textFill>
            <w14:solidFill>
              <w14:schemeClr w14:val="tx1"/>
            </w14:solidFill>
          </w14:textFill>
          <w14:ligatures w14:val="none"/>
        </w:rPr>
      </w:pPr>
      <w:r>
        <w:rPr>
          <w:rFonts w:ascii="仿宋" w:hAnsi="仿宋" w:eastAsia="仿宋" w:cs="仿宋"/>
          <w:color w:val="000000" w:themeColor="text1"/>
          <w:sz w:val="28"/>
          <w:szCs w:val="28"/>
          <w:highlight w:val="none"/>
          <w14:textFill>
            <w14:solidFill>
              <w14:schemeClr w14:val="tx1"/>
            </w14:solidFill>
          </w14:textFill>
        </w:rPr>
        <w:t>19.合同生效及其它</w:t>
      </w:r>
    </w:p>
    <w:p>
      <w:pPr>
        <w:pBdr>
          <w:top w:val="none" w:color="000000" w:sz="0" w:space="0"/>
          <w:left w:val="none" w:color="000000" w:sz="0" w:space="0"/>
          <w:bottom w:val="none" w:color="000000" w:sz="0" w:space="0"/>
          <w:right w:val="none" w:color="000000" w:sz="0" w:space="0"/>
        </w:pBdr>
        <w:spacing w:before="0" w:after="0" w:line="519" w:lineRule="atLeast"/>
        <w:ind w:left="0" w:right="0" w:firstLine="570"/>
        <w:jc w:val="both"/>
        <w:rPr>
          <w:rFonts w:ascii="仿宋" w:hAnsi="仿宋" w:eastAsia="仿宋" w:cs="仿宋"/>
          <w:color w:val="000000" w:themeColor="text1"/>
          <w:sz w:val="28"/>
          <w:szCs w:val="28"/>
          <w:highlight w:val="none"/>
          <w14:textFill>
            <w14:solidFill>
              <w14:schemeClr w14:val="tx1"/>
            </w14:solidFill>
          </w14:textFill>
          <w14:ligatures w14:val="none"/>
        </w:rPr>
      </w:pPr>
      <w:r>
        <w:rPr>
          <w:rFonts w:ascii="仿宋" w:hAnsi="仿宋" w:eastAsia="仿宋" w:cs="仿宋"/>
          <w:color w:val="000000" w:themeColor="text1"/>
          <w:sz w:val="28"/>
          <w:szCs w:val="28"/>
          <w:highlight w:val="none"/>
          <w14:textFill>
            <w14:solidFill>
              <w14:schemeClr w14:val="tx1"/>
            </w14:solidFill>
          </w14:textFill>
        </w:rPr>
        <w:t>19.1</w:t>
      </w:r>
      <w:r>
        <w:rPr>
          <w:rFonts w:hint="eastAsia" w:ascii="仿宋" w:hAnsi="仿宋" w:eastAsia="仿宋" w:cs="仿宋"/>
          <w:color w:val="000000" w:themeColor="text1"/>
          <w:sz w:val="28"/>
          <w:szCs w:val="28"/>
          <w:highlight w:val="none"/>
          <w:lang w:eastAsia="zh-CN"/>
          <w14:textFill>
            <w14:solidFill>
              <w14:schemeClr w14:val="tx1"/>
            </w14:solidFill>
          </w14:textFill>
        </w:rPr>
        <w:t>淮安市公共资源交易中心盱眙分中心</w:t>
      </w:r>
      <w:r>
        <w:rPr>
          <w:rFonts w:ascii="仿宋" w:hAnsi="仿宋" w:eastAsia="仿宋" w:cs="仿宋"/>
          <w:color w:val="000000" w:themeColor="text1"/>
          <w:sz w:val="28"/>
          <w:szCs w:val="28"/>
          <w:highlight w:val="none"/>
          <w14:textFill>
            <w14:solidFill>
              <w14:schemeClr w14:val="tx1"/>
            </w14:solidFill>
          </w14:textFill>
        </w:rPr>
        <w:t>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p>
    <w:p>
      <w:pPr>
        <w:pBdr>
          <w:top w:val="none" w:color="000000" w:sz="0" w:space="0"/>
          <w:left w:val="none" w:color="000000" w:sz="0" w:space="0"/>
          <w:bottom w:val="none" w:color="000000" w:sz="0" w:space="0"/>
          <w:right w:val="none" w:color="000000" w:sz="0" w:space="0"/>
        </w:pBdr>
        <w:spacing w:before="0" w:after="0" w:line="519" w:lineRule="atLeast"/>
        <w:ind w:left="0" w:right="0" w:firstLine="570"/>
        <w:jc w:val="both"/>
        <w:rPr>
          <w:rFonts w:ascii="仿宋" w:hAnsi="仿宋" w:eastAsia="仿宋" w:cs="仿宋"/>
          <w:color w:val="000000" w:themeColor="text1"/>
          <w:sz w:val="28"/>
          <w:szCs w:val="28"/>
          <w:highlight w:val="none"/>
          <w14:textFill>
            <w14:solidFill>
              <w14:schemeClr w14:val="tx1"/>
            </w14:solidFill>
          </w14:textFill>
          <w14:ligatures w14:val="none"/>
        </w:rPr>
      </w:pPr>
      <w:r>
        <w:rPr>
          <w:rFonts w:ascii="仿宋" w:hAnsi="仿宋" w:eastAsia="仿宋" w:cs="仿宋"/>
          <w:color w:val="000000" w:themeColor="text1"/>
          <w:sz w:val="28"/>
          <w:szCs w:val="28"/>
          <w:highlight w:val="none"/>
          <w14:textFill>
            <w14:solidFill>
              <w14:schemeClr w14:val="tx1"/>
            </w14:solidFill>
          </w14:textFill>
        </w:rPr>
        <w:t>19.2本合同经甲、乙双方加盖电子签章后生效。    </w:t>
      </w:r>
    </w:p>
    <w:p>
      <w:pPr>
        <w:pBdr>
          <w:top w:val="none" w:color="000000" w:sz="0" w:space="0"/>
          <w:left w:val="none" w:color="000000" w:sz="0" w:space="0"/>
          <w:bottom w:val="none" w:color="000000" w:sz="0" w:space="0"/>
          <w:right w:val="none" w:color="000000" w:sz="0" w:space="0"/>
        </w:pBdr>
        <w:spacing w:before="0" w:after="0" w:line="519" w:lineRule="atLeast"/>
        <w:ind w:left="0" w:right="0" w:firstLine="570"/>
        <w:jc w:val="both"/>
        <w:rPr>
          <w:rFonts w:ascii="仿宋" w:hAnsi="仿宋" w:eastAsia="仿宋" w:cs="仿宋"/>
          <w:color w:val="000000" w:themeColor="text1"/>
          <w:sz w:val="28"/>
          <w:szCs w:val="28"/>
          <w:highlight w:val="none"/>
          <w14:textFill>
            <w14:solidFill>
              <w14:schemeClr w14:val="tx1"/>
            </w14:solidFill>
          </w14:textFill>
          <w14:ligatures w14:val="none"/>
        </w:rPr>
      </w:pPr>
      <w:r>
        <w:rPr>
          <w:rFonts w:ascii="仿宋" w:hAnsi="仿宋" w:eastAsia="仿宋" w:cs="仿宋"/>
          <w:color w:val="000000" w:themeColor="text1"/>
          <w:sz w:val="28"/>
          <w:szCs w:val="28"/>
          <w:highlight w:val="none"/>
          <w14:textFill>
            <w14:solidFill>
              <w14:schemeClr w14:val="tx1"/>
            </w14:solidFill>
          </w14:textFill>
        </w:rPr>
        <w:t>19.3合同货物交付使用后所发生的合同纠纷，甲方与乙方进行处理。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570"/>
        <w:jc w:val="both"/>
        <w:rPr>
          <w:rFonts w:ascii="仿宋" w:hAnsi="仿宋" w:eastAsia="仿宋" w:cs="仿宋"/>
          <w:color w:val="000000" w:themeColor="text1"/>
          <w:sz w:val="28"/>
          <w:szCs w:val="28"/>
          <w:highlight w:val="none"/>
          <w14:textFill>
            <w14:solidFill>
              <w14:schemeClr w14:val="tx1"/>
            </w14:solidFill>
          </w14:textFill>
          <w14:ligatures w14:val="none"/>
        </w:rPr>
      </w:pPr>
      <w:r>
        <w:rPr>
          <w:rFonts w:ascii="仿宋" w:hAnsi="仿宋" w:eastAsia="仿宋" w:cs="仿宋"/>
          <w:color w:val="000000" w:themeColor="text1"/>
          <w:sz w:val="28"/>
          <w:szCs w:val="28"/>
          <w:highlight w:val="none"/>
          <w14:textFill>
            <w14:solidFill>
              <w14:schemeClr w14:val="tx1"/>
            </w14:solidFill>
          </w14:textFill>
        </w:rPr>
        <w:t>19.4如需修改或补充合同内容，应经乙方、甲方协商，签署书面修改或补充协议。该协议将作为本合同不可分割的一部分。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570"/>
        <w:jc w:val="both"/>
        <w:rPr>
          <w:rFonts w:ascii="仿宋" w:hAnsi="仿宋" w:eastAsia="仿宋" w:cs="仿宋"/>
          <w:color w:val="000000" w:themeColor="text1"/>
          <w:sz w:val="28"/>
          <w:szCs w:val="28"/>
          <w:highlight w:val="none"/>
          <w14:textFill>
            <w14:solidFill>
              <w14:schemeClr w14:val="tx1"/>
            </w14:solidFill>
          </w14:textFill>
          <w14:ligatures w14:val="none"/>
        </w:rPr>
      </w:pPr>
      <w:r>
        <w:rPr>
          <w:rFonts w:ascii="仿宋" w:hAnsi="仿宋" w:eastAsia="仿宋" w:cs="仿宋"/>
          <w:color w:val="000000" w:themeColor="text1"/>
          <w:sz w:val="28"/>
          <w:szCs w:val="28"/>
          <w:highlight w:val="none"/>
          <w14:textFill>
            <w14:solidFill>
              <w14:schemeClr w14:val="tx1"/>
            </w14:solidFill>
          </w14:textFill>
        </w:rPr>
        <w:t>19.5本合同应按照中华人民共和国现行法律进行解释。</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color w:val="000000" w:themeColor="text1"/>
          <w:highlight w:val="none"/>
          <w14:textFill>
            <w14:solidFill>
              <w14:schemeClr w14:val="tx1"/>
            </w14:solidFill>
          </w14:textFill>
        </w:rPr>
      </w:pPr>
      <w:r>
        <w:rPr>
          <w:rFonts w:ascii="仿宋" w:hAnsi="仿宋" w:eastAsia="仿宋" w:cs="仿宋"/>
          <w:b/>
          <w:color w:val="000000" w:themeColor="text1"/>
          <w:sz w:val="36"/>
          <w:highlight w:val="none"/>
          <w14:textFill>
            <w14:solidFill>
              <w14:schemeClr w14:val="tx1"/>
            </w14:solidFill>
          </w14:textFill>
        </w:rPr>
        <w:t>第五章项目采购需求</w:t>
      </w:r>
    </w:p>
    <w:p>
      <w:pPr>
        <w:numPr>
          <w:ilvl w:val="0"/>
          <w:numId w:val="5"/>
        </w:numPr>
        <w:pBdr>
          <w:top w:val="none" w:color="000000" w:sz="0" w:space="0"/>
          <w:left w:val="none" w:color="000000" w:sz="0" w:space="0"/>
          <w:bottom w:val="none" w:color="000000" w:sz="0" w:space="0"/>
          <w:right w:val="none" w:color="000000" w:sz="0" w:space="0"/>
        </w:pBdr>
        <w:spacing w:before="240" w:after="240" w:line="519" w:lineRule="atLeast"/>
        <w:ind w:left="0" w:right="0" w:firstLine="0"/>
        <w:rPr>
          <w:rFonts w:ascii="仿宋" w:hAnsi="仿宋" w:eastAsia="仿宋" w:cs="仿宋"/>
          <w:b/>
          <w:color w:val="000000" w:themeColor="text1"/>
          <w:sz w:val="28"/>
          <w:highlight w:val="none"/>
          <w14:textFill>
            <w14:solidFill>
              <w14:schemeClr w14:val="tx1"/>
            </w14:solidFill>
          </w14:textFill>
        </w:rPr>
      </w:pPr>
      <w:r>
        <w:rPr>
          <w:rFonts w:ascii="仿宋" w:hAnsi="仿宋" w:eastAsia="仿宋" w:cs="仿宋"/>
          <w:b/>
          <w:color w:val="000000" w:themeColor="text1"/>
          <w:sz w:val="28"/>
          <w:highlight w:val="none"/>
          <w14:textFill>
            <w14:solidFill>
              <w14:schemeClr w14:val="tx1"/>
            </w14:solidFill>
          </w14:textFill>
        </w:rPr>
        <w:t>采购清单</w:t>
      </w:r>
    </w:p>
    <w:tbl>
      <w:tblPr>
        <w:tblStyle w:val="31"/>
        <w:tblpPr w:leftFromText="180" w:rightFromText="180" w:vertAnchor="text" w:horzAnchor="page" w:tblpXSpec="center" w:tblpY="664"/>
        <w:tblOverlap w:val="never"/>
        <w:tblW w:w="9906" w:type="dxa"/>
        <w:jc w:val="center"/>
        <w:tblInd w:w="0" w:type="dxa"/>
        <w:tblLayout w:type="fixed"/>
        <w:tblCellMar>
          <w:top w:w="0" w:type="dxa"/>
          <w:left w:w="108" w:type="dxa"/>
          <w:bottom w:w="0" w:type="dxa"/>
          <w:right w:w="108" w:type="dxa"/>
        </w:tblCellMar>
      </w:tblPr>
      <w:tblGrid>
        <w:gridCol w:w="756"/>
        <w:gridCol w:w="2679"/>
        <w:gridCol w:w="741"/>
        <w:gridCol w:w="1380"/>
        <w:gridCol w:w="1455"/>
        <w:gridCol w:w="2895"/>
      </w:tblGrid>
      <w:tr>
        <w:tblPrEx>
          <w:tblLayout w:type="fixed"/>
          <w:tblCellMar>
            <w:top w:w="0" w:type="dxa"/>
            <w:left w:w="108" w:type="dxa"/>
            <w:bottom w:w="0" w:type="dxa"/>
            <w:right w:w="108" w:type="dxa"/>
          </w:tblCellMar>
        </w:tblPrEx>
        <w:trPr>
          <w:trHeight w:val="469" w:hRule="atLeast"/>
          <w:jc w:val="center"/>
        </w:trPr>
        <w:tc>
          <w:tcPr>
            <w:tcW w:w="756" w:type="dxa"/>
            <w:tcBorders>
              <w:top w:val="single" w:color="000000" w:sz="4" w:space="0"/>
              <w:left w:val="single" w:color="000000" w:sz="4" w:space="0"/>
              <w:bottom w:val="single" w:color="000000" w:sz="4" w:space="0"/>
              <w:right w:val="single" w:color="000000" w:sz="4" w:space="0"/>
            </w:tcBorders>
            <w:noWrap w:val="0"/>
            <w:vAlign w:val="center"/>
          </w:tcPr>
          <w:p>
            <w:pPr>
              <w:spacing w:line="560" w:lineRule="exact"/>
              <w:jc w:val="both"/>
              <w:rPr>
                <w:rFonts w:hint="eastAsia" w:ascii="仿宋" w:hAnsi="仿宋" w:eastAsia="仿宋" w:cs="仿宋"/>
                <w:bCs/>
                <w:kern w:val="0"/>
                <w:sz w:val="24"/>
                <w:szCs w:val="24"/>
              </w:rPr>
            </w:pPr>
            <w:r>
              <w:rPr>
                <w:rFonts w:hint="eastAsia" w:ascii="仿宋" w:hAnsi="仿宋" w:eastAsia="仿宋" w:cs="仿宋"/>
                <w:bCs/>
                <w:kern w:val="0"/>
                <w:sz w:val="24"/>
                <w:szCs w:val="24"/>
              </w:rPr>
              <w:t>序号</w:t>
            </w:r>
          </w:p>
        </w:tc>
        <w:tc>
          <w:tcPr>
            <w:tcW w:w="2679" w:type="dxa"/>
            <w:tcBorders>
              <w:top w:val="single" w:color="000000" w:sz="4" w:space="0"/>
              <w:left w:val="single" w:color="000000" w:sz="4" w:space="0"/>
              <w:bottom w:val="single" w:color="000000" w:sz="4" w:space="0"/>
              <w:right w:val="single" w:color="000000" w:sz="4" w:space="0"/>
            </w:tcBorders>
            <w:noWrap w:val="0"/>
            <w:vAlign w:val="center"/>
          </w:tcPr>
          <w:p>
            <w:pPr>
              <w:spacing w:line="560" w:lineRule="exact"/>
              <w:ind w:firstLine="787" w:firstLineChars="328"/>
              <w:rPr>
                <w:rFonts w:hint="eastAsia" w:ascii="仿宋" w:hAnsi="仿宋" w:eastAsia="仿宋" w:cs="仿宋"/>
                <w:bCs/>
                <w:kern w:val="0"/>
                <w:sz w:val="24"/>
                <w:szCs w:val="24"/>
              </w:rPr>
            </w:pPr>
            <w:r>
              <w:rPr>
                <w:rFonts w:hint="eastAsia" w:ascii="仿宋" w:hAnsi="仿宋" w:eastAsia="仿宋" w:cs="仿宋"/>
                <w:bCs/>
                <w:kern w:val="0"/>
                <w:sz w:val="24"/>
                <w:szCs w:val="24"/>
                <w:lang w:val="en-US" w:eastAsia="zh-CN"/>
              </w:rPr>
              <w:t>小区/</w:t>
            </w:r>
            <w:r>
              <w:rPr>
                <w:rFonts w:hint="eastAsia" w:ascii="仿宋" w:hAnsi="仿宋" w:eastAsia="仿宋" w:cs="仿宋"/>
                <w:bCs/>
                <w:kern w:val="0"/>
                <w:sz w:val="24"/>
                <w:szCs w:val="24"/>
              </w:rPr>
              <w:t>楼栋</w:t>
            </w:r>
          </w:p>
        </w:tc>
        <w:tc>
          <w:tcPr>
            <w:tcW w:w="741" w:type="dxa"/>
            <w:tcBorders>
              <w:top w:val="single" w:color="000000" w:sz="4" w:space="0"/>
              <w:left w:val="single" w:color="000000" w:sz="4" w:space="0"/>
              <w:bottom w:val="single" w:color="000000" w:sz="4" w:space="0"/>
              <w:right w:val="single" w:color="auto" w:sz="4" w:space="0"/>
            </w:tcBorders>
            <w:noWrap w:val="0"/>
            <w:vAlign w:val="center"/>
          </w:tcPr>
          <w:p>
            <w:pPr>
              <w:spacing w:line="560" w:lineRule="exact"/>
              <w:jc w:val="center"/>
              <w:rPr>
                <w:rFonts w:hint="eastAsia" w:ascii="仿宋" w:hAnsi="仿宋" w:eastAsia="仿宋" w:cs="仿宋"/>
                <w:bCs/>
                <w:kern w:val="0"/>
                <w:sz w:val="24"/>
                <w:szCs w:val="24"/>
              </w:rPr>
            </w:pPr>
            <w:r>
              <w:rPr>
                <w:rFonts w:hint="eastAsia" w:ascii="仿宋" w:hAnsi="仿宋" w:eastAsia="仿宋" w:cs="仿宋"/>
                <w:bCs/>
                <w:kern w:val="0"/>
                <w:sz w:val="24"/>
                <w:szCs w:val="24"/>
                <w:lang w:val="en-US" w:eastAsia="zh-CN"/>
              </w:rPr>
              <w:t>台数</w:t>
            </w:r>
          </w:p>
        </w:tc>
        <w:tc>
          <w:tcPr>
            <w:tcW w:w="1380" w:type="dxa"/>
            <w:tcBorders>
              <w:top w:val="single" w:color="000000" w:sz="4" w:space="0"/>
              <w:left w:val="single" w:color="auto" w:sz="4" w:space="0"/>
              <w:bottom w:val="single" w:color="000000" w:sz="4" w:space="0"/>
              <w:right w:val="single" w:color="000000" w:sz="4" w:space="0"/>
            </w:tcBorders>
            <w:noWrap w:val="0"/>
            <w:vAlign w:val="center"/>
          </w:tcPr>
          <w:p>
            <w:pPr>
              <w:spacing w:line="560" w:lineRule="exact"/>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rPr>
              <w:t>载重(kg)</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spacing w:line="560" w:lineRule="exact"/>
              <w:jc w:val="center"/>
              <w:rPr>
                <w:rFonts w:hint="eastAsia" w:ascii="仿宋" w:hAnsi="仿宋" w:eastAsia="仿宋" w:cs="仿宋"/>
                <w:bCs/>
                <w:kern w:val="0"/>
                <w:sz w:val="24"/>
                <w:szCs w:val="24"/>
              </w:rPr>
            </w:pPr>
            <w:r>
              <w:rPr>
                <w:rFonts w:hint="eastAsia" w:ascii="仿宋" w:hAnsi="仿宋" w:eastAsia="仿宋" w:cs="仿宋"/>
                <w:bCs/>
                <w:kern w:val="0"/>
                <w:sz w:val="24"/>
                <w:szCs w:val="24"/>
              </w:rPr>
              <w:t>速度(m/s)</w:t>
            </w:r>
          </w:p>
        </w:tc>
        <w:tc>
          <w:tcPr>
            <w:tcW w:w="2895" w:type="dxa"/>
            <w:tcBorders>
              <w:top w:val="single" w:color="000000" w:sz="4" w:space="0"/>
              <w:left w:val="single" w:color="000000" w:sz="4" w:space="0"/>
              <w:bottom w:val="single" w:color="000000" w:sz="4" w:space="0"/>
              <w:right w:val="single" w:color="000000" w:sz="4" w:space="0"/>
            </w:tcBorders>
            <w:noWrap w:val="0"/>
            <w:vAlign w:val="center"/>
          </w:tcPr>
          <w:p>
            <w:pPr>
              <w:spacing w:line="560" w:lineRule="exact"/>
              <w:jc w:val="center"/>
              <w:rPr>
                <w:rFonts w:hint="eastAsia" w:ascii="仿宋" w:hAnsi="仿宋" w:eastAsia="仿宋" w:cs="仿宋"/>
                <w:bCs/>
                <w:kern w:val="0"/>
                <w:sz w:val="24"/>
                <w:szCs w:val="24"/>
              </w:rPr>
            </w:pPr>
            <w:r>
              <w:rPr>
                <w:rFonts w:hint="eastAsia" w:ascii="仿宋" w:hAnsi="仿宋" w:eastAsia="仿宋" w:cs="仿宋"/>
                <w:bCs/>
                <w:kern w:val="0"/>
                <w:sz w:val="24"/>
                <w:szCs w:val="24"/>
              </w:rPr>
              <w:t>层站门</w:t>
            </w:r>
          </w:p>
        </w:tc>
      </w:tr>
      <w:tr>
        <w:tblPrEx>
          <w:tblLayout w:type="fixed"/>
          <w:tblCellMar>
            <w:top w:w="0" w:type="dxa"/>
            <w:left w:w="108" w:type="dxa"/>
            <w:bottom w:w="0" w:type="dxa"/>
            <w:right w:w="108" w:type="dxa"/>
          </w:tblCellMar>
        </w:tblPrEx>
        <w:trPr>
          <w:trHeight w:val="560" w:hRule="atLeast"/>
          <w:jc w:val="center"/>
        </w:trPr>
        <w:tc>
          <w:tcPr>
            <w:tcW w:w="756" w:type="dxa"/>
            <w:vMerge w:val="restart"/>
            <w:tcBorders>
              <w:top w:val="single" w:color="000000" w:sz="4" w:space="0"/>
              <w:left w:val="single" w:color="000000" w:sz="4" w:space="0"/>
              <w:right w:val="single" w:color="000000" w:sz="4" w:space="0"/>
            </w:tcBorders>
            <w:noWrap w:val="0"/>
            <w:vAlign w:val="center"/>
          </w:tcPr>
          <w:p>
            <w:pPr>
              <w:spacing w:line="560" w:lineRule="exact"/>
              <w:jc w:val="center"/>
              <w:rPr>
                <w:rFonts w:hint="eastAsia" w:ascii="仿宋" w:hAnsi="仿宋" w:eastAsia="仿宋" w:cs="仿宋"/>
                <w:bCs/>
                <w:kern w:val="0"/>
                <w:sz w:val="24"/>
                <w:szCs w:val="24"/>
              </w:rPr>
            </w:pPr>
            <w:r>
              <w:rPr>
                <w:rFonts w:hint="eastAsia" w:ascii="仿宋" w:hAnsi="仿宋" w:eastAsia="仿宋" w:cs="仿宋"/>
                <w:bCs/>
                <w:kern w:val="0"/>
                <w:sz w:val="24"/>
                <w:szCs w:val="24"/>
              </w:rPr>
              <w:t>1</w:t>
            </w:r>
          </w:p>
        </w:tc>
        <w:tc>
          <w:tcPr>
            <w:tcW w:w="2679" w:type="dxa"/>
            <w:vMerge w:val="restart"/>
            <w:tcBorders>
              <w:top w:val="single" w:color="000000" w:sz="4" w:space="0"/>
              <w:left w:val="single" w:color="000000" w:sz="4" w:space="0"/>
              <w:right w:val="single" w:color="000000" w:sz="4" w:space="0"/>
            </w:tcBorders>
            <w:noWrap w:val="0"/>
            <w:vAlign w:val="center"/>
          </w:tcPr>
          <w:p>
            <w:pPr>
              <w:spacing w:line="560" w:lineRule="exact"/>
              <w:jc w:val="center"/>
              <w:rPr>
                <w:rFonts w:hint="default"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华夏国际中心3号楼</w:t>
            </w:r>
          </w:p>
        </w:tc>
        <w:tc>
          <w:tcPr>
            <w:tcW w:w="741" w:type="dxa"/>
            <w:tcBorders>
              <w:top w:val="single" w:color="000000" w:sz="4" w:space="0"/>
              <w:left w:val="single" w:color="000000" w:sz="4" w:space="0"/>
              <w:bottom w:val="single" w:color="000000" w:sz="4" w:space="0"/>
              <w:right w:val="single" w:color="auto" w:sz="4" w:space="0"/>
            </w:tcBorders>
            <w:noWrap w:val="0"/>
            <w:vAlign w:val="center"/>
          </w:tcPr>
          <w:p>
            <w:pPr>
              <w:spacing w:line="560" w:lineRule="exact"/>
              <w:jc w:val="center"/>
              <w:rPr>
                <w:rFonts w:hint="default"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2</w:t>
            </w:r>
          </w:p>
        </w:tc>
        <w:tc>
          <w:tcPr>
            <w:tcW w:w="1380" w:type="dxa"/>
            <w:tcBorders>
              <w:top w:val="single" w:color="000000" w:sz="4" w:space="0"/>
              <w:left w:val="single" w:color="auto" w:sz="4" w:space="0"/>
              <w:bottom w:val="single" w:color="000000" w:sz="4" w:space="0"/>
              <w:right w:val="single" w:color="000000" w:sz="4" w:space="0"/>
            </w:tcBorders>
            <w:noWrap w:val="0"/>
            <w:vAlign w:val="center"/>
          </w:tcPr>
          <w:p>
            <w:pPr>
              <w:spacing w:line="560" w:lineRule="exact"/>
              <w:jc w:val="center"/>
              <w:rPr>
                <w:rFonts w:hint="default"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800</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spacing w:line="560" w:lineRule="exact"/>
              <w:ind w:firstLine="240" w:firstLineChars="100"/>
              <w:jc w:val="center"/>
              <w:rPr>
                <w:rFonts w:hint="eastAsia" w:ascii="仿宋" w:hAnsi="仿宋" w:eastAsia="仿宋" w:cs="仿宋"/>
                <w:bCs/>
                <w:kern w:val="0"/>
                <w:sz w:val="24"/>
                <w:szCs w:val="24"/>
                <w:highlight w:val="none"/>
              </w:rPr>
            </w:pPr>
            <w:r>
              <w:rPr>
                <w:rFonts w:ascii="仿宋" w:hAnsi="仿宋" w:eastAsia="仿宋" w:cs="仿宋"/>
                <w:bCs/>
                <w:kern w:val="0"/>
                <w:sz w:val="24"/>
                <w:szCs w:val="24"/>
                <w:highlight w:val="none"/>
              </w:rPr>
              <w:t>1</w:t>
            </w:r>
            <w:r>
              <w:rPr>
                <w:rFonts w:hint="eastAsia" w:ascii="仿宋" w:hAnsi="仿宋" w:eastAsia="仿宋" w:cs="仿宋"/>
                <w:bCs/>
                <w:kern w:val="0"/>
                <w:sz w:val="24"/>
                <w:szCs w:val="24"/>
                <w:highlight w:val="none"/>
              </w:rPr>
              <w:t>.75</w:t>
            </w:r>
          </w:p>
        </w:tc>
        <w:tc>
          <w:tcPr>
            <w:tcW w:w="2895" w:type="dxa"/>
            <w:tcBorders>
              <w:top w:val="single" w:color="000000" w:sz="4" w:space="0"/>
              <w:left w:val="single" w:color="000000" w:sz="4" w:space="0"/>
              <w:bottom w:val="single" w:color="000000" w:sz="4" w:space="0"/>
              <w:right w:val="single" w:color="000000" w:sz="4" w:space="0"/>
            </w:tcBorders>
            <w:noWrap w:val="0"/>
            <w:vAlign w:val="center"/>
          </w:tcPr>
          <w:p>
            <w:pPr>
              <w:spacing w:line="560" w:lineRule="exact"/>
              <w:jc w:val="center"/>
              <w:rPr>
                <w:rFonts w:hint="eastAsia" w:ascii="仿宋" w:hAnsi="仿宋" w:eastAsia="仿宋" w:cs="仿宋"/>
                <w:bCs/>
                <w:kern w:val="0"/>
                <w:sz w:val="24"/>
                <w:szCs w:val="24"/>
                <w:lang w:eastAsia="zh-CN"/>
              </w:rPr>
            </w:pPr>
            <w:r>
              <w:rPr>
                <w:rFonts w:hint="eastAsia" w:ascii="仿宋" w:hAnsi="仿宋" w:eastAsia="仿宋" w:cs="仿宋"/>
                <w:bCs/>
                <w:kern w:val="0"/>
                <w:sz w:val="24"/>
                <w:szCs w:val="24"/>
              </w:rPr>
              <w:t>1</w:t>
            </w:r>
            <w:r>
              <w:rPr>
                <w:rFonts w:hint="eastAsia" w:ascii="仿宋" w:hAnsi="仿宋" w:eastAsia="仿宋" w:cs="仿宋"/>
                <w:bCs/>
                <w:kern w:val="0"/>
                <w:sz w:val="24"/>
                <w:szCs w:val="24"/>
                <w:lang w:val="en-US" w:eastAsia="zh-CN"/>
              </w:rPr>
              <w:t>6</w:t>
            </w:r>
            <w:r>
              <w:rPr>
                <w:rFonts w:hint="eastAsia" w:ascii="仿宋" w:hAnsi="仿宋" w:eastAsia="仿宋" w:cs="仿宋"/>
                <w:bCs/>
                <w:kern w:val="0"/>
                <w:sz w:val="24"/>
                <w:szCs w:val="24"/>
              </w:rPr>
              <w:t>/15/15</w:t>
            </w:r>
            <w:r>
              <w:rPr>
                <w:rFonts w:hint="eastAsia" w:ascii="仿宋" w:hAnsi="仿宋" w:eastAsia="仿宋" w:cs="仿宋"/>
                <w:bCs/>
                <w:kern w:val="0"/>
                <w:sz w:val="24"/>
                <w:szCs w:val="24"/>
                <w:lang w:eastAsia="zh-CN"/>
              </w:rPr>
              <w:t>（</w:t>
            </w:r>
            <w:r>
              <w:rPr>
                <w:rFonts w:hint="eastAsia" w:ascii="仿宋" w:hAnsi="仿宋" w:eastAsia="仿宋" w:cs="仿宋"/>
                <w:bCs/>
                <w:kern w:val="0"/>
                <w:sz w:val="24"/>
                <w:szCs w:val="24"/>
                <w:lang w:val="en-US" w:eastAsia="zh-CN"/>
              </w:rPr>
              <w:t>有机房</w:t>
            </w:r>
            <w:r>
              <w:rPr>
                <w:rFonts w:hint="eastAsia" w:ascii="仿宋" w:hAnsi="仿宋" w:eastAsia="仿宋" w:cs="仿宋"/>
                <w:bCs/>
                <w:kern w:val="0"/>
                <w:sz w:val="24"/>
                <w:szCs w:val="24"/>
                <w:lang w:eastAsia="zh-CN"/>
              </w:rPr>
              <w:t>）</w:t>
            </w:r>
          </w:p>
        </w:tc>
      </w:tr>
      <w:tr>
        <w:tblPrEx>
          <w:tblLayout w:type="fixed"/>
          <w:tblCellMar>
            <w:top w:w="0" w:type="dxa"/>
            <w:left w:w="108" w:type="dxa"/>
            <w:bottom w:w="0" w:type="dxa"/>
            <w:right w:w="108" w:type="dxa"/>
          </w:tblCellMar>
        </w:tblPrEx>
        <w:trPr>
          <w:trHeight w:val="560" w:hRule="atLeast"/>
          <w:jc w:val="center"/>
        </w:trPr>
        <w:tc>
          <w:tcPr>
            <w:tcW w:w="756" w:type="dxa"/>
            <w:vMerge w:val="continue"/>
            <w:tcBorders>
              <w:left w:val="single" w:color="000000" w:sz="4" w:space="0"/>
              <w:bottom w:val="single" w:color="000000" w:sz="4" w:space="0"/>
              <w:right w:val="single" w:color="000000" w:sz="4" w:space="0"/>
            </w:tcBorders>
            <w:noWrap w:val="0"/>
            <w:vAlign w:val="center"/>
          </w:tcPr>
          <w:p>
            <w:pPr>
              <w:spacing w:line="560" w:lineRule="exact"/>
              <w:jc w:val="center"/>
              <w:rPr>
                <w:rFonts w:hint="eastAsia" w:ascii="仿宋" w:hAnsi="仿宋" w:eastAsia="仿宋" w:cs="仿宋"/>
                <w:bCs/>
                <w:kern w:val="0"/>
                <w:sz w:val="24"/>
                <w:szCs w:val="24"/>
              </w:rPr>
            </w:pPr>
          </w:p>
        </w:tc>
        <w:tc>
          <w:tcPr>
            <w:tcW w:w="2679" w:type="dxa"/>
            <w:vMerge w:val="continue"/>
            <w:tcBorders>
              <w:left w:val="single" w:color="000000" w:sz="4" w:space="0"/>
              <w:bottom w:val="single" w:color="000000" w:sz="4" w:space="0"/>
              <w:right w:val="single" w:color="000000" w:sz="4" w:space="0"/>
            </w:tcBorders>
            <w:noWrap w:val="0"/>
            <w:vAlign w:val="center"/>
          </w:tcPr>
          <w:p>
            <w:pPr>
              <w:spacing w:line="560" w:lineRule="exact"/>
              <w:jc w:val="center"/>
              <w:rPr>
                <w:rFonts w:hint="eastAsia" w:ascii="仿宋" w:hAnsi="仿宋" w:eastAsia="仿宋" w:cs="仿宋"/>
                <w:bCs/>
                <w:kern w:val="0"/>
                <w:sz w:val="24"/>
                <w:szCs w:val="24"/>
                <w:lang w:val="en-US" w:eastAsia="zh-CN"/>
              </w:rPr>
            </w:pPr>
          </w:p>
        </w:tc>
        <w:tc>
          <w:tcPr>
            <w:tcW w:w="741" w:type="dxa"/>
            <w:tcBorders>
              <w:top w:val="single" w:color="000000" w:sz="4" w:space="0"/>
              <w:left w:val="single" w:color="000000" w:sz="4" w:space="0"/>
              <w:bottom w:val="single" w:color="000000" w:sz="4" w:space="0"/>
              <w:right w:val="single" w:color="auto" w:sz="4" w:space="0"/>
            </w:tcBorders>
            <w:noWrap w:val="0"/>
            <w:vAlign w:val="center"/>
          </w:tcPr>
          <w:p>
            <w:pPr>
              <w:spacing w:line="560" w:lineRule="exact"/>
              <w:jc w:val="center"/>
              <w:rPr>
                <w:rFonts w:hint="default"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2</w:t>
            </w:r>
          </w:p>
        </w:tc>
        <w:tc>
          <w:tcPr>
            <w:tcW w:w="1380" w:type="dxa"/>
            <w:tcBorders>
              <w:top w:val="single" w:color="000000" w:sz="4" w:space="0"/>
              <w:left w:val="single" w:color="auto" w:sz="4" w:space="0"/>
              <w:bottom w:val="single" w:color="000000" w:sz="4" w:space="0"/>
              <w:right w:val="single" w:color="000000" w:sz="4" w:space="0"/>
            </w:tcBorders>
            <w:noWrap w:val="0"/>
            <w:vAlign w:val="center"/>
          </w:tcPr>
          <w:p>
            <w:pPr>
              <w:spacing w:line="560" w:lineRule="exact"/>
              <w:jc w:val="center"/>
              <w:rPr>
                <w:rFonts w:hint="default"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800</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spacing w:line="560" w:lineRule="exact"/>
              <w:ind w:firstLine="240" w:firstLineChars="100"/>
              <w:jc w:val="center"/>
              <w:rPr>
                <w:rFonts w:hint="default" w:ascii="仿宋" w:hAnsi="仿宋" w:eastAsia="仿宋" w:cs="仿宋"/>
                <w:bCs/>
                <w:kern w:val="0"/>
                <w:sz w:val="24"/>
                <w:szCs w:val="24"/>
                <w:highlight w:val="none"/>
                <w:lang w:val="en-US" w:eastAsia="zh-CN"/>
              </w:rPr>
            </w:pPr>
            <w:r>
              <w:rPr>
                <w:rFonts w:hint="eastAsia" w:ascii="仿宋" w:hAnsi="仿宋" w:eastAsia="仿宋" w:cs="仿宋"/>
                <w:bCs/>
                <w:kern w:val="0"/>
                <w:sz w:val="24"/>
                <w:szCs w:val="24"/>
                <w:highlight w:val="none"/>
                <w:lang w:val="en-US" w:eastAsia="zh-CN"/>
              </w:rPr>
              <w:t>1.75</w:t>
            </w:r>
          </w:p>
        </w:tc>
        <w:tc>
          <w:tcPr>
            <w:tcW w:w="2895" w:type="dxa"/>
            <w:tcBorders>
              <w:top w:val="single" w:color="000000" w:sz="4" w:space="0"/>
              <w:left w:val="single" w:color="000000" w:sz="4" w:space="0"/>
              <w:bottom w:val="single" w:color="000000" w:sz="4" w:space="0"/>
              <w:right w:val="single" w:color="000000" w:sz="4" w:space="0"/>
            </w:tcBorders>
            <w:noWrap w:val="0"/>
            <w:vAlign w:val="center"/>
          </w:tcPr>
          <w:p>
            <w:pPr>
              <w:spacing w:line="560" w:lineRule="exact"/>
              <w:jc w:val="center"/>
              <w:rPr>
                <w:rFonts w:hint="eastAsia" w:ascii="仿宋" w:hAnsi="仿宋" w:eastAsia="仿宋" w:cs="仿宋"/>
                <w:bCs/>
                <w:kern w:val="0"/>
                <w:sz w:val="24"/>
                <w:szCs w:val="24"/>
                <w:lang w:eastAsia="zh-CN"/>
              </w:rPr>
            </w:pPr>
            <w:r>
              <w:rPr>
                <w:rFonts w:hint="eastAsia" w:ascii="仿宋" w:hAnsi="仿宋" w:eastAsia="仿宋" w:cs="仿宋"/>
                <w:bCs/>
                <w:kern w:val="0"/>
                <w:sz w:val="24"/>
                <w:szCs w:val="24"/>
              </w:rPr>
              <w:t>1</w:t>
            </w:r>
            <w:r>
              <w:rPr>
                <w:rFonts w:hint="eastAsia" w:ascii="仿宋" w:hAnsi="仿宋" w:eastAsia="仿宋" w:cs="仿宋"/>
                <w:bCs/>
                <w:kern w:val="0"/>
                <w:sz w:val="24"/>
                <w:szCs w:val="24"/>
                <w:lang w:val="en-US" w:eastAsia="zh-CN"/>
              </w:rPr>
              <w:t>5</w:t>
            </w:r>
            <w:r>
              <w:rPr>
                <w:rFonts w:hint="eastAsia" w:ascii="仿宋" w:hAnsi="仿宋" w:eastAsia="仿宋" w:cs="仿宋"/>
                <w:bCs/>
                <w:kern w:val="0"/>
                <w:sz w:val="24"/>
                <w:szCs w:val="24"/>
              </w:rPr>
              <w:t>/1</w:t>
            </w:r>
            <w:r>
              <w:rPr>
                <w:rFonts w:hint="eastAsia" w:ascii="仿宋" w:hAnsi="仿宋" w:eastAsia="仿宋" w:cs="仿宋"/>
                <w:bCs/>
                <w:kern w:val="0"/>
                <w:sz w:val="24"/>
                <w:szCs w:val="24"/>
                <w:lang w:val="en-US" w:eastAsia="zh-CN"/>
              </w:rPr>
              <w:t>4</w:t>
            </w:r>
            <w:r>
              <w:rPr>
                <w:rFonts w:hint="eastAsia" w:ascii="仿宋" w:hAnsi="仿宋" w:eastAsia="仿宋" w:cs="仿宋"/>
                <w:bCs/>
                <w:kern w:val="0"/>
                <w:sz w:val="24"/>
                <w:szCs w:val="24"/>
              </w:rPr>
              <w:t>/1</w:t>
            </w:r>
            <w:r>
              <w:rPr>
                <w:rFonts w:hint="eastAsia" w:ascii="仿宋" w:hAnsi="仿宋" w:eastAsia="仿宋" w:cs="仿宋"/>
                <w:bCs/>
                <w:kern w:val="0"/>
                <w:sz w:val="24"/>
                <w:szCs w:val="24"/>
                <w:lang w:val="en-US" w:eastAsia="zh-CN"/>
              </w:rPr>
              <w:t>4（2层不停）</w:t>
            </w:r>
          </w:p>
        </w:tc>
      </w:tr>
      <w:tr>
        <w:tblPrEx>
          <w:tblLayout w:type="fixed"/>
          <w:tblCellMar>
            <w:top w:w="0" w:type="dxa"/>
            <w:left w:w="108" w:type="dxa"/>
            <w:bottom w:w="0" w:type="dxa"/>
            <w:right w:w="108" w:type="dxa"/>
          </w:tblCellMar>
        </w:tblPrEx>
        <w:trPr>
          <w:trHeight w:val="560" w:hRule="atLeast"/>
          <w:jc w:val="center"/>
        </w:trPr>
        <w:tc>
          <w:tcPr>
            <w:tcW w:w="756" w:type="dxa"/>
            <w:tcBorders>
              <w:top w:val="single" w:color="000000" w:sz="4" w:space="0"/>
              <w:left w:val="single" w:color="000000" w:sz="4" w:space="0"/>
              <w:bottom w:val="single" w:color="000000" w:sz="4" w:space="0"/>
              <w:right w:val="single" w:color="000000" w:sz="4" w:space="0"/>
            </w:tcBorders>
            <w:noWrap w:val="0"/>
            <w:vAlign w:val="center"/>
          </w:tcPr>
          <w:p>
            <w:pPr>
              <w:spacing w:line="560" w:lineRule="exact"/>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2</w:t>
            </w:r>
          </w:p>
        </w:tc>
        <w:tc>
          <w:tcPr>
            <w:tcW w:w="2679" w:type="dxa"/>
            <w:tcBorders>
              <w:top w:val="single" w:color="000000" w:sz="4" w:space="0"/>
              <w:left w:val="single" w:color="000000" w:sz="4" w:space="0"/>
              <w:bottom w:val="single" w:color="000000" w:sz="4" w:space="0"/>
              <w:right w:val="single" w:color="000000" w:sz="4" w:space="0"/>
            </w:tcBorders>
            <w:noWrap w:val="0"/>
            <w:vAlign w:val="center"/>
          </w:tcPr>
          <w:p>
            <w:pPr>
              <w:spacing w:line="560" w:lineRule="exact"/>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华厦国际中心2号楼</w:t>
            </w:r>
          </w:p>
        </w:tc>
        <w:tc>
          <w:tcPr>
            <w:tcW w:w="741" w:type="dxa"/>
            <w:tcBorders>
              <w:top w:val="single" w:color="000000" w:sz="4" w:space="0"/>
              <w:left w:val="single" w:color="000000" w:sz="4" w:space="0"/>
              <w:bottom w:val="single" w:color="000000" w:sz="4" w:space="0"/>
              <w:right w:val="single" w:color="auto" w:sz="4" w:space="0"/>
            </w:tcBorders>
            <w:noWrap w:val="0"/>
            <w:vAlign w:val="center"/>
          </w:tcPr>
          <w:p>
            <w:pPr>
              <w:spacing w:line="560" w:lineRule="exact"/>
              <w:jc w:val="center"/>
              <w:rPr>
                <w:rFonts w:hint="default"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5</w:t>
            </w:r>
          </w:p>
        </w:tc>
        <w:tc>
          <w:tcPr>
            <w:tcW w:w="1380" w:type="dxa"/>
            <w:tcBorders>
              <w:top w:val="single" w:color="000000" w:sz="4" w:space="0"/>
              <w:left w:val="single" w:color="auto" w:sz="4" w:space="0"/>
              <w:bottom w:val="single" w:color="000000" w:sz="4" w:space="0"/>
              <w:right w:val="single" w:color="000000" w:sz="4" w:space="0"/>
            </w:tcBorders>
            <w:noWrap w:val="0"/>
            <w:vAlign w:val="center"/>
          </w:tcPr>
          <w:p>
            <w:pPr>
              <w:spacing w:line="560" w:lineRule="exact"/>
              <w:jc w:val="center"/>
              <w:rPr>
                <w:rFonts w:hint="default"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800</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spacing w:line="560" w:lineRule="exact"/>
              <w:ind w:firstLine="240" w:firstLineChars="100"/>
              <w:jc w:val="center"/>
              <w:rPr>
                <w:rFonts w:hint="eastAsia" w:ascii="仿宋" w:hAnsi="仿宋" w:eastAsia="仿宋" w:cs="仿宋"/>
                <w:bCs/>
                <w:kern w:val="0"/>
                <w:sz w:val="24"/>
                <w:szCs w:val="24"/>
                <w:highlight w:val="none"/>
                <w:lang w:eastAsia="zh-CN"/>
              </w:rPr>
            </w:pPr>
            <w:r>
              <w:rPr>
                <w:rFonts w:ascii="仿宋" w:hAnsi="仿宋" w:eastAsia="仿宋" w:cs="仿宋"/>
                <w:bCs/>
                <w:kern w:val="0"/>
                <w:sz w:val="24"/>
                <w:szCs w:val="24"/>
                <w:highlight w:val="none"/>
              </w:rPr>
              <w:t>1</w:t>
            </w:r>
            <w:r>
              <w:rPr>
                <w:rFonts w:hint="eastAsia" w:ascii="仿宋" w:hAnsi="仿宋" w:eastAsia="仿宋" w:cs="仿宋"/>
                <w:bCs/>
                <w:kern w:val="0"/>
                <w:sz w:val="24"/>
                <w:szCs w:val="24"/>
                <w:highlight w:val="none"/>
              </w:rPr>
              <w:t>.</w:t>
            </w:r>
            <w:r>
              <w:rPr>
                <w:rFonts w:hint="eastAsia" w:ascii="仿宋" w:hAnsi="仿宋" w:eastAsia="仿宋" w:cs="仿宋"/>
                <w:bCs/>
                <w:kern w:val="0"/>
                <w:sz w:val="24"/>
                <w:szCs w:val="24"/>
                <w:highlight w:val="none"/>
                <w:lang w:val="en-US" w:eastAsia="zh-CN"/>
              </w:rPr>
              <w:t>5</w:t>
            </w:r>
          </w:p>
        </w:tc>
        <w:tc>
          <w:tcPr>
            <w:tcW w:w="2895" w:type="dxa"/>
            <w:tcBorders>
              <w:top w:val="single" w:color="000000" w:sz="4" w:space="0"/>
              <w:left w:val="single" w:color="000000" w:sz="4" w:space="0"/>
              <w:bottom w:val="single" w:color="000000" w:sz="4" w:space="0"/>
              <w:right w:val="single" w:color="000000" w:sz="4" w:space="0"/>
            </w:tcBorders>
            <w:noWrap w:val="0"/>
            <w:vAlign w:val="center"/>
          </w:tcPr>
          <w:p>
            <w:pPr>
              <w:spacing w:line="560" w:lineRule="exact"/>
              <w:jc w:val="center"/>
              <w:rPr>
                <w:rFonts w:hint="default"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9/9/9（有机房）</w:t>
            </w:r>
          </w:p>
        </w:tc>
      </w:tr>
      <w:tr>
        <w:tblPrEx>
          <w:tblLayout w:type="fixed"/>
          <w:tblCellMar>
            <w:top w:w="0" w:type="dxa"/>
            <w:left w:w="108" w:type="dxa"/>
            <w:bottom w:w="0" w:type="dxa"/>
            <w:right w:w="108" w:type="dxa"/>
          </w:tblCellMar>
        </w:tblPrEx>
        <w:trPr>
          <w:trHeight w:val="560" w:hRule="atLeast"/>
          <w:jc w:val="center"/>
        </w:trPr>
        <w:tc>
          <w:tcPr>
            <w:tcW w:w="756" w:type="dxa"/>
            <w:tcBorders>
              <w:top w:val="single" w:color="000000" w:sz="4" w:space="0"/>
              <w:left w:val="single" w:color="000000" w:sz="4" w:space="0"/>
              <w:bottom w:val="single" w:color="000000" w:sz="4" w:space="0"/>
              <w:right w:val="single" w:color="000000" w:sz="4" w:space="0"/>
            </w:tcBorders>
            <w:noWrap w:val="0"/>
            <w:vAlign w:val="center"/>
          </w:tcPr>
          <w:p>
            <w:pPr>
              <w:spacing w:line="560" w:lineRule="exact"/>
              <w:jc w:val="center"/>
              <w:rPr>
                <w:rFonts w:hint="default"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3</w:t>
            </w:r>
          </w:p>
        </w:tc>
        <w:tc>
          <w:tcPr>
            <w:tcW w:w="2679" w:type="dxa"/>
            <w:tcBorders>
              <w:top w:val="single" w:color="000000" w:sz="4" w:space="0"/>
              <w:left w:val="single" w:color="000000" w:sz="4" w:space="0"/>
              <w:bottom w:val="single" w:color="000000" w:sz="4" w:space="0"/>
              <w:right w:val="single" w:color="000000" w:sz="4" w:space="0"/>
            </w:tcBorders>
            <w:noWrap w:val="0"/>
            <w:vAlign w:val="center"/>
          </w:tcPr>
          <w:p>
            <w:pPr>
              <w:spacing w:line="560" w:lineRule="exact"/>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凤悦天晴小区2号楼</w:t>
            </w:r>
          </w:p>
        </w:tc>
        <w:tc>
          <w:tcPr>
            <w:tcW w:w="741" w:type="dxa"/>
            <w:tcBorders>
              <w:top w:val="single" w:color="000000" w:sz="4" w:space="0"/>
              <w:left w:val="single" w:color="000000" w:sz="4" w:space="0"/>
              <w:bottom w:val="single" w:color="000000" w:sz="4" w:space="0"/>
              <w:right w:val="single" w:color="auto" w:sz="4" w:space="0"/>
            </w:tcBorders>
            <w:noWrap w:val="0"/>
            <w:vAlign w:val="center"/>
          </w:tcPr>
          <w:p>
            <w:pPr>
              <w:spacing w:line="560" w:lineRule="exact"/>
              <w:jc w:val="center"/>
              <w:rPr>
                <w:rFonts w:hint="default"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1</w:t>
            </w:r>
          </w:p>
        </w:tc>
        <w:tc>
          <w:tcPr>
            <w:tcW w:w="1380" w:type="dxa"/>
            <w:tcBorders>
              <w:top w:val="single" w:color="000000" w:sz="4" w:space="0"/>
              <w:left w:val="single" w:color="auto" w:sz="4" w:space="0"/>
              <w:bottom w:val="single" w:color="000000" w:sz="4" w:space="0"/>
              <w:right w:val="single" w:color="000000" w:sz="4" w:space="0"/>
            </w:tcBorders>
            <w:noWrap w:val="0"/>
            <w:vAlign w:val="center"/>
          </w:tcPr>
          <w:p>
            <w:pPr>
              <w:spacing w:line="560" w:lineRule="exact"/>
              <w:jc w:val="center"/>
              <w:rPr>
                <w:rFonts w:hint="default"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800</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spacing w:line="560" w:lineRule="exact"/>
              <w:ind w:firstLine="240" w:firstLineChars="100"/>
              <w:jc w:val="center"/>
              <w:rPr>
                <w:rFonts w:hint="default" w:ascii="仿宋" w:hAnsi="仿宋" w:eastAsia="仿宋" w:cs="仿宋"/>
                <w:bCs/>
                <w:kern w:val="0"/>
                <w:sz w:val="24"/>
                <w:szCs w:val="24"/>
                <w:highlight w:val="none"/>
                <w:lang w:val="en-US" w:eastAsia="zh-CN"/>
              </w:rPr>
            </w:pPr>
            <w:r>
              <w:rPr>
                <w:rFonts w:hint="eastAsia" w:ascii="仿宋" w:hAnsi="仿宋" w:eastAsia="仿宋" w:cs="仿宋"/>
                <w:bCs/>
                <w:kern w:val="0"/>
                <w:sz w:val="24"/>
                <w:szCs w:val="24"/>
                <w:highlight w:val="none"/>
                <w:lang w:val="en-US" w:eastAsia="zh-CN"/>
              </w:rPr>
              <w:t>1.0</w:t>
            </w:r>
          </w:p>
        </w:tc>
        <w:tc>
          <w:tcPr>
            <w:tcW w:w="2895" w:type="dxa"/>
            <w:tcBorders>
              <w:top w:val="single" w:color="000000" w:sz="4" w:space="0"/>
              <w:left w:val="single" w:color="000000" w:sz="4" w:space="0"/>
              <w:bottom w:val="single" w:color="000000" w:sz="4" w:space="0"/>
              <w:right w:val="single" w:color="000000" w:sz="4" w:space="0"/>
            </w:tcBorders>
            <w:noWrap w:val="0"/>
            <w:vAlign w:val="center"/>
          </w:tcPr>
          <w:p>
            <w:pPr>
              <w:spacing w:line="560" w:lineRule="exact"/>
              <w:jc w:val="center"/>
              <w:rPr>
                <w:rFonts w:hint="default"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5/4/4（无机房，2层不停）</w:t>
            </w:r>
          </w:p>
        </w:tc>
      </w:tr>
      <w:tr>
        <w:tblPrEx>
          <w:tblLayout w:type="fixed"/>
          <w:tblCellMar>
            <w:top w:w="0" w:type="dxa"/>
            <w:left w:w="108" w:type="dxa"/>
            <w:bottom w:w="0" w:type="dxa"/>
            <w:right w:w="108" w:type="dxa"/>
          </w:tblCellMar>
        </w:tblPrEx>
        <w:trPr>
          <w:trHeight w:val="560" w:hRule="atLeast"/>
          <w:jc w:val="center"/>
        </w:trPr>
        <w:tc>
          <w:tcPr>
            <w:tcW w:w="756" w:type="dxa"/>
            <w:tcBorders>
              <w:top w:val="single" w:color="000000" w:sz="4" w:space="0"/>
              <w:left w:val="single" w:color="000000" w:sz="4" w:space="0"/>
              <w:bottom w:val="single" w:color="000000" w:sz="4" w:space="0"/>
              <w:right w:val="single" w:color="000000" w:sz="4" w:space="0"/>
            </w:tcBorders>
            <w:noWrap w:val="0"/>
            <w:vAlign w:val="center"/>
          </w:tcPr>
          <w:p>
            <w:pPr>
              <w:spacing w:line="560" w:lineRule="exact"/>
              <w:jc w:val="center"/>
              <w:rPr>
                <w:rFonts w:hint="default"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4</w:t>
            </w:r>
          </w:p>
        </w:tc>
        <w:tc>
          <w:tcPr>
            <w:tcW w:w="2679" w:type="dxa"/>
            <w:tcBorders>
              <w:top w:val="single" w:color="000000" w:sz="4" w:space="0"/>
              <w:left w:val="single" w:color="000000" w:sz="4" w:space="0"/>
              <w:bottom w:val="single" w:color="000000" w:sz="4" w:space="0"/>
              <w:right w:val="single" w:color="000000" w:sz="4" w:space="0"/>
            </w:tcBorders>
            <w:noWrap w:val="0"/>
            <w:vAlign w:val="center"/>
          </w:tcPr>
          <w:p>
            <w:pPr>
              <w:spacing w:line="560" w:lineRule="exact"/>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凤悦天晴小区3号楼</w:t>
            </w:r>
          </w:p>
        </w:tc>
        <w:tc>
          <w:tcPr>
            <w:tcW w:w="741" w:type="dxa"/>
            <w:tcBorders>
              <w:top w:val="single" w:color="000000" w:sz="4" w:space="0"/>
              <w:left w:val="single" w:color="000000" w:sz="4" w:space="0"/>
              <w:bottom w:val="single" w:color="000000" w:sz="4" w:space="0"/>
              <w:right w:val="single" w:color="auto" w:sz="4" w:space="0"/>
            </w:tcBorders>
            <w:noWrap w:val="0"/>
            <w:vAlign w:val="center"/>
          </w:tcPr>
          <w:p>
            <w:pPr>
              <w:spacing w:line="560" w:lineRule="exact"/>
              <w:jc w:val="center"/>
              <w:rPr>
                <w:rFonts w:hint="default"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1</w:t>
            </w:r>
          </w:p>
        </w:tc>
        <w:tc>
          <w:tcPr>
            <w:tcW w:w="1380" w:type="dxa"/>
            <w:tcBorders>
              <w:top w:val="single" w:color="000000" w:sz="4" w:space="0"/>
              <w:left w:val="single" w:color="auto" w:sz="4" w:space="0"/>
              <w:bottom w:val="single" w:color="000000" w:sz="4" w:space="0"/>
              <w:right w:val="single" w:color="000000" w:sz="4" w:space="0"/>
            </w:tcBorders>
            <w:noWrap w:val="0"/>
            <w:vAlign w:val="center"/>
          </w:tcPr>
          <w:p>
            <w:pPr>
              <w:spacing w:line="560" w:lineRule="exact"/>
              <w:jc w:val="center"/>
              <w:rPr>
                <w:rFonts w:hint="default"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800</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spacing w:line="560" w:lineRule="exact"/>
              <w:ind w:firstLine="240" w:firstLineChars="100"/>
              <w:jc w:val="center"/>
              <w:rPr>
                <w:rFonts w:hint="default" w:ascii="仿宋" w:hAnsi="仿宋" w:eastAsia="仿宋" w:cs="仿宋"/>
                <w:bCs/>
                <w:kern w:val="0"/>
                <w:sz w:val="24"/>
                <w:szCs w:val="24"/>
                <w:highlight w:val="none"/>
                <w:lang w:val="en-US" w:eastAsia="zh-CN"/>
              </w:rPr>
            </w:pPr>
            <w:r>
              <w:rPr>
                <w:rFonts w:hint="eastAsia" w:ascii="仿宋" w:hAnsi="仿宋" w:eastAsia="仿宋" w:cs="仿宋"/>
                <w:bCs/>
                <w:kern w:val="0"/>
                <w:sz w:val="24"/>
                <w:szCs w:val="24"/>
                <w:highlight w:val="none"/>
                <w:lang w:val="en-US" w:eastAsia="zh-CN"/>
              </w:rPr>
              <w:t>1.0</w:t>
            </w:r>
          </w:p>
        </w:tc>
        <w:tc>
          <w:tcPr>
            <w:tcW w:w="2895" w:type="dxa"/>
            <w:tcBorders>
              <w:top w:val="single" w:color="000000" w:sz="4" w:space="0"/>
              <w:left w:val="single" w:color="000000" w:sz="4" w:space="0"/>
              <w:bottom w:val="single" w:color="000000" w:sz="4" w:space="0"/>
              <w:right w:val="single" w:color="000000" w:sz="4" w:space="0"/>
            </w:tcBorders>
            <w:noWrap w:val="0"/>
            <w:vAlign w:val="center"/>
          </w:tcPr>
          <w:p>
            <w:pPr>
              <w:spacing w:line="560" w:lineRule="exact"/>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5/4/4（无机房，2层不停：一层开前门，3、4、5层开后门，轿厢贯通）</w:t>
            </w:r>
          </w:p>
        </w:tc>
      </w:tr>
    </w:tbl>
    <w:p>
      <w:pPr>
        <w:pStyle w:val="15"/>
        <w:numPr>
          <w:ilvl w:val="0"/>
          <w:numId w:val="0"/>
        </w:numPr>
      </w:pPr>
    </w:p>
    <w:p>
      <w:pPr>
        <w:pBdr>
          <w:top w:val="none" w:color="000000" w:sz="0" w:space="0"/>
          <w:left w:val="none" w:color="000000" w:sz="0" w:space="0"/>
          <w:bottom w:val="none" w:color="000000" w:sz="0" w:space="0"/>
          <w:right w:val="none" w:color="000000" w:sz="0" w:space="0"/>
        </w:pBdr>
        <w:spacing w:before="240" w:after="240" w:line="519" w:lineRule="atLeast"/>
        <w:ind w:left="0" w:right="0" w:firstLine="0"/>
        <w:jc w:val="both"/>
        <w:rPr>
          <w:color w:val="000000" w:themeColor="text1"/>
          <w:highlight w:val="none"/>
          <w14:textFill>
            <w14:solidFill>
              <w14:schemeClr w14:val="tx1"/>
            </w14:solidFill>
          </w14:textFill>
        </w:rPr>
      </w:pPr>
      <w:r>
        <w:rPr>
          <w:rFonts w:hint="eastAsia" w:ascii="仿宋" w:hAnsi="仿宋" w:eastAsia="仿宋" w:cs="仿宋"/>
          <w:b/>
          <w:color w:val="000000" w:themeColor="text1"/>
          <w:sz w:val="28"/>
          <w:highlight w:val="none"/>
          <w:lang w:val="en-US" w:eastAsia="zh-CN"/>
          <w14:textFill>
            <w14:solidFill>
              <w14:schemeClr w14:val="tx1"/>
            </w14:solidFill>
          </w14:textFill>
        </w:rPr>
        <w:t>二、11</w:t>
      </w:r>
      <w:r>
        <w:rPr>
          <w:rFonts w:ascii="仿宋" w:hAnsi="仿宋" w:eastAsia="仿宋" w:cs="仿宋"/>
          <w:b/>
          <w:color w:val="000000" w:themeColor="text1"/>
          <w:sz w:val="28"/>
          <w:highlight w:val="none"/>
          <w14:textFill>
            <w14:solidFill>
              <w14:schemeClr w14:val="tx1"/>
            </w14:solidFill>
          </w14:textFill>
        </w:rPr>
        <w:t>台电梯均需满足以下技术参数：</w:t>
      </w:r>
    </w:p>
    <w:tbl>
      <w:tblPr>
        <w:tblStyle w:val="283"/>
        <w:tblW w:w="9434" w:type="dxa"/>
        <w:tblInd w:w="-12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6"/>
        <w:gridCol w:w="8058"/>
        <w:gridCol w:w="68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71" w:hRule="atLeast"/>
        </w:trPr>
        <w:tc>
          <w:tcPr>
            <w:tcW w:w="696" w:type="dxa"/>
            <w:noWrap w:val="0"/>
            <w:vAlign w:val="top"/>
          </w:tcPr>
          <w:p>
            <w:pPr>
              <w:pStyle w:val="282"/>
              <w:spacing w:before="211" w:line="222" w:lineRule="auto"/>
              <w:ind w:left="70"/>
              <w:rPr>
                <w:rFonts w:hint="eastAsia" w:ascii="仿宋" w:hAnsi="仿宋" w:eastAsia="仿宋" w:cs="仿宋"/>
                <w:sz w:val="28"/>
                <w:szCs w:val="28"/>
              </w:rPr>
            </w:pPr>
            <w:r>
              <w:rPr>
                <w:rFonts w:hint="eastAsia" w:ascii="仿宋" w:hAnsi="仿宋" w:eastAsia="仿宋" w:cs="仿宋"/>
                <w:spacing w:val="-3"/>
                <w:sz w:val="28"/>
                <w:szCs w:val="28"/>
              </w:rPr>
              <w:t>序号</w:t>
            </w:r>
          </w:p>
        </w:tc>
        <w:tc>
          <w:tcPr>
            <w:tcW w:w="8058" w:type="dxa"/>
            <w:noWrap w:val="0"/>
            <w:vAlign w:val="top"/>
          </w:tcPr>
          <w:p>
            <w:pPr>
              <w:pStyle w:val="282"/>
              <w:spacing w:before="211" w:line="220" w:lineRule="auto"/>
              <w:ind w:left="3815"/>
              <w:rPr>
                <w:rFonts w:hint="eastAsia" w:ascii="仿宋" w:hAnsi="仿宋" w:eastAsia="仿宋" w:cs="仿宋"/>
                <w:sz w:val="28"/>
                <w:szCs w:val="28"/>
              </w:rPr>
            </w:pPr>
            <w:r>
              <w:rPr>
                <w:rFonts w:hint="eastAsia" w:ascii="仿宋" w:hAnsi="仿宋" w:eastAsia="仿宋" w:cs="仿宋"/>
                <w:spacing w:val="-5"/>
                <w:sz w:val="28"/>
                <w:szCs w:val="28"/>
              </w:rPr>
              <w:t>规格</w:t>
            </w:r>
          </w:p>
        </w:tc>
        <w:tc>
          <w:tcPr>
            <w:tcW w:w="680" w:type="dxa"/>
            <w:noWrap w:val="0"/>
            <w:vAlign w:val="top"/>
          </w:tcPr>
          <w:p>
            <w:pPr>
              <w:pStyle w:val="282"/>
              <w:spacing w:before="211" w:line="222" w:lineRule="auto"/>
              <w:ind w:left="12"/>
              <w:rPr>
                <w:rFonts w:hint="eastAsia" w:ascii="仿宋" w:hAnsi="仿宋" w:eastAsia="仿宋" w:cs="仿宋"/>
                <w:sz w:val="28"/>
                <w:szCs w:val="28"/>
              </w:rPr>
            </w:pPr>
            <w:r>
              <w:rPr>
                <w:rFonts w:hint="eastAsia" w:ascii="仿宋" w:hAnsi="仿宋" w:eastAsia="仿宋" w:cs="仿宋"/>
                <w:spacing w:val="-5"/>
                <w:sz w:val="28"/>
                <w:szCs w:val="28"/>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64" w:hRule="atLeast"/>
        </w:trPr>
        <w:tc>
          <w:tcPr>
            <w:tcW w:w="696" w:type="dxa"/>
            <w:noWrap w:val="0"/>
            <w:vAlign w:val="top"/>
          </w:tcPr>
          <w:p>
            <w:pPr>
              <w:pStyle w:val="282"/>
              <w:spacing w:before="72" w:line="242"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1</w:t>
            </w:r>
          </w:p>
        </w:tc>
        <w:tc>
          <w:tcPr>
            <w:tcW w:w="8058" w:type="dxa"/>
            <w:noWrap w:val="0"/>
            <w:vAlign w:val="top"/>
          </w:tcPr>
          <w:p>
            <w:pPr>
              <w:pStyle w:val="282"/>
              <w:spacing w:before="209" w:line="214" w:lineRule="auto"/>
              <w:ind w:left="110"/>
              <w:rPr>
                <w:rFonts w:hint="eastAsia" w:ascii="仿宋" w:hAnsi="仿宋" w:eastAsia="仿宋" w:cs="仿宋"/>
                <w:color w:val="auto"/>
                <w:sz w:val="28"/>
                <w:szCs w:val="28"/>
                <w:highlight w:val="none"/>
                <w:lang w:eastAsia="zh-CN"/>
              </w:rPr>
            </w:pPr>
            <w:r>
              <w:rPr>
                <w:rFonts w:hint="eastAsia" w:ascii="仿宋" w:hAnsi="仿宋" w:eastAsia="仿宋" w:cs="仿宋"/>
                <w:color w:val="auto"/>
                <w:spacing w:val="-1"/>
                <w:sz w:val="28"/>
                <w:szCs w:val="28"/>
                <w:highlight w:val="none"/>
              </w:rPr>
              <w:t>电梯类别：</w:t>
            </w:r>
            <w:r>
              <w:rPr>
                <w:rFonts w:hint="eastAsia" w:ascii="仿宋" w:hAnsi="仿宋" w:eastAsia="仿宋" w:cs="仿宋"/>
                <w:color w:val="auto"/>
                <w:spacing w:val="-7"/>
                <w:sz w:val="28"/>
                <w:szCs w:val="28"/>
                <w:highlight w:val="none"/>
              </w:rPr>
              <w:t>乘客电梯合计1</w:t>
            </w:r>
            <w:r>
              <w:rPr>
                <w:rFonts w:hint="eastAsia" w:ascii="仿宋" w:hAnsi="仿宋" w:eastAsia="仿宋" w:cs="仿宋"/>
                <w:color w:val="auto"/>
                <w:spacing w:val="-7"/>
                <w:sz w:val="28"/>
                <w:szCs w:val="28"/>
                <w:highlight w:val="none"/>
                <w:lang w:val="en-US" w:eastAsia="zh-CN"/>
              </w:rPr>
              <w:t>1</w:t>
            </w:r>
            <w:r>
              <w:rPr>
                <w:rFonts w:hint="eastAsia" w:ascii="仿宋" w:hAnsi="仿宋" w:eastAsia="仿宋" w:cs="仿宋"/>
                <w:color w:val="auto"/>
                <w:spacing w:val="-7"/>
                <w:sz w:val="28"/>
                <w:szCs w:val="28"/>
                <w:highlight w:val="none"/>
              </w:rPr>
              <w:t>台</w:t>
            </w:r>
            <w:r>
              <w:rPr>
                <w:rFonts w:hint="eastAsia" w:ascii="仿宋" w:hAnsi="仿宋" w:eastAsia="仿宋" w:cs="仿宋"/>
                <w:color w:val="auto"/>
                <w:spacing w:val="-7"/>
                <w:sz w:val="28"/>
                <w:szCs w:val="28"/>
                <w:highlight w:val="none"/>
                <w:lang w:val="en-US" w:eastAsia="zh-CN"/>
              </w:rPr>
              <w:t>;</w:t>
            </w:r>
            <w:r>
              <w:rPr>
                <w:rFonts w:hint="eastAsia" w:ascii="仿宋" w:hAnsi="仿宋" w:eastAsia="仿宋" w:cs="仿宋"/>
                <w:color w:val="auto"/>
                <w:spacing w:val="-1"/>
                <w:sz w:val="28"/>
                <w:szCs w:val="28"/>
                <w:highlight w:val="none"/>
              </w:rPr>
              <w:t>载重量</w:t>
            </w:r>
            <w:r>
              <w:rPr>
                <w:rFonts w:hint="eastAsia" w:ascii="仿宋" w:hAnsi="仿宋" w:eastAsia="仿宋" w:cs="仿宋"/>
                <w:color w:val="auto"/>
                <w:spacing w:val="-7"/>
                <w:sz w:val="28"/>
                <w:szCs w:val="28"/>
                <w:highlight w:val="none"/>
                <w:lang w:val="en-US" w:eastAsia="zh-CN"/>
              </w:rPr>
              <w:t>≥</w:t>
            </w:r>
            <w:r>
              <w:rPr>
                <w:rFonts w:hint="eastAsia" w:ascii="仿宋" w:hAnsi="仿宋" w:eastAsia="仿宋" w:cs="仿宋"/>
                <w:color w:val="auto"/>
                <w:spacing w:val="-1"/>
                <w:sz w:val="28"/>
                <w:szCs w:val="28"/>
                <w:highlight w:val="none"/>
              </w:rPr>
              <w:t>800kg</w:t>
            </w:r>
            <w:r>
              <w:rPr>
                <w:rFonts w:hint="eastAsia" w:ascii="仿宋" w:hAnsi="仿宋" w:eastAsia="仿宋" w:cs="仿宋"/>
                <w:color w:val="auto"/>
                <w:spacing w:val="-1"/>
                <w:sz w:val="28"/>
                <w:szCs w:val="28"/>
                <w:highlight w:val="none"/>
                <w:lang w:eastAsia="zh-CN"/>
              </w:rPr>
              <w:t>；</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0" w:hRule="atLeast"/>
        </w:trPr>
        <w:tc>
          <w:tcPr>
            <w:tcW w:w="696" w:type="dxa"/>
            <w:noWrap w:val="0"/>
            <w:vAlign w:val="top"/>
          </w:tcPr>
          <w:p>
            <w:pPr>
              <w:pStyle w:val="282"/>
              <w:spacing w:before="209" w:line="235" w:lineRule="auto"/>
              <w:ind w:left="237"/>
              <w:rPr>
                <w:rFonts w:hint="eastAsia" w:ascii="仿宋" w:hAnsi="仿宋" w:eastAsia="仿宋" w:cs="仿宋"/>
                <w:sz w:val="28"/>
                <w:szCs w:val="28"/>
              </w:rPr>
            </w:pPr>
            <w:r>
              <w:rPr>
                <w:rFonts w:hint="eastAsia" w:ascii="仿宋" w:hAnsi="仿宋" w:eastAsia="仿宋" w:cs="仿宋"/>
                <w:sz w:val="28"/>
                <w:szCs w:val="28"/>
              </w:rPr>
              <w:t>2</w:t>
            </w:r>
          </w:p>
        </w:tc>
        <w:tc>
          <w:tcPr>
            <w:tcW w:w="8058" w:type="dxa"/>
            <w:noWrap w:val="0"/>
            <w:vAlign w:val="top"/>
          </w:tcPr>
          <w:p>
            <w:pPr>
              <w:pStyle w:val="282"/>
              <w:spacing w:before="210" w:line="219" w:lineRule="auto"/>
              <w:ind w:left="112"/>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提升高度：依据现场高度</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37" w:hRule="atLeast"/>
        </w:trPr>
        <w:tc>
          <w:tcPr>
            <w:tcW w:w="696" w:type="dxa"/>
            <w:noWrap w:val="0"/>
            <w:vAlign w:val="center"/>
          </w:tcPr>
          <w:p>
            <w:pPr>
              <w:pStyle w:val="282"/>
              <w:spacing w:before="72"/>
              <w:jc w:val="center"/>
              <w:rPr>
                <w:rFonts w:hint="eastAsia" w:ascii="仿宋" w:hAnsi="仿宋" w:eastAsia="仿宋" w:cs="仿宋"/>
                <w:sz w:val="28"/>
                <w:szCs w:val="28"/>
              </w:rPr>
            </w:pPr>
            <w:r>
              <w:rPr>
                <w:rFonts w:hint="eastAsia" w:ascii="仿宋" w:hAnsi="仿宋" w:eastAsia="仿宋" w:cs="仿宋"/>
                <w:sz w:val="28"/>
                <w:szCs w:val="28"/>
              </w:rPr>
              <w:t>3</w:t>
            </w:r>
          </w:p>
        </w:tc>
        <w:tc>
          <w:tcPr>
            <w:tcW w:w="8058" w:type="dxa"/>
            <w:noWrap w:val="0"/>
            <w:vAlign w:val="top"/>
          </w:tcPr>
          <w:p>
            <w:pPr>
              <w:pStyle w:val="282"/>
              <w:spacing w:before="209" w:line="219" w:lineRule="auto"/>
              <w:ind w:left="111"/>
              <w:rPr>
                <w:rFonts w:hint="eastAsia" w:ascii="仿宋" w:hAnsi="仿宋" w:eastAsia="仿宋" w:cs="仿宋"/>
                <w:color w:val="auto"/>
                <w:sz w:val="28"/>
                <w:szCs w:val="28"/>
                <w:highlight w:val="none"/>
                <w:lang w:val="en-US" w:eastAsia="zh-CN"/>
              </w:rPr>
            </w:pPr>
            <w:r>
              <w:rPr>
                <w:rFonts w:hint="eastAsia" w:ascii="仿宋" w:hAnsi="仿宋" w:eastAsia="仿宋" w:cs="仿宋"/>
                <w:color w:val="auto"/>
                <w:spacing w:val="-1"/>
                <w:sz w:val="28"/>
                <w:szCs w:val="28"/>
                <w:highlight w:val="none"/>
              </w:rPr>
              <w:t>井道尺寸：依据现场</w:t>
            </w:r>
            <w:r>
              <w:rPr>
                <w:rFonts w:hint="eastAsia" w:ascii="仿宋" w:hAnsi="仿宋" w:eastAsia="仿宋" w:cs="仿宋"/>
                <w:color w:val="auto"/>
                <w:spacing w:val="-1"/>
                <w:sz w:val="28"/>
                <w:szCs w:val="28"/>
                <w:highlight w:val="none"/>
                <w:lang w:val="en-US" w:eastAsia="zh-CN"/>
              </w:rPr>
              <w:t>尺寸</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65" w:hRule="atLeast"/>
        </w:trPr>
        <w:tc>
          <w:tcPr>
            <w:tcW w:w="696" w:type="dxa"/>
            <w:noWrap w:val="0"/>
            <w:vAlign w:val="top"/>
          </w:tcPr>
          <w:p>
            <w:pPr>
              <w:pStyle w:val="282"/>
              <w:spacing w:before="241" w:line="242" w:lineRule="auto"/>
              <w:ind w:left="234"/>
              <w:rPr>
                <w:rFonts w:hint="eastAsia" w:ascii="仿宋" w:hAnsi="仿宋" w:eastAsia="仿宋" w:cs="仿宋"/>
                <w:sz w:val="28"/>
                <w:szCs w:val="28"/>
              </w:rPr>
            </w:pPr>
            <w:r>
              <w:rPr>
                <w:rFonts w:hint="eastAsia" w:ascii="仿宋" w:hAnsi="仿宋" w:eastAsia="仿宋" w:cs="仿宋"/>
                <w:sz w:val="28"/>
                <w:szCs w:val="28"/>
              </w:rPr>
              <w:t>4</w:t>
            </w:r>
          </w:p>
        </w:tc>
        <w:tc>
          <w:tcPr>
            <w:tcW w:w="8058" w:type="dxa"/>
            <w:noWrap w:val="0"/>
            <w:vAlign w:val="top"/>
          </w:tcPr>
          <w:p>
            <w:pPr>
              <w:pStyle w:val="282"/>
              <w:spacing w:before="242" w:line="219" w:lineRule="auto"/>
              <w:ind w:left="111"/>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顶层高度：依据现场高度</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0" w:hRule="atLeast"/>
        </w:trPr>
        <w:tc>
          <w:tcPr>
            <w:tcW w:w="696" w:type="dxa"/>
            <w:noWrap w:val="0"/>
            <w:vAlign w:val="top"/>
          </w:tcPr>
          <w:p>
            <w:pPr>
              <w:pStyle w:val="282"/>
              <w:spacing w:before="212" w:line="233" w:lineRule="auto"/>
              <w:ind w:left="239"/>
              <w:rPr>
                <w:rFonts w:hint="eastAsia" w:ascii="仿宋" w:hAnsi="仿宋" w:eastAsia="仿宋" w:cs="仿宋"/>
                <w:sz w:val="28"/>
                <w:szCs w:val="28"/>
              </w:rPr>
            </w:pPr>
            <w:r>
              <w:rPr>
                <w:rFonts w:hint="eastAsia" w:ascii="仿宋" w:hAnsi="仿宋" w:eastAsia="仿宋" w:cs="仿宋"/>
                <w:sz w:val="28"/>
                <w:szCs w:val="28"/>
              </w:rPr>
              <w:t>5</w:t>
            </w:r>
          </w:p>
        </w:tc>
        <w:tc>
          <w:tcPr>
            <w:tcW w:w="8058" w:type="dxa"/>
            <w:noWrap w:val="0"/>
            <w:vAlign w:val="top"/>
          </w:tcPr>
          <w:p>
            <w:pPr>
              <w:pStyle w:val="282"/>
              <w:spacing w:before="212" w:line="219" w:lineRule="auto"/>
              <w:ind w:left="110"/>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底坑尺寸：依据现场</w:t>
            </w:r>
            <w:r>
              <w:rPr>
                <w:rFonts w:hint="eastAsia" w:ascii="仿宋" w:hAnsi="仿宋" w:eastAsia="仿宋" w:cs="仿宋"/>
                <w:color w:val="auto"/>
                <w:spacing w:val="-1"/>
                <w:sz w:val="28"/>
                <w:szCs w:val="28"/>
                <w:highlight w:val="none"/>
                <w:lang w:val="en-US" w:eastAsia="zh-CN"/>
              </w:rPr>
              <w:t>尺寸</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688" w:hRule="atLeast"/>
        </w:trPr>
        <w:tc>
          <w:tcPr>
            <w:tcW w:w="696" w:type="dxa"/>
            <w:noWrap w:val="0"/>
            <w:vAlign w:val="top"/>
          </w:tcPr>
          <w:p>
            <w:pPr>
              <w:pStyle w:val="282"/>
              <w:spacing w:before="304"/>
              <w:ind w:left="236"/>
              <w:rPr>
                <w:rFonts w:hint="eastAsia" w:ascii="仿宋" w:hAnsi="仿宋" w:eastAsia="仿宋" w:cs="仿宋"/>
                <w:sz w:val="28"/>
                <w:szCs w:val="28"/>
              </w:rPr>
            </w:pPr>
            <w:r>
              <w:rPr>
                <w:rFonts w:hint="eastAsia" w:ascii="仿宋" w:hAnsi="仿宋" w:eastAsia="仿宋" w:cs="仿宋"/>
                <w:sz w:val="28"/>
                <w:szCs w:val="28"/>
              </w:rPr>
              <w:t>6</w:t>
            </w:r>
          </w:p>
        </w:tc>
        <w:tc>
          <w:tcPr>
            <w:tcW w:w="8058" w:type="dxa"/>
            <w:noWrap w:val="0"/>
            <w:vAlign w:val="top"/>
          </w:tcPr>
          <w:p>
            <w:pPr>
              <w:pStyle w:val="282"/>
              <w:spacing w:before="305" w:line="219" w:lineRule="auto"/>
              <w:ind w:left="110"/>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轿厢尺寸（长×宽×高</w:t>
            </w:r>
            <w:r>
              <w:rPr>
                <w:rFonts w:hint="eastAsia" w:ascii="仿宋" w:hAnsi="仿宋" w:eastAsia="仿宋" w:cs="仿宋"/>
                <w:color w:val="auto"/>
                <w:spacing w:val="11"/>
                <w:sz w:val="28"/>
                <w:szCs w:val="28"/>
                <w:highlight w:val="none"/>
              </w:rPr>
              <w:t>）：</w:t>
            </w:r>
            <w:r>
              <w:rPr>
                <w:rFonts w:hint="eastAsia" w:ascii="仿宋" w:hAnsi="仿宋" w:eastAsia="仿宋" w:cs="仿宋"/>
                <w:color w:val="auto"/>
                <w:spacing w:val="-1"/>
                <w:sz w:val="28"/>
                <w:szCs w:val="28"/>
                <w:highlight w:val="none"/>
              </w:rPr>
              <w:t>依据现场</w:t>
            </w:r>
            <w:r>
              <w:rPr>
                <w:rFonts w:hint="eastAsia" w:ascii="仿宋" w:hAnsi="仿宋" w:eastAsia="仿宋" w:cs="仿宋"/>
                <w:color w:val="auto"/>
                <w:spacing w:val="-1"/>
                <w:sz w:val="28"/>
                <w:szCs w:val="28"/>
                <w:highlight w:val="none"/>
                <w:lang w:val="en-US" w:eastAsia="zh-CN"/>
              </w:rPr>
              <w:t>尺寸</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0" w:hRule="atLeast"/>
        </w:trPr>
        <w:tc>
          <w:tcPr>
            <w:tcW w:w="696" w:type="dxa"/>
            <w:noWrap w:val="0"/>
            <w:vAlign w:val="top"/>
          </w:tcPr>
          <w:p>
            <w:pPr>
              <w:pStyle w:val="282"/>
              <w:spacing w:before="211" w:line="234" w:lineRule="auto"/>
              <w:ind w:left="240"/>
              <w:rPr>
                <w:rFonts w:hint="eastAsia" w:ascii="仿宋" w:hAnsi="仿宋" w:eastAsia="仿宋" w:cs="仿宋"/>
                <w:sz w:val="28"/>
                <w:szCs w:val="28"/>
              </w:rPr>
            </w:pPr>
            <w:r>
              <w:rPr>
                <w:rFonts w:hint="eastAsia" w:ascii="仿宋" w:hAnsi="仿宋" w:eastAsia="仿宋" w:cs="仿宋"/>
                <w:sz w:val="28"/>
                <w:szCs w:val="28"/>
              </w:rPr>
              <w:t>7</w:t>
            </w:r>
          </w:p>
        </w:tc>
        <w:tc>
          <w:tcPr>
            <w:tcW w:w="8058" w:type="dxa"/>
            <w:noWrap w:val="0"/>
            <w:vAlign w:val="top"/>
          </w:tcPr>
          <w:p>
            <w:pPr>
              <w:pStyle w:val="282"/>
              <w:spacing w:before="212" w:line="219" w:lineRule="auto"/>
              <w:ind w:left="110"/>
              <w:rPr>
                <w:rFonts w:hint="default" w:ascii="仿宋" w:hAnsi="仿宋" w:eastAsia="仿宋" w:cs="仿宋"/>
                <w:color w:val="auto"/>
                <w:sz w:val="28"/>
                <w:szCs w:val="28"/>
                <w:highlight w:val="none"/>
                <w:lang w:val="en-US" w:eastAsia="zh-CN"/>
              </w:rPr>
            </w:pPr>
            <w:r>
              <w:rPr>
                <w:rFonts w:hint="eastAsia" w:ascii="仿宋" w:hAnsi="仿宋" w:eastAsia="仿宋" w:cs="Times New Roman"/>
                <w:color w:val="auto"/>
                <w:sz w:val="28"/>
                <w:szCs w:val="28"/>
                <w:highlight w:val="none"/>
              </w:rPr>
              <w:t>★</w:t>
            </w:r>
            <w:r>
              <w:rPr>
                <w:rFonts w:hint="eastAsia" w:ascii="仿宋" w:hAnsi="仿宋" w:eastAsia="仿宋" w:cs="仿宋"/>
                <w:color w:val="auto"/>
                <w:spacing w:val="-1"/>
                <w:sz w:val="28"/>
                <w:szCs w:val="28"/>
                <w:highlight w:val="none"/>
              </w:rPr>
              <w:t>机房形式：有机房</w:t>
            </w:r>
            <w:r>
              <w:rPr>
                <w:rFonts w:hint="eastAsia" w:ascii="仿宋" w:hAnsi="仿宋" w:eastAsia="仿宋" w:cs="仿宋"/>
                <w:color w:val="auto"/>
                <w:spacing w:val="-1"/>
                <w:sz w:val="28"/>
                <w:szCs w:val="28"/>
                <w:highlight w:val="none"/>
                <w:lang w:eastAsia="zh-CN"/>
              </w:rPr>
              <w:t>、</w:t>
            </w:r>
            <w:r>
              <w:rPr>
                <w:rFonts w:hint="eastAsia" w:ascii="仿宋" w:hAnsi="仿宋" w:eastAsia="仿宋" w:cs="仿宋"/>
                <w:color w:val="auto"/>
                <w:spacing w:val="-1"/>
                <w:sz w:val="28"/>
                <w:szCs w:val="28"/>
                <w:highlight w:val="none"/>
                <w:lang w:val="en-US" w:eastAsia="zh-CN"/>
              </w:rPr>
              <w:t>无机房</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99" w:hRule="atLeast"/>
        </w:trPr>
        <w:tc>
          <w:tcPr>
            <w:tcW w:w="696" w:type="dxa"/>
            <w:noWrap w:val="0"/>
            <w:vAlign w:val="top"/>
          </w:tcPr>
          <w:p>
            <w:pPr>
              <w:spacing w:line="389" w:lineRule="auto"/>
              <w:rPr>
                <w:rFonts w:hint="eastAsia" w:ascii="仿宋" w:hAnsi="仿宋" w:eastAsia="仿宋" w:cs="仿宋"/>
                <w:sz w:val="28"/>
                <w:szCs w:val="28"/>
              </w:rPr>
            </w:pPr>
          </w:p>
          <w:p>
            <w:pPr>
              <w:pStyle w:val="282"/>
              <w:spacing w:before="71"/>
              <w:ind w:left="235"/>
              <w:rPr>
                <w:rFonts w:hint="eastAsia" w:ascii="仿宋" w:hAnsi="仿宋" w:eastAsia="仿宋" w:cs="仿宋"/>
                <w:sz w:val="28"/>
                <w:szCs w:val="28"/>
              </w:rPr>
            </w:pPr>
            <w:r>
              <w:rPr>
                <w:rFonts w:hint="eastAsia" w:ascii="仿宋" w:hAnsi="仿宋" w:eastAsia="仿宋" w:cs="仿宋"/>
                <w:sz w:val="28"/>
                <w:szCs w:val="28"/>
              </w:rPr>
              <w:t>8</w:t>
            </w:r>
          </w:p>
        </w:tc>
        <w:tc>
          <w:tcPr>
            <w:tcW w:w="8058" w:type="dxa"/>
            <w:noWrap w:val="0"/>
            <w:vAlign w:val="top"/>
          </w:tcPr>
          <w:p>
            <w:pPr>
              <w:pStyle w:val="282"/>
              <w:spacing w:before="212" w:line="222" w:lineRule="auto"/>
              <w:ind w:left="137"/>
              <w:rPr>
                <w:rFonts w:hint="eastAsia" w:ascii="仿宋" w:hAnsi="仿宋" w:eastAsia="仿宋" w:cs="仿宋"/>
                <w:sz w:val="28"/>
                <w:szCs w:val="28"/>
              </w:rPr>
            </w:pPr>
            <w:r>
              <w:rPr>
                <w:rFonts w:hint="eastAsia" w:ascii="仿宋" w:hAnsi="仿宋" w:eastAsia="仿宋" w:cs="仿宋"/>
                <w:spacing w:val="-2"/>
                <w:sz w:val="28"/>
                <w:szCs w:val="28"/>
              </w:rPr>
              <w:t>电源要求：交流三相380V±10%50</w:t>
            </w:r>
            <w:r>
              <w:rPr>
                <w:rFonts w:hint="eastAsia" w:ascii="仿宋" w:hAnsi="仿宋" w:eastAsia="仿宋" w:cs="仿宋"/>
                <w:spacing w:val="-3"/>
                <w:sz w:val="28"/>
                <w:szCs w:val="28"/>
              </w:rPr>
              <w:t>HZ</w:t>
            </w:r>
          </w:p>
          <w:p>
            <w:pPr>
              <w:pStyle w:val="282"/>
              <w:spacing w:before="234" w:line="221" w:lineRule="auto"/>
              <w:ind w:left="116"/>
              <w:rPr>
                <w:rFonts w:hint="eastAsia" w:ascii="仿宋" w:hAnsi="仿宋" w:eastAsia="仿宋" w:cs="仿宋"/>
                <w:sz w:val="28"/>
                <w:szCs w:val="28"/>
              </w:rPr>
            </w:pPr>
            <w:r>
              <w:rPr>
                <w:rFonts w:hint="eastAsia" w:ascii="仿宋" w:hAnsi="仿宋" w:eastAsia="仿宋" w:cs="仿宋"/>
                <w:spacing w:val="-2"/>
                <w:sz w:val="28"/>
                <w:szCs w:val="28"/>
              </w:rPr>
              <w:t>交流单相220V±10%50HZ</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0" w:hRule="atLeast"/>
        </w:trPr>
        <w:tc>
          <w:tcPr>
            <w:tcW w:w="696" w:type="dxa"/>
            <w:noWrap w:val="0"/>
            <w:vAlign w:val="top"/>
          </w:tcPr>
          <w:p>
            <w:pPr>
              <w:pStyle w:val="282"/>
              <w:spacing w:before="212" w:line="233" w:lineRule="auto"/>
              <w:ind w:left="235"/>
              <w:rPr>
                <w:rFonts w:hint="eastAsia" w:ascii="仿宋" w:hAnsi="仿宋" w:eastAsia="仿宋" w:cs="仿宋"/>
                <w:sz w:val="28"/>
                <w:szCs w:val="28"/>
              </w:rPr>
            </w:pPr>
            <w:r>
              <w:rPr>
                <w:rFonts w:hint="eastAsia" w:ascii="仿宋" w:hAnsi="仿宋" w:eastAsia="仿宋" w:cs="仿宋"/>
                <w:sz w:val="28"/>
                <w:szCs w:val="28"/>
              </w:rPr>
              <w:t>9</w:t>
            </w:r>
          </w:p>
        </w:tc>
        <w:tc>
          <w:tcPr>
            <w:tcW w:w="8058" w:type="dxa"/>
            <w:noWrap w:val="0"/>
            <w:vAlign w:val="top"/>
          </w:tcPr>
          <w:p>
            <w:pPr>
              <w:pStyle w:val="282"/>
              <w:spacing w:before="212" w:line="220" w:lineRule="auto"/>
              <w:ind w:left="110"/>
              <w:rPr>
                <w:rFonts w:hint="eastAsia" w:ascii="仿宋" w:hAnsi="仿宋" w:eastAsia="仿宋" w:cs="仿宋"/>
                <w:color w:val="auto"/>
                <w:sz w:val="28"/>
                <w:szCs w:val="28"/>
              </w:rPr>
            </w:pPr>
            <w:r>
              <w:rPr>
                <w:rFonts w:hint="eastAsia" w:ascii="仿宋" w:hAnsi="仿宋" w:eastAsia="仿宋" w:cs="仿宋"/>
                <w:color w:val="auto"/>
                <w:spacing w:val="-1"/>
                <w:sz w:val="28"/>
                <w:szCs w:val="28"/>
              </w:rPr>
              <w:t>控制方式：集选控制</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0" w:hRule="atLeast"/>
        </w:trPr>
        <w:tc>
          <w:tcPr>
            <w:tcW w:w="696" w:type="dxa"/>
            <w:noWrap w:val="0"/>
            <w:vAlign w:val="top"/>
          </w:tcPr>
          <w:p>
            <w:pPr>
              <w:pStyle w:val="282"/>
              <w:spacing w:before="213" w:line="232" w:lineRule="auto"/>
              <w:ind w:left="196"/>
              <w:rPr>
                <w:rFonts w:hint="eastAsia" w:ascii="仿宋" w:hAnsi="仿宋" w:eastAsia="仿宋" w:cs="仿宋"/>
                <w:sz w:val="28"/>
                <w:szCs w:val="28"/>
              </w:rPr>
            </w:pPr>
            <w:r>
              <w:rPr>
                <w:rFonts w:hint="eastAsia" w:ascii="仿宋" w:hAnsi="仿宋" w:eastAsia="仿宋" w:cs="仿宋"/>
                <w:spacing w:val="-13"/>
                <w:sz w:val="28"/>
                <w:szCs w:val="28"/>
              </w:rPr>
              <w:t>10</w:t>
            </w:r>
          </w:p>
        </w:tc>
        <w:tc>
          <w:tcPr>
            <w:tcW w:w="8058" w:type="dxa"/>
            <w:noWrap w:val="0"/>
            <w:vAlign w:val="top"/>
          </w:tcPr>
          <w:p>
            <w:pPr>
              <w:pStyle w:val="282"/>
              <w:spacing w:before="214" w:line="219" w:lineRule="auto"/>
              <w:ind w:left="113"/>
              <w:rPr>
                <w:rFonts w:hint="eastAsia" w:ascii="仿宋" w:hAnsi="仿宋" w:eastAsia="仿宋" w:cs="仿宋"/>
                <w:color w:val="auto"/>
                <w:sz w:val="28"/>
                <w:szCs w:val="28"/>
              </w:rPr>
            </w:pPr>
            <w:r>
              <w:rPr>
                <w:rFonts w:hint="eastAsia" w:ascii="仿宋" w:hAnsi="仿宋" w:eastAsia="仿宋" w:cs="仿宋"/>
                <w:color w:val="auto"/>
                <w:spacing w:val="-1"/>
                <w:sz w:val="28"/>
                <w:szCs w:val="28"/>
              </w:rPr>
              <w:t>主机调速方式：VVVF调速</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0" w:hRule="atLeast"/>
        </w:trPr>
        <w:tc>
          <w:tcPr>
            <w:tcW w:w="696" w:type="dxa"/>
            <w:noWrap w:val="0"/>
            <w:vAlign w:val="top"/>
          </w:tcPr>
          <w:p>
            <w:pPr>
              <w:pStyle w:val="282"/>
              <w:spacing w:before="212" w:line="233" w:lineRule="auto"/>
              <w:ind w:left="196"/>
              <w:rPr>
                <w:rFonts w:hint="eastAsia" w:ascii="仿宋" w:hAnsi="仿宋" w:eastAsia="仿宋" w:cs="仿宋"/>
                <w:sz w:val="28"/>
                <w:szCs w:val="28"/>
              </w:rPr>
            </w:pPr>
            <w:r>
              <w:rPr>
                <w:rFonts w:hint="eastAsia" w:ascii="仿宋" w:hAnsi="仿宋" w:eastAsia="仿宋" w:cs="仿宋"/>
                <w:spacing w:val="-13"/>
                <w:sz w:val="28"/>
                <w:szCs w:val="28"/>
              </w:rPr>
              <w:t>11</w:t>
            </w:r>
          </w:p>
        </w:tc>
        <w:tc>
          <w:tcPr>
            <w:tcW w:w="8058" w:type="dxa"/>
            <w:noWrap w:val="0"/>
            <w:vAlign w:val="top"/>
          </w:tcPr>
          <w:p>
            <w:pPr>
              <w:pStyle w:val="282"/>
              <w:spacing w:before="212" w:line="221" w:lineRule="auto"/>
              <w:ind w:left="110"/>
              <w:rPr>
                <w:rFonts w:hint="eastAsia" w:ascii="仿宋" w:hAnsi="仿宋" w:eastAsia="仿宋" w:cs="仿宋"/>
                <w:color w:val="auto"/>
                <w:sz w:val="28"/>
                <w:szCs w:val="28"/>
              </w:rPr>
            </w:pPr>
            <w:r>
              <w:rPr>
                <w:rFonts w:hint="eastAsia" w:ascii="仿宋" w:hAnsi="仿宋" w:eastAsia="仿宋" w:cs="Times New Roman"/>
                <w:color w:val="auto"/>
                <w:sz w:val="28"/>
                <w:szCs w:val="28"/>
              </w:rPr>
              <w:t>★</w:t>
            </w:r>
            <w:r>
              <w:rPr>
                <w:rFonts w:hint="eastAsia" w:ascii="仿宋" w:hAnsi="仿宋" w:eastAsia="仿宋" w:cs="仿宋"/>
                <w:color w:val="auto"/>
                <w:spacing w:val="-1"/>
                <w:sz w:val="28"/>
                <w:szCs w:val="28"/>
              </w:rPr>
              <w:t>开门方式：双扇自动中分门</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0" w:hRule="atLeast"/>
        </w:trPr>
        <w:tc>
          <w:tcPr>
            <w:tcW w:w="696" w:type="dxa"/>
            <w:noWrap w:val="0"/>
            <w:vAlign w:val="top"/>
          </w:tcPr>
          <w:p>
            <w:pPr>
              <w:pStyle w:val="282"/>
              <w:spacing w:before="213" w:line="232" w:lineRule="auto"/>
              <w:ind w:left="196"/>
              <w:rPr>
                <w:rFonts w:hint="eastAsia" w:ascii="仿宋" w:hAnsi="仿宋" w:eastAsia="仿宋" w:cs="仿宋"/>
                <w:sz w:val="28"/>
                <w:szCs w:val="28"/>
              </w:rPr>
            </w:pPr>
            <w:r>
              <w:rPr>
                <w:rFonts w:hint="eastAsia" w:ascii="仿宋" w:hAnsi="仿宋" w:eastAsia="仿宋" w:cs="仿宋"/>
                <w:spacing w:val="-13"/>
                <w:sz w:val="28"/>
                <w:szCs w:val="28"/>
              </w:rPr>
              <w:t>12</w:t>
            </w:r>
          </w:p>
        </w:tc>
        <w:tc>
          <w:tcPr>
            <w:tcW w:w="8058" w:type="dxa"/>
            <w:noWrap w:val="0"/>
            <w:vAlign w:val="top"/>
          </w:tcPr>
          <w:p>
            <w:pPr>
              <w:pStyle w:val="282"/>
              <w:spacing w:before="214" w:line="219" w:lineRule="auto"/>
              <w:ind w:left="110"/>
              <w:rPr>
                <w:rFonts w:hint="default" w:ascii="仿宋" w:hAnsi="仿宋" w:eastAsia="仿宋" w:cs="仿宋"/>
                <w:color w:val="auto"/>
                <w:sz w:val="28"/>
                <w:szCs w:val="28"/>
                <w:lang w:val="en-US" w:eastAsia="zh-CN"/>
              </w:rPr>
            </w:pPr>
            <w:r>
              <w:rPr>
                <w:rFonts w:hint="eastAsia" w:ascii="仿宋" w:hAnsi="仿宋" w:eastAsia="仿宋" w:cs="Times New Roman"/>
                <w:color w:val="auto"/>
                <w:sz w:val="28"/>
                <w:szCs w:val="28"/>
              </w:rPr>
              <w:t>★</w:t>
            </w:r>
            <w:r>
              <w:rPr>
                <w:rFonts w:hint="eastAsia" w:ascii="仿宋" w:hAnsi="仿宋" w:eastAsia="仿宋" w:cs="仿宋"/>
                <w:color w:val="auto"/>
                <w:spacing w:val="-1"/>
                <w:sz w:val="28"/>
                <w:szCs w:val="28"/>
              </w:rPr>
              <w:t>开门尺寸：</w:t>
            </w:r>
            <w:r>
              <w:rPr>
                <w:rFonts w:hint="eastAsia" w:ascii="仿宋" w:hAnsi="仿宋" w:eastAsia="仿宋" w:cs="仿宋"/>
                <w:color w:val="auto"/>
                <w:spacing w:val="-1"/>
                <w:sz w:val="28"/>
                <w:szCs w:val="28"/>
                <w:highlight w:val="none"/>
              </w:rPr>
              <w:t>依据现场</w:t>
            </w:r>
            <w:r>
              <w:rPr>
                <w:rFonts w:hint="eastAsia" w:ascii="仿宋" w:hAnsi="仿宋" w:eastAsia="仿宋" w:cs="仿宋"/>
                <w:color w:val="auto"/>
                <w:spacing w:val="-1"/>
                <w:sz w:val="28"/>
                <w:szCs w:val="28"/>
                <w:highlight w:val="none"/>
                <w:lang w:val="en-US" w:eastAsia="zh-CN"/>
              </w:rPr>
              <w:t>尺寸</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0" w:hRule="atLeast"/>
        </w:trPr>
        <w:tc>
          <w:tcPr>
            <w:tcW w:w="696" w:type="dxa"/>
            <w:noWrap w:val="0"/>
            <w:vAlign w:val="top"/>
          </w:tcPr>
          <w:p>
            <w:pPr>
              <w:pStyle w:val="282"/>
              <w:spacing w:before="213" w:line="232" w:lineRule="auto"/>
              <w:ind w:left="196"/>
              <w:rPr>
                <w:rFonts w:hint="eastAsia" w:ascii="仿宋" w:hAnsi="仿宋" w:eastAsia="仿宋" w:cs="仿宋"/>
                <w:sz w:val="28"/>
                <w:szCs w:val="28"/>
              </w:rPr>
            </w:pPr>
            <w:r>
              <w:rPr>
                <w:rFonts w:hint="eastAsia" w:ascii="仿宋" w:hAnsi="仿宋" w:eastAsia="仿宋" w:cs="仿宋"/>
                <w:spacing w:val="-13"/>
                <w:sz w:val="28"/>
                <w:szCs w:val="28"/>
              </w:rPr>
              <w:t>13</w:t>
            </w:r>
          </w:p>
        </w:tc>
        <w:tc>
          <w:tcPr>
            <w:tcW w:w="8058" w:type="dxa"/>
            <w:noWrap w:val="0"/>
            <w:vAlign w:val="top"/>
          </w:tcPr>
          <w:p>
            <w:pPr>
              <w:pStyle w:val="282"/>
              <w:spacing w:before="213" w:line="217" w:lineRule="auto"/>
              <w:ind w:left="111"/>
              <w:rPr>
                <w:rFonts w:hint="eastAsia" w:ascii="仿宋" w:hAnsi="仿宋" w:eastAsia="仿宋" w:cs="仿宋"/>
                <w:color w:val="auto"/>
                <w:sz w:val="28"/>
                <w:szCs w:val="28"/>
              </w:rPr>
            </w:pPr>
            <w:r>
              <w:rPr>
                <w:rFonts w:hint="eastAsia" w:ascii="仿宋" w:hAnsi="仿宋" w:eastAsia="仿宋" w:cs="仿宋"/>
                <w:color w:val="auto"/>
                <w:spacing w:val="-1"/>
                <w:sz w:val="28"/>
                <w:szCs w:val="28"/>
              </w:rPr>
              <w:t>基站均位于一层,并具有基站返回功能。</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499" w:hRule="atLeast"/>
        </w:trPr>
        <w:tc>
          <w:tcPr>
            <w:tcW w:w="696" w:type="dxa"/>
            <w:noWrap w:val="0"/>
            <w:vAlign w:val="top"/>
          </w:tcPr>
          <w:p>
            <w:pPr>
              <w:spacing w:line="318" w:lineRule="auto"/>
              <w:rPr>
                <w:rFonts w:hint="eastAsia" w:ascii="仿宋" w:hAnsi="仿宋" w:eastAsia="仿宋" w:cs="仿宋"/>
                <w:sz w:val="28"/>
                <w:szCs w:val="28"/>
              </w:rPr>
            </w:pPr>
          </w:p>
          <w:p>
            <w:pPr>
              <w:spacing w:line="319" w:lineRule="auto"/>
              <w:rPr>
                <w:rFonts w:hint="eastAsia" w:ascii="仿宋" w:hAnsi="仿宋" w:eastAsia="仿宋" w:cs="仿宋"/>
                <w:sz w:val="28"/>
                <w:szCs w:val="28"/>
              </w:rPr>
            </w:pPr>
          </w:p>
          <w:p>
            <w:pPr>
              <w:pStyle w:val="282"/>
              <w:spacing w:before="72" w:line="242" w:lineRule="auto"/>
              <w:ind w:left="196"/>
              <w:rPr>
                <w:rFonts w:hint="eastAsia" w:ascii="仿宋" w:hAnsi="仿宋" w:eastAsia="仿宋" w:cs="仿宋"/>
                <w:sz w:val="28"/>
                <w:szCs w:val="28"/>
              </w:rPr>
            </w:pPr>
            <w:r>
              <w:rPr>
                <w:rFonts w:hint="eastAsia" w:ascii="仿宋" w:hAnsi="仿宋" w:eastAsia="仿宋" w:cs="仿宋"/>
                <w:spacing w:val="-13"/>
                <w:sz w:val="28"/>
                <w:szCs w:val="28"/>
              </w:rPr>
              <w:t>14</w:t>
            </w:r>
          </w:p>
        </w:tc>
        <w:tc>
          <w:tcPr>
            <w:tcW w:w="8058" w:type="dxa"/>
            <w:noWrap w:val="0"/>
            <w:vAlign w:val="top"/>
          </w:tcPr>
          <w:p>
            <w:pPr>
              <w:pStyle w:val="282"/>
              <w:spacing w:before="211" w:line="420" w:lineRule="auto"/>
              <w:ind w:left="111" w:right="140" w:hanging="1"/>
              <w:rPr>
                <w:rFonts w:hint="eastAsia" w:ascii="仿宋" w:hAnsi="仿宋" w:eastAsia="仿宋" w:cs="仿宋"/>
                <w:color w:val="auto"/>
                <w:sz w:val="28"/>
                <w:szCs w:val="28"/>
              </w:rPr>
            </w:pPr>
            <w:r>
              <w:rPr>
                <w:rFonts w:hint="eastAsia" w:ascii="仿宋" w:hAnsi="仿宋" w:eastAsia="仿宋" w:cs="Times New Roman"/>
                <w:color w:val="auto"/>
                <w:sz w:val="28"/>
                <w:szCs w:val="28"/>
              </w:rPr>
              <w:t>★</w:t>
            </w:r>
            <w:r>
              <w:rPr>
                <w:rFonts w:hint="eastAsia" w:ascii="仿宋" w:hAnsi="仿宋" w:eastAsia="仿宋" w:cs="仿宋"/>
                <w:color w:val="auto"/>
                <w:sz w:val="28"/>
                <w:szCs w:val="28"/>
              </w:rPr>
              <w:t>轿厢轿壁、轿门采用发纹不锈钢板，轿厢后</w:t>
            </w:r>
            <w:r>
              <w:rPr>
                <w:rFonts w:hint="eastAsia" w:ascii="仿宋" w:hAnsi="仿宋" w:eastAsia="仿宋" w:cs="仿宋"/>
                <w:color w:val="auto"/>
                <w:sz w:val="28"/>
                <w:szCs w:val="28"/>
                <w:lang w:val="en-US" w:eastAsia="zh-CN"/>
              </w:rPr>
              <w:t>中</w:t>
            </w:r>
            <w:r>
              <w:rPr>
                <w:rFonts w:hint="eastAsia" w:ascii="仿宋" w:hAnsi="仿宋" w:eastAsia="仿宋" w:cs="仿宋"/>
                <w:color w:val="auto"/>
                <w:sz w:val="28"/>
                <w:szCs w:val="28"/>
              </w:rPr>
              <w:t>壁为镜面蚀刻不</w:t>
            </w:r>
            <w:r>
              <w:rPr>
                <w:rFonts w:hint="eastAsia" w:ascii="仿宋" w:hAnsi="仿宋" w:eastAsia="仿宋" w:cs="仿宋"/>
                <w:color w:val="auto"/>
                <w:spacing w:val="-1"/>
                <w:sz w:val="28"/>
                <w:szCs w:val="28"/>
              </w:rPr>
              <w:t>锈钢，</w:t>
            </w:r>
            <w:r>
              <w:rPr>
                <w:rFonts w:hint="eastAsia" w:ascii="仿宋" w:hAnsi="仿宋" w:eastAsia="仿宋" w:cs="仿宋"/>
                <w:color w:val="auto"/>
                <w:sz w:val="28"/>
                <w:szCs w:val="28"/>
              </w:rPr>
              <w:t>轿壁材质厚度≥1.2mm，轿门</w:t>
            </w:r>
            <w:r>
              <w:rPr>
                <w:rFonts w:hint="eastAsia" w:ascii="仿宋" w:hAnsi="仿宋" w:eastAsia="仿宋" w:cs="仿宋"/>
                <w:color w:val="auto"/>
                <w:spacing w:val="-1"/>
                <w:sz w:val="28"/>
                <w:szCs w:val="28"/>
              </w:rPr>
              <w:t>板厚度≥1.5m</w:t>
            </w:r>
            <w:r>
              <w:rPr>
                <w:rFonts w:hint="eastAsia" w:ascii="仿宋" w:hAnsi="仿宋" w:eastAsia="仿宋" w:cs="仿宋"/>
                <w:color w:val="auto"/>
                <w:sz w:val="28"/>
                <w:szCs w:val="28"/>
              </w:rPr>
              <w:t>m</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0" w:hRule="atLeast"/>
        </w:trPr>
        <w:tc>
          <w:tcPr>
            <w:tcW w:w="696" w:type="dxa"/>
            <w:noWrap w:val="0"/>
            <w:vAlign w:val="top"/>
          </w:tcPr>
          <w:p>
            <w:pPr>
              <w:pStyle w:val="282"/>
              <w:spacing w:before="214" w:line="231" w:lineRule="auto"/>
              <w:ind w:left="196"/>
              <w:rPr>
                <w:rFonts w:hint="eastAsia" w:ascii="仿宋" w:hAnsi="仿宋" w:eastAsia="仿宋" w:cs="仿宋"/>
                <w:sz w:val="28"/>
                <w:szCs w:val="28"/>
              </w:rPr>
            </w:pPr>
            <w:r>
              <w:rPr>
                <w:rFonts w:hint="eastAsia" w:ascii="仿宋" w:hAnsi="仿宋" w:eastAsia="仿宋" w:cs="仿宋"/>
                <w:spacing w:val="-13"/>
                <w:sz w:val="28"/>
                <w:szCs w:val="28"/>
              </w:rPr>
              <w:t>15</w:t>
            </w:r>
          </w:p>
        </w:tc>
        <w:tc>
          <w:tcPr>
            <w:tcW w:w="8058" w:type="dxa"/>
            <w:noWrap w:val="0"/>
            <w:vAlign w:val="top"/>
          </w:tcPr>
          <w:p>
            <w:pPr>
              <w:pStyle w:val="282"/>
              <w:spacing w:before="215" w:line="219" w:lineRule="auto"/>
              <w:ind w:left="111"/>
              <w:rPr>
                <w:rFonts w:hint="eastAsia" w:ascii="仿宋" w:hAnsi="仿宋" w:eastAsia="仿宋" w:cs="仿宋"/>
                <w:color w:val="auto"/>
                <w:sz w:val="28"/>
                <w:szCs w:val="28"/>
              </w:rPr>
            </w:pPr>
            <w:r>
              <w:rPr>
                <w:rFonts w:hint="eastAsia" w:ascii="仿宋" w:hAnsi="仿宋" w:eastAsia="仿宋" w:cs="Times New Roman"/>
                <w:color w:val="auto"/>
                <w:sz w:val="28"/>
                <w:szCs w:val="28"/>
              </w:rPr>
              <w:t>★</w:t>
            </w:r>
            <w:r>
              <w:rPr>
                <w:rFonts w:hint="eastAsia" w:ascii="仿宋" w:hAnsi="仿宋" w:eastAsia="仿宋" w:cs="仿宋"/>
                <w:color w:val="auto"/>
                <w:spacing w:val="-1"/>
                <w:sz w:val="28"/>
                <w:szCs w:val="28"/>
              </w:rPr>
              <w:t>轿厢地面：</w:t>
            </w:r>
            <w:r>
              <w:rPr>
                <w:rFonts w:hint="eastAsia" w:ascii="仿宋" w:hAnsi="仿宋" w:eastAsia="仿宋" w:cs="仿宋"/>
                <w:color w:val="auto"/>
                <w:spacing w:val="-1"/>
                <w:sz w:val="28"/>
                <w:szCs w:val="28"/>
                <w:lang w:val="en-US" w:eastAsia="zh-CN"/>
              </w:rPr>
              <w:t>PVC</w:t>
            </w:r>
            <w:r>
              <w:rPr>
                <w:rFonts w:hint="eastAsia" w:ascii="仿宋" w:hAnsi="仿宋" w:eastAsia="仿宋" w:cs="仿宋"/>
                <w:color w:val="auto"/>
                <w:spacing w:val="-1"/>
                <w:sz w:val="28"/>
                <w:szCs w:val="28"/>
              </w:rPr>
              <w:t>地板</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0" w:hRule="atLeast"/>
        </w:trPr>
        <w:tc>
          <w:tcPr>
            <w:tcW w:w="696" w:type="dxa"/>
            <w:noWrap w:val="0"/>
            <w:vAlign w:val="top"/>
          </w:tcPr>
          <w:p>
            <w:pPr>
              <w:pStyle w:val="282"/>
              <w:spacing w:before="214" w:line="231" w:lineRule="auto"/>
              <w:ind w:left="196"/>
              <w:rPr>
                <w:rFonts w:hint="eastAsia" w:ascii="仿宋" w:hAnsi="仿宋" w:eastAsia="仿宋" w:cs="仿宋"/>
                <w:sz w:val="28"/>
                <w:szCs w:val="28"/>
              </w:rPr>
            </w:pPr>
            <w:r>
              <w:rPr>
                <w:rFonts w:hint="eastAsia" w:ascii="仿宋" w:hAnsi="仿宋" w:eastAsia="仿宋" w:cs="仿宋"/>
                <w:spacing w:val="-13"/>
                <w:sz w:val="28"/>
                <w:szCs w:val="28"/>
              </w:rPr>
              <w:t>16</w:t>
            </w:r>
          </w:p>
        </w:tc>
        <w:tc>
          <w:tcPr>
            <w:tcW w:w="8058" w:type="dxa"/>
            <w:noWrap w:val="0"/>
            <w:vAlign w:val="top"/>
          </w:tcPr>
          <w:p>
            <w:pPr>
              <w:pStyle w:val="282"/>
              <w:spacing w:before="214" w:line="220" w:lineRule="auto"/>
              <w:ind w:left="110"/>
              <w:rPr>
                <w:rFonts w:hint="eastAsia" w:ascii="仿宋" w:hAnsi="仿宋" w:eastAsia="仿宋" w:cs="仿宋"/>
                <w:sz w:val="28"/>
                <w:szCs w:val="28"/>
              </w:rPr>
            </w:pPr>
            <w:r>
              <w:rPr>
                <w:rFonts w:hint="eastAsia" w:ascii="仿宋" w:hAnsi="仿宋" w:eastAsia="仿宋" w:cs="仿宋"/>
                <w:spacing w:val="-3"/>
                <w:sz w:val="28"/>
                <w:szCs w:val="28"/>
              </w:rPr>
              <w:t>楼层纠错功能、自动诊断功能、并显示故障代码</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0" w:hRule="atLeast"/>
        </w:trPr>
        <w:tc>
          <w:tcPr>
            <w:tcW w:w="696" w:type="dxa"/>
            <w:noWrap w:val="0"/>
            <w:vAlign w:val="top"/>
          </w:tcPr>
          <w:p>
            <w:pPr>
              <w:pStyle w:val="282"/>
              <w:spacing w:before="213" w:line="232" w:lineRule="auto"/>
              <w:ind w:left="196"/>
              <w:rPr>
                <w:rFonts w:hint="eastAsia" w:ascii="仿宋" w:hAnsi="仿宋" w:eastAsia="仿宋" w:cs="仿宋"/>
                <w:sz w:val="28"/>
                <w:szCs w:val="28"/>
              </w:rPr>
            </w:pPr>
            <w:r>
              <w:rPr>
                <w:rFonts w:hint="eastAsia" w:ascii="仿宋" w:hAnsi="仿宋" w:eastAsia="仿宋" w:cs="仿宋"/>
                <w:spacing w:val="-13"/>
                <w:sz w:val="28"/>
                <w:szCs w:val="28"/>
              </w:rPr>
              <w:t>17</w:t>
            </w:r>
          </w:p>
        </w:tc>
        <w:tc>
          <w:tcPr>
            <w:tcW w:w="8058" w:type="dxa"/>
            <w:noWrap w:val="0"/>
            <w:vAlign w:val="top"/>
          </w:tcPr>
          <w:p>
            <w:pPr>
              <w:pStyle w:val="282"/>
              <w:spacing w:before="213" w:line="219" w:lineRule="auto"/>
              <w:ind w:left="111"/>
              <w:rPr>
                <w:rFonts w:hint="eastAsia" w:ascii="仿宋" w:hAnsi="仿宋" w:eastAsia="仿宋" w:cs="仿宋"/>
                <w:sz w:val="28"/>
                <w:szCs w:val="28"/>
              </w:rPr>
            </w:pPr>
            <w:r>
              <w:rPr>
                <w:rFonts w:hint="eastAsia" w:ascii="仿宋" w:hAnsi="仿宋" w:eastAsia="仿宋" w:cs="仿宋"/>
                <w:spacing w:val="-1"/>
                <w:sz w:val="28"/>
                <w:szCs w:val="28"/>
              </w:rPr>
              <w:t>配备光幕门保护装置</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2" w:hRule="atLeast"/>
        </w:trPr>
        <w:tc>
          <w:tcPr>
            <w:tcW w:w="696" w:type="dxa"/>
            <w:noWrap w:val="0"/>
            <w:vAlign w:val="top"/>
          </w:tcPr>
          <w:p>
            <w:pPr>
              <w:pStyle w:val="282"/>
              <w:spacing w:before="210" w:line="236" w:lineRule="auto"/>
              <w:ind w:left="196"/>
              <w:rPr>
                <w:rFonts w:hint="eastAsia" w:ascii="仿宋" w:hAnsi="仿宋" w:eastAsia="仿宋" w:cs="仿宋"/>
                <w:sz w:val="28"/>
                <w:szCs w:val="28"/>
              </w:rPr>
            </w:pPr>
            <w:r>
              <w:rPr>
                <w:rFonts w:hint="eastAsia" w:ascii="仿宋" w:hAnsi="仿宋" w:eastAsia="仿宋" w:cs="仿宋"/>
                <w:spacing w:val="-13"/>
                <w:sz w:val="28"/>
                <w:szCs w:val="28"/>
              </w:rPr>
              <w:t>18</w:t>
            </w:r>
          </w:p>
        </w:tc>
        <w:tc>
          <w:tcPr>
            <w:tcW w:w="8058" w:type="dxa"/>
            <w:noWrap w:val="0"/>
            <w:vAlign w:val="top"/>
          </w:tcPr>
          <w:p>
            <w:pPr>
              <w:pStyle w:val="282"/>
              <w:spacing w:before="211" w:line="220" w:lineRule="auto"/>
              <w:ind w:left="111"/>
              <w:rPr>
                <w:rFonts w:hint="eastAsia" w:ascii="仿宋" w:hAnsi="仿宋" w:eastAsia="仿宋" w:cs="仿宋"/>
                <w:sz w:val="28"/>
                <w:szCs w:val="28"/>
              </w:rPr>
            </w:pPr>
            <w:r>
              <w:rPr>
                <w:rFonts w:hint="eastAsia" w:ascii="仿宋" w:hAnsi="仿宋" w:eastAsia="仿宋" w:cs="仿宋"/>
                <w:spacing w:val="-3"/>
                <w:sz w:val="28"/>
                <w:szCs w:val="28"/>
              </w:rPr>
              <w:t>检修操作：轿顶设“检修”运行开关</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0" w:hRule="atLeast"/>
        </w:trPr>
        <w:tc>
          <w:tcPr>
            <w:tcW w:w="696" w:type="dxa"/>
            <w:noWrap w:val="0"/>
            <w:vAlign w:val="top"/>
          </w:tcPr>
          <w:p>
            <w:pPr>
              <w:pStyle w:val="282"/>
              <w:spacing w:before="207" w:line="237" w:lineRule="auto"/>
              <w:ind w:left="196"/>
              <w:rPr>
                <w:rFonts w:hint="eastAsia" w:ascii="仿宋" w:hAnsi="仿宋" w:eastAsia="仿宋" w:cs="仿宋"/>
                <w:sz w:val="28"/>
                <w:szCs w:val="28"/>
              </w:rPr>
            </w:pPr>
            <w:r>
              <w:rPr>
                <w:rFonts w:hint="eastAsia" w:ascii="仿宋" w:hAnsi="仿宋" w:eastAsia="仿宋" w:cs="仿宋"/>
                <w:spacing w:val="-13"/>
                <w:sz w:val="28"/>
                <w:szCs w:val="28"/>
              </w:rPr>
              <w:t>19</w:t>
            </w:r>
          </w:p>
        </w:tc>
        <w:tc>
          <w:tcPr>
            <w:tcW w:w="8058" w:type="dxa"/>
            <w:noWrap w:val="0"/>
            <w:vAlign w:val="top"/>
          </w:tcPr>
          <w:p>
            <w:pPr>
              <w:pStyle w:val="282"/>
              <w:spacing w:before="208" w:line="219" w:lineRule="auto"/>
              <w:ind w:left="110"/>
              <w:rPr>
                <w:rFonts w:hint="eastAsia" w:ascii="仿宋" w:hAnsi="仿宋" w:eastAsia="仿宋" w:cs="仿宋"/>
                <w:sz w:val="28"/>
                <w:szCs w:val="28"/>
              </w:rPr>
            </w:pPr>
            <w:r>
              <w:rPr>
                <w:rFonts w:hint="eastAsia" w:ascii="仿宋" w:hAnsi="仿宋" w:eastAsia="仿宋" w:cs="Times New Roman"/>
                <w:sz w:val="28"/>
                <w:szCs w:val="28"/>
              </w:rPr>
              <w:t>★</w:t>
            </w:r>
            <w:r>
              <w:rPr>
                <w:rFonts w:hint="eastAsia" w:ascii="仿宋" w:hAnsi="仿宋" w:eastAsia="仿宋" w:cs="仿宋"/>
                <w:spacing w:val="-1"/>
                <w:sz w:val="28"/>
                <w:szCs w:val="28"/>
              </w:rPr>
              <w:t>开门机：永磁同步无齿轮变频门机系统</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0" w:hRule="atLeast"/>
        </w:trPr>
        <w:tc>
          <w:tcPr>
            <w:tcW w:w="696" w:type="dxa"/>
            <w:noWrap w:val="0"/>
            <w:vAlign w:val="top"/>
          </w:tcPr>
          <w:p>
            <w:pPr>
              <w:pStyle w:val="282"/>
              <w:spacing w:before="209" w:line="235" w:lineRule="auto"/>
              <w:ind w:left="182"/>
              <w:rPr>
                <w:rFonts w:hint="eastAsia" w:ascii="仿宋" w:hAnsi="仿宋" w:eastAsia="仿宋" w:cs="仿宋"/>
                <w:sz w:val="28"/>
                <w:szCs w:val="28"/>
              </w:rPr>
            </w:pPr>
            <w:r>
              <w:rPr>
                <w:rFonts w:hint="eastAsia" w:ascii="仿宋" w:hAnsi="仿宋" w:eastAsia="仿宋" w:cs="仿宋"/>
                <w:spacing w:val="-6"/>
                <w:sz w:val="28"/>
                <w:szCs w:val="28"/>
              </w:rPr>
              <w:t>20</w:t>
            </w:r>
          </w:p>
        </w:tc>
        <w:tc>
          <w:tcPr>
            <w:tcW w:w="8058" w:type="dxa"/>
            <w:noWrap w:val="0"/>
            <w:vAlign w:val="top"/>
          </w:tcPr>
          <w:p>
            <w:pPr>
              <w:pStyle w:val="282"/>
              <w:spacing w:before="209" w:line="220" w:lineRule="auto"/>
              <w:ind w:left="116"/>
              <w:rPr>
                <w:rFonts w:hint="eastAsia" w:ascii="仿宋" w:hAnsi="仿宋" w:eastAsia="仿宋" w:cs="仿宋"/>
                <w:sz w:val="28"/>
                <w:szCs w:val="28"/>
              </w:rPr>
            </w:pPr>
            <w:r>
              <w:rPr>
                <w:rFonts w:hint="eastAsia" w:ascii="仿宋" w:hAnsi="仿宋" w:eastAsia="仿宋" w:cs="仿宋"/>
                <w:spacing w:val="-1"/>
                <w:sz w:val="28"/>
                <w:szCs w:val="28"/>
              </w:rPr>
              <w:t>具有异常重复开关门功能及关门时间限制</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0" w:hRule="atLeast"/>
        </w:trPr>
        <w:tc>
          <w:tcPr>
            <w:tcW w:w="696" w:type="dxa"/>
            <w:noWrap w:val="0"/>
            <w:vAlign w:val="top"/>
          </w:tcPr>
          <w:p>
            <w:pPr>
              <w:pStyle w:val="282"/>
              <w:spacing w:before="208" w:line="236" w:lineRule="auto"/>
              <w:ind w:left="182"/>
              <w:rPr>
                <w:rFonts w:hint="eastAsia" w:ascii="仿宋" w:hAnsi="仿宋" w:eastAsia="仿宋" w:cs="仿宋"/>
                <w:sz w:val="28"/>
                <w:szCs w:val="28"/>
              </w:rPr>
            </w:pPr>
            <w:r>
              <w:rPr>
                <w:rFonts w:hint="eastAsia" w:ascii="仿宋" w:hAnsi="仿宋" w:eastAsia="仿宋" w:cs="仿宋"/>
                <w:spacing w:val="-6"/>
                <w:sz w:val="28"/>
                <w:szCs w:val="28"/>
              </w:rPr>
              <w:t>21</w:t>
            </w:r>
          </w:p>
        </w:tc>
        <w:tc>
          <w:tcPr>
            <w:tcW w:w="8058" w:type="dxa"/>
            <w:noWrap w:val="0"/>
            <w:vAlign w:val="top"/>
          </w:tcPr>
          <w:p>
            <w:pPr>
              <w:pStyle w:val="282"/>
              <w:spacing w:before="208" w:line="220" w:lineRule="auto"/>
              <w:ind w:left="113"/>
              <w:rPr>
                <w:rFonts w:hint="eastAsia" w:ascii="仿宋" w:hAnsi="仿宋" w:eastAsia="仿宋" w:cs="仿宋"/>
                <w:sz w:val="28"/>
                <w:szCs w:val="28"/>
              </w:rPr>
            </w:pPr>
            <w:r>
              <w:rPr>
                <w:rFonts w:hint="eastAsia" w:ascii="仿宋" w:hAnsi="仿宋" w:eastAsia="仿宋" w:cs="仿宋"/>
                <w:spacing w:val="-1"/>
                <w:sz w:val="28"/>
                <w:szCs w:val="28"/>
              </w:rPr>
              <w:t>主要层站开门时间可调</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0" w:hRule="atLeast"/>
        </w:trPr>
        <w:tc>
          <w:tcPr>
            <w:tcW w:w="696" w:type="dxa"/>
            <w:noWrap w:val="0"/>
            <w:vAlign w:val="top"/>
          </w:tcPr>
          <w:p>
            <w:pPr>
              <w:pStyle w:val="282"/>
              <w:spacing w:before="209" w:line="235" w:lineRule="auto"/>
              <w:ind w:left="182"/>
              <w:rPr>
                <w:rFonts w:hint="eastAsia" w:ascii="仿宋" w:hAnsi="仿宋" w:eastAsia="仿宋" w:cs="仿宋"/>
                <w:sz w:val="28"/>
                <w:szCs w:val="28"/>
              </w:rPr>
            </w:pPr>
            <w:r>
              <w:rPr>
                <w:rFonts w:hint="eastAsia" w:ascii="仿宋" w:hAnsi="仿宋" w:eastAsia="仿宋" w:cs="仿宋"/>
                <w:spacing w:val="-6"/>
                <w:sz w:val="28"/>
                <w:szCs w:val="28"/>
              </w:rPr>
              <w:t>22</w:t>
            </w:r>
          </w:p>
        </w:tc>
        <w:tc>
          <w:tcPr>
            <w:tcW w:w="8058" w:type="dxa"/>
            <w:noWrap w:val="0"/>
            <w:vAlign w:val="top"/>
          </w:tcPr>
          <w:p>
            <w:pPr>
              <w:pStyle w:val="282"/>
              <w:spacing w:before="210" w:line="220" w:lineRule="auto"/>
              <w:ind w:left="125"/>
              <w:rPr>
                <w:rFonts w:hint="eastAsia" w:ascii="仿宋" w:hAnsi="仿宋" w:eastAsia="仿宋" w:cs="仿宋"/>
                <w:sz w:val="28"/>
                <w:szCs w:val="28"/>
              </w:rPr>
            </w:pPr>
            <w:r>
              <w:rPr>
                <w:rFonts w:hint="eastAsia" w:ascii="仿宋" w:hAnsi="仿宋" w:eastAsia="仿宋" w:cs="仿宋"/>
                <w:spacing w:val="-2"/>
                <w:sz w:val="28"/>
                <w:szCs w:val="28"/>
              </w:rPr>
              <w:t>防误操作功能：呼叫错误后重新按按钮消除</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0" w:hRule="atLeast"/>
        </w:trPr>
        <w:tc>
          <w:tcPr>
            <w:tcW w:w="696" w:type="dxa"/>
            <w:noWrap w:val="0"/>
            <w:vAlign w:val="top"/>
          </w:tcPr>
          <w:p>
            <w:pPr>
              <w:pStyle w:val="282"/>
              <w:spacing w:before="208" w:line="236" w:lineRule="auto"/>
              <w:ind w:left="182"/>
              <w:rPr>
                <w:rFonts w:hint="eastAsia" w:ascii="仿宋" w:hAnsi="仿宋" w:eastAsia="仿宋" w:cs="仿宋"/>
                <w:sz w:val="28"/>
                <w:szCs w:val="28"/>
              </w:rPr>
            </w:pPr>
            <w:r>
              <w:rPr>
                <w:rFonts w:hint="eastAsia" w:ascii="仿宋" w:hAnsi="仿宋" w:eastAsia="仿宋" w:cs="仿宋"/>
                <w:spacing w:val="-6"/>
                <w:sz w:val="28"/>
                <w:szCs w:val="28"/>
              </w:rPr>
              <w:t>23</w:t>
            </w:r>
          </w:p>
        </w:tc>
        <w:tc>
          <w:tcPr>
            <w:tcW w:w="8058" w:type="dxa"/>
            <w:noWrap w:val="0"/>
            <w:vAlign w:val="top"/>
          </w:tcPr>
          <w:p>
            <w:pPr>
              <w:pStyle w:val="282"/>
              <w:spacing w:before="245" w:line="220" w:lineRule="auto"/>
              <w:ind w:left="110"/>
              <w:rPr>
                <w:rFonts w:hint="eastAsia" w:ascii="仿宋" w:hAnsi="仿宋" w:eastAsia="仿宋" w:cs="仿宋"/>
                <w:sz w:val="28"/>
                <w:szCs w:val="28"/>
              </w:rPr>
            </w:pPr>
            <w:r>
              <w:rPr>
                <w:rFonts w:hint="eastAsia" w:ascii="仿宋" w:hAnsi="仿宋" w:eastAsia="仿宋" w:cs="Times New Roman"/>
                <w:color w:val="auto"/>
                <w:sz w:val="28"/>
                <w:szCs w:val="28"/>
                <w:highlight w:val="none"/>
              </w:rPr>
              <w:t>★</w:t>
            </w:r>
            <w:r>
              <w:rPr>
                <w:rFonts w:hint="eastAsia" w:ascii="仿宋" w:hAnsi="仿宋" w:eastAsia="仿宋" w:cs="仿宋"/>
                <w:color w:val="auto"/>
                <w:spacing w:val="-1"/>
                <w:sz w:val="28"/>
                <w:szCs w:val="28"/>
                <w:highlight w:val="none"/>
              </w:rPr>
              <w:t>电梯须</w:t>
            </w:r>
            <w:r>
              <w:rPr>
                <w:rFonts w:hint="eastAsia" w:ascii="仿宋" w:hAnsi="仿宋" w:eastAsia="仿宋" w:cs="仿宋"/>
                <w:color w:val="auto"/>
                <w:spacing w:val="-1"/>
                <w:sz w:val="28"/>
                <w:szCs w:val="28"/>
                <w:highlight w:val="none"/>
                <w:lang w:val="en-US" w:eastAsia="zh-CN"/>
              </w:rPr>
              <w:t>安装</w:t>
            </w:r>
            <w:r>
              <w:rPr>
                <w:rFonts w:hint="eastAsia" w:ascii="仿宋" w:hAnsi="仿宋" w:eastAsia="仿宋" w:cs="仿宋"/>
                <w:color w:val="auto"/>
                <w:spacing w:val="-1"/>
                <w:sz w:val="28"/>
                <w:szCs w:val="28"/>
                <w:highlight w:val="none"/>
              </w:rPr>
              <w:t>视频线</w:t>
            </w:r>
            <w:r>
              <w:rPr>
                <w:rFonts w:hint="eastAsia" w:ascii="仿宋" w:hAnsi="仿宋" w:eastAsia="仿宋" w:cs="仿宋"/>
                <w:color w:val="auto"/>
                <w:spacing w:val="-2"/>
                <w:sz w:val="28"/>
                <w:szCs w:val="28"/>
                <w:highlight w:val="none"/>
                <w:lang w:val="en-US" w:eastAsia="zh-CN"/>
              </w:rPr>
              <w:t>及电源线等</w:t>
            </w:r>
            <w:r>
              <w:rPr>
                <w:rFonts w:hint="eastAsia" w:ascii="仿宋" w:hAnsi="仿宋" w:eastAsia="仿宋" w:cs="仿宋"/>
                <w:color w:val="auto"/>
                <w:spacing w:val="-1"/>
                <w:sz w:val="28"/>
                <w:szCs w:val="28"/>
                <w:highlight w:val="none"/>
              </w:rPr>
              <w:t>，含</w:t>
            </w:r>
            <w:r>
              <w:rPr>
                <w:rFonts w:hint="eastAsia" w:ascii="仿宋" w:hAnsi="仿宋" w:eastAsia="仿宋" w:cs="仿宋"/>
                <w:color w:val="auto"/>
                <w:spacing w:val="-1"/>
                <w:sz w:val="28"/>
                <w:szCs w:val="28"/>
                <w:highlight w:val="none"/>
                <w:lang w:val="en-US" w:eastAsia="zh-CN"/>
              </w:rPr>
              <w:t>采购安装</w:t>
            </w:r>
            <w:r>
              <w:rPr>
                <w:rFonts w:hint="eastAsia" w:ascii="仿宋" w:hAnsi="仿宋" w:eastAsia="仿宋" w:cs="仿宋"/>
                <w:color w:val="auto"/>
                <w:spacing w:val="-1"/>
                <w:sz w:val="28"/>
                <w:szCs w:val="28"/>
                <w:highlight w:val="none"/>
              </w:rPr>
              <w:t>电梯轿厢</w:t>
            </w:r>
            <w:r>
              <w:rPr>
                <w:rFonts w:hint="eastAsia" w:ascii="仿宋" w:hAnsi="仿宋" w:eastAsia="仿宋" w:cs="仿宋"/>
                <w:color w:val="auto"/>
                <w:spacing w:val="-1"/>
                <w:sz w:val="28"/>
                <w:szCs w:val="28"/>
                <w:highlight w:val="none"/>
                <w:lang w:eastAsia="zh-CN"/>
              </w:rPr>
              <w:t>、</w:t>
            </w:r>
            <w:r>
              <w:rPr>
                <w:rFonts w:hint="eastAsia" w:ascii="仿宋" w:hAnsi="仿宋" w:eastAsia="仿宋" w:cs="仿宋"/>
                <w:color w:val="auto"/>
                <w:spacing w:val="-1"/>
                <w:sz w:val="28"/>
                <w:szCs w:val="28"/>
                <w:highlight w:val="none"/>
                <w:lang w:val="en-US" w:eastAsia="zh-CN"/>
              </w:rPr>
              <w:t>机房（含无机房）</w:t>
            </w:r>
            <w:r>
              <w:rPr>
                <w:rFonts w:hint="eastAsia" w:ascii="仿宋" w:hAnsi="仿宋" w:eastAsia="仿宋" w:cs="仿宋"/>
                <w:color w:val="auto"/>
                <w:spacing w:val="-1"/>
                <w:sz w:val="28"/>
                <w:szCs w:val="28"/>
                <w:highlight w:val="none"/>
              </w:rPr>
              <w:t>监控</w:t>
            </w:r>
            <w:r>
              <w:rPr>
                <w:rFonts w:hint="eastAsia" w:ascii="仿宋" w:hAnsi="仿宋" w:eastAsia="仿宋" w:cs="仿宋"/>
                <w:color w:val="auto"/>
                <w:spacing w:val="-1"/>
                <w:sz w:val="28"/>
                <w:szCs w:val="28"/>
                <w:highlight w:val="none"/>
                <w:lang w:val="en-US" w:eastAsia="zh-CN"/>
              </w:rPr>
              <w:t>系统。</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99" w:hRule="atLeast"/>
        </w:trPr>
        <w:tc>
          <w:tcPr>
            <w:tcW w:w="696" w:type="dxa"/>
            <w:noWrap w:val="0"/>
            <w:vAlign w:val="top"/>
          </w:tcPr>
          <w:p>
            <w:pPr>
              <w:spacing w:line="385" w:lineRule="auto"/>
              <w:rPr>
                <w:rFonts w:hint="eastAsia" w:ascii="仿宋" w:hAnsi="仿宋" w:eastAsia="仿宋" w:cs="仿宋"/>
                <w:sz w:val="28"/>
                <w:szCs w:val="28"/>
              </w:rPr>
            </w:pPr>
          </w:p>
          <w:p>
            <w:pPr>
              <w:pStyle w:val="282"/>
              <w:spacing w:before="72" w:line="242" w:lineRule="auto"/>
              <w:ind w:left="182"/>
              <w:rPr>
                <w:rFonts w:hint="eastAsia" w:ascii="仿宋" w:hAnsi="仿宋" w:eastAsia="仿宋" w:cs="仿宋"/>
                <w:sz w:val="28"/>
                <w:szCs w:val="28"/>
              </w:rPr>
            </w:pPr>
            <w:r>
              <w:rPr>
                <w:rFonts w:hint="eastAsia" w:ascii="仿宋" w:hAnsi="仿宋" w:eastAsia="仿宋" w:cs="仿宋"/>
                <w:spacing w:val="-6"/>
                <w:sz w:val="28"/>
                <w:szCs w:val="28"/>
              </w:rPr>
              <w:t>24</w:t>
            </w:r>
          </w:p>
        </w:tc>
        <w:tc>
          <w:tcPr>
            <w:tcW w:w="8058" w:type="dxa"/>
            <w:noWrap w:val="0"/>
            <w:vAlign w:val="top"/>
          </w:tcPr>
          <w:p>
            <w:pPr>
              <w:pStyle w:val="282"/>
              <w:spacing w:before="207" w:line="328" w:lineRule="auto"/>
              <w:ind w:left="111" w:right="140" w:hanging="1"/>
              <w:rPr>
                <w:rFonts w:hint="eastAsia" w:ascii="仿宋" w:hAnsi="仿宋" w:eastAsia="仿宋" w:cs="仿宋"/>
                <w:sz w:val="28"/>
                <w:szCs w:val="28"/>
              </w:rPr>
            </w:pPr>
            <w:r>
              <w:rPr>
                <w:rFonts w:hint="eastAsia" w:ascii="仿宋" w:hAnsi="仿宋" w:eastAsia="仿宋" w:cs="Times New Roman"/>
                <w:sz w:val="28"/>
                <w:szCs w:val="28"/>
              </w:rPr>
              <w:t>★</w:t>
            </w:r>
            <w:r>
              <w:rPr>
                <w:rFonts w:hint="eastAsia" w:ascii="仿宋" w:hAnsi="仿宋" w:eastAsia="仿宋" w:cs="仿宋"/>
                <w:spacing w:val="-1"/>
                <w:sz w:val="28"/>
                <w:szCs w:val="28"/>
              </w:rPr>
              <w:t>厅门及门套：厅门及门套均为发纹不锈钢，厚度1.5mm层门和轿门的地坎、轿厢</w:t>
            </w:r>
            <w:r>
              <w:rPr>
                <w:rFonts w:hint="eastAsia" w:ascii="仿宋" w:hAnsi="仿宋" w:eastAsia="仿宋" w:cs="仿宋"/>
                <w:sz w:val="28"/>
                <w:szCs w:val="28"/>
              </w:rPr>
              <w:t>护脚板应当采用金属材料电梯安装完成后需将各层电梯</w:t>
            </w:r>
            <w:r>
              <w:rPr>
                <w:rFonts w:hint="eastAsia" w:ascii="仿宋" w:hAnsi="仿宋" w:eastAsia="仿宋" w:cs="仿宋"/>
                <w:spacing w:val="-1"/>
                <w:sz w:val="28"/>
                <w:szCs w:val="28"/>
              </w:rPr>
              <w:t>大门套恢复至原貌。</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0" w:hRule="atLeast"/>
        </w:trPr>
        <w:tc>
          <w:tcPr>
            <w:tcW w:w="696" w:type="dxa"/>
            <w:noWrap w:val="0"/>
            <w:vAlign w:val="top"/>
          </w:tcPr>
          <w:p>
            <w:pPr>
              <w:pStyle w:val="282"/>
              <w:spacing w:before="209" w:line="235" w:lineRule="auto"/>
              <w:ind w:left="182"/>
              <w:rPr>
                <w:rFonts w:hint="eastAsia" w:ascii="仿宋" w:hAnsi="仿宋" w:eastAsia="仿宋" w:cs="仿宋"/>
                <w:sz w:val="28"/>
                <w:szCs w:val="28"/>
              </w:rPr>
            </w:pPr>
            <w:r>
              <w:rPr>
                <w:rFonts w:hint="eastAsia" w:ascii="仿宋" w:hAnsi="仿宋" w:eastAsia="仿宋" w:cs="仿宋"/>
                <w:spacing w:val="-6"/>
                <w:sz w:val="28"/>
                <w:szCs w:val="28"/>
              </w:rPr>
              <w:t>25</w:t>
            </w:r>
          </w:p>
        </w:tc>
        <w:tc>
          <w:tcPr>
            <w:tcW w:w="8058" w:type="dxa"/>
            <w:noWrap w:val="0"/>
            <w:vAlign w:val="top"/>
          </w:tcPr>
          <w:p>
            <w:pPr>
              <w:pStyle w:val="282"/>
              <w:spacing w:before="210" w:line="219" w:lineRule="auto"/>
              <w:ind w:left="110"/>
              <w:rPr>
                <w:rFonts w:hint="eastAsia" w:ascii="仿宋" w:hAnsi="仿宋" w:eastAsia="仿宋" w:cs="仿宋"/>
                <w:sz w:val="28"/>
                <w:szCs w:val="28"/>
              </w:rPr>
            </w:pPr>
            <w:r>
              <w:rPr>
                <w:rFonts w:hint="eastAsia" w:ascii="仿宋" w:hAnsi="仿宋" w:eastAsia="仿宋" w:cs="Times New Roman"/>
                <w:sz w:val="28"/>
                <w:szCs w:val="28"/>
              </w:rPr>
              <w:t>★</w:t>
            </w:r>
            <w:r>
              <w:rPr>
                <w:rFonts w:hint="eastAsia" w:ascii="仿宋" w:hAnsi="仿宋" w:eastAsia="仿宋" w:cs="仿宋"/>
                <w:spacing w:val="-1"/>
                <w:sz w:val="28"/>
                <w:szCs w:val="28"/>
              </w:rPr>
              <w:t>讯号板：采用微触按钮，均采用发纹不锈钢，并配有盲文识别。</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499" w:hRule="atLeast"/>
        </w:trPr>
        <w:tc>
          <w:tcPr>
            <w:tcW w:w="696" w:type="dxa"/>
            <w:noWrap w:val="0"/>
            <w:vAlign w:val="top"/>
          </w:tcPr>
          <w:p>
            <w:pPr>
              <w:spacing w:line="317" w:lineRule="auto"/>
              <w:rPr>
                <w:rFonts w:hint="eastAsia" w:ascii="仿宋" w:hAnsi="仿宋" w:eastAsia="仿宋" w:cs="仿宋"/>
                <w:sz w:val="28"/>
                <w:szCs w:val="28"/>
              </w:rPr>
            </w:pPr>
          </w:p>
          <w:p>
            <w:pPr>
              <w:spacing w:line="318" w:lineRule="auto"/>
              <w:rPr>
                <w:rFonts w:hint="eastAsia" w:ascii="仿宋" w:hAnsi="仿宋" w:eastAsia="仿宋" w:cs="仿宋"/>
                <w:sz w:val="28"/>
                <w:szCs w:val="28"/>
              </w:rPr>
            </w:pPr>
          </w:p>
          <w:p>
            <w:pPr>
              <w:pStyle w:val="282"/>
              <w:spacing w:before="71"/>
              <w:ind w:left="182"/>
              <w:rPr>
                <w:rFonts w:hint="eastAsia" w:ascii="仿宋" w:hAnsi="仿宋" w:eastAsia="仿宋" w:cs="仿宋"/>
                <w:sz w:val="28"/>
                <w:szCs w:val="28"/>
              </w:rPr>
            </w:pPr>
            <w:r>
              <w:rPr>
                <w:rFonts w:hint="eastAsia" w:ascii="仿宋" w:hAnsi="仿宋" w:eastAsia="仿宋" w:cs="仿宋"/>
                <w:spacing w:val="-6"/>
                <w:sz w:val="28"/>
                <w:szCs w:val="28"/>
              </w:rPr>
              <w:t>26</w:t>
            </w:r>
          </w:p>
        </w:tc>
        <w:tc>
          <w:tcPr>
            <w:tcW w:w="8058" w:type="dxa"/>
            <w:noWrap w:val="0"/>
            <w:vAlign w:val="top"/>
          </w:tcPr>
          <w:p>
            <w:pPr>
              <w:pStyle w:val="282"/>
              <w:spacing w:before="212" w:line="357" w:lineRule="auto"/>
              <w:ind w:left="113" w:right="101" w:hanging="3"/>
              <w:jc w:val="both"/>
              <w:rPr>
                <w:rFonts w:hint="eastAsia" w:ascii="仿宋" w:hAnsi="仿宋" w:eastAsia="仿宋" w:cs="仿宋"/>
                <w:sz w:val="28"/>
                <w:szCs w:val="28"/>
              </w:rPr>
            </w:pPr>
            <w:r>
              <w:rPr>
                <w:rFonts w:hint="eastAsia" w:ascii="仿宋" w:hAnsi="仿宋" w:eastAsia="仿宋" w:cs="Times New Roman"/>
                <w:sz w:val="28"/>
                <w:szCs w:val="28"/>
              </w:rPr>
              <w:t>★</w:t>
            </w:r>
            <w:r>
              <w:rPr>
                <w:rFonts w:hint="eastAsia" w:ascii="仿宋" w:hAnsi="仿宋" w:eastAsia="仿宋" w:cs="仿宋"/>
                <w:sz w:val="28"/>
                <w:szCs w:val="28"/>
              </w:rPr>
              <w:t>轿厢内层站操纵盘：采用微触按钮，并配有盲文识别，操纵盘为一体式操纵盘，</w:t>
            </w:r>
            <w:r>
              <w:rPr>
                <w:rFonts w:hint="eastAsia" w:ascii="仿宋" w:hAnsi="仿宋" w:eastAsia="仿宋" w:cs="仿宋"/>
                <w:spacing w:val="-2"/>
                <w:sz w:val="28"/>
                <w:szCs w:val="28"/>
              </w:rPr>
              <w:t>备轿厢指令记录灯，配置黑底白字液晶显示器，可以</w:t>
            </w:r>
            <w:r>
              <w:rPr>
                <w:rFonts w:hint="eastAsia" w:ascii="仿宋" w:hAnsi="仿宋" w:eastAsia="仿宋" w:cs="仿宋"/>
                <w:spacing w:val="-3"/>
                <w:sz w:val="28"/>
                <w:szCs w:val="28"/>
              </w:rPr>
              <w:t>显示电梯的位置及上下运行标</w:t>
            </w:r>
            <w:r>
              <w:rPr>
                <w:rFonts w:hint="eastAsia" w:ascii="仿宋" w:hAnsi="仿宋" w:eastAsia="仿宋" w:cs="仿宋"/>
                <w:spacing w:val="-6"/>
                <w:sz w:val="28"/>
                <w:szCs w:val="28"/>
              </w:rPr>
              <w:t>志。</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15" w:hRule="atLeast"/>
        </w:trPr>
        <w:tc>
          <w:tcPr>
            <w:tcW w:w="696" w:type="dxa"/>
            <w:noWrap w:val="0"/>
            <w:vAlign w:val="top"/>
          </w:tcPr>
          <w:p>
            <w:pPr>
              <w:pStyle w:val="282"/>
              <w:spacing w:before="219"/>
              <w:ind w:left="182"/>
              <w:rPr>
                <w:rFonts w:hint="eastAsia" w:ascii="仿宋" w:hAnsi="仿宋" w:eastAsia="仿宋" w:cs="仿宋"/>
                <w:sz w:val="28"/>
                <w:szCs w:val="28"/>
              </w:rPr>
            </w:pPr>
            <w:r>
              <w:rPr>
                <w:rFonts w:hint="eastAsia" w:ascii="仿宋" w:hAnsi="仿宋" w:eastAsia="仿宋" w:cs="仿宋"/>
                <w:spacing w:val="-6"/>
                <w:sz w:val="28"/>
                <w:szCs w:val="28"/>
              </w:rPr>
              <w:t>27</w:t>
            </w:r>
          </w:p>
        </w:tc>
        <w:tc>
          <w:tcPr>
            <w:tcW w:w="8058" w:type="dxa"/>
            <w:noWrap w:val="0"/>
            <w:vAlign w:val="top"/>
          </w:tcPr>
          <w:p>
            <w:pPr>
              <w:pStyle w:val="282"/>
              <w:spacing w:before="219" w:line="220" w:lineRule="auto"/>
              <w:ind w:left="117"/>
              <w:rPr>
                <w:rFonts w:hint="eastAsia" w:ascii="仿宋" w:hAnsi="仿宋" w:eastAsia="仿宋" w:cs="仿宋"/>
                <w:sz w:val="28"/>
                <w:szCs w:val="28"/>
              </w:rPr>
            </w:pPr>
            <w:r>
              <w:rPr>
                <w:rFonts w:hint="eastAsia" w:ascii="仿宋" w:hAnsi="仿宋" w:eastAsia="仿宋" w:cs="仿宋"/>
                <w:spacing w:val="-3"/>
                <w:sz w:val="28"/>
                <w:szCs w:val="28"/>
              </w:rPr>
              <w:t>泊梯开关：1层配置</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0" w:hRule="atLeast"/>
        </w:trPr>
        <w:tc>
          <w:tcPr>
            <w:tcW w:w="696" w:type="dxa"/>
            <w:noWrap w:val="0"/>
            <w:vAlign w:val="top"/>
          </w:tcPr>
          <w:p>
            <w:pPr>
              <w:pStyle w:val="282"/>
              <w:spacing w:before="209" w:line="235" w:lineRule="auto"/>
              <w:ind w:left="182"/>
              <w:rPr>
                <w:rFonts w:hint="eastAsia" w:ascii="仿宋" w:hAnsi="仿宋" w:eastAsia="仿宋" w:cs="仿宋"/>
                <w:sz w:val="28"/>
                <w:szCs w:val="28"/>
              </w:rPr>
            </w:pPr>
            <w:r>
              <w:rPr>
                <w:rFonts w:hint="eastAsia" w:ascii="仿宋" w:hAnsi="仿宋" w:eastAsia="仿宋" w:cs="仿宋"/>
                <w:spacing w:val="-6"/>
                <w:sz w:val="28"/>
                <w:szCs w:val="28"/>
              </w:rPr>
              <w:t>28</w:t>
            </w:r>
          </w:p>
        </w:tc>
        <w:tc>
          <w:tcPr>
            <w:tcW w:w="8058" w:type="dxa"/>
            <w:noWrap w:val="0"/>
            <w:vAlign w:val="top"/>
          </w:tcPr>
          <w:p>
            <w:pPr>
              <w:pStyle w:val="282"/>
              <w:spacing w:before="210" w:line="219" w:lineRule="auto"/>
              <w:ind w:left="148"/>
              <w:rPr>
                <w:rFonts w:hint="eastAsia" w:ascii="仿宋" w:hAnsi="仿宋" w:eastAsia="仿宋" w:cs="仿宋"/>
                <w:sz w:val="28"/>
                <w:szCs w:val="28"/>
              </w:rPr>
            </w:pPr>
            <w:r>
              <w:rPr>
                <w:rFonts w:hint="eastAsia" w:ascii="仿宋" w:hAnsi="仿宋" w:eastAsia="仿宋" w:cs="仿宋"/>
                <w:color w:val="auto"/>
                <w:spacing w:val="-3"/>
                <w:sz w:val="28"/>
                <w:szCs w:val="28"/>
              </w:rPr>
              <w:t>自动精确平层：平层精度应小于±5mm</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0" w:hRule="atLeast"/>
        </w:trPr>
        <w:tc>
          <w:tcPr>
            <w:tcW w:w="696" w:type="dxa"/>
            <w:noWrap w:val="0"/>
            <w:vAlign w:val="top"/>
          </w:tcPr>
          <w:p>
            <w:pPr>
              <w:pStyle w:val="282"/>
              <w:spacing w:before="211" w:line="234" w:lineRule="auto"/>
              <w:ind w:left="182"/>
              <w:rPr>
                <w:rFonts w:hint="eastAsia" w:ascii="仿宋" w:hAnsi="仿宋" w:eastAsia="仿宋" w:cs="仿宋"/>
                <w:sz w:val="28"/>
                <w:szCs w:val="28"/>
              </w:rPr>
            </w:pPr>
            <w:r>
              <w:rPr>
                <w:rFonts w:hint="eastAsia" w:ascii="仿宋" w:hAnsi="仿宋" w:eastAsia="仿宋" w:cs="仿宋"/>
                <w:spacing w:val="-6"/>
                <w:sz w:val="28"/>
                <w:szCs w:val="28"/>
              </w:rPr>
              <w:t>29</w:t>
            </w:r>
          </w:p>
        </w:tc>
        <w:tc>
          <w:tcPr>
            <w:tcW w:w="8058" w:type="dxa"/>
            <w:noWrap w:val="0"/>
            <w:vAlign w:val="top"/>
          </w:tcPr>
          <w:p>
            <w:pPr>
              <w:pStyle w:val="282"/>
              <w:spacing w:before="211" w:line="220" w:lineRule="auto"/>
              <w:ind w:left="111"/>
              <w:rPr>
                <w:rFonts w:hint="eastAsia" w:ascii="仿宋" w:hAnsi="仿宋" w:eastAsia="仿宋" w:cs="仿宋"/>
                <w:sz w:val="28"/>
                <w:szCs w:val="28"/>
              </w:rPr>
            </w:pPr>
            <w:r>
              <w:rPr>
                <w:rFonts w:hint="eastAsia" w:ascii="仿宋" w:hAnsi="仿宋" w:eastAsia="仿宋" w:cs="仿宋"/>
                <w:spacing w:val="-3"/>
                <w:sz w:val="28"/>
                <w:szCs w:val="28"/>
              </w:rPr>
              <w:t>满载直驶：电梯满载，自动停止响应厅外召唤</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0" w:hRule="atLeast"/>
        </w:trPr>
        <w:tc>
          <w:tcPr>
            <w:tcW w:w="696" w:type="dxa"/>
            <w:noWrap w:val="0"/>
            <w:vAlign w:val="top"/>
          </w:tcPr>
          <w:p>
            <w:pPr>
              <w:pStyle w:val="282"/>
              <w:spacing w:before="209" w:line="235" w:lineRule="auto"/>
              <w:ind w:left="184"/>
              <w:rPr>
                <w:rFonts w:hint="eastAsia" w:ascii="仿宋" w:hAnsi="仿宋" w:eastAsia="仿宋" w:cs="仿宋"/>
                <w:sz w:val="28"/>
                <w:szCs w:val="28"/>
              </w:rPr>
            </w:pPr>
            <w:r>
              <w:rPr>
                <w:rFonts w:hint="eastAsia" w:ascii="仿宋" w:hAnsi="仿宋" w:eastAsia="仿宋" w:cs="仿宋"/>
                <w:spacing w:val="-7"/>
                <w:sz w:val="28"/>
                <w:szCs w:val="28"/>
              </w:rPr>
              <w:t>30</w:t>
            </w:r>
          </w:p>
        </w:tc>
        <w:tc>
          <w:tcPr>
            <w:tcW w:w="8058" w:type="dxa"/>
            <w:noWrap w:val="0"/>
            <w:vAlign w:val="top"/>
          </w:tcPr>
          <w:p>
            <w:pPr>
              <w:pStyle w:val="282"/>
              <w:spacing w:before="210" w:line="220" w:lineRule="auto"/>
              <w:ind w:left="110"/>
              <w:rPr>
                <w:rFonts w:hint="eastAsia" w:ascii="仿宋" w:hAnsi="仿宋" w:eastAsia="仿宋" w:cs="仿宋"/>
                <w:sz w:val="28"/>
                <w:szCs w:val="28"/>
              </w:rPr>
            </w:pPr>
            <w:r>
              <w:rPr>
                <w:rFonts w:hint="eastAsia" w:ascii="仿宋" w:hAnsi="仿宋" w:eastAsia="仿宋" w:cs="仿宋"/>
                <w:spacing w:val="-1"/>
                <w:sz w:val="28"/>
                <w:szCs w:val="28"/>
              </w:rPr>
              <w:t>超载报警：轿厢超载后，自动声光报警</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99" w:hRule="atLeast"/>
        </w:trPr>
        <w:tc>
          <w:tcPr>
            <w:tcW w:w="696" w:type="dxa"/>
            <w:noWrap w:val="0"/>
            <w:vAlign w:val="top"/>
          </w:tcPr>
          <w:p>
            <w:pPr>
              <w:spacing w:line="388" w:lineRule="auto"/>
              <w:rPr>
                <w:rFonts w:hint="eastAsia" w:ascii="仿宋" w:hAnsi="仿宋" w:eastAsia="仿宋" w:cs="仿宋"/>
                <w:sz w:val="28"/>
                <w:szCs w:val="28"/>
              </w:rPr>
            </w:pPr>
          </w:p>
          <w:p>
            <w:pPr>
              <w:pStyle w:val="282"/>
              <w:spacing w:before="71"/>
              <w:ind w:left="184"/>
              <w:rPr>
                <w:rFonts w:hint="eastAsia" w:ascii="仿宋" w:hAnsi="仿宋" w:eastAsia="仿宋" w:cs="仿宋"/>
                <w:sz w:val="28"/>
                <w:szCs w:val="28"/>
              </w:rPr>
            </w:pPr>
            <w:r>
              <w:rPr>
                <w:rFonts w:hint="eastAsia" w:ascii="仿宋" w:hAnsi="仿宋" w:eastAsia="仿宋" w:cs="仿宋"/>
                <w:spacing w:val="-7"/>
                <w:sz w:val="28"/>
                <w:szCs w:val="28"/>
              </w:rPr>
              <w:t>31</w:t>
            </w:r>
          </w:p>
        </w:tc>
        <w:tc>
          <w:tcPr>
            <w:tcW w:w="8058" w:type="dxa"/>
            <w:noWrap w:val="0"/>
            <w:vAlign w:val="top"/>
          </w:tcPr>
          <w:p>
            <w:pPr>
              <w:pStyle w:val="282"/>
              <w:spacing w:before="212" w:line="326" w:lineRule="auto"/>
              <w:ind w:left="115" w:right="101" w:firstLine="10"/>
              <w:rPr>
                <w:rFonts w:hint="eastAsia" w:ascii="仿宋" w:hAnsi="仿宋" w:eastAsia="仿宋" w:cs="仿宋"/>
                <w:sz w:val="28"/>
                <w:szCs w:val="28"/>
              </w:rPr>
            </w:pPr>
            <w:r>
              <w:rPr>
                <w:rFonts w:hint="eastAsia" w:ascii="仿宋" w:hAnsi="仿宋" w:eastAsia="仿宋" w:cs="仿宋"/>
                <w:spacing w:val="-3"/>
                <w:sz w:val="28"/>
                <w:szCs w:val="28"/>
              </w:rPr>
              <w:t>防捣乱功能：超过额定载客人数的召唤取消、最后停层召唤取消以及反向召唤取消</w:t>
            </w:r>
            <w:r>
              <w:rPr>
                <w:rFonts w:hint="eastAsia" w:ascii="仿宋" w:hAnsi="仿宋" w:eastAsia="仿宋" w:cs="仿宋"/>
                <w:spacing w:val="-6"/>
                <w:sz w:val="28"/>
                <w:szCs w:val="28"/>
              </w:rPr>
              <w:t>功能</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65" w:hRule="atLeast"/>
        </w:trPr>
        <w:tc>
          <w:tcPr>
            <w:tcW w:w="696" w:type="dxa"/>
            <w:noWrap w:val="0"/>
            <w:vAlign w:val="top"/>
          </w:tcPr>
          <w:p>
            <w:pPr>
              <w:pStyle w:val="282"/>
              <w:spacing w:before="245"/>
              <w:ind w:left="184"/>
              <w:rPr>
                <w:rFonts w:hint="eastAsia" w:ascii="仿宋" w:hAnsi="仿宋" w:eastAsia="仿宋" w:cs="仿宋"/>
                <w:sz w:val="28"/>
                <w:szCs w:val="28"/>
              </w:rPr>
            </w:pPr>
            <w:r>
              <w:rPr>
                <w:rFonts w:hint="eastAsia" w:ascii="仿宋" w:hAnsi="仿宋" w:eastAsia="仿宋" w:cs="仿宋"/>
                <w:spacing w:val="-7"/>
                <w:sz w:val="28"/>
                <w:szCs w:val="28"/>
              </w:rPr>
              <w:t>32</w:t>
            </w:r>
          </w:p>
        </w:tc>
        <w:tc>
          <w:tcPr>
            <w:tcW w:w="8058" w:type="dxa"/>
            <w:noWrap w:val="0"/>
            <w:vAlign w:val="top"/>
          </w:tcPr>
          <w:p>
            <w:pPr>
              <w:pStyle w:val="282"/>
              <w:spacing w:before="244" w:line="220" w:lineRule="auto"/>
              <w:ind w:left="110"/>
              <w:rPr>
                <w:rFonts w:hint="eastAsia" w:ascii="仿宋" w:hAnsi="仿宋" w:eastAsia="仿宋" w:cs="仿宋"/>
                <w:sz w:val="28"/>
                <w:szCs w:val="28"/>
              </w:rPr>
            </w:pPr>
            <w:r>
              <w:rPr>
                <w:rFonts w:hint="eastAsia" w:ascii="仿宋" w:hAnsi="仿宋" w:eastAsia="仿宋" w:cs="Times New Roman"/>
                <w:sz w:val="28"/>
                <w:szCs w:val="28"/>
              </w:rPr>
              <w:t>★</w:t>
            </w:r>
            <w:r>
              <w:rPr>
                <w:rFonts w:hint="eastAsia" w:ascii="仿宋" w:hAnsi="仿宋" w:eastAsia="仿宋" w:cs="仿宋"/>
                <w:spacing w:val="-2"/>
                <w:sz w:val="28"/>
                <w:szCs w:val="28"/>
              </w:rPr>
              <w:t>泊梯功能：接通位于电梯1层的开关，电梯自动关门、停止运行。</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99" w:hRule="atLeast"/>
        </w:trPr>
        <w:tc>
          <w:tcPr>
            <w:tcW w:w="696" w:type="dxa"/>
            <w:noWrap w:val="0"/>
            <w:vAlign w:val="top"/>
          </w:tcPr>
          <w:p>
            <w:pPr>
              <w:spacing w:line="388" w:lineRule="auto"/>
              <w:rPr>
                <w:rFonts w:hint="eastAsia" w:ascii="仿宋" w:hAnsi="仿宋" w:eastAsia="仿宋" w:cs="仿宋"/>
                <w:sz w:val="28"/>
                <w:szCs w:val="28"/>
              </w:rPr>
            </w:pPr>
          </w:p>
          <w:p>
            <w:pPr>
              <w:pStyle w:val="282"/>
              <w:spacing w:before="72"/>
              <w:ind w:left="184"/>
              <w:rPr>
                <w:rFonts w:hint="eastAsia" w:ascii="仿宋" w:hAnsi="仿宋" w:eastAsia="仿宋" w:cs="仿宋"/>
                <w:sz w:val="28"/>
                <w:szCs w:val="28"/>
              </w:rPr>
            </w:pPr>
            <w:r>
              <w:rPr>
                <w:rFonts w:hint="eastAsia" w:ascii="仿宋" w:hAnsi="仿宋" w:eastAsia="仿宋" w:cs="仿宋"/>
                <w:spacing w:val="-7"/>
                <w:sz w:val="28"/>
                <w:szCs w:val="28"/>
              </w:rPr>
              <w:t>33</w:t>
            </w:r>
          </w:p>
        </w:tc>
        <w:tc>
          <w:tcPr>
            <w:tcW w:w="8058" w:type="dxa"/>
            <w:noWrap w:val="0"/>
            <w:vAlign w:val="top"/>
          </w:tcPr>
          <w:p>
            <w:pPr>
              <w:pStyle w:val="282"/>
              <w:spacing w:before="212" w:line="326" w:lineRule="auto"/>
              <w:ind w:left="113" w:right="101" w:firstLine="4"/>
              <w:rPr>
                <w:rFonts w:hint="eastAsia" w:ascii="仿宋" w:hAnsi="仿宋" w:eastAsia="仿宋" w:cs="仿宋"/>
                <w:sz w:val="28"/>
                <w:szCs w:val="28"/>
              </w:rPr>
            </w:pPr>
            <w:r>
              <w:rPr>
                <w:rFonts w:hint="eastAsia" w:ascii="仿宋" w:hAnsi="仿宋" w:eastAsia="仿宋" w:cs="仿宋"/>
                <w:spacing w:val="-2"/>
                <w:sz w:val="28"/>
                <w:szCs w:val="28"/>
              </w:rPr>
              <w:t>带召唤按钮的层站和方向显示，面板为发纹不</w:t>
            </w:r>
            <w:r>
              <w:rPr>
                <w:rFonts w:hint="eastAsia" w:ascii="仿宋" w:hAnsi="仿宋" w:eastAsia="仿宋" w:cs="仿宋"/>
                <w:spacing w:val="-3"/>
                <w:sz w:val="28"/>
                <w:szCs w:val="28"/>
              </w:rPr>
              <w:t>锈钢，每层配置黑底白字高亮度断码</w:t>
            </w:r>
            <w:r>
              <w:rPr>
                <w:rFonts w:hint="eastAsia" w:ascii="仿宋" w:hAnsi="仿宋" w:eastAsia="仿宋" w:cs="仿宋"/>
                <w:spacing w:val="-1"/>
                <w:sz w:val="28"/>
                <w:szCs w:val="28"/>
              </w:rPr>
              <w:t>液晶显示器，可显示层站及上下运行方向</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65" w:hRule="atLeast"/>
        </w:trPr>
        <w:tc>
          <w:tcPr>
            <w:tcW w:w="696" w:type="dxa"/>
            <w:noWrap w:val="0"/>
            <w:vAlign w:val="top"/>
          </w:tcPr>
          <w:p>
            <w:pPr>
              <w:pStyle w:val="282"/>
              <w:spacing w:before="245"/>
              <w:ind w:left="184"/>
              <w:rPr>
                <w:rFonts w:hint="eastAsia" w:ascii="仿宋" w:hAnsi="仿宋" w:eastAsia="仿宋" w:cs="仿宋"/>
                <w:sz w:val="28"/>
                <w:szCs w:val="28"/>
              </w:rPr>
            </w:pPr>
            <w:r>
              <w:rPr>
                <w:rFonts w:hint="eastAsia" w:ascii="仿宋" w:hAnsi="仿宋" w:eastAsia="仿宋" w:cs="仿宋"/>
                <w:spacing w:val="-7"/>
                <w:sz w:val="28"/>
                <w:szCs w:val="28"/>
              </w:rPr>
              <w:t>34</w:t>
            </w:r>
          </w:p>
        </w:tc>
        <w:tc>
          <w:tcPr>
            <w:tcW w:w="8058" w:type="dxa"/>
            <w:noWrap w:val="0"/>
            <w:vAlign w:val="top"/>
          </w:tcPr>
          <w:p>
            <w:pPr>
              <w:pStyle w:val="282"/>
              <w:spacing w:before="245" w:line="220" w:lineRule="auto"/>
              <w:ind w:left="110"/>
              <w:rPr>
                <w:rFonts w:hint="eastAsia" w:ascii="仿宋" w:hAnsi="仿宋" w:eastAsia="仿宋" w:cs="仿宋"/>
                <w:sz w:val="28"/>
                <w:szCs w:val="28"/>
              </w:rPr>
            </w:pPr>
            <w:r>
              <w:rPr>
                <w:rFonts w:hint="eastAsia" w:ascii="仿宋" w:hAnsi="仿宋" w:eastAsia="仿宋" w:cs="Times New Roman"/>
                <w:sz w:val="28"/>
                <w:szCs w:val="28"/>
                <w:highlight w:val="none"/>
              </w:rPr>
              <w:t>★</w:t>
            </w:r>
            <w:r>
              <w:rPr>
                <w:rFonts w:hint="eastAsia" w:ascii="仿宋" w:hAnsi="仿宋" w:eastAsia="仿宋" w:cs="仿宋"/>
                <w:spacing w:val="-1"/>
                <w:sz w:val="28"/>
                <w:szCs w:val="28"/>
                <w:highlight w:val="none"/>
              </w:rPr>
              <w:t>五方对讲（含电缆</w:t>
            </w:r>
            <w:r>
              <w:rPr>
                <w:rFonts w:hint="eastAsia" w:ascii="仿宋" w:hAnsi="仿宋" w:eastAsia="仿宋" w:cs="仿宋"/>
                <w:spacing w:val="7"/>
                <w:sz w:val="28"/>
                <w:szCs w:val="28"/>
                <w:highlight w:val="none"/>
              </w:rPr>
              <w:t>），</w:t>
            </w:r>
            <w:r>
              <w:rPr>
                <w:rFonts w:hint="eastAsia" w:ascii="仿宋" w:hAnsi="仿宋" w:eastAsia="仿宋" w:cs="仿宋"/>
                <w:spacing w:val="-1"/>
                <w:sz w:val="28"/>
                <w:szCs w:val="28"/>
                <w:highlight w:val="none"/>
              </w:rPr>
              <w:t>并将报警信号接至指定的控制中心</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551" w:hRule="atLeast"/>
        </w:trPr>
        <w:tc>
          <w:tcPr>
            <w:tcW w:w="696" w:type="dxa"/>
            <w:noWrap w:val="0"/>
            <w:vAlign w:val="top"/>
          </w:tcPr>
          <w:p>
            <w:pPr>
              <w:spacing w:line="388" w:lineRule="auto"/>
              <w:rPr>
                <w:rFonts w:hint="eastAsia" w:ascii="仿宋" w:hAnsi="仿宋" w:eastAsia="仿宋" w:cs="仿宋"/>
                <w:sz w:val="28"/>
                <w:szCs w:val="28"/>
              </w:rPr>
            </w:pPr>
          </w:p>
          <w:p>
            <w:pPr>
              <w:pStyle w:val="282"/>
              <w:spacing w:before="72"/>
              <w:ind w:left="184"/>
              <w:rPr>
                <w:rFonts w:hint="eastAsia" w:ascii="仿宋" w:hAnsi="仿宋" w:eastAsia="仿宋" w:cs="仿宋"/>
                <w:sz w:val="28"/>
                <w:szCs w:val="28"/>
              </w:rPr>
            </w:pPr>
            <w:r>
              <w:rPr>
                <w:rFonts w:hint="eastAsia" w:ascii="仿宋" w:hAnsi="仿宋" w:eastAsia="仿宋" w:cs="仿宋"/>
                <w:spacing w:val="-7"/>
                <w:sz w:val="28"/>
                <w:szCs w:val="28"/>
              </w:rPr>
              <w:t>35</w:t>
            </w:r>
          </w:p>
        </w:tc>
        <w:tc>
          <w:tcPr>
            <w:tcW w:w="8058" w:type="dxa"/>
            <w:noWrap w:val="0"/>
            <w:vAlign w:val="top"/>
          </w:tcPr>
          <w:p>
            <w:pPr>
              <w:pStyle w:val="282"/>
              <w:spacing w:before="212" w:line="326" w:lineRule="auto"/>
              <w:ind w:left="120" w:right="99" w:hanging="9"/>
              <w:rPr>
                <w:rFonts w:hint="eastAsia" w:ascii="仿宋" w:hAnsi="仿宋" w:eastAsia="仿宋" w:cs="仿宋"/>
                <w:sz w:val="28"/>
                <w:szCs w:val="28"/>
              </w:rPr>
            </w:pPr>
            <w:r>
              <w:rPr>
                <w:rFonts w:hint="eastAsia" w:ascii="仿宋" w:hAnsi="仿宋" w:eastAsia="仿宋" w:cs="仿宋"/>
                <w:spacing w:val="-2"/>
                <w:sz w:val="28"/>
                <w:szCs w:val="28"/>
              </w:rPr>
              <w:t>轿厢应急照明：供电中断，应急灯立即点亮，向轿厢提供照明（</w:t>
            </w:r>
            <w:r>
              <w:rPr>
                <w:rFonts w:hint="eastAsia" w:ascii="仿宋" w:hAnsi="仿宋" w:eastAsia="仿宋" w:cs="仿宋"/>
                <w:spacing w:val="-3"/>
                <w:sz w:val="28"/>
                <w:szCs w:val="28"/>
              </w:rPr>
              <w:t>应急灯采用免维护</w:t>
            </w:r>
            <w:r>
              <w:rPr>
                <w:rFonts w:hint="eastAsia" w:ascii="仿宋" w:hAnsi="仿宋" w:eastAsia="仿宋" w:cs="仿宋"/>
                <w:spacing w:val="-2"/>
                <w:sz w:val="28"/>
                <w:szCs w:val="28"/>
              </w:rPr>
              <w:t>蓄电池自动充电，供电时间应不小于4小时）</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65" w:hRule="atLeast"/>
        </w:trPr>
        <w:tc>
          <w:tcPr>
            <w:tcW w:w="696" w:type="dxa"/>
            <w:noWrap w:val="0"/>
            <w:vAlign w:val="top"/>
          </w:tcPr>
          <w:p>
            <w:pPr>
              <w:pStyle w:val="282"/>
              <w:spacing w:before="245"/>
              <w:ind w:left="184"/>
              <w:rPr>
                <w:rFonts w:hint="eastAsia" w:ascii="仿宋" w:hAnsi="仿宋" w:eastAsia="仿宋" w:cs="仿宋"/>
                <w:sz w:val="28"/>
                <w:szCs w:val="28"/>
              </w:rPr>
            </w:pPr>
            <w:r>
              <w:rPr>
                <w:rFonts w:hint="eastAsia" w:ascii="仿宋" w:hAnsi="仿宋" w:eastAsia="仿宋" w:cs="仿宋"/>
                <w:spacing w:val="-7"/>
                <w:sz w:val="28"/>
                <w:szCs w:val="28"/>
              </w:rPr>
              <w:t>36</w:t>
            </w:r>
          </w:p>
        </w:tc>
        <w:tc>
          <w:tcPr>
            <w:tcW w:w="8058" w:type="dxa"/>
            <w:noWrap w:val="0"/>
            <w:vAlign w:val="top"/>
          </w:tcPr>
          <w:p>
            <w:pPr>
              <w:pStyle w:val="282"/>
              <w:spacing w:before="245" w:line="220" w:lineRule="auto"/>
              <w:ind w:left="137"/>
              <w:rPr>
                <w:rFonts w:hint="eastAsia" w:ascii="仿宋" w:hAnsi="仿宋" w:eastAsia="仿宋" w:cs="仿宋"/>
                <w:sz w:val="28"/>
                <w:szCs w:val="28"/>
              </w:rPr>
            </w:pPr>
            <w:r>
              <w:rPr>
                <w:rFonts w:hint="eastAsia" w:ascii="仿宋" w:hAnsi="仿宋" w:eastAsia="仿宋" w:cs="仿宋"/>
                <w:spacing w:val="-3"/>
                <w:sz w:val="28"/>
                <w:szCs w:val="28"/>
              </w:rPr>
              <w:t>电源缺相、短路保护装置</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0" w:hRule="atLeast"/>
        </w:trPr>
        <w:tc>
          <w:tcPr>
            <w:tcW w:w="696" w:type="dxa"/>
            <w:noWrap w:val="0"/>
            <w:vAlign w:val="top"/>
          </w:tcPr>
          <w:p>
            <w:pPr>
              <w:pStyle w:val="282"/>
              <w:spacing w:before="213" w:line="232" w:lineRule="auto"/>
              <w:ind w:left="184"/>
              <w:rPr>
                <w:rFonts w:hint="eastAsia" w:ascii="仿宋" w:hAnsi="仿宋" w:eastAsia="仿宋" w:cs="仿宋"/>
                <w:sz w:val="28"/>
                <w:szCs w:val="28"/>
              </w:rPr>
            </w:pPr>
            <w:r>
              <w:rPr>
                <w:rFonts w:hint="eastAsia" w:ascii="仿宋" w:hAnsi="仿宋" w:eastAsia="仿宋" w:cs="仿宋"/>
                <w:spacing w:val="-7"/>
                <w:sz w:val="28"/>
                <w:szCs w:val="28"/>
              </w:rPr>
              <w:t>37</w:t>
            </w:r>
          </w:p>
        </w:tc>
        <w:tc>
          <w:tcPr>
            <w:tcW w:w="8058" w:type="dxa"/>
            <w:noWrap w:val="0"/>
            <w:vAlign w:val="top"/>
          </w:tcPr>
          <w:p>
            <w:pPr>
              <w:pStyle w:val="282"/>
              <w:spacing w:before="213" w:line="220" w:lineRule="auto"/>
              <w:ind w:left="110"/>
              <w:rPr>
                <w:rFonts w:hint="eastAsia" w:ascii="仿宋" w:hAnsi="仿宋" w:eastAsia="仿宋" w:cs="仿宋"/>
                <w:sz w:val="28"/>
                <w:szCs w:val="28"/>
                <w:lang w:eastAsia="zh-CN"/>
              </w:rPr>
            </w:pPr>
            <w:r>
              <w:rPr>
                <w:rFonts w:hint="eastAsia" w:ascii="仿宋" w:hAnsi="仿宋" w:eastAsia="仿宋" w:cs="Times New Roman"/>
                <w:sz w:val="28"/>
                <w:szCs w:val="28"/>
              </w:rPr>
              <w:t>★</w:t>
            </w:r>
            <w:r>
              <w:rPr>
                <w:rFonts w:hint="eastAsia" w:ascii="仿宋" w:hAnsi="仿宋" w:eastAsia="仿宋" w:cs="仿宋"/>
                <w:spacing w:val="-1"/>
                <w:sz w:val="28"/>
                <w:szCs w:val="28"/>
              </w:rPr>
              <w:t>具备火灾运行管理功能：发生火灾时，</w:t>
            </w:r>
            <w:r>
              <w:rPr>
                <w:rFonts w:hint="eastAsia" w:ascii="仿宋" w:hAnsi="仿宋" w:eastAsia="仿宋" w:cs="仿宋"/>
                <w:spacing w:val="-1"/>
                <w:sz w:val="28"/>
                <w:szCs w:val="28"/>
                <w:lang w:val="en-US" w:eastAsia="zh-CN"/>
              </w:rPr>
              <w:t>断电情况下</w:t>
            </w:r>
            <w:r>
              <w:rPr>
                <w:rFonts w:hint="eastAsia" w:ascii="仿宋" w:hAnsi="仿宋" w:eastAsia="仿宋" w:cs="仿宋"/>
                <w:spacing w:val="-1"/>
                <w:sz w:val="28"/>
                <w:szCs w:val="28"/>
              </w:rPr>
              <w:t>电梯立即</w:t>
            </w:r>
            <w:r>
              <w:rPr>
                <w:rFonts w:hint="eastAsia" w:ascii="仿宋" w:hAnsi="仿宋" w:eastAsia="仿宋" w:cs="仿宋"/>
                <w:spacing w:val="-1"/>
                <w:sz w:val="28"/>
                <w:szCs w:val="28"/>
                <w:lang w:val="en-US" w:eastAsia="zh-CN"/>
              </w:rPr>
              <w:t>平层</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66" w:hRule="atLeast"/>
        </w:trPr>
        <w:tc>
          <w:tcPr>
            <w:tcW w:w="696" w:type="dxa"/>
            <w:noWrap w:val="0"/>
            <w:vAlign w:val="top"/>
          </w:tcPr>
          <w:p>
            <w:pPr>
              <w:pStyle w:val="282"/>
              <w:spacing w:before="242"/>
              <w:ind w:left="184"/>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38</w:t>
            </w:r>
          </w:p>
        </w:tc>
        <w:tc>
          <w:tcPr>
            <w:tcW w:w="8058" w:type="dxa"/>
            <w:noWrap w:val="0"/>
            <w:vAlign w:val="top"/>
          </w:tcPr>
          <w:p>
            <w:pPr>
              <w:pStyle w:val="282"/>
              <w:spacing w:before="242" w:line="221" w:lineRule="auto"/>
              <w:ind w:left="112"/>
              <w:rPr>
                <w:rFonts w:hint="eastAsia" w:ascii="仿宋" w:hAnsi="仿宋" w:eastAsia="仿宋" w:cs="仿宋"/>
                <w:sz w:val="28"/>
                <w:szCs w:val="28"/>
              </w:rPr>
            </w:pPr>
            <w:r>
              <w:rPr>
                <w:rFonts w:hint="eastAsia" w:ascii="仿宋" w:hAnsi="仿宋" w:eastAsia="仿宋" w:cs="仿宋"/>
                <w:spacing w:val="-1"/>
                <w:sz w:val="28"/>
                <w:szCs w:val="28"/>
              </w:rPr>
              <w:t>标识：所有设备的标识均应有中文标注</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59" w:hRule="atLeast"/>
        </w:trPr>
        <w:tc>
          <w:tcPr>
            <w:tcW w:w="696" w:type="dxa"/>
            <w:noWrap w:val="0"/>
            <w:vAlign w:val="top"/>
          </w:tcPr>
          <w:p>
            <w:pPr>
              <w:spacing w:line="272" w:lineRule="auto"/>
              <w:rPr>
                <w:rFonts w:hint="eastAsia" w:ascii="仿宋" w:hAnsi="仿宋" w:eastAsia="仿宋" w:cs="仿宋"/>
                <w:sz w:val="28"/>
                <w:szCs w:val="28"/>
              </w:rPr>
            </w:pPr>
          </w:p>
          <w:p>
            <w:pPr>
              <w:spacing w:line="272" w:lineRule="auto"/>
              <w:rPr>
                <w:rFonts w:hint="eastAsia" w:ascii="仿宋" w:hAnsi="仿宋" w:eastAsia="仿宋" w:cs="仿宋"/>
                <w:sz w:val="28"/>
                <w:szCs w:val="28"/>
              </w:rPr>
            </w:pPr>
          </w:p>
          <w:p>
            <w:pPr>
              <w:pStyle w:val="282"/>
              <w:spacing w:before="72"/>
              <w:ind w:left="178"/>
              <w:rPr>
                <w:rFonts w:hint="default" w:ascii="仿宋" w:hAnsi="仿宋" w:eastAsia="仿宋" w:cs="仿宋"/>
                <w:sz w:val="28"/>
                <w:szCs w:val="28"/>
                <w:lang w:val="en-US" w:eastAsia="zh-CN"/>
              </w:rPr>
            </w:pPr>
            <w:r>
              <w:rPr>
                <w:rFonts w:hint="eastAsia" w:ascii="仿宋" w:hAnsi="仿宋" w:eastAsia="仿宋" w:cs="仿宋"/>
                <w:spacing w:val="-4"/>
                <w:sz w:val="28"/>
                <w:szCs w:val="28"/>
                <w:lang w:val="en-US" w:eastAsia="zh-CN"/>
              </w:rPr>
              <w:t>39</w:t>
            </w:r>
          </w:p>
        </w:tc>
        <w:tc>
          <w:tcPr>
            <w:tcW w:w="8058" w:type="dxa"/>
            <w:noWrap w:val="0"/>
            <w:vAlign w:val="top"/>
          </w:tcPr>
          <w:p>
            <w:pPr>
              <w:pStyle w:val="282"/>
              <w:spacing w:before="161" w:line="321" w:lineRule="auto"/>
              <w:ind w:left="110" w:right="62"/>
              <w:jc w:val="both"/>
              <w:rPr>
                <w:rFonts w:hint="eastAsia" w:ascii="仿宋" w:hAnsi="仿宋" w:eastAsia="仿宋" w:cs="仿宋"/>
                <w:sz w:val="28"/>
                <w:szCs w:val="28"/>
                <w:lang w:eastAsia="zh-CN"/>
              </w:rPr>
            </w:pPr>
            <w:r>
              <w:rPr>
                <w:rFonts w:hint="eastAsia" w:ascii="仿宋" w:hAnsi="仿宋" w:eastAsia="仿宋" w:cs="Times New Roman"/>
                <w:color w:val="auto"/>
                <w:sz w:val="28"/>
                <w:szCs w:val="28"/>
                <w:highlight w:val="none"/>
              </w:rPr>
              <w:t>★</w:t>
            </w:r>
            <w:r>
              <w:rPr>
                <w:rFonts w:hint="eastAsia" w:ascii="仿宋" w:hAnsi="仿宋" w:eastAsia="仿宋" w:cs="仿宋"/>
                <w:color w:val="auto"/>
                <w:spacing w:val="-2"/>
                <w:sz w:val="28"/>
                <w:szCs w:val="28"/>
                <w:highlight w:val="none"/>
              </w:rPr>
              <w:t>含电梯安装、运输、保险、人工费及安装所需的所有管线配件等费用，同时包含旧梯拆除</w:t>
            </w:r>
            <w:r>
              <w:rPr>
                <w:rFonts w:hint="eastAsia" w:ascii="仿宋" w:hAnsi="仿宋" w:eastAsia="仿宋" w:cs="仿宋"/>
                <w:color w:val="auto"/>
                <w:spacing w:val="-2"/>
                <w:sz w:val="28"/>
                <w:szCs w:val="28"/>
                <w:highlight w:val="none"/>
                <w:lang w:val="en-US" w:eastAsia="zh-CN"/>
              </w:rPr>
              <w:t>费用以及拆除</w:t>
            </w:r>
            <w:r>
              <w:rPr>
                <w:rFonts w:hint="eastAsia" w:ascii="仿宋" w:hAnsi="仿宋" w:eastAsia="仿宋" w:cs="仿宋"/>
                <w:color w:val="auto"/>
                <w:spacing w:val="-2"/>
                <w:sz w:val="28"/>
                <w:szCs w:val="28"/>
                <w:highlight w:val="none"/>
              </w:rPr>
              <w:t>后的井道、机房土建修复，底坑防水，新梯安装完成后涉及的土建回填、每层门厅及机房回填、美化，机房地面粉刷。</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64" w:hRule="atLeast"/>
        </w:trPr>
        <w:tc>
          <w:tcPr>
            <w:tcW w:w="696" w:type="dxa"/>
            <w:noWrap w:val="0"/>
            <w:vAlign w:val="top"/>
          </w:tcPr>
          <w:p>
            <w:pPr>
              <w:pStyle w:val="282"/>
              <w:spacing w:before="240" w:line="242" w:lineRule="auto"/>
              <w:ind w:left="178"/>
              <w:rPr>
                <w:rFonts w:hint="default" w:ascii="仿宋" w:hAnsi="仿宋" w:eastAsia="仿宋" w:cs="仿宋"/>
                <w:sz w:val="28"/>
                <w:szCs w:val="28"/>
                <w:lang w:val="en-US" w:eastAsia="zh-CN"/>
              </w:rPr>
            </w:pPr>
            <w:r>
              <w:rPr>
                <w:rFonts w:hint="eastAsia" w:ascii="仿宋" w:hAnsi="仿宋" w:eastAsia="仿宋" w:cs="仿宋"/>
                <w:spacing w:val="-4"/>
                <w:sz w:val="28"/>
                <w:szCs w:val="28"/>
                <w:lang w:val="en-US" w:eastAsia="zh-CN"/>
              </w:rPr>
              <w:t>40</w:t>
            </w:r>
          </w:p>
        </w:tc>
        <w:tc>
          <w:tcPr>
            <w:tcW w:w="8058" w:type="dxa"/>
            <w:noWrap w:val="0"/>
            <w:vAlign w:val="top"/>
          </w:tcPr>
          <w:p>
            <w:pPr>
              <w:pStyle w:val="282"/>
              <w:spacing w:before="224" w:line="220" w:lineRule="auto"/>
              <w:ind w:left="116"/>
              <w:rPr>
                <w:rFonts w:hint="eastAsia" w:ascii="仿宋" w:hAnsi="仿宋" w:eastAsia="仿宋" w:cs="仿宋"/>
                <w:sz w:val="28"/>
                <w:szCs w:val="28"/>
              </w:rPr>
            </w:pPr>
            <w:r>
              <w:rPr>
                <w:rFonts w:hint="eastAsia" w:ascii="仿宋" w:hAnsi="仿宋" w:eastAsia="仿宋" w:cs="Times New Roman"/>
                <w:sz w:val="28"/>
                <w:szCs w:val="28"/>
              </w:rPr>
              <w:t>★</w:t>
            </w:r>
            <w:r>
              <w:rPr>
                <w:rFonts w:hint="eastAsia" w:ascii="仿宋" w:hAnsi="仿宋" w:eastAsia="仿宋" w:cs="仿宋"/>
                <w:spacing w:val="-2"/>
                <w:sz w:val="28"/>
                <w:szCs w:val="28"/>
              </w:rPr>
              <w:t>具备语音报站功能</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69" w:hRule="atLeast"/>
        </w:trPr>
        <w:tc>
          <w:tcPr>
            <w:tcW w:w="696" w:type="dxa"/>
            <w:noWrap w:val="0"/>
            <w:vAlign w:val="top"/>
          </w:tcPr>
          <w:p>
            <w:pPr>
              <w:pStyle w:val="282"/>
              <w:spacing w:before="242" w:line="242" w:lineRule="auto"/>
              <w:ind w:left="178"/>
              <w:rPr>
                <w:rFonts w:hint="eastAsia" w:ascii="仿宋" w:hAnsi="仿宋" w:eastAsia="仿宋" w:cs="仿宋"/>
                <w:sz w:val="28"/>
                <w:szCs w:val="28"/>
                <w:lang w:val="en-US" w:eastAsia="zh-CN"/>
              </w:rPr>
            </w:pPr>
            <w:r>
              <w:rPr>
                <w:rFonts w:hint="eastAsia" w:ascii="仿宋" w:hAnsi="仿宋" w:eastAsia="仿宋" w:cs="仿宋"/>
                <w:spacing w:val="-4"/>
                <w:sz w:val="28"/>
                <w:szCs w:val="28"/>
              </w:rPr>
              <w:t>4</w:t>
            </w:r>
            <w:r>
              <w:rPr>
                <w:rFonts w:hint="eastAsia" w:ascii="仿宋" w:hAnsi="仿宋" w:eastAsia="仿宋" w:cs="仿宋"/>
                <w:spacing w:val="-4"/>
                <w:sz w:val="28"/>
                <w:szCs w:val="28"/>
                <w:lang w:val="en-US" w:eastAsia="zh-CN"/>
              </w:rPr>
              <w:t>1</w:t>
            </w:r>
          </w:p>
        </w:tc>
        <w:tc>
          <w:tcPr>
            <w:tcW w:w="8058" w:type="dxa"/>
            <w:noWrap w:val="0"/>
            <w:vAlign w:val="top"/>
          </w:tcPr>
          <w:p>
            <w:pPr>
              <w:pStyle w:val="282"/>
              <w:spacing w:before="226" w:line="219" w:lineRule="auto"/>
              <w:ind w:left="111"/>
              <w:rPr>
                <w:rFonts w:hint="eastAsia" w:ascii="仿宋" w:hAnsi="仿宋" w:eastAsia="仿宋" w:cs="仿宋"/>
                <w:sz w:val="28"/>
                <w:szCs w:val="28"/>
              </w:rPr>
            </w:pPr>
            <w:r>
              <w:rPr>
                <w:rFonts w:hint="eastAsia" w:ascii="仿宋" w:hAnsi="仿宋" w:eastAsia="仿宋" w:cs="Times New Roman"/>
                <w:sz w:val="28"/>
                <w:szCs w:val="28"/>
              </w:rPr>
              <w:t>★</w:t>
            </w:r>
            <w:r>
              <w:rPr>
                <w:rFonts w:hint="eastAsia" w:ascii="仿宋" w:hAnsi="仿宋" w:eastAsia="仿宋" w:cs="仿宋"/>
                <w:color w:val="auto"/>
                <w:spacing w:val="3"/>
                <w:sz w:val="28"/>
                <w:szCs w:val="28"/>
              </w:rPr>
              <w:t>轿厢导轨采用T89导轨</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810" w:hRule="atLeast"/>
        </w:trPr>
        <w:tc>
          <w:tcPr>
            <w:tcW w:w="696" w:type="dxa"/>
            <w:noWrap w:val="0"/>
            <w:vAlign w:val="top"/>
          </w:tcPr>
          <w:p>
            <w:pPr>
              <w:spacing w:line="259" w:lineRule="auto"/>
              <w:rPr>
                <w:rFonts w:hint="eastAsia" w:ascii="仿宋" w:hAnsi="仿宋" w:eastAsia="仿宋" w:cs="仿宋"/>
                <w:sz w:val="28"/>
                <w:szCs w:val="28"/>
              </w:rPr>
            </w:pPr>
          </w:p>
          <w:p>
            <w:pPr>
              <w:spacing w:line="259" w:lineRule="auto"/>
              <w:rPr>
                <w:rFonts w:hint="eastAsia" w:ascii="仿宋" w:hAnsi="仿宋" w:eastAsia="仿宋" w:cs="仿宋"/>
                <w:sz w:val="28"/>
                <w:szCs w:val="28"/>
              </w:rPr>
            </w:pPr>
          </w:p>
          <w:p>
            <w:pPr>
              <w:spacing w:line="259" w:lineRule="auto"/>
              <w:rPr>
                <w:rFonts w:hint="eastAsia" w:ascii="仿宋" w:hAnsi="仿宋" w:eastAsia="仿宋" w:cs="仿宋"/>
                <w:sz w:val="28"/>
                <w:szCs w:val="28"/>
              </w:rPr>
            </w:pPr>
          </w:p>
          <w:p>
            <w:pPr>
              <w:spacing w:line="259" w:lineRule="auto"/>
              <w:rPr>
                <w:rFonts w:hint="eastAsia" w:ascii="仿宋" w:hAnsi="仿宋" w:eastAsia="仿宋" w:cs="仿宋"/>
                <w:sz w:val="28"/>
                <w:szCs w:val="28"/>
              </w:rPr>
            </w:pPr>
          </w:p>
          <w:p>
            <w:pPr>
              <w:spacing w:line="260" w:lineRule="auto"/>
              <w:rPr>
                <w:rFonts w:hint="eastAsia" w:ascii="仿宋" w:hAnsi="仿宋" w:eastAsia="仿宋" w:cs="仿宋"/>
                <w:sz w:val="28"/>
                <w:szCs w:val="28"/>
              </w:rPr>
            </w:pPr>
          </w:p>
          <w:p>
            <w:pPr>
              <w:spacing w:line="260" w:lineRule="auto"/>
              <w:rPr>
                <w:rFonts w:hint="eastAsia" w:ascii="仿宋" w:hAnsi="仿宋" w:eastAsia="仿宋" w:cs="仿宋"/>
                <w:sz w:val="28"/>
                <w:szCs w:val="28"/>
              </w:rPr>
            </w:pPr>
          </w:p>
          <w:p>
            <w:pPr>
              <w:spacing w:line="260" w:lineRule="auto"/>
              <w:rPr>
                <w:rFonts w:hint="eastAsia" w:ascii="仿宋" w:hAnsi="仿宋" w:eastAsia="仿宋" w:cs="仿宋"/>
                <w:sz w:val="28"/>
                <w:szCs w:val="28"/>
              </w:rPr>
            </w:pPr>
          </w:p>
          <w:p>
            <w:pPr>
              <w:spacing w:line="260" w:lineRule="auto"/>
              <w:rPr>
                <w:rFonts w:hint="eastAsia" w:ascii="仿宋" w:hAnsi="仿宋" w:eastAsia="仿宋" w:cs="仿宋"/>
                <w:sz w:val="28"/>
                <w:szCs w:val="28"/>
              </w:rPr>
            </w:pPr>
          </w:p>
          <w:p>
            <w:pPr>
              <w:pStyle w:val="282"/>
              <w:spacing w:before="71"/>
              <w:ind w:left="178"/>
              <w:rPr>
                <w:rFonts w:hint="default" w:ascii="仿宋" w:hAnsi="仿宋" w:eastAsia="仿宋" w:cs="仿宋"/>
                <w:sz w:val="28"/>
                <w:szCs w:val="28"/>
                <w:lang w:val="en-US" w:eastAsia="zh-CN"/>
              </w:rPr>
            </w:pPr>
            <w:r>
              <w:rPr>
                <w:rFonts w:hint="eastAsia" w:ascii="仿宋" w:hAnsi="仿宋" w:eastAsia="仿宋" w:cs="仿宋"/>
                <w:spacing w:val="-4"/>
                <w:sz w:val="28"/>
                <w:szCs w:val="28"/>
                <w:lang w:val="en-US" w:eastAsia="zh-CN"/>
              </w:rPr>
              <w:t>42</w:t>
            </w:r>
          </w:p>
        </w:tc>
        <w:tc>
          <w:tcPr>
            <w:tcW w:w="8058" w:type="dxa"/>
            <w:noWrap w:val="0"/>
            <w:vAlign w:val="top"/>
          </w:tcPr>
          <w:p>
            <w:pPr>
              <w:pStyle w:val="282"/>
              <w:spacing w:before="160" w:line="222" w:lineRule="auto"/>
              <w:ind w:left="114"/>
              <w:rPr>
                <w:rFonts w:hint="eastAsia" w:ascii="仿宋" w:hAnsi="仿宋" w:eastAsia="仿宋" w:cs="仿宋"/>
                <w:sz w:val="28"/>
                <w:szCs w:val="28"/>
              </w:rPr>
            </w:pPr>
            <w:r>
              <w:rPr>
                <w:rFonts w:hint="eastAsia" w:ascii="仿宋" w:hAnsi="仿宋" w:eastAsia="仿宋" w:cs="仿宋"/>
                <w:spacing w:val="-3"/>
                <w:sz w:val="28"/>
                <w:szCs w:val="28"/>
              </w:rPr>
              <w:t>悬挂系统：</w:t>
            </w:r>
          </w:p>
          <w:p>
            <w:pPr>
              <w:pStyle w:val="282"/>
              <w:spacing w:before="177" w:line="319" w:lineRule="auto"/>
              <w:ind w:left="112" w:right="140" w:firstLine="38"/>
              <w:rPr>
                <w:rFonts w:hint="eastAsia" w:ascii="仿宋" w:hAnsi="仿宋" w:eastAsia="仿宋" w:cs="仿宋"/>
                <w:sz w:val="28"/>
                <w:szCs w:val="28"/>
              </w:rPr>
            </w:pPr>
            <w:r>
              <w:rPr>
                <w:rFonts w:hint="eastAsia" w:ascii="仿宋" w:hAnsi="仿宋" w:eastAsia="仿宋" w:cs="仿宋"/>
                <w:spacing w:val="-2"/>
                <w:sz w:val="28"/>
                <w:szCs w:val="28"/>
              </w:rPr>
              <w:t>(1）在正常使用条件下，悬挂钢丝绳使用年限不少于10年或者</w:t>
            </w:r>
            <w:r>
              <w:rPr>
                <w:rFonts w:hint="eastAsia" w:ascii="仿宋" w:hAnsi="仿宋" w:eastAsia="仿宋" w:cs="仿宋"/>
                <w:spacing w:val="-3"/>
                <w:sz w:val="28"/>
                <w:szCs w:val="28"/>
              </w:rPr>
              <w:t>对应电梯驱动主机</w:t>
            </w:r>
            <w:r>
              <w:rPr>
                <w:rFonts w:hint="eastAsia" w:ascii="仿宋" w:hAnsi="仿宋" w:eastAsia="仿宋" w:cs="仿宋"/>
                <w:sz w:val="28"/>
                <w:szCs w:val="28"/>
              </w:rPr>
              <w:t>启动次数不少于200万次；包覆带使用年限不少于20年或者对应电梯驱动主机启</w:t>
            </w:r>
            <w:r>
              <w:rPr>
                <w:rFonts w:hint="eastAsia" w:ascii="仿宋" w:hAnsi="仿宋" w:eastAsia="仿宋" w:cs="仿宋"/>
                <w:spacing w:val="-3"/>
                <w:sz w:val="28"/>
                <w:szCs w:val="28"/>
              </w:rPr>
              <w:t>动次数不少于400万次；</w:t>
            </w:r>
          </w:p>
          <w:p>
            <w:pPr>
              <w:pStyle w:val="282"/>
              <w:spacing w:before="179" w:line="294" w:lineRule="auto"/>
              <w:ind w:left="113" w:right="101" w:firstLine="37"/>
              <w:rPr>
                <w:rFonts w:hint="eastAsia" w:ascii="仿宋" w:hAnsi="仿宋" w:eastAsia="仿宋" w:cs="仿宋"/>
                <w:sz w:val="28"/>
                <w:szCs w:val="28"/>
              </w:rPr>
            </w:pPr>
            <w:r>
              <w:rPr>
                <w:rFonts w:hint="eastAsia" w:ascii="仿宋" w:hAnsi="仿宋" w:eastAsia="仿宋" w:cs="仿宋"/>
                <w:spacing w:val="-3"/>
                <w:sz w:val="28"/>
                <w:szCs w:val="28"/>
              </w:rPr>
              <w:t>(2）采用包覆带作为悬挂装置的，应当在控制柜内永久性张</w:t>
            </w:r>
            <w:r>
              <w:rPr>
                <w:rFonts w:hint="eastAsia" w:ascii="仿宋" w:hAnsi="仿宋" w:eastAsia="仿宋" w:cs="仿宋"/>
                <w:spacing w:val="-4"/>
                <w:sz w:val="28"/>
                <w:szCs w:val="28"/>
              </w:rPr>
              <w:t>贴包括防止水、砂尘和</w:t>
            </w:r>
            <w:r>
              <w:rPr>
                <w:rFonts w:hint="eastAsia" w:ascii="仿宋" w:hAnsi="仿宋" w:eastAsia="仿宋" w:cs="仿宋"/>
                <w:sz w:val="28"/>
                <w:szCs w:val="28"/>
              </w:rPr>
              <w:t>润滑油等介质影响包覆带曳引能力的日常检</w:t>
            </w:r>
            <w:r>
              <w:rPr>
                <w:rFonts w:hint="eastAsia" w:ascii="仿宋" w:hAnsi="仿宋" w:eastAsia="仿宋" w:cs="仿宋"/>
                <w:spacing w:val="-1"/>
                <w:sz w:val="28"/>
                <w:szCs w:val="28"/>
              </w:rPr>
              <w:t>查和维护保养要求的标识；</w:t>
            </w:r>
          </w:p>
          <w:p>
            <w:pPr>
              <w:pStyle w:val="282"/>
              <w:spacing w:before="177" w:line="320" w:lineRule="auto"/>
              <w:ind w:left="112" w:right="40" w:firstLine="38"/>
              <w:rPr>
                <w:rFonts w:hint="eastAsia" w:ascii="仿宋" w:hAnsi="仿宋" w:eastAsia="仿宋" w:cs="仿宋"/>
                <w:sz w:val="28"/>
                <w:szCs w:val="28"/>
              </w:rPr>
            </w:pPr>
            <w:r>
              <w:rPr>
                <w:rFonts w:hint="eastAsia" w:ascii="仿宋" w:hAnsi="仿宋" w:eastAsia="仿宋" w:cs="仿宋"/>
                <w:spacing w:val="-8"/>
                <w:sz w:val="28"/>
                <w:szCs w:val="28"/>
              </w:rPr>
              <w:t>(3）对于采用非1:1悬挂比的电梯，当悬挂装置通过反绳轮与轿厢或者对重连接</w:t>
            </w:r>
            <w:r>
              <w:rPr>
                <w:rFonts w:hint="eastAsia" w:ascii="仿宋" w:hAnsi="仿宋" w:eastAsia="仿宋" w:cs="仿宋"/>
                <w:spacing w:val="-9"/>
                <w:sz w:val="28"/>
                <w:szCs w:val="28"/>
              </w:rPr>
              <w:t>时，</w:t>
            </w:r>
            <w:r>
              <w:rPr>
                <w:rFonts w:hint="eastAsia" w:ascii="仿宋" w:hAnsi="仿宋" w:eastAsia="仿宋" w:cs="仿宋"/>
                <w:sz w:val="28"/>
                <w:szCs w:val="28"/>
              </w:rPr>
              <w:t>反绳轮及其固定部分应当设置防止轿厢或者对重与悬挂装置</w:t>
            </w:r>
            <w:r>
              <w:rPr>
                <w:rFonts w:hint="eastAsia" w:ascii="仿宋" w:hAnsi="仿宋" w:eastAsia="仿宋" w:cs="仿宋"/>
                <w:spacing w:val="-1"/>
                <w:sz w:val="28"/>
                <w:szCs w:val="28"/>
              </w:rPr>
              <w:t>脱离或者反绳轮坠落</w:t>
            </w:r>
            <w:r>
              <w:rPr>
                <w:rFonts w:hint="eastAsia" w:ascii="仿宋" w:hAnsi="仿宋" w:eastAsia="仿宋" w:cs="仿宋"/>
                <w:spacing w:val="1"/>
                <w:sz w:val="28"/>
                <w:szCs w:val="28"/>
              </w:rPr>
              <w:t>的防护装置（需在相应位置设置指示标志）;</w:t>
            </w:r>
          </w:p>
          <w:p>
            <w:pPr>
              <w:pStyle w:val="282"/>
              <w:spacing w:before="177" w:line="219" w:lineRule="auto"/>
              <w:ind w:left="150"/>
              <w:rPr>
                <w:rFonts w:hint="eastAsia" w:ascii="仿宋" w:hAnsi="仿宋" w:eastAsia="仿宋" w:cs="仿宋"/>
                <w:sz w:val="28"/>
                <w:szCs w:val="28"/>
              </w:rPr>
            </w:pPr>
            <w:r>
              <w:rPr>
                <w:rFonts w:hint="eastAsia" w:ascii="仿宋" w:hAnsi="仿宋" w:eastAsia="仿宋" w:cs="Times New Roman"/>
                <w:sz w:val="28"/>
                <w:szCs w:val="28"/>
              </w:rPr>
              <w:t>★</w:t>
            </w:r>
            <w:r>
              <w:rPr>
                <w:rFonts w:hint="eastAsia" w:ascii="仿宋" w:hAnsi="仿宋" w:eastAsia="仿宋" w:cs="仿宋"/>
                <w:spacing w:val="-4"/>
                <w:sz w:val="28"/>
                <w:szCs w:val="28"/>
              </w:rPr>
              <w:t>(4）反绳轮应当采用金属材质。</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69" w:hRule="atLeast"/>
        </w:trPr>
        <w:tc>
          <w:tcPr>
            <w:tcW w:w="696" w:type="dxa"/>
            <w:noWrap w:val="0"/>
            <w:vAlign w:val="top"/>
          </w:tcPr>
          <w:p>
            <w:pPr>
              <w:pStyle w:val="282"/>
              <w:spacing w:before="245" w:line="242" w:lineRule="auto"/>
              <w:ind w:left="178"/>
              <w:rPr>
                <w:rFonts w:hint="eastAsia" w:ascii="仿宋" w:hAnsi="仿宋" w:eastAsia="仿宋" w:cs="仿宋"/>
                <w:sz w:val="28"/>
                <w:szCs w:val="28"/>
                <w:lang w:val="en-US" w:eastAsia="zh-CN"/>
              </w:rPr>
            </w:pPr>
            <w:r>
              <w:rPr>
                <w:rFonts w:hint="eastAsia" w:ascii="仿宋" w:hAnsi="仿宋" w:eastAsia="仿宋" w:cs="仿宋"/>
                <w:spacing w:val="-4"/>
                <w:sz w:val="28"/>
                <w:szCs w:val="28"/>
              </w:rPr>
              <w:t>4</w:t>
            </w:r>
            <w:r>
              <w:rPr>
                <w:rFonts w:hint="eastAsia" w:ascii="仿宋" w:hAnsi="仿宋" w:eastAsia="仿宋" w:cs="仿宋"/>
                <w:spacing w:val="-4"/>
                <w:sz w:val="28"/>
                <w:szCs w:val="28"/>
                <w:lang w:val="en-US" w:eastAsia="zh-CN"/>
              </w:rPr>
              <w:t>3</w:t>
            </w:r>
          </w:p>
        </w:tc>
        <w:tc>
          <w:tcPr>
            <w:tcW w:w="8058" w:type="dxa"/>
            <w:noWrap w:val="0"/>
            <w:vAlign w:val="top"/>
          </w:tcPr>
          <w:p>
            <w:pPr>
              <w:pStyle w:val="282"/>
              <w:spacing w:before="246" w:line="219" w:lineRule="auto"/>
              <w:ind w:left="110"/>
              <w:rPr>
                <w:rFonts w:hint="eastAsia" w:ascii="仿宋" w:hAnsi="仿宋" w:eastAsia="仿宋" w:cs="仿宋"/>
                <w:sz w:val="28"/>
                <w:szCs w:val="28"/>
              </w:rPr>
            </w:pPr>
            <w:r>
              <w:rPr>
                <w:rFonts w:hint="eastAsia" w:ascii="仿宋" w:hAnsi="仿宋" w:eastAsia="仿宋" w:cs="Times New Roman"/>
                <w:sz w:val="28"/>
                <w:szCs w:val="28"/>
              </w:rPr>
              <w:t>★</w:t>
            </w:r>
            <w:r>
              <w:rPr>
                <w:rFonts w:hint="eastAsia" w:ascii="仿宋" w:hAnsi="仿宋" w:eastAsia="仿宋" w:cs="仿宋"/>
                <w:color w:val="auto"/>
                <w:sz w:val="28"/>
                <w:szCs w:val="28"/>
              </w:rPr>
              <w:t>对重块和轿厢配重：对重块和轿厢配重不得</w:t>
            </w:r>
            <w:r>
              <w:rPr>
                <w:rFonts w:hint="eastAsia" w:ascii="仿宋" w:hAnsi="仿宋" w:eastAsia="仿宋" w:cs="仿宋"/>
                <w:color w:val="auto"/>
                <w:spacing w:val="-1"/>
                <w:sz w:val="28"/>
                <w:szCs w:val="28"/>
              </w:rPr>
              <w:t>使用非金属材质。</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69" w:hRule="atLeast"/>
        </w:trPr>
        <w:tc>
          <w:tcPr>
            <w:tcW w:w="696" w:type="dxa"/>
            <w:noWrap w:val="0"/>
            <w:vAlign w:val="top"/>
          </w:tcPr>
          <w:p>
            <w:pPr>
              <w:pStyle w:val="282"/>
              <w:spacing w:before="246"/>
              <w:ind w:left="178"/>
              <w:rPr>
                <w:rFonts w:hint="default" w:ascii="仿宋" w:hAnsi="仿宋" w:eastAsia="仿宋" w:cs="仿宋"/>
                <w:sz w:val="28"/>
                <w:szCs w:val="28"/>
                <w:lang w:val="en-US" w:eastAsia="zh-CN"/>
              </w:rPr>
            </w:pPr>
            <w:r>
              <w:rPr>
                <w:rFonts w:hint="eastAsia" w:ascii="仿宋" w:hAnsi="仿宋" w:eastAsia="仿宋" w:cs="仿宋"/>
                <w:spacing w:val="-4"/>
                <w:sz w:val="28"/>
                <w:szCs w:val="28"/>
                <w:lang w:val="en-US" w:eastAsia="zh-CN"/>
              </w:rPr>
              <w:t>44</w:t>
            </w:r>
          </w:p>
        </w:tc>
        <w:tc>
          <w:tcPr>
            <w:tcW w:w="8058" w:type="dxa"/>
            <w:noWrap w:val="0"/>
            <w:vAlign w:val="top"/>
          </w:tcPr>
          <w:p>
            <w:pPr>
              <w:pStyle w:val="282"/>
              <w:spacing w:before="246" w:line="219" w:lineRule="auto"/>
              <w:ind w:left="114"/>
              <w:rPr>
                <w:rFonts w:hint="eastAsia" w:ascii="仿宋" w:hAnsi="仿宋" w:eastAsia="仿宋" w:cs="仿宋"/>
                <w:sz w:val="28"/>
                <w:szCs w:val="28"/>
              </w:rPr>
            </w:pPr>
            <w:r>
              <w:rPr>
                <w:rFonts w:hint="eastAsia" w:ascii="仿宋" w:hAnsi="仿宋" w:eastAsia="仿宋" w:cs="Times New Roman"/>
                <w:sz w:val="28"/>
                <w:szCs w:val="28"/>
              </w:rPr>
              <w:t>★</w:t>
            </w:r>
            <w:r>
              <w:rPr>
                <w:rFonts w:hint="eastAsia" w:ascii="仿宋" w:hAnsi="仿宋" w:eastAsia="仿宋" w:cs="仿宋"/>
                <w:spacing w:val="-1"/>
                <w:sz w:val="28"/>
                <w:szCs w:val="28"/>
              </w:rPr>
              <w:t>缓冲器：不得使用非金属材质非线性蓄能型缓冲器</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69" w:hRule="atLeast"/>
        </w:trPr>
        <w:tc>
          <w:tcPr>
            <w:tcW w:w="696" w:type="dxa"/>
            <w:noWrap w:val="0"/>
            <w:vAlign w:val="top"/>
          </w:tcPr>
          <w:p>
            <w:pPr>
              <w:pStyle w:val="282"/>
              <w:spacing w:before="245"/>
              <w:ind w:left="178"/>
              <w:rPr>
                <w:rFonts w:hint="default" w:ascii="仿宋" w:hAnsi="仿宋" w:eastAsia="仿宋" w:cs="仿宋"/>
                <w:sz w:val="28"/>
                <w:szCs w:val="28"/>
                <w:lang w:val="en-US" w:eastAsia="zh-CN"/>
              </w:rPr>
            </w:pPr>
            <w:r>
              <w:rPr>
                <w:rFonts w:hint="eastAsia" w:ascii="仿宋" w:hAnsi="仿宋" w:eastAsia="仿宋" w:cs="仿宋"/>
                <w:spacing w:val="-4"/>
                <w:sz w:val="28"/>
                <w:szCs w:val="28"/>
                <w:lang w:val="en-US" w:eastAsia="zh-CN"/>
              </w:rPr>
              <w:t>45</w:t>
            </w:r>
          </w:p>
        </w:tc>
        <w:tc>
          <w:tcPr>
            <w:tcW w:w="8058" w:type="dxa"/>
            <w:noWrap w:val="0"/>
            <w:vAlign w:val="top"/>
          </w:tcPr>
          <w:p>
            <w:pPr>
              <w:pStyle w:val="282"/>
              <w:spacing w:before="245" w:line="220" w:lineRule="auto"/>
              <w:ind w:left="112"/>
              <w:rPr>
                <w:rFonts w:hint="eastAsia" w:ascii="仿宋" w:hAnsi="仿宋" w:eastAsia="仿宋" w:cs="仿宋"/>
                <w:sz w:val="28"/>
                <w:szCs w:val="28"/>
              </w:rPr>
            </w:pPr>
            <w:r>
              <w:rPr>
                <w:rFonts w:hint="eastAsia" w:ascii="仿宋" w:hAnsi="仿宋" w:eastAsia="仿宋" w:cs="仿宋"/>
                <w:spacing w:val="-1"/>
                <w:sz w:val="28"/>
                <w:szCs w:val="28"/>
              </w:rPr>
              <w:t>其它常规功能按现行国标执行</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618" w:hRule="atLeast"/>
        </w:trPr>
        <w:tc>
          <w:tcPr>
            <w:tcW w:w="696" w:type="dxa"/>
            <w:noWrap w:val="0"/>
            <w:vAlign w:val="top"/>
          </w:tcPr>
          <w:p>
            <w:pPr>
              <w:pStyle w:val="282"/>
              <w:spacing w:before="245"/>
              <w:ind w:left="178"/>
              <w:rPr>
                <w:rFonts w:hint="default" w:ascii="仿宋" w:hAnsi="仿宋" w:eastAsia="仿宋" w:cs="仿宋"/>
                <w:sz w:val="28"/>
                <w:szCs w:val="28"/>
                <w:lang w:val="en-US" w:eastAsia="zh-CN"/>
              </w:rPr>
            </w:pPr>
            <w:r>
              <w:rPr>
                <w:rFonts w:hint="eastAsia" w:ascii="仿宋" w:hAnsi="仿宋" w:eastAsia="仿宋" w:cs="仿宋"/>
                <w:spacing w:val="-4"/>
                <w:sz w:val="28"/>
                <w:szCs w:val="28"/>
                <w:lang w:val="en-US" w:eastAsia="zh-CN"/>
              </w:rPr>
              <w:t>46</w:t>
            </w:r>
          </w:p>
        </w:tc>
        <w:tc>
          <w:tcPr>
            <w:tcW w:w="8058" w:type="dxa"/>
            <w:noWrap w:val="0"/>
            <w:vAlign w:val="top"/>
          </w:tcPr>
          <w:p>
            <w:pPr>
              <w:pStyle w:val="282"/>
              <w:spacing w:before="245" w:line="219" w:lineRule="auto"/>
              <w:ind w:left="112"/>
              <w:rPr>
                <w:rFonts w:hint="eastAsia" w:ascii="仿宋" w:hAnsi="仿宋" w:eastAsia="仿宋" w:cs="仿宋"/>
                <w:sz w:val="28"/>
                <w:szCs w:val="28"/>
              </w:rPr>
            </w:pPr>
            <w:r>
              <w:rPr>
                <w:rFonts w:hint="eastAsia" w:ascii="仿宋" w:hAnsi="仿宋" w:eastAsia="仿宋" w:cs="Times New Roman"/>
                <w:sz w:val="28"/>
                <w:szCs w:val="28"/>
              </w:rPr>
              <w:t>★</w:t>
            </w:r>
            <w:r>
              <w:rPr>
                <w:rFonts w:hint="eastAsia" w:ascii="仿宋" w:hAnsi="仿宋" w:eastAsia="仿宋" w:cs="仿宋"/>
                <w:spacing w:val="-3"/>
                <w:sz w:val="28"/>
                <w:szCs w:val="28"/>
              </w:rPr>
              <w:t>本项目质保期5年</w:t>
            </w:r>
          </w:p>
        </w:tc>
        <w:tc>
          <w:tcPr>
            <w:tcW w:w="680" w:type="dxa"/>
            <w:noWrap w:val="0"/>
            <w:vAlign w:val="top"/>
          </w:tcPr>
          <w:p>
            <w:pPr>
              <w:rPr>
                <w:rFonts w:hint="eastAsia" w:ascii="仿宋" w:hAnsi="仿宋" w:eastAsia="仿宋" w:cs="仿宋"/>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139" w:hRule="atLeast"/>
        </w:trPr>
        <w:tc>
          <w:tcPr>
            <w:tcW w:w="696" w:type="dxa"/>
            <w:noWrap w:val="0"/>
            <w:vAlign w:val="top"/>
          </w:tcPr>
          <w:p>
            <w:pPr>
              <w:spacing w:line="422" w:lineRule="auto"/>
              <w:rPr>
                <w:rFonts w:hint="eastAsia" w:ascii="仿宋" w:hAnsi="仿宋" w:eastAsia="仿宋" w:cs="仿宋"/>
                <w:color w:val="auto"/>
                <w:sz w:val="28"/>
                <w:szCs w:val="28"/>
                <w:highlight w:val="none"/>
              </w:rPr>
            </w:pPr>
          </w:p>
          <w:p>
            <w:pPr>
              <w:pStyle w:val="282"/>
              <w:spacing w:before="72"/>
              <w:ind w:left="178"/>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47</w:t>
            </w:r>
          </w:p>
        </w:tc>
        <w:tc>
          <w:tcPr>
            <w:tcW w:w="8058" w:type="dxa"/>
            <w:noWrap w:val="0"/>
            <w:vAlign w:val="top"/>
          </w:tcPr>
          <w:p>
            <w:pPr>
              <w:pStyle w:val="282"/>
              <w:spacing w:before="113" w:line="284" w:lineRule="auto"/>
              <w:ind w:left="111" w:right="23"/>
              <w:jc w:val="both"/>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旧电梯拆除由中标单位负责实施并由中标单位回收处置，中标人所得旧电梯残值费用，须向招标人返还6000元/部</w:t>
            </w:r>
            <w:r>
              <w:rPr>
                <w:rFonts w:hint="eastAsia" w:ascii="仿宋" w:hAnsi="仿宋" w:eastAsia="仿宋" w:cs="仿宋"/>
                <w:color w:val="auto"/>
                <w:sz w:val="28"/>
                <w:szCs w:val="28"/>
                <w:highlight w:val="none"/>
                <w:lang w:val="en-US" w:eastAsia="zh-CN"/>
              </w:rPr>
              <w:t>并转入招标人指定账户。</w:t>
            </w:r>
          </w:p>
        </w:tc>
        <w:tc>
          <w:tcPr>
            <w:tcW w:w="680" w:type="dxa"/>
            <w:noWrap w:val="0"/>
            <w:vAlign w:val="top"/>
          </w:tcPr>
          <w:p>
            <w:pPr>
              <w:rPr>
                <w:rFonts w:hint="eastAsia" w:ascii="仿宋" w:hAnsi="仿宋" w:eastAsia="仿宋" w:cs="仿宋"/>
                <w:color w:val="auto"/>
                <w:sz w:val="28"/>
                <w:szCs w:val="28"/>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646" w:hRule="atLeast"/>
        </w:trPr>
        <w:tc>
          <w:tcPr>
            <w:tcW w:w="696" w:type="dxa"/>
            <w:noWrap w:val="0"/>
            <w:vAlign w:val="top"/>
          </w:tcPr>
          <w:p>
            <w:pPr>
              <w:pStyle w:val="282"/>
              <w:spacing w:before="72"/>
              <w:ind w:left="178"/>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48</w:t>
            </w:r>
          </w:p>
        </w:tc>
        <w:tc>
          <w:tcPr>
            <w:tcW w:w="8058" w:type="dxa"/>
            <w:noWrap w:val="0"/>
            <w:vAlign w:val="top"/>
          </w:tcPr>
          <w:p>
            <w:pPr>
              <w:pStyle w:val="282"/>
              <w:spacing w:before="113" w:line="284" w:lineRule="auto"/>
              <w:ind w:left="111" w:right="23"/>
              <w:jc w:val="both"/>
              <w:rPr>
                <w:rFonts w:hint="default" w:ascii="仿宋" w:hAnsi="仿宋" w:eastAsia="仿宋" w:cs="仿宋"/>
                <w:color w:val="auto"/>
                <w:spacing w:val="-3"/>
                <w:sz w:val="28"/>
                <w:szCs w:val="28"/>
                <w:highlight w:val="none"/>
                <w:lang w:val="en-US" w:eastAsia="zh-CN"/>
              </w:rPr>
            </w:pPr>
            <w:r>
              <w:rPr>
                <w:rFonts w:hint="eastAsia" w:ascii="仿宋" w:hAnsi="仿宋" w:eastAsia="仿宋" w:cs="Times New Roman"/>
                <w:color w:val="auto"/>
                <w:sz w:val="28"/>
                <w:szCs w:val="28"/>
                <w:highlight w:val="none"/>
              </w:rPr>
              <w:t>★</w:t>
            </w:r>
            <w:r>
              <w:rPr>
                <w:rFonts w:hint="eastAsia" w:ascii="仿宋" w:hAnsi="仿宋" w:eastAsia="仿宋" w:cs="Times New Roman"/>
                <w:color w:val="auto"/>
                <w:sz w:val="28"/>
                <w:szCs w:val="28"/>
                <w:highlight w:val="none"/>
                <w:lang w:val="en-US" w:eastAsia="zh-CN"/>
              </w:rPr>
              <w:t>电瓶车阻车系统：监测到电动车进入电梯后语音报警并停止运行（具备防遮挡功能）。</w:t>
            </w:r>
          </w:p>
        </w:tc>
        <w:tc>
          <w:tcPr>
            <w:tcW w:w="680" w:type="dxa"/>
            <w:noWrap w:val="0"/>
            <w:vAlign w:val="top"/>
          </w:tcPr>
          <w:p>
            <w:pPr>
              <w:rPr>
                <w:rFonts w:hint="eastAsia" w:ascii="仿宋" w:hAnsi="仿宋" w:eastAsia="仿宋" w:cs="仿宋"/>
                <w:color w:val="auto"/>
                <w:sz w:val="28"/>
                <w:szCs w:val="28"/>
                <w:highlight w:val="none"/>
              </w:rPr>
            </w:pPr>
          </w:p>
        </w:tc>
      </w:tr>
    </w:tbl>
    <w:p>
      <w:pPr>
        <w:spacing w:before="195" w:line="301" w:lineRule="auto"/>
        <w:ind w:left="2760" w:right="485" w:hanging="2725"/>
        <w:rPr>
          <w:rFonts w:hint="eastAsia" w:ascii="仿宋" w:hAnsi="仿宋" w:eastAsia="仿宋" w:cs="仿宋"/>
          <w:color w:val="auto"/>
          <w:spacing w:val="-1"/>
          <w:sz w:val="28"/>
          <w:szCs w:val="28"/>
          <w:highlight w:val="none"/>
        </w:rPr>
      </w:pPr>
      <w:r>
        <w:rPr>
          <w:rFonts w:hint="eastAsia" w:ascii="仿宋" w:hAnsi="仿宋" w:eastAsia="仿宋" w:cs="仿宋"/>
          <w:color w:val="auto"/>
          <w:spacing w:val="-1"/>
          <w:sz w:val="28"/>
          <w:szCs w:val="28"/>
          <w:highlight w:val="none"/>
        </w:rPr>
        <w:t>备注：带</w:t>
      </w:r>
      <w:r>
        <w:rPr>
          <w:rFonts w:hint="eastAsia" w:ascii="仿宋" w:hAnsi="仿宋" w:eastAsia="仿宋" w:cs="Times New Roman"/>
          <w:color w:val="auto"/>
          <w:sz w:val="28"/>
          <w:szCs w:val="28"/>
          <w:highlight w:val="none"/>
        </w:rPr>
        <w:t>★</w:t>
      </w:r>
      <w:r>
        <w:rPr>
          <w:rFonts w:hint="eastAsia" w:ascii="仿宋" w:hAnsi="仿宋" w:eastAsia="仿宋" w:cs="仿宋"/>
          <w:color w:val="auto"/>
          <w:spacing w:val="-1"/>
          <w:sz w:val="28"/>
          <w:szCs w:val="28"/>
          <w:highlight w:val="none"/>
        </w:rPr>
        <w:t>部分必须响应，否则视为废标。</w:t>
      </w:r>
    </w:p>
    <w:p>
      <w:pPr>
        <w:keepNext w:val="0"/>
        <w:keepLines w:val="0"/>
        <w:pageBreakBefore w:val="0"/>
        <w:widowControl w:val="0"/>
        <w:kinsoku/>
        <w:wordWrap/>
        <w:overflowPunct/>
        <w:topLinePunct w:val="0"/>
        <w:autoSpaceDE/>
        <w:autoSpaceDN/>
        <w:bidi w:val="0"/>
        <w:adjustRightInd/>
        <w:snapToGrid/>
        <w:spacing w:line="360" w:lineRule="auto"/>
        <w:ind w:right="0"/>
        <w:jc w:val="left"/>
        <w:textAlignment w:val="auto"/>
        <w:rPr>
          <w:rFonts w:hint="eastAsia" w:ascii="仿宋" w:hAnsi="仿宋" w:eastAsia="方正仿宋_GB2312" w:cs="仿宋"/>
          <w:sz w:val="28"/>
          <w:szCs w:val="28"/>
          <w:lang w:eastAsia="zh-CN"/>
        </w:rPr>
      </w:pPr>
      <w:r>
        <w:rPr>
          <w:rFonts w:hint="eastAsia" w:ascii="仿宋" w:hAnsi="仿宋" w:eastAsia="仿宋" w:cs="仿宋"/>
          <w:spacing w:val="-2"/>
          <w:sz w:val="28"/>
          <w:szCs w:val="28"/>
        </w:rPr>
        <w:t>（二）、</w:t>
      </w:r>
      <w:r>
        <w:rPr>
          <w:rFonts w:hint="eastAsia" w:ascii="方正仿宋_GB2312" w:hAnsi="方正仿宋_GB2312" w:eastAsia="方正仿宋_GB2312" w:cs="方正仿宋_GB2312"/>
          <w:sz w:val="28"/>
          <w:szCs w:val="28"/>
        </w:rPr>
        <w:t>电梯功能要求，投标人提供的电梯应包括但不仅限于下列功能，当投标人推荐的其它合适的功能也可被接受</w:t>
      </w:r>
      <w:r>
        <w:rPr>
          <w:rFonts w:hint="eastAsia" w:ascii="方正仿宋_GB2312" w:hAnsi="方正仿宋_GB2312" w:eastAsia="方正仿宋_GB2312" w:cs="方正仿宋_GB2312"/>
          <w:sz w:val="28"/>
          <w:szCs w:val="28"/>
          <w:lang w:eastAsia="zh-CN"/>
        </w:rPr>
        <w:t>。</w:t>
      </w:r>
    </w:p>
    <w:p>
      <w:pPr>
        <w:spacing w:line="21" w:lineRule="exact"/>
        <w:rPr>
          <w:rFonts w:hint="eastAsia" w:ascii="仿宋" w:hAnsi="仿宋" w:eastAsia="仿宋" w:cs="仿宋"/>
          <w:sz w:val="28"/>
          <w:szCs w:val="28"/>
        </w:rPr>
      </w:pPr>
    </w:p>
    <w:tbl>
      <w:tblPr>
        <w:tblStyle w:val="283"/>
        <w:tblW w:w="93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9"/>
        <w:gridCol w:w="3713"/>
        <w:gridCol w:w="1067"/>
        <w:gridCol w:w="362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09" w:hRule="atLeast"/>
        </w:trPr>
        <w:tc>
          <w:tcPr>
            <w:tcW w:w="919" w:type="dxa"/>
            <w:noWrap w:val="0"/>
            <w:vAlign w:val="top"/>
          </w:tcPr>
          <w:p>
            <w:pPr>
              <w:pStyle w:val="282"/>
              <w:spacing w:before="242" w:line="222" w:lineRule="auto"/>
              <w:ind w:left="242"/>
              <w:rPr>
                <w:rFonts w:hint="eastAsia" w:ascii="仿宋" w:hAnsi="仿宋" w:eastAsia="仿宋" w:cs="仿宋"/>
                <w:sz w:val="28"/>
                <w:szCs w:val="28"/>
              </w:rPr>
            </w:pPr>
            <w:r>
              <w:rPr>
                <w:rFonts w:hint="eastAsia" w:ascii="仿宋" w:hAnsi="仿宋" w:eastAsia="仿宋" w:cs="仿宋"/>
                <w:b/>
                <w:bCs/>
                <w:spacing w:val="-6"/>
                <w:sz w:val="28"/>
                <w:szCs w:val="28"/>
              </w:rPr>
              <w:t>序号</w:t>
            </w:r>
          </w:p>
        </w:tc>
        <w:tc>
          <w:tcPr>
            <w:tcW w:w="3713" w:type="dxa"/>
            <w:noWrap w:val="0"/>
            <w:vAlign w:val="top"/>
          </w:tcPr>
          <w:p>
            <w:pPr>
              <w:pStyle w:val="282"/>
              <w:spacing w:before="242" w:line="222" w:lineRule="auto"/>
              <w:ind w:left="1644"/>
              <w:rPr>
                <w:rFonts w:hint="eastAsia" w:ascii="仿宋" w:hAnsi="仿宋" w:eastAsia="仿宋" w:cs="仿宋"/>
                <w:sz w:val="28"/>
                <w:szCs w:val="28"/>
              </w:rPr>
            </w:pPr>
            <w:r>
              <w:rPr>
                <w:rFonts w:hint="eastAsia" w:ascii="仿宋" w:hAnsi="仿宋" w:eastAsia="仿宋" w:cs="仿宋"/>
                <w:b/>
                <w:bCs/>
                <w:spacing w:val="-8"/>
                <w:sz w:val="28"/>
                <w:szCs w:val="28"/>
              </w:rPr>
              <w:t>功能</w:t>
            </w:r>
          </w:p>
        </w:tc>
        <w:tc>
          <w:tcPr>
            <w:tcW w:w="1067" w:type="dxa"/>
            <w:noWrap w:val="0"/>
            <w:vAlign w:val="top"/>
          </w:tcPr>
          <w:p>
            <w:pPr>
              <w:pStyle w:val="282"/>
              <w:spacing w:before="242" w:line="222" w:lineRule="auto"/>
              <w:ind w:left="319"/>
              <w:rPr>
                <w:rFonts w:hint="eastAsia" w:ascii="仿宋" w:hAnsi="仿宋" w:eastAsia="仿宋" w:cs="仿宋"/>
                <w:sz w:val="28"/>
                <w:szCs w:val="28"/>
              </w:rPr>
            </w:pPr>
            <w:r>
              <w:rPr>
                <w:rFonts w:hint="eastAsia" w:ascii="仿宋" w:hAnsi="仿宋" w:eastAsia="仿宋" w:cs="仿宋"/>
                <w:b/>
                <w:bCs/>
                <w:spacing w:val="-6"/>
                <w:sz w:val="28"/>
                <w:szCs w:val="28"/>
              </w:rPr>
              <w:t>序号</w:t>
            </w:r>
          </w:p>
        </w:tc>
        <w:tc>
          <w:tcPr>
            <w:tcW w:w="3627" w:type="dxa"/>
            <w:noWrap w:val="0"/>
            <w:vAlign w:val="top"/>
          </w:tcPr>
          <w:p>
            <w:pPr>
              <w:pStyle w:val="282"/>
              <w:spacing w:before="242" w:line="222" w:lineRule="auto"/>
              <w:ind w:left="1601"/>
              <w:rPr>
                <w:rFonts w:hint="eastAsia" w:ascii="仿宋" w:hAnsi="仿宋" w:eastAsia="仿宋" w:cs="仿宋"/>
                <w:sz w:val="28"/>
                <w:szCs w:val="28"/>
              </w:rPr>
            </w:pPr>
            <w:r>
              <w:rPr>
                <w:rFonts w:hint="eastAsia" w:ascii="仿宋" w:hAnsi="仿宋" w:eastAsia="仿宋" w:cs="仿宋"/>
                <w:b/>
                <w:bCs/>
                <w:spacing w:val="-8"/>
                <w:sz w:val="28"/>
                <w:szCs w:val="28"/>
              </w:rPr>
              <w:t>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4" w:hRule="atLeast"/>
        </w:trPr>
        <w:tc>
          <w:tcPr>
            <w:tcW w:w="919" w:type="dxa"/>
            <w:noWrap w:val="0"/>
            <w:vAlign w:val="top"/>
          </w:tcPr>
          <w:p>
            <w:pPr>
              <w:pStyle w:val="282"/>
              <w:spacing w:before="140" w:line="242" w:lineRule="auto"/>
              <w:ind w:left="425"/>
              <w:rPr>
                <w:rFonts w:hint="eastAsia" w:ascii="仿宋" w:hAnsi="仿宋" w:eastAsia="仿宋" w:cs="仿宋"/>
                <w:sz w:val="28"/>
                <w:szCs w:val="28"/>
              </w:rPr>
            </w:pPr>
            <w:r>
              <w:rPr>
                <w:rFonts w:hint="eastAsia" w:ascii="仿宋" w:hAnsi="仿宋" w:eastAsia="仿宋" w:cs="仿宋"/>
                <w:sz w:val="28"/>
                <w:szCs w:val="28"/>
              </w:rPr>
              <w:t>1</w:t>
            </w:r>
          </w:p>
        </w:tc>
        <w:tc>
          <w:tcPr>
            <w:tcW w:w="3713" w:type="dxa"/>
            <w:noWrap w:val="0"/>
            <w:vAlign w:val="top"/>
          </w:tcPr>
          <w:p>
            <w:pPr>
              <w:pStyle w:val="282"/>
              <w:spacing w:before="141" w:line="220" w:lineRule="auto"/>
              <w:ind w:left="111"/>
              <w:rPr>
                <w:rFonts w:hint="eastAsia" w:ascii="仿宋" w:hAnsi="仿宋" w:eastAsia="仿宋" w:cs="仿宋"/>
                <w:sz w:val="28"/>
                <w:szCs w:val="28"/>
              </w:rPr>
            </w:pPr>
            <w:r>
              <w:rPr>
                <w:rFonts w:hint="eastAsia" w:ascii="仿宋" w:hAnsi="仿宋" w:eastAsia="仿宋" w:cs="仿宋"/>
                <w:spacing w:val="-1"/>
                <w:sz w:val="28"/>
                <w:szCs w:val="28"/>
              </w:rPr>
              <w:t>全集选控制运行功能</w:t>
            </w:r>
          </w:p>
        </w:tc>
        <w:tc>
          <w:tcPr>
            <w:tcW w:w="1067" w:type="dxa"/>
            <w:noWrap w:val="0"/>
            <w:vAlign w:val="top"/>
          </w:tcPr>
          <w:p>
            <w:pPr>
              <w:pStyle w:val="282"/>
              <w:spacing w:before="141"/>
              <w:ind w:left="447"/>
              <w:rPr>
                <w:rFonts w:hint="eastAsia" w:ascii="仿宋" w:hAnsi="仿宋" w:eastAsia="仿宋" w:cs="仿宋"/>
                <w:sz w:val="28"/>
                <w:szCs w:val="28"/>
              </w:rPr>
            </w:pPr>
            <w:r>
              <w:rPr>
                <w:rFonts w:hint="eastAsia" w:ascii="仿宋" w:hAnsi="仿宋" w:eastAsia="仿宋" w:cs="仿宋"/>
                <w:spacing w:val="-13"/>
                <w:sz w:val="28"/>
                <w:szCs w:val="28"/>
              </w:rPr>
              <w:t>19</w:t>
            </w:r>
          </w:p>
        </w:tc>
        <w:tc>
          <w:tcPr>
            <w:tcW w:w="3627" w:type="dxa"/>
            <w:noWrap w:val="0"/>
            <w:vAlign w:val="top"/>
          </w:tcPr>
          <w:p>
            <w:pPr>
              <w:pStyle w:val="282"/>
              <w:spacing w:before="141" w:line="221" w:lineRule="auto"/>
              <w:ind w:left="139"/>
              <w:rPr>
                <w:rFonts w:hint="eastAsia" w:ascii="仿宋" w:hAnsi="仿宋" w:eastAsia="仿宋" w:cs="仿宋"/>
                <w:sz w:val="28"/>
                <w:szCs w:val="28"/>
              </w:rPr>
            </w:pPr>
            <w:r>
              <w:rPr>
                <w:rFonts w:hint="eastAsia" w:ascii="仿宋" w:hAnsi="仿宋" w:eastAsia="仿宋" w:cs="仿宋"/>
                <w:spacing w:val="-5"/>
                <w:sz w:val="28"/>
                <w:szCs w:val="28"/>
              </w:rPr>
              <w:t>门过载保护功能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67" w:hRule="atLeast"/>
        </w:trPr>
        <w:tc>
          <w:tcPr>
            <w:tcW w:w="919" w:type="dxa"/>
            <w:noWrap w:val="0"/>
            <w:vAlign w:val="top"/>
          </w:tcPr>
          <w:p>
            <w:pPr>
              <w:pStyle w:val="282"/>
              <w:spacing w:before="121" w:line="242" w:lineRule="auto"/>
              <w:ind w:left="411"/>
              <w:rPr>
                <w:rFonts w:hint="eastAsia" w:ascii="仿宋" w:hAnsi="仿宋" w:eastAsia="仿宋" w:cs="仿宋"/>
                <w:sz w:val="28"/>
                <w:szCs w:val="28"/>
              </w:rPr>
            </w:pPr>
            <w:r>
              <w:rPr>
                <w:rFonts w:hint="eastAsia" w:ascii="仿宋" w:hAnsi="仿宋" w:eastAsia="仿宋" w:cs="仿宋"/>
                <w:sz w:val="28"/>
                <w:szCs w:val="28"/>
              </w:rPr>
              <w:t>2</w:t>
            </w:r>
          </w:p>
        </w:tc>
        <w:tc>
          <w:tcPr>
            <w:tcW w:w="3713" w:type="dxa"/>
            <w:noWrap w:val="0"/>
            <w:vAlign w:val="top"/>
          </w:tcPr>
          <w:p>
            <w:pPr>
              <w:pStyle w:val="282"/>
              <w:spacing w:before="121" w:line="221" w:lineRule="auto"/>
              <w:ind w:left="112"/>
              <w:rPr>
                <w:rFonts w:hint="eastAsia" w:ascii="仿宋" w:hAnsi="仿宋" w:eastAsia="仿宋" w:cs="仿宋"/>
                <w:sz w:val="28"/>
                <w:szCs w:val="28"/>
              </w:rPr>
            </w:pPr>
            <w:r>
              <w:rPr>
                <w:rFonts w:hint="eastAsia" w:ascii="仿宋" w:hAnsi="仿宋" w:eastAsia="仿宋" w:cs="仿宋"/>
                <w:spacing w:val="-2"/>
                <w:sz w:val="28"/>
                <w:szCs w:val="28"/>
              </w:rPr>
              <w:t>起动补偿功能</w:t>
            </w:r>
          </w:p>
        </w:tc>
        <w:tc>
          <w:tcPr>
            <w:tcW w:w="1067" w:type="dxa"/>
            <w:noWrap w:val="0"/>
            <w:vAlign w:val="top"/>
          </w:tcPr>
          <w:p>
            <w:pPr>
              <w:pStyle w:val="282"/>
              <w:spacing w:before="122"/>
              <w:ind w:left="433"/>
              <w:rPr>
                <w:rFonts w:hint="eastAsia" w:ascii="仿宋" w:hAnsi="仿宋" w:eastAsia="仿宋" w:cs="仿宋"/>
                <w:sz w:val="28"/>
                <w:szCs w:val="28"/>
              </w:rPr>
            </w:pPr>
            <w:r>
              <w:rPr>
                <w:rFonts w:hint="eastAsia" w:ascii="仿宋" w:hAnsi="仿宋" w:eastAsia="仿宋" w:cs="仿宋"/>
                <w:spacing w:val="-6"/>
                <w:sz w:val="28"/>
                <w:szCs w:val="28"/>
              </w:rPr>
              <w:t>20</w:t>
            </w:r>
          </w:p>
        </w:tc>
        <w:tc>
          <w:tcPr>
            <w:tcW w:w="3627" w:type="dxa"/>
            <w:noWrap w:val="0"/>
            <w:vAlign w:val="top"/>
          </w:tcPr>
          <w:p>
            <w:pPr>
              <w:pStyle w:val="282"/>
              <w:spacing w:before="121" w:line="220" w:lineRule="auto"/>
              <w:ind w:left="115"/>
              <w:rPr>
                <w:rFonts w:hint="eastAsia" w:ascii="仿宋" w:hAnsi="仿宋" w:eastAsia="仿宋" w:cs="仿宋"/>
                <w:sz w:val="28"/>
                <w:szCs w:val="28"/>
              </w:rPr>
            </w:pPr>
            <w:r>
              <w:rPr>
                <w:rFonts w:hint="eastAsia" w:ascii="仿宋" w:hAnsi="仿宋" w:eastAsia="仿宋" w:cs="仿宋"/>
                <w:spacing w:val="-1"/>
                <w:sz w:val="28"/>
                <w:szCs w:val="28"/>
              </w:rPr>
              <w:t>开门异常自动选层功能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4" w:hRule="atLeast"/>
        </w:trPr>
        <w:tc>
          <w:tcPr>
            <w:tcW w:w="919" w:type="dxa"/>
            <w:noWrap w:val="0"/>
            <w:vAlign w:val="top"/>
          </w:tcPr>
          <w:p>
            <w:pPr>
              <w:pStyle w:val="282"/>
              <w:spacing w:before="142"/>
              <w:ind w:left="413"/>
              <w:rPr>
                <w:rFonts w:hint="eastAsia" w:ascii="仿宋" w:hAnsi="仿宋" w:eastAsia="仿宋" w:cs="仿宋"/>
                <w:sz w:val="28"/>
                <w:szCs w:val="28"/>
              </w:rPr>
            </w:pPr>
            <w:r>
              <w:rPr>
                <w:rFonts w:hint="eastAsia" w:ascii="仿宋" w:hAnsi="仿宋" w:eastAsia="仿宋" w:cs="仿宋"/>
                <w:sz w:val="28"/>
                <w:szCs w:val="28"/>
              </w:rPr>
              <w:t>3</w:t>
            </w:r>
          </w:p>
        </w:tc>
        <w:tc>
          <w:tcPr>
            <w:tcW w:w="3713" w:type="dxa"/>
            <w:noWrap w:val="0"/>
            <w:vAlign w:val="top"/>
          </w:tcPr>
          <w:p>
            <w:pPr>
              <w:pStyle w:val="282"/>
              <w:spacing w:before="141" w:line="220" w:lineRule="auto"/>
              <w:ind w:left="115"/>
              <w:rPr>
                <w:rFonts w:hint="eastAsia" w:ascii="仿宋" w:hAnsi="仿宋" w:eastAsia="仿宋" w:cs="仿宋"/>
                <w:sz w:val="28"/>
                <w:szCs w:val="28"/>
              </w:rPr>
            </w:pPr>
            <w:r>
              <w:rPr>
                <w:rFonts w:hint="eastAsia" w:ascii="仿宋" w:hAnsi="仿宋" w:eastAsia="仿宋" w:cs="仿宋"/>
                <w:spacing w:val="-2"/>
                <w:sz w:val="28"/>
                <w:szCs w:val="28"/>
              </w:rPr>
              <w:t>故障自动检测功能</w:t>
            </w:r>
          </w:p>
        </w:tc>
        <w:tc>
          <w:tcPr>
            <w:tcW w:w="1067" w:type="dxa"/>
            <w:noWrap w:val="0"/>
            <w:vAlign w:val="top"/>
          </w:tcPr>
          <w:p>
            <w:pPr>
              <w:pStyle w:val="282"/>
              <w:spacing w:before="141" w:line="242" w:lineRule="auto"/>
              <w:ind w:left="433"/>
              <w:rPr>
                <w:rFonts w:hint="eastAsia" w:ascii="仿宋" w:hAnsi="仿宋" w:eastAsia="仿宋" w:cs="仿宋"/>
                <w:sz w:val="28"/>
                <w:szCs w:val="28"/>
              </w:rPr>
            </w:pPr>
            <w:r>
              <w:rPr>
                <w:rFonts w:hint="eastAsia" w:ascii="仿宋" w:hAnsi="仿宋" w:eastAsia="仿宋" w:cs="仿宋"/>
                <w:spacing w:val="-6"/>
                <w:sz w:val="28"/>
                <w:szCs w:val="28"/>
              </w:rPr>
              <w:t>21</w:t>
            </w:r>
          </w:p>
        </w:tc>
        <w:tc>
          <w:tcPr>
            <w:tcW w:w="3627" w:type="dxa"/>
            <w:noWrap w:val="0"/>
            <w:vAlign w:val="top"/>
          </w:tcPr>
          <w:p>
            <w:pPr>
              <w:pStyle w:val="282"/>
              <w:spacing w:before="141" w:line="221" w:lineRule="auto"/>
              <w:ind w:left="115"/>
              <w:rPr>
                <w:rFonts w:hint="eastAsia" w:ascii="仿宋" w:hAnsi="仿宋" w:eastAsia="仿宋" w:cs="仿宋"/>
                <w:sz w:val="28"/>
                <w:szCs w:val="28"/>
              </w:rPr>
            </w:pPr>
            <w:r>
              <w:rPr>
                <w:rFonts w:hint="eastAsia" w:ascii="仿宋" w:hAnsi="仿宋" w:eastAsia="仿宋" w:cs="仿宋"/>
                <w:spacing w:val="-1"/>
                <w:sz w:val="28"/>
                <w:szCs w:val="28"/>
              </w:rPr>
              <w:t>开关门时间超常保护功能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4" w:hRule="atLeast"/>
        </w:trPr>
        <w:tc>
          <w:tcPr>
            <w:tcW w:w="919" w:type="dxa"/>
            <w:noWrap w:val="0"/>
            <w:vAlign w:val="top"/>
          </w:tcPr>
          <w:p>
            <w:pPr>
              <w:pStyle w:val="282"/>
              <w:spacing w:before="141" w:line="242" w:lineRule="auto"/>
              <w:ind w:left="408"/>
              <w:rPr>
                <w:rFonts w:hint="eastAsia" w:ascii="仿宋" w:hAnsi="仿宋" w:eastAsia="仿宋" w:cs="仿宋"/>
                <w:sz w:val="28"/>
                <w:szCs w:val="28"/>
              </w:rPr>
            </w:pPr>
            <w:r>
              <w:rPr>
                <w:rFonts w:hint="eastAsia" w:ascii="仿宋" w:hAnsi="仿宋" w:eastAsia="仿宋" w:cs="仿宋"/>
                <w:sz w:val="28"/>
                <w:szCs w:val="28"/>
              </w:rPr>
              <w:t>4</w:t>
            </w:r>
          </w:p>
        </w:tc>
        <w:tc>
          <w:tcPr>
            <w:tcW w:w="3713" w:type="dxa"/>
            <w:noWrap w:val="0"/>
            <w:vAlign w:val="top"/>
          </w:tcPr>
          <w:p>
            <w:pPr>
              <w:pStyle w:val="282"/>
              <w:spacing w:before="142" w:line="219" w:lineRule="auto"/>
              <w:ind w:left="137"/>
              <w:rPr>
                <w:rFonts w:hint="eastAsia" w:ascii="仿宋" w:hAnsi="仿宋" w:eastAsia="仿宋" w:cs="仿宋"/>
                <w:sz w:val="28"/>
                <w:szCs w:val="28"/>
              </w:rPr>
            </w:pPr>
            <w:r>
              <w:rPr>
                <w:rFonts w:hint="eastAsia" w:ascii="仿宋" w:hAnsi="仿宋" w:eastAsia="仿宋" w:cs="仿宋"/>
                <w:spacing w:val="-3"/>
                <w:sz w:val="28"/>
                <w:szCs w:val="28"/>
              </w:rPr>
              <w:t>电机过热（载）保护功能</w:t>
            </w:r>
          </w:p>
        </w:tc>
        <w:tc>
          <w:tcPr>
            <w:tcW w:w="1067" w:type="dxa"/>
            <w:noWrap w:val="0"/>
            <w:vAlign w:val="top"/>
          </w:tcPr>
          <w:p>
            <w:pPr>
              <w:pStyle w:val="282"/>
              <w:spacing w:before="141" w:line="242" w:lineRule="auto"/>
              <w:ind w:left="433"/>
              <w:rPr>
                <w:rFonts w:hint="eastAsia" w:ascii="仿宋" w:hAnsi="仿宋" w:eastAsia="仿宋" w:cs="仿宋"/>
                <w:sz w:val="28"/>
                <w:szCs w:val="28"/>
              </w:rPr>
            </w:pPr>
            <w:r>
              <w:rPr>
                <w:rFonts w:hint="eastAsia" w:ascii="仿宋" w:hAnsi="仿宋" w:eastAsia="仿宋" w:cs="仿宋"/>
                <w:spacing w:val="-6"/>
                <w:sz w:val="28"/>
                <w:szCs w:val="28"/>
              </w:rPr>
              <w:t>22</w:t>
            </w:r>
          </w:p>
        </w:tc>
        <w:tc>
          <w:tcPr>
            <w:tcW w:w="3627" w:type="dxa"/>
            <w:noWrap w:val="0"/>
            <w:vAlign w:val="top"/>
          </w:tcPr>
          <w:p>
            <w:pPr>
              <w:pStyle w:val="282"/>
              <w:spacing w:before="141" w:line="221" w:lineRule="auto"/>
              <w:ind w:left="115"/>
              <w:rPr>
                <w:rFonts w:hint="eastAsia" w:ascii="仿宋" w:hAnsi="仿宋" w:eastAsia="仿宋" w:cs="仿宋"/>
                <w:sz w:val="28"/>
                <w:szCs w:val="28"/>
              </w:rPr>
            </w:pPr>
            <w:r>
              <w:rPr>
                <w:rFonts w:hint="eastAsia" w:ascii="仿宋" w:hAnsi="仿宋" w:eastAsia="仿宋" w:cs="仿宋"/>
                <w:spacing w:val="-1"/>
                <w:sz w:val="28"/>
                <w:szCs w:val="28"/>
              </w:rPr>
              <w:t>开门时间自动控制功能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5" w:hRule="atLeast"/>
        </w:trPr>
        <w:tc>
          <w:tcPr>
            <w:tcW w:w="919" w:type="dxa"/>
            <w:noWrap w:val="0"/>
            <w:vAlign w:val="top"/>
          </w:tcPr>
          <w:p>
            <w:pPr>
              <w:pStyle w:val="282"/>
              <w:spacing w:before="144"/>
              <w:ind w:left="413"/>
              <w:rPr>
                <w:rFonts w:hint="eastAsia" w:ascii="仿宋" w:hAnsi="仿宋" w:eastAsia="仿宋" w:cs="仿宋"/>
                <w:sz w:val="28"/>
                <w:szCs w:val="28"/>
              </w:rPr>
            </w:pPr>
            <w:r>
              <w:rPr>
                <w:rFonts w:hint="eastAsia" w:ascii="仿宋" w:hAnsi="仿宋" w:eastAsia="仿宋" w:cs="仿宋"/>
                <w:sz w:val="28"/>
                <w:szCs w:val="28"/>
              </w:rPr>
              <w:t>5</w:t>
            </w:r>
          </w:p>
        </w:tc>
        <w:tc>
          <w:tcPr>
            <w:tcW w:w="3713" w:type="dxa"/>
            <w:noWrap w:val="0"/>
            <w:vAlign w:val="top"/>
          </w:tcPr>
          <w:p>
            <w:pPr>
              <w:pStyle w:val="282"/>
              <w:spacing w:before="143" w:line="221" w:lineRule="auto"/>
              <w:ind w:left="110"/>
              <w:rPr>
                <w:rFonts w:hint="eastAsia" w:ascii="仿宋" w:hAnsi="仿宋" w:eastAsia="仿宋" w:cs="仿宋"/>
                <w:sz w:val="28"/>
                <w:szCs w:val="28"/>
              </w:rPr>
            </w:pPr>
            <w:r>
              <w:rPr>
                <w:rFonts w:hint="eastAsia" w:ascii="仿宋" w:hAnsi="仿宋" w:eastAsia="仿宋" w:cs="仿宋"/>
                <w:spacing w:val="-1"/>
                <w:sz w:val="28"/>
                <w:szCs w:val="28"/>
              </w:rPr>
              <w:t>超载保护功能</w:t>
            </w:r>
          </w:p>
        </w:tc>
        <w:tc>
          <w:tcPr>
            <w:tcW w:w="1067" w:type="dxa"/>
            <w:noWrap w:val="0"/>
            <w:vAlign w:val="top"/>
          </w:tcPr>
          <w:p>
            <w:pPr>
              <w:pStyle w:val="282"/>
              <w:spacing w:before="144"/>
              <w:ind w:left="433"/>
              <w:rPr>
                <w:rFonts w:hint="eastAsia" w:ascii="仿宋" w:hAnsi="仿宋" w:eastAsia="仿宋" w:cs="仿宋"/>
                <w:sz w:val="28"/>
                <w:szCs w:val="28"/>
              </w:rPr>
            </w:pPr>
            <w:r>
              <w:rPr>
                <w:rFonts w:hint="eastAsia" w:ascii="仿宋" w:hAnsi="仿宋" w:eastAsia="仿宋" w:cs="仿宋"/>
                <w:spacing w:val="-6"/>
                <w:sz w:val="28"/>
                <w:szCs w:val="28"/>
              </w:rPr>
              <w:t>23</w:t>
            </w:r>
          </w:p>
        </w:tc>
        <w:tc>
          <w:tcPr>
            <w:tcW w:w="3627" w:type="dxa"/>
            <w:noWrap w:val="0"/>
            <w:vAlign w:val="top"/>
          </w:tcPr>
          <w:p>
            <w:pPr>
              <w:pStyle w:val="282"/>
              <w:spacing w:before="143" w:line="221" w:lineRule="auto"/>
              <w:ind w:left="115"/>
              <w:rPr>
                <w:rFonts w:hint="eastAsia" w:ascii="仿宋" w:hAnsi="仿宋" w:eastAsia="仿宋" w:cs="仿宋"/>
                <w:sz w:val="28"/>
                <w:szCs w:val="28"/>
              </w:rPr>
            </w:pPr>
            <w:r>
              <w:rPr>
                <w:rFonts w:hint="eastAsia" w:ascii="仿宋" w:hAnsi="仿宋" w:eastAsia="仿宋" w:cs="仿宋"/>
                <w:spacing w:val="-1"/>
                <w:sz w:val="28"/>
                <w:szCs w:val="28"/>
              </w:rPr>
              <w:t>开门时间自动调整功能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5" w:hRule="atLeast"/>
        </w:trPr>
        <w:tc>
          <w:tcPr>
            <w:tcW w:w="919" w:type="dxa"/>
            <w:noWrap w:val="0"/>
            <w:vAlign w:val="top"/>
          </w:tcPr>
          <w:p>
            <w:pPr>
              <w:pStyle w:val="282"/>
              <w:spacing w:before="142"/>
              <w:ind w:left="410"/>
              <w:rPr>
                <w:rFonts w:hint="eastAsia" w:ascii="仿宋" w:hAnsi="仿宋" w:eastAsia="仿宋" w:cs="仿宋"/>
                <w:sz w:val="28"/>
                <w:szCs w:val="28"/>
              </w:rPr>
            </w:pPr>
            <w:r>
              <w:rPr>
                <w:rFonts w:hint="eastAsia" w:ascii="仿宋" w:hAnsi="仿宋" w:eastAsia="仿宋" w:cs="仿宋"/>
                <w:sz w:val="28"/>
                <w:szCs w:val="28"/>
              </w:rPr>
              <w:t>6</w:t>
            </w:r>
          </w:p>
        </w:tc>
        <w:tc>
          <w:tcPr>
            <w:tcW w:w="3713" w:type="dxa"/>
            <w:noWrap w:val="0"/>
            <w:vAlign w:val="top"/>
          </w:tcPr>
          <w:p>
            <w:pPr>
              <w:pStyle w:val="282"/>
              <w:spacing w:before="142" w:line="220" w:lineRule="auto"/>
              <w:ind w:left="110"/>
              <w:rPr>
                <w:rFonts w:hint="eastAsia" w:ascii="仿宋" w:hAnsi="仿宋" w:eastAsia="仿宋" w:cs="仿宋"/>
                <w:sz w:val="28"/>
                <w:szCs w:val="28"/>
              </w:rPr>
            </w:pPr>
            <w:r>
              <w:rPr>
                <w:rFonts w:hint="eastAsia" w:ascii="仿宋" w:hAnsi="仿宋" w:eastAsia="仿宋" w:cs="仿宋"/>
                <w:spacing w:val="-1"/>
                <w:sz w:val="28"/>
                <w:szCs w:val="28"/>
              </w:rPr>
              <w:t>超载报警功能</w:t>
            </w:r>
          </w:p>
        </w:tc>
        <w:tc>
          <w:tcPr>
            <w:tcW w:w="1067" w:type="dxa"/>
            <w:noWrap w:val="0"/>
            <w:vAlign w:val="top"/>
          </w:tcPr>
          <w:p>
            <w:pPr>
              <w:pStyle w:val="282"/>
              <w:spacing w:before="142" w:line="242" w:lineRule="auto"/>
              <w:ind w:left="433"/>
              <w:rPr>
                <w:rFonts w:hint="eastAsia" w:ascii="仿宋" w:hAnsi="仿宋" w:eastAsia="仿宋" w:cs="仿宋"/>
                <w:sz w:val="28"/>
                <w:szCs w:val="28"/>
              </w:rPr>
            </w:pPr>
            <w:r>
              <w:rPr>
                <w:rFonts w:hint="eastAsia" w:ascii="仿宋" w:hAnsi="仿宋" w:eastAsia="仿宋" w:cs="仿宋"/>
                <w:spacing w:val="-6"/>
                <w:sz w:val="28"/>
                <w:szCs w:val="28"/>
              </w:rPr>
              <w:t>24</w:t>
            </w:r>
          </w:p>
        </w:tc>
        <w:tc>
          <w:tcPr>
            <w:tcW w:w="3627" w:type="dxa"/>
            <w:noWrap w:val="0"/>
            <w:vAlign w:val="top"/>
          </w:tcPr>
          <w:p>
            <w:pPr>
              <w:pStyle w:val="282"/>
              <w:spacing w:before="142" w:line="221" w:lineRule="auto"/>
              <w:ind w:left="115"/>
              <w:rPr>
                <w:rFonts w:hint="eastAsia" w:ascii="仿宋" w:hAnsi="仿宋" w:eastAsia="仿宋" w:cs="仿宋"/>
                <w:sz w:val="28"/>
                <w:szCs w:val="28"/>
              </w:rPr>
            </w:pPr>
            <w:r>
              <w:rPr>
                <w:rFonts w:hint="eastAsia" w:ascii="仿宋" w:hAnsi="仿宋" w:eastAsia="仿宋" w:cs="仿宋"/>
                <w:spacing w:val="-2"/>
                <w:sz w:val="28"/>
                <w:szCs w:val="28"/>
              </w:rPr>
              <w:t>提前开门功能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4" w:hRule="atLeast"/>
        </w:trPr>
        <w:tc>
          <w:tcPr>
            <w:tcW w:w="919" w:type="dxa"/>
            <w:noWrap w:val="0"/>
            <w:vAlign w:val="top"/>
          </w:tcPr>
          <w:p>
            <w:pPr>
              <w:pStyle w:val="282"/>
              <w:spacing w:before="144"/>
              <w:ind w:left="414"/>
              <w:rPr>
                <w:rFonts w:hint="eastAsia" w:ascii="仿宋" w:hAnsi="仿宋" w:eastAsia="仿宋" w:cs="仿宋"/>
                <w:sz w:val="28"/>
                <w:szCs w:val="28"/>
              </w:rPr>
            </w:pPr>
            <w:r>
              <w:rPr>
                <w:rFonts w:hint="eastAsia" w:ascii="仿宋" w:hAnsi="仿宋" w:eastAsia="仿宋" w:cs="仿宋"/>
                <w:sz w:val="28"/>
                <w:szCs w:val="28"/>
              </w:rPr>
              <w:t>7</w:t>
            </w:r>
          </w:p>
        </w:tc>
        <w:tc>
          <w:tcPr>
            <w:tcW w:w="3713" w:type="dxa"/>
            <w:noWrap w:val="0"/>
            <w:vAlign w:val="top"/>
          </w:tcPr>
          <w:p>
            <w:pPr>
              <w:pStyle w:val="282"/>
              <w:spacing w:before="143" w:line="220" w:lineRule="auto"/>
              <w:ind w:left="111"/>
              <w:rPr>
                <w:rFonts w:hint="eastAsia" w:ascii="仿宋" w:hAnsi="仿宋" w:eastAsia="仿宋" w:cs="仿宋"/>
                <w:sz w:val="28"/>
                <w:szCs w:val="28"/>
              </w:rPr>
            </w:pPr>
            <w:r>
              <w:rPr>
                <w:rFonts w:hint="eastAsia" w:ascii="仿宋" w:hAnsi="仿宋" w:eastAsia="仿宋" w:cs="仿宋"/>
                <w:spacing w:val="-2"/>
                <w:sz w:val="28"/>
                <w:szCs w:val="28"/>
              </w:rPr>
              <w:t>满载直驶功能</w:t>
            </w:r>
          </w:p>
        </w:tc>
        <w:tc>
          <w:tcPr>
            <w:tcW w:w="1067" w:type="dxa"/>
            <w:noWrap w:val="0"/>
            <w:vAlign w:val="top"/>
          </w:tcPr>
          <w:p>
            <w:pPr>
              <w:pStyle w:val="282"/>
              <w:spacing w:before="144"/>
              <w:ind w:left="433"/>
              <w:rPr>
                <w:rFonts w:hint="eastAsia" w:ascii="仿宋" w:hAnsi="仿宋" w:eastAsia="仿宋" w:cs="仿宋"/>
                <w:sz w:val="28"/>
                <w:szCs w:val="28"/>
              </w:rPr>
            </w:pPr>
            <w:r>
              <w:rPr>
                <w:rFonts w:hint="eastAsia" w:ascii="仿宋" w:hAnsi="仿宋" w:eastAsia="仿宋" w:cs="仿宋"/>
                <w:spacing w:val="-6"/>
                <w:sz w:val="28"/>
                <w:szCs w:val="28"/>
              </w:rPr>
              <w:t>25</w:t>
            </w:r>
          </w:p>
        </w:tc>
        <w:tc>
          <w:tcPr>
            <w:tcW w:w="3627" w:type="dxa"/>
            <w:noWrap w:val="0"/>
            <w:vAlign w:val="top"/>
          </w:tcPr>
          <w:p>
            <w:pPr>
              <w:pStyle w:val="282"/>
              <w:spacing w:before="143" w:line="221" w:lineRule="auto"/>
              <w:ind w:left="119"/>
              <w:rPr>
                <w:rFonts w:hint="eastAsia" w:ascii="仿宋" w:hAnsi="仿宋" w:eastAsia="仿宋" w:cs="仿宋"/>
                <w:sz w:val="28"/>
                <w:szCs w:val="28"/>
              </w:rPr>
            </w:pPr>
            <w:r>
              <w:rPr>
                <w:rFonts w:hint="eastAsia" w:ascii="仿宋" w:hAnsi="仿宋" w:eastAsia="仿宋" w:cs="仿宋"/>
                <w:spacing w:val="-2"/>
                <w:sz w:val="28"/>
                <w:szCs w:val="28"/>
              </w:rPr>
              <w:t>外呼重新开门功能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5" w:hRule="atLeast"/>
        </w:trPr>
        <w:tc>
          <w:tcPr>
            <w:tcW w:w="919" w:type="dxa"/>
            <w:noWrap w:val="0"/>
            <w:vAlign w:val="top"/>
          </w:tcPr>
          <w:p>
            <w:pPr>
              <w:pStyle w:val="282"/>
              <w:spacing w:before="143"/>
              <w:ind w:left="410"/>
              <w:rPr>
                <w:rFonts w:hint="eastAsia" w:ascii="仿宋" w:hAnsi="仿宋" w:eastAsia="仿宋" w:cs="仿宋"/>
                <w:sz w:val="28"/>
                <w:szCs w:val="28"/>
              </w:rPr>
            </w:pPr>
            <w:r>
              <w:rPr>
                <w:rFonts w:hint="eastAsia" w:ascii="仿宋" w:hAnsi="仿宋" w:eastAsia="仿宋" w:cs="仿宋"/>
                <w:sz w:val="28"/>
                <w:szCs w:val="28"/>
              </w:rPr>
              <w:t>8</w:t>
            </w:r>
          </w:p>
        </w:tc>
        <w:tc>
          <w:tcPr>
            <w:tcW w:w="3713" w:type="dxa"/>
            <w:noWrap w:val="0"/>
            <w:vAlign w:val="top"/>
          </w:tcPr>
          <w:p>
            <w:pPr>
              <w:pStyle w:val="282"/>
              <w:spacing w:before="144" w:line="219" w:lineRule="auto"/>
              <w:ind w:left="137"/>
              <w:rPr>
                <w:rFonts w:hint="eastAsia" w:ascii="仿宋" w:hAnsi="仿宋" w:eastAsia="仿宋" w:cs="仿宋"/>
                <w:sz w:val="28"/>
                <w:szCs w:val="28"/>
              </w:rPr>
            </w:pPr>
            <w:r>
              <w:rPr>
                <w:rFonts w:hint="eastAsia" w:ascii="仿宋" w:hAnsi="仿宋" w:eastAsia="仿宋" w:cs="仿宋"/>
                <w:spacing w:val="-5"/>
                <w:sz w:val="28"/>
                <w:szCs w:val="28"/>
              </w:rPr>
              <w:t>电机空转保护功能</w:t>
            </w:r>
          </w:p>
        </w:tc>
        <w:tc>
          <w:tcPr>
            <w:tcW w:w="1067" w:type="dxa"/>
            <w:noWrap w:val="0"/>
            <w:vAlign w:val="top"/>
          </w:tcPr>
          <w:p>
            <w:pPr>
              <w:pStyle w:val="282"/>
              <w:spacing w:before="143"/>
              <w:ind w:left="433"/>
              <w:rPr>
                <w:rFonts w:hint="eastAsia" w:ascii="仿宋" w:hAnsi="仿宋" w:eastAsia="仿宋" w:cs="仿宋"/>
                <w:sz w:val="28"/>
                <w:szCs w:val="28"/>
              </w:rPr>
            </w:pPr>
            <w:r>
              <w:rPr>
                <w:rFonts w:hint="eastAsia" w:ascii="仿宋" w:hAnsi="仿宋" w:eastAsia="仿宋" w:cs="仿宋"/>
                <w:spacing w:val="-6"/>
                <w:sz w:val="28"/>
                <w:szCs w:val="28"/>
              </w:rPr>
              <w:t>26</w:t>
            </w:r>
          </w:p>
        </w:tc>
        <w:tc>
          <w:tcPr>
            <w:tcW w:w="3627" w:type="dxa"/>
            <w:noWrap w:val="0"/>
            <w:vAlign w:val="top"/>
          </w:tcPr>
          <w:p>
            <w:pPr>
              <w:pStyle w:val="282"/>
              <w:spacing w:before="144" w:line="219" w:lineRule="auto"/>
              <w:ind w:left="117"/>
              <w:rPr>
                <w:rFonts w:hint="eastAsia" w:ascii="仿宋" w:hAnsi="仿宋" w:eastAsia="仿宋" w:cs="仿宋"/>
                <w:sz w:val="28"/>
                <w:szCs w:val="28"/>
              </w:rPr>
            </w:pPr>
            <w:r>
              <w:rPr>
                <w:rFonts w:hint="eastAsia" w:ascii="仿宋" w:hAnsi="仿宋" w:eastAsia="仿宋" w:cs="仿宋"/>
                <w:spacing w:val="-2"/>
                <w:sz w:val="28"/>
                <w:szCs w:val="28"/>
              </w:rPr>
              <w:t>取消轿厢虚假召唤功能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5" w:hRule="atLeast"/>
        </w:trPr>
        <w:tc>
          <w:tcPr>
            <w:tcW w:w="919" w:type="dxa"/>
            <w:noWrap w:val="0"/>
            <w:vAlign w:val="top"/>
          </w:tcPr>
          <w:p>
            <w:pPr>
              <w:pStyle w:val="282"/>
              <w:spacing w:before="145"/>
              <w:ind w:left="410"/>
              <w:rPr>
                <w:rFonts w:hint="eastAsia" w:ascii="仿宋" w:hAnsi="仿宋" w:eastAsia="仿宋" w:cs="仿宋"/>
                <w:sz w:val="28"/>
                <w:szCs w:val="28"/>
              </w:rPr>
            </w:pPr>
            <w:r>
              <w:rPr>
                <w:rFonts w:hint="eastAsia" w:ascii="仿宋" w:hAnsi="仿宋" w:eastAsia="仿宋" w:cs="仿宋"/>
                <w:sz w:val="28"/>
                <w:szCs w:val="28"/>
              </w:rPr>
              <w:t>9</w:t>
            </w:r>
          </w:p>
        </w:tc>
        <w:tc>
          <w:tcPr>
            <w:tcW w:w="3713" w:type="dxa"/>
            <w:noWrap w:val="0"/>
            <w:vAlign w:val="top"/>
          </w:tcPr>
          <w:p>
            <w:pPr>
              <w:pStyle w:val="282"/>
              <w:spacing w:before="144" w:line="220" w:lineRule="auto"/>
              <w:ind w:left="115"/>
              <w:rPr>
                <w:rFonts w:hint="eastAsia" w:ascii="仿宋" w:hAnsi="仿宋" w:eastAsia="仿宋" w:cs="仿宋"/>
                <w:sz w:val="28"/>
                <w:szCs w:val="28"/>
              </w:rPr>
            </w:pPr>
            <w:r>
              <w:rPr>
                <w:rFonts w:hint="eastAsia" w:ascii="仿宋" w:hAnsi="仿宋" w:eastAsia="仿宋" w:cs="仿宋"/>
                <w:spacing w:val="-2"/>
                <w:sz w:val="28"/>
                <w:szCs w:val="28"/>
              </w:rPr>
              <w:t>故障低速自救运行功能</w:t>
            </w:r>
          </w:p>
        </w:tc>
        <w:tc>
          <w:tcPr>
            <w:tcW w:w="1067" w:type="dxa"/>
            <w:noWrap w:val="0"/>
            <w:vAlign w:val="top"/>
          </w:tcPr>
          <w:p>
            <w:pPr>
              <w:pStyle w:val="282"/>
              <w:spacing w:before="145"/>
              <w:ind w:left="433"/>
              <w:rPr>
                <w:rFonts w:hint="eastAsia" w:ascii="仿宋" w:hAnsi="仿宋" w:eastAsia="仿宋" w:cs="仿宋"/>
                <w:sz w:val="28"/>
                <w:szCs w:val="28"/>
              </w:rPr>
            </w:pPr>
            <w:r>
              <w:rPr>
                <w:rFonts w:hint="eastAsia" w:ascii="仿宋" w:hAnsi="仿宋" w:eastAsia="仿宋" w:cs="仿宋"/>
                <w:spacing w:val="-6"/>
                <w:sz w:val="28"/>
                <w:szCs w:val="28"/>
              </w:rPr>
              <w:t>27</w:t>
            </w:r>
          </w:p>
        </w:tc>
        <w:tc>
          <w:tcPr>
            <w:tcW w:w="3627" w:type="dxa"/>
            <w:noWrap w:val="0"/>
            <w:vAlign w:val="top"/>
          </w:tcPr>
          <w:p>
            <w:pPr>
              <w:pStyle w:val="282"/>
              <w:spacing w:before="145" w:line="219" w:lineRule="auto"/>
              <w:ind w:left="115"/>
              <w:rPr>
                <w:rFonts w:hint="eastAsia" w:ascii="仿宋" w:hAnsi="仿宋" w:eastAsia="仿宋" w:cs="仿宋"/>
                <w:sz w:val="28"/>
                <w:szCs w:val="28"/>
              </w:rPr>
            </w:pPr>
            <w:r>
              <w:rPr>
                <w:rFonts w:hint="eastAsia" w:ascii="仿宋" w:hAnsi="仿宋" w:eastAsia="仿宋" w:cs="仿宋"/>
                <w:spacing w:val="-1"/>
                <w:sz w:val="28"/>
                <w:szCs w:val="28"/>
              </w:rPr>
              <w:t>反向内指令自动消除功能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5" w:hRule="atLeast"/>
        </w:trPr>
        <w:tc>
          <w:tcPr>
            <w:tcW w:w="919" w:type="dxa"/>
            <w:noWrap w:val="0"/>
            <w:vAlign w:val="top"/>
          </w:tcPr>
          <w:p>
            <w:pPr>
              <w:pStyle w:val="282"/>
              <w:spacing w:before="143"/>
              <w:ind w:left="372"/>
              <w:rPr>
                <w:rFonts w:hint="eastAsia" w:ascii="仿宋" w:hAnsi="仿宋" w:eastAsia="仿宋" w:cs="仿宋"/>
                <w:sz w:val="28"/>
                <w:szCs w:val="28"/>
              </w:rPr>
            </w:pPr>
            <w:r>
              <w:rPr>
                <w:rFonts w:hint="eastAsia" w:ascii="仿宋" w:hAnsi="仿宋" w:eastAsia="仿宋" w:cs="仿宋"/>
                <w:spacing w:val="-13"/>
                <w:sz w:val="28"/>
                <w:szCs w:val="28"/>
              </w:rPr>
              <w:t>10</w:t>
            </w:r>
          </w:p>
        </w:tc>
        <w:tc>
          <w:tcPr>
            <w:tcW w:w="3713" w:type="dxa"/>
            <w:noWrap w:val="0"/>
            <w:vAlign w:val="top"/>
          </w:tcPr>
          <w:p>
            <w:pPr>
              <w:pStyle w:val="282"/>
              <w:spacing w:before="143" w:line="221" w:lineRule="auto"/>
              <w:ind w:left="110"/>
              <w:rPr>
                <w:rFonts w:hint="eastAsia" w:ascii="仿宋" w:hAnsi="仿宋" w:eastAsia="仿宋" w:cs="仿宋"/>
                <w:sz w:val="28"/>
                <w:szCs w:val="28"/>
              </w:rPr>
            </w:pPr>
            <w:r>
              <w:rPr>
                <w:rFonts w:hint="eastAsia" w:ascii="仿宋" w:hAnsi="仿宋" w:eastAsia="仿宋" w:cs="仿宋"/>
                <w:spacing w:val="-1"/>
                <w:sz w:val="28"/>
                <w:szCs w:val="28"/>
              </w:rPr>
              <w:t>超速电气保护功能</w:t>
            </w:r>
          </w:p>
        </w:tc>
        <w:tc>
          <w:tcPr>
            <w:tcW w:w="1067" w:type="dxa"/>
            <w:noWrap w:val="0"/>
            <w:vAlign w:val="top"/>
          </w:tcPr>
          <w:p>
            <w:pPr>
              <w:pStyle w:val="282"/>
              <w:spacing w:before="143"/>
              <w:ind w:left="433"/>
              <w:rPr>
                <w:rFonts w:hint="eastAsia" w:ascii="仿宋" w:hAnsi="仿宋" w:eastAsia="仿宋" w:cs="仿宋"/>
                <w:sz w:val="28"/>
                <w:szCs w:val="28"/>
              </w:rPr>
            </w:pPr>
            <w:r>
              <w:rPr>
                <w:rFonts w:hint="eastAsia" w:ascii="仿宋" w:hAnsi="仿宋" w:eastAsia="仿宋" w:cs="仿宋"/>
                <w:spacing w:val="-6"/>
                <w:sz w:val="28"/>
                <w:szCs w:val="28"/>
              </w:rPr>
              <w:t>28</w:t>
            </w:r>
          </w:p>
        </w:tc>
        <w:tc>
          <w:tcPr>
            <w:tcW w:w="3627" w:type="dxa"/>
            <w:noWrap w:val="0"/>
            <w:vAlign w:val="top"/>
          </w:tcPr>
          <w:p>
            <w:pPr>
              <w:pStyle w:val="282"/>
              <w:spacing w:before="144" w:line="219" w:lineRule="auto"/>
              <w:ind w:left="115"/>
              <w:rPr>
                <w:rFonts w:hint="eastAsia" w:ascii="仿宋" w:hAnsi="仿宋" w:eastAsia="仿宋" w:cs="仿宋"/>
                <w:sz w:val="28"/>
                <w:szCs w:val="28"/>
              </w:rPr>
            </w:pPr>
            <w:r>
              <w:rPr>
                <w:rFonts w:hint="eastAsia" w:ascii="仿宋" w:hAnsi="仿宋" w:eastAsia="仿宋" w:cs="仿宋"/>
                <w:spacing w:val="-1"/>
                <w:sz w:val="28"/>
                <w:szCs w:val="28"/>
              </w:rPr>
              <w:t>轿内误指令取消功能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5" w:hRule="atLeast"/>
        </w:trPr>
        <w:tc>
          <w:tcPr>
            <w:tcW w:w="919" w:type="dxa"/>
            <w:noWrap w:val="0"/>
            <w:vAlign w:val="top"/>
          </w:tcPr>
          <w:p>
            <w:pPr>
              <w:pStyle w:val="282"/>
              <w:spacing w:before="144" w:line="242" w:lineRule="auto"/>
              <w:ind w:left="372"/>
              <w:rPr>
                <w:rFonts w:hint="eastAsia" w:ascii="仿宋" w:hAnsi="仿宋" w:eastAsia="仿宋" w:cs="仿宋"/>
                <w:sz w:val="28"/>
                <w:szCs w:val="28"/>
              </w:rPr>
            </w:pPr>
            <w:r>
              <w:rPr>
                <w:rFonts w:hint="eastAsia" w:ascii="仿宋" w:hAnsi="仿宋" w:eastAsia="仿宋" w:cs="仿宋"/>
                <w:spacing w:val="-13"/>
                <w:sz w:val="28"/>
                <w:szCs w:val="28"/>
              </w:rPr>
              <w:t>11</w:t>
            </w:r>
          </w:p>
        </w:tc>
        <w:tc>
          <w:tcPr>
            <w:tcW w:w="3713" w:type="dxa"/>
            <w:noWrap w:val="0"/>
            <w:vAlign w:val="top"/>
          </w:tcPr>
          <w:p>
            <w:pPr>
              <w:pStyle w:val="282"/>
              <w:spacing w:before="145" w:line="219" w:lineRule="auto"/>
              <w:ind w:left="110"/>
              <w:rPr>
                <w:rFonts w:hint="eastAsia" w:ascii="仿宋" w:hAnsi="仿宋" w:eastAsia="仿宋" w:cs="仿宋"/>
                <w:sz w:val="28"/>
                <w:szCs w:val="28"/>
              </w:rPr>
            </w:pPr>
            <w:r>
              <w:rPr>
                <w:rFonts w:hint="eastAsia" w:ascii="仿宋" w:hAnsi="仿宋" w:eastAsia="仿宋" w:cs="仿宋"/>
                <w:spacing w:val="-1"/>
                <w:sz w:val="28"/>
                <w:szCs w:val="28"/>
              </w:rPr>
              <w:t>超速机械保护功能</w:t>
            </w:r>
          </w:p>
        </w:tc>
        <w:tc>
          <w:tcPr>
            <w:tcW w:w="1067" w:type="dxa"/>
            <w:noWrap w:val="0"/>
            <w:vAlign w:val="top"/>
          </w:tcPr>
          <w:p>
            <w:pPr>
              <w:pStyle w:val="282"/>
              <w:spacing w:before="145"/>
              <w:ind w:left="433"/>
              <w:rPr>
                <w:rFonts w:hint="eastAsia" w:ascii="仿宋" w:hAnsi="仿宋" w:eastAsia="仿宋" w:cs="仿宋"/>
                <w:sz w:val="28"/>
                <w:szCs w:val="28"/>
              </w:rPr>
            </w:pPr>
            <w:r>
              <w:rPr>
                <w:rFonts w:hint="eastAsia" w:ascii="仿宋" w:hAnsi="仿宋" w:eastAsia="仿宋" w:cs="仿宋"/>
                <w:spacing w:val="-6"/>
                <w:sz w:val="28"/>
                <w:szCs w:val="28"/>
              </w:rPr>
              <w:t>29</w:t>
            </w:r>
          </w:p>
        </w:tc>
        <w:tc>
          <w:tcPr>
            <w:tcW w:w="3627" w:type="dxa"/>
            <w:noWrap w:val="0"/>
            <w:vAlign w:val="top"/>
          </w:tcPr>
          <w:p>
            <w:pPr>
              <w:pStyle w:val="282"/>
              <w:spacing w:before="144" w:line="220" w:lineRule="auto"/>
              <w:ind w:left="115"/>
              <w:rPr>
                <w:rFonts w:hint="eastAsia" w:ascii="仿宋" w:hAnsi="仿宋" w:eastAsia="仿宋" w:cs="仿宋"/>
                <w:sz w:val="28"/>
                <w:szCs w:val="28"/>
              </w:rPr>
            </w:pPr>
            <w:r>
              <w:rPr>
                <w:rFonts w:hint="eastAsia" w:ascii="仿宋" w:hAnsi="仿宋" w:eastAsia="仿宋" w:cs="仿宋"/>
                <w:spacing w:val="-1"/>
                <w:sz w:val="28"/>
                <w:szCs w:val="28"/>
              </w:rPr>
              <w:t>轿厢照明自动控制功能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5" w:hRule="atLeast"/>
        </w:trPr>
        <w:tc>
          <w:tcPr>
            <w:tcW w:w="919" w:type="dxa"/>
            <w:noWrap w:val="0"/>
            <w:vAlign w:val="top"/>
          </w:tcPr>
          <w:p>
            <w:pPr>
              <w:pStyle w:val="282"/>
              <w:spacing w:before="143" w:line="242" w:lineRule="auto"/>
              <w:ind w:left="372"/>
              <w:rPr>
                <w:rFonts w:hint="eastAsia" w:ascii="仿宋" w:hAnsi="仿宋" w:eastAsia="仿宋" w:cs="仿宋"/>
                <w:sz w:val="28"/>
                <w:szCs w:val="28"/>
              </w:rPr>
            </w:pPr>
            <w:r>
              <w:rPr>
                <w:rFonts w:hint="eastAsia" w:ascii="仿宋" w:hAnsi="仿宋" w:eastAsia="仿宋" w:cs="仿宋"/>
                <w:spacing w:val="-13"/>
                <w:sz w:val="28"/>
                <w:szCs w:val="28"/>
              </w:rPr>
              <w:t>12</w:t>
            </w:r>
          </w:p>
        </w:tc>
        <w:tc>
          <w:tcPr>
            <w:tcW w:w="3713" w:type="dxa"/>
            <w:noWrap w:val="0"/>
            <w:vAlign w:val="top"/>
          </w:tcPr>
          <w:p>
            <w:pPr>
              <w:pStyle w:val="282"/>
              <w:spacing w:before="143" w:line="220" w:lineRule="auto"/>
              <w:ind w:left="111"/>
              <w:rPr>
                <w:rFonts w:hint="eastAsia" w:ascii="仿宋" w:hAnsi="仿宋" w:eastAsia="仿宋" w:cs="仿宋"/>
                <w:sz w:val="28"/>
                <w:szCs w:val="28"/>
              </w:rPr>
            </w:pPr>
            <w:r>
              <w:rPr>
                <w:rFonts w:hint="eastAsia" w:ascii="仿宋" w:hAnsi="仿宋" w:eastAsia="仿宋" w:cs="仿宋"/>
                <w:spacing w:val="-2"/>
                <w:sz w:val="28"/>
                <w:szCs w:val="28"/>
              </w:rPr>
              <w:t>层高自测定功能</w:t>
            </w:r>
          </w:p>
        </w:tc>
        <w:tc>
          <w:tcPr>
            <w:tcW w:w="1067" w:type="dxa"/>
            <w:noWrap w:val="0"/>
            <w:vAlign w:val="top"/>
          </w:tcPr>
          <w:p>
            <w:pPr>
              <w:pStyle w:val="282"/>
              <w:spacing w:before="143"/>
              <w:ind w:left="435"/>
              <w:rPr>
                <w:rFonts w:hint="eastAsia" w:ascii="仿宋" w:hAnsi="仿宋" w:eastAsia="仿宋" w:cs="仿宋"/>
                <w:sz w:val="28"/>
                <w:szCs w:val="28"/>
              </w:rPr>
            </w:pPr>
            <w:r>
              <w:rPr>
                <w:rFonts w:hint="eastAsia" w:ascii="仿宋" w:hAnsi="仿宋" w:eastAsia="仿宋" w:cs="仿宋"/>
                <w:spacing w:val="-7"/>
                <w:sz w:val="28"/>
                <w:szCs w:val="28"/>
              </w:rPr>
              <w:t>30</w:t>
            </w:r>
          </w:p>
        </w:tc>
        <w:tc>
          <w:tcPr>
            <w:tcW w:w="3627" w:type="dxa"/>
            <w:noWrap w:val="0"/>
            <w:vAlign w:val="top"/>
          </w:tcPr>
          <w:p>
            <w:pPr>
              <w:pStyle w:val="282"/>
              <w:spacing w:before="143" w:line="220" w:lineRule="auto"/>
              <w:ind w:left="115"/>
              <w:rPr>
                <w:rFonts w:hint="eastAsia" w:ascii="仿宋" w:hAnsi="仿宋" w:eastAsia="仿宋" w:cs="仿宋"/>
                <w:sz w:val="28"/>
                <w:szCs w:val="28"/>
              </w:rPr>
            </w:pPr>
            <w:r>
              <w:rPr>
                <w:rFonts w:hint="eastAsia" w:ascii="仿宋" w:hAnsi="仿宋" w:eastAsia="仿宋" w:cs="仿宋"/>
                <w:spacing w:val="-2"/>
                <w:sz w:val="28"/>
                <w:szCs w:val="28"/>
              </w:rPr>
              <w:t>应急照明功能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5" w:hRule="atLeast"/>
        </w:trPr>
        <w:tc>
          <w:tcPr>
            <w:tcW w:w="919" w:type="dxa"/>
            <w:noWrap w:val="0"/>
            <w:vAlign w:val="top"/>
          </w:tcPr>
          <w:p>
            <w:pPr>
              <w:pStyle w:val="282"/>
              <w:spacing w:before="145"/>
              <w:ind w:left="372"/>
              <w:rPr>
                <w:rFonts w:hint="eastAsia" w:ascii="仿宋" w:hAnsi="仿宋" w:eastAsia="仿宋" w:cs="仿宋"/>
                <w:sz w:val="28"/>
                <w:szCs w:val="28"/>
              </w:rPr>
            </w:pPr>
            <w:r>
              <w:rPr>
                <w:rFonts w:hint="eastAsia" w:ascii="仿宋" w:hAnsi="仿宋" w:eastAsia="仿宋" w:cs="仿宋"/>
                <w:spacing w:val="-13"/>
                <w:sz w:val="28"/>
                <w:szCs w:val="28"/>
              </w:rPr>
              <w:t>13</w:t>
            </w:r>
          </w:p>
        </w:tc>
        <w:tc>
          <w:tcPr>
            <w:tcW w:w="3713" w:type="dxa"/>
            <w:noWrap w:val="0"/>
            <w:vAlign w:val="top"/>
          </w:tcPr>
          <w:p>
            <w:pPr>
              <w:pStyle w:val="282"/>
              <w:spacing w:before="144" w:line="220" w:lineRule="auto"/>
              <w:ind w:left="111"/>
              <w:rPr>
                <w:rFonts w:hint="eastAsia" w:ascii="仿宋" w:hAnsi="仿宋" w:eastAsia="仿宋" w:cs="仿宋"/>
                <w:sz w:val="28"/>
                <w:szCs w:val="28"/>
              </w:rPr>
            </w:pPr>
            <w:r>
              <w:rPr>
                <w:rFonts w:hint="eastAsia" w:ascii="仿宋" w:hAnsi="仿宋" w:eastAsia="仿宋" w:cs="仿宋"/>
                <w:spacing w:val="-2"/>
                <w:sz w:val="28"/>
                <w:szCs w:val="28"/>
              </w:rPr>
              <w:t>微动平层功能</w:t>
            </w:r>
          </w:p>
        </w:tc>
        <w:tc>
          <w:tcPr>
            <w:tcW w:w="1067" w:type="dxa"/>
            <w:noWrap w:val="0"/>
            <w:vAlign w:val="top"/>
          </w:tcPr>
          <w:p>
            <w:pPr>
              <w:pStyle w:val="282"/>
              <w:spacing w:before="145"/>
              <w:ind w:left="435"/>
              <w:rPr>
                <w:rFonts w:hint="eastAsia" w:ascii="仿宋" w:hAnsi="仿宋" w:eastAsia="仿宋" w:cs="仿宋"/>
                <w:sz w:val="28"/>
                <w:szCs w:val="28"/>
              </w:rPr>
            </w:pPr>
            <w:r>
              <w:rPr>
                <w:rFonts w:hint="eastAsia" w:ascii="仿宋" w:hAnsi="仿宋" w:eastAsia="仿宋" w:cs="仿宋"/>
                <w:spacing w:val="-7"/>
                <w:sz w:val="28"/>
                <w:szCs w:val="28"/>
              </w:rPr>
              <w:t>31</w:t>
            </w:r>
          </w:p>
        </w:tc>
        <w:tc>
          <w:tcPr>
            <w:tcW w:w="3627" w:type="dxa"/>
            <w:noWrap w:val="0"/>
            <w:vAlign w:val="top"/>
          </w:tcPr>
          <w:p>
            <w:pPr>
              <w:pStyle w:val="282"/>
              <w:spacing w:before="144" w:line="220" w:lineRule="auto"/>
              <w:ind w:left="118"/>
              <w:rPr>
                <w:rFonts w:hint="eastAsia" w:ascii="仿宋" w:hAnsi="仿宋" w:eastAsia="仿宋" w:cs="仿宋"/>
                <w:sz w:val="28"/>
                <w:szCs w:val="28"/>
              </w:rPr>
            </w:pPr>
            <w:r>
              <w:rPr>
                <w:rFonts w:hint="eastAsia" w:ascii="仿宋" w:hAnsi="仿宋" w:eastAsia="仿宋" w:cs="仿宋"/>
                <w:spacing w:val="-2"/>
                <w:sz w:val="28"/>
                <w:szCs w:val="28"/>
              </w:rPr>
              <w:t>警铃报警功能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5" w:hRule="atLeast"/>
        </w:trPr>
        <w:tc>
          <w:tcPr>
            <w:tcW w:w="919" w:type="dxa"/>
            <w:noWrap w:val="0"/>
            <w:vAlign w:val="top"/>
          </w:tcPr>
          <w:p>
            <w:pPr>
              <w:pStyle w:val="282"/>
              <w:spacing w:before="143" w:line="242" w:lineRule="auto"/>
              <w:ind w:left="372"/>
              <w:rPr>
                <w:rFonts w:hint="eastAsia" w:ascii="仿宋" w:hAnsi="仿宋" w:eastAsia="仿宋" w:cs="仿宋"/>
                <w:sz w:val="28"/>
                <w:szCs w:val="28"/>
              </w:rPr>
            </w:pPr>
            <w:r>
              <w:rPr>
                <w:rFonts w:hint="eastAsia" w:ascii="仿宋" w:hAnsi="仿宋" w:eastAsia="仿宋" w:cs="仿宋"/>
                <w:spacing w:val="-13"/>
                <w:sz w:val="28"/>
                <w:szCs w:val="28"/>
              </w:rPr>
              <w:t>14</w:t>
            </w:r>
          </w:p>
        </w:tc>
        <w:tc>
          <w:tcPr>
            <w:tcW w:w="3713" w:type="dxa"/>
            <w:noWrap w:val="0"/>
            <w:vAlign w:val="top"/>
          </w:tcPr>
          <w:p>
            <w:pPr>
              <w:pStyle w:val="282"/>
              <w:spacing w:before="144" w:line="219" w:lineRule="auto"/>
              <w:ind w:left="110"/>
              <w:rPr>
                <w:rFonts w:hint="eastAsia" w:ascii="仿宋" w:hAnsi="仿宋" w:eastAsia="仿宋" w:cs="仿宋"/>
                <w:sz w:val="28"/>
                <w:szCs w:val="28"/>
              </w:rPr>
            </w:pPr>
            <w:r>
              <w:rPr>
                <w:rFonts w:hint="eastAsia" w:ascii="仿宋" w:hAnsi="仿宋" w:eastAsia="仿宋" w:cs="仿宋"/>
                <w:spacing w:val="-1"/>
                <w:sz w:val="28"/>
                <w:szCs w:val="28"/>
              </w:rPr>
              <w:t>机房内检修操作功能</w:t>
            </w:r>
          </w:p>
        </w:tc>
        <w:tc>
          <w:tcPr>
            <w:tcW w:w="1067" w:type="dxa"/>
            <w:noWrap w:val="0"/>
            <w:vAlign w:val="top"/>
          </w:tcPr>
          <w:p>
            <w:pPr>
              <w:pStyle w:val="282"/>
              <w:spacing w:before="143"/>
              <w:ind w:left="435"/>
              <w:rPr>
                <w:rFonts w:hint="eastAsia" w:ascii="仿宋" w:hAnsi="仿宋" w:eastAsia="仿宋" w:cs="仿宋"/>
                <w:sz w:val="28"/>
                <w:szCs w:val="28"/>
              </w:rPr>
            </w:pPr>
            <w:r>
              <w:rPr>
                <w:rFonts w:hint="eastAsia" w:ascii="仿宋" w:hAnsi="仿宋" w:eastAsia="仿宋" w:cs="仿宋"/>
                <w:spacing w:val="-7"/>
                <w:sz w:val="28"/>
                <w:szCs w:val="28"/>
              </w:rPr>
              <w:t>32</w:t>
            </w:r>
          </w:p>
        </w:tc>
        <w:tc>
          <w:tcPr>
            <w:tcW w:w="3627" w:type="dxa"/>
            <w:noWrap w:val="0"/>
            <w:vAlign w:val="top"/>
          </w:tcPr>
          <w:p>
            <w:pPr>
              <w:pStyle w:val="282"/>
              <w:spacing w:before="143" w:line="221" w:lineRule="auto"/>
              <w:ind w:left="115"/>
              <w:rPr>
                <w:rFonts w:hint="eastAsia" w:ascii="仿宋" w:hAnsi="仿宋" w:eastAsia="仿宋" w:cs="仿宋"/>
                <w:sz w:val="28"/>
                <w:szCs w:val="28"/>
              </w:rPr>
            </w:pPr>
            <w:r>
              <w:rPr>
                <w:rFonts w:hint="eastAsia" w:ascii="仿宋" w:hAnsi="仿宋" w:eastAsia="仿宋" w:cs="仿宋"/>
                <w:spacing w:val="-1"/>
                <w:sz w:val="28"/>
                <w:szCs w:val="28"/>
              </w:rPr>
              <w:t>轿厢风扇手动控制功能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5" w:hRule="atLeast"/>
        </w:trPr>
        <w:tc>
          <w:tcPr>
            <w:tcW w:w="919" w:type="dxa"/>
            <w:noWrap w:val="0"/>
            <w:vAlign w:val="top"/>
          </w:tcPr>
          <w:p>
            <w:pPr>
              <w:pStyle w:val="282"/>
              <w:spacing w:before="145"/>
              <w:ind w:left="372"/>
              <w:rPr>
                <w:rFonts w:hint="eastAsia" w:ascii="仿宋" w:hAnsi="仿宋" w:eastAsia="仿宋" w:cs="仿宋"/>
                <w:sz w:val="28"/>
                <w:szCs w:val="28"/>
              </w:rPr>
            </w:pPr>
            <w:r>
              <w:rPr>
                <w:rFonts w:hint="eastAsia" w:ascii="仿宋" w:hAnsi="仿宋" w:eastAsia="仿宋" w:cs="仿宋"/>
                <w:spacing w:val="-13"/>
                <w:sz w:val="28"/>
                <w:szCs w:val="28"/>
              </w:rPr>
              <w:t>15</w:t>
            </w:r>
          </w:p>
        </w:tc>
        <w:tc>
          <w:tcPr>
            <w:tcW w:w="3713" w:type="dxa"/>
            <w:noWrap w:val="0"/>
            <w:vAlign w:val="top"/>
          </w:tcPr>
          <w:p>
            <w:pPr>
              <w:pStyle w:val="282"/>
              <w:spacing w:before="144" w:line="220" w:lineRule="auto"/>
              <w:ind w:left="111"/>
              <w:rPr>
                <w:rFonts w:hint="eastAsia" w:ascii="仿宋" w:hAnsi="仿宋" w:eastAsia="仿宋" w:cs="仿宋"/>
                <w:sz w:val="28"/>
                <w:szCs w:val="28"/>
              </w:rPr>
            </w:pPr>
            <w:r>
              <w:rPr>
                <w:rFonts w:hint="eastAsia" w:ascii="仿宋" w:hAnsi="仿宋" w:eastAsia="仿宋" w:cs="仿宋"/>
                <w:spacing w:val="-1"/>
                <w:sz w:val="28"/>
                <w:szCs w:val="28"/>
              </w:rPr>
              <w:t>轿顶检修操作功能</w:t>
            </w:r>
          </w:p>
        </w:tc>
        <w:tc>
          <w:tcPr>
            <w:tcW w:w="1067" w:type="dxa"/>
            <w:noWrap w:val="0"/>
            <w:vAlign w:val="top"/>
          </w:tcPr>
          <w:p>
            <w:pPr>
              <w:pStyle w:val="282"/>
              <w:spacing w:before="145"/>
              <w:ind w:left="435"/>
              <w:rPr>
                <w:rFonts w:hint="eastAsia" w:ascii="仿宋" w:hAnsi="仿宋" w:eastAsia="仿宋" w:cs="仿宋"/>
                <w:sz w:val="28"/>
                <w:szCs w:val="28"/>
              </w:rPr>
            </w:pPr>
            <w:r>
              <w:rPr>
                <w:rFonts w:hint="eastAsia" w:ascii="仿宋" w:hAnsi="仿宋" w:eastAsia="仿宋" w:cs="仿宋"/>
                <w:spacing w:val="-7"/>
                <w:sz w:val="28"/>
                <w:szCs w:val="28"/>
              </w:rPr>
              <w:t>33</w:t>
            </w:r>
          </w:p>
        </w:tc>
        <w:tc>
          <w:tcPr>
            <w:tcW w:w="3627" w:type="dxa"/>
            <w:noWrap w:val="0"/>
            <w:vAlign w:val="top"/>
          </w:tcPr>
          <w:p>
            <w:pPr>
              <w:pStyle w:val="282"/>
              <w:spacing w:before="144" w:line="220" w:lineRule="auto"/>
              <w:ind w:left="115"/>
              <w:rPr>
                <w:rFonts w:hint="eastAsia" w:ascii="仿宋" w:hAnsi="仿宋" w:eastAsia="仿宋" w:cs="仿宋"/>
                <w:sz w:val="28"/>
                <w:szCs w:val="28"/>
              </w:rPr>
            </w:pPr>
            <w:r>
              <w:rPr>
                <w:rFonts w:hint="eastAsia" w:ascii="仿宋" w:hAnsi="仿宋" w:eastAsia="仿宋" w:cs="仿宋"/>
                <w:spacing w:val="-1"/>
                <w:sz w:val="28"/>
                <w:szCs w:val="28"/>
              </w:rPr>
              <w:t>运行次数显示功能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5" w:hRule="atLeast"/>
        </w:trPr>
        <w:tc>
          <w:tcPr>
            <w:tcW w:w="919" w:type="dxa"/>
            <w:noWrap w:val="0"/>
            <w:vAlign w:val="top"/>
          </w:tcPr>
          <w:p>
            <w:pPr>
              <w:pStyle w:val="282"/>
              <w:spacing w:before="143"/>
              <w:ind w:left="372"/>
              <w:rPr>
                <w:rFonts w:hint="eastAsia" w:ascii="仿宋" w:hAnsi="仿宋" w:eastAsia="仿宋" w:cs="仿宋"/>
                <w:sz w:val="28"/>
                <w:szCs w:val="28"/>
              </w:rPr>
            </w:pPr>
            <w:r>
              <w:rPr>
                <w:rFonts w:hint="eastAsia" w:ascii="仿宋" w:hAnsi="仿宋" w:eastAsia="仿宋" w:cs="仿宋"/>
                <w:spacing w:val="-13"/>
                <w:sz w:val="28"/>
                <w:szCs w:val="28"/>
              </w:rPr>
              <w:t>16</w:t>
            </w:r>
          </w:p>
        </w:tc>
        <w:tc>
          <w:tcPr>
            <w:tcW w:w="3713" w:type="dxa"/>
            <w:noWrap w:val="0"/>
            <w:vAlign w:val="top"/>
          </w:tcPr>
          <w:p>
            <w:pPr>
              <w:pStyle w:val="282"/>
              <w:spacing w:before="143" w:line="220" w:lineRule="auto"/>
              <w:ind w:left="111"/>
              <w:rPr>
                <w:rFonts w:hint="eastAsia" w:ascii="仿宋" w:hAnsi="仿宋" w:eastAsia="仿宋" w:cs="仿宋"/>
                <w:sz w:val="28"/>
                <w:szCs w:val="28"/>
              </w:rPr>
            </w:pPr>
            <w:r>
              <w:rPr>
                <w:rFonts w:hint="eastAsia" w:ascii="仿宋" w:hAnsi="仿宋" w:eastAsia="仿宋" w:cs="仿宋"/>
                <w:spacing w:val="-1"/>
                <w:sz w:val="28"/>
                <w:szCs w:val="28"/>
              </w:rPr>
              <w:t>轿内检修操作功能</w:t>
            </w:r>
          </w:p>
        </w:tc>
        <w:tc>
          <w:tcPr>
            <w:tcW w:w="1067" w:type="dxa"/>
            <w:noWrap w:val="0"/>
            <w:vAlign w:val="top"/>
          </w:tcPr>
          <w:p>
            <w:pPr>
              <w:pStyle w:val="282"/>
              <w:spacing w:before="143"/>
              <w:ind w:left="435"/>
              <w:rPr>
                <w:rFonts w:hint="eastAsia" w:ascii="仿宋" w:hAnsi="仿宋" w:eastAsia="仿宋" w:cs="仿宋"/>
                <w:sz w:val="28"/>
                <w:szCs w:val="28"/>
              </w:rPr>
            </w:pPr>
            <w:r>
              <w:rPr>
                <w:rFonts w:hint="eastAsia" w:ascii="仿宋" w:hAnsi="仿宋" w:eastAsia="仿宋" w:cs="仿宋"/>
                <w:spacing w:val="-7"/>
                <w:sz w:val="28"/>
                <w:szCs w:val="28"/>
              </w:rPr>
              <w:t>34</w:t>
            </w:r>
          </w:p>
        </w:tc>
        <w:tc>
          <w:tcPr>
            <w:tcW w:w="3627" w:type="dxa"/>
            <w:noWrap w:val="0"/>
            <w:vAlign w:val="top"/>
          </w:tcPr>
          <w:p>
            <w:pPr>
              <w:pStyle w:val="282"/>
              <w:spacing w:before="143" w:line="220" w:lineRule="auto"/>
              <w:ind w:left="115"/>
              <w:rPr>
                <w:rFonts w:hint="eastAsia" w:ascii="仿宋" w:hAnsi="仿宋" w:eastAsia="仿宋" w:cs="仿宋"/>
                <w:sz w:val="28"/>
                <w:szCs w:val="28"/>
              </w:rPr>
            </w:pPr>
            <w:r>
              <w:rPr>
                <w:rFonts w:hint="eastAsia" w:ascii="仿宋" w:hAnsi="仿宋" w:eastAsia="仿宋" w:cs="仿宋"/>
                <w:spacing w:val="-1"/>
                <w:sz w:val="28"/>
                <w:szCs w:val="28"/>
              </w:rPr>
              <w:t>相位故障检测功能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5" w:hRule="atLeast"/>
        </w:trPr>
        <w:tc>
          <w:tcPr>
            <w:tcW w:w="919" w:type="dxa"/>
            <w:noWrap w:val="0"/>
            <w:vAlign w:val="top"/>
          </w:tcPr>
          <w:p>
            <w:pPr>
              <w:pStyle w:val="282"/>
              <w:spacing w:before="145"/>
              <w:ind w:left="372"/>
              <w:rPr>
                <w:rFonts w:hint="eastAsia" w:ascii="仿宋" w:hAnsi="仿宋" w:eastAsia="仿宋" w:cs="仿宋"/>
                <w:sz w:val="28"/>
                <w:szCs w:val="28"/>
              </w:rPr>
            </w:pPr>
            <w:r>
              <w:rPr>
                <w:rFonts w:hint="eastAsia" w:ascii="仿宋" w:hAnsi="仿宋" w:eastAsia="仿宋" w:cs="仿宋"/>
                <w:spacing w:val="-13"/>
                <w:sz w:val="28"/>
                <w:szCs w:val="28"/>
              </w:rPr>
              <w:t>17</w:t>
            </w:r>
          </w:p>
        </w:tc>
        <w:tc>
          <w:tcPr>
            <w:tcW w:w="3713" w:type="dxa"/>
            <w:noWrap w:val="0"/>
            <w:vAlign w:val="top"/>
          </w:tcPr>
          <w:p>
            <w:pPr>
              <w:pStyle w:val="282"/>
              <w:spacing w:before="144" w:line="220" w:lineRule="auto"/>
              <w:ind w:left="111"/>
              <w:rPr>
                <w:rFonts w:hint="eastAsia" w:ascii="仿宋" w:hAnsi="仿宋" w:eastAsia="仿宋" w:cs="仿宋"/>
                <w:sz w:val="28"/>
                <w:szCs w:val="28"/>
              </w:rPr>
            </w:pPr>
            <w:r>
              <w:rPr>
                <w:rFonts w:hint="eastAsia" w:ascii="仿宋" w:hAnsi="仿宋" w:eastAsia="仿宋" w:cs="仿宋"/>
                <w:spacing w:val="-1"/>
                <w:sz w:val="28"/>
                <w:szCs w:val="28"/>
              </w:rPr>
              <w:t>层门指层灯检查功能</w:t>
            </w:r>
          </w:p>
        </w:tc>
        <w:tc>
          <w:tcPr>
            <w:tcW w:w="1067" w:type="dxa"/>
            <w:noWrap w:val="0"/>
            <w:vAlign w:val="top"/>
          </w:tcPr>
          <w:p>
            <w:pPr>
              <w:pStyle w:val="282"/>
              <w:spacing w:before="145"/>
              <w:ind w:left="435"/>
              <w:rPr>
                <w:rFonts w:hint="eastAsia" w:ascii="仿宋" w:hAnsi="仿宋" w:eastAsia="仿宋" w:cs="仿宋"/>
                <w:sz w:val="28"/>
                <w:szCs w:val="28"/>
              </w:rPr>
            </w:pPr>
            <w:r>
              <w:rPr>
                <w:rFonts w:hint="eastAsia" w:ascii="仿宋" w:hAnsi="仿宋" w:eastAsia="仿宋" w:cs="仿宋"/>
                <w:spacing w:val="-7"/>
                <w:sz w:val="28"/>
                <w:szCs w:val="28"/>
              </w:rPr>
              <w:t>35</w:t>
            </w:r>
          </w:p>
        </w:tc>
        <w:tc>
          <w:tcPr>
            <w:tcW w:w="3627" w:type="dxa"/>
            <w:noWrap w:val="0"/>
            <w:vAlign w:val="top"/>
          </w:tcPr>
          <w:p>
            <w:pPr>
              <w:pStyle w:val="282"/>
              <w:spacing w:before="144" w:line="222" w:lineRule="auto"/>
              <w:ind w:left="118"/>
              <w:rPr>
                <w:rFonts w:hint="eastAsia" w:ascii="仿宋" w:hAnsi="仿宋" w:eastAsia="仿宋" w:cs="仿宋"/>
                <w:sz w:val="28"/>
                <w:szCs w:val="28"/>
              </w:rPr>
            </w:pPr>
            <w:r>
              <w:rPr>
                <w:rFonts w:hint="eastAsia" w:ascii="仿宋" w:hAnsi="仿宋" w:eastAsia="仿宋" w:cs="仿宋"/>
                <w:spacing w:val="-2"/>
                <w:sz w:val="28"/>
                <w:szCs w:val="28"/>
              </w:rPr>
              <w:t>五方通话功能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4" w:hRule="atLeast"/>
        </w:trPr>
        <w:tc>
          <w:tcPr>
            <w:tcW w:w="919" w:type="dxa"/>
            <w:noWrap w:val="0"/>
            <w:vAlign w:val="top"/>
          </w:tcPr>
          <w:p>
            <w:pPr>
              <w:pStyle w:val="282"/>
              <w:spacing w:before="136"/>
              <w:ind w:left="372"/>
              <w:rPr>
                <w:rFonts w:hint="eastAsia" w:ascii="仿宋" w:hAnsi="仿宋" w:eastAsia="仿宋" w:cs="仿宋"/>
                <w:sz w:val="28"/>
                <w:szCs w:val="28"/>
              </w:rPr>
            </w:pPr>
            <w:r>
              <w:rPr>
                <w:rFonts w:hint="eastAsia" w:ascii="仿宋" w:hAnsi="仿宋" w:eastAsia="仿宋" w:cs="仿宋"/>
                <w:spacing w:val="-13"/>
                <w:sz w:val="28"/>
                <w:szCs w:val="28"/>
              </w:rPr>
              <w:t>18</w:t>
            </w:r>
          </w:p>
        </w:tc>
        <w:tc>
          <w:tcPr>
            <w:tcW w:w="3713" w:type="dxa"/>
            <w:noWrap w:val="0"/>
            <w:vAlign w:val="top"/>
          </w:tcPr>
          <w:p>
            <w:pPr>
              <w:pStyle w:val="282"/>
              <w:spacing w:before="136" w:line="219" w:lineRule="auto"/>
              <w:ind w:left="113"/>
              <w:rPr>
                <w:rFonts w:hint="eastAsia" w:ascii="仿宋" w:hAnsi="仿宋" w:eastAsia="仿宋" w:cs="仿宋"/>
                <w:sz w:val="28"/>
                <w:szCs w:val="28"/>
              </w:rPr>
            </w:pPr>
            <w:r>
              <w:rPr>
                <w:rFonts w:hint="eastAsia" w:ascii="仿宋" w:hAnsi="仿宋" w:eastAsia="仿宋" w:cs="仿宋"/>
                <w:spacing w:val="-2"/>
                <w:sz w:val="28"/>
                <w:szCs w:val="28"/>
              </w:rPr>
              <w:t>光幕保护功能</w:t>
            </w:r>
          </w:p>
        </w:tc>
        <w:tc>
          <w:tcPr>
            <w:tcW w:w="1067" w:type="dxa"/>
            <w:noWrap w:val="0"/>
            <w:vAlign w:val="top"/>
          </w:tcPr>
          <w:p>
            <w:pPr>
              <w:pStyle w:val="282"/>
              <w:spacing w:before="136"/>
              <w:ind w:left="435"/>
              <w:rPr>
                <w:rFonts w:hint="eastAsia" w:ascii="仿宋" w:hAnsi="仿宋" w:eastAsia="仿宋" w:cs="仿宋"/>
                <w:sz w:val="28"/>
                <w:szCs w:val="28"/>
              </w:rPr>
            </w:pPr>
            <w:r>
              <w:rPr>
                <w:rFonts w:hint="eastAsia" w:ascii="仿宋" w:hAnsi="仿宋" w:eastAsia="仿宋" w:cs="仿宋"/>
                <w:spacing w:val="-7"/>
                <w:sz w:val="28"/>
                <w:szCs w:val="28"/>
              </w:rPr>
              <w:t>36</w:t>
            </w:r>
          </w:p>
        </w:tc>
        <w:tc>
          <w:tcPr>
            <w:tcW w:w="3627" w:type="dxa"/>
            <w:noWrap w:val="0"/>
            <w:vAlign w:val="top"/>
          </w:tcPr>
          <w:p>
            <w:pPr>
              <w:pStyle w:val="282"/>
              <w:spacing w:before="136" w:line="220" w:lineRule="auto"/>
              <w:ind w:left="119"/>
              <w:rPr>
                <w:rFonts w:hint="eastAsia" w:ascii="仿宋" w:hAnsi="仿宋" w:eastAsia="仿宋" w:cs="仿宋"/>
                <w:sz w:val="28"/>
                <w:szCs w:val="28"/>
              </w:rPr>
            </w:pPr>
            <w:r>
              <w:rPr>
                <w:rFonts w:hint="eastAsia" w:ascii="仿宋" w:hAnsi="仿宋" w:eastAsia="仿宋" w:cs="仿宋"/>
                <w:spacing w:val="-2"/>
                <w:sz w:val="28"/>
                <w:szCs w:val="28"/>
              </w:rPr>
              <w:t>消防迫降功能</w:t>
            </w:r>
          </w:p>
        </w:tc>
      </w:tr>
    </w:tbl>
    <w:p>
      <w:pPr>
        <w:pStyle w:val="15"/>
        <w:spacing w:line="280" w:lineRule="auto"/>
        <w:rPr>
          <w:rFonts w:hint="eastAsia" w:ascii="仿宋" w:hAnsi="仿宋" w:eastAsia="仿宋" w:cs="仿宋"/>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left="0" w:right="0"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注：</w:t>
      </w:r>
    </w:p>
    <w:p>
      <w:pPr>
        <w:keepNext w:val="0"/>
        <w:keepLines w:val="0"/>
        <w:pageBreakBefore w:val="0"/>
        <w:widowControl w:val="0"/>
        <w:kinsoku/>
        <w:wordWrap/>
        <w:overflowPunct/>
        <w:topLinePunct w:val="0"/>
        <w:autoSpaceDE/>
        <w:autoSpaceDN/>
        <w:bidi w:val="0"/>
        <w:adjustRightInd/>
        <w:snapToGrid/>
        <w:spacing w:line="360" w:lineRule="auto"/>
        <w:ind w:left="0" w:right="0" w:firstLine="560" w:firstLineChars="200"/>
        <w:textAlignment w:val="auto"/>
        <w:rPr>
          <w:rFonts w:hint="eastAsia" w:ascii="仿宋" w:hAnsi="仿宋" w:eastAsia="仿宋" w:cs="仿宋"/>
          <w:spacing w:val="-2"/>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一</w:t>
      </w:r>
      <w:r>
        <w:rPr>
          <w:rFonts w:hint="eastAsia" w:ascii="仿宋" w:hAnsi="仿宋" w:eastAsia="仿宋" w:cs="仿宋"/>
          <w:sz w:val="28"/>
          <w:szCs w:val="28"/>
          <w:lang w:eastAsia="zh-CN"/>
        </w:rPr>
        <w:t>）</w:t>
      </w:r>
      <w:r>
        <w:rPr>
          <w:rFonts w:hint="eastAsia" w:ascii="仿宋" w:hAnsi="仿宋" w:eastAsia="仿宋" w:cs="仿宋"/>
          <w:color w:val="auto"/>
          <w:sz w:val="28"/>
          <w:szCs w:val="28"/>
        </w:rPr>
        <w:t>本项目电梯井道的数据，投标人需自行勘测(具体井道尺寸以现场尺</w:t>
      </w:r>
      <w:r>
        <w:rPr>
          <w:rFonts w:hint="eastAsia" w:ascii="仿宋" w:hAnsi="仿宋" w:eastAsia="仿宋" w:cs="仿宋"/>
          <w:color w:val="auto"/>
          <w:spacing w:val="-1"/>
          <w:sz w:val="28"/>
          <w:szCs w:val="28"/>
        </w:rPr>
        <w:t>寸为准)，招标人不</w:t>
      </w:r>
      <w:r>
        <w:rPr>
          <w:rFonts w:hint="eastAsia" w:ascii="仿宋" w:hAnsi="仿宋" w:eastAsia="仿宋" w:cs="仿宋"/>
          <w:color w:val="auto"/>
          <w:sz w:val="28"/>
          <w:szCs w:val="28"/>
        </w:rPr>
        <w:t>集中组织勘测。投标人提供的产品及服务须适应土建时所预留的尺寸，并运行顺利、正常、</w:t>
      </w:r>
      <w:r>
        <w:rPr>
          <w:rFonts w:hint="eastAsia" w:ascii="仿宋" w:hAnsi="仿宋" w:eastAsia="仿宋" w:cs="仿宋"/>
          <w:color w:val="auto"/>
          <w:spacing w:val="-3"/>
          <w:sz w:val="28"/>
          <w:szCs w:val="28"/>
        </w:rPr>
        <w:t>可靠。投标人自行勘测现场时如发生人员伤亡事故，由投标人自行承担责任，与招标人无关。</w:t>
      </w:r>
      <w:r>
        <w:rPr>
          <w:rFonts w:hint="eastAsia" w:ascii="仿宋" w:hAnsi="仿宋" w:eastAsia="仿宋" w:cs="仿宋"/>
          <w:color w:val="auto"/>
          <w:sz w:val="28"/>
          <w:szCs w:val="28"/>
        </w:rPr>
        <w:t>投标人对自行勘察的尺寸负责，如后期现场正式测量时发现所测数据有</w:t>
      </w:r>
      <w:r>
        <w:rPr>
          <w:rFonts w:hint="eastAsia" w:ascii="仿宋" w:hAnsi="仿宋" w:eastAsia="仿宋" w:cs="仿宋"/>
          <w:color w:val="auto"/>
          <w:spacing w:val="-1"/>
          <w:sz w:val="28"/>
          <w:szCs w:val="28"/>
        </w:rPr>
        <w:t>出入均由投标人自行</w:t>
      </w:r>
      <w:r>
        <w:rPr>
          <w:rFonts w:hint="eastAsia" w:ascii="仿宋" w:hAnsi="仿宋" w:eastAsia="仿宋" w:cs="仿宋"/>
          <w:color w:val="auto"/>
          <w:spacing w:val="-2"/>
          <w:sz w:val="28"/>
          <w:szCs w:val="28"/>
        </w:rPr>
        <w:t>承担相应后果。</w:t>
      </w:r>
    </w:p>
    <w:p>
      <w:pPr>
        <w:pStyle w:val="28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52" w:firstLineChars="200"/>
        <w:textAlignment w:val="auto"/>
        <w:outlineLvl w:val="0"/>
        <w:rPr>
          <w:rFonts w:hint="eastAsia" w:ascii="仿宋" w:hAnsi="仿宋" w:eastAsia="仿宋" w:cs="仿宋"/>
          <w:color w:val="auto"/>
          <w:spacing w:val="-2"/>
          <w:sz w:val="28"/>
          <w:szCs w:val="28"/>
          <w:highlight w:val="none"/>
          <w:lang w:val="en-US" w:eastAsia="zh-CN"/>
        </w:rPr>
      </w:pPr>
      <w:bookmarkStart w:id="0" w:name="_Toc25881"/>
      <w:r>
        <w:rPr>
          <w:rFonts w:hint="eastAsia" w:ascii="仿宋" w:hAnsi="仿宋" w:eastAsia="仿宋" w:cs="仿宋"/>
          <w:color w:val="auto"/>
          <w:spacing w:val="-2"/>
          <w:sz w:val="28"/>
          <w:szCs w:val="28"/>
          <w:highlight w:val="none"/>
          <w:lang w:val="en-US" w:eastAsia="zh-CN"/>
        </w:rPr>
        <w:t>（二）本项目报价要求：投标报价包11部电梯的采购、安装及维保服务，还包括以下服务内容：</w:t>
      </w:r>
      <w:bookmarkEnd w:id="0"/>
    </w:p>
    <w:p>
      <w:pPr>
        <w:pStyle w:val="282"/>
        <w:keepNext w:val="0"/>
        <w:keepLines w:val="0"/>
        <w:pageBreakBefore w:val="0"/>
        <w:widowControl w:val="0"/>
        <w:kinsoku/>
        <w:wordWrap/>
        <w:overflowPunct/>
        <w:topLinePunct w:val="0"/>
        <w:autoSpaceDE/>
        <w:autoSpaceDN/>
        <w:bidi w:val="0"/>
        <w:adjustRightInd/>
        <w:snapToGrid/>
        <w:spacing w:line="360" w:lineRule="auto"/>
        <w:ind w:left="0" w:right="0" w:firstLine="552" w:firstLineChars="200"/>
        <w:textAlignment w:val="auto"/>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val="en-US" w:eastAsia="zh-CN"/>
        </w:rPr>
        <w:t>（1）五方对讲系统，并将报警信号接至控制中心，电梯机房至控制室线路铺设；</w:t>
      </w:r>
    </w:p>
    <w:p>
      <w:pPr>
        <w:pStyle w:val="282"/>
        <w:keepNext w:val="0"/>
        <w:keepLines w:val="0"/>
        <w:pageBreakBefore w:val="0"/>
        <w:widowControl w:val="0"/>
        <w:kinsoku/>
        <w:wordWrap/>
        <w:overflowPunct/>
        <w:topLinePunct w:val="0"/>
        <w:autoSpaceDE/>
        <w:autoSpaceDN/>
        <w:bidi w:val="0"/>
        <w:adjustRightInd/>
        <w:snapToGrid/>
        <w:spacing w:line="360" w:lineRule="auto"/>
        <w:ind w:left="0" w:right="0" w:firstLine="552" w:firstLineChars="200"/>
        <w:textAlignment w:val="auto"/>
        <w:rPr>
          <w:rFonts w:hint="default"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val="en-US" w:eastAsia="zh-CN"/>
        </w:rPr>
        <w:t>（2）</w:t>
      </w:r>
      <w:r>
        <w:rPr>
          <w:rFonts w:hint="eastAsia" w:ascii="仿宋" w:hAnsi="仿宋" w:eastAsia="仿宋" w:cs="仿宋"/>
          <w:color w:val="auto"/>
          <w:spacing w:val="-1"/>
          <w:sz w:val="28"/>
          <w:szCs w:val="28"/>
          <w:highlight w:val="none"/>
        </w:rPr>
        <w:t>电梯须</w:t>
      </w:r>
      <w:r>
        <w:rPr>
          <w:rFonts w:hint="eastAsia" w:ascii="仿宋" w:hAnsi="仿宋" w:eastAsia="仿宋" w:cs="仿宋"/>
          <w:color w:val="auto"/>
          <w:spacing w:val="-1"/>
          <w:sz w:val="28"/>
          <w:szCs w:val="28"/>
          <w:highlight w:val="none"/>
          <w:lang w:val="en-US" w:eastAsia="zh-CN"/>
        </w:rPr>
        <w:t>安装</w:t>
      </w:r>
      <w:r>
        <w:rPr>
          <w:rFonts w:hint="eastAsia" w:ascii="仿宋" w:hAnsi="仿宋" w:eastAsia="仿宋" w:cs="仿宋"/>
          <w:color w:val="auto"/>
          <w:spacing w:val="-1"/>
          <w:sz w:val="28"/>
          <w:szCs w:val="28"/>
          <w:highlight w:val="none"/>
        </w:rPr>
        <w:t>视频线</w:t>
      </w:r>
      <w:r>
        <w:rPr>
          <w:rFonts w:hint="eastAsia" w:ascii="仿宋" w:hAnsi="仿宋" w:eastAsia="仿宋" w:cs="仿宋"/>
          <w:color w:val="auto"/>
          <w:spacing w:val="-2"/>
          <w:sz w:val="28"/>
          <w:szCs w:val="28"/>
          <w:highlight w:val="none"/>
          <w:lang w:val="en-US" w:eastAsia="zh-CN"/>
        </w:rPr>
        <w:t>及电源线等</w:t>
      </w:r>
      <w:r>
        <w:rPr>
          <w:rFonts w:hint="eastAsia" w:ascii="仿宋" w:hAnsi="仿宋" w:eastAsia="仿宋" w:cs="仿宋"/>
          <w:color w:val="auto"/>
          <w:spacing w:val="-1"/>
          <w:sz w:val="28"/>
          <w:szCs w:val="28"/>
          <w:highlight w:val="none"/>
        </w:rPr>
        <w:t>，</w:t>
      </w:r>
      <w:r>
        <w:rPr>
          <w:rFonts w:hint="eastAsia" w:ascii="仿宋" w:hAnsi="仿宋" w:eastAsia="仿宋" w:cs="仿宋"/>
          <w:color w:val="auto"/>
          <w:spacing w:val="-2"/>
          <w:sz w:val="28"/>
          <w:szCs w:val="28"/>
          <w:highlight w:val="none"/>
          <w:lang w:val="en-US" w:eastAsia="zh-CN"/>
        </w:rPr>
        <w:t>便于小区监控接入</w:t>
      </w:r>
      <w:r>
        <w:rPr>
          <w:rFonts w:hint="eastAsia" w:ascii="仿宋" w:hAnsi="仿宋" w:eastAsia="仿宋" w:cs="仿宋"/>
          <w:color w:val="auto"/>
          <w:spacing w:val="-1"/>
          <w:sz w:val="28"/>
          <w:szCs w:val="28"/>
          <w:highlight w:val="none"/>
          <w:lang w:val="en-US" w:eastAsia="zh-CN"/>
        </w:rPr>
        <w:t>。</w:t>
      </w:r>
    </w:p>
    <w:p>
      <w:pPr>
        <w:pStyle w:val="282"/>
        <w:keepNext w:val="0"/>
        <w:keepLines w:val="0"/>
        <w:pageBreakBefore w:val="0"/>
        <w:widowControl w:val="0"/>
        <w:kinsoku/>
        <w:wordWrap/>
        <w:overflowPunct/>
        <w:topLinePunct w:val="0"/>
        <w:autoSpaceDE/>
        <w:autoSpaceDN/>
        <w:bidi w:val="0"/>
        <w:adjustRightInd/>
        <w:snapToGrid/>
        <w:spacing w:line="360" w:lineRule="auto"/>
        <w:ind w:left="0" w:right="0" w:firstLine="552" w:firstLineChars="200"/>
        <w:textAlignment w:val="auto"/>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val="en-US" w:eastAsia="zh-CN"/>
        </w:rPr>
        <w:t>（3）电梯机房工作台的楼梯踏步由成交供应商负责（小机房电梯）；</w:t>
      </w:r>
    </w:p>
    <w:p>
      <w:pPr>
        <w:pStyle w:val="282"/>
        <w:keepNext w:val="0"/>
        <w:keepLines w:val="0"/>
        <w:pageBreakBefore w:val="0"/>
        <w:widowControl w:val="0"/>
        <w:kinsoku/>
        <w:wordWrap/>
        <w:overflowPunct/>
        <w:topLinePunct w:val="0"/>
        <w:autoSpaceDE/>
        <w:autoSpaceDN/>
        <w:bidi w:val="0"/>
        <w:adjustRightInd/>
        <w:snapToGrid/>
        <w:spacing w:line="360" w:lineRule="auto"/>
        <w:ind w:left="0" w:right="0" w:firstLine="552" w:firstLineChars="200"/>
        <w:textAlignment w:val="auto"/>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val="en-US" w:eastAsia="zh-CN"/>
        </w:rPr>
        <w:t>（4）电梯电源电缆线原则上用之前的电源线，若之前电源线不符合</w:t>
      </w:r>
    </w:p>
    <w:p>
      <w:pPr>
        <w:pStyle w:val="282"/>
        <w:keepNext w:val="0"/>
        <w:keepLines w:val="0"/>
        <w:pageBreakBefore w:val="0"/>
        <w:widowControl w:val="0"/>
        <w:kinsoku/>
        <w:wordWrap/>
        <w:overflowPunct/>
        <w:topLinePunct w:val="0"/>
        <w:autoSpaceDE/>
        <w:autoSpaceDN/>
        <w:bidi w:val="0"/>
        <w:adjustRightInd/>
        <w:snapToGrid/>
        <w:spacing w:line="360" w:lineRule="auto"/>
        <w:ind w:left="0" w:right="0" w:firstLine="552" w:firstLineChars="200"/>
        <w:textAlignment w:val="auto"/>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val="en-US" w:eastAsia="zh-CN"/>
        </w:rPr>
        <w:t>要求，则有成交供应商负责；</w:t>
      </w:r>
    </w:p>
    <w:p>
      <w:pPr>
        <w:pStyle w:val="282"/>
        <w:keepNext w:val="0"/>
        <w:keepLines w:val="0"/>
        <w:pageBreakBefore w:val="0"/>
        <w:widowControl w:val="0"/>
        <w:kinsoku/>
        <w:wordWrap/>
        <w:overflowPunct/>
        <w:topLinePunct w:val="0"/>
        <w:autoSpaceDE/>
        <w:autoSpaceDN/>
        <w:bidi w:val="0"/>
        <w:adjustRightInd/>
        <w:snapToGrid/>
        <w:spacing w:line="360" w:lineRule="auto"/>
        <w:ind w:left="0" w:right="0" w:firstLine="552" w:firstLineChars="200"/>
        <w:textAlignment w:val="auto"/>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val="en-US" w:eastAsia="zh-CN"/>
        </w:rPr>
        <w:t>（5）电梯机房排风扇由电梯成交供应商负责（小机房电梯）；</w:t>
      </w:r>
    </w:p>
    <w:p>
      <w:pPr>
        <w:pStyle w:val="282"/>
        <w:keepNext w:val="0"/>
        <w:keepLines w:val="0"/>
        <w:pageBreakBefore w:val="0"/>
        <w:widowControl w:val="0"/>
        <w:kinsoku/>
        <w:wordWrap/>
        <w:overflowPunct/>
        <w:topLinePunct w:val="0"/>
        <w:autoSpaceDE/>
        <w:autoSpaceDN/>
        <w:bidi w:val="0"/>
        <w:adjustRightInd/>
        <w:snapToGrid/>
        <w:spacing w:line="360" w:lineRule="auto"/>
        <w:ind w:left="0" w:right="0" w:firstLine="552" w:firstLineChars="200"/>
        <w:textAlignment w:val="auto"/>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val="en-US" w:eastAsia="zh-CN"/>
        </w:rPr>
        <w:t>（6）电梯井底缓冲器、电梯机房机架台、电梯梁安装完墙面回填、防水台阶由电梯安装单位负责完成（小机房电梯）、控制柜安装完成后的墙面回填（无机房）；</w:t>
      </w:r>
    </w:p>
    <w:p>
      <w:pPr>
        <w:pStyle w:val="282"/>
        <w:keepNext w:val="0"/>
        <w:keepLines w:val="0"/>
        <w:pageBreakBefore w:val="0"/>
        <w:widowControl w:val="0"/>
        <w:kinsoku/>
        <w:wordWrap/>
        <w:overflowPunct/>
        <w:topLinePunct w:val="0"/>
        <w:autoSpaceDE/>
        <w:autoSpaceDN/>
        <w:bidi w:val="0"/>
        <w:adjustRightInd/>
        <w:snapToGrid/>
        <w:spacing w:line="360" w:lineRule="auto"/>
        <w:ind w:left="0" w:right="0" w:firstLine="552" w:firstLineChars="200"/>
        <w:textAlignment w:val="auto"/>
        <w:rPr>
          <w:rFonts w:hint="default"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val="en-US" w:eastAsia="zh-CN"/>
        </w:rPr>
        <w:t>（7）确保每一部电梯经过检测部门验收合格。(含检测、验收费用）</w:t>
      </w:r>
    </w:p>
    <w:p>
      <w:pPr>
        <w:pStyle w:val="282"/>
        <w:keepNext w:val="0"/>
        <w:keepLines w:val="0"/>
        <w:pageBreakBefore w:val="0"/>
        <w:widowControl w:val="0"/>
        <w:kinsoku/>
        <w:wordWrap/>
        <w:overflowPunct/>
        <w:topLinePunct w:val="0"/>
        <w:autoSpaceDE/>
        <w:autoSpaceDN/>
        <w:bidi w:val="0"/>
        <w:adjustRightInd/>
        <w:snapToGrid/>
        <w:spacing w:line="360" w:lineRule="auto"/>
        <w:ind w:left="0" w:right="0" w:firstLine="552" w:firstLineChars="200"/>
        <w:textAlignment w:val="auto"/>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val="en-US" w:eastAsia="zh-CN"/>
        </w:rPr>
        <w:t>（8）维保服务包括五年年检和五年的维保服务费用，由成交供应商负责；</w:t>
      </w:r>
    </w:p>
    <w:p>
      <w:pPr>
        <w:pStyle w:val="282"/>
        <w:keepNext w:val="0"/>
        <w:keepLines w:val="0"/>
        <w:pageBreakBefore w:val="0"/>
        <w:widowControl w:val="0"/>
        <w:kinsoku/>
        <w:wordWrap/>
        <w:overflowPunct/>
        <w:topLinePunct w:val="0"/>
        <w:autoSpaceDE/>
        <w:autoSpaceDN/>
        <w:bidi w:val="0"/>
        <w:adjustRightInd/>
        <w:snapToGrid/>
        <w:spacing w:line="360" w:lineRule="auto"/>
        <w:ind w:left="0" w:right="0" w:firstLine="552" w:firstLineChars="200"/>
        <w:textAlignment w:val="auto"/>
        <w:rPr>
          <w:rFonts w:hint="default"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val="en-US" w:eastAsia="zh-CN"/>
        </w:rPr>
        <w:t>（9）在合同签订前需制造商提供授权书（详见示范格式七）</w:t>
      </w:r>
    </w:p>
    <w:p>
      <w:pPr>
        <w:rPr>
          <w:rFonts w:hint="eastAsia" w:ascii="仿宋" w:hAnsi="仿宋" w:eastAsia="仿宋" w:cs="仿宋"/>
          <w:spacing w:val="-2"/>
          <w:sz w:val="28"/>
          <w:szCs w:val="28"/>
        </w:rPr>
      </w:pPr>
    </w:p>
    <w:p>
      <w:pPr>
        <w:pStyle w:val="38"/>
        <w:rPr>
          <w:rFonts w:hint="eastAsia"/>
        </w:rPr>
      </w:pPr>
    </w:p>
    <w:p>
      <w:pPr>
        <w:pStyle w:val="38"/>
        <w:rPr>
          <w:rFonts w:hint="eastAsia"/>
        </w:rPr>
      </w:pPr>
    </w:p>
    <w:p>
      <w:pPr>
        <w:pStyle w:val="38"/>
        <w:rPr>
          <w:rFonts w:hint="eastAsia"/>
        </w:rPr>
      </w:pPr>
    </w:p>
    <w:p>
      <w:pPr>
        <w:pStyle w:val="38"/>
        <w:rPr>
          <w:rFonts w:hint="eastAsia"/>
        </w:rPr>
      </w:pPr>
    </w:p>
    <w:p>
      <w:pPr>
        <w:pStyle w:val="38"/>
        <w:rPr>
          <w:rFonts w:hint="eastAsia"/>
        </w:rPr>
      </w:pPr>
    </w:p>
    <w:p>
      <w:pPr>
        <w:pStyle w:val="38"/>
        <w:rPr>
          <w:rFonts w:hint="eastAsia"/>
        </w:rPr>
      </w:pPr>
    </w:p>
    <w:p>
      <w:pPr>
        <w:rPr>
          <w:rFonts w:hint="eastAsia"/>
        </w:rPr>
      </w:pPr>
    </w:p>
    <w:p>
      <w:pPr>
        <w:spacing w:before="218" w:line="227" w:lineRule="auto"/>
        <w:ind w:left="17" w:leftChars="0"/>
        <w:outlineLvl w:val="0"/>
        <w:rPr>
          <w:rFonts w:hint="eastAsia" w:ascii="仿宋" w:hAnsi="仿宋" w:eastAsia="仿宋" w:cs="仿宋"/>
          <w:spacing w:val="-3"/>
          <w:sz w:val="28"/>
          <w:szCs w:val="28"/>
        </w:rPr>
      </w:pPr>
      <w:bookmarkStart w:id="1" w:name="_Toc1765"/>
    </w:p>
    <w:p>
      <w:pPr>
        <w:spacing w:before="218" w:line="227" w:lineRule="auto"/>
        <w:ind w:left="17" w:leftChars="0"/>
        <w:outlineLvl w:val="0"/>
        <w:rPr>
          <w:rFonts w:hint="eastAsia" w:ascii="仿宋" w:hAnsi="仿宋" w:eastAsia="仿宋" w:cs="仿宋"/>
          <w:sz w:val="28"/>
          <w:szCs w:val="28"/>
        </w:rPr>
      </w:pPr>
      <w:r>
        <w:rPr>
          <w:rFonts w:hint="eastAsia" w:ascii="仿宋" w:hAnsi="仿宋" w:eastAsia="仿宋" w:cs="仿宋"/>
          <w:spacing w:val="-3"/>
          <w:sz w:val="28"/>
          <w:szCs w:val="28"/>
        </w:rPr>
        <w:t>附件1</w:t>
      </w:r>
      <w:bookmarkEnd w:id="1"/>
    </w:p>
    <w:p>
      <w:pPr>
        <w:spacing w:before="229" w:line="219" w:lineRule="auto"/>
        <w:ind w:left="2010"/>
        <w:rPr>
          <w:rFonts w:hint="eastAsia" w:ascii="仿宋" w:hAnsi="仿宋" w:eastAsia="仿宋" w:cs="仿宋"/>
          <w:sz w:val="28"/>
          <w:szCs w:val="28"/>
        </w:rPr>
      </w:pPr>
      <w:r>
        <w:rPr>
          <w:rFonts w:hint="eastAsia" w:ascii="仿宋" w:hAnsi="仿宋" w:eastAsia="仿宋" w:cs="仿宋"/>
          <w:b/>
          <w:bCs/>
          <w:spacing w:val="-3"/>
          <w:sz w:val="28"/>
          <w:szCs w:val="28"/>
        </w:rPr>
        <w:t>纳入超长期特别国债资金支持的更新电梯专项要求</w:t>
      </w:r>
    </w:p>
    <w:p>
      <w:pPr>
        <w:spacing w:before="232" w:line="220" w:lineRule="auto"/>
        <w:ind w:left="18"/>
        <w:rPr>
          <w:rFonts w:hint="eastAsia" w:ascii="仿宋" w:hAnsi="仿宋" w:eastAsia="仿宋" w:cs="仿宋"/>
          <w:sz w:val="28"/>
          <w:szCs w:val="28"/>
        </w:rPr>
      </w:pPr>
      <w:r>
        <w:rPr>
          <w:rFonts w:hint="eastAsia" w:ascii="仿宋" w:hAnsi="仿宋" w:eastAsia="仿宋" w:cs="仿宋"/>
          <w:b/>
          <w:bCs/>
          <w:spacing w:val="-4"/>
          <w:sz w:val="28"/>
          <w:szCs w:val="28"/>
        </w:rPr>
        <w:t>1.层门、轿门和轿厢</w:t>
      </w:r>
    </w:p>
    <w:p>
      <w:pPr>
        <w:spacing w:before="237" w:line="219" w:lineRule="auto"/>
        <w:ind w:left="447"/>
        <w:rPr>
          <w:rFonts w:hint="eastAsia" w:ascii="仿宋" w:hAnsi="仿宋" w:eastAsia="仿宋" w:cs="仿宋"/>
          <w:sz w:val="28"/>
          <w:szCs w:val="28"/>
        </w:rPr>
      </w:pPr>
      <w:r>
        <w:rPr>
          <w:rFonts w:hint="eastAsia" w:ascii="仿宋" w:hAnsi="仿宋" w:eastAsia="仿宋" w:cs="仿宋"/>
          <w:spacing w:val="-1"/>
          <w:sz w:val="28"/>
          <w:szCs w:val="28"/>
        </w:rPr>
        <w:t>（1）层门和轿门的地坎、轿厢护脚板应当采用金属材料；</w:t>
      </w:r>
    </w:p>
    <w:p>
      <w:pPr>
        <w:spacing w:before="239" w:line="353" w:lineRule="auto"/>
        <w:ind w:left="2" w:right="29" w:firstLine="444"/>
        <w:rPr>
          <w:rFonts w:hint="eastAsia" w:ascii="仿宋" w:hAnsi="仿宋" w:eastAsia="仿宋" w:cs="仿宋"/>
          <w:sz w:val="28"/>
          <w:szCs w:val="28"/>
        </w:rPr>
      </w:pPr>
      <w:r>
        <w:rPr>
          <w:rFonts w:hint="eastAsia" w:ascii="仿宋" w:hAnsi="仿宋" w:eastAsia="仿宋" w:cs="仿宋"/>
          <w:spacing w:val="-3"/>
          <w:sz w:val="28"/>
          <w:szCs w:val="28"/>
        </w:rPr>
        <w:t>（2）更新的金属层门、轿门和轿壁的面板材料</w:t>
      </w:r>
      <w:r>
        <w:rPr>
          <w:rFonts w:hint="eastAsia" w:ascii="仿宋" w:hAnsi="仿宋" w:eastAsia="仿宋" w:cs="仿宋"/>
          <w:spacing w:val="-4"/>
          <w:sz w:val="28"/>
          <w:szCs w:val="28"/>
        </w:rPr>
        <w:t>至少由一层公称厚度不小于1.5mm的单一</w:t>
      </w:r>
      <w:r>
        <w:rPr>
          <w:rFonts w:hint="eastAsia" w:ascii="仿宋" w:hAnsi="仿宋" w:eastAsia="仿宋" w:cs="仿宋"/>
          <w:spacing w:val="-1"/>
          <w:sz w:val="28"/>
          <w:szCs w:val="28"/>
        </w:rPr>
        <w:t>金属板材构成；保留的金属层门，其金属材质面板公称厚度</w:t>
      </w:r>
      <w:r>
        <w:rPr>
          <w:rFonts w:hint="eastAsia" w:ascii="仿宋" w:hAnsi="仿宋" w:eastAsia="仿宋" w:cs="仿宋"/>
          <w:spacing w:val="-2"/>
          <w:sz w:val="28"/>
          <w:szCs w:val="28"/>
        </w:rPr>
        <w:t>不小于1.2mm；保留层门的下部保持装置啮合深度不小于15mm。</w:t>
      </w:r>
    </w:p>
    <w:p>
      <w:pPr>
        <w:spacing w:before="237" w:line="222" w:lineRule="auto"/>
        <w:ind w:left="4"/>
        <w:rPr>
          <w:rFonts w:hint="eastAsia" w:ascii="仿宋" w:hAnsi="仿宋" w:eastAsia="仿宋" w:cs="仿宋"/>
          <w:sz w:val="28"/>
          <w:szCs w:val="28"/>
        </w:rPr>
      </w:pPr>
      <w:r>
        <w:rPr>
          <w:rFonts w:hint="eastAsia" w:ascii="仿宋" w:hAnsi="仿宋" w:eastAsia="仿宋" w:cs="仿宋"/>
          <w:b/>
          <w:bCs/>
          <w:spacing w:val="-9"/>
          <w:sz w:val="28"/>
          <w:szCs w:val="28"/>
        </w:rPr>
        <w:t>2.导轨</w:t>
      </w:r>
    </w:p>
    <w:p>
      <w:pPr>
        <w:spacing w:before="239" w:line="353" w:lineRule="auto"/>
        <w:ind w:left="2" w:right="29" w:firstLine="444"/>
        <w:rPr>
          <w:rFonts w:hint="eastAsia" w:ascii="仿宋" w:hAnsi="仿宋" w:eastAsia="仿宋" w:cs="仿宋"/>
          <w:color w:val="auto"/>
          <w:spacing w:val="-3"/>
          <w:sz w:val="28"/>
          <w:szCs w:val="28"/>
        </w:rPr>
      </w:pPr>
      <w:r>
        <w:rPr>
          <w:rFonts w:hint="eastAsia" w:ascii="仿宋" w:hAnsi="仿宋" w:eastAsia="仿宋" w:cs="仿宋"/>
          <w:color w:val="auto"/>
          <w:spacing w:val="-3"/>
          <w:sz w:val="28"/>
          <w:szCs w:val="28"/>
        </w:rPr>
        <w:t>配置安全钳的更新导轨及其连接板应当符合GB/T22562（含表2至表10）的要求，其中对于额定载重量大于630kg的电梯，其轿厢侧导轨宽度b1应当不小于89mm。</w:t>
      </w:r>
    </w:p>
    <w:p>
      <w:pPr>
        <w:spacing w:before="2" w:line="222" w:lineRule="auto"/>
        <w:ind w:left="6"/>
        <w:rPr>
          <w:rFonts w:hint="eastAsia" w:ascii="仿宋" w:hAnsi="仿宋" w:eastAsia="仿宋" w:cs="仿宋"/>
          <w:sz w:val="28"/>
          <w:szCs w:val="28"/>
        </w:rPr>
      </w:pPr>
      <w:r>
        <w:rPr>
          <w:rFonts w:hint="eastAsia" w:ascii="仿宋" w:hAnsi="仿宋" w:eastAsia="仿宋" w:cs="仿宋"/>
          <w:b/>
          <w:bCs/>
          <w:spacing w:val="-6"/>
          <w:sz w:val="28"/>
          <w:szCs w:val="28"/>
        </w:rPr>
        <w:t>3.悬挂系统</w:t>
      </w:r>
    </w:p>
    <w:p>
      <w:pPr>
        <w:spacing w:before="236" w:line="353" w:lineRule="auto"/>
        <w:ind w:right="27" w:firstLine="446"/>
        <w:rPr>
          <w:rFonts w:hint="eastAsia" w:ascii="仿宋" w:hAnsi="仿宋" w:eastAsia="仿宋" w:cs="仿宋"/>
          <w:sz w:val="28"/>
          <w:szCs w:val="28"/>
        </w:rPr>
      </w:pPr>
      <w:r>
        <w:rPr>
          <w:rFonts w:hint="eastAsia" w:ascii="仿宋" w:hAnsi="仿宋" w:eastAsia="仿宋" w:cs="仿宋"/>
          <w:spacing w:val="-3"/>
          <w:sz w:val="28"/>
          <w:szCs w:val="28"/>
        </w:rPr>
        <w:t>（1）在正常使用条件下，悬挂钢丝绳使用年限不少于10年或者对应电梯</w:t>
      </w:r>
      <w:r>
        <w:rPr>
          <w:rFonts w:hint="eastAsia" w:ascii="仿宋" w:hAnsi="仿宋" w:eastAsia="仿宋" w:cs="仿宋"/>
          <w:spacing w:val="-4"/>
          <w:sz w:val="28"/>
          <w:szCs w:val="28"/>
        </w:rPr>
        <w:t>驱动主机启动</w:t>
      </w:r>
      <w:r>
        <w:rPr>
          <w:rFonts w:hint="eastAsia" w:ascii="仿宋" w:hAnsi="仿宋" w:eastAsia="仿宋" w:cs="仿宋"/>
          <w:spacing w:val="-1"/>
          <w:sz w:val="28"/>
          <w:szCs w:val="28"/>
        </w:rPr>
        <w:t>次数不少于200万次；包覆带使用年限不少于20年或者对应电梯驱动</w:t>
      </w:r>
      <w:r>
        <w:rPr>
          <w:rFonts w:hint="eastAsia" w:ascii="仿宋" w:hAnsi="仿宋" w:eastAsia="仿宋" w:cs="仿宋"/>
          <w:spacing w:val="-2"/>
          <w:sz w:val="28"/>
          <w:szCs w:val="28"/>
        </w:rPr>
        <w:t>主机启动次数不少于</w:t>
      </w:r>
      <w:r>
        <w:rPr>
          <w:rFonts w:hint="eastAsia" w:ascii="仿宋" w:hAnsi="仿宋" w:eastAsia="仿宋" w:cs="仿宋"/>
          <w:spacing w:val="-4"/>
          <w:sz w:val="28"/>
          <w:szCs w:val="28"/>
        </w:rPr>
        <w:t>400万次；</w:t>
      </w:r>
    </w:p>
    <w:p>
      <w:pPr>
        <w:spacing w:before="240" w:line="319" w:lineRule="auto"/>
        <w:ind w:left="1" w:right="60" w:firstLine="445"/>
        <w:rPr>
          <w:rFonts w:hint="eastAsia" w:ascii="仿宋" w:hAnsi="仿宋" w:eastAsia="仿宋" w:cs="仿宋"/>
          <w:sz w:val="28"/>
          <w:szCs w:val="28"/>
        </w:rPr>
      </w:pPr>
      <w:r>
        <w:rPr>
          <w:rFonts w:hint="eastAsia" w:ascii="仿宋" w:hAnsi="仿宋" w:eastAsia="仿宋" w:cs="仿宋"/>
          <w:sz w:val="28"/>
          <w:szCs w:val="28"/>
        </w:rPr>
        <w:t>（2）采用包覆带作为悬挂装置的，应当在控制柜内永</w:t>
      </w:r>
      <w:r>
        <w:rPr>
          <w:rFonts w:hint="eastAsia" w:ascii="仿宋" w:hAnsi="仿宋" w:eastAsia="仿宋" w:cs="仿宋"/>
          <w:spacing w:val="-1"/>
          <w:sz w:val="28"/>
          <w:szCs w:val="28"/>
        </w:rPr>
        <w:t>久性张贴包括防止水、砂尘和润</w:t>
      </w:r>
      <w:r>
        <w:rPr>
          <w:rFonts w:hint="eastAsia" w:ascii="仿宋" w:hAnsi="仿宋" w:eastAsia="仿宋" w:cs="仿宋"/>
          <w:spacing w:val="-2"/>
          <w:sz w:val="28"/>
          <w:szCs w:val="28"/>
        </w:rPr>
        <w:t>滑油等介质影响包覆带曳引能力的日常检查和维护保养要求的标识；</w:t>
      </w:r>
    </w:p>
    <w:p>
      <w:pPr>
        <w:spacing w:before="236" w:line="354" w:lineRule="auto"/>
        <w:ind w:firstLine="447"/>
        <w:rPr>
          <w:rFonts w:hint="eastAsia" w:ascii="仿宋" w:hAnsi="仿宋" w:eastAsia="仿宋" w:cs="仿宋"/>
          <w:sz w:val="28"/>
          <w:szCs w:val="28"/>
        </w:rPr>
      </w:pPr>
      <w:r>
        <w:rPr>
          <w:rFonts w:hint="eastAsia" w:ascii="仿宋" w:hAnsi="仿宋" w:eastAsia="仿宋" w:cs="仿宋"/>
          <w:spacing w:val="-2"/>
          <w:sz w:val="28"/>
          <w:szCs w:val="28"/>
        </w:rPr>
        <w:t>（3）对于采用非1：1悬挂比的电梯，当悬挂装置通过反绳轮与轿厢或者对重连接时，</w:t>
      </w:r>
      <w:r>
        <w:rPr>
          <w:rFonts w:hint="eastAsia" w:ascii="仿宋" w:hAnsi="仿宋" w:eastAsia="仿宋" w:cs="仿宋"/>
          <w:sz w:val="28"/>
          <w:szCs w:val="28"/>
        </w:rPr>
        <w:t>反绳轮及其固定部分应当设置防止轿厢或者对重与悬挂装置脱离或者反</w:t>
      </w:r>
      <w:r>
        <w:rPr>
          <w:rFonts w:hint="eastAsia" w:ascii="仿宋" w:hAnsi="仿宋" w:eastAsia="仿宋" w:cs="仿宋"/>
          <w:spacing w:val="-1"/>
          <w:sz w:val="28"/>
          <w:szCs w:val="28"/>
        </w:rPr>
        <w:t>绳轮坠落的防护装置（需在相应位置设置指示标志</w:t>
      </w:r>
      <w:r>
        <w:rPr>
          <w:rFonts w:hint="eastAsia" w:ascii="仿宋" w:hAnsi="仿宋" w:eastAsia="仿宋" w:cs="仿宋"/>
          <w:spacing w:val="3"/>
          <w:sz w:val="28"/>
          <w:szCs w:val="28"/>
        </w:rPr>
        <w:t>）；</w:t>
      </w:r>
    </w:p>
    <w:p>
      <w:pPr>
        <w:spacing w:before="236" w:line="219" w:lineRule="auto"/>
        <w:ind w:left="447"/>
        <w:rPr>
          <w:rFonts w:hint="eastAsia" w:ascii="仿宋" w:hAnsi="仿宋" w:eastAsia="仿宋" w:cs="仿宋"/>
          <w:sz w:val="28"/>
          <w:szCs w:val="28"/>
        </w:rPr>
      </w:pPr>
      <w:r>
        <w:rPr>
          <w:rFonts w:hint="eastAsia" w:ascii="仿宋" w:hAnsi="仿宋" w:eastAsia="仿宋" w:cs="仿宋"/>
          <w:spacing w:val="-1"/>
          <w:sz w:val="28"/>
          <w:szCs w:val="28"/>
        </w:rPr>
        <w:t>（4）反绳轮应当采用金属材质。</w:t>
      </w:r>
    </w:p>
    <w:p>
      <w:pPr>
        <w:spacing w:before="240" w:line="221" w:lineRule="auto"/>
        <w:rPr>
          <w:rFonts w:hint="eastAsia" w:ascii="仿宋" w:hAnsi="仿宋" w:eastAsia="仿宋" w:cs="仿宋"/>
          <w:color w:val="FF0000"/>
          <w:sz w:val="28"/>
          <w:szCs w:val="28"/>
        </w:rPr>
      </w:pPr>
      <w:r>
        <w:rPr>
          <w:rFonts w:hint="eastAsia" w:ascii="仿宋" w:hAnsi="仿宋" w:eastAsia="仿宋" w:cs="仿宋"/>
          <w:b/>
          <w:bCs/>
          <w:spacing w:val="-3"/>
          <w:sz w:val="28"/>
          <w:szCs w:val="28"/>
        </w:rPr>
        <w:t>4.</w:t>
      </w:r>
      <w:r>
        <w:rPr>
          <w:rFonts w:hint="eastAsia" w:ascii="仿宋" w:hAnsi="仿宋" w:eastAsia="仿宋" w:cs="仿宋"/>
          <w:b/>
          <w:bCs/>
          <w:color w:val="auto"/>
          <w:spacing w:val="-3"/>
          <w:sz w:val="28"/>
          <w:szCs w:val="28"/>
        </w:rPr>
        <w:t>对重块和轿厢配重</w:t>
      </w:r>
    </w:p>
    <w:p>
      <w:pPr>
        <w:spacing w:before="237" w:line="219" w:lineRule="auto"/>
        <w:ind w:left="440"/>
        <w:rPr>
          <w:rFonts w:hint="eastAsia" w:ascii="仿宋" w:hAnsi="仿宋" w:eastAsia="仿宋" w:cs="仿宋"/>
          <w:color w:val="auto"/>
          <w:sz w:val="28"/>
          <w:szCs w:val="28"/>
        </w:rPr>
      </w:pPr>
      <w:r>
        <w:rPr>
          <w:rFonts w:hint="eastAsia" w:ascii="仿宋" w:hAnsi="仿宋" w:eastAsia="仿宋" w:cs="仿宋"/>
          <w:color w:val="auto"/>
          <w:spacing w:val="-1"/>
          <w:sz w:val="28"/>
          <w:szCs w:val="28"/>
        </w:rPr>
        <w:t>对重块和轿厢配重不得使用非金属材质。</w:t>
      </w:r>
    </w:p>
    <w:p>
      <w:pPr>
        <w:spacing w:before="238" w:line="220" w:lineRule="auto"/>
        <w:ind w:left="6"/>
        <w:rPr>
          <w:rFonts w:hint="eastAsia" w:ascii="仿宋" w:hAnsi="仿宋" w:eastAsia="仿宋" w:cs="仿宋"/>
          <w:sz w:val="28"/>
          <w:szCs w:val="28"/>
        </w:rPr>
      </w:pPr>
      <w:r>
        <w:rPr>
          <w:rFonts w:hint="eastAsia" w:ascii="仿宋" w:hAnsi="仿宋" w:eastAsia="仿宋" w:cs="仿宋"/>
          <w:b/>
          <w:bCs/>
          <w:spacing w:val="-7"/>
          <w:sz w:val="28"/>
          <w:szCs w:val="28"/>
        </w:rPr>
        <w:t>5.缓冲器</w:t>
      </w:r>
    </w:p>
    <w:p>
      <w:pPr>
        <w:spacing w:before="202" w:line="219" w:lineRule="auto"/>
        <w:rPr>
          <w:rFonts w:hint="eastAsia"/>
        </w:rPr>
      </w:pPr>
      <w:r>
        <w:rPr>
          <w:rFonts w:hint="eastAsia" w:ascii="仿宋" w:hAnsi="仿宋" w:eastAsia="仿宋" w:cs="仿宋"/>
          <w:spacing w:val="-1"/>
          <w:sz w:val="28"/>
          <w:szCs w:val="28"/>
        </w:rPr>
        <w:t>不得使用非金属材质非线性蓄能型缓冲器。</w:t>
      </w:r>
    </w:p>
    <w:p>
      <w:pPr>
        <w:spacing w:before="218" w:line="227" w:lineRule="auto"/>
        <w:ind w:left="17" w:leftChars="0"/>
        <w:outlineLvl w:val="0"/>
        <w:rPr>
          <w:rFonts w:hint="eastAsia" w:ascii="仿宋" w:hAnsi="仿宋" w:eastAsia="仿宋" w:cs="仿宋"/>
          <w:spacing w:val="-3"/>
          <w:sz w:val="28"/>
          <w:szCs w:val="28"/>
        </w:rPr>
      </w:pPr>
      <w:bookmarkStart w:id="2" w:name="_Toc15407"/>
    </w:p>
    <w:p>
      <w:pPr>
        <w:spacing w:before="218" w:line="227" w:lineRule="auto"/>
        <w:ind w:left="17" w:leftChars="0"/>
        <w:outlineLvl w:val="0"/>
        <w:rPr>
          <w:rFonts w:hint="eastAsia" w:ascii="仿宋" w:hAnsi="仿宋" w:eastAsia="仿宋" w:cs="仿宋"/>
          <w:spacing w:val="-3"/>
          <w:sz w:val="28"/>
          <w:szCs w:val="28"/>
        </w:rPr>
      </w:pPr>
    </w:p>
    <w:p>
      <w:pPr>
        <w:spacing w:before="218" w:line="227" w:lineRule="auto"/>
        <w:ind w:left="17" w:leftChars="0"/>
        <w:outlineLvl w:val="0"/>
        <w:rPr>
          <w:rFonts w:hint="eastAsia" w:ascii="仿宋" w:hAnsi="仿宋" w:eastAsia="仿宋" w:cs="仿宋"/>
          <w:sz w:val="28"/>
          <w:szCs w:val="28"/>
          <w:lang w:val="en-US" w:eastAsia="zh-CN"/>
        </w:rPr>
      </w:pPr>
      <w:r>
        <w:rPr>
          <w:rFonts w:hint="eastAsia" w:ascii="仿宋" w:hAnsi="仿宋" w:eastAsia="仿宋" w:cs="仿宋"/>
          <w:spacing w:val="-3"/>
          <w:sz w:val="28"/>
          <w:szCs w:val="28"/>
        </w:rPr>
        <w:t>附件</w:t>
      </w:r>
      <w:r>
        <w:rPr>
          <w:rFonts w:hint="eastAsia" w:ascii="仿宋" w:hAnsi="仿宋" w:eastAsia="仿宋" w:cs="仿宋"/>
          <w:spacing w:val="-3"/>
          <w:sz w:val="28"/>
          <w:szCs w:val="28"/>
          <w:lang w:val="en-US" w:eastAsia="zh-CN"/>
        </w:rPr>
        <w:t>2</w:t>
      </w:r>
      <w:bookmarkEnd w:id="2"/>
    </w:p>
    <w:p>
      <w:pPr>
        <w:spacing w:before="202" w:line="219" w:lineRule="auto"/>
        <w:ind w:left="1913"/>
        <w:rPr>
          <w:rFonts w:hint="eastAsia" w:ascii="仿宋" w:hAnsi="仿宋" w:eastAsia="仿宋" w:cs="仿宋"/>
          <w:b/>
          <w:bCs/>
          <w:spacing w:val="-2"/>
          <w:sz w:val="28"/>
          <w:szCs w:val="28"/>
        </w:rPr>
      </w:pPr>
    </w:p>
    <w:p>
      <w:pPr>
        <w:spacing w:before="202" w:line="219" w:lineRule="auto"/>
        <w:jc w:val="center"/>
        <w:rPr>
          <w:rFonts w:hint="eastAsia" w:ascii="仿宋" w:hAnsi="仿宋" w:eastAsia="仿宋" w:cs="仿宋"/>
          <w:sz w:val="28"/>
          <w:szCs w:val="28"/>
        </w:rPr>
      </w:pPr>
      <w:r>
        <w:rPr>
          <w:rFonts w:hint="eastAsia" w:ascii="仿宋" w:hAnsi="仿宋" w:eastAsia="仿宋" w:cs="仿宋"/>
          <w:b/>
          <w:bCs/>
          <w:spacing w:val="-2"/>
          <w:sz w:val="28"/>
          <w:szCs w:val="28"/>
        </w:rPr>
        <w:t>纳入超长期特别国债资金支持的更新电梯检验</w:t>
      </w:r>
      <w:r>
        <w:rPr>
          <w:rFonts w:hint="eastAsia" w:ascii="仿宋" w:hAnsi="仿宋" w:eastAsia="仿宋" w:cs="仿宋"/>
          <w:b/>
          <w:bCs/>
          <w:spacing w:val="-3"/>
          <w:sz w:val="28"/>
          <w:szCs w:val="28"/>
        </w:rPr>
        <w:t>附加要求</w:t>
      </w:r>
    </w:p>
    <w:p>
      <w:pPr>
        <w:pStyle w:val="15"/>
        <w:spacing w:line="328" w:lineRule="auto"/>
        <w:rPr>
          <w:rFonts w:hint="eastAsia" w:ascii="仿宋" w:hAnsi="仿宋" w:eastAsia="仿宋" w:cs="仿宋"/>
          <w:sz w:val="28"/>
          <w:szCs w:val="28"/>
        </w:rPr>
      </w:pPr>
    </w:p>
    <w:p>
      <w:pPr>
        <w:pStyle w:val="15"/>
        <w:spacing w:line="329" w:lineRule="auto"/>
        <w:rPr>
          <w:rFonts w:hint="eastAsia" w:ascii="仿宋" w:hAnsi="仿宋" w:eastAsia="仿宋" w:cs="仿宋"/>
          <w:sz w:val="28"/>
          <w:szCs w:val="28"/>
        </w:rPr>
      </w:pPr>
    </w:p>
    <w:p>
      <w:pPr>
        <w:spacing w:before="71" w:line="221" w:lineRule="auto"/>
        <w:ind w:left="17"/>
        <w:rPr>
          <w:rFonts w:hint="eastAsia" w:ascii="仿宋" w:hAnsi="仿宋" w:eastAsia="仿宋" w:cs="仿宋"/>
          <w:sz w:val="28"/>
          <w:szCs w:val="28"/>
        </w:rPr>
      </w:pPr>
      <w:r>
        <w:rPr>
          <w:rFonts w:hint="eastAsia" w:ascii="仿宋" w:hAnsi="仿宋" w:eastAsia="仿宋" w:cs="仿宋"/>
          <w:b/>
          <w:bCs/>
          <w:spacing w:val="-8"/>
          <w:sz w:val="28"/>
          <w:szCs w:val="28"/>
        </w:rPr>
        <w:t>1.制造资料</w:t>
      </w:r>
    </w:p>
    <w:p>
      <w:pPr>
        <w:spacing w:before="236" w:line="219" w:lineRule="auto"/>
        <w:ind w:left="451"/>
        <w:rPr>
          <w:rFonts w:hint="eastAsia" w:ascii="仿宋" w:hAnsi="仿宋" w:eastAsia="仿宋" w:cs="仿宋"/>
          <w:sz w:val="28"/>
          <w:szCs w:val="28"/>
        </w:rPr>
      </w:pPr>
      <w:r>
        <w:rPr>
          <w:rFonts w:hint="eastAsia" w:ascii="仿宋" w:hAnsi="仿宋" w:eastAsia="仿宋" w:cs="仿宋"/>
          <w:spacing w:val="-1"/>
          <w:sz w:val="28"/>
          <w:szCs w:val="28"/>
        </w:rPr>
        <w:t>审查实施更新的电梯制造单位是否提供以下资料：</w:t>
      </w:r>
    </w:p>
    <w:p>
      <w:pPr>
        <w:spacing w:before="240" w:line="219" w:lineRule="auto"/>
        <w:ind w:left="446"/>
        <w:rPr>
          <w:rFonts w:hint="eastAsia" w:ascii="仿宋" w:hAnsi="仿宋" w:eastAsia="仿宋" w:cs="仿宋"/>
          <w:sz w:val="28"/>
          <w:szCs w:val="28"/>
        </w:rPr>
      </w:pPr>
      <w:r>
        <w:rPr>
          <w:rFonts w:hint="eastAsia" w:ascii="仿宋" w:hAnsi="仿宋" w:eastAsia="仿宋" w:cs="仿宋"/>
          <w:sz w:val="28"/>
          <w:szCs w:val="28"/>
        </w:rPr>
        <w:t>（1）更新零部件的配置说明，列明层门与轿厢的地坎、</w:t>
      </w:r>
      <w:r>
        <w:rPr>
          <w:rFonts w:hint="eastAsia" w:ascii="仿宋" w:hAnsi="仿宋" w:eastAsia="仿宋" w:cs="仿宋"/>
          <w:spacing w:val="-1"/>
          <w:sz w:val="28"/>
          <w:szCs w:val="28"/>
        </w:rPr>
        <w:t>轿厢护脚板、层门与轿门面板、</w:t>
      </w:r>
    </w:p>
    <w:p>
      <w:pPr>
        <w:spacing w:before="238" w:line="319" w:lineRule="auto"/>
        <w:rPr>
          <w:rFonts w:hint="eastAsia" w:ascii="仿宋" w:hAnsi="仿宋" w:eastAsia="仿宋" w:cs="仿宋"/>
          <w:sz w:val="28"/>
          <w:szCs w:val="28"/>
        </w:rPr>
      </w:pPr>
      <w:r>
        <w:rPr>
          <w:rFonts w:hint="eastAsia" w:ascii="仿宋" w:hAnsi="仿宋" w:eastAsia="仿宋" w:cs="仿宋"/>
          <w:spacing w:val="-1"/>
          <w:sz w:val="28"/>
          <w:szCs w:val="28"/>
        </w:rPr>
        <w:t>轿厢壁、反绳轮的材料牌号以及对应的标准号，层</w:t>
      </w:r>
      <w:r>
        <w:rPr>
          <w:rFonts w:hint="eastAsia" w:ascii="仿宋" w:hAnsi="仿宋" w:eastAsia="仿宋" w:cs="仿宋"/>
          <w:spacing w:val="-2"/>
          <w:sz w:val="28"/>
          <w:szCs w:val="28"/>
        </w:rPr>
        <w:t>门与轿门面板、轿厢壁的单一材质公称厚度，配置安全钳导轨的型号以及对应的标准号，并且符合附件1中的相应要求；</w:t>
      </w:r>
    </w:p>
    <w:p>
      <w:pPr>
        <w:spacing w:before="240" w:line="319" w:lineRule="auto"/>
        <w:ind w:left="1" w:right="60" w:firstLine="444"/>
        <w:rPr>
          <w:rFonts w:hint="eastAsia" w:ascii="仿宋" w:hAnsi="仿宋" w:eastAsia="仿宋" w:cs="仿宋"/>
          <w:sz w:val="28"/>
          <w:szCs w:val="28"/>
        </w:rPr>
      </w:pPr>
      <w:r>
        <w:rPr>
          <w:rFonts w:hint="eastAsia" w:ascii="仿宋" w:hAnsi="仿宋" w:eastAsia="仿宋" w:cs="仿宋"/>
          <w:spacing w:val="-2"/>
          <w:sz w:val="28"/>
          <w:szCs w:val="28"/>
        </w:rPr>
        <w:t>（2）保留部件的清单及其符合设计要求的声明。对保留原有电梯层门的，制造单</w:t>
      </w:r>
      <w:r>
        <w:rPr>
          <w:rFonts w:hint="eastAsia" w:ascii="仿宋" w:hAnsi="仿宋" w:eastAsia="仿宋" w:cs="仿宋"/>
          <w:spacing w:val="-3"/>
          <w:sz w:val="28"/>
          <w:szCs w:val="28"/>
        </w:rPr>
        <w:t>位可不</w:t>
      </w:r>
      <w:r>
        <w:rPr>
          <w:rFonts w:hint="eastAsia" w:ascii="仿宋" w:hAnsi="仿宋" w:eastAsia="仿宋" w:cs="仿宋"/>
          <w:spacing w:val="-1"/>
          <w:sz w:val="28"/>
          <w:szCs w:val="28"/>
        </w:rPr>
        <w:t>提供层门和对应门锁的型式试验证书；</w:t>
      </w:r>
    </w:p>
    <w:p>
      <w:pPr>
        <w:spacing w:before="237" w:line="370" w:lineRule="auto"/>
        <w:ind w:right="58" w:firstLine="446"/>
        <w:rPr>
          <w:rFonts w:hint="eastAsia" w:ascii="仿宋" w:hAnsi="仿宋" w:eastAsia="仿宋" w:cs="仿宋"/>
          <w:sz w:val="28"/>
          <w:szCs w:val="28"/>
        </w:rPr>
      </w:pPr>
      <w:r>
        <w:rPr>
          <w:rFonts w:hint="eastAsia" w:ascii="仿宋" w:hAnsi="仿宋" w:eastAsia="仿宋" w:cs="仿宋"/>
          <w:sz w:val="28"/>
          <w:szCs w:val="28"/>
        </w:rPr>
        <w:t>（3）悬挂装置寿命声明，其内容至少包括：在正常使</w:t>
      </w:r>
      <w:r>
        <w:rPr>
          <w:rFonts w:hint="eastAsia" w:ascii="仿宋" w:hAnsi="仿宋" w:eastAsia="仿宋" w:cs="仿宋"/>
          <w:spacing w:val="-1"/>
          <w:sz w:val="28"/>
          <w:szCs w:val="28"/>
        </w:rPr>
        <w:t>用条件下，悬挂钢丝绳使用年限不</w:t>
      </w:r>
      <w:r>
        <w:rPr>
          <w:rFonts w:hint="eastAsia" w:ascii="仿宋" w:hAnsi="仿宋" w:eastAsia="仿宋" w:cs="仿宋"/>
          <w:sz w:val="28"/>
          <w:szCs w:val="28"/>
        </w:rPr>
        <w:t>少于10年或者电梯驱动主机启动次数不少于200万次，</w:t>
      </w:r>
      <w:r>
        <w:rPr>
          <w:rFonts w:hint="eastAsia" w:ascii="仿宋" w:hAnsi="仿宋" w:eastAsia="仿宋" w:cs="仿宋"/>
          <w:spacing w:val="-1"/>
          <w:sz w:val="28"/>
          <w:szCs w:val="28"/>
        </w:rPr>
        <w:t>包覆带使用年限不少于20年或对应电梯驱动主机启动次数不少于400万次，未到其使用年限或者驱动主机启动次数而达到报废条件时，由制造单位予以免费更换。</w:t>
      </w:r>
    </w:p>
    <w:p>
      <w:pPr>
        <w:spacing w:before="239" w:line="220" w:lineRule="auto"/>
        <w:ind w:left="3"/>
        <w:rPr>
          <w:rFonts w:hint="eastAsia" w:ascii="仿宋" w:hAnsi="仿宋" w:eastAsia="仿宋" w:cs="仿宋"/>
          <w:sz w:val="28"/>
          <w:szCs w:val="28"/>
        </w:rPr>
      </w:pPr>
      <w:r>
        <w:rPr>
          <w:rFonts w:hint="eastAsia" w:ascii="仿宋" w:hAnsi="仿宋" w:eastAsia="仿宋" w:cs="仿宋"/>
          <w:b/>
          <w:bCs/>
          <w:spacing w:val="-7"/>
          <w:sz w:val="28"/>
          <w:szCs w:val="28"/>
        </w:rPr>
        <w:t>2.缓冲器</w:t>
      </w:r>
    </w:p>
    <w:p>
      <w:pPr>
        <w:spacing w:before="237" w:line="219" w:lineRule="auto"/>
        <w:ind w:left="440"/>
        <w:rPr>
          <w:rFonts w:hint="eastAsia" w:ascii="仿宋" w:hAnsi="仿宋" w:eastAsia="仿宋" w:cs="仿宋"/>
          <w:sz w:val="28"/>
          <w:szCs w:val="28"/>
        </w:rPr>
      </w:pPr>
      <w:r>
        <w:rPr>
          <w:rFonts w:hint="eastAsia" w:ascii="仿宋" w:hAnsi="仿宋" w:eastAsia="仿宋" w:cs="仿宋"/>
          <w:spacing w:val="-1"/>
          <w:sz w:val="28"/>
          <w:szCs w:val="28"/>
        </w:rPr>
        <w:t>检查是否采用非金属材质非线性蓄能型缓冲器。</w:t>
      </w:r>
    </w:p>
    <w:p>
      <w:pPr>
        <w:spacing w:before="237" w:line="222" w:lineRule="auto"/>
        <w:ind w:left="5"/>
        <w:rPr>
          <w:rFonts w:hint="eastAsia" w:ascii="仿宋" w:hAnsi="仿宋" w:eastAsia="仿宋" w:cs="仿宋"/>
          <w:sz w:val="28"/>
          <w:szCs w:val="28"/>
        </w:rPr>
      </w:pPr>
      <w:r>
        <w:rPr>
          <w:rFonts w:hint="eastAsia" w:ascii="仿宋" w:hAnsi="仿宋" w:eastAsia="仿宋" w:cs="仿宋"/>
          <w:b/>
          <w:bCs/>
          <w:spacing w:val="-9"/>
          <w:sz w:val="28"/>
          <w:szCs w:val="28"/>
        </w:rPr>
        <w:t>3.导轨</w:t>
      </w:r>
    </w:p>
    <w:p>
      <w:pPr>
        <w:spacing w:before="238" w:line="419" w:lineRule="auto"/>
        <w:ind w:left="4" w:right="58" w:firstLine="434"/>
        <w:rPr>
          <w:rFonts w:hint="eastAsia" w:ascii="仿宋" w:hAnsi="仿宋" w:eastAsia="仿宋" w:cs="仿宋"/>
          <w:sz w:val="28"/>
          <w:szCs w:val="28"/>
        </w:rPr>
      </w:pPr>
      <w:r>
        <w:rPr>
          <w:rFonts w:hint="eastAsia" w:ascii="仿宋" w:hAnsi="仿宋" w:eastAsia="仿宋" w:cs="仿宋"/>
          <w:spacing w:val="2"/>
          <w:sz w:val="28"/>
          <w:szCs w:val="28"/>
        </w:rPr>
        <w:t>对于额定载重量大于630</w:t>
      </w:r>
      <w:r>
        <w:rPr>
          <w:rFonts w:hint="eastAsia" w:ascii="仿宋" w:hAnsi="仿宋" w:eastAsia="仿宋" w:cs="仿宋"/>
          <w:sz w:val="28"/>
          <w:szCs w:val="28"/>
        </w:rPr>
        <w:t>kg</w:t>
      </w:r>
      <w:r>
        <w:rPr>
          <w:rFonts w:hint="eastAsia" w:ascii="仿宋" w:hAnsi="仿宋" w:eastAsia="仿宋" w:cs="仿宋"/>
          <w:spacing w:val="2"/>
          <w:sz w:val="28"/>
          <w:szCs w:val="28"/>
        </w:rPr>
        <w:t>的电梯，检查其轿厢侧更</w:t>
      </w:r>
      <w:r>
        <w:rPr>
          <w:rFonts w:hint="eastAsia" w:ascii="仿宋" w:hAnsi="仿宋" w:eastAsia="仿宋" w:cs="仿宋"/>
          <w:spacing w:val="1"/>
          <w:sz w:val="28"/>
          <w:szCs w:val="28"/>
        </w:rPr>
        <w:t>新导轨宽度b1（见</w:t>
      </w:r>
      <w:r>
        <w:rPr>
          <w:rFonts w:hint="eastAsia" w:ascii="仿宋" w:hAnsi="仿宋" w:eastAsia="仿宋" w:cs="仿宋"/>
          <w:sz w:val="28"/>
          <w:szCs w:val="28"/>
        </w:rPr>
        <w:t>GB</w:t>
      </w:r>
      <w:r>
        <w:rPr>
          <w:rFonts w:hint="eastAsia" w:ascii="仿宋" w:hAnsi="仿宋" w:eastAsia="仿宋" w:cs="仿宋"/>
          <w:spacing w:val="1"/>
          <w:sz w:val="28"/>
          <w:szCs w:val="28"/>
        </w:rPr>
        <w:t>/T22562）是否</w:t>
      </w:r>
      <w:r>
        <w:rPr>
          <w:rFonts w:hint="eastAsia" w:ascii="仿宋" w:hAnsi="仿宋" w:eastAsia="仿宋" w:cs="仿宋"/>
          <w:spacing w:val="-2"/>
          <w:sz w:val="28"/>
          <w:szCs w:val="28"/>
        </w:rPr>
        <w:t>不小于89mm。</w:t>
      </w:r>
    </w:p>
    <w:p>
      <w:pPr>
        <w:spacing w:line="220" w:lineRule="auto"/>
        <w:rPr>
          <w:rFonts w:hint="eastAsia" w:ascii="仿宋" w:hAnsi="仿宋" w:eastAsia="仿宋" w:cs="仿宋"/>
          <w:sz w:val="28"/>
          <w:szCs w:val="28"/>
        </w:rPr>
      </w:pPr>
      <w:r>
        <w:rPr>
          <w:rFonts w:hint="eastAsia" w:ascii="仿宋" w:hAnsi="仿宋" w:eastAsia="仿宋" w:cs="仿宋"/>
          <w:b/>
          <w:bCs/>
          <w:spacing w:val="-3"/>
          <w:sz w:val="28"/>
          <w:szCs w:val="28"/>
        </w:rPr>
        <w:t>4.包覆带标识</w:t>
      </w:r>
    </w:p>
    <w:p>
      <w:pPr>
        <w:spacing w:before="239" w:line="419" w:lineRule="auto"/>
        <w:ind w:left="1" w:right="168" w:firstLine="437"/>
        <w:rPr>
          <w:rFonts w:hint="eastAsia" w:ascii="仿宋" w:hAnsi="仿宋" w:eastAsia="仿宋" w:cs="仿宋"/>
          <w:sz w:val="28"/>
          <w:szCs w:val="28"/>
        </w:rPr>
      </w:pPr>
      <w:r>
        <w:rPr>
          <w:rFonts w:hint="eastAsia" w:ascii="仿宋" w:hAnsi="仿宋" w:eastAsia="仿宋" w:cs="仿宋"/>
          <w:sz w:val="28"/>
          <w:szCs w:val="28"/>
        </w:rPr>
        <w:t>对于采用包覆带作为悬挂装置的电梯，检查控制柜内是否设有永久性</w:t>
      </w:r>
      <w:r>
        <w:rPr>
          <w:rFonts w:hint="eastAsia" w:ascii="仿宋" w:hAnsi="仿宋" w:eastAsia="仿宋" w:cs="仿宋"/>
          <w:spacing w:val="-1"/>
          <w:sz w:val="28"/>
          <w:szCs w:val="28"/>
        </w:rPr>
        <w:t>的标识，标明包括防</w:t>
      </w:r>
      <w:r>
        <w:rPr>
          <w:rFonts w:hint="eastAsia" w:ascii="仿宋" w:hAnsi="仿宋" w:eastAsia="仿宋" w:cs="仿宋"/>
          <w:sz w:val="28"/>
          <w:szCs w:val="28"/>
        </w:rPr>
        <w:t>止水、砂尘和润滑油等介质影响包覆带曳引能力的日常检查</w:t>
      </w:r>
      <w:r>
        <w:rPr>
          <w:rFonts w:hint="eastAsia" w:ascii="仿宋" w:hAnsi="仿宋" w:eastAsia="仿宋" w:cs="仿宋"/>
          <w:spacing w:val="-1"/>
          <w:sz w:val="28"/>
          <w:szCs w:val="28"/>
        </w:rPr>
        <w:t>和维护保养要求的内容。</w:t>
      </w:r>
    </w:p>
    <w:p>
      <w:pPr>
        <w:spacing w:before="1" w:line="220" w:lineRule="auto"/>
        <w:ind w:left="5"/>
        <w:rPr>
          <w:rFonts w:hint="eastAsia" w:ascii="仿宋" w:hAnsi="仿宋" w:eastAsia="仿宋" w:cs="仿宋"/>
          <w:sz w:val="28"/>
          <w:szCs w:val="28"/>
        </w:rPr>
      </w:pPr>
      <w:r>
        <w:rPr>
          <w:rFonts w:hint="eastAsia" w:ascii="仿宋" w:hAnsi="仿宋" w:eastAsia="仿宋" w:cs="仿宋"/>
          <w:b/>
          <w:bCs/>
          <w:spacing w:val="-3"/>
          <w:sz w:val="28"/>
          <w:szCs w:val="28"/>
        </w:rPr>
        <w:t>5.反绳轮及其防护装置</w:t>
      </w:r>
    </w:p>
    <w:p>
      <w:pPr>
        <w:spacing w:before="239" w:line="219" w:lineRule="auto"/>
        <w:ind w:left="446"/>
        <w:rPr>
          <w:rFonts w:hint="eastAsia" w:ascii="仿宋" w:hAnsi="仿宋" w:eastAsia="仿宋" w:cs="仿宋"/>
          <w:sz w:val="28"/>
          <w:szCs w:val="28"/>
        </w:rPr>
      </w:pPr>
      <w:r>
        <w:rPr>
          <w:rFonts w:hint="eastAsia" w:ascii="仿宋" w:hAnsi="仿宋" w:eastAsia="仿宋" w:cs="仿宋"/>
          <w:spacing w:val="-1"/>
          <w:sz w:val="28"/>
          <w:szCs w:val="28"/>
        </w:rPr>
        <w:t>（1）检查反绳轮是否为金属材质；</w:t>
      </w:r>
    </w:p>
    <w:p>
      <w:pPr>
        <w:spacing w:before="237" w:line="320" w:lineRule="auto"/>
        <w:ind w:right="60" w:firstLine="445"/>
        <w:rPr>
          <w:rFonts w:hint="eastAsia" w:ascii="仿宋" w:hAnsi="仿宋" w:eastAsia="仿宋" w:cs="仿宋"/>
          <w:sz w:val="28"/>
          <w:szCs w:val="28"/>
        </w:rPr>
      </w:pPr>
      <w:r>
        <w:rPr>
          <w:rFonts w:hint="eastAsia" w:ascii="仿宋" w:hAnsi="仿宋" w:eastAsia="仿宋" w:cs="仿宋"/>
          <w:sz w:val="28"/>
          <w:szCs w:val="28"/>
        </w:rPr>
        <w:t>（2）检查是否设置防止轿厢或者对重与悬挂装置</w:t>
      </w:r>
      <w:r>
        <w:rPr>
          <w:rFonts w:hint="eastAsia" w:ascii="仿宋" w:hAnsi="仿宋" w:eastAsia="仿宋" w:cs="仿宋"/>
          <w:spacing w:val="-1"/>
          <w:sz w:val="28"/>
          <w:szCs w:val="28"/>
        </w:rPr>
        <w:t>脱离或者反绳轮坠落的防护装置，该装置相应位置上是否设置指示标志。</w:t>
      </w:r>
    </w:p>
    <w:p>
      <w:pPr>
        <w:spacing w:before="239" w:line="221" w:lineRule="auto"/>
        <w:ind w:left="2"/>
        <w:rPr>
          <w:rFonts w:hint="eastAsia" w:ascii="仿宋" w:hAnsi="仿宋" w:eastAsia="仿宋" w:cs="仿宋"/>
          <w:sz w:val="28"/>
          <w:szCs w:val="28"/>
        </w:rPr>
      </w:pPr>
      <w:r>
        <w:rPr>
          <w:rFonts w:hint="eastAsia" w:ascii="仿宋" w:hAnsi="仿宋" w:eastAsia="仿宋" w:cs="仿宋"/>
          <w:b/>
          <w:bCs/>
          <w:spacing w:val="-3"/>
          <w:sz w:val="28"/>
          <w:szCs w:val="28"/>
        </w:rPr>
        <w:t>6.对重块、轿厢配重块</w:t>
      </w:r>
    </w:p>
    <w:p>
      <w:pPr>
        <w:pStyle w:val="15"/>
        <w:spacing w:line="290" w:lineRule="auto"/>
        <w:rPr>
          <w:rFonts w:hint="eastAsia" w:ascii="仿宋" w:hAnsi="仿宋" w:eastAsia="仿宋" w:cs="仿宋"/>
          <w:sz w:val="28"/>
          <w:szCs w:val="28"/>
        </w:rPr>
      </w:pPr>
      <w:r>
        <w:rPr>
          <w:rFonts w:hint="eastAsia" w:ascii="仿宋" w:hAnsi="仿宋" w:eastAsia="仿宋" w:cs="仿宋"/>
          <w:spacing w:val="-1"/>
          <w:sz w:val="28"/>
          <w:szCs w:val="28"/>
        </w:rPr>
        <w:t>检查对重块、轿厢配重块（如果有）是否为金属材质。</w:t>
      </w:r>
    </w:p>
    <w:p>
      <w:pPr>
        <w:spacing w:before="72" w:line="220" w:lineRule="auto"/>
        <w:ind w:left="5"/>
        <w:rPr>
          <w:rFonts w:hint="eastAsia" w:ascii="仿宋" w:hAnsi="仿宋" w:eastAsia="仿宋" w:cs="仿宋"/>
          <w:sz w:val="28"/>
          <w:szCs w:val="28"/>
        </w:rPr>
      </w:pPr>
      <w:r>
        <w:rPr>
          <w:rFonts w:hint="eastAsia" w:ascii="仿宋" w:hAnsi="仿宋" w:eastAsia="仿宋" w:cs="仿宋"/>
          <w:b/>
          <w:bCs/>
          <w:spacing w:val="-3"/>
          <w:sz w:val="28"/>
          <w:szCs w:val="28"/>
        </w:rPr>
        <w:t>7.层门、轿门和轿厢</w:t>
      </w:r>
    </w:p>
    <w:p>
      <w:pPr>
        <w:spacing w:before="237" w:line="220" w:lineRule="auto"/>
        <w:ind w:left="439"/>
        <w:rPr>
          <w:rFonts w:hint="eastAsia" w:ascii="仿宋" w:hAnsi="仿宋" w:eastAsia="仿宋" w:cs="仿宋"/>
          <w:sz w:val="28"/>
          <w:szCs w:val="28"/>
        </w:rPr>
      </w:pPr>
      <w:r>
        <w:rPr>
          <w:rFonts w:hint="eastAsia" w:ascii="仿宋" w:hAnsi="仿宋" w:eastAsia="仿宋" w:cs="仿宋"/>
          <w:spacing w:val="-1"/>
          <w:sz w:val="28"/>
          <w:szCs w:val="28"/>
        </w:rPr>
        <w:t>检查其是否符合以下要求：</w:t>
      </w:r>
    </w:p>
    <w:p>
      <w:pPr>
        <w:spacing w:before="239" w:line="219" w:lineRule="auto"/>
        <w:ind w:left="445"/>
        <w:rPr>
          <w:rFonts w:hint="eastAsia" w:ascii="仿宋" w:hAnsi="仿宋" w:eastAsia="仿宋" w:cs="仿宋"/>
          <w:sz w:val="28"/>
          <w:szCs w:val="28"/>
        </w:rPr>
      </w:pPr>
      <w:r>
        <w:rPr>
          <w:rFonts w:hint="eastAsia" w:ascii="仿宋" w:hAnsi="仿宋" w:eastAsia="仿宋" w:cs="仿宋"/>
          <w:spacing w:val="-1"/>
          <w:sz w:val="28"/>
          <w:szCs w:val="28"/>
        </w:rPr>
        <w:t>（1）层门和轿门的地坎、轿厢护脚板采用金属材料；</w:t>
      </w:r>
    </w:p>
    <w:p>
      <w:pPr>
        <w:spacing w:before="238" w:line="319" w:lineRule="auto"/>
        <w:ind w:firstLine="445"/>
        <w:rPr>
          <w:rFonts w:hint="eastAsia" w:ascii="仿宋" w:hAnsi="仿宋" w:eastAsia="仿宋" w:cs="仿宋"/>
          <w:sz w:val="28"/>
          <w:szCs w:val="28"/>
        </w:rPr>
      </w:pPr>
      <w:r>
        <w:rPr>
          <w:rFonts w:hint="eastAsia" w:ascii="仿宋" w:hAnsi="仿宋" w:eastAsia="仿宋" w:cs="仿宋"/>
          <w:spacing w:val="-2"/>
          <w:sz w:val="28"/>
          <w:szCs w:val="28"/>
        </w:rPr>
        <w:t>（2）更新的层门、轿门和轿壁的面板材料至少由一层公称厚度不小于1.5mm的单一金属板</w:t>
      </w:r>
      <w:r>
        <w:rPr>
          <w:rFonts w:hint="eastAsia" w:ascii="仿宋" w:hAnsi="仿宋" w:eastAsia="仿宋" w:cs="仿宋"/>
          <w:spacing w:val="-3"/>
          <w:sz w:val="28"/>
          <w:szCs w:val="28"/>
        </w:rPr>
        <w:t>材构成；</w:t>
      </w:r>
    </w:p>
    <w:p>
      <w:pPr>
        <w:spacing w:before="238" w:line="320" w:lineRule="auto"/>
        <w:ind w:right="52" w:firstLine="445"/>
        <w:rPr>
          <w:rFonts w:hint="eastAsia" w:ascii="仿宋" w:hAnsi="仿宋" w:eastAsia="仿宋" w:cs="仿宋"/>
          <w:sz w:val="28"/>
          <w:szCs w:val="28"/>
        </w:rPr>
      </w:pPr>
      <w:r>
        <w:rPr>
          <w:rFonts w:hint="eastAsia" w:ascii="仿宋" w:hAnsi="仿宋" w:eastAsia="仿宋" w:cs="仿宋"/>
          <w:spacing w:val="-1"/>
          <w:sz w:val="28"/>
          <w:szCs w:val="28"/>
        </w:rPr>
        <w:t>（3）对于保留的金属层门，其金属材质面板公称厚度不小于1.2mm；保留层门的下部保持装置啮合深度不小于15mm，相应的保持装置最小啮合深度标记可不做要求。</w:t>
      </w:r>
    </w:p>
    <w:p>
      <w:pPr>
        <w:spacing w:before="236" w:line="221" w:lineRule="auto"/>
        <w:rPr>
          <w:rFonts w:hint="eastAsia" w:ascii="仿宋" w:hAnsi="仿宋" w:eastAsia="仿宋" w:cs="仿宋"/>
          <w:sz w:val="28"/>
          <w:szCs w:val="28"/>
        </w:rPr>
      </w:pPr>
      <w:r>
        <w:rPr>
          <w:rFonts w:hint="eastAsia" w:ascii="仿宋" w:hAnsi="仿宋" w:eastAsia="仿宋" w:cs="仿宋"/>
          <w:b/>
          <w:bCs/>
          <w:spacing w:val="-3"/>
          <w:sz w:val="28"/>
          <w:szCs w:val="28"/>
        </w:rPr>
        <w:t>8.超载运行试验</w:t>
      </w:r>
    </w:p>
    <w:p>
      <w:pPr>
        <w:spacing w:before="239" w:line="421" w:lineRule="auto"/>
        <w:ind w:left="4" w:right="105" w:firstLine="434"/>
        <w:rPr>
          <w:rFonts w:hint="eastAsia" w:ascii="仿宋" w:hAnsi="仿宋" w:eastAsia="仿宋" w:cs="仿宋"/>
          <w:sz w:val="28"/>
          <w:szCs w:val="28"/>
        </w:rPr>
        <w:sectPr>
          <w:headerReference r:id="rId3" w:type="default"/>
          <w:footerReference r:id="rId4" w:type="default"/>
          <w:pgSz w:w="11906" w:h="16840"/>
          <w:pgMar w:top="1440" w:right="1800" w:bottom="1440" w:left="1800" w:header="1128" w:footer="1127" w:gutter="0"/>
          <w:pgBorders>
            <w:top w:val="none" w:sz="0" w:space="0"/>
            <w:left w:val="none" w:sz="0" w:space="0"/>
            <w:bottom w:val="none" w:sz="0" w:space="0"/>
            <w:right w:val="none" w:sz="0" w:space="0"/>
          </w:pgBorders>
          <w:pgNumType w:fmt="decimal" w:start="1"/>
          <w:cols w:space="720" w:num="1"/>
          <w:docGrid w:linePitch="360" w:charSpace="0"/>
        </w:sectPr>
      </w:pPr>
      <w:r>
        <w:rPr>
          <w:rFonts w:hint="eastAsia" w:ascii="仿宋" w:hAnsi="仿宋" w:eastAsia="仿宋" w:cs="仿宋"/>
          <w:sz w:val="28"/>
          <w:szCs w:val="28"/>
        </w:rPr>
        <w:t>轿厢内装载110％额定载重量的载荷，进行启动、全程运行、停止和正</w:t>
      </w:r>
      <w:r>
        <w:rPr>
          <w:rFonts w:hint="eastAsia" w:ascii="仿宋" w:hAnsi="仿宋" w:eastAsia="仿宋" w:cs="仿宋"/>
          <w:spacing w:val="-1"/>
          <w:sz w:val="28"/>
          <w:szCs w:val="28"/>
        </w:rPr>
        <w:t>常开关门连续周期</w:t>
      </w:r>
      <w:r>
        <w:rPr>
          <w:rFonts w:hint="eastAsia" w:ascii="仿宋" w:hAnsi="仿宋" w:eastAsia="仿宋" w:cs="仿宋"/>
          <w:spacing w:val="1"/>
          <w:sz w:val="28"/>
          <w:szCs w:val="28"/>
        </w:rPr>
        <w:t>正常不停顿运行60次，检查电梯是否无故障发生。</w:t>
      </w:r>
    </w:p>
    <w:p>
      <w:pPr>
        <w:suppressLineNumbers w:val="0"/>
        <w:pBdr>
          <w:top w:val="none" w:color="000000" w:sz="0" w:space="0"/>
          <w:left w:val="none" w:color="000000" w:sz="0" w:space="0"/>
          <w:bottom w:val="none" w:color="000000" w:sz="0" w:space="0"/>
          <w:right w:val="none" w:color="000000" w:sz="0" w:space="0"/>
        </w:pBdr>
        <w:spacing w:before="0" w:after="0" w:line="400" w:lineRule="atLeast"/>
        <w:ind w:left="0" w:right="0" w:firstLine="0"/>
        <w:contextualSpacing w:val="0"/>
        <w:jc w:val="center"/>
        <w:rPr>
          <w:rFonts w:ascii="黑体" w:hAnsi="黑体" w:eastAsia="黑体" w:cs="黑体"/>
          <w:b/>
          <w:color w:val="000000" w:themeColor="text1"/>
          <w:sz w:val="36"/>
          <w:highlight w:val="none"/>
          <w14:textFill>
            <w14:solidFill>
              <w14:schemeClr w14:val="tx1"/>
            </w14:solidFill>
          </w14:textFill>
        </w:rPr>
      </w:pPr>
    </w:p>
    <w:p>
      <w:pPr>
        <w:suppressLineNumbers w:val="0"/>
        <w:pBdr>
          <w:top w:val="none" w:color="000000" w:sz="0" w:space="0"/>
          <w:left w:val="none" w:color="000000" w:sz="0" w:space="0"/>
          <w:bottom w:val="none" w:color="000000" w:sz="0" w:space="0"/>
          <w:right w:val="none" w:color="000000" w:sz="0" w:space="0"/>
        </w:pBdr>
        <w:spacing w:before="0" w:after="0" w:line="400" w:lineRule="atLeast"/>
        <w:ind w:left="0" w:right="0" w:firstLine="0"/>
        <w:contextualSpacing w:val="0"/>
        <w:jc w:val="center"/>
        <w:rPr>
          <w:color w:val="000000" w:themeColor="text1"/>
          <w:highlight w:val="none"/>
          <w14:textFill>
            <w14:solidFill>
              <w14:schemeClr w14:val="tx1"/>
            </w14:solidFill>
          </w14:textFill>
        </w:rPr>
      </w:pPr>
      <w:r>
        <w:rPr>
          <w:rFonts w:ascii="黑体" w:hAnsi="黑体" w:eastAsia="黑体" w:cs="黑体"/>
          <w:b/>
          <w:color w:val="000000" w:themeColor="text1"/>
          <w:sz w:val="36"/>
          <w:highlight w:val="none"/>
          <w14:textFill>
            <w14:solidFill>
              <w14:schemeClr w14:val="tx1"/>
            </w14:solidFill>
          </w14:textFill>
        </w:rPr>
        <w:t>第六章投标文件</w:t>
      </w:r>
    </w:p>
    <w:p>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黑体" w:hAnsi="黑体" w:eastAsia="黑体" w:cs="黑体"/>
          <w:color w:val="000000" w:themeColor="text1"/>
          <w:sz w:val="44"/>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1084"/>
        <w:jc w:val="both"/>
        <w:rPr>
          <w:color w:val="000000" w:themeColor="text1"/>
          <w:highlight w:val="none"/>
          <w14:textFill>
            <w14:solidFill>
              <w14:schemeClr w14:val="tx1"/>
            </w14:solidFill>
          </w14:textFill>
        </w:rPr>
      </w:pPr>
      <w:r>
        <w:rPr>
          <w:rFonts w:ascii="黑体" w:hAnsi="黑体" w:eastAsia="黑体" w:cs="黑体"/>
          <w:b/>
          <w:color w:val="000000" w:themeColor="text1"/>
          <w:sz w:val="36"/>
          <w:highlight w:val="none"/>
          <w14:textFill>
            <w14:solidFill>
              <w14:schemeClr w14:val="tx1"/>
            </w14:solidFill>
          </w14:textFill>
        </w:rPr>
        <w:t>项 目 名 称:</w:t>
      </w:r>
    </w:p>
    <w:p>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黑体" w:hAnsi="黑体" w:eastAsia="黑体" w:cs="黑体"/>
          <w:b/>
          <w:color w:val="000000" w:themeColor="text1"/>
          <w:sz w:val="36"/>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ind w:left="0" w:right="0" w:firstLine="1066"/>
        <w:jc w:val="both"/>
        <w:rPr>
          <w:color w:val="000000" w:themeColor="text1"/>
          <w:highlight w:val="none"/>
          <w14:textFill>
            <w14:solidFill>
              <w14:schemeClr w14:val="tx1"/>
            </w14:solidFill>
          </w14:textFill>
        </w:rPr>
      </w:pPr>
      <w:r>
        <w:rPr>
          <w:rFonts w:ascii="黑体" w:hAnsi="黑体" w:eastAsia="黑体" w:cs="黑体"/>
          <w:b/>
          <w:color w:val="000000" w:themeColor="text1"/>
          <w:sz w:val="36"/>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ind w:left="0" w:right="0" w:firstLine="1066"/>
        <w:jc w:val="both"/>
        <w:rPr>
          <w:color w:val="000000" w:themeColor="text1"/>
          <w:highlight w:val="none"/>
          <w14:textFill>
            <w14:solidFill>
              <w14:schemeClr w14:val="tx1"/>
            </w14:solidFill>
          </w14:textFill>
        </w:rPr>
      </w:pPr>
      <w:r>
        <w:rPr>
          <w:rFonts w:ascii="黑体" w:hAnsi="黑体" w:eastAsia="黑体" w:cs="黑体"/>
          <w:b/>
          <w:color w:val="000000" w:themeColor="text1"/>
          <w:sz w:val="36"/>
          <w:highlight w:val="none"/>
          <w14:textFill>
            <w14:solidFill>
              <w14:schemeClr w14:val="tx1"/>
            </w14:solidFill>
          </w14:textFill>
        </w:rPr>
        <w:t>招 标 编 号:</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1066"/>
        <w:jc w:val="both"/>
        <w:rPr>
          <w:color w:val="000000" w:themeColor="text1"/>
          <w:highlight w:val="none"/>
          <w14:textFill>
            <w14:solidFill>
              <w14:schemeClr w14:val="tx1"/>
            </w14:solidFill>
          </w14:textFill>
        </w:rPr>
      </w:pPr>
      <w:r>
        <w:rPr>
          <w:rFonts w:ascii="黑体" w:hAnsi="黑体" w:eastAsia="黑体" w:cs="黑体"/>
          <w:b/>
          <w:color w:val="000000" w:themeColor="text1"/>
          <w:sz w:val="36"/>
          <w:highlight w:val="none"/>
          <w14:textFill>
            <w14:solidFill>
              <w14:schemeClr w14:val="tx1"/>
            </w14:solidFill>
          </w14:textFill>
        </w:rPr>
        <w:t>投标人名称:（加盖CA电子公章）</w:t>
      </w:r>
    </w:p>
    <w:p>
      <w:pPr>
        <w:pBdr>
          <w:top w:val="none" w:color="000000" w:sz="0" w:space="0"/>
          <w:left w:val="none" w:color="000000" w:sz="0" w:space="0"/>
          <w:bottom w:val="none" w:color="000000" w:sz="0" w:space="0"/>
          <w:right w:val="none" w:color="000000" w:sz="0" w:space="0"/>
        </w:pBdr>
        <w:spacing w:before="0" w:after="0" w:line="400" w:lineRule="atLeast"/>
        <w:ind w:left="0" w:right="0" w:firstLine="1066"/>
        <w:jc w:val="both"/>
        <w:rPr>
          <w:color w:val="000000" w:themeColor="text1"/>
          <w:highlight w:val="none"/>
          <w14:textFill>
            <w14:solidFill>
              <w14:schemeClr w14:val="tx1"/>
            </w14:solidFill>
          </w14:textFill>
        </w:rPr>
      </w:pPr>
      <w:r>
        <w:rPr>
          <w:rFonts w:ascii="黑体" w:hAnsi="黑体" w:eastAsia="黑体" w:cs="黑体"/>
          <w:b/>
          <w:color w:val="000000" w:themeColor="text1"/>
          <w:sz w:val="36"/>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000000" w:themeColor="text1"/>
          <w:highlight w:val="none"/>
          <w14:textFill>
            <w14:solidFill>
              <w14:schemeClr w14:val="tx1"/>
            </w14:solidFill>
          </w14:textFill>
        </w:rPr>
      </w:pPr>
      <w:r>
        <w:rPr>
          <w:rFonts w:ascii="黑体" w:hAnsi="黑体" w:eastAsia="黑体" w:cs="黑体"/>
          <w:b/>
          <w:color w:val="000000" w:themeColor="text1"/>
          <w:sz w:val="36"/>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000000" w:themeColor="text1"/>
          <w:highlight w:val="none"/>
          <w14:textFill>
            <w14:solidFill>
              <w14:schemeClr w14:val="tx1"/>
            </w14:solidFill>
          </w14:textFill>
        </w:rPr>
      </w:pPr>
      <w:r>
        <w:rPr>
          <w:rFonts w:ascii="黑体" w:hAnsi="黑体" w:eastAsia="黑体" w:cs="黑体"/>
          <w:b/>
          <w:color w:val="000000" w:themeColor="text1"/>
          <w:sz w:val="36"/>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1066"/>
        <w:jc w:val="both"/>
        <w:rPr>
          <w:color w:val="000000" w:themeColor="text1"/>
          <w:highlight w:val="none"/>
          <w14:textFill>
            <w14:solidFill>
              <w14:schemeClr w14:val="tx1"/>
            </w14:solidFill>
          </w14:textFill>
        </w:rPr>
      </w:pPr>
      <w:r>
        <w:rPr>
          <w:rFonts w:ascii="黑体" w:hAnsi="黑体" w:eastAsia="黑体" w:cs="黑体"/>
          <w:b/>
          <w:color w:val="000000" w:themeColor="text1"/>
          <w:sz w:val="36"/>
          <w:highlight w:val="none"/>
          <w14:textFill>
            <w14:solidFill>
              <w14:schemeClr w14:val="tx1"/>
            </w14:solidFill>
          </w14:textFill>
        </w:rPr>
        <w:t>日期：</w:t>
      </w: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center"/>
        <w:rPr>
          <w:color w:val="000000" w:themeColor="text1"/>
          <w:highlight w:val="none"/>
          <w14:textFill>
            <w14:solidFill>
              <w14:schemeClr w14:val="tx1"/>
            </w14:solidFill>
          </w14:textFill>
        </w:rPr>
      </w:pPr>
      <w:r>
        <w:rPr>
          <w:rFonts w:ascii="仿宋" w:hAnsi="仿宋" w:eastAsia="仿宋" w:cs="仿宋"/>
          <w:b/>
          <w:color w:val="000000" w:themeColor="text1"/>
          <w:sz w:val="32"/>
          <w:highlight w:val="none"/>
          <w14:textFill>
            <w14:solidFill>
              <w14:schemeClr w14:val="tx1"/>
            </w14:solidFill>
          </w14:textFill>
        </w:rPr>
        <w:t>一、投标函</w:t>
      </w: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both"/>
        <w:rPr>
          <w:color w:val="000000" w:themeColor="text1"/>
          <w:highlight w:val="none"/>
          <w14:textFill>
            <w14:solidFill>
              <w14:schemeClr w14:val="tx1"/>
            </w14:solidFill>
          </w14:textFill>
        </w:rPr>
      </w:pPr>
      <w:r>
        <w:rPr>
          <w:rFonts w:hint="eastAsia" w:ascii="仿宋" w:hAnsi="仿宋" w:eastAsia="仿宋" w:cs="仿宋"/>
          <w:color w:val="000000" w:themeColor="text1"/>
          <w:sz w:val="28"/>
          <w:highlight w:val="none"/>
          <w:lang w:eastAsia="zh-CN"/>
          <w14:textFill>
            <w14:solidFill>
              <w14:schemeClr w14:val="tx1"/>
            </w14:solidFill>
          </w14:textFill>
        </w:rPr>
        <w:t>盱眙县住房和城乡建设局</w:t>
      </w:r>
      <w:r>
        <w:rPr>
          <w:rFonts w:ascii="仿宋" w:hAnsi="仿宋" w:eastAsia="仿宋" w:cs="仿宋"/>
          <w:color w:val="000000" w:themeColor="text1"/>
          <w:sz w:val="28"/>
          <w:highlight w:val="none"/>
          <w14:textFill>
            <w14:solidFill>
              <w14:schemeClr w14:val="tx1"/>
            </w14:solidFill>
          </w14:textFill>
        </w:rPr>
        <w:t>:</w:t>
      </w:r>
    </w:p>
    <w:p>
      <w:pPr>
        <w:pBdr>
          <w:top w:val="none" w:color="000000" w:sz="0" w:space="0"/>
          <w:left w:val="none" w:color="000000" w:sz="0" w:space="0"/>
          <w:bottom w:val="none" w:color="000000" w:sz="0" w:space="0"/>
          <w:right w:val="none" w:color="000000" w:sz="0" w:space="0"/>
        </w:pBdr>
        <w:spacing w:before="0" w:after="0" w:line="640" w:lineRule="atLeast"/>
        <w:ind w:left="0" w:right="0" w:firstLine="700"/>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关于采购项目（项目编号:          ）招标文件（包括更正公告、如果有的话）收悉，我们经详细审阅和研究，现决定参加投标。同时，正式授权下述签字人</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（姓名和职务）代表</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（投标人单位名称），全权处理本次项目投标的有关事宜。</w:t>
      </w:r>
    </w:p>
    <w:p>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1、我公司没有为本项目提供整体设计、规范编制或者项目管理、监理、检测等服务。</w:t>
      </w:r>
    </w:p>
    <w:p>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2、参加本次采购活动前，我方没有被“信用中国”网站、“中国政府采购网”列入失信被执行人名单、重大税收违法案件当事人名单、政府采购严重违法失信行为记录名单。</w:t>
      </w:r>
    </w:p>
    <w:p>
      <w:pPr>
        <w:pBdr>
          <w:top w:val="none" w:color="000000" w:sz="0" w:space="0"/>
          <w:left w:val="none" w:color="000000" w:sz="0" w:space="0"/>
          <w:bottom w:val="none" w:color="000000" w:sz="0" w:space="0"/>
          <w:right w:val="none" w:color="000000" w:sz="0" w:space="0"/>
        </w:pBdr>
        <w:spacing w:before="0" w:after="0" w:line="640" w:lineRule="atLeast"/>
        <w:ind w:left="0" w:right="0" w:firstLine="560"/>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3、我们接受招标文件的所有的条款和规定。</w:t>
      </w:r>
    </w:p>
    <w:p>
      <w:pPr>
        <w:pBdr>
          <w:top w:val="none" w:color="000000" w:sz="0" w:space="0"/>
          <w:left w:val="none" w:color="000000" w:sz="0" w:space="0"/>
          <w:bottom w:val="none" w:color="000000" w:sz="0" w:space="0"/>
          <w:right w:val="none" w:color="000000" w:sz="0" w:space="0"/>
        </w:pBdr>
        <w:spacing w:before="0" w:after="0" w:line="640" w:lineRule="atLeast"/>
        <w:ind w:left="0" w:right="0" w:firstLine="560"/>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p>
    <w:p>
      <w:pPr>
        <w:pBdr>
          <w:top w:val="none" w:color="000000" w:sz="0" w:space="0"/>
          <w:left w:val="none" w:color="000000" w:sz="0" w:space="0"/>
          <w:bottom w:val="none" w:color="000000" w:sz="0" w:space="0"/>
          <w:right w:val="none" w:color="000000" w:sz="0" w:space="0"/>
        </w:pBdr>
        <w:spacing w:before="0" w:after="0" w:line="640" w:lineRule="atLeast"/>
        <w:ind w:left="0" w:right="0" w:firstLine="560"/>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5、我们理解，你们无义务必须接受投标价最低的投标。同时也理解你们不承担我们本次投标的费用。</w:t>
      </w:r>
    </w:p>
    <w:p>
      <w:pPr>
        <w:pBdr>
          <w:top w:val="none" w:color="000000" w:sz="0" w:space="0"/>
          <w:left w:val="none" w:color="000000" w:sz="0" w:space="0"/>
          <w:bottom w:val="none" w:color="000000" w:sz="0" w:space="0"/>
          <w:right w:val="none" w:color="000000" w:sz="0" w:space="0"/>
        </w:pBdr>
        <w:spacing w:before="0" w:after="0" w:line="640" w:lineRule="atLeast"/>
        <w:ind w:left="0" w:right="0" w:firstLine="560"/>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6、我们同意向贵方提供贵方可能要求的与投标有关的任何证据或资料，并保证所提供的都是真实的、准确的。</w:t>
      </w:r>
    </w:p>
    <w:p>
      <w:pPr>
        <w:pBdr>
          <w:top w:val="none" w:color="000000" w:sz="0" w:space="0"/>
          <w:left w:val="none" w:color="000000" w:sz="0" w:space="0"/>
          <w:bottom w:val="none" w:color="000000" w:sz="0" w:space="0"/>
          <w:right w:val="none" w:color="000000" w:sz="0" w:space="0"/>
        </w:pBdr>
        <w:spacing w:before="0" w:after="0" w:line="640" w:lineRule="atLeast"/>
        <w:ind w:left="0" w:right="0" w:firstLine="560"/>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7、一旦我方中标，我方将根据招标文件的规定，严格履行合同的责任和义务，并保证在按招标文件中规定的时间内供货，并完成项目的施工、调试、交付买方验收、使用。</w:t>
      </w:r>
    </w:p>
    <w:p>
      <w:pPr>
        <w:pBdr>
          <w:top w:val="none" w:color="000000" w:sz="0" w:space="0"/>
          <w:left w:val="none" w:color="000000" w:sz="0" w:space="0"/>
          <w:bottom w:val="none" w:color="000000" w:sz="0" w:space="0"/>
          <w:right w:val="none" w:color="000000" w:sz="0" w:space="0"/>
        </w:pBdr>
        <w:spacing w:before="0" w:after="0" w:line="640" w:lineRule="atLeast"/>
        <w:ind w:left="0" w:right="560" w:firstLine="2940"/>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640" w:lineRule="atLeast"/>
        <w:ind w:left="0" w:right="560" w:firstLine="2940"/>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投标人名称（电子签章）:</w:t>
      </w:r>
      <w:r>
        <w:rPr>
          <w:rFonts w:ascii="仿宋" w:hAnsi="仿宋" w:eastAsia="仿宋" w:cs="仿宋"/>
          <w:color w:val="000000" w:themeColor="text1"/>
          <w:sz w:val="28"/>
          <w:highlight w:val="none"/>
          <w:u w:val="singl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640" w:lineRule="atLeast"/>
        <w:ind w:left="0" w:right="560" w:firstLine="2940"/>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地址:</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邮编:</w:t>
      </w:r>
      <w:r>
        <w:rPr>
          <w:rFonts w:ascii="仿宋" w:hAnsi="仿宋" w:eastAsia="仿宋" w:cs="仿宋"/>
          <w:color w:val="000000" w:themeColor="text1"/>
          <w:sz w:val="28"/>
          <w:highlight w:val="none"/>
          <w:u w:val="singl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640" w:lineRule="atLeast"/>
        <w:ind w:left="0" w:right="560" w:firstLine="420"/>
        <w:jc w:val="center"/>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电话:</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传真:</w:t>
      </w:r>
      <w:r>
        <w:rPr>
          <w:rFonts w:ascii="仿宋" w:hAnsi="仿宋" w:eastAsia="仿宋" w:cs="仿宋"/>
          <w:color w:val="000000" w:themeColor="text1"/>
          <w:sz w:val="28"/>
          <w:highlight w:val="none"/>
          <w:u w:val="singl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640" w:lineRule="atLeast"/>
        <w:ind w:left="0" w:right="560" w:firstLine="420"/>
        <w:jc w:val="center"/>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日期:</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年</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月</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日</w:t>
      </w:r>
    </w:p>
    <w:p>
      <w:pPr>
        <w:pBdr>
          <w:top w:val="none" w:color="000000" w:sz="0" w:space="0"/>
          <w:left w:val="none" w:color="000000" w:sz="0" w:space="0"/>
          <w:bottom w:val="none" w:color="000000" w:sz="0" w:space="0"/>
          <w:right w:val="none" w:color="000000" w:sz="0" w:space="0"/>
        </w:pBdr>
        <w:spacing w:before="19" w:after="0" w:line="439" w:lineRule="atLeast"/>
        <w:ind w:left="0" w:right="0" w:firstLine="3036"/>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pPr>
        <w:pBdr>
          <w:top w:val="none" w:color="000000" w:sz="0" w:space="0"/>
          <w:left w:val="none" w:color="000000" w:sz="0" w:space="0"/>
          <w:bottom w:val="none" w:color="000000" w:sz="0" w:space="0"/>
          <w:right w:val="none" w:color="000000" w:sz="0" w:space="0"/>
        </w:pBdr>
        <w:spacing w:before="19" w:after="0" w:line="439" w:lineRule="atLeast"/>
        <w:ind w:left="0" w:right="0" w:firstLine="3036"/>
        <w:jc w:val="both"/>
        <w:rPr>
          <w:color w:val="000000" w:themeColor="text1"/>
          <w:highlight w:val="none"/>
          <w14:textFill>
            <w14:solidFill>
              <w14:schemeClr w14:val="tx1"/>
            </w14:solidFill>
          </w14:textFill>
        </w:rPr>
      </w:pPr>
      <w:r>
        <w:rPr>
          <w:rFonts w:ascii="仿宋" w:hAnsi="仿宋" w:eastAsia="仿宋" w:cs="仿宋"/>
          <w:b/>
          <w:color w:val="000000" w:themeColor="text1"/>
          <w:sz w:val="32"/>
          <w:highlight w:val="none"/>
          <w14:textFill>
            <w14:solidFill>
              <w14:schemeClr w14:val="tx1"/>
            </w14:solidFill>
          </w14:textFill>
        </w:rPr>
        <w:t>二、开标一览表</w:t>
      </w:r>
    </w:p>
    <w:p>
      <w:pPr>
        <w:pBdr>
          <w:top w:val="none" w:color="000000" w:sz="0" w:space="0"/>
          <w:left w:val="none" w:color="000000" w:sz="0" w:space="0"/>
          <w:bottom w:val="none" w:color="000000" w:sz="0" w:space="0"/>
          <w:right w:val="none" w:color="000000" w:sz="0" w:space="0"/>
        </w:pBdr>
        <w:spacing w:before="19" w:after="0" w:line="439" w:lineRule="atLeast"/>
        <w:ind w:left="0" w:right="0" w:firstLine="3036"/>
        <w:jc w:val="both"/>
        <w:rPr>
          <w:color w:val="000000" w:themeColor="text1"/>
          <w:highlight w:val="none"/>
          <w14:textFill>
            <w14:solidFill>
              <w14:schemeClr w14:val="tx1"/>
            </w14:solidFill>
          </w14:textFill>
        </w:rPr>
      </w:pPr>
      <w:r>
        <w:rPr>
          <w:rFonts w:ascii="仿宋" w:hAnsi="仿宋" w:eastAsia="仿宋" w:cs="仿宋"/>
          <w:b/>
          <w:color w:val="000000" w:themeColor="text1"/>
          <w:sz w:val="32"/>
          <w:highlight w:val="none"/>
          <w14:textFill>
            <w14:solidFill>
              <w14:schemeClr w14:val="tx1"/>
            </w14:solidFill>
          </w14:textFill>
        </w:rPr>
        <w:t> </w:t>
      </w:r>
    </w:p>
    <w:tbl>
      <w:tblPr>
        <w:tblStyle w:val="32"/>
        <w:tblW w:w="846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701"/>
        <w:gridCol w:w="6759"/>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1398" w:hRule="atLeast"/>
        </w:trPr>
        <w:tc>
          <w:tcPr>
            <w:tcW w:w="170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项目名称</w:t>
            </w:r>
          </w:p>
        </w:tc>
        <w:tc>
          <w:tcPr>
            <w:tcW w:w="675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61" w:hRule="atLeast"/>
        </w:trPr>
        <w:tc>
          <w:tcPr>
            <w:tcW w:w="170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72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投标报价</w:t>
            </w:r>
          </w:p>
          <w:p>
            <w:pPr>
              <w:pBdr>
                <w:top w:val="none" w:color="000000" w:sz="0" w:space="0"/>
                <w:left w:val="none" w:color="000000" w:sz="0" w:space="0"/>
                <w:bottom w:val="none" w:color="000000" w:sz="0" w:space="0"/>
                <w:right w:val="none" w:color="000000" w:sz="0" w:space="0"/>
              </w:pBdr>
              <w:spacing w:before="0" w:after="0" w:line="72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总计</w:t>
            </w:r>
          </w:p>
        </w:tc>
        <w:tc>
          <w:tcPr>
            <w:tcW w:w="67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720"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（小写）</w:t>
            </w:r>
            <w:r>
              <w:rPr>
                <w:rFonts w:ascii="宋体" w:hAnsi="宋体" w:eastAsia="宋体" w:cs="宋体"/>
                <w:color w:val="000000" w:themeColor="text1"/>
                <w:sz w:val="28"/>
                <w:highlight w:val="none"/>
                <w14:textFill>
                  <w14:solidFill>
                    <w14:schemeClr w14:val="tx1"/>
                  </w14:solidFill>
                </w14:textFill>
              </w:rPr>
              <w:t>¥</w:t>
            </w:r>
            <w:r>
              <w:rPr>
                <w:rFonts w:ascii="仿宋" w:hAnsi="仿宋" w:eastAsia="仿宋" w:cs="仿宋"/>
                <w:color w:val="000000" w:themeColor="text1"/>
                <w:sz w:val="28"/>
                <w:highlight w:val="none"/>
                <w14:textFill>
                  <w14:solidFill>
                    <w14:schemeClr w14:val="tx1"/>
                  </w14:solidFill>
                </w14:textFill>
              </w:rPr>
              <w:t> </w:t>
            </w:r>
            <w:r>
              <w:rPr>
                <w:rFonts w:ascii="仿宋" w:hAnsi="仿宋" w:eastAsia="仿宋" w:cs="仿宋"/>
                <w:color w:val="000000" w:themeColor="text1"/>
                <w:sz w:val="28"/>
                <w:highlight w:val="none"/>
                <w:u w:val="singl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720"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（大写）人民币</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佰</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拾</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万</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仟</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佰</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拾</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元整</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1273" w:hRule="atLeast"/>
        </w:trPr>
        <w:tc>
          <w:tcPr>
            <w:tcW w:w="170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14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核心品牌</w:t>
            </w:r>
          </w:p>
        </w:tc>
        <w:tc>
          <w:tcPr>
            <w:tcW w:w="67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154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w:t>
            </w:r>
          </w:p>
        </w:tc>
      </w:tr>
    </w:tbl>
    <w:p>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宋体" w:hAnsi="宋体" w:eastAsia="宋体" w:cs="宋体"/>
          <w:b/>
          <w:color w:val="000000" w:themeColor="text1"/>
          <w:sz w:val="32"/>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000000" w:themeColor="text1"/>
          <w:highlight w:val="none"/>
          <w14:textFill>
            <w14:solidFill>
              <w14:schemeClr w14:val="tx1"/>
            </w14:solidFill>
          </w14:textFill>
        </w:rPr>
      </w:pPr>
      <w:r>
        <w:rPr>
          <w:rFonts w:ascii="仿宋" w:hAnsi="仿宋" w:eastAsia="仿宋" w:cs="仿宋"/>
          <w:b/>
          <w:color w:val="000000" w:themeColor="text1"/>
          <w:sz w:val="32"/>
          <w:highlight w:val="none"/>
          <w14:textFill>
            <w14:solidFill>
              <w14:schemeClr w14:val="tx1"/>
            </w14:solidFill>
          </w14:textFill>
        </w:rPr>
        <w:t>三、投标报价明细表</w:t>
      </w:r>
    </w:p>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bl>
      <w:tblPr>
        <w:tblStyle w:val="32"/>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779"/>
        <w:gridCol w:w="1221"/>
        <w:gridCol w:w="819"/>
        <w:gridCol w:w="1163"/>
        <w:gridCol w:w="1049"/>
        <w:gridCol w:w="761"/>
        <w:gridCol w:w="962"/>
        <w:gridCol w:w="991"/>
        <w:gridCol w:w="833"/>
        <w:gridCol w:w="776"/>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544" w:hRule="atLeast"/>
        </w:trPr>
        <w:tc>
          <w:tcPr>
            <w:tcW w:w="77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序号</w:t>
            </w:r>
          </w:p>
        </w:tc>
        <w:tc>
          <w:tcPr>
            <w:tcW w:w="122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产品名称</w:t>
            </w:r>
          </w:p>
        </w:tc>
        <w:tc>
          <w:tcPr>
            <w:tcW w:w="81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品牌</w:t>
            </w:r>
          </w:p>
        </w:tc>
        <w:tc>
          <w:tcPr>
            <w:tcW w:w="116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规格型号</w:t>
            </w:r>
          </w:p>
        </w:tc>
        <w:tc>
          <w:tcPr>
            <w:tcW w:w="104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制造商名称</w:t>
            </w:r>
          </w:p>
        </w:tc>
        <w:tc>
          <w:tcPr>
            <w:tcW w:w="76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tabs>
                <w:tab w:val="left" w:pos="319"/>
              </w:tabs>
              <w:spacing w:before="0" w:after="0" w:line="340" w:lineRule="atLeast"/>
              <w:ind w:left="0" w:right="0" w:firstLine="0"/>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产地</w:t>
            </w:r>
          </w:p>
        </w:tc>
        <w:tc>
          <w:tcPr>
            <w:tcW w:w="96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交付期</w:t>
            </w:r>
          </w:p>
        </w:tc>
        <w:tc>
          <w:tcPr>
            <w:tcW w:w="99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数量</w:t>
            </w:r>
          </w:p>
        </w:tc>
        <w:tc>
          <w:tcPr>
            <w:tcW w:w="83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分项单价</w:t>
            </w:r>
          </w:p>
        </w:tc>
        <w:tc>
          <w:tcPr>
            <w:tcW w:w="77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分项总价</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583" w:hRule="atLeast"/>
        </w:trPr>
        <w:tc>
          <w:tcPr>
            <w:tcW w:w="77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1</w:t>
            </w:r>
          </w:p>
        </w:tc>
        <w:tc>
          <w:tcPr>
            <w:tcW w:w="122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81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16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04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76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96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99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83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7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96" w:hRule="atLeast"/>
        </w:trPr>
        <w:tc>
          <w:tcPr>
            <w:tcW w:w="77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2</w:t>
            </w:r>
          </w:p>
        </w:tc>
        <w:tc>
          <w:tcPr>
            <w:tcW w:w="122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81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16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04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76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96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99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83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7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724" w:hRule="atLeast"/>
        </w:trPr>
        <w:tc>
          <w:tcPr>
            <w:tcW w:w="77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3</w:t>
            </w:r>
          </w:p>
        </w:tc>
        <w:tc>
          <w:tcPr>
            <w:tcW w:w="122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81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16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04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76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96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99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83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7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77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4</w:t>
            </w:r>
          </w:p>
        </w:tc>
        <w:tc>
          <w:tcPr>
            <w:tcW w:w="122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81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16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04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76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96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99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83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7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77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5</w:t>
            </w:r>
          </w:p>
        </w:tc>
        <w:tc>
          <w:tcPr>
            <w:tcW w:w="122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81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16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04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76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96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99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83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7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77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6</w:t>
            </w:r>
          </w:p>
        </w:tc>
        <w:tc>
          <w:tcPr>
            <w:tcW w:w="122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81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16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04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76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96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99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83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7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77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7</w:t>
            </w:r>
          </w:p>
        </w:tc>
        <w:tc>
          <w:tcPr>
            <w:tcW w:w="122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81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16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04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76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96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99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83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7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77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8</w:t>
            </w:r>
          </w:p>
        </w:tc>
        <w:tc>
          <w:tcPr>
            <w:tcW w:w="122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81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16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04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76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96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99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83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7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77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9</w:t>
            </w:r>
          </w:p>
        </w:tc>
        <w:tc>
          <w:tcPr>
            <w:tcW w:w="122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81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16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04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76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96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99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83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7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580" w:hRule="atLeast"/>
        </w:trPr>
        <w:tc>
          <w:tcPr>
            <w:tcW w:w="77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w:t>
            </w:r>
          </w:p>
        </w:tc>
        <w:tc>
          <w:tcPr>
            <w:tcW w:w="122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w:t>
            </w:r>
          </w:p>
        </w:tc>
        <w:tc>
          <w:tcPr>
            <w:tcW w:w="81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16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04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76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96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99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83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7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1030" w:hRule="atLeast"/>
        </w:trPr>
        <w:tc>
          <w:tcPr>
            <w:tcW w:w="9354" w:type="dxa"/>
            <w:gridSpan w:val="10"/>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投标总报价（人民币：元）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1030" w:hRule="atLeast"/>
        </w:trPr>
        <w:tc>
          <w:tcPr>
            <w:tcW w:w="9354" w:type="dxa"/>
            <w:gridSpan w:val="10"/>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340" w:lineRule="atLeast"/>
              <w:ind w:left="0" w:right="0" w:firstLine="0"/>
              <w:rPr>
                <w:rFonts w:ascii="华文仿宋" w:hAnsi="华文仿宋" w:cs="华文仿宋"/>
                <w:color w:val="000000" w:themeColor="text1"/>
                <w:highlight w:val="none"/>
                <w14:textFill>
                  <w14:solidFill>
                    <w14:schemeClr w14:val="tx1"/>
                  </w14:solidFill>
                </w14:textFill>
              </w:rPr>
            </w:pPr>
            <w:r>
              <w:rPr>
                <w:rFonts w:ascii="华文仿宋" w:hAnsi="华文仿宋" w:eastAsia="华文仿宋" w:cs="华文仿宋"/>
                <w:b/>
                <w:color w:val="000000" w:themeColor="text1"/>
                <w:sz w:val="28"/>
                <w:highlight w:val="none"/>
                <w14:textFill>
                  <w14:solidFill>
                    <w14:schemeClr w14:val="tx1"/>
                  </w14:solidFill>
                </w14:textFill>
              </w:rPr>
              <w:t>本采购包中提供的符合本国产品标准的产品成本之和占该采购包提供的全部产品成本之和的比例为</w:t>
            </w:r>
            <w:r>
              <w:rPr>
                <w:rFonts w:ascii="华文仿宋" w:hAnsi="华文仿宋" w:eastAsia="Arial" w:cs="华文仿宋"/>
                <w:b/>
                <w:color w:val="000000" w:themeColor="text1"/>
                <w:sz w:val="28"/>
                <w:highlight w:val="none"/>
                <w:u w:val="single"/>
                <w14:textFill>
                  <w14:solidFill>
                    <w14:schemeClr w14:val="tx1"/>
                  </w14:solidFill>
                </w14:textFill>
              </w:rPr>
              <w:t>      </w:t>
            </w:r>
            <w:r>
              <w:rPr>
                <w:rFonts w:ascii="华文仿宋" w:hAnsi="华文仿宋" w:eastAsia="华文仿宋" w:cs="华文仿宋"/>
                <w:b/>
                <w:color w:val="000000" w:themeColor="text1"/>
                <w:sz w:val="28"/>
                <w:highlight w:val="none"/>
                <w14:textFill>
                  <w14:solidFill>
                    <w14:schemeClr w14:val="tx1"/>
                  </w14:solidFill>
                </w14:textFill>
              </w:rPr>
              <w:t>%。</w:t>
            </w:r>
          </w:p>
        </w:tc>
      </w:tr>
    </w:tbl>
    <w:p>
      <w:pPr>
        <w:pBdr>
          <w:top w:val="none" w:color="000000" w:sz="0" w:space="0"/>
          <w:left w:val="none" w:color="000000" w:sz="0" w:space="0"/>
          <w:bottom w:val="none" w:color="000000" w:sz="0" w:space="0"/>
          <w:right w:val="none" w:color="000000" w:sz="0" w:space="0"/>
        </w:pBdr>
        <w:spacing w:before="0" w:after="0" w:line="439" w:lineRule="atLeast"/>
        <w:ind w:left="0" w:right="0" w:firstLine="411"/>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411"/>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pPr>
        <w:numPr>
          <w:ilvl w:val="0"/>
          <w:numId w:val="6"/>
        </w:numPr>
        <w:pBdr>
          <w:top w:val="none" w:color="000000" w:sz="0" w:space="0"/>
          <w:left w:val="none" w:color="000000" w:sz="0" w:space="0"/>
          <w:bottom w:val="none" w:color="000000" w:sz="0" w:space="0"/>
          <w:right w:val="none" w:color="000000" w:sz="0" w:space="0"/>
        </w:pBdr>
        <w:spacing w:before="0" w:after="0" w:line="439" w:lineRule="atLeast"/>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“投标分项报价表”中“投标总报价”数额应当与“开标一览表”中“投标总报价”数额一致。</w:t>
      </w:r>
    </w:p>
    <w:p>
      <w:pPr>
        <w:numPr>
          <w:ilvl w:val="0"/>
          <w:numId w:val="6"/>
        </w:numPr>
        <w:pBdr>
          <w:top w:val="none" w:color="000000" w:sz="0" w:space="0"/>
          <w:left w:val="none" w:color="000000" w:sz="0" w:space="0"/>
          <w:bottom w:val="none" w:color="000000" w:sz="0" w:space="0"/>
          <w:right w:val="none" w:color="000000" w:sz="0" w:space="0"/>
        </w:pBdr>
        <w:spacing w:before="0" w:after="0" w:line="439" w:lineRule="atLeast"/>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本采购包中含有多种产品时，投标人未填写本采购包中提供的符合本国产品标准的产品成本之和占该采购包提供的全部产品成本之和的比例数值的，或比例数值未达到80%的，将不享受本国产品价格评审优惠。</w:t>
      </w:r>
    </w:p>
    <w:p>
      <w:pPr>
        <w:numPr>
          <w:ilvl w:val="0"/>
          <w:numId w:val="6"/>
        </w:numPr>
        <w:pBdr>
          <w:top w:val="none" w:color="000000" w:sz="0" w:space="0"/>
          <w:left w:val="none" w:color="000000" w:sz="0" w:space="0"/>
          <w:bottom w:val="none" w:color="000000" w:sz="0" w:space="0"/>
          <w:right w:val="none" w:color="000000" w:sz="0" w:space="0"/>
        </w:pBdr>
        <w:spacing w:before="0" w:after="0" w:line="439" w:lineRule="atLeast"/>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投标人需认真填写本报价表，尤其注意规格型号的准确填写。</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color w:val="000000" w:themeColor="text1"/>
          <w:highlight w:val="none"/>
          <w14:textFill>
            <w14:solidFill>
              <w14:schemeClr w14:val="tx1"/>
            </w14:solidFill>
          </w14:textFill>
        </w:rPr>
      </w:pPr>
      <w:r>
        <w:rPr>
          <w:rFonts w:ascii="仿宋" w:hAnsi="仿宋" w:eastAsia="仿宋" w:cs="仿宋"/>
          <w:b/>
          <w:color w:val="000000" w:themeColor="text1"/>
          <w:sz w:val="32"/>
          <w:highlight w:val="none"/>
          <w14:textFill>
            <w14:solidFill>
              <w14:schemeClr w14:val="tx1"/>
            </w14:solidFill>
          </w14:textFill>
        </w:rPr>
        <w:t>四、技术要求响应偏离表</w:t>
      </w:r>
    </w:p>
    <w:tbl>
      <w:tblPr>
        <w:tblStyle w:val="32"/>
        <w:tblW w:w="882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083"/>
        <w:gridCol w:w="3237"/>
        <w:gridCol w:w="2346"/>
        <w:gridCol w:w="1080"/>
        <w:gridCol w:w="1074"/>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773" w:hRule="atLeast"/>
        </w:trPr>
        <w:tc>
          <w:tcPr>
            <w:tcW w:w="1083" w:type="dxa"/>
            <w:tcBorders>
              <w:top w:val="single" w:color="000000" w:sz="8" w:space="0"/>
              <w:left w:val="single" w:color="000000" w:sz="8" w:space="0"/>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序号</w:t>
            </w:r>
          </w:p>
        </w:tc>
        <w:tc>
          <w:tcPr>
            <w:tcW w:w="3237" w:type="dxa"/>
            <w:tcBorders>
              <w:top w:val="single" w:color="000000" w:sz="8" w:space="0"/>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项目采购需求中主要技术</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条款描述</w:t>
            </w:r>
          </w:p>
        </w:tc>
        <w:tc>
          <w:tcPr>
            <w:tcW w:w="2346" w:type="dxa"/>
            <w:tcBorders>
              <w:top w:val="single" w:color="000000" w:sz="8" w:space="0"/>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所投产品规格、型号及相应技术参数描述</w:t>
            </w:r>
          </w:p>
        </w:tc>
        <w:tc>
          <w:tcPr>
            <w:tcW w:w="1080" w:type="dxa"/>
            <w:tcBorders>
              <w:top w:val="single" w:color="000000" w:sz="8" w:space="0"/>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偏离情况</w:t>
            </w:r>
          </w:p>
        </w:tc>
        <w:tc>
          <w:tcPr>
            <w:tcW w:w="1074" w:type="dxa"/>
            <w:tcBorders>
              <w:top w:val="single" w:color="000000" w:sz="8" w:space="0"/>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备注</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773" w:hRule="atLeast"/>
        </w:trPr>
        <w:tc>
          <w:tcPr>
            <w:tcW w:w="1083" w:type="dxa"/>
            <w:tcBorders>
              <w:top w:val="nil"/>
              <w:left w:val="single" w:color="000000" w:sz="8" w:space="0"/>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3237"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2346"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080"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074"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773" w:hRule="atLeast"/>
        </w:trPr>
        <w:tc>
          <w:tcPr>
            <w:tcW w:w="1083" w:type="dxa"/>
            <w:tcBorders>
              <w:top w:val="nil"/>
              <w:left w:val="single" w:color="000000" w:sz="8" w:space="0"/>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3237"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2346"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080"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074"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773" w:hRule="atLeast"/>
        </w:trPr>
        <w:tc>
          <w:tcPr>
            <w:tcW w:w="1083" w:type="dxa"/>
            <w:tcBorders>
              <w:top w:val="nil"/>
              <w:left w:val="single" w:color="000000" w:sz="8" w:space="0"/>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3237"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2346"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080"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074"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773" w:hRule="atLeast"/>
        </w:trPr>
        <w:tc>
          <w:tcPr>
            <w:tcW w:w="1083" w:type="dxa"/>
            <w:tcBorders>
              <w:top w:val="nil"/>
              <w:left w:val="single" w:color="000000" w:sz="8" w:space="0"/>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3237"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2346"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080"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074"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773" w:hRule="atLeast"/>
        </w:trPr>
        <w:tc>
          <w:tcPr>
            <w:tcW w:w="1083" w:type="dxa"/>
            <w:tcBorders>
              <w:top w:val="nil"/>
              <w:left w:val="single" w:color="000000" w:sz="8" w:space="0"/>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3237"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2346"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080"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074"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773" w:hRule="atLeast"/>
        </w:trPr>
        <w:tc>
          <w:tcPr>
            <w:tcW w:w="1083" w:type="dxa"/>
            <w:tcBorders>
              <w:top w:val="nil"/>
              <w:left w:val="single" w:color="000000" w:sz="8" w:space="0"/>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3237"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2346"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080"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074"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773" w:hRule="atLeast"/>
        </w:trPr>
        <w:tc>
          <w:tcPr>
            <w:tcW w:w="1083" w:type="dxa"/>
            <w:tcBorders>
              <w:top w:val="nil"/>
              <w:left w:val="single" w:color="000000" w:sz="8" w:space="0"/>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3237"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2346"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080"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074"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773" w:hRule="atLeast"/>
        </w:trPr>
        <w:tc>
          <w:tcPr>
            <w:tcW w:w="1083" w:type="dxa"/>
            <w:tcBorders>
              <w:top w:val="nil"/>
              <w:left w:val="single" w:color="000000" w:sz="8" w:space="0"/>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3237"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2346"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080"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c>
          <w:tcPr>
            <w:tcW w:w="1074"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w:t>
            </w:r>
          </w:p>
        </w:tc>
      </w:tr>
    </w:tbl>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注:（1）是否偏离用符号“+、=、-”分别表示正偏离、完全响应、负偏离。 </w:t>
      </w:r>
    </w:p>
    <w:p>
      <w:pPr>
        <w:pBdr>
          <w:top w:val="none" w:color="000000" w:sz="0" w:space="0"/>
          <w:left w:val="none" w:color="000000" w:sz="0" w:space="0"/>
          <w:bottom w:val="none" w:color="000000" w:sz="0" w:space="0"/>
          <w:right w:val="none" w:color="000000" w:sz="0" w:space="0"/>
        </w:pBdr>
        <w:spacing w:before="0" w:after="0" w:line="439" w:lineRule="atLeast"/>
        <w:ind w:left="0" w:right="0" w:firstLine="42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投标人必须仔细阅读本招标文件第五章中所有技术规范条款和相关功能要求，并将响应情况及偏离情况逐项填入上表，响应时不得对原有技术规范进行直接复制粘贴及简单表述为完全响应，否则将影响该项得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color w:val="000000" w:themeColor="text1"/>
          <w:highlight w:val="none"/>
          <w14:textFill>
            <w14:solidFill>
              <w14:schemeClr w14:val="tx1"/>
            </w14:solidFill>
          </w14:textFill>
        </w:rPr>
      </w:pPr>
      <w:r>
        <w:rPr>
          <w:rFonts w:ascii="仿宋" w:hAnsi="仿宋" w:eastAsia="仿宋" w:cs="仿宋"/>
          <w:b/>
          <w:color w:val="000000" w:themeColor="text1"/>
          <w:sz w:val="32"/>
          <w:highlight w:val="none"/>
          <w14:textFill>
            <w14:solidFill>
              <w14:schemeClr w14:val="tx1"/>
            </w14:solidFill>
          </w14:textFill>
        </w:rPr>
        <w:t>五、资质审查时投标人必须提供的资格证明文件</w:t>
      </w:r>
    </w:p>
    <w:p>
      <w:pPr>
        <w:pBdr>
          <w:top w:val="none" w:color="000000" w:sz="0" w:space="0"/>
          <w:left w:val="none" w:color="000000" w:sz="0" w:space="0"/>
          <w:bottom w:val="none" w:color="000000" w:sz="0" w:space="0"/>
          <w:right w:val="none" w:color="000000" w:sz="0" w:space="0"/>
        </w:pBdr>
        <w:spacing w:before="0" w:after="0" w:line="519" w:lineRule="atLeast"/>
        <w:ind w:left="0" w:right="0" w:firstLine="551"/>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1、提供下列材料之一:</w:t>
      </w:r>
    </w:p>
    <w:p>
      <w:pPr>
        <w:pBdr>
          <w:top w:val="none" w:color="000000" w:sz="0" w:space="0"/>
          <w:left w:val="none" w:color="000000" w:sz="0" w:space="0"/>
          <w:bottom w:val="none" w:color="000000" w:sz="0" w:space="0"/>
          <w:right w:val="none" w:color="000000" w:sz="0" w:space="0"/>
        </w:pBdr>
        <w:spacing w:before="0" w:after="0" w:line="519" w:lineRule="atLeast"/>
        <w:ind w:left="0" w:right="0" w:firstLine="42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（1）投标人提供法定代表人资格证明（格式详见示范格式一）和法定代表人身份证（加盖CA电子签章）；</w:t>
      </w:r>
    </w:p>
    <w:p>
      <w:pPr>
        <w:pBdr>
          <w:top w:val="none" w:color="000000" w:sz="0" w:space="0"/>
          <w:left w:val="none" w:color="000000" w:sz="0" w:space="0"/>
          <w:bottom w:val="none" w:color="000000" w:sz="0" w:space="0"/>
          <w:right w:val="none" w:color="000000" w:sz="0" w:space="0"/>
        </w:pBdr>
        <w:spacing w:before="0" w:after="0" w:line="519" w:lineRule="atLeast"/>
        <w:ind w:left="0" w:right="0" w:firstLine="42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（2）投标人提供授权委托书（格式详见示范格式二）和受托人身份证（加盖CA电子签章）。</w:t>
      </w:r>
    </w:p>
    <w:p>
      <w:pPr>
        <w:pBdr>
          <w:top w:val="none" w:color="000000" w:sz="0" w:space="0"/>
          <w:left w:val="none" w:color="000000" w:sz="0" w:space="0"/>
          <w:bottom w:val="none" w:color="000000" w:sz="0" w:space="0"/>
          <w:right w:val="none" w:color="000000" w:sz="0" w:space="0"/>
        </w:pBdr>
        <w:spacing w:before="0" w:after="0" w:line="519" w:lineRule="atLeast"/>
        <w:ind w:left="0" w:right="0" w:firstLine="70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2、投标人符合《中华人民共和国政府采购法》第二十二条规定条件的承诺函（格式详见示范格式三）；</w:t>
      </w:r>
    </w:p>
    <w:p>
      <w:pPr>
        <w:pBdr>
          <w:top w:val="none" w:color="000000" w:sz="0" w:space="0"/>
          <w:left w:val="none" w:color="000000" w:sz="0" w:space="0"/>
          <w:bottom w:val="none" w:color="000000" w:sz="0" w:space="0"/>
          <w:right w:val="none" w:color="000000" w:sz="0" w:space="0"/>
        </w:pBdr>
        <w:spacing w:before="0" w:after="0" w:line="519" w:lineRule="atLeast"/>
        <w:ind w:left="0" w:right="0" w:firstLine="70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3、落实政府采购政策需满足的资格要求（提供下列任一项材料即可，非专门面向中小企业或者预留份额的采购项目，本项无需提供）:</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（1）企业声明函（详见示范格式四）；</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（2）《残疾人福利性单位声明函》（详见示范格式五）；</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（3）由省级以上监狱管理局、戒毒管理局（含新疆生产建设兵团）出具的属于监狱企业的证明文件）（加盖出具单位公章的电子件）。</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4、根据本项目的特定资格要求，投标人还须提供下列资料:</w:t>
      </w:r>
    </w:p>
    <w:p>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1、投标人如为电梯制造商，须具有有效期内的特种设备安装改造维修许可证（电梯）资质和特种设备制造许可证资质（电梯）或具有新证《中华人民共和国特种设备生产许可证》。</w:t>
      </w:r>
    </w:p>
    <w:p>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2、投标人为非电梯制造商的，须同时提供：</w:t>
      </w:r>
    </w:p>
    <w:p>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（1）投标人有效期内的特种设备安装改造维修许可证（电梯）资质或新证《中华人民共和国特种设备生产许可证》（含安装、维修）；</w:t>
      </w:r>
    </w:p>
    <w:p>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（2）投标人所投电梯制造商有效期内的特种设备制造许可证资质（电梯）或者新证《中华人民共和国特种设备生产许可证》；</w:t>
      </w:r>
    </w:p>
    <w:p>
      <w:pPr>
        <w:pBdr>
          <w:top w:val="none" w:color="000000" w:sz="0" w:space="0"/>
          <w:left w:val="none" w:color="000000" w:sz="0" w:space="0"/>
          <w:bottom w:val="none" w:color="000000" w:sz="0" w:space="0"/>
          <w:right w:val="none" w:color="000000" w:sz="0" w:space="0"/>
        </w:pBdr>
        <w:spacing w:before="0" w:after="0" w:line="519" w:lineRule="atLeast"/>
        <w:ind w:left="0" w:right="0" w:firstLine="723"/>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pPr>
        <w:pBdr>
          <w:top w:val="none" w:color="000000" w:sz="0" w:space="0"/>
          <w:left w:val="none" w:color="000000" w:sz="0" w:space="0"/>
          <w:bottom w:val="none" w:color="000000" w:sz="0" w:space="0"/>
          <w:right w:val="none" w:color="000000" w:sz="0" w:space="0"/>
        </w:pBdr>
        <w:spacing w:before="0" w:after="0" w:line="519" w:lineRule="atLeast"/>
        <w:ind w:left="0" w:right="0" w:firstLine="723"/>
        <w:jc w:val="center"/>
        <w:rPr>
          <w:color w:val="000000" w:themeColor="text1"/>
          <w:highlight w:val="none"/>
          <w14:textFill>
            <w14:solidFill>
              <w14:schemeClr w14:val="tx1"/>
            </w14:solidFill>
          </w14:textFill>
        </w:rPr>
      </w:pPr>
      <w:r>
        <w:rPr>
          <w:rFonts w:ascii="仿宋" w:hAnsi="仿宋" w:eastAsia="仿宋" w:cs="仿宋"/>
          <w:b/>
          <w:color w:val="000000" w:themeColor="text1"/>
          <w:sz w:val="32"/>
          <w:highlight w:val="none"/>
          <w14:textFill>
            <w14:solidFill>
              <w14:schemeClr w14:val="tx1"/>
            </w14:solidFill>
          </w14:textFill>
        </w:rPr>
        <w:t>六、综合评分时投标人需提供的证明文件</w:t>
      </w:r>
    </w:p>
    <w:p>
      <w:pPr>
        <w:pBdr>
          <w:top w:val="none" w:color="000000" w:sz="0" w:space="0"/>
          <w:left w:val="none" w:color="000000" w:sz="0" w:space="0"/>
          <w:bottom w:val="none" w:color="000000" w:sz="0" w:space="0"/>
          <w:right w:val="none" w:color="000000" w:sz="0" w:space="0"/>
        </w:pBdr>
        <w:spacing w:before="0" w:after="0" w:line="519" w:lineRule="atLeast"/>
        <w:ind w:left="0" w:right="0" w:firstLine="84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（投标人根据第三章评标标准的要求提供相关材料）</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color w:val="000000" w:themeColor="text1"/>
          <w:highlight w:val="none"/>
          <w14:textFill>
            <w14:solidFill>
              <w14:schemeClr w14:val="tx1"/>
            </w14:solidFill>
          </w14:textFill>
        </w:rPr>
      </w:pPr>
      <w:r>
        <w:rPr>
          <w:rFonts w:ascii="仿宋" w:hAnsi="仿宋" w:eastAsia="仿宋" w:cs="仿宋"/>
          <w:b/>
          <w:color w:val="000000" w:themeColor="text1"/>
          <w:sz w:val="32"/>
          <w:highlight w:val="none"/>
          <w14:textFill>
            <w14:solidFill>
              <w14:schemeClr w14:val="tx1"/>
            </w14:solidFill>
          </w14:textFill>
        </w:rPr>
        <w:t>七、示范格式</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color w:val="000000" w:themeColor="text1"/>
          <w:highlight w:val="none"/>
          <w14:textFill>
            <w14:solidFill>
              <w14:schemeClr w14:val="tx1"/>
            </w14:solidFill>
          </w14:textFill>
        </w:rPr>
      </w:pPr>
      <w:r>
        <w:rPr>
          <w:rFonts w:ascii="仿宋" w:hAnsi="仿宋" w:eastAsia="仿宋" w:cs="仿宋"/>
          <w:b/>
          <w:color w:val="000000" w:themeColor="text1"/>
          <w:sz w:val="32"/>
          <w:highlight w:val="none"/>
          <w14:textFill>
            <w14:solidFill>
              <w14:schemeClr w14:val="tx1"/>
            </w14:solidFill>
          </w14:textFill>
        </w:rPr>
        <w:t>示范格式一</w:t>
      </w:r>
    </w:p>
    <w:p>
      <w:pPr>
        <w:pBdr>
          <w:top w:val="none" w:color="000000" w:sz="0" w:space="0"/>
          <w:left w:val="none" w:color="000000" w:sz="0" w:space="0"/>
          <w:bottom w:val="none" w:color="000000" w:sz="0" w:space="0"/>
          <w:right w:val="none" w:color="000000" w:sz="0" w:space="0"/>
        </w:pBdr>
        <w:spacing w:before="0" w:after="0" w:line="439" w:lineRule="atLeast"/>
        <w:ind w:left="0" w:right="0" w:firstLine="2570"/>
        <w:jc w:val="both"/>
        <w:rPr>
          <w:color w:val="000000" w:themeColor="text1"/>
          <w:highlight w:val="none"/>
          <w14:textFill>
            <w14:solidFill>
              <w14:schemeClr w14:val="tx1"/>
            </w14:solidFill>
          </w14:textFill>
        </w:rPr>
      </w:pPr>
      <w:r>
        <w:rPr>
          <w:rFonts w:ascii="仿宋" w:hAnsi="仿宋" w:eastAsia="仿宋" w:cs="仿宋"/>
          <w:b/>
          <w:color w:val="000000" w:themeColor="text1"/>
          <w:sz w:val="32"/>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640" w:lineRule="atLeast"/>
        <w:ind w:left="0" w:right="0" w:firstLine="2891"/>
        <w:jc w:val="both"/>
        <w:rPr>
          <w:color w:val="000000" w:themeColor="text1"/>
          <w:highlight w:val="none"/>
          <w14:textFill>
            <w14:solidFill>
              <w14:schemeClr w14:val="tx1"/>
            </w14:solidFill>
          </w14:textFill>
        </w:rPr>
      </w:pPr>
      <w:r>
        <w:rPr>
          <w:rFonts w:ascii="仿宋" w:hAnsi="仿宋" w:eastAsia="仿宋" w:cs="仿宋"/>
          <w:b/>
          <w:color w:val="000000" w:themeColor="text1"/>
          <w:sz w:val="32"/>
          <w:highlight w:val="none"/>
          <w14:textFill>
            <w14:solidFill>
              <w14:schemeClr w14:val="tx1"/>
            </w14:solidFill>
          </w14:textFill>
        </w:rPr>
        <w:t>法定代表人资格证明</w:t>
      </w: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单位名称:</w:t>
      </w: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地址:</w:t>
      </w: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姓名:     性别:      年龄:      职务:</w:t>
      </w:r>
    </w:p>
    <w:p>
      <w:pPr>
        <w:pBdr>
          <w:top w:val="none" w:color="000000" w:sz="0" w:space="0"/>
          <w:left w:val="none" w:color="000000" w:sz="0" w:space="0"/>
          <w:bottom w:val="none" w:color="000000" w:sz="0" w:space="0"/>
          <w:right w:val="none" w:color="000000" w:sz="0" w:space="0"/>
        </w:pBdr>
        <w:spacing w:before="0" w:after="0" w:line="640" w:lineRule="atLeast"/>
        <w:ind w:left="1"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系</w:t>
      </w:r>
      <w:r>
        <w:rPr>
          <w:rFonts w:ascii="仿宋" w:hAnsi="仿宋" w:eastAsia="仿宋" w:cs="仿宋"/>
          <w:color w:val="000000" w:themeColor="text1"/>
          <w:sz w:val="28"/>
          <w:highlight w:val="none"/>
          <w:u w:val="single"/>
          <w14:textFill>
            <w14:solidFill>
              <w14:schemeClr w14:val="tx1"/>
            </w14:solidFill>
          </w14:textFill>
        </w:rPr>
        <w:t> （投标人单位名称）</w:t>
      </w:r>
      <w:r>
        <w:rPr>
          <w:rFonts w:ascii="仿宋" w:hAnsi="仿宋" w:eastAsia="仿宋" w:cs="仿宋"/>
          <w:color w:val="000000" w:themeColor="text1"/>
          <w:sz w:val="28"/>
          <w:highlight w:val="none"/>
          <w14:textFill>
            <w14:solidFill>
              <w14:schemeClr w14:val="tx1"/>
            </w14:solidFill>
          </w14:textFill>
        </w:rPr>
        <w:t>的法定代表人。为参与</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项目，签署上述项目的投标文件、进行招标、签署合同和处理与之有关的一切事务。</w:t>
      </w:r>
    </w:p>
    <w:p>
      <w:pPr>
        <w:pBdr>
          <w:top w:val="none" w:color="000000" w:sz="0" w:space="0"/>
          <w:left w:val="none" w:color="000000" w:sz="0" w:space="0"/>
          <w:bottom w:val="none" w:color="000000" w:sz="0" w:space="0"/>
          <w:right w:val="none" w:color="000000" w:sz="0" w:space="0"/>
        </w:pBdr>
        <w:spacing w:before="0" w:after="0" w:line="640" w:lineRule="atLeast"/>
        <w:ind w:left="0" w:right="0" w:firstLine="28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640" w:lineRule="atLeast"/>
        <w:ind w:left="0" w:right="0" w:firstLine="28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特此证明。</w:t>
      </w: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投标人:</w:t>
      </w:r>
      <w:r>
        <w:rPr>
          <w:rFonts w:ascii="仿宋" w:hAnsi="仿宋" w:eastAsia="仿宋" w:cs="仿宋"/>
          <w:color w:val="000000" w:themeColor="text1"/>
          <w:sz w:val="28"/>
          <w:highlight w:val="none"/>
          <w:u w:val="single"/>
          <w14:textFill>
            <w14:solidFill>
              <w14:schemeClr w14:val="tx1"/>
            </w14:solidFill>
          </w14:textFill>
        </w:rPr>
        <w:t>    （电子签章）</w:t>
      </w: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日期:</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年 </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月</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日</w:t>
      </w:r>
    </w:p>
    <w:p>
      <w:pPr>
        <w:pBdr>
          <w:top w:val="none" w:color="000000" w:sz="0" w:space="0"/>
          <w:left w:val="none" w:color="000000" w:sz="0" w:space="0"/>
          <w:bottom w:val="none" w:color="000000" w:sz="0" w:space="0"/>
          <w:right w:val="none" w:color="000000" w:sz="0" w:space="0"/>
        </w:pBdr>
        <w:spacing w:before="0" w:after="0" w:line="519" w:lineRule="atLeast"/>
        <w:ind w:left="4760" w:right="560" w:hanging="1820"/>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注:投标人法定代表人参加投标的，必须附法定代表人身份证扫描件加盖投标人电子签章。</w:t>
      </w:r>
    </w:p>
    <w:p>
      <w:pPr>
        <w:pBdr>
          <w:top w:val="none" w:color="000000" w:sz="0" w:space="0"/>
          <w:left w:val="none" w:color="000000" w:sz="0" w:space="0"/>
          <w:bottom w:val="none" w:color="000000" w:sz="0" w:space="0"/>
          <w:right w:val="none" w:color="000000" w:sz="0" w:space="0"/>
        </w:pBdr>
        <w:spacing w:before="0" w:after="0" w:line="640" w:lineRule="atLeast"/>
        <w:ind w:left="-359" w:right="0" w:firstLine="357"/>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pPr>
        <w:pBdr>
          <w:top w:val="none" w:color="000000" w:sz="0" w:space="0"/>
          <w:left w:val="none" w:color="000000" w:sz="0" w:space="0"/>
          <w:bottom w:val="none" w:color="000000" w:sz="0" w:space="0"/>
          <w:right w:val="none" w:color="000000" w:sz="0" w:space="0"/>
        </w:pBdr>
        <w:spacing w:before="0" w:after="0" w:line="640" w:lineRule="atLeast"/>
        <w:ind w:left="-359" w:right="0" w:firstLine="357"/>
        <w:jc w:val="both"/>
        <w:rPr>
          <w:color w:val="000000" w:themeColor="text1"/>
          <w:highlight w:val="none"/>
          <w14:textFill>
            <w14:solidFill>
              <w14:schemeClr w14:val="tx1"/>
            </w14:solidFill>
          </w14:textFill>
        </w:rPr>
      </w:pPr>
      <w:r>
        <w:rPr>
          <w:rFonts w:ascii="仿宋" w:hAnsi="仿宋" w:eastAsia="仿宋" w:cs="仿宋"/>
          <w:b/>
          <w:color w:val="000000" w:themeColor="text1"/>
          <w:sz w:val="32"/>
          <w:highlight w:val="none"/>
          <w14:textFill>
            <w14:solidFill>
              <w14:schemeClr w14:val="tx1"/>
            </w14:solidFill>
          </w14:textFill>
        </w:rPr>
        <w:t>示范格式二</w:t>
      </w:r>
    </w:p>
    <w:p>
      <w:pPr>
        <w:pBdr>
          <w:top w:val="none" w:color="000000" w:sz="0" w:space="0"/>
          <w:left w:val="none" w:color="000000" w:sz="0" w:space="0"/>
          <w:bottom w:val="none" w:color="000000" w:sz="0" w:space="0"/>
          <w:right w:val="none" w:color="000000" w:sz="0" w:space="0"/>
        </w:pBdr>
        <w:spacing w:before="0" w:after="0" w:line="519" w:lineRule="atLeast"/>
        <w:ind w:left="0" w:right="0" w:firstLine="3213"/>
        <w:jc w:val="both"/>
        <w:rPr>
          <w:color w:val="000000" w:themeColor="text1"/>
          <w:highlight w:val="none"/>
          <w14:textFill>
            <w14:solidFill>
              <w14:schemeClr w14:val="tx1"/>
            </w14:solidFill>
          </w14:textFill>
        </w:rPr>
      </w:pPr>
      <w:r>
        <w:rPr>
          <w:rFonts w:ascii="仿宋" w:hAnsi="仿宋" w:eastAsia="仿宋" w:cs="仿宋"/>
          <w:b/>
          <w:color w:val="000000" w:themeColor="text1"/>
          <w:sz w:val="32"/>
          <w:highlight w:val="none"/>
          <w14:textFill>
            <w14:solidFill>
              <w14:schemeClr w14:val="tx1"/>
            </w14:solidFill>
          </w14:textFill>
        </w:rPr>
        <w:t>授权委托书</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30"/>
          <w:highlight w:val="none"/>
          <w14:textFill>
            <w14:solidFill>
              <w14:schemeClr w14:val="tx1"/>
            </w14:solidFill>
          </w14:textFill>
        </w:rPr>
        <w:t>致</w:t>
      </w:r>
      <w:r>
        <w:rPr>
          <w:rFonts w:hint="eastAsia" w:ascii="仿宋" w:hAnsi="仿宋" w:eastAsia="仿宋" w:cs="仿宋"/>
          <w:color w:val="000000" w:themeColor="text1"/>
          <w:sz w:val="30"/>
          <w:highlight w:val="none"/>
          <w:lang w:eastAsia="zh-CN"/>
          <w14:textFill>
            <w14:solidFill>
              <w14:schemeClr w14:val="tx1"/>
            </w14:solidFill>
          </w14:textFill>
        </w:rPr>
        <w:t>盱眙县住房和城乡建设局</w:t>
      </w:r>
      <w:r>
        <w:rPr>
          <w:rFonts w:ascii="仿宋" w:hAnsi="仿宋" w:eastAsia="仿宋" w:cs="仿宋"/>
          <w:color w:val="000000" w:themeColor="text1"/>
          <w:sz w:val="30"/>
          <w:highlight w:val="none"/>
          <w14:textFill>
            <w14:solidFill>
              <w14:schemeClr w14:val="tx1"/>
            </w14:solidFill>
          </w14:textFill>
        </w:rPr>
        <w:t>:</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本授权书宣告:</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委托方:</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地址:</w:t>
      </w:r>
      <w:r>
        <w:rPr>
          <w:rFonts w:ascii="仿宋" w:hAnsi="仿宋" w:eastAsia="仿宋" w:cs="仿宋"/>
          <w:color w:val="000000" w:themeColor="text1"/>
          <w:sz w:val="28"/>
          <w:highlight w:val="none"/>
          <w:u w:val="singl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法定代表人:</w:t>
      </w:r>
      <w:r>
        <w:rPr>
          <w:rFonts w:ascii="仿宋" w:hAnsi="仿宋" w:eastAsia="仿宋" w:cs="仿宋"/>
          <w:color w:val="000000" w:themeColor="text1"/>
          <w:sz w:val="28"/>
          <w:highlight w:val="none"/>
          <w:u w:val="singl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受托人:姓名</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 性别:</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 出生日期:</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年</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月</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日</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所在单位:</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职务:</w:t>
      </w:r>
      <w:r>
        <w:rPr>
          <w:rFonts w:ascii="仿宋" w:hAnsi="仿宋" w:eastAsia="仿宋" w:cs="仿宋"/>
          <w:color w:val="000000" w:themeColor="text1"/>
          <w:sz w:val="28"/>
          <w:highlight w:val="none"/>
          <w:u w:val="singl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身 份 证:</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联系方式:</w:t>
      </w:r>
      <w:r>
        <w:rPr>
          <w:rFonts w:ascii="仿宋" w:hAnsi="仿宋" w:eastAsia="仿宋" w:cs="仿宋"/>
          <w:color w:val="000000" w:themeColor="text1"/>
          <w:sz w:val="28"/>
          <w:highlight w:val="none"/>
          <w:u w:val="singl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兹委托受托人</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代表我公司参加</w:t>
      </w:r>
      <w:r>
        <w:rPr>
          <w:rFonts w:hint="eastAsia" w:ascii="仿宋" w:hAnsi="仿宋" w:eastAsia="仿宋" w:cs="仿宋"/>
          <w:color w:val="000000" w:themeColor="text1"/>
          <w:sz w:val="28"/>
          <w:highlight w:val="none"/>
          <w:lang w:eastAsia="zh-CN"/>
          <w14:textFill>
            <w14:solidFill>
              <w14:schemeClr w14:val="tx1"/>
            </w14:solidFill>
          </w14:textFill>
        </w:rPr>
        <w:t>盱眙县住房和城乡建设局</w:t>
      </w:r>
      <w:r>
        <w:rPr>
          <w:rFonts w:ascii="仿宋" w:hAnsi="仿宋" w:eastAsia="仿宋" w:cs="仿宋"/>
          <w:color w:val="000000" w:themeColor="text1"/>
          <w:sz w:val="28"/>
          <w:highlight w:val="none"/>
          <w14:textFill>
            <w14:solidFill>
              <w14:schemeClr w14:val="tx1"/>
            </w14:solidFill>
          </w14:textFill>
        </w:rPr>
        <w:t>组织的（项目编号:          ）    采购项目的政府采购活动，受托人有权在该招标活动中，以我单位的名义签署投标函和投标文件，与采购中心协商、澄清、解释，签订合同书并执行一切与此有关的事项。</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受托人在办理上述事宜过程中以其自己的名义所签署的所有文件我公司均予以承认。受托人无转委托权。</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委托期限:至上述事宜处理完毕止。</w:t>
      </w:r>
    </w:p>
    <w:p>
      <w:pPr>
        <w:pBdr>
          <w:top w:val="none" w:color="000000" w:sz="0" w:space="0"/>
          <w:left w:val="none" w:color="000000" w:sz="0" w:space="0"/>
          <w:bottom w:val="none" w:color="000000" w:sz="0" w:space="0"/>
          <w:right w:val="none" w:color="000000" w:sz="0" w:space="0"/>
        </w:pBdr>
        <w:spacing w:before="0" w:after="0" w:line="519" w:lineRule="atLeast"/>
        <w:ind w:left="0" w:right="0" w:firstLine="600"/>
        <w:jc w:val="both"/>
        <w:rPr>
          <w:color w:val="000000" w:themeColor="text1"/>
          <w:highlight w:val="none"/>
          <w14:textFill>
            <w14:solidFill>
              <w14:schemeClr w14:val="tx1"/>
            </w14:solidFill>
          </w14:textFill>
        </w:rPr>
      </w:pPr>
      <w:r>
        <w:rPr>
          <w:rFonts w:ascii="仿宋" w:hAnsi="仿宋" w:eastAsia="仿宋" w:cs="仿宋"/>
          <w:b/>
          <w:color w:val="000000" w:themeColor="text1"/>
          <w:sz w:val="28"/>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投标人:</w:t>
      </w:r>
      <w:r>
        <w:rPr>
          <w:rFonts w:ascii="仿宋" w:hAnsi="仿宋" w:eastAsia="仿宋" w:cs="仿宋"/>
          <w:color w:val="000000" w:themeColor="text1"/>
          <w:sz w:val="28"/>
          <w:highlight w:val="none"/>
          <w:u w:val="single"/>
          <w14:textFill>
            <w14:solidFill>
              <w14:schemeClr w14:val="tx1"/>
            </w14:solidFill>
          </w14:textFill>
        </w:rPr>
        <w:t>     （电子签章）</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日期:</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年 </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月</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日</w:t>
      </w:r>
    </w:p>
    <w:p>
      <w:pPr>
        <w:pBdr>
          <w:top w:val="none" w:color="000000" w:sz="0" w:space="0"/>
          <w:left w:val="none" w:color="000000" w:sz="0" w:space="0"/>
          <w:bottom w:val="none" w:color="000000" w:sz="0" w:space="0"/>
          <w:right w:val="none" w:color="000000" w:sz="0" w:space="0"/>
        </w:pBdr>
        <w:spacing w:before="0" w:after="0" w:line="519" w:lineRule="atLeast"/>
        <w:ind w:left="-359" w:right="0" w:firstLine="548"/>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注:投标人委托受托人参加投标的，必须附受托人身份证扫描件加盖投标人电子签章。</w:t>
      </w:r>
    </w:p>
    <w:p>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仿宋" w:hAnsi="仿宋" w:eastAsia="仿宋" w:cs="仿宋"/>
          <w:b/>
          <w:color w:val="000000" w:themeColor="text1"/>
          <w:sz w:val="32"/>
          <w:highlight w:val="none"/>
          <w14:textFill>
            <w14:solidFill>
              <w14:schemeClr w14:val="tx1"/>
            </w14:solidFill>
          </w14:textFill>
        </w:rPr>
        <w:t>示范格式三</w:t>
      </w:r>
    </w:p>
    <w:p>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仿宋" w:hAnsi="仿宋" w:eastAsia="仿宋" w:cs="仿宋"/>
          <w:b/>
          <w:color w:val="000000" w:themeColor="text1"/>
          <w:sz w:val="32"/>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仿宋" w:hAnsi="仿宋" w:eastAsia="仿宋" w:cs="仿宋"/>
          <w:b/>
          <w:color w:val="000000" w:themeColor="text1"/>
          <w:sz w:val="32"/>
          <w:highlight w:val="none"/>
          <w14:textFill>
            <w14:solidFill>
              <w14:schemeClr w14:val="tx1"/>
            </w14:solidFill>
          </w14:textFill>
        </w:rPr>
      </w:pPr>
      <w:r>
        <w:rPr>
          <w:rFonts w:ascii="仿宋" w:hAnsi="仿宋" w:eastAsia="仿宋" w:cs="仿宋"/>
          <w:b/>
          <w:color w:val="000000" w:themeColor="text1"/>
          <w:sz w:val="32"/>
          <w:highlight w:val="none"/>
          <w14:textFill>
            <w14:solidFill>
              <w14:schemeClr w14:val="tx1"/>
            </w14:solidFill>
          </w14:textFill>
        </w:rPr>
        <w:t>符合《中华人民共和国政府采购法》第二十二条规定条件的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color w:val="000000" w:themeColor="text1"/>
          <w:highlight w:val="none"/>
          <w14:textFill>
            <w14:solidFill>
              <w14:schemeClr w14:val="tx1"/>
            </w14:solidFill>
          </w14:textFill>
        </w:rPr>
      </w:pPr>
      <w:r>
        <w:rPr>
          <w:rFonts w:ascii="仿宋" w:hAnsi="仿宋" w:eastAsia="仿宋" w:cs="仿宋"/>
          <w:b/>
          <w:color w:val="000000" w:themeColor="text1"/>
          <w:sz w:val="32"/>
          <w:highlight w:val="none"/>
          <w14:textFill>
            <w14:solidFill>
              <w14:schemeClr w14:val="tx1"/>
            </w14:solidFill>
          </w14:textFill>
        </w:rPr>
        <w:t>声明函</w:t>
      </w:r>
    </w:p>
    <w:p>
      <w:pPr>
        <w:pBdr>
          <w:top w:val="none" w:color="000000" w:sz="0" w:space="0"/>
          <w:left w:val="none" w:color="000000" w:sz="0" w:space="0"/>
          <w:bottom w:val="none" w:color="000000" w:sz="0" w:space="0"/>
          <w:right w:val="none" w:color="000000" w:sz="0" w:space="0"/>
        </w:pBdr>
        <w:spacing w:before="0" w:after="0" w:line="720"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致</w:t>
      </w:r>
      <w:r>
        <w:rPr>
          <w:rFonts w:hint="eastAsia" w:ascii="仿宋" w:hAnsi="仿宋" w:eastAsia="仿宋" w:cs="仿宋"/>
          <w:color w:val="000000" w:themeColor="text1"/>
          <w:sz w:val="28"/>
          <w:highlight w:val="none"/>
          <w:lang w:eastAsia="zh-CN"/>
          <w14:textFill>
            <w14:solidFill>
              <w14:schemeClr w14:val="tx1"/>
            </w14:solidFill>
          </w14:textFill>
        </w:rPr>
        <w:t>盱眙县住房和城乡建设局</w:t>
      </w:r>
      <w:r>
        <w:rPr>
          <w:rFonts w:ascii="仿宋" w:hAnsi="仿宋" w:eastAsia="仿宋" w:cs="仿宋"/>
          <w:color w:val="000000" w:themeColor="text1"/>
          <w:sz w:val="28"/>
          <w:highlight w:val="none"/>
          <w14:textFill>
            <w14:solidFill>
              <w14:schemeClr w14:val="tx1"/>
            </w14:solidFill>
          </w14:textFill>
        </w:rPr>
        <w:t>:</w:t>
      </w:r>
    </w:p>
    <w:p>
      <w:pPr>
        <w:pBdr>
          <w:top w:val="none" w:color="000000" w:sz="0" w:space="0"/>
          <w:left w:val="none" w:color="000000" w:sz="0" w:space="0"/>
          <w:bottom w:val="none" w:color="000000" w:sz="0" w:space="0"/>
          <w:right w:val="none" w:color="000000" w:sz="0" w:space="0"/>
        </w:pBdr>
        <w:spacing w:before="0" w:after="0" w:line="519" w:lineRule="atLeast"/>
        <w:ind w:left="0" w:right="0" w:firstLine="84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我公司参加贵中心组织实施的（项目编号:      ）    采购项目的政府采购活动。针对《中华人民共和国政府采购法》第二十二条规定做出如下声明：</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1、我单位具有独立承担民事责任的能力；</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2、我单位具有良好的商业信誉和健全的财务会计制度；</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3、我单位具有履行合同所必需的设备和专业技术能力；</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4、我单位有依法缴纳税收和社会保障资金的良好记录；</w:t>
      </w:r>
    </w:p>
    <w:p>
      <w:pPr>
        <w:pBdr>
          <w:top w:val="none" w:color="000000" w:sz="0" w:space="0"/>
          <w:left w:val="none" w:color="000000" w:sz="0" w:space="0"/>
          <w:bottom w:val="none" w:color="000000" w:sz="0" w:space="0"/>
          <w:right w:val="none" w:color="000000" w:sz="0" w:space="0"/>
        </w:pBdr>
        <w:spacing w:before="0" w:after="0" w:line="640" w:lineRule="atLeast"/>
        <w:ind w:left="0" w:right="0" w:firstLine="560"/>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5、参加本次政府采购活动前三年内，我公司在经营活动中没有因违法经营受到刑事处罚或者责令停产停业、吊销许可证或者执照、较大数额罚款等行政处罚。 </w:t>
      </w:r>
    </w:p>
    <w:p>
      <w:pPr>
        <w:pBdr>
          <w:top w:val="none" w:color="000000" w:sz="0" w:space="0"/>
          <w:left w:val="none" w:color="000000" w:sz="0" w:space="0"/>
          <w:bottom w:val="none" w:color="000000" w:sz="0" w:space="0"/>
          <w:right w:val="none" w:color="000000" w:sz="0" w:space="0"/>
        </w:pBdr>
        <w:spacing w:before="0" w:after="0" w:line="519" w:lineRule="atLeast"/>
        <w:ind w:left="0" w:right="0" w:firstLine="638"/>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6、我单位满足法律、行政法规规定的其他条件。</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right"/>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承诺人:</w:t>
      </w:r>
      <w:r>
        <w:rPr>
          <w:rFonts w:ascii="仿宋" w:hAnsi="仿宋" w:eastAsia="仿宋" w:cs="仿宋"/>
          <w:color w:val="000000" w:themeColor="text1"/>
          <w:sz w:val="28"/>
          <w:highlight w:val="none"/>
          <w:u w:val="single"/>
          <w14:textFill>
            <w14:solidFill>
              <w14:schemeClr w14:val="tx1"/>
            </w14:solidFill>
          </w14:textFill>
        </w:rPr>
        <w:t>     （电子签章）</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日期:</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年 </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月</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日</w:t>
      </w:r>
    </w:p>
    <w:p>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仿宋" w:hAnsi="仿宋" w:eastAsia="仿宋" w:cs="仿宋"/>
          <w:b/>
          <w:color w:val="000000" w:themeColor="text1"/>
          <w:sz w:val="32"/>
          <w:highlight w:val="none"/>
          <w14:textFill>
            <w14:solidFill>
              <w14:schemeClr w14:val="tx1"/>
            </w14:solidFill>
          </w14:textFill>
        </w:rPr>
        <w:t>示范格式四</w:t>
      </w:r>
      <w:r>
        <w:rPr>
          <w:rFonts w:ascii="仿宋" w:hAnsi="仿宋" w:eastAsia="仿宋" w:cs="仿宋"/>
          <w:color w:val="000000" w:themeColor="text1"/>
          <w:sz w:val="28"/>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color w:val="000000" w:themeColor="text1"/>
          <w:highlight w:val="none"/>
          <w14:textFill>
            <w14:solidFill>
              <w14:schemeClr w14:val="tx1"/>
            </w14:solidFill>
          </w14:textFill>
        </w:rPr>
      </w:pPr>
      <w:r>
        <w:rPr>
          <w:rFonts w:ascii="仿宋" w:hAnsi="仿宋" w:eastAsia="仿宋" w:cs="仿宋"/>
          <w:b/>
          <w:color w:val="000000" w:themeColor="text1"/>
          <w:sz w:val="32"/>
          <w:highlight w:val="none"/>
          <w14:textFill>
            <w14:solidFill>
              <w14:schemeClr w14:val="tx1"/>
            </w14:solidFill>
          </w14:textFill>
        </w:rPr>
        <w:t>企业声明函（货物类）</w:t>
      </w:r>
    </w:p>
    <w:p>
      <w:pPr>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致</w:t>
      </w:r>
      <w:r>
        <w:rPr>
          <w:rFonts w:hint="eastAsia" w:ascii="仿宋" w:hAnsi="仿宋" w:eastAsia="仿宋" w:cs="仿宋"/>
          <w:color w:val="000000" w:themeColor="text1"/>
          <w:sz w:val="28"/>
          <w:highlight w:val="none"/>
          <w:lang w:eastAsia="zh-CN"/>
          <w14:textFill>
            <w14:solidFill>
              <w14:schemeClr w14:val="tx1"/>
            </w14:solidFill>
          </w14:textFill>
        </w:rPr>
        <w:t>盱眙县住房和城乡建设局</w:t>
      </w:r>
      <w:r>
        <w:rPr>
          <w:rFonts w:ascii="仿宋" w:hAnsi="仿宋" w:eastAsia="仿宋" w:cs="仿宋"/>
          <w:color w:val="000000" w:themeColor="text1"/>
          <w:sz w:val="28"/>
          <w:highlight w:val="none"/>
          <w14:textFill>
            <w14:solidFill>
              <w14:schemeClr w14:val="tx1"/>
            </w14:solidFill>
          </w14:textFill>
        </w:rPr>
        <w:t>:</w:t>
      </w:r>
    </w:p>
    <w:p>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rPr>
          <w:rFonts w:hint="eastAsia" w:eastAsia="仿宋"/>
          <w:color w:val="000000" w:themeColor="text1"/>
          <w:highlight w:val="none"/>
          <w:lang w:eastAsia="zh-CN"/>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本公司郑重声明，根据《政府采购促进中小企业发展管理办法》（财库﹝2020﹞46号）的规定，本公司参加</w:t>
      </w:r>
      <w:r>
        <w:rPr>
          <w:rFonts w:ascii="仿宋" w:hAnsi="仿宋" w:eastAsia="仿宋" w:cs="仿宋"/>
          <w:color w:val="000000" w:themeColor="text1"/>
          <w:sz w:val="28"/>
          <w:highlight w:val="none"/>
          <w:u w:val="single"/>
          <w14:textFill>
            <w14:solidFill>
              <w14:schemeClr w14:val="tx1"/>
            </w14:solidFill>
          </w14:textFill>
        </w:rPr>
        <w:t>（单位名称）</w:t>
      </w:r>
      <w:r>
        <w:rPr>
          <w:rFonts w:ascii="仿宋" w:hAnsi="仿宋" w:eastAsia="仿宋" w:cs="仿宋"/>
          <w:color w:val="000000" w:themeColor="text1"/>
          <w:sz w:val="28"/>
          <w:highlight w:val="none"/>
          <w14:textFill>
            <w14:solidFill>
              <w14:schemeClr w14:val="tx1"/>
            </w14:solidFill>
          </w14:textFill>
        </w:rPr>
        <w:t>的</w:t>
      </w:r>
      <w:r>
        <w:rPr>
          <w:rFonts w:ascii="仿宋" w:hAnsi="仿宋" w:eastAsia="仿宋" w:cs="仿宋"/>
          <w:color w:val="000000" w:themeColor="text1"/>
          <w:sz w:val="28"/>
          <w:highlight w:val="none"/>
          <w:u w:val="single"/>
          <w14:textFill>
            <w14:solidFill>
              <w14:schemeClr w14:val="tx1"/>
            </w14:solidFill>
          </w14:textFill>
        </w:rPr>
        <w:t>（项目名称）</w:t>
      </w:r>
      <w:r>
        <w:rPr>
          <w:rFonts w:ascii="仿宋" w:hAnsi="仿宋" w:eastAsia="仿宋" w:cs="仿宋"/>
          <w:color w:val="000000" w:themeColor="text1"/>
          <w:sz w:val="28"/>
          <w:highlight w:val="none"/>
          <w14:textFill>
            <w14:solidFill>
              <w14:schemeClr w14:val="tx1"/>
            </w14:solidFill>
          </w14:textFill>
        </w:rPr>
        <w:t>采购活动，提供的货物全部由符合政策要求的中小企业制造。相关企业的具体情况如下：</w:t>
      </w:r>
    </w:p>
    <w:p>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rPr>
          <w:rFonts w:hint="eastAsia" w:eastAsia="仿宋"/>
          <w:color w:val="000000" w:themeColor="text1"/>
          <w:highlight w:val="none"/>
          <w:lang w:eastAsia="zh-CN"/>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w:t>
      </w:r>
      <w:r>
        <w:rPr>
          <w:rFonts w:ascii="仿宋" w:hAnsi="仿宋" w:eastAsia="仿宋" w:cs="仿宋"/>
          <w:color w:val="000000" w:themeColor="text1"/>
          <w:sz w:val="28"/>
          <w:highlight w:val="none"/>
          <w:u w:val="single"/>
          <w14:textFill>
            <w14:solidFill>
              <w14:schemeClr w14:val="tx1"/>
            </w14:solidFill>
          </w14:textFill>
        </w:rPr>
        <w:t>（标的名称）</w:t>
      </w:r>
      <w:r>
        <w:rPr>
          <w:rFonts w:ascii="仿宋" w:hAnsi="仿宋" w:eastAsia="仿宋" w:cs="仿宋"/>
          <w:color w:val="000000" w:themeColor="text1"/>
          <w:sz w:val="28"/>
          <w:highlight w:val="none"/>
          <w14:textFill>
            <w14:solidFill>
              <w14:schemeClr w14:val="tx1"/>
            </w14:solidFill>
          </w14:textFill>
        </w:rPr>
        <w:t> ，属于</w:t>
      </w:r>
      <w:r>
        <w:rPr>
          <w:rFonts w:ascii="仿宋" w:hAnsi="仿宋" w:eastAsia="仿宋" w:cs="仿宋"/>
          <w:color w:val="000000" w:themeColor="text1"/>
          <w:sz w:val="28"/>
          <w:highlight w:val="none"/>
          <w:u w:val="single"/>
          <w14:textFill>
            <w14:solidFill>
              <w14:schemeClr w14:val="tx1"/>
            </w14:solidFill>
          </w14:textFill>
        </w:rPr>
        <w:t>（采购文件中明确的所属行业）</w:t>
      </w:r>
      <w:r>
        <w:rPr>
          <w:rFonts w:ascii="仿宋" w:hAnsi="仿宋" w:eastAsia="仿宋" w:cs="仿宋"/>
          <w:color w:val="000000" w:themeColor="text1"/>
          <w:sz w:val="28"/>
          <w:highlight w:val="none"/>
          <w14:textFill>
            <w14:solidFill>
              <w14:schemeClr w14:val="tx1"/>
            </w14:solidFill>
          </w14:textFill>
        </w:rPr>
        <w:t>行业；制造商为（企业名称），从业人员</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人，营业收入为</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万元，资产总额为</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万元，属于（中型企业、小型企业、微型企业）；</w:t>
      </w:r>
    </w:p>
    <w:p>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rPr>
          <w:rFonts w:hint="eastAsia" w:eastAsia="仿宋"/>
          <w:color w:val="000000" w:themeColor="text1"/>
          <w:highlight w:val="none"/>
          <w:lang w:eastAsia="zh-CN"/>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w:t>
      </w:r>
      <w:r>
        <w:rPr>
          <w:rFonts w:ascii="仿宋" w:hAnsi="仿宋" w:eastAsia="仿宋" w:cs="仿宋"/>
          <w:color w:val="000000" w:themeColor="text1"/>
          <w:sz w:val="28"/>
          <w:highlight w:val="none"/>
          <w:u w:val="single"/>
          <w14:textFill>
            <w14:solidFill>
              <w14:schemeClr w14:val="tx1"/>
            </w14:solidFill>
          </w14:textFill>
        </w:rPr>
        <w:t> （标的名称）</w:t>
      </w:r>
      <w:r>
        <w:rPr>
          <w:rFonts w:ascii="仿宋" w:hAnsi="仿宋" w:eastAsia="仿宋" w:cs="仿宋"/>
          <w:color w:val="000000" w:themeColor="text1"/>
          <w:sz w:val="28"/>
          <w:highlight w:val="none"/>
          <w14:textFill>
            <w14:solidFill>
              <w14:schemeClr w14:val="tx1"/>
            </w14:solidFill>
          </w14:textFill>
        </w:rPr>
        <w:t> ，属于（采购文件中明确的所属行业）行业；制造商为（企业名称），从业人员</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人，营业收入为</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万元，资产总额为</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万元，属于（中型企业、小型企业、微型企业）。</w:t>
      </w:r>
    </w:p>
    <w:p>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rPr>
          <w:color w:val="000000" w:themeColor="text1"/>
          <w:highlight w:val="none"/>
          <w14:textFill>
            <w14:solidFill>
              <w14:schemeClr w14:val="tx1"/>
            </w14:solidFill>
          </w14:textFill>
        </w:rPr>
      </w:pPr>
      <w:r>
        <w:rPr>
          <w:rFonts w:ascii="Arial" w:hAnsi="Arial" w:eastAsia="Arial" w:cs="Arial"/>
          <w:color w:val="000000" w:themeColor="text1"/>
          <w:sz w:val="28"/>
          <w:highlight w:val="none"/>
          <w14:textFill>
            <w14:solidFill>
              <w14:schemeClr w14:val="tx1"/>
            </w14:solidFill>
          </w14:textFill>
        </w:rPr>
        <w:t>……</w:t>
      </w:r>
    </w:p>
    <w:p>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以上企业，不属于大企业的分支机构，不存在控股股东为大企业的情形，也不存在与大企业的负责人为同一人的情形。</w:t>
      </w:r>
    </w:p>
    <w:p>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本企业对上述声明内容的真实性负责。如有虚假，将依法承担相应责任。                     </w:t>
      </w: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投标人:</w:t>
      </w:r>
      <w:r>
        <w:rPr>
          <w:rFonts w:ascii="仿宋" w:hAnsi="仿宋" w:eastAsia="仿宋" w:cs="仿宋"/>
          <w:color w:val="000000" w:themeColor="text1"/>
          <w:sz w:val="28"/>
          <w:highlight w:val="none"/>
          <w:u w:val="single"/>
          <w14:textFill>
            <w14:solidFill>
              <w14:schemeClr w14:val="tx1"/>
            </w14:solidFill>
          </w14:textFill>
        </w:rPr>
        <w:t>        （电子签章）</w:t>
      </w: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日期:</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年 </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月</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日</w:t>
      </w:r>
    </w:p>
    <w:p>
      <w:pPr>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注：从业人员、营业收入、资产总额填报上一年度数据，无上一年度数据的新成立企业可不填报。</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pPr>
        <w:pBdr>
          <w:top w:val="none" w:color="000000" w:sz="0" w:space="0"/>
          <w:left w:val="none" w:color="000000" w:sz="0" w:space="0"/>
          <w:bottom w:val="none" w:color="000000" w:sz="0" w:space="0"/>
          <w:right w:val="none" w:color="000000" w:sz="0" w:space="0"/>
        </w:pBdr>
        <w:spacing w:before="0" w:after="0" w:line="519" w:lineRule="atLeast"/>
        <w:ind w:left="0" w:right="0" w:firstLine="0"/>
        <w:rPr>
          <w:color w:val="000000" w:themeColor="text1"/>
          <w:highlight w:val="none"/>
          <w14:textFill>
            <w14:solidFill>
              <w14:schemeClr w14:val="tx1"/>
            </w14:solidFill>
          </w14:textFill>
        </w:rPr>
      </w:pPr>
      <w:r>
        <w:rPr>
          <w:rFonts w:ascii="仿宋" w:hAnsi="仿宋" w:eastAsia="仿宋" w:cs="仿宋"/>
          <w:b/>
          <w:color w:val="000000" w:themeColor="text1"/>
          <w:sz w:val="32"/>
          <w:highlight w:val="none"/>
          <w14:textFill>
            <w14:solidFill>
              <w14:schemeClr w14:val="tx1"/>
            </w14:solidFill>
          </w14:textFill>
        </w:rPr>
        <w:t>示范格式五</w:t>
      </w: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center"/>
        <w:rPr>
          <w:color w:val="000000" w:themeColor="text1"/>
          <w:highlight w:val="none"/>
          <w14:textFill>
            <w14:solidFill>
              <w14:schemeClr w14:val="tx1"/>
            </w14:solidFill>
          </w14:textFill>
        </w:rPr>
      </w:pPr>
      <w:r>
        <w:rPr>
          <w:rFonts w:ascii="仿宋" w:hAnsi="仿宋" w:eastAsia="仿宋" w:cs="仿宋"/>
          <w:b/>
          <w:color w:val="000000" w:themeColor="text1"/>
          <w:sz w:val="32"/>
          <w:highlight w:val="none"/>
          <w14:textFill>
            <w14:solidFill>
              <w14:schemeClr w14:val="tx1"/>
            </w14:solidFill>
          </w14:textFill>
        </w:rPr>
        <w:t>残疾人福利性单位声明函</w:t>
      </w: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致</w:t>
      </w:r>
      <w:r>
        <w:rPr>
          <w:rFonts w:hint="eastAsia" w:ascii="仿宋" w:hAnsi="仿宋" w:eastAsia="仿宋" w:cs="仿宋"/>
          <w:color w:val="000000" w:themeColor="text1"/>
          <w:sz w:val="28"/>
          <w:highlight w:val="none"/>
          <w:lang w:eastAsia="zh-CN"/>
          <w14:textFill>
            <w14:solidFill>
              <w14:schemeClr w14:val="tx1"/>
            </w14:solidFill>
          </w14:textFill>
        </w:rPr>
        <w:t>盱眙县住房和城乡建设局</w:t>
      </w:r>
      <w:r>
        <w:rPr>
          <w:rFonts w:ascii="仿宋" w:hAnsi="仿宋" w:eastAsia="仿宋" w:cs="仿宋"/>
          <w:color w:val="000000" w:themeColor="text1"/>
          <w:sz w:val="28"/>
          <w:highlight w:val="none"/>
          <w14:textFill>
            <w14:solidFill>
              <w14:schemeClr w14:val="tx1"/>
            </w14:solidFill>
          </w14:textFill>
        </w:rPr>
        <w:t>:</w:t>
      </w:r>
    </w:p>
    <w:p>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本单位郑重声明，根据《财政部民政部中国残疾人联合会关于促进残疾人就业政府采购政策的通知》（财库〔2017〕141号）的规定，本单位为符合条件的残疾人福利性单位。即，本单位同时满足以下条件:</w:t>
      </w:r>
    </w:p>
    <w:p>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1、根据《财政部民政部中国残疾人联合会关于促进残疾人就业政府采购政策的通知》（财库〔2017〕141号）规定的划分标准，本公司为残疾人福利性企业。</w:t>
      </w:r>
    </w:p>
    <w:p>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2、本单位参加（采购单位名称） 的（采购项目名称）采购活动提供本企业制造的货物，由本企业承担工程、提供服务，或者提供其他残疾人福利性单位制造的货物（不包括使用非残疾人福利性单位注册商标的货物。</w:t>
      </w:r>
    </w:p>
    <w:p>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注:本公司对上述声明的真实性负责。如有虚假，将依法承担相应责任。</w:t>
      </w:r>
    </w:p>
    <w:p>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投标人:</w:t>
      </w:r>
      <w:r>
        <w:rPr>
          <w:rFonts w:ascii="仿宋" w:hAnsi="仿宋" w:eastAsia="仿宋" w:cs="仿宋"/>
          <w:color w:val="000000" w:themeColor="text1"/>
          <w:sz w:val="28"/>
          <w:highlight w:val="none"/>
          <w:u w:val="single"/>
          <w14:textFill>
            <w14:solidFill>
              <w14:schemeClr w14:val="tx1"/>
            </w14:solidFill>
          </w14:textFill>
        </w:rPr>
        <w:t>        （电子签章）</w:t>
      </w: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center"/>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日期:</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年 </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月</w:t>
      </w:r>
      <w:r>
        <w:rPr>
          <w:rFonts w:ascii="仿宋" w:hAnsi="仿宋" w:eastAsia="仿宋" w:cs="仿宋"/>
          <w:color w:val="000000" w:themeColor="text1"/>
          <w:sz w:val="28"/>
          <w:highlight w:val="none"/>
          <w:u w:val="single"/>
          <w14:textFill>
            <w14:solidFill>
              <w14:schemeClr w14:val="tx1"/>
            </w14:solidFill>
          </w14:textFill>
        </w:rPr>
        <w:t>      </w:t>
      </w:r>
      <w:r>
        <w:rPr>
          <w:rFonts w:ascii="仿宋" w:hAnsi="仿宋" w:eastAsia="仿宋" w:cs="仿宋"/>
          <w:color w:val="000000" w:themeColor="text1"/>
          <w:sz w:val="28"/>
          <w:highlight w:val="none"/>
          <w14:textFill>
            <w14:solidFill>
              <w14:schemeClr w14:val="tx1"/>
            </w14:solidFill>
          </w14:textFill>
        </w:rPr>
        <w:t>日</w:t>
      </w:r>
    </w:p>
    <w:p>
      <w:pPr>
        <w:pBdr>
          <w:top w:val="none" w:color="000000" w:sz="0" w:space="0"/>
          <w:left w:val="none" w:color="000000" w:sz="0" w:space="0"/>
          <w:bottom w:val="none" w:color="000000" w:sz="0" w:space="0"/>
          <w:right w:val="none" w:color="000000" w:sz="0" w:space="0"/>
        </w:pBdr>
        <w:spacing w:before="0" w:after="0" w:line="640" w:lineRule="atLeast"/>
        <w:ind w:left="0" w:right="0" w:firstLine="565"/>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注:非残疾人福利性单位不需提供此函。</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pPr>
        <w:pBdr>
          <w:top w:val="none" w:color="000000" w:sz="0" w:space="0"/>
          <w:left w:val="none" w:color="000000" w:sz="0" w:space="0"/>
          <w:bottom w:val="none" w:color="000000" w:sz="0" w:space="0"/>
          <w:right w:val="none" w:color="000000" w:sz="0" w:space="0"/>
        </w:pBdr>
        <w:spacing w:before="0" w:after="0" w:line="519" w:lineRule="atLeast"/>
        <w:ind w:left="0" w:right="0" w:firstLine="0"/>
        <w:rPr>
          <w:color w:val="000000" w:themeColor="text1"/>
          <w:highlight w:val="none"/>
          <w14:textFill>
            <w14:solidFill>
              <w14:schemeClr w14:val="tx1"/>
            </w14:solidFill>
          </w14:textFill>
        </w:rPr>
      </w:pPr>
      <w:r>
        <w:rPr>
          <w:rFonts w:ascii="仿宋" w:hAnsi="仿宋" w:eastAsia="仿宋" w:cs="仿宋"/>
          <w:b/>
          <w:color w:val="000000" w:themeColor="text1"/>
          <w:sz w:val="32"/>
          <w:highlight w:val="none"/>
          <w14:textFill>
            <w14:solidFill>
              <w14:schemeClr w14:val="tx1"/>
            </w14:solidFill>
          </w14:textFill>
        </w:rPr>
        <w:t>示范格式六</w:t>
      </w:r>
    </w:p>
    <w:p>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rPr>
          <w:color w:val="000000" w:themeColor="text1"/>
          <w:highlight w:val="none"/>
          <w14:textFill>
            <w14:solidFill>
              <w14:schemeClr w14:val="tx1"/>
            </w14:solidFill>
          </w14:textFill>
        </w:rPr>
      </w:pPr>
      <w:r>
        <w:rPr>
          <w:rFonts w:ascii="仿宋" w:hAnsi="仿宋" w:eastAsia="仿宋" w:cs="仿宋"/>
          <w:b/>
          <w:color w:val="000000" w:themeColor="text1"/>
          <w:sz w:val="32"/>
          <w:highlight w:val="none"/>
          <w14:textFill>
            <w14:solidFill>
              <w14:schemeClr w14:val="tx1"/>
            </w14:solidFill>
          </w14:textFill>
        </w:rPr>
        <w:t> 关于符合本国产品标准的声明函（采购包号：**）</w:t>
      </w:r>
    </w:p>
    <w:p>
      <w:pPr>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致</w:t>
      </w:r>
      <w:r>
        <w:rPr>
          <w:rFonts w:hint="eastAsia" w:ascii="仿宋" w:hAnsi="仿宋" w:eastAsia="仿宋" w:cs="仿宋"/>
          <w:color w:val="000000" w:themeColor="text1"/>
          <w:sz w:val="28"/>
          <w:highlight w:val="none"/>
          <w:lang w:eastAsia="zh-CN"/>
          <w14:textFill>
            <w14:solidFill>
              <w14:schemeClr w14:val="tx1"/>
            </w14:solidFill>
          </w14:textFill>
        </w:rPr>
        <w:t>盱眙县住房和城乡建设局</w:t>
      </w:r>
      <w:r>
        <w:rPr>
          <w:rFonts w:ascii="仿宋" w:hAnsi="仿宋" w:eastAsia="仿宋" w:cs="仿宋"/>
          <w:color w:val="000000" w:themeColor="text1"/>
          <w:sz w:val="28"/>
          <w:highlight w:val="none"/>
          <w14:textFill>
            <w14:solidFill>
              <w14:schemeClr w14:val="tx1"/>
            </w14:solidFill>
          </w14:textFill>
        </w:rPr>
        <w:t>:</w:t>
      </w:r>
    </w:p>
    <w:p>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w:t>
      </w:r>
      <w:r>
        <w:rPr>
          <w:rFonts w:ascii="仿宋" w:hAnsi="仿宋" w:eastAsia="仿宋" w:cs="仿宋"/>
          <w:color w:val="000000" w:themeColor="text1"/>
          <w:sz w:val="28"/>
          <w:highlight w:val="none"/>
          <w:u w:val="single"/>
          <w14:textFill>
            <w14:solidFill>
              <w14:schemeClr w14:val="tx1"/>
            </w14:solidFill>
          </w14:textFill>
        </w:rPr>
        <w:t>（产品名称1）</w:t>
      </w:r>
      <w:r>
        <w:rPr>
          <w:rFonts w:ascii="仿宋" w:hAnsi="仿宋" w:eastAsia="仿宋" w:cs="仿宋"/>
          <w:color w:val="000000" w:themeColor="text1"/>
          <w:sz w:val="36"/>
          <w:highlight w:val="none"/>
          <w:u w:val="single"/>
          <w:vertAlign w:val="superscript"/>
          <w14:textFill>
            <w14:solidFill>
              <w14:schemeClr w14:val="tx1"/>
            </w14:solidFill>
          </w14:textFill>
        </w:rPr>
        <w:t>1</w:t>
      </w:r>
      <w:r>
        <w:rPr>
          <w:rFonts w:ascii="仿宋" w:hAnsi="仿宋" w:eastAsia="仿宋" w:cs="仿宋"/>
          <w:color w:val="000000" w:themeColor="text1"/>
          <w:sz w:val="28"/>
          <w:highlight w:val="none"/>
          <w14:textFill>
            <w14:solidFill>
              <w14:schemeClr w14:val="tx1"/>
            </w14:solidFill>
          </w14:textFill>
        </w:rPr>
        <w:t>，生产厂为</w:t>
      </w:r>
      <w:r>
        <w:rPr>
          <w:rFonts w:ascii="仿宋" w:hAnsi="仿宋" w:eastAsia="仿宋" w:cs="仿宋"/>
          <w:color w:val="000000" w:themeColor="text1"/>
          <w:sz w:val="28"/>
          <w:highlight w:val="none"/>
          <w:u w:val="single"/>
          <w14:textFill>
            <w14:solidFill>
              <w14:schemeClr w14:val="tx1"/>
            </w14:solidFill>
          </w14:textFill>
        </w:rPr>
        <w:t>（厂名）</w:t>
      </w:r>
      <w:r>
        <w:rPr>
          <w:rFonts w:ascii="仿宋" w:hAnsi="仿宋" w:eastAsia="仿宋" w:cs="仿宋"/>
          <w:color w:val="000000" w:themeColor="text1"/>
          <w:sz w:val="36"/>
          <w:highlight w:val="none"/>
          <w:vertAlign w:val="superscript"/>
          <w14:textFill>
            <w14:solidFill>
              <w14:schemeClr w14:val="tx1"/>
            </w14:solidFill>
          </w14:textFill>
        </w:rPr>
        <w:t>2</w:t>
      </w:r>
      <w:r>
        <w:rPr>
          <w:rFonts w:ascii="仿宋" w:hAnsi="仿宋" w:eastAsia="仿宋" w:cs="仿宋"/>
          <w:color w:val="000000" w:themeColor="text1"/>
          <w:sz w:val="28"/>
          <w:highlight w:val="none"/>
          <w14:textFill>
            <w14:solidFill>
              <w14:schemeClr w14:val="tx1"/>
            </w14:solidFill>
          </w14:textFill>
        </w:rPr>
        <w:t>，厂址为</w:t>
      </w:r>
      <w:r>
        <w:rPr>
          <w:rFonts w:ascii="仿宋" w:hAnsi="仿宋" w:eastAsia="仿宋" w:cs="仿宋"/>
          <w:color w:val="000000" w:themeColor="text1"/>
          <w:sz w:val="28"/>
          <w:highlight w:val="none"/>
          <w:u w:val="single"/>
          <w14:textFill>
            <w14:solidFill>
              <w14:schemeClr w14:val="tx1"/>
            </w14:solidFill>
          </w14:textFill>
        </w:rPr>
        <w:t>（生产厂址）</w:t>
      </w:r>
      <w:r>
        <w:rPr>
          <w:rFonts w:ascii="仿宋" w:hAnsi="仿宋" w:eastAsia="仿宋" w:cs="仿宋"/>
          <w:color w:val="000000" w:themeColor="text1"/>
          <w:sz w:val="28"/>
          <w:highlight w:val="none"/>
          <w14:textFill>
            <w14:solidFill>
              <w14:schemeClr w14:val="tx1"/>
            </w14:solidFill>
          </w14:textFill>
        </w:rPr>
        <w:t>。</w:t>
      </w:r>
      <w:r>
        <w:rPr>
          <w:rFonts w:ascii="仿宋" w:hAnsi="仿宋" w:eastAsia="仿宋" w:cs="仿宋"/>
          <w:color w:val="000000" w:themeColor="text1"/>
          <w:sz w:val="28"/>
          <w:highlight w:val="none"/>
          <w:u w:val="single"/>
          <w14:textFill>
            <w14:solidFill>
              <w14:schemeClr w14:val="tx1"/>
            </w14:solidFill>
          </w14:textFill>
        </w:rPr>
        <w:t>（产品名称1）</w:t>
      </w:r>
      <w:r>
        <w:rPr>
          <w:rFonts w:ascii="仿宋" w:hAnsi="仿宋" w:eastAsia="仿宋" w:cs="仿宋"/>
          <w:color w:val="000000" w:themeColor="text1"/>
          <w:sz w:val="28"/>
          <w:highlight w:val="none"/>
          <w14:textFill>
            <w14:solidFill>
              <w14:schemeClr w14:val="tx1"/>
            </w14:solidFill>
          </w14:textFill>
        </w:rPr>
        <w:t> 的中国境内生产的组件成本占比≥</w:t>
      </w:r>
      <w:r>
        <w:rPr>
          <w:rFonts w:ascii="仿宋" w:hAnsi="仿宋" w:eastAsia="仿宋" w:cs="仿宋"/>
          <w:color w:val="000000" w:themeColor="text1"/>
          <w:sz w:val="28"/>
          <w:highlight w:val="none"/>
          <w:u w:val="single"/>
          <w14:textFill>
            <w14:solidFill>
              <w14:schemeClr w14:val="tx1"/>
            </w14:solidFill>
          </w14:textFill>
        </w:rPr>
        <w:t>（规定比例）</w:t>
      </w:r>
      <w:r>
        <w:rPr>
          <w:rFonts w:ascii="仿宋" w:hAnsi="仿宋" w:eastAsia="仿宋" w:cs="仿宋"/>
          <w:color w:val="000000" w:themeColor="text1"/>
          <w:sz w:val="32"/>
          <w:highlight w:val="none"/>
          <w:vertAlign w:val="superscript"/>
          <w14:textFill>
            <w14:solidFill>
              <w14:schemeClr w14:val="tx1"/>
            </w14:solidFill>
          </w14:textFill>
        </w:rPr>
        <w:t>3</w:t>
      </w:r>
      <w:r>
        <w:rPr>
          <w:rFonts w:ascii="仿宋" w:hAnsi="仿宋" w:eastAsia="仿宋" w:cs="仿宋"/>
          <w:color w:val="000000" w:themeColor="text1"/>
          <w:sz w:val="28"/>
          <w:highlight w:val="none"/>
          <w14:textFill>
            <w14:solidFill>
              <w14:schemeClr w14:val="tx1"/>
            </w14:solidFill>
          </w14:textFill>
        </w:rPr>
        <w:t>。</w:t>
      </w:r>
      <w:r>
        <w:rPr>
          <w:rFonts w:ascii="仿宋" w:hAnsi="仿宋" w:eastAsia="仿宋" w:cs="仿宋"/>
          <w:color w:val="000000" w:themeColor="text1"/>
          <w:sz w:val="28"/>
          <w:highlight w:val="none"/>
          <w:u w:val="single"/>
          <w14:textFill>
            <w14:solidFill>
              <w14:schemeClr w14:val="tx1"/>
            </w14:solidFill>
          </w14:textFill>
        </w:rPr>
        <w:t>（产品名称1）</w:t>
      </w:r>
      <w:r>
        <w:rPr>
          <w:rFonts w:ascii="仿宋" w:hAnsi="仿宋" w:eastAsia="仿宋" w:cs="仿宋"/>
          <w:color w:val="000000" w:themeColor="text1"/>
          <w:sz w:val="28"/>
          <w:highlight w:val="none"/>
          <w14:textFill>
            <w14:solidFill>
              <w14:schemeClr w14:val="tx1"/>
            </w14:solidFill>
          </w14:textFill>
        </w:rPr>
        <w:t>的</w:t>
      </w:r>
      <w:r>
        <w:rPr>
          <w:rFonts w:ascii="仿宋" w:hAnsi="仿宋" w:eastAsia="仿宋" w:cs="仿宋"/>
          <w:color w:val="000000" w:themeColor="text1"/>
          <w:sz w:val="28"/>
          <w:highlight w:val="none"/>
          <w:u w:val="single"/>
          <w14:textFill>
            <w14:solidFill>
              <w14:schemeClr w14:val="tx1"/>
            </w14:solidFill>
          </w14:textFill>
        </w:rPr>
        <w:t>（关键组件）</w:t>
      </w:r>
      <w:r>
        <w:rPr>
          <w:rFonts w:ascii="仿宋" w:hAnsi="仿宋" w:eastAsia="仿宋" w:cs="仿宋"/>
          <w:color w:val="000000" w:themeColor="text1"/>
          <w:sz w:val="32"/>
          <w:highlight w:val="none"/>
          <w:vertAlign w:val="superscript"/>
          <w14:textFill>
            <w14:solidFill>
              <w14:schemeClr w14:val="tx1"/>
            </w14:solidFill>
          </w14:textFill>
        </w:rPr>
        <w:t>4</w:t>
      </w:r>
      <w:r>
        <w:rPr>
          <w:rFonts w:ascii="仿宋" w:hAnsi="仿宋" w:eastAsia="仿宋" w:cs="仿宋"/>
          <w:color w:val="000000" w:themeColor="text1"/>
          <w:sz w:val="28"/>
          <w:highlight w:val="none"/>
          <w14:textFill>
            <w14:solidFill>
              <w14:schemeClr w14:val="tx1"/>
            </w14:solidFill>
          </w14:textFill>
        </w:rPr>
        <w:t>在中国境内生产。</w:t>
      </w:r>
      <w:r>
        <w:rPr>
          <w:rFonts w:ascii="仿宋" w:hAnsi="仿宋" w:eastAsia="仿宋" w:cs="仿宋"/>
          <w:color w:val="000000" w:themeColor="text1"/>
          <w:sz w:val="28"/>
          <w:highlight w:val="none"/>
          <w:u w:val="single"/>
          <w14:textFill>
            <w14:solidFill>
              <w14:schemeClr w14:val="tx1"/>
            </w14:solidFill>
          </w14:textFill>
        </w:rPr>
        <w:t>（产品名称1）</w:t>
      </w:r>
      <w:r>
        <w:rPr>
          <w:rFonts w:ascii="仿宋" w:hAnsi="仿宋" w:eastAsia="仿宋" w:cs="仿宋"/>
          <w:color w:val="000000" w:themeColor="text1"/>
          <w:sz w:val="28"/>
          <w:highlight w:val="none"/>
          <w14:textFill>
            <w14:solidFill>
              <w14:schemeClr w14:val="tx1"/>
            </w14:solidFill>
          </w14:textFill>
        </w:rPr>
        <w:t>的</w:t>
      </w:r>
      <w:r>
        <w:rPr>
          <w:rFonts w:ascii="仿宋" w:hAnsi="仿宋" w:eastAsia="仿宋" w:cs="仿宋"/>
          <w:color w:val="000000" w:themeColor="text1"/>
          <w:sz w:val="28"/>
          <w:highlight w:val="none"/>
          <w:u w:val="single"/>
          <w14:textFill>
            <w14:solidFill>
              <w14:schemeClr w14:val="tx1"/>
            </w14:solidFill>
          </w14:textFill>
        </w:rPr>
        <w:t>（关键工序）</w:t>
      </w:r>
      <w:r>
        <w:rPr>
          <w:rFonts w:ascii="仿宋" w:hAnsi="仿宋" w:eastAsia="仿宋" w:cs="仿宋"/>
          <w:color w:val="000000" w:themeColor="text1"/>
          <w:sz w:val="36"/>
          <w:highlight w:val="none"/>
          <w:vertAlign w:val="superscript"/>
          <w14:textFill>
            <w14:solidFill>
              <w14:schemeClr w14:val="tx1"/>
            </w14:solidFill>
          </w14:textFill>
        </w:rPr>
        <w:t>5</w:t>
      </w:r>
      <w:r>
        <w:rPr>
          <w:rFonts w:ascii="仿宋" w:hAnsi="仿宋" w:eastAsia="仿宋" w:cs="仿宋"/>
          <w:color w:val="000000" w:themeColor="text1"/>
          <w:sz w:val="28"/>
          <w:highlight w:val="none"/>
          <w14:textFill>
            <w14:solidFill>
              <w14:schemeClr w14:val="tx1"/>
            </w14:solidFill>
          </w14:textFill>
        </w:rPr>
        <w:t>在中国境内完成。</w:t>
      </w:r>
    </w:p>
    <w:p>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w:t>
      </w:r>
      <w:r>
        <w:rPr>
          <w:rFonts w:ascii="仿宋" w:hAnsi="仿宋" w:eastAsia="仿宋" w:cs="仿宋"/>
          <w:color w:val="000000" w:themeColor="text1"/>
          <w:sz w:val="28"/>
          <w:highlight w:val="none"/>
          <w:u w:val="single"/>
          <w14:textFill>
            <w14:solidFill>
              <w14:schemeClr w14:val="tx1"/>
            </w14:solidFill>
          </w14:textFill>
        </w:rPr>
        <w:t>（产品名称2）</w:t>
      </w:r>
      <w:r>
        <w:rPr>
          <w:rFonts w:ascii="仿宋" w:hAnsi="仿宋" w:eastAsia="仿宋" w:cs="仿宋"/>
          <w:color w:val="000000" w:themeColor="text1"/>
          <w:sz w:val="28"/>
          <w:highlight w:val="none"/>
          <w14:textFill>
            <w14:solidFill>
              <w14:schemeClr w14:val="tx1"/>
            </w14:solidFill>
          </w14:textFill>
        </w:rPr>
        <w:t>，生产厂为</w:t>
      </w:r>
      <w:r>
        <w:rPr>
          <w:rFonts w:ascii="仿宋" w:hAnsi="仿宋" w:eastAsia="仿宋" w:cs="仿宋"/>
          <w:color w:val="000000" w:themeColor="text1"/>
          <w:sz w:val="28"/>
          <w:highlight w:val="none"/>
          <w:u w:val="single"/>
          <w14:textFill>
            <w14:solidFill>
              <w14:schemeClr w14:val="tx1"/>
            </w14:solidFill>
          </w14:textFill>
        </w:rPr>
        <w:t>（厂名）</w:t>
      </w:r>
      <w:r>
        <w:rPr>
          <w:rFonts w:ascii="仿宋" w:hAnsi="仿宋" w:eastAsia="仿宋" w:cs="仿宋"/>
          <w:color w:val="000000" w:themeColor="text1"/>
          <w:sz w:val="28"/>
          <w:highlight w:val="none"/>
          <w14:textFill>
            <w14:solidFill>
              <w14:schemeClr w14:val="tx1"/>
            </w14:solidFill>
          </w14:textFill>
        </w:rPr>
        <w:t>，厂址为</w:t>
      </w:r>
      <w:r>
        <w:rPr>
          <w:rFonts w:ascii="仿宋" w:hAnsi="仿宋" w:eastAsia="仿宋" w:cs="仿宋"/>
          <w:color w:val="000000" w:themeColor="text1"/>
          <w:sz w:val="28"/>
          <w:highlight w:val="none"/>
          <w:u w:val="single"/>
          <w14:textFill>
            <w14:solidFill>
              <w14:schemeClr w14:val="tx1"/>
            </w14:solidFill>
          </w14:textFill>
        </w:rPr>
        <w:t>（生产厂址）</w:t>
      </w:r>
      <w:r>
        <w:rPr>
          <w:rFonts w:ascii="仿宋" w:hAnsi="仿宋" w:eastAsia="仿宋" w:cs="仿宋"/>
          <w:color w:val="000000" w:themeColor="text1"/>
          <w:sz w:val="28"/>
          <w:highlight w:val="none"/>
          <w14:textFill>
            <w14:solidFill>
              <w14:schemeClr w14:val="tx1"/>
            </w14:solidFill>
          </w14:textFill>
        </w:rPr>
        <w:t>。</w:t>
      </w:r>
      <w:r>
        <w:rPr>
          <w:rFonts w:ascii="仿宋" w:hAnsi="仿宋" w:eastAsia="仿宋" w:cs="仿宋"/>
          <w:color w:val="000000" w:themeColor="text1"/>
          <w:sz w:val="28"/>
          <w:highlight w:val="none"/>
          <w:u w:val="single"/>
          <w14:textFill>
            <w14:solidFill>
              <w14:schemeClr w14:val="tx1"/>
            </w14:solidFill>
          </w14:textFill>
        </w:rPr>
        <w:t>（产品名称2）</w:t>
      </w:r>
      <w:r>
        <w:rPr>
          <w:rFonts w:ascii="仿宋" w:hAnsi="仿宋" w:eastAsia="仿宋" w:cs="仿宋"/>
          <w:color w:val="000000" w:themeColor="text1"/>
          <w:sz w:val="28"/>
          <w:highlight w:val="none"/>
          <w14:textFill>
            <w14:solidFill>
              <w14:schemeClr w14:val="tx1"/>
            </w14:solidFill>
          </w14:textFill>
        </w:rPr>
        <w:t>的中国境内生产的组件成本占比≥</w:t>
      </w:r>
      <w:r>
        <w:rPr>
          <w:rFonts w:ascii="仿宋" w:hAnsi="仿宋" w:eastAsia="仿宋" w:cs="仿宋"/>
          <w:color w:val="000000" w:themeColor="text1"/>
          <w:sz w:val="28"/>
          <w:highlight w:val="none"/>
          <w:u w:val="single"/>
          <w14:textFill>
            <w14:solidFill>
              <w14:schemeClr w14:val="tx1"/>
            </w14:solidFill>
          </w14:textFill>
        </w:rPr>
        <w:t>（规定比例）</w:t>
      </w:r>
      <w:r>
        <w:rPr>
          <w:rFonts w:ascii="仿宋" w:hAnsi="仿宋" w:eastAsia="仿宋" w:cs="仿宋"/>
          <w:color w:val="000000" w:themeColor="text1"/>
          <w:sz w:val="28"/>
          <w:highlight w:val="none"/>
          <w14:textFill>
            <w14:solidFill>
              <w14:schemeClr w14:val="tx1"/>
            </w14:solidFill>
          </w14:textFill>
        </w:rPr>
        <w:t>。（</w:t>
      </w:r>
      <w:r>
        <w:rPr>
          <w:rFonts w:ascii="仿宋" w:hAnsi="仿宋" w:eastAsia="仿宋" w:cs="仿宋"/>
          <w:color w:val="000000" w:themeColor="text1"/>
          <w:sz w:val="28"/>
          <w:highlight w:val="none"/>
          <w:u w:val="single"/>
          <w14:textFill>
            <w14:solidFill>
              <w14:schemeClr w14:val="tx1"/>
            </w14:solidFill>
          </w14:textFill>
        </w:rPr>
        <w:t>产品名称2）</w:t>
      </w:r>
      <w:r>
        <w:rPr>
          <w:rFonts w:ascii="仿宋" w:hAnsi="仿宋" w:eastAsia="仿宋" w:cs="仿宋"/>
          <w:color w:val="000000" w:themeColor="text1"/>
          <w:sz w:val="28"/>
          <w:highlight w:val="none"/>
          <w14:textFill>
            <w14:solidFill>
              <w14:schemeClr w14:val="tx1"/>
            </w14:solidFill>
          </w14:textFill>
        </w:rPr>
        <w:t>的</w:t>
      </w:r>
      <w:r>
        <w:rPr>
          <w:rFonts w:ascii="仿宋" w:hAnsi="仿宋" w:eastAsia="仿宋" w:cs="仿宋"/>
          <w:color w:val="000000" w:themeColor="text1"/>
          <w:sz w:val="28"/>
          <w:highlight w:val="none"/>
          <w:u w:val="single"/>
          <w14:textFill>
            <w14:solidFill>
              <w14:schemeClr w14:val="tx1"/>
            </w14:solidFill>
          </w14:textFill>
        </w:rPr>
        <w:t>（关键组件）</w:t>
      </w:r>
      <w:r>
        <w:rPr>
          <w:rFonts w:ascii="仿宋" w:hAnsi="仿宋" w:eastAsia="仿宋" w:cs="仿宋"/>
          <w:color w:val="000000" w:themeColor="text1"/>
          <w:sz w:val="28"/>
          <w:highlight w:val="none"/>
          <w14:textFill>
            <w14:solidFill>
              <w14:schemeClr w14:val="tx1"/>
            </w14:solidFill>
          </w14:textFill>
        </w:rPr>
        <w:t>在中国境内生产。</w:t>
      </w:r>
      <w:r>
        <w:rPr>
          <w:rFonts w:ascii="仿宋" w:hAnsi="仿宋" w:eastAsia="仿宋" w:cs="仿宋"/>
          <w:color w:val="000000" w:themeColor="text1"/>
          <w:sz w:val="28"/>
          <w:highlight w:val="none"/>
          <w:u w:val="single"/>
          <w14:textFill>
            <w14:solidFill>
              <w14:schemeClr w14:val="tx1"/>
            </w14:solidFill>
          </w14:textFill>
        </w:rPr>
        <w:t>（产品名称1）</w:t>
      </w:r>
      <w:r>
        <w:rPr>
          <w:rFonts w:ascii="仿宋" w:hAnsi="仿宋" w:eastAsia="仿宋" w:cs="仿宋"/>
          <w:color w:val="000000" w:themeColor="text1"/>
          <w:sz w:val="28"/>
          <w:highlight w:val="none"/>
          <w14:textFill>
            <w14:solidFill>
              <w14:schemeClr w14:val="tx1"/>
            </w14:solidFill>
          </w14:textFill>
        </w:rPr>
        <w:t>的</w:t>
      </w:r>
      <w:r>
        <w:rPr>
          <w:rFonts w:ascii="仿宋" w:hAnsi="仿宋" w:eastAsia="仿宋" w:cs="仿宋"/>
          <w:color w:val="000000" w:themeColor="text1"/>
          <w:sz w:val="28"/>
          <w:highlight w:val="none"/>
          <w:u w:val="single"/>
          <w14:textFill>
            <w14:solidFill>
              <w14:schemeClr w14:val="tx1"/>
            </w14:solidFill>
          </w14:textFill>
        </w:rPr>
        <w:t>（关键工序）</w:t>
      </w:r>
      <w:r>
        <w:rPr>
          <w:rFonts w:ascii="仿宋" w:hAnsi="仿宋" w:eastAsia="仿宋" w:cs="仿宋"/>
          <w:color w:val="000000" w:themeColor="text1"/>
          <w:sz w:val="28"/>
          <w:highlight w:val="none"/>
          <w14:textFill>
            <w14:solidFill>
              <w14:schemeClr w14:val="tx1"/>
            </w14:solidFill>
          </w14:textFill>
        </w:rPr>
        <w:t>在中国境内完成。</w:t>
      </w:r>
    </w:p>
    <w:p>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w:t>
      </w:r>
    </w:p>
    <w:p>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本公司（单位）对上述声明内容的真实性负责。如有虚假，愿承担相应法律责任。</w:t>
      </w:r>
    </w:p>
    <w:p>
      <w:pPr>
        <w:pBdr>
          <w:top w:val="none" w:color="000000" w:sz="0" w:space="0"/>
          <w:left w:val="none" w:color="000000" w:sz="0" w:space="0"/>
          <w:bottom w:val="none" w:color="000000" w:sz="0" w:space="0"/>
          <w:right w:val="none" w:color="000000" w:sz="0" w:space="0"/>
        </w:pBdr>
        <w:spacing w:before="0" w:after="0" w:line="640" w:lineRule="atLeast"/>
        <w:ind w:left="0" w:right="0" w:firstLine="4933"/>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公司（单位）名称（盖章）：　</w:t>
      </w:r>
    </w:p>
    <w:p>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日期：　   年　  月　  日         </w:t>
      </w:r>
    </w:p>
    <w:p>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注：1.产品如有型号，请在“产品名称”栏一并填写。</w:t>
      </w:r>
    </w:p>
    <w:p>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2.生产厂名与厂址应与生产厂营业执照载明的相关信息保持一致。</w:t>
      </w:r>
    </w:p>
    <w:p>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3.该产品的中国境内生产的组件成本占比相关要求实施前，“规定比例”栏可不填，下同。</w:t>
      </w:r>
    </w:p>
    <w:p>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4.该产品的关键组件要求实施前，“关键组件”栏可不填，下同。</w:t>
      </w:r>
    </w:p>
    <w:p>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5.该产品的关键工序要求实施前，“关键工序”栏可不填，下同。</w:t>
      </w:r>
    </w:p>
    <w:p>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 </w:t>
      </w:r>
    </w:p>
    <w:p>
      <w:pPr>
        <w:rPr>
          <w:color w:val="000000" w:themeColor="text1"/>
          <w:highlight w:val="none"/>
          <w14:textFill>
            <w14:solidFill>
              <w14:schemeClr w14:val="tx1"/>
            </w14:solidFill>
          </w14:textFill>
        </w:rPr>
      </w:pPr>
    </w:p>
    <w:p>
      <w:pPr>
        <w:pStyle w:val="37"/>
        <w:rPr>
          <w:color w:val="000000" w:themeColor="text1"/>
          <w:highlight w:val="none"/>
          <w14:textFill>
            <w14:solidFill>
              <w14:schemeClr w14:val="tx1"/>
            </w14:solidFill>
          </w14:textFill>
        </w:rPr>
      </w:pPr>
    </w:p>
    <w:p>
      <w:pPr>
        <w:pStyle w:val="37"/>
        <w:rPr>
          <w:color w:val="000000" w:themeColor="text1"/>
          <w:highlight w:val="none"/>
          <w14:textFill>
            <w14:solidFill>
              <w14:schemeClr w14:val="tx1"/>
            </w14:solidFill>
          </w14:textFill>
        </w:rPr>
      </w:pPr>
    </w:p>
    <w:p>
      <w:pPr>
        <w:pStyle w:val="37"/>
        <w:rPr>
          <w:color w:val="000000" w:themeColor="text1"/>
          <w:highlight w:val="none"/>
          <w14:textFill>
            <w14:solidFill>
              <w14:schemeClr w14:val="tx1"/>
            </w14:solidFill>
          </w14:textFill>
        </w:rPr>
      </w:pPr>
    </w:p>
    <w:p>
      <w:pPr>
        <w:pStyle w:val="37"/>
        <w:rPr>
          <w:color w:val="000000" w:themeColor="text1"/>
          <w:highlight w:val="none"/>
          <w14:textFill>
            <w14:solidFill>
              <w14:schemeClr w14:val="tx1"/>
            </w14:solidFill>
          </w14:textFill>
        </w:rPr>
      </w:pPr>
    </w:p>
    <w:p>
      <w:pPr>
        <w:pStyle w:val="37"/>
        <w:rPr>
          <w:color w:val="000000" w:themeColor="text1"/>
          <w:highlight w:val="none"/>
          <w14:textFill>
            <w14:solidFill>
              <w14:schemeClr w14:val="tx1"/>
            </w14:solidFill>
          </w14:textFill>
        </w:rPr>
      </w:pPr>
    </w:p>
    <w:p>
      <w:pPr>
        <w:pStyle w:val="37"/>
        <w:rPr>
          <w:color w:val="000000" w:themeColor="text1"/>
          <w:highlight w:val="none"/>
          <w14:textFill>
            <w14:solidFill>
              <w14:schemeClr w14:val="tx1"/>
            </w14:solidFill>
          </w14:textFill>
        </w:rPr>
      </w:pPr>
    </w:p>
    <w:p>
      <w:pPr>
        <w:pStyle w:val="37"/>
        <w:rPr>
          <w:color w:val="000000" w:themeColor="text1"/>
          <w:highlight w:val="none"/>
          <w14:textFill>
            <w14:solidFill>
              <w14:schemeClr w14:val="tx1"/>
            </w14:solidFill>
          </w14:textFill>
        </w:rPr>
      </w:pPr>
    </w:p>
    <w:p>
      <w:pPr>
        <w:pStyle w:val="37"/>
        <w:rPr>
          <w:color w:val="000000" w:themeColor="text1"/>
          <w:highlight w:val="none"/>
          <w14:textFill>
            <w14:solidFill>
              <w14:schemeClr w14:val="tx1"/>
            </w14:solidFill>
          </w14:textFill>
        </w:rPr>
      </w:pPr>
    </w:p>
    <w:p>
      <w:pPr>
        <w:pStyle w:val="37"/>
        <w:rPr>
          <w:color w:val="000000" w:themeColor="text1"/>
          <w:highlight w:val="none"/>
          <w14:textFill>
            <w14:solidFill>
              <w14:schemeClr w14:val="tx1"/>
            </w14:solidFill>
          </w14:textFill>
        </w:rPr>
      </w:pPr>
    </w:p>
    <w:p>
      <w:pPr>
        <w:pStyle w:val="37"/>
        <w:rPr>
          <w:color w:val="000000" w:themeColor="text1"/>
          <w:highlight w:val="none"/>
          <w14:textFill>
            <w14:solidFill>
              <w14:schemeClr w14:val="tx1"/>
            </w14:solidFill>
          </w14:textFill>
        </w:rPr>
      </w:pPr>
    </w:p>
    <w:p>
      <w:pPr>
        <w:pStyle w:val="37"/>
        <w:rPr>
          <w:color w:val="000000" w:themeColor="text1"/>
          <w:highlight w:val="none"/>
          <w14:textFill>
            <w14:solidFill>
              <w14:schemeClr w14:val="tx1"/>
            </w14:solidFill>
          </w14:textFill>
        </w:rPr>
      </w:pPr>
    </w:p>
    <w:p>
      <w:pPr>
        <w:pStyle w:val="37"/>
        <w:rPr>
          <w:color w:val="000000" w:themeColor="text1"/>
          <w:highlight w:val="none"/>
          <w14:textFill>
            <w14:solidFill>
              <w14:schemeClr w14:val="tx1"/>
            </w14:solidFill>
          </w14:textFill>
        </w:rPr>
      </w:pPr>
    </w:p>
    <w:p>
      <w:pPr>
        <w:pStyle w:val="37"/>
        <w:rPr>
          <w:color w:val="000000" w:themeColor="text1"/>
          <w:highlight w:val="none"/>
          <w14:textFill>
            <w14:solidFill>
              <w14:schemeClr w14:val="tx1"/>
            </w14:solidFill>
          </w14:textFill>
        </w:rPr>
      </w:pPr>
    </w:p>
    <w:p>
      <w:pPr>
        <w:pStyle w:val="37"/>
        <w:rPr>
          <w:color w:val="000000" w:themeColor="text1"/>
          <w:highlight w:val="none"/>
          <w14:textFill>
            <w14:solidFill>
              <w14:schemeClr w14:val="tx1"/>
            </w14:solidFill>
          </w14:textFill>
        </w:rPr>
      </w:pPr>
    </w:p>
    <w:p>
      <w:pPr>
        <w:pStyle w:val="37"/>
        <w:rPr>
          <w:color w:val="000000" w:themeColor="text1"/>
          <w:highlight w:val="none"/>
          <w14:textFill>
            <w14:solidFill>
              <w14:schemeClr w14:val="tx1"/>
            </w14:solidFill>
          </w14:textFill>
        </w:rPr>
      </w:pPr>
    </w:p>
    <w:p>
      <w:pPr>
        <w:pStyle w:val="37"/>
        <w:rPr>
          <w:color w:val="000000" w:themeColor="text1"/>
          <w:highlight w:val="none"/>
          <w14:textFill>
            <w14:solidFill>
              <w14:schemeClr w14:val="tx1"/>
            </w14:solidFill>
          </w14:textFill>
        </w:rPr>
      </w:pPr>
    </w:p>
    <w:p>
      <w:pPr>
        <w:pStyle w:val="37"/>
        <w:rPr>
          <w:color w:val="000000" w:themeColor="text1"/>
          <w:highlight w:val="none"/>
          <w14:textFill>
            <w14:solidFill>
              <w14:schemeClr w14:val="tx1"/>
            </w14:solidFill>
          </w14:textFill>
        </w:rPr>
      </w:pPr>
    </w:p>
    <w:p>
      <w:pPr>
        <w:pStyle w:val="37"/>
        <w:rPr>
          <w:color w:val="000000" w:themeColor="text1"/>
          <w:highlight w:val="none"/>
          <w14:textFill>
            <w14:solidFill>
              <w14:schemeClr w14:val="tx1"/>
            </w14:solidFill>
          </w14:textFill>
        </w:rPr>
      </w:pPr>
    </w:p>
    <w:p>
      <w:pPr>
        <w:pStyle w:val="37"/>
        <w:rPr>
          <w:color w:val="000000" w:themeColor="text1"/>
          <w:highlight w:val="none"/>
          <w14:textFill>
            <w14:solidFill>
              <w14:schemeClr w14:val="tx1"/>
            </w14:solidFill>
          </w14:textFill>
        </w:rPr>
      </w:pPr>
    </w:p>
    <w:p>
      <w:pPr>
        <w:pStyle w:val="37"/>
        <w:rPr>
          <w:color w:val="000000" w:themeColor="text1"/>
          <w:highlight w:val="none"/>
          <w14:textFill>
            <w14:solidFill>
              <w14:schemeClr w14:val="tx1"/>
            </w14:solidFill>
          </w14:textFill>
        </w:rPr>
      </w:pPr>
    </w:p>
    <w:p>
      <w:pPr>
        <w:pStyle w:val="37"/>
        <w:rPr>
          <w:color w:val="000000" w:themeColor="text1"/>
          <w:highlight w:val="none"/>
          <w14:textFill>
            <w14:solidFill>
              <w14:schemeClr w14:val="tx1"/>
            </w14:solidFill>
          </w14:textFill>
        </w:rPr>
      </w:pPr>
    </w:p>
    <w:p>
      <w:pPr>
        <w:pStyle w:val="37"/>
        <w:rPr>
          <w:color w:val="000000" w:themeColor="text1"/>
          <w:highlight w:val="none"/>
          <w14:textFill>
            <w14:solidFill>
              <w14:schemeClr w14:val="tx1"/>
            </w14:solidFill>
          </w14:textFill>
        </w:rPr>
      </w:pPr>
    </w:p>
    <w:p>
      <w:pPr>
        <w:pStyle w:val="37"/>
        <w:rPr>
          <w:color w:val="000000" w:themeColor="text1"/>
          <w:highlight w:val="none"/>
          <w14:textFill>
            <w14:solidFill>
              <w14:schemeClr w14:val="tx1"/>
            </w14:solidFill>
          </w14:textFill>
        </w:rPr>
      </w:pPr>
    </w:p>
    <w:p>
      <w:pPr>
        <w:pStyle w:val="37"/>
        <w:rPr>
          <w:color w:val="000000" w:themeColor="text1"/>
          <w:highlight w:val="none"/>
          <w14:textFill>
            <w14:solidFill>
              <w14:schemeClr w14:val="tx1"/>
            </w14:solidFill>
          </w14:textFill>
        </w:rPr>
      </w:pPr>
    </w:p>
    <w:p>
      <w:pPr>
        <w:pStyle w:val="37"/>
        <w:rPr>
          <w:color w:val="000000" w:themeColor="text1"/>
          <w:highlight w:val="none"/>
          <w14:textFill>
            <w14:solidFill>
              <w14:schemeClr w14:val="tx1"/>
            </w14:solidFill>
          </w14:textFill>
        </w:rPr>
      </w:pPr>
    </w:p>
    <w:p>
      <w:pPr>
        <w:pageBreakBefore/>
        <w:rPr>
          <w:rFonts w:hint="eastAsia" w:ascii="宋体" w:hAnsi="宋体" w:eastAsia="宋体" w:cs="宋体"/>
          <w:color w:val="000000"/>
          <w:sz w:val="24"/>
          <w:highlight w:val="none"/>
          <w:lang w:eastAsia="zh-CN"/>
        </w:rPr>
      </w:pPr>
      <w:r>
        <w:rPr>
          <w:rFonts w:hint="eastAsia" w:ascii="宋体" w:hAnsi="宋体" w:cs="宋体"/>
          <w:b/>
          <w:color w:val="000000"/>
          <w:sz w:val="32"/>
          <w:szCs w:val="32"/>
          <w:highlight w:val="none"/>
        </w:rPr>
        <w:t>示范格式</w:t>
      </w:r>
      <w:r>
        <w:rPr>
          <w:rFonts w:hint="eastAsia" w:ascii="宋体" w:hAnsi="宋体" w:cs="宋体"/>
          <w:b/>
          <w:color w:val="000000"/>
          <w:sz w:val="32"/>
          <w:szCs w:val="32"/>
          <w:highlight w:val="none"/>
          <w:lang w:val="en-US" w:eastAsia="zh-CN"/>
        </w:rPr>
        <w:t>七</w:t>
      </w:r>
    </w:p>
    <w:p>
      <w:pPr>
        <w:widowControl/>
        <w:spacing w:line="520" w:lineRule="exact"/>
        <w:jc w:val="center"/>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rPr>
        <w:t>电梯相关授权及维保承诺书</w:t>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致</w:t>
      </w:r>
      <w:r>
        <w:rPr>
          <w:rFonts w:hint="eastAsia" w:ascii="仿宋" w:hAnsi="仿宋" w:eastAsia="仿宋" w:cs="仿宋"/>
          <w:color w:val="000000"/>
          <w:sz w:val="28"/>
          <w:szCs w:val="28"/>
          <w:highlight w:val="none"/>
          <w:lang w:val="en-US" w:eastAsia="zh-CN"/>
        </w:rPr>
        <w:t>盱眙县住房和城乡建设局</w:t>
      </w:r>
      <w:r>
        <w:rPr>
          <w:rFonts w:hint="eastAsia" w:ascii="仿宋" w:hAnsi="仿宋" w:eastAsia="仿宋" w:cs="仿宋"/>
          <w:color w:val="000000"/>
          <w:sz w:val="28"/>
          <w:szCs w:val="28"/>
          <w:highlight w:val="none"/>
        </w:rPr>
        <w:t>：</w:t>
      </w:r>
    </w:p>
    <w:p>
      <w:pPr>
        <w:spacing w:line="520" w:lineRule="exact"/>
        <w:ind w:firstLine="484"/>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本单位作为参与贵单位招标项目（项目名称（采购包号）：，项目编号：）的潜在投标人，就本次招标相关事宜，郑重作出如下承诺：</w:t>
      </w:r>
    </w:p>
    <w:p>
      <w:pPr>
        <w:spacing w:line="520" w:lineRule="exact"/>
        <w:ind w:firstLine="484"/>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1、品牌授权承诺：若本单位成功中标，将在签订合同前，向贵单位提供由所投电梯品牌制造商（名称：</w:t>
      </w:r>
      <w:r>
        <w:rPr>
          <w:rFonts w:hint="eastAsia" w:ascii="仿宋" w:hAnsi="仿宋" w:eastAsia="仿宋" w:cs="仿宋"/>
          <w:color w:val="000000"/>
          <w:sz w:val="28"/>
          <w:szCs w:val="28"/>
          <w:highlight w:val="none"/>
          <w:u w:val="single"/>
        </w:rPr>
        <w:t>制造商全称</w:t>
      </w:r>
      <w:r>
        <w:rPr>
          <w:rFonts w:hint="eastAsia" w:ascii="仿宋" w:hAnsi="仿宋" w:eastAsia="仿宋" w:cs="仿宋"/>
          <w:color w:val="000000"/>
          <w:sz w:val="28"/>
          <w:szCs w:val="28"/>
          <w:highlight w:val="none"/>
        </w:rPr>
        <w:t>）直接出具的合法、有效授权文件。本单位凭此授权有权在本次招标项目中销售该品牌电梯产品，所提供的授权范围、期限均符合本次招标要求，且授权文件真实、完整、无涂改。</w:t>
      </w:r>
    </w:p>
    <w:p>
      <w:pPr>
        <w:spacing w:line="520" w:lineRule="exact"/>
        <w:ind w:firstLine="484"/>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全包维保授权承诺：若本单位成功中标，将在签订合同前，向贵单位提供由上述电梯品牌制造商直接出具的维保授权文件。本单位凭此授权具备对所投品牌电梯进行安装后维保服务的合法资格，可按照招标文件要求、制造商标准及相关规范为电梯提供全包维保服务，维保授权真实有效且在服务期内。</w:t>
      </w:r>
    </w:p>
    <w:p>
      <w:pPr>
        <w:spacing w:line="520" w:lineRule="exact"/>
        <w:ind w:firstLine="484"/>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免费原厂整机质保承诺：若本单位成功中标，将在签订合同前，向贵单位提供由上述电梯品牌制造商直接出具的免费原厂整机质保承诺文件。该文件明确承诺对所投电梯提供免费原厂整机质保服务，质保年限为</w:t>
      </w:r>
      <w:r>
        <w:rPr>
          <w:rFonts w:hint="eastAsia" w:ascii="仿宋" w:hAnsi="仿宋" w:eastAsia="仿宋" w:cs="仿宋"/>
          <w:color w:val="000000"/>
          <w:sz w:val="28"/>
          <w:szCs w:val="28"/>
          <w:highlight w:val="none"/>
          <w:u w:val="single"/>
        </w:rPr>
        <w:t>（投标响应的电梯免费原厂整机质保年限）</w:t>
      </w:r>
      <w:r>
        <w:rPr>
          <w:rFonts w:hint="eastAsia" w:ascii="仿宋" w:hAnsi="仿宋" w:eastAsia="仿宋" w:cs="仿宋"/>
          <w:color w:val="000000"/>
          <w:sz w:val="28"/>
          <w:szCs w:val="28"/>
          <w:highlight w:val="none"/>
        </w:rPr>
        <w:t>年，质保范围及标准均符合本次招标文件要求。</w:t>
      </w:r>
    </w:p>
    <w:p>
      <w:pPr>
        <w:spacing w:line="520" w:lineRule="exact"/>
        <w:ind w:firstLine="484"/>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4、免费原厂整机质保及免费全包维保保障承诺：若本单位成功中标，将在签订合同前，向贵单位提供由上述电梯品牌制造商直接出具的免费原厂整机质保及免费全包维保承诺文件。主要内为：在本次招标约定的电梯免费原厂整机质保期及免费全包维保期内（</w:t>
      </w:r>
      <w:r>
        <w:rPr>
          <w:rFonts w:hint="eastAsia" w:ascii="仿宋" w:hAnsi="仿宋" w:eastAsia="仿宋" w:cs="仿宋"/>
          <w:color w:val="000000"/>
          <w:sz w:val="28"/>
          <w:szCs w:val="28"/>
          <w:highlight w:val="none"/>
          <w:u w:val="single"/>
        </w:rPr>
        <w:t>投标响应的电梯免费原厂整机质保及免费全包维保年限</w:t>
      </w:r>
      <w:r>
        <w:rPr>
          <w:rFonts w:hint="eastAsia" w:ascii="仿宋" w:hAnsi="仿宋" w:eastAsia="仿宋" w:cs="仿宋"/>
          <w:color w:val="000000"/>
          <w:sz w:val="28"/>
          <w:szCs w:val="28"/>
          <w:highlight w:val="none"/>
        </w:rPr>
        <w:t>年），若经品牌制造商授权的原维保单位因自身退出或其他任何原因无法继续履行维保义务，由该电梯品牌制造商负责另行安排具备相应资质的维保单位承接后续维保工作，且该等后续维保服务仍属于原免费原厂整机质保及免费全包维保范围，相关维保任务及全部费用均由品牌制造商或其安排的维保单位承担，招标单位无需额外支付任何费用。</w:t>
      </w:r>
    </w:p>
    <w:p>
      <w:pPr>
        <w:spacing w:line="520" w:lineRule="exact"/>
        <w:ind w:firstLine="484"/>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本单位对上述承诺内容的真实性、合法性承担全部法律责任。若违反本承诺，本单位自愿承担由此给贵单位造成的一切损失，并接受贵单位依据招标文件及相关法律法规作出的处理。</w:t>
      </w:r>
    </w:p>
    <w:p>
      <w:pPr>
        <w:spacing w:line="520" w:lineRule="exact"/>
        <w:jc w:val="center"/>
        <w:rPr>
          <w:rFonts w:hint="eastAsia" w:ascii="仿宋" w:hAnsi="仿宋" w:eastAsia="仿宋" w:cs="仿宋"/>
          <w:color w:val="000000"/>
          <w:sz w:val="28"/>
          <w:szCs w:val="28"/>
          <w:highlight w:val="none"/>
          <w:lang w:eastAsia="zh-CN"/>
        </w:rPr>
      </w:pPr>
    </w:p>
    <w:p>
      <w:pPr>
        <w:spacing w:line="520" w:lineRule="exact"/>
        <w:jc w:val="center"/>
        <w:rPr>
          <w:rFonts w:hint="eastAsia" w:ascii="仿宋" w:hAnsi="仿宋" w:eastAsia="仿宋" w:cs="仿宋"/>
          <w:color w:val="000000"/>
          <w:sz w:val="28"/>
          <w:szCs w:val="28"/>
          <w:highlight w:val="none"/>
        </w:rPr>
      </w:pPr>
    </w:p>
    <w:p>
      <w:pPr>
        <w:spacing w:line="520" w:lineRule="exact"/>
        <w:jc w:val="center"/>
        <w:rPr>
          <w:rFonts w:hint="eastAsia" w:ascii="仿宋" w:hAnsi="仿宋" w:eastAsia="仿宋" w:cs="仿宋"/>
          <w:color w:val="000000"/>
          <w:sz w:val="28"/>
          <w:szCs w:val="28"/>
          <w:highlight w:val="none"/>
        </w:rPr>
      </w:pPr>
    </w:p>
    <w:p>
      <w:pPr>
        <w:spacing w:line="520" w:lineRule="exact"/>
        <w:jc w:val="center"/>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投标人:</w:t>
      </w:r>
      <w:r>
        <w:rPr>
          <w:rFonts w:hint="eastAsia" w:ascii="仿宋" w:hAnsi="仿宋" w:eastAsia="仿宋" w:cs="仿宋"/>
          <w:color w:val="000000"/>
          <w:sz w:val="28"/>
          <w:szCs w:val="28"/>
          <w:highlight w:val="none"/>
          <w:u w:val="single"/>
          <w:lang w:val="zh-CN"/>
        </w:rPr>
        <w:t>（电子签章）</w:t>
      </w:r>
    </w:p>
    <w:p>
      <w:pPr>
        <w:spacing w:line="520" w:lineRule="exact"/>
        <w:jc w:val="center"/>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法定代表人:</w:t>
      </w:r>
      <w:r>
        <w:rPr>
          <w:rFonts w:hint="eastAsia" w:ascii="仿宋" w:hAnsi="仿宋" w:eastAsia="仿宋" w:cs="仿宋"/>
          <w:color w:val="000000"/>
          <w:sz w:val="28"/>
          <w:szCs w:val="28"/>
          <w:highlight w:val="none"/>
          <w:u w:val="single"/>
        </w:rPr>
        <w:t>（电子签章或电子签字）</w:t>
      </w:r>
    </w:p>
    <w:p>
      <w:pPr>
        <w:spacing w:line="520" w:lineRule="exact"/>
        <w:jc w:val="center"/>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lang w:val="zh-CN"/>
        </w:rPr>
        <w:t>日期</w:t>
      </w: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val="zh-CN"/>
        </w:rPr>
        <w:t>年月日</w:t>
      </w:r>
    </w:p>
    <w:p>
      <w:pPr>
        <w:jc w:val="center"/>
        <w:rPr>
          <w:rFonts w:hint="eastAsia" w:ascii="仿宋" w:hAnsi="仿宋" w:eastAsia="仿宋" w:cs="仿宋"/>
          <w:b/>
          <w:color w:val="000000"/>
          <w:sz w:val="28"/>
          <w:szCs w:val="28"/>
          <w:highlight w:val="none"/>
        </w:rPr>
      </w:pP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注:</w:t>
      </w:r>
      <w:r>
        <w:rPr>
          <w:rFonts w:hint="eastAsia" w:ascii="仿宋" w:hAnsi="仿宋" w:eastAsia="仿宋" w:cs="仿宋"/>
          <w:color w:val="000000"/>
          <w:sz w:val="28"/>
          <w:szCs w:val="28"/>
          <w:highlight w:val="none"/>
          <w:lang w:val="zh-CN"/>
        </w:rPr>
        <w:t>电梯制造商参加投标的，</w:t>
      </w:r>
      <w:r>
        <w:rPr>
          <w:rFonts w:hint="eastAsia" w:ascii="仿宋" w:hAnsi="仿宋" w:eastAsia="仿宋" w:cs="仿宋"/>
          <w:color w:val="000000"/>
          <w:sz w:val="28"/>
          <w:szCs w:val="28"/>
          <w:highlight w:val="none"/>
        </w:rPr>
        <w:t>不需提供此承诺书。</w:t>
      </w:r>
    </w:p>
    <w:p>
      <w:pPr>
        <w:pStyle w:val="37"/>
        <w:rPr>
          <w:color w:val="000000" w:themeColor="text1"/>
          <w:highlight w:val="none"/>
          <w14:textFill>
            <w14:solidFill>
              <w14:schemeClr w14:val="tx1"/>
            </w14:solidFill>
          </w14:textFill>
        </w:rPr>
      </w:pPr>
    </w:p>
    <w:sectPr>
      <w:footerReference r:id="rId5" w:type="default"/>
      <w:footerReference r:id="rId6" w:type="even"/>
      <w:pgSz w:w="11906" w:h="16838"/>
      <w:pgMar w:top="1560" w:right="1418" w:bottom="1440" w:left="1797" w:header="851" w:footer="992" w:gutter="0"/>
      <w:pgBorders>
        <w:top w:val="none" w:sz="0" w:space="0"/>
        <w:left w:val="none" w:sz="0" w:space="0"/>
        <w:bottom w:val="none" w:sz="0" w:space="0"/>
        <w:right w:val="none" w:sz="0" w:space="0"/>
      </w:pgBorders>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彩云">
    <w:altName w:val="微软雅黑"/>
    <w:panose1 w:val="02010800040101010101"/>
    <w:charset w:val="86"/>
    <w:family w:val="auto"/>
    <w:pitch w:val="default"/>
    <w:sig w:usb0="00000000" w:usb1="00000000" w:usb2="00000000" w:usb3="00000000" w:csb0="00040000" w:csb1="00000000"/>
  </w:font>
  <w:font w:name="方正仿宋简体">
    <w:altName w:val="微软雅黑"/>
    <w:panose1 w:val="02010601030101010101"/>
    <w:charset w:val="86"/>
    <w:family w:val="auto"/>
    <w:pitch w:val="default"/>
    <w:sig w:usb0="00000000" w:usb1="00000000" w:usb2="00000000" w:usb3="00000000" w:csb0="00040000"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monospace">
    <w:altName w:val="Yu Gothic UI"/>
    <w:panose1 w:val="020B0503020202020204"/>
    <w:charset w:val="00"/>
    <w:family w:val="auto"/>
    <w:pitch w:val="default"/>
    <w:sig w:usb0="00000000" w:usb1="00000000" w:usb2="00000000" w:usb3="00000000" w:csb0="00000000" w:csb1="00000000"/>
  </w:font>
  <w:font w:name="Constantia">
    <w:panose1 w:val="02030602050306030303"/>
    <w:charset w:val="00"/>
    <w:family w:val="auto"/>
    <w:pitch w:val="default"/>
    <w:sig w:usb0="A00002EF" w:usb1="4000204B" w:usb2="00000000" w:usb3="00000000" w:csb0="2000019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Adobe 仿宋 Std R">
    <w:altName w:val="仿宋"/>
    <w:panose1 w:val="02020400000000000000"/>
    <w:charset w:val="86"/>
    <w:family w:val="auto"/>
    <w:pitch w:val="default"/>
    <w:sig w:usb0="00000000" w:usb1="00000000" w:usb2="00000016" w:usb3="00000000" w:csb0="00060007" w:csb1="00000000"/>
  </w:font>
  <w:font w:name="方正仿宋_GB2312">
    <w:altName w:val="仿宋"/>
    <w:panose1 w:val="02000000000000000000"/>
    <w:charset w:val="86"/>
    <w:family w:val="auto"/>
    <w:pitch w:val="default"/>
    <w:sig w:usb0="00000000" w:usb1="00000000" w:usb2="00000000" w:usb3="00000000" w:csb0="00000000" w:csb1="00000000"/>
  </w:font>
  <w:font w:name="华文仿宋">
    <w:altName w:val="仿宋"/>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471"/>
      <w:rPr>
        <w:rFonts w:hint="default" w:ascii="Calibri" w:hAnsi="Calibri" w:eastAsia="Calibri" w:cs="Calibri"/>
        <w:sz w:val="18"/>
        <w:szCs w:val="18"/>
        <w:lang w:val="en-US"/>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49</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R1yZaEwIAABMEAAAOAAAAAAAAAAEA&#10;IAAAAB8BAABkcnMvZTJvRG9jLnhtbFBLBQYAAAAABgAGAFkBAACkBQAAAAA=&#10;">
              <v:fill on="f" focussize="0,0"/>
              <v:stroke on="f" weight="0.5pt"/>
              <v:imagedata o:title=""/>
              <o:lock v:ext="edit" aspectratio="f"/>
              <v:textbox inset="0mm,0mm,0mm,0mm" style="mso-fit-shape-to-text:t;">
                <w:txbxContent>
                  <w:p>
                    <w:pPr>
                      <w:pStyle w:val="2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49</w:t>
                    </w:r>
                    <w:r>
                      <w:rPr>
                        <w:rFonts w:hint="eastAsia"/>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2"/>
      <w:framePr w:wrap="around" w:vAnchor="text" w:hAnchor="margin" w:xAlign="center" w:y="1"/>
      <w:rPr>
        <w:rStyle w:val="226"/>
      </w:rPr>
    </w:pPr>
    <w:r>
      <w:fldChar w:fldCharType="begin"/>
    </w:r>
    <w:r>
      <w:rPr>
        <w:rStyle w:val="226"/>
      </w:rPr>
      <w:instrText xml:space="preserve">PAGE  </w:instrText>
    </w:r>
    <w:r>
      <w:fldChar w:fldCharType="end"/>
    </w:r>
  </w:p>
  <w:p>
    <w:pPr>
      <w:pStyle w:val="2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single" w:color="auto" w:sz="4" w:space="0"/>
      </w:pBdr>
      <w:jc w:val="center"/>
      <w:rPr>
        <w:rFonts w:hint="eastAsia" w:ascii="仿宋" w:hAnsi="仿宋" w:eastAsia="仿宋" w:cs="仿宋"/>
        <w:b/>
        <w:bCs/>
        <w:sz w:val="30"/>
        <w:szCs w:val="30"/>
      </w:rPr>
    </w:pPr>
    <w:r>
      <w:rPr>
        <w:rFonts w:hint="eastAsia" w:ascii="仿宋" w:hAnsi="仿宋" w:eastAsia="仿宋" w:cs="仿宋"/>
        <w:b/>
        <w:bCs/>
        <w:sz w:val="30"/>
        <w:szCs w:val="30"/>
      </w:rPr>
      <w:t>淮安市政府采购项目公开招标文件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88B902"/>
    <w:multiLevelType w:val="multilevel"/>
    <w:tmpl w:val="9288B902"/>
    <w:lvl w:ilvl="0" w:tentative="0">
      <w:start w:val="2"/>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E923771"/>
    <w:multiLevelType w:val="multilevel"/>
    <w:tmpl w:val="BE923771"/>
    <w:lvl w:ilvl="0" w:tentative="0">
      <w:start w:val="1"/>
      <w:numFmt w:val="chineseCountingThousand"/>
      <w:pStyle w:val="268"/>
      <w:suff w:val="nothing"/>
      <w:lvlText w:val="第%1章"/>
      <w:lvlJc w:val="left"/>
      <w:pPr>
        <w:ind w:left="640" w:firstLine="0"/>
      </w:pPr>
      <w:rPr>
        <w:rFonts w:hint="eastAsia"/>
      </w:rPr>
    </w:lvl>
    <w:lvl w:ilvl="1" w:tentative="0">
      <w:start w:val="1"/>
      <w:numFmt w:val="decimal"/>
      <w:suff w:val="nothing"/>
      <w:lvlText w:val=""/>
      <w:lvlJc w:val="left"/>
      <w:pPr>
        <w:ind w:left="640" w:firstLine="0"/>
      </w:pPr>
      <w:rPr>
        <w:rFonts w:hint="eastAsia"/>
      </w:rPr>
    </w:lvl>
    <w:lvl w:ilvl="2" w:tentative="0">
      <w:start w:val="1"/>
      <w:numFmt w:val="decimal"/>
      <w:suff w:val="nothing"/>
      <w:lvlText w:val=""/>
      <w:lvlJc w:val="left"/>
      <w:pPr>
        <w:ind w:left="640" w:firstLine="0"/>
      </w:pPr>
      <w:rPr>
        <w:rFonts w:hint="eastAsia"/>
      </w:rPr>
    </w:lvl>
    <w:lvl w:ilvl="3" w:tentative="0">
      <w:start w:val="1"/>
      <w:numFmt w:val="decimal"/>
      <w:suff w:val="nothing"/>
      <w:lvlText w:val=""/>
      <w:lvlJc w:val="left"/>
      <w:pPr>
        <w:ind w:left="640" w:firstLine="0"/>
      </w:pPr>
      <w:rPr>
        <w:rFonts w:hint="eastAsia"/>
      </w:rPr>
    </w:lvl>
    <w:lvl w:ilvl="4" w:tentative="0">
      <w:start w:val="1"/>
      <w:numFmt w:val="decimal"/>
      <w:suff w:val="nothing"/>
      <w:lvlText w:val=""/>
      <w:lvlJc w:val="left"/>
      <w:pPr>
        <w:ind w:left="640" w:firstLine="0"/>
      </w:pPr>
      <w:rPr>
        <w:rFonts w:hint="eastAsia"/>
      </w:rPr>
    </w:lvl>
    <w:lvl w:ilvl="5" w:tentative="0">
      <w:start w:val="1"/>
      <w:numFmt w:val="decimal"/>
      <w:suff w:val="nothing"/>
      <w:lvlText w:val=""/>
      <w:lvlJc w:val="left"/>
      <w:pPr>
        <w:ind w:left="640" w:firstLine="0"/>
      </w:pPr>
      <w:rPr>
        <w:rFonts w:hint="eastAsia"/>
      </w:rPr>
    </w:lvl>
    <w:lvl w:ilvl="6" w:tentative="0">
      <w:start w:val="1"/>
      <w:numFmt w:val="decimal"/>
      <w:suff w:val="nothing"/>
      <w:lvlText w:val=""/>
      <w:lvlJc w:val="left"/>
      <w:pPr>
        <w:ind w:left="640" w:firstLine="0"/>
      </w:pPr>
      <w:rPr>
        <w:rFonts w:hint="eastAsia"/>
      </w:rPr>
    </w:lvl>
    <w:lvl w:ilvl="7" w:tentative="0">
      <w:start w:val="1"/>
      <w:numFmt w:val="decimal"/>
      <w:suff w:val="nothing"/>
      <w:lvlText w:val=""/>
      <w:lvlJc w:val="left"/>
      <w:pPr>
        <w:ind w:left="640" w:firstLine="0"/>
      </w:pPr>
      <w:rPr>
        <w:rFonts w:hint="eastAsia"/>
      </w:rPr>
    </w:lvl>
    <w:lvl w:ilvl="8" w:tentative="0">
      <w:start w:val="1"/>
      <w:numFmt w:val="decimal"/>
      <w:suff w:val="nothing"/>
      <w:lvlText w:val=""/>
      <w:lvlJc w:val="left"/>
      <w:pPr>
        <w:ind w:left="640" w:firstLine="0"/>
      </w:pPr>
      <w:rPr>
        <w:rFonts w:hint="eastAsia"/>
      </w:rPr>
    </w:lvl>
  </w:abstractNum>
  <w:abstractNum w:abstractNumId="2">
    <w:nsid w:val="D1C31456"/>
    <w:multiLevelType w:val="singleLevel"/>
    <w:tmpl w:val="D1C31456"/>
    <w:lvl w:ilvl="0" w:tentative="0">
      <w:start w:val="1"/>
      <w:numFmt w:val="chineseCounting"/>
      <w:suff w:val="nothing"/>
      <w:lvlText w:val="%1、"/>
      <w:lvlJc w:val="left"/>
      <w:rPr>
        <w:rFonts w:hint="eastAsia"/>
      </w:rPr>
    </w:lvl>
  </w:abstractNum>
  <w:abstractNum w:abstractNumId="3">
    <w:nsid w:val="62794958"/>
    <w:multiLevelType w:val="singleLevel"/>
    <w:tmpl w:val="62794958"/>
    <w:lvl w:ilvl="0" w:tentative="0">
      <w:start w:val="3"/>
      <w:numFmt w:val="chineseCounting"/>
      <w:suff w:val="nothing"/>
      <w:lvlText w:val="（%1）"/>
      <w:lvlJc w:val="left"/>
      <w:rPr>
        <w:rFonts w:hint="eastAsia"/>
      </w:rPr>
    </w:lvl>
  </w:abstractNum>
  <w:abstractNum w:abstractNumId="4">
    <w:nsid w:val="77ECEA79"/>
    <w:multiLevelType w:val="multilevel"/>
    <w:tmpl w:val="77ECEA79"/>
    <w:lvl w:ilvl="0" w:tentative="0">
      <w:start w:val="2"/>
      <w:numFmt w:val="chineseCountingThousand"/>
      <w:pStyle w:val="271"/>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5">
    <w:nsid w:val="7C246926"/>
    <w:multiLevelType w:val="multilevel"/>
    <w:tmpl w:val="7C246926"/>
    <w:lvl w:ilvl="0" w:tentative="0">
      <w:start w:val="1"/>
      <w:numFmt w:val="chineseCountingThousand"/>
      <w:pStyle w:val="258"/>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F86714"/>
    <w:rsid w:val="0551030F"/>
    <w:rsid w:val="06370B30"/>
    <w:rsid w:val="07C33478"/>
    <w:rsid w:val="0DB65ADF"/>
    <w:rsid w:val="11F438B9"/>
    <w:rsid w:val="122E6329"/>
    <w:rsid w:val="13C00842"/>
    <w:rsid w:val="174D36A0"/>
    <w:rsid w:val="17BD7343"/>
    <w:rsid w:val="1B537B0D"/>
    <w:rsid w:val="1BC1159E"/>
    <w:rsid w:val="1E094DB9"/>
    <w:rsid w:val="1FF22B62"/>
    <w:rsid w:val="22C91CAA"/>
    <w:rsid w:val="241814AE"/>
    <w:rsid w:val="25A66872"/>
    <w:rsid w:val="268B72BC"/>
    <w:rsid w:val="26EB5795"/>
    <w:rsid w:val="2EAE3DCA"/>
    <w:rsid w:val="311F1BAF"/>
    <w:rsid w:val="34C56F56"/>
    <w:rsid w:val="35783515"/>
    <w:rsid w:val="36BB5B7A"/>
    <w:rsid w:val="36D11AED"/>
    <w:rsid w:val="3A3165F6"/>
    <w:rsid w:val="3B2922B8"/>
    <w:rsid w:val="3D6C2BC5"/>
    <w:rsid w:val="3F061130"/>
    <w:rsid w:val="412E0FA7"/>
    <w:rsid w:val="445D4668"/>
    <w:rsid w:val="44BE4297"/>
    <w:rsid w:val="46C27E40"/>
    <w:rsid w:val="48292440"/>
    <w:rsid w:val="48427360"/>
    <w:rsid w:val="4D4E707E"/>
    <w:rsid w:val="4F2C1AE4"/>
    <w:rsid w:val="50D40DA8"/>
    <w:rsid w:val="53E50F7C"/>
    <w:rsid w:val="572E6452"/>
    <w:rsid w:val="58B271A6"/>
    <w:rsid w:val="5A2D3386"/>
    <w:rsid w:val="6632413E"/>
    <w:rsid w:val="67071B77"/>
    <w:rsid w:val="67877C4C"/>
    <w:rsid w:val="67A652D0"/>
    <w:rsid w:val="6B7C2944"/>
    <w:rsid w:val="706332A8"/>
    <w:rsid w:val="726D1DE4"/>
    <w:rsid w:val="74CA5493"/>
    <w:rsid w:val="7AC03816"/>
    <w:rsid w:val="7ACE3F5D"/>
    <w:rsid w:val="7F0158A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79"/>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39"/>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0"/>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3"/>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Layout w:type="fixed"/>
      <w:tblCellMar>
        <w:top w:w="0" w:type="dxa"/>
        <w:left w:w="108" w:type="dxa"/>
        <w:bottom w:w="0" w:type="dxa"/>
        <w:right w:w="108" w:type="dxa"/>
      </w:tblCellMar>
    </w:tblPr>
  </w:style>
  <w:style w:type="paragraph" w:customStyle="1" w:styleId="2">
    <w:name w:val="首行缩进"/>
    <w:basedOn w:val="1"/>
    <w:qFormat/>
    <w:uiPriority w:val="0"/>
    <w:pPr>
      <w:spacing w:line="360" w:lineRule="auto"/>
      <w:ind w:firstLine="420"/>
    </w:pPr>
    <w:rPr>
      <w:sz w:val="20"/>
    </w:rPr>
  </w:style>
  <w:style w:type="paragraph" w:styleId="12">
    <w:name w:val="toc 7"/>
    <w:basedOn w:val="1"/>
    <w:next w:val="1"/>
    <w:unhideWhenUsed/>
    <w:qFormat/>
    <w:uiPriority w:val="39"/>
    <w:pPr>
      <w:spacing w:after="57"/>
      <w:ind w:left="1701" w:right="0" w:firstLine="0"/>
    </w:pPr>
  </w:style>
  <w:style w:type="paragraph" w:styleId="13">
    <w:name w:val="Normal Indent"/>
    <w:basedOn w:val="1"/>
    <w:qFormat/>
    <w:uiPriority w:val="0"/>
    <w:pPr>
      <w:ind w:firstLine="420"/>
    </w:pPr>
    <w:rPr>
      <w:szCs w:val="20"/>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Body Text"/>
    <w:basedOn w:val="1"/>
    <w:next w:val="13"/>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5"/>
    <w:semiHidden/>
    <w:unhideWhenUsed/>
    <w:qFormat/>
    <w:uiPriority w:val="99"/>
    <w:pPr>
      <w:spacing w:after="0" w:line="240" w:lineRule="auto"/>
    </w:pPr>
    <w:rPr>
      <w:sz w:val="20"/>
    </w:rPr>
  </w:style>
  <w:style w:type="paragraph" w:styleId="20">
    <w:name w:val="footer"/>
    <w:basedOn w:val="1"/>
    <w:link w:val="58"/>
    <w:unhideWhenUsed/>
    <w:qFormat/>
    <w:uiPriority w:val="99"/>
    <w:pPr>
      <w:tabs>
        <w:tab w:val="center" w:pos="7143"/>
        <w:tab w:val="right" w:pos="14287"/>
      </w:tabs>
      <w:spacing w:after="0" w:line="240" w:lineRule="auto"/>
    </w:pPr>
  </w:style>
  <w:style w:type="paragraph" w:styleId="21">
    <w:name w:val="header"/>
    <w:basedOn w:val="1"/>
    <w:link w:val="56"/>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1"/>
    <w:qFormat/>
    <w:uiPriority w:val="11"/>
    <w:pPr>
      <w:spacing w:before="200" w:after="200"/>
    </w:pPr>
    <w:rPr>
      <w:sz w:val="24"/>
      <w:szCs w:val="24"/>
    </w:rPr>
  </w:style>
  <w:style w:type="paragraph" w:styleId="25">
    <w:name w:val="footnote text"/>
    <w:basedOn w:val="1"/>
    <w:link w:val="184"/>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Title"/>
    <w:basedOn w:val="1"/>
    <w:next w:val="1"/>
    <w:link w:val="50"/>
    <w:qFormat/>
    <w:uiPriority w:val="10"/>
    <w:pPr>
      <w:spacing w:before="300" w:after="200"/>
      <w:contextualSpacing/>
    </w:pPr>
    <w:rPr>
      <w:sz w:val="48"/>
      <w:szCs w:val="48"/>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paragraph" w:customStyle="1" w:styleId="37">
    <w:name w:val="[Normal]"/>
    <w:qFormat/>
    <w:uiPriority w:val="0"/>
    <w:rPr>
      <w:rFonts w:hint="default" w:ascii="方正仿宋简体" w:hAnsi="方正仿宋简体" w:eastAsia="方正仿宋简体" w:cs="Courier New"/>
      <w:sz w:val="24"/>
      <w:szCs w:val="22"/>
      <w:lang w:val="zh-CN" w:eastAsia="zh-CN" w:bidi="ar-SA"/>
    </w:rPr>
  </w:style>
  <w:style w:type="paragraph" w:customStyle="1" w:styleId="38">
    <w:name w:val="BodyText1"/>
    <w:basedOn w:val="1"/>
    <w:qFormat/>
    <w:uiPriority w:val="0"/>
    <w:pPr>
      <w:spacing w:after="120"/>
      <w:jc w:val="both"/>
    </w:pPr>
  </w:style>
  <w:style w:type="character" w:customStyle="1" w:styleId="39">
    <w:name w:val="Heading 1 Char"/>
    <w:link w:val="3"/>
    <w:qFormat/>
    <w:uiPriority w:val="9"/>
    <w:rPr>
      <w:rFonts w:ascii="Arial" w:hAnsi="Arial" w:eastAsia="Arial" w:cs="Arial"/>
      <w:sz w:val="40"/>
      <w:szCs w:val="40"/>
    </w:rPr>
  </w:style>
  <w:style w:type="character" w:customStyle="1" w:styleId="40">
    <w:name w:val="Heading 2 Char"/>
    <w:link w:val="4"/>
    <w:qFormat/>
    <w:uiPriority w:val="9"/>
    <w:rPr>
      <w:rFonts w:ascii="Arial" w:hAnsi="Arial" w:eastAsia="Arial" w:cs="Arial"/>
      <w:sz w:val="34"/>
    </w:rPr>
  </w:style>
  <w:style w:type="character" w:customStyle="1" w:styleId="41">
    <w:name w:val="Heading 3 Char"/>
    <w:link w:val="5"/>
    <w:qFormat/>
    <w:uiPriority w:val="9"/>
    <w:rPr>
      <w:rFonts w:ascii="Arial" w:hAnsi="Arial" w:eastAsia="Arial" w:cs="Arial"/>
      <w:sz w:val="30"/>
      <w:szCs w:val="30"/>
    </w:rPr>
  </w:style>
  <w:style w:type="character" w:customStyle="1" w:styleId="42">
    <w:name w:val="Heading 4 Char"/>
    <w:link w:val="6"/>
    <w:qFormat/>
    <w:uiPriority w:val="9"/>
    <w:rPr>
      <w:rFonts w:ascii="Arial" w:hAnsi="Arial" w:eastAsia="Arial" w:cs="Arial"/>
      <w:b/>
      <w:bCs/>
      <w:sz w:val="26"/>
      <w:szCs w:val="26"/>
    </w:rPr>
  </w:style>
  <w:style w:type="character" w:customStyle="1" w:styleId="43">
    <w:name w:val="Heading 5 Char"/>
    <w:link w:val="7"/>
    <w:qFormat/>
    <w:uiPriority w:val="9"/>
    <w:rPr>
      <w:rFonts w:ascii="Arial" w:hAnsi="Arial" w:eastAsia="Arial" w:cs="Arial"/>
      <w:b/>
      <w:bCs/>
      <w:sz w:val="24"/>
      <w:szCs w:val="24"/>
    </w:rPr>
  </w:style>
  <w:style w:type="character" w:customStyle="1" w:styleId="44">
    <w:name w:val="Heading 6 Char"/>
    <w:link w:val="8"/>
    <w:qFormat/>
    <w:uiPriority w:val="9"/>
    <w:rPr>
      <w:rFonts w:ascii="Arial" w:hAnsi="Arial" w:eastAsia="Arial" w:cs="Arial"/>
      <w:b/>
      <w:bCs/>
      <w:sz w:val="22"/>
      <w:szCs w:val="22"/>
    </w:rPr>
  </w:style>
  <w:style w:type="character" w:customStyle="1" w:styleId="45">
    <w:name w:val="Heading 7 Char"/>
    <w:link w:val="9"/>
    <w:qFormat/>
    <w:uiPriority w:val="9"/>
    <w:rPr>
      <w:rFonts w:ascii="Arial" w:hAnsi="Arial" w:eastAsia="Arial" w:cs="Arial"/>
      <w:b/>
      <w:bCs/>
      <w:i/>
      <w:iCs/>
      <w:sz w:val="22"/>
      <w:szCs w:val="22"/>
    </w:rPr>
  </w:style>
  <w:style w:type="character" w:customStyle="1" w:styleId="46">
    <w:name w:val="Heading 8 Char"/>
    <w:link w:val="10"/>
    <w:qFormat/>
    <w:uiPriority w:val="9"/>
    <w:rPr>
      <w:rFonts w:ascii="Arial" w:hAnsi="Arial" w:eastAsia="Arial" w:cs="Arial"/>
      <w:i/>
      <w:iCs/>
      <w:sz w:val="22"/>
      <w:szCs w:val="22"/>
    </w:rPr>
  </w:style>
  <w:style w:type="character" w:customStyle="1" w:styleId="47">
    <w:name w:val="Heading 9 Char"/>
    <w:link w:val="11"/>
    <w:qFormat/>
    <w:uiPriority w:val="9"/>
    <w:rPr>
      <w:rFonts w:ascii="Arial" w:hAnsi="Arial" w:eastAsia="Arial" w:cs="Arial"/>
      <w:i/>
      <w:iCs/>
      <w:sz w:val="21"/>
      <w:szCs w:val="21"/>
    </w:rPr>
  </w:style>
  <w:style w:type="paragraph" w:styleId="48">
    <w:name w:val="List Paragraph"/>
    <w:basedOn w:val="1"/>
    <w:qFormat/>
    <w:uiPriority w:val="34"/>
    <w:pPr>
      <w:ind w:left="720"/>
      <w:contextualSpacing/>
    </w:pPr>
  </w:style>
  <w:style w:type="paragraph" w:styleId="49">
    <w:name w:val="No Spacing"/>
    <w:qFormat/>
    <w:uiPriority w:val="1"/>
    <w:pPr>
      <w:spacing w:before="0" w:after="0" w:line="240" w:lineRule="auto"/>
    </w:pPr>
    <w:rPr>
      <w:rFonts w:hint="default" w:ascii="Times New Roman" w:hAnsi="Times New Roman" w:eastAsia="宋体" w:cs="Times New Roman"/>
    </w:rPr>
  </w:style>
  <w:style w:type="character" w:customStyle="1" w:styleId="50">
    <w:name w:val="Title Char"/>
    <w:link w:val="30"/>
    <w:qFormat/>
    <w:uiPriority w:val="10"/>
    <w:rPr>
      <w:sz w:val="48"/>
      <w:szCs w:val="48"/>
    </w:rPr>
  </w:style>
  <w:style w:type="character" w:customStyle="1" w:styleId="51">
    <w:name w:val="Subtitle Char"/>
    <w:link w:val="24"/>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Quote Char"/>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5">
    <w:name w:val="Intense Quote Char"/>
    <w:link w:val="54"/>
    <w:qFormat/>
    <w:uiPriority w:val="30"/>
    <w:rPr>
      <w:i/>
    </w:rPr>
  </w:style>
  <w:style w:type="character" w:customStyle="1" w:styleId="56">
    <w:name w:val="Header Char"/>
    <w:link w:val="21"/>
    <w:qFormat/>
    <w:uiPriority w:val="99"/>
  </w:style>
  <w:style w:type="character" w:customStyle="1" w:styleId="57">
    <w:name w:val="Footer Char"/>
    <w:link w:val="20"/>
    <w:qFormat/>
    <w:uiPriority w:val="99"/>
  </w:style>
  <w:style w:type="character" w:customStyle="1" w:styleId="58">
    <w:name w:val="Caption Char"/>
    <w:link w:val="20"/>
    <w:qFormat/>
    <w:uiPriority w:val="99"/>
  </w:style>
  <w:style w:type="table" w:customStyle="1" w:styleId="59">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style>
  <w:style w:type="table" w:customStyle="1" w:styleId="60">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7">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8">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9">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0">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1">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2">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8">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5">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6">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7">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8">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9">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0">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4">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6">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7">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4">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6">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7">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8">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9">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0">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1">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0">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1">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2">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3">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4">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5">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4">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5">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6">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7">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8">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9">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Layout w:type="fixed"/>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Layout w:type="fixed"/>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1">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Layout w:type="fixed"/>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Layout w:type="fixed"/>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Layout w:type="fixed"/>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Layout w:type="fixed"/>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Layout w:type="fixed"/>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6">
    <w:name w:val="List Table 7 Colorful"/>
    <w:qFormat/>
    <w:uiPriority w:val="99"/>
    <w:pPr>
      <w:spacing w:after="0" w:line="240" w:lineRule="auto"/>
    </w:pPr>
    <w:tblPr>
      <w:tblBorders>
        <w:right w:val="single" w:color="7E7E7E" w:themeColor="text1" w:themeTint="80" w:sz="4" w:space="0"/>
      </w:tblBorders>
      <w:tblLayout w:type="fixed"/>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qFormat/>
    <w:uiPriority w:val="99"/>
    <w:pPr>
      <w:spacing w:after="0" w:line="240" w:lineRule="auto"/>
    </w:pPr>
    <w:tblPr>
      <w:tblBorders>
        <w:right w:val="single" w:color="4F81BD" w:themeColor="accent1" w:sz="4" w:space="0"/>
      </w:tblBorders>
      <w:tblLayout w:type="fixed"/>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7 Colorful - Accent 2"/>
    <w:qFormat/>
    <w:uiPriority w:val="99"/>
    <w:pPr>
      <w:spacing w:after="0" w:line="240" w:lineRule="auto"/>
    </w:pPr>
    <w:tblPr>
      <w:tblBorders>
        <w:right w:val="single" w:color="D99795" w:themeColor="accent2" w:themeTint="97" w:sz="4" w:space="0"/>
      </w:tblBorders>
      <w:tblLayout w:type="fixed"/>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qFormat/>
    <w:uiPriority w:val="99"/>
    <w:pPr>
      <w:spacing w:after="0" w:line="240" w:lineRule="auto"/>
    </w:pPr>
    <w:tblPr>
      <w:tblBorders>
        <w:right w:val="single" w:color="C3D69C" w:themeColor="accent3" w:themeTint="98" w:sz="4" w:space="0"/>
      </w:tblBorders>
      <w:tblLayout w:type="fixed"/>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qFormat/>
    <w:uiPriority w:val="99"/>
    <w:pPr>
      <w:spacing w:after="0" w:line="240" w:lineRule="auto"/>
    </w:pPr>
    <w:tblPr>
      <w:tblBorders>
        <w:right w:val="single" w:color="B2A1C6" w:themeColor="accent4" w:themeTint="9A" w:sz="4" w:space="0"/>
      </w:tblBorders>
      <w:tblLayout w:type="fixed"/>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qFormat/>
    <w:uiPriority w:val="99"/>
    <w:pPr>
      <w:spacing w:after="0" w:line="240" w:lineRule="auto"/>
    </w:pPr>
    <w:tblPr>
      <w:tblBorders>
        <w:right w:val="single" w:color="92CCDC" w:themeColor="accent5" w:themeTint="9A" w:sz="4" w:space="0"/>
      </w:tblBorders>
      <w:tblLayout w:type="fixed"/>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qFormat/>
    <w:uiPriority w:val="99"/>
    <w:pPr>
      <w:spacing w:after="0" w:line="240" w:lineRule="auto"/>
    </w:pPr>
    <w:tblPr>
      <w:tblBorders>
        <w:right w:val="single" w:color="FAC090" w:themeColor="accent6" w:themeTint="98" w:sz="4" w:space="0"/>
      </w:tblBorders>
      <w:tblLayout w:type="fixed"/>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9">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0">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1">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2">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3">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4">
    <w:name w:val="Footnote Text Char"/>
    <w:link w:val="25"/>
    <w:qFormat/>
    <w:uiPriority w:val="99"/>
    <w:rPr>
      <w:sz w:val="18"/>
    </w:rPr>
  </w:style>
  <w:style w:type="character" w:customStyle="1" w:styleId="185">
    <w:name w:val="Endnote Text Char"/>
    <w:link w:val="19"/>
    <w:qFormat/>
    <w:uiPriority w:val="99"/>
    <w:rPr>
      <w:sz w:val="20"/>
    </w:rPr>
  </w:style>
  <w:style w:type="paragraph" w:customStyle="1" w:styleId="186">
    <w:name w:val="TOC Heading"/>
    <w:unhideWhenUsed/>
    <w:qFormat/>
    <w:uiPriority w:val="39"/>
    <w:rPr>
      <w:rFonts w:hint="default" w:ascii="Times New Roman" w:hAnsi="Times New Roman" w:eastAsia="宋体" w:cs="Times New Roman"/>
    </w:rPr>
  </w:style>
  <w:style w:type="paragraph" w:customStyle="1" w:styleId="187">
    <w:name w:val="标题 11"/>
    <w:basedOn w:val="1"/>
    <w:next w:val="1"/>
    <w:qFormat/>
    <w:uiPriority w:val="9"/>
    <w:pPr>
      <w:keepNext/>
      <w:keepLines/>
      <w:spacing w:before="340" w:after="330" w:line="578" w:lineRule="auto"/>
      <w:outlineLvl w:val="0"/>
    </w:pPr>
    <w:rPr>
      <w:b/>
      <w:bCs/>
      <w:sz w:val="44"/>
      <w:szCs w:val="44"/>
    </w:rPr>
  </w:style>
  <w:style w:type="paragraph" w:customStyle="1" w:styleId="188">
    <w:name w:val="标题 21"/>
    <w:basedOn w:val="1"/>
    <w:next w:val="189"/>
    <w:qFormat/>
    <w:uiPriority w:val="9"/>
    <w:pPr>
      <w:keepNext/>
      <w:keepLines/>
      <w:spacing w:before="260" w:after="260" w:line="413" w:lineRule="auto"/>
      <w:outlineLvl w:val="1"/>
    </w:pPr>
    <w:rPr>
      <w:rFonts w:ascii="Arial" w:hAnsi="Arial" w:eastAsia="黑体"/>
      <w:b/>
      <w:sz w:val="32"/>
      <w:szCs w:val="20"/>
    </w:rPr>
  </w:style>
  <w:style w:type="paragraph" w:customStyle="1" w:styleId="189">
    <w:name w:val="正文缩进1"/>
    <w:basedOn w:val="1"/>
    <w:link w:val="195"/>
    <w:qFormat/>
    <w:uiPriority w:val="0"/>
    <w:pPr>
      <w:ind w:firstLine="420"/>
    </w:pPr>
    <w:rPr>
      <w:szCs w:val="20"/>
    </w:rPr>
  </w:style>
  <w:style w:type="paragraph" w:customStyle="1" w:styleId="190">
    <w:name w:val="标题 31"/>
    <w:basedOn w:val="1"/>
    <w:next w:val="1"/>
    <w:qFormat/>
    <w:uiPriority w:val="9"/>
    <w:pPr>
      <w:keepNext/>
      <w:keepLines/>
      <w:spacing w:before="260" w:after="260" w:line="413" w:lineRule="auto"/>
      <w:outlineLvl w:val="2"/>
    </w:pPr>
    <w:rPr>
      <w:rFonts w:ascii="Arial" w:hAnsi="Arial"/>
      <w:b/>
      <w:sz w:val="32"/>
      <w:szCs w:val="20"/>
    </w:rPr>
  </w:style>
  <w:style w:type="paragraph" w:customStyle="1" w:styleId="191">
    <w:name w:val="标题 41"/>
    <w:basedOn w:val="1"/>
    <w:next w:val="1"/>
    <w:link w:val="196"/>
    <w:qFormat/>
    <w:uiPriority w:val="9"/>
    <w:pPr>
      <w:keepNext/>
      <w:keepLines/>
      <w:spacing w:before="280" w:after="290" w:line="376" w:lineRule="auto"/>
      <w:outlineLvl w:val="3"/>
    </w:pPr>
    <w:rPr>
      <w:rFonts w:ascii="Cambria" w:hAnsi="Cambria"/>
      <w:b/>
      <w:bCs/>
      <w:sz w:val="28"/>
      <w:szCs w:val="28"/>
    </w:rPr>
  </w:style>
  <w:style w:type="paragraph" w:customStyle="1" w:styleId="192">
    <w:name w:val="标题 51"/>
    <w:basedOn w:val="1"/>
    <w:next w:val="1"/>
    <w:link w:val="197"/>
    <w:qFormat/>
    <w:uiPriority w:val="9"/>
    <w:pPr>
      <w:keepNext/>
      <w:keepLines/>
      <w:spacing w:before="280" w:after="290" w:line="376" w:lineRule="auto"/>
      <w:outlineLvl w:val="4"/>
    </w:pPr>
    <w:rPr>
      <w:b/>
      <w:bCs/>
      <w:sz w:val="28"/>
      <w:szCs w:val="28"/>
    </w:rPr>
  </w:style>
  <w:style w:type="character" w:customStyle="1" w:styleId="193">
    <w:name w:val="默认段落字体1"/>
    <w:link w:val="1"/>
    <w:semiHidden/>
    <w:qFormat/>
    <w:uiPriority w:val="0"/>
  </w:style>
  <w:style w:type="table" w:customStyle="1" w:styleId="194">
    <w:name w:val="普通表格1"/>
    <w:semiHidden/>
    <w:qFormat/>
    <w:uiPriority w:val="0"/>
    <w:pPr>
      <w:keepNext w:val="0"/>
      <w:keepLines w:val="0"/>
      <w:widowControl/>
      <w:suppressLineNumbers w:val="0"/>
      <w:spacing w:before="0" w:beforeAutospacing="0" w:after="0" w:afterAutospacing="0"/>
      <w:ind w:left="0" w:right="0"/>
    </w:pPr>
    <w:rPr>
      <w:rFonts w:ascii="Calibri" w:hAnsi="Calibri" w:cs="Calibri"/>
      <w:sz w:val="21"/>
      <w:szCs w:val="22"/>
    </w:rPr>
  </w:style>
  <w:style w:type="character" w:customStyle="1" w:styleId="195">
    <w:name w:val="正文缩进 Char"/>
    <w:link w:val="189"/>
    <w:qFormat/>
    <w:uiPriority w:val="0"/>
    <w:rPr>
      <w:sz w:val="21"/>
    </w:rPr>
  </w:style>
  <w:style w:type="character" w:customStyle="1" w:styleId="196">
    <w:name w:val="标题 4 Char"/>
    <w:link w:val="191"/>
    <w:qFormat/>
    <w:uiPriority w:val="9"/>
    <w:rPr>
      <w:rFonts w:ascii="Cambria" w:hAnsi="Cambria"/>
      <w:b/>
      <w:bCs/>
      <w:sz w:val="28"/>
      <w:szCs w:val="28"/>
    </w:rPr>
  </w:style>
  <w:style w:type="character" w:customStyle="1" w:styleId="197">
    <w:name w:val="标题 5 Char"/>
    <w:link w:val="192"/>
    <w:qFormat/>
    <w:uiPriority w:val="9"/>
    <w:rPr>
      <w:b/>
      <w:bCs/>
      <w:sz w:val="28"/>
      <w:szCs w:val="28"/>
    </w:rPr>
  </w:style>
  <w:style w:type="paragraph" w:customStyle="1" w:styleId="198">
    <w:name w:val="题注1"/>
    <w:basedOn w:val="1"/>
    <w:next w:val="1"/>
    <w:qFormat/>
    <w:uiPriority w:val="35"/>
    <w:pPr>
      <w:spacing w:before="156" w:after="156" w:line="360" w:lineRule="auto"/>
      <w:jc w:val="center"/>
    </w:pPr>
    <w:rPr>
      <w:rFonts w:ascii="Arial" w:hAnsi="Arial" w:cs="Arial"/>
      <w:sz w:val="24"/>
      <w:szCs w:val="20"/>
    </w:rPr>
  </w:style>
  <w:style w:type="paragraph" w:customStyle="1" w:styleId="199">
    <w:name w:val="文档结构图1"/>
    <w:basedOn w:val="1"/>
    <w:semiHidden/>
    <w:qFormat/>
    <w:uiPriority w:val="0"/>
    <w:pPr>
      <w:shd w:val="clear" w:color="auto" w:fill="000080"/>
    </w:pPr>
  </w:style>
  <w:style w:type="paragraph" w:customStyle="1" w:styleId="200">
    <w:name w:val="批注文字1"/>
    <w:basedOn w:val="1"/>
    <w:link w:val="201"/>
    <w:unhideWhenUsed/>
    <w:qFormat/>
    <w:uiPriority w:val="99"/>
    <w:pPr>
      <w:jc w:val="left"/>
    </w:pPr>
  </w:style>
  <w:style w:type="character" w:customStyle="1" w:styleId="201">
    <w:name w:val="批注文字 Char"/>
    <w:link w:val="200"/>
    <w:qFormat/>
    <w:uiPriority w:val="99"/>
    <w:rPr>
      <w:sz w:val="21"/>
      <w:szCs w:val="24"/>
    </w:rPr>
  </w:style>
  <w:style w:type="paragraph" w:customStyle="1" w:styleId="202">
    <w:name w:val="正文文本 31"/>
    <w:basedOn w:val="1"/>
    <w:qFormat/>
    <w:uiPriority w:val="0"/>
    <w:rPr>
      <w:rFonts w:ascii="楷体_GB2312" w:hAnsi="Arial" w:eastAsia="楷体_GB2312" w:cs="Arial"/>
      <w:b/>
      <w:bCs/>
      <w:color w:val="000000"/>
      <w:sz w:val="24"/>
    </w:rPr>
  </w:style>
  <w:style w:type="paragraph" w:customStyle="1" w:styleId="203">
    <w:name w:val="正文文本11"/>
    <w:basedOn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customStyle="1" w:styleId="204">
    <w:name w:val="正文文本缩进1"/>
    <w:basedOn w:val="1"/>
    <w:qFormat/>
    <w:uiPriority w:val="0"/>
    <w:pPr>
      <w:ind w:firstLine="630"/>
    </w:pPr>
    <w:rPr>
      <w:rFonts w:ascii="楷体_GB2312" w:eastAsia="楷体_GB2312"/>
      <w:sz w:val="32"/>
      <w:szCs w:val="20"/>
    </w:rPr>
  </w:style>
  <w:style w:type="paragraph" w:customStyle="1" w:styleId="205">
    <w:name w:val="文本块1"/>
    <w:basedOn w:val="1"/>
    <w:qFormat/>
    <w:uiPriority w:val="0"/>
    <w:pPr>
      <w:ind w:left="420" w:right="33"/>
      <w:jc w:val="left"/>
    </w:pPr>
    <w:rPr>
      <w:sz w:val="24"/>
      <w:szCs w:val="20"/>
    </w:rPr>
  </w:style>
  <w:style w:type="paragraph" w:customStyle="1" w:styleId="206">
    <w:name w:val="目录 31"/>
    <w:basedOn w:val="1"/>
    <w:next w:val="1"/>
    <w:semiHidden/>
    <w:qFormat/>
    <w:uiPriority w:val="0"/>
    <w:pPr>
      <w:tabs>
        <w:tab w:val="right" w:leader="dot" w:pos="9344"/>
      </w:tabs>
      <w:spacing w:line="300" w:lineRule="auto"/>
      <w:ind w:left="840"/>
    </w:pPr>
    <w:rPr>
      <w:rFonts w:ascii="Arial" w:hAnsi="Arial" w:cs="Arial"/>
      <w:szCs w:val="21"/>
    </w:rPr>
  </w:style>
  <w:style w:type="paragraph" w:customStyle="1" w:styleId="207">
    <w:name w:val="纯文本11"/>
    <w:basedOn w:val="1"/>
    <w:link w:val="208"/>
    <w:qFormat/>
    <w:uiPriority w:val="0"/>
    <w:rPr>
      <w:rFonts w:ascii="宋体" w:hAnsi="Courier New"/>
      <w:szCs w:val="20"/>
    </w:rPr>
  </w:style>
  <w:style w:type="character" w:customStyle="1" w:styleId="208">
    <w:name w:val="纯文本 Char"/>
    <w:link w:val="207"/>
    <w:qFormat/>
    <w:uiPriority w:val="0"/>
    <w:rPr>
      <w:rFonts w:ascii="宋体" w:hAnsi="Courier New" w:eastAsia="宋体"/>
      <w:sz w:val="21"/>
      <w:lang w:val="en-US" w:eastAsia="zh-CN" w:bidi="ar-SA"/>
    </w:rPr>
  </w:style>
  <w:style w:type="paragraph" w:customStyle="1" w:styleId="209">
    <w:name w:val="正文文本缩进 21"/>
    <w:basedOn w:val="1"/>
    <w:qFormat/>
    <w:uiPriority w:val="0"/>
    <w:pPr>
      <w:spacing w:after="120" w:line="480" w:lineRule="auto"/>
      <w:ind w:left="420"/>
    </w:pPr>
  </w:style>
  <w:style w:type="paragraph" w:customStyle="1" w:styleId="210">
    <w:name w:val="批注框文本1"/>
    <w:basedOn w:val="1"/>
    <w:link w:val="211"/>
    <w:qFormat/>
    <w:uiPriority w:val="0"/>
    <w:rPr>
      <w:sz w:val="18"/>
      <w:szCs w:val="18"/>
    </w:rPr>
  </w:style>
  <w:style w:type="character" w:customStyle="1" w:styleId="211">
    <w:name w:val="批注框文本 Char"/>
    <w:link w:val="210"/>
    <w:qFormat/>
    <w:uiPriority w:val="0"/>
    <w:rPr>
      <w:sz w:val="18"/>
      <w:szCs w:val="18"/>
    </w:rPr>
  </w:style>
  <w:style w:type="paragraph" w:customStyle="1" w:styleId="212">
    <w:name w:val="页脚1"/>
    <w:basedOn w:val="1"/>
    <w:link w:val="213"/>
    <w:qFormat/>
    <w:uiPriority w:val="0"/>
    <w:pPr>
      <w:tabs>
        <w:tab w:val="center" w:pos="4153"/>
        <w:tab w:val="right" w:pos="8306"/>
      </w:tabs>
      <w:jc w:val="left"/>
    </w:pPr>
    <w:rPr>
      <w:sz w:val="18"/>
      <w:szCs w:val="18"/>
    </w:rPr>
  </w:style>
  <w:style w:type="character" w:customStyle="1" w:styleId="213">
    <w:name w:val="页脚 Char"/>
    <w:link w:val="212"/>
    <w:qFormat/>
    <w:uiPriority w:val="0"/>
    <w:rPr>
      <w:sz w:val="18"/>
      <w:szCs w:val="18"/>
    </w:rPr>
  </w:style>
  <w:style w:type="paragraph" w:customStyle="1" w:styleId="214">
    <w:name w:val="页眉1"/>
    <w:basedOn w:val="1"/>
    <w:link w:val="215"/>
    <w:qFormat/>
    <w:uiPriority w:val="0"/>
    <w:pPr>
      <w:pBdr>
        <w:bottom w:val="single" w:color="000000" w:sz="6" w:space="1"/>
      </w:pBdr>
      <w:tabs>
        <w:tab w:val="center" w:pos="4153"/>
        <w:tab w:val="right" w:pos="8306"/>
      </w:tabs>
      <w:jc w:val="center"/>
    </w:pPr>
    <w:rPr>
      <w:sz w:val="18"/>
      <w:szCs w:val="18"/>
    </w:rPr>
  </w:style>
  <w:style w:type="character" w:customStyle="1" w:styleId="215">
    <w:name w:val="页眉 Char"/>
    <w:link w:val="214"/>
    <w:qFormat/>
    <w:uiPriority w:val="0"/>
    <w:rPr>
      <w:sz w:val="18"/>
      <w:szCs w:val="18"/>
    </w:rPr>
  </w:style>
  <w:style w:type="paragraph" w:customStyle="1" w:styleId="216">
    <w:name w:val="目录 11"/>
    <w:basedOn w:val="1"/>
    <w:next w:val="1"/>
    <w:semiHidden/>
    <w:qFormat/>
    <w:uiPriority w:val="0"/>
  </w:style>
  <w:style w:type="paragraph" w:customStyle="1" w:styleId="217">
    <w:name w:val="正文文本缩进 31"/>
    <w:basedOn w:val="1"/>
    <w:qFormat/>
    <w:uiPriority w:val="99"/>
    <w:pPr>
      <w:ind w:firstLine="420"/>
    </w:pPr>
    <w:rPr>
      <w:rFonts w:eastAsia="楷体_GB2312"/>
    </w:rPr>
  </w:style>
  <w:style w:type="paragraph" w:customStyle="1" w:styleId="218">
    <w:name w:val="目录 21"/>
    <w:basedOn w:val="1"/>
    <w:next w:val="1"/>
    <w:semiHidden/>
    <w:qFormat/>
    <w:uiPriority w:val="0"/>
    <w:pPr>
      <w:ind w:left="420"/>
    </w:pPr>
    <w:rPr>
      <w:szCs w:val="20"/>
    </w:rPr>
  </w:style>
  <w:style w:type="paragraph" w:customStyle="1" w:styleId="219">
    <w:name w:val="正文文本 211"/>
    <w:basedOn w:val="1"/>
    <w:link w:val="220"/>
    <w:qFormat/>
    <w:uiPriority w:val="0"/>
    <w:pPr>
      <w:spacing w:line="440" w:lineRule="exact"/>
    </w:pPr>
    <w:rPr>
      <w:rFonts w:ascii="楷体_GB2312" w:eastAsia="楷体_GB2312"/>
      <w:sz w:val="28"/>
    </w:rPr>
  </w:style>
  <w:style w:type="character" w:customStyle="1" w:styleId="220">
    <w:name w:val="正文文本 2 Char"/>
    <w:link w:val="219"/>
    <w:qFormat/>
    <w:uiPriority w:val="0"/>
    <w:rPr>
      <w:rFonts w:ascii="楷体_GB2312" w:eastAsia="楷体_GB2312"/>
      <w:sz w:val="28"/>
      <w:szCs w:val="24"/>
    </w:rPr>
  </w:style>
  <w:style w:type="paragraph" w:customStyle="1" w:styleId="221">
    <w:name w:val="批注主题1"/>
    <w:basedOn w:val="200"/>
    <w:next w:val="200"/>
    <w:link w:val="222"/>
    <w:qFormat/>
    <w:uiPriority w:val="0"/>
    <w:rPr>
      <w:b/>
      <w:bCs/>
    </w:rPr>
  </w:style>
  <w:style w:type="character" w:customStyle="1" w:styleId="222">
    <w:name w:val="批注主题 Char"/>
    <w:link w:val="221"/>
    <w:qFormat/>
    <w:uiPriority w:val="0"/>
    <w:rPr>
      <w:b/>
      <w:bCs/>
      <w:sz w:val="21"/>
      <w:szCs w:val="24"/>
    </w:rPr>
  </w:style>
  <w:style w:type="paragraph" w:customStyle="1" w:styleId="223">
    <w:name w:val="正文首行缩进 21"/>
    <w:basedOn w:val="204"/>
    <w:qFormat/>
    <w:uiPriority w:val="0"/>
    <w:pPr>
      <w:widowControl/>
      <w:spacing w:after="120"/>
      <w:ind w:left="420" w:firstLine="420"/>
    </w:pPr>
    <w:rPr>
      <w:rFonts w:ascii="仿宋_GB2312" w:eastAsia="仿宋_GB2312"/>
      <w:color w:val="FF6600"/>
      <w:sz w:val="21"/>
    </w:rPr>
  </w:style>
  <w:style w:type="table" w:customStyle="1" w:styleId="224">
    <w:name w:val="网格型1"/>
    <w:basedOn w:val="194"/>
    <w:qFormat/>
    <w:uiPriority w:val="0"/>
    <w:pPr>
      <w:keepNext w:val="0"/>
      <w:keepLines w:val="0"/>
      <w:widowControl/>
      <w:suppressLineNumbers w:val="0"/>
      <w:spacing w:before="0" w:beforeAutospacing="0" w:after="0" w:afterAutospacing="0"/>
      <w:ind w:left="0" w:right="0"/>
    </w:pPr>
    <w:rPr>
      <w:rFonts w:ascii="Calibri" w:hAnsi="Calibri" w:cs="Calibri"/>
      <w:sz w:val="21"/>
      <w:szCs w:val="22"/>
    </w:rPr>
  </w:style>
  <w:style w:type="character" w:customStyle="1" w:styleId="225">
    <w:name w:val="要点1"/>
    <w:link w:val="1"/>
    <w:qFormat/>
    <w:uiPriority w:val="0"/>
  </w:style>
  <w:style w:type="character" w:customStyle="1" w:styleId="226">
    <w:name w:val="页码1"/>
    <w:link w:val="1"/>
    <w:qFormat/>
    <w:uiPriority w:val="0"/>
  </w:style>
  <w:style w:type="character" w:customStyle="1" w:styleId="227">
    <w:name w:val="已访问的超链接1"/>
    <w:link w:val="1"/>
    <w:qFormat/>
    <w:uiPriority w:val="0"/>
    <w:rPr>
      <w:color w:val="800080"/>
      <w:u w:val="none"/>
    </w:rPr>
  </w:style>
  <w:style w:type="character" w:customStyle="1" w:styleId="228">
    <w:name w:val="强调1"/>
    <w:link w:val="1"/>
    <w:qFormat/>
    <w:uiPriority w:val="0"/>
  </w:style>
  <w:style w:type="character" w:customStyle="1" w:styleId="229">
    <w:name w:val="HTML 定义1"/>
    <w:link w:val="1"/>
    <w:qFormat/>
    <w:uiPriority w:val="0"/>
  </w:style>
  <w:style w:type="character" w:customStyle="1" w:styleId="230">
    <w:name w:val="HTML 打字机1"/>
    <w:link w:val="1"/>
    <w:qFormat/>
    <w:uiPriority w:val="0"/>
    <w:rPr>
      <w:rFonts w:ascii="monospace" w:hAnsi="monospace" w:eastAsia="monospace" w:cs="monospace"/>
      <w:sz w:val="20"/>
    </w:rPr>
  </w:style>
  <w:style w:type="character" w:customStyle="1" w:styleId="231">
    <w:name w:val="HTML 缩写1"/>
    <w:link w:val="1"/>
    <w:qFormat/>
    <w:uiPriority w:val="0"/>
  </w:style>
  <w:style w:type="character" w:customStyle="1" w:styleId="232">
    <w:name w:val="HTML 变量1"/>
    <w:link w:val="1"/>
    <w:qFormat/>
    <w:uiPriority w:val="0"/>
  </w:style>
  <w:style w:type="character" w:customStyle="1" w:styleId="233">
    <w:name w:val="超链接1"/>
    <w:link w:val="1"/>
    <w:qFormat/>
    <w:uiPriority w:val="0"/>
    <w:rPr>
      <w:color w:val="0000FF"/>
      <w:u w:val="none"/>
    </w:rPr>
  </w:style>
  <w:style w:type="character" w:customStyle="1" w:styleId="234">
    <w:name w:val="HTML 代码1"/>
    <w:link w:val="1"/>
    <w:qFormat/>
    <w:uiPriority w:val="0"/>
    <w:rPr>
      <w:rFonts w:ascii="monospace" w:hAnsi="monospace" w:eastAsia="monospace" w:cs="monospace"/>
      <w:sz w:val="20"/>
    </w:rPr>
  </w:style>
  <w:style w:type="character" w:customStyle="1" w:styleId="235">
    <w:name w:val="批注引用1"/>
    <w:link w:val="1"/>
    <w:qFormat/>
    <w:uiPriority w:val="0"/>
    <w:rPr>
      <w:sz w:val="21"/>
      <w:szCs w:val="21"/>
    </w:rPr>
  </w:style>
  <w:style w:type="character" w:customStyle="1" w:styleId="236">
    <w:name w:val="HTML 引文1"/>
    <w:link w:val="1"/>
    <w:qFormat/>
    <w:uiPriority w:val="0"/>
  </w:style>
  <w:style w:type="character" w:customStyle="1" w:styleId="237">
    <w:name w:val="HTML 键盘1"/>
    <w:link w:val="1"/>
    <w:qFormat/>
    <w:uiPriority w:val="0"/>
    <w:rPr>
      <w:rFonts w:ascii="monospace" w:hAnsi="monospace" w:eastAsia="monospace" w:cs="monospace"/>
      <w:sz w:val="20"/>
    </w:rPr>
  </w:style>
  <w:style w:type="character" w:customStyle="1" w:styleId="238">
    <w:name w:val="HTML 样本1"/>
    <w:link w:val="1"/>
    <w:qFormat/>
    <w:uiPriority w:val="0"/>
    <w:rPr>
      <w:rFonts w:ascii="monospace" w:hAnsi="monospace" w:eastAsia="monospace" w:cs="monospace"/>
    </w:rPr>
  </w:style>
  <w:style w:type="character" w:customStyle="1" w:styleId="239">
    <w:name w:val="Font Style30"/>
    <w:link w:val="1"/>
    <w:qFormat/>
    <w:uiPriority w:val="0"/>
    <w:rPr>
      <w:rFonts w:ascii="宋体" w:eastAsia="宋体" w:cs="宋体"/>
      <w:sz w:val="14"/>
      <w:szCs w:val="14"/>
    </w:rPr>
  </w:style>
  <w:style w:type="character" w:customStyle="1" w:styleId="240">
    <w:name w:val="glyphicon"/>
    <w:link w:val="1"/>
    <w:qFormat/>
    <w:uiPriority w:val="0"/>
  </w:style>
  <w:style w:type="character" w:customStyle="1" w:styleId="241">
    <w:name w:val="Font Style36"/>
    <w:link w:val="1"/>
    <w:qFormat/>
    <w:uiPriority w:val="0"/>
    <w:rPr>
      <w:rFonts w:ascii="宋体" w:eastAsia="宋体" w:cs="宋体"/>
      <w:sz w:val="16"/>
      <w:szCs w:val="16"/>
    </w:rPr>
  </w:style>
  <w:style w:type="character" w:customStyle="1" w:styleId="242">
    <w:name w:val="hour_am"/>
    <w:link w:val="1"/>
    <w:qFormat/>
    <w:uiPriority w:val="0"/>
  </w:style>
  <w:style w:type="character" w:customStyle="1" w:styleId="243">
    <w:name w:val="old"/>
    <w:link w:val="1"/>
    <w:qFormat/>
    <w:uiPriority w:val="0"/>
    <w:rPr>
      <w:color w:val="999999"/>
    </w:rPr>
  </w:style>
  <w:style w:type="character" w:customStyle="1" w:styleId="244">
    <w:name w:val="标题 2 Char"/>
    <w:link w:val="1"/>
    <w:qFormat/>
    <w:uiPriority w:val="0"/>
    <w:rPr>
      <w:rFonts w:ascii="Arial" w:hAnsi="Arial" w:eastAsia="黑体"/>
      <w:b/>
      <w:sz w:val="32"/>
      <w:lang w:val="en-US" w:eastAsia="zh-CN"/>
    </w:rPr>
  </w:style>
  <w:style w:type="character" w:customStyle="1" w:styleId="245">
    <w:name w:val="hover"/>
    <w:link w:val="1"/>
    <w:qFormat/>
    <w:uiPriority w:val="0"/>
    <w:rPr>
      <w:shd w:val="clear" w:color="auto" w:fill="EEEEEE"/>
    </w:rPr>
  </w:style>
  <w:style w:type="character" w:customStyle="1" w:styleId="246">
    <w:name w:val="hour_pm"/>
    <w:link w:val="1"/>
    <w:qFormat/>
    <w:uiPriority w:val="0"/>
  </w:style>
  <w:style w:type="character" w:customStyle="1" w:styleId="247">
    <w:name w:val="Font Style28"/>
    <w:link w:val="1"/>
    <w:qFormat/>
    <w:uiPriority w:val="0"/>
    <w:rPr>
      <w:rFonts w:ascii="Constantia" w:hAnsi="Constantia" w:cs="Constantia"/>
      <w:sz w:val="28"/>
      <w:szCs w:val="28"/>
    </w:rPr>
  </w:style>
  <w:style w:type="character" w:customStyle="1" w:styleId="248">
    <w:name w:val="Font Style29"/>
    <w:link w:val="1"/>
    <w:qFormat/>
    <w:uiPriority w:val="0"/>
    <w:rPr>
      <w:rFonts w:ascii="Arial" w:hAnsi="Arial" w:cs="Arial"/>
      <w:sz w:val="14"/>
      <w:szCs w:val="14"/>
    </w:rPr>
  </w:style>
  <w:style w:type="character" w:customStyle="1" w:styleId="249">
    <w:name w:val="Font Style37"/>
    <w:link w:val="1"/>
    <w:qFormat/>
    <w:uiPriority w:val="0"/>
    <w:rPr>
      <w:rFonts w:ascii="Arial" w:hAnsi="Arial" w:cs="Arial"/>
      <w:sz w:val="16"/>
      <w:szCs w:val="16"/>
    </w:rPr>
  </w:style>
  <w:style w:type="character" w:customStyle="1" w:styleId="250">
    <w:name w:val="Plain Text Char"/>
    <w:link w:val="1"/>
    <w:qFormat/>
    <w:uiPriority w:val="0"/>
    <w:rPr>
      <w:rFonts w:ascii="宋体" w:hAnsi="Courier New" w:eastAsia="宋体"/>
      <w:sz w:val="21"/>
      <w:lang w:val="en-US" w:eastAsia="zh-CN" w:bidi="ar-SA"/>
    </w:rPr>
  </w:style>
  <w:style w:type="paragraph" w:customStyle="1" w:styleId="251">
    <w:name w:val="Default"/>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252">
    <w:name w:val="默认段落字体 Para Char Char Char Char Char Char Char Char Char1 Char Char Char Char Char Char Char"/>
    <w:basedOn w:val="199"/>
    <w:qFormat/>
    <w:uiPriority w:val="0"/>
    <w:rPr>
      <w:rFonts w:ascii="Tahoma" w:hAnsi="Tahoma"/>
      <w:sz w:val="24"/>
    </w:rPr>
  </w:style>
  <w:style w:type="paragraph" w:customStyle="1" w:styleId="253">
    <w:name w:val="Style9"/>
    <w:basedOn w:val="1"/>
    <w:qFormat/>
    <w:uiPriority w:val="0"/>
    <w:pPr>
      <w:jc w:val="left"/>
    </w:pPr>
    <w:rPr>
      <w:rFonts w:ascii="宋体"/>
      <w:sz w:val="24"/>
    </w:rPr>
  </w:style>
  <w:style w:type="paragraph" w:customStyle="1" w:styleId="254">
    <w:name w:val="Char"/>
    <w:basedOn w:val="1"/>
    <w:qFormat/>
    <w:uiPriority w:val="0"/>
    <w:pPr>
      <w:tabs>
        <w:tab w:val="left" w:pos="360"/>
      </w:tabs>
    </w:pPr>
    <w:rPr>
      <w:sz w:val="24"/>
    </w:rPr>
  </w:style>
  <w:style w:type="paragraph" w:customStyle="1" w:styleId="255">
    <w:name w:val=" 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256">
    <w:name w:val="Style10"/>
    <w:basedOn w:val="1"/>
    <w:qFormat/>
    <w:uiPriority w:val="0"/>
    <w:pPr>
      <w:jc w:val="left"/>
    </w:pPr>
    <w:rPr>
      <w:rFonts w:ascii="宋体"/>
      <w:sz w:val="24"/>
    </w:rPr>
  </w:style>
  <w:style w:type="paragraph" w:customStyle="1" w:styleId="257">
    <w:name w:val="普通正文"/>
    <w:basedOn w:val="1"/>
    <w:qFormat/>
    <w:uiPriority w:val="0"/>
    <w:pPr>
      <w:spacing w:before="120" w:after="120" w:line="360" w:lineRule="auto"/>
      <w:ind w:firstLine="480"/>
      <w:jc w:val="left"/>
    </w:pPr>
    <w:rPr>
      <w:rFonts w:ascii="Arial" w:hAnsi="Arial"/>
      <w:sz w:val="24"/>
    </w:rPr>
  </w:style>
  <w:style w:type="paragraph" w:customStyle="1" w:styleId="258">
    <w:name w:val="要点标题"/>
    <w:basedOn w:val="1"/>
    <w:qFormat/>
    <w:uiPriority w:val="0"/>
    <w:pPr>
      <w:numPr>
        <w:ilvl w:val="0"/>
        <w:numId w:val="1"/>
      </w:numPr>
      <w:jc w:val="left"/>
    </w:pPr>
    <w:rPr>
      <w:rFonts w:ascii="宋体" w:hAnsi="宋体"/>
      <w:b/>
      <w:sz w:val="24"/>
    </w:rPr>
  </w:style>
  <w:style w:type="paragraph" w:customStyle="1" w:styleId="259">
    <w:name w:val="文档正文"/>
    <w:basedOn w:val="1"/>
    <w:qFormat/>
    <w:uiPriority w:val="0"/>
    <w:pPr>
      <w:spacing w:line="480" w:lineRule="atLeast"/>
      <w:ind w:firstLine="567"/>
    </w:pPr>
    <w:rPr>
      <w:rFonts w:ascii="仿宋_GB2312"/>
      <w:szCs w:val="20"/>
    </w:rPr>
  </w:style>
  <w:style w:type="paragraph" w:customStyle="1" w:styleId="260">
    <w:name w:val="Char Char Char Char"/>
    <w:basedOn w:val="199"/>
    <w:qFormat/>
    <w:uiPriority w:val="0"/>
    <w:pPr>
      <w:spacing w:line="360" w:lineRule="auto"/>
    </w:pPr>
    <w:rPr>
      <w:rFonts w:ascii="Tahoma" w:hAnsi="Tahoma"/>
      <w:sz w:val="24"/>
    </w:rPr>
  </w:style>
  <w:style w:type="paragraph" w:customStyle="1" w:styleId="261">
    <w:name w:val=" Char"/>
    <w:basedOn w:val="1"/>
    <w:qFormat/>
    <w:uiPriority w:val="0"/>
    <w:pPr>
      <w:tabs>
        <w:tab w:val="left" w:pos="420"/>
      </w:tabs>
      <w:ind w:left="420" w:hanging="420"/>
      <w:jc w:val="left"/>
    </w:pPr>
    <w:rPr>
      <w:szCs w:val="20"/>
    </w:rPr>
  </w:style>
  <w:style w:type="paragraph" w:customStyle="1" w:styleId="262">
    <w:name w:val="正文（无缩进）"/>
    <w:basedOn w:val="1"/>
    <w:qFormat/>
    <w:uiPriority w:val="0"/>
    <w:pPr>
      <w:spacing w:line="360" w:lineRule="auto"/>
    </w:pPr>
    <w:rPr>
      <w:rFonts w:ascii="Calibri" w:hAnsi="Calibri"/>
      <w:sz w:val="24"/>
      <w:szCs w:val="21"/>
    </w:rPr>
  </w:style>
  <w:style w:type="paragraph" w:customStyle="1" w:styleId="263">
    <w:name w:val="Style11"/>
    <w:basedOn w:val="1"/>
    <w:qFormat/>
    <w:uiPriority w:val="0"/>
    <w:pPr>
      <w:spacing w:line="446" w:lineRule="exact"/>
      <w:jc w:val="left"/>
    </w:pPr>
    <w:rPr>
      <w:rFonts w:ascii="宋体"/>
      <w:sz w:val="24"/>
    </w:rPr>
  </w:style>
  <w:style w:type="paragraph" w:customStyle="1" w:styleId="264">
    <w:name w:val="样式1"/>
    <w:basedOn w:val="1"/>
    <w:qFormat/>
    <w:uiPriority w:val="0"/>
    <w:pPr>
      <w:numPr>
        <w:ilvl w:val="0"/>
        <w:numId w:val="2"/>
      </w:numPr>
      <w:tabs>
        <w:tab w:val="left" w:pos="1110"/>
      </w:tabs>
    </w:pPr>
    <w:rPr>
      <w:rFonts w:ascii="宋体" w:hAnsi="宋体"/>
      <w:szCs w:val="21"/>
    </w:rPr>
  </w:style>
  <w:style w:type="paragraph" w:customStyle="1" w:styleId="265">
    <w:name w:val="_Style 56"/>
    <w:basedOn w:val="199"/>
    <w:qFormat/>
    <w:uiPriority w:val="0"/>
    <w:pPr>
      <w:spacing w:line="436" w:lineRule="exact"/>
    </w:pPr>
    <w:rPr>
      <w:szCs w:val="20"/>
    </w:rPr>
  </w:style>
  <w:style w:type="paragraph" w:customStyle="1" w:styleId="266">
    <w:name w:val="Char Char1 Char Char Char Char Char Char"/>
    <w:basedOn w:val="1"/>
    <w:qFormat/>
    <w:uiPriority w:val="0"/>
    <w:pPr>
      <w:widowControl/>
      <w:jc w:val="center"/>
    </w:pPr>
    <w:rPr>
      <w:rFonts w:ascii="宋体" w:hAnsi="宋体"/>
      <w:b/>
      <w:sz w:val="24"/>
      <w:lang w:eastAsia="en-US"/>
    </w:rPr>
  </w:style>
  <w:style w:type="paragraph" w:customStyle="1" w:styleId="267">
    <w:name w:val="Char1"/>
    <w:basedOn w:val="1"/>
    <w:qFormat/>
    <w:uiPriority w:val="0"/>
    <w:pPr>
      <w:tabs>
        <w:tab w:val="left" w:pos="840"/>
      </w:tabs>
      <w:ind w:left="840" w:hanging="420"/>
    </w:pPr>
    <w:rPr>
      <w:sz w:val="24"/>
    </w:rPr>
  </w:style>
  <w:style w:type="paragraph" w:customStyle="1" w:styleId="268">
    <w:name w:val="我的样式"/>
    <w:basedOn w:val="187"/>
    <w:next w:val="1"/>
    <w:qFormat/>
    <w:uiPriority w:val="0"/>
    <w:pPr>
      <w:numPr>
        <w:ilvl w:val="0"/>
        <w:numId w:val="3"/>
      </w:numPr>
      <w:spacing w:line="360" w:lineRule="auto"/>
    </w:pPr>
    <w:rPr>
      <w:rFonts w:ascii="仿宋_GB2312" w:eastAsia="仿宋_GB2312"/>
      <w:sz w:val="32"/>
      <w:szCs w:val="30"/>
    </w:rPr>
  </w:style>
  <w:style w:type="paragraph" w:customStyle="1" w:styleId="269">
    <w:name w:val="表格正文"/>
    <w:qFormat/>
    <w:uiPriority w:val="0"/>
    <w:pPr>
      <w:spacing w:line="0" w:lineRule="atLeast"/>
    </w:pPr>
    <w:rPr>
      <w:rFonts w:hint="default" w:ascii="Times New Roman" w:hAnsi="Times New Roman" w:eastAsia="宋体" w:cs="Times New Roman"/>
      <w:sz w:val="24"/>
      <w:szCs w:val="24"/>
      <w:lang w:val="en-US" w:eastAsia="zh-CN" w:bidi="he-IL"/>
    </w:rPr>
  </w:style>
  <w:style w:type="paragraph" w:customStyle="1" w:styleId="270">
    <w:name w:val=" 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71">
    <w:name w:val="标题1"/>
    <w:basedOn w:val="187"/>
    <w:next w:val="1"/>
    <w:qFormat/>
    <w:uiPriority w:val="0"/>
    <w:pPr>
      <w:numPr>
        <w:ilvl w:val="0"/>
        <w:numId w:val="2"/>
      </w:numPr>
      <w:spacing w:line="578" w:lineRule="atLeast"/>
      <w:jc w:val="left"/>
    </w:pPr>
  </w:style>
  <w:style w:type="paragraph" w:customStyle="1" w:styleId="272">
    <w:name w:val="正文（缩进） Char1"/>
    <w:basedOn w:val="1"/>
    <w:qFormat/>
    <w:uiPriority w:val="0"/>
    <w:pPr>
      <w:spacing w:before="156" w:after="156" w:line="360" w:lineRule="auto"/>
      <w:ind w:firstLine="480"/>
    </w:pPr>
    <w:rPr>
      <w:sz w:val="24"/>
    </w:rPr>
  </w:style>
  <w:style w:type="paragraph" w:customStyle="1" w:styleId="273">
    <w:name w:val="修订"/>
    <w:semiHidden/>
    <w:qFormat/>
    <w:uiPriority w:val="99"/>
    <w:rPr>
      <w:rFonts w:hint="default" w:ascii="Times New Roman" w:hAnsi="Times New Roman" w:eastAsia="宋体" w:cs="Times New Roman"/>
      <w:sz w:val="21"/>
      <w:szCs w:val="24"/>
      <w:lang w:val="en-US" w:eastAsia="zh-CN" w:bidi="ar-SA"/>
    </w:rPr>
  </w:style>
  <w:style w:type="paragraph" w:customStyle="1" w:styleId="274">
    <w:name w:val="Style12"/>
    <w:basedOn w:val="1"/>
    <w:qFormat/>
    <w:uiPriority w:val="0"/>
    <w:pPr>
      <w:jc w:val="left"/>
    </w:pPr>
    <w:rPr>
      <w:rFonts w:ascii="宋体"/>
      <w:sz w:val="24"/>
    </w:rPr>
  </w:style>
  <w:style w:type="paragraph" w:customStyle="1" w:styleId="275">
    <w:name w:val="纯文本1"/>
    <w:basedOn w:val="1"/>
    <w:qFormat/>
    <w:uiPriority w:val="0"/>
    <w:rPr>
      <w:rFonts w:ascii="宋体" w:hAnsi="Courier New"/>
      <w:szCs w:val="20"/>
    </w:rPr>
  </w:style>
  <w:style w:type="paragraph" w:customStyle="1" w:styleId="276">
    <w:name w:val="正文1"/>
    <w:basedOn w:val="277"/>
    <w:qFormat/>
    <w:uiPriority w:val="0"/>
    <w:pPr>
      <w:spacing w:before="120" w:after="120" w:line="180" w:lineRule="auto"/>
      <w:ind w:firstLine="200"/>
      <w:contextualSpacing/>
    </w:pPr>
    <w:rPr>
      <w:rFonts w:ascii="Calibri" w:hAnsi="Calibri" w:eastAsia="Adobe 仿宋 Std R"/>
      <w:sz w:val="21"/>
      <w:szCs w:val="21"/>
      <w:lang w:val="en-US" w:eastAsia="zh-CN" w:bidi="ar-SA"/>
    </w:rPr>
  </w:style>
  <w:style w:type="paragraph" w:customStyle="1" w:styleId="277">
    <w:name w:val="正文111"/>
    <w:next w:val="27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78">
    <w:name w:val="正文文本缩进11"/>
    <w:basedOn w:val="277"/>
    <w:qFormat/>
    <w:uiPriority w:val="0"/>
    <w:pPr>
      <w:spacing w:line="360" w:lineRule="auto"/>
      <w:ind w:firstLine="425"/>
    </w:pPr>
  </w:style>
  <w:style w:type="character" w:customStyle="1" w:styleId="279">
    <w:name w:val="NormalCharacter1"/>
    <w:link w:val="1"/>
    <w:semiHidden/>
    <w:qFormat/>
    <w:uiPriority w:val="0"/>
    <w:rPr>
      <w:sz w:val="21"/>
      <w:szCs w:val="24"/>
      <w:lang w:val="en-US" w:eastAsia="zh-CN" w:bidi="ar-SA"/>
    </w:rPr>
  </w:style>
  <w:style w:type="paragraph" w:customStyle="1" w:styleId="280">
    <w:name w:val="正文文本1"/>
    <w:basedOn w:val="1"/>
    <w:next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customStyle="1" w:styleId="281">
    <w:name w:val="正文文本 21"/>
    <w:basedOn w:val="1"/>
    <w:qFormat/>
    <w:uiPriority w:val="0"/>
    <w:pPr>
      <w:spacing w:line="440" w:lineRule="exact"/>
    </w:pPr>
    <w:rPr>
      <w:rFonts w:ascii="楷体_GB2312" w:eastAsia="楷体_GB2312"/>
      <w:sz w:val="28"/>
    </w:rPr>
  </w:style>
  <w:style w:type="paragraph" w:customStyle="1" w:styleId="282">
    <w:name w:val="Table Text"/>
    <w:basedOn w:val="1"/>
    <w:semiHidden/>
    <w:qFormat/>
    <w:uiPriority w:val="0"/>
    <w:rPr>
      <w:rFonts w:ascii="宋体" w:hAnsi="宋体" w:eastAsia="宋体" w:cs="宋体"/>
      <w:sz w:val="20"/>
      <w:szCs w:val="20"/>
      <w:lang w:val="en-US" w:eastAsia="en-US" w:bidi="ar-SA"/>
    </w:rPr>
  </w:style>
  <w:style w:type="table" w:customStyle="1" w:styleId="283">
    <w:name w:val="Table Normal"/>
    <w:semiHidden/>
    <w:unhideWhenUsed/>
    <w:qFormat/>
    <w:uiPriority w:val="0"/>
    <w:tblPr>
      <w:tblLayout w:type="fixed"/>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72</Pages>
  <Words>30491</Words>
  <Characters>32074</Characters>
  <TotalTime>1</TotalTime>
  <ScaleCrop>false</ScaleCrop>
  <LinksUpToDate>false</LinksUpToDate>
  <CharactersWithSpaces>33430</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2024-01-08T08:47:00Z</dcterms:created>
  <dc:creator>de</dc:creator>
  <cp:lastModifiedBy>玄姐</cp:lastModifiedBy>
  <cp:lastPrinted>2026-07-08T07:06:00Z</cp:lastPrinted>
  <dcterms:modified xsi:type="dcterms:W3CDTF">2026-07-11T01:15:15Z</dcterms:modified>
  <dc:title>淮安市政府</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y fmtid="{D5CDD505-2E9C-101B-9397-08002B2CF9AE}" pid="3" name="KSOTemplateDocerSaveRecord">
    <vt:lpwstr>eyJoZGlkIjoiOWZhMDNmYmNjNzcwMDYwN2JiNzk4MDc4ZjlkZWYzYjMiLCJ1c2VySWQiOiIyMzg2MDQ0ODQifQ==</vt:lpwstr>
  </property>
  <property fmtid="{D5CDD505-2E9C-101B-9397-08002B2CF9AE}" pid="4" name="ICV">
    <vt:lpwstr>0A9E471CC1E04067A72C4C3F1BCE29D8_13</vt:lpwstr>
  </property>
</Properties>
</file>