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4DF3F">
      <w:pPr>
        <w:keepNext w:val="0"/>
        <w:keepLines w:val="0"/>
        <w:pageBreakBefore w:val="0"/>
        <w:widowControl w:val="0"/>
        <w:tabs>
          <w:tab w:val="center" w:pos="4621"/>
        </w:tabs>
        <w:kinsoku/>
        <w:overflowPunct/>
        <w:topLinePunct w:val="0"/>
        <w:bidi w:val="0"/>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淮安市</w:t>
      </w:r>
      <w:r>
        <w:rPr>
          <w:rFonts w:hint="eastAsia" w:ascii="仿宋" w:hAnsi="仿宋" w:eastAsia="仿宋" w:cs="仿宋"/>
          <w:b/>
          <w:sz w:val="52"/>
          <w:szCs w:val="52"/>
          <w:highlight w:val="none"/>
          <w:lang w:eastAsia="zh-CN"/>
        </w:rPr>
        <w:t>淮安区</w:t>
      </w:r>
      <w:r>
        <w:rPr>
          <w:rFonts w:hint="eastAsia" w:ascii="仿宋" w:hAnsi="仿宋" w:eastAsia="仿宋" w:cs="仿宋"/>
          <w:b/>
          <w:sz w:val="52"/>
          <w:szCs w:val="52"/>
          <w:highlight w:val="none"/>
        </w:rPr>
        <w:t>政府采购“分散采购”项目“全流程不见面交易”</w:t>
      </w:r>
    </w:p>
    <w:p w14:paraId="405E3033">
      <w:pPr>
        <w:keepNext w:val="0"/>
        <w:keepLines w:val="0"/>
        <w:pageBreakBefore w:val="0"/>
        <w:widowControl w:val="0"/>
        <w:kinsoku/>
        <w:overflowPunct/>
        <w:topLinePunct w:val="0"/>
        <w:bidi w:val="0"/>
        <w:rPr>
          <w:highlight w:val="none"/>
        </w:rPr>
      </w:pPr>
    </w:p>
    <w:p w14:paraId="0C53A1F4">
      <w:pPr>
        <w:keepNext w:val="0"/>
        <w:keepLines w:val="0"/>
        <w:pageBreakBefore w:val="0"/>
        <w:widowControl w:val="0"/>
        <w:kinsoku/>
        <w:overflowPunct/>
        <w:topLinePunct w:val="0"/>
        <w:bidi w:val="0"/>
        <w:rPr>
          <w:rFonts w:eastAsiaTheme="minorEastAsia"/>
          <w:color w:val="000000" w:themeColor="text1"/>
          <w:highlight w:val="none"/>
          <w14:textFill>
            <w14:solidFill>
              <w14:schemeClr w14:val="tx1"/>
            </w14:solidFill>
          </w14:textFill>
        </w:rPr>
      </w:pPr>
    </w:p>
    <w:p w14:paraId="07B2A099">
      <w:pPr>
        <w:pStyle w:val="44"/>
        <w:keepNext w:val="0"/>
        <w:keepLines w:val="0"/>
        <w:pageBreakBefore w:val="0"/>
        <w:widowControl w:val="0"/>
        <w:kinsoku/>
        <w:overflowPunct/>
        <w:topLinePunct w:val="0"/>
        <w:bidi w:val="0"/>
        <w:rPr>
          <w:color w:val="000000" w:themeColor="text1"/>
          <w:highlight w:val="none"/>
          <w14:textFill>
            <w14:solidFill>
              <w14:schemeClr w14:val="tx1"/>
            </w14:solidFill>
          </w14:textFill>
        </w:rPr>
      </w:pPr>
    </w:p>
    <w:p w14:paraId="1CD7139B">
      <w:pPr>
        <w:keepNext w:val="0"/>
        <w:keepLines w:val="0"/>
        <w:pageBreakBefore w:val="0"/>
        <w:widowControl w:val="0"/>
        <w:kinsoku/>
        <w:overflowPunct/>
        <w:topLinePunct w:val="0"/>
        <w:bidi w:val="0"/>
        <w:spacing w:line="1040" w:lineRule="exact"/>
        <w:ind w:left="241" w:firstLine="2168"/>
        <w:rPr>
          <w:rFonts w:hint="eastAsia" w:ascii="仿宋" w:hAnsi="仿宋" w:eastAsia="仿宋" w:cs="仿宋"/>
          <w:b/>
          <w:color w:val="000000" w:themeColor="text1"/>
          <w:sz w:val="72"/>
          <w:szCs w:val="7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竞争性磋商文件</w:t>
      </w:r>
    </w:p>
    <w:p w14:paraId="4313A4A0">
      <w:pPr>
        <w:keepNext w:val="0"/>
        <w:keepLines w:val="0"/>
        <w:pageBreakBefore w:val="0"/>
        <w:widowControl w:val="0"/>
        <w:kinsoku/>
        <w:overflowPunct/>
        <w:topLinePunct w:val="0"/>
        <w:bidi w:val="0"/>
        <w:rPr>
          <w:color w:val="000000" w:themeColor="text1"/>
          <w:highlight w:val="none"/>
          <w14:textFill>
            <w14:solidFill>
              <w14:schemeClr w14:val="tx1"/>
            </w14:solidFill>
          </w14:textFill>
        </w:rPr>
      </w:pPr>
    </w:p>
    <w:p w14:paraId="52D2847E">
      <w:pPr>
        <w:keepNext w:val="0"/>
        <w:keepLines w:val="0"/>
        <w:pageBreakBefore w:val="0"/>
        <w:widowControl w:val="0"/>
        <w:kinsoku/>
        <w:overflowPunct/>
        <w:topLinePunct w:val="0"/>
        <w:bidi w:val="0"/>
        <w:ind w:firstLine="2862"/>
        <w:rPr>
          <w:rFonts w:ascii="宋体" w:hAnsi="宋体"/>
          <w:bCs/>
          <w:color w:val="000000" w:themeColor="text1"/>
          <w:sz w:val="36"/>
          <w:highlight w:val="none"/>
          <w14:textFill>
            <w14:solidFill>
              <w14:schemeClr w14:val="tx1"/>
            </w14:solidFill>
          </w14:textFill>
        </w:rPr>
      </w:pPr>
    </w:p>
    <w:p w14:paraId="1809E260">
      <w:pPr>
        <w:pStyle w:val="33"/>
        <w:keepNext w:val="0"/>
        <w:keepLines w:val="0"/>
        <w:pageBreakBefore w:val="0"/>
        <w:widowControl w:val="0"/>
        <w:suppressLineNumbers w:val="0"/>
        <w:kinsoku/>
        <w:overflowPunct/>
        <w:topLinePunct w:val="0"/>
        <w:bidi w:val="0"/>
        <w:spacing w:before="0" w:beforeAutospacing="0" w:after="0" w:afterAutospacing="0"/>
        <w:ind w:left="0" w:right="0" w:firstLine="0"/>
        <w:jc w:val="center"/>
        <w:rPr>
          <w:rFonts w:hint="eastAsia" w:ascii="仿宋" w:hAnsi="仿宋" w:eastAsia="仿宋" w:cs="仿宋"/>
          <w:b/>
          <w:sz w:val="36"/>
          <w:szCs w:val="36"/>
          <w:highlight w:val="none"/>
        </w:rPr>
      </w:pPr>
    </w:p>
    <w:p w14:paraId="2F73C064">
      <w:pPr>
        <w:pStyle w:val="33"/>
        <w:keepNext w:val="0"/>
        <w:keepLines w:val="0"/>
        <w:pageBreakBefore w:val="0"/>
        <w:widowControl w:val="0"/>
        <w:suppressLineNumbers w:val="0"/>
        <w:kinsoku/>
        <w:overflowPunct/>
        <w:topLinePunct w:val="0"/>
        <w:bidi w:val="0"/>
        <w:spacing w:before="0" w:beforeAutospacing="0" w:after="0" w:afterAutospacing="0"/>
        <w:ind w:left="0" w:right="0" w:firstLine="0"/>
        <w:jc w:val="center"/>
        <w:rPr>
          <w:rFonts w:hint="eastAsia" w:ascii="仿宋" w:hAnsi="仿宋" w:eastAsia="仿宋" w:cs="仿宋"/>
          <w:b/>
          <w:sz w:val="36"/>
          <w:szCs w:val="36"/>
          <w:highlight w:val="none"/>
        </w:rPr>
      </w:pPr>
    </w:p>
    <w:p w14:paraId="0A33A754">
      <w:pPr>
        <w:pStyle w:val="33"/>
        <w:keepNext w:val="0"/>
        <w:keepLines w:val="0"/>
        <w:pageBreakBefore w:val="0"/>
        <w:widowControl w:val="0"/>
        <w:suppressLineNumbers w:val="0"/>
        <w:kinsoku/>
        <w:overflowPunct/>
        <w:topLinePunct w:val="0"/>
        <w:bidi w:val="0"/>
        <w:spacing w:before="0" w:beforeAutospacing="0" w:after="0" w:afterAutospacing="0"/>
        <w:ind w:left="0" w:right="0" w:firstLine="0"/>
        <w:jc w:val="center"/>
        <w:rPr>
          <w:rFonts w:hint="eastAsia" w:ascii="仿宋" w:hAnsi="仿宋" w:eastAsia="仿宋" w:cs="仿宋"/>
          <w:b/>
          <w:sz w:val="36"/>
          <w:szCs w:val="36"/>
          <w:highlight w:val="none"/>
        </w:rPr>
      </w:pPr>
    </w:p>
    <w:p w14:paraId="459AFF8E">
      <w:pPr>
        <w:pStyle w:val="33"/>
        <w:keepNext w:val="0"/>
        <w:keepLines w:val="0"/>
        <w:pageBreakBefore w:val="0"/>
        <w:widowControl w:val="0"/>
        <w:suppressLineNumbers w:val="0"/>
        <w:kinsoku/>
        <w:overflowPunct/>
        <w:topLinePunct w:val="0"/>
        <w:bidi w:val="0"/>
        <w:spacing w:before="0" w:beforeAutospacing="0" w:after="0" w:afterAutospacing="0"/>
        <w:ind w:left="0" w:right="0" w:firstLine="0"/>
        <w:jc w:val="center"/>
        <w:rPr>
          <w:rFonts w:hint="eastAsia" w:ascii="仿宋" w:hAnsi="仿宋" w:eastAsia="仿宋" w:cs="仿宋"/>
          <w:b/>
          <w:sz w:val="36"/>
          <w:szCs w:val="36"/>
          <w:highlight w:val="none"/>
        </w:rPr>
      </w:pPr>
    </w:p>
    <w:p w14:paraId="171E7CA6">
      <w:pPr>
        <w:pStyle w:val="33"/>
        <w:keepNext w:val="0"/>
        <w:keepLines w:val="0"/>
        <w:pageBreakBefore w:val="0"/>
        <w:widowControl w:val="0"/>
        <w:suppressLineNumbers w:val="0"/>
        <w:kinsoku/>
        <w:overflowPunct/>
        <w:topLinePunct w:val="0"/>
        <w:bidi w:val="0"/>
        <w:spacing w:before="0" w:beforeAutospacing="0" w:after="0" w:afterAutospacing="0"/>
        <w:ind w:left="0" w:right="0" w:firstLine="0"/>
        <w:jc w:val="center"/>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项目名称</w:t>
      </w:r>
      <w:r>
        <w:rPr>
          <w:rFonts w:hint="eastAsia" w:ascii="仿宋" w:hAnsi="仿宋" w:eastAsia="仿宋" w:cs="仿宋"/>
          <w:b/>
          <w:sz w:val="36"/>
          <w:szCs w:val="36"/>
          <w:highlight w:val="none"/>
          <w:lang w:eastAsia="zh-CN"/>
        </w:rPr>
        <w:t>：2025年山阳街道人居环境综合整治提升物资采购项目</w:t>
      </w:r>
    </w:p>
    <w:p w14:paraId="38FCA0DD">
      <w:pPr>
        <w:keepNext w:val="0"/>
        <w:keepLines w:val="0"/>
        <w:pageBreakBefore w:val="0"/>
        <w:widowControl w:val="0"/>
        <w:kinsoku/>
        <w:overflowPunct/>
        <w:topLinePunct w:val="0"/>
        <w:bidi w:val="0"/>
        <w:spacing w:line="760" w:lineRule="exact"/>
        <w:ind w:firstLine="1084"/>
        <w:rPr>
          <w:rFonts w:hint="eastAsia" w:ascii="仿宋" w:hAnsi="仿宋" w:eastAsia="仿宋" w:cs="仿宋"/>
          <w:b/>
          <w:sz w:val="36"/>
          <w:szCs w:val="36"/>
          <w:highlight w:val="none"/>
        </w:rPr>
      </w:pPr>
    </w:p>
    <w:p w14:paraId="126D234F">
      <w:pPr>
        <w:keepNext w:val="0"/>
        <w:keepLines w:val="0"/>
        <w:pageBreakBefore w:val="0"/>
        <w:widowControl w:val="0"/>
        <w:kinsoku/>
        <w:overflowPunct/>
        <w:topLinePunct w:val="0"/>
        <w:bidi w:val="0"/>
        <w:spacing w:line="760" w:lineRule="exact"/>
        <w:ind w:firstLine="1084"/>
        <w:rPr>
          <w:rFonts w:hint="eastAsia" w:ascii="仿宋" w:hAnsi="仿宋" w:eastAsia="仿宋" w:cs="仿宋"/>
          <w:b/>
          <w:sz w:val="36"/>
          <w:szCs w:val="36"/>
          <w:highlight w:val="none"/>
        </w:rPr>
      </w:pPr>
      <w:r>
        <w:rPr>
          <w:rFonts w:hint="eastAsia" w:ascii="仿宋" w:hAnsi="仿宋" w:eastAsia="仿宋" w:cs="仿宋"/>
          <w:b/>
          <w:sz w:val="36"/>
          <w:szCs w:val="36"/>
          <w:highlight w:val="none"/>
        </w:rPr>
        <w:t>项目编号</w:t>
      </w:r>
      <w:r>
        <w:rPr>
          <w:rFonts w:hint="eastAsia" w:ascii="仿宋" w:hAnsi="仿宋" w:eastAsia="仿宋" w:cs="仿宋"/>
          <w:b/>
          <w:sz w:val="36"/>
          <w:szCs w:val="36"/>
          <w:highlight w:val="none"/>
          <w:lang w:eastAsia="zh-CN"/>
        </w:rPr>
        <w:t>：JSZC-320803-ZZGC-C2026-0002</w:t>
      </w:r>
      <w:r>
        <w:rPr>
          <w:rFonts w:hint="eastAsia" w:ascii="仿宋" w:hAnsi="仿宋" w:eastAsia="仿宋" w:cs="仿宋"/>
          <w:b/>
          <w:sz w:val="36"/>
          <w:szCs w:val="36"/>
          <w:highlight w:val="none"/>
          <w:lang w:val="en-US" w:eastAsia="zh-CN"/>
        </w:rPr>
        <w:t xml:space="preserve"> </w:t>
      </w:r>
    </w:p>
    <w:p w14:paraId="03730D09">
      <w:pPr>
        <w:keepNext w:val="0"/>
        <w:keepLines w:val="0"/>
        <w:pageBreakBefore w:val="0"/>
        <w:widowControl w:val="0"/>
        <w:kinsoku/>
        <w:overflowPunct/>
        <w:topLinePunct w:val="0"/>
        <w:bidi w:val="0"/>
        <w:rPr>
          <w:rFonts w:hint="eastAsia" w:ascii="仿宋" w:hAnsi="仿宋" w:eastAsia="仿宋" w:cs="仿宋"/>
          <w:b/>
          <w:sz w:val="36"/>
          <w:szCs w:val="36"/>
          <w:highlight w:val="none"/>
        </w:rPr>
      </w:pPr>
    </w:p>
    <w:p w14:paraId="5677C6F8">
      <w:pPr>
        <w:keepNext w:val="0"/>
        <w:keepLines w:val="0"/>
        <w:pageBreakBefore w:val="0"/>
        <w:widowControl w:val="0"/>
        <w:kinsoku/>
        <w:overflowPunct/>
        <w:topLinePunct w:val="0"/>
        <w:bidi w:val="0"/>
        <w:spacing w:line="360" w:lineRule="auto"/>
        <w:ind w:firstLine="1265"/>
        <w:rPr>
          <w:rFonts w:hint="eastAsia" w:ascii="仿宋" w:hAnsi="仿宋" w:eastAsia="仿宋" w:cs="仿宋"/>
          <w:b/>
          <w:sz w:val="36"/>
          <w:szCs w:val="36"/>
          <w:highlight w:val="none"/>
        </w:rPr>
      </w:pPr>
    </w:p>
    <w:p w14:paraId="04B82B2E">
      <w:pPr>
        <w:keepNext w:val="0"/>
        <w:keepLines w:val="0"/>
        <w:pageBreakBefore w:val="0"/>
        <w:widowControl w:val="0"/>
        <w:kinsoku/>
        <w:overflowPunct/>
        <w:topLinePunct w:val="0"/>
        <w:bidi w:val="0"/>
        <w:spacing w:line="360" w:lineRule="auto"/>
        <w:ind w:firstLine="1265"/>
        <w:rPr>
          <w:rFonts w:hint="eastAsia" w:ascii="仿宋" w:hAnsi="仿宋" w:eastAsia="仿宋" w:cs="仿宋"/>
          <w:b/>
          <w:sz w:val="36"/>
          <w:szCs w:val="36"/>
          <w:highlight w:val="none"/>
        </w:rPr>
      </w:pPr>
    </w:p>
    <w:p w14:paraId="4639BAB5">
      <w:pPr>
        <w:keepNext w:val="0"/>
        <w:keepLines w:val="0"/>
        <w:pageBreakBefore w:val="0"/>
        <w:widowControl w:val="0"/>
        <w:kinsoku/>
        <w:overflowPunct/>
        <w:topLinePunct w:val="0"/>
        <w:bidi w:val="0"/>
        <w:spacing w:line="360" w:lineRule="auto"/>
        <w:ind w:firstLine="1265"/>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采购人：</w:t>
      </w:r>
      <w:r>
        <w:rPr>
          <w:rFonts w:hint="eastAsia" w:ascii="仿宋" w:hAnsi="仿宋" w:eastAsia="仿宋" w:cs="仿宋"/>
          <w:b/>
          <w:sz w:val="36"/>
          <w:szCs w:val="36"/>
          <w:highlight w:val="none"/>
          <w:lang w:eastAsia="zh-CN"/>
        </w:rPr>
        <w:t>淮安市淮安区山阳街道办事处</w:t>
      </w:r>
    </w:p>
    <w:p w14:paraId="6ACF1C71">
      <w:pPr>
        <w:keepNext w:val="0"/>
        <w:keepLines w:val="0"/>
        <w:pageBreakBefore w:val="0"/>
        <w:widowControl w:val="0"/>
        <w:kinsoku/>
        <w:overflowPunct/>
        <w:topLinePunct w:val="0"/>
        <w:bidi w:val="0"/>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       采购代理机构：</w:t>
      </w:r>
      <w:r>
        <w:rPr>
          <w:rFonts w:hint="eastAsia" w:ascii="仿宋" w:hAnsi="仿宋" w:eastAsia="仿宋" w:cs="仿宋"/>
          <w:b/>
          <w:sz w:val="36"/>
          <w:szCs w:val="36"/>
          <w:highlight w:val="none"/>
          <w:lang w:eastAsia="zh-CN"/>
        </w:rPr>
        <w:t>江苏中泽工程管理有限公司</w:t>
      </w:r>
    </w:p>
    <w:p w14:paraId="4A9D0CD2">
      <w:pPr>
        <w:keepNext w:val="0"/>
        <w:keepLines w:val="0"/>
        <w:pageBreakBefore w:val="0"/>
        <w:widowControl w:val="0"/>
        <w:tabs>
          <w:tab w:val="center" w:pos="5215"/>
        </w:tabs>
        <w:kinsoku/>
        <w:overflowPunct/>
        <w:topLinePunct w:val="0"/>
        <w:bidi w:val="0"/>
        <w:spacing w:line="360" w:lineRule="auto"/>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  </w:t>
      </w:r>
      <w:r>
        <w:rPr>
          <w:rFonts w:hint="eastAsia" w:ascii="仿宋" w:hAnsi="仿宋" w:eastAsia="仿宋" w:cs="仿宋"/>
          <w:b/>
          <w:sz w:val="36"/>
          <w:szCs w:val="36"/>
          <w:highlight w:val="none"/>
          <w:lang w:eastAsia="zh-CN"/>
        </w:rPr>
        <w:t>二〇二六</w:t>
      </w:r>
      <w:r>
        <w:rPr>
          <w:rFonts w:hint="eastAsia" w:ascii="仿宋" w:hAnsi="仿宋" w:eastAsia="仿宋" w:cs="仿宋"/>
          <w:b/>
          <w:sz w:val="36"/>
          <w:szCs w:val="36"/>
          <w:highlight w:val="none"/>
        </w:rPr>
        <w:t>年</w:t>
      </w:r>
      <w:r>
        <w:rPr>
          <w:rFonts w:hint="eastAsia" w:ascii="仿宋" w:hAnsi="仿宋" w:eastAsia="仿宋" w:cs="仿宋"/>
          <w:b/>
          <w:sz w:val="36"/>
          <w:szCs w:val="36"/>
          <w:highlight w:val="none"/>
          <w:lang w:val="en-US" w:eastAsia="zh-CN"/>
        </w:rPr>
        <w:t>七</w:t>
      </w:r>
      <w:r>
        <w:rPr>
          <w:rFonts w:hint="eastAsia" w:ascii="仿宋" w:hAnsi="仿宋" w:eastAsia="仿宋" w:cs="仿宋"/>
          <w:b/>
          <w:sz w:val="36"/>
          <w:szCs w:val="36"/>
          <w:highlight w:val="none"/>
        </w:rPr>
        <w:t>月</w:t>
      </w:r>
    </w:p>
    <w:sdt>
      <w:sdtPr>
        <w:rPr>
          <w:rFonts w:hint="eastAsia" w:ascii="仿宋" w:hAnsi="仿宋" w:eastAsia="仿宋" w:cs="仿宋"/>
          <w:sz w:val="36"/>
          <w:szCs w:val="44"/>
          <w:highlight w:val="none"/>
        </w:rPr>
        <w:id w:val="147466813"/>
        <w15:color w:val="DBDBDB"/>
        <w:docPartObj>
          <w:docPartGallery w:val="Table of Contents"/>
          <w:docPartUnique/>
        </w:docPartObj>
      </w:sdtPr>
      <w:sdtEndPr>
        <w:rPr>
          <w:rFonts w:hint="eastAsia" w:ascii="Arial" w:hAnsi="Arial" w:eastAsia="仿宋" w:cs="Arial"/>
          <w:b/>
          <w:sz w:val="32"/>
          <w:szCs w:val="40"/>
          <w:highlight w:val="none"/>
        </w:rPr>
      </w:sdtEndPr>
      <w:sdtContent>
        <w:p w14:paraId="35A80E2E">
          <w:pPr>
            <w:keepNext w:val="0"/>
            <w:keepLines w:val="0"/>
            <w:pageBreakBefore w:val="0"/>
            <w:widowControl w:val="0"/>
            <w:kinsoku/>
            <w:overflowPunct/>
            <w:topLinePunct w:val="0"/>
            <w:bidi w:val="0"/>
            <w:spacing w:before="0" w:beforeLines="0" w:after="0" w:afterLines="0" w:line="240" w:lineRule="auto"/>
            <w:ind w:left="0" w:leftChars="0" w:right="0" w:rightChars="0" w:firstLine="0" w:firstLineChars="0"/>
            <w:jc w:val="center"/>
            <w:rPr>
              <w:rFonts w:hint="eastAsia" w:ascii="仿宋" w:hAnsi="仿宋" w:eastAsia="仿宋" w:cs="仿宋"/>
              <w:sz w:val="36"/>
              <w:szCs w:val="44"/>
              <w:highlight w:val="none"/>
              <w:lang w:val="en-US" w:eastAsia="zh-CN"/>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bookmarkStart w:id="86" w:name="_GoBack"/>
          <w:bookmarkEnd w:id="86"/>
          <w:r>
            <w:rPr>
              <w:rFonts w:hint="eastAsia" w:ascii="仿宋" w:hAnsi="仿宋" w:eastAsia="仿宋" w:cs="仿宋"/>
              <w:sz w:val="36"/>
              <w:szCs w:val="44"/>
              <w:highlight w:val="none"/>
              <w:lang w:val="en-US" w:eastAsia="zh-CN"/>
            </w:rPr>
            <w:t xml:space="preserve"> </w:t>
          </w:r>
        </w:p>
        <w:p w14:paraId="35E32C2F">
          <w:pPr>
            <w:keepNext w:val="0"/>
            <w:keepLines w:val="0"/>
            <w:pageBreakBefore w:val="0"/>
            <w:widowControl w:val="0"/>
            <w:kinsoku/>
            <w:overflowPunct/>
            <w:topLinePunct w:val="0"/>
            <w:bidi w:val="0"/>
            <w:spacing w:before="0" w:beforeLines="0" w:after="0" w:afterLines="0" w:line="240" w:lineRule="auto"/>
            <w:ind w:left="0" w:leftChars="0" w:right="0" w:rightChars="0" w:firstLine="0" w:firstLineChars="0"/>
            <w:jc w:val="center"/>
            <w:rPr>
              <w:rFonts w:hint="eastAsia" w:ascii="仿宋" w:hAnsi="仿宋" w:eastAsia="仿宋" w:cs="仿宋"/>
              <w:sz w:val="36"/>
              <w:szCs w:val="44"/>
              <w:highlight w:val="none"/>
            </w:rPr>
          </w:pPr>
          <w:r>
            <w:rPr>
              <w:rFonts w:hint="eastAsia" w:ascii="仿宋" w:hAnsi="仿宋" w:eastAsia="仿宋" w:cs="仿宋"/>
              <w:sz w:val="36"/>
              <w:szCs w:val="44"/>
              <w:highlight w:val="none"/>
            </w:rPr>
            <w:t>目录</w:t>
          </w:r>
        </w:p>
        <w:p w14:paraId="4D8D578E">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2"/>
              <w:szCs w:val="28"/>
              <w:highlight w:val="none"/>
            </w:rPr>
            <w:fldChar w:fldCharType="begin"/>
          </w:r>
          <w:r>
            <w:rPr>
              <w:rFonts w:hint="eastAsia" w:ascii="仿宋" w:hAnsi="仿宋" w:eastAsia="仿宋" w:cs="仿宋"/>
              <w:sz w:val="22"/>
              <w:szCs w:val="28"/>
              <w:highlight w:val="none"/>
            </w:rPr>
            <w:instrText xml:space="preserve">TOC \o "1-3" \h \u </w:instrText>
          </w:r>
          <w:r>
            <w:rPr>
              <w:rFonts w:hint="eastAsia" w:ascii="仿宋" w:hAnsi="仿宋" w:eastAsia="仿宋" w:cs="仿宋"/>
              <w:sz w:val="22"/>
              <w:szCs w:val="28"/>
              <w:highlight w:val="none"/>
            </w:rPr>
            <w:fldChar w:fldCharType="separate"/>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_Toc9674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第一章  磋商邀请</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_Toc9674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1</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012DF2D4">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_Toc13804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第二章  供应商须知</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_Toc13804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3861467A">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_Toc16783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第三章  评标标准</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_Toc16783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21</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33A85551">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_Toc31436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第四章  合同格式及条款</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_Toc31436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24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2B517F41">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_Toc25842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 xml:space="preserve">第五章  </w:t>
          </w:r>
          <w:r>
            <w:rPr>
              <w:rFonts w:hint="eastAsia" w:ascii="仿宋" w:hAnsi="仿宋" w:eastAsia="仿宋" w:cs="仿宋"/>
              <w:sz w:val="28"/>
              <w:szCs w:val="36"/>
              <w:highlight w:val="none"/>
              <w:lang w:val="en-US" w:eastAsia="zh-CN"/>
            </w:rPr>
            <w:t>采购内容及要求</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_Toc25842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34</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55FE3E2E">
          <w:pPr>
            <w:pStyle w:val="24"/>
            <w:keepNext w:val="0"/>
            <w:keepLines w:val="0"/>
            <w:pageBreakBefore w:val="0"/>
            <w:widowControl w:val="0"/>
            <w:tabs>
              <w:tab w:val="right" w:leader="dot" w:pos="9746"/>
            </w:tabs>
            <w:kinsoku/>
            <w:wordWrap/>
            <w:overflowPunct/>
            <w:topLinePunct w:val="0"/>
            <w:autoSpaceDE/>
            <w:autoSpaceDN/>
            <w:bidi w:val="0"/>
            <w:adjustRightInd/>
            <w:snapToGrid/>
            <w:spacing w:after="0" w:line="480" w:lineRule="auto"/>
            <w:textAlignment w:val="auto"/>
            <w:rPr>
              <w:rFonts w:hint="eastAsia" w:ascii="仿宋" w:hAnsi="仿宋" w:eastAsia="仿宋" w:cs="仿宋"/>
              <w:sz w:val="28"/>
              <w:szCs w:val="36"/>
              <w:highlight w:val="none"/>
            </w:rPr>
          </w:pP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HYPERLINK \l _Toc31773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60"/>
              <w:highlight w:val="none"/>
            </w:rPr>
            <w:t>第六章  响应文件</w:t>
          </w:r>
          <w:r>
            <w:rPr>
              <w:rFonts w:hint="eastAsia" w:ascii="仿宋" w:hAnsi="仿宋" w:eastAsia="仿宋" w:cs="仿宋"/>
              <w:sz w:val="28"/>
              <w:szCs w:val="36"/>
              <w:highlight w:val="none"/>
            </w:rPr>
            <w:tab/>
          </w:r>
          <w:r>
            <w:rPr>
              <w:rFonts w:hint="eastAsia" w:ascii="仿宋" w:hAnsi="仿宋" w:eastAsia="仿宋" w:cs="仿宋"/>
              <w:sz w:val="28"/>
              <w:szCs w:val="36"/>
              <w:highlight w:val="none"/>
            </w:rPr>
            <w:fldChar w:fldCharType="begin"/>
          </w:r>
          <w:r>
            <w:rPr>
              <w:rFonts w:hint="eastAsia" w:ascii="仿宋" w:hAnsi="仿宋" w:eastAsia="仿宋" w:cs="仿宋"/>
              <w:sz w:val="28"/>
              <w:szCs w:val="36"/>
              <w:highlight w:val="none"/>
            </w:rPr>
            <w:instrText xml:space="preserve"> PAGEREF _Toc31773 \h </w:instrText>
          </w:r>
          <w:r>
            <w:rPr>
              <w:rFonts w:hint="eastAsia" w:ascii="仿宋" w:hAnsi="仿宋" w:eastAsia="仿宋" w:cs="仿宋"/>
              <w:sz w:val="28"/>
              <w:szCs w:val="36"/>
              <w:highlight w:val="none"/>
            </w:rPr>
            <w:fldChar w:fldCharType="separate"/>
          </w:r>
          <w:r>
            <w:rPr>
              <w:rFonts w:hint="eastAsia" w:ascii="仿宋" w:hAnsi="仿宋" w:eastAsia="仿宋" w:cs="仿宋"/>
              <w:sz w:val="28"/>
              <w:szCs w:val="36"/>
              <w:highlight w:val="none"/>
            </w:rPr>
            <w:t>46</w:t>
          </w:r>
          <w:r>
            <w:rPr>
              <w:rFonts w:hint="eastAsia" w:ascii="仿宋" w:hAnsi="仿宋" w:eastAsia="仿宋" w:cs="仿宋"/>
              <w:sz w:val="28"/>
              <w:szCs w:val="36"/>
              <w:highlight w:val="none"/>
            </w:rPr>
            <w:fldChar w:fldCharType="end"/>
          </w:r>
          <w:r>
            <w:rPr>
              <w:rFonts w:hint="eastAsia" w:ascii="仿宋" w:hAnsi="仿宋" w:eastAsia="仿宋" w:cs="仿宋"/>
              <w:sz w:val="28"/>
              <w:szCs w:val="36"/>
              <w:highlight w:val="none"/>
            </w:rPr>
            <w:fldChar w:fldCharType="end"/>
          </w:r>
        </w:p>
        <w:p w14:paraId="6C1AA769">
          <w:pPr>
            <w:pStyle w:val="17"/>
            <w:keepNext w:val="0"/>
            <w:keepLines w:val="0"/>
            <w:pageBreakBefore w:val="0"/>
            <w:widowControl w:val="0"/>
            <w:tabs>
              <w:tab w:val="right" w:leader="dot" w:pos="9746"/>
            </w:tabs>
            <w:kinsoku/>
            <w:overflowPunct/>
            <w:topLinePunct w:val="0"/>
            <w:bidi w:val="0"/>
            <w:rPr>
              <w:rFonts w:hint="eastAsia" w:ascii="仿宋" w:hAnsi="仿宋" w:eastAsia="仿宋" w:cs="仿宋"/>
              <w:sz w:val="22"/>
              <w:szCs w:val="28"/>
              <w:highlight w:val="none"/>
            </w:rPr>
          </w:pPr>
        </w:p>
        <w:p w14:paraId="3EF4CD4E">
          <w:pPr>
            <w:pStyle w:val="2"/>
            <w:keepNext w:val="0"/>
            <w:keepLines w:val="0"/>
            <w:pageBreakBefore w:val="0"/>
            <w:widowControl w:val="0"/>
            <w:kinsoku/>
            <w:wordWrap/>
            <w:overflowPunct/>
            <w:topLinePunct w:val="0"/>
            <w:autoSpaceDE/>
            <w:autoSpaceDN/>
            <w:bidi w:val="0"/>
            <w:adjustRightInd/>
            <w:snapToGrid/>
            <w:spacing w:before="0" w:after="0"/>
            <w:textAlignment w:val="auto"/>
            <w:rPr>
              <w:rFonts w:hint="eastAsia" w:ascii="Arial" w:hAnsi="Arial" w:eastAsia="仿宋" w:cs="Arial"/>
              <w:b/>
              <w:sz w:val="32"/>
              <w:szCs w:val="40"/>
              <w:highlight w:val="none"/>
            </w:rPr>
            <w:sectPr>
              <w:pgSz w:w="11906" w:h="16838"/>
              <w:pgMar w:top="1440" w:right="1080" w:bottom="1440" w:left="1080" w:header="851" w:footer="992" w:gutter="0"/>
              <w:pgBorders>
                <w:top w:val="none" w:sz="0" w:space="0"/>
                <w:left w:val="none" w:sz="0" w:space="0"/>
                <w:bottom w:val="none" w:sz="0" w:space="0"/>
                <w:right w:val="none" w:sz="0" w:space="0"/>
              </w:pgBorders>
              <w:cols w:space="1701" w:num="1"/>
              <w:titlePg/>
              <w:docGrid w:linePitch="360" w:charSpace="0"/>
            </w:sectPr>
          </w:pPr>
          <w:r>
            <w:rPr>
              <w:rFonts w:hint="eastAsia" w:ascii="仿宋" w:hAnsi="仿宋" w:eastAsia="仿宋" w:cs="仿宋"/>
              <w:sz w:val="36"/>
              <w:szCs w:val="44"/>
              <w:highlight w:val="none"/>
            </w:rPr>
            <w:fldChar w:fldCharType="end"/>
          </w:r>
        </w:p>
      </w:sdtContent>
    </w:sdt>
    <w:p w14:paraId="021CB71C">
      <w:pPr>
        <w:pStyle w:val="2"/>
        <w:keepNext w:val="0"/>
        <w:keepLines w:val="0"/>
        <w:pageBreakBefore w:val="0"/>
        <w:widowControl w:val="0"/>
        <w:kinsoku/>
        <w:wordWrap/>
        <w:overflowPunct/>
        <w:topLinePunct w:val="0"/>
        <w:autoSpaceDE/>
        <w:autoSpaceDN/>
        <w:bidi w:val="0"/>
        <w:adjustRightInd/>
        <w:snapToGrid/>
        <w:spacing w:before="0" w:after="0"/>
        <w:textAlignment w:val="auto"/>
        <w:rPr>
          <w:rFonts w:hint="eastAsia" w:ascii="Arial" w:hAnsi="Arial"/>
          <w:highlight w:val="none"/>
        </w:rPr>
      </w:pPr>
      <w:bookmarkStart w:id="0" w:name="_Toc9674"/>
      <w:r>
        <w:rPr>
          <w:rFonts w:hint="eastAsia" w:ascii="Arial" w:hAnsi="Arial"/>
          <w:highlight w:val="none"/>
        </w:rPr>
        <w:t>第一章   磋商邀请</w:t>
      </w:r>
      <w:bookmarkEnd w:id="0"/>
    </w:p>
    <w:p w14:paraId="782B0BB2">
      <w:pPr>
        <w:keepNext w:val="0"/>
        <w:keepLines w:val="0"/>
        <w:pageBreakBefore w:val="0"/>
        <w:widowControl w:val="0"/>
        <w:kinsoku/>
        <w:overflowPunct/>
        <w:topLinePunct w:val="0"/>
        <w:autoSpaceDE/>
        <w:autoSpaceDN/>
        <w:bidi w:val="0"/>
        <w:adjustRightInd/>
        <w:snapToGrid/>
        <w:spacing w:line="480" w:lineRule="exact"/>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受</w:t>
      </w:r>
      <w:r>
        <w:rPr>
          <w:rFonts w:hint="eastAsia" w:ascii="仿宋" w:hAnsi="仿宋" w:eastAsia="仿宋" w:cs="Times New Roman"/>
          <w:color w:val="000000" w:themeColor="text1"/>
          <w:sz w:val="24"/>
          <w:szCs w:val="24"/>
          <w:highlight w:val="none"/>
          <w:u w:val="single"/>
          <w:lang w:eastAsia="zh-CN"/>
          <w14:textFill>
            <w14:solidFill>
              <w14:schemeClr w14:val="tx1"/>
            </w14:solidFill>
          </w14:textFill>
        </w:rPr>
        <w:t>淮安市淮安区山阳街道办事处</w:t>
      </w:r>
      <w:r>
        <w:rPr>
          <w:rFonts w:hint="eastAsia" w:ascii="仿宋" w:hAnsi="仿宋" w:eastAsia="仿宋"/>
          <w:color w:val="000000" w:themeColor="text1"/>
          <w:sz w:val="24"/>
          <w:szCs w:val="24"/>
          <w:highlight w:val="none"/>
          <w14:textFill>
            <w14:solidFill>
              <w14:schemeClr w14:val="tx1"/>
            </w14:solidFill>
          </w14:textFill>
        </w:rPr>
        <w:t>的委托，</w:t>
      </w:r>
      <w:r>
        <w:rPr>
          <w:rFonts w:hint="eastAsia" w:ascii="仿宋" w:hAnsi="仿宋" w:eastAsia="仿宋" w:cs="Times New Roman"/>
          <w:color w:val="000000" w:themeColor="text1"/>
          <w:sz w:val="24"/>
          <w:szCs w:val="24"/>
          <w:highlight w:val="none"/>
          <w:u w:val="single"/>
          <w:lang w:eastAsia="zh-CN"/>
          <w14:textFill>
            <w14:solidFill>
              <w14:schemeClr w14:val="tx1"/>
            </w14:solidFill>
          </w14:textFill>
        </w:rPr>
        <w:t>江苏中泽工程管理有限公司</w:t>
      </w:r>
      <w:r>
        <w:rPr>
          <w:rFonts w:hint="eastAsia" w:ascii="仿宋" w:hAnsi="仿宋" w:eastAsia="仿宋"/>
          <w:color w:val="000000" w:themeColor="text1"/>
          <w:sz w:val="24"/>
          <w:szCs w:val="24"/>
          <w:highlight w:val="none"/>
          <w14:textFill>
            <w14:solidFill>
              <w14:schemeClr w14:val="tx1"/>
            </w14:solidFill>
          </w14:textFill>
        </w:rPr>
        <w:t>就</w:t>
      </w:r>
      <w:r>
        <w:rPr>
          <w:rFonts w:hint="eastAsia" w:ascii="仿宋" w:hAnsi="仿宋" w:eastAsia="仿宋" w:cs="Times New Roman"/>
          <w:b w:val="0"/>
          <w:bCs w:val="0"/>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olor w:val="000000" w:themeColor="text1"/>
          <w:sz w:val="24"/>
          <w:szCs w:val="24"/>
          <w:highlight w:val="none"/>
          <w14:textFill>
            <w14:solidFill>
              <w14:schemeClr w14:val="tx1"/>
            </w14:solidFill>
          </w14:textFill>
        </w:rPr>
        <w:t>进行竞争性磋商采购，现邀请符合条件的供应商参加竞争性磋商。</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6"/>
      </w:tblGrid>
      <w:tr w14:paraId="11DEE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56" w:type="dxa"/>
            <w:shd w:val="clear" w:color="auto" w:fill="auto"/>
            <w:noWrap w:val="0"/>
          </w:tcPr>
          <w:p w14:paraId="7EDAEBF7">
            <w:pPr>
              <w:keepNext w:val="0"/>
              <w:keepLines w:val="0"/>
              <w:pageBreakBefore w:val="0"/>
              <w:widowControl w:val="0"/>
              <w:kinsoku/>
              <w:wordWrap w:val="0"/>
              <w:overflowPunct/>
              <w:topLinePunct w:val="0"/>
              <w:autoSpaceDE/>
              <w:autoSpaceDN/>
              <w:bidi w:val="0"/>
              <w:adjustRightInd/>
              <w:snapToGrid/>
              <w:spacing w:line="480" w:lineRule="exact"/>
              <w:ind w:firstLine="539"/>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项目概况</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s="Times New Roman"/>
                <w:b w:val="0"/>
                <w:bCs w:val="0"/>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olor w:val="000000" w:themeColor="text1"/>
                <w:sz w:val="24"/>
                <w:szCs w:val="24"/>
                <w:highlight w:val="none"/>
                <w14:textFill>
                  <w14:solidFill>
                    <w14:schemeClr w14:val="tx1"/>
                  </w14:solidFill>
                </w14:textFill>
              </w:rPr>
              <w:t>的潜在供应商应在</w:t>
            </w:r>
            <w:bookmarkStart w:id="1" w:name="OLE_LINK28"/>
            <w:bookmarkStart w:id="2" w:name="OLE_LINK29"/>
            <w:r>
              <w:rPr>
                <w:rFonts w:hint="eastAsia" w:ascii="仿宋" w:hAnsi="仿宋" w:eastAsia="仿宋"/>
                <w:color w:val="000000" w:themeColor="text1"/>
                <w:sz w:val="24"/>
                <w:szCs w:val="24"/>
                <w:highlight w:val="none"/>
                <w14:textFill>
                  <w14:solidFill>
                    <w14:schemeClr w14:val="tx1"/>
                  </w14:solidFill>
                </w14:textFill>
              </w:rPr>
              <w:t>淮安市政府采购网</w:t>
            </w:r>
            <w:bookmarkEnd w:id="1"/>
            <w:bookmarkEnd w:id="2"/>
            <w:r>
              <w:rPr>
                <w:rFonts w:hint="eastAsia" w:ascii="仿宋" w:hAnsi="仿宋" w:eastAsia="仿宋"/>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"http://czj.huaian.gov.cn/col/13924_326175/index.html" \o "http://czj.huaian.gov.cn/col/13924_326175/index.html" </w:instrText>
            </w:r>
            <w:r>
              <w:rPr>
                <w:color w:val="000000" w:themeColor="text1"/>
                <w:sz w:val="24"/>
                <w:szCs w:val="24"/>
                <w:highlight w:val="none"/>
                <w14:textFill>
                  <w14:solidFill>
                    <w14:schemeClr w14:val="tx1"/>
                  </w14:solidFill>
                </w14:textFill>
              </w:rPr>
              <w:fldChar w:fldCharType="separate"/>
            </w:r>
            <w:r>
              <w:rPr>
                <w:rFonts w:hint="eastAsia" w:ascii="仿宋" w:hAnsi="仿宋" w:eastAsia="仿宋"/>
                <w:color w:val="000000" w:themeColor="text1"/>
                <w:spacing w:val="-14"/>
                <w:sz w:val="24"/>
                <w:szCs w:val="24"/>
                <w:highlight w:val="none"/>
                <w14:textFill>
                  <w14:solidFill>
                    <w14:schemeClr w14:val="tx1"/>
                  </w14:solidFill>
                </w14:textFill>
              </w:rPr>
              <w:t>http://czj.huaian.gov.cn/col/13924_326175/index.html</w:t>
            </w:r>
            <w:r>
              <w:rPr>
                <w:rFonts w:hint="eastAsia" w:ascii="仿宋" w:hAnsi="仿宋" w:eastAsia="仿宋"/>
                <w:color w:val="000000" w:themeColor="text1"/>
                <w:spacing w:val="-14"/>
                <w:sz w:val="24"/>
                <w:szCs w:val="24"/>
                <w:highlight w:val="none"/>
                <w14:textFill>
                  <w14:solidFill>
                    <w14:schemeClr w14:val="tx1"/>
                  </w14:solidFill>
                </w14:textFill>
              </w:rPr>
              <w:fldChar w:fldCharType="end"/>
            </w:r>
            <w:r>
              <w:rPr>
                <w:rFonts w:hint="eastAsia" w:ascii="仿宋" w:hAnsi="仿宋" w:eastAsia="仿宋"/>
                <w:color w:val="000000" w:themeColor="text1"/>
                <w:sz w:val="24"/>
                <w:szCs w:val="24"/>
                <w:highlight w:val="none"/>
                <w14:textFill>
                  <w14:solidFill>
                    <w14:schemeClr w14:val="tx1"/>
                  </w14:solidFill>
                </w14:textFill>
              </w:rPr>
              <w:t>）自行免费下载磋商文件，并于202</w:t>
            </w:r>
            <w:r>
              <w:rPr>
                <w:rFonts w:hint="eastAsia" w:ascii="仿宋" w:hAnsi="仿宋" w:eastAsia="仿宋"/>
                <w:color w:val="000000" w:themeColor="text1"/>
                <w:sz w:val="24"/>
                <w:szCs w:val="24"/>
                <w:highlight w:val="none"/>
                <w:lang w:val="en-US" w:eastAsia="zh-CN"/>
                <w14:textFill>
                  <w14:solidFill>
                    <w14:schemeClr w14:val="tx1"/>
                  </w14:solidFill>
                </w14:textFill>
              </w:rPr>
              <w:t>6</w:t>
            </w:r>
            <w:r>
              <w:rPr>
                <w:rFonts w:hint="eastAsia" w:ascii="仿宋" w:hAnsi="仿宋" w:eastAsia="仿宋"/>
                <w:color w:val="000000" w:themeColor="text1"/>
                <w:sz w:val="24"/>
                <w:szCs w:val="24"/>
                <w:highlight w:val="none"/>
                <w14:textFill>
                  <w14:solidFill>
                    <w14:schemeClr w14:val="tx1"/>
                  </w14:solidFill>
                </w14:textFill>
              </w:rPr>
              <w:t>年</w:t>
            </w:r>
            <w:r>
              <w:rPr>
                <w:rFonts w:hint="eastAsia" w:ascii="仿宋" w:hAnsi="仿宋" w:eastAsia="仿宋"/>
                <w:color w:val="000000" w:themeColor="text1"/>
                <w:sz w:val="24"/>
                <w:szCs w:val="24"/>
                <w:highlight w:val="none"/>
                <w:lang w:val="en-US" w:eastAsia="zh-CN"/>
                <w14:textFill>
                  <w14:solidFill>
                    <w14:schemeClr w14:val="tx1"/>
                  </w14:solidFill>
                </w14:textFill>
              </w:rPr>
              <w:t>7</w:t>
            </w:r>
            <w:r>
              <w:rPr>
                <w:rFonts w:hint="eastAsia" w:ascii="仿宋" w:hAnsi="仿宋" w:eastAsia="仿宋"/>
                <w:color w:val="000000" w:themeColor="text1"/>
                <w:sz w:val="24"/>
                <w:szCs w:val="24"/>
                <w:highlight w:val="none"/>
                <w14:textFill>
                  <w14:solidFill>
                    <w14:schemeClr w14:val="tx1"/>
                  </w14:solidFill>
                </w14:textFill>
              </w:rPr>
              <w:t>月</w:t>
            </w:r>
            <w:r>
              <w:rPr>
                <w:rFonts w:hint="eastAsia" w:ascii="仿宋" w:hAnsi="仿宋" w:eastAsia="仿宋"/>
                <w:color w:val="000000" w:themeColor="text1"/>
                <w:sz w:val="24"/>
                <w:szCs w:val="24"/>
                <w:highlight w:val="none"/>
                <w:lang w:val="en-US" w:eastAsia="zh-CN"/>
                <w14:textFill>
                  <w14:solidFill>
                    <w14:schemeClr w14:val="tx1"/>
                  </w14:solidFill>
                </w14:textFill>
              </w:rPr>
              <w:t>31</w:t>
            </w:r>
            <w:r>
              <w:rPr>
                <w:rFonts w:hint="eastAsia" w:ascii="仿宋" w:hAnsi="仿宋" w:eastAsia="仿宋"/>
                <w:color w:val="000000" w:themeColor="text1"/>
                <w:sz w:val="24"/>
                <w:szCs w:val="24"/>
                <w:highlight w:val="none"/>
                <w14:textFill>
                  <w14:solidFill>
                    <w14:schemeClr w14:val="tx1"/>
                  </w14:solidFill>
                </w14:textFill>
              </w:rPr>
              <w:t>日</w:t>
            </w:r>
            <w:r>
              <w:rPr>
                <w:rFonts w:hint="eastAsia" w:ascii="仿宋" w:hAnsi="仿宋" w:eastAsia="仿宋"/>
                <w:color w:val="000000" w:themeColor="text1"/>
                <w:sz w:val="24"/>
                <w:szCs w:val="24"/>
                <w:highlight w:val="none"/>
                <w:lang w:val="en-US" w:eastAsia="zh-CN"/>
                <w14:textFill>
                  <w14:solidFill>
                    <w14:schemeClr w14:val="tx1"/>
                  </w14:solidFill>
                </w14:textFill>
              </w:rPr>
              <w:t>09</w:t>
            </w:r>
            <w:r>
              <w:rPr>
                <w:rFonts w:hint="eastAsia" w:ascii="仿宋" w:hAnsi="仿宋" w:eastAsia="仿宋"/>
                <w:color w:val="000000" w:themeColor="text1"/>
                <w:sz w:val="24"/>
                <w:szCs w:val="24"/>
                <w:highlight w:val="none"/>
                <w14:textFill>
                  <w14:solidFill>
                    <w14:schemeClr w14:val="tx1"/>
                  </w14:solidFill>
                </w14:textFill>
              </w:rPr>
              <w:t>点00分（北京时间）前提交响应文件。</w:t>
            </w:r>
          </w:p>
        </w:tc>
      </w:tr>
    </w:tbl>
    <w:p w14:paraId="574C851D">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一、项目基本情况</w:t>
      </w:r>
    </w:p>
    <w:p w14:paraId="287BCC6D">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（一）项目编号</w:t>
      </w:r>
      <w:r>
        <w:rPr>
          <w:rFonts w:hint="eastAsia" w:ascii="仿宋" w:hAnsi="仿宋" w:eastAsia="仿宋" w:cs="仿宋"/>
          <w:color w:val="000000" w:themeColor="text1"/>
          <w:sz w:val="24"/>
          <w:szCs w:val="24"/>
          <w:highlight w:val="non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p>
    <w:p w14:paraId="2DE233E7">
      <w:pPr>
        <w:keepNext w:val="0"/>
        <w:keepLines w:val="0"/>
        <w:pageBreakBefore w:val="0"/>
        <w:widowControl w:val="0"/>
        <w:pBdr>
          <w:top w:val="none" w:color="000000" w:sz="0" w:space="0"/>
          <w:left w:val="none" w:color="000000" w:sz="0" w:space="0"/>
          <w:bottom w:val="none" w:color="000000" w:sz="0" w:space="0"/>
          <w:right w:val="none" w:color="000000" w:sz="0" w:space="0"/>
        </w:pBdr>
        <w:kinsoku/>
        <w:overflowPunct/>
        <w:topLinePunct w:val="0"/>
        <w:autoSpaceDE/>
        <w:autoSpaceDN/>
        <w:bidi w:val="0"/>
        <w:adjustRightInd/>
        <w:snapToGrid/>
        <w:spacing w:line="480" w:lineRule="exact"/>
        <w:ind w:firstLine="565"/>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（二）项目名称</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2025年山阳街道人居环境综合整治提升物资采购项目</w:t>
      </w:r>
    </w:p>
    <w:p w14:paraId="357E77CF">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（三）</w:t>
      </w:r>
      <w:bookmarkStart w:id="3" w:name="OLE_LINK20"/>
      <w:bookmarkStart w:id="4" w:name="OLE_LINK21"/>
      <w:r>
        <w:rPr>
          <w:rFonts w:hint="eastAsia" w:ascii="仿宋" w:hAnsi="仿宋" w:eastAsia="仿宋"/>
          <w:color w:val="000000" w:themeColor="text1"/>
          <w:sz w:val="24"/>
          <w:szCs w:val="24"/>
          <w:highlight w:val="none"/>
          <w14:textFill>
            <w14:solidFill>
              <w14:schemeClr w14:val="tx1"/>
            </w14:solidFill>
          </w14:textFill>
        </w:rPr>
        <w:t>最高限价</w:t>
      </w:r>
      <w:r>
        <w:rPr>
          <w:rFonts w:hint="eastAsia" w:ascii="仿宋" w:hAnsi="仿宋" w:eastAsia="仿宋"/>
          <w:color w:val="000000" w:themeColor="text1"/>
          <w:sz w:val="24"/>
          <w:szCs w:val="24"/>
          <w:highlight w:val="none"/>
          <w:lang w:eastAsia="zh-CN"/>
          <w14:textFill>
            <w14:solidFill>
              <w14:schemeClr w14:val="tx1"/>
            </w14:solidFill>
          </w14:textFill>
        </w:rPr>
        <w:t>：</w:t>
      </w:r>
      <w:bookmarkEnd w:id="3"/>
      <w:bookmarkEnd w:id="4"/>
      <w:r>
        <w:rPr>
          <w:rFonts w:hint="eastAsia" w:ascii="仿宋" w:hAnsi="仿宋" w:eastAsia="仿宋"/>
          <w:color w:val="000000" w:themeColor="text1"/>
          <w:sz w:val="24"/>
          <w:szCs w:val="24"/>
          <w:highlight w:val="none"/>
          <w:lang w:val="en-US" w:eastAsia="zh-CN"/>
          <w14:textFill>
            <w14:solidFill>
              <w14:schemeClr w14:val="tx1"/>
            </w14:solidFill>
          </w14:textFill>
        </w:rPr>
        <w:t>151.33</w:t>
      </w:r>
      <w:r>
        <w:rPr>
          <w:rFonts w:hint="eastAsia" w:ascii="仿宋" w:hAnsi="仿宋" w:eastAsia="仿宋"/>
          <w:color w:val="000000" w:themeColor="text1"/>
          <w:sz w:val="24"/>
          <w:szCs w:val="24"/>
          <w:highlight w:val="none"/>
          <w14:textFill>
            <w14:solidFill>
              <w14:schemeClr w14:val="tx1"/>
            </w14:solidFill>
          </w14:textFill>
        </w:rPr>
        <w:t>万元</w:t>
      </w:r>
      <w:r>
        <w:rPr>
          <w:rFonts w:hint="eastAsia" w:ascii="仿宋" w:hAnsi="仿宋" w:eastAsia="仿宋"/>
          <w:color w:val="000000" w:themeColor="text1"/>
          <w:sz w:val="24"/>
          <w:szCs w:val="24"/>
          <w:highlight w:val="none"/>
          <w:lang w:eastAsia="zh-CN"/>
          <w14:textFill>
            <w14:solidFill>
              <w14:schemeClr w14:val="tx1"/>
            </w14:solidFill>
          </w14:textFill>
        </w:rPr>
        <w:t>，报价超过最高限价，作无效响应处理</w:t>
      </w:r>
    </w:p>
    <w:p w14:paraId="7CE4627E">
      <w:pPr>
        <w:keepNext w:val="0"/>
        <w:keepLines w:val="0"/>
        <w:pageBreakBefore w:val="0"/>
        <w:widowControl w:val="0"/>
        <w:pBdr>
          <w:top w:val="none" w:color="000000" w:sz="0" w:space="0"/>
          <w:left w:val="none" w:color="000000" w:sz="0" w:space="0"/>
          <w:bottom w:val="none" w:color="000000" w:sz="0" w:space="0"/>
          <w:right w:val="none" w:color="000000" w:sz="0" w:space="0"/>
        </w:pBdr>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w:t>
      </w:r>
      <w:r>
        <w:rPr>
          <w:rFonts w:hint="eastAsia" w:ascii="仿宋" w:hAnsi="仿宋" w:eastAsia="仿宋"/>
          <w:color w:val="000000" w:themeColor="text1"/>
          <w:sz w:val="24"/>
          <w:szCs w:val="24"/>
          <w:highlight w:val="none"/>
          <w:lang w:eastAsia="zh-CN"/>
          <w14:textFill>
            <w14:solidFill>
              <w14:schemeClr w14:val="tx1"/>
            </w14:solidFill>
          </w14:textFill>
        </w:rPr>
        <w:t>四</w:t>
      </w:r>
      <w:r>
        <w:rPr>
          <w:rFonts w:hint="eastAsia" w:ascii="仿宋" w:hAnsi="仿宋" w:eastAsia="仿宋"/>
          <w:color w:val="000000" w:themeColor="text1"/>
          <w:sz w:val="24"/>
          <w:szCs w:val="24"/>
          <w:highlight w:val="none"/>
          <w14:textFill>
            <w14:solidFill>
              <w14:schemeClr w14:val="tx1"/>
            </w14:solidFill>
          </w14:textFill>
        </w:rPr>
        <w:t>）采购需求</w:t>
      </w:r>
      <w:r>
        <w:rPr>
          <w:rFonts w:hint="eastAsia" w:ascii="仿宋" w:hAnsi="仿宋" w:eastAsia="仿宋"/>
          <w:color w:val="000000" w:themeColor="text1"/>
          <w:sz w:val="24"/>
          <w:szCs w:val="24"/>
          <w:highlight w:val="none"/>
          <w:lang w:eastAsia="zh-CN"/>
          <w14:textFill>
            <w14:solidFill>
              <w14:schemeClr w14:val="tx1"/>
            </w14:solidFill>
          </w14:textFill>
        </w:rPr>
        <w:t>：</w:t>
      </w:r>
      <w:bookmarkStart w:id="5" w:name="OLE_LINK17"/>
      <w:bookmarkStart w:id="6" w:name="OLE_LINK16"/>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具体</w:t>
      </w:r>
      <w:r>
        <w:rPr>
          <w:rFonts w:hint="eastAsia" w:ascii="仿宋" w:hAnsi="仿宋" w:eastAsia="仿宋" w:cs="仿宋"/>
          <w:color w:val="000000" w:themeColor="text1"/>
          <w:sz w:val="24"/>
          <w:szCs w:val="24"/>
          <w:highlight w:val="none"/>
          <w14:textFill>
            <w14:solidFill>
              <w14:schemeClr w14:val="tx1"/>
            </w14:solidFill>
          </w14:textFill>
        </w:rPr>
        <w:t>内容详见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第五章</w:t>
      </w:r>
      <w:bookmarkEnd w:id="5"/>
      <w:bookmarkEnd w:id="6"/>
      <w:r>
        <w:rPr>
          <w:rFonts w:hint="eastAsia" w:ascii="仿宋" w:hAnsi="仿宋" w:eastAsia="仿宋" w:cs="仿宋"/>
          <w:color w:val="000000" w:themeColor="text1"/>
          <w:sz w:val="24"/>
          <w:szCs w:val="24"/>
          <w:highlight w:val="none"/>
          <w:lang w:val="en-US" w:eastAsia="zh-CN"/>
          <w14:textFill>
            <w14:solidFill>
              <w14:schemeClr w14:val="tx1"/>
            </w14:solidFill>
          </w14:textFill>
        </w:rPr>
        <w:t>采购内容及要求</w:t>
      </w:r>
    </w:p>
    <w:p w14:paraId="3CD7E42D">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w:t>
      </w:r>
      <w:r>
        <w:rPr>
          <w:rFonts w:hint="eastAsia" w:ascii="仿宋" w:hAnsi="仿宋" w:eastAsia="仿宋"/>
          <w:color w:val="000000" w:themeColor="text1"/>
          <w:sz w:val="24"/>
          <w:szCs w:val="24"/>
          <w:highlight w:val="none"/>
          <w:lang w:eastAsia="zh-CN"/>
          <w14:textFill>
            <w14:solidFill>
              <w14:schemeClr w14:val="tx1"/>
            </w14:solidFill>
          </w14:textFill>
        </w:rPr>
        <w:t>五</w:t>
      </w:r>
      <w:r>
        <w:rPr>
          <w:rFonts w:hint="eastAsia" w:ascii="仿宋" w:hAnsi="仿宋" w:eastAsia="仿宋"/>
          <w:color w:val="000000" w:themeColor="text1"/>
          <w:sz w:val="24"/>
          <w:szCs w:val="24"/>
          <w:highlight w:val="none"/>
          <w14:textFill>
            <w14:solidFill>
              <w14:schemeClr w14:val="tx1"/>
            </w14:solidFill>
          </w14:textFill>
        </w:rPr>
        <w:t>）</w:t>
      </w:r>
      <w:bookmarkStart w:id="7" w:name="OLE_LINK22"/>
      <w:bookmarkStart w:id="8" w:name="OLE_LINK23"/>
      <w:r>
        <w:rPr>
          <w:rFonts w:hint="eastAsia" w:ascii="仿宋" w:hAnsi="仿宋" w:eastAsia="仿宋"/>
          <w:color w:val="000000" w:themeColor="text1"/>
          <w:sz w:val="24"/>
          <w:szCs w:val="24"/>
          <w:highlight w:val="none"/>
          <w14:textFill>
            <w14:solidFill>
              <w14:schemeClr w14:val="tx1"/>
            </w14:solidFill>
          </w14:textFill>
        </w:rPr>
        <w:t>履约时间：</w:t>
      </w:r>
      <w:r>
        <w:rPr>
          <w:rFonts w:hint="eastAsia" w:ascii="仿宋" w:hAnsi="仿宋" w:eastAsia="仿宋"/>
          <w:color w:val="000000" w:themeColor="text1"/>
          <w:sz w:val="24"/>
          <w:szCs w:val="24"/>
          <w:highlight w:val="none"/>
          <w:lang w:eastAsia="zh-CN"/>
          <w14:textFill>
            <w14:solidFill>
              <w14:schemeClr w14:val="tx1"/>
            </w14:solidFill>
          </w14:textFill>
        </w:rPr>
        <w:t>接到采购人</w:t>
      </w:r>
      <w:r>
        <w:rPr>
          <w:rFonts w:hint="eastAsia" w:ascii="仿宋" w:hAnsi="仿宋" w:eastAsia="仿宋"/>
          <w:color w:val="000000" w:themeColor="text1"/>
          <w:sz w:val="24"/>
          <w:szCs w:val="24"/>
          <w:highlight w:val="none"/>
          <w14:textFill>
            <w14:solidFill>
              <w14:schemeClr w14:val="tx1"/>
            </w14:solidFill>
          </w14:textFill>
        </w:rPr>
        <w:t>通知15日内交货（按各村需求量分批供货）</w:t>
      </w:r>
    </w:p>
    <w:p w14:paraId="2DF96A42">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（六）</w:t>
      </w:r>
      <w:r>
        <w:rPr>
          <w:rFonts w:hint="eastAsia" w:ascii="仿宋" w:hAnsi="仿宋" w:eastAsia="仿宋"/>
          <w:color w:val="000000" w:themeColor="text1"/>
          <w:sz w:val="24"/>
          <w:szCs w:val="24"/>
          <w:highlight w:val="none"/>
          <w14:textFill>
            <w14:solidFill>
              <w14:schemeClr w14:val="tx1"/>
            </w14:solidFill>
          </w14:textFill>
        </w:rPr>
        <w:t>交货方式：按各村需求量分批供货</w:t>
      </w:r>
      <w:r>
        <w:rPr>
          <w:rFonts w:hint="eastAsia" w:ascii="仿宋" w:hAnsi="仿宋" w:eastAsia="仿宋"/>
          <w:color w:val="000000" w:themeColor="text1"/>
          <w:sz w:val="24"/>
          <w:szCs w:val="24"/>
          <w:highlight w:val="none"/>
          <w:lang w:eastAsia="zh-CN"/>
          <w14:textFill>
            <w14:solidFill>
              <w14:schemeClr w14:val="tx1"/>
            </w14:solidFill>
          </w14:textFill>
        </w:rPr>
        <w:t>，采购人</w:t>
      </w:r>
      <w:r>
        <w:rPr>
          <w:rFonts w:hint="eastAsia" w:ascii="仿宋" w:hAnsi="仿宋" w:eastAsia="仿宋"/>
          <w:color w:val="000000" w:themeColor="text1"/>
          <w:sz w:val="24"/>
          <w:szCs w:val="24"/>
          <w:highlight w:val="none"/>
          <w14:textFill>
            <w14:solidFill>
              <w14:schemeClr w14:val="tx1"/>
            </w14:solidFill>
          </w14:textFill>
        </w:rPr>
        <w:t>指定施工现场或仓库</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送货单至少须经</w:t>
      </w:r>
      <w:r>
        <w:rPr>
          <w:rFonts w:hint="eastAsia" w:ascii="仿宋" w:hAnsi="仿宋" w:eastAsia="仿宋"/>
          <w:color w:val="000000" w:themeColor="text1"/>
          <w:sz w:val="24"/>
          <w:szCs w:val="24"/>
          <w:highlight w:val="none"/>
          <w:lang w:eastAsia="zh-CN"/>
          <w14:textFill>
            <w14:solidFill>
              <w14:schemeClr w14:val="tx1"/>
            </w14:solidFill>
          </w14:textFill>
        </w:rPr>
        <w:t>采购人</w:t>
      </w:r>
      <w:r>
        <w:rPr>
          <w:rFonts w:hint="eastAsia" w:ascii="仿宋" w:hAnsi="仿宋" w:eastAsia="仿宋"/>
          <w:color w:val="000000" w:themeColor="text1"/>
          <w:sz w:val="24"/>
          <w:szCs w:val="24"/>
          <w:highlight w:val="none"/>
          <w14:textFill>
            <w14:solidFill>
              <w14:schemeClr w14:val="tx1"/>
            </w14:solidFill>
          </w14:textFill>
        </w:rPr>
        <w:t>有权签收人员一人签字确认方为有效。</w:t>
      </w:r>
      <w:bookmarkEnd w:id="7"/>
      <w:bookmarkEnd w:id="8"/>
    </w:p>
    <w:p w14:paraId="6ED45526">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w:t>
      </w:r>
      <w:r>
        <w:rPr>
          <w:rFonts w:hint="eastAsia" w:ascii="仿宋" w:hAnsi="仿宋" w:eastAsia="仿宋"/>
          <w:color w:val="000000" w:themeColor="text1"/>
          <w:sz w:val="24"/>
          <w:szCs w:val="24"/>
          <w:highlight w:val="none"/>
          <w:lang w:eastAsia="zh-CN"/>
          <w14:textFill>
            <w14:solidFill>
              <w14:schemeClr w14:val="tx1"/>
            </w14:solidFill>
          </w14:textFill>
        </w:rPr>
        <w:t>七</w:t>
      </w:r>
      <w:r>
        <w:rPr>
          <w:rFonts w:hint="eastAsia" w:ascii="仿宋" w:hAnsi="仿宋" w:eastAsia="仿宋"/>
          <w:color w:val="000000" w:themeColor="text1"/>
          <w:sz w:val="24"/>
          <w:szCs w:val="24"/>
          <w:highlight w:val="none"/>
          <w14:textFill>
            <w14:solidFill>
              <w14:schemeClr w14:val="tx1"/>
            </w14:solidFill>
          </w14:textFill>
        </w:rPr>
        <w:t>）本项目</w:t>
      </w:r>
      <w:r>
        <w:rPr>
          <w:rFonts w:hint="eastAsia" w:ascii="仿宋" w:hAnsi="仿宋" w:eastAsia="仿宋"/>
          <w:b/>
          <w:color w:val="000000" w:themeColor="text1"/>
          <w:sz w:val="24"/>
          <w:szCs w:val="24"/>
          <w:highlight w:val="none"/>
          <w:u w:val="single"/>
          <w14:textFill>
            <w14:solidFill>
              <w14:schemeClr w14:val="tx1"/>
            </w14:solidFill>
          </w14:textFill>
        </w:rPr>
        <w:t>不接受</w:t>
      </w:r>
      <w:r>
        <w:rPr>
          <w:rFonts w:hint="eastAsia" w:ascii="仿宋" w:hAnsi="仿宋" w:eastAsia="仿宋"/>
          <w:color w:val="000000" w:themeColor="text1"/>
          <w:sz w:val="24"/>
          <w:szCs w:val="24"/>
          <w:highlight w:val="none"/>
          <w14:textFill>
            <w14:solidFill>
              <w14:schemeClr w14:val="tx1"/>
            </w14:solidFill>
          </w14:textFill>
        </w:rPr>
        <w:t>联合体</w:t>
      </w:r>
      <w:r>
        <w:rPr>
          <w:rFonts w:hint="eastAsia" w:ascii="仿宋" w:hAnsi="仿宋" w:eastAsia="仿宋"/>
          <w:color w:val="000000" w:themeColor="text1"/>
          <w:sz w:val="24"/>
          <w:szCs w:val="24"/>
          <w:highlight w:val="none"/>
          <w:lang w:eastAsia="zh-CN"/>
          <w14:textFill>
            <w14:solidFill>
              <w14:schemeClr w14:val="tx1"/>
            </w14:solidFill>
          </w14:textFill>
        </w:rPr>
        <w:t>参加</w:t>
      </w:r>
      <w:r>
        <w:rPr>
          <w:rFonts w:hint="eastAsia" w:ascii="仿宋" w:hAnsi="仿宋" w:eastAsia="仿宋"/>
          <w:color w:val="000000" w:themeColor="text1"/>
          <w:sz w:val="24"/>
          <w:szCs w:val="24"/>
          <w:highlight w:val="none"/>
          <w14:textFill>
            <w14:solidFill>
              <w14:schemeClr w14:val="tx1"/>
            </w14:solidFill>
          </w14:textFill>
        </w:rPr>
        <w:t>磋商。</w:t>
      </w:r>
    </w:p>
    <w:p w14:paraId="603431A9">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u w:val="singl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w:t>
      </w:r>
      <w:r>
        <w:rPr>
          <w:rFonts w:hint="eastAsia" w:ascii="仿宋" w:hAnsi="仿宋" w:eastAsia="仿宋"/>
          <w:color w:val="000000" w:themeColor="text1"/>
          <w:sz w:val="24"/>
          <w:szCs w:val="24"/>
          <w:highlight w:val="none"/>
          <w:lang w:eastAsia="zh-CN"/>
          <w14:textFill>
            <w14:solidFill>
              <w14:schemeClr w14:val="tx1"/>
            </w14:solidFill>
          </w14:textFill>
        </w:rPr>
        <w:t>八</w:t>
      </w:r>
      <w:r>
        <w:rPr>
          <w:rFonts w:hint="eastAsia" w:ascii="仿宋" w:hAnsi="仿宋" w:eastAsia="仿宋"/>
          <w:color w:val="000000" w:themeColor="text1"/>
          <w:sz w:val="24"/>
          <w:szCs w:val="24"/>
          <w:highlight w:val="none"/>
          <w14:textFill>
            <w14:solidFill>
              <w14:schemeClr w14:val="tx1"/>
            </w14:solidFill>
          </w14:textFill>
        </w:rPr>
        <w:t>）本项目采购标的对应的中小企业划分标准所属行业为</w:t>
      </w:r>
      <w:r>
        <w:rPr>
          <w:rStyle w:val="40"/>
          <w:rFonts w:hint="eastAsia" w:ascii="仿宋" w:hAnsi="仿宋" w:eastAsia="仿宋"/>
          <w:color w:val="000000" w:themeColor="text1"/>
          <w:sz w:val="24"/>
          <w:szCs w:val="24"/>
          <w:highlight w:val="none"/>
          <w:u w:val="single"/>
          <w:shd w:val="clear" w:color="auto" w:fill="FFFFFF"/>
          <w:lang w:eastAsia="zh-CN"/>
          <w14:textFill>
            <w14:solidFill>
              <w14:schemeClr w14:val="tx1"/>
            </w14:solidFill>
          </w14:textFill>
        </w:rPr>
        <w:t>零售</w:t>
      </w:r>
      <w:r>
        <w:rPr>
          <w:rStyle w:val="40"/>
          <w:rFonts w:hint="eastAsia" w:ascii="仿宋" w:hAnsi="仿宋" w:eastAsia="仿宋"/>
          <w:color w:val="000000" w:themeColor="text1"/>
          <w:sz w:val="24"/>
          <w:szCs w:val="24"/>
          <w:highlight w:val="none"/>
          <w:u w:val="single"/>
          <w:shd w:val="clear" w:color="auto" w:fill="FFFFFF"/>
          <w14:textFill>
            <w14:solidFill>
              <w14:schemeClr w14:val="tx1"/>
            </w14:solidFill>
          </w14:textFill>
        </w:rPr>
        <w:t>业</w:t>
      </w:r>
      <w:r>
        <w:rPr>
          <w:rFonts w:hint="eastAsia" w:ascii="仿宋" w:hAnsi="仿宋" w:eastAsia="仿宋"/>
          <w:color w:val="000000" w:themeColor="text1"/>
          <w:sz w:val="24"/>
          <w:szCs w:val="24"/>
          <w:highlight w:val="none"/>
          <w14:textFill>
            <w14:solidFill>
              <w14:schemeClr w14:val="tx1"/>
            </w14:solidFill>
          </w14:textFill>
        </w:rPr>
        <w:t>。</w:t>
      </w:r>
    </w:p>
    <w:p w14:paraId="7CC94607">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二、申请人的资格要求</w:t>
      </w:r>
      <w:r>
        <w:rPr>
          <w:rFonts w:hint="eastAsia" w:ascii="仿宋" w:hAnsi="仿宋" w:eastAsia="仿宋"/>
          <w:b/>
          <w:color w:val="000000" w:themeColor="text1"/>
          <w:sz w:val="24"/>
          <w:szCs w:val="24"/>
          <w:highlight w:val="none"/>
          <w:lang w:eastAsia="zh-CN"/>
          <w14:textFill>
            <w14:solidFill>
              <w14:schemeClr w14:val="tx1"/>
            </w14:solidFill>
          </w14:textFill>
        </w:rPr>
        <w:t>：</w:t>
      </w:r>
    </w:p>
    <w:p w14:paraId="5480E951">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（一）符合《中华人民共和国政府采购法》第二十二条规定；</w:t>
      </w:r>
    </w:p>
    <w:p w14:paraId="3698E021">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（二）</w:t>
      </w:r>
      <w:bookmarkStart w:id="9" w:name="OLE_LINK25"/>
      <w:bookmarkStart w:id="10" w:name="OLE_LINK24"/>
      <w:r>
        <w:rPr>
          <w:rFonts w:hint="eastAsia" w:ascii="仿宋" w:hAnsi="仿宋" w:eastAsia="仿宋"/>
          <w:color w:val="000000" w:themeColor="text1"/>
          <w:sz w:val="24"/>
          <w:szCs w:val="24"/>
          <w:highlight w:val="none"/>
          <w14:textFill>
            <w14:solidFill>
              <w14:schemeClr w14:val="tx1"/>
            </w14:solidFill>
          </w14:textFill>
        </w:rPr>
        <w:t>落实政府采购政策需满足的资格要求</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ascii="仿宋" w:hAnsi="仿宋" w:eastAsia="仿宋"/>
          <w:color w:val="000000" w:themeColor="text1"/>
          <w:sz w:val="24"/>
          <w:szCs w:val="24"/>
          <w:highlight w:val="none"/>
          <w14:textFill>
            <w14:solidFill>
              <w14:schemeClr w14:val="tx1"/>
            </w14:solidFill>
          </w14:textFill>
        </w:rPr>
        <w:t xml:space="preserve"> </w:t>
      </w:r>
    </w:p>
    <w:p w14:paraId="090ABFFB">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bookmarkStart w:id="11" w:name="OLE_LINK36"/>
      <w:bookmarkStart w:id="12" w:name="OLE_LINK35"/>
      <w:r>
        <w:rPr>
          <w:rFonts w:hint="eastAsia" w:ascii="仿宋" w:hAnsi="仿宋" w:eastAsia="仿宋"/>
          <w:color w:val="000000" w:themeColor="text1"/>
          <w:sz w:val="24"/>
          <w:szCs w:val="24"/>
          <w:highlight w:val="none"/>
          <w:lang w:val="zh-CN"/>
          <w14:textFill>
            <w14:solidFill>
              <w14:schemeClr w14:val="tx1"/>
            </w14:solidFill>
          </w14:textFill>
        </w:rPr>
        <w:t>1.</w:t>
      </w:r>
      <w:r>
        <w:rPr>
          <w:rFonts w:ascii="仿宋" w:hAnsi="仿宋" w:eastAsia="仿宋"/>
          <w:color w:val="000000" w:themeColor="text1"/>
          <w:sz w:val="24"/>
          <w:szCs w:val="24"/>
          <w:highlight w:val="none"/>
          <w14:textFill>
            <w14:solidFill>
              <w14:schemeClr w14:val="tx1"/>
            </w14:solidFill>
          </w14:textFill>
        </w:rPr>
        <w:t>本项目为专门面向中小企业采购的项目</w:t>
      </w:r>
      <w:r>
        <w:rPr>
          <w:rFonts w:hint="eastAsia" w:ascii="仿宋" w:hAnsi="仿宋" w:eastAsia="仿宋"/>
          <w:color w:val="000000" w:themeColor="text1"/>
          <w:sz w:val="24"/>
          <w:szCs w:val="24"/>
          <w:highlight w:val="none"/>
          <w14:textFill>
            <w14:solidFill>
              <w14:schemeClr w14:val="tx1"/>
            </w14:solidFill>
          </w14:textFill>
        </w:rPr>
        <w:t>。</w:t>
      </w:r>
    </w:p>
    <w:bookmarkEnd w:id="9"/>
    <w:bookmarkEnd w:id="10"/>
    <w:bookmarkEnd w:id="11"/>
    <w:bookmarkEnd w:id="12"/>
    <w:p w14:paraId="435DBB96">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（三）</w:t>
      </w:r>
      <w:r>
        <w:rPr>
          <w:rFonts w:hint="eastAsia" w:ascii="仿宋" w:hAnsi="仿宋" w:eastAsia="仿宋" w:cs="宋体"/>
          <w:color w:val="000000" w:themeColor="text1"/>
          <w:sz w:val="24"/>
          <w:szCs w:val="24"/>
          <w:highlight w:val="none"/>
          <w14:textFill>
            <w14:solidFill>
              <w14:schemeClr w14:val="tx1"/>
            </w14:solidFill>
          </w14:textFill>
        </w:rPr>
        <w:t>拒绝下述条件的供应商参加本次采购活动</w:t>
      </w:r>
      <w:r>
        <w:rPr>
          <w:rFonts w:hint="eastAsia" w:ascii="仿宋" w:hAnsi="仿宋" w:eastAsia="仿宋" w:cs="宋体"/>
          <w:color w:val="000000" w:themeColor="text1"/>
          <w:sz w:val="24"/>
          <w:szCs w:val="24"/>
          <w:highlight w:val="none"/>
          <w:lang w:eastAsia="zh-CN"/>
          <w14:textFill>
            <w14:solidFill>
              <w14:schemeClr w14:val="tx1"/>
            </w14:solidFill>
          </w14:textFill>
        </w:rPr>
        <w:t>：</w:t>
      </w:r>
      <w:r>
        <w:rPr>
          <w:rFonts w:ascii="仿宋" w:hAnsi="仿宋" w:eastAsia="仿宋" w:cs="宋体"/>
          <w:color w:val="000000" w:themeColor="text1"/>
          <w:sz w:val="24"/>
          <w:szCs w:val="24"/>
          <w:highlight w:val="none"/>
          <w14:textFill>
            <w14:solidFill>
              <w14:schemeClr w14:val="tx1"/>
            </w14:solidFill>
          </w14:textFill>
        </w:rPr>
        <w:t xml:space="preserve"> </w:t>
      </w:r>
    </w:p>
    <w:p w14:paraId="1F32709D">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1.</w:t>
      </w:r>
      <w:r>
        <w:rPr>
          <w:rFonts w:ascii="仿宋" w:hAnsi="仿宋" w:eastAsia="仿宋"/>
          <w:color w:val="000000" w:themeColor="text1"/>
          <w:sz w:val="24"/>
          <w:szCs w:val="24"/>
          <w:highlight w:val="none"/>
          <w14:textFill>
            <w14:solidFill>
              <w14:schemeClr w14:val="tx1"/>
            </w14:solidFill>
          </w14:textFill>
        </w:rPr>
        <w:t>单位负责人为同一人或者存在直接控股、管理关系的不同供应商，不得</w:t>
      </w:r>
      <w:r>
        <w:rPr>
          <w:rFonts w:hint="eastAsia" w:ascii="仿宋" w:hAnsi="仿宋" w:eastAsia="仿宋"/>
          <w:color w:val="000000" w:themeColor="text1"/>
          <w:sz w:val="24"/>
          <w:szCs w:val="24"/>
          <w:highlight w:val="none"/>
          <w14:textFill>
            <w14:solidFill>
              <w14:schemeClr w14:val="tx1"/>
            </w14:solidFill>
          </w14:textFill>
        </w:rPr>
        <w:t>同时</w:t>
      </w:r>
      <w:r>
        <w:rPr>
          <w:rFonts w:ascii="仿宋" w:hAnsi="仿宋" w:eastAsia="仿宋"/>
          <w:color w:val="000000" w:themeColor="text1"/>
          <w:sz w:val="24"/>
          <w:szCs w:val="24"/>
          <w:highlight w:val="none"/>
          <w14:textFill>
            <w14:solidFill>
              <w14:schemeClr w14:val="tx1"/>
            </w14:solidFill>
          </w14:textFill>
        </w:rPr>
        <w:t>参加同一合同项下的政府采购活动。</w:t>
      </w:r>
    </w:p>
    <w:p w14:paraId="59EDC971">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b/>
          <w:i/>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2.</w:t>
      </w:r>
      <w:r>
        <w:rPr>
          <w:rFonts w:hint="eastAsia" w:ascii="仿宋" w:hAnsi="仿宋" w:eastAsia="仿宋"/>
          <w:color w:val="000000" w:themeColor="text1"/>
          <w:sz w:val="24"/>
          <w:szCs w:val="24"/>
          <w:highlight w:val="none"/>
          <w14:textFill>
            <w14:solidFill>
              <w14:schemeClr w14:val="tx1"/>
            </w14:solidFill>
          </w14:textFill>
        </w:rPr>
        <w:t>凡</w:t>
      </w:r>
      <w:r>
        <w:rPr>
          <w:rFonts w:ascii="仿宋" w:hAnsi="仿宋" w:eastAsia="仿宋"/>
          <w:color w:val="000000" w:themeColor="text1"/>
          <w:sz w:val="24"/>
          <w:szCs w:val="24"/>
          <w:highlight w:val="none"/>
          <w14:textFill>
            <w14:solidFill>
              <w14:schemeClr w14:val="tx1"/>
            </w14:solidFill>
          </w14:textFill>
        </w:rPr>
        <w:t>为采购项目提供整体设计、规范编制或者项目管理、监理、检测等服务的供应商，不得再参加</w:t>
      </w:r>
      <w:r>
        <w:rPr>
          <w:rFonts w:hint="eastAsia" w:ascii="仿宋" w:hAnsi="仿宋" w:eastAsia="仿宋"/>
          <w:color w:val="000000" w:themeColor="text1"/>
          <w:sz w:val="24"/>
          <w:szCs w:val="24"/>
          <w:highlight w:val="none"/>
          <w14:textFill>
            <w14:solidFill>
              <w14:schemeClr w14:val="tx1"/>
            </w14:solidFill>
          </w14:textFill>
        </w:rPr>
        <w:t>本</w:t>
      </w:r>
      <w:r>
        <w:rPr>
          <w:rFonts w:ascii="仿宋" w:hAnsi="仿宋" w:eastAsia="仿宋"/>
          <w:color w:val="000000" w:themeColor="text1"/>
          <w:sz w:val="24"/>
          <w:szCs w:val="24"/>
          <w:highlight w:val="none"/>
          <w14:textFill>
            <w14:solidFill>
              <w14:schemeClr w14:val="tx1"/>
            </w14:solidFill>
          </w14:textFill>
        </w:rPr>
        <w:t>项目的采购活动。</w:t>
      </w:r>
    </w:p>
    <w:p w14:paraId="27442178">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3.</w:t>
      </w:r>
      <w:r>
        <w:rPr>
          <w:rFonts w:hint="eastAsia" w:ascii="仿宋" w:hAnsi="仿宋" w:eastAsia="仿宋"/>
          <w:color w:val="000000" w:themeColor="text1"/>
          <w:sz w:val="24"/>
          <w:szCs w:val="24"/>
          <w:highlight w:val="none"/>
          <w14:textFill>
            <w14:solidFill>
              <w14:schemeClr w14:val="tx1"/>
            </w14:solidFill>
          </w14:textFill>
        </w:rPr>
        <w:t>被“信用中国”、“中国政府采购网”网站列入失信被执行人、重大税收违法案件当事人名单、政府采购严重违法失信行为记录名单。</w:t>
      </w:r>
    </w:p>
    <w:p w14:paraId="47A8F7CE">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三、获取磋商文件</w:t>
      </w:r>
    </w:p>
    <w:p w14:paraId="79243E70">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1.</w:t>
      </w:r>
      <w:r>
        <w:rPr>
          <w:rFonts w:hint="eastAsia" w:ascii="仿宋" w:hAnsi="仿宋" w:eastAsia="仿宋"/>
          <w:color w:val="000000" w:themeColor="text1"/>
          <w:sz w:val="24"/>
          <w:szCs w:val="24"/>
          <w:highlight w:val="none"/>
          <w14:textFill>
            <w14:solidFill>
              <w14:schemeClr w14:val="tx1"/>
            </w14:solidFill>
          </w14:textFill>
        </w:rPr>
        <w:t>时间</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自磋商公告发布之日起</w:t>
      </w:r>
      <w:r>
        <w:rPr>
          <w:rFonts w:hint="eastAsia" w:ascii="仿宋" w:hAnsi="仿宋" w:eastAsia="仿宋"/>
          <w:color w:val="000000" w:themeColor="text1"/>
          <w:sz w:val="24"/>
          <w:szCs w:val="24"/>
          <w:highlight w:val="none"/>
          <w:lang w:eastAsia="zh-CN"/>
          <w14:textFill>
            <w14:solidFill>
              <w14:schemeClr w14:val="tx1"/>
            </w14:solidFill>
          </w14:textFill>
        </w:rPr>
        <w:t>五</w:t>
      </w:r>
      <w:r>
        <w:rPr>
          <w:rFonts w:hint="eastAsia" w:ascii="仿宋" w:hAnsi="仿宋" w:eastAsia="仿宋"/>
          <w:color w:val="000000" w:themeColor="text1"/>
          <w:sz w:val="24"/>
          <w:szCs w:val="24"/>
          <w:highlight w:val="none"/>
          <w14:textFill>
            <w14:solidFill>
              <w14:schemeClr w14:val="tx1"/>
            </w14:solidFill>
          </w14:textFill>
        </w:rPr>
        <w:t>个工作日。</w:t>
      </w:r>
    </w:p>
    <w:p w14:paraId="32F63720">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2.</w:t>
      </w:r>
      <w:r>
        <w:rPr>
          <w:rFonts w:hint="eastAsia" w:ascii="仿宋" w:hAnsi="仿宋" w:eastAsia="仿宋"/>
          <w:color w:val="000000" w:themeColor="text1"/>
          <w:sz w:val="24"/>
          <w:szCs w:val="24"/>
          <w:highlight w:val="none"/>
          <w14:textFill>
            <w14:solidFill>
              <w14:schemeClr w14:val="tx1"/>
            </w14:solidFill>
          </w14:textFill>
        </w:rPr>
        <w:t>方式：</w:t>
      </w:r>
      <w:bookmarkStart w:id="13" w:name="OLE_LINK41"/>
      <w:bookmarkStart w:id="14" w:name="OLE_LINK42"/>
      <w:r>
        <w:rPr>
          <w:rFonts w:hint="eastAsia" w:ascii="仿宋" w:hAnsi="仿宋" w:eastAsia="仿宋"/>
          <w:color w:val="000000" w:themeColor="text1"/>
          <w:sz w:val="24"/>
          <w:szCs w:val="24"/>
          <w:highlight w:val="none"/>
          <w:shd w:val="clear" w:color="auto" w:fill="FFFFFF"/>
          <w14:textFill>
            <w14:solidFill>
              <w14:schemeClr w14:val="tx1"/>
            </w14:solidFill>
          </w14:textFill>
        </w:rPr>
        <w:t>供应商</w:t>
      </w:r>
      <w:r>
        <w:rPr>
          <w:rFonts w:hint="eastAsia" w:ascii="仿宋" w:hAnsi="仿宋" w:eastAsia="仿宋"/>
          <w:color w:val="000000" w:themeColor="text1"/>
          <w:sz w:val="24"/>
          <w:szCs w:val="24"/>
          <w:highlight w:val="none"/>
          <w:shd w:val="clear" w:color="auto" w:fill="FFFFFF"/>
          <w:lang w:eastAsia="zh-CN"/>
          <w14:textFill>
            <w14:solidFill>
              <w14:schemeClr w14:val="tx1"/>
            </w14:solidFill>
          </w14:textFill>
        </w:rPr>
        <w:t>登录</w:t>
      </w:r>
      <w:r>
        <w:rPr>
          <w:rFonts w:hint="eastAsia" w:ascii="仿宋" w:hAnsi="仿宋" w:eastAsia="仿宋"/>
          <w:color w:val="000000" w:themeColor="text1"/>
          <w:sz w:val="24"/>
          <w:szCs w:val="24"/>
          <w:highlight w:val="none"/>
          <w:shd w:val="clear" w:color="auto" w:fill="FFFFFF"/>
          <w14:textFill>
            <w14:solidFill>
              <w14:schemeClr w14:val="tx1"/>
            </w14:solidFill>
          </w14:textFill>
        </w:rPr>
        <w:t>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13"/>
      <w:bookmarkEnd w:id="14"/>
    </w:p>
    <w:p w14:paraId="51BDBA94">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四、提交响应文件截止时间、磋商时间和地点</w:t>
      </w:r>
    </w:p>
    <w:p w14:paraId="19039B3B">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（一）电子响应文件提交截止时间及磋商时间</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202</w:t>
      </w:r>
      <w:r>
        <w:rPr>
          <w:rFonts w:hint="eastAsia" w:ascii="仿宋" w:hAnsi="仿宋" w:eastAsia="仿宋"/>
          <w:color w:val="000000" w:themeColor="text1"/>
          <w:sz w:val="24"/>
          <w:szCs w:val="24"/>
          <w:highlight w:val="none"/>
          <w:lang w:val="en-US" w:eastAsia="zh-CN"/>
          <w14:textFill>
            <w14:solidFill>
              <w14:schemeClr w14:val="tx1"/>
            </w14:solidFill>
          </w14:textFill>
        </w:rPr>
        <w:t>6</w:t>
      </w:r>
      <w:r>
        <w:rPr>
          <w:rFonts w:hint="eastAsia" w:ascii="仿宋" w:hAnsi="仿宋" w:eastAsia="仿宋"/>
          <w:color w:val="000000" w:themeColor="text1"/>
          <w:sz w:val="24"/>
          <w:szCs w:val="24"/>
          <w:highlight w:val="none"/>
          <w14:textFill>
            <w14:solidFill>
              <w14:schemeClr w14:val="tx1"/>
            </w14:solidFill>
          </w14:textFill>
        </w:rPr>
        <w:t>年</w:t>
      </w:r>
      <w:r>
        <w:rPr>
          <w:rFonts w:hint="eastAsia" w:ascii="仿宋" w:hAnsi="仿宋" w:eastAsia="仿宋"/>
          <w:color w:val="000000" w:themeColor="text1"/>
          <w:sz w:val="24"/>
          <w:szCs w:val="24"/>
          <w:highlight w:val="none"/>
          <w:lang w:val="en-US" w:eastAsia="zh-CN"/>
          <w14:textFill>
            <w14:solidFill>
              <w14:schemeClr w14:val="tx1"/>
            </w14:solidFill>
          </w14:textFill>
        </w:rPr>
        <w:t>7</w:t>
      </w:r>
      <w:r>
        <w:rPr>
          <w:rFonts w:hint="eastAsia" w:ascii="仿宋" w:hAnsi="仿宋" w:eastAsia="仿宋"/>
          <w:color w:val="000000" w:themeColor="text1"/>
          <w:sz w:val="24"/>
          <w:szCs w:val="24"/>
          <w:highlight w:val="none"/>
          <w14:textFill>
            <w14:solidFill>
              <w14:schemeClr w14:val="tx1"/>
            </w14:solidFill>
          </w14:textFill>
        </w:rPr>
        <w:t>月</w:t>
      </w:r>
      <w:r>
        <w:rPr>
          <w:rFonts w:hint="eastAsia" w:ascii="仿宋" w:hAnsi="仿宋" w:eastAsia="仿宋"/>
          <w:color w:val="000000" w:themeColor="text1"/>
          <w:sz w:val="24"/>
          <w:szCs w:val="24"/>
          <w:highlight w:val="none"/>
          <w:lang w:val="en-US" w:eastAsia="zh-CN"/>
          <w14:textFill>
            <w14:solidFill>
              <w14:schemeClr w14:val="tx1"/>
            </w14:solidFill>
          </w14:textFill>
        </w:rPr>
        <w:t>31</w:t>
      </w:r>
      <w:r>
        <w:rPr>
          <w:rFonts w:hint="eastAsia" w:ascii="仿宋" w:hAnsi="仿宋" w:eastAsia="仿宋"/>
          <w:color w:val="000000" w:themeColor="text1"/>
          <w:sz w:val="24"/>
          <w:szCs w:val="24"/>
          <w:highlight w:val="none"/>
          <w14:textFill>
            <w14:solidFill>
              <w14:schemeClr w14:val="tx1"/>
            </w14:solidFill>
          </w14:textFill>
        </w:rPr>
        <w:t>日</w:t>
      </w:r>
      <w:r>
        <w:rPr>
          <w:rFonts w:hint="eastAsia" w:ascii="仿宋" w:hAnsi="仿宋" w:eastAsia="仿宋"/>
          <w:color w:val="000000" w:themeColor="text1"/>
          <w:sz w:val="24"/>
          <w:szCs w:val="24"/>
          <w:highlight w:val="none"/>
          <w:lang w:val="en-US" w:eastAsia="zh-CN"/>
          <w14:textFill>
            <w14:solidFill>
              <w14:schemeClr w14:val="tx1"/>
            </w14:solidFill>
          </w14:textFill>
        </w:rPr>
        <w:t>09</w:t>
      </w:r>
      <w:r>
        <w:rPr>
          <w:rFonts w:hint="eastAsia" w:ascii="仿宋" w:hAnsi="仿宋" w:eastAsia="仿宋"/>
          <w:color w:val="000000" w:themeColor="text1"/>
          <w:sz w:val="24"/>
          <w:szCs w:val="24"/>
          <w:highlight w:val="none"/>
          <w:lang w:eastAsia="zh-CN"/>
          <w14:textFill>
            <w14:solidFill>
              <w14:schemeClr w14:val="tx1"/>
            </w14:solidFill>
          </w14:textFill>
        </w:rPr>
        <w:t>:00</w:t>
      </w:r>
    </w:p>
    <w:p w14:paraId="2C6DAC66">
      <w:pPr>
        <w:keepNext w:val="0"/>
        <w:keepLines w:val="0"/>
        <w:pageBreakBefore w:val="0"/>
        <w:widowControl w:val="0"/>
        <w:kinsoku/>
        <w:wordWrap w:val="0"/>
        <w:overflowPunct/>
        <w:topLinePunct w:val="0"/>
        <w:autoSpaceDE/>
        <w:autoSpaceDN/>
        <w:bidi w:val="0"/>
        <w:adjustRightInd/>
        <w:snapToGrid/>
        <w:spacing w:line="480" w:lineRule="exact"/>
        <w:ind w:firstLine="561"/>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（二）电子响应文件上传地址：</w:t>
      </w:r>
      <w:r>
        <w:rPr>
          <w:rFonts w:ascii="仿宋" w:hAnsi="仿宋" w:eastAsia="仿宋"/>
          <w:color w:val="000000" w:themeColor="text1"/>
          <w:sz w:val="24"/>
          <w:szCs w:val="24"/>
          <w:highlight w:val="none"/>
          <w14:textFill>
            <w14:solidFill>
              <w14:schemeClr w14:val="tx1"/>
            </w14:solidFill>
          </w14:textFill>
        </w:rPr>
        <w:t>本</w:t>
      </w:r>
      <w:r>
        <w:rPr>
          <w:rFonts w:hint="eastAsia" w:ascii="仿宋" w:hAnsi="仿宋" w:eastAsia="仿宋"/>
          <w:color w:val="000000" w:themeColor="text1"/>
          <w:sz w:val="24"/>
          <w:szCs w:val="24"/>
          <w:highlight w:val="none"/>
          <w14:textFill>
            <w14:solidFill>
              <w14:schemeClr w14:val="tx1"/>
            </w14:solidFill>
          </w14:textFill>
        </w:rPr>
        <w:t>项</w:t>
      </w:r>
      <w:r>
        <w:rPr>
          <w:rFonts w:ascii="仿宋" w:hAnsi="仿宋" w:eastAsia="仿宋"/>
          <w:color w:val="000000" w:themeColor="text1"/>
          <w:sz w:val="24"/>
          <w:szCs w:val="24"/>
          <w:highlight w:val="none"/>
          <w14:textFill>
            <w14:solidFill>
              <w14:schemeClr w14:val="tx1"/>
            </w14:solidFill>
          </w14:textFill>
        </w:rPr>
        <w:t>目采用</w:t>
      </w:r>
      <w:r>
        <w:rPr>
          <w:rFonts w:hint="eastAsia" w:ascii="仿宋" w:hAnsi="仿宋" w:eastAsia="仿宋"/>
          <w:color w:val="000000" w:themeColor="text1"/>
          <w:sz w:val="24"/>
          <w:szCs w:val="24"/>
          <w:highlight w:val="none"/>
          <w14:textFill>
            <w14:solidFill>
              <w14:schemeClr w14:val="tx1"/>
            </w14:solidFill>
          </w14:textFill>
        </w:rPr>
        <w:t>远</w:t>
      </w:r>
      <w:r>
        <w:rPr>
          <w:rFonts w:ascii="仿宋" w:hAnsi="仿宋" w:eastAsia="仿宋"/>
          <w:color w:val="000000" w:themeColor="text1"/>
          <w:sz w:val="24"/>
          <w:szCs w:val="24"/>
          <w:highlight w:val="none"/>
          <w14:textFill>
            <w14:solidFill>
              <w14:schemeClr w14:val="tx1"/>
            </w14:solidFill>
          </w14:textFill>
        </w:rPr>
        <w:t>程“不</w:t>
      </w:r>
      <w:r>
        <w:rPr>
          <w:rFonts w:hint="eastAsia" w:ascii="仿宋" w:hAnsi="仿宋" w:eastAsia="仿宋"/>
          <w:color w:val="000000" w:themeColor="text1"/>
          <w:sz w:val="24"/>
          <w:szCs w:val="24"/>
          <w:highlight w:val="none"/>
          <w14:textFill>
            <w14:solidFill>
              <w14:schemeClr w14:val="tx1"/>
            </w14:solidFill>
          </w14:textFill>
        </w:rPr>
        <w:t>见</w:t>
      </w:r>
      <w:r>
        <w:rPr>
          <w:rFonts w:ascii="仿宋" w:hAnsi="仿宋" w:eastAsia="仿宋"/>
          <w:color w:val="000000" w:themeColor="text1"/>
          <w:sz w:val="24"/>
          <w:szCs w:val="24"/>
          <w:highlight w:val="none"/>
          <w14:textFill>
            <w14:solidFill>
              <w14:schemeClr w14:val="tx1"/>
            </w14:solidFill>
          </w14:textFill>
        </w:rPr>
        <w:t>面”开</w:t>
      </w:r>
      <w:r>
        <w:rPr>
          <w:rFonts w:hint="eastAsia" w:ascii="仿宋" w:hAnsi="仿宋" w:eastAsia="仿宋"/>
          <w:color w:val="000000" w:themeColor="text1"/>
          <w:sz w:val="24"/>
          <w:szCs w:val="24"/>
          <w:highlight w:val="none"/>
          <w14:textFill>
            <w14:solidFill>
              <w14:schemeClr w14:val="tx1"/>
            </w14:solidFill>
          </w14:textFill>
        </w:rPr>
        <w:t>标</w:t>
      </w:r>
      <w:r>
        <w:rPr>
          <w:rFonts w:ascii="仿宋" w:hAnsi="仿宋" w:eastAsia="仿宋"/>
          <w:color w:val="000000" w:themeColor="text1"/>
          <w:sz w:val="24"/>
          <w:szCs w:val="24"/>
          <w:highlight w:val="none"/>
          <w14:textFill>
            <w14:solidFill>
              <w14:schemeClr w14:val="tx1"/>
            </w14:solidFill>
          </w14:textFill>
        </w:rPr>
        <w:t>方式，无需到</w:t>
      </w:r>
      <w:r>
        <w:rPr>
          <w:rFonts w:hint="eastAsia" w:ascii="仿宋" w:hAnsi="仿宋" w:eastAsia="仿宋"/>
          <w:color w:val="000000" w:themeColor="text1"/>
          <w:sz w:val="24"/>
          <w:szCs w:val="24"/>
          <w:highlight w:val="none"/>
          <w14:textFill>
            <w14:solidFill>
              <w14:schemeClr w14:val="tx1"/>
            </w14:solidFill>
          </w14:textFill>
        </w:rPr>
        <w:t>现场</w:t>
      </w:r>
      <w:r>
        <w:rPr>
          <w:rFonts w:ascii="仿宋" w:hAnsi="仿宋" w:eastAsia="仿宋"/>
          <w:color w:val="000000" w:themeColor="text1"/>
          <w:sz w:val="24"/>
          <w:szCs w:val="24"/>
          <w:highlight w:val="none"/>
          <w14:textFill>
            <w14:solidFill>
              <w14:schemeClr w14:val="tx1"/>
            </w14:solidFill>
          </w14:textFill>
        </w:rPr>
        <w:t>提交，</w:t>
      </w:r>
      <w:r>
        <w:rPr>
          <w:rFonts w:hint="eastAsia" w:ascii="仿宋" w:hAnsi="仿宋" w:eastAsia="仿宋"/>
          <w:color w:val="000000" w:themeColor="text1"/>
          <w:sz w:val="24"/>
          <w:szCs w:val="24"/>
          <w:highlight w:val="none"/>
          <w14:textFill>
            <w14:solidFill>
              <w14:schemeClr w14:val="tx1"/>
            </w14:solidFill>
          </w14:textFill>
        </w:rPr>
        <w:t>请</w:t>
      </w:r>
      <w:r>
        <w:rPr>
          <w:rFonts w:ascii="仿宋" w:hAnsi="仿宋" w:eastAsia="仿宋"/>
          <w:color w:val="000000" w:themeColor="text1"/>
          <w:sz w:val="24"/>
          <w:szCs w:val="24"/>
          <w:highlight w:val="none"/>
          <w14:textFill>
            <w14:solidFill>
              <w14:schemeClr w14:val="tx1"/>
            </w14:solidFill>
          </w14:textFill>
        </w:rPr>
        <w:t>供</w:t>
      </w:r>
      <w:r>
        <w:rPr>
          <w:rFonts w:hint="eastAsia" w:ascii="仿宋" w:hAnsi="仿宋" w:eastAsia="仿宋"/>
          <w:color w:val="000000" w:themeColor="text1"/>
          <w:sz w:val="24"/>
          <w:szCs w:val="24"/>
          <w:highlight w:val="none"/>
          <w14:textFill>
            <w14:solidFill>
              <w14:schemeClr w14:val="tx1"/>
            </w14:solidFill>
          </w14:textFill>
        </w:rPr>
        <w:t>应</w:t>
      </w:r>
      <w:r>
        <w:rPr>
          <w:rFonts w:ascii="仿宋" w:hAnsi="仿宋" w:eastAsia="仿宋"/>
          <w:color w:val="000000" w:themeColor="text1"/>
          <w:sz w:val="24"/>
          <w:szCs w:val="24"/>
          <w:highlight w:val="none"/>
          <w14:textFill>
            <w14:solidFill>
              <w14:schemeClr w14:val="tx1"/>
            </w14:solidFill>
          </w14:textFill>
        </w:rPr>
        <w:t>商在</w:t>
      </w:r>
      <w:r>
        <w:rPr>
          <w:rFonts w:hint="eastAsia" w:ascii="仿宋" w:hAnsi="仿宋" w:eastAsia="仿宋"/>
          <w:color w:val="000000" w:themeColor="text1"/>
          <w:sz w:val="24"/>
          <w:szCs w:val="24"/>
          <w:highlight w:val="none"/>
          <w14:textFill>
            <w14:solidFill>
              <w14:schemeClr w14:val="tx1"/>
            </w14:solidFill>
          </w14:textFill>
        </w:rPr>
        <w:t>磋商</w:t>
      </w:r>
      <w:r>
        <w:rPr>
          <w:rFonts w:ascii="仿宋" w:hAnsi="仿宋" w:eastAsia="仿宋"/>
          <w:color w:val="000000" w:themeColor="text1"/>
          <w:sz w:val="24"/>
          <w:szCs w:val="24"/>
          <w:highlight w:val="none"/>
          <w14:textFill>
            <w14:solidFill>
              <w14:schemeClr w14:val="tx1"/>
            </w14:solidFill>
          </w14:textFill>
        </w:rPr>
        <w:t>截止</w:t>
      </w:r>
      <w:r>
        <w:rPr>
          <w:rFonts w:hint="eastAsia" w:ascii="仿宋" w:hAnsi="仿宋" w:eastAsia="仿宋"/>
          <w:color w:val="000000" w:themeColor="text1"/>
          <w:sz w:val="24"/>
          <w:szCs w:val="24"/>
          <w:highlight w:val="none"/>
          <w:lang w:eastAsia="zh-CN"/>
          <w14:textFill>
            <w14:solidFill>
              <w14:schemeClr w14:val="tx1"/>
            </w14:solidFill>
          </w14:textFill>
        </w:rPr>
        <w:t>时间</w:t>
      </w:r>
      <w:r>
        <w:rPr>
          <w:rFonts w:ascii="仿宋" w:hAnsi="仿宋" w:eastAsia="仿宋"/>
          <w:color w:val="000000" w:themeColor="text1"/>
          <w:sz w:val="24"/>
          <w:szCs w:val="24"/>
          <w:highlight w:val="none"/>
          <w14:textFill>
            <w14:solidFill>
              <w14:schemeClr w14:val="tx1"/>
            </w14:solidFill>
          </w14:textFill>
        </w:rPr>
        <w:t>前提前登入</w:t>
      </w:r>
      <w:bookmarkStart w:id="15" w:name="OLE_LINK11"/>
      <w:r>
        <w:rPr>
          <w:rFonts w:hint="eastAsia" w:ascii="仿宋" w:hAnsi="仿宋" w:eastAsia="仿宋"/>
          <w:color w:val="000000" w:themeColor="text1"/>
          <w:sz w:val="24"/>
          <w:szCs w:val="24"/>
          <w:highlight w:val="none"/>
          <w14:textFill>
            <w14:solidFill>
              <w14:schemeClr w14:val="tx1"/>
            </w14:solidFill>
          </w14:textFill>
        </w:rPr>
        <w:t>苏</w:t>
      </w:r>
      <w:r>
        <w:rPr>
          <w:rFonts w:ascii="仿宋" w:hAnsi="仿宋" w:eastAsia="仿宋"/>
          <w:color w:val="000000" w:themeColor="text1"/>
          <w:sz w:val="24"/>
          <w:szCs w:val="24"/>
          <w:highlight w:val="none"/>
          <w14:textFill>
            <w14:solidFill>
              <w14:schemeClr w14:val="tx1"/>
            </w14:solidFill>
          </w14:textFill>
        </w:rPr>
        <w:t>采云政府采</w:t>
      </w:r>
      <w:r>
        <w:rPr>
          <w:rFonts w:hint="eastAsia" w:ascii="仿宋" w:hAnsi="仿宋" w:eastAsia="仿宋"/>
          <w:color w:val="000000" w:themeColor="text1"/>
          <w:sz w:val="24"/>
          <w:szCs w:val="24"/>
          <w:highlight w:val="none"/>
          <w14:textFill>
            <w14:solidFill>
              <w14:schemeClr w14:val="tx1"/>
            </w14:solidFill>
          </w14:textFill>
        </w:rPr>
        <w:t>购</w:t>
      </w:r>
      <w:r>
        <w:rPr>
          <w:rFonts w:ascii="仿宋" w:hAnsi="仿宋" w:eastAsia="仿宋"/>
          <w:color w:val="000000" w:themeColor="text1"/>
          <w:sz w:val="24"/>
          <w:szCs w:val="24"/>
          <w:highlight w:val="none"/>
          <w14:textFill>
            <w14:solidFill>
              <w14:schemeClr w14:val="tx1"/>
            </w14:solidFill>
          </w14:textFill>
        </w:rPr>
        <w:t>一体化平台</w:t>
      </w:r>
      <w:bookmarkEnd w:id="15"/>
      <w:r>
        <w:rPr>
          <w:rFonts w:ascii="仿宋" w:hAnsi="仿宋" w:eastAsia="仿宋"/>
          <w:color w:val="000000" w:themeColor="text1"/>
          <w:sz w:val="24"/>
          <w:szCs w:val="24"/>
          <w:highlight w:val="none"/>
          <w14:textFill>
            <w14:solidFill>
              <w14:schemeClr w14:val="tx1"/>
            </w14:solidFill>
          </w14:textFill>
        </w:rPr>
        <w:t>（http://jszfcg.jsczt.cn/jszc/login）提交</w:t>
      </w:r>
      <w:r>
        <w:rPr>
          <w:rFonts w:hint="eastAsia" w:ascii="仿宋" w:hAnsi="仿宋" w:eastAsia="仿宋"/>
          <w:color w:val="000000" w:themeColor="text1"/>
          <w:sz w:val="24"/>
          <w:szCs w:val="24"/>
          <w:highlight w:val="none"/>
          <w14:textFill>
            <w14:solidFill>
              <w14:schemeClr w14:val="tx1"/>
            </w14:solidFill>
          </w14:textFill>
        </w:rPr>
        <w:t>响应</w:t>
      </w:r>
      <w:r>
        <w:rPr>
          <w:rFonts w:ascii="仿宋" w:hAnsi="仿宋" w:eastAsia="仿宋"/>
          <w:color w:val="000000" w:themeColor="text1"/>
          <w:sz w:val="24"/>
          <w:szCs w:val="24"/>
          <w:highlight w:val="none"/>
          <w14:textFill>
            <w14:solidFill>
              <w14:schemeClr w14:val="tx1"/>
            </w14:solidFill>
          </w14:textFill>
        </w:rPr>
        <w:t>文件。</w:t>
      </w:r>
    </w:p>
    <w:p w14:paraId="12672F02">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五、公告期限</w:t>
      </w:r>
    </w:p>
    <w:p w14:paraId="0C30BE9B">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自本公告发布之日起</w:t>
      </w:r>
      <w:r>
        <w:rPr>
          <w:rFonts w:hint="eastAsia" w:ascii="仿宋" w:hAnsi="仿宋" w:eastAsia="仿宋"/>
          <w:color w:val="000000" w:themeColor="text1"/>
          <w:sz w:val="24"/>
          <w:szCs w:val="24"/>
          <w:highlight w:val="none"/>
          <w:lang w:eastAsia="zh-CN"/>
          <w14:textFill>
            <w14:solidFill>
              <w14:schemeClr w14:val="tx1"/>
            </w14:solidFill>
          </w14:textFill>
        </w:rPr>
        <w:t>三</w:t>
      </w:r>
      <w:r>
        <w:rPr>
          <w:rFonts w:hint="eastAsia" w:ascii="仿宋" w:hAnsi="仿宋" w:eastAsia="仿宋"/>
          <w:color w:val="000000" w:themeColor="text1"/>
          <w:sz w:val="24"/>
          <w:szCs w:val="24"/>
          <w:highlight w:val="none"/>
          <w14:textFill>
            <w14:solidFill>
              <w14:schemeClr w14:val="tx1"/>
            </w14:solidFill>
          </w14:textFill>
        </w:rPr>
        <w:t>个工作日。</w:t>
      </w:r>
    </w:p>
    <w:p w14:paraId="37FD55FF">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六、其他补充事宜</w:t>
      </w:r>
    </w:p>
    <w:p w14:paraId="0993D886">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本项目仅采购非进口产品（注</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本文件所称进口产品是指通过中国海关报关验放进入中国境内且产自关境外的产品）。</w:t>
      </w:r>
    </w:p>
    <w:p w14:paraId="38757650">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七、对本次采购提出询问，请按以下方式联系。</w:t>
      </w:r>
    </w:p>
    <w:p w14:paraId="0A93836A">
      <w:pPr>
        <w:keepNext w:val="0"/>
        <w:keepLines w:val="0"/>
        <w:pageBreakBefore w:val="0"/>
        <w:widowControl w:val="0"/>
        <w:kinsoku/>
        <w:overflowPunct/>
        <w:topLinePunct w:val="0"/>
        <w:autoSpaceDE/>
        <w:autoSpaceDN/>
        <w:bidi w:val="0"/>
        <w:adjustRightInd/>
        <w:snapToGrid/>
        <w:spacing w:line="480" w:lineRule="exact"/>
        <w:ind w:firstLine="56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1.</w:t>
      </w:r>
      <w:r>
        <w:rPr>
          <w:rFonts w:hint="eastAsia" w:ascii="仿宋" w:hAnsi="仿宋" w:eastAsia="仿宋"/>
          <w:color w:val="000000" w:themeColor="text1"/>
          <w:sz w:val="24"/>
          <w:szCs w:val="24"/>
          <w:highlight w:val="none"/>
          <w14:textFill>
            <w14:solidFill>
              <w14:schemeClr w14:val="tx1"/>
            </w14:solidFill>
          </w14:textFill>
        </w:rPr>
        <w:t>采购人信息</w:t>
      </w:r>
    </w:p>
    <w:p w14:paraId="4149C169">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名称</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淮安市淮安区山阳街道办事处</w:t>
      </w:r>
    </w:p>
    <w:p w14:paraId="2E52EC57">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olor w:val="000000" w:themeColor="text1"/>
          <w:sz w:val="24"/>
          <w:szCs w:val="24"/>
          <w:highlight w:val="none"/>
          <w:lang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地址</w:t>
      </w:r>
      <w:r>
        <w:rPr>
          <w:rFonts w:hint="eastAsia" w:ascii="仿宋" w:hAnsi="仿宋" w:eastAsia="仿宋"/>
          <w:color w:val="000000" w:themeColor="text1"/>
          <w:sz w:val="24"/>
          <w:szCs w:val="24"/>
          <w:highlight w:val="none"/>
          <w:lang w:eastAsia="zh-CN"/>
          <w14:textFill>
            <w14:solidFill>
              <w14:schemeClr w14:val="tx1"/>
            </w14:solidFill>
          </w14:textFill>
        </w:rPr>
        <w:t>：江苏省淮安市淮安区山阳街道同心路19号</w:t>
      </w:r>
      <w:r>
        <w:rPr>
          <w:rFonts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p>
    <w:p w14:paraId="7D772AD0">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default" w:ascii="仿宋" w:hAnsi="仿宋" w:eastAsia="仿宋"/>
          <w:color w:val="000000" w:themeColor="text1"/>
          <w:sz w:val="24"/>
          <w:szCs w:val="24"/>
          <w:highlight w:val="none"/>
          <w:lang w:val="en-US" w:eastAsia="zh-CN"/>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联系</w:t>
      </w:r>
      <w:r>
        <w:rPr>
          <w:rFonts w:hint="eastAsia" w:ascii="仿宋" w:hAnsi="仿宋" w:eastAsia="仿宋"/>
          <w:color w:val="000000" w:themeColor="text1"/>
          <w:sz w:val="24"/>
          <w:szCs w:val="24"/>
          <w:highlight w:val="none"/>
          <w:lang w:eastAsia="zh-CN"/>
          <w14:textFill>
            <w14:solidFill>
              <w14:schemeClr w14:val="tx1"/>
            </w14:solidFill>
          </w14:textFill>
        </w:rPr>
        <w:t>人：宁先生</w:t>
      </w:r>
      <w:r>
        <w:rPr>
          <w:rFonts w:hint="eastAsia"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olor w:val="000000" w:themeColor="text1"/>
          <w:sz w:val="24"/>
          <w:szCs w:val="24"/>
          <w:highlight w:val="none"/>
          <w14:textFill>
            <w14:solidFill>
              <w14:schemeClr w14:val="tx1"/>
            </w14:solidFill>
          </w14:textFill>
        </w:rPr>
        <w:t>联系电话：</w:t>
      </w:r>
      <w:r>
        <w:rPr>
          <w:rFonts w:hint="eastAsia" w:ascii="仿宋" w:hAnsi="仿宋" w:eastAsia="仿宋"/>
          <w:color w:val="000000" w:themeColor="text1"/>
          <w:sz w:val="24"/>
          <w:szCs w:val="24"/>
          <w:highlight w:val="none"/>
          <w:lang w:eastAsia="zh-CN"/>
          <w14:textFill>
            <w14:solidFill>
              <w14:schemeClr w14:val="tx1"/>
            </w14:solidFill>
          </w14:textFill>
        </w:rPr>
        <w:t>15351757687</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 </w:t>
      </w:r>
    </w:p>
    <w:p w14:paraId="3E22790A">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2.</w:t>
      </w:r>
      <w:r>
        <w:rPr>
          <w:rFonts w:hint="eastAsia" w:ascii="仿宋" w:hAnsi="仿宋" w:eastAsia="仿宋"/>
          <w:color w:val="000000" w:themeColor="text1"/>
          <w:sz w:val="24"/>
          <w:szCs w:val="24"/>
          <w:highlight w:val="none"/>
          <w14:textFill>
            <w14:solidFill>
              <w14:schemeClr w14:val="tx1"/>
            </w14:solidFill>
          </w14:textFill>
        </w:rPr>
        <w:t>采购代理机构信息</w:t>
      </w:r>
    </w:p>
    <w:p w14:paraId="77E66C4C">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名称：</w:t>
      </w:r>
      <w:r>
        <w:rPr>
          <w:rFonts w:hint="eastAsia" w:ascii="仿宋" w:hAnsi="仿宋" w:eastAsia="仿宋" w:cs="Times New Roman"/>
          <w:color w:val="000000" w:themeColor="text1"/>
          <w:sz w:val="24"/>
          <w:szCs w:val="24"/>
          <w:highlight w:val="none"/>
          <w:lang w:eastAsia="zh-CN"/>
          <w14:textFill>
            <w14:solidFill>
              <w14:schemeClr w14:val="tx1"/>
            </w14:solidFill>
          </w14:textFill>
        </w:rPr>
        <w:t>江苏中泽工程管理有限公司</w:t>
      </w:r>
      <w:r>
        <w:rPr>
          <w:rFonts w:hint="eastAsia" w:ascii="仿宋" w:hAnsi="仿宋" w:eastAsia="仿宋" w:cs="Times New Roman"/>
          <w:color w:val="000000" w:themeColor="text1"/>
          <w:sz w:val="24"/>
          <w:szCs w:val="24"/>
          <w:highlight w:val="none"/>
          <w14:textFill>
            <w14:solidFill>
              <w14:schemeClr w14:val="tx1"/>
            </w14:solidFill>
          </w14:textFill>
        </w:rPr>
        <w:t>　</w:t>
      </w:r>
    </w:p>
    <w:p w14:paraId="327B2C00">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default" w:ascii="仿宋" w:hAnsi="仿宋" w:eastAsia="仿宋" w:cs="Times New Roman"/>
          <w:color w:val="000000" w:themeColor="text1"/>
          <w:sz w:val="24"/>
          <w:szCs w:val="24"/>
          <w:highlight w:val="none"/>
          <w:lang w:val="en-US"/>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地址：</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淮安市淮安区西门大街73号</w:t>
      </w:r>
    </w:p>
    <w:p w14:paraId="4751301E">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default" w:ascii="仿宋" w:hAnsi="仿宋" w:eastAsia="仿宋" w:cs="Times New Roman"/>
          <w:color w:val="000000" w:themeColor="text1"/>
          <w:sz w:val="24"/>
          <w:szCs w:val="24"/>
          <w:highlight w:val="none"/>
          <w:lang w:val="en-US" w:eastAsia="zh-CN"/>
          <w14:textFill>
            <w14:solidFill>
              <w14:schemeClr w14:val="tx1"/>
            </w14:solidFill>
          </w14:textFill>
        </w:rPr>
      </w:pPr>
      <w:r>
        <w:rPr>
          <w:rFonts w:hint="eastAsia" w:ascii="仿宋" w:hAnsi="仿宋" w:eastAsia="仿宋" w:cs="Times New Roman"/>
          <w:color w:val="000000" w:themeColor="text1"/>
          <w:sz w:val="24"/>
          <w:szCs w:val="24"/>
          <w:highlight w:val="none"/>
          <w14:textFill>
            <w14:solidFill>
              <w14:schemeClr w14:val="tx1"/>
            </w14:solidFill>
          </w14:textFill>
        </w:rPr>
        <w:t>联系</w:t>
      </w:r>
      <w:r>
        <w:rPr>
          <w:rFonts w:hint="eastAsia" w:ascii="仿宋" w:hAnsi="仿宋" w:eastAsia="仿宋" w:cs="Times New Roman"/>
          <w:color w:val="000000" w:themeColor="text1"/>
          <w:sz w:val="24"/>
          <w:szCs w:val="24"/>
          <w:highlight w:val="none"/>
          <w:lang w:eastAsia="zh-CN"/>
          <w14:textFill>
            <w14:solidFill>
              <w14:schemeClr w14:val="tx1"/>
            </w14:solidFill>
          </w14:textFill>
        </w:rPr>
        <w:t>人</w:t>
      </w:r>
      <w:r>
        <w:rPr>
          <w:rFonts w:hint="eastAsia" w:ascii="仿宋" w:hAnsi="仿宋" w:eastAsia="仿宋" w:cs="Times New Roman"/>
          <w:color w:val="000000" w:themeColor="text1"/>
          <w:sz w:val="24"/>
          <w:szCs w:val="24"/>
          <w:highlight w:val="none"/>
          <w14:textFill>
            <w14:solidFill>
              <w14:schemeClr w14:val="tx1"/>
            </w14:solidFill>
          </w14:textFill>
        </w:rPr>
        <w:t>：</w:t>
      </w:r>
      <w:r>
        <w:rPr>
          <w:rFonts w:hint="eastAsia" w:ascii="仿宋" w:hAnsi="仿宋" w:eastAsia="仿宋" w:cs="Times New Roman"/>
          <w:color w:val="000000" w:themeColor="text1"/>
          <w:sz w:val="24"/>
          <w:szCs w:val="24"/>
          <w:highlight w:val="none"/>
          <w:lang w:eastAsia="zh-CN"/>
          <w14:textFill>
            <w14:solidFill>
              <w14:schemeClr w14:val="tx1"/>
            </w14:solidFill>
          </w14:textFill>
        </w:rPr>
        <w:t>谭</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工</w:t>
      </w:r>
      <w:r>
        <w:rPr>
          <w:rFonts w:hint="eastAsia" w:ascii="仿宋" w:hAnsi="仿宋" w:eastAsia="仿宋" w:cs="Times New Roman"/>
          <w:color w:val="000000" w:themeColor="text1"/>
          <w:sz w:val="24"/>
          <w:szCs w:val="24"/>
          <w:highlight w:val="none"/>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eastAsia="zh-CN"/>
          <w14:textFill>
            <w14:solidFill>
              <w14:schemeClr w14:val="tx1"/>
            </w14:solidFill>
          </w14:textFill>
        </w:rPr>
        <w:t>联系</w:t>
      </w:r>
      <w:r>
        <w:rPr>
          <w:rFonts w:hint="eastAsia" w:ascii="仿宋" w:hAnsi="仿宋" w:eastAsia="仿宋" w:cs="Times New Roman"/>
          <w:color w:val="000000" w:themeColor="text1"/>
          <w:sz w:val="24"/>
          <w:szCs w:val="24"/>
          <w:highlight w:val="none"/>
          <w14:textFill>
            <w14:solidFill>
              <w14:schemeClr w14:val="tx1"/>
            </w14:solidFill>
          </w14:textFill>
        </w:rPr>
        <w:t>电话</w:t>
      </w:r>
      <w:r>
        <w:rPr>
          <w:rFonts w:hint="eastAsia" w:ascii="仿宋" w:hAnsi="仿宋" w:eastAsia="仿宋" w:cs="Times New Roman"/>
          <w:color w:val="000000" w:themeColor="text1"/>
          <w:sz w:val="24"/>
          <w:szCs w:val="24"/>
          <w:highlight w:val="none"/>
          <w:lang w:eastAsia="zh-CN"/>
          <w14:textFill>
            <w14:solidFill>
              <w14:schemeClr w14:val="tx1"/>
            </w14:solidFill>
          </w14:textFill>
        </w:rPr>
        <w:t>：</w:t>
      </w:r>
      <w:r>
        <w:rPr>
          <w:rFonts w:hint="eastAsia" w:ascii="仿宋" w:hAnsi="仿宋" w:eastAsia="仿宋" w:cs="Times New Roman"/>
          <w:color w:val="000000" w:themeColor="text1"/>
          <w:sz w:val="24"/>
          <w:szCs w:val="24"/>
          <w:highlight w:val="none"/>
          <w:lang w:val="en-US" w:eastAsia="zh-CN"/>
          <w14:textFill>
            <w14:solidFill>
              <w14:schemeClr w14:val="tx1"/>
            </w14:solidFill>
          </w14:textFill>
        </w:rPr>
        <w:t>15358680040</w:t>
      </w:r>
    </w:p>
    <w:p w14:paraId="29242476">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b/>
          <w:color w:val="000000" w:themeColor="text1"/>
          <w:sz w:val="24"/>
          <w:szCs w:val="24"/>
          <w:highlight w:val="none"/>
          <w14:textFill>
            <w14:solidFill>
              <w14:schemeClr w14:val="tx1"/>
            </w14:solidFill>
          </w14:textFill>
        </w:rPr>
      </w:pPr>
      <w:r>
        <w:rPr>
          <w:rFonts w:hint="eastAsia" w:ascii="仿宋" w:hAnsi="仿宋" w:eastAsia="仿宋"/>
          <w:b/>
          <w:color w:val="000000" w:themeColor="text1"/>
          <w:sz w:val="24"/>
          <w:szCs w:val="24"/>
          <w:highlight w:val="none"/>
          <w14:textFill>
            <w14:solidFill>
              <w14:schemeClr w14:val="tx1"/>
            </w14:solidFill>
          </w14:textFill>
        </w:rPr>
        <w:t>八、其他</w:t>
      </w:r>
    </w:p>
    <w:p w14:paraId="780571A1">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hint="eastAsia" w:ascii="仿宋" w:hAnsi="仿宋" w:eastAsia="仿宋"/>
          <w:color w:val="000000" w:themeColor="text1"/>
          <w:sz w:val="24"/>
          <w:szCs w:val="24"/>
          <w:highlight w:val="none"/>
          <w14:textFill>
            <w14:solidFill>
              <w14:schemeClr w14:val="tx1"/>
            </w14:solidFill>
          </w14:textFill>
        </w:rPr>
      </w:pPr>
      <w:bookmarkStart w:id="16" w:name="OLE_LINK26"/>
      <w:bookmarkStart w:id="17" w:name="OLE_LINK27"/>
      <w:r>
        <w:rPr>
          <w:rFonts w:ascii="仿宋" w:hAnsi="仿宋" w:eastAsia="仿宋"/>
          <w:color w:val="000000" w:themeColor="text1"/>
          <w:sz w:val="24"/>
          <w:szCs w:val="24"/>
          <w:highlight w:val="none"/>
          <w14:textFill>
            <w14:solidFill>
              <w14:schemeClr w14:val="tx1"/>
            </w14:solidFill>
          </w14:textFill>
        </w:rPr>
        <w:t>1</w:t>
      </w:r>
      <w:r>
        <w:rPr>
          <w:rFonts w:hint="eastAsia" w:ascii="仿宋" w:hAnsi="仿宋" w:eastAsia="仿宋"/>
          <w:color w:val="000000" w:themeColor="text1"/>
          <w:sz w:val="24"/>
          <w:szCs w:val="24"/>
          <w:highlight w:val="none"/>
          <w14:textFill>
            <w14:solidFill>
              <w14:schemeClr w14:val="tx1"/>
            </w14:solidFill>
          </w14:textFill>
        </w:rPr>
        <w:t>.本次采购不收取磋商保证金。</w:t>
      </w:r>
    </w:p>
    <w:p w14:paraId="0C90FA6C">
      <w:pPr>
        <w:keepNext w:val="0"/>
        <w:keepLines w:val="0"/>
        <w:pageBreakBefore w:val="0"/>
        <w:widowControl w:val="0"/>
        <w:kinsoku/>
        <w:wordWrap w:val="0"/>
        <w:overflowPunct/>
        <w:topLinePunct w:val="0"/>
        <w:autoSpaceDE/>
        <w:autoSpaceDN/>
        <w:bidi w:val="0"/>
        <w:adjustRightInd/>
        <w:snapToGrid/>
        <w:spacing w:line="480" w:lineRule="exact"/>
        <w:ind w:firstLine="567"/>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2.</w:t>
      </w:r>
      <w:r>
        <w:rPr>
          <w:rFonts w:hint="eastAsia" w:ascii="仿宋" w:hAnsi="仿宋" w:eastAsia="仿宋"/>
          <w:color w:val="000000" w:themeColor="text1"/>
          <w:sz w:val="24"/>
          <w:szCs w:val="24"/>
          <w:highlight w:val="none"/>
          <w14:textFill>
            <w14:solidFill>
              <w14:schemeClr w14:val="tx1"/>
            </w14:solidFill>
          </w14:textFill>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p>
    <w:p w14:paraId="5AF3E31A">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3.</w:t>
      </w:r>
      <w:r>
        <w:rPr>
          <w:rFonts w:hint="eastAsia" w:ascii="仿宋" w:hAnsi="仿宋" w:eastAsia="仿宋"/>
          <w:color w:val="000000" w:themeColor="text1"/>
          <w:sz w:val="24"/>
          <w:szCs w:val="24"/>
          <w:highlight w:val="none"/>
          <w14:textFill>
            <w14:solidFill>
              <w14:schemeClr w14:val="tx1"/>
            </w14:solidFill>
          </w14:textFill>
        </w:rPr>
        <w:t>领取CA和办理公章（请至淮安市清江浦区深圳路16号淮安市公共资源交易中心二楼13号CA办理窗口办理</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具体联系方式见《苏采云系统供应商操作手册》（以下简称《操作手册》）</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进行注册并按《操作手册》要求制作、上传电子响应文件。</w:t>
      </w:r>
    </w:p>
    <w:p w14:paraId="7AF49A34">
      <w:pPr>
        <w:keepNext w:val="0"/>
        <w:keepLines w:val="0"/>
        <w:pageBreakBefore w:val="0"/>
        <w:widowControl w:val="0"/>
        <w:kinsoku/>
        <w:overflowPunct/>
        <w:topLinePunct w:val="0"/>
        <w:autoSpaceDE/>
        <w:autoSpaceDN/>
        <w:bidi w:val="0"/>
        <w:adjustRightInd/>
        <w:snapToGrid/>
        <w:spacing w:line="480" w:lineRule="exact"/>
        <w:ind w:firstLine="565"/>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val="en-US" w:eastAsia="zh-CN"/>
          <w14:textFill>
            <w14:solidFill>
              <w14:schemeClr w14:val="tx1"/>
            </w14:solidFill>
          </w14:textFill>
        </w:rPr>
        <w:t>4</w:t>
      </w:r>
      <w:r>
        <w:rPr>
          <w:rFonts w:hint="eastAsia" w:ascii="仿宋" w:hAnsi="仿宋" w:eastAsia="仿宋"/>
          <w:color w:val="000000" w:themeColor="text1"/>
          <w:sz w:val="24"/>
          <w:szCs w:val="24"/>
          <w:highlight w:val="none"/>
          <w14:textFill>
            <w14:solidFill>
              <w14:schemeClr w14:val="tx1"/>
            </w14:solidFill>
          </w14:textFill>
        </w:rPr>
        <w:t>.有关本次磋商活动的事项若存在变动或修改，敬请及时关注代理机构在“淮安市政府采购网”发布的更正公告。</w:t>
      </w:r>
    </w:p>
    <w:bookmarkEnd w:id="16"/>
    <w:bookmarkEnd w:id="17"/>
    <w:p w14:paraId="2CBF6A2D">
      <w:pPr>
        <w:keepNext w:val="0"/>
        <w:keepLines w:val="0"/>
        <w:pageBreakBefore w:val="0"/>
        <w:widowControl w:val="0"/>
        <w:kinsoku/>
        <w:overflowPunct/>
        <w:topLinePunct w:val="0"/>
        <w:bidi w:val="0"/>
        <w:spacing w:line="520" w:lineRule="exact"/>
        <w:ind w:firstLine="560"/>
        <w:rPr>
          <w:rFonts w:ascii="仿宋" w:hAnsi="仿宋" w:eastAsia="仿宋"/>
          <w:color w:val="000000" w:themeColor="text1"/>
          <w:sz w:val="28"/>
          <w:szCs w:val="28"/>
          <w:highlight w:val="none"/>
          <w14:textFill>
            <w14:solidFill>
              <w14:schemeClr w14:val="tx1"/>
            </w14:solidFill>
          </w14:textFill>
        </w:rPr>
      </w:pPr>
    </w:p>
    <w:p w14:paraId="4AF7D2E7">
      <w:pPr>
        <w:keepNext w:val="0"/>
        <w:keepLines w:val="0"/>
        <w:pageBreakBefore w:val="0"/>
        <w:widowControl w:val="0"/>
        <w:kinsoku/>
        <w:overflowPunct/>
        <w:topLinePunct w:val="0"/>
        <w:bidi w:val="0"/>
        <w:jc w:val="center"/>
        <w:rPr>
          <w:rFonts w:ascii="宋体" w:hAnsi="宋体"/>
          <w:bCs/>
          <w:color w:val="000000" w:themeColor="text1"/>
          <w:sz w:val="32"/>
          <w:highlight w:val="none"/>
          <w14:textFill>
            <w14:solidFill>
              <w14:schemeClr w14:val="tx1"/>
            </w14:solidFill>
          </w14:textFill>
        </w:rPr>
      </w:pPr>
    </w:p>
    <w:p w14:paraId="09648E91">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               </w:t>
      </w:r>
    </w:p>
    <w:p w14:paraId="15DB8912">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11D84924">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53CCF165">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7BBA5A26">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46851775">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03AAF699">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216A2C86">
      <w:pPr>
        <w:keepNext w:val="0"/>
        <w:keepLines w:val="0"/>
        <w:pageBreakBefore w:val="0"/>
        <w:widowControl w:val="0"/>
        <w:kinsoku/>
        <w:overflowPunct/>
        <w:topLinePunct w:val="0"/>
        <w:bidi w:val="0"/>
        <w:spacing w:line="440" w:lineRule="exact"/>
        <w:rPr>
          <w:rFonts w:ascii="宋体" w:hAnsi="宋体"/>
          <w:bCs/>
          <w:color w:val="000000" w:themeColor="text1"/>
          <w:sz w:val="32"/>
          <w:szCs w:val="32"/>
          <w:highlight w:val="none"/>
          <w14:textFill>
            <w14:solidFill>
              <w14:schemeClr w14:val="tx1"/>
            </w14:solidFill>
          </w14:textFill>
        </w:rPr>
      </w:pPr>
    </w:p>
    <w:p w14:paraId="3EB7E96D">
      <w:pPr>
        <w:keepNext w:val="0"/>
        <w:keepLines w:val="0"/>
        <w:pageBreakBefore w:val="0"/>
        <w:widowControl w:val="0"/>
        <w:kinsoku/>
        <w:overflowPunct/>
        <w:topLinePunct w:val="0"/>
        <w:bidi w:val="0"/>
        <w:rPr>
          <w:color w:val="000000" w:themeColor="text1"/>
          <w:highlight w:val="none"/>
          <w14:textFill>
            <w14:solidFill>
              <w14:schemeClr w14:val="tx1"/>
            </w14:solidFill>
          </w14:textFill>
        </w:rPr>
      </w:pPr>
    </w:p>
    <w:p w14:paraId="4F7E6658">
      <w:pPr>
        <w:pStyle w:val="2"/>
        <w:keepNext w:val="0"/>
        <w:keepLines w:val="0"/>
        <w:pageBreakBefore w:val="0"/>
        <w:widowControl w:val="0"/>
        <w:kinsoku/>
        <w:overflowPunct/>
        <w:topLinePunct w:val="0"/>
        <w:bidi w:val="0"/>
        <w:rPr>
          <w:rFonts w:hint="eastAsia"/>
          <w:highlight w:val="none"/>
        </w:rPr>
        <w:sectPr>
          <w:footerReference r:id="rId6" w:type="first"/>
          <w:footerReference r:id="rId5"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1701" w:num="1"/>
          <w:titlePg/>
          <w:docGrid w:linePitch="360" w:charSpace="0"/>
        </w:sectPr>
      </w:pPr>
    </w:p>
    <w:p w14:paraId="7B40BB51">
      <w:pPr>
        <w:pStyle w:val="2"/>
        <w:keepNext w:val="0"/>
        <w:keepLines w:val="0"/>
        <w:pageBreakBefore w:val="0"/>
        <w:widowControl w:val="0"/>
        <w:kinsoku/>
        <w:wordWrap/>
        <w:overflowPunct/>
        <w:topLinePunct w:val="0"/>
        <w:autoSpaceDE/>
        <w:autoSpaceDN/>
        <w:bidi w:val="0"/>
        <w:adjustRightInd/>
        <w:snapToGrid/>
        <w:spacing w:before="0" w:after="0"/>
        <w:textAlignment w:val="auto"/>
        <w:rPr>
          <w:rFonts w:hint="eastAsia"/>
          <w:highlight w:val="none"/>
        </w:rPr>
      </w:pPr>
      <w:bookmarkStart w:id="18" w:name="_Toc13804"/>
      <w:r>
        <w:rPr>
          <w:rFonts w:hint="eastAsia"/>
          <w:highlight w:val="none"/>
        </w:rPr>
        <w:t>第二章   供应商须知</w:t>
      </w:r>
      <w:bookmarkEnd w:id="18"/>
    </w:p>
    <w:p w14:paraId="2F21A656">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一、总则</w:t>
      </w:r>
    </w:p>
    <w:p w14:paraId="41A8054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1.适用范围</w:t>
      </w:r>
    </w:p>
    <w:p w14:paraId="365D80A0">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本竞争性磋商文件仅适用于本次</w:t>
      </w:r>
      <w:r>
        <w:rPr>
          <w:rFonts w:hint="eastAsia" w:ascii="仿宋" w:hAnsi="仿宋" w:eastAsia="仿宋"/>
          <w:color w:val="000000" w:themeColor="text1"/>
          <w:sz w:val="24"/>
          <w:szCs w:val="24"/>
          <w:highlight w:val="none"/>
          <w:lang w:eastAsia="zh-CN"/>
          <w14:textFill>
            <w14:solidFill>
              <w14:schemeClr w14:val="tx1"/>
            </w14:solidFill>
          </w14:textFill>
        </w:rPr>
        <w:t>磋商</w:t>
      </w:r>
      <w:r>
        <w:rPr>
          <w:rFonts w:hint="eastAsia" w:ascii="仿宋" w:hAnsi="仿宋" w:eastAsia="仿宋"/>
          <w:color w:val="000000" w:themeColor="text1"/>
          <w:sz w:val="24"/>
          <w:szCs w:val="24"/>
          <w:highlight w:val="none"/>
          <w14:textFill>
            <w14:solidFill>
              <w14:schemeClr w14:val="tx1"/>
            </w14:solidFill>
          </w14:textFill>
        </w:rPr>
        <w:t>邀请中所述项目的采购。</w:t>
      </w:r>
    </w:p>
    <w:p w14:paraId="674BD629">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合格的供应商</w:t>
      </w:r>
    </w:p>
    <w:p w14:paraId="284CB87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textAlignment w:val="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 xml:space="preserve">2.1满足第一章磋商邀请中供应商资格要求的规定。 </w:t>
      </w:r>
    </w:p>
    <w:p w14:paraId="601B1C8C">
      <w:pPr>
        <w:keepNext w:val="0"/>
        <w:keepLines w:val="0"/>
        <w:pageBreakBefore w:val="0"/>
        <w:widowControl w:val="0"/>
        <w:kinsoku/>
        <w:wordWrap/>
        <w:overflowPunct/>
        <w:topLinePunct w:val="0"/>
        <w:autoSpaceDE/>
        <w:autoSpaceDN/>
        <w:bidi w:val="0"/>
        <w:adjustRightInd/>
        <w:snapToGrid/>
        <w:spacing w:line="480" w:lineRule="exact"/>
        <w:ind w:right="0" w:firstLine="504"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s="Arial"/>
          <w:color w:val="000000" w:themeColor="text1"/>
          <w:spacing w:val="6"/>
          <w:sz w:val="24"/>
          <w:szCs w:val="24"/>
          <w:highlight w:val="none"/>
          <w14:textFill>
            <w14:solidFill>
              <w14:schemeClr w14:val="tx1"/>
            </w14:solidFill>
          </w14:textFill>
        </w:rPr>
        <w:t>2.2</w:t>
      </w:r>
      <w:r>
        <w:rPr>
          <w:rFonts w:hint="eastAsia" w:ascii="仿宋" w:hAnsi="仿宋" w:eastAsia="仿宋"/>
          <w:color w:val="000000" w:themeColor="text1"/>
          <w:sz w:val="24"/>
          <w:szCs w:val="24"/>
          <w:highlight w:val="none"/>
          <w14:textFill>
            <w14:solidFill>
              <w14:schemeClr w14:val="tx1"/>
            </w14:solidFill>
          </w14:textFill>
        </w:rPr>
        <w:t>满足磋商文件中实质性条款的规定。</w:t>
      </w:r>
    </w:p>
    <w:p w14:paraId="5F7CB9F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3.适用法律</w:t>
      </w:r>
    </w:p>
    <w:p w14:paraId="2219CDA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3.1 《中华人民共和国政府采购法</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中华人民共和国政府采购法实施条例</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政府采购竞争性磋商采购方式管理暂行办法》等有关法律、规章和规定等。</w:t>
      </w:r>
    </w:p>
    <w:p w14:paraId="6B3CD6F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4.磋商费用</w:t>
      </w:r>
    </w:p>
    <w:p w14:paraId="2DB6A1B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4.1供应商应自行承担所有与参加磋商有关的费用。不论磋商的结果如何，</w:t>
      </w:r>
      <w:r>
        <w:rPr>
          <w:rFonts w:hint="eastAsia" w:ascii="仿宋" w:hAnsi="仿宋" w:eastAsia="仿宋" w:cs="Times New Roman"/>
          <w:b w:val="0"/>
          <w:bCs w:val="0"/>
          <w:color w:val="000000" w:themeColor="text1"/>
          <w:sz w:val="24"/>
          <w:szCs w:val="24"/>
          <w:highlight w:val="none"/>
          <w:u w:val="none"/>
          <w:lang w:eastAsia="zh-CN"/>
          <w14:textFill>
            <w14:solidFill>
              <w14:schemeClr w14:val="tx1"/>
            </w14:solidFill>
          </w14:textFill>
        </w:rPr>
        <w:t>淮安市淮安区山阳街道办事处（以下简称采购人）及</w:t>
      </w:r>
      <w:r>
        <w:rPr>
          <w:rFonts w:hint="eastAsia" w:ascii="仿宋" w:hAnsi="仿宋" w:eastAsia="仿宋" w:cs="Times New Roman"/>
          <w:color w:val="000000" w:themeColor="text1"/>
          <w:sz w:val="24"/>
          <w:szCs w:val="24"/>
          <w:highlight w:val="none"/>
          <w:lang w:eastAsia="zh-CN"/>
          <w14:textFill>
            <w14:solidFill>
              <w14:schemeClr w14:val="tx1"/>
            </w14:solidFill>
          </w14:textFill>
        </w:rPr>
        <w:t>江苏中泽工程管理有限公司</w:t>
      </w:r>
      <w:r>
        <w:rPr>
          <w:rFonts w:hint="eastAsia" w:ascii="仿宋" w:hAnsi="仿宋" w:eastAsia="仿宋"/>
          <w:color w:val="000000" w:themeColor="text1"/>
          <w:sz w:val="24"/>
          <w:szCs w:val="24"/>
          <w:highlight w:val="none"/>
          <w14:textFill>
            <w14:solidFill>
              <w14:schemeClr w14:val="tx1"/>
            </w14:solidFill>
          </w14:textFill>
        </w:rPr>
        <w:t>（以下简称代理机构）在任何情况下均无义务和责任承担这些费用。</w:t>
      </w:r>
    </w:p>
    <w:p w14:paraId="3178AE3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宋体"/>
          <w:color w:val="000000" w:themeColor="text1"/>
          <w:sz w:val="24"/>
          <w:szCs w:val="24"/>
          <w:highlight w:val="none"/>
          <w14:textFill>
            <w14:solidFill>
              <w14:schemeClr w14:val="tx1"/>
            </w14:solidFill>
          </w14:textFill>
        </w:rPr>
        <w:t>4.2</w:t>
      </w:r>
      <w:r>
        <w:rPr>
          <w:rFonts w:hint="eastAsia" w:ascii="仿宋" w:hAnsi="仿宋" w:eastAsia="仿宋" w:cs="仿宋"/>
          <w:b/>
          <w:bCs/>
          <w:color w:val="000000" w:themeColor="text1"/>
          <w:sz w:val="24"/>
          <w:szCs w:val="24"/>
          <w:highlight w:val="none"/>
          <w14:textFill>
            <w14:solidFill>
              <w14:schemeClr w14:val="tx1"/>
            </w14:solidFill>
          </w14:textFill>
        </w:rPr>
        <w:t>本项目</w:t>
      </w:r>
      <w:r>
        <w:rPr>
          <w:rFonts w:hint="eastAsia" w:ascii="仿宋" w:hAnsi="仿宋" w:eastAsia="仿宋" w:cs="宋体"/>
          <w:b/>
          <w:bCs/>
          <w:color w:val="000000" w:themeColor="text1"/>
          <w:sz w:val="24"/>
          <w:szCs w:val="24"/>
          <w:highlight w:val="none"/>
          <w14:textFill>
            <w14:solidFill>
              <w14:schemeClr w14:val="tx1"/>
            </w14:solidFill>
          </w14:textFill>
        </w:rPr>
        <w:t>采购</w:t>
      </w:r>
      <w:r>
        <w:rPr>
          <w:rFonts w:ascii="仿宋" w:hAnsi="仿宋" w:eastAsia="仿宋" w:cs="宋体"/>
          <w:b/>
          <w:bCs/>
          <w:color w:val="000000" w:themeColor="text1"/>
          <w:sz w:val="24"/>
          <w:szCs w:val="24"/>
          <w:highlight w:val="none"/>
          <w14:textFill>
            <w14:solidFill>
              <w14:schemeClr w14:val="tx1"/>
            </w14:solidFill>
          </w14:textFill>
        </w:rPr>
        <w:t>代理服务费按照</w:t>
      </w:r>
      <w:r>
        <w:rPr>
          <w:rFonts w:hint="eastAsia" w:ascii="仿宋" w:hAnsi="仿宋" w:eastAsia="仿宋" w:cs="宋体"/>
          <w:b/>
          <w:bCs/>
          <w:color w:val="000000" w:themeColor="text1"/>
          <w:sz w:val="24"/>
          <w:szCs w:val="24"/>
          <w:highlight w:val="none"/>
          <w:lang w:eastAsia="zh-CN"/>
          <w14:textFill>
            <w14:solidFill>
              <w14:schemeClr w14:val="tx1"/>
            </w14:solidFill>
          </w14:textFill>
        </w:rPr>
        <w:t>《关于印发〈江苏省招标代理服务收费的指导意见〉的通知》（</w:t>
      </w:r>
      <w:r>
        <w:rPr>
          <w:rFonts w:ascii="仿宋" w:hAnsi="仿宋" w:eastAsia="仿宋" w:cs="宋体"/>
          <w:b/>
          <w:bCs/>
          <w:color w:val="000000" w:themeColor="text1"/>
          <w:sz w:val="24"/>
          <w:szCs w:val="24"/>
          <w:highlight w:val="none"/>
          <w14:textFill>
            <w14:solidFill>
              <w14:schemeClr w14:val="tx1"/>
            </w14:solidFill>
          </w14:textFill>
        </w:rPr>
        <w:t>苏招协</w:t>
      </w:r>
      <w:r>
        <w:rPr>
          <w:rFonts w:hint="eastAsia" w:ascii="仿宋" w:hAnsi="仿宋" w:eastAsia="仿宋" w:cs="宋体"/>
          <w:b/>
          <w:bCs/>
          <w:color w:val="000000" w:themeColor="text1"/>
          <w:sz w:val="24"/>
          <w:szCs w:val="24"/>
          <w:highlight w:val="none"/>
          <w:lang w:eastAsia="zh-CN"/>
          <w14:textFill>
            <w14:solidFill>
              <w14:schemeClr w14:val="tx1"/>
            </w14:solidFill>
          </w14:textFill>
        </w:rPr>
        <w:t>〔2022〕2号）文</w:t>
      </w:r>
      <w:r>
        <w:rPr>
          <w:rFonts w:hint="eastAsia" w:ascii="仿宋" w:hAnsi="仿宋" w:eastAsia="仿宋" w:cs="宋体"/>
          <w:b/>
          <w:bCs/>
          <w:color w:val="000000" w:themeColor="text1"/>
          <w:sz w:val="24"/>
          <w:szCs w:val="24"/>
          <w:highlight w:val="none"/>
          <w14:textFill>
            <w14:solidFill>
              <w14:schemeClr w14:val="tx1"/>
            </w14:solidFill>
          </w14:textFill>
        </w:rPr>
        <w:t>收费</w:t>
      </w:r>
      <w:r>
        <w:rPr>
          <w:rFonts w:ascii="仿宋" w:hAnsi="仿宋" w:eastAsia="仿宋" w:cs="宋体"/>
          <w:b/>
          <w:bCs/>
          <w:color w:val="000000" w:themeColor="text1"/>
          <w:sz w:val="24"/>
          <w:szCs w:val="24"/>
          <w:highlight w:val="none"/>
          <w14:textFill>
            <w14:solidFill>
              <w14:schemeClr w14:val="tx1"/>
            </w14:solidFill>
          </w14:textFill>
        </w:rPr>
        <w:t>标准</w:t>
      </w:r>
      <w:r>
        <w:rPr>
          <w:rFonts w:hint="eastAsia" w:ascii="仿宋" w:hAnsi="仿宋" w:eastAsia="仿宋" w:cs="宋体"/>
          <w:b/>
          <w:bCs/>
          <w:color w:val="000000" w:themeColor="text1"/>
          <w:sz w:val="24"/>
          <w:szCs w:val="24"/>
          <w:highlight w:val="none"/>
          <w:lang w:eastAsia="zh-CN"/>
          <w14:textFill>
            <w14:solidFill>
              <w14:schemeClr w14:val="tx1"/>
            </w14:solidFill>
          </w14:textFill>
        </w:rPr>
        <w:t>货物类</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100%</w:t>
      </w:r>
      <w:r>
        <w:rPr>
          <w:rFonts w:hint="eastAsia" w:ascii="仿宋" w:hAnsi="仿宋" w:eastAsia="仿宋" w:cs="仿宋"/>
          <w:b/>
          <w:bCs/>
          <w:color w:val="000000" w:themeColor="text1"/>
          <w:sz w:val="24"/>
          <w:szCs w:val="24"/>
          <w:highlight w:val="none"/>
          <w14:textFill>
            <w14:solidFill>
              <w14:schemeClr w14:val="tx1"/>
            </w14:solidFill>
          </w14:textFill>
        </w:rPr>
        <w:t>收取，</w:t>
      </w:r>
      <w:r>
        <w:rPr>
          <w:rFonts w:hint="eastAsia" w:ascii="仿宋" w:hAnsi="仿宋" w:eastAsia="仿宋" w:cs="宋体"/>
          <w:b/>
          <w:bCs/>
          <w:color w:val="000000" w:themeColor="text1"/>
          <w:sz w:val="24"/>
          <w:szCs w:val="24"/>
          <w:highlight w:val="none"/>
          <w14:textFill>
            <w14:solidFill>
              <w14:schemeClr w14:val="tx1"/>
            </w14:solidFill>
          </w14:textFill>
        </w:rPr>
        <w:t>采购</w:t>
      </w:r>
      <w:r>
        <w:rPr>
          <w:rFonts w:ascii="仿宋" w:hAnsi="仿宋" w:eastAsia="仿宋" w:cs="宋体"/>
          <w:b/>
          <w:bCs/>
          <w:color w:val="000000" w:themeColor="text1"/>
          <w:sz w:val="24"/>
          <w:szCs w:val="24"/>
          <w:highlight w:val="none"/>
          <w14:textFill>
            <w14:solidFill>
              <w14:schemeClr w14:val="tx1"/>
            </w14:solidFill>
          </w14:textFill>
        </w:rPr>
        <w:t>代理服务费</w:t>
      </w:r>
      <w:r>
        <w:rPr>
          <w:rFonts w:hint="eastAsia" w:ascii="仿宋" w:hAnsi="仿宋" w:eastAsia="仿宋" w:cs="宋体"/>
          <w:b/>
          <w:bCs/>
          <w:color w:val="000000" w:themeColor="text1"/>
          <w:sz w:val="24"/>
          <w:szCs w:val="24"/>
          <w:highlight w:val="none"/>
          <w:lang w:eastAsia="zh-CN"/>
          <w14:textFill>
            <w14:solidFill>
              <w14:schemeClr w14:val="tx1"/>
            </w14:solidFill>
          </w14:textFill>
        </w:rPr>
        <w:t>为人民币贰万伍仟贰佰元整（￥</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25200.00</w:t>
      </w:r>
      <w:r>
        <w:rPr>
          <w:rFonts w:hint="eastAsia" w:ascii="仿宋" w:hAnsi="仿宋" w:eastAsia="仿宋" w:cs="宋体"/>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14:textFill>
            <w14:solidFill>
              <w14:schemeClr w14:val="tx1"/>
            </w14:solidFill>
          </w14:textFill>
        </w:rPr>
        <w:t>由成交供应商支付。因此各供应商在报价时必须考虑上述费用，无需单独列项计取，</w:t>
      </w:r>
      <w:r>
        <w:rPr>
          <w:rFonts w:hint="eastAsia" w:ascii="仿宋" w:hAnsi="仿宋" w:eastAsia="仿宋" w:cs="仿宋"/>
          <w:b/>
          <w:bCs/>
          <w:color w:val="000000" w:themeColor="text1"/>
          <w:sz w:val="24"/>
          <w:szCs w:val="24"/>
          <w:highlight w:val="none"/>
          <w:lang w:val="zh-CN"/>
          <w14:textFill>
            <w14:solidFill>
              <w14:schemeClr w14:val="tx1"/>
            </w14:solidFill>
          </w14:textFill>
        </w:rPr>
        <w:t>支持采用数字人民币形式支付。</w:t>
      </w:r>
    </w:p>
    <w:p w14:paraId="15AFB74A">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二、磋商文件</w:t>
      </w:r>
    </w:p>
    <w:p w14:paraId="2060E21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5.磋商文件</w:t>
      </w:r>
      <w:r>
        <w:rPr>
          <w:rFonts w:hint="eastAsia" w:ascii="仿宋" w:hAnsi="仿宋" w:eastAsia="仿宋"/>
          <w:color w:val="000000" w:themeColor="text1"/>
          <w:sz w:val="24"/>
          <w:szCs w:val="24"/>
          <w:highlight w:val="none"/>
          <w14:textFill>
            <w14:solidFill>
              <w14:schemeClr w14:val="tx1"/>
            </w14:solidFill>
          </w14:textFill>
        </w:rPr>
        <w:t>由以下部分组成</w:t>
      </w:r>
      <w:r>
        <w:rPr>
          <w:rFonts w:hint="eastAsia" w:ascii="仿宋" w:hAnsi="仿宋" w:eastAsia="仿宋"/>
          <w:color w:val="000000" w:themeColor="text1"/>
          <w:sz w:val="24"/>
          <w:szCs w:val="24"/>
          <w:highlight w:val="none"/>
          <w:lang w:eastAsia="zh-CN"/>
          <w14:textFill>
            <w14:solidFill>
              <w14:schemeClr w14:val="tx1"/>
            </w14:solidFill>
          </w14:textFill>
        </w:rPr>
        <w:t>：</w:t>
      </w:r>
    </w:p>
    <w:p w14:paraId="7960CE2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5.1磋商邀请</w:t>
      </w:r>
    </w:p>
    <w:p w14:paraId="5747116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5.2供应商须知</w:t>
      </w:r>
    </w:p>
    <w:p w14:paraId="1241E59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5.3评标标准</w:t>
      </w:r>
    </w:p>
    <w:p w14:paraId="334D127E">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5.4合同格式及条款</w:t>
      </w:r>
    </w:p>
    <w:p w14:paraId="5927BAD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5.5项目采购需求</w:t>
      </w:r>
    </w:p>
    <w:p w14:paraId="66C576C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5.6响应文件</w:t>
      </w:r>
    </w:p>
    <w:p w14:paraId="2B8F450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6.磋商文件的澄清</w:t>
      </w:r>
    </w:p>
    <w:p w14:paraId="348D3DF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6.1任何要求对磋商</w:t>
      </w:r>
      <w:r>
        <w:rPr>
          <w:rFonts w:hint="eastAsia" w:ascii="仿宋" w:hAnsi="仿宋" w:eastAsia="仿宋"/>
          <w:color w:val="000000" w:themeColor="text1"/>
          <w:sz w:val="24"/>
          <w:szCs w:val="24"/>
          <w:highlight w:val="none"/>
          <w:lang w:eastAsia="zh-CN"/>
          <w14:textFill>
            <w14:solidFill>
              <w14:schemeClr w14:val="tx1"/>
            </w14:solidFill>
          </w14:textFill>
        </w:rPr>
        <w:t>文件进行</w:t>
      </w:r>
      <w:r>
        <w:rPr>
          <w:rFonts w:hint="eastAsia" w:ascii="仿宋" w:hAnsi="仿宋" w:eastAsia="仿宋"/>
          <w:color w:val="000000" w:themeColor="text1"/>
          <w:sz w:val="24"/>
          <w:szCs w:val="24"/>
          <w:highlight w:val="none"/>
          <w14:textFill>
            <w14:solidFill>
              <w14:schemeClr w14:val="tx1"/>
            </w14:solidFill>
          </w14:textFill>
        </w:rPr>
        <w:t>澄清的供应商，均应在磋商截止时间</w:t>
      </w:r>
      <w:r>
        <w:rPr>
          <w:rFonts w:hint="eastAsia" w:ascii="仿宋" w:hAnsi="仿宋" w:eastAsia="仿宋"/>
          <w:color w:val="000000" w:themeColor="text1"/>
          <w:sz w:val="24"/>
          <w:szCs w:val="24"/>
          <w:highlight w:val="none"/>
          <w:lang w:val="en-US" w:eastAsia="zh-CN"/>
          <w14:textFill>
            <w14:solidFill>
              <w14:schemeClr w14:val="tx1"/>
            </w14:solidFill>
          </w14:textFill>
        </w:rPr>
        <w:t>5日前</w:t>
      </w:r>
      <w:r>
        <w:rPr>
          <w:rFonts w:hint="eastAsia" w:ascii="仿宋" w:hAnsi="仿宋" w:eastAsia="仿宋"/>
          <w:color w:val="000000" w:themeColor="text1"/>
          <w:sz w:val="24"/>
          <w:szCs w:val="24"/>
          <w:highlight w:val="none"/>
          <w14:textFill>
            <w14:solidFill>
              <w14:schemeClr w14:val="tx1"/>
            </w14:solidFill>
          </w14:textFill>
        </w:rPr>
        <w:t>以书面形式并加盖公章通知</w:t>
      </w:r>
      <w:r>
        <w:rPr>
          <w:rFonts w:hint="eastAsia" w:ascii="仿宋" w:hAnsi="仿宋" w:eastAsia="仿宋" w:cs="仿宋"/>
          <w:sz w:val="24"/>
          <w:highlight w:val="none"/>
        </w:rPr>
        <w:t>采购人或代理机构（在递送书面文件的同时请供应商将电子文档发送至采购人或代理机构邮箱</w:t>
      </w:r>
      <w:r>
        <w:rPr>
          <w:rFonts w:hint="eastAsia" w:ascii="仿宋" w:hAnsi="仿宋" w:eastAsia="仿宋" w:cs="仿宋"/>
          <w:sz w:val="24"/>
          <w:highlight w:val="none"/>
          <w:lang w:val="en-US" w:eastAsia="zh-CN"/>
        </w:rPr>
        <w:t>236712149@qq.com</w:t>
      </w:r>
      <w:r>
        <w:rPr>
          <w:rFonts w:hint="eastAsia" w:ascii="仿宋" w:hAnsi="仿宋" w:eastAsia="仿宋" w:cs="仿宋"/>
          <w:sz w:val="24"/>
          <w:highlight w:val="none"/>
        </w:rPr>
        <w:t>）</w:t>
      </w:r>
      <w:r>
        <w:rPr>
          <w:rFonts w:hint="eastAsia" w:ascii="仿宋" w:hAnsi="仿宋" w:eastAsia="仿宋" w:cs="仿宋"/>
          <w:sz w:val="24"/>
          <w:highlight w:val="none"/>
          <w:lang w:eastAsia="zh-CN"/>
        </w:rPr>
        <w:t>，</w:t>
      </w:r>
      <w:r>
        <w:rPr>
          <w:rFonts w:hint="eastAsia" w:ascii="仿宋" w:hAnsi="仿宋" w:eastAsia="仿宋" w:cs="仿宋"/>
          <w:sz w:val="24"/>
          <w:highlight w:val="none"/>
        </w:rPr>
        <w:t>采购人或代理机构对</w:t>
      </w:r>
      <w:r>
        <w:rPr>
          <w:rFonts w:hint="eastAsia" w:ascii="仿宋" w:hAnsi="仿宋" w:eastAsia="仿宋" w:cs="仿宋"/>
          <w:sz w:val="24"/>
          <w:highlight w:val="none"/>
          <w:lang w:eastAsia="zh-CN"/>
        </w:rPr>
        <w:t>磋商</w:t>
      </w:r>
      <w:r>
        <w:rPr>
          <w:rFonts w:hint="eastAsia" w:ascii="仿宋" w:hAnsi="仿宋" w:eastAsia="仿宋" w:cs="仿宋"/>
          <w:sz w:val="24"/>
          <w:highlight w:val="none"/>
        </w:rPr>
        <w:t>时间前</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日收到的任何澄清要求将以书面形式予以答复（邮寄或传真）。</w:t>
      </w:r>
      <w:r>
        <w:rPr>
          <w:rFonts w:hint="eastAsia" w:ascii="仿宋" w:hAnsi="仿宋" w:eastAsia="仿宋" w:cs="仿宋"/>
          <w:bCs/>
          <w:sz w:val="24"/>
          <w:highlight w:val="none"/>
        </w:rPr>
        <w:t>由于</w:t>
      </w:r>
      <w:r>
        <w:rPr>
          <w:rFonts w:hint="eastAsia" w:ascii="仿宋" w:hAnsi="仿宋" w:eastAsia="仿宋" w:cs="仿宋"/>
          <w:bCs/>
          <w:sz w:val="24"/>
          <w:highlight w:val="none"/>
          <w:lang w:eastAsia="zh-CN"/>
        </w:rPr>
        <w:t>磋商</w:t>
      </w:r>
      <w:r>
        <w:rPr>
          <w:rFonts w:hint="eastAsia" w:ascii="仿宋" w:hAnsi="仿宋" w:eastAsia="仿宋" w:cs="仿宋"/>
          <w:bCs/>
          <w:sz w:val="24"/>
          <w:highlight w:val="none"/>
        </w:rPr>
        <w:t>供应商所留联系方式有问题而导致</w:t>
      </w:r>
      <w:r>
        <w:rPr>
          <w:rFonts w:hint="eastAsia" w:ascii="仿宋" w:hAnsi="仿宋" w:eastAsia="仿宋" w:cs="仿宋"/>
          <w:sz w:val="24"/>
          <w:highlight w:val="none"/>
        </w:rPr>
        <w:t>采购人或代理机构</w:t>
      </w:r>
      <w:r>
        <w:rPr>
          <w:rFonts w:hint="eastAsia" w:ascii="仿宋" w:hAnsi="仿宋" w:eastAsia="仿宋" w:cs="仿宋"/>
          <w:bCs/>
          <w:sz w:val="24"/>
          <w:highlight w:val="none"/>
        </w:rPr>
        <w:t>无法通知的，其责任由</w:t>
      </w:r>
      <w:r>
        <w:rPr>
          <w:rFonts w:hint="eastAsia" w:ascii="仿宋" w:hAnsi="仿宋" w:eastAsia="仿宋" w:cs="仿宋"/>
          <w:bCs/>
          <w:sz w:val="24"/>
          <w:highlight w:val="none"/>
          <w:lang w:eastAsia="zh-CN"/>
        </w:rPr>
        <w:t>磋商</w:t>
      </w:r>
      <w:r>
        <w:rPr>
          <w:rFonts w:hint="eastAsia" w:ascii="仿宋" w:hAnsi="仿宋" w:eastAsia="仿宋" w:cs="仿宋"/>
          <w:bCs/>
          <w:sz w:val="24"/>
          <w:highlight w:val="none"/>
        </w:rPr>
        <w:t>供应商自行承担（逾期递交对</w:t>
      </w:r>
      <w:r>
        <w:rPr>
          <w:rFonts w:hint="eastAsia" w:ascii="仿宋" w:hAnsi="仿宋" w:eastAsia="仿宋" w:cs="仿宋"/>
          <w:bCs/>
          <w:sz w:val="24"/>
          <w:highlight w:val="none"/>
          <w:lang w:eastAsia="zh-CN"/>
        </w:rPr>
        <w:t>磋商</w:t>
      </w:r>
      <w:r>
        <w:rPr>
          <w:rFonts w:hint="eastAsia" w:ascii="仿宋" w:hAnsi="仿宋" w:eastAsia="仿宋" w:cs="仿宋"/>
          <w:bCs/>
          <w:sz w:val="24"/>
          <w:highlight w:val="none"/>
        </w:rPr>
        <w:t>文件</w:t>
      </w:r>
      <w:r>
        <w:rPr>
          <w:rFonts w:hint="eastAsia" w:ascii="仿宋" w:hAnsi="仿宋" w:eastAsia="仿宋" w:cs="仿宋"/>
          <w:bCs/>
          <w:sz w:val="24"/>
          <w:highlight w:val="none"/>
          <w:lang w:eastAsia="zh-CN"/>
        </w:rPr>
        <w:t>进行澄清要求</w:t>
      </w:r>
      <w:r>
        <w:rPr>
          <w:rFonts w:hint="eastAsia" w:ascii="仿宋" w:hAnsi="仿宋" w:eastAsia="仿宋" w:cs="仿宋"/>
          <w:bCs/>
          <w:sz w:val="24"/>
          <w:highlight w:val="none"/>
        </w:rPr>
        <w:t>的</w:t>
      </w:r>
      <w:r>
        <w:rPr>
          <w:rFonts w:hint="eastAsia" w:ascii="仿宋" w:hAnsi="仿宋" w:eastAsia="仿宋" w:cs="仿宋"/>
          <w:bCs/>
          <w:sz w:val="24"/>
          <w:highlight w:val="none"/>
          <w:lang w:eastAsia="zh-CN"/>
        </w:rPr>
        <w:t>，采购</w:t>
      </w:r>
      <w:r>
        <w:rPr>
          <w:rFonts w:hint="eastAsia" w:ascii="仿宋" w:hAnsi="仿宋" w:eastAsia="仿宋" w:cs="仿宋"/>
          <w:sz w:val="24"/>
          <w:highlight w:val="none"/>
        </w:rPr>
        <w:t>人或代理机构</w:t>
      </w:r>
      <w:r>
        <w:rPr>
          <w:rFonts w:hint="eastAsia" w:ascii="仿宋" w:hAnsi="仿宋" w:eastAsia="仿宋" w:cs="仿宋"/>
          <w:bCs/>
          <w:sz w:val="24"/>
          <w:highlight w:val="none"/>
        </w:rPr>
        <w:t>将不予受理）</w:t>
      </w:r>
      <w:r>
        <w:rPr>
          <w:rFonts w:hint="eastAsia" w:ascii="仿宋" w:hAnsi="仿宋" w:eastAsia="仿宋"/>
          <w:color w:val="000000" w:themeColor="text1"/>
          <w:sz w:val="24"/>
          <w:szCs w:val="24"/>
          <w:highlight w:val="none"/>
          <w14:textFill>
            <w14:solidFill>
              <w14:schemeClr w14:val="tx1"/>
            </w14:solidFill>
          </w14:textFill>
        </w:rPr>
        <w:t>。</w:t>
      </w:r>
    </w:p>
    <w:p w14:paraId="2303D014">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s="楷体_GB2312"/>
          <w:color w:val="000000" w:themeColor="text1"/>
          <w:sz w:val="24"/>
          <w:szCs w:val="24"/>
          <w:highlight w:val="none"/>
          <w:lang w:val="zh-CN"/>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7.磋商文件的更正或补充</w:t>
      </w:r>
    </w:p>
    <w:p w14:paraId="5829C32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7.1在磋商时间前，采购人或代理机构可主动或在解答供应商提出的澄清问题时对磋商文件用更正公告的方式进行修正。</w:t>
      </w:r>
    </w:p>
    <w:p w14:paraId="5270FCD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7.2 对</w:t>
      </w:r>
      <w:r>
        <w:rPr>
          <w:rFonts w:hint="eastAsia" w:ascii="仿宋" w:hAnsi="仿宋" w:eastAsia="仿宋" w:cs="楷体_GB2312"/>
          <w:color w:val="000000" w:themeColor="text1"/>
          <w:sz w:val="24"/>
          <w:szCs w:val="24"/>
          <w:highlight w:val="none"/>
          <w:lang w:val="zh-CN"/>
          <w14:textFill>
            <w14:solidFill>
              <w14:schemeClr w14:val="tx1"/>
            </w14:solidFill>
          </w14:textFill>
        </w:rPr>
        <w:t>磋商文件的修改将</w:t>
      </w:r>
      <w:r>
        <w:rPr>
          <w:rFonts w:hint="eastAsia" w:ascii="仿宋" w:hAnsi="仿宋" w:eastAsia="仿宋"/>
          <w:color w:val="000000" w:themeColor="text1"/>
          <w:sz w:val="24"/>
          <w:szCs w:val="24"/>
          <w:highlight w:val="none"/>
          <w14:textFill>
            <w14:solidFill>
              <w14:schemeClr w14:val="tx1"/>
            </w14:solidFill>
          </w14:textFill>
        </w:rPr>
        <w:t>在淮安市政府采购网进行公告，更正公告将作为磋商文件的组成部分，对所有参加本次磋商的供应商都具有约束力。</w:t>
      </w:r>
    </w:p>
    <w:p w14:paraId="1CBCFC1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7.3为使供应商有足够的时间按磋商文件的更正要求修正响应文件，采购人有权按照相关法定的要求推迟响应文件接收截止时间和磋商时间。</w:t>
      </w:r>
    </w:p>
    <w:p w14:paraId="17FBB76F">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三、响应文件的编制</w:t>
      </w:r>
    </w:p>
    <w:p w14:paraId="089A9423">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bookmarkStart w:id="19" w:name="_Toc16938530"/>
      <w:bookmarkStart w:id="20" w:name="_Toc513029214"/>
      <w:bookmarkStart w:id="21" w:name="_Toc20823286"/>
      <w:bookmarkStart w:id="22" w:name="_Toc462564073"/>
      <w:r>
        <w:rPr>
          <w:rFonts w:hint="eastAsia" w:ascii="仿宋" w:hAnsi="仿宋" w:eastAsia="仿宋"/>
          <w:color w:val="000000" w:themeColor="text1"/>
          <w:sz w:val="24"/>
          <w:szCs w:val="24"/>
          <w:highlight w:val="none"/>
          <w:lang w:eastAsia="zh-CN"/>
          <w14:textFill>
            <w14:solidFill>
              <w14:schemeClr w14:val="tx1"/>
            </w14:solidFill>
          </w14:textFill>
        </w:rPr>
        <w:t>8.</w:t>
      </w:r>
      <w:r>
        <w:rPr>
          <w:rFonts w:hint="eastAsia" w:ascii="仿宋" w:hAnsi="仿宋" w:eastAsia="仿宋"/>
          <w:color w:val="000000" w:themeColor="text1"/>
          <w:sz w:val="24"/>
          <w:szCs w:val="24"/>
          <w:highlight w:val="none"/>
          <w14:textFill>
            <w14:solidFill>
              <w14:schemeClr w14:val="tx1"/>
            </w14:solidFill>
          </w14:textFill>
        </w:rPr>
        <w:t>响应文件的语言及度量衡单位</w:t>
      </w:r>
      <w:bookmarkEnd w:id="19"/>
      <w:bookmarkEnd w:id="20"/>
      <w:bookmarkEnd w:id="21"/>
      <w:bookmarkEnd w:id="22"/>
    </w:p>
    <w:p w14:paraId="1627724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8.1供应商提交的响应文件以及供应商与代理机构就有关磋商的所有来往通知、函件和文件均应使用简体中文。</w:t>
      </w:r>
    </w:p>
    <w:p w14:paraId="36A6DB7E">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8.2 除技术性能另有规定外，响应文件所使用的度量衡单位，均须采用国家法定计量单位。</w:t>
      </w:r>
    </w:p>
    <w:p w14:paraId="7766728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bookmarkStart w:id="23" w:name="_Toc20823287"/>
      <w:bookmarkStart w:id="24" w:name="_Toc462564074"/>
      <w:bookmarkStart w:id="25" w:name="_Toc513029215"/>
      <w:bookmarkStart w:id="26" w:name="_Toc16938531"/>
      <w:r>
        <w:rPr>
          <w:rFonts w:hint="eastAsia" w:ascii="仿宋" w:hAnsi="仿宋" w:eastAsia="仿宋"/>
          <w:color w:val="000000" w:themeColor="text1"/>
          <w:sz w:val="24"/>
          <w:szCs w:val="24"/>
          <w:highlight w:val="none"/>
          <w:lang w:eastAsia="zh-CN"/>
          <w14:textFill>
            <w14:solidFill>
              <w14:schemeClr w14:val="tx1"/>
            </w14:solidFill>
          </w14:textFill>
        </w:rPr>
        <w:t>9.</w:t>
      </w:r>
      <w:r>
        <w:rPr>
          <w:rFonts w:hint="eastAsia" w:ascii="仿宋" w:hAnsi="仿宋" w:eastAsia="仿宋"/>
          <w:color w:val="000000" w:themeColor="text1"/>
          <w:sz w:val="24"/>
          <w:szCs w:val="24"/>
          <w:highlight w:val="none"/>
          <w14:textFill>
            <w14:solidFill>
              <w14:schemeClr w14:val="tx1"/>
            </w14:solidFill>
          </w14:textFill>
        </w:rPr>
        <w:t>响应文件构成</w:t>
      </w:r>
      <w:bookmarkEnd w:id="23"/>
      <w:bookmarkEnd w:id="24"/>
      <w:bookmarkEnd w:id="25"/>
      <w:bookmarkEnd w:id="26"/>
    </w:p>
    <w:p w14:paraId="7F976C8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9.1供应商编写的响应文件应包括资格证明文件、符合性证明文件、分项报价表、技术要求响应及偏离表、商务要求响应及偏离表、其他证明文件、磋商响应函等部分。</w:t>
      </w:r>
    </w:p>
    <w:p w14:paraId="40D3A98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9.2 如标书制作工具中格式和内容与“淮安市政府采购网”发布的磋商文件不一致，请以“淮安市政府采购网”发布的磋商文件为准。</w:t>
      </w:r>
    </w:p>
    <w:p w14:paraId="4AE2744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bookmarkStart w:id="27" w:name="_Toc513029219"/>
      <w:bookmarkStart w:id="28" w:name="_Toc513029216"/>
      <w:bookmarkStart w:id="29" w:name="_Toc14577357"/>
      <w:bookmarkStart w:id="30" w:name="_Toc49090507"/>
      <w:bookmarkStart w:id="31" w:name="_Toc14577354"/>
      <w:bookmarkStart w:id="32" w:name="_Toc49090509"/>
      <w:bookmarkStart w:id="33" w:name="_Toc14577355"/>
      <w:bookmarkStart w:id="34" w:name="_Toc49090508"/>
      <w:r>
        <w:rPr>
          <w:rFonts w:hint="eastAsia" w:ascii="仿宋" w:hAnsi="仿宋" w:eastAsia="仿宋"/>
          <w:color w:val="000000" w:themeColor="text1"/>
          <w:sz w:val="24"/>
          <w:szCs w:val="24"/>
          <w:highlight w:val="none"/>
          <w:lang w:eastAsia="zh-CN"/>
          <w14:textFill>
            <w14:solidFill>
              <w14:schemeClr w14:val="tx1"/>
            </w14:solidFill>
          </w14:textFill>
        </w:rPr>
        <w:t>10.</w:t>
      </w:r>
      <w:r>
        <w:rPr>
          <w:rFonts w:hint="eastAsia" w:ascii="仿宋" w:hAnsi="仿宋" w:eastAsia="仿宋"/>
          <w:color w:val="000000" w:themeColor="text1"/>
          <w:sz w:val="24"/>
          <w:szCs w:val="24"/>
          <w:highlight w:val="none"/>
          <w14:textFill>
            <w14:solidFill>
              <w14:schemeClr w14:val="tx1"/>
            </w14:solidFill>
          </w14:textFill>
        </w:rPr>
        <w:t>证明磋商响应标的符合磋商文件规定的文件</w:t>
      </w:r>
      <w:bookmarkEnd w:id="27"/>
      <w:bookmarkEnd w:id="28"/>
      <w:bookmarkEnd w:id="29"/>
      <w:bookmarkEnd w:id="30"/>
      <w:bookmarkEnd w:id="31"/>
      <w:bookmarkEnd w:id="32"/>
    </w:p>
    <w:p w14:paraId="2CDB9253">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10.1供应商应按照磋商文件要求提交证明文件，证明其及磋商响应标的符合磋商文件规定。</w:t>
      </w:r>
    </w:p>
    <w:p w14:paraId="28D7FF3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10.2磋商文件对证明文件无明确形式要求的，证明文件可以以文字资料、图纸和数据等形式提交。</w:t>
      </w:r>
      <w:bookmarkEnd w:id="33"/>
      <w:bookmarkEnd w:id="34"/>
    </w:p>
    <w:p w14:paraId="697B6E7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lang w:eastAsia="zh-CN"/>
          <w14:textFill>
            <w14:solidFill>
              <w14:schemeClr w14:val="tx1"/>
            </w14:solidFill>
          </w14:textFill>
        </w:rPr>
        <w:t>11.</w:t>
      </w:r>
      <w:r>
        <w:rPr>
          <w:rFonts w:hint="eastAsia" w:ascii="仿宋" w:hAnsi="仿宋" w:eastAsia="仿宋"/>
          <w:color w:val="000000" w:themeColor="text1"/>
          <w:sz w:val="24"/>
          <w:szCs w:val="24"/>
          <w:highlight w:val="none"/>
          <w14:textFill>
            <w14:solidFill>
              <w14:schemeClr w14:val="tx1"/>
            </w14:solidFill>
          </w14:textFill>
        </w:rPr>
        <w:t>分项报价表</w:t>
      </w:r>
    </w:p>
    <w:p w14:paraId="3BCA583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11.1供应商应按照磋商文件规定格式填报分项报价表。</w:t>
      </w:r>
    </w:p>
    <w:p w14:paraId="3334793E">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11.2磋商货币</w:t>
      </w:r>
      <w:r>
        <w:rPr>
          <w:rFonts w:hint="eastAsia" w:ascii="仿宋" w:hAnsi="仿宋" w:eastAsia="仿宋"/>
          <w:color w:val="000000" w:themeColor="text1"/>
          <w:sz w:val="24"/>
          <w:szCs w:val="24"/>
          <w:highlight w:val="none"/>
          <w:lang w:eastAsia="zh-CN"/>
          <w14:textFill>
            <w14:solidFill>
              <w14:schemeClr w14:val="tx1"/>
            </w14:solidFill>
          </w14:textFill>
        </w:rPr>
        <w:t>，</w:t>
      </w:r>
      <w:r>
        <w:rPr>
          <w:rFonts w:hint="eastAsia" w:ascii="仿宋" w:hAnsi="仿宋" w:eastAsia="仿宋"/>
          <w:color w:val="000000" w:themeColor="text1"/>
          <w:sz w:val="24"/>
          <w:szCs w:val="24"/>
          <w:highlight w:val="none"/>
          <w14:textFill>
            <w14:solidFill>
              <w14:schemeClr w14:val="tx1"/>
            </w14:solidFill>
          </w14:textFill>
        </w:rPr>
        <w:t>响应文件中的单价和总价无特殊规定的采用人民币报价，以元为单位标注。磋商文件中另有规定的按规定执行。</w:t>
      </w:r>
    </w:p>
    <w:p w14:paraId="3CD13A55">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bookmarkStart w:id="35" w:name="_Hlt26670482"/>
      <w:bookmarkEnd w:id="35"/>
      <w:bookmarkStart w:id="36" w:name="_Hlt26954846"/>
      <w:bookmarkEnd w:id="36"/>
      <w:bookmarkStart w:id="37" w:name="_Hlt26670486"/>
      <w:bookmarkEnd w:id="37"/>
      <w:bookmarkStart w:id="38" w:name="_Hlt26954848"/>
      <w:bookmarkEnd w:id="38"/>
      <w:bookmarkStart w:id="39" w:name="_Hlt26954731"/>
      <w:bookmarkEnd w:id="39"/>
      <w:r>
        <w:rPr>
          <w:rFonts w:hint="eastAsia" w:ascii="仿宋" w:hAnsi="仿宋" w:eastAsia="仿宋"/>
          <w:b/>
          <w:bCs/>
          <w:color w:val="000000" w:themeColor="text1"/>
          <w:sz w:val="24"/>
          <w:szCs w:val="24"/>
          <w:highlight w:val="none"/>
          <w14:textFill>
            <w14:solidFill>
              <w14:schemeClr w14:val="tx1"/>
            </w14:solidFill>
          </w14:textFill>
        </w:rPr>
        <w:t>12.技术要求响应及偏离表、商务要求响应及偏离表（如有）</w:t>
      </w:r>
    </w:p>
    <w:p w14:paraId="2669A03F">
      <w:pPr>
        <w:keepNext w:val="0"/>
        <w:keepLines w:val="0"/>
        <w:pageBreakBefore w:val="0"/>
        <w:widowControl w:val="0"/>
        <w:kinsoku/>
        <w:wordWrap/>
        <w:overflowPunct/>
        <w:topLinePunct w:val="0"/>
        <w:autoSpaceDE/>
        <w:autoSpaceDN/>
        <w:bidi w:val="0"/>
        <w:adjustRightInd/>
        <w:snapToGrid/>
        <w:spacing w:line="480" w:lineRule="exact"/>
        <w:ind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ascii="仿宋" w:hAnsi="仿宋" w:eastAsia="仿宋"/>
          <w:b/>
          <w:bCs/>
          <w:color w:val="000000" w:themeColor="text1"/>
          <w:sz w:val="24"/>
          <w:szCs w:val="24"/>
          <w:highlight w:val="none"/>
          <w14:textFill>
            <w14:solidFill>
              <w14:schemeClr w14:val="tx1"/>
            </w14:solidFill>
          </w14:textFill>
        </w:rPr>
        <w:t>1</w:t>
      </w:r>
      <w:r>
        <w:rPr>
          <w:rFonts w:hint="eastAsia" w:ascii="仿宋" w:hAnsi="仿宋" w:eastAsia="仿宋"/>
          <w:b/>
          <w:bCs/>
          <w:color w:val="000000" w:themeColor="text1"/>
          <w:sz w:val="24"/>
          <w:szCs w:val="24"/>
          <w:highlight w:val="none"/>
          <w14:textFill>
            <w14:solidFill>
              <w14:schemeClr w14:val="tx1"/>
            </w14:solidFill>
          </w14:textFill>
        </w:rPr>
        <w:t>2</w:t>
      </w:r>
      <w:r>
        <w:rPr>
          <w:rFonts w:ascii="仿宋" w:hAnsi="仿宋" w:eastAsia="仿宋"/>
          <w:b/>
          <w:bCs/>
          <w:color w:val="000000" w:themeColor="text1"/>
          <w:sz w:val="24"/>
          <w:szCs w:val="24"/>
          <w:highlight w:val="none"/>
          <w14:textFill>
            <w14:solidFill>
              <w14:schemeClr w14:val="tx1"/>
            </w14:solidFill>
          </w14:textFill>
        </w:rPr>
        <w:t>.1</w:t>
      </w:r>
      <w:r>
        <w:rPr>
          <w:rFonts w:hint="eastAsia" w:ascii="仿宋" w:hAnsi="仿宋" w:eastAsia="仿宋"/>
          <w:b/>
          <w:bCs/>
          <w:color w:val="000000" w:themeColor="text1"/>
          <w:sz w:val="24"/>
          <w:szCs w:val="24"/>
          <w:highlight w:val="none"/>
          <w14:textFill>
            <w14:solidFill>
              <w14:schemeClr w14:val="tx1"/>
            </w14:solidFill>
          </w14:textFill>
        </w:rPr>
        <w:t>供应商需对磋商文件中的技术要求与商务要求逐项作出响应或偏离，并说明原因。</w:t>
      </w:r>
    </w:p>
    <w:p w14:paraId="2ABAFD12">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12.2供应商可在响应文件中提供认为需要的其他技术文件或说明。</w:t>
      </w:r>
    </w:p>
    <w:p w14:paraId="05CE9358">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13.服务承诺、培训计划、人员安排及其他（如有）</w:t>
      </w:r>
    </w:p>
    <w:p w14:paraId="552E6E7E">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13.1供应商需根据磋商文件要求提供有关售后服务的管理制度，售后服务机构的分布情况，售后服务人员的数量、素质、技术水平及售后服务的反应能力等。</w:t>
      </w:r>
    </w:p>
    <w:p w14:paraId="5CB2A1BC">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13.2供应商需根据磋商文件要求提供培训计划。</w:t>
      </w:r>
    </w:p>
    <w:p w14:paraId="117BCBC5">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13.3供应商需根据磋商文件要求提供磋商响应标的的主要组成部分、功能设计、实现思路及关键技术等。</w:t>
      </w:r>
    </w:p>
    <w:p w14:paraId="4D4D75F0">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bookmarkStart w:id="40" w:name="_Toc49090510"/>
      <w:bookmarkStart w:id="41" w:name="_Toc14577359"/>
      <w:r>
        <w:rPr>
          <w:rFonts w:hint="eastAsia" w:ascii="仿宋" w:hAnsi="仿宋" w:eastAsia="仿宋"/>
          <w:color w:val="000000" w:themeColor="text1"/>
          <w:sz w:val="24"/>
          <w:szCs w:val="24"/>
          <w:highlight w:val="none"/>
          <w14:textFill>
            <w14:solidFill>
              <w14:schemeClr w14:val="tx1"/>
            </w14:solidFill>
          </w14:textFill>
        </w:rPr>
        <w:t>14.磋商响应函</w:t>
      </w:r>
    </w:p>
    <w:p w14:paraId="205ABE1A">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14.1供应商应按照磋商文件中提供的格式完整、正确填写磋商响应函。</w:t>
      </w:r>
      <w:bookmarkEnd w:id="40"/>
      <w:bookmarkEnd w:id="41"/>
    </w:p>
    <w:p w14:paraId="4512BE5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15.磋商有效期的延长</w:t>
      </w:r>
    </w:p>
    <w:p w14:paraId="541C70C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15.1在特殊情况下，采购人于原磋商有效期满之前，可向供应商提出延长磋商有效期的要求。这种要求与答复均应采用书面形式。供应商可以</w:t>
      </w:r>
      <w:r>
        <w:rPr>
          <w:rFonts w:hint="eastAsia" w:ascii="仿宋" w:hAnsi="仿宋" w:eastAsia="仿宋"/>
          <w:color w:val="000000" w:themeColor="text1"/>
          <w:sz w:val="24"/>
          <w:szCs w:val="24"/>
          <w:highlight w:val="none"/>
          <w:lang w:eastAsia="zh-CN"/>
          <w14:textFill>
            <w14:solidFill>
              <w14:schemeClr w14:val="tx1"/>
            </w14:solidFill>
          </w14:textFill>
        </w:rPr>
        <w:t>拒绝</w:t>
      </w:r>
      <w:r>
        <w:rPr>
          <w:rFonts w:hint="eastAsia" w:ascii="仿宋" w:hAnsi="仿宋" w:eastAsia="仿宋"/>
          <w:color w:val="000000" w:themeColor="text1"/>
          <w:sz w:val="24"/>
          <w:szCs w:val="24"/>
          <w:highlight w:val="none"/>
          <w14:textFill>
            <w14:solidFill>
              <w14:schemeClr w14:val="tx1"/>
            </w14:solidFill>
          </w14:textFill>
        </w:rPr>
        <w:t>采购人的这一要求而放弃磋商，同意延长磋商有效期的供应商既不能要求也不允许修改其响应文件。受磋商有效期约束的所有权利与义务均延长至新的有效期。</w:t>
      </w:r>
    </w:p>
    <w:p w14:paraId="37B1863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16.方案部分</w:t>
      </w:r>
    </w:p>
    <w:p w14:paraId="2EB6CFE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16.1本项目评标标准中的方案部分不采用暗标方式进行评审。</w:t>
      </w:r>
    </w:p>
    <w:p w14:paraId="6B0E0500">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17.磋商有效期</w:t>
      </w:r>
    </w:p>
    <w:p w14:paraId="2FC0A7D8">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17.1磋商有效期为从磋商之日起计算的</w:t>
      </w:r>
      <w:r>
        <w:rPr>
          <w:rFonts w:hint="eastAsia" w:ascii="仿宋" w:hAnsi="仿宋" w:eastAsia="仿宋"/>
          <w:bCs/>
          <w:color w:val="000000" w:themeColor="text1"/>
          <w:sz w:val="24"/>
          <w:szCs w:val="24"/>
          <w:highlight w:val="none"/>
          <w:lang w:val="en-US" w:eastAsia="zh-CN"/>
          <w14:textFill>
            <w14:solidFill>
              <w14:schemeClr w14:val="tx1"/>
            </w14:solidFill>
          </w14:textFill>
        </w:rPr>
        <w:t>90</w:t>
      </w:r>
      <w:r>
        <w:rPr>
          <w:rFonts w:hint="eastAsia" w:ascii="仿宋" w:hAnsi="仿宋" w:eastAsia="仿宋"/>
          <w:bCs/>
          <w:color w:val="000000" w:themeColor="text1"/>
          <w:sz w:val="24"/>
          <w:szCs w:val="24"/>
          <w:highlight w:val="none"/>
          <w14:textFill>
            <w14:solidFill>
              <w14:schemeClr w14:val="tx1"/>
            </w14:solidFill>
          </w14:textFill>
        </w:rPr>
        <w:t>天</w:t>
      </w:r>
      <w:r>
        <w:rPr>
          <w:rFonts w:hint="eastAsia" w:ascii="仿宋" w:hAnsi="仿宋" w:eastAsia="仿宋"/>
          <w:color w:val="000000" w:themeColor="text1"/>
          <w:sz w:val="24"/>
          <w:szCs w:val="24"/>
          <w:highlight w:val="none"/>
          <w14:textFill>
            <w14:solidFill>
              <w14:schemeClr w14:val="tx1"/>
            </w14:solidFill>
          </w14:textFill>
        </w:rPr>
        <w:t>。磋商有效期比规定短的将被视为</w:t>
      </w:r>
      <w:r>
        <w:rPr>
          <w:rFonts w:hint="eastAsia" w:ascii="仿宋" w:hAnsi="仿宋" w:eastAsia="仿宋" w:cs="仿宋_GB2312"/>
          <w:color w:val="000000" w:themeColor="text1"/>
          <w:sz w:val="24"/>
          <w:szCs w:val="24"/>
          <w:highlight w:val="none"/>
          <w:lang w:val="zh-CN"/>
          <w14:textFill>
            <w14:solidFill>
              <w14:schemeClr w14:val="tx1"/>
            </w14:solidFill>
          </w14:textFill>
        </w:rPr>
        <w:t>非响应磋商而予以拒绝。</w:t>
      </w:r>
    </w:p>
    <w:p w14:paraId="1BD7AEE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17.2</w:t>
      </w:r>
      <w:r>
        <w:rPr>
          <w:rFonts w:hint="eastAsia" w:ascii="仿宋" w:hAnsi="仿宋" w:eastAsia="仿宋"/>
          <w:color w:val="000000" w:themeColor="text1"/>
          <w:sz w:val="24"/>
          <w:szCs w:val="24"/>
          <w:highlight w:val="none"/>
          <w14:textFill>
            <w14:solidFill>
              <w14:schemeClr w14:val="tx1"/>
            </w14:solidFill>
          </w14:textFill>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381B7D5D">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18.响应文件的签署</w:t>
      </w:r>
    </w:p>
    <w:p w14:paraId="0BF78F6B">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18.1响应文件仅需要在供应商进行签章的位置应进行电子签章。电子响应文件不得涂改、行间插字或删除，如果出现上述情况应重新编制。</w:t>
      </w:r>
    </w:p>
    <w:p w14:paraId="57BFA6C4">
      <w:pPr>
        <w:keepNext w:val="0"/>
        <w:keepLines w:val="0"/>
        <w:pageBreakBefore w:val="0"/>
        <w:widowControl w:val="0"/>
        <w:kinsoku/>
        <w:wordWrap/>
        <w:overflowPunct/>
        <w:topLinePunct w:val="0"/>
        <w:autoSpaceDE/>
        <w:autoSpaceDN/>
        <w:bidi w:val="0"/>
        <w:adjustRightInd/>
        <w:snapToGrid/>
        <w:spacing w:line="480" w:lineRule="exact"/>
        <w:ind w:left="0" w:right="0" w:firstLine="482" w:firstLineChars="200"/>
        <w:textAlignment w:val="auto"/>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四、响应文件上传</w:t>
      </w:r>
    </w:p>
    <w:p w14:paraId="1489C4A7">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19.响应文件的上传</w:t>
      </w:r>
    </w:p>
    <w:p w14:paraId="41FF49BF">
      <w:pPr>
        <w:keepNext w:val="0"/>
        <w:keepLines w:val="0"/>
        <w:pageBreakBefore w:val="0"/>
        <w:widowControl w:val="0"/>
        <w:kinsoku/>
        <w:wordWrap/>
        <w:overflowPunct/>
        <w:topLinePunct w:val="0"/>
        <w:autoSpaceDE/>
        <w:autoSpaceDN/>
        <w:bidi w:val="0"/>
        <w:adjustRightInd/>
        <w:snapToGrid/>
        <w:spacing w:line="500" w:lineRule="exact"/>
        <w:ind w:left="0" w:right="0"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.1电子响应文件的递交供应商应当按照《操作手册》规定，在</w:t>
      </w:r>
      <w:r>
        <w:rPr>
          <w:rFonts w:hint="eastAsia" w:ascii="仿宋" w:hAnsi="仿宋" w:eastAsia="仿宋" w:cs="仿宋"/>
          <w:bCs/>
          <w:sz w:val="24"/>
          <w:highlight w:val="none"/>
          <w:lang w:eastAsia="zh-CN"/>
        </w:rPr>
        <w:t>磋商</w:t>
      </w:r>
      <w:r>
        <w:rPr>
          <w:rFonts w:hint="eastAsia" w:ascii="仿宋" w:hAnsi="仿宋" w:eastAsia="仿宋" w:cs="仿宋"/>
          <w:bCs/>
          <w:sz w:val="24"/>
          <w:highlight w:val="none"/>
        </w:rPr>
        <w:t>响应文件接收截止时间前制作并上传电子响应文件。</w:t>
      </w:r>
    </w:p>
    <w:p w14:paraId="1583FE8C">
      <w:pPr>
        <w:keepNext w:val="0"/>
        <w:keepLines w:val="0"/>
        <w:pageBreakBefore w:val="0"/>
        <w:widowControl w:val="0"/>
        <w:kinsoku/>
        <w:wordWrap/>
        <w:overflowPunct/>
        <w:topLinePunct w:val="0"/>
        <w:autoSpaceDE/>
        <w:autoSpaceDN/>
        <w:bidi w:val="0"/>
        <w:adjustRightInd/>
        <w:snapToGrid/>
        <w:spacing w:line="500" w:lineRule="exact"/>
        <w:ind w:left="0" w:right="0"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.2供应商上传的电子响应文件内容不清楚或不清晰的（含扫描件），造成无法评审或部分影响评审的，责任由供应商自负。</w:t>
      </w:r>
    </w:p>
    <w:p w14:paraId="58946769">
      <w:pPr>
        <w:keepNext w:val="0"/>
        <w:keepLines w:val="0"/>
        <w:pageBreakBefore w:val="0"/>
        <w:widowControl w:val="0"/>
        <w:kinsoku/>
        <w:wordWrap/>
        <w:overflowPunct/>
        <w:topLinePunct w:val="0"/>
        <w:autoSpaceDE/>
        <w:autoSpaceDN/>
        <w:bidi w:val="0"/>
        <w:adjustRightInd/>
        <w:snapToGrid/>
        <w:spacing w:line="500" w:lineRule="exact"/>
        <w:ind w:left="0" w:right="0"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.3供应商上传电子响应文件的时间不得迟于</w:t>
      </w:r>
      <w:r>
        <w:rPr>
          <w:rFonts w:hint="eastAsia" w:ascii="仿宋" w:hAnsi="仿宋" w:eastAsia="仿宋" w:cs="仿宋"/>
          <w:bCs/>
          <w:sz w:val="24"/>
          <w:highlight w:val="none"/>
          <w:lang w:eastAsia="zh-CN"/>
        </w:rPr>
        <w:t>磋商</w:t>
      </w:r>
      <w:r>
        <w:rPr>
          <w:rFonts w:hint="eastAsia" w:ascii="仿宋" w:hAnsi="仿宋" w:eastAsia="仿宋" w:cs="仿宋"/>
          <w:bCs/>
          <w:sz w:val="24"/>
          <w:highlight w:val="none"/>
        </w:rPr>
        <w:t>邀请中规定的截止时间。</w:t>
      </w:r>
    </w:p>
    <w:p w14:paraId="3A39181F">
      <w:pPr>
        <w:keepNext w:val="0"/>
        <w:keepLines w:val="0"/>
        <w:pageBreakBefore w:val="0"/>
        <w:widowControl w:val="0"/>
        <w:kinsoku/>
        <w:wordWrap/>
        <w:overflowPunct/>
        <w:topLinePunct w:val="0"/>
        <w:autoSpaceDE/>
        <w:autoSpaceDN/>
        <w:bidi w:val="0"/>
        <w:adjustRightInd/>
        <w:snapToGrid/>
        <w:spacing w:line="500" w:lineRule="exact"/>
        <w:ind w:left="0" w:right="0"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r>
        <w:rPr>
          <w:rFonts w:hint="eastAsia" w:ascii="仿宋" w:hAnsi="仿宋" w:eastAsia="仿宋" w:cs="仿宋"/>
          <w:bCs/>
          <w:sz w:val="24"/>
          <w:highlight w:val="none"/>
          <w:lang w:val="en-US" w:eastAsia="zh-CN"/>
        </w:rPr>
        <w:t>9</w:t>
      </w:r>
      <w:r>
        <w:rPr>
          <w:rFonts w:hint="eastAsia" w:ascii="仿宋" w:hAnsi="仿宋" w:eastAsia="仿宋" w:cs="仿宋"/>
          <w:bCs/>
          <w:sz w:val="24"/>
          <w:highlight w:val="none"/>
        </w:rPr>
        <w:t>.4采购人或代理机构可以按第</w:t>
      </w:r>
      <w:r>
        <w:rPr>
          <w:rFonts w:hint="eastAsia" w:ascii="仿宋" w:hAnsi="仿宋" w:eastAsia="仿宋" w:cs="仿宋"/>
          <w:bCs/>
          <w:sz w:val="24"/>
          <w:highlight w:val="none"/>
          <w:lang w:val="en-US" w:eastAsia="zh-CN"/>
        </w:rPr>
        <w:t>7</w:t>
      </w:r>
      <w:r>
        <w:rPr>
          <w:rFonts w:hint="eastAsia" w:ascii="仿宋" w:hAnsi="仿宋" w:eastAsia="仿宋" w:cs="仿宋"/>
          <w:bCs/>
          <w:sz w:val="24"/>
          <w:highlight w:val="none"/>
        </w:rPr>
        <w:t>条规定，通过修改</w:t>
      </w:r>
      <w:r>
        <w:rPr>
          <w:rFonts w:hint="eastAsia" w:ascii="仿宋" w:hAnsi="仿宋" w:eastAsia="仿宋" w:cs="仿宋"/>
          <w:bCs/>
          <w:sz w:val="24"/>
          <w:highlight w:val="none"/>
          <w:lang w:eastAsia="zh-CN"/>
        </w:rPr>
        <w:t>竞争性磋商</w:t>
      </w:r>
      <w:r>
        <w:rPr>
          <w:rFonts w:hint="eastAsia" w:ascii="仿宋" w:hAnsi="仿宋" w:eastAsia="仿宋" w:cs="仿宋"/>
          <w:bCs/>
          <w:sz w:val="24"/>
          <w:highlight w:val="none"/>
        </w:rPr>
        <w:t>文件有权酌情延长响应文件接收截止时间。在此情况下，供应商的所有权利和义务以及供应商受制约的截止日期均应以延长后新的截止日期为准。</w:t>
      </w:r>
    </w:p>
    <w:p w14:paraId="281B32FD">
      <w:pPr>
        <w:keepNext w:val="0"/>
        <w:keepLines w:val="0"/>
        <w:pageBreakBefore w:val="0"/>
        <w:widowControl w:val="0"/>
        <w:kinsoku/>
        <w:wordWrap/>
        <w:overflowPunct/>
        <w:topLinePunct w:val="0"/>
        <w:autoSpaceDE/>
        <w:autoSpaceDN/>
        <w:bidi w:val="0"/>
        <w:adjustRightInd/>
        <w:snapToGrid/>
        <w:spacing w:line="500" w:lineRule="exact"/>
        <w:ind w:left="0" w:right="0"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1</w:t>
      </w:r>
      <w:r>
        <w:rPr>
          <w:rFonts w:hint="eastAsia" w:ascii="仿宋" w:hAnsi="仿宋" w:eastAsia="仿宋" w:cs="仿宋"/>
          <w:b/>
          <w:bCs/>
          <w:sz w:val="24"/>
          <w:highlight w:val="none"/>
          <w:lang w:val="en-US" w:eastAsia="zh-CN"/>
        </w:rPr>
        <w:t>9</w:t>
      </w:r>
      <w:r>
        <w:rPr>
          <w:rFonts w:hint="eastAsia" w:ascii="仿宋" w:hAnsi="仿宋" w:eastAsia="仿宋" w:cs="仿宋"/>
          <w:b/>
          <w:bCs/>
          <w:sz w:val="24"/>
          <w:highlight w:val="none"/>
        </w:rPr>
        <w:t>.5成交供应商在</w:t>
      </w:r>
      <w:r>
        <w:rPr>
          <w:rFonts w:hint="eastAsia" w:ascii="仿宋" w:hAnsi="仿宋" w:eastAsia="仿宋" w:cs="仿宋"/>
          <w:b/>
          <w:bCs/>
          <w:sz w:val="24"/>
          <w:highlight w:val="none"/>
          <w:lang w:eastAsia="zh-CN"/>
        </w:rPr>
        <w:t>领取</w:t>
      </w:r>
      <w:r>
        <w:rPr>
          <w:rFonts w:hint="eastAsia" w:ascii="仿宋" w:hAnsi="仿宋" w:eastAsia="仿宋" w:cs="仿宋"/>
          <w:b/>
          <w:bCs/>
          <w:sz w:val="24"/>
          <w:highlight w:val="none"/>
        </w:rPr>
        <w:t>成交通知书</w:t>
      </w:r>
      <w:r>
        <w:rPr>
          <w:rFonts w:hint="eastAsia" w:ascii="仿宋" w:hAnsi="仿宋" w:eastAsia="仿宋" w:cs="仿宋"/>
          <w:b/>
          <w:bCs/>
          <w:sz w:val="24"/>
          <w:highlight w:val="none"/>
          <w:lang w:eastAsia="zh-CN"/>
        </w:rPr>
        <w:t>时</w:t>
      </w:r>
      <w:r>
        <w:rPr>
          <w:rFonts w:hint="eastAsia" w:ascii="仿宋" w:hAnsi="仿宋" w:eastAsia="仿宋" w:cs="仿宋"/>
          <w:b/>
          <w:bCs/>
          <w:sz w:val="24"/>
          <w:highlight w:val="none"/>
        </w:rPr>
        <w:t>，须提供</w:t>
      </w:r>
      <w:r>
        <w:rPr>
          <w:rFonts w:hint="eastAsia" w:ascii="仿宋" w:hAnsi="仿宋" w:eastAsia="仿宋" w:cs="仿宋"/>
          <w:b/>
          <w:bCs/>
          <w:sz w:val="24"/>
          <w:highlight w:val="none"/>
          <w:lang w:eastAsia="zh-CN"/>
        </w:rPr>
        <w:t>叁份</w:t>
      </w:r>
      <w:r>
        <w:rPr>
          <w:rFonts w:hint="eastAsia" w:ascii="仿宋" w:hAnsi="仿宋" w:eastAsia="仿宋" w:cs="仿宋"/>
          <w:b/>
          <w:bCs/>
          <w:sz w:val="24"/>
          <w:highlight w:val="none"/>
        </w:rPr>
        <w:t>与电子响应文件一致的纸质</w:t>
      </w:r>
      <w:r>
        <w:rPr>
          <w:rFonts w:hint="eastAsia" w:ascii="仿宋" w:hAnsi="仿宋" w:eastAsia="仿宋" w:cs="仿宋"/>
          <w:b/>
          <w:bCs/>
          <w:sz w:val="24"/>
          <w:highlight w:val="none"/>
          <w:lang w:eastAsia="zh-CN"/>
        </w:rPr>
        <w:t>响应文件并胶装</w:t>
      </w:r>
      <w:r>
        <w:rPr>
          <w:rFonts w:hint="eastAsia" w:ascii="仿宋" w:hAnsi="仿宋" w:eastAsia="仿宋" w:cs="仿宋"/>
          <w:b/>
          <w:bCs/>
          <w:sz w:val="24"/>
          <w:highlight w:val="none"/>
        </w:rPr>
        <w:t>。</w:t>
      </w:r>
    </w:p>
    <w:p w14:paraId="11329571">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20.响应文件被拒绝接收的情形</w:t>
      </w:r>
    </w:p>
    <w:p w14:paraId="44BA9C2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20.1在磋商文件规定的提交响应文件截止时间后上传的电子响应文件。</w:t>
      </w:r>
    </w:p>
    <w:p w14:paraId="74ABA31F">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bCs/>
          <w:color w:val="000000" w:themeColor="text1"/>
          <w:sz w:val="24"/>
          <w:szCs w:val="24"/>
          <w:highlight w:val="none"/>
          <w14:textFill>
            <w14:solidFill>
              <w14:schemeClr w14:val="tx1"/>
            </w14:solidFill>
          </w14:textFill>
        </w:rPr>
      </w:pPr>
      <w:r>
        <w:rPr>
          <w:rFonts w:hint="eastAsia" w:ascii="仿宋" w:hAnsi="仿宋" w:eastAsia="仿宋"/>
          <w:bCs/>
          <w:color w:val="000000" w:themeColor="text1"/>
          <w:sz w:val="24"/>
          <w:szCs w:val="24"/>
          <w:highlight w:val="none"/>
          <w14:textFill>
            <w14:solidFill>
              <w14:schemeClr w14:val="tx1"/>
            </w14:solidFill>
          </w14:textFill>
        </w:rPr>
        <w:t>21.响应文件的修改和撤回。</w:t>
      </w:r>
    </w:p>
    <w:p w14:paraId="78CC6F3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21.1供应商在上传电子响应文件后可以对其修改或撤回，但这种修改和撤回，必须在规定的磋商时间之前。</w:t>
      </w:r>
    </w:p>
    <w:p w14:paraId="7A2DAAA6">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21.2对于电子响应文件的修改，供应商可在磋商时间前登录电子交易平台撤回电子响应文件，并上传新的电子响应文件。电子响应文件以最终完成上传的为准。</w:t>
      </w:r>
    </w:p>
    <w:p w14:paraId="3349C199">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21.3供应商不得在磋商时间以后修改电子响应文件。</w:t>
      </w:r>
    </w:p>
    <w:p w14:paraId="08686602">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textAlignment w:val="auto"/>
        <w:rPr>
          <w:rFonts w:hint="eastAsia"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highlight w:val="none"/>
          <w14:textFill>
            <w14:solidFill>
              <w14:schemeClr w14:val="tx1"/>
            </w14:solidFill>
          </w14:textFill>
        </w:rPr>
        <w:t>21.4供应商不得在提交电子响应文件截止时间起至磋商有效期满前撤回电子响应文件。</w:t>
      </w:r>
    </w:p>
    <w:p w14:paraId="7B2802E4">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0" w:leftChars="0" w:right="0" w:firstLine="482" w:firstLineChars="200"/>
        <w:textAlignment w:val="auto"/>
        <w:rPr>
          <w:rFonts w:hint="eastAsia" w:ascii="仿宋" w:hAnsi="仿宋" w:eastAsia="仿宋" w:cs="仿宋"/>
          <w:b/>
          <w:bCs/>
          <w:color w:val="000000"/>
          <w:spacing w:val="0"/>
          <w:sz w:val="24"/>
          <w:szCs w:val="24"/>
          <w:highlight w:val="none"/>
        </w:rPr>
      </w:pPr>
      <w:r>
        <w:rPr>
          <w:rFonts w:hint="eastAsia" w:ascii="仿宋" w:hAnsi="仿宋" w:eastAsia="仿宋" w:cs="仿宋"/>
          <w:b/>
          <w:bCs/>
          <w:color w:val="000000"/>
          <w:spacing w:val="0"/>
          <w:sz w:val="24"/>
          <w:szCs w:val="24"/>
          <w:highlight w:val="none"/>
        </w:rPr>
        <w:t>磋商</w:t>
      </w:r>
    </w:p>
    <w:p w14:paraId="24B21F9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磋商组织</w:t>
      </w:r>
    </w:p>
    <w:p w14:paraId="4926437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.1本项目采用“苏采云全流程不见面交易”模式</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通过“苏采云政府采购一体化平台”及相应的配套硬件设备（摄像头、话筒、麦克风等）完成远程解密、公布报价、澄清等交互环节。</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将按照</w:t>
      </w: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.4的要求组织本项目的“不见面交易”活动。供应商仅需在任意地点通过登录“苏采云”系统</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进入江苏省政府采购一体化不见面开标（采购）大厅观看项目的活动组织。</w:t>
      </w:r>
    </w:p>
    <w:p w14:paraId="5C2FF89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将在采购公告中规定的时间和地点组织磋商开始仪式。供应商应当按照《操作手册》规定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参加磋商活动。</w:t>
      </w:r>
    </w:p>
    <w:p w14:paraId="3C442FCD">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.2.1供应商在磋商过程中</w:t>
      </w:r>
      <w:r>
        <w:rPr>
          <w:rFonts w:hint="eastAsia" w:ascii="仿宋" w:hAnsi="仿宋" w:eastAsia="仿宋" w:cs="仿宋"/>
          <w:bCs/>
          <w:color w:val="000000"/>
          <w:spacing w:val="0"/>
          <w:sz w:val="24"/>
          <w:szCs w:val="24"/>
          <w:highlight w:val="none"/>
          <w:lang w:eastAsia="zh-CN"/>
        </w:rPr>
        <w:t>涉及</w:t>
      </w:r>
      <w:r>
        <w:rPr>
          <w:rFonts w:hint="eastAsia" w:ascii="仿宋" w:hAnsi="仿宋" w:eastAsia="仿宋" w:cs="仿宋"/>
          <w:bCs/>
          <w:color w:val="000000"/>
          <w:spacing w:val="0"/>
          <w:sz w:val="24"/>
          <w:szCs w:val="24"/>
          <w:highlight w:val="none"/>
        </w:rPr>
        <w:t>响应文件解密等工作</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应按照《操作手册》规定执行。</w:t>
      </w:r>
    </w:p>
    <w:p w14:paraId="6AA5A7B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3磋商工作由采购人及</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负责组织</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具体磋商事务由依法组建的磋商小组负责。</w:t>
      </w:r>
    </w:p>
    <w:p w14:paraId="6E2CE5C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.3.1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磋商小组由采购人代表和评审专家共3人及以上单数组成。</w:t>
      </w:r>
    </w:p>
    <w:p w14:paraId="1769E546">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.3.2磋商小组应以科学、公正的态度参加评审工作并推荐</w:t>
      </w:r>
      <w:r>
        <w:rPr>
          <w:rFonts w:hint="eastAsia" w:ascii="仿宋" w:hAnsi="仿宋" w:eastAsia="仿宋" w:cs="仿宋"/>
          <w:bCs/>
          <w:color w:val="000000"/>
          <w:spacing w:val="0"/>
          <w:sz w:val="24"/>
          <w:szCs w:val="24"/>
          <w:highlight w:val="none"/>
          <w:lang w:eastAsia="zh-CN"/>
        </w:rPr>
        <w:t>成交候选供应商</w:t>
      </w:r>
      <w:r>
        <w:rPr>
          <w:rFonts w:hint="eastAsia" w:ascii="仿宋" w:hAnsi="仿宋" w:eastAsia="仿宋" w:cs="仿宋"/>
          <w:bCs/>
          <w:color w:val="000000"/>
          <w:spacing w:val="0"/>
          <w:sz w:val="24"/>
          <w:szCs w:val="24"/>
          <w:highlight w:val="none"/>
        </w:rPr>
        <w:t>。磋商小组在评审过程中不受任何干扰</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独立、负责地提出评审意见</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并对自己的评审意见承担责任。</w:t>
      </w:r>
    </w:p>
    <w:p w14:paraId="04FCE95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.3.3</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磋商小组应对供应商的商业、技术秘密予以保密。</w:t>
      </w:r>
    </w:p>
    <w:p w14:paraId="38A69EA2">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苏采云全流程不见面交易采购说明</w:t>
      </w:r>
    </w:p>
    <w:p w14:paraId="4C4F6A1C">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.4.1由于“苏采云政府采购一体化平台”自身原因导致项目不能正常进行的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项目作废标处理。</w:t>
      </w:r>
    </w:p>
    <w:p w14:paraId="45ACA73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本项目中的时间均以国家授时中心发布的时间为准。</w:t>
      </w:r>
    </w:p>
    <w:p w14:paraId="5A4C2F5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.4.3本项目的下载文件、上传响应文件均通过互联网操作</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请供应商充分考虑网络拥堵及平台操作所需时间等因素。因供应商自身原因导致操作失败的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其责任自负。</w:t>
      </w:r>
    </w:p>
    <w:p w14:paraId="48648E4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.4.4本项目响应文件的编制使用“苏采云政府采购一体化平台”客户端</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供应商响应文件的编制和上传</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应按照磋商文件的规定进行。如未按磋商文件要求编制、上传电子响应文件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将可能作无效响应文件处理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其后果由供应商自负。供应商如对正确使用“苏采云政府采购一体化平台”客户端有疑问的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请与软件公司技术人员联系。</w:t>
      </w:r>
    </w:p>
    <w:p w14:paraId="6F24BE5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.4.5“苏采云全流程不见面交易”活动当日</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供应商不必抵达现场</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仅需在任意地点登录“苏采云政府采购一体化平台”</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进入江苏省政府采购一体化不见面开标（采购）大厅观看项目的活动组织。为保障供应商权益以及避免围标串标的情况</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供应商必须</w:t>
      </w:r>
      <w:r>
        <w:rPr>
          <w:rFonts w:hint="eastAsia" w:ascii="仿宋" w:hAnsi="仿宋" w:eastAsia="仿宋" w:cs="仿宋"/>
          <w:bCs/>
          <w:color w:val="000000"/>
          <w:spacing w:val="0"/>
          <w:sz w:val="24"/>
          <w:szCs w:val="24"/>
          <w:highlight w:val="none"/>
          <w:lang w:eastAsia="zh-CN"/>
        </w:rPr>
        <w:t>持</w:t>
      </w:r>
      <w:r>
        <w:rPr>
          <w:rFonts w:hint="eastAsia" w:ascii="仿宋" w:hAnsi="仿宋" w:eastAsia="仿宋" w:cs="仿宋"/>
          <w:bCs/>
          <w:color w:val="000000"/>
          <w:spacing w:val="0"/>
          <w:sz w:val="24"/>
          <w:szCs w:val="24"/>
          <w:highlight w:val="none"/>
        </w:rPr>
        <w:t>CA锁登录“苏采云政府采购一体化平台”。具体操作详见《操作手册》。</w:t>
      </w:r>
    </w:p>
    <w:p w14:paraId="16E2324D">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.4.6电子响应文件开启时间前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各供应商的授权委托人或法人代表提前进入江苏省政府采购一体化不见面开标（采购）大厅</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根据操作手册验证CA与签章是否正常</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以免影响响应文件的解密。</w:t>
      </w:r>
    </w:p>
    <w:p w14:paraId="2A98A02B">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.4.7电子响应文件开启后</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将在江苏省政府采购一体化不见面开标（采购）大厅内公布供应商名单</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然后通过大厅操作区发出响应文件解密的指令</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供应商在各自地点按规定时间自行实施远程解密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供应商解密限定在主持人发布解密指令后系统规定时间内完成。因供应商网络与电源不稳定、未按《操作手册》要求配置软硬件、解密CA锁发生故障或用错、故意不在要求时限内完成解密等自身原因</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导致响应文件在规定时间内未能解密、解密失败或解密超时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作无效响应文件处理。因“苏采云政府采购一体化平台”发生故障</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导致无法按时完成响应文件解密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可根据实际情况相应延迟解密时间。本项目在限定的解密时间内</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只要有任一家供应商解密成功</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即视为“苏采云政府采购一体化平台”运行无故障。</w:t>
      </w:r>
    </w:p>
    <w:p w14:paraId="13D6F4A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.4.8活动全过程中</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供应商参与澄清、说明、补正、远程交互的授权委托人或法人代表应始终为同一个人</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中途不得更换</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在澄清、说明、补正、异议提出等特殊情况下需要交互时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供应商一端参与交互的人员将均被视为供应商的授权委托人或法人代表</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供应商不得以不承认交互人员的资格或身份等为借口抵赖推脱</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供应商自行承担随意更换人员所导致的一切后果。</w:t>
      </w:r>
    </w:p>
    <w:p w14:paraId="21F698F0">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.4.9为顺利实现本项目不见面交易活动组织的远程交互</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建议供应商配置相关软硬件设施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具体包括</w:t>
      </w:r>
      <w:r>
        <w:rPr>
          <w:rFonts w:hint="eastAsia" w:ascii="仿宋" w:hAnsi="仿宋" w:eastAsia="仿宋" w:cs="仿宋"/>
          <w:bCs/>
          <w:color w:val="000000"/>
          <w:spacing w:val="0"/>
          <w:sz w:val="24"/>
          <w:szCs w:val="24"/>
          <w:highlight w:val="none"/>
          <w:lang w:eastAsia="zh-CN"/>
        </w:rPr>
        <w:t>：</w:t>
      </w:r>
    </w:p>
    <w:p w14:paraId="729EC0E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.4.9.1谷歌浏览器或360安全浏览器</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同时必须安装“苏采云政府采购一体化平台”客户端所要求的驱动。</w:t>
      </w:r>
    </w:p>
    <w:p w14:paraId="3485EA0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.4.9.2硬件设施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高配置电脑（内存4G以上</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建议屏幕分辨率</w:t>
      </w:r>
      <w:r>
        <w:rPr>
          <w:rFonts w:hint="eastAsia" w:ascii="仿宋" w:hAnsi="仿宋" w:eastAsia="仿宋" w:cs="仿宋"/>
          <w:bCs/>
          <w:color w:val="000000"/>
          <w:spacing w:val="0"/>
          <w:sz w:val="24"/>
          <w:szCs w:val="24"/>
          <w:highlight w:val="none"/>
          <w:lang w:eastAsia="zh-CN"/>
        </w:rPr>
        <w:t>为</w:t>
      </w:r>
      <w:r>
        <w:rPr>
          <w:rFonts w:hint="eastAsia" w:ascii="仿宋" w:hAnsi="仿宋" w:eastAsia="仿宋" w:cs="仿宋"/>
          <w:bCs/>
          <w:color w:val="000000"/>
          <w:spacing w:val="0"/>
          <w:sz w:val="24"/>
          <w:szCs w:val="24"/>
          <w:highlight w:val="none"/>
        </w:rPr>
        <w:t>1024*768像素或以上</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不要使用上网本）、高速稳定的网络、CA锁、音视频设备［话筒、耳麦、高清摄像头（支持分辨率720P及以上）、音响］等。</w:t>
      </w:r>
    </w:p>
    <w:p w14:paraId="7EE5ECB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.4.9.3为保证交互效果</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要求供应商按上述要求配置相关软硬件并选择封闭安静的地点参与远程交互。因供应商自身软硬件配备不齐全或发生故障等问题而导致在交互过程中出现不稳定或中断等情况的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由供应商自身承担一切后果。</w:t>
      </w:r>
    </w:p>
    <w:p w14:paraId="6641B2A1">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22</w:t>
      </w:r>
      <w:r>
        <w:rPr>
          <w:rFonts w:hint="eastAsia" w:ascii="仿宋" w:hAnsi="仿宋" w:eastAsia="仿宋" w:cs="仿宋"/>
          <w:bCs/>
          <w:color w:val="000000"/>
          <w:spacing w:val="0"/>
          <w:sz w:val="24"/>
          <w:szCs w:val="24"/>
          <w:highlight w:val="none"/>
        </w:rPr>
        <w:t>.4.10供应商在制作上传电子响应文件、观看活动组织、响应文件解密等技术方面遇到问题时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请与软件公司技术人员咨询</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联系电话</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0519-86722802</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18019691765。</w:t>
      </w:r>
    </w:p>
    <w:p w14:paraId="5FD5557D">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bookmarkStart w:id="42" w:name="_Toc19397"/>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.磋商程序</w:t>
      </w:r>
      <w:bookmarkEnd w:id="42"/>
    </w:p>
    <w:p w14:paraId="07BF000C">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响应文件的资格审查</w:t>
      </w:r>
    </w:p>
    <w:p w14:paraId="72F23548">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.1.1</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磋商小组依法对供应商的资格进行审查。</w:t>
      </w:r>
    </w:p>
    <w:p w14:paraId="61EA8A0F">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.1.1.1资格性审查</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依据法律法规和磋商文件的规定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对响应文件中的资格证明文件进行审查</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以确定供应商是否具备磋商资格。</w:t>
      </w:r>
    </w:p>
    <w:p w14:paraId="55766B12">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.1.1.2在进行资格性审查的同时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将在“信用中国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中国政府采购网”网站对供应商是否被列入失信被执行人、重大税收违法案件当事人名单、政府采购严重违法失信行为记录名单的情况进行查询</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以确定供应商是否具备磋商资格。</w:t>
      </w:r>
    </w:p>
    <w:p w14:paraId="0AD2CABA">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.1.1.3响应文件有下列情况之一的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在资格性审查时按照无效响应文件处理</w:t>
      </w:r>
      <w:r>
        <w:rPr>
          <w:rFonts w:hint="eastAsia" w:ascii="仿宋" w:hAnsi="仿宋" w:eastAsia="仿宋" w:cs="仿宋"/>
          <w:bCs/>
          <w:color w:val="000000"/>
          <w:spacing w:val="0"/>
          <w:sz w:val="24"/>
          <w:szCs w:val="24"/>
          <w:highlight w:val="none"/>
          <w:lang w:eastAsia="zh-CN"/>
        </w:rPr>
        <w:t>：</w:t>
      </w:r>
    </w:p>
    <w:p w14:paraId="5616883C">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（1）不具备磋商文件中规定的资格要求的；</w:t>
      </w:r>
    </w:p>
    <w:p w14:paraId="4016A4D3">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（2）供应商被“信用中国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中国政府采购网”网站列入失信被执行人、重大税收违法案件当事人名单、政府采购严重违法失信行为记录名单。</w:t>
      </w:r>
    </w:p>
    <w:p w14:paraId="13E4E772">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.2响应文件的符合性审查</w:t>
      </w:r>
    </w:p>
    <w:p w14:paraId="6F2CA8F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.2.1磋商小组对响应文件的有效性、完整性和对磋商文件的响应程度进行审查</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以确定是否对磋商文件的实质性要求作出响应。</w:t>
      </w:r>
    </w:p>
    <w:p w14:paraId="5498418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.2.2实质性响应是指响应文件与磋商文件要求的全部条款、条件和要求相符</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而没有重大偏离或保留。重大偏离或保留系指影响到磋商文件规定的供货期、供货范围、质量和性能；或者在实质上与磋商文件不一致</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或限制了采购人的</w:t>
      </w:r>
      <w:r>
        <w:rPr>
          <w:rFonts w:hint="eastAsia" w:ascii="仿宋" w:hAnsi="仿宋" w:eastAsia="仿宋" w:cs="仿宋"/>
          <w:bCs/>
          <w:color w:val="000000"/>
          <w:spacing w:val="0"/>
          <w:sz w:val="24"/>
          <w:szCs w:val="24"/>
          <w:highlight w:val="none"/>
          <w:lang w:eastAsia="zh-CN"/>
        </w:rPr>
        <w:t>权利</w:t>
      </w:r>
      <w:r>
        <w:rPr>
          <w:rFonts w:hint="eastAsia" w:ascii="仿宋" w:hAnsi="仿宋" w:eastAsia="仿宋" w:cs="仿宋"/>
          <w:bCs/>
          <w:color w:val="000000"/>
          <w:spacing w:val="0"/>
          <w:sz w:val="24"/>
          <w:szCs w:val="24"/>
          <w:highlight w:val="none"/>
        </w:rPr>
        <w:t>和供应商的义务</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而纠正这些偏离将会对其他提交了实质性响应文件的供应商的竞争地位产生不公正的影响。重大负偏离的认定必须经磋商小组三分之二以上（含）成员同意。磋商小组判断响应文件的响应性只根据响应文件本身的内容</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而不寻求外部的证据。</w:t>
      </w:r>
    </w:p>
    <w:p w14:paraId="305BA35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.2.3如果响应文件没有实质上响应磋商文件的要求</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磋商小组将予以拒绝。</w:t>
      </w:r>
    </w:p>
    <w:p w14:paraId="4D8187D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.2.4磋商小组将对确定为实质性响应的响应文件进行进一步初审</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看其是否有计算上或累加上的算术错误</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修正原则如下</w:t>
      </w:r>
      <w:r>
        <w:rPr>
          <w:rFonts w:hint="eastAsia" w:ascii="仿宋" w:hAnsi="仿宋" w:eastAsia="仿宋" w:cs="仿宋"/>
          <w:bCs/>
          <w:color w:val="000000"/>
          <w:spacing w:val="0"/>
          <w:sz w:val="24"/>
          <w:szCs w:val="24"/>
          <w:highlight w:val="none"/>
          <w:lang w:eastAsia="zh-CN"/>
        </w:rPr>
        <w:t>：</w:t>
      </w:r>
    </w:p>
    <w:p w14:paraId="50A3DAFA">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（1）大写金额和小写金额不一致的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以大写金额为准</w:t>
      </w:r>
      <w:r>
        <w:rPr>
          <w:rFonts w:hint="eastAsia" w:ascii="仿宋" w:hAnsi="仿宋" w:eastAsia="仿宋" w:cs="仿宋"/>
          <w:bCs/>
          <w:color w:val="000000"/>
          <w:spacing w:val="0"/>
          <w:sz w:val="24"/>
          <w:szCs w:val="24"/>
          <w:highlight w:val="none"/>
          <w:lang w:eastAsia="zh-CN"/>
        </w:rPr>
        <w:t>。</w:t>
      </w:r>
    </w:p>
    <w:p w14:paraId="34526770">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（2）总价金额与按单价汇总金额不一致的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以单价金额计算结果为准。</w:t>
      </w:r>
    </w:p>
    <w:p w14:paraId="13F01B65">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（3）单价金额小数点有明显错位的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以总价为准并修改单价。</w:t>
      </w:r>
    </w:p>
    <w:p w14:paraId="5413F631">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同时出现两种以上错误的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按照前款规定的顺序修正。</w:t>
      </w:r>
    </w:p>
    <w:p w14:paraId="1673D817">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磋商小组将按上述修正错误的方法调整响应文件中的磋商报价</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调整后的价格应对供应商具有约束力。如果供应商不同意修正的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其响应文件无效。</w:t>
      </w:r>
    </w:p>
    <w:p w14:paraId="6D3E1579">
      <w:pPr>
        <w:keepNext w:val="0"/>
        <w:keepLines w:val="0"/>
        <w:pageBreakBefore w:val="0"/>
        <w:widowControl w:val="0"/>
        <w:kinsoku/>
        <w:wordWrap w:val="0"/>
        <w:overflowPunct/>
        <w:topLinePunct w:val="0"/>
        <w:autoSpaceDE/>
        <w:autoSpaceDN/>
        <w:bidi w:val="0"/>
        <w:adjustRightInd/>
        <w:snapToGrid/>
        <w:spacing w:line="500" w:lineRule="exact"/>
        <w:ind w:right="0" w:firstLine="482" w:firstLineChars="200"/>
        <w:textAlignment w:val="auto"/>
        <w:rPr>
          <w:rFonts w:hint="eastAsia" w:ascii="仿宋" w:hAnsi="仿宋" w:eastAsia="仿宋" w:cs="仿宋"/>
          <w:b/>
          <w:bCs w:val="0"/>
          <w:color w:val="000000"/>
          <w:spacing w:val="0"/>
          <w:sz w:val="24"/>
          <w:szCs w:val="24"/>
          <w:highlight w:val="none"/>
        </w:rPr>
      </w:pPr>
      <w:r>
        <w:rPr>
          <w:rFonts w:hint="eastAsia" w:ascii="仿宋" w:hAnsi="仿宋" w:eastAsia="仿宋" w:cs="仿宋"/>
          <w:b/>
          <w:bCs w:val="0"/>
          <w:color w:val="000000"/>
          <w:spacing w:val="0"/>
          <w:sz w:val="24"/>
          <w:szCs w:val="24"/>
          <w:highlight w:val="none"/>
          <w:lang w:val="en-US" w:eastAsia="zh-CN"/>
        </w:rPr>
        <w:t>23</w:t>
      </w:r>
      <w:r>
        <w:rPr>
          <w:rFonts w:hint="eastAsia" w:ascii="仿宋" w:hAnsi="仿宋" w:eastAsia="仿宋" w:cs="仿宋"/>
          <w:b/>
          <w:bCs w:val="0"/>
          <w:color w:val="000000"/>
          <w:spacing w:val="0"/>
          <w:sz w:val="24"/>
          <w:szCs w:val="24"/>
          <w:highlight w:val="none"/>
        </w:rPr>
        <w:t>.3磋商小组通过“苏采云政府采购一体化平台”与单一供应商以视频等方式分别进行磋商</w:t>
      </w:r>
      <w:r>
        <w:rPr>
          <w:rFonts w:hint="eastAsia" w:ascii="仿宋" w:hAnsi="仿宋" w:eastAsia="仿宋" w:cs="仿宋"/>
          <w:b/>
          <w:bCs w:val="0"/>
          <w:color w:val="000000"/>
          <w:spacing w:val="0"/>
          <w:sz w:val="24"/>
          <w:szCs w:val="24"/>
          <w:highlight w:val="none"/>
          <w:lang w:eastAsia="zh-CN"/>
        </w:rPr>
        <w:t>，</w:t>
      </w:r>
      <w:r>
        <w:rPr>
          <w:rFonts w:hint="eastAsia" w:ascii="仿宋" w:hAnsi="仿宋" w:eastAsia="仿宋" w:cs="仿宋"/>
          <w:b/>
          <w:bCs w:val="0"/>
          <w:color w:val="000000"/>
          <w:spacing w:val="0"/>
          <w:sz w:val="24"/>
          <w:szCs w:val="24"/>
          <w:highlight w:val="none"/>
        </w:rPr>
        <w:t>并给予所有参加磋商的供应商平等的磋商机会。磋商可以是多轮次进行。</w:t>
      </w:r>
    </w:p>
    <w:p w14:paraId="7A896822">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.3.1在视频单一磋商时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磋商小组首先会核实授权委托人或</w:t>
      </w:r>
      <w:r>
        <w:rPr>
          <w:rFonts w:hint="eastAsia" w:ascii="仿宋" w:hAnsi="仿宋" w:eastAsia="仿宋" w:cs="仿宋"/>
          <w:bCs/>
          <w:color w:val="000000"/>
          <w:spacing w:val="0"/>
          <w:sz w:val="24"/>
          <w:szCs w:val="24"/>
          <w:highlight w:val="none"/>
          <w:lang w:eastAsia="zh-CN"/>
        </w:rPr>
        <w:t>法定代表人</w:t>
      </w:r>
      <w:r>
        <w:rPr>
          <w:rFonts w:hint="eastAsia" w:ascii="仿宋" w:hAnsi="仿宋" w:eastAsia="仿宋" w:cs="仿宋"/>
          <w:bCs/>
          <w:color w:val="000000"/>
          <w:spacing w:val="0"/>
          <w:sz w:val="24"/>
          <w:szCs w:val="24"/>
          <w:highlight w:val="none"/>
        </w:rPr>
        <w:t>的身份信息</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如身份信息不符视同供应商放弃磋商的权利。</w:t>
      </w:r>
    </w:p>
    <w:p w14:paraId="74D372B7">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rPr>
          <w:rFonts w:hint="eastAsia" w:ascii="仿宋" w:hAnsi="仿宋" w:eastAsia="仿宋" w:cs="仿宋"/>
          <w:b/>
          <w:color w:val="000000"/>
          <w:spacing w:val="0"/>
          <w:sz w:val="24"/>
          <w:szCs w:val="24"/>
          <w:highlight w:val="none"/>
        </w:rPr>
      </w:pPr>
      <w:r>
        <w:rPr>
          <w:rFonts w:hint="eastAsia" w:ascii="仿宋" w:hAnsi="仿宋" w:eastAsia="仿宋" w:cs="仿宋"/>
          <w:b/>
          <w:bCs w:val="0"/>
          <w:color w:val="000000"/>
          <w:spacing w:val="0"/>
          <w:sz w:val="24"/>
          <w:szCs w:val="24"/>
          <w:highlight w:val="none"/>
          <w:lang w:val="en-US" w:eastAsia="zh-CN"/>
        </w:rPr>
        <w:t>23</w:t>
      </w:r>
      <w:r>
        <w:rPr>
          <w:rFonts w:hint="eastAsia" w:ascii="仿宋" w:hAnsi="仿宋" w:eastAsia="仿宋" w:cs="仿宋"/>
          <w:b/>
          <w:bCs w:val="0"/>
          <w:color w:val="000000"/>
          <w:spacing w:val="0"/>
          <w:sz w:val="24"/>
          <w:szCs w:val="24"/>
          <w:highlight w:val="none"/>
        </w:rPr>
        <w:t>.3.</w:t>
      </w:r>
      <w:r>
        <w:rPr>
          <w:rFonts w:hint="eastAsia" w:ascii="仿宋" w:hAnsi="仿宋" w:eastAsia="仿宋" w:cs="仿宋"/>
          <w:b/>
          <w:color w:val="000000"/>
          <w:spacing w:val="0"/>
          <w:sz w:val="24"/>
          <w:szCs w:val="24"/>
          <w:highlight w:val="none"/>
        </w:rPr>
        <w:t>2磋商小组发起磋商邀请后供应商未及时响应</w:t>
      </w:r>
      <w:r>
        <w:rPr>
          <w:rFonts w:hint="eastAsia" w:ascii="仿宋" w:hAnsi="仿宋" w:eastAsia="仿宋" w:cs="仿宋"/>
          <w:b/>
          <w:color w:val="000000"/>
          <w:spacing w:val="0"/>
          <w:sz w:val="24"/>
          <w:szCs w:val="24"/>
          <w:highlight w:val="none"/>
          <w:lang w:eastAsia="zh-CN"/>
        </w:rPr>
        <w:t>，</w:t>
      </w:r>
      <w:r>
        <w:rPr>
          <w:rFonts w:hint="eastAsia" w:ascii="仿宋" w:hAnsi="仿宋" w:eastAsia="仿宋" w:cs="仿宋"/>
          <w:b/>
          <w:color w:val="000000"/>
          <w:spacing w:val="0"/>
          <w:sz w:val="24"/>
          <w:szCs w:val="24"/>
          <w:highlight w:val="none"/>
        </w:rPr>
        <w:t>磋商小组继续和下一家供应商进行磋商</w:t>
      </w:r>
      <w:r>
        <w:rPr>
          <w:rFonts w:hint="eastAsia" w:ascii="仿宋" w:hAnsi="仿宋" w:eastAsia="仿宋" w:cs="仿宋"/>
          <w:b/>
          <w:color w:val="000000"/>
          <w:spacing w:val="0"/>
          <w:sz w:val="24"/>
          <w:szCs w:val="24"/>
          <w:highlight w:val="none"/>
          <w:lang w:eastAsia="zh-CN"/>
        </w:rPr>
        <w:t>，</w:t>
      </w:r>
      <w:r>
        <w:rPr>
          <w:rFonts w:hint="eastAsia" w:ascii="仿宋" w:hAnsi="仿宋" w:eastAsia="仿宋" w:cs="仿宋"/>
          <w:b/>
          <w:color w:val="000000"/>
          <w:spacing w:val="0"/>
          <w:sz w:val="24"/>
          <w:szCs w:val="24"/>
          <w:highlight w:val="none"/>
        </w:rPr>
        <w:t>未及时响应磋商邀请的供应商在磋商小组与其他所有供应商单一磋商结束前可以主动发起磋商申请</w:t>
      </w:r>
      <w:r>
        <w:rPr>
          <w:rFonts w:hint="eastAsia" w:ascii="仿宋" w:hAnsi="仿宋" w:eastAsia="仿宋" w:cs="仿宋"/>
          <w:b/>
          <w:color w:val="000000"/>
          <w:spacing w:val="0"/>
          <w:sz w:val="24"/>
          <w:szCs w:val="24"/>
          <w:highlight w:val="none"/>
          <w:lang w:eastAsia="zh-CN"/>
        </w:rPr>
        <w:t>，</w:t>
      </w:r>
      <w:r>
        <w:rPr>
          <w:rFonts w:hint="eastAsia" w:ascii="仿宋" w:hAnsi="仿宋" w:eastAsia="仿宋" w:cs="仿宋"/>
          <w:b/>
          <w:color w:val="000000"/>
          <w:spacing w:val="0"/>
          <w:sz w:val="24"/>
          <w:szCs w:val="24"/>
          <w:highlight w:val="none"/>
        </w:rPr>
        <w:t>磋商小组在收到磋商申请后将和供应商进行单一磋商</w:t>
      </w:r>
      <w:r>
        <w:rPr>
          <w:rFonts w:hint="eastAsia" w:ascii="仿宋" w:hAnsi="仿宋" w:eastAsia="仿宋" w:cs="仿宋"/>
          <w:b/>
          <w:color w:val="000000"/>
          <w:spacing w:val="0"/>
          <w:sz w:val="24"/>
          <w:szCs w:val="24"/>
          <w:highlight w:val="none"/>
          <w:lang w:eastAsia="zh-CN"/>
        </w:rPr>
        <w:t>，</w:t>
      </w:r>
      <w:r>
        <w:rPr>
          <w:rFonts w:hint="eastAsia" w:ascii="仿宋" w:hAnsi="仿宋" w:eastAsia="仿宋" w:cs="仿宋"/>
          <w:b/>
          <w:color w:val="000000"/>
          <w:spacing w:val="0"/>
          <w:sz w:val="24"/>
          <w:szCs w:val="24"/>
          <w:highlight w:val="none"/>
        </w:rPr>
        <w:t>未及时响应磋商邀请的供应商未能在磋商小组与其他所有供应商单一磋商结束前发起磋商申请的将视同供应商放弃磋商的权利。</w:t>
      </w:r>
    </w:p>
    <w:p w14:paraId="576988E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.4磋商过程中</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磋商小组根据磋商文件和磋商情况可能实质性变动采购需求中的技术、服务要求以及合同草案条款。实质性变动是磋商文件的有效组成部分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磋商小组将以电子文件形式通知所有参加磋商的供应商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所有参加磋商的供应商必须电子签章确认（在规定时间内未进行确认的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视同其默认）。</w:t>
      </w:r>
    </w:p>
    <w:p w14:paraId="18B54A6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.5磋商中</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磋商的任何一方不得透露与磋商有关的其他参加供应商的技术资料、价格和其他信息。如果参加供应商试图向</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和磋商小组人员施加任何影响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都将会导致其磋商被拒绝。</w:t>
      </w:r>
    </w:p>
    <w:p w14:paraId="66BE218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.6</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响应文件的澄清</w:t>
      </w:r>
    </w:p>
    <w:p w14:paraId="744962F2">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.6.1在磋商期间</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为有助于对响应文件的审查、评价和比较</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val="0"/>
          <w:bCs w:val="0"/>
          <w:color w:val="000000"/>
          <w:spacing w:val="0"/>
          <w:sz w:val="24"/>
          <w:szCs w:val="24"/>
          <w:highlight w:val="none"/>
        </w:rPr>
        <w:t>（在视频等方式交流时</w:t>
      </w:r>
      <w:r>
        <w:rPr>
          <w:rFonts w:hint="eastAsia" w:ascii="仿宋" w:hAnsi="仿宋" w:eastAsia="仿宋" w:cs="仿宋"/>
          <w:b w:val="0"/>
          <w:bCs w:val="0"/>
          <w:color w:val="000000"/>
          <w:spacing w:val="0"/>
          <w:sz w:val="24"/>
          <w:szCs w:val="24"/>
          <w:highlight w:val="none"/>
          <w:lang w:eastAsia="zh-CN"/>
        </w:rPr>
        <w:t>，</w:t>
      </w:r>
      <w:r>
        <w:rPr>
          <w:rFonts w:hint="eastAsia" w:ascii="仿宋" w:hAnsi="仿宋" w:eastAsia="仿宋" w:cs="仿宋"/>
          <w:b w:val="0"/>
          <w:bCs w:val="0"/>
          <w:color w:val="000000"/>
          <w:spacing w:val="0"/>
          <w:sz w:val="24"/>
          <w:szCs w:val="24"/>
          <w:highlight w:val="none"/>
        </w:rPr>
        <w:t>磋商小组首先会核实授权委托人或</w:t>
      </w:r>
      <w:r>
        <w:rPr>
          <w:rFonts w:hint="eastAsia" w:ascii="仿宋" w:hAnsi="仿宋" w:eastAsia="仿宋" w:cs="仿宋"/>
          <w:b w:val="0"/>
          <w:bCs w:val="0"/>
          <w:color w:val="000000"/>
          <w:spacing w:val="0"/>
          <w:sz w:val="24"/>
          <w:szCs w:val="24"/>
          <w:highlight w:val="none"/>
          <w:lang w:eastAsia="zh-CN"/>
        </w:rPr>
        <w:t>法定代表人</w:t>
      </w:r>
      <w:r>
        <w:rPr>
          <w:rFonts w:hint="eastAsia" w:ascii="仿宋" w:hAnsi="仿宋" w:eastAsia="仿宋" w:cs="仿宋"/>
          <w:b w:val="0"/>
          <w:bCs w:val="0"/>
          <w:color w:val="000000"/>
          <w:spacing w:val="0"/>
          <w:sz w:val="24"/>
          <w:szCs w:val="24"/>
          <w:highlight w:val="none"/>
        </w:rPr>
        <w:t>的身份信息</w:t>
      </w:r>
      <w:r>
        <w:rPr>
          <w:rFonts w:hint="eastAsia" w:ascii="仿宋" w:hAnsi="仿宋" w:eastAsia="仿宋" w:cs="仿宋"/>
          <w:b w:val="0"/>
          <w:bCs w:val="0"/>
          <w:color w:val="000000"/>
          <w:spacing w:val="0"/>
          <w:sz w:val="24"/>
          <w:szCs w:val="24"/>
          <w:highlight w:val="none"/>
          <w:lang w:eastAsia="zh-CN"/>
        </w:rPr>
        <w:t>，</w:t>
      </w:r>
      <w:r>
        <w:rPr>
          <w:rFonts w:hint="eastAsia" w:ascii="仿宋" w:hAnsi="仿宋" w:eastAsia="仿宋" w:cs="仿宋"/>
          <w:b w:val="0"/>
          <w:bCs w:val="0"/>
          <w:color w:val="000000"/>
          <w:spacing w:val="0"/>
          <w:sz w:val="24"/>
          <w:szCs w:val="24"/>
          <w:highlight w:val="none"/>
        </w:rPr>
        <w:t>如身份信息不符或者供应商在磋商小组发起澄清邀请后未能及时响应的</w:t>
      </w:r>
      <w:r>
        <w:rPr>
          <w:rFonts w:hint="eastAsia" w:ascii="仿宋" w:hAnsi="仿宋" w:eastAsia="仿宋" w:cs="仿宋"/>
          <w:b w:val="0"/>
          <w:bCs w:val="0"/>
          <w:color w:val="000000"/>
          <w:spacing w:val="0"/>
          <w:sz w:val="24"/>
          <w:szCs w:val="24"/>
          <w:highlight w:val="none"/>
          <w:lang w:eastAsia="zh-CN"/>
        </w:rPr>
        <w:t>，</w:t>
      </w:r>
      <w:r>
        <w:rPr>
          <w:rFonts w:hint="eastAsia" w:ascii="仿宋" w:hAnsi="仿宋" w:eastAsia="仿宋" w:cs="仿宋"/>
          <w:b w:val="0"/>
          <w:bCs w:val="0"/>
          <w:color w:val="000000"/>
          <w:spacing w:val="0"/>
          <w:sz w:val="24"/>
          <w:szCs w:val="24"/>
          <w:highlight w:val="none"/>
        </w:rPr>
        <w:t>则视同供应商放弃澄清、说明或者补正的权利）</w:t>
      </w:r>
      <w:r>
        <w:rPr>
          <w:rFonts w:hint="eastAsia" w:ascii="仿宋" w:hAnsi="仿宋" w:eastAsia="仿宋" w:cs="仿宋"/>
          <w:bCs/>
          <w:color w:val="000000"/>
          <w:spacing w:val="0"/>
          <w:sz w:val="24"/>
          <w:szCs w:val="24"/>
          <w:highlight w:val="none"/>
        </w:rPr>
        <w:t>。供应商的澄清要通过“苏采云政府采购一体化平台”向磋商小组进行澄清回复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同时必须将澄清内容形成电子文件加盖电子签章通过“苏采云政府采购一体化平台”上传。</w:t>
      </w:r>
    </w:p>
    <w:p w14:paraId="3E3CC81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.6.2接到磋商小组澄清要求的供应商如未按第</w:t>
      </w: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Cs/>
          <w:color w:val="000000"/>
          <w:spacing w:val="0"/>
          <w:sz w:val="24"/>
          <w:szCs w:val="24"/>
          <w:highlight w:val="none"/>
        </w:rPr>
        <w:t>.6.1的规定作出澄清的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将视为放弃该澄清权利。</w:t>
      </w:r>
    </w:p>
    <w:p w14:paraId="77E77D8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b/>
          <w:bCs/>
          <w:color w:val="000000"/>
          <w:spacing w:val="0"/>
          <w:sz w:val="24"/>
          <w:szCs w:val="24"/>
          <w:highlight w:val="none"/>
        </w:rPr>
        <w:t>.7</w:t>
      </w:r>
      <w:r>
        <w:rPr>
          <w:rFonts w:hint="eastAsia" w:ascii="仿宋" w:hAnsi="仿宋" w:eastAsia="仿宋" w:cs="仿宋"/>
          <w:b/>
          <w:color w:val="000000"/>
          <w:spacing w:val="0"/>
          <w:sz w:val="24"/>
          <w:szCs w:val="24"/>
          <w:highlight w:val="none"/>
        </w:rPr>
        <w:t>磋商结束后</w:t>
      </w:r>
      <w:r>
        <w:rPr>
          <w:rFonts w:hint="eastAsia" w:ascii="仿宋" w:hAnsi="仿宋" w:eastAsia="仿宋" w:cs="仿宋"/>
          <w:b/>
          <w:color w:val="000000"/>
          <w:spacing w:val="0"/>
          <w:sz w:val="24"/>
          <w:szCs w:val="24"/>
          <w:highlight w:val="none"/>
          <w:lang w:eastAsia="zh-CN"/>
        </w:rPr>
        <w:t>，</w:t>
      </w:r>
      <w:r>
        <w:rPr>
          <w:rFonts w:hint="eastAsia" w:ascii="仿宋" w:hAnsi="仿宋" w:eastAsia="仿宋" w:cs="仿宋"/>
          <w:b/>
          <w:color w:val="000000"/>
          <w:spacing w:val="0"/>
          <w:sz w:val="24"/>
          <w:szCs w:val="24"/>
          <w:highlight w:val="none"/>
        </w:rPr>
        <w:t>磋商小组将要求所有继续参加磋商的供应商凭CA锁</w:t>
      </w:r>
      <w:r>
        <w:rPr>
          <w:rFonts w:hint="eastAsia" w:ascii="仿宋" w:hAnsi="仿宋" w:eastAsia="仿宋" w:cs="仿宋"/>
          <w:b/>
          <w:color w:val="000000"/>
          <w:spacing w:val="0"/>
          <w:sz w:val="24"/>
          <w:szCs w:val="24"/>
          <w:highlight w:val="none"/>
          <w:lang w:eastAsia="zh-CN"/>
        </w:rPr>
        <w:t>登录</w:t>
      </w:r>
      <w:r>
        <w:rPr>
          <w:rFonts w:hint="eastAsia" w:ascii="仿宋" w:hAnsi="仿宋" w:eastAsia="仿宋" w:cs="仿宋"/>
          <w:b/>
          <w:color w:val="000000"/>
          <w:spacing w:val="0"/>
          <w:sz w:val="24"/>
          <w:szCs w:val="24"/>
          <w:highlight w:val="none"/>
        </w:rPr>
        <w:t>“苏采云政府采购一体化平台”在规定的时间内进行两次或两次以上的磋商报价（最终报价将作为评审的依据）。本次各分项价格及各产品综合单价均按最终磋商总价与首次磋商总价的下浮比例同比例下浮。</w:t>
      </w:r>
    </w:p>
    <w:p w14:paraId="1E979F2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23</w:t>
      </w:r>
      <w:r>
        <w:rPr>
          <w:rFonts w:hint="eastAsia" w:ascii="仿宋" w:hAnsi="仿宋" w:eastAsia="仿宋" w:cs="仿宋"/>
          <w:color w:val="000000"/>
          <w:spacing w:val="0"/>
          <w:sz w:val="24"/>
          <w:szCs w:val="24"/>
          <w:highlight w:val="none"/>
        </w:rPr>
        <w:t>.7.1供应商必须及时刷新报价页面</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4"/>
          <w:highlight w:val="none"/>
        </w:rPr>
        <w:t>如果供应商未在系统规定时间内进行报价或因其自身网络问题无法及时提交报价的</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4"/>
          <w:highlight w:val="none"/>
        </w:rPr>
        <w:t>系统将默认其报价为电子响应文件提交的初始报价。</w:t>
      </w:r>
    </w:p>
    <w:p w14:paraId="70C2EBE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lang w:eastAsia="zh-CN"/>
        </w:rPr>
      </w:pPr>
      <w:bookmarkStart w:id="43" w:name="_Toc4142"/>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4</w:t>
      </w:r>
      <w:r>
        <w:rPr>
          <w:rFonts w:hint="eastAsia" w:ascii="仿宋" w:hAnsi="仿宋" w:eastAsia="仿宋" w:cs="仿宋"/>
          <w:bCs/>
          <w:color w:val="000000"/>
          <w:spacing w:val="0"/>
          <w:sz w:val="24"/>
          <w:szCs w:val="24"/>
          <w:highlight w:val="none"/>
        </w:rPr>
        <w:t>.出现下列情形之一的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响应文件按照无效处理</w:t>
      </w:r>
      <w:r>
        <w:rPr>
          <w:rFonts w:hint="eastAsia" w:ascii="仿宋" w:hAnsi="仿宋" w:eastAsia="仿宋" w:cs="仿宋"/>
          <w:bCs/>
          <w:color w:val="000000"/>
          <w:spacing w:val="0"/>
          <w:sz w:val="24"/>
          <w:szCs w:val="24"/>
          <w:highlight w:val="none"/>
          <w:lang w:eastAsia="zh-CN"/>
        </w:rPr>
        <w:t>：</w:t>
      </w:r>
      <w:bookmarkEnd w:id="43"/>
    </w:p>
    <w:p w14:paraId="3CD04983">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（1）供应商未按照采购文件要求上传电子响应文件的。</w:t>
      </w:r>
    </w:p>
    <w:p w14:paraId="2DD1829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（2）供应商未成功解密电子响应文件的。</w:t>
      </w:r>
    </w:p>
    <w:p w14:paraId="7D44FA7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（3）经磋商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供应商仍不承诺满足磋商文件要求的；</w:t>
      </w:r>
    </w:p>
    <w:p w14:paraId="59D793C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（4）磋商报价超出磋商文件规定的预算金额或者最高限价的；</w:t>
      </w:r>
    </w:p>
    <w:p w14:paraId="424992A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（5）供应商不具备采购文件中规</w:t>
      </w:r>
      <w:r>
        <w:rPr>
          <w:rFonts w:hint="eastAsia" w:ascii="仿宋" w:hAnsi="仿宋" w:eastAsia="仿宋" w:cs="仿宋"/>
          <w:bCs/>
          <w:color w:val="000000"/>
          <w:spacing w:val="0"/>
          <w:sz w:val="24"/>
          <w:szCs w:val="24"/>
          <w:highlight w:val="none"/>
          <w:lang w:eastAsia="zh-CN"/>
        </w:rPr>
        <w:t>定的</w:t>
      </w:r>
      <w:r>
        <w:rPr>
          <w:rFonts w:hint="eastAsia" w:ascii="仿宋" w:hAnsi="仿宋" w:eastAsia="仿宋" w:cs="仿宋"/>
          <w:bCs/>
          <w:color w:val="000000"/>
          <w:spacing w:val="0"/>
          <w:sz w:val="24"/>
          <w:szCs w:val="24"/>
          <w:highlight w:val="none"/>
        </w:rPr>
        <w:t>资格要求的</w:t>
      </w:r>
      <w:r>
        <w:rPr>
          <w:rFonts w:hint="eastAsia" w:ascii="仿宋" w:hAnsi="仿宋" w:eastAsia="仿宋" w:cs="仿宋"/>
          <w:bCs/>
          <w:color w:val="000000"/>
          <w:spacing w:val="0"/>
          <w:sz w:val="24"/>
          <w:szCs w:val="24"/>
          <w:highlight w:val="none"/>
          <w:lang w:eastAsia="zh-CN"/>
        </w:rPr>
        <w:t>；</w:t>
      </w:r>
    </w:p>
    <w:p w14:paraId="6768DAC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（6）不符合法律、法规和磋商文件中规定的其他实质性要求的；</w:t>
      </w:r>
    </w:p>
    <w:p w14:paraId="6ACEFA3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lang w:val="zh-CN"/>
        </w:rPr>
      </w:pPr>
      <w:bookmarkStart w:id="44" w:name="_Toc26372"/>
      <w:r>
        <w:rPr>
          <w:rFonts w:hint="eastAsia" w:ascii="仿宋" w:hAnsi="仿宋" w:eastAsia="仿宋" w:cs="仿宋"/>
          <w:bCs/>
          <w:color w:val="000000"/>
          <w:spacing w:val="0"/>
          <w:sz w:val="24"/>
          <w:szCs w:val="24"/>
          <w:highlight w:val="none"/>
        </w:rPr>
        <w:t>（7）</w:t>
      </w:r>
      <w:r>
        <w:rPr>
          <w:rFonts w:hint="eastAsia" w:ascii="仿宋" w:hAnsi="仿宋" w:eastAsia="仿宋" w:cs="仿宋"/>
          <w:b w:val="0"/>
          <w:bCs/>
          <w:color w:val="000000"/>
          <w:spacing w:val="0"/>
          <w:sz w:val="24"/>
          <w:szCs w:val="24"/>
          <w:highlight w:val="none"/>
          <w:lang w:val="zh-CN"/>
        </w:rPr>
        <w:t>供应商被“信用中国”（www.creditchina.gov.cn）、“中国政府采购网”（www.ccgp.gov.cn）网站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bookmarkEnd w:id="44"/>
    </w:p>
    <w:p w14:paraId="651A5F40">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lang w:val="zh-CN"/>
        </w:rPr>
      </w:pPr>
      <w:bookmarkStart w:id="45" w:name="_Toc5246"/>
      <w:r>
        <w:rPr>
          <w:rFonts w:hint="eastAsia" w:ascii="仿宋" w:hAnsi="仿宋" w:eastAsia="仿宋" w:cs="仿宋"/>
          <w:b w:val="0"/>
          <w:bCs/>
          <w:color w:val="000000"/>
          <w:spacing w:val="0"/>
          <w:sz w:val="24"/>
          <w:szCs w:val="24"/>
          <w:highlight w:val="none"/>
          <w:lang w:val="zh-CN"/>
        </w:rPr>
        <w:t>（</w:t>
      </w:r>
      <w:r>
        <w:rPr>
          <w:rFonts w:hint="eastAsia" w:ascii="仿宋" w:hAnsi="仿宋" w:eastAsia="仿宋" w:cs="仿宋"/>
          <w:b w:val="0"/>
          <w:bCs/>
          <w:color w:val="000000"/>
          <w:spacing w:val="0"/>
          <w:sz w:val="24"/>
          <w:szCs w:val="24"/>
          <w:highlight w:val="none"/>
          <w:lang w:val="en-US" w:eastAsia="zh-CN"/>
        </w:rPr>
        <w:t>8</w:t>
      </w:r>
      <w:r>
        <w:rPr>
          <w:rFonts w:hint="eastAsia" w:ascii="仿宋" w:hAnsi="仿宋" w:eastAsia="仿宋" w:cs="仿宋"/>
          <w:b w:val="0"/>
          <w:bCs/>
          <w:color w:val="000000"/>
          <w:spacing w:val="0"/>
          <w:sz w:val="24"/>
          <w:szCs w:val="24"/>
          <w:highlight w:val="none"/>
          <w:lang w:val="zh-CN"/>
        </w:rPr>
        <w:t>）响应文件含有采购人不能接受的附加条件的；</w:t>
      </w:r>
      <w:bookmarkEnd w:id="45"/>
    </w:p>
    <w:p w14:paraId="083D578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lang w:val="zh-CN"/>
        </w:rPr>
      </w:pPr>
      <w:bookmarkStart w:id="46" w:name="_Toc23441"/>
      <w:r>
        <w:rPr>
          <w:rFonts w:hint="eastAsia" w:ascii="仿宋" w:hAnsi="仿宋" w:eastAsia="仿宋" w:cs="仿宋"/>
          <w:b w:val="0"/>
          <w:bCs/>
          <w:color w:val="000000"/>
          <w:spacing w:val="0"/>
          <w:sz w:val="24"/>
          <w:szCs w:val="24"/>
          <w:highlight w:val="none"/>
          <w:lang w:val="zh-CN"/>
        </w:rPr>
        <w:t>（</w:t>
      </w:r>
      <w:r>
        <w:rPr>
          <w:rFonts w:hint="eastAsia" w:ascii="仿宋" w:hAnsi="仿宋" w:eastAsia="仿宋" w:cs="仿宋"/>
          <w:b w:val="0"/>
          <w:bCs/>
          <w:color w:val="000000"/>
          <w:spacing w:val="0"/>
          <w:sz w:val="24"/>
          <w:szCs w:val="24"/>
          <w:highlight w:val="none"/>
          <w:lang w:val="en-US" w:eastAsia="zh-CN"/>
        </w:rPr>
        <w:t>9</w:t>
      </w:r>
      <w:r>
        <w:rPr>
          <w:rFonts w:hint="eastAsia" w:ascii="仿宋" w:hAnsi="仿宋" w:eastAsia="仿宋" w:cs="仿宋"/>
          <w:b w:val="0"/>
          <w:bCs/>
          <w:color w:val="000000"/>
          <w:spacing w:val="0"/>
          <w:sz w:val="24"/>
          <w:szCs w:val="24"/>
          <w:highlight w:val="none"/>
          <w:lang w:val="zh-CN"/>
        </w:rPr>
        <w:t>）响应文件未按照采购文件要求加盖电子签章；</w:t>
      </w:r>
      <w:bookmarkEnd w:id="46"/>
    </w:p>
    <w:p w14:paraId="5ED15B0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lang w:eastAsia="zh-CN"/>
        </w:rPr>
      </w:pPr>
      <w:bookmarkStart w:id="47" w:name="_Toc10119"/>
      <w:r>
        <w:rPr>
          <w:rFonts w:hint="eastAsia" w:ascii="仿宋" w:hAnsi="仿宋" w:eastAsia="仿宋" w:cs="仿宋"/>
          <w:b w:val="0"/>
          <w:bCs/>
          <w:color w:val="000000"/>
          <w:spacing w:val="0"/>
          <w:sz w:val="24"/>
          <w:szCs w:val="24"/>
          <w:highlight w:val="none"/>
          <w:lang w:eastAsia="zh-CN"/>
        </w:rPr>
        <w:t>（1</w:t>
      </w:r>
      <w:r>
        <w:rPr>
          <w:rFonts w:hint="eastAsia" w:ascii="仿宋" w:hAnsi="仿宋" w:eastAsia="仿宋" w:cs="仿宋"/>
          <w:b w:val="0"/>
          <w:bCs/>
          <w:color w:val="000000"/>
          <w:spacing w:val="0"/>
          <w:sz w:val="24"/>
          <w:szCs w:val="24"/>
          <w:highlight w:val="none"/>
          <w:lang w:val="en-US" w:eastAsia="zh-CN"/>
        </w:rPr>
        <w:t>0</w:t>
      </w:r>
      <w:r>
        <w:rPr>
          <w:rFonts w:hint="eastAsia" w:ascii="仿宋" w:hAnsi="仿宋" w:eastAsia="仿宋" w:cs="仿宋"/>
          <w:b w:val="0"/>
          <w:bCs/>
          <w:color w:val="000000"/>
          <w:spacing w:val="0"/>
          <w:sz w:val="24"/>
          <w:szCs w:val="24"/>
          <w:highlight w:val="none"/>
          <w:lang w:eastAsia="zh-CN"/>
        </w:rPr>
        <w:t>）</w:t>
      </w:r>
      <w:bookmarkEnd w:id="47"/>
      <w:bookmarkStart w:id="48" w:name="_Toc28935"/>
      <w:r>
        <w:rPr>
          <w:rFonts w:hint="eastAsia" w:ascii="仿宋" w:hAnsi="仿宋" w:eastAsia="仿宋" w:cs="仿宋"/>
          <w:b w:val="0"/>
          <w:bCs/>
          <w:color w:val="000000"/>
          <w:spacing w:val="0"/>
          <w:sz w:val="24"/>
          <w:szCs w:val="24"/>
          <w:highlight w:val="none"/>
        </w:rPr>
        <w:t>经查实提供虚假材料谋取成交的</w:t>
      </w:r>
      <w:r>
        <w:rPr>
          <w:rFonts w:hint="eastAsia" w:ascii="仿宋" w:hAnsi="仿宋" w:eastAsia="仿宋" w:cs="仿宋"/>
          <w:b w:val="0"/>
          <w:bCs/>
          <w:color w:val="000000"/>
          <w:spacing w:val="0"/>
          <w:sz w:val="24"/>
          <w:szCs w:val="24"/>
          <w:highlight w:val="none"/>
          <w:lang w:eastAsia="zh-CN"/>
        </w:rPr>
        <w:t>；</w:t>
      </w:r>
      <w:bookmarkEnd w:id="48"/>
    </w:p>
    <w:p w14:paraId="6EA862F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lang w:eastAsia="zh-CN"/>
        </w:rPr>
      </w:pPr>
      <w:bookmarkStart w:id="49" w:name="_Toc6547"/>
      <w:r>
        <w:rPr>
          <w:rFonts w:hint="eastAsia" w:ascii="仿宋" w:hAnsi="仿宋" w:eastAsia="仿宋" w:cs="仿宋"/>
          <w:b w:val="0"/>
          <w:bCs/>
          <w:color w:val="000000"/>
          <w:spacing w:val="0"/>
          <w:sz w:val="24"/>
          <w:szCs w:val="24"/>
          <w:highlight w:val="none"/>
          <w:lang w:eastAsia="zh-CN"/>
        </w:rPr>
        <w:t>（1</w:t>
      </w:r>
      <w:r>
        <w:rPr>
          <w:rFonts w:hint="eastAsia" w:ascii="仿宋" w:hAnsi="仿宋" w:eastAsia="仿宋" w:cs="仿宋"/>
          <w:b w:val="0"/>
          <w:bCs/>
          <w:color w:val="000000"/>
          <w:spacing w:val="0"/>
          <w:sz w:val="24"/>
          <w:szCs w:val="24"/>
          <w:highlight w:val="none"/>
          <w:lang w:val="en-US" w:eastAsia="zh-CN"/>
        </w:rPr>
        <w:t>1</w:t>
      </w:r>
      <w:r>
        <w:rPr>
          <w:rFonts w:hint="eastAsia" w:ascii="仿宋" w:hAnsi="仿宋" w:eastAsia="仿宋" w:cs="仿宋"/>
          <w:b w:val="0"/>
          <w:bCs/>
          <w:color w:val="000000"/>
          <w:spacing w:val="0"/>
          <w:sz w:val="24"/>
          <w:szCs w:val="24"/>
          <w:highlight w:val="none"/>
          <w:lang w:eastAsia="zh-CN"/>
        </w:rPr>
        <w:t>）</w:t>
      </w:r>
      <w:bookmarkEnd w:id="49"/>
      <w:bookmarkStart w:id="50" w:name="_Toc10556"/>
      <w:r>
        <w:rPr>
          <w:rFonts w:hint="eastAsia" w:ascii="仿宋" w:hAnsi="仿宋" w:eastAsia="仿宋" w:cs="仿宋"/>
          <w:b w:val="0"/>
          <w:bCs/>
          <w:color w:val="000000"/>
          <w:spacing w:val="0"/>
          <w:sz w:val="24"/>
          <w:szCs w:val="24"/>
          <w:highlight w:val="none"/>
        </w:rPr>
        <w:t>供应商参加</w:t>
      </w:r>
      <w:r>
        <w:rPr>
          <w:rFonts w:hint="eastAsia" w:ascii="仿宋" w:hAnsi="仿宋" w:eastAsia="仿宋" w:cs="仿宋"/>
          <w:b w:val="0"/>
          <w:bCs/>
          <w:color w:val="000000"/>
          <w:spacing w:val="0"/>
          <w:sz w:val="24"/>
          <w:szCs w:val="24"/>
          <w:highlight w:val="none"/>
          <w:lang w:eastAsia="zh-CN"/>
        </w:rPr>
        <w:t>磋商</w:t>
      </w:r>
      <w:r>
        <w:rPr>
          <w:rFonts w:hint="eastAsia" w:ascii="仿宋" w:hAnsi="仿宋" w:eastAsia="仿宋" w:cs="仿宋"/>
          <w:b w:val="0"/>
          <w:bCs/>
          <w:color w:val="000000"/>
          <w:spacing w:val="0"/>
          <w:sz w:val="24"/>
          <w:szCs w:val="24"/>
          <w:highlight w:val="none"/>
        </w:rPr>
        <w:t>时，未按照</w:t>
      </w:r>
      <w:r>
        <w:rPr>
          <w:rFonts w:hint="eastAsia" w:ascii="仿宋" w:hAnsi="仿宋" w:eastAsia="仿宋" w:cs="仿宋"/>
          <w:b w:val="0"/>
          <w:bCs/>
          <w:color w:val="000000"/>
          <w:spacing w:val="0"/>
          <w:sz w:val="24"/>
          <w:szCs w:val="24"/>
          <w:highlight w:val="none"/>
          <w:lang w:eastAsia="zh-CN"/>
        </w:rPr>
        <w:t>磋商</w:t>
      </w:r>
      <w:r>
        <w:rPr>
          <w:rFonts w:hint="eastAsia" w:ascii="仿宋" w:hAnsi="仿宋" w:eastAsia="仿宋" w:cs="仿宋"/>
          <w:b w:val="0"/>
          <w:bCs/>
          <w:color w:val="000000"/>
          <w:spacing w:val="0"/>
          <w:sz w:val="24"/>
          <w:szCs w:val="24"/>
          <w:highlight w:val="none"/>
        </w:rPr>
        <w:t>文件第五部分中的要求提供相关证明材料的</w:t>
      </w:r>
      <w:r>
        <w:rPr>
          <w:rFonts w:hint="eastAsia" w:ascii="仿宋" w:hAnsi="仿宋" w:eastAsia="仿宋" w:cs="仿宋"/>
          <w:b w:val="0"/>
          <w:bCs/>
          <w:color w:val="000000"/>
          <w:spacing w:val="0"/>
          <w:sz w:val="24"/>
          <w:szCs w:val="24"/>
          <w:highlight w:val="none"/>
          <w:lang w:eastAsia="zh-CN"/>
        </w:rPr>
        <w:t>；</w:t>
      </w:r>
      <w:bookmarkEnd w:id="50"/>
    </w:p>
    <w:p w14:paraId="6704C57C">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1" w:name="_Toc21767"/>
      <w:r>
        <w:rPr>
          <w:rFonts w:hint="eastAsia" w:ascii="仿宋" w:hAnsi="仿宋" w:eastAsia="仿宋" w:cs="仿宋"/>
          <w:b/>
          <w:bCs w:val="0"/>
          <w:color w:val="000000"/>
          <w:spacing w:val="0"/>
          <w:sz w:val="24"/>
          <w:szCs w:val="24"/>
          <w:highlight w:val="none"/>
          <w:lang w:eastAsia="zh-CN"/>
        </w:rPr>
        <w:t>（1</w:t>
      </w:r>
      <w:r>
        <w:rPr>
          <w:rFonts w:hint="eastAsia" w:ascii="仿宋" w:hAnsi="仿宋" w:eastAsia="仿宋" w:cs="仿宋"/>
          <w:b/>
          <w:bCs w:val="0"/>
          <w:color w:val="000000"/>
          <w:spacing w:val="0"/>
          <w:sz w:val="24"/>
          <w:szCs w:val="24"/>
          <w:highlight w:val="none"/>
          <w:lang w:val="en-US" w:eastAsia="zh-CN"/>
        </w:rPr>
        <w:t>2</w:t>
      </w:r>
      <w:r>
        <w:rPr>
          <w:rFonts w:hint="eastAsia" w:ascii="仿宋" w:hAnsi="仿宋" w:eastAsia="仿宋" w:cs="仿宋"/>
          <w:b/>
          <w:bCs w:val="0"/>
          <w:color w:val="000000"/>
          <w:spacing w:val="0"/>
          <w:sz w:val="24"/>
          <w:szCs w:val="24"/>
          <w:highlight w:val="none"/>
          <w:lang w:eastAsia="zh-CN"/>
        </w:rPr>
        <w:t>）磋商</w:t>
      </w:r>
      <w:r>
        <w:rPr>
          <w:rFonts w:hint="eastAsia" w:ascii="仿宋" w:hAnsi="仿宋" w:eastAsia="仿宋" w:cs="仿宋"/>
          <w:b/>
          <w:bCs w:val="0"/>
          <w:color w:val="000000"/>
          <w:spacing w:val="0"/>
          <w:sz w:val="24"/>
          <w:szCs w:val="24"/>
          <w:highlight w:val="none"/>
        </w:rPr>
        <w:t>小组</w:t>
      </w:r>
      <w:r>
        <w:rPr>
          <w:rFonts w:hint="eastAsia" w:ascii="仿宋" w:hAnsi="仿宋" w:eastAsia="仿宋" w:cs="仿宋"/>
          <w:b/>
          <w:bCs w:val="0"/>
          <w:color w:val="000000"/>
          <w:spacing w:val="0"/>
          <w:sz w:val="24"/>
          <w:szCs w:val="24"/>
          <w:highlight w:val="none"/>
          <w:lang w:val="en-US" w:eastAsia="zh-CN"/>
        </w:rPr>
        <w:t>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bookmarkEnd w:id="51"/>
    </w:p>
    <w:p w14:paraId="3FCD4D5C">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2" w:name="_Toc7492"/>
      <w:r>
        <w:rPr>
          <w:rFonts w:hint="eastAsia" w:ascii="仿宋" w:hAnsi="仿宋" w:eastAsia="仿宋" w:cs="仿宋"/>
          <w:b/>
          <w:bCs w:val="0"/>
          <w:color w:val="000000"/>
          <w:spacing w:val="0"/>
          <w:sz w:val="24"/>
          <w:szCs w:val="24"/>
          <w:highlight w:val="none"/>
          <w:lang w:val="en-US" w:eastAsia="zh-CN"/>
        </w:rPr>
        <w:t>评审委员会启动异常低价投标（响应）审查的情形和具体要求，包括：</w:t>
      </w:r>
      <w:bookmarkEnd w:id="52"/>
    </w:p>
    <w:p w14:paraId="2102323B">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3" w:name="_Toc3557"/>
      <w:r>
        <w:rPr>
          <w:rFonts w:hint="eastAsia" w:ascii="仿宋" w:hAnsi="仿宋" w:eastAsia="仿宋" w:cs="仿宋"/>
          <w:b/>
          <w:bCs w:val="0"/>
          <w:color w:val="000000"/>
          <w:spacing w:val="0"/>
          <w:sz w:val="24"/>
          <w:szCs w:val="24"/>
          <w:highlight w:val="none"/>
          <w:lang w:val="en-US" w:eastAsia="zh-CN"/>
        </w:rPr>
        <w:t>1）评审过程中出现下列情形之一的，评审委员会应当启动异常低价投标（响应）审查程序：</w:t>
      </w:r>
      <w:bookmarkEnd w:id="53"/>
    </w:p>
    <w:p w14:paraId="1B74DBF1">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4" w:name="_Toc7016"/>
      <w:r>
        <w:rPr>
          <w:rFonts w:hint="eastAsia" w:ascii="仿宋" w:hAnsi="仿宋" w:eastAsia="仿宋" w:cs="仿宋"/>
          <w:b/>
          <w:bCs w:val="0"/>
          <w:color w:val="000000"/>
          <w:spacing w:val="0"/>
          <w:sz w:val="24"/>
          <w:szCs w:val="24"/>
          <w:highlight w:val="none"/>
          <w:lang w:val="en-US" w:eastAsia="zh-CN"/>
        </w:rPr>
        <w:t>①投标（响应）报价低于采购项目预算价50%的，即投标（响应）报价＜采购项目预算价×50%；</w:t>
      </w:r>
      <w:bookmarkEnd w:id="54"/>
    </w:p>
    <w:p w14:paraId="5F49A83A">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5" w:name="_Toc25176"/>
      <w:r>
        <w:rPr>
          <w:rFonts w:hint="eastAsia" w:ascii="仿宋" w:hAnsi="仿宋" w:eastAsia="仿宋" w:cs="仿宋"/>
          <w:b/>
          <w:bCs w:val="0"/>
          <w:color w:val="000000"/>
          <w:spacing w:val="0"/>
          <w:sz w:val="24"/>
          <w:szCs w:val="24"/>
          <w:highlight w:val="none"/>
          <w:lang w:val="en-US" w:eastAsia="zh-CN"/>
        </w:rPr>
        <w:t>②投标（响应）报价低于采购项目最高限价45%的，即投标（响应）报价＜采购项目最高限价×45%；</w:t>
      </w:r>
      <w:bookmarkEnd w:id="55"/>
    </w:p>
    <w:p w14:paraId="37BE6BA8">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bCs w:val="0"/>
          <w:color w:val="000000"/>
          <w:spacing w:val="0"/>
          <w:sz w:val="24"/>
          <w:szCs w:val="24"/>
          <w:highlight w:val="none"/>
          <w:lang w:val="en-US" w:eastAsia="zh-CN"/>
        </w:rPr>
      </w:pPr>
      <w:bookmarkStart w:id="56" w:name="_Toc22031"/>
      <w:r>
        <w:rPr>
          <w:rFonts w:hint="eastAsia" w:ascii="仿宋" w:hAnsi="仿宋" w:eastAsia="仿宋" w:cs="仿宋"/>
          <w:b/>
          <w:bCs w:val="0"/>
          <w:color w:val="000000"/>
          <w:spacing w:val="0"/>
          <w:sz w:val="24"/>
          <w:szCs w:val="24"/>
          <w:highlight w:val="none"/>
          <w:lang w:val="en-US" w:eastAsia="zh-CN"/>
        </w:rPr>
        <w:t>③评审委员会认定的供应商报价过低，有可能影响产品质量或者不能诚信履约的其他情形。</w:t>
      </w:r>
      <w:bookmarkEnd w:id="56"/>
    </w:p>
    <w:p w14:paraId="69BD0C14">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2"/>
        <w:rPr>
          <w:rFonts w:hint="eastAsia" w:ascii="仿宋" w:hAnsi="仿宋" w:eastAsia="仿宋" w:cs="仿宋"/>
          <w:b w:val="0"/>
          <w:bCs/>
          <w:color w:val="000000"/>
          <w:spacing w:val="0"/>
          <w:sz w:val="24"/>
          <w:szCs w:val="24"/>
          <w:highlight w:val="none"/>
          <w:lang w:val="en-US" w:eastAsia="zh-CN"/>
        </w:rPr>
      </w:pPr>
      <w:bookmarkStart w:id="57" w:name="_Toc7307"/>
      <w:r>
        <w:rPr>
          <w:rFonts w:hint="eastAsia" w:ascii="仿宋" w:hAnsi="仿宋" w:eastAsia="仿宋" w:cs="仿宋"/>
          <w:b/>
          <w:bCs w:val="0"/>
          <w:color w:val="000000"/>
          <w:spacing w:val="0"/>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color w:val="000000"/>
          <w:spacing w:val="0"/>
          <w:sz w:val="24"/>
          <w:szCs w:val="24"/>
          <w:highlight w:val="none"/>
          <w:lang w:val="en-US" w:eastAsia="zh-CN"/>
        </w:rPr>
        <w:t>。</w:t>
      </w:r>
      <w:bookmarkEnd w:id="57"/>
    </w:p>
    <w:p w14:paraId="67FA71F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 w:val="0"/>
          <w:bCs/>
          <w:color w:val="000000"/>
          <w:spacing w:val="0"/>
          <w:sz w:val="24"/>
          <w:szCs w:val="24"/>
          <w:highlight w:val="none"/>
        </w:rPr>
      </w:pPr>
      <w:bookmarkStart w:id="58" w:name="_Toc12963"/>
      <w:r>
        <w:rPr>
          <w:rFonts w:hint="eastAsia" w:ascii="仿宋" w:hAnsi="仿宋" w:eastAsia="仿宋" w:cs="仿宋"/>
          <w:b w:val="0"/>
          <w:bCs/>
          <w:color w:val="000000"/>
          <w:spacing w:val="0"/>
          <w:sz w:val="24"/>
          <w:szCs w:val="24"/>
          <w:highlight w:val="none"/>
          <w:lang w:val="zh-CN"/>
        </w:rPr>
        <w:t>（1</w:t>
      </w:r>
      <w:r>
        <w:rPr>
          <w:rFonts w:hint="eastAsia" w:ascii="仿宋" w:hAnsi="仿宋" w:eastAsia="仿宋" w:cs="仿宋"/>
          <w:b w:val="0"/>
          <w:bCs/>
          <w:color w:val="000000"/>
          <w:spacing w:val="0"/>
          <w:sz w:val="24"/>
          <w:szCs w:val="24"/>
          <w:highlight w:val="none"/>
          <w:lang w:val="en-US" w:eastAsia="zh-CN"/>
        </w:rPr>
        <w:t>3</w:t>
      </w:r>
      <w:r>
        <w:rPr>
          <w:rFonts w:hint="eastAsia" w:ascii="仿宋" w:hAnsi="仿宋" w:eastAsia="仿宋" w:cs="仿宋"/>
          <w:b w:val="0"/>
          <w:bCs/>
          <w:color w:val="000000"/>
          <w:spacing w:val="0"/>
          <w:sz w:val="24"/>
          <w:szCs w:val="24"/>
          <w:highlight w:val="none"/>
          <w:lang w:val="zh-CN"/>
        </w:rPr>
        <w:t>）其他法律法规及本采购文件规定的无效响应的情形。</w:t>
      </w:r>
      <w:bookmarkEnd w:id="58"/>
    </w:p>
    <w:p w14:paraId="1ECA9B9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59" w:name="_Toc2146"/>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5</w:t>
      </w:r>
      <w:r>
        <w:rPr>
          <w:rFonts w:hint="eastAsia" w:ascii="仿宋" w:hAnsi="仿宋" w:eastAsia="仿宋" w:cs="仿宋"/>
          <w:bCs/>
          <w:color w:val="000000"/>
          <w:spacing w:val="0"/>
          <w:sz w:val="24"/>
          <w:szCs w:val="24"/>
          <w:highlight w:val="none"/>
        </w:rPr>
        <w:t>.出现下列情形之一的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磋商终止</w:t>
      </w:r>
      <w:r>
        <w:rPr>
          <w:rFonts w:hint="eastAsia" w:ascii="仿宋" w:hAnsi="仿宋" w:eastAsia="仿宋" w:cs="仿宋"/>
          <w:bCs/>
          <w:color w:val="000000"/>
          <w:spacing w:val="0"/>
          <w:sz w:val="24"/>
          <w:szCs w:val="24"/>
          <w:highlight w:val="none"/>
          <w:lang w:eastAsia="zh-CN"/>
        </w:rPr>
        <w:t>：</w:t>
      </w:r>
      <w:bookmarkEnd w:id="59"/>
    </w:p>
    <w:p w14:paraId="00E11940">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（1）因情况变化</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不再符合规定的竞争性磋商采购方式适用情形的；</w:t>
      </w:r>
    </w:p>
    <w:p w14:paraId="688568DD">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（2）出现影响采购公正的违法、违规行为的；</w:t>
      </w:r>
    </w:p>
    <w:p w14:paraId="4B31D75C">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（3）除《政府采购竞争性磋商采购方式管理暂行办法》财库</w:t>
      </w:r>
      <w:r>
        <w:rPr>
          <w:rFonts w:hint="eastAsia" w:ascii="仿宋" w:hAnsi="仿宋" w:eastAsia="仿宋" w:cs="仿宋"/>
          <w:bCs/>
          <w:color w:val="000000"/>
          <w:spacing w:val="0"/>
          <w:sz w:val="24"/>
          <w:szCs w:val="24"/>
          <w:highlight w:val="none"/>
          <w:lang w:eastAsia="zh-CN"/>
        </w:rPr>
        <w:t>〔2014〕214号</w:t>
      </w:r>
      <w:r>
        <w:rPr>
          <w:rFonts w:hint="eastAsia" w:ascii="仿宋" w:hAnsi="仿宋" w:eastAsia="仿宋" w:cs="仿宋"/>
          <w:bCs/>
          <w:color w:val="000000"/>
          <w:spacing w:val="0"/>
          <w:sz w:val="24"/>
          <w:szCs w:val="24"/>
          <w:highlight w:val="none"/>
        </w:rPr>
        <w:t>文件第二十一条第三款规定的情形除外</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在采购过程中符合竞争要求的供应商或者报价未超过采购预算的供应商不足3家的。</w:t>
      </w:r>
    </w:p>
    <w:p w14:paraId="36BBDD99">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（4）符合专业条件的供应商或者对磋商文件</w:t>
      </w:r>
      <w:r>
        <w:rPr>
          <w:rFonts w:hint="eastAsia" w:ascii="仿宋" w:hAnsi="仿宋" w:eastAsia="仿宋" w:cs="仿宋"/>
          <w:bCs/>
          <w:color w:val="000000"/>
          <w:spacing w:val="0"/>
          <w:sz w:val="24"/>
          <w:szCs w:val="24"/>
          <w:highlight w:val="none"/>
          <w:lang w:eastAsia="zh-CN"/>
        </w:rPr>
        <w:t>作出</w:t>
      </w:r>
      <w:r>
        <w:rPr>
          <w:rFonts w:hint="eastAsia" w:ascii="仿宋" w:hAnsi="仿宋" w:eastAsia="仿宋" w:cs="仿宋"/>
          <w:bCs/>
          <w:color w:val="000000"/>
          <w:spacing w:val="0"/>
          <w:sz w:val="24"/>
          <w:szCs w:val="24"/>
          <w:highlight w:val="none"/>
        </w:rPr>
        <w:t>实质响应的供应商不足三家的（根据财政部财库〔2015〕124号《财政部关于政府采购竞争性磋商采购方式管理暂行办法有关问题的补充通知》规定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采用竞争性磋商采购方式采购的政府购买服务项目</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在采购过程中符合要求的供应商只有2</w:t>
      </w:r>
      <w:r>
        <w:rPr>
          <w:rFonts w:hint="eastAsia" w:ascii="仿宋" w:hAnsi="仿宋" w:eastAsia="仿宋" w:cs="仿宋"/>
          <w:bCs/>
          <w:color w:val="000000"/>
          <w:spacing w:val="0"/>
          <w:sz w:val="24"/>
          <w:szCs w:val="24"/>
          <w:highlight w:val="none"/>
          <w:lang w:eastAsia="zh-CN"/>
        </w:rPr>
        <w:t>家，</w:t>
      </w:r>
      <w:r>
        <w:rPr>
          <w:rFonts w:hint="eastAsia" w:ascii="仿宋" w:hAnsi="仿宋" w:eastAsia="仿宋" w:cs="仿宋"/>
          <w:bCs/>
          <w:color w:val="000000"/>
          <w:spacing w:val="0"/>
          <w:sz w:val="24"/>
          <w:szCs w:val="24"/>
          <w:highlight w:val="none"/>
        </w:rPr>
        <w:t>竞争性磋商采购活动可以继续进行）。</w:t>
      </w:r>
    </w:p>
    <w:p w14:paraId="3EA56E64">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磋商终止后</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采购人应当将磋商终止的理由通知所有供应商。在特殊情况下</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经采购人申请后</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可以与两家或一家供应商进行磋商。</w:t>
      </w:r>
    </w:p>
    <w:p w14:paraId="2E4CBEFF">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0" w:name="_Toc256"/>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6</w:t>
      </w:r>
      <w:r>
        <w:rPr>
          <w:rFonts w:hint="eastAsia" w:ascii="仿宋" w:hAnsi="仿宋" w:eastAsia="仿宋" w:cs="仿宋"/>
          <w:bCs/>
          <w:color w:val="000000"/>
          <w:spacing w:val="0"/>
          <w:sz w:val="24"/>
          <w:szCs w:val="24"/>
          <w:highlight w:val="none"/>
        </w:rPr>
        <w:t>.推荐成交候选供应商</w:t>
      </w:r>
      <w:bookmarkEnd w:id="60"/>
    </w:p>
    <w:p w14:paraId="19FDB41B">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6</w:t>
      </w:r>
      <w:r>
        <w:rPr>
          <w:rFonts w:hint="eastAsia" w:ascii="仿宋" w:hAnsi="仿宋" w:eastAsia="仿宋" w:cs="仿宋"/>
          <w:bCs/>
          <w:color w:val="000000"/>
          <w:spacing w:val="0"/>
          <w:sz w:val="24"/>
          <w:szCs w:val="24"/>
          <w:highlight w:val="none"/>
        </w:rPr>
        <w:t>.1磋商小组将对通过资格性审查和符合性审查的响应文件进行评价和比较。</w:t>
      </w:r>
    </w:p>
    <w:p w14:paraId="573219A4">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6</w:t>
      </w:r>
      <w:r>
        <w:rPr>
          <w:rFonts w:hint="eastAsia" w:ascii="仿宋" w:hAnsi="仿宋" w:eastAsia="仿宋" w:cs="仿宋"/>
          <w:bCs/>
          <w:color w:val="000000"/>
          <w:spacing w:val="0"/>
          <w:sz w:val="24"/>
          <w:szCs w:val="24"/>
          <w:highlight w:val="none"/>
        </w:rPr>
        <w:t>.2磋商小组按磋商文件第三章中公布的评标标准对每份合格响应文件进行评审</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推荐3名成交候选供应商。</w:t>
      </w:r>
    </w:p>
    <w:p w14:paraId="3542DBD5">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6</w:t>
      </w:r>
      <w:r>
        <w:rPr>
          <w:rFonts w:hint="eastAsia" w:ascii="仿宋" w:hAnsi="仿宋" w:eastAsia="仿宋" w:cs="仿宋"/>
          <w:bCs/>
          <w:color w:val="000000"/>
          <w:spacing w:val="0"/>
          <w:sz w:val="24"/>
          <w:szCs w:val="24"/>
          <w:highlight w:val="none"/>
        </w:rPr>
        <w:t>.3磋商小组发现磋商文件存在歧义、重大缺陷导致评审工作无法进行</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或者磋商文件内容存在违反国家有关规定的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评审工作停止</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采购人修改磋商文件后重新组织采购活动。</w:t>
      </w:r>
    </w:p>
    <w:p w14:paraId="5D184306">
      <w:pPr>
        <w:keepNext w:val="0"/>
        <w:keepLines w:val="0"/>
        <w:pageBreakBefore w:val="0"/>
        <w:widowControl w:val="0"/>
        <w:kinsoku/>
        <w:wordWrap w:val="0"/>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1" w:name="_Toc9162"/>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7</w:t>
      </w:r>
      <w:r>
        <w:rPr>
          <w:rFonts w:hint="eastAsia" w:ascii="仿宋" w:hAnsi="仿宋" w:eastAsia="仿宋" w:cs="仿宋"/>
          <w:bCs/>
          <w:color w:val="000000"/>
          <w:spacing w:val="0"/>
          <w:sz w:val="24"/>
          <w:szCs w:val="24"/>
          <w:highlight w:val="none"/>
        </w:rPr>
        <w:t>.磋商过程保密</w:t>
      </w:r>
      <w:bookmarkEnd w:id="61"/>
    </w:p>
    <w:p w14:paraId="6D42319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7</w:t>
      </w:r>
      <w:r>
        <w:rPr>
          <w:rFonts w:hint="eastAsia" w:ascii="仿宋" w:hAnsi="仿宋" w:eastAsia="仿宋" w:cs="仿宋"/>
          <w:bCs/>
          <w:color w:val="000000"/>
          <w:spacing w:val="0"/>
          <w:sz w:val="24"/>
          <w:szCs w:val="24"/>
          <w:highlight w:val="none"/>
        </w:rPr>
        <w:t>.1在宣布成交结果前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凡属于审查、澄清、磋商、评审响应文件和确定成交等相关信息</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均不得泄露给任何供应商或与评审工作无关的人员。</w:t>
      </w:r>
    </w:p>
    <w:p w14:paraId="3DE05B1C">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7</w:t>
      </w:r>
      <w:r>
        <w:rPr>
          <w:rFonts w:hint="eastAsia" w:ascii="仿宋" w:hAnsi="仿宋" w:eastAsia="仿宋" w:cs="仿宋"/>
          <w:bCs/>
          <w:color w:val="000000"/>
          <w:spacing w:val="0"/>
          <w:sz w:val="24"/>
          <w:szCs w:val="24"/>
          <w:highlight w:val="none"/>
        </w:rPr>
        <w:t>.2供应商不得探听上述信息</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不得以任何行为影响磋商过程</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否则将被取消成交资格。</w:t>
      </w:r>
    </w:p>
    <w:p w14:paraId="6E6684E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7</w:t>
      </w:r>
      <w:r>
        <w:rPr>
          <w:rFonts w:hint="eastAsia" w:ascii="仿宋" w:hAnsi="仿宋" w:eastAsia="仿宋" w:cs="仿宋"/>
          <w:bCs/>
          <w:color w:val="000000"/>
          <w:spacing w:val="0"/>
          <w:sz w:val="24"/>
          <w:szCs w:val="24"/>
          <w:highlight w:val="none"/>
        </w:rPr>
        <w:t>.3 磋商小组名单在磋商前确定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并在磋商结果确定前保密。</w:t>
      </w:r>
    </w:p>
    <w:p w14:paraId="6D15E0E5">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1"/>
        <w:rPr>
          <w:rFonts w:hint="eastAsia" w:ascii="仿宋" w:hAnsi="仿宋" w:eastAsia="仿宋" w:cs="仿宋"/>
          <w:b/>
          <w:bCs/>
          <w:color w:val="000000"/>
          <w:spacing w:val="0"/>
          <w:sz w:val="24"/>
          <w:szCs w:val="24"/>
          <w:highlight w:val="none"/>
        </w:rPr>
      </w:pPr>
      <w:bookmarkStart w:id="62" w:name="_Toc26346"/>
      <w:r>
        <w:rPr>
          <w:rFonts w:hint="eastAsia" w:ascii="仿宋" w:hAnsi="仿宋" w:eastAsia="仿宋" w:cs="仿宋"/>
          <w:b/>
          <w:bCs/>
          <w:color w:val="000000"/>
          <w:spacing w:val="0"/>
          <w:sz w:val="24"/>
          <w:szCs w:val="24"/>
          <w:highlight w:val="none"/>
        </w:rPr>
        <w:t>六、确定成交及签订合同</w:t>
      </w:r>
      <w:bookmarkEnd w:id="62"/>
    </w:p>
    <w:p w14:paraId="070D9D9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3" w:name="_Toc26302"/>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8</w:t>
      </w:r>
      <w:r>
        <w:rPr>
          <w:rFonts w:hint="eastAsia" w:ascii="仿宋" w:hAnsi="仿宋" w:eastAsia="仿宋" w:cs="仿宋"/>
          <w:bCs/>
          <w:color w:val="000000"/>
          <w:spacing w:val="0"/>
          <w:sz w:val="24"/>
          <w:szCs w:val="24"/>
          <w:highlight w:val="none"/>
        </w:rPr>
        <w:t>.确定成交供应商</w:t>
      </w:r>
      <w:bookmarkEnd w:id="63"/>
    </w:p>
    <w:p w14:paraId="6CEF895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8</w:t>
      </w:r>
      <w:r>
        <w:rPr>
          <w:rFonts w:hint="eastAsia" w:ascii="仿宋" w:hAnsi="仿宋" w:eastAsia="仿宋" w:cs="仿宋"/>
          <w:bCs/>
          <w:color w:val="000000"/>
          <w:spacing w:val="0"/>
          <w:sz w:val="24"/>
          <w:szCs w:val="24"/>
          <w:highlight w:val="none"/>
        </w:rPr>
        <w:t>.1采购人将从磋商小组推荐的符合采购需求的成交候选供应商中按排名先后确定成交供应商。</w:t>
      </w:r>
    </w:p>
    <w:p w14:paraId="3AB4AEF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8</w:t>
      </w: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成交结果将在淮安市政府采购网</w:t>
      </w:r>
      <w:r>
        <w:rPr>
          <w:rFonts w:hint="eastAsia" w:ascii="仿宋" w:hAnsi="仿宋" w:eastAsia="仿宋" w:cs="仿宋"/>
          <w:bCs/>
          <w:color w:val="000000"/>
          <w:spacing w:val="0"/>
          <w:sz w:val="24"/>
          <w:szCs w:val="24"/>
          <w:highlight w:val="none"/>
          <w:lang w:eastAsia="zh-CN"/>
        </w:rPr>
        <w:t>、江苏省政府采购网</w:t>
      </w:r>
      <w:r>
        <w:rPr>
          <w:rFonts w:hint="eastAsia" w:ascii="仿宋" w:hAnsi="仿宋" w:eastAsia="仿宋" w:cs="仿宋"/>
          <w:bCs/>
          <w:color w:val="000000"/>
          <w:spacing w:val="0"/>
          <w:sz w:val="24"/>
          <w:szCs w:val="24"/>
          <w:highlight w:val="none"/>
        </w:rPr>
        <w:t>进行公告。</w:t>
      </w:r>
    </w:p>
    <w:p w14:paraId="2F68A8F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8</w:t>
      </w:r>
      <w:r>
        <w:rPr>
          <w:rFonts w:hint="eastAsia" w:ascii="仿宋" w:hAnsi="仿宋" w:eastAsia="仿宋" w:cs="仿宋"/>
          <w:bCs/>
          <w:color w:val="000000"/>
          <w:spacing w:val="0"/>
          <w:sz w:val="24"/>
          <w:szCs w:val="24"/>
          <w:highlight w:val="none"/>
        </w:rPr>
        <w:t>.3</w:t>
      </w:r>
      <w:r>
        <w:rPr>
          <w:rFonts w:hint="eastAsia" w:ascii="仿宋" w:hAnsi="仿宋" w:eastAsia="仿宋" w:cs="仿宋"/>
          <w:bCs/>
          <w:color w:val="000000"/>
          <w:spacing w:val="0"/>
          <w:sz w:val="24"/>
          <w:szCs w:val="24"/>
          <w:highlight w:val="none"/>
          <w:lang w:eastAsia="zh-CN"/>
        </w:rPr>
        <w:t>成交候选供应商</w:t>
      </w:r>
      <w:r>
        <w:rPr>
          <w:rFonts w:hint="eastAsia" w:ascii="仿宋" w:hAnsi="仿宋" w:eastAsia="仿宋" w:cs="仿宋"/>
          <w:bCs/>
          <w:color w:val="000000"/>
          <w:spacing w:val="0"/>
          <w:sz w:val="24"/>
          <w:szCs w:val="24"/>
          <w:highlight w:val="none"/>
        </w:rPr>
        <w:t>在合同签订前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如经查实从参加该成交项目之日起计算所参加的政府采购活动前</w:t>
      </w:r>
      <w:r>
        <w:rPr>
          <w:rFonts w:hint="eastAsia" w:ascii="仿宋" w:hAnsi="仿宋" w:eastAsia="仿宋" w:cs="仿宋"/>
          <w:bCs/>
          <w:color w:val="000000"/>
          <w:spacing w:val="0"/>
          <w:sz w:val="24"/>
          <w:szCs w:val="24"/>
          <w:highlight w:val="none"/>
          <w:lang w:val="en-US" w:eastAsia="zh-CN"/>
        </w:rPr>
        <w:t>3</w:t>
      </w:r>
      <w:r>
        <w:rPr>
          <w:rFonts w:hint="eastAsia" w:ascii="仿宋" w:hAnsi="仿宋" w:eastAsia="仿宋" w:cs="仿宋"/>
          <w:bCs/>
          <w:color w:val="000000"/>
          <w:spacing w:val="0"/>
          <w:sz w:val="24"/>
          <w:szCs w:val="24"/>
          <w:highlight w:val="none"/>
        </w:rPr>
        <w:t>年内</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在经营活动中有行贿犯罪记录的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采购人将取消其</w:t>
      </w:r>
      <w:r>
        <w:rPr>
          <w:rFonts w:hint="eastAsia" w:ascii="仿宋" w:hAnsi="仿宋" w:eastAsia="仿宋" w:cs="仿宋"/>
          <w:bCs/>
          <w:color w:val="000000"/>
          <w:spacing w:val="0"/>
          <w:sz w:val="24"/>
          <w:szCs w:val="24"/>
          <w:highlight w:val="none"/>
          <w:lang w:eastAsia="zh-CN"/>
        </w:rPr>
        <w:t>成交候选供应商</w:t>
      </w:r>
      <w:r>
        <w:rPr>
          <w:rFonts w:hint="eastAsia" w:ascii="仿宋" w:hAnsi="仿宋" w:eastAsia="仿宋" w:cs="仿宋"/>
          <w:bCs/>
          <w:color w:val="000000"/>
          <w:spacing w:val="0"/>
          <w:sz w:val="24"/>
          <w:szCs w:val="24"/>
          <w:highlight w:val="none"/>
        </w:rPr>
        <w:t>资格。</w:t>
      </w:r>
    </w:p>
    <w:p w14:paraId="089EDA8C">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4" w:name="_Toc26777"/>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9</w:t>
      </w:r>
      <w:r>
        <w:rPr>
          <w:rFonts w:hint="eastAsia" w:ascii="仿宋" w:hAnsi="仿宋" w:eastAsia="仿宋" w:cs="仿宋"/>
          <w:bCs/>
          <w:color w:val="000000"/>
          <w:spacing w:val="0"/>
          <w:sz w:val="24"/>
          <w:szCs w:val="24"/>
          <w:highlight w:val="none"/>
        </w:rPr>
        <w:t>.成交通知书</w:t>
      </w:r>
      <w:bookmarkEnd w:id="64"/>
    </w:p>
    <w:p w14:paraId="2A74A1E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9</w:t>
      </w:r>
      <w:r>
        <w:rPr>
          <w:rFonts w:hint="eastAsia" w:ascii="仿宋" w:hAnsi="仿宋" w:eastAsia="仿宋" w:cs="仿宋"/>
          <w:bCs/>
          <w:color w:val="000000"/>
          <w:spacing w:val="0"/>
          <w:sz w:val="24"/>
          <w:szCs w:val="24"/>
          <w:highlight w:val="none"/>
        </w:rPr>
        <w:t>.1成交结果公示同时</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将向成交供应商发布成交通知书。</w:t>
      </w:r>
    </w:p>
    <w:p w14:paraId="1AD1EAA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9</w:t>
      </w:r>
      <w:r>
        <w:rPr>
          <w:rFonts w:hint="eastAsia" w:ascii="仿宋" w:hAnsi="仿宋" w:eastAsia="仿宋" w:cs="仿宋"/>
          <w:bCs/>
          <w:color w:val="000000"/>
          <w:spacing w:val="0"/>
          <w:sz w:val="24"/>
          <w:szCs w:val="24"/>
          <w:highlight w:val="none"/>
        </w:rPr>
        <w:t>.2 成交通知书将是合同的一个组成部分。</w:t>
      </w:r>
    </w:p>
    <w:p w14:paraId="78785DFA">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5" w:name="_Toc2095"/>
      <w:r>
        <w:rPr>
          <w:rFonts w:hint="eastAsia" w:ascii="仿宋" w:hAnsi="仿宋" w:eastAsia="仿宋" w:cs="仿宋"/>
          <w:bCs/>
          <w:color w:val="000000"/>
          <w:spacing w:val="0"/>
          <w:sz w:val="24"/>
          <w:szCs w:val="24"/>
          <w:highlight w:val="none"/>
          <w:lang w:val="en-US" w:eastAsia="zh-CN"/>
        </w:rPr>
        <w:t>30</w:t>
      </w:r>
      <w:r>
        <w:rPr>
          <w:rFonts w:hint="eastAsia" w:ascii="仿宋" w:hAnsi="仿宋" w:eastAsia="仿宋" w:cs="仿宋"/>
          <w:bCs/>
          <w:color w:val="000000"/>
          <w:spacing w:val="0"/>
          <w:sz w:val="24"/>
          <w:szCs w:val="24"/>
          <w:highlight w:val="none"/>
        </w:rPr>
        <w:t>.签订合同</w:t>
      </w:r>
      <w:bookmarkEnd w:id="65"/>
    </w:p>
    <w:p w14:paraId="539AA03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30</w:t>
      </w:r>
      <w:r>
        <w:rPr>
          <w:rFonts w:hint="eastAsia" w:ascii="仿宋" w:hAnsi="仿宋" w:eastAsia="仿宋" w:cs="仿宋"/>
          <w:bCs/>
          <w:color w:val="000000"/>
          <w:spacing w:val="0"/>
          <w:sz w:val="24"/>
          <w:szCs w:val="24"/>
          <w:highlight w:val="none"/>
        </w:rPr>
        <w:t>.1采购人与成交供应商应在成交通知书发出之日起</w:t>
      </w:r>
      <w:r>
        <w:rPr>
          <w:rFonts w:hint="eastAsia" w:ascii="仿宋" w:hAnsi="仿宋" w:eastAsia="仿宋" w:cs="仿宋"/>
          <w:bCs/>
          <w:color w:val="000000"/>
          <w:spacing w:val="0"/>
          <w:sz w:val="24"/>
          <w:szCs w:val="24"/>
          <w:highlight w:val="none"/>
          <w:lang w:val="en-US" w:eastAsia="zh-CN"/>
        </w:rPr>
        <w:t>15</w:t>
      </w:r>
      <w:r>
        <w:rPr>
          <w:rFonts w:hint="eastAsia" w:ascii="仿宋" w:hAnsi="仿宋" w:eastAsia="仿宋" w:cs="仿宋"/>
          <w:bCs/>
          <w:color w:val="000000"/>
          <w:spacing w:val="0"/>
          <w:sz w:val="24"/>
          <w:szCs w:val="24"/>
          <w:highlight w:val="none"/>
        </w:rPr>
        <w:t>日内签订政府采购合同。磋商文件、成交供应商的响应文件及澄清文件等均为签订合同依据。</w:t>
      </w:r>
    </w:p>
    <w:p w14:paraId="2EDE158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30</w:t>
      </w:r>
      <w:r>
        <w:rPr>
          <w:rFonts w:hint="eastAsia" w:ascii="仿宋" w:hAnsi="仿宋" w:eastAsia="仿宋" w:cs="仿宋"/>
          <w:bCs/>
          <w:color w:val="000000"/>
          <w:spacing w:val="0"/>
          <w:sz w:val="24"/>
          <w:szCs w:val="24"/>
          <w:highlight w:val="none"/>
        </w:rPr>
        <w:t>.2成交供应商自成交通知书发出之日起</w:t>
      </w:r>
      <w:r>
        <w:rPr>
          <w:rFonts w:hint="eastAsia" w:ascii="仿宋" w:hAnsi="仿宋" w:eastAsia="仿宋" w:cs="仿宋"/>
          <w:bCs/>
          <w:color w:val="000000"/>
          <w:spacing w:val="0"/>
          <w:sz w:val="24"/>
          <w:szCs w:val="24"/>
          <w:highlight w:val="none"/>
          <w:lang w:val="en-US" w:eastAsia="zh-CN"/>
        </w:rPr>
        <w:t>15</w:t>
      </w:r>
      <w:r>
        <w:rPr>
          <w:rFonts w:hint="eastAsia" w:ascii="仿宋" w:hAnsi="仿宋" w:eastAsia="仿宋" w:cs="仿宋"/>
          <w:bCs/>
          <w:color w:val="000000"/>
          <w:spacing w:val="0"/>
          <w:sz w:val="24"/>
          <w:szCs w:val="24"/>
          <w:highlight w:val="none"/>
        </w:rPr>
        <w:t>日内无正当理由不与采购人签订合同的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将按规定进行处理。</w:t>
      </w:r>
    </w:p>
    <w:p w14:paraId="3708C21C">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30</w:t>
      </w:r>
      <w:r>
        <w:rPr>
          <w:rFonts w:hint="eastAsia" w:ascii="仿宋" w:hAnsi="仿宋" w:eastAsia="仿宋" w:cs="仿宋"/>
          <w:bCs/>
          <w:color w:val="000000"/>
          <w:spacing w:val="0"/>
          <w:sz w:val="24"/>
          <w:szCs w:val="24"/>
          <w:highlight w:val="none"/>
        </w:rPr>
        <w:t>.3如果成交供应商没有按照</w:t>
      </w:r>
      <w:r>
        <w:rPr>
          <w:rFonts w:hint="eastAsia" w:ascii="仿宋" w:hAnsi="仿宋" w:eastAsia="仿宋" w:cs="仿宋"/>
          <w:bCs/>
          <w:color w:val="000000"/>
          <w:spacing w:val="0"/>
          <w:sz w:val="24"/>
          <w:szCs w:val="24"/>
          <w:highlight w:val="none"/>
          <w:lang w:val="en-US" w:eastAsia="zh-CN"/>
        </w:rPr>
        <w:t>30</w:t>
      </w:r>
      <w:r>
        <w:rPr>
          <w:rFonts w:hint="eastAsia" w:ascii="仿宋" w:hAnsi="仿宋" w:eastAsia="仿宋" w:cs="仿宋"/>
          <w:bCs/>
          <w:color w:val="000000"/>
          <w:spacing w:val="0"/>
          <w:sz w:val="24"/>
          <w:szCs w:val="24"/>
          <w:highlight w:val="none"/>
        </w:rPr>
        <w:t>条的规定去做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采购人报财政部门取消其成交资格</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在此情况下采购人可将标授予下一个成交候选供应商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或重新采购。</w:t>
      </w:r>
    </w:p>
    <w:p w14:paraId="1BB52EA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6" w:name="_Toc32363"/>
      <w:r>
        <w:rPr>
          <w:rFonts w:hint="eastAsia" w:ascii="仿宋" w:hAnsi="仿宋" w:eastAsia="仿宋" w:cs="仿宋"/>
          <w:bCs/>
          <w:color w:val="000000"/>
          <w:spacing w:val="0"/>
          <w:sz w:val="24"/>
          <w:szCs w:val="24"/>
          <w:highlight w:val="none"/>
          <w:lang w:val="en-US" w:eastAsia="zh-CN"/>
        </w:rPr>
        <w:t>31</w:t>
      </w:r>
      <w:r>
        <w:rPr>
          <w:rFonts w:hint="eastAsia" w:ascii="仿宋" w:hAnsi="仿宋" w:eastAsia="仿宋" w:cs="仿宋"/>
          <w:bCs/>
          <w:color w:val="000000"/>
          <w:spacing w:val="0"/>
          <w:sz w:val="24"/>
          <w:szCs w:val="24"/>
          <w:highlight w:val="none"/>
        </w:rPr>
        <w:t>.货物和服务的减少</w:t>
      </w:r>
      <w:bookmarkEnd w:id="66"/>
    </w:p>
    <w:p w14:paraId="6C140CBF">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31</w:t>
      </w:r>
      <w:r>
        <w:rPr>
          <w:rFonts w:hint="eastAsia" w:ascii="仿宋" w:hAnsi="仿宋" w:eastAsia="仿宋" w:cs="仿宋"/>
          <w:bCs/>
          <w:color w:val="000000"/>
          <w:spacing w:val="0"/>
          <w:sz w:val="24"/>
          <w:szCs w:val="24"/>
          <w:highlight w:val="none"/>
        </w:rPr>
        <w:t>.1采购结束后</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采购人若由于各种客观原因</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必须对采购项目所牵涉的货物和服务进行适当的减少时</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在双方协商一致的前提下</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可以按照磋商时的价格水平做相应的调减</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并据此签订补充合同。</w:t>
      </w:r>
    </w:p>
    <w:p w14:paraId="358D70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w:t>
      </w:r>
      <w:r>
        <w:rPr>
          <w:rFonts w:hint="eastAsia" w:ascii="仿宋" w:hAnsi="仿宋" w:eastAsia="仿宋" w:cs="仿宋"/>
          <w:bCs/>
          <w:color w:val="000000"/>
          <w:spacing w:val="0"/>
          <w:sz w:val="24"/>
          <w:szCs w:val="24"/>
          <w:highlight w:val="none"/>
        </w:rPr>
        <w:t>.履约保证金</w:t>
      </w:r>
    </w:p>
    <w:p w14:paraId="32857DA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lang w:val="en-US" w:eastAsia="zh-CN"/>
        </w:rPr>
        <w:t>32.1</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交纳合同</w:t>
      </w:r>
      <w:r>
        <w:rPr>
          <w:rFonts w:hint="eastAsia" w:ascii="仿宋" w:hAnsi="仿宋" w:eastAsia="仿宋" w:cs="仿宋"/>
          <w:bCs/>
          <w:color w:val="000000"/>
          <w:spacing w:val="0"/>
          <w:sz w:val="24"/>
          <w:szCs w:val="24"/>
          <w:highlight w:val="none"/>
          <w:lang w:eastAsia="zh-CN"/>
        </w:rPr>
        <w:t>总价</w:t>
      </w:r>
      <w:r>
        <w:rPr>
          <w:rFonts w:hint="eastAsia" w:ascii="仿宋" w:hAnsi="仿宋" w:eastAsia="仿宋" w:cs="仿宋"/>
          <w:bCs/>
          <w:color w:val="000000"/>
          <w:spacing w:val="0"/>
          <w:sz w:val="24"/>
          <w:szCs w:val="24"/>
          <w:highlight w:val="none"/>
        </w:rPr>
        <w:t>的1%作为履约保证金</w:t>
      </w:r>
      <w:r>
        <w:rPr>
          <w:rFonts w:hint="eastAsia" w:ascii="仿宋" w:hAnsi="仿宋" w:eastAsia="仿宋" w:cs="仿宋"/>
          <w:bCs/>
          <w:color w:val="000000"/>
          <w:spacing w:val="0"/>
          <w:sz w:val="24"/>
          <w:szCs w:val="24"/>
          <w:highlight w:val="none"/>
          <w:lang w:eastAsia="zh-CN"/>
        </w:rPr>
        <w:t>。</w:t>
      </w:r>
    </w:p>
    <w:p w14:paraId="29DA5D2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32.2成交供应商</w:t>
      </w:r>
      <w:r>
        <w:rPr>
          <w:rFonts w:hint="eastAsia" w:ascii="仿宋" w:hAnsi="仿宋" w:eastAsia="仿宋" w:cs="仿宋"/>
          <w:bCs/>
          <w:color w:val="000000"/>
          <w:spacing w:val="0"/>
          <w:sz w:val="24"/>
          <w:szCs w:val="24"/>
          <w:highlight w:val="none"/>
        </w:rPr>
        <w:t>提供的履约保证金可以是人民币形式（银行本票、汇票、支票、电汇），或银行保函、担保公司的保证担保或保险公司的保证保险等多种形式。</w:t>
      </w:r>
    </w:p>
    <w:p w14:paraId="44303E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32.3成交供应商</w:t>
      </w:r>
      <w:r>
        <w:rPr>
          <w:rFonts w:hint="eastAsia" w:ascii="仿宋" w:hAnsi="仿宋" w:eastAsia="仿宋" w:cs="仿宋"/>
          <w:bCs/>
          <w:color w:val="000000"/>
          <w:spacing w:val="0"/>
          <w:sz w:val="24"/>
          <w:szCs w:val="24"/>
          <w:highlight w:val="none"/>
        </w:rPr>
        <w:t>选取银行保函、担保公司的保证担保或保险公司的保证保险等形式向采购人缴纳的，如保函（担保、保险等）的约定期到期但</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履约仍未结束的，</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须进行续保。</w:t>
      </w:r>
    </w:p>
    <w:p w14:paraId="620173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32.4成交供应商</w:t>
      </w:r>
      <w:r>
        <w:rPr>
          <w:rFonts w:hint="eastAsia" w:ascii="仿宋" w:hAnsi="仿宋" w:eastAsia="仿宋" w:cs="仿宋"/>
          <w:bCs/>
          <w:color w:val="000000"/>
          <w:spacing w:val="0"/>
          <w:sz w:val="24"/>
          <w:szCs w:val="24"/>
          <w:highlight w:val="none"/>
        </w:rPr>
        <w:t>选取以履约保函（保险）形式向采购人缴纳的，按照《关于在全省政府采购领域推行电子履约保函（保险）的通知》（苏财购</w:t>
      </w:r>
      <w:r>
        <w:rPr>
          <w:rFonts w:hint="eastAsia" w:ascii="仿宋" w:hAnsi="仿宋" w:eastAsia="仿宋" w:cs="仿宋"/>
          <w:bCs/>
          <w:color w:val="000000"/>
          <w:spacing w:val="0"/>
          <w:sz w:val="24"/>
          <w:szCs w:val="24"/>
          <w:highlight w:val="none"/>
          <w:lang w:eastAsia="zh-CN"/>
        </w:rPr>
        <w:t>〔2023〕150号</w:t>
      </w:r>
      <w:r>
        <w:rPr>
          <w:rFonts w:hint="eastAsia" w:ascii="仿宋" w:hAnsi="仿宋" w:eastAsia="仿宋" w:cs="仿宋"/>
          <w:bCs/>
          <w:color w:val="000000"/>
          <w:spacing w:val="0"/>
          <w:sz w:val="24"/>
          <w:szCs w:val="24"/>
          <w:highlight w:val="none"/>
        </w:rPr>
        <w:t>）的要求，登录“政府采购电子履约保函（保险）平台”，选择第三方机构并提交保函（保险）申请，经审核通过后支付相关费用。</w:t>
      </w:r>
    </w:p>
    <w:p w14:paraId="0BCEE7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32.5</w:t>
      </w:r>
      <w:r>
        <w:rPr>
          <w:rFonts w:hint="eastAsia" w:ascii="仿宋" w:hAnsi="仿宋" w:eastAsia="仿宋" w:cs="仿宋"/>
          <w:bCs/>
          <w:color w:val="000000"/>
          <w:spacing w:val="0"/>
          <w:sz w:val="24"/>
          <w:szCs w:val="24"/>
          <w:highlight w:val="none"/>
        </w:rPr>
        <w:t>如</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未能履行合同规定的义务，</w:t>
      </w:r>
      <w:r>
        <w:rPr>
          <w:rFonts w:hint="eastAsia" w:ascii="仿宋" w:hAnsi="仿宋" w:eastAsia="仿宋" w:cs="仿宋"/>
          <w:bCs/>
          <w:color w:val="000000"/>
          <w:spacing w:val="0"/>
          <w:sz w:val="24"/>
          <w:szCs w:val="24"/>
          <w:highlight w:val="none"/>
          <w:lang w:eastAsia="zh-CN"/>
        </w:rPr>
        <w:t>采购人</w:t>
      </w:r>
      <w:r>
        <w:rPr>
          <w:rFonts w:hint="eastAsia" w:ascii="仿宋" w:hAnsi="仿宋" w:eastAsia="仿宋" w:cs="仿宋"/>
          <w:bCs/>
          <w:color w:val="000000"/>
          <w:spacing w:val="0"/>
          <w:sz w:val="24"/>
          <w:szCs w:val="24"/>
          <w:highlight w:val="none"/>
        </w:rPr>
        <w:t>有权从履约保证金中取得补偿。</w:t>
      </w:r>
    </w:p>
    <w:p w14:paraId="0258FD8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32.6</w:t>
      </w:r>
      <w:r>
        <w:rPr>
          <w:rFonts w:hint="eastAsia" w:ascii="仿宋" w:hAnsi="仿宋" w:eastAsia="仿宋" w:cs="仿宋"/>
          <w:bCs/>
          <w:color w:val="000000"/>
          <w:spacing w:val="0"/>
          <w:sz w:val="24"/>
          <w:szCs w:val="24"/>
          <w:highlight w:val="none"/>
        </w:rPr>
        <w:t>履约保证金在合同约定期间内不予退还或者应完全有效，约定期间届满之日起5个工作日内，</w:t>
      </w:r>
      <w:r>
        <w:rPr>
          <w:rFonts w:hint="eastAsia" w:ascii="仿宋" w:hAnsi="仿宋" w:eastAsia="仿宋" w:cs="仿宋"/>
          <w:bCs/>
          <w:color w:val="000000"/>
          <w:spacing w:val="0"/>
          <w:sz w:val="24"/>
          <w:szCs w:val="24"/>
          <w:highlight w:val="none"/>
          <w:lang w:eastAsia="zh-CN"/>
        </w:rPr>
        <w:t>采购人</w:t>
      </w:r>
      <w:r>
        <w:rPr>
          <w:rFonts w:hint="eastAsia" w:ascii="仿宋" w:hAnsi="仿宋" w:eastAsia="仿宋" w:cs="仿宋"/>
          <w:bCs/>
          <w:color w:val="000000"/>
          <w:spacing w:val="0"/>
          <w:sz w:val="24"/>
          <w:szCs w:val="24"/>
          <w:highlight w:val="none"/>
        </w:rPr>
        <w:t>应将履约保证金退还</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；逾期退还的，按中国人民银行同期贷款</w:t>
      </w:r>
      <w:r>
        <w:rPr>
          <w:rFonts w:hint="eastAsia" w:ascii="仿宋" w:hAnsi="仿宋" w:eastAsia="仿宋" w:cs="仿宋"/>
          <w:bCs/>
          <w:color w:val="000000"/>
          <w:spacing w:val="0"/>
          <w:sz w:val="24"/>
          <w:szCs w:val="24"/>
          <w:highlight w:val="none"/>
          <w:lang w:eastAsia="zh-CN"/>
        </w:rPr>
        <w:t>基准利率</w:t>
      </w:r>
      <w:r>
        <w:rPr>
          <w:rFonts w:hint="eastAsia" w:ascii="仿宋" w:hAnsi="仿宋" w:eastAsia="仿宋" w:cs="仿宋"/>
          <w:bCs/>
          <w:color w:val="000000"/>
          <w:spacing w:val="0"/>
          <w:sz w:val="24"/>
          <w:szCs w:val="24"/>
          <w:highlight w:val="none"/>
        </w:rPr>
        <w:t>上浮20%后的利率支付超期资金占用费，但因</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自身原因导致无法及时退还的除外。</w:t>
      </w:r>
    </w:p>
    <w:p w14:paraId="1E8584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32.7</w:t>
      </w:r>
      <w:r>
        <w:rPr>
          <w:rFonts w:hint="eastAsia" w:ascii="仿宋" w:hAnsi="仿宋" w:eastAsia="仿宋" w:cs="仿宋"/>
          <w:bCs/>
          <w:color w:val="000000"/>
          <w:spacing w:val="0"/>
          <w:sz w:val="24"/>
          <w:szCs w:val="24"/>
          <w:highlight w:val="none"/>
        </w:rPr>
        <w:t>履约保证金在合同约定期间内不予退还或者应完全有效，履约保证金在</w:t>
      </w:r>
      <w:r>
        <w:rPr>
          <w:rFonts w:hint="eastAsia" w:ascii="仿宋" w:hAnsi="仿宋" w:eastAsia="仿宋" w:cs="仿宋"/>
          <w:bCs/>
          <w:color w:val="000000"/>
          <w:spacing w:val="0"/>
          <w:sz w:val="24"/>
          <w:szCs w:val="24"/>
          <w:highlight w:val="none"/>
          <w:lang w:eastAsia="zh-CN"/>
        </w:rPr>
        <w:t>质保期满</w:t>
      </w:r>
      <w:r>
        <w:rPr>
          <w:rFonts w:hint="eastAsia" w:ascii="仿宋" w:hAnsi="仿宋" w:eastAsia="仿宋" w:cs="仿宋"/>
          <w:bCs/>
          <w:color w:val="000000"/>
          <w:spacing w:val="0"/>
          <w:sz w:val="24"/>
          <w:szCs w:val="24"/>
          <w:highlight w:val="none"/>
        </w:rPr>
        <w:t>后无息退还给</w:t>
      </w:r>
      <w:r>
        <w:rPr>
          <w:rFonts w:hint="eastAsia" w:ascii="仿宋" w:hAnsi="仿宋" w:eastAsia="仿宋" w:cs="仿宋"/>
          <w:bCs/>
          <w:color w:val="000000"/>
          <w:spacing w:val="0"/>
          <w:sz w:val="24"/>
          <w:szCs w:val="24"/>
          <w:highlight w:val="none"/>
          <w:lang w:eastAsia="zh-CN"/>
        </w:rPr>
        <w:t>成交供应商</w:t>
      </w:r>
      <w:r>
        <w:rPr>
          <w:rFonts w:hint="eastAsia" w:ascii="仿宋" w:hAnsi="仿宋" w:eastAsia="仿宋" w:cs="仿宋"/>
          <w:bCs/>
          <w:color w:val="000000"/>
          <w:spacing w:val="0"/>
          <w:sz w:val="24"/>
          <w:szCs w:val="24"/>
          <w:highlight w:val="none"/>
        </w:rPr>
        <w:t>。</w:t>
      </w:r>
    </w:p>
    <w:p w14:paraId="79925A4C">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1"/>
        <w:rPr>
          <w:rFonts w:hint="eastAsia" w:ascii="仿宋" w:hAnsi="仿宋" w:eastAsia="仿宋" w:cs="仿宋"/>
          <w:b/>
          <w:bCs/>
          <w:color w:val="000000"/>
          <w:spacing w:val="0"/>
          <w:sz w:val="24"/>
          <w:szCs w:val="24"/>
          <w:highlight w:val="none"/>
        </w:rPr>
      </w:pPr>
      <w:bookmarkStart w:id="67" w:name="_Toc3950"/>
      <w:r>
        <w:rPr>
          <w:rFonts w:hint="eastAsia" w:ascii="仿宋" w:hAnsi="仿宋" w:eastAsia="仿宋" w:cs="仿宋"/>
          <w:b/>
          <w:bCs/>
          <w:color w:val="000000"/>
          <w:spacing w:val="0"/>
          <w:sz w:val="24"/>
          <w:szCs w:val="24"/>
          <w:highlight w:val="none"/>
        </w:rPr>
        <w:t>七、质疑处理</w:t>
      </w:r>
      <w:bookmarkEnd w:id="67"/>
    </w:p>
    <w:p w14:paraId="28FEA15A">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2"/>
        <w:rPr>
          <w:rFonts w:hint="eastAsia" w:ascii="仿宋" w:hAnsi="仿宋" w:eastAsia="仿宋" w:cs="仿宋"/>
          <w:bCs/>
          <w:color w:val="000000"/>
          <w:spacing w:val="0"/>
          <w:sz w:val="24"/>
          <w:szCs w:val="24"/>
          <w:highlight w:val="none"/>
        </w:rPr>
      </w:pPr>
      <w:bookmarkStart w:id="68" w:name="_Toc26922"/>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.质疑处理</w:t>
      </w:r>
      <w:bookmarkEnd w:id="68"/>
    </w:p>
    <w:p w14:paraId="1201C86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.1供应商认为采购文件、采购过程和成交结果使自己的权益受到损害的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可以在知道或者应知其权益受到损害之日起七个工作日内</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以电子文件</w:t>
      </w:r>
      <w:r>
        <w:rPr>
          <w:rFonts w:hint="eastAsia" w:ascii="仿宋" w:hAnsi="仿宋" w:eastAsia="仿宋" w:cs="仿宋"/>
          <w:bCs/>
          <w:color w:val="000000"/>
          <w:spacing w:val="0"/>
          <w:sz w:val="24"/>
          <w:szCs w:val="24"/>
          <w:highlight w:val="none"/>
          <w:lang w:eastAsia="zh-CN"/>
        </w:rPr>
        <w:t>形式</w:t>
      </w:r>
      <w:r>
        <w:rPr>
          <w:rFonts w:hint="eastAsia" w:ascii="仿宋" w:hAnsi="仿宋" w:eastAsia="仿宋" w:cs="仿宋"/>
          <w:bCs/>
          <w:color w:val="000000"/>
          <w:spacing w:val="0"/>
          <w:sz w:val="24"/>
          <w:szCs w:val="24"/>
          <w:highlight w:val="none"/>
        </w:rPr>
        <w:t>通过“苏采云平台”</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“供应商</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登录</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从</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 xml:space="preserve">项目质疑申请”模块提出质疑。未通过交易平台提交的、七个工作日之外以及匿名的质疑均不予受理。 </w:t>
      </w:r>
    </w:p>
    <w:p w14:paraId="613E89B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outlineLvl w:val="9"/>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.2</w:t>
      </w:r>
      <w:r>
        <w:rPr>
          <w:rFonts w:hint="eastAsia" w:ascii="仿宋" w:hAnsi="仿宋" w:eastAsia="仿宋" w:cs="仿宋"/>
          <w:bCs/>
          <w:color w:val="000000"/>
          <w:spacing w:val="0"/>
          <w:sz w:val="24"/>
          <w:szCs w:val="24"/>
          <w:highlight w:val="none"/>
          <w:lang w:val="en-US" w:eastAsia="zh-CN"/>
        </w:rPr>
        <w:t xml:space="preserve"> </w:t>
      </w:r>
      <w:r>
        <w:rPr>
          <w:rFonts w:hint="eastAsia" w:ascii="仿宋" w:hAnsi="仿宋" w:eastAsia="仿宋" w:cs="仿宋"/>
          <w:bCs/>
          <w:color w:val="000000"/>
          <w:spacing w:val="0"/>
          <w:sz w:val="24"/>
          <w:szCs w:val="24"/>
          <w:highlight w:val="none"/>
        </w:rPr>
        <w:t>上述应知其权益受到损害之日是指</w:t>
      </w:r>
      <w:r>
        <w:rPr>
          <w:rFonts w:hint="eastAsia" w:ascii="仿宋" w:hAnsi="仿宋" w:eastAsia="仿宋" w:cs="仿宋"/>
          <w:bCs/>
          <w:color w:val="000000"/>
          <w:spacing w:val="0"/>
          <w:sz w:val="24"/>
          <w:szCs w:val="24"/>
          <w:highlight w:val="none"/>
          <w:lang w:eastAsia="zh-CN"/>
        </w:rPr>
        <w:t>：</w:t>
      </w:r>
    </w:p>
    <w:p w14:paraId="2B77D55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（1）对磋商文件提出质疑的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为采购文件公告期限届满之日起计算；</w:t>
      </w:r>
    </w:p>
    <w:p w14:paraId="12EA1122">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（2）对采购过程提出质疑的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为各采购程序环节结束之日起计算；</w:t>
      </w:r>
    </w:p>
    <w:p w14:paraId="1F68F193">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（3）对成交结果提出质疑的</w:t>
      </w:r>
      <w:r>
        <w:rPr>
          <w:rFonts w:hint="eastAsia" w:ascii="仿宋" w:hAnsi="仿宋" w:eastAsia="仿宋" w:cs="仿宋"/>
          <w:bCs/>
          <w:color w:val="000000"/>
          <w:spacing w:val="0"/>
          <w:sz w:val="24"/>
          <w:szCs w:val="24"/>
          <w:highlight w:val="none"/>
          <w:lang w:eastAsia="zh-CN"/>
        </w:rPr>
        <w:t>，自成</w:t>
      </w:r>
      <w:r>
        <w:rPr>
          <w:rFonts w:hint="eastAsia" w:ascii="仿宋" w:hAnsi="仿宋" w:eastAsia="仿宋" w:cs="仿宋"/>
          <w:bCs/>
          <w:color w:val="000000"/>
          <w:spacing w:val="0"/>
          <w:sz w:val="24"/>
          <w:szCs w:val="24"/>
          <w:highlight w:val="none"/>
        </w:rPr>
        <w:t>交结果公告期限届满之日起计算。</w:t>
      </w:r>
    </w:p>
    <w:p w14:paraId="28713E7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.3质疑供应商是指直接参加本次磋商活动的供应商</w:t>
      </w:r>
      <w:r>
        <w:rPr>
          <w:rFonts w:hint="eastAsia" w:ascii="仿宋" w:hAnsi="仿宋" w:eastAsia="仿宋" w:cs="仿宋"/>
          <w:bCs/>
          <w:color w:val="000000"/>
          <w:spacing w:val="0"/>
          <w:sz w:val="24"/>
          <w:szCs w:val="24"/>
          <w:highlight w:val="none"/>
          <w:lang w:eastAsia="zh-CN"/>
        </w:rPr>
        <w:t>，对</w:t>
      </w:r>
      <w:r>
        <w:rPr>
          <w:rFonts w:hint="eastAsia" w:ascii="仿宋" w:hAnsi="仿宋" w:eastAsia="仿宋" w:cs="仿宋"/>
          <w:bCs/>
          <w:color w:val="000000"/>
          <w:spacing w:val="0"/>
          <w:sz w:val="24"/>
          <w:szCs w:val="24"/>
          <w:highlight w:val="none"/>
        </w:rPr>
        <w:t>未参加磋商活动的供应商或在磋商活动中自身权益未受到损害的供应商所提出的质疑不予受理。</w:t>
      </w:r>
    </w:p>
    <w:p w14:paraId="08FFE547">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.4质疑供应商在法定质疑期内应当一次性提出针对同一采购环节提出质疑。</w:t>
      </w:r>
    </w:p>
    <w:p w14:paraId="5D3CB17A">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.5质疑函必须</w:t>
      </w:r>
      <w:r>
        <w:rPr>
          <w:rFonts w:hint="eastAsia" w:ascii="仿宋" w:hAnsi="仿宋" w:eastAsia="仿宋" w:cs="仿宋"/>
          <w:bCs/>
          <w:color w:val="000000"/>
          <w:spacing w:val="0"/>
          <w:sz w:val="24"/>
          <w:szCs w:val="24"/>
          <w:highlight w:val="none"/>
          <w:lang w:eastAsia="zh-CN"/>
        </w:rPr>
        <w:t>按照</w:t>
      </w:r>
      <w:r>
        <w:rPr>
          <w:rFonts w:hint="eastAsia" w:ascii="仿宋" w:hAnsi="仿宋" w:eastAsia="仿宋" w:cs="仿宋"/>
          <w:bCs/>
          <w:color w:val="000000"/>
          <w:spacing w:val="0"/>
          <w:sz w:val="24"/>
          <w:szCs w:val="24"/>
          <w:highlight w:val="none"/>
        </w:rPr>
        <w:t>《中华人民共和国政府采购法》</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《中华人民共和国政府采购法实施条例》及《江苏省政府采购供应商监督管理暂行办法》的相关规定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参加磋商供应商法定代表人（签署本人姓名或印章）或授权代表[签署本人姓名或印章</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应当同时提供法定代表人授权其办理质疑事项的授权书 （授权中必须载明具体权限、期限和事项）]以原件送达的方式提交</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未按上述要求提交的质疑函采购人和</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有权不予受理。</w:t>
      </w:r>
    </w:p>
    <w:p w14:paraId="5CDD8590">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.6质疑函应当包括以下主要内容</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并附上相关证明材料。否则</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采购人或</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不予受理。</w:t>
      </w:r>
    </w:p>
    <w:p w14:paraId="1E47868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（1）质疑磋商供应商的名称、地址、邮编、联系人及联系电话；</w:t>
      </w:r>
    </w:p>
    <w:p w14:paraId="2D09290B">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（2）质疑项目的名称、编号；</w:t>
      </w:r>
    </w:p>
    <w:p w14:paraId="4D7E68F9">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（3）具体、明确的质疑事项和与质疑事实相关的请求；</w:t>
      </w:r>
    </w:p>
    <w:p w14:paraId="6D23D0EB">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（4）事实依据；</w:t>
      </w:r>
    </w:p>
    <w:p w14:paraId="15DBFF24">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（5）必要的法律依据；</w:t>
      </w:r>
    </w:p>
    <w:p w14:paraId="5A44B47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（6）提起质疑的日期；</w:t>
      </w:r>
    </w:p>
    <w:p w14:paraId="5B1794D5">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（7）质疑函应当署名</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应当由法定代表人签字并加盖单位公章。</w:t>
      </w:r>
    </w:p>
    <w:p w14:paraId="4014CE78">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.7采购人或</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收到质疑函后</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将对质疑的形式和内容进行审查</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如质疑函内容、格式不符合规定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采购人或</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将告知质疑人进行补正。质疑人应当在法定质疑期限内进行补正并重新提交质疑函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拒不补正或者超过法定期限后未重新提交质疑函的</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为无效质疑</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采购人或</w:t>
      </w:r>
      <w:r>
        <w:rPr>
          <w:rFonts w:hint="eastAsia" w:ascii="仿宋" w:hAnsi="仿宋" w:eastAsia="仿宋" w:cs="仿宋"/>
          <w:bCs/>
          <w:color w:val="000000"/>
          <w:spacing w:val="0"/>
          <w:sz w:val="24"/>
          <w:szCs w:val="24"/>
          <w:highlight w:val="none"/>
          <w:lang w:eastAsia="zh-CN"/>
        </w:rPr>
        <w:t>采购代理机构</w:t>
      </w:r>
      <w:r>
        <w:rPr>
          <w:rFonts w:hint="eastAsia" w:ascii="仿宋" w:hAnsi="仿宋" w:eastAsia="仿宋" w:cs="仿宋"/>
          <w:bCs/>
          <w:color w:val="000000"/>
          <w:spacing w:val="0"/>
          <w:sz w:val="24"/>
          <w:szCs w:val="24"/>
          <w:highlight w:val="none"/>
        </w:rPr>
        <w:t>有权不予受理。</w:t>
      </w:r>
    </w:p>
    <w:p w14:paraId="1D84E3A6">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.8对于内容、格式符合规定的质疑函</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采购人或采购</w:t>
      </w:r>
      <w:r>
        <w:rPr>
          <w:rFonts w:hint="eastAsia" w:ascii="仿宋" w:hAnsi="仿宋" w:eastAsia="仿宋" w:cs="仿宋"/>
          <w:bCs/>
          <w:color w:val="000000"/>
          <w:spacing w:val="0"/>
          <w:sz w:val="24"/>
          <w:szCs w:val="24"/>
          <w:highlight w:val="none"/>
          <w:lang w:eastAsia="zh-CN"/>
        </w:rPr>
        <w:t>代理机构</w:t>
      </w:r>
      <w:r>
        <w:rPr>
          <w:rFonts w:hint="eastAsia" w:ascii="仿宋" w:hAnsi="仿宋" w:eastAsia="仿宋" w:cs="仿宋"/>
          <w:bCs/>
          <w:color w:val="000000"/>
          <w:spacing w:val="0"/>
          <w:sz w:val="24"/>
          <w:szCs w:val="24"/>
          <w:highlight w:val="none"/>
        </w:rPr>
        <w:t>将在</w:t>
      </w:r>
      <w:r>
        <w:rPr>
          <w:rFonts w:hint="eastAsia" w:ascii="仿宋" w:hAnsi="仿宋" w:eastAsia="仿宋" w:cs="仿宋"/>
          <w:bCs/>
          <w:color w:val="000000"/>
          <w:spacing w:val="0"/>
          <w:sz w:val="24"/>
          <w:szCs w:val="24"/>
          <w:highlight w:val="none"/>
          <w:lang w:val="en-US" w:eastAsia="zh-CN"/>
        </w:rPr>
        <w:t>7</w:t>
      </w:r>
      <w:r>
        <w:rPr>
          <w:rFonts w:hint="eastAsia" w:ascii="仿宋" w:hAnsi="仿宋" w:eastAsia="仿宋" w:cs="仿宋"/>
          <w:bCs/>
          <w:color w:val="000000"/>
          <w:spacing w:val="0"/>
          <w:sz w:val="24"/>
          <w:szCs w:val="24"/>
          <w:highlight w:val="none"/>
        </w:rPr>
        <w:t>个工作日内以书面形式作出答复。</w:t>
      </w:r>
    </w:p>
    <w:p w14:paraId="0CCDE23E">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lang w:val="en-US" w:eastAsia="zh-CN"/>
        </w:rPr>
        <w:t>33</w:t>
      </w:r>
      <w:r>
        <w:rPr>
          <w:rFonts w:hint="eastAsia" w:ascii="仿宋" w:hAnsi="仿宋" w:eastAsia="仿宋" w:cs="仿宋"/>
          <w:bCs/>
          <w:color w:val="000000"/>
          <w:spacing w:val="0"/>
          <w:sz w:val="24"/>
          <w:szCs w:val="24"/>
          <w:highlight w:val="none"/>
        </w:rPr>
        <w:t>.9供应商提出书面质疑必须有理、有据</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不得恶意质疑或提交虚假质疑。否则</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一经查实</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采购人有权依据政府采购的有关规定</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报请淮安市财政局政府采购管理处对该供应商列入失信行为或不良行为记录名单</w:t>
      </w:r>
      <w:r>
        <w:rPr>
          <w:rFonts w:hint="eastAsia" w:ascii="仿宋" w:hAnsi="仿宋" w:eastAsia="仿宋" w:cs="仿宋"/>
          <w:bCs/>
          <w:color w:val="000000"/>
          <w:spacing w:val="0"/>
          <w:sz w:val="24"/>
          <w:szCs w:val="24"/>
          <w:highlight w:val="none"/>
          <w:lang w:eastAsia="zh-CN"/>
        </w:rPr>
        <w:t>，</w:t>
      </w:r>
      <w:r>
        <w:rPr>
          <w:rFonts w:hint="eastAsia" w:ascii="仿宋" w:hAnsi="仿宋" w:eastAsia="仿宋" w:cs="仿宋"/>
          <w:bCs/>
          <w:color w:val="000000"/>
          <w:spacing w:val="0"/>
          <w:sz w:val="24"/>
          <w:szCs w:val="24"/>
          <w:highlight w:val="none"/>
        </w:rPr>
        <w:t>进行相应的行政处罚。</w:t>
      </w:r>
    </w:p>
    <w:p w14:paraId="5524679D">
      <w:pPr>
        <w:keepNext w:val="0"/>
        <w:keepLines w:val="0"/>
        <w:pageBreakBefore w:val="0"/>
        <w:widowControl w:val="0"/>
        <w:kinsoku/>
        <w:wordWrap/>
        <w:overflowPunct/>
        <w:topLinePunct w:val="0"/>
        <w:autoSpaceDE/>
        <w:autoSpaceDN/>
        <w:bidi w:val="0"/>
        <w:adjustRightInd/>
        <w:snapToGrid/>
        <w:spacing w:line="500" w:lineRule="exact"/>
        <w:ind w:right="0" w:firstLine="482" w:firstLineChars="200"/>
        <w:textAlignment w:val="auto"/>
        <w:outlineLvl w:val="1"/>
        <w:rPr>
          <w:rFonts w:hint="eastAsia" w:ascii="仿宋" w:hAnsi="仿宋" w:eastAsia="仿宋" w:cs="仿宋"/>
          <w:b/>
          <w:bCs w:val="0"/>
          <w:color w:val="000000"/>
          <w:spacing w:val="0"/>
          <w:sz w:val="24"/>
          <w:szCs w:val="24"/>
          <w:highlight w:val="none"/>
        </w:rPr>
      </w:pPr>
      <w:bookmarkStart w:id="69" w:name="_Toc15834"/>
      <w:r>
        <w:rPr>
          <w:rFonts w:hint="eastAsia" w:ascii="仿宋" w:hAnsi="仿宋" w:eastAsia="仿宋" w:cs="仿宋"/>
          <w:b/>
          <w:bCs w:val="0"/>
          <w:color w:val="000000"/>
          <w:spacing w:val="0"/>
          <w:sz w:val="24"/>
          <w:szCs w:val="24"/>
          <w:highlight w:val="none"/>
        </w:rPr>
        <w:t>八、政府采购政策功能落实</w:t>
      </w:r>
      <w:bookmarkEnd w:id="69"/>
    </w:p>
    <w:p w14:paraId="3802644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val="en-US" w:eastAsia="zh-CN"/>
        </w:rPr>
        <w:t>4</w:t>
      </w:r>
      <w:r>
        <w:rPr>
          <w:rFonts w:hint="eastAsia" w:ascii="仿宋" w:hAnsi="仿宋" w:eastAsia="仿宋" w:cs="仿宋"/>
          <w:bCs/>
          <w:color w:val="000000"/>
          <w:sz w:val="24"/>
          <w:szCs w:val="24"/>
          <w:highlight w:val="none"/>
        </w:rPr>
        <w:t>.政策功能落实</w:t>
      </w:r>
    </w:p>
    <w:p w14:paraId="10B2EB4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 小微型企业价格扣除</w:t>
      </w:r>
    </w:p>
    <w:p w14:paraId="7A50DF7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val="zh-CN"/>
        </w:rPr>
        <w:t>对于未预留份额专门面向中小企业采购的采购项目，供应商提供的货物、</w:t>
      </w:r>
      <w:r>
        <w:rPr>
          <w:rFonts w:hint="eastAsia" w:ascii="仿宋" w:hAnsi="仿宋" w:eastAsia="仿宋" w:cs="仿宋"/>
          <w:color w:val="000000"/>
          <w:sz w:val="24"/>
          <w:szCs w:val="24"/>
          <w:highlight w:val="none"/>
        </w:rPr>
        <w:t>工程</w:t>
      </w:r>
      <w:r>
        <w:rPr>
          <w:rFonts w:hint="eastAsia" w:ascii="仿宋" w:hAnsi="仿宋" w:eastAsia="仿宋" w:cs="仿宋"/>
          <w:color w:val="000000"/>
          <w:sz w:val="24"/>
          <w:szCs w:val="24"/>
          <w:highlight w:val="none"/>
          <w:lang w:val="zh-CN"/>
        </w:rPr>
        <w:t>或者服务</w:t>
      </w:r>
      <w:r>
        <w:rPr>
          <w:rFonts w:hint="eastAsia" w:ascii="仿宋" w:hAnsi="仿宋" w:eastAsia="仿宋" w:cs="仿宋"/>
          <w:color w:val="000000"/>
          <w:sz w:val="24"/>
          <w:szCs w:val="24"/>
          <w:highlight w:val="none"/>
        </w:rPr>
        <w:t>符合下列情形的，享受本办法规定的中小企业扶持政策给予小微企业报价</w:t>
      </w:r>
      <w:r>
        <w:rPr>
          <w:rFonts w:hint="eastAsia" w:ascii="仿宋" w:hAnsi="仿宋" w:eastAsia="仿宋" w:cs="仿宋"/>
          <w:color w:val="000000"/>
          <w:sz w:val="24"/>
          <w:szCs w:val="24"/>
          <w:highlight w:val="none"/>
          <w:lang w:val="en-US" w:eastAsia="zh-CN"/>
        </w:rPr>
        <w:t>20</w:t>
      </w:r>
      <w:r>
        <w:rPr>
          <w:rFonts w:hint="eastAsia" w:ascii="仿宋" w:hAnsi="仿宋" w:eastAsia="仿宋" w:cs="仿宋"/>
          <w:color w:val="000000"/>
          <w:sz w:val="24"/>
          <w:szCs w:val="24"/>
          <w:highlight w:val="none"/>
        </w:rPr>
        <w:t>%的扣除，用扣除后的价格参与评审：</w:t>
      </w:r>
    </w:p>
    <w:p w14:paraId="5E981F0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（1）在货物采购项目中，货物由中小企业制造，即货物由中小企业生产且使用该中小企业商号或者注册商标；</w:t>
      </w:r>
    </w:p>
    <w:p w14:paraId="7196A00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（2）在工程采购项目中，工程由中小企业承建，即工程施工单位为中小企业</w:t>
      </w:r>
      <w:r>
        <w:rPr>
          <w:rFonts w:hint="eastAsia" w:ascii="仿宋" w:hAnsi="仿宋" w:eastAsia="仿宋" w:cs="仿宋"/>
          <w:color w:val="000000"/>
          <w:sz w:val="24"/>
          <w:szCs w:val="24"/>
          <w:highlight w:val="none"/>
          <w:lang w:eastAsia="zh-CN"/>
        </w:rPr>
        <w:t>；</w:t>
      </w:r>
    </w:p>
    <w:p w14:paraId="1A25B49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（3）在服务采购项目中，服务由中小企业承接，即提供服务的人员为中小企业依照《中华人民共和国</w:t>
      </w:r>
      <w:r>
        <w:rPr>
          <w:rFonts w:hint="eastAsia" w:ascii="仿宋" w:hAnsi="仿宋" w:eastAsia="仿宋" w:cs="仿宋"/>
          <w:color w:val="000000"/>
          <w:sz w:val="24"/>
          <w:szCs w:val="24"/>
          <w:highlight w:val="none"/>
          <w:lang w:eastAsia="zh-CN"/>
        </w:rPr>
        <w:t>民</w:t>
      </w:r>
      <w:r>
        <w:rPr>
          <w:rFonts w:hint="eastAsia" w:ascii="仿宋" w:hAnsi="仿宋" w:eastAsia="仿宋" w:cs="仿宋"/>
          <w:color w:val="000000"/>
          <w:sz w:val="24"/>
          <w:szCs w:val="24"/>
          <w:highlight w:val="none"/>
        </w:rPr>
        <w:t>法</w:t>
      </w:r>
      <w:r>
        <w:rPr>
          <w:rFonts w:hint="eastAsia" w:ascii="仿宋" w:hAnsi="仿宋" w:eastAsia="仿宋" w:cs="仿宋"/>
          <w:color w:val="000000"/>
          <w:sz w:val="24"/>
          <w:szCs w:val="24"/>
          <w:highlight w:val="none"/>
          <w:lang w:eastAsia="zh-CN"/>
        </w:rPr>
        <w:t>典</w:t>
      </w:r>
      <w:r>
        <w:rPr>
          <w:rFonts w:hint="eastAsia" w:ascii="仿宋" w:hAnsi="仿宋" w:eastAsia="仿宋" w:cs="仿宋"/>
          <w:color w:val="000000"/>
          <w:sz w:val="24"/>
          <w:szCs w:val="24"/>
          <w:highlight w:val="none"/>
        </w:rPr>
        <w:t>》订立劳动合同的从业人员</w:t>
      </w:r>
      <w:r>
        <w:rPr>
          <w:rFonts w:hint="eastAsia" w:ascii="仿宋" w:hAnsi="仿宋" w:eastAsia="仿宋" w:cs="仿宋"/>
          <w:color w:val="000000"/>
          <w:sz w:val="24"/>
          <w:szCs w:val="24"/>
          <w:highlight w:val="none"/>
          <w:lang w:eastAsia="zh-CN"/>
        </w:rPr>
        <w:t>；</w:t>
      </w:r>
    </w:p>
    <w:p w14:paraId="47236F1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.1.2在货物采购项目中，供应商提供的货物既有中小企业制造货物，也有大型企业制造货物的，不享受本办法规定的中小企业扶持政策。</w:t>
      </w:r>
    </w:p>
    <w:p w14:paraId="740B0A1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 联合体及分包</w:t>
      </w:r>
    </w:p>
    <w:p w14:paraId="537F54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.2.1以联合体形式参加政府采购活动，联合体各方均为中小企业的，联合体视同中小企业。其中，联合体各方均为小微企业的，联合体视同小微企业。</w:t>
      </w:r>
    </w:p>
    <w:p w14:paraId="62FB420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.2.2享受扶持政策获得政府采购合同的，小微企业不得将合同分包给大中型企业，中型企业不得将合同分包给大型企业。</w:t>
      </w:r>
    </w:p>
    <w:p w14:paraId="7F65F94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14:paraId="4B0198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000000"/>
          <w:sz w:val="24"/>
          <w:szCs w:val="24"/>
          <w:highlight w:val="none"/>
        </w:rPr>
        <w:t>。</w:t>
      </w:r>
    </w:p>
    <w:p w14:paraId="79B333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val="en-US" w:eastAsia="zh-CN"/>
        </w:rPr>
        <w:t>4</w:t>
      </w:r>
      <w:r>
        <w:rPr>
          <w:rFonts w:hint="eastAsia" w:ascii="仿宋" w:hAnsi="仿宋" w:eastAsia="仿宋" w:cs="仿宋"/>
          <w:bCs/>
          <w:color w:val="000000"/>
          <w:sz w:val="24"/>
          <w:szCs w:val="24"/>
          <w:highlight w:val="none"/>
        </w:rPr>
        <w:t>.3 小微型企业</w:t>
      </w:r>
    </w:p>
    <w:p w14:paraId="68EC5CC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（1）供应商须按照磋商文件的要求提供相应的《企业声明函》，详见磋商文件第六章示范格式。</w:t>
      </w:r>
    </w:p>
    <w:p w14:paraId="04A776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（2）企业标准请参照《政府采购促进中小企业发展管理办法》（财库</w:t>
      </w:r>
      <w:r>
        <w:rPr>
          <w:rFonts w:hint="eastAsia" w:ascii="仿宋" w:hAnsi="仿宋" w:eastAsia="仿宋" w:cs="仿宋"/>
          <w:bCs/>
          <w:color w:val="000000"/>
          <w:sz w:val="24"/>
          <w:szCs w:val="24"/>
          <w:highlight w:val="none"/>
          <w:lang w:eastAsia="zh-CN"/>
        </w:rPr>
        <w:t>〔2020〕46号</w:t>
      </w:r>
      <w:r>
        <w:rPr>
          <w:rFonts w:hint="eastAsia" w:ascii="仿宋" w:hAnsi="仿宋" w:eastAsia="仿宋" w:cs="仿宋"/>
          <w:bCs/>
          <w:color w:val="000000"/>
          <w:sz w:val="24"/>
          <w:szCs w:val="24"/>
          <w:highlight w:val="none"/>
        </w:rPr>
        <w:t>）文件规定自行填写。</w:t>
      </w:r>
    </w:p>
    <w:p w14:paraId="1D361D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val="en-US" w:eastAsia="zh-CN"/>
        </w:rPr>
        <w:t>4</w:t>
      </w:r>
      <w:r>
        <w:rPr>
          <w:rFonts w:hint="eastAsia" w:ascii="仿宋" w:hAnsi="仿宋" w:eastAsia="仿宋" w:cs="仿宋"/>
          <w:bCs/>
          <w:color w:val="000000"/>
          <w:sz w:val="24"/>
          <w:szCs w:val="24"/>
          <w:highlight w:val="none"/>
        </w:rPr>
        <w:t>.4 残疾人福利单位</w:t>
      </w:r>
    </w:p>
    <w:p w14:paraId="7078224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（1）残疾人福利单位需按照磋商文件的要求提供《残疾人福利性单位声明函》，详见磋商文件第六章示范格式。</w:t>
      </w:r>
    </w:p>
    <w:p w14:paraId="0845F42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（2）残疾人福利单位标准请参照《关于促进残疾人就业政府采购政策的通知》（财库〔2017〕141号）。</w:t>
      </w:r>
    </w:p>
    <w:p w14:paraId="636835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val="en-US" w:eastAsia="zh-CN"/>
        </w:rPr>
        <w:t>4</w:t>
      </w:r>
      <w:r>
        <w:rPr>
          <w:rFonts w:hint="eastAsia" w:ascii="仿宋" w:hAnsi="仿宋" w:eastAsia="仿宋" w:cs="仿宋"/>
          <w:bCs/>
          <w:color w:val="000000"/>
          <w:sz w:val="24"/>
          <w:szCs w:val="24"/>
          <w:highlight w:val="none"/>
        </w:rPr>
        <w:t>.5 监狱和戒毒企业</w:t>
      </w:r>
    </w:p>
    <w:p w14:paraId="383825F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（1）监狱企业参加政府采购活动时，需提供由省级以上监狱管理局、戒毒管理局（含新疆生产建设兵团）出具的属于监狱企业的证明文件。</w:t>
      </w:r>
    </w:p>
    <w:p w14:paraId="0E4ACA6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000000"/>
          <w:sz w:val="22"/>
          <w:szCs w:val="22"/>
          <w:highlight w:val="none"/>
        </w:rPr>
      </w:pPr>
      <w:r>
        <w:rPr>
          <w:rFonts w:hint="eastAsia" w:ascii="仿宋" w:hAnsi="仿宋" w:eastAsia="仿宋" w:cs="仿宋"/>
          <w:bCs/>
          <w:color w:val="000000"/>
          <w:sz w:val="24"/>
          <w:szCs w:val="24"/>
          <w:highlight w:val="none"/>
        </w:rPr>
        <w:t>（2）监狱企业标准请参照《关于政府采购支持监狱企业发展有关问题的通知》（财库</w:t>
      </w:r>
      <w:r>
        <w:rPr>
          <w:rFonts w:hint="eastAsia" w:ascii="仿宋" w:hAnsi="仿宋" w:eastAsia="仿宋" w:cs="仿宋"/>
          <w:bCs/>
          <w:color w:val="000000"/>
          <w:sz w:val="24"/>
          <w:szCs w:val="24"/>
          <w:highlight w:val="none"/>
          <w:lang w:eastAsia="zh-CN"/>
        </w:rPr>
        <w:t>〔2014〕68号</w:t>
      </w:r>
      <w:r>
        <w:rPr>
          <w:rFonts w:hint="eastAsia" w:ascii="仿宋" w:hAnsi="仿宋" w:eastAsia="仿宋" w:cs="仿宋"/>
          <w:bCs/>
          <w:color w:val="000000"/>
          <w:sz w:val="24"/>
          <w:szCs w:val="24"/>
          <w:highlight w:val="none"/>
        </w:rPr>
        <w:t>）。</w:t>
      </w:r>
    </w:p>
    <w:p w14:paraId="54E5FA2D">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.节能、环保政策</w:t>
      </w:r>
    </w:p>
    <w:p w14:paraId="18240B4B">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054F2AF">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节能产品（如有）</w:t>
      </w:r>
    </w:p>
    <w:p w14:paraId="74E478EA">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本项目中</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被列入“节能产品品目清单”的，实行强制采购 。</w:t>
      </w:r>
    </w:p>
    <w:p w14:paraId="055A8FCB">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环保产品（如有）</w:t>
      </w:r>
    </w:p>
    <w:p w14:paraId="063D073F">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本项目中</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被列入“环境标志产品品目清单”的，实行优先采购。</w:t>
      </w:r>
    </w:p>
    <w:p w14:paraId="72FF2D6E">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.4本项目中实行“强制采购”的，需提供国家市场监督管理总局确定的列入“参与实施政府采购节能产品认证机构名录”内的认证机构出具的、有效期内的该产品节能产品认证证书电子件，未提供的</w:t>
      </w:r>
      <w:r>
        <w:rPr>
          <w:rFonts w:hint="eastAsia" w:ascii="仿宋" w:hAnsi="仿宋" w:eastAsia="仿宋" w:cs="仿宋"/>
          <w:color w:val="000000"/>
          <w:sz w:val="24"/>
          <w:szCs w:val="24"/>
          <w:highlight w:val="none"/>
          <w:lang w:eastAsia="zh-CN"/>
        </w:rPr>
        <w:t>作为</w:t>
      </w:r>
      <w:r>
        <w:rPr>
          <w:rFonts w:hint="eastAsia" w:ascii="仿宋" w:hAnsi="仿宋" w:eastAsia="仿宋" w:cs="仿宋"/>
          <w:color w:val="000000"/>
          <w:sz w:val="24"/>
          <w:szCs w:val="24"/>
          <w:highlight w:val="none"/>
        </w:rPr>
        <w:t>无效响应文件处理。</w:t>
      </w:r>
    </w:p>
    <w:p w14:paraId="0901CA20">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val="0"/>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EA82B2F">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.政府绿色采购</w:t>
      </w:r>
    </w:p>
    <w:p w14:paraId="146F0634">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根据《江苏省财政厅关于加强政府绿色采购有关事项的通知》（苏财购〔2023〕65号）的要求，落实政府绿色采购相关政策，具体如下：</w:t>
      </w:r>
    </w:p>
    <w:p w14:paraId="4BB09851">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.1本项目如为货物类采购项目的，所提供的产品需综合考虑节能环保、节水、循环再生、低碳、有机等因素；本项目为物业、合同能源管理等服务类采购项目的，应在服务中加强绿色低碳管理。</w:t>
      </w:r>
    </w:p>
    <w:p w14:paraId="272707C2">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仿宋" w:hAnsi="仿宋" w:eastAsia="仿宋" w:cs="仿宋"/>
          <w:color w:val="000000"/>
          <w:sz w:val="24"/>
          <w:szCs w:val="24"/>
          <w:highlight w:val="none"/>
          <w:lang w:eastAsia="zh-CN"/>
        </w:rPr>
        <w:t>〔2023〕7号</w:t>
      </w:r>
      <w:r>
        <w:rPr>
          <w:rFonts w:hint="eastAsia" w:ascii="仿宋" w:hAnsi="仿宋" w:eastAsia="仿宋" w:cs="仿宋"/>
          <w:color w:val="000000"/>
          <w:sz w:val="24"/>
          <w:szCs w:val="24"/>
          <w:highlight w:val="none"/>
        </w:rPr>
        <w:t>文）执行。</w:t>
      </w:r>
    </w:p>
    <w:p w14:paraId="4D22D492">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.3本项目中如涉及涂料、胶黏剂、油墨、清洗剂等挥发性有机物产品的，要执行国家和江苏省VOCs含量限制标准，优先使用低挥发性原辅材料，使用低VOCs含量的涂料、胶黏剂等。</w:t>
      </w:r>
    </w:p>
    <w:p w14:paraId="5AC4629E">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.履约资金扶持政策</w:t>
      </w:r>
    </w:p>
    <w:p w14:paraId="281FB778">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.1政府采购合同信用融资是为支持中小企业发展，缓解中小企业融资难题推出的一项融资服务举措，成交</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可凭政府采购合同办理融资贷款。该贷款无需抵押、担保，按照双方自愿的原则提供便捷、优惠的贷款服务。详情请见江</w:t>
      </w:r>
      <w:r>
        <w:rPr>
          <w:rFonts w:hint="eastAsia" w:ascii="仿宋" w:hAnsi="仿宋" w:eastAsia="仿宋" w:cs="仿宋"/>
          <w:color w:val="000000"/>
          <w:sz w:val="24"/>
          <w:szCs w:val="24"/>
          <w:highlight w:val="none"/>
          <w:lang w:eastAsia="zh-CN"/>
        </w:rPr>
        <w:t>苏省</w:t>
      </w:r>
      <w:r>
        <w:rPr>
          <w:rFonts w:hint="eastAsia" w:ascii="仿宋" w:hAnsi="仿宋" w:eastAsia="仿宋" w:cs="仿宋"/>
          <w:color w:val="000000"/>
          <w:sz w:val="24"/>
          <w:szCs w:val="24"/>
          <w:highlight w:val="none"/>
        </w:rPr>
        <w:t>政府采购网“政采贷”专栏。</w:t>
      </w:r>
    </w:p>
    <w:p w14:paraId="00B0DABD">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.2有融资贷款需求的成交</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highlight w:val="none"/>
        </w:rPr>
        <w:t>。</w:t>
      </w:r>
    </w:p>
    <w:p w14:paraId="0AB1EBA5">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.采购本国产品的支持政策</w:t>
      </w:r>
      <w:bookmarkStart w:id="70" w:name="OLE_LINK43"/>
      <w:r>
        <w:rPr>
          <w:rFonts w:hint="eastAsia" w:ascii="仿宋" w:hAnsi="仿宋" w:eastAsia="仿宋" w:cs="仿宋"/>
          <w:color w:val="000000"/>
          <w:sz w:val="24"/>
          <w:szCs w:val="24"/>
          <w:highlight w:val="none"/>
        </w:rPr>
        <w:t>（本项目不适用）</w:t>
      </w:r>
      <w:bookmarkEnd w:id="70"/>
    </w:p>
    <w:p w14:paraId="595C537C">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620ED6D5">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.2当采购项目或者采购包中含有多种产品，</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为该采购项目或者采购包提供的符合本国产品标准的产品成本之和占该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提供的全部产品成本之和的比例达到80%以上时（</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需在“第六章</w:t>
      </w:r>
      <w:r>
        <w:rPr>
          <w:rFonts w:hint="eastAsia" w:ascii="仿宋" w:hAnsi="仿宋" w:eastAsia="仿宋" w:cs="仿宋"/>
          <w:color w:val="000000"/>
          <w:sz w:val="24"/>
          <w:szCs w:val="24"/>
          <w:highlight w:val="none"/>
          <w:lang w:eastAsia="zh-CN"/>
        </w:rPr>
        <w:t>响</w:t>
      </w:r>
      <w:r>
        <w:rPr>
          <w:rFonts w:hint="eastAsia" w:ascii="仿宋" w:hAnsi="仿宋" w:eastAsia="仿宋" w:cs="仿宋"/>
          <w:b w:val="0"/>
          <w:bCs w:val="0"/>
          <w:color w:val="000000"/>
          <w:sz w:val="24"/>
          <w:szCs w:val="24"/>
          <w:highlight w:val="none"/>
          <w:lang w:eastAsia="zh-CN"/>
        </w:rPr>
        <w:t>应</w:t>
      </w:r>
      <w:r>
        <w:rPr>
          <w:rFonts w:hint="eastAsia" w:ascii="仿宋" w:hAnsi="仿宋" w:eastAsia="仿宋" w:cs="仿宋"/>
          <w:b w:val="0"/>
          <w:bCs w:val="0"/>
          <w:color w:val="000000"/>
          <w:sz w:val="24"/>
          <w:szCs w:val="24"/>
          <w:highlight w:val="none"/>
        </w:rPr>
        <w:t>文件格式”</w:t>
      </w:r>
      <w:r>
        <w:rPr>
          <w:rFonts w:hint="eastAsia" w:ascii="仿宋" w:hAnsi="仿宋" w:eastAsia="仿宋" w:cs="仿宋"/>
          <w:color w:val="000000"/>
          <w:sz w:val="24"/>
          <w:szCs w:val="24"/>
          <w:highlight w:val="none"/>
        </w:rPr>
        <w:t>的“报价明细表”中填写比例数值），依法对该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提供的全部产品给予价格评审优惠，即对该</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提供的全部产品的总报价给予20%的价格扣除，用扣除后的价格参与评审。</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未填写比例数值，或比例数值未达到80%的，将不享受本国产品价格评审优惠。</w:t>
      </w:r>
    </w:p>
    <w:p w14:paraId="18B110CD">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需按照</w:t>
      </w:r>
      <w:r>
        <w:rPr>
          <w:rFonts w:hint="eastAsia" w:ascii="仿宋" w:hAnsi="仿宋" w:eastAsia="仿宋" w:cs="仿宋"/>
          <w:color w:val="000000"/>
          <w:sz w:val="24"/>
          <w:szCs w:val="24"/>
          <w:highlight w:val="none"/>
          <w:lang w:eastAsia="zh-CN"/>
        </w:rPr>
        <w:t>竞争性磋商</w:t>
      </w:r>
      <w:r>
        <w:rPr>
          <w:rFonts w:hint="eastAsia" w:ascii="仿宋" w:hAnsi="仿宋" w:eastAsia="仿宋" w:cs="仿宋"/>
          <w:color w:val="000000"/>
          <w:sz w:val="24"/>
          <w:szCs w:val="24"/>
          <w:highlight w:val="none"/>
        </w:rPr>
        <w:t>文件的要求提供《关于符合本国产品标准的声明函》（以下简称《声明函》），如不提供将不享受本国产品价格评审优惠。</w:t>
      </w:r>
    </w:p>
    <w:p w14:paraId="71F6FE95">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.4</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需在《声明函》中逐一、准确填写产品名称、厂名、生产厂址三项信息（《声明函》中用斜线划除的地方无需填写），三项信息中任意一项未填写的视为该项产品不符合本国产品标准，不享受本国产品价格评审优惠。</w:t>
      </w:r>
    </w:p>
    <w:p w14:paraId="7C9BC850">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.5评标过程中，如发现</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在《声明函》内容含义不明确、同类事项与投标（响应）文件表述不一致或者有明显文字错误等情况的，</w:t>
      </w:r>
      <w:r>
        <w:rPr>
          <w:rFonts w:hint="eastAsia" w:ascii="仿宋" w:hAnsi="仿宋" w:eastAsia="仿宋" w:cs="仿宋"/>
          <w:color w:val="000000"/>
          <w:sz w:val="24"/>
          <w:szCs w:val="24"/>
          <w:highlight w:val="none"/>
          <w:lang w:eastAsia="zh-CN"/>
        </w:rPr>
        <w:t>磋商小组</w:t>
      </w:r>
      <w:r>
        <w:rPr>
          <w:rFonts w:hint="eastAsia" w:ascii="仿宋" w:hAnsi="仿宋" w:eastAsia="仿宋" w:cs="仿宋"/>
          <w:color w:val="000000"/>
          <w:sz w:val="24"/>
          <w:szCs w:val="24"/>
          <w:highlight w:val="none"/>
        </w:rPr>
        <w:t>应当以书面形式要求</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4"/>
          <w:szCs w:val="24"/>
          <w:highlight w:val="none"/>
          <w:lang w:eastAsia="zh-CN"/>
        </w:rPr>
        <w:t>竞争性磋商</w:t>
      </w:r>
      <w:r>
        <w:rPr>
          <w:rFonts w:hint="eastAsia" w:ascii="仿宋" w:hAnsi="仿宋" w:eastAsia="仿宋" w:cs="仿宋"/>
          <w:color w:val="000000"/>
          <w:sz w:val="24"/>
          <w:szCs w:val="24"/>
          <w:highlight w:val="none"/>
        </w:rPr>
        <w:t>文件规定的，</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提供的相关产品视为不符合本国产品标准。</w:t>
      </w:r>
    </w:p>
    <w:p w14:paraId="0B568D97">
      <w:pPr>
        <w:pStyle w:val="30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500" w:lineRule="exact"/>
        <w:ind w:firstLine="560" w:firstLineChars="200"/>
        <w:jc w:val="both"/>
        <w:textAlignment w:val="auto"/>
        <w:rPr>
          <w:rFonts w:hint="eastAsia" w:ascii="仿宋" w:hAnsi="仿宋" w:eastAsia="仿宋" w:cs="仿宋"/>
          <w:color w:val="000000"/>
          <w:sz w:val="28"/>
          <w:szCs w:val="28"/>
          <w:highlight w:val="none"/>
        </w:rPr>
      </w:pPr>
    </w:p>
    <w:p w14:paraId="1566024A">
      <w:pPr>
        <w:pStyle w:val="2"/>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bookmarkStart w:id="71" w:name="_Toc16783"/>
    </w:p>
    <w:p w14:paraId="38621AE9">
      <w:pPr>
        <w:pStyle w:val="2"/>
        <w:keepNext w:val="0"/>
        <w:keepLines w:val="0"/>
        <w:pageBreakBefore w:val="0"/>
        <w:widowControl w:val="0"/>
        <w:kinsoku/>
        <w:wordWrap/>
        <w:overflowPunct/>
        <w:topLinePunct w:val="0"/>
        <w:autoSpaceDE/>
        <w:autoSpaceDN/>
        <w:bidi w:val="0"/>
        <w:adjustRightInd/>
        <w:snapToGrid/>
        <w:spacing w:before="0" w:after="0" w:line="500" w:lineRule="exact"/>
        <w:textAlignment w:val="auto"/>
        <w:rPr>
          <w:highlight w:val="none"/>
        </w:rPr>
      </w:pPr>
      <w:r>
        <w:rPr>
          <w:rFonts w:hint="eastAsia"/>
          <w:highlight w:val="none"/>
        </w:rPr>
        <w:t>第三章  评标标准</w:t>
      </w:r>
      <w:bookmarkEnd w:id="71"/>
    </w:p>
    <w:p w14:paraId="4290195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lang w:val="zh-CN"/>
          <w14:textFill>
            <w14:solidFill>
              <w14:schemeClr w14:val="tx1"/>
            </w14:solidFill>
          </w14:textFill>
        </w:rPr>
        <w:t>一、本项目采用综合评分法进行评审</w:t>
      </w:r>
      <w:r>
        <w:rPr>
          <w:rFonts w:hint="eastAsia" w:ascii="仿宋" w:hAnsi="仿宋" w:eastAsia="仿宋"/>
          <w:b w:val="0"/>
          <w:bCs/>
          <w:color w:val="000000" w:themeColor="text1"/>
          <w:sz w:val="24"/>
          <w:szCs w:val="24"/>
          <w:highlight w:val="none"/>
          <w14:textFill>
            <w14:solidFill>
              <w14:schemeClr w14:val="tx1"/>
            </w14:solidFill>
          </w14:textFill>
        </w:rPr>
        <w:t>磋商小组仅对确定为实质上响应磋商文件要求的响应文件进行评价和比较。综合评分法</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是指响应文件满足磋商文件全部实质性要求且按评审因素的量化指标评审得分最高的供应商为成交候选供应商的评审方法。</w:t>
      </w:r>
    </w:p>
    <w:p w14:paraId="618E42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14:textFill>
            <w14:solidFill>
              <w14:schemeClr w14:val="tx1"/>
            </w14:solidFill>
          </w14:textFill>
        </w:rPr>
        <w:t>二、磋商小组将依据下列评标标准进行评审</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并按照评审得分由高到低顺序推荐</w:t>
      </w:r>
      <w:r>
        <w:rPr>
          <w:rFonts w:hint="eastAsia" w:ascii="仿宋" w:hAnsi="仿宋" w:eastAsia="仿宋"/>
          <w:b w:val="0"/>
          <w:bCs/>
          <w:color w:val="000000" w:themeColor="text1"/>
          <w:sz w:val="24"/>
          <w:szCs w:val="24"/>
          <w:highlight w:val="none"/>
          <w:lang w:val="en-US" w:eastAsia="zh-CN"/>
          <w14:textFill>
            <w14:solidFill>
              <w14:schemeClr w14:val="tx1"/>
            </w14:solidFill>
          </w14:textFill>
        </w:rPr>
        <w:t>3</w:t>
      </w:r>
      <w:r>
        <w:rPr>
          <w:rFonts w:hint="eastAsia" w:ascii="仿宋" w:hAnsi="仿宋" w:eastAsia="仿宋"/>
          <w:b w:val="0"/>
          <w:bCs/>
          <w:color w:val="000000" w:themeColor="text1"/>
          <w:sz w:val="24"/>
          <w:szCs w:val="24"/>
          <w:highlight w:val="none"/>
          <w14:textFill>
            <w14:solidFill>
              <w14:schemeClr w14:val="tx1"/>
            </w14:solidFill>
          </w14:textFill>
        </w:rPr>
        <w:t>名成交候选供应商</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并编写评审报告。评审得分相同的</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按照最后报价由低到高顺序推荐。评审得分且最后报价相同的</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按照技术指标优劣顺序推荐。</w:t>
      </w:r>
    </w:p>
    <w:p w14:paraId="4C598C0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b w:val="0"/>
          <w:bCs/>
          <w:color w:val="000000" w:themeColor="text1"/>
          <w:sz w:val="24"/>
          <w:szCs w:val="24"/>
          <w:highlight w:val="none"/>
          <w14:textFill>
            <w14:solidFill>
              <w14:schemeClr w14:val="tx1"/>
            </w14:solidFill>
          </w14:textFill>
        </w:rPr>
      </w:pPr>
      <w:r>
        <w:rPr>
          <w:rFonts w:hint="eastAsia" w:ascii="仿宋" w:hAnsi="仿宋" w:eastAsia="仿宋"/>
          <w:b w:val="0"/>
          <w:bCs/>
          <w:color w:val="000000" w:themeColor="text1"/>
          <w:sz w:val="24"/>
          <w:szCs w:val="24"/>
          <w:highlight w:val="none"/>
          <w14:textFill>
            <w14:solidFill>
              <w14:schemeClr w14:val="tx1"/>
            </w14:solidFill>
          </w14:textFill>
        </w:rPr>
        <w:t>三、具体标准</w:t>
      </w:r>
      <w:r>
        <w:rPr>
          <w:rFonts w:hint="eastAsia" w:ascii="仿宋" w:hAnsi="仿宋" w:eastAsia="仿宋"/>
          <w:b w:val="0"/>
          <w:bCs/>
          <w:color w:val="000000" w:themeColor="text1"/>
          <w:sz w:val="24"/>
          <w:szCs w:val="24"/>
          <w:highlight w:val="none"/>
          <w:lang w:eastAsia="zh-CN"/>
          <w14:textFill>
            <w14:solidFill>
              <w14:schemeClr w14:val="tx1"/>
            </w14:solidFill>
          </w14:textFill>
        </w:rPr>
        <w:t>：</w:t>
      </w:r>
      <w:r>
        <w:rPr>
          <w:rFonts w:hint="eastAsia" w:ascii="仿宋" w:hAnsi="仿宋" w:eastAsia="仿宋"/>
          <w:b w:val="0"/>
          <w:bCs/>
          <w:color w:val="000000" w:themeColor="text1"/>
          <w:sz w:val="24"/>
          <w:szCs w:val="24"/>
          <w:highlight w:val="none"/>
          <w14:textFill>
            <w14:solidFill>
              <w14:schemeClr w14:val="tx1"/>
            </w14:solidFill>
          </w14:textFill>
        </w:rPr>
        <w:t>（本评标标准的总分为100分）</w:t>
      </w:r>
    </w:p>
    <w:p w14:paraId="4F4BFE7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0"/>
        <w:textAlignment w:val="auto"/>
        <w:rPr>
          <w:rFonts w:hint="eastAsia" w:ascii="仿宋" w:hAnsi="仿宋" w:eastAsia="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b w:val="0"/>
          <w:bCs/>
          <w:color w:val="000000" w:themeColor="text1"/>
          <w:sz w:val="24"/>
          <w:szCs w:val="24"/>
          <w:highlight w:val="none"/>
          <w:lang w:val="en-US" w:eastAsia="zh-CN"/>
          <w14:textFill>
            <w14:solidFill>
              <w14:schemeClr w14:val="tx1"/>
            </w14:solidFill>
          </w14:textFill>
        </w:rPr>
        <w:t>四、评标方法与评标标准</w:t>
      </w:r>
    </w:p>
    <w:tbl>
      <w:tblPr>
        <w:tblStyle w:val="38"/>
        <w:tblW w:w="0" w:type="auto"/>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200"/>
        <w:gridCol w:w="7350"/>
      </w:tblGrid>
      <w:tr w14:paraId="13BA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Align w:val="center"/>
          </w:tcPr>
          <w:p w14:paraId="1DEF59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评分项</w:t>
            </w:r>
          </w:p>
        </w:tc>
        <w:tc>
          <w:tcPr>
            <w:tcW w:w="1200" w:type="dxa"/>
            <w:vAlign w:val="center"/>
          </w:tcPr>
          <w:p w14:paraId="47046A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分值</w:t>
            </w:r>
          </w:p>
        </w:tc>
        <w:tc>
          <w:tcPr>
            <w:tcW w:w="7350" w:type="dxa"/>
            <w:vAlign w:val="center"/>
          </w:tcPr>
          <w:p w14:paraId="2605B660">
            <w:pPr>
              <w:keepNext w:val="0"/>
              <w:keepLines w:val="0"/>
              <w:pageBreakBefore w:val="0"/>
              <w:widowControl w:val="0"/>
              <w:kinsoku/>
              <w:wordWrap/>
              <w:overflowPunct/>
              <w:topLinePunct w:val="0"/>
              <w:autoSpaceDE/>
              <w:autoSpaceDN/>
              <w:bidi w:val="0"/>
              <w:adjustRightInd/>
              <w:snapToGrid/>
              <w:spacing w:line="500" w:lineRule="exact"/>
              <w:ind w:firstLine="562"/>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评分细则</w:t>
            </w:r>
          </w:p>
        </w:tc>
      </w:tr>
      <w:tr w14:paraId="275E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Align w:val="center"/>
          </w:tcPr>
          <w:p w14:paraId="11CA70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报价</w:t>
            </w:r>
          </w:p>
        </w:tc>
        <w:tc>
          <w:tcPr>
            <w:tcW w:w="1200" w:type="dxa"/>
            <w:vAlign w:val="center"/>
          </w:tcPr>
          <w:p w14:paraId="703F7A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30分</w:t>
            </w:r>
          </w:p>
        </w:tc>
        <w:tc>
          <w:tcPr>
            <w:tcW w:w="7350" w:type="dxa"/>
            <w:vAlign w:val="center"/>
          </w:tcPr>
          <w:p w14:paraId="191FDE5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价格分采用低价优先法计算，即满足磋商文件要求且最后报价最低的供应商的价格为磋商基准价，其价格分为满分。其他供应商的价格分按照下列公式计算（保留两位小数，保留小数时使用四舍五入）：</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磋商报价得分＝（磋商基准价/最后磋商报价）×30分</w:t>
            </w:r>
          </w:p>
        </w:tc>
      </w:tr>
      <w:tr w14:paraId="5B0E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185" w:type="dxa"/>
            <w:vMerge w:val="restart"/>
            <w:vAlign w:val="center"/>
          </w:tcPr>
          <w:p w14:paraId="582657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商务：16分</w:t>
            </w:r>
          </w:p>
        </w:tc>
        <w:tc>
          <w:tcPr>
            <w:tcW w:w="1200" w:type="dxa"/>
            <w:vAlign w:val="center"/>
          </w:tcPr>
          <w:p w14:paraId="3D4422A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业绩（2分）</w:t>
            </w:r>
          </w:p>
        </w:tc>
        <w:tc>
          <w:tcPr>
            <w:tcW w:w="7350" w:type="dxa"/>
            <w:vAlign w:val="center"/>
          </w:tcPr>
          <w:p w14:paraId="70F608A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供应商自2022年1月1日（以签订合同时间为准）以来具有类似供货项目业绩的，有一个得0.5分，本项最高得2分。</w:t>
            </w:r>
          </w:p>
          <w:p w14:paraId="3FB2295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注：提供合同、中标（成交）通知书、以及验收证明扫描件，合同需包括合同首页、标的金额所在页、签字盖章页，加盖供应商电子签章。</w:t>
            </w:r>
          </w:p>
        </w:tc>
      </w:tr>
      <w:tr w14:paraId="7A0B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185" w:type="dxa"/>
            <w:vMerge w:val="continue"/>
            <w:vAlign w:val="center"/>
          </w:tcPr>
          <w:p w14:paraId="052A01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1200" w:type="dxa"/>
            <w:vAlign w:val="center"/>
          </w:tcPr>
          <w:p w14:paraId="62E44AD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售后认证证书（2分）</w:t>
            </w:r>
          </w:p>
        </w:tc>
        <w:tc>
          <w:tcPr>
            <w:tcW w:w="7350" w:type="dxa"/>
            <w:vAlign w:val="center"/>
          </w:tcPr>
          <w:p w14:paraId="0334467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供应商具有五星售后服务认证证书的得2分，本项最高得2分。</w:t>
            </w:r>
          </w:p>
          <w:p w14:paraId="459F86D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注：提供证书扫描件和中国国家认证认可监督管理委员会官网查询截图，未提供或提供不全的不得分，加盖供应商电子签章。</w:t>
            </w:r>
          </w:p>
        </w:tc>
      </w:tr>
      <w:tr w14:paraId="7BCA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185" w:type="dxa"/>
            <w:vMerge w:val="continue"/>
            <w:vAlign w:val="center"/>
          </w:tcPr>
          <w:p w14:paraId="1DA74B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1200" w:type="dxa"/>
            <w:vAlign w:val="center"/>
          </w:tcPr>
          <w:p w14:paraId="6FA8D35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认证证书（9分）</w:t>
            </w:r>
          </w:p>
        </w:tc>
        <w:tc>
          <w:tcPr>
            <w:tcW w:w="7350" w:type="dxa"/>
            <w:vAlign w:val="center"/>
          </w:tcPr>
          <w:p w14:paraId="73433B1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供应商具有企业诚信管理体系认证证书的得3分，具有</w:t>
            </w:r>
            <w:bookmarkStart w:id="72" w:name="_Toc23753707"/>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企业品牌评价服务认证证书</w:t>
            </w:r>
            <w:bookmarkEnd w:id="72"/>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得3分，具有企业社会责任管理体系认证证书得3分，本项最高得9分。</w:t>
            </w:r>
          </w:p>
          <w:p w14:paraId="252F046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注：提供证书扫描件和中国国家认证认可监督管理委员会官网查询截图，未提供或提供不全的不得分，加盖供应商电子签章。</w:t>
            </w:r>
          </w:p>
        </w:tc>
      </w:tr>
      <w:tr w14:paraId="79C4A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185" w:type="dxa"/>
            <w:vMerge w:val="continue"/>
            <w:vAlign w:val="center"/>
          </w:tcPr>
          <w:p w14:paraId="720C988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1200" w:type="dxa"/>
            <w:vAlign w:val="center"/>
          </w:tcPr>
          <w:p w14:paraId="7B5142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生产设备（3分）</w:t>
            </w:r>
          </w:p>
        </w:tc>
        <w:tc>
          <w:tcPr>
            <w:tcW w:w="7350" w:type="dxa"/>
            <w:vAlign w:val="center"/>
          </w:tcPr>
          <w:p w14:paraId="01CB192D">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提供本项目生产全套数控设备数量和先进程度进行对比评价。大型生产专用设备包括：数控激光切割机、金属激光精焊机、数控折弯机、剪板机、自动喷涂流水线、液压切角机等设备。每具有一套设备得0.5分，本项最高得3分。</w:t>
            </w:r>
          </w:p>
          <w:p w14:paraId="05EEAB86">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注：提供相关设备采购合同、发票、设备现场实景照片（照片中的设备须注明功能及用途说明），三者缺一不可，加盖供应商电子签章。</w:t>
            </w:r>
          </w:p>
        </w:tc>
      </w:tr>
      <w:tr w14:paraId="21DE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185" w:type="dxa"/>
            <w:vAlign w:val="center"/>
          </w:tcPr>
          <w:p w14:paraId="657D9117">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技术参数：14分</w:t>
            </w:r>
          </w:p>
        </w:tc>
        <w:tc>
          <w:tcPr>
            <w:tcW w:w="8550" w:type="dxa"/>
            <w:gridSpan w:val="2"/>
            <w:vAlign w:val="center"/>
          </w:tcPr>
          <w:p w14:paraId="79DC839D">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供应商对“采购内容及要求”中“二、技术参数”的所有条款逐点响应，带▲参数，提供一项得1分，本项最高得14分。</w:t>
            </w:r>
          </w:p>
          <w:p w14:paraId="7F02AA0E">
            <w:pPr>
              <w:keepNext w:val="0"/>
              <w:keepLines w:val="0"/>
              <w:pageBreakBefore w:val="0"/>
              <w:widowControl w:val="0"/>
              <w:kinsoku/>
              <w:wordWrap/>
              <w:overflowPunct/>
              <w:topLinePunct w:val="0"/>
              <w:autoSpaceDE/>
              <w:autoSpaceDN/>
              <w:bidi w:val="0"/>
              <w:adjustRightInd/>
              <w:snapToGrid/>
              <w:spacing w:line="500" w:lineRule="exact"/>
              <w:ind w:firstLine="562"/>
              <w:textAlignment w:val="auto"/>
              <w:rPr>
                <w:rFonts w:hint="eastAsia"/>
                <w:highlight w:val="none"/>
                <w:lang w:val="en-US" w:eastAsia="zh-CN"/>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注：带▲参数指标须提供该项技术指标在检测报告中的对应结果页码和序号，否则视为负偏离；未提供视为负偏离，加盖供应商电子签章。</w:t>
            </w:r>
          </w:p>
        </w:tc>
      </w:tr>
      <w:tr w14:paraId="5ABF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restart"/>
            <w:vAlign w:val="center"/>
          </w:tcPr>
          <w:p w14:paraId="3001F4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方案部分：40分</w:t>
            </w:r>
          </w:p>
        </w:tc>
        <w:tc>
          <w:tcPr>
            <w:tcW w:w="8550" w:type="dxa"/>
            <w:gridSpan w:val="2"/>
            <w:vAlign w:val="center"/>
          </w:tcPr>
          <w:p w14:paraId="677546D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供货方案（10分）</w:t>
            </w:r>
          </w:p>
          <w:p w14:paraId="2A7FAF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根据供应商提供的制定详细完善的项目交货方案、进度计划安排，方案优于采购需求的得10分，符合采购需求的得7分，方案有遗漏、不全的得4分，不提供的不得分。</w:t>
            </w:r>
          </w:p>
        </w:tc>
      </w:tr>
      <w:tr w14:paraId="02CD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vMerge w:val="continue"/>
          </w:tcPr>
          <w:p w14:paraId="1B6597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8550" w:type="dxa"/>
            <w:gridSpan w:val="2"/>
            <w:vAlign w:val="center"/>
          </w:tcPr>
          <w:p w14:paraId="23C48A7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2.项目管理（10分）</w:t>
            </w:r>
          </w:p>
          <w:p w14:paraId="1AEC7DA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根据</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供应商</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对项目运输、人员培训、实施人员安排、验收方案等的清晰性、科学性、合理性、可实施性、针对性等方面进行打分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w:t>
            </w:r>
          </w:p>
          <w:p w14:paraId="121F61DD">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pP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方案清晰全面，组织有序、满足各项要求，能最大限度高效推进项目实施</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10</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项目实施方案合理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、具</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有一定的可行性，基本满足各项要求</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7</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项目实施方案要素有遗漏、不全面、组织欠缺</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4</w:t>
            </w:r>
            <w:r>
              <w:rPr>
                <w:rFonts w:hint="default" w:ascii="仿宋" w:hAnsi="仿宋" w:eastAsia="仿宋" w:cs="仿宋"/>
                <w:b w:val="0"/>
                <w:bCs/>
                <w:color w:val="000000" w:themeColor="text1"/>
                <w:sz w:val="24"/>
                <w:szCs w:val="24"/>
                <w:highlight w:val="none"/>
                <w:lang w:val="en-US" w:eastAsia="zh-CN"/>
                <w14:textFill>
                  <w14:solidFill>
                    <w14:schemeClr w14:val="tx1"/>
                  </w14:solidFill>
                </w14:textFill>
              </w:rPr>
              <w:t>分，</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不提供的不得分。</w:t>
            </w:r>
          </w:p>
        </w:tc>
      </w:tr>
      <w:tr w14:paraId="36B8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185" w:type="dxa"/>
            <w:vMerge w:val="continue"/>
          </w:tcPr>
          <w:p w14:paraId="07374C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8550" w:type="dxa"/>
            <w:gridSpan w:val="2"/>
          </w:tcPr>
          <w:p w14:paraId="138C8F0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3.生产工艺（10分）</w:t>
            </w:r>
          </w:p>
          <w:p w14:paraId="7A870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根据供应商垃圾桶技术与质量：生产工艺水平等进行综合评定（需提供的实物图清晰及工艺说明，未提供不得分），工艺完整性高、细节管控力好、质量可验证性的得10分，工艺基本完整、细节可控、质量可验证的得7分，工艺部分自主、细节存在缺陷、质量管控薄弱的得4分，不提供的不得分。</w:t>
            </w:r>
          </w:p>
        </w:tc>
      </w:tr>
      <w:tr w14:paraId="1FDE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1185" w:type="dxa"/>
            <w:vMerge w:val="continue"/>
          </w:tcPr>
          <w:p w14:paraId="4A73E9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p>
        </w:tc>
        <w:tc>
          <w:tcPr>
            <w:tcW w:w="8550" w:type="dxa"/>
            <w:gridSpan w:val="2"/>
          </w:tcPr>
          <w:p w14:paraId="5D6B89D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4.售后服务（10分）</w:t>
            </w:r>
          </w:p>
          <w:p w14:paraId="3909D9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根据售后服务承诺的保修措施、维护方案、响应时间，售后服务保证体系，售后服务及培训方案、承诺具体详细、明确可行并提供专业维修人员名单和从业证书内容等，体系完善、服务超前、专业性强的得10分，体系完整、服务达标、专业性强的得7分，体系基础、服务达标、专业性弱的得4分，不提供不得分。</w:t>
            </w:r>
          </w:p>
        </w:tc>
      </w:tr>
    </w:tbl>
    <w:p w14:paraId="12D60452">
      <w:pPr>
        <w:keepNext w:val="0"/>
        <w:keepLines w:val="0"/>
        <w:pageBreakBefore w:val="0"/>
        <w:widowControl w:val="0"/>
        <w:kinsoku/>
        <w:wordWrap/>
        <w:overflowPunct/>
        <w:topLinePunct w:val="0"/>
        <w:autoSpaceDE/>
        <w:autoSpaceDN/>
        <w:bidi w:val="0"/>
        <w:adjustRightInd/>
        <w:snapToGrid/>
        <w:spacing w:line="500" w:lineRule="exact"/>
        <w:ind w:firstLine="723"/>
        <w:textAlignment w:val="auto"/>
        <w:rPr>
          <w:rFonts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br w:type="page" w:clear="all"/>
      </w:r>
    </w:p>
    <w:p w14:paraId="710F5761">
      <w:pPr>
        <w:pStyle w:val="2"/>
        <w:keepNext w:val="0"/>
        <w:keepLines w:val="0"/>
        <w:pageBreakBefore w:val="0"/>
        <w:widowControl w:val="0"/>
        <w:kinsoku/>
        <w:wordWrap/>
        <w:overflowPunct/>
        <w:topLinePunct w:val="0"/>
        <w:autoSpaceDE/>
        <w:autoSpaceDN/>
        <w:bidi w:val="0"/>
        <w:adjustRightInd/>
        <w:snapToGrid/>
        <w:spacing w:before="0" w:after="0" w:line="480" w:lineRule="exact"/>
        <w:ind w:left="0" w:leftChars="0"/>
        <w:textAlignment w:val="auto"/>
        <w:rPr>
          <w:rFonts w:hint="eastAsia" w:ascii="Arial" w:hAnsi="Arial"/>
          <w:highlight w:val="none"/>
        </w:rPr>
      </w:pPr>
      <w:bookmarkStart w:id="73" w:name="_Toc31436"/>
      <w:r>
        <w:rPr>
          <w:rFonts w:hint="eastAsia" w:ascii="Arial" w:hAnsi="Arial"/>
          <w:highlight w:val="none"/>
        </w:rPr>
        <w:t>第四章  合同格式及条款</w:t>
      </w:r>
      <w:bookmarkEnd w:id="73"/>
    </w:p>
    <w:p w14:paraId="40D5D0D7">
      <w:pPr>
        <w:keepNext w:val="0"/>
        <w:keepLines w:val="0"/>
        <w:pageBreakBefore w:val="0"/>
        <w:widowControl w:val="0"/>
        <w:kinsoku/>
        <w:overflowPunct/>
        <w:topLinePunct w:val="0"/>
        <w:bidi w:val="0"/>
        <w:snapToGrid/>
        <w:spacing w:line="640" w:lineRule="exact"/>
        <w:ind w:left="0" w:leftChars="0" w:firstLine="472" w:firstLineChars="197"/>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注</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以下为采购人提出成交后签订本项目合同的条款，供应商必须实质性响应，成交供应商不得提出实质性的修改，关于专用条款将由采购人与成交供应商结合本项目具体情况协商后签订。</w:t>
      </w:r>
    </w:p>
    <w:p w14:paraId="7210C89B">
      <w:pPr>
        <w:pStyle w:val="18"/>
        <w:keepNext w:val="0"/>
        <w:keepLines w:val="0"/>
        <w:pageBreakBefore w:val="0"/>
        <w:widowControl w:val="0"/>
        <w:kinsoku/>
        <w:overflowPunct/>
        <w:topLinePunct w:val="0"/>
        <w:bidi w:val="0"/>
        <w:snapToGrid/>
        <w:spacing w:line="520" w:lineRule="exact"/>
        <w:ind w:left="0" w:leftChars="0" w:firstLine="3640" w:firstLineChars="1295"/>
        <w:textAlignment w:val="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一、合同格式</w:t>
      </w:r>
    </w:p>
    <w:p w14:paraId="045A1D24">
      <w:pPr>
        <w:keepNext w:val="0"/>
        <w:keepLines w:val="0"/>
        <w:pageBreakBefore w:val="0"/>
        <w:widowControl w:val="0"/>
        <w:kinsoku/>
        <w:overflowPunct/>
        <w:topLinePunct w:val="0"/>
        <w:autoSpaceDE w:val="0"/>
        <w:autoSpaceDN w:val="0"/>
        <w:bidi w:val="0"/>
        <w:adjustRightInd w:val="0"/>
        <w:snapToGrid/>
        <w:spacing w:line="520" w:lineRule="exact"/>
        <w:ind w:left="0" w:leftChars="0"/>
        <w:jc w:val="left"/>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甲方</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u w:val="single"/>
          <w:lang w:val="en-US" w:eastAsia="zh-CN"/>
        </w:rPr>
        <w:t>淮安市淮安区山阳街道办事处</w:t>
      </w:r>
      <w:r>
        <w:rPr>
          <w:rFonts w:hint="eastAsia" w:ascii="仿宋" w:hAnsi="仿宋" w:eastAsia="仿宋" w:cs="仿宋"/>
          <w:color w:val="000000"/>
          <w:kern w:val="0"/>
          <w:sz w:val="24"/>
          <w:szCs w:val="24"/>
          <w:highlight w:val="none"/>
        </w:rPr>
        <w:t xml:space="preserve"> </w:t>
      </w:r>
    </w:p>
    <w:p w14:paraId="62D51E43">
      <w:pPr>
        <w:pStyle w:val="18"/>
        <w:keepNext w:val="0"/>
        <w:keepLines w:val="0"/>
        <w:pageBreakBefore w:val="0"/>
        <w:widowControl w:val="0"/>
        <w:kinsoku/>
        <w:overflowPunct/>
        <w:topLinePunct w:val="0"/>
        <w:bidi w:val="0"/>
        <w:snapToGrid/>
        <w:spacing w:line="520" w:lineRule="exact"/>
        <w:ind w:left="0" w:leftChars="0"/>
        <w:textAlignment w:val="auto"/>
        <w:rPr>
          <w:rFonts w:hint="default" w:ascii="仿宋" w:hAnsi="仿宋" w:eastAsia="仿宋" w:cs="仿宋"/>
          <w:sz w:val="24"/>
          <w:szCs w:val="24"/>
          <w:highlight w:val="none"/>
          <w:u w:val="single"/>
          <w:lang w:val="en-US" w:eastAsia="zh-CN"/>
        </w:rPr>
      </w:pPr>
      <w:r>
        <w:rPr>
          <w:rFonts w:hint="eastAsia" w:ascii="仿宋" w:hAnsi="仿宋" w:eastAsia="仿宋" w:cs="仿宋"/>
          <w:color w:val="000000"/>
          <w:kern w:val="0"/>
          <w:sz w:val="24"/>
          <w:szCs w:val="24"/>
          <w:highlight w:val="none"/>
        </w:rPr>
        <w:t>乙方</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u w:val="single"/>
          <w:lang w:val="en-US" w:eastAsia="zh-CN"/>
        </w:rPr>
        <w:t xml:space="preserve">                            </w:t>
      </w:r>
    </w:p>
    <w:p w14:paraId="2498C52F">
      <w:pPr>
        <w:pStyle w:val="18"/>
        <w:keepNext w:val="0"/>
        <w:keepLines w:val="0"/>
        <w:pageBreakBefore w:val="0"/>
        <w:widowControl w:val="0"/>
        <w:kinsoku/>
        <w:wordWrap w:val="0"/>
        <w:overflowPunct/>
        <w:topLinePunct w:val="0"/>
        <w:autoSpaceDE/>
        <w:autoSpaceDN/>
        <w:bidi w:val="0"/>
        <w:adjustRightInd/>
        <w:snapToGrid/>
        <w:spacing w:line="520" w:lineRule="exact"/>
        <w:ind w:left="0" w:leftChars="0" w:firstLine="544" w:firstLineChars="227"/>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甲、乙双方根据</w:t>
      </w:r>
      <w:r>
        <w:rPr>
          <w:rFonts w:hint="eastAsia" w:ascii="仿宋" w:hAnsi="仿宋" w:eastAsia="仿宋" w:cs="仿宋"/>
          <w:sz w:val="24"/>
          <w:szCs w:val="24"/>
          <w:highlight w:val="none"/>
          <w:u w:val="single"/>
          <w:lang w:eastAsia="zh-CN"/>
        </w:rPr>
        <w:t>2025年山阳街道人居环境综合整治提升物资采购项目（</w:t>
      </w:r>
      <w:r>
        <w:rPr>
          <w:rFonts w:hint="eastAsia" w:ascii="仿宋" w:hAnsi="仿宋" w:eastAsia="仿宋" w:cs="仿宋"/>
          <w:sz w:val="24"/>
          <w:szCs w:val="24"/>
          <w:highlight w:val="none"/>
          <w:u w:val="single"/>
        </w:rPr>
        <w:t>项目编号</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rPr>
        <w:t>采购项目竞争性磋商采购结果及磋商文件的要求</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经协商一致</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达成如下合同</w:t>
      </w:r>
      <w:r>
        <w:rPr>
          <w:rFonts w:hint="eastAsia" w:ascii="仿宋" w:hAnsi="仿宋" w:eastAsia="仿宋" w:cs="仿宋"/>
          <w:sz w:val="24"/>
          <w:szCs w:val="24"/>
          <w:highlight w:val="none"/>
          <w:lang w:eastAsia="zh-CN"/>
        </w:rPr>
        <w:t>：</w:t>
      </w:r>
    </w:p>
    <w:p w14:paraId="5268BE47">
      <w:pPr>
        <w:pStyle w:val="18"/>
        <w:keepNext w:val="0"/>
        <w:keepLines w:val="0"/>
        <w:pageBreakBefore w:val="0"/>
        <w:widowControl w:val="0"/>
        <w:kinsoku/>
        <w:overflowPunct/>
        <w:topLinePunct w:val="0"/>
        <w:bidi w:val="0"/>
        <w:snapToGrid/>
        <w:spacing w:line="520" w:lineRule="exac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一、货物及数量</w:t>
      </w:r>
    </w:p>
    <w:p w14:paraId="2682FD8D">
      <w:pPr>
        <w:pStyle w:val="18"/>
        <w:keepNext w:val="0"/>
        <w:keepLines w:val="0"/>
        <w:pageBreakBefore w:val="0"/>
        <w:widowControl w:val="0"/>
        <w:kinsoku/>
        <w:overflowPunct/>
        <w:topLinePunct w:val="0"/>
        <w:bidi w:val="0"/>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本合同所提供的货物及数量详见“</w:t>
      </w:r>
      <w:r>
        <w:rPr>
          <w:rFonts w:hint="eastAsia" w:ascii="仿宋" w:hAnsi="仿宋" w:eastAsia="仿宋" w:cs="仿宋"/>
          <w:sz w:val="24"/>
          <w:szCs w:val="24"/>
          <w:highlight w:val="none"/>
          <w:lang w:eastAsia="zh-CN"/>
        </w:rPr>
        <w:t>采购内容及要求</w:t>
      </w:r>
      <w:r>
        <w:rPr>
          <w:rFonts w:hint="eastAsia" w:ascii="仿宋" w:hAnsi="仿宋" w:eastAsia="仿宋" w:cs="仿宋"/>
          <w:sz w:val="24"/>
          <w:szCs w:val="24"/>
          <w:highlight w:val="none"/>
        </w:rPr>
        <w:t>”。</w:t>
      </w:r>
    </w:p>
    <w:p w14:paraId="0A75FEEC">
      <w:pPr>
        <w:pStyle w:val="18"/>
        <w:keepNext w:val="0"/>
        <w:keepLines w:val="0"/>
        <w:pageBreakBefore w:val="0"/>
        <w:widowControl w:val="0"/>
        <w:kinsoku/>
        <w:overflowPunct/>
        <w:topLinePunct w:val="0"/>
        <w:bidi w:val="0"/>
        <w:snapToGrid/>
        <w:spacing w:line="520" w:lineRule="exac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二、合同金额</w:t>
      </w:r>
    </w:p>
    <w:p w14:paraId="3DBD80BE">
      <w:pPr>
        <w:pStyle w:val="18"/>
        <w:keepNext w:val="0"/>
        <w:keepLines w:val="0"/>
        <w:pageBreakBefore w:val="0"/>
        <w:widowControl w:val="0"/>
        <w:kinsoku/>
        <w:overflowPunct/>
        <w:topLinePunct w:val="0"/>
        <w:bidi w:val="0"/>
        <w:snapToGrid/>
        <w:spacing w:line="520" w:lineRule="exact"/>
        <w:ind w:left="0" w:leftChars="0" w:firstLine="424" w:firstLineChars="177"/>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本合同的总金额</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大写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rPr>
        <w:t>，分项价格详见乙方提交的磋商报价表。</w:t>
      </w:r>
    </w:p>
    <w:p w14:paraId="0610581F">
      <w:pPr>
        <w:pStyle w:val="18"/>
        <w:keepNext w:val="0"/>
        <w:keepLines w:val="0"/>
        <w:pageBreakBefore w:val="0"/>
        <w:widowControl w:val="0"/>
        <w:kinsoku/>
        <w:overflowPunct/>
        <w:topLinePunct w:val="0"/>
        <w:bidi w:val="0"/>
        <w:spacing w:line="520" w:lineRule="exact"/>
        <w:ind w:left="-359" w:leftChars="-171" w:firstLine="829" w:firstLineChars="344"/>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rPr>
        <w:t>三、供货时间和地点</w:t>
      </w:r>
      <w:r>
        <w:rPr>
          <w:rFonts w:hint="eastAsia" w:ascii="仿宋" w:hAnsi="仿宋" w:eastAsia="仿宋" w:cs="仿宋"/>
          <w:b/>
          <w:bCs w:val="0"/>
          <w:sz w:val="24"/>
          <w:szCs w:val="24"/>
          <w:highlight w:val="none"/>
          <w:lang w:eastAsia="zh-CN"/>
        </w:rPr>
        <w:t>及质保期</w:t>
      </w:r>
    </w:p>
    <w:p w14:paraId="58071F78">
      <w:pPr>
        <w:pStyle w:val="18"/>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履约时间：</w:t>
      </w:r>
      <w:r>
        <w:rPr>
          <w:rFonts w:hint="eastAsia" w:ascii="仿宋" w:hAnsi="仿宋" w:eastAsia="仿宋" w:cs="仿宋"/>
          <w:sz w:val="24"/>
          <w:szCs w:val="24"/>
          <w:highlight w:val="none"/>
          <w:lang w:eastAsia="zh-CN"/>
        </w:rPr>
        <w:t>接到甲方</w:t>
      </w:r>
      <w:r>
        <w:rPr>
          <w:rFonts w:hint="eastAsia" w:ascii="仿宋" w:hAnsi="仿宋" w:eastAsia="仿宋" w:cs="仿宋"/>
          <w:sz w:val="24"/>
          <w:szCs w:val="24"/>
          <w:highlight w:val="none"/>
        </w:rPr>
        <w:t>通知15日内交货（按各村需求量分批供货）</w:t>
      </w:r>
      <w:r>
        <w:rPr>
          <w:rFonts w:hint="eastAsia" w:ascii="仿宋" w:hAnsi="仿宋" w:eastAsia="仿宋" w:cs="仿宋"/>
          <w:sz w:val="24"/>
          <w:szCs w:val="24"/>
          <w:highlight w:val="none"/>
          <w:lang w:eastAsia="zh-CN"/>
        </w:rPr>
        <w:t>。</w:t>
      </w:r>
    </w:p>
    <w:p w14:paraId="0835AE30">
      <w:pPr>
        <w:pStyle w:val="18"/>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交货方式：按各村需求量分批供货</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指定施工现场或仓库</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送货单至少须经</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有权签收人员一人签字确认方为有效。</w:t>
      </w:r>
    </w:p>
    <w:p w14:paraId="2CA89BFD">
      <w:pPr>
        <w:pStyle w:val="18"/>
        <w:keepNext w:val="0"/>
        <w:keepLines w:val="0"/>
        <w:pageBreakBefore w:val="0"/>
        <w:widowControl w:val="0"/>
        <w:kinsoku/>
        <w:overflowPunct/>
        <w:topLinePunct w:val="0"/>
        <w:bidi w:val="0"/>
        <w:spacing w:line="520" w:lineRule="exact"/>
        <w:ind w:firstLine="480" w:firstLineChars="2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3.质保期：自验收合格之日起1年，电机和电瓶质保1年，其他易损件质保6个月。</w:t>
      </w:r>
    </w:p>
    <w:p w14:paraId="3C110660">
      <w:pPr>
        <w:pStyle w:val="18"/>
        <w:keepNext w:val="0"/>
        <w:keepLines w:val="0"/>
        <w:pageBreakBefore w:val="0"/>
        <w:widowControl w:val="0"/>
        <w:kinsoku/>
        <w:overflowPunct/>
        <w:topLinePunct w:val="0"/>
        <w:bidi w:val="0"/>
        <w:spacing w:line="520" w:lineRule="exact"/>
        <w:ind w:left="-357" w:leftChars="-170" w:firstLine="829" w:firstLineChars="344"/>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四、</w:t>
      </w:r>
      <w:r>
        <w:rPr>
          <w:rFonts w:hint="eastAsia" w:ascii="仿宋" w:hAnsi="仿宋" w:eastAsia="仿宋" w:cs="仿宋"/>
          <w:b/>
          <w:bCs/>
          <w:sz w:val="24"/>
          <w:szCs w:val="24"/>
          <w:highlight w:val="none"/>
          <w:lang w:eastAsia="zh-CN"/>
        </w:rPr>
        <w:t>履约保证金</w:t>
      </w:r>
    </w:p>
    <w:p w14:paraId="37C1FFFF">
      <w:pPr>
        <w:pStyle w:val="18"/>
        <w:keepNext w:val="0"/>
        <w:keepLines w:val="0"/>
        <w:pageBreakBefore w:val="0"/>
        <w:widowControl w:val="0"/>
        <w:kinsoku/>
        <w:wordWrap w:val="0"/>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乙方交纳</w:t>
      </w:r>
      <w:r>
        <w:rPr>
          <w:rFonts w:hint="eastAsia" w:ascii="仿宋" w:hAnsi="仿宋" w:eastAsia="仿宋" w:cs="仿宋"/>
          <w:sz w:val="24"/>
          <w:szCs w:val="24"/>
          <w:highlight w:val="none"/>
          <w:lang w:eastAsia="zh-CN"/>
        </w:rPr>
        <w:t>合同总价的</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作为本合同的履约保证金</w:t>
      </w:r>
      <w:r>
        <w:rPr>
          <w:rFonts w:hint="eastAsia" w:ascii="仿宋" w:hAnsi="仿宋" w:eastAsia="仿宋" w:cs="仿宋"/>
          <w:sz w:val="24"/>
          <w:szCs w:val="24"/>
          <w:highlight w:val="none"/>
          <w:lang w:eastAsia="zh-CN"/>
        </w:rPr>
        <w:t>，即：</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lang w:eastAsia="zh-CN"/>
        </w:rPr>
        <w:t>。</w:t>
      </w:r>
    </w:p>
    <w:p w14:paraId="611F68EF">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乙方提供的履约保证金可以是人民币形式（银行本票、汇票、支票、电汇），或银行保函、担保公司的保证担保或保险公司的保证保险等多种形式。</w:t>
      </w:r>
    </w:p>
    <w:p w14:paraId="27B4A093">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乙方选取银行保函、担保公司的保证担保或保险公司的保证保险等形式向采购人缴纳的，如保函（担保、保险等）的约定期到期但乙方履约仍未结束的，乙方须进行续保。</w:t>
      </w:r>
    </w:p>
    <w:p w14:paraId="35C7D039">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乙方选取以履约保函（保险）形式向采购人缴纳的，按照《关于在全省政府采购领域推行电子履约保函（保险）的通知》（苏财购</w:t>
      </w:r>
      <w:r>
        <w:rPr>
          <w:rFonts w:hint="eastAsia" w:ascii="仿宋" w:hAnsi="仿宋" w:eastAsia="仿宋" w:cs="仿宋"/>
          <w:sz w:val="24"/>
          <w:szCs w:val="24"/>
          <w:highlight w:val="none"/>
          <w:lang w:eastAsia="zh-CN"/>
        </w:rPr>
        <w:t>〔2023〕150号</w:t>
      </w:r>
      <w:r>
        <w:rPr>
          <w:rFonts w:hint="eastAsia" w:ascii="仿宋" w:hAnsi="仿宋" w:eastAsia="仿宋" w:cs="仿宋"/>
          <w:sz w:val="24"/>
          <w:szCs w:val="24"/>
          <w:highlight w:val="none"/>
        </w:rPr>
        <w:t>）的要求，登录“政府采购电子履约保函（保险）平台”，选择第三方机构并提交保函（保险）申请，经审核通过后支付相关费用。</w:t>
      </w:r>
    </w:p>
    <w:p w14:paraId="0CDDDFD3">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如乙方未能履行合同规定的义务，甲方有权从履约保证金中取得补偿。</w:t>
      </w:r>
    </w:p>
    <w:p w14:paraId="1A4E6357">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4"/>
          <w:szCs w:val="24"/>
          <w:highlight w:val="none"/>
          <w:lang w:eastAsia="zh-CN"/>
        </w:rPr>
        <w:t>基准利率</w:t>
      </w:r>
      <w:r>
        <w:rPr>
          <w:rFonts w:hint="eastAsia" w:ascii="仿宋" w:hAnsi="仿宋" w:eastAsia="仿宋" w:cs="仿宋"/>
          <w:sz w:val="24"/>
          <w:szCs w:val="24"/>
          <w:highlight w:val="none"/>
        </w:rPr>
        <w:t>上浮20%后的利率支付超期资金占用费，但因乙方自身原因导致无法及时退还的除外。</w:t>
      </w:r>
    </w:p>
    <w:p w14:paraId="790CB092">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履约保证金在合同约定期间内不予退还或者应完全有效，履约保证金在</w:t>
      </w:r>
      <w:r>
        <w:rPr>
          <w:rFonts w:hint="eastAsia" w:ascii="仿宋" w:hAnsi="仿宋" w:eastAsia="仿宋" w:cs="仿宋"/>
          <w:sz w:val="24"/>
          <w:szCs w:val="24"/>
          <w:highlight w:val="none"/>
          <w:lang w:eastAsia="zh-CN"/>
        </w:rPr>
        <w:t>质保期</w:t>
      </w:r>
      <w:r>
        <w:rPr>
          <w:rFonts w:hint="eastAsia" w:ascii="仿宋" w:hAnsi="仿宋" w:eastAsia="仿宋" w:cs="仿宋"/>
          <w:sz w:val="24"/>
          <w:szCs w:val="24"/>
          <w:highlight w:val="none"/>
          <w:lang w:val="en-US" w:eastAsia="zh-CN"/>
        </w:rPr>
        <w:t>1年</w:t>
      </w:r>
      <w:r>
        <w:rPr>
          <w:rFonts w:hint="eastAsia" w:ascii="仿宋" w:hAnsi="仿宋" w:eastAsia="仿宋" w:cs="仿宋"/>
          <w:sz w:val="24"/>
          <w:szCs w:val="24"/>
          <w:highlight w:val="none"/>
        </w:rPr>
        <w:t>后无息退还给乙方。</w:t>
      </w:r>
    </w:p>
    <w:p w14:paraId="6429D094">
      <w:pPr>
        <w:pStyle w:val="18"/>
        <w:keepNext w:val="0"/>
        <w:keepLines w:val="0"/>
        <w:pageBreakBefore w:val="0"/>
        <w:widowControl w:val="0"/>
        <w:kinsoku/>
        <w:overflowPunct/>
        <w:topLinePunct w:val="0"/>
        <w:bidi w:val="0"/>
        <w:spacing w:line="520" w:lineRule="exact"/>
        <w:ind w:left="-357" w:leftChars="-170" w:firstLine="829" w:firstLineChars="344"/>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五、</w:t>
      </w:r>
      <w:r>
        <w:rPr>
          <w:rFonts w:hint="eastAsia" w:ascii="仿宋" w:hAnsi="仿宋" w:eastAsia="仿宋" w:cs="仿宋"/>
          <w:b/>
          <w:bCs/>
          <w:sz w:val="24"/>
          <w:szCs w:val="24"/>
          <w:highlight w:val="none"/>
        </w:rPr>
        <w:t>付款</w:t>
      </w:r>
    </w:p>
    <w:p w14:paraId="63027ACA">
      <w:pPr>
        <w:pStyle w:val="18"/>
        <w:keepNext w:val="0"/>
        <w:keepLines w:val="0"/>
        <w:pageBreakBefore w:val="0"/>
        <w:widowControl w:val="0"/>
        <w:kinsoku/>
        <w:overflowPunct/>
        <w:topLinePunct w:val="0"/>
        <w:bidi w:val="0"/>
        <w:spacing w:line="52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本项目为奖补资金项目，按农业农村局统一验收后（以区财政局奖补资金拨付为准）支付比例支付</w:t>
      </w:r>
      <w:r>
        <w:rPr>
          <w:rFonts w:hint="eastAsia" w:ascii="仿宋" w:hAnsi="仿宋" w:eastAsia="仿宋" w:cs="仿宋"/>
          <w:b/>
          <w:bCs/>
          <w:sz w:val="24"/>
          <w:szCs w:val="24"/>
          <w:highlight w:val="none"/>
          <w:lang w:eastAsia="zh-CN"/>
        </w:rPr>
        <w:t>（不计息）</w:t>
      </w:r>
      <w:r>
        <w:rPr>
          <w:rFonts w:hint="eastAsia" w:ascii="仿宋" w:hAnsi="仿宋" w:eastAsia="仿宋" w:cs="仿宋"/>
          <w:b/>
          <w:bCs/>
          <w:sz w:val="24"/>
          <w:szCs w:val="24"/>
          <w:highlight w:val="none"/>
        </w:rPr>
        <w:t>。</w:t>
      </w:r>
    </w:p>
    <w:p w14:paraId="466BFAB1">
      <w:pPr>
        <w:pStyle w:val="18"/>
        <w:keepNext w:val="0"/>
        <w:keepLines w:val="0"/>
        <w:pageBreakBefore w:val="0"/>
        <w:widowControl w:val="0"/>
        <w:kinsoku/>
        <w:overflowPunct/>
        <w:topLinePunct w:val="0"/>
        <w:bidi w:val="0"/>
        <w:spacing w:line="52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每次付款前，乙方须提供相应的发票给甲方，如因发票问题导致甲方无法付款，责任由乙方承担。</w:t>
      </w:r>
    </w:p>
    <w:p w14:paraId="1E764D59">
      <w:pPr>
        <w:pStyle w:val="18"/>
        <w:keepNext w:val="0"/>
        <w:keepLines w:val="0"/>
        <w:pageBreakBefore w:val="0"/>
        <w:widowControl w:val="0"/>
        <w:kinsoku/>
        <w:overflowPunct/>
        <w:topLinePunct w:val="0"/>
        <w:bidi w:val="0"/>
        <w:spacing w:line="52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六</w:t>
      </w:r>
      <w:r>
        <w:rPr>
          <w:rFonts w:hint="eastAsia" w:ascii="仿宋" w:hAnsi="仿宋" w:eastAsia="仿宋" w:cs="仿宋"/>
          <w:b/>
          <w:bCs/>
          <w:sz w:val="24"/>
          <w:szCs w:val="24"/>
          <w:highlight w:val="none"/>
        </w:rPr>
        <w:t>、验收</w:t>
      </w:r>
    </w:p>
    <w:p w14:paraId="52EDCB8E">
      <w:pPr>
        <w:pStyle w:val="18"/>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甲方按</w:t>
      </w:r>
      <w:r>
        <w:rPr>
          <w:rFonts w:hint="eastAsia" w:ascii="仿宋" w:hAnsi="仿宋" w:eastAsia="仿宋" w:cs="仿宋"/>
          <w:sz w:val="24"/>
          <w:szCs w:val="24"/>
          <w:highlight w:val="none"/>
          <w:lang w:eastAsia="zh-CN"/>
        </w:rPr>
        <w:t>竞争性</w:t>
      </w:r>
      <w:r>
        <w:rPr>
          <w:rFonts w:hint="eastAsia" w:ascii="仿宋" w:hAnsi="仿宋" w:eastAsia="仿宋" w:cs="仿宋"/>
          <w:sz w:val="24"/>
          <w:szCs w:val="24"/>
          <w:highlight w:val="none"/>
        </w:rPr>
        <w:t>磋商文件相关要求进行。如需委托第三方验收，第三方是指</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，验收费用由甲方承担。因乙方交付的货物不符合标准导致甲方重复支出的验收费用，由乙方承担。 </w:t>
      </w:r>
    </w:p>
    <w:p w14:paraId="23F685DE">
      <w:pPr>
        <w:pStyle w:val="18"/>
        <w:keepNext w:val="0"/>
        <w:keepLines w:val="0"/>
        <w:pageBreakBefore w:val="0"/>
        <w:widowControl w:val="0"/>
        <w:kinsoku/>
        <w:overflowPunct/>
        <w:topLinePunct w:val="0"/>
        <w:bidi w:val="0"/>
        <w:spacing w:line="520" w:lineRule="exact"/>
        <w:ind w:firstLine="484" w:firstLineChars="20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七</w:t>
      </w:r>
      <w:r>
        <w:rPr>
          <w:rFonts w:hint="eastAsia" w:ascii="仿宋" w:hAnsi="仿宋" w:eastAsia="仿宋" w:cs="仿宋"/>
          <w:b/>
          <w:bCs/>
          <w:sz w:val="24"/>
          <w:szCs w:val="24"/>
          <w:highlight w:val="none"/>
        </w:rPr>
        <w:t>、合同纠纷处理</w:t>
      </w:r>
    </w:p>
    <w:p w14:paraId="64BD4C53">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本合同执行过程中发生纠纷，由甲</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乙双方协商解决，若协商不成，作如下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处理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p>
    <w:p w14:paraId="5E2157F5">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 xml:space="preserve">申请仲裁。选定仲裁机构为淮安仲裁委员会。 </w:t>
      </w:r>
    </w:p>
    <w:p w14:paraId="2488DFF3">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rPr>
        <w:t>提起诉讼。约定由</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 xml:space="preserve">所在地法院管辖。 </w:t>
      </w:r>
    </w:p>
    <w:p w14:paraId="7A0930B3">
      <w:pPr>
        <w:keepNext w:val="0"/>
        <w:keepLines w:val="0"/>
        <w:pageBreakBefore w:val="0"/>
        <w:widowControl w:val="0"/>
        <w:kinsoku/>
        <w:overflowPunct/>
        <w:topLinePunct w:val="0"/>
        <w:bidi w:val="0"/>
        <w:spacing w:line="520" w:lineRule="exact"/>
        <w:ind w:firstLine="472" w:firstLineChars="196"/>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八</w:t>
      </w:r>
      <w:r>
        <w:rPr>
          <w:rFonts w:hint="eastAsia" w:ascii="仿宋" w:hAnsi="仿宋" w:eastAsia="仿宋" w:cs="仿宋"/>
          <w:b/>
          <w:bCs/>
          <w:sz w:val="24"/>
          <w:szCs w:val="24"/>
          <w:highlight w:val="none"/>
        </w:rPr>
        <w:t>、合同生效及其它</w:t>
      </w:r>
    </w:p>
    <w:p w14:paraId="5419FA4C">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本合同经甲、乙双方加盖电子签章后生效。</w:t>
      </w:r>
    </w:p>
    <w:p w14:paraId="6911526D">
      <w:pPr>
        <w:keepNext w:val="0"/>
        <w:keepLines w:val="0"/>
        <w:pageBreakBefore w:val="0"/>
        <w:widowControl w:val="0"/>
        <w:kinsoku/>
        <w:overflowPunct/>
        <w:topLinePunct w:val="0"/>
        <w:bidi w:val="0"/>
        <w:spacing w:line="520" w:lineRule="exact"/>
        <w:ind w:firstLine="472" w:firstLineChars="196"/>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九</w:t>
      </w:r>
      <w:r>
        <w:rPr>
          <w:rFonts w:hint="eastAsia" w:ascii="仿宋" w:hAnsi="仿宋" w:eastAsia="仿宋" w:cs="仿宋"/>
          <w:b/>
          <w:bCs/>
          <w:sz w:val="24"/>
          <w:szCs w:val="24"/>
          <w:highlight w:val="none"/>
        </w:rPr>
        <w:t>、组成本合同的文件包括</w:t>
      </w:r>
    </w:p>
    <w:p w14:paraId="12A7369F">
      <w:pPr>
        <w:keepNext w:val="0"/>
        <w:keepLines w:val="0"/>
        <w:pageBreakBefore w:val="0"/>
        <w:widowControl w:val="0"/>
        <w:kinsoku/>
        <w:overflowPunct/>
        <w:topLinePunct w:val="0"/>
        <w:bidi w:val="0"/>
        <w:spacing w:line="520" w:lineRule="exact"/>
        <w:ind w:firstLine="484" w:firstLineChars="202"/>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合同格式及条款；</w:t>
      </w:r>
    </w:p>
    <w:p w14:paraId="0D80B01F">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2.竞争性</w:t>
      </w:r>
      <w:r>
        <w:rPr>
          <w:rFonts w:hint="eastAsia" w:ascii="仿宋" w:hAnsi="仿宋" w:eastAsia="仿宋" w:cs="仿宋"/>
          <w:sz w:val="24"/>
          <w:szCs w:val="24"/>
          <w:highlight w:val="none"/>
        </w:rPr>
        <w:t xml:space="preserve">磋商文件和乙方的响应文件； </w:t>
      </w:r>
    </w:p>
    <w:p w14:paraId="67F85C29">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rPr>
        <w:t xml:space="preserve">成交通知书； </w:t>
      </w:r>
    </w:p>
    <w:p w14:paraId="1210F126">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4.</w:t>
      </w:r>
      <w:r>
        <w:rPr>
          <w:rFonts w:hint="eastAsia" w:ascii="仿宋" w:hAnsi="仿宋" w:eastAsia="仿宋" w:cs="仿宋"/>
          <w:sz w:val="24"/>
          <w:szCs w:val="24"/>
          <w:highlight w:val="none"/>
        </w:rPr>
        <w:t>甲</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乙双方商定的其他必要文件。上述合同文件内容互为补充，如有不明确，由甲方负责解释。</w:t>
      </w:r>
    </w:p>
    <w:p w14:paraId="1ACE2AEF">
      <w:pPr>
        <w:pStyle w:val="18"/>
        <w:keepNext w:val="0"/>
        <w:keepLines w:val="0"/>
        <w:pageBreakBefore w:val="0"/>
        <w:widowControl w:val="0"/>
        <w:kinsoku/>
        <w:overflowPunct/>
        <w:topLinePunct w:val="0"/>
        <w:bidi w:val="0"/>
        <w:spacing w:line="520" w:lineRule="exact"/>
        <w:rPr>
          <w:rFonts w:hint="eastAsia" w:ascii="仿宋" w:hAnsi="仿宋" w:eastAsia="仿宋" w:cs="仿宋"/>
          <w:sz w:val="24"/>
          <w:szCs w:val="24"/>
          <w:highlight w:val="none"/>
        </w:rPr>
      </w:pPr>
    </w:p>
    <w:p w14:paraId="3D3901A9">
      <w:pPr>
        <w:pStyle w:val="18"/>
        <w:keepNext w:val="0"/>
        <w:keepLines w:val="0"/>
        <w:pageBreakBefore w:val="0"/>
        <w:widowControl w:val="0"/>
        <w:kinsoku/>
        <w:overflowPunct/>
        <w:topLinePunct w:val="0"/>
        <w:bidi w:val="0"/>
        <w:spacing w:line="520" w:lineRule="exact"/>
        <w:rPr>
          <w:rFonts w:hint="eastAsia" w:ascii="仿宋" w:hAnsi="仿宋" w:eastAsia="仿宋" w:cs="仿宋"/>
          <w:sz w:val="24"/>
          <w:szCs w:val="24"/>
          <w:highlight w:val="none"/>
        </w:rPr>
      </w:pPr>
    </w:p>
    <w:p w14:paraId="1C12833A">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甲    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乙    方</w:t>
      </w:r>
      <w:r>
        <w:rPr>
          <w:rFonts w:hint="eastAsia" w:ascii="仿宋" w:hAnsi="仿宋" w:eastAsia="仿宋" w:cs="仿宋"/>
          <w:sz w:val="24"/>
          <w:szCs w:val="24"/>
          <w:highlight w:val="none"/>
          <w:lang w:eastAsia="zh-CN"/>
        </w:rPr>
        <w:t>：</w:t>
      </w:r>
    </w:p>
    <w:p w14:paraId="10AC8AB2">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单位盖章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（电子签章）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单位盖章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（电子签章）</w:t>
      </w:r>
    </w:p>
    <w:p w14:paraId="06AEDB36">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签字</w:t>
      </w:r>
      <w:r>
        <w:rPr>
          <w:rFonts w:hint="eastAsia" w:ascii="仿宋" w:hAnsi="仿宋" w:eastAsia="仿宋" w:cs="仿宋"/>
          <w:sz w:val="24"/>
          <w:szCs w:val="24"/>
          <w:highlight w:val="none"/>
          <w:lang w:eastAsia="zh-CN"/>
        </w:rPr>
        <w:t>或签章）</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签字</w:t>
      </w:r>
      <w:r>
        <w:rPr>
          <w:rFonts w:hint="eastAsia" w:ascii="仿宋" w:hAnsi="仿宋" w:eastAsia="仿宋" w:cs="仿宋"/>
          <w:sz w:val="24"/>
          <w:szCs w:val="24"/>
          <w:highlight w:val="none"/>
          <w:lang w:eastAsia="zh-CN"/>
        </w:rPr>
        <w:t>或签章）</w:t>
      </w:r>
      <w:r>
        <w:rPr>
          <w:rFonts w:hint="eastAsia" w:ascii="仿宋" w:hAnsi="仿宋" w:eastAsia="仿宋" w:cs="仿宋"/>
          <w:sz w:val="24"/>
          <w:szCs w:val="24"/>
          <w:highlight w:val="none"/>
        </w:rPr>
        <w:t xml:space="preserve"> </w:t>
      </w:r>
    </w:p>
    <w:p w14:paraId="48F8CCCF">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签定日期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签定日期</w:t>
      </w:r>
      <w:r>
        <w:rPr>
          <w:rFonts w:hint="eastAsia" w:ascii="仿宋" w:hAnsi="仿宋" w:eastAsia="仿宋" w:cs="仿宋"/>
          <w:sz w:val="24"/>
          <w:szCs w:val="24"/>
          <w:highlight w:val="none"/>
          <w:lang w:eastAsia="zh-CN"/>
        </w:rPr>
        <w:t>：</w:t>
      </w:r>
    </w:p>
    <w:p w14:paraId="6D0E88B2">
      <w:pPr>
        <w:pStyle w:val="18"/>
        <w:keepNext w:val="0"/>
        <w:keepLines w:val="0"/>
        <w:pageBreakBefore w:val="0"/>
        <w:widowControl w:val="0"/>
        <w:kinsoku/>
        <w:overflowPunct/>
        <w:topLinePunct w:val="0"/>
        <w:bidi w:val="0"/>
        <w:spacing w:line="520" w:lineRule="exact"/>
        <w:rPr>
          <w:rFonts w:hint="eastAsia" w:ascii="仿宋" w:hAnsi="仿宋" w:eastAsia="仿宋" w:cs="仿宋"/>
          <w:sz w:val="24"/>
          <w:szCs w:val="24"/>
          <w:highlight w:val="none"/>
        </w:rPr>
      </w:pPr>
    </w:p>
    <w:p w14:paraId="5CC34CE7">
      <w:pPr>
        <w:keepNext w:val="0"/>
        <w:keepLines w:val="0"/>
        <w:pageBreakBefore w:val="0"/>
        <w:widowControl w:val="0"/>
        <w:kinsoku/>
        <w:overflowPunct/>
        <w:topLinePunct w:val="0"/>
        <w:bidi w:val="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w:t>
      </w:r>
    </w:p>
    <w:p w14:paraId="14EBA799">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31775C49">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02F32B28">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7DE220CB">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04CC2E5A">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59048A45">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1AAD29AB">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14EAEC81">
      <w:pPr>
        <w:keepNext w:val="0"/>
        <w:keepLines w:val="0"/>
        <w:pageBreakBefore w:val="0"/>
        <w:widowControl w:val="0"/>
        <w:kinsoku/>
        <w:overflowPunct/>
        <w:topLinePunct w:val="0"/>
        <w:bidi w:val="0"/>
        <w:rPr>
          <w:rFonts w:hint="eastAsia" w:ascii="仿宋" w:hAnsi="仿宋" w:eastAsia="仿宋" w:cs="仿宋"/>
          <w:bCs/>
          <w:sz w:val="24"/>
          <w:szCs w:val="24"/>
          <w:highlight w:val="none"/>
        </w:rPr>
      </w:pPr>
    </w:p>
    <w:p w14:paraId="1897F0D3">
      <w:pPr>
        <w:keepNext w:val="0"/>
        <w:keepLines w:val="0"/>
        <w:pageBreakBefore w:val="0"/>
        <w:widowControl w:val="0"/>
        <w:tabs>
          <w:tab w:val="left" w:pos="180"/>
        </w:tabs>
        <w:kinsoku/>
        <w:overflowPunct/>
        <w:topLinePunct w:val="0"/>
        <w:bidi w:val="0"/>
        <w:spacing w:line="520" w:lineRule="exact"/>
        <w:ind w:firstLine="3547" w:firstLineChars="1262"/>
        <w:rPr>
          <w:rFonts w:hint="eastAsia" w:ascii="仿宋" w:hAnsi="仿宋" w:eastAsia="仿宋" w:cs="仿宋"/>
          <w:b/>
          <w:bCs/>
          <w:sz w:val="28"/>
          <w:szCs w:val="28"/>
          <w:highlight w:val="none"/>
        </w:rPr>
      </w:pPr>
    </w:p>
    <w:p w14:paraId="2488B177">
      <w:pPr>
        <w:keepNext w:val="0"/>
        <w:keepLines w:val="0"/>
        <w:pageBreakBefore w:val="0"/>
        <w:widowControl w:val="0"/>
        <w:tabs>
          <w:tab w:val="left" w:pos="180"/>
        </w:tabs>
        <w:kinsoku/>
        <w:overflowPunct/>
        <w:topLinePunct w:val="0"/>
        <w:bidi w:val="0"/>
        <w:spacing w:line="520" w:lineRule="exact"/>
        <w:ind w:firstLine="3547" w:firstLineChars="1262"/>
        <w:rPr>
          <w:rFonts w:hint="eastAsia" w:ascii="仿宋" w:hAnsi="仿宋" w:eastAsia="仿宋" w:cs="仿宋"/>
          <w:b/>
          <w:bCs/>
          <w:sz w:val="28"/>
          <w:szCs w:val="28"/>
          <w:highlight w:val="none"/>
        </w:rPr>
      </w:pPr>
    </w:p>
    <w:p w14:paraId="3E5605D1">
      <w:pPr>
        <w:keepNext w:val="0"/>
        <w:keepLines w:val="0"/>
        <w:pageBreakBefore w:val="0"/>
        <w:widowControl w:val="0"/>
        <w:tabs>
          <w:tab w:val="left" w:pos="180"/>
        </w:tabs>
        <w:kinsoku/>
        <w:overflowPunct/>
        <w:topLinePunct w:val="0"/>
        <w:bidi w:val="0"/>
        <w:spacing w:line="520" w:lineRule="exact"/>
        <w:ind w:firstLine="3547" w:firstLineChars="1262"/>
        <w:rPr>
          <w:rFonts w:hint="eastAsia" w:ascii="仿宋" w:hAnsi="仿宋" w:eastAsia="仿宋" w:cs="仿宋"/>
          <w:b/>
          <w:bCs/>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10B394C0">
      <w:pPr>
        <w:keepNext w:val="0"/>
        <w:keepLines w:val="0"/>
        <w:pageBreakBefore w:val="0"/>
        <w:widowControl w:val="0"/>
        <w:tabs>
          <w:tab w:val="left" w:pos="180"/>
        </w:tabs>
        <w:kinsoku/>
        <w:overflowPunct/>
        <w:topLinePunct w:val="0"/>
        <w:bidi w:val="0"/>
        <w:spacing w:line="520" w:lineRule="exact"/>
        <w:ind w:firstLine="3547" w:firstLineChars="12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二、合同条款</w:t>
      </w:r>
    </w:p>
    <w:p w14:paraId="60A489C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1.定义</w:t>
      </w:r>
    </w:p>
    <w:p w14:paraId="307C61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本合同中下列术语应解释为</w:t>
      </w:r>
      <w:r>
        <w:rPr>
          <w:rFonts w:hint="eastAsia" w:ascii="仿宋" w:hAnsi="仿宋" w:eastAsia="仿宋" w:cs="仿宋"/>
          <w:sz w:val="24"/>
          <w:szCs w:val="24"/>
          <w:highlight w:val="none"/>
          <w:lang w:eastAsia="zh-CN"/>
        </w:rPr>
        <w:t>：</w:t>
      </w:r>
    </w:p>
    <w:p w14:paraId="267C1E0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（1）“合同”系指甲方和乙方（以下简称合同双方）签署的、合同格式中列明的合同双方所达成的协议，包括所有的附件、附录和构成合同的所有文件。</w:t>
      </w:r>
    </w:p>
    <w:p w14:paraId="5BCE52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（2）“合同价”系指根据合同规定，乙方在完全履行合同义务后甲方应支付给乙方的价格。</w:t>
      </w:r>
    </w:p>
    <w:p w14:paraId="0AE0B6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（3）“货物（含软件及相关服务）”系指乙方按合同要求，须向甲方提供的一切设备、机械、仪表、备件、工具、技术及手册等有关材料。</w:t>
      </w:r>
    </w:p>
    <w:p w14:paraId="497F5BB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（4）“服务”系指根据合同规定乙方承担与供货有关的所有辅助服务，如运输、保险以及</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服务，如安装、调试、提供技术援助、培训和其他类似的义务。</w:t>
      </w:r>
    </w:p>
    <w:p w14:paraId="408964A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（5）“甲方”系指购买货物（含软件及相关服务）的单位。</w:t>
      </w:r>
    </w:p>
    <w:p w14:paraId="413696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（6）“乙方”系指根据合同规定提供货物（含软件及相关服务）和服务的供应商。</w:t>
      </w:r>
    </w:p>
    <w:p w14:paraId="2E8FD3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2.技术规范</w:t>
      </w:r>
    </w:p>
    <w:p w14:paraId="7323AC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p>
    <w:p w14:paraId="22DF34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3.专利权</w:t>
      </w:r>
    </w:p>
    <w:p w14:paraId="7098F1B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2666324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4.包装要求</w:t>
      </w:r>
    </w:p>
    <w:p w14:paraId="40F2FE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4.1除合同另有规定外，乙方提供的全部货物（含软件及相关服务），均应按相应的标准保护措施进行包装，使包装适应于远距离运输、防潮、防震、防锈和防粗暴装卸，确保货物（含软件及相关服务）安全无损运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抵</w:t>
      </w:r>
      <w:r>
        <w:rPr>
          <w:rFonts w:hint="eastAsia" w:ascii="仿宋" w:hAnsi="仿宋" w:eastAsia="仿宋" w:cs="仿宋"/>
          <w:sz w:val="24"/>
          <w:szCs w:val="24"/>
          <w:highlight w:val="none"/>
        </w:rPr>
        <w:t>现场。由于包装不善所引起的货物（含软件及相关服务）锈蚀、损坏和损失均由乙方承担。</w:t>
      </w:r>
    </w:p>
    <w:p w14:paraId="2D3422A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4.2每件包装箱内应附一份详细装箱单和质量合格证。</w:t>
      </w:r>
    </w:p>
    <w:p w14:paraId="32992C0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5.装运标志</w:t>
      </w:r>
    </w:p>
    <w:p w14:paraId="092F00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 乙方应在每一包装箱邻接的四侧用不褪色的油漆以醒目的中文字样做出下列标记</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p>
    <w:p w14:paraId="1E2389E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（1）收货人 </w:t>
      </w:r>
    </w:p>
    <w:p w14:paraId="617407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（2）合同号 </w:t>
      </w:r>
    </w:p>
    <w:p w14:paraId="0E7D894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（3）装运标志 </w:t>
      </w:r>
    </w:p>
    <w:p w14:paraId="16BD121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（4）收货人代号 </w:t>
      </w:r>
    </w:p>
    <w:p w14:paraId="669E80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（5）目的地 </w:t>
      </w:r>
    </w:p>
    <w:p w14:paraId="55365FB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（6）货物（含软件及相关服务）名称、品目号和箱号</w:t>
      </w:r>
    </w:p>
    <w:p w14:paraId="4087656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（7）毛重／净重 </w:t>
      </w:r>
    </w:p>
    <w:p w14:paraId="5E34CF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（8）尺寸（长</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宽</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 xml:space="preserve">高，以厘米计） </w:t>
      </w:r>
    </w:p>
    <w:p w14:paraId="1626E4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勿倒置</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防潮”等字样和其他适当的标记。 </w:t>
      </w:r>
    </w:p>
    <w:p w14:paraId="746695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5.3因缺少装运标志或者装运标志不明确导致货物在运输、装卸过程中产生的损失，乙方应承担相应的过错责任。</w:t>
      </w:r>
    </w:p>
    <w:p w14:paraId="10ABEA7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6.付款方式</w:t>
      </w:r>
    </w:p>
    <w:p w14:paraId="66290D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6.1本合同以人民币付款。</w:t>
      </w:r>
    </w:p>
    <w:p w14:paraId="609F42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w:t>
      </w:r>
    </w:p>
    <w:p w14:paraId="4B5BB0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（1）发票；</w:t>
      </w:r>
    </w:p>
    <w:p w14:paraId="50E26E9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（2）制造厂家出具的质量检验证书等；</w:t>
      </w:r>
    </w:p>
    <w:p w14:paraId="721B26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（3）装箱单；</w:t>
      </w:r>
    </w:p>
    <w:p w14:paraId="03818E3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（4）验收合格证；</w:t>
      </w:r>
    </w:p>
    <w:p w14:paraId="6774F6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（5）使用方加盖公章证明货物交付使用合格的验收表。</w:t>
      </w:r>
    </w:p>
    <w:p w14:paraId="24F1E9E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6.3甲方将按磋商文件中规定的付款方式安排付款。</w:t>
      </w:r>
    </w:p>
    <w:p w14:paraId="200CDF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7.伴随服务</w:t>
      </w:r>
    </w:p>
    <w:p w14:paraId="7E07B9F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7.1乙方应按照国家有关规定和合同中所附的服务承诺提供服务。</w:t>
      </w:r>
    </w:p>
    <w:p w14:paraId="1F9CCC8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7.2除第7.1条规定外，乙方还应提供下列服务</w:t>
      </w:r>
      <w:r>
        <w:rPr>
          <w:rFonts w:hint="eastAsia" w:ascii="仿宋" w:hAnsi="仿宋" w:eastAsia="仿宋" w:cs="仿宋"/>
          <w:sz w:val="24"/>
          <w:szCs w:val="24"/>
          <w:highlight w:val="none"/>
          <w:lang w:eastAsia="zh-CN"/>
        </w:rPr>
        <w:t>：</w:t>
      </w:r>
    </w:p>
    <w:p w14:paraId="41C0634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（1）货物的现场安装和启动监督；</w:t>
      </w:r>
    </w:p>
    <w:p w14:paraId="721C1C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（2）提供货物组装和维修所需的工具；</w:t>
      </w:r>
    </w:p>
    <w:p w14:paraId="61060E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（3）在合同中乙方承诺的期限内对所提供货物实施运行监督、维修，但前提条件是该服务并不能免除乙方在质量保证期内应承担的义务；</w:t>
      </w:r>
    </w:p>
    <w:p w14:paraId="1C1F66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（4）在项目交货现场就货物的安装、启动、运行、维护对甲方人员进行培训。</w:t>
      </w:r>
    </w:p>
    <w:p w14:paraId="104EBA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7.3伴随服务的费用应含在合同价中，不单独进行支付。</w:t>
      </w:r>
    </w:p>
    <w:p w14:paraId="1B272F1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8.质量保证</w:t>
      </w:r>
    </w:p>
    <w:p w14:paraId="345C9C1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3DF7EA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5C7805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8.3 乙方在收到通知后</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 xml:space="preserve">天内应免费维修或更换有缺陷的货物（含软件及相关服务）或部件。 </w:t>
      </w:r>
    </w:p>
    <w:p w14:paraId="51479E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8.4 如果乙方在收到通知后</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天内没有弥补缺陷，甲方可采取必要的补救措施，但风险和费用将由乙方承担。</w:t>
      </w:r>
    </w:p>
    <w:p w14:paraId="5C5AC71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8.5 除合同专用条款规定外，合同项下货物（含软件及相关服务）的质量保证期为自货物（含软件及相关服务）通过最终验收起12个月。</w:t>
      </w:r>
    </w:p>
    <w:p w14:paraId="032919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9.检验及安装</w:t>
      </w:r>
    </w:p>
    <w:p w14:paraId="528785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519817D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承担</w:t>
      </w:r>
      <w:r>
        <w:rPr>
          <w:rFonts w:hint="eastAsia" w:ascii="仿宋" w:hAnsi="仿宋" w:eastAsia="仿宋" w:cs="仿宋"/>
          <w:sz w:val="24"/>
          <w:szCs w:val="24"/>
          <w:highlight w:val="none"/>
        </w:rPr>
        <w:t xml:space="preserve">之外。 </w:t>
      </w:r>
    </w:p>
    <w:p w14:paraId="695B36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sz w:val="24"/>
          <w:szCs w:val="24"/>
          <w:highlight w:val="none"/>
        </w:rPr>
      </w:pPr>
      <w:r>
        <w:rPr>
          <w:rFonts w:hint="eastAsia" w:ascii="仿宋" w:hAnsi="仿宋" w:eastAsia="仿宋" w:cs="仿宋"/>
          <w:sz w:val="24"/>
          <w:szCs w:val="24"/>
          <w:highlight w:val="none"/>
        </w:rPr>
        <w:t>9.3 如果货物（含软件及相关服务）的质量和规格与合同不符，或在第</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 xml:space="preserve">条规定的质量保证期内证实货物（含软件及相关服务）是有缺陷的，包括潜在的缺陷或使用不符合要求的材料，甲方将有权向乙方提出索赔。 </w:t>
      </w:r>
    </w:p>
    <w:p w14:paraId="701216E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9.4 甲方有权提出在货物（含软件及相关服务）制造过程中派人到制造厂进行监造，乙方有义务为甲方监造人员提供方便。</w:t>
      </w:r>
    </w:p>
    <w:p w14:paraId="3C7419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p>
    <w:p w14:paraId="1CAE619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9.6 货物（含软件及相关服务）的安装按磋商文件要求进行。</w:t>
      </w:r>
    </w:p>
    <w:p w14:paraId="1A82436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10.索赔</w:t>
      </w:r>
    </w:p>
    <w:p w14:paraId="0F6748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10.1 除责任应由保险公司或运输部门</w:t>
      </w:r>
      <w:r>
        <w:rPr>
          <w:rFonts w:hint="eastAsia" w:ascii="仿宋" w:hAnsi="仿宋" w:eastAsia="仿宋" w:cs="仿宋"/>
          <w:sz w:val="24"/>
          <w:szCs w:val="24"/>
          <w:highlight w:val="none"/>
          <w:lang w:eastAsia="zh-CN"/>
        </w:rPr>
        <w:t>承担</w:t>
      </w:r>
      <w:r>
        <w:rPr>
          <w:rFonts w:hint="eastAsia" w:ascii="仿宋" w:hAnsi="仿宋" w:eastAsia="仿宋" w:cs="仿宋"/>
          <w:sz w:val="24"/>
          <w:szCs w:val="24"/>
          <w:highlight w:val="none"/>
        </w:rPr>
        <w:t xml:space="preserve">之外，甲方有权根据甲方按检验标准自己检验的结果或当地商检部门出具的商检证书向乙方提出索赔。 </w:t>
      </w:r>
    </w:p>
    <w:p w14:paraId="7E732CF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w:t>
      </w:r>
    </w:p>
    <w:p w14:paraId="593DFE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必要费用。</w:t>
      </w:r>
    </w:p>
    <w:p w14:paraId="0C5C96D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（2）根据货物（含软件及相关服务）的低劣程度、损坏程度以及甲方遭受损失的数额，经买卖双方商定降低货物（含软件及相关服务）的价格。</w:t>
      </w:r>
    </w:p>
    <w:p w14:paraId="709D148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0867114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10.3 如果在甲方发出索赔通知后30天内，乙方未能答复，</w:t>
      </w:r>
      <w:r>
        <w:rPr>
          <w:rFonts w:hint="eastAsia" w:ascii="仿宋" w:hAnsi="仿宋" w:eastAsia="仿宋" w:cs="仿宋"/>
          <w:sz w:val="24"/>
          <w:szCs w:val="24"/>
          <w:highlight w:val="none"/>
          <w:lang w:eastAsia="zh-CN"/>
        </w:rPr>
        <w:t>上述</w:t>
      </w:r>
      <w:r>
        <w:rPr>
          <w:rFonts w:hint="eastAsia" w:ascii="仿宋" w:hAnsi="仿宋" w:eastAsia="仿宋" w:cs="仿宋"/>
          <w:sz w:val="24"/>
          <w:szCs w:val="24"/>
          <w:highlight w:val="none"/>
        </w:rPr>
        <w:t>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eastAsia="zh-CN"/>
        </w:rPr>
        <w:t>金额</w:t>
      </w:r>
      <w:r>
        <w:rPr>
          <w:rFonts w:hint="eastAsia" w:ascii="仿宋" w:hAnsi="仿宋" w:eastAsia="仿宋" w:cs="仿宋"/>
          <w:sz w:val="24"/>
          <w:szCs w:val="24"/>
          <w:highlight w:val="none"/>
        </w:rPr>
        <w:t>。如果这些金额不足以补偿索赔金额，甲方有权向乙方提出不足部分的补偿。</w:t>
      </w:r>
    </w:p>
    <w:p w14:paraId="2723FBD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11.拖延交货</w:t>
      </w:r>
    </w:p>
    <w:p w14:paraId="26F5ABF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11.1 乙方应按照合同专用条款中规定的交货期交货和提供服务。 </w:t>
      </w:r>
    </w:p>
    <w:p w14:paraId="39EB13B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11.2 如果乙方毫无理由地拖延交货，将受到以下制裁</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没收履约保证金，加收违约损失赔偿和／或终止合同。 </w:t>
      </w:r>
    </w:p>
    <w:p w14:paraId="59972FC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7575DC8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12.误期赔偿</w:t>
      </w:r>
    </w:p>
    <w:p w14:paraId="11A90E6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w:t>
      </w:r>
      <w:r>
        <w:rPr>
          <w:rFonts w:hint="eastAsia" w:ascii="仿宋" w:hAnsi="仿宋" w:eastAsia="仿宋" w:cs="仿宋"/>
          <w:sz w:val="24"/>
          <w:szCs w:val="24"/>
          <w:highlight w:val="none"/>
          <w:lang w:eastAsia="zh-CN"/>
        </w:rPr>
        <w:t>限度</w:t>
      </w:r>
      <w:r>
        <w:rPr>
          <w:rFonts w:hint="eastAsia" w:ascii="仿宋" w:hAnsi="仿宋" w:eastAsia="仿宋" w:cs="仿宋"/>
          <w:sz w:val="24"/>
          <w:szCs w:val="24"/>
          <w:highlight w:val="none"/>
        </w:rPr>
        <w:t>为误期货物或服务合同价的5%。一旦达到误期赔偿的最高限额，甲方可考虑终止合同。</w:t>
      </w:r>
    </w:p>
    <w:p w14:paraId="3036A7D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13.不可抗力</w:t>
      </w:r>
    </w:p>
    <w:p w14:paraId="0DA698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42C65E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7869113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14.税费</w:t>
      </w:r>
    </w:p>
    <w:p w14:paraId="0E34057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14.1中国政府根据现行税法规定对甲方征收的与本合同有关的一切税费均由甲方负担。</w:t>
      </w:r>
    </w:p>
    <w:p w14:paraId="0AE322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14.2中国政府根据现行税法规定对乙方征收的与本合同有关的一切税费均由乙方负担。</w:t>
      </w:r>
    </w:p>
    <w:p w14:paraId="1E14B4A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15.违约终止合同</w:t>
      </w:r>
    </w:p>
    <w:p w14:paraId="4751EC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2DF0F22C">
      <w:pPr>
        <w:pStyle w:val="266"/>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（1）如果乙方未能在合同规定的期限或甲方同意延期的限期内提供全部或部分货物（含软件及相关服务）； </w:t>
      </w:r>
    </w:p>
    <w:p w14:paraId="205CB59B">
      <w:pPr>
        <w:pStyle w:val="266"/>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（2）如果乙方未能履行合同规定的其它义务。 </w:t>
      </w:r>
    </w:p>
    <w:p w14:paraId="0F490EC1">
      <w:pPr>
        <w:pStyle w:val="266"/>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hAnsi="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.2 在甲方根据第1</w:t>
      </w:r>
      <w:r>
        <w:rPr>
          <w:rFonts w:hint="eastAsia" w:hAnsi="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15A2CF43">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履约保证金</w:t>
      </w:r>
    </w:p>
    <w:p w14:paraId="03062CE7">
      <w:pPr>
        <w:pStyle w:val="18"/>
        <w:keepNext w:val="0"/>
        <w:keepLines w:val="0"/>
        <w:pageBreakBefore w:val="0"/>
        <w:widowControl w:val="0"/>
        <w:kinsoku/>
        <w:overflowPunct/>
        <w:topLinePunct w:val="0"/>
        <w:bidi w:val="0"/>
        <w:spacing w:line="520" w:lineRule="exact"/>
        <w:ind w:left="-357" w:leftChars="-170" w:firstLine="825" w:firstLineChars="344"/>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16.</w:t>
      </w:r>
      <w:r>
        <w:rPr>
          <w:rFonts w:hint="eastAsia" w:ascii="仿宋" w:hAnsi="仿宋" w:eastAsia="仿宋" w:cs="仿宋"/>
          <w:sz w:val="24"/>
          <w:szCs w:val="24"/>
          <w:highlight w:val="none"/>
        </w:rPr>
        <w:t>1乙方交纳</w:t>
      </w:r>
      <w:r>
        <w:rPr>
          <w:rFonts w:hint="eastAsia" w:ascii="仿宋" w:hAnsi="仿宋" w:eastAsia="仿宋" w:cs="仿宋"/>
          <w:sz w:val="24"/>
          <w:szCs w:val="24"/>
          <w:highlight w:val="none"/>
          <w:lang w:eastAsia="zh-CN"/>
        </w:rPr>
        <w:t>合同总价的</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作为本合同的履约保证金</w:t>
      </w:r>
      <w:r>
        <w:rPr>
          <w:rFonts w:hint="eastAsia" w:ascii="仿宋" w:hAnsi="仿宋" w:eastAsia="仿宋" w:cs="仿宋"/>
          <w:sz w:val="24"/>
          <w:szCs w:val="24"/>
          <w:highlight w:val="none"/>
          <w:lang w:eastAsia="zh-CN"/>
        </w:rPr>
        <w:t>。</w:t>
      </w:r>
    </w:p>
    <w:p w14:paraId="18D801DC">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20" w:firstLineChars="17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16.2</w:t>
      </w:r>
      <w:r>
        <w:rPr>
          <w:rFonts w:hint="eastAsia" w:ascii="仿宋" w:hAnsi="仿宋" w:eastAsia="仿宋" w:cs="仿宋"/>
          <w:sz w:val="24"/>
          <w:szCs w:val="24"/>
          <w:highlight w:val="none"/>
        </w:rPr>
        <w:t>乙方提供的履约保证金可以是人民币形式（银行本票、汇票、支票、电汇），或银行保函、担保公司的保证担保或保险公司的保证保险等多种形式。</w:t>
      </w:r>
    </w:p>
    <w:p w14:paraId="4AC5DEED">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20" w:firstLineChars="17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16.3</w:t>
      </w:r>
      <w:r>
        <w:rPr>
          <w:rFonts w:hint="eastAsia" w:ascii="仿宋" w:hAnsi="仿宋" w:eastAsia="仿宋" w:cs="仿宋"/>
          <w:sz w:val="24"/>
          <w:szCs w:val="24"/>
          <w:highlight w:val="none"/>
        </w:rPr>
        <w:t>乙方选取银行保函、担保公司的保证担保或保险公司的保证保险等形式向采购人缴纳的，如保函（担保、保险等）的约定期到期但乙方履约仍未结束的，乙方须进行续保。</w:t>
      </w:r>
    </w:p>
    <w:p w14:paraId="6A542C47">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20" w:firstLineChars="17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16.4</w:t>
      </w:r>
      <w:r>
        <w:rPr>
          <w:rFonts w:hint="eastAsia" w:ascii="仿宋" w:hAnsi="仿宋" w:eastAsia="仿宋" w:cs="仿宋"/>
          <w:sz w:val="24"/>
          <w:szCs w:val="24"/>
          <w:highlight w:val="none"/>
        </w:rPr>
        <w:t>乙方选取以履约保函（保险）形式向采购人缴纳的，按照《关于在全省政府采购领域推行电子履约保函（保险）的通知》（苏财购</w:t>
      </w:r>
      <w:r>
        <w:rPr>
          <w:rFonts w:hint="eastAsia" w:ascii="仿宋" w:hAnsi="仿宋" w:eastAsia="仿宋" w:cs="仿宋"/>
          <w:sz w:val="24"/>
          <w:szCs w:val="24"/>
          <w:highlight w:val="none"/>
          <w:lang w:eastAsia="zh-CN"/>
        </w:rPr>
        <w:t>〔2023〕150号</w:t>
      </w:r>
      <w:r>
        <w:rPr>
          <w:rFonts w:hint="eastAsia" w:ascii="仿宋" w:hAnsi="仿宋" w:eastAsia="仿宋" w:cs="仿宋"/>
          <w:sz w:val="24"/>
          <w:szCs w:val="24"/>
          <w:highlight w:val="none"/>
        </w:rPr>
        <w:t>）的要求，登录“政府采购电子履约保函（保险）平台”，选择第三方机构并提交保函（保险）申请，经审核通过后支付相关费用。</w:t>
      </w:r>
    </w:p>
    <w:p w14:paraId="3ACEAB3A">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20" w:firstLineChars="175"/>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16.5</w:t>
      </w:r>
      <w:r>
        <w:rPr>
          <w:rFonts w:hint="eastAsia" w:ascii="仿宋" w:hAnsi="仿宋" w:eastAsia="仿宋" w:cs="仿宋"/>
          <w:sz w:val="24"/>
          <w:szCs w:val="24"/>
          <w:highlight w:val="none"/>
        </w:rPr>
        <w:t>如乙方未能履行合同规定的义务，甲方有权从履约保证金中取得补偿。</w:t>
      </w:r>
    </w:p>
    <w:p w14:paraId="227FF671">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16.6</w:t>
      </w:r>
      <w:r>
        <w:rPr>
          <w:rFonts w:hint="eastAsia" w:ascii="仿宋" w:hAnsi="仿宋" w:eastAsia="仿宋" w:cs="仿宋"/>
          <w:sz w:val="24"/>
          <w:szCs w:val="24"/>
          <w:highlight w:val="none"/>
        </w:rPr>
        <w:t>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4"/>
          <w:szCs w:val="24"/>
          <w:highlight w:val="none"/>
          <w:lang w:eastAsia="zh-CN"/>
        </w:rPr>
        <w:t>基准利率</w:t>
      </w:r>
      <w:r>
        <w:rPr>
          <w:rFonts w:hint="eastAsia" w:ascii="仿宋" w:hAnsi="仿宋" w:eastAsia="仿宋" w:cs="仿宋"/>
          <w:sz w:val="24"/>
          <w:szCs w:val="24"/>
          <w:highlight w:val="none"/>
        </w:rPr>
        <w:t>上浮20%后的利率支付超期资金占用费，但因乙方自身原因导致无法及时退还的除外。</w:t>
      </w:r>
    </w:p>
    <w:p w14:paraId="1457C39E">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16.7</w:t>
      </w:r>
      <w:r>
        <w:rPr>
          <w:rFonts w:hint="eastAsia" w:ascii="仿宋" w:hAnsi="仿宋" w:eastAsia="仿宋" w:cs="仿宋"/>
          <w:sz w:val="24"/>
          <w:szCs w:val="24"/>
          <w:highlight w:val="none"/>
        </w:rPr>
        <w:t>履约保证金在合同约定期间内不予退还或者应完全有效，履约保证金在</w:t>
      </w:r>
      <w:r>
        <w:rPr>
          <w:rFonts w:hint="eastAsia" w:ascii="仿宋" w:hAnsi="仿宋" w:eastAsia="仿宋" w:cs="仿宋"/>
          <w:sz w:val="24"/>
          <w:szCs w:val="24"/>
          <w:highlight w:val="none"/>
          <w:lang w:eastAsia="zh-CN"/>
        </w:rPr>
        <w:t>质保期</w:t>
      </w:r>
      <w:r>
        <w:rPr>
          <w:rFonts w:hint="eastAsia" w:ascii="仿宋" w:hAnsi="仿宋" w:eastAsia="仿宋" w:cs="仿宋"/>
          <w:sz w:val="24"/>
          <w:szCs w:val="24"/>
          <w:highlight w:val="none"/>
          <w:lang w:val="en-US" w:eastAsia="zh-CN"/>
        </w:rPr>
        <w:t>1年</w:t>
      </w:r>
      <w:r>
        <w:rPr>
          <w:rFonts w:hint="eastAsia" w:ascii="仿宋" w:hAnsi="仿宋" w:eastAsia="仿宋" w:cs="仿宋"/>
          <w:sz w:val="24"/>
          <w:szCs w:val="24"/>
          <w:highlight w:val="none"/>
        </w:rPr>
        <w:t>后无息退还给乙方。</w:t>
      </w:r>
    </w:p>
    <w:p w14:paraId="770F8EC5">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17</w:t>
      </w:r>
      <w:r>
        <w:rPr>
          <w:rFonts w:hint="eastAsia" w:ascii="仿宋" w:hAnsi="仿宋" w:eastAsia="仿宋" w:cs="仿宋"/>
          <w:sz w:val="24"/>
          <w:szCs w:val="24"/>
          <w:highlight w:val="none"/>
        </w:rPr>
        <w:t>破产中止合同</w:t>
      </w:r>
    </w:p>
    <w:p w14:paraId="605C7BCD">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.1如果乙方破产或无清偿能力，甲方可在任何时候以书面形式通知乙方中止合同而不给乙方补偿。该中止合同将不损害或影响甲方和使用方已经采取或将要采取的任何行动或补救措施的权力。</w:t>
      </w:r>
    </w:p>
    <w:p w14:paraId="54CF244B">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.转让</w:t>
      </w:r>
    </w:p>
    <w:p w14:paraId="47264138">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 除甲方事先书面同意外，乙方不得部分转让或全部转让其应履行的合同义务。</w:t>
      </w:r>
    </w:p>
    <w:p w14:paraId="35B0708C">
      <w:pPr>
        <w:pStyle w:val="18"/>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.合同生效及其它</w:t>
      </w:r>
    </w:p>
    <w:p w14:paraId="216F9D15">
      <w:pPr>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 w:hAnsi="仿宋" w:eastAsia="仿宋" w:cs="仿宋"/>
          <w:b/>
          <w:color w:val="000000"/>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.1</w:t>
      </w:r>
      <w:r>
        <w:rPr>
          <w:rFonts w:hint="eastAsia" w:ascii="仿宋" w:hAnsi="仿宋" w:eastAsia="仿宋" w:cs="仿宋"/>
          <w:sz w:val="24"/>
          <w:szCs w:val="24"/>
          <w:highlight w:val="none"/>
          <w:u w:val="none"/>
          <w:lang w:eastAsia="zh-CN"/>
        </w:rPr>
        <w:t>甲方发布的竞争性</w:t>
      </w:r>
      <w:r>
        <w:rPr>
          <w:rFonts w:hint="eastAsia" w:ascii="仿宋" w:hAnsi="仿宋" w:eastAsia="仿宋" w:cs="仿宋"/>
          <w:sz w:val="24"/>
          <w:szCs w:val="24"/>
          <w:highlight w:val="none"/>
        </w:rPr>
        <w:t>磋商文件、乙方提交的响应文件、本次磋商的成交通知书和乙方的澄清等内容将作为本次采购合同文件的主要内容。乙方在合同履行过程中若发生服务内容缩减、服务不及时的现象，甲方有权对乙方处以适当的经济处罚。</w:t>
      </w:r>
    </w:p>
    <w:p w14:paraId="77C80F0C">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 xml:space="preserve">.2本合同经甲、乙双方加盖电子签章后生效。    </w:t>
      </w:r>
    </w:p>
    <w:p w14:paraId="72532177">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.3合同货物交付使用后所发生的合同纠纷</w:t>
      </w:r>
      <w:r>
        <w:rPr>
          <w:rFonts w:hint="eastAsia" w:ascii="仿宋" w:hAnsi="仿宋" w:eastAsia="仿宋" w:cs="仿宋"/>
          <w:sz w:val="24"/>
          <w:szCs w:val="24"/>
          <w:highlight w:val="none"/>
          <w:lang w:eastAsia="zh-CN"/>
        </w:rPr>
        <w:t>，由</w:t>
      </w:r>
      <w:r>
        <w:rPr>
          <w:rFonts w:hint="eastAsia" w:ascii="仿宋" w:hAnsi="仿宋" w:eastAsia="仿宋" w:cs="仿宋"/>
          <w:sz w:val="24"/>
          <w:szCs w:val="24"/>
          <w:highlight w:val="none"/>
        </w:rPr>
        <w:t>甲方与乙方进行处理。</w:t>
      </w:r>
    </w:p>
    <w:p w14:paraId="0E62DA1D">
      <w:pPr>
        <w:pStyle w:val="18"/>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.4如需修改或补充合同内容，应经甲、乙</w:t>
      </w:r>
      <w:r>
        <w:rPr>
          <w:rFonts w:hint="eastAsia" w:ascii="仿宋" w:hAnsi="仿宋" w:eastAsia="仿宋" w:cs="仿宋"/>
          <w:sz w:val="24"/>
          <w:szCs w:val="24"/>
          <w:highlight w:val="none"/>
          <w:lang w:eastAsia="zh-CN"/>
        </w:rPr>
        <w:t>双</w:t>
      </w:r>
      <w:r>
        <w:rPr>
          <w:rFonts w:hint="eastAsia" w:ascii="仿宋" w:hAnsi="仿宋" w:eastAsia="仿宋" w:cs="仿宋"/>
          <w:sz w:val="24"/>
          <w:szCs w:val="24"/>
          <w:highlight w:val="none"/>
        </w:rPr>
        <w:t>方协商，签署书面修改或补充协议。该协议将作为本合同不可分割的一部分。</w:t>
      </w:r>
    </w:p>
    <w:p w14:paraId="18E5C1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.5本合同</w:t>
      </w:r>
      <w:r>
        <w:rPr>
          <w:rFonts w:hint="eastAsia" w:ascii="仿宋" w:hAnsi="仿宋" w:eastAsia="仿宋" w:cs="仿宋"/>
          <w:sz w:val="24"/>
          <w:szCs w:val="24"/>
          <w:highlight w:val="none"/>
          <w:lang w:eastAsia="zh-CN"/>
        </w:rPr>
        <w:t>应当</w:t>
      </w:r>
      <w:r>
        <w:rPr>
          <w:rFonts w:hint="eastAsia" w:ascii="仿宋" w:hAnsi="仿宋" w:eastAsia="仿宋" w:cs="仿宋"/>
          <w:sz w:val="24"/>
          <w:szCs w:val="24"/>
          <w:highlight w:val="none"/>
        </w:rPr>
        <w:t>按照中华人民共和国的现行法律进行解释。</w:t>
      </w:r>
    </w:p>
    <w:p w14:paraId="2A74CC17">
      <w:pPr>
        <w:pStyle w:val="2"/>
        <w:keepNext w:val="0"/>
        <w:keepLines w:val="0"/>
        <w:pageBreakBefore w:val="0"/>
        <w:widowControl w:val="0"/>
        <w:kinsoku/>
        <w:wordWrap/>
        <w:overflowPunct/>
        <w:topLinePunct w:val="0"/>
        <w:autoSpaceDE/>
        <w:autoSpaceDN/>
        <w:bidi w:val="0"/>
        <w:adjustRightInd/>
        <w:snapToGrid/>
        <w:spacing w:before="0" w:after="0" w:line="480" w:lineRule="exact"/>
        <w:ind w:firstLine="643" w:firstLineChars="200"/>
        <w:textAlignment w:val="auto"/>
        <w:rPr>
          <w:rFonts w:ascii="仿宋" w:hAnsi="仿宋" w:eastAsia="仿宋"/>
          <w:b/>
          <w:bCs/>
          <w:color w:val="000000" w:themeColor="text1"/>
          <w:szCs w:val="32"/>
          <w:highlight w:val="none"/>
          <w:lang w:val="zh-CN"/>
          <w14:textFill>
            <w14:solidFill>
              <w14:schemeClr w14:val="tx1"/>
            </w14:solidFill>
          </w14:textFill>
        </w:rPr>
      </w:pPr>
      <w:r>
        <w:rPr>
          <w:rFonts w:hint="eastAsia" w:cs="宋体"/>
          <w:color w:val="000000" w:themeColor="text1"/>
          <w:szCs w:val="18"/>
          <w:highlight w:val="none"/>
          <w14:textFill>
            <w14:solidFill>
              <w14:schemeClr w14:val="tx1"/>
            </w14:solidFill>
          </w14:textFill>
        </w:rPr>
        <w:br w:type="page" w:clear="all"/>
      </w:r>
      <w:bookmarkStart w:id="74" w:name="_Toc25842"/>
      <w:r>
        <w:rPr>
          <w:rFonts w:hint="eastAsia"/>
          <w:highlight w:val="none"/>
        </w:rPr>
        <w:t xml:space="preserve">第五章  </w:t>
      </w:r>
      <w:bookmarkEnd w:id="74"/>
      <w:r>
        <w:rPr>
          <w:rFonts w:hint="eastAsia"/>
          <w:highlight w:val="none"/>
          <w:lang w:val="en-US" w:eastAsia="zh-CN"/>
        </w:rPr>
        <w:t>采购内容及要求</w:t>
      </w:r>
    </w:p>
    <w:p w14:paraId="57140EFE">
      <w:pPr>
        <w:pStyle w:val="245"/>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firstLine="482" w:firstLineChars="200"/>
        <w:textAlignment w:val="auto"/>
        <w:rPr>
          <w:rFonts w:hint="eastAsia" w:ascii="黑体" w:hAnsi="黑体" w:eastAsia="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一、</w:t>
      </w:r>
      <w:r>
        <w:rPr>
          <w:rFonts w:hint="eastAsia" w:ascii="仿宋" w:hAnsi="仿宋" w:eastAsia="仿宋" w:cs="仿宋"/>
          <w:b/>
          <w:bCs/>
          <w:color w:val="000000" w:themeColor="text1"/>
          <w:sz w:val="24"/>
          <w:szCs w:val="24"/>
          <w:highlight w:val="none"/>
          <w:lang w:eastAsia="zh-CN"/>
          <w14:textFill>
            <w14:solidFill>
              <w14:schemeClr w14:val="tx1"/>
            </w14:solidFill>
          </w14:textFill>
        </w:rPr>
        <w:t>采购清单</w:t>
      </w:r>
    </w:p>
    <w:tbl>
      <w:tblPr>
        <w:tblStyle w:val="37"/>
        <w:tblW w:w="4864" w:type="pct"/>
        <w:tblInd w:w="144" w:type="dxa"/>
        <w:shd w:val="clear" w:color="auto" w:fill="auto"/>
        <w:tblLayout w:type="fixed"/>
        <w:tblCellMar>
          <w:top w:w="0" w:type="dxa"/>
          <w:left w:w="108" w:type="dxa"/>
          <w:bottom w:w="0" w:type="dxa"/>
          <w:right w:w="108" w:type="dxa"/>
        </w:tblCellMar>
      </w:tblPr>
      <w:tblGrid>
        <w:gridCol w:w="763"/>
        <w:gridCol w:w="2549"/>
        <w:gridCol w:w="3135"/>
        <w:gridCol w:w="795"/>
        <w:gridCol w:w="780"/>
        <w:gridCol w:w="1460"/>
      </w:tblGrid>
      <w:tr w14:paraId="2FA19234">
        <w:tblPrEx>
          <w:shd w:val="clear" w:color="auto" w:fill="auto"/>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4150250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序号</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AA8E2C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产品名称</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7C116580">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规格</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426FE4F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9AF0515">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2A62E96C">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备注</w:t>
            </w:r>
          </w:p>
        </w:tc>
      </w:tr>
      <w:tr w14:paraId="28A42193">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647290A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A25617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电动挂桶垃圾车</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2718EE8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5m³</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02841BF2">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2130D76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9C43EA5">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3DB942D1">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BA8D1E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688778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电动挂桶垃圾车</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4C5E919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2.5m³</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6304515A">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7B1E16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E221CD7">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7A543A76">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0745162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3</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070BCC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240升垃圾桶（可挂桶）</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0006DE8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L720*580*1070mm(±10mm</w:t>
            </w:r>
            <w:r>
              <w:rPr>
                <w:rFonts w:hint="eastAsia" w:ascii="仿宋" w:hAnsi="仿宋" w:eastAsia="仿宋" w:cs="仿宋"/>
                <w:color w:val="auto"/>
                <w:sz w:val="24"/>
                <w:highlight w:val="none"/>
                <w:lang w:eastAsia="zh-CN"/>
              </w:rPr>
              <w:t>)</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2292EE42">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个</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9CB0E75">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6000</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DF6A63C">
            <w:pPr>
              <w:keepNext w:val="0"/>
              <w:keepLines w:val="0"/>
              <w:pageBreakBefore w:val="0"/>
              <w:widowControl w:val="0"/>
              <w:kinsoku/>
              <w:overflowPunct/>
              <w:topLinePunct w:val="0"/>
              <w:bidi w:val="0"/>
              <w:snapToGrid w:val="0"/>
              <w:spacing w:line="360" w:lineRule="auto"/>
              <w:rPr>
                <w:rFonts w:hint="eastAsia" w:ascii="宋体" w:hAnsi="宋体" w:eastAsia="宋体" w:cs="Calibri"/>
                <w:color w:val="000000"/>
                <w:sz w:val="24"/>
                <w:szCs w:val="24"/>
                <w:highlight w:val="none"/>
              </w:rPr>
            </w:pPr>
            <w:r>
              <w:rPr>
                <w:rFonts w:hint="eastAsia" w:ascii="宋体" w:hAnsi="宋体" w:cs="Calibri"/>
                <w:color w:val="000000"/>
                <w:sz w:val="24"/>
                <w:highlight w:val="none"/>
              </w:rPr>
              <w:drawing>
                <wp:anchor distT="0" distB="0" distL="114300" distR="114300" simplePos="0" relativeHeight="251661312" behindDoc="0" locked="0" layoutInCell="1" allowOverlap="1">
                  <wp:simplePos x="0" y="0"/>
                  <wp:positionH relativeFrom="column">
                    <wp:posOffset>133350</wp:posOffset>
                  </wp:positionH>
                  <wp:positionV relativeFrom="paragraph">
                    <wp:posOffset>114300</wp:posOffset>
                  </wp:positionV>
                  <wp:extent cx="723900" cy="447675"/>
                  <wp:effectExtent l="0" t="0" r="0" b="9525"/>
                  <wp:wrapNone/>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23900" cy="451757"/>
                          </a:xfrm>
                          <a:prstGeom prst="rect">
                            <a:avLst/>
                          </a:prstGeom>
                          <a:noFill/>
                        </pic:spPr>
                      </pic:pic>
                    </a:graphicData>
                  </a:graphic>
                </wp:anchor>
              </w:drawing>
            </w:r>
          </w:p>
        </w:tc>
      </w:tr>
      <w:tr w14:paraId="0D755C77">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0C53CC0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4</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5C64E6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120升垃圾桶</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23BAB1E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L470*540*900mm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±30mm</w:t>
            </w:r>
            <w:r>
              <w:rPr>
                <w:rFonts w:hint="eastAsia" w:ascii="仿宋" w:hAnsi="仿宋" w:eastAsia="仿宋" w:cs="仿宋"/>
                <w:color w:val="auto"/>
                <w:sz w:val="24"/>
                <w:highlight w:val="none"/>
                <w:lang w:eastAsia="zh-CN"/>
              </w:rPr>
              <w:t>)</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4C483872">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个</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9AA5079">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600</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5DDEA60">
            <w:pPr>
              <w:keepNext w:val="0"/>
              <w:keepLines w:val="0"/>
              <w:pageBreakBefore w:val="0"/>
              <w:widowControl w:val="0"/>
              <w:kinsoku/>
              <w:overflowPunct/>
              <w:topLinePunct w:val="0"/>
              <w:bidi w:val="0"/>
              <w:snapToGrid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rPr>
              <w:drawing>
                <wp:anchor distT="0" distB="0" distL="114300" distR="114300" simplePos="0" relativeHeight="251662336" behindDoc="0" locked="0" layoutInCell="1" allowOverlap="1">
                  <wp:simplePos x="0" y="0"/>
                  <wp:positionH relativeFrom="column">
                    <wp:posOffset>205105</wp:posOffset>
                  </wp:positionH>
                  <wp:positionV relativeFrom="paragraph">
                    <wp:posOffset>-13335</wp:posOffset>
                  </wp:positionV>
                  <wp:extent cx="581025" cy="523875"/>
                  <wp:effectExtent l="0" t="0" r="9525"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81025" cy="523875"/>
                          </a:xfrm>
                          <a:prstGeom prst="rect">
                            <a:avLst/>
                          </a:prstGeom>
                          <a:noFill/>
                        </pic:spPr>
                      </pic:pic>
                    </a:graphicData>
                  </a:graphic>
                </wp:anchor>
              </w:drawing>
            </w:r>
          </w:p>
        </w:tc>
      </w:tr>
      <w:tr w14:paraId="34BAD5C3">
        <w:tblPrEx>
          <w:tblCellMar>
            <w:top w:w="0" w:type="dxa"/>
            <w:left w:w="108" w:type="dxa"/>
            <w:bottom w:w="0" w:type="dxa"/>
            <w:right w:w="108" w:type="dxa"/>
          </w:tblCellMar>
        </w:tblPrEx>
        <w:trPr>
          <w:trHeight w:val="733" w:hRule="atLeast"/>
        </w:trPr>
        <w:tc>
          <w:tcPr>
            <w:tcW w:w="763" w:type="dxa"/>
            <w:tcBorders>
              <w:top w:val="single" w:color="000000" w:sz="8" w:space="0"/>
              <w:left w:val="single" w:color="000000" w:sz="8" w:space="0"/>
              <w:bottom w:val="single" w:color="000000" w:sz="8" w:space="0"/>
              <w:right w:val="single" w:color="000000" w:sz="4" w:space="0"/>
            </w:tcBorders>
            <w:shd w:val="clear" w:color="auto" w:fill="auto"/>
            <w:vAlign w:val="center"/>
          </w:tcPr>
          <w:p w14:paraId="6A68F0C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w:t>
            </w:r>
          </w:p>
        </w:tc>
        <w:tc>
          <w:tcPr>
            <w:tcW w:w="254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6EB1C26">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二轮巡逻车</w:t>
            </w:r>
          </w:p>
        </w:tc>
        <w:tc>
          <w:tcPr>
            <w:tcW w:w="31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A3CDA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1820*710*1090±50 (mm)</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6209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78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4AED2A4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146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077BD584">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717737B9">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8" w:space="0"/>
              <w:right w:val="single" w:color="000000" w:sz="4" w:space="0"/>
            </w:tcBorders>
            <w:shd w:val="clear" w:color="auto" w:fill="auto"/>
            <w:vAlign w:val="center"/>
          </w:tcPr>
          <w:p w14:paraId="2C9B5C1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6</w:t>
            </w:r>
          </w:p>
        </w:tc>
        <w:tc>
          <w:tcPr>
            <w:tcW w:w="254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4DA30B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手持式电动割草机</w:t>
            </w:r>
          </w:p>
        </w:tc>
        <w:tc>
          <w:tcPr>
            <w:tcW w:w="31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63097B9">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6C3656">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台</w:t>
            </w:r>
          </w:p>
        </w:tc>
        <w:tc>
          <w:tcPr>
            <w:tcW w:w="78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CFBB81C">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6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0C3BF0B6">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770B00BE">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8" w:space="0"/>
              <w:right w:val="single" w:color="000000" w:sz="4" w:space="0"/>
            </w:tcBorders>
            <w:shd w:val="clear" w:color="auto" w:fill="auto"/>
            <w:vAlign w:val="center"/>
          </w:tcPr>
          <w:p w14:paraId="1EB5D92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7</w:t>
            </w:r>
          </w:p>
        </w:tc>
        <w:tc>
          <w:tcPr>
            <w:tcW w:w="254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188E06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电动</w:t>
            </w:r>
            <w:r>
              <w:rPr>
                <w:rFonts w:hint="eastAsia" w:ascii="仿宋" w:hAnsi="仿宋" w:eastAsia="仿宋" w:cs="仿宋"/>
                <w:color w:val="auto"/>
                <w:sz w:val="24"/>
                <w:highlight w:val="none"/>
              </w:rPr>
              <w:t>修枝机</w:t>
            </w:r>
          </w:p>
        </w:tc>
        <w:tc>
          <w:tcPr>
            <w:tcW w:w="31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2FEFD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E436BC">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台</w:t>
            </w:r>
          </w:p>
        </w:tc>
        <w:tc>
          <w:tcPr>
            <w:tcW w:w="78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7DBF3B9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6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F0B025D">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57608379">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8" w:space="0"/>
              <w:right w:val="single" w:color="000000" w:sz="4" w:space="0"/>
            </w:tcBorders>
            <w:shd w:val="clear" w:color="auto" w:fill="auto"/>
            <w:vAlign w:val="center"/>
          </w:tcPr>
          <w:p w14:paraId="23513A52">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8</w:t>
            </w:r>
          </w:p>
        </w:tc>
        <w:tc>
          <w:tcPr>
            <w:tcW w:w="254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24C5125">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人力保洁车</w:t>
            </w:r>
          </w:p>
        </w:tc>
        <w:tc>
          <w:tcPr>
            <w:tcW w:w="313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C4EBC2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900*700*550mm</w:t>
            </w:r>
          </w:p>
        </w:tc>
        <w:tc>
          <w:tcPr>
            <w:tcW w:w="79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C0310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78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41689A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60"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32CD9C1">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7E175555">
        <w:tblPrEx>
          <w:tblCellMar>
            <w:top w:w="0" w:type="dxa"/>
            <w:left w:w="108" w:type="dxa"/>
            <w:bottom w:w="0" w:type="dxa"/>
            <w:right w:w="108" w:type="dxa"/>
          </w:tblCellMar>
        </w:tblPrEx>
        <w:trPr>
          <w:trHeight w:val="624" w:hRule="atLeast"/>
        </w:trPr>
        <w:tc>
          <w:tcPr>
            <w:tcW w:w="763" w:type="dxa"/>
            <w:tcBorders>
              <w:top w:val="single" w:color="000000" w:sz="8" w:space="0"/>
              <w:left w:val="single" w:color="000000" w:sz="8" w:space="0"/>
              <w:bottom w:val="single" w:color="000000" w:sz="4" w:space="0"/>
              <w:right w:val="single" w:color="000000" w:sz="4" w:space="0"/>
            </w:tcBorders>
            <w:shd w:val="clear" w:color="auto" w:fill="auto"/>
            <w:vAlign w:val="center"/>
          </w:tcPr>
          <w:p w14:paraId="4C06080A">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9</w:t>
            </w:r>
          </w:p>
        </w:tc>
        <w:tc>
          <w:tcPr>
            <w:tcW w:w="254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D05E27A">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三轮电动垃圾清运车</w:t>
            </w:r>
          </w:p>
        </w:tc>
        <w:tc>
          <w:tcPr>
            <w:tcW w:w="313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3826AE5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2480*850*1280 mm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±30mm</w:t>
            </w:r>
            <w:r>
              <w:rPr>
                <w:rFonts w:hint="eastAsia" w:ascii="仿宋" w:hAnsi="仿宋" w:eastAsia="仿宋" w:cs="仿宋"/>
                <w:color w:val="auto"/>
                <w:sz w:val="24"/>
                <w:highlight w:val="none"/>
                <w:lang w:eastAsia="zh-CN"/>
              </w:rPr>
              <w:t>)</w:t>
            </w:r>
          </w:p>
        </w:tc>
        <w:tc>
          <w:tcPr>
            <w:tcW w:w="79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01DF829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78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D776FBA">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60"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13332D5">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78C5EFD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二、技术参数</w:t>
      </w:r>
    </w:p>
    <w:p w14:paraId="6A19C4D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1.电动挂桶垃圾车</w:t>
      </w:r>
    </w:p>
    <w:tbl>
      <w:tblPr>
        <w:tblStyle w:val="37"/>
        <w:tblW w:w="4872" w:type="pct"/>
        <w:tblInd w:w="114" w:type="dxa"/>
        <w:tblLayout w:type="fixed"/>
        <w:tblCellMar>
          <w:top w:w="0" w:type="dxa"/>
          <w:left w:w="108" w:type="dxa"/>
          <w:bottom w:w="0" w:type="dxa"/>
          <w:right w:w="108" w:type="dxa"/>
        </w:tblCellMar>
      </w:tblPr>
      <w:tblGrid>
        <w:gridCol w:w="882"/>
        <w:gridCol w:w="2880"/>
        <w:gridCol w:w="5735"/>
      </w:tblGrid>
      <w:tr w14:paraId="2B33AF19">
        <w:tblPrEx>
          <w:tblCellMar>
            <w:top w:w="0" w:type="dxa"/>
            <w:left w:w="108" w:type="dxa"/>
            <w:bottom w:w="0" w:type="dxa"/>
            <w:right w:w="108" w:type="dxa"/>
          </w:tblCellMar>
        </w:tblPrEx>
        <w:trPr>
          <w:trHeight w:val="185" w:hRule="atLeast"/>
        </w:trPr>
        <w:tc>
          <w:tcPr>
            <w:tcW w:w="1980" w:type="pct"/>
            <w:gridSpan w:val="2"/>
            <w:tcBorders>
              <w:top w:val="single" w:color="auto" w:sz="4" w:space="0"/>
              <w:left w:val="single" w:color="auto" w:sz="4" w:space="0"/>
              <w:bottom w:val="single" w:color="auto" w:sz="4" w:space="0"/>
              <w:right w:val="single" w:color="auto" w:sz="4" w:space="0"/>
            </w:tcBorders>
            <w:noWrap/>
            <w:vAlign w:val="center"/>
          </w:tcPr>
          <w:p w14:paraId="7551D95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项目</w:t>
            </w:r>
          </w:p>
        </w:tc>
        <w:tc>
          <w:tcPr>
            <w:tcW w:w="3019" w:type="pct"/>
            <w:tcBorders>
              <w:top w:val="single" w:color="auto" w:sz="4" w:space="0"/>
              <w:left w:val="single" w:color="auto" w:sz="4" w:space="0"/>
              <w:bottom w:val="single" w:color="auto" w:sz="4" w:space="0"/>
              <w:right w:val="single" w:color="auto" w:sz="4" w:space="0"/>
            </w:tcBorders>
            <w:noWrap/>
            <w:vAlign w:val="center"/>
          </w:tcPr>
          <w:p w14:paraId="6C28E09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参数</w:t>
            </w:r>
          </w:p>
        </w:tc>
      </w:tr>
      <w:tr w14:paraId="5DB6D03F">
        <w:tblPrEx>
          <w:tblCellMar>
            <w:top w:w="0" w:type="dxa"/>
            <w:left w:w="108" w:type="dxa"/>
            <w:bottom w:w="0" w:type="dxa"/>
            <w:right w:w="108" w:type="dxa"/>
          </w:tblCellMar>
        </w:tblPrEx>
        <w:trPr>
          <w:trHeight w:val="462" w:hRule="atLeast"/>
        </w:trPr>
        <w:tc>
          <w:tcPr>
            <w:tcW w:w="464" w:type="pct"/>
            <w:vMerge w:val="restart"/>
            <w:tcBorders>
              <w:top w:val="single" w:color="auto" w:sz="4" w:space="0"/>
              <w:left w:val="single" w:color="auto" w:sz="4" w:space="0"/>
              <w:bottom w:val="single" w:color="auto" w:sz="4" w:space="0"/>
              <w:right w:val="single" w:color="auto" w:sz="4" w:space="0"/>
            </w:tcBorders>
            <w:noWrap/>
            <w:vAlign w:val="center"/>
          </w:tcPr>
          <w:p w14:paraId="1E48589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技术参数</w:t>
            </w:r>
          </w:p>
        </w:tc>
        <w:tc>
          <w:tcPr>
            <w:tcW w:w="1516" w:type="pct"/>
            <w:tcBorders>
              <w:top w:val="single" w:color="auto" w:sz="4" w:space="0"/>
              <w:left w:val="single" w:color="auto" w:sz="4" w:space="0"/>
              <w:bottom w:val="single" w:color="auto" w:sz="4" w:space="0"/>
              <w:right w:val="single" w:color="auto" w:sz="4" w:space="0"/>
            </w:tcBorders>
            <w:vAlign w:val="center"/>
          </w:tcPr>
          <w:p w14:paraId="74AC093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整车尺寸</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长*宽*高</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mm</w:t>
            </w:r>
          </w:p>
        </w:tc>
        <w:tc>
          <w:tcPr>
            <w:tcW w:w="3019" w:type="pct"/>
            <w:tcBorders>
              <w:top w:val="single" w:color="auto" w:sz="4" w:space="0"/>
              <w:left w:val="single" w:color="auto" w:sz="4" w:space="0"/>
              <w:bottom w:val="single" w:color="auto" w:sz="4" w:space="0"/>
              <w:right w:val="single" w:color="auto" w:sz="4" w:space="0"/>
            </w:tcBorders>
            <w:vAlign w:val="center"/>
          </w:tcPr>
          <w:p w14:paraId="2D4FBC7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4200*1840*2400</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±50mm</w:t>
            </w:r>
            <w:r>
              <w:rPr>
                <w:rFonts w:hint="eastAsia" w:ascii="仿宋" w:hAnsi="仿宋" w:eastAsia="仿宋" w:cs="仿宋"/>
                <w:color w:val="auto"/>
                <w:sz w:val="24"/>
                <w:highlight w:val="none"/>
                <w:lang w:eastAsia="zh-CN"/>
              </w:rPr>
              <w:t>)</w:t>
            </w:r>
          </w:p>
        </w:tc>
      </w:tr>
      <w:tr w14:paraId="66E1993B">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659F2C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7CF5224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车厢尺寸</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长*宽*高</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mm</w:t>
            </w:r>
          </w:p>
        </w:tc>
        <w:tc>
          <w:tcPr>
            <w:tcW w:w="3019" w:type="pct"/>
            <w:tcBorders>
              <w:top w:val="single" w:color="auto" w:sz="4" w:space="0"/>
              <w:left w:val="single" w:color="auto" w:sz="4" w:space="0"/>
              <w:bottom w:val="single" w:color="auto" w:sz="4" w:space="0"/>
              <w:right w:val="single" w:color="auto" w:sz="4" w:space="0"/>
            </w:tcBorders>
            <w:vAlign w:val="center"/>
          </w:tcPr>
          <w:p w14:paraId="1DD6F86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2600*1600*1450</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±10mm</w:t>
            </w:r>
            <w:r>
              <w:rPr>
                <w:rFonts w:hint="eastAsia" w:ascii="仿宋" w:hAnsi="仿宋" w:eastAsia="仿宋" w:cs="仿宋"/>
                <w:color w:val="auto"/>
                <w:sz w:val="24"/>
                <w:highlight w:val="none"/>
                <w:lang w:eastAsia="zh-CN"/>
              </w:rPr>
              <w:t>)</w:t>
            </w:r>
          </w:p>
        </w:tc>
      </w:tr>
      <w:tr w14:paraId="43DF7397">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902AA7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52300CBA">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载重量kg</w:t>
            </w:r>
          </w:p>
        </w:tc>
        <w:tc>
          <w:tcPr>
            <w:tcW w:w="3019" w:type="pct"/>
            <w:tcBorders>
              <w:top w:val="single" w:color="auto" w:sz="4" w:space="0"/>
              <w:left w:val="single" w:color="auto" w:sz="4" w:space="0"/>
              <w:bottom w:val="single" w:color="auto" w:sz="4" w:space="0"/>
              <w:right w:val="single" w:color="auto" w:sz="4" w:space="0"/>
            </w:tcBorders>
            <w:vAlign w:val="center"/>
          </w:tcPr>
          <w:p w14:paraId="18EB6AC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1500</w:t>
            </w:r>
          </w:p>
        </w:tc>
      </w:tr>
      <w:tr w14:paraId="36F52647">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5842CE95">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7E3DA3E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整备质量kg</w:t>
            </w:r>
          </w:p>
        </w:tc>
        <w:tc>
          <w:tcPr>
            <w:tcW w:w="3019" w:type="pct"/>
            <w:tcBorders>
              <w:top w:val="single" w:color="auto" w:sz="4" w:space="0"/>
              <w:left w:val="single" w:color="auto" w:sz="4" w:space="0"/>
              <w:bottom w:val="single" w:color="auto" w:sz="4" w:space="0"/>
              <w:right w:val="single" w:color="auto" w:sz="4" w:space="0"/>
            </w:tcBorders>
            <w:vAlign w:val="center"/>
          </w:tcPr>
          <w:p w14:paraId="0B1F395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1200</w:t>
            </w:r>
          </w:p>
        </w:tc>
      </w:tr>
      <w:tr w14:paraId="5FB8631A">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66C6957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6193F810">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轮距mm</w:t>
            </w:r>
          </w:p>
        </w:tc>
        <w:tc>
          <w:tcPr>
            <w:tcW w:w="3019" w:type="pct"/>
            <w:tcBorders>
              <w:top w:val="single" w:color="auto" w:sz="4" w:space="0"/>
              <w:left w:val="single" w:color="auto" w:sz="4" w:space="0"/>
              <w:bottom w:val="single" w:color="auto" w:sz="4" w:space="0"/>
              <w:right w:val="single" w:color="auto" w:sz="4" w:space="0"/>
            </w:tcBorders>
            <w:vAlign w:val="center"/>
          </w:tcPr>
          <w:p w14:paraId="01F7D46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1280</w:t>
            </w:r>
          </w:p>
        </w:tc>
      </w:tr>
      <w:tr w14:paraId="28CC12C9">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23397A2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1D2ADF22">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轴距mm</w:t>
            </w:r>
          </w:p>
        </w:tc>
        <w:tc>
          <w:tcPr>
            <w:tcW w:w="3019" w:type="pct"/>
            <w:tcBorders>
              <w:top w:val="single" w:color="auto" w:sz="4" w:space="0"/>
              <w:left w:val="single" w:color="auto" w:sz="4" w:space="0"/>
              <w:bottom w:val="single" w:color="auto" w:sz="4" w:space="0"/>
              <w:right w:val="single" w:color="auto" w:sz="4" w:space="0"/>
            </w:tcBorders>
            <w:vAlign w:val="center"/>
          </w:tcPr>
          <w:p w14:paraId="49EEF44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2860</w:t>
            </w:r>
          </w:p>
        </w:tc>
      </w:tr>
      <w:tr w14:paraId="5FF20FB0">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629ACDB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4204CC0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车厢有效容积m³</w:t>
            </w:r>
          </w:p>
        </w:tc>
        <w:tc>
          <w:tcPr>
            <w:tcW w:w="3019" w:type="pct"/>
            <w:tcBorders>
              <w:top w:val="single" w:color="auto" w:sz="4" w:space="0"/>
              <w:left w:val="single" w:color="auto" w:sz="4" w:space="0"/>
              <w:bottom w:val="single" w:color="auto" w:sz="4" w:space="0"/>
              <w:right w:val="single" w:color="auto" w:sz="4" w:space="0"/>
            </w:tcBorders>
            <w:vAlign w:val="center"/>
          </w:tcPr>
          <w:p w14:paraId="48F3C16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≥5.0m³</w:t>
            </w:r>
          </w:p>
        </w:tc>
      </w:tr>
      <w:tr w14:paraId="75274486">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31E0FE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22A3FFC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时速km/h</w:t>
            </w:r>
          </w:p>
        </w:tc>
        <w:tc>
          <w:tcPr>
            <w:tcW w:w="3019" w:type="pct"/>
            <w:tcBorders>
              <w:top w:val="single" w:color="auto" w:sz="4" w:space="0"/>
              <w:left w:val="single" w:color="auto" w:sz="4" w:space="0"/>
              <w:bottom w:val="single" w:color="auto" w:sz="4" w:space="0"/>
              <w:right w:val="single" w:color="auto" w:sz="4" w:space="0"/>
            </w:tcBorders>
            <w:vAlign w:val="center"/>
          </w:tcPr>
          <w:p w14:paraId="581F831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低速≤15，高速≤35</w:t>
            </w:r>
          </w:p>
        </w:tc>
      </w:tr>
      <w:tr w14:paraId="6C90CD0E">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03C5177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4E324118">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续航里程km</w:t>
            </w:r>
          </w:p>
        </w:tc>
        <w:tc>
          <w:tcPr>
            <w:tcW w:w="3019" w:type="pct"/>
            <w:tcBorders>
              <w:top w:val="single" w:color="auto" w:sz="4" w:space="0"/>
              <w:left w:val="single" w:color="auto" w:sz="4" w:space="0"/>
              <w:bottom w:val="single" w:color="auto" w:sz="4" w:space="0"/>
              <w:right w:val="single" w:color="auto" w:sz="4" w:space="0"/>
            </w:tcBorders>
            <w:vAlign w:val="center"/>
          </w:tcPr>
          <w:p w14:paraId="60719630">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80km</w:t>
            </w:r>
          </w:p>
        </w:tc>
      </w:tr>
      <w:tr w14:paraId="3D08DB43">
        <w:tblPrEx>
          <w:tblCellMar>
            <w:top w:w="0" w:type="dxa"/>
            <w:left w:w="108" w:type="dxa"/>
            <w:bottom w:w="0" w:type="dxa"/>
            <w:right w:w="108" w:type="dxa"/>
          </w:tblCellMar>
        </w:tblPrEx>
        <w:trPr>
          <w:trHeight w:val="45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8C88EC2">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66F1738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电池</w:t>
            </w:r>
          </w:p>
        </w:tc>
        <w:tc>
          <w:tcPr>
            <w:tcW w:w="3019" w:type="pct"/>
            <w:tcBorders>
              <w:top w:val="single" w:color="auto" w:sz="4" w:space="0"/>
              <w:left w:val="single" w:color="auto" w:sz="4" w:space="0"/>
              <w:bottom w:val="single" w:color="auto" w:sz="4" w:space="0"/>
              <w:right w:val="single" w:color="auto" w:sz="4" w:space="0"/>
            </w:tcBorders>
            <w:vAlign w:val="center"/>
          </w:tcPr>
          <w:p w14:paraId="715258F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72V300AH 锂电池</w:t>
            </w:r>
          </w:p>
        </w:tc>
      </w:tr>
      <w:tr w14:paraId="06C7F8F9">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0DC99CF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1CDC846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标准电压V</w:t>
            </w:r>
          </w:p>
        </w:tc>
        <w:tc>
          <w:tcPr>
            <w:tcW w:w="3019" w:type="pct"/>
            <w:tcBorders>
              <w:top w:val="single" w:color="auto" w:sz="4" w:space="0"/>
              <w:left w:val="single" w:color="auto" w:sz="4" w:space="0"/>
              <w:bottom w:val="single" w:color="auto" w:sz="4" w:space="0"/>
              <w:right w:val="single" w:color="auto" w:sz="4" w:space="0"/>
            </w:tcBorders>
            <w:vAlign w:val="center"/>
          </w:tcPr>
          <w:p w14:paraId="51C651B9">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72V</w:t>
            </w:r>
          </w:p>
        </w:tc>
      </w:tr>
      <w:tr w14:paraId="2703FB4B">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2A76D92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08FDEAA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行走电机、功率w</w:t>
            </w:r>
          </w:p>
        </w:tc>
        <w:tc>
          <w:tcPr>
            <w:tcW w:w="3019" w:type="pct"/>
            <w:tcBorders>
              <w:top w:val="single" w:color="auto" w:sz="4" w:space="0"/>
              <w:left w:val="single" w:color="auto" w:sz="4" w:space="0"/>
              <w:bottom w:val="single" w:color="auto" w:sz="4" w:space="0"/>
              <w:right w:val="single" w:color="auto" w:sz="4" w:space="0"/>
            </w:tcBorders>
            <w:vAlign w:val="center"/>
          </w:tcPr>
          <w:p w14:paraId="73F4F9B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免维护无刷电机、5000W</w:t>
            </w:r>
          </w:p>
        </w:tc>
      </w:tr>
      <w:tr w14:paraId="43B70C09">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0A8F4AC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13252D25">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电控系统</w:t>
            </w:r>
          </w:p>
        </w:tc>
        <w:tc>
          <w:tcPr>
            <w:tcW w:w="3019" w:type="pct"/>
            <w:tcBorders>
              <w:top w:val="single" w:color="auto" w:sz="4" w:space="0"/>
              <w:left w:val="single" w:color="auto" w:sz="4" w:space="0"/>
              <w:bottom w:val="single" w:color="auto" w:sz="4" w:space="0"/>
              <w:right w:val="single" w:color="auto" w:sz="4" w:space="0"/>
            </w:tcBorders>
            <w:vAlign w:val="center"/>
          </w:tcPr>
          <w:p w14:paraId="749A8F1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采用72V5000W双模智能控制器</w:t>
            </w:r>
          </w:p>
        </w:tc>
      </w:tr>
      <w:tr w14:paraId="2AA269CF">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905147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4D7F735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液压电机功率w</w:t>
            </w:r>
          </w:p>
        </w:tc>
        <w:tc>
          <w:tcPr>
            <w:tcW w:w="3019" w:type="pct"/>
            <w:tcBorders>
              <w:top w:val="single" w:color="auto" w:sz="4" w:space="0"/>
              <w:left w:val="single" w:color="auto" w:sz="4" w:space="0"/>
              <w:bottom w:val="single" w:color="auto" w:sz="4" w:space="0"/>
              <w:right w:val="single" w:color="auto" w:sz="4" w:space="0"/>
            </w:tcBorders>
            <w:vAlign w:val="center"/>
          </w:tcPr>
          <w:p w14:paraId="339B960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800W</w:t>
            </w:r>
          </w:p>
        </w:tc>
      </w:tr>
      <w:tr w14:paraId="4EBA3C41">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DD5CF0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307FE02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液压油泵噪音</w:t>
            </w:r>
          </w:p>
        </w:tc>
        <w:tc>
          <w:tcPr>
            <w:tcW w:w="3019" w:type="pct"/>
            <w:tcBorders>
              <w:top w:val="single" w:color="auto" w:sz="4" w:space="0"/>
              <w:left w:val="nil"/>
              <w:bottom w:val="single" w:color="auto" w:sz="4" w:space="0"/>
              <w:right w:val="single" w:color="auto" w:sz="4" w:space="0"/>
            </w:tcBorders>
            <w:vAlign w:val="center"/>
          </w:tcPr>
          <w:p w14:paraId="34EDB43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≤100db</w:t>
            </w:r>
          </w:p>
        </w:tc>
      </w:tr>
      <w:tr w14:paraId="59DD67A1">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444C966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single" w:color="auto" w:sz="4" w:space="0"/>
              <w:bottom w:val="single" w:color="auto" w:sz="4" w:space="0"/>
              <w:right w:val="single" w:color="auto" w:sz="4" w:space="0"/>
            </w:tcBorders>
            <w:vAlign w:val="center"/>
          </w:tcPr>
          <w:p w14:paraId="7BB56AB5">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车厢升降时间s</w:t>
            </w:r>
          </w:p>
        </w:tc>
        <w:tc>
          <w:tcPr>
            <w:tcW w:w="3019" w:type="pct"/>
            <w:tcBorders>
              <w:top w:val="single" w:color="auto" w:sz="4" w:space="0"/>
              <w:left w:val="nil"/>
              <w:bottom w:val="single" w:color="auto" w:sz="4" w:space="0"/>
              <w:right w:val="single" w:color="auto" w:sz="4" w:space="0"/>
            </w:tcBorders>
            <w:vAlign w:val="center"/>
          </w:tcPr>
          <w:p w14:paraId="68497870">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≤13</w:t>
            </w:r>
          </w:p>
        </w:tc>
      </w:tr>
      <w:tr w14:paraId="5E297E1A">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7C44824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single" w:color="auto" w:sz="4" w:space="0"/>
              <w:bottom w:val="single" w:color="auto" w:sz="4" w:space="0"/>
              <w:right w:val="single" w:color="auto" w:sz="4" w:space="0"/>
            </w:tcBorders>
            <w:vAlign w:val="center"/>
          </w:tcPr>
          <w:p w14:paraId="36ACCE2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翻桶起升时间s（空桶）</w:t>
            </w:r>
          </w:p>
        </w:tc>
        <w:tc>
          <w:tcPr>
            <w:tcW w:w="3019" w:type="pct"/>
            <w:tcBorders>
              <w:top w:val="single" w:color="auto" w:sz="4" w:space="0"/>
              <w:left w:val="nil"/>
              <w:bottom w:val="single" w:color="auto" w:sz="4" w:space="0"/>
              <w:right w:val="single" w:color="auto" w:sz="4" w:space="0"/>
            </w:tcBorders>
            <w:vAlign w:val="center"/>
          </w:tcPr>
          <w:p w14:paraId="4783659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≤15</w:t>
            </w:r>
          </w:p>
        </w:tc>
      </w:tr>
      <w:tr w14:paraId="3169695B">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43C6FD9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single" w:color="auto" w:sz="4" w:space="0"/>
              <w:bottom w:val="single" w:color="auto" w:sz="4" w:space="0"/>
              <w:right w:val="single" w:color="auto" w:sz="4" w:space="0"/>
            </w:tcBorders>
            <w:vAlign w:val="center"/>
          </w:tcPr>
          <w:p w14:paraId="462E7EB5">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翻桶下降时间s（空桶）</w:t>
            </w:r>
          </w:p>
        </w:tc>
        <w:tc>
          <w:tcPr>
            <w:tcW w:w="3019" w:type="pct"/>
            <w:tcBorders>
              <w:top w:val="single" w:color="auto" w:sz="4" w:space="0"/>
              <w:left w:val="nil"/>
              <w:bottom w:val="single" w:color="auto" w:sz="4" w:space="0"/>
              <w:right w:val="single" w:color="auto" w:sz="4" w:space="0"/>
            </w:tcBorders>
            <w:vAlign w:val="center"/>
          </w:tcPr>
          <w:p w14:paraId="706BEF0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≤10</w:t>
            </w:r>
          </w:p>
        </w:tc>
      </w:tr>
      <w:tr w14:paraId="0C9E9CEA">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06668B9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single" w:color="auto" w:sz="4" w:space="0"/>
              <w:bottom w:val="single" w:color="auto" w:sz="4" w:space="0"/>
              <w:right w:val="single" w:color="auto" w:sz="4" w:space="0"/>
            </w:tcBorders>
            <w:vAlign w:val="center"/>
          </w:tcPr>
          <w:p w14:paraId="3A8697E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轮胎尺寸及要求</w:t>
            </w:r>
          </w:p>
        </w:tc>
        <w:tc>
          <w:tcPr>
            <w:tcW w:w="3019" w:type="pct"/>
            <w:tcBorders>
              <w:top w:val="single" w:color="auto" w:sz="4" w:space="0"/>
              <w:left w:val="nil"/>
              <w:bottom w:val="single" w:color="auto" w:sz="4" w:space="0"/>
              <w:right w:val="single" w:color="auto" w:sz="4" w:space="0"/>
            </w:tcBorders>
            <w:vAlign w:val="center"/>
          </w:tcPr>
          <w:p w14:paraId="36D3361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前轮4.50-12，后轮5.00-12</w:t>
            </w:r>
          </w:p>
        </w:tc>
      </w:tr>
      <w:tr w14:paraId="6DF7FF28">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6C1E69A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single" w:color="auto" w:sz="4" w:space="0"/>
              <w:bottom w:val="single" w:color="auto" w:sz="4" w:space="0"/>
              <w:right w:val="single" w:color="auto" w:sz="4" w:space="0"/>
            </w:tcBorders>
            <w:vAlign w:val="center"/>
          </w:tcPr>
          <w:p w14:paraId="666C069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前减震</w:t>
            </w:r>
          </w:p>
        </w:tc>
        <w:tc>
          <w:tcPr>
            <w:tcW w:w="3019" w:type="pct"/>
            <w:tcBorders>
              <w:top w:val="single" w:color="auto" w:sz="4" w:space="0"/>
              <w:left w:val="nil"/>
              <w:bottom w:val="single" w:color="auto" w:sz="4" w:space="0"/>
              <w:right w:val="single" w:color="auto" w:sz="4" w:space="0"/>
            </w:tcBorders>
            <w:vAlign w:val="center"/>
          </w:tcPr>
          <w:p w14:paraId="04580680">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加重型内外簧油压伸缩管式铁减震</w:t>
            </w:r>
          </w:p>
        </w:tc>
      </w:tr>
      <w:tr w14:paraId="168ED42E">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28ECDAE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nil"/>
              <w:bottom w:val="single" w:color="auto" w:sz="4" w:space="0"/>
              <w:right w:val="single" w:color="auto" w:sz="4" w:space="0"/>
            </w:tcBorders>
            <w:vAlign w:val="center"/>
          </w:tcPr>
          <w:p w14:paraId="5160F7D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前转向套管结构</w:t>
            </w:r>
          </w:p>
        </w:tc>
        <w:tc>
          <w:tcPr>
            <w:tcW w:w="3019" w:type="pct"/>
            <w:tcBorders>
              <w:top w:val="single" w:color="auto" w:sz="4" w:space="0"/>
              <w:left w:val="nil"/>
              <w:bottom w:val="single" w:color="auto" w:sz="4" w:space="0"/>
              <w:right w:val="single" w:color="auto" w:sz="4" w:space="0"/>
            </w:tcBorders>
            <w:vAlign w:val="center"/>
          </w:tcPr>
          <w:p w14:paraId="6AA1850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方向轴套管管壁厚4 mm套管</w:t>
            </w:r>
          </w:p>
        </w:tc>
      </w:tr>
      <w:tr w14:paraId="09F8F1BD">
        <w:tblPrEx>
          <w:tblCellMar>
            <w:top w:w="0" w:type="dxa"/>
            <w:left w:w="108" w:type="dxa"/>
            <w:bottom w:w="0" w:type="dxa"/>
            <w:right w:w="108" w:type="dxa"/>
          </w:tblCellMar>
        </w:tblPrEx>
        <w:trPr>
          <w:trHeight w:val="600" w:hRule="atLeast"/>
        </w:trPr>
        <w:tc>
          <w:tcPr>
            <w:tcW w:w="464" w:type="pct"/>
            <w:vMerge w:val="restart"/>
            <w:tcBorders>
              <w:top w:val="single" w:color="auto" w:sz="4" w:space="0"/>
              <w:left w:val="single" w:color="auto" w:sz="4" w:space="0"/>
              <w:bottom w:val="single" w:color="auto" w:sz="4" w:space="0"/>
              <w:right w:val="single" w:color="auto" w:sz="4" w:space="0"/>
            </w:tcBorders>
            <w:noWrap/>
            <w:vAlign w:val="center"/>
          </w:tcPr>
          <w:p w14:paraId="1B181DA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电器系统</w:t>
            </w:r>
          </w:p>
        </w:tc>
        <w:tc>
          <w:tcPr>
            <w:tcW w:w="1516" w:type="pct"/>
            <w:tcBorders>
              <w:top w:val="single" w:color="auto" w:sz="4" w:space="0"/>
              <w:left w:val="single" w:color="auto" w:sz="4" w:space="0"/>
              <w:bottom w:val="single" w:color="auto" w:sz="4" w:space="0"/>
              <w:right w:val="single" w:color="auto" w:sz="4" w:space="0"/>
            </w:tcBorders>
            <w:vAlign w:val="center"/>
          </w:tcPr>
          <w:p w14:paraId="3C0A8C8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车厢材质结构</w:t>
            </w:r>
          </w:p>
        </w:tc>
        <w:tc>
          <w:tcPr>
            <w:tcW w:w="3019" w:type="pct"/>
            <w:tcBorders>
              <w:top w:val="nil"/>
              <w:left w:val="nil"/>
              <w:bottom w:val="single" w:color="auto" w:sz="4" w:space="0"/>
              <w:right w:val="single" w:color="auto" w:sz="4" w:space="0"/>
            </w:tcBorders>
            <w:vAlign w:val="center"/>
          </w:tcPr>
          <w:p w14:paraId="5A2E80E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车厢前后及左右侧板采用1.5mm冷轧板，底板厚度1.8mm。≥8公分做防水密封处理</w:t>
            </w:r>
          </w:p>
        </w:tc>
      </w:tr>
      <w:tr w14:paraId="100D98A2">
        <w:tblPrEx>
          <w:tblCellMar>
            <w:top w:w="0" w:type="dxa"/>
            <w:left w:w="108" w:type="dxa"/>
            <w:bottom w:w="0" w:type="dxa"/>
            <w:right w:w="108" w:type="dxa"/>
          </w:tblCellMar>
        </w:tblPrEx>
        <w:trPr>
          <w:trHeight w:val="420"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622C34E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2442CDF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密封方式及搭扣</w:t>
            </w:r>
          </w:p>
        </w:tc>
        <w:tc>
          <w:tcPr>
            <w:tcW w:w="3019" w:type="pct"/>
            <w:tcBorders>
              <w:top w:val="single" w:color="auto" w:sz="4" w:space="0"/>
              <w:left w:val="nil"/>
              <w:bottom w:val="single" w:color="auto" w:sz="4" w:space="0"/>
              <w:right w:val="single" w:color="auto" w:sz="4" w:space="0"/>
            </w:tcBorders>
            <w:vAlign w:val="center"/>
          </w:tcPr>
          <w:p w14:paraId="03CD9A29">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车厢有盖后门装有密封胶条，防止污水泄漏，搭扣为可调节收紧搭扣</w:t>
            </w:r>
          </w:p>
        </w:tc>
      </w:tr>
      <w:tr w14:paraId="17470CC0">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71D88B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2EB797A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控制行走方式</w:t>
            </w:r>
          </w:p>
        </w:tc>
        <w:tc>
          <w:tcPr>
            <w:tcW w:w="3019" w:type="pct"/>
            <w:tcBorders>
              <w:top w:val="single" w:color="auto" w:sz="4" w:space="0"/>
              <w:left w:val="nil"/>
              <w:bottom w:val="single" w:color="auto" w:sz="4" w:space="0"/>
              <w:right w:val="single" w:color="auto" w:sz="4" w:space="0"/>
            </w:tcBorders>
            <w:vAlign w:val="center"/>
          </w:tcPr>
          <w:p w14:paraId="0F92545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转把</w:t>
            </w:r>
          </w:p>
        </w:tc>
      </w:tr>
      <w:tr w14:paraId="07A4793F">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FBF1AB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409F207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驾驶方式</w:t>
            </w:r>
          </w:p>
        </w:tc>
        <w:tc>
          <w:tcPr>
            <w:tcW w:w="3019" w:type="pct"/>
            <w:tcBorders>
              <w:top w:val="single" w:color="auto" w:sz="4" w:space="0"/>
              <w:left w:val="nil"/>
              <w:bottom w:val="single" w:color="auto" w:sz="4" w:space="0"/>
              <w:right w:val="single" w:color="auto" w:sz="4" w:space="0"/>
            </w:tcBorders>
            <w:vAlign w:val="center"/>
          </w:tcPr>
          <w:p w14:paraId="2E5092A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方向把式</w:t>
            </w:r>
          </w:p>
        </w:tc>
      </w:tr>
      <w:tr w14:paraId="5CADB943">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24ABCFB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025C8CB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刹车系统</w:t>
            </w:r>
          </w:p>
        </w:tc>
        <w:tc>
          <w:tcPr>
            <w:tcW w:w="3019" w:type="pct"/>
            <w:tcBorders>
              <w:top w:val="single" w:color="auto" w:sz="4" w:space="0"/>
              <w:left w:val="nil"/>
              <w:bottom w:val="single" w:color="auto" w:sz="4" w:space="0"/>
              <w:right w:val="single" w:color="auto" w:sz="4" w:space="0"/>
            </w:tcBorders>
            <w:vAlign w:val="center"/>
          </w:tcPr>
          <w:p w14:paraId="6005D17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车辆采用脚刹液压制动系统，误操作断电系统</w:t>
            </w:r>
          </w:p>
        </w:tc>
      </w:tr>
      <w:tr w14:paraId="39784FF6">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48E99B0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50639F6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制动方式</w:t>
            </w:r>
          </w:p>
        </w:tc>
        <w:tc>
          <w:tcPr>
            <w:tcW w:w="3019" w:type="pct"/>
            <w:tcBorders>
              <w:top w:val="single" w:color="auto" w:sz="4" w:space="0"/>
              <w:left w:val="nil"/>
              <w:bottom w:val="single" w:color="auto" w:sz="4" w:space="0"/>
              <w:right w:val="single" w:color="auto" w:sz="4" w:space="0"/>
            </w:tcBorders>
            <w:vAlign w:val="center"/>
          </w:tcPr>
          <w:p w14:paraId="74951B9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脚踩液压鼓式+手动驻车</w:t>
            </w:r>
          </w:p>
        </w:tc>
      </w:tr>
      <w:tr w14:paraId="65BF5FD8">
        <w:tblPrEx>
          <w:tblCellMar>
            <w:top w:w="0" w:type="dxa"/>
            <w:left w:w="108" w:type="dxa"/>
            <w:bottom w:w="0" w:type="dxa"/>
            <w:right w:w="108" w:type="dxa"/>
          </w:tblCellMar>
        </w:tblPrEx>
        <w:trPr>
          <w:trHeight w:val="660"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F9469F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02C7E3E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驾驶室材质及灯具</w:t>
            </w:r>
          </w:p>
        </w:tc>
        <w:tc>
          <w:tcPr>
            <w:tcW w:w="3019" w:type="pct"/>
            <w:tcBorders>
              <w:top w:val="single" w:color="auto" w:sz="4" w:space="0"/>
              <w:left w:val="nil"/>
              <w:bottom w:val="single" w:color="auto" w:sz="4" w:space="0"/>
              <w:right w:val="single" w:color="auto" w:sz="4" w:space="0"/>
            </w:tcBorders>
            <w:vAlign w:val="center"/>
          </w:tcPr>
          <w:p w14:paraId="0913A57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钢制结构，安全驾驶室采用模具冲压成型冷板材质，前一体化嵌入式LED大灯，注塑仪表工作台，带雨刮器，警示灯，驾驶室内脚踏板采用皮革踏板。</w:t>
            </w:r>
          </w:p>
        </w:tc>
      </w:tr>
      <w:tr w14:paraId="6797523C">
        <w:tblPrEx>
          <w:tblCellMar>
            <w:top w:w="0" w:type="dxa"/>
            <w:left w:w="108" w:type="dxa"/>
            <w:bottom w:w="0" w:type="dxa"/>
            <w:right w:w="108" w:type="dxa"/>
          </w:tblCellMar>
        </w:tblPrEx>
        <w:trPr>
          <w:trHeight w:val="559"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61C1563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34353C7A">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车厢门、厢盖</w:t>
            </w:r>
          </w:p>
        </w:tc>
        <w:tc>
          <w:tcPr>
            <w:tcW w:w="3019" w:type="pct"/>
            <w:tcBorders>
              <w:top w:val="single" w:color="auto" w:sz="4" w:space="0"/>
              <w:left w:val="single" w:color="auto" w:sz="4" w:space="0"/>
              <w:bottom w:val="single" w:color="auto" w:sz="4" w:space="0"/>
              <w:right w:val="single" w:color="auto" w:sz="4" w:space="0"/>
            </w:tcBorders>
            <w:vAlign w:val="center"/>
          </w:tcPr>
          <w:p w14:paraId="26791AC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侧开式后门可往箱体右侧270°打开，翻桶器一侧设有侧上门，箱盖采用1.2mm冷轧板。上盖开启方式为翻桶器一侧上开式，厢门采用双调节式锁扣</w:t>
            </w:r>
          </w:p>
        </w:tc>
      </w:tr>
      <w:tr w14:paraId="32C3BCC6">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D87880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5FFFD7E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线束总成线排线方式</w:t>
            </w:r>
          </w:p>
        </w:tc>
        <w:tc>
          <w:tcPr>
            <w:tcW w:w="3019" w:type="pct"/>
            <w:tcBorders>
              <w:top w:val="single" w:color="auto" w:sz="4" w:space="0"/>
              <w:left w:val="single" w:color="auto" w:sz="4" w:space="0"/>
              <w:bottom w:val="single" w:color="auto" w:sz="4" w:space="0"/>
              <w:right w:val="single" w:color="auto" w:sz="4" w:space="0"/>
            </w:tcBorders>
            <w:vAlign w:val="center"/>
          </w:tcPr>
          <w:p w14:paraId="081069E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高低压双线路：高温线高压12平方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低压1平方</w:t>
            </w:r>
          </w:p>
        </w:tc>
      </w:tr>
      <w:tr w14:paraId="2193DFFC">
        <w:tblPrEx>
          <w:tblCellMar>
            <w:top w:w="0" w:type="dxa"/>
            <w:left w:w="108" w:type="dxa"/>
            <w:bottom w:w="0" w:type="dxa"/>
            <w:right w:w="108" w:type="dxa"/>
          </w:tblCellMar>
        </w:tblPrEx>
        <w:trPr>
          <w:trHeight w:val="660"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22EA81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1D7FD9C5">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驱动桥</w:t>
            </w:r>
          </w:p>
        </w:tc>
        <w:tc>
          <w:tcPr>
            <w:tcW w:w="3019" w:type="pct"/>
            <w:tcBorders>
              <w:top w:val="single" w:color="auto" w:sz="4" w:space="0"/>
              <w:left w:val="nil"/>
              <w:bottom w:val="single" w:color="auto" w:sz="4" w:space="0"/>
              <w:right w:val="single" w:color="auto" w:sz="4" w:space="0"/>
            </w:tcBorders>
            <w:vAlign w:val="center"/>
          </w:tcPr>
          <w:p w14:paraId="25CE18A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采用锥度载重无链条带高低速货车式后桥：70桥管，大直径250mm刹车鼓，加粗半轴，液压鼓式刹车</w:t>
            </w:r>
          </w:p>
        </w:tc>
      </w:tr>
      <w:tr w14:paraId="1800A697">
        <w:tblPrEx>
          <w:tblCellMar>
            <w:top w:w="0" w:type="dxa"/>
            <w:left w:w="108" w:type="dxa"/>
            <w:bottom w:w="0" w:type="dxa"/>
            <w:right w:w="108" w:type="dxa"/>
          </w:tblCellMar>
        </w:tblPrEx>
        <w:trPr>
          <w:trHeight w:val="503"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1F6599D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single" w:color="auto" w:sz="4" w:space="0"/>
              <w:bottom w:val="single" w:color="auto" w:sz="4" w:space="0"/>
              <w:right w:val="single" w:color="auto" w:sz="4" w:space="0"/>
            </w:tcBorders>
            <w:vAlign w:val="center"/>
          </w:tcPr>
          <w:p w14:paraId="47396361">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后悬挂</w:t>
            </w:r>
          </w:p>
        </w:tc>
        <w:tc>
          <w:tcPr>
            <w:tcW w:w="3019" w:type="pct"/>
            <w:tcBorders>
              <w:top w:val="single" w:color="auto" w:sz="4" w:space="0"/>
              <w:left w:val="nil"/>
              <w:bottom w:val="single" w:color="auto" w:sz="4" w:space="0"/>
              <w:right w:val="single" w:color="auto" w:sz="4" w:space="0"/>
            </w:tcBorders>
            <w:vAlign w:val="center"/>
          </w:tcPr>
          <w:p w14:paraId="0E48822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采用主、辅弹簧钢共2组，单组11片，带辅簧支架，大大提高载重能力</w:t>
            </w:r>
          </w:p>
        </w:tc>
      </w:tr>
      <w:tr w14:paraId="0D0BE287">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0DD57052">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nil"/>
              <w:bottom w:val="single" w:color="auto" w:sz="4" w:space="0"/>
              <w:right w:val="single" w:color="auto" w:sz="4" w:space="0"/>
            </w:tcBorders>
            <w:vAlign w:val="center"/>
          </w:tcPr>
          <w:p w14:paraId="777C21E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油管布局方式</w:t>
            </w:r>
          </w:p>
        </w:tc>
        <w:tc>
          <w:tcPr>
            <w:tcW w:w="3019" w:type="pct"/>
            <w:tcBorders>
              <w:top w:val="single" w:color="auto" w:sz="4" w:space="0"/>
              <w:left w:val="nil"/>
              <w:bottom w:val="single" w:color="auto" w:sz="4" w:space="0"/>
              <w:right w:val="single" w:color="auto" w:sz="4" w:space="0"/>
            </w:tcBorders>
            <w:vAlign w:val="center"/>
          </w:tcPr>
          <w:p w14:paraId="2F347239">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翻桶器轨道上采用钢制高压油管和软管压制对接，并用专用管夹固定</w:t>
            </w:r>
          </w:p>
        </w:tc>
      </w:tr>
      <w:tr w14:paraId="49286DEA">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1BFC33F2">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2076B87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挂桶器限位方式</w:t>
            </w:r>
          </w:p>
        </w:tc>
        <w:tc>
          <w:tcPr>
            <w:tcW w:w="3019" w:type="pct"/>
            <w:tcBorders>
              <w:top w:val="single" w:color="auto" w:sz="4" w:space="0"/>
              <w:left w:val="nil"/>
              <w:bottom w:val="single" w:color="auto" w:sz="4" w:space="0"/>
              <w:right w:val="single" w:color="auto" w:sz="4" w:space="0"/>
            </w:tcBorders>
            <w:vAlign w:val="center"/>
          </w:tcPr>
          <w:p w14:paraId="141185F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挂桶器下落到底有限位销</w:t>
            </w:r>
          </w:p>
        </w:tc>
      </w:tr>
      <w:tr w14:paraId="2244593A">
        <w:tblPrEx>
          <w:tblCellMar>
            <w:top w:w="0" w:type="dxa"/>
            <w:left w:w="108" w:type="dxa"/>
            <w:bottom w:w="0" w:type="dxa"/>
            <w:right w:w="108" w:type="dxa"/>
          </w:tblCellMar>
        </w:tblPrEx>
        <w:trPr>
          <w:trHeight w:val="582" w:hRule="atLeast"/>
        </w:trPr>
        <w:tc>
          <w:tcPr>
            <w:tcW w:w="464" w:type="pct"/>
            <w:vMerge w:val="restart"/>
            <w:tcBorders>
              <w:top w:val="nil"/>
              <w:left w:val="single" w:color="auto" w:sz="4" w:space="0"/>
              <w:bottom w:val="single" w:color="auto" w:sz="4" w:space="0"/>
              <w:right w:val="single" w:color="auto" w:sz="4" w:space="0"/>
            </w:tcBorders>
            <w:noWrap/>
            <w:vAlign w:val="center"/>
          </w:tcPr>
          <w:p w14:paraId="7CEF071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翻桶机构</w:t>
            </w:r>
          </w:p>
        </w:tc>
        <w:tc>
          <w:tcPr>
            <w:tcW w:w="1516" w:type="pct"/>
            <w:tcBorders>
              <w:top w:val="nil"/>
              <w:left w:val="nil"/>
              <w:bottom w:val="single" w:color="auto" w:sz="4" w:space="0"/>
              <w:right w:val="single" w:color="auto" w:sz="4" w:space="0"/>
            </w:tcBorders>
            <w:vAlign w:val="center"/>
          </w:tcPr>
          <w:p w14:paraId="290727D8">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液压控制阀</w:t>
            </w:r>
          </w:p>
        </w:tc>
        <w:tc>
          <w:tcPr>
            <w:tcW w:w="3019" w:type="pct"/>
            <w:tcBorders>
              <w:top w:val="single" w:color="auto" w:sz="4" w:space="0"/>
              <w:left w:val="nil"/>
              <w:bottom w:val="single" w:color="auto" w:sz="4" w:space="0"/>
              <w:right w:val="single" w:color="auto" w:sz="4" w:space="0"/>
            </w:tcBorders>
            <w:vAlign w:val="center"/>
          </w:tcPr>
          <w:p w14:paraId="4F8C26A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采用两联带微动开关多路阀，开关与油泵同步工作，控制阀装在驾驶室内右侧座桶上</w:t>
            </w:r>
          </w:p>
        </w:tc>
      </w:tr>
      <w:tr w14:paraId="27A488F6">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3B83B22B">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3DBE9D7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液压控制阀控制方式</w:t>
            </w:r>
          </w:p>
        </w:tc>
        <w:tc>
          <w:tcPr>
            <w:tcW w:w="3019" w:type="pct"/>
            <w:tcBorders>
              <w:top w:val="single" w:color="auto" w:sz="4" w:space="0"/>
              <w:left w:val="nil"/>
              <w:bottom w:val="single" w:color="auto" w:sz="4" w:space="0"/>
              <w:right w:val="single" w:color="auto" w:sz="4" w:space="0"/>
            </w:tcBorders>
            <w:vAlign w:val="center"/>
          </w:tcPr>
          <w:p w14:paraId="0B5F94A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液压控制阀带联动开关与油泵同步工作</w:t>
            </w:r>
          </w:p>
        </w:tc>
      </w:tr>
      <w:tr w14:paraId="233B4399">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78C5427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0A7F4265">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翻桶轨道材料和结构</w:t>
            </w:r>
          </w:p>
        </w:tc>
        <w:tc>
          <w:tcPr>
            <w:tcW w:w="3019" w:type="pct"/>
            <w:tcBorders>
              <w:top w:val="single" w:color="auto" w:sz="4" w:space="0"/>
              <w:left w:val="nil"/>
              <w:bottom w:val="single" w:color="auto" w:sz="4" w:space="0"/>
              <w:right w:val="single" w:color="auto" w:sz="4" w:space="0"/>
            </w:tcBorders>
            <w:vAlign w:val="center"/>
          </w:tcPr>
          <w:p w14:paraId="74215DF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主轨道为8号槽钢，挂桶器导向轮内置滚针轴承</w:t>
            </w:r>
          </w:p>
        </w:tc>
      </w:tr>
      <w:tr w14:paraId="577DFC13">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1064C4DE">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713E1A8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翻桶装置固定方式</w:t>
            </w:r>
          </w:p>
        </w:tc>
        <w:tc>
          <w:tcPr>
            <w:tcW w:w="3019" w:type="pct"/>
            <w:tcBorders>
              <w:top w:val="single" w:color="auto" w:sz="4" w:space="0"/>
              <w:left w:val="nil"/>
              <w:bottom w:val="single" w:color="auto" w:sz="4" w:space="0"/>
              <w:right w:val="single" w:color="auto" w:sz="4" w:space="0"/>
            </w:tcBorders>
            <w:vAlign w:val="center"/>
          </w:tcPr>
          <w:p w14:paraId="62E05DE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挂桶轨道固定在车厢上，吊桶和翻桶机构和车厢采用分体连接的方式</w:t>
            </w:r>
          </w:p>
        </w:tc>
      </w:tr>
      <w:tr w14:paraId="46B473F6">
        <w:tblPrEx>
          <w:tblCellMar>
            <w:top w:w="0" w:type="dxa"/>
            <w:left w:w="108" w:type="dxa"/>
            <w:bottom w:w="0" w:type="dxa"/>
            <w:right w:w="108" w:type="dxa"/>
          </w:tblCellMar>
        </w:tblPrEx>
        <w:trPr>
          <w:trHeight w:val="780" w:hRule="atLeast"/>
        </w:trPr>
        <w:tc>
          <w:tcPr>
            <w:tcW w:w="464" w:type="pct"/>
            <w:vMerge w:val="continue"/>
            <w:tcBorders>
              <w:top w:val="nil"/>
              <w:left w:val="single" w:color="auto" w:sz="4" w:space="0"/>
              <w:bottom w:val="single" w:color="auto" w:sz="4" w:space="0"/>
              <w:right w:val="single" w:color="auto" w:sz="4" w:space="0"/>
            </w:tcBorders>
            <w:vAlign w:val="center"/>
          </w:tcPr>
          <w:p w14:paraId="4E94C0B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2CD065E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翻桶装置</w:t>
            </w:r>
          </w:p>
        </w:tc>
        <w:tc>
          <w:tcPr>
            <w:tcW w:w="3019" w:type="pct"/>
            <w:tcBorders>
              <w:top w:val="single" w:color="auto" w:sz="4" w:space="0"/>
              <w:left w:val="nil"/>
              <w:bottom w:val="single" w:color="auto" w:sz="4" w:space="0"/>
              <w:right w:val="single" w:color="auto" w:sz="4" w:space="0"/>
            </w:tcBorders>
            <w:vAlign w:val="center"/>
          </w:tcPr>
          <w:p w14:paraId="23A70CEA">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上置式双油缸，配合吊拉式10mm铁板对称吊架。翻桶角度≥138°确保垃圾清倒干净</w:t>
            </w:r>
          </w:p>
        </w:tc>
      </w:tr>
      <w:tr w14:paraId="3BC9CAF6">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78B79185">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5850277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挂桶要求</w:t>
            </w:r>
          </w:p>
        </w:tc>
        <w:tc>
          <w:tcPr>
            <w:tcW w:w="3019" w:type="pct"/>
            <w:tcBorders>
              <w:top w:val="single" w:color="auto" w:sz="4" w:space="0"/>
              <w:left w:val="nil"/>
              <w:bottom w:val="single" w:color="auto" w:sz="4" w:space="0"/>
              <w:right w:val="single" w:color="auto" w:sz="4" w:space="0"/>
            </w:tcBorders>
            <w:vAlign w:val="center"/>
          </w:tcPr>
          <w:p w14:paraId="6C143FDB">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与国标120L/240升垃圾桶配套</w:t>
            </w:r>
          </w:p>
        </w:tc>
      </w:tr>
      <w:tr w14:paraId="06528E57">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5F7DEC7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78AE6FE7">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挂桶上盖拉杆</w:t>
            </w:r>
          </w:p>
        </w:tc>
        <w:tc>
          <w:tcPr>
            <w:tcW w:w="3019" w:type="pct"/>
            <w:tcBorders>
              <w:top w:val="single" w:color="auto" w:sz="4" w:space="0"/>
              <w:left w:val="nil"/>
              <w:bottom w:val="single" w:color="auto" w:sz="4" w:space="0"/>
              <w:right w:val="single" w:color="auto" w:sz="4" w:space="0"/>
            </w:tcBorders>
            <w:vAlign w:val="center"/>
          </w:tcPr>
          <w:p w14:paraId="6A399D5E">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为可调节固定式</w:t>
            </w:r>
          </w:p>
        </w:tc>
      </w:tr>
      <w:tr w14:paraId="66F4CB88">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3298DB0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548DF8A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翻桶机构</w:t>
            </w:r>
          </w:p>
        </w:tc>
        <w:tc>
          <w:tcPr>
            <w:tcW w:w="3019" w:type="pct"/>
            <w:tcBorders>
              <w:top w:val="single" w:color="auto" w:sz="4" w:space="0"/>
              <w:left w:val="nil"/>
              <w:bottom w:val="single" w:color="auto" w:sz="4" w:space="0"/>
              <w:right w:val="single" w:color="auto" w:sz="4" w:space="0"/>
            </w:tcBorders>
            <w:vAlign w:val="center"/>
          </w:tcPr>
          <w:p w14:paraId="7151C3E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旋转大轴外径25mm实心黄油轴，大轴支撑压盖为国标6#槽钢</w:t>
            </w:r>
          </w:p>
        </w:tc>
      </w:tr>
      <w:tr w14:paraId="15667918">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4BC4910C">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02BD5730">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翻桶吊杆机</w:t>
            </w:r>
          </w:p>
        </w:tc>
        <w:tc>
          <w:tcPr>
            <w:tcW w:w="3019" w:type="pct"/>
            <w:tcBorders>
              <w:top w:val="single" w:color="auto" w:sz="4" w:space="0"/>
              <w:left w:val="nil"/>
              <w:bottom w:val="single" w:color="auto" w:sz="4" w:space="0"/>
              <w:right w:val="single" w:color="auto" w:sz="4" w:space="0"/>
            </w:tcBorders>
            <w:vAlign w:val="center"/>
          </w:tcPr>
          <w:p w14:paraId="5181937D">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有防变形保护装置，吊杆上下端固定销轴为8.8级</w:t>
            </w:r>
          </w:p>
        </w:tc>
      </w:tr>
      <w:tr w14:paraId="20741E2B">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509FE845">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4804DC1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液压动力单元</w:t>
            </w:r>
          </w:p>
        </w:tc>
        <w:tc>
          <w:tcPr>
            <w:tcW w:w="3019" w:type="pct"/>
            <w:tcBorders>
              <w:top w:val="single" w:color="auto" w:sz="4" w:space="0"/>
              <w:left w:val="nil"/>
              <w:bottom w:val="single" w:color="auto" w:sz="4" w:space="0"/>
              <w:right w:val="single" w:color="auto" w:sz="4" w:space="0"/>
            </w:tcBorders>
            <w:vAlign w:val="center"/>
          </w:tcPr>
          <w:p w14:paraId="7A4313C4">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采用72V直流电机与油泵一体化连接</w:t>
            </w:r>
          </w:p>
        </w:tc>
      </w:tr>
      <w:tr w14:paraId="2296435A">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5E8DF28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1734342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车架材质</w:t>
            </w:r>
          </w:p>
        </w:tc>
        <w:tc>
          <w:tcPr>
            <w:tcW w:w="3019" w:type="pct"/>
            <w:tcBorders>
              <w:top w:val="single" w:color="auto" w:sz="4" w:space="0"/>
              <w:left w:val="nil"/>
              <w:bottom w:val="single" w:color="auto" w:sz="4" w:space="0"/>
              <w:right w:val="single" w:color="auto" w:sz="4" w:space="0"/>
            </w:tcBorders>
            <w:vAlign w:val="center"/>
          </w:tcPr>
          <w:p w14:paraId="080CE25A">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大梁采用100*50*3.5mm矩形管，并做阴极电泳防腐防锈处理</w:t>
            </w:r>
          </w:p>
        </w:tc>
      </w:tr>
      <w:tr w14:paraId="7BD02D98">
        <w:tblPrEx>
          <w:tblCellMar>
            <w:top w:w="0" w:type="dxa"/>
            <w:left w:w="108" w:type="dxa"/>
            <w:bottom w:w="0" w:type="dxa"/>
            <w:right w:w="108" w:type="dxa"/>
          </w:tblCellMar>
        </w:tblPrEx>
        <w:trPr>
          <w:trHeight w:val="285" w:hRule="atLeast"/>
        </w:trPr>
        <w:tc>
          <w:tcPr>
            <w:tcW w:w="464" w:type="pct"/>
            <w:vMerge w:val="continue"/>
            <w:tcBorders>
              <w:top w:val="nil"/>
              <w:left w:val="single" w:color="auto" w:sz="4" w:space="0"/>
              <w:bottom w:val="single" w:color="auto" w:sz="4" w:space="0"/>
              <w:right w:val="single" w:color="auto" w:sz="4" w:space="0"/>
            </w:tcBorders>
            <w:vAlign w:val="center"/>
          </w:tcPr>
          <w:p w14:paraId="4B0D99E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nil"/>
              <w:left w:val="nil"/>
              <w:bottom w:val="single" w:color="auto" w:sz="4" w:space="0"/>
              <w:right w:val="single" w:color="auto" w:sz="4" w:space="0"/>
            </w:tcBorders>
            <w:vAlign w:val="center"/>
          </w:tcPr>
          <w:p w14:paraId="1AA49B06">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最大爬坡度</w:t>
            </w:r>
          </w:p>
        </w:tc>
        <w:tc>
          <w:tcPr>
            <w:tcW w:w="3019" w:type="pct"/>
            <w:tcBorders>
              <w:top w:val="single" w:color="auto" w:sz="4" w:space="0"/>
              <w:left w:val="nil"/>
              <w:bottom w:val="single" w:color="auto" w:sz="4" w:space="0"/>
              <w:right w:val="single" w:color="auto" w:sz="4" w:space="0"/>
            </w:tcBorders>
            <w:vAlign w:val="center"/>
          </w:tcPr>
          <w:p w14:paraId="3BEDEC1C">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≥15°</w:t>
            </w:r>
          </w:p>
        </w:tc>
      </w:tr>
      <w:tr w14:paraId="24167B8C">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39478C7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nil"/>
              <w:bottom w:val="single" w:color="auto" w:sz="4" w:space="0"/>
              <w:right w:val="single" w:color="auto" w:sz="4" w:space="0"/>
            </w:tcBorders>
            <w:vAlign w:val="center"/>
          </w:tcPr>
          <w:p w14:paraId="7CFCEF73">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油缸类型配置</w:t>
            </w:r>
          </w:p>
        </w:tc>
        <w:tc>
          <w:tcPr>
            <w:tcW w:w="3019" w:type="pct"/>
            <w:tcBorders>
              <w:top w:val="single" w:color="auto" w:sz="4" w:space="0"/>
              <w:left w:val="nil"/>
              <w:bottom w:val="single" w:color="auto" w:sz="4" w:space="0"/>
              <w:right w:val="single" w:color="auto" w:sz="4" w:space="0"/>
            </w:tcBorders>
            <w:vAlign w:val="center"/>
          </w:tcPr>
          <w:p w14:paraId="30B72849">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翻桶器使用单行程双油缸，车厢举升使用单行程单向加粗油缸</w:t>
            </w:r>
          </w:p>
        </w:tc>
      </w:tr>
      <w:tr w14:paraId="21DB41AD">
        <w:tblPrEx>
          <w:tblCellMar>
            <w:top w:w="0" w:type="dxa"/>
            <w:left w:w="108" w:type="dxa"/>
            <w:bottom w:w="0" w:type="dxa"/>
            <w:right w:w="108" w:type="dxa"/>
          </w:tblCellMar>
        </w:tblPrEx>
        <w:trPr>
          <w:trHeight w:val="285" w:hRule="atLeast"/>
        </w:trPr>
        <w:tc>
          <w:tcPr>
            <w:tcW w:w="464" w:type="pct"/>
            <w:vMerge w:val="continue"/>
            <w:tcBorders>
              <w:top w:val="single" w:color="auto" w:sz="4" w:space="0"/>
              <w:left w:val="single" w:color="auto" w:sz="4" w:space="0"/>
              <w:bottom w:val="single" w:color="auto" w:sz="4" w:space="0"/>
              <w:right w:val="single" w:color="auto" w:sz="4" w:space="0"/>
            </w:tcBorders>
            <w:vAlign w:val="center"/>
          </w:tcPr>
          <w:p w14:paraId="419CDFD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516" w:type="pct"/>
            <w:tcBorders>
              <w:top w:val="single" w:color="auto" w:sz="4" w:space="0"/>
              <w:left w:val="nil"/>
              <w:bottom w:val="single" w:color="auto" w:sz="4" w:space="0"/>
              <w:right w:val="single" w:color="auto" w:sz="4" w:space="0"/>
            </w:tcBorders>
            <w:vAlign w:val="top"/>
          </w:tcPr>
          <w:p w14:paraId="739E707F">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油管线路布局方式</w:t>
            </w:r>
          </w:p>
        </w:tc>
        <w:tc>
          <w:tcPr>
            <w:tcW w:w="3019" w:type="pct"/>
            <w:tcBorders>
              <w:top w:val="single" w:color="auto" w:sz="4" w:space="0"/>
              <w:left w:val="nil"/>
              <w:bottom w:val="single" w:color="auto" w:sz="4" w:space="0"/>
              <w:right w:val="single" w:color="auto" w:sz="4" w:space="0"/>
            </w:tcBorders>
            <w:vAlign w:val="top"/>
          </w:tcPr>
          <w:p w14:paraId="349C2118">
            <w:pPr>
              <w:keepNext w:val="0"/>
              <w:keepLines w:val="0"/>
              <w:pageBreakBefore w:val="0"/>
              <w:widowControl w:val="0"/>
              <w:kinsoku/>
              <w:overflowPunct/>
              <w:topLinePunct w:val="0"/>
              <w:bidi w:val="0"/>
              <w:snapToGri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布置在车架侧面，不在车架底面，防止行驶中被路面上异物拌断</w:t>
            </w:r>
          </w:p>
        </w:tc>
      </w:tr>
    </w:tbl>
    <w:p w14:paraId="2C696C1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2.电动挂桶垃圾车</w:t>
      </w:r>
    </w:p>
    <w:tbl>
      <w:tblPr>
        <w:tblStyle w:val="37"/>
        <w:tblW w:w="4872" w:type="pct"/>
        <w:tblInd w:w="114" w:type="dxa"/>
        <w:tblLayout w:type="fixed"/>
        <w:tblCellMar>
          <w:top w:w="0" w:type="dxa"/>
          <w:left w:w="108" w:type="dxa"/>
          <w:bottom w:w="0" w:type="dxa"/>
          <w:right w:w="108" w:type="dxa"/>
        </w:tblCellMar>
      </w:tblPr>
      <w:tblGrid>
        <w:gridCol w:w="987"/>
        <w:gridCol w:w="2745"/>
        <w:gridCol w:w="5765"/>
      </w:tblGrid>
      <w:tr w14:paraId="66E053F0">
        <w:tblPrEx>
          <w:tblCellMar>
            <w:top w:w="0" w:type="dxa"/>
            <w:left w:w="108" w:type="dxa"/>
            <w:bottom w:w="0" w:type="dxa"/>
            <w:right w:w="108" w:type="dxa"/>
          </w:tblCellMar>
        </w:tblPrEx>
        <w:trPr>
          <w:trHeight w:val="185" w:hRule="atLeast"/>
        </w:trPr>
        <w:tc>
          <w:tcPr>
            <w:tcW w:w="1964" w:type="pct"/>
            <w:gridSpan w:val="2"/>
            <w:tcBorders>
              <w:top w:val="single" w:color="auto" w:sz="4" w:space="0"/>
              <w:left w:val="single" w:color="auto" w:sz="4" w:space="0"/>
              <w:bottom w:val="single" w:color="auto" w:sz="4" w:space="0"/>
              <w:right w:val="single" w:color="auto" w:sz="4" w:space="0"/>
            </w:tcBorders>
            <w:noWrap/>
            <w:vAlign w:val="center"/>
          </w:tcPr>
          <w:p w14:paraId="7CDD87C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项目</w:t>
            </w:r>
          </w:p>
        </w:tc>
        <w:tc>
          <w:tcPr>
            <w:tcW w:w="3035" w:type="pct"/>
            <w:tcBorders>
              <w:top w:val="single" w:color="auto" w:sz="4" w:space="0"/>
              <w:left w:val="single" w:color="auto" w:sz="4" w:space="0"/>
              <w:bottom w:val="single" w:color="auto" w:sz="4" w:space="0"/>
              <w:right w:val="single" w:color="auto" w:sz="4" w:space="0"/>
            </w:tcBorders>
            <w:noWrap/>
            <w:vAlign w:val="center"/>
          </w:tcPr>
          <w:p w14:paraId="06C3394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参数</w:t>
            </w:r>
          </w:p>
        </w:tc>
      </w:tr>
      <w:tr w14:paraId="3D87FDB2">
        <w:tblPrEx>
          <w:tblCellMar>
            <w:top w:w="0" w:type="dxa"/>
            <w:left w:w="108" w:type="dxa"/>
            <w:bottom w:w="0" w:type="dxa"/>
            <w:right w:w="108" w:type="dxa"/>
          </w:tblCellMar>
        </w:tblPrEx>
        <w:trPr>
          <w:trHeight w:val="462" w:hRule="atLeast"/>
        </w:trPr>
        <w:tc>
          <w:tcPr>
            <w:tcW w:w="519" w:type="pct"/>
            <w:vMerge w:val="restart"/>
            <w:tcBorders>
              <w:top w:val="single" w:color="auto" w:sz="4" w:space="0"/>
              <w:left w:val="single" w:color="auto" w:sz="4" w:space="0"/>
              <w:bottom w:val="single" w:color="auto" w:sz="4" w:space="0"/>
              <w:right w:val="single" w:color="auto" w:sz="4" w:space="0"/>
            </w:tcBorders>
            <w:noWrap/>
            <w:vAlign w:val="center"/>
          </w:tcPr>
          <w:p w14:paraId="14255A3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技术参数</w:t>
            </w:r>
          </w:p>
        </w:tc>
        <w:tc>
          <w:tcPr>
            <w:tcW w:w="1445" w:type="pct"/>
            <w:tcBorders>
              <w:top w:val="single" w:color="auto" w:sz="4" w:space="0"/>
              <w:left w:val="single" w:color="auto" w:sz="4" w:space="0"/>
              <w:bottom w:val="single" w:color="auto" w:sz="4" w:space="0"/>
              <w:right w:val="single" w:color="auto" w:sz="4" w:space="0"/>
            </w:tcBorders>
            <w:vAlign w:val="center"/>
          </w:tcPr>
          <w:p w14:paraId="3D8C1B1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整车尺寸</w:t>
            </w:r>
          </w:p>
        </w:tc>
        <w:tc>
          <w:tcPr>
            <w:tcW w:w="3035" w:type="pct"/>
            <w:tcBorders>
              <w:top w:val="single" w:color="auto" w:sz="4" w:space="0"/>
              <w:left w:val="single" w:color="auto" w:sz="4" w:space="0"/>
              <w:bottom w:val="single" w:color="auto" w:sz="4" w:space="0"/>
              <w:right w:val="single" w:color="auto" w:sz="4" w:space="0"/>
            </w:tcBorders>
            <w:vAlign w:val="center"/>
          </w:tcPr>
          <w:p w14:paraId="7555BD2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▲3800×1400×2150mm</w:t>
            </w:r>
          </w:p>
          <w:p w14:paraId="2C30F09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提供检测报告，加盖供应商电子签章。</w:t>
            </w:r>
          </w:p>
        </w:tc>
      </w:tr>
      <w:tr w14:paraId="7E304AEE">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1012AC9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single" w:color="auto" w:sz="4" w:space="0"/>
              <w:bottom w:val="single" w:color="auto" w:sz="4" w:space="0"/>
              <w:right w:val="single" w:color="auto" w:sz="4" w:space="0"/>
            </w:tcBorders>
            <w:vAlign w:val="center"/>
          </w:tcPr>
          <w:p w14:paraId="25A2AAA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箱体尺寸</w:t>
            </w:r>
          </w:p>
        </w:tc>
        <w:tc>
          <w:tcPr>
            <w:tcW w:w="3035" w:type="pct"/>
            <w:tcBorders>
              <w:top w:val="single" w:color="auto" w:sz="4" w:space="0"/>
              <w:left w:val="single" w:color="auto" w:sz="4" w:space="0"/>
              <w:bottom w:val="single" w:color="auto" w:sz="4" w:space="0"/>
              <w:right w:val="single" w:color="auto" w:sz="4" w:space="0"/>
            </w:tcBorders>
            <w:vAlign w:val="center"/>
          </w:tcPr>
          <w:p w14:paraId="4C455D6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2100×1350×1300mm</w:t>
            </w:r>
          </w:p>
        </w:tc>
      </w:tr>
      <w:tr w14:paraId="55B72034">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4D6077D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7CEC600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额定乘员</w:t>
            </w:r>
          </w:p>
        </w:tc>
        <w:tc>
          <w:tcPr>
            <w:tcW w:w="3035" w:type="pct"/>
            <w:tcBorders>
              <w:top w:val="single" w:color="auto" w:sz="4" w:space="0"/>
              <w:left w:val="single" w:color="auto" w:sz="4" w:space="0"/>
              <w:bottom w:val="single" w:color="auto" w:sz="4" w:space="0"/>
              <w:right w:val="single" w:color="auto" w:sz="4" w:space="0"/>
            </w:tcBorders>
            <w:vAlign w:val="center"/>
          </w:tcPr>
          <w:p w14:paraId="650A6F6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1人</w:t>
            </w:r>
          </w:p>
        </w:tc>
      </w:tr>
      <w:tr w14:paraId="065B254F">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098195E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51A2FDF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轴距</w:t>
            </w:r>
          </w:p>
        </w:tc>
        <w:tc>
          <w:tcPr>
            <w:tcW w:w="3035" w:type="pct"/>
            <w:tcBorders>
              <w:top w:val="single" w:color="auto" w:sz="4" w:space="0"/>
              <w:left w:val="single" w:color="auto" w:sz="4" w:space="0"/>
              <w:bottom w:val="single" w:color="auto" w:sz="4" w:space="0"/>
              <w:right w:val="single" w:color="auto" w:sz="4" w:space="0"/>
            </w:tcBorders>
            <w:vAlign w:val="center"/>
          </w:tcPr>
          <w:p w14:paraId="330980C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2540mm</w:t>
            </w:r>
          </w:p>
        </w:tc>
      </w:tr>
      <w:tr w14:paraId="4F73F19C">
        <w:tblPrEx>
          <w:tblCellMar>
            <w:top w:w="0" w:type="dxa"/>
            <w:left w:w="108" w:type="dxa"/>
            <w:bottom w:w="0" w:type="dxa"/>
            <w:right w:w="108" w:type="dxa"/>
          </w:tblCellMar>
        </w:tblPrEx>
        <w:trPr>
          <w:trHeight w:val="285" w:hRule="atLeast"/>
        </w:trPr>
        <w:tc>
          <w:tcPr>
            <w:tcW w:w="519" w:type="pct"/>
            <w:vMerge w:val="continue"/>
            <w:tcBorders>
              <w:top w:val="single" w:color="auto" w:sz="4" w:space="0"/>
              <w:left w:val="single" w:color="auto" w:sz="4" w:space="0"/>
              <w:bottom w:val="single" w:color="auto" w:sz="4" w:space="0"/>
              <w:right w:val="single" w:color="auto" w:sz="4" w:space="0"/>
            </w:tcBorders>
            <w:vAlign w:val="center"/>
          </w:tcPr>
          <w:p w14:paraId="7890A695">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7D411D1D">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轮距</w:t>
            </w:r>
          </w:p>
        </w:tc>
        <w:tc>
          <w:tcPr>
            <w:tcW w:w="3035" w:type="pct"/>
            <w:tcBorders>
              <w:top w:val="single" w:color="auto" w:sz="4" w:space="0"/>
              <w:left w:val="single" w:color="auto" w:sz="4" w:space="0"/>
              <w:bottom w:val="single" w:color="auto" w:sz="4" w:space="0"/>
              <w:right w:val="single" w:color="auto" w:sz="4" w:space="0"/>
            </w:tcBorders>
            <w:vAlign w:val="center"/>
          </w:tcPr>
          <w:p w14:paraId="47E3F2D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1180mm</w:t>
            </w:r>
          </w:p>
        </w:tc>
      </w:tr>
      <w:tr w14:paraId="072D912A">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01D78BD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single" w:color="auto" w:sz="4" w:space="0"/>
              <w:bottom w:val="single" w:color="auto" w:sz="4" w:space="0"/>
              <w:right w:val="single" w:color="auto" w:sz="4" w:space="0"/>
            </w:tcBorders>
            <w:vAlign w:val="center"/>
          </w:tcPr>
          <w:p w14:paraId="3878E24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最小离地间隙</w:t>
            </w:r>
          </w:p>
        </w:tc>
        <w:tc>
          <w:tcPr>
            <w:tcW w:w="3035" w:type="pct"/>
            <w:tcBorders>
              <w:top w:val="single" w:color="auto" w:sz="4" w:space="0"/>
              <w:left w:val="single" w:color="auto" w:sz="4" w:space="0"/>
              <w:bottom w:val="single" w:color="auto" w:sz="4" w:space="0"/>
              <w:right w:val="single" w:color="auto" w:sz="4" w:space="0"/>
            </w:tcBorders>
            <w:vAlign w:val="center"/>
          </w:tcPr>
          <w:p w14:paraId="5C12C799">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130mm</w:t>
            </w:r>
          </w:p>
        </w:tc>
      </w:tr>
      <w:tr w14:paraId="50BEF889">
        <w:tblPrEx>
          <w:tblCellMar>
            <w:top w:w="0" w:type="dxa"/>
            <w:left w:w="108" w:type="dxa"/>
            <w:bottom w:w="0" w:type="dxa"/>
            <w:right w:w="108" w:type="dxa"/>
          </w:tblCellMar>
        </w:tblPrEx>
        <w:trPr>
          <w:trHeight w:val="90" w:hRule="atLeast"/>
        </w:trPr>
        <w:tc>
          <w:tcPr>
            <w:tcW w:w="519" w:type="pct"/>
            <w:vMerge w:val="continue"/>
            <w:tcBorders>
              <w:top w:val="single" w:color="auto" w:sz="4" w:space="0"/>
              <w:left w:val="single" w:color="auto" w:sz="4" w:space="0"/>
              <w:bottom w:val="single" w:color="auto" w:sz="4" w:space="0"/>
              <w:right w:val="single" w:color="auto" w:sz="4" w:space="0"/>
            </w:tcBorders>
            <w:vAlign w:val="center"/>
          </w:tcPr>
          <w:p w14:paraId="3EF9BFC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16B879D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最小转弯半径</w:t>
            </w:r>
          </w:p>
        </w:tc>
        <w:tc>
          <w:tcPr>
            <w:tcW w:w="3035" w:type="pct"/>
            <w:tcBorders>
              <w:top w:val="single" w:color="auto" w:sz="4" w:space="0"/>
              <w:left w:val="single" w:color="auto" w:sz="4" w:space="0"/>
              <w:bottom w:val="single" w:color="auto" w:sz="4" w:space="0"/>
              <w:right w:val="single" w:color="auto" w:sz="4" w:space="0"/>
            </w:tcBorders>
            <w:vAlign w:val="center"/>
          </w:tcPr>
          <w:p w14:paraId="61091AB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3m</w:t>
            </w:r>
          </w:p>
        </w:tc>
      </w:tr>
      <w:tr w14:paraId="26D23EF4">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230CC61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3C52FBF9">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最大运行速度</w:t>
            </w:r>
          </w:p>
        </w:tc>
        <w:tc>
          <w:tcPr>
            <w:tcW w:w="3035" w:type="pct"/>
            <w:tcBorders>
              <w:top w:val="single" w:color="auto" w:sz="4" w:space="0"/>
              <w:left w:val="single" w:color="auto" w:sz="4" w:space="0"/>
              <w:bottom w:val="single" w:color="auto" w:sz="4" w:space="0"/>
              <w:right w:val="single" w:color="auto" w:sz="4" w:space="0"/>
            </w:tcBorders>
            <w:vAlign w:val="center"/>
          </w:tcPr>
          <w:p w14:paraId="0C48E19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25km/h</w:t>
            </w:r>
          </w:p>
        </w:tc>
      </w:tr>
      <w:tr w14:paraId="0AE8A2C1">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54F5FD3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07F246F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最大爬坡度</w:t>
            </w:r>
          </w:p>
        </w:tc>
        <w:tc>
          <w:tcPr>
            <w:tcW w:w="3035" w:type="pct"/>
            <w:tcBorders>
              <w:top w:val="single" w:color="auto" w:sz="4" w:space="0"/>
              <w:left w:val="single" w:color="auto" w:sz="4" w:space="0"/>
              <w:bottom w:val="single" w:color="auto" w:sz="4" w:space="0"/>
              <w:right w:val="single" w:color="auto" w:sz="4" w:space="0"/>
            </w:tcBorders>
            <w:vAlign w:val="center"/>
          </w:tcPr>
          <w:p w14:paraId="3A36584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w:t>
            </w:r>
          </w:p>
        </w:tc>
      </w:tr>
      <w:tr w14:paraId="5ADCB401">
        <w:tblPrEx>
          <w:tblCellMar>
            <w:top w:w="0" w:type="dxa"/>
            <w:left w:w="108" w:type="dxa"/>
            <w:bottom w:w="0" w:type="dxa"/>
            <w:right w:w="108" w:type="dxa"/>
          </w:tblCellMar>
        </w:tblPrEx>
        <w:trPr>
          <w:trHeight w:val="540" w:hRule="atLeast"/>
        </w:trPr>
        <w:tc>
          <w:tcPr>
            <w:tcW w:w="519" w:type="pct"/>
            <w:vMerge w:val="continue"/>
            <w:tcBorders>
              <w:top w:val="nil"/>
              <w:left w:val="single" w:color="auto" w:sz="4" w:space="0"/>
              <w:bottom w:val="single" w:color="auto" w:sz="4" w:space="0"/>
              <w:right w:val="single" w:color="auto" w:sz="4" w:space="0"/>
            </w:tcBorders>
            <w:vAlign w:val="center"/>
          </w:tcPr>
          <w:p w14:paraId="4B70A3B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7A8E60A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整备质量</w:t>
            </w:r>
          </w:p>
        </w:tc>
        <w:tc>
          <w:tcPr>
            <w:tcW w:w="3035" w:type="pct"/>
            <w:tcBorders>
              <w:top w:val="single" w:color="auto" w:sz="4" w:space="0"/>
              <w:left w:val="single" w:color="auto" w:sz="4" w:space="0"/>
              <w:bottom w:val="single" w:color="auto" w:sz="4" w:space="0"/>
              <w:right w:val="single" w:color="auto" w:sz="4" w:space="0"/>
            </w:tcBorders>
            <w:vAlign w:val="center"/>
          </w:tcPr>
          <w:p w14:paraId="3E0AB6E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990kg</w:t>
            </w:r>
          </w:p>
        </w:tc>
      </w:tr>
      <w:tr w14:paraId="26B24920">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4AAB3C9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384D097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额定载荷</w:t>
            </w:r>
          </w:p>
        </w:tc>
        <w:tc>
          <w:tcPr>
            <w:tcW w:w="3035" w:type="pct"/>
            <w:tcBorders>
              <w:top w:val="single" w:color="auto" w:sz="4" w:space="0"/>
              <w:left w:val="single" w:color="auto" w:sz="4" w:space="0"/>
              <w:bottom w:val="single" w:color="auto" w:sz="4" w:space="0"/>
              <w:right w:val="single" w:color="auto" w:sz="4" w:space="0"/>
            </w:tcBorders>
            <w:vAlign w:val="center"/>
          </w:tcPr>
          <w:p w14:paraId="7183A67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1000kg</w:t>
            </w:r>
          </w:p>
        </w:tc>
      </w:tr>
      <w:tr w14:paraId="6CEDAB23">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17DCB6A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3F89BB1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续驶里程</w:t>
            </w:r>
          </w:p>
        </w:tc>
        <w:tc>
          <w:tcPr>
            <w:tcW w:w="3035" w:type="pct"/>
            <w:tcBorders>
              <w:top w:val="single" w:color="auto" w:sz="4" w:space="0"/>
              <w:left w:val="single" w:color="auto" w:sz="4" w:space="0"/>
              <w:bottom w:val="single" w:color="auto" w:sz="4" w:space="0"/>
              <w:right w:val="single" w:color="auto" w:sz="4" w:space="0"/>
            </w:tcBorders>
            <w:vAlign w:val="center"/>
          </w:tcPr>
          <w:p w14:paraId="5E96EB4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60km</w:t>
            </w:r>
          </w:p>
        </w:tc>
      </w:tr>
      <w:tr w14:paraId="73F45D50">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59BE888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24CD6D4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充电时间</w:t>
            </w:r>
          </w:p>
        </w:tc>
        <w:tc>
          <w:tcPr>
            <w:tcW w:w="3035" w:type="pct"/>
            <w:tcBorders>
              <w:top w:val="single" w:color="auto" w:sz="4" w:space="0"/>
              <w:left w:val="single" w:color="auto" w:sz="4" w:space="0"/>
              <w:bottom w:val="single" w:color="auto" w:sz="4" w:space="0"/>
              <w:right w:val="single" w:color="auto" w:sz="4" w:space="0"/>
            </w:tcBorders>
            <w:vAlign w:val="center"/>
          </w:tcPr>
          <w:p w14:paraId="6DFBE11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6-8h（放电率80%）</w:t>
            </w:r>
          </w:p>
        </w:tc>
      </w:tr>
      <w:tr w14:paraId="07290508">
        <w:tblPrEx>
          <w:tblCellMar>
            <w:top w:w="0" w:type="dxa"/>
            <w:left w:w="108" w:type="dxa"/>
            <w:bottom w:w="0" w:type="dxa"/>
            <w:right w:w="108" w:type="dxa"/>
          </w:tblCellMar>
        </w:tblPrEx>
        <w:trPr>
          <w:trHeight w:val="285" w:hRule="atLeast"/>
        </w:trPr>
        <w:tc>
          <w:tcPr>
            <w:tcW w:w="519" w:type="pct"/>
            <w:vMerge w:val="restart"/>
            <w:tcBorders>
              <w:top w:val="single" w:color="auto" w:sz="4" w:space="0"/>
              <w:left w:val="single" w:color="auto" w:sz="4" w:space="0"/>
              <w:right w:val="single" w:color="auto" w:sz="4" w:space="0"/>
            </w:tcBorders>
            <w:vAlign w:val="center"/>
          </w:tcPr>
          <w:p w14:paraId="417B2891">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电气系统</w:t>
            </w:r>
          </w:p>
        </w:tc>
        <w:tc>
          <w:tcPr>
            <w:tcW w:w="1445" w:type="pct"/>
            <w:tcBorders>
              <w:top w:val="single" w:color="auto" w:sz="4" w:space="0"/>
              <w:left w:val="nil"/>
              <w:bottom w:val="single" w:color="auto" w:sz="4" w:space="0"/>
              <w:right w:val="single" w:color="auto" w:sz="4" w:space="0"/>
            </w:tcBorders>
            <w:vAlign w:val="center"/>
          </w:tcPr>
          <w:p w14:paraId="57D3B77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电机</w:t>
            </w:r>
          </w:p>
        </w:tc>
        <w:tc>
          <w:tcPr>
            <w:tcW w:w="3035" w:type="pct"/>
            <w:tcBorders>
              <w:top w:val="single" w:color="auto" w:sz="4" w:space="0"/>
              <w:left w:val="single" w:color="auto" w:sz="4" w:space="0"/>
              <w:bottom w:val="single" w:color="auto" w:sz="4" w:space="0"/>
              <w:right w:val="single" w:color="auto" w:sz="4" w:space="0"/>
            </w:tcBorders>
            <w:vAlign w:val="center"/>
          </w:tcPr>
          <w:p w14:paraId="7597A16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72V3000W直流电机</w:t>
            </w:r>
          </w:p>
        </w:tc>
      </w:tr>
      <w:tr w14:paraId="1B835555">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2AE69DB6">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773C78C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控制器</w:t>
            </w:r>
          </w:p>
        </w:tc>
        <w:tc>
          <w:tcPr>
            <w:tcW w:w="3035" w:type="pct"/>
            <w:tcBorders>
              <w:top w:val="single" w:color="auto" w:sz="4" w:space="0"/>
              <w:left w:val="single" w:color="auto" w:sz="4" w:space="0"/>
              <w:bottom w:val="single" w:color="auto" w:sz="4" w:space="0"/>
              <w:right w:val="single" w:color="auto" w:sz="4" w:space="0"/>
            </w:tcBorders>
            <w:vAlign w:val="center"/>
          </w:tcPr>
          <w:p w14:paraId="2F48B942">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72V3000W控制器</w:t>
            </w:r>
          </w:p>
        </w:tc>
      </w:tr>
      <w:tr w14:paraId="0D0CF077">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6AA0A8D2">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41A3DF9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电池</w:t>
            </w:r>
          </w:p>
        </w:tc>
        <w:tc>
          <w:tcPr>
            <w:tcW w:w="3035" w:type="pct"/>
            <w:tcBorders>
              <w:top w:val="single" w:color="auto" w:sz="4" w:space="0"/>
              <w:left w:val="single" w:color="auto" w:sz="4" w:space="0"/>
              <w:bottom w:val="single" w:color="auto" w:sz="4" w:space="0"/>
              <w:right w:val="single" w:color="auto" w:sz="4" w:space="0"/>
            </w:tcBorders>
            <w:vAlign w:val="center"/>
          </w:tcPr>
          <w:p w14:paraId="4B6FAD2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▲72V120AH 锂电池</w:t>
            </w:r>
          </w:p>
          <w:p w14:paraId="7144ABA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提供检测报告，加盖供应商电子签章。</w:t>
            </w:r>
          </w:p>
        </w:tc>
      </w:tr>
      <w:tr w14:paraId="0BABAB39">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621DD7B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14C1890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充电器</w:t>
            </w:r>
          </w:p>
        </w:tc>
        <w:tc>
          <w:tcPr>
            <w:tcW w:w="3035" w:type="pct"/>
            <w:tcBorders>
              <w:top w:val="single" w:color="auto" w:sz="4" w:space="0"/>
              <w:left w:val="single" w:color="auto" w:sz="4" w:space="0"/>
              <w:bottom w:val="single" w:color="auto" w:sz="4" w:space="0"/>
              <w:right w:val="single" w:color="auto" w:sz="4" w:space="0"/>
            </w:tcBorders>
            <w:vAlign w:val="center"/>
          </w:tcPr>
          <w:p w14:paraId="06A1F7C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便携式智能全自动充电器</w:t>
            </w:r>
          </w:p>
        </w:tc>
      </w:tr>
      <w:tr w14:paraId="0AF65B05">
        <w:tblPrEx>
          <w:tblCellMar>
            <w:top w:w="0" w:type="dxa"/>
            <w:left w:w="108" w:type="dxa"/>
            <w:bottom w:w="0" w:type="dxa"/>
            <w:right w:w="108" w:type="dxa"/>
          </w:tblCellMar>
        </w:tblPrEx>
        <w:trPr>
          <w:trHeight w:val="285" w:hRule="atLeast"/>
        </w:trPr>
        <w:tc>
          <w:tcPr>
            <w:tcW w:w="519" w:type="pct"/>
            <w:vMerge w:val="continue"/>
            <w:tcBorders>
              <w:top w:val="nil"/>
              <w:left w:val="single" w:color="auto" w:sz="4" w:space="0"/>
              <w:bottom w:val="single" w:color="auto" w:sz="4" w:space="0"/>
              <w:right w:val="single" w:color="auto" w:sz="4" w:space="0"/>
            </w:tcBorders>
            <w:vAlign w:val="center"/>
          </w:tcPr>
          <w:p w14:paraId="67DD432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7CFA0BF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灯光及信号</w:t>
            </w:r>
          </w:p>
        </w:tc>
        <w:tc>
          <w:tcPr>
            <w:tcW w:w="3035" w:type="pct"/>
            <w:tcBorders>
              <w:top w:val="single" w:color="auto" w:sz="4" w:space="0"/>
              <w:left w:val="single" w:color="auto" w:sz="4" w:space="0"/>
              <w:bottom w:val="single" w:color="auto" w:sz="4" w:space="0"/>
              <w:right w:val="single" w:color="auto" w:sz="4" w:space="0"/>
            </w:tcBorders>
            <w:vAlign w:val="center"/>
          </w:tcPr>
          <w:p w14:paraId="54DA06A2">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LED大灯、左右转向灯、刹车灯、行车灯、仪表、电喇叭、倒车喇叭、工作警示灯（选装）</w:t>
            </w:r>
          </w:p>
        </w:tc>
      </w:tr>
      <w:tr w14:paraId="70F807C6">
        <w:tblPrEx>
          <w:tblCellMar>
            <w:top w:w="0" w:type="dxa"/>
            <w:left w:w="108" w:type="dxa"/>
            <w:bottom w:w="0" w:type="dxa"/>
            <w:right w:w="108" w:type="dxa"/>
          </w:tblCellMar>
        </w:tblPrEx>
        <w:trPr>
          <w:trHeight w:val="285" w:hRule="atLeast"/>
        </w:trPr>
        <w:tc>
          <w:tcPr>
            <w:tcW w:w="519" w:type="pct"/>
            <w:vMerge w:val="restart"/>
            <w:tcBorders>
              <w:top w:val="single" w:color="auto" w:sz="4" w:space="0"/>
              <w:left w:val="single" w:color="auto" w:sz="4" w:space="0"/>
              <w:right w:val="single" w:color="auto" w:sz="4" w:space="0"/>
            </w:tcBorders>
            <w:vAlign w:val="center"/>
          </w:tcPr>
          <w:p w14:paraId="33509A9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底盘系统</w:t>
            </w:r>
          </w:p>
        </w:tc>
        <w:tc>
          <w:tcPr>
            <w:tcW w:w="1445" w:type="pct"/>
            <w:tcBorders>
              <w:top w:val="single" w:color="auto" w:sz="4" w:space="0"/>
              <w:left w:val="nil"/>
              <w:bottom w:val="single" w:color="auto" w:sz="4" w:space="0"/>
              <w:right w:val="single" w:color="auto" w:sz="4" w:space="0"/>
            </w:tcBorders>
            <w:vAlign w:val="center"/>
          </w:tcPr>
          <w:p w14:paraId="62024D2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车架</w:t>
            </w:r>
          </w:p>
        </w:tc>
        <w:tc>
          <w:tcPr>
            <w:tcW w:w="3035" w:type="pct"/>
            <w:tcBorders>
              <w:top w:val="single" w:color="auto" w:sz="4" w:space="0"/>
              <w:left w:val="nil"/>
              <w:bottom w:val="single" w:color="auto" w:sz="4" w:space="0"/>
              <w:right w:val="single" w:color="auto" w:sz="4" w:space="0"/>
            </w:tcBorders>
            <w:vAlign w:val="center"/>
          </w:tcPr>
          <w:p w14:paraId="104E9DE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整体焊接车架+酸洗磷化电泳烤漆</w:t>
            </w:r>
          </w:p>
        </w:tc>
      </w:tr>
      <w:tr w14:paraId="02DDC6AB">
        <w:tblPrEx>
          <w:tblCellMar>
            <w:top w:w="0" w:type="dxa"/>
            <w:left w:w="108" w:type="dxa"/>
            <w:bottom w:w="0" w:type="dxa"/>
            <w:right w:w="108" w:type="dxa"/>
          </w:tblCellMar>
        </w:tblPrEx>
        <w:trPr>
          <w:trHeight w:val="285" w:hRule="atLeast"/>
        </w:trPr>
        <w:tc>
          <w:tcPr>
            <w:tcW w:w="519" w:type="pct"/>
            <w:vMerge w:val="continue"/>
            <w:tcBorders>
              <w:left w:val="single" w:color="auto" w:sz="4" w:space="0"/>
              <w:right w:val="single" w:color="auto" w:sz="4" w:space="0"/>
            </w:tcBorders>
            <w:vAlign w:val="center"/>
          </w:tcPr>
          <w:p w14:paraId="2AA57AE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31E2EB6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动力传动</w:t>
            </w:r>
          </w:p>
        </w:tc>
        <w:tc>
          <w:tcPr>
            <w:tcW w:w="3035" w:type="pct"/>
            <w:tcBorders>
              <w:top w:val="single" w:color="auto" w:sz="4" w:space="0"/>
              <w:left w:val="nil"/>
              <w:bottom w:val="single" w:color="auto" w:sz="4" w:space="0"/>
              <w:right w:val="single" w:color="auto" w:sz="4" w:space="0"/>
            </w:tcBorders>
            <w:vAlign w:val="center"/>
          </w:tcPr>
          <w:p w14:paraId="534C214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后置驱动，配备前进和倒档</w:t>
            </w:r>
          </w:p>
        </w:tc>
      </w:tr>
      <w:tr w14:paraId="1A37EAC9">
        <w:tblPrEx>
          <w:tblCellMar>
            <w:top w:w="0" w:type="dxa"/>
            <w:left w:w="108" w:type="dxa"/>
            <w:bottom w:w="0" w:type="dxa"/>
            <w:right w:w="108" w:type="dxa"/>
          </w:tblCellMar>
        </w:tblPrEx>
        <w:trPr>
          <w:trHeight w:val="285" w:hRule="atLeast"/>
        </w:trPr>
        <w:tc>
          <w:tcPr>
            <w:tcW w:w="519" w:type="pct"/>
            <w:vMerge w:val="continue"/>
            <w:tcBorders>
              <w:left w:val="single" w:color="auto" w:sz="4" w:space="0"/>
              <w:bottom w:val="single" w:color="auto" w:sz="4" w:space="0"/>
              <w:right w:val="single" w:color="auto" w:sz="4" w:space="0"/>
            </w:tcBorders>
            <w:vAlign w:val="center"/>
          </w:tcPr>
          <w:p w14:paraId="4F4BFA9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3DF6A08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转向</w:t>
            </w:r>
          </w:p>
        </w:tc>
        <w:tc>
          <w:tcPr>
            <w:tcW w:w="3035" w:type="pct"/>
            <w:tcBorders>
              <w:top w:val="single" w:color="auto" w:sz="4" w:space="0"/>
              <w:left w:val="nil"/>
              <w:bottom w:val="single" w:color="auto" w:sz="4" w:space="0"/>
              <w:right w:val="single" w:color="auto" w:sz="4" w:space="0"/>
            </w:tcBorders>
            <w:vAlign w:val="center"/>
          </w:tcPr>
          <w:p w14:paraId="2C0F04F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龙头把式转向机构</w:t>
            </w:r>
          </w:p>
        </w:tc>
      </w:tr>
      <w:tr w14:paraId="049C0ECF">
        <w:tblPrEx>
          <w:tblCellMar>
            <w:top w:w="0" w:type="dxa"/>
            <w:left w:w="108" w:type="dxa"/>
            <w:bottom w:w="0" w:type="dxa"/>
            <w:right w:w="108" w:type="dxa"/>
          </w:tblCellMar>
        </w:tblPrEx>
        <w:trPr>
          <w:trHeight w:val="600" w:hRule="atLeast"/>
        </w:trPr>
        <w:tc>
          <w:tcPr>
            <w:tcW w:w="519" w:type="pct"/>
            <w:vMerge w:val="continue"/>
            <w:tcBorders>
              <w:top w:val="single" w:color="auto" w:sz="4" w:space="0"/>
              <w:left w:val="single" w:color="auto" w:sz="4" w:space="0"/>
              <w:bottom w:val="single" w:color="auto" w:sz="4" w:space="0"/>
              <w:right w:val="single" w:color="auto" w:sz="4" w:space="0"/>
            </w:tcBorders>
            <w:noWrap/>
            <w:vAlign w:val="center"/>
          </w:tcPr>
          <w:p w14:paraId="785ED11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537D559D">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悬架</w:t>
            </w:r>
          </w:p>
        </w:tc>
        <w:tc>
          <w:tcPr>
            <w:tcW w:w="3035" w:type="pct"/>
            <w:tcBorders>
              <w:top w:val="single" w:color="auto" w:sz="4" w:space="0"/>
              <w:left w:val="nil"/>
              <w:bottom w:val="single" w:color="auto" w:sz="4" w:space="0"/>
              <w:right w:val="single" w:color="auto" w:sz="4" w:space="0"/>
            </w:tcBorders>
            <w:vAlign w:val="center"/>
          </w:tcPr>
          <w:p w14:paraId="0B82EA4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前悬架：加粗双筒外加螺旋弹簧式前叉</w:t>
            </w:r>
          </w:p>
          <w:p w14:paraId="4298BDB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后悬架：钢板弹簧式非独立悬架</w:t>
            </w:r>
          </w:p>
        </w:tc>
      </w:tr>
      <w:tr w14:paraId="1695848A">
        <w:tblPrEx>
          <w:tblCellMar>
            <w:top w:w="0" w:type="dxa"/>
            <w:left w:w="108" w:type="dxa"/>
            <w:bottom w:w="0" w:type="dxa"/>
            <w:right w:w="108" w:type="dxa"/>
          </w:tblCellMar>
        </w:tblPrEx>
        <w:trPr>
          <w:trHeight w:val="420" w:hRule="atLeast"/>
        </w:trPr>
        <w:tc>
          <w:tcPr>
            <w:tcW w:w="519" w:type="pct"/>
            <w:vMerge w:val="continue"/>
            <w:tcBorders>
              <w:top w:val="single" w:color="auto" w:sz="4" w:space="0"/>
              <w:left w:val="single" w:color="auto" w:sz="4" w:space="0"/>
              <w:bottom w:val="single" w:color="auto" w:sz="4" w:space="0"/>
              <w:right w:val="single" w:color="auto" w:sz="4" w:space="0"/>
            </w:tcBorders>
            <w:vAlign w:val="center"/>
          </w:tcPr>
          <w:p w14:paraId="3ABE8FB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5914358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后桥</w:t>
            </w:r>
          </w:p>
        </w:tc>
        <w:tc>
          <w:tcPr>
            <w:tcW w:w="3035" w:type="pct"/>
            <w:tcBorders>
              <w:top w:val="single" w:color="auto" w:sz="4" w:space="0"/>
              <w:left w:val="nil"/>
              <w:bottom w:val="single" w:color="auto" w:sz="4" w:space="0"/>
              <w:right w:val="single" w:color="auto" w:sz="4" w:space="0"/>
            </w:tcBorders>
            <w:vAlign w:val="center"/>
          </w:tcPr>
          <w:p w14:paraId="122E2E1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五孔全浮后桥</w:t>
            </w:r>
          </w:p>
        </w:tc>
      </w:tr>
      <w:tr w14:paraId="2D9F2A0D">
        <w:tblPrEx>
          <w:tblCellMar>
            <w:top w:w="0" w:type="dxa"/>
            <w:left w:w="108" w:type="dxa"/>
            <w:bottom w:w="0" w:type="dxa"/>
            <w:right w:w="108" w:type="dxa"/>
          </w:tblCellMar>
        </w:tblPrEx>
        <w:trPr>
          <w:trHeight w:val="285" w:hRule="atLeast"/>
        </w:trPr>
        <w:tc>
          <w:tcPr>
            <w:tcW w:w="519" w:type="pct"/>
            <w:vMerge w:val="continue"/>
            <w:tcBorders>
              <w:top w:val="single" w:color="auto" w:sz="4" w:space="0"/>
              <w:left w:val="single" w:color="auto" w:sz="4" w:space="0"/>
              <w:bottom w:val="single" w:color="auto" w:sz="4" w:space="0"/>
              <w:right w:val="single" w:color="auto" w:sz="4" w:space="0"/>
            </w:tcBorders>
            <w:vAlign w:val="center"/>
          </w:tcPr>
          <w:p w14:paraId="4B7A0C9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nil"/>
              <w:bottom w:val="single" w:color="auto" w:sz="4" w:space="0"/>
              <w:right w:val="single" w:color="auto" w:sz="4" w:space="0"/>
            </w:tcBorders>
            <w:vAlign w:val="center"/>
          </w:tcPr>
          <w:p w14:paraId="62325A1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制动</w:t>
            </w:r>
          </w:p>
        </w:tc>
        <w:tc>
          <w:tcPr>
            <w:tcW w:w="3035" w:type="pct"/>
            <w:tcBorders>
              <w:top w:val="single" w:color="auto" w:sz="4" w:space="0"/>
              <w:left w:val="nil"/>
              <w:bottom w:val="single" w:color="auto" w:sz="4" w:space="0"/>
              <w:right w:val="single" w:color="auto" w:sz="4" w:space="0"/>
            </w:tcBorders>
            <w:vAlign w:val="center"/>
          </w:tcPr>
          <w:p w14:paraId="3563836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脚踩机械连杆鼓式后轮制动+手动机械驻车制动</w:t>
            </w:r>
          </w:p>
        </w:tc>
      </w:tr>
      <w:tr w14:paraId="1EC84C8E">
        <w:tblPrEx>
          <w:tblCellMar>
            <w:top w:w="0" w:type="dxa"/>
            <w:left w:w="108" w:type="dxa"/>
            <w:bottom w:w="0" w:type="dxa"/>
            <w:right w:w="108" w:type="dxa"/>
          </w:tblCellMar>
        </w:tblPrEx>
        <w:trPr>
          <w:trHeight w:val="285" w:hRule="atLeast"/>
        </w:trPr>
        <w:tc>
          <w:tcPr>
            <w:tcW w:w="519" w:type="pct"/>
            <w:vMerge w:val="continue"/>
            <w:tcBorders>
              <w:top w:val="single" w:color="auto" w:sz="4" w:space="0"/>
              <w:left w:val="single" w:color="auto" w:sz="4" w:space="0"/>
              <w:bottom w:val="single" w:color="auto" w:sz="4" w:space="0"/>
              <w:right w:val="single" w:color="auto" w:sz="4" w:space="0"/>
            </w:tcBorders>
            <w:vAlign w:val="center"/>
          </w:tcPr>
          <w:p w14:paraId="25B8F7C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1AD722C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轮胎</w:t>
            </w:r>
          </w:p>
        </w:tc>
        <w:tc>
          <w:tcPr>
            <w:tcW w:w="3035" w:type="pct"/>
            <w:tcBorders>
              <w:top w:val="single" w:color="auto" w:sz="4" w:space="0"/>
              <w:left w:val="nil"/>
              <w:bottom w:val="single" w:color="auto" w:sz="4" w:space="0"/>
              <w:right w:val="single" w:color="auto" w:sz="4" w:space="0"/>
            </w:tcBorders>
            <w:vAlign w:val="center"/>
          </w:tcPr>
          <w:p w14:paraId="646425B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前轮：4.50-12  后轮：5.00-12</w:t>
            </w:r>
          </w:p>
        </w:tc>
      </w:tr>
      <w:tr w14:paraId="65E36D3A">
        <w:tblPrEx>
          <w:tblCellMar>
            <w:top w:w="0" w:type="dxa"/>
            <w:left w:w="108" w:type="dxa"/>
            <w:bottom w:w="0" w:type="dxa"/>
            <w:right w:w="108" w:type="dxa"/>
          </w:tblCellMar>
        </w:tblPrEx>
        <w:trPr>
          <w:trHeight w:val="285" w:hRule="atLeast"/>
        </w:trPr>
        <w:tc>
          <w:tcPr>
            <w:tcW w:w="519" w:type="pct"/>
            <w:vMerge w:val="restart"/>
            <w:tcBorders>
              <w:top w:val="single" w:color="auto" w:sz="4" w:space="0"/>
              <w:left w:val="single" w:color="auto" w:sz="4" w:space="0"/>
              <w:right w:val="single" w:color="auto" w:sz="4" w:space="0"/>
            </w:tcBorders>
            <w:vAlign w:val="center"/>
          </w:tcPr>
          <w:p w14:paraId="226439D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车身配置</w:t>
            </w:r>
          </w:p>
        </w:tc>
        <w:tc>
          <w:tcPr>
            <w:tcW w:w="1445" w:type="pct"/>
            <w:tcBorders>
              <w:top w:val="single" w:color="auto" w:sz="4" w:space="0"/>
              <w:left w:val="nil"/>
              <w:bottom w:val="single" w:color="auto" w:sz="4" w:space="0"/>
              <w:right w:val="single" w:color="auto" w:sz="4" w:space="0"/>
            </w:tcBorders>
            <w:vAlign w:val="center"/>
          </w:tcPr>
          <w:p w14:paraId="4B8567B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油漆</w:t>
            </w:r>
          </w:p>
        </w:tc>
        <w:tc>
          <w:tcPr>
            <w:tcW w:w="3035" w:type="pct"/>
            <w:tcBorders>
              <w:top w:val="single" w:color="auto" w:sz="4" w:space="0"/>
              <w:left w:val="nil"/>
              <w:bottom w:val="single" w:color="auto" w:sz="4" w:space="0"/>
              <w:right w:val="single" w:color="auto" w:sz="4" w:space="0"/>
            </w:tcBorders>
            <w:vAlign w:val="center"/>
          </w:tcPr>
          <w:p w14:paraId="42343D4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高级汽车专用油漆</w:t>
            </w:r>
          </w:p>
        </w:tc>
      </w:tr>
      <w:tr w14:paraId="58A8FA0D">
        <w:tblPrEx>
          <w:tblCellMar>
            <w:top w:w="0" w:type="dxa"/>
            <w:left w:w="108" w:type="dxa"/>
            <w:bottom w:w="0" w:type="dxa"/>
            <w:right w:w="108" w:type="dxa"/>
          </w:tblCellMar>
        </w:tblPrEx>
        <w:trPr>
          <w:trHeight w:val="285" w:hRule="atLeast"/>
        </w:trPr>
        <w:tc>
          <w:tcPr>
            <w:tcW w:w="519" w:type="pct"/>
            <w:vMerge w:val="continue"/>
            <w:tcBorders>
              <w:left w:val="single" w:color="auto" w:sz="4" w:space="0"/>
              <w:right w:val="single" w:color="auto" w:sz="4" w:space="0"/>
            </w:tcBorders>
            <w:vAlign w:val="center"/>
          </w:tcPr>
          <w:p w14:paraId="7892A82F">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7BB194B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车体</w:t>
            </w:r>
          </w:p>
        </w:tc>
        <w:tc>
          <w:tcPr>
            <w:tcW w:w="3035" w:type="pct"/>
            <w:tcBorders>
              <w:top w:val="single" w:color="auto" w:sz="4" w:space="0"/>
              <w:left w:val="nil"/>
              <w:bottom w:val="single" w:color="auto" w:sz="4" w:space="0"/>
              <w:right w:val="single" w:color="auto" w:sz="4" w:space="0"/>
            </w:tcBorders>
            <w:vAlign w:val="center"/>
          </w:tcPr>
          <w:p w14:paraId="3179427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钢制车架+钢板折弯焊接成型箱体</w:t>
            </w:r>
          </w:p>
        </w:tc>
      </w:tr>
      <w:tr w14:paraId="14D8316E">
        <w:tblPrEx>
          <w:tblCellMar>
            <w:top w:w="0" w:type="dxa"/>
            <w:left w:w="108" w:type="dxa"/>
            <w:bottom w:w="0" w:type="dxa"/>
            <w:right w:w="108" w:type="dxa"/>
          </w:tblCellMar>
        </w:tblPrEx>
        <w:trPr>
          <w:trHeight w:val="660" w:hRule="atLeast"/>
        </w:trPr>
        <w:tc>
          <w:tcPr>
            <w:tcW w:w="519" w:type="pct"/>
            <w:vMerge w:val="continue"/>
            <w:tcBorders>
              <w:left w:val="single" w:color="auto" w:sz="4" w:space="0"/>
              <w:right w:val="single" w:color="auto" w:sz="4" w:space="0"/>
            </w:tcBorders>
            <w:vAlign w:val="center"/>
          </w:tcPr>
          <w:p w14:paraId="15714529">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nil"/>
              <w:left w:val="nil"/>
              <w:bottom w:val="single" w:color="auto" w:sz="4" w:space="0"/>
              <w:right w:val="single" w:color="auto" w:sz="4" w:space="0"/>
            </w:tcBorders>
            <w:vAlign w:val="center"/>
          </w:tcPr>
          <w:p w14:paraId="5867517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仪表台</w:t>
            </w:r>
          </w:p>
        </w:tc>
        <w:tc>
          <w:tcPr>
            <w:tcW w:w="3035" w:type="pct"/>
            <w:tcBorders>
              <w:top w:val="single" w:color="auto" w:sz="4" w:space="0"/>
              <w:left w:val="nil"/>
              <w:bottom w:val="single" w:color="auto" w:sz="4" w:space="0"/>
              <w:right w:val="single" w:color="auto" w:sz="4" w:space="0"/>
            </w:tcBorders>
            <w:vAlign w:val="center"/>
          </w:tcPr>
          <w:p w14:paraId="155A560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注塑成型仪表台，电门锁，仪表，组合开关</w:t>
            </w:r>
          </w:p>
        </w:tc>
      </w:tr>
      <w:tr w14:paraId="55C76280">
        <w:tblPrEx>
          <w:tblCellMar>
            <w:top w:w="0" w:type="dxa"/>
            <w:left w:w="108" w:type="dxa"/>
            <w:bottom w:w="0" w:type="dxa"/>
            <w:right w:w="108" w:type="dxa"/>
          </w:tblCellMar>
        </w:tblPrEx>
        <w:trPr>
          <w:trHeight w:val="559" w:hRule="atLeast"/>
        </w:trPr>
        <w:tc>
          <w:tcPr>
            <w:tcW w:w="519" w:type="pct"/>
            <w:vMerge w:val="continue"/>
            <w:tcBorders>
              <w:left w:val="single" w:color="auto" w:sz="4" w:space="0"/>
              <w:right w:val="single" w:color="auto" w:sz="4" w:space="0"/>
            </w:tcBorders>
            <w:vAlign w:val="center"/>
          </w:tcPr>
          <w:p w14:paraId="6BE60691">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tcBorders>
              <w:top w:val="single" w:color="auto" w:sz="4" w:space="0"/>
              <w:left w:val="single" w:color="auto" w:sz="4" w:space="0"/>
              <w:bottom w:val="single" w:color="auto" w:sz="4" w:space="0"/>
              <w:right w:val="single" w:color="auto" w:sz="4" w:space="0"/>
            </w:tcBorders>
            <w:vAlign w:val="center"/>
          </w:tcPr>
          <w:p w14:paraId="1F3303C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座椅</w:t>
            </w:r>
          </w:p>
        </w:tc>
        <w:tc>
          <w:tcPr>
            <w:tcW w:w="3035" w:type="pct"/>
            <w:tcBorders>
              <w:top w:val="single" w:color="auto" w:sz="4" w:space="0"/>
              <w:left w:val="single" w:color="auto" w:sz="4" w:space="0"/>
              <w:bottom w:val="single" w:color="auto" w:sz="4" w:space="0"/>
              <w:right w:val="single" w:color="auto" w:sz="4" w:space="0"/>
            </w:tcBorders>
            <w:vAlign w:val="center"/>
          </w:tcPr>
          <w:p w14:paraId="7BC862D1">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皮革软座椅+皮革软靠背</w:t>
            </w:r>
          </w:p>
        </w:tc>
      </w:tr>
      <w:tr w14:paraId="35C6ED94">
        <w:tblPrEx>
          <w:tblCellMar>
            <w:top w:w="0" w:type="dxa"/>
            <w:left w:w="108" w:type="dxa"/>
            <w:bottom w:w="0" w:type="dxa"/>
            <w:right w:w="108" w:type="dxa"/>
          </w:tblCellMar>
        </w:tblPrEx>
        <w:trPr>
          <w:trHeight w:val="90" w:hRule="atLeast"/>
        </w:trPr>
        <w:tc>
          <w:tcPr>
            <w:tcW w:w="519" w:type="pct"/>
            <w:vMerge w:val="continue"/>
            <w:tcBorders>
              <w:left w:val="single" w:color="auto" w:sz="4" w:space="0"/>
              <w:right w:val="single" w:color="auto" w:sz="4" w:space="0"/>
            </w:tcBorders>
            <w:vAlign w:val="center"/>
          </w:tcPr>
          <w:p w14:paraId="2CDDD513">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vMerge w:val="restart"/>
            <w:tcBorders>
              <w:top w:val="single" w:color="auto" w:sz="4" w:space="0"/>
              <w:left w:val="single" w:color="auto" w:sz="4" w:space="0"/>
              <w:right w:val="single" w:color="auto" w:sz="4" w:space="0"/>
            </w:tcBorders>
            <w:vAlign w:val="center"/>
          </w:tcPr>
          <w:p w14:paraId="14D36E6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箱体</w:t>
            </w:r>
          </w:p>
        </w:tc>
        <w:tc>
          <w:tcPr>
            <w:tcW w:w="3035" w:type="pct"/>
            <w:tcBorders>
              <w:top w:val="single" w:color="auto" w:sz="4" w:space="0"/>
              <w:left w:val="single" w:color="auto" w:sz="4" w:space="0"/>
              <w:bottom w:val="single" w:color="auto" w:sz="4" w:space="0"/>
              <w:right w:val="single" w:color="auto" w:sz="4" w:space="0"/>
            </w:tcBorders>
            <w:vAlign w:val="center"/>
          </w:tcPr>
          <w:p w14:paraId="2CD8368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▲箱体采用整体焊接，箱体四周采用≥1.2mm钢板，底板采用≥1.2mm厚304不锈钢材料制作，防腐蚀性能高。</w:t>
            </w:r>
          </w:p>
          <w:p w14:paraId="0A6DD19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bCs/>
                <w:color w:val="auto"/>
                <w:sz w:val="24"/>
                <w:szCs w:val="24"/>
                <w:highlight w:val="none"/>
                <w:lang w:val="en-US" w:eastAsia="zh-CN"/>
              </w:rPr>
              <w:t>提供检测报告，加盖供应商电子签章。</w:t>
            </w:r>
          </w:p>
        </w:tc>
      </w:tr>
      <w:tr w14:paraId="74C352D9">
        <w:tblPrEx>
          <w:tblCellMar>
            <w:top w:w="0" w:type="dxa"/>
            <w:left w:w="108" w:type="dxa"/>
            <w:bottom w:w="0" w:type="dxa"/>
            <w:right w:w="108" w:type="dxa"/>
          </w:tblCellMar>
        </w:tblPrEx>
        <w:trPr>
          <w:trHeight w:val="90" w:hRule="atLeast"/>
        </w:trPr>
        <w:tc>
          <w:tcPr>
            <w:tcW w:w="519" w:type="pct"/>
            <w:vMerge w:val="continue"/>
            <w:tcBorders>
              <w:left w:val="single" w:color="auto" w:sz="4" w:space="0"/>
              <w:bottom w:val="single" w:color="auto" w:sz="4" w:space="0"/>
              <w:right w:val="single" w:color="auto" w:sz="4" w:space="0"/>
            </w:tcBorders>
            <w:vAlign w:val="center"/>
          </w:tcPr>
          <w:p w14:paraId="6B3A0BA5">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p>
        </w:tc>
        <w:tc>
          <w:tcPr>
            <w:tcW w:w="1445" w:type="pct"/>
            <w:vMerge w:val="continue"/>
            <w:tcBorders>
              <w:left w:val="single" w:color="auto" w:sz="4" w:space="0"/>
              <w:bottom w:val="single" w:color="auto" w:sz="4" w:space="0"/>
              <w:right w:val="single" w:color="auto" w:sz="4" w:space="0"/>
            </w:tcBorders>
            <w:vAlign w:val="center"/>
          </w:tcPr>
          <w:p w14:paraId="0E3180F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val="0"/>
                <w:bCs w:val="0"/>
                <w:sz w:val="24"/>
                <w:szCs w:val="24"/>
                <w:highlight w:val="none"/>
                <w:lang w:val="en-US" w:eastAsia="zh-CN"/>
              </w:rPr>
            </w:pPr>
          </w:p>
        </w:tc>
        <w:tc>
          <w:tcPr>
            <w:tcW w:w="3035" w:type="pct"/>
            <w:tcBorders>
              <w:top w:val="single" w:color="auto" w:sz="4" w:space="0"/>
              <w:left w:val="single" w:color="auto" w:sz="4" w:space="0"/>
              <w:bottom w:val="single" w:color="auto" w:sz="4" w:space="0"/>
              <w:right w:val="single" w:color="auto" w:sz="4" w:space="0"/>
            </w:tcBorders>
            <w:vAlign w:val="center"/>
          </w:tcPr>
          <w:p w14:paraId="773C807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color w:val="FF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尾部上翘5公分，减少滴漏，尾部可选上开门和侧开门，显著提高工作效率。外形美观，款式新颖。</w:t>
            </w:r>
          </w:p>
        </w:tc>
      </w:tr>
      <w:tr w14:paraId="53D9C09E">
        <w:tblPrEx>
          <w:tblCellMar>
            <w:top w:w="0" w:type="dxa"/>
            <w:left w:w="108" w:type="dxa"/>
            <w:bottom w:w="0" w:type="dxa"/>
            <w:right w:w="108" w:type="dxa"/>
          </w:tblCellMar>
        </w:tblPrEx>
        <w:trPr>
          <w:trHeight w:val="90" w:hRule="atLeast"/>
        </w:trPr>
        <w:tc>
          <w:tcPr>
            <w:tcW w:w="519" w:type="pct"/>
            <w:tcBorders>
              <w:top w:val="single" w:color="auto" w:sz="4" w:space="0"/>
              <w:left w:val="single" w:color="auto" w:sz="4" w:space="0"/>
              <w:bottom w:val="single" w:color="auto" w:sz="4" w:space="0"/>
              <w:right w:val="single" w:color="auto" w:sz="4" w:space="0"/>
            </w:tcBorders>
            <w:vAlign w:val="center"/>
          </w:tcPr>
          <w:p w14:paraId="168F9AC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整车密封性要求</w:t>
            </w:r>
          </w:p>
        </w:tc>
        <w:tc>
          <w:tcPr>
            <w:tcW w:w="4480" w:type="pct"/>
            <w:gridSpan w:val="2"/>
            <w:tcBorders>
              <w:top w:val="single" w:color="auto" w:sz="4" w:space="0"/>
              <w:left w:val="single" w:color="auto" w:sz="4" w:space="0"/>
              <w:bottom w:val="single" w:color="auto" w:sz="4" w:space="0"/>
              <w:right w:val="single" w:color="auto" w:sz="4" w:space="0"/>
            </w:tcBorders>
            <w:vAlign w:val="center"/>
          </w:tcPr>
          <w:p w14:paraId="5263211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▲整车做防水密闭处理，底板尾部向上倾斜20°，后门硅胶密封条，带污水箱。</w:t>
            </w:r>
          </w:p>
          <w:p w14:paraId="34FB82BF">
            <w:pPr>
              <w:pStyle w:val="24"/>
              <w:keepNext w:val="0"/>
              <w:keepLines w:val="0"/>
              <w:pageBreakBefore w:val="0"/>
              <w:widowControl w:val="0"/>
              <w:kinsoku/>
              <w:overflowPunct/>
              <w:topLinePunct w:val="0"/>
              <w:bidi w:val="0"/>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提供检测报告，加盖供应商电子签章。</w:t>
            </w:r>
          </w:p>
        </w:tc>
      </w:tr>
    </w:tbl>
    <w:p w14:paraId="70E5616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2.1侧挂桶技术参数</w:t>
      </w:r>
    </w:p>
    <w:tbl>
      <w:tblPr>
        <w:tblStyle w:val="38"/>
        <w:tblW w:w="9760" w:type="dxa"/>
        <w:jc w:val="center"/>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Layout w:type="fixed"/>
        <w:tblCellMar>
          <w:top w:w="0" w:type="dxa"/>
          <w:left w:w="108" w:type="dxa"/>
          <w:bottom w:w="0" w:type="dxa"/>
          <w:right w:w="108" w:type="dxa"/>
        </w:tblCellMar>
      </w:tblPr>
      <w:tblGrid>
        <w:gridCol w:w="1093"/>
        <w:gridCol w:w="3735"/>
        <w:gridCol w:w="2460"/>
        <w:gridCol w:w="2472"/>
      </w:tblGrid>
      <w:tr w14:paraId="0078650C">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46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1091D24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序号</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453C118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项目名称</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2C7A5DC9">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单位</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6D6CC2C1">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参数</w:t>
            </w:r>
          </w:p>
        </w:tc>
      </w:tr>
      <w:tr w14:paraId="31B3E58A">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32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25C9257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30AE671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箱体容积</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2DB50F0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m</w:t>
            </w:r>
            <w:r>
              <w:rPr>
                <w:rFonts w:hint="eastAsia" w:ascii="仿宋" w:hAnsi="仿宋" w:eastAsia="仿宋" w:cs="仿宋"/>
                <w:b w:val="0"/>
                <w:bCs w:val="0"/>
                <w:sz w:val="24"/>
                <w:szCs w:val="24"/>
                <w:highlight w:val="none"/>
                <w:vertAlign w:val="superscript"/>
                <w:lang w:val="en-US" w:eastAsia="zh-CN"/>
              </w:rPr>
              <w:t>3</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160DFD1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2.5</w:t>
            </w:r>
          </w:p>
        </w:tc>
      </w:tr>
      <w:tr w14:paraId="2494398D">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32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5D79B077">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2073B8C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液压电机功率</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1285AAD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kw</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2CF74163">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0.8</w:t>
            </w:r>
          </w:p>
        </w:tc>
      </w:tr>
      <w:tr w14:paraId="76692CC2">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32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65708DB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29FAA2B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垃圾箱翻转角度</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0F41278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度</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5195AF0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46</w:t>
            </w:r>
          </w:p>
        </w:tc>
      </w:tr>
      <w:tr w14:paraId="2421FAC1">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32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3BE700A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28117312">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翻桶时间</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40782FF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S</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5DD3DF1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w:t>
            </w:r>
          </w:p>
        </w:tc>
      </w:tr>
      <w:tr w14:paraId="4F1372BC">
        <w:tblPrEx>
          <w:tblBorders>
            <w:top w:val="dotted" w:color="000000" w:sz="2" w:space="0"/>
            <w:left w:val="dotted" w:color="000000" w:sz="2" w:space="0"/>
            <w:bottom w:val="dotted" w:color="000000" w:sz="2" w:space="0"/>
            <w:right w:val="dotted" w:color="000000" w:sz="2" w:space="0"/>
            <w:insideH w:val="dotted" w:color="000000" w:sz="2" w:space="0"/>
            <w:insideV w:val="dotted" w:color="000000" w:sz="2" w:space="0"/>
          </w:tblBorders>
          <w:tblCellMar>
            <w:top w:w="0" w:type="dxa"/>
            <w:left w:w="108" w:type="dxa"/>
            <w:bottom w:w="0" w:type="dxa"/>
            <w:right w:w="108" w:type="dxa"/>
          </w:tblCellMar>
        </w:tblPrEx>
        <w:trPr>
          <w:trHeight w:val="320" w:hRule="atLeast"/>
          <w:jc w:val="center"/>
        </w:trPr>
        <w:tc>
          <w:tcPr>
            <w:tcW w:w="1093" w:type="dxa"/>
            <w:tcBorders>
              <w:top w:val="single" w:color="auto" w:sz="4" w:space="0"/>
              <w:left w:val="single" w:color="auto" w:sz="4" w:space="0"/>
              <w:bottom w:val="single" w:color="auto" w:sz="4" w:space="0"/>
              <w:right w:val="single" w:color="auto" w:sz="4" w:space="0"/>
              <w:tl2br w:val="nil"/>
              <w:tr2bl w:val="nil"/>
            </w:tcBorders>
            <w:vAlign w:val="center"/>
          </w:tcPr>
          <w:p w14:paraId="469D7496">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p>
        </w:tc>
        <w:tc>
          <w:tcPr>
            <w:tcW w:w="3735" w:type="dxa"/>
            <w:tcBorders>
              <w:top w:val="single" w:color="auto" w:sz="4" w:space="0"/>
              <w:left w:val="single" w:color="auto" w:sz="4" w:space="0"/>
              <w:bottom w:val="single" w:color="auto" w:sz="4" w:space="0"/>
              <w:right w:val="single" w:color="auto" w:sz="4" w:space="0"/>
              <w:tl2br w:val="nil"/>
              <w:tr2bl w:val="nil"/>
            </w:tcBorders>
            <w:vAlign w:val="center"/>
          </w:tcPr>
          <w:p w14:paraId="218E7A5B">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箱体翻转速度</w:t>
            </w:r>
          </w:p>
        </w:tc>
        <w:tc>
          <w:tcPr>
            <w:tcW w:w="2460" w:type="dxa"/>
            <w:tcBorders>
              <w:top w:val="single" w:color="auto" w:sz="4" w:space="0"/>
              <w:left w:val="single" w:color="auto" w:sz="4" w:space="0"/>
              <w:bottom w:val="single" w:color="auto" w:sz="4" w:space="0"/>
              <w:right w:val="single" w:color="auto" w:sz="4" w:space="0"/>
              <w:tl2br w:val="nil"/>
              <w:tr2bl w:val="nil"/>
            </w:tcBorders>
            <w:vAlign w:val="center"/>
          </w:tcPr>
          <w:p w14:paraId="71F8C30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S</w:t>
            </w:r>
          </w:p>
        </w:tc>
        <w:tc>
          <w:tcPr>
            <w:tcW w:w="2472" w:type="dxa"/>
            <w:tcBorders>
              <w:top w:val="single" w:color="auto" w:sz="4" w:space="0"/>
              <w:left w:val="single" w:color="auto" w:sz="4" w:space="0"/>
              <w:bottom w:val="single" w:color="auto" w:sz="4" w:space="0"/>
              <w:right w:val="single" w:color="auto" w:sz="4" w:space="0"/>
              <w:tl2br w:val="nil"/>
              <w:tr2bl w:val="nil"/>
            </w:tcBorders>
            <w:vAlign w:val="center"/>
          </w:tcPr>
          <w:p w14:paraId="6F5FF3A8">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w:t>
            </w:r>
          </w:p>
        </w:tc>
      </w:tr>
    </w:tbl>
    <w:p w14:paraId="452D1547">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2.1.1</w:t>
      </w:r>
      <w:r>
        <w:rPr>
          <w:rFonts w:hint="default" w:ascii="仿宋" w:hAnsi="仿宋" w:eastAsia="仿宋" w:cs="仿宋"/>
          <w:b/>
          <w:bCs/>
          <w:sz w:val="24"/>
          <w:szCs w:val="24"/>
          <w:highlight w:val="none"/>
          <w:lang w:val="en-US" w:eastAsia="zh-CN"/>
        </w:rPr>
        <w:t>性能特点</w:t>
      </w:r>
      <w:r>
        <w:rPr>
          <w:rFonts w:hint="default" w:ascii="仿宋" w:hAnsi="仿宋" w:eastAsia="仿宋" w:cs="仿宋"/>
          <w:b/>
          <w:bCs/>
          <w:sz w:val="24"/>
          <w:szCs w:val="24"/>
          <w:highlight w:val="none"/>
          <w:lang w:val="en-US" w:eastAsia="zh-CN"/>
        </w:rPr>
        <w:tab/>
      </w:r>
    </w:p>
    <w:p w14:paraId="1C94313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（1）车架主梁采用镀锌冷轧型钢方管，采用全浮式四孔车桥，车桥桥管直径70mm，确保载重安全。</w:t>
      </w:r>
    </w:p>
    <w:p w14:paraId="353C9863">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（2）▲镀锌冷轧型钢方管包括但不限于以下内容：弯曲度、端部垂直度、镀锌层平均厚度、镀锌层附着性、镀锌层外观质量、抗拉强度且检测结果需满足国标相关要求。</w:t>
      </w:r>
    </w:p>
    <w:p w14:paraId="2D7B361F">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提供检测报告，加盖供应商电子签章。</w:t>
      </w:r>
    </w:p>
    <w:p w14:paraId="127C58E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（3）灯光及信号：前大灯、前后转向灯、侧转向灯、组合后尾灯均为LED，并设有电喇叭和倒车蜂鸣器。</w:t>
      </w:r>
    </w:p>
    <w:p w14:paraId="33B37AF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（4）垃圾箱体与后门之间胶条密封，可保证各种泔水等生活垃圾均处于密闭状态。</w:t>
      </w:r>
    </w:p>
    <w:p w14:paraId="47395096">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（5）▲右侧设有连杆滑块提升及自锁压桶机构，120升、240升标准垃圾桶均可提升自翻；动作顺畅，自动化程度高。提升机构与箱体上盖板为连动机构，操作简单方便，作业高效。</w:t>
      </w:r>
    </w:p>
    <w:p w14:paraId="7ED99DB8">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提供检测报告，加盖供应商电子签章。</w:t>
      </w:r>
    </w:p>
    <w:p w14:paraId="4EACADF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（6）采用工程液压自卸提高工作效率，全自动操作，安全可靠。</w:t>
      </w:r>
    </w:p>
    <w:p w14:paraId="1D8FE64F">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（7）大容量钢板垃圾箱，空间大，后尾部配备污水槽，可选配不锈钢垃圾箱，可加装压缩推板。</w:t>
      </w:r>
    </w:p>
    <w:p w14:paraId="0ADA848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（8）配豪华三轮车蓬，可选装倒车影像和CD卡机音响，提升环卫作业倒车安全。</w:t>
      </w:r>
    </w:p>
    <w:p w14:paraId="0A4C8E0C">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（9）配置载重型轮胎，承载性能更强。</w:t>
      </w:r>
    </w:p>
    <w:p w14:paraId="26D69847">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（10）可加装内推移或外推移压缩板。</w:t>
      </w:r>
    </w:p>
    <w:p w14:paraId="0D2715F1">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3.240L垃圾桶参数</w:t>
      </w:r>
    </w:p>
    <w:p w14:paraId="695062A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（1）符合国家城镇建设行业CJ/T280-2020《塑料垃圾桶通用技术条件》标准要求。</w:t>
      </w:r>
    </w:p>
    <w:p w14:paraId="0F421729">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（2）▲弯曲强度≥20 MPa</w:t>
      </w:r>
    </w:p>
    <w:p w14:paraId="45F5D520">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提供240L垃圾桶检测报告，加盖供应商电子签章。</w:t>
      </w:r>
    </w:p>
    <w:p w14:paraId="5BF51CFB">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（3）▲断裂伸长率≥500%</w:t>
      </w:r>
    </w:p>
    <w:p w14:paraId="37FDBEEF">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提供240L垃圾桶检测报告，加盖供应商电子签章。</w:t>
      </w:r>
    </w:p>
    <w:p w14:paraId="587B447F">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（4）▲简支梁缺口冲击强度≥10 kJ/m</w:t>
      </w:r>
      <w:r>
        <w:rPr>
          <w:rFonts w:hint="eastAsia" w:ascii="仿宋" w:hAnsi="仿宋" w:eastAsia="仿宋" w:cs="仿宋"/>
          <w:b/>
          <w:bCs/>
          <w:sz w:val="24"/>
          <w:szCs w:val="24"/>
          <w:highlight w:val="none"/>
          <w:vertAlign w:val="superscript"/>
          <w:lang w:val="en-US" w:eastAsia="zh-CN"/>
        </w:rPr>
        <w:t>2</w:t>
      </w:r>
    </w:p>
    <w:p w14:paraId="09B3315B">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提供240L垃圾桶检测报告，加盖供应商电子签章。</w:t>
      </w:r>
    </w:p>
    <w:p w14:paraId="1B143162">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（5）型式：两轮移动式塑料垃圾桶，包括桶身、桶盖、铰链、手柄、滚轮及轮轴。</w:t>
      </w:r>
    </w:p>
    <w:p w14:paraId="4A1B1004">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（6）额定容积：240L（±1%）。</w:t>
      </w:r>
    </w:p>
    <w:p w14:paraId="045A1D3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（7）规格尺寸：L730*L590*1070（±10mm）（含桶盖高度）。不含盖高度980（±5mm）、与当地环卫车辆挂车相匹配）。</w:t>
      </w:r>
    </w:p>
    <w:p w14:paraId="090F3F9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（8）单桶净重量：≥11.8kg，盖子重量≥1.45kg，总重量：≥16.3kg（注：净重量只包含桶身，不包含桶盖重量、滚轮、轮轴、铰链等零部件重量。）</w:t>
      </w:r>
    </w:p>
    <w:p w14:paraId="54440EF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（9）桶身及桶盖采用100%高密度聚乙烯（HDPE）原生料一次注模成型。</w:t>
      </w:r>
    </w:p>
    <w:p w14:paraId="5E932566">
      <w:pPr>
        <w:pStyle w:val="18"/>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drawing>
          <wp:inline distT="0" distB="0" distL="0" distR="0">
            <wp:extent cx="2533650" cy="2555875"/>
            <wp:effectExtent l="0" t="0" r="0" b="15875"/>
            <wp:docPr id="1159374616" name="图片 1159374616" descr="IMG_20181210_09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74616" name="图片 1159374616" descr="IMG_20181210_090200"/>
                    <pic:cNvPicPr>
                      <a:picLocks noChangeAspect="1"/>
                    </pic:cNvPicPr>
                  </pic:nvPicPr>
                  <pic:blipFill>
                    <a:blip r:embed="rId10"/>
                    <a:srcRect l="10023" t="20669" r="15334" b="3757"/>
                    <a:stretch>
                      <a:fillRect/>
                    </a:stretch>
                  </pic:blipFill>
                  <pic:spPr>
                    <a:xfrm>
                      <a:off x="0" y="0"/>
                      <a:ext cx="2533650" cy="2555875"/>
                    </a:xfrm>
                    <a:prstGeom prst="rect">
                      <a:avLst/>
                    </a:prstGeom>
                  </pic:spPr>
                </pic:pic>
              </a:graphicData>
            </a:graphic>
          </wp:inline>
        </w:drawing>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drawing>
          <wp:inline distT="0" distB="0" distL="0" distR="0">
            <wp:extent cx="2868295" cy="2555875"/>
            <wp:effectExtent l="0" t="0" r="8255" b="15875"/>
            <wp:docPr id="1061491851" name="图片 1061491851" descr="微信图片_2018121815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91851" name="图片 1061491851" descr="微信图片_20181218155211"/>
                    <pic:cNvPicPr>
                      <a:picLocks noChangeAspect="1"/>
                    </pic:cNvPicPr>
                  </pic:nvPicPr>
                  <pic:blipFill>
                    <a:blip r:embed="rId11"/>
                    <a:srcRect l="4033" t="31720" r="6846" b="13760"/>
                    <a:stretch>
                      <a:fillRect/>
                    </a:stretch>
                  </pic:blipFill>
                  <pic:spPr>
                    <a:xfrm>
                      <a:off x="0" y="0"/>
                      <a:ext cx="2868295" cy="2555875"/>
                    </a:xfrm>
                    <a:prstGeom prst="rect">
                      <a:avLst/>
                    </a:prstGeom>
                  </pic:spPr>
                </pic:pic>
              </a:graphicData>
            </a:graphic>
          </wp:inline>
        </w:drawing>
      </w:r>
    </w:p>
    <w:p w14:paraId="093C1BD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（10）塑料垃圾桶表面光滑平整、色泽均匀、耐腐蚀且具有良好的冲击韧性。为了增加桶身牢度，垃圾桶四周檐口与桶身连接处设有不少于17条加强筋，垃圾桶桶体两侧采用凹凸设计。</w:t>
      </w:r>
    </w:p>
    <w:p w14:paraId="2515735F">
      <w:pPr>
        <w:pStyle w:val="18"/>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val="en-US" w:eastAsia="zh-CN"/>
        </w:rPr>
        <w:drawing>
          <wp:inline distT="0" distB="0" distL="0" distR="0">
            <wp:extent cx="3138805" cy="1933575"/>
            <wp:effectExtent l="0" t="0" r="4445" b="9525"/>
            <wp:docPr id="332172579" name="图片 8" descr="IMG_20181210_090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72579" name="图片 8" descr="IMG_20181210_090519"/>
                    <pic:cNvPicPr>
                      <a:picLocks noChangeAspect="1"/>
                    </pic:cNvPicPr>
                  </pic:nvPicPr>
                  <pic:blipFill>
                    <a:blip r:embed="rId12"/>
                    <a:srcRect t="4134" b="18188"/>
                    <a:stretch>
                      <a:fillRect/>
                    </a:stretch>
                  </pic:blipFill>
                  <pic:spPr>
                    <a:xfrm>
                      <a:off x="0" y="0"/>
                      <a:ext cx="3141887" cy="1933575"/>
                    </a:xfrm>
                    <a:prstGeom prst="rect">
                      <a:avLst/>
                    </a:prstGeom>
                  </pic:spPr>
                </pic:pic>
              </a:graphicData>
            </a:graphic>
          </wp:inline>
        </w:drawing>
      </w:r>
      <w:r>
        <w:rPr>
          <w:rFonts w:hint="eastAsia" w:ascii="仿宋" w:hAnsi="仿宋" w:eastAsia="仿宋" w:cs="仿宋"/>
          <w:b w:val="0"/>
          <w:bCs w:val="0"/>
          <w:sz w:val="24"/>
          <w:szCs w:val="24"/>
          <w:highlight w:val="none"/>
          <w:lang w:val="en-US" w:eastAsia="zh-CN"/>
        </w:rPr>
        <w:drawing>
          <wp:inline distT="0" distB="0" distL="0" distR="0">
            <wp:extent cx="2237740" cy="1927860"/>
            <wp:effectExtent l="0" t="0" r="10160" b="15240"/>
            <wp:docPr id="576498683" name="图片 5" descr="IMG_20181210_09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498683" name="图片 5" descr="IMG_20181210_090200"/>
                    <pic:cNvPicPr>
                      <a:picLocks noChangeAspect="1"/>
                    </pic:cNvPicPr>
                  </pic:nvPicPr>
                  <pic:blipFill>
                    <a:blip r:embed="rId10"/>
                    <a:srcRect l="10023" t="20669" r="15334" b="3757"/>
                    <a:stretch>
                      <a:fillRect/>
                    </a:stretch>
                  </pic:blipFill>
                  <pic:spPr>
                    <a:xfrm>
                      <a:off x="0" y="0"/>
                      <a:ext cx="2237740" cy="1927860"/>
                    </a:xfrm>
                    <a:prstGeom prst="rect">
                      <a:avLst/>
                    </a:prstGeom>
                  </pic:spPr>
                </pic:pic>
              </a:graphicData>
            </a:graphic>
          </wp:inline>
        </w:drawing>
      </w:r>
    </w:p>
    <w:p w14:paraId="76A0B28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（11）桶身壁厚≥5mm、桶底厚≥5.2mm，桶口及加强筋壁厚≥6mm，桶盖厚≥3.5mm。</w:t>
      </w:r>
    </w:p>
    <w:p w14:paraId="23CE6E3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（12）桶身及桶盖材料拉伸强度不小于20MPa；桶身及桶盖材料断裂伸长率不小于250%；邵氏硬度（D）不小于63。</w:t>
      </w:r>
    </w:p>
    <w:p w14:paraId="3B11226D">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（13）塑料垃圾桶抗冷热性、抗冲击强度等理化性能要符合行业标准，并且能够确保色彩艳丽，至少两年以上不褪色。</w:t>
      </w:r>
    </w:p>
    <w:p w14:paraId="5828973A">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（14）桶盖开启方式：手开式。为了增加垃圾桶盖子的强度，把手采用两插销分断式连接。把手与桶体连接处不少于8条加强筋；桶底配有不少于42颗防磨损钉。</w:t>
      </w:r>
    </w:p>
    <w:p w14:paraId="2DC2B23F">
      <w:pPr>
        <w:pStyle w:val="18"/>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仿宋"/>
          <w:sz w:val="24"/>
          <w:highlight w:val="none"/>
        </w:rPr>
      </w:pPr>
      <w:r>
        <w:rPr>
          <w:rFonts w:hint="eastAsia" w:ascii="宋体" w:hAnsi="宋体" w:cs="仿宋"/>
          <w:sz w:val="24"/>
          <w:highlight w:val="none"/>
        </w:rPr>
        <w:drawing>
          <wp:inline distT="0" distB="0" distL="0" distR="0">
            <wp:extent cx="2629535" cy="2339975"/>
            <wp:effectExtent l="0" t="0" r="18415" b="3175"/>
            <wp:docPr id="1814553787" name="图片 13" descr="6b956a1b4b456dd1f21c1805eb01d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53787" name="图片 13" descr="6b956a1b4b456dd1f21c1805eb01dd9"/>
                    <pic:cNvPicPr>
                      <a:picLocks noChangeAspect="1"/>
                    </pic:cNvPicPr>
                  </pic:nvPicPr>
                  <pic:blipFill>
                    <a:blip r:embed="rId13"/>
                    <a:srcRect l="7836" b="66569"/>
                    <a:stretch>
                      <a:fillRect/>
                    </a:stretch>
                  </pic:blipFill>
                  <pic:spPr>
                    <a:xfrm>
                      <a:off x="0" y="0"/>
                      <a:ext cx="2629535" cy="2339975"/>
                    </a:xfrm>
                    <a:prstGeom prst="rect">
                      <a:avLst/>
                    </a:prstGeom>
                  </pic:spPr>
                </pic:pic>
              </a:graphicData>
            </a:graphic>
          </wp:inline>
        </w:drawing>
      </w:r>
      <w:r>
        <w:rPr>
          <w:rFonts w:hint="eastAsia" w:ascii="宋体" w:hAnsi="宋体" w:cs="仿宋"/>
          <w:sz w:val="24"/>
          <w:highlight w:val="none"/>
        </w:rPr>
        <w:t xml:space="preserve"> </w:t>
      </w:r>
      <w:r>
        <w:rPr>
          <w:rFonts w:hint="eastAsia" w:ascii="宋体" w:hAnsi="宋体" w:cs="仿宋"/>
          <w:sz w:val="24"/>
          <w:highlight w:val="none"/>
        </w:rPr>
        <w:drawing>
          <wp:inline distT="0" distB="0" distL="0" distR="0">
            <wp:extent cx="2650490" cy="2339975"/>
            <wp:effectExtent l="0" t="0" r="16510" b="3175"/>
            <wp:docPr id="12526950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5004" name="图片 2"/>
                    <pic:cNvPicPr>
                      <a:picLocks noChangeAspect="1"/>
                    </pic:cNvPicPr>
                  </pic:nvPicPr>
                  <pic:blipFill>
                    <a:blip r:embed="rId14"/>
                    <a:srcRect l="5019" t="13443" r="7129" b="3483"/>
                    <a:stretch>
                      <a:fillRect/>
                    </a:stretch>
                  </pic:blipFill>
                  <pic:spPr>
                    <a:xfrm>
                      <a:off x="0" y="0"/>
                      <a:ext cx="2650490" cy="2339975"/>
                    </a:xfrm>
                    <a:prstGeom prst="rect">
                      <a:avLst/>
                    </a:prstGeom>
                    <a:noFill/>
                    <a:ln>
                      <a:noFill/>
                    </a:ln>
                  </pic:spPr>
                </pic:pic>
              </a:graphicData>
            </a:graphic>
          </wp:inline>
        </w:drawing>
      </w:r>
    </w:p>
    <w:p w14:paraId="6F1A7807">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（15）轮轴：采用实心钢轴，表面经过电镀锌防腐处理，坚固耐用。垃圾桶底部穿轴处不少于6条加强筋。</w:t>
      </w:r>
    </w:p>
    <w:p w14:paraId="37EEEFE7">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（16）▲轴中性盐雾试验（24h）：测试无气泡、无开裂、无剥落、无生锈现象。</w:t>
      </w:r>
    </w:p>
    <w:p w14:paraId="44351B7F">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提供240L垃圾桶检测报告，加盖供应商电子签章。</w:t>
      </w:r>
    </w:p>
    <w:p w14:paraId="4A4F822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（17）滚轮由橡胶材质外轮、聚乙烯材质内轮的实心轮组成，直径Φ200mm，采用直接插入式、内置两个销钉的防盗结构，橡胶外轮厚度不小于30mm，承载力不小于150kg；</w:t>
      </w:r>
    </w:p>
    <w:p w14:paraId="09D4375B">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（18）▲滚轮可靠性行驶试验（载荷96kg，行驶距离5km）：无变形与损坏</w:t>
      </w:r>
    </w:p>
    <w:p w14:paraId="616CE1B4">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提供240L垃圾桶检测报告，加盖供应商电子签章。</w:t>
      </w:r>
    </w:p>
    <w:p w14:paraId="524F17E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（19）桶体前口与车辆提升机架配合吊桶处配有加强筋，提高运载能力。</w:t>
      </w:r>
    </w:p>
    <w:p w14:paraId="01440DF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（20）垃圾桶标识：按采购人要求，印购采购人提供的图案和字体。</w:t>
      </w:r>
    </w:p>
    <w:p w14:paraId="4130FAE2">
      <w:pPr>
        <w:keepNext w:val="0"/>
        <w:keepLines w:val="0"/>
        <w:pageBreakBefore w:val="0"/>
        <w:widowControl w:val="0"/>
        <w:kinsoku/>
        <w:overflowPunct/>
        <w:topLinePunct w:val="0"/>
        <w:bidi w:val="0"/>
        <w:snapToGrid w:val="0"/>
        <w:spacing w:line="360" w:lineRule="auto"/>
        <w:ind w:firstLine="480"/>
        <w:rPr>
          <w:rFonts w:hint="eastAsia" w:ascii="宋体" w:hAnsi="宋体" w:cs="仿宋"/>
          <w:sz w:val="24"/>
          <w:highlight w:val="none"/>
        </w:rPr>
      </w:pPr>
      <w:r>
        <w:rPr>
          <w:rFonts w:hint="eastAsia" w:ascii="宋体" w:hAnsi="宋体" w:cs="仿宋"/>
          <w:sz w:val="24"/>
          <w:highlight w:val="none"/>
        </w:rPr>
        <w:drawing>
          <wp:inline distT="0" distB="0" distL="0" distR="0">
            <wp:extent cx="4940300" cy="2160270"/>
            <wp:effectExtent l="0" t="0" r="12700"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5"/>
                    <a:stretch>
                      <a:fillRect/>
                    </a:stretch>
                  </pic:blipFill>
                  <pic:spPr>
                    <a:xfrm>
                      <a:off x="0" y="0"/>
                      <a:ext cx="4940300" cy="2160270"/>
                    </a:xfrm>
                    <a:prstGeom prst="rect">
                      <a:avLst/>
                    </a:prstGeom>
                    <a:noFill/>
                    <a:ln>
                      <a:noFill/>
                    </a:ln>
                  </pic:spPr>
                </pic:pic>
              </a:graphicData>
            </a:graphic>
          </wp:inline>
        </w:drawing>
      </w:r>
    </w:p>
    <w:p w14:paraId="2BD366F3">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4.120L垃圾桶技术参数</w:t>
      </w:r>
    </w:p>
    <w:p w14:paraId="3C397AE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（1）规格尺寸：≥长度470㎜宽度540mm高度900mm（±20mm）</w:t>
      </w:r>
    </w:p>
    <w:p w14:paraId="7E01C3E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（2）整桶重量：≥8.2㎏（桶身净重≥6.2KG，盖重≥0.6kg）</w:t>
      </w:r>
    </w:p>
    <w:p w14:paraId="72B543B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（3）桶身壁、桶底厚≥3.5㎜</w:t>
      </w:r>
    </w:p>
    <w:p w14:paraId="259A99E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（4）桶口及加强筋壁厚≥5㎜</w:t>
      </w:r>
    </w:p>
    <w:p w14:paraId="220BC9C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（5）桶盖厚≥2.5㎜</w:t>
      </w:r>
    </w:p>
    <w:p w14:paraId="75FB234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（6）桶盖开启方式：手开式</w:t>
      </w:r>
    </w:p>
    <w:p w14:paraId="7593EFB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桶身及桶盖采用100％高密度聚乙烯（HDPE）原生料一次注模成型；塑料垃圾桶表面光滑平整、色泽均匀，耐腐蚀且具有良好的冲击韧性；塑料垃圾桶抗冷热、抗老化、抗褪色等理化性能稳定，能够确保色彩艳丽，至少两年以上不褪色。</w:t>
      </w:r>
    </w:p>
    <w:p w14:paraId="52C26AF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（8）滚轮采用直接插入式装置，防盗性强且方便安装；轮毂及辋圈采用高密度聚乙烯，轮胎外圈采用橡胶材质；实心钢轴表面电镀锌处。</w:t>
      </w:r>
    </w:p>
    <w:p w14:paraId="4B1D142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（9）符合国家CJ/T280-2020《塑料垃圾桶通用技术条件》标准要求。</w:t>
      </w:r>
    </w:p>
    <w:p w14:paraId="624E1E0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（10）垃圾桶的色标根据采购方的要求定制</w:t>
      </w:r>
    </w:p>
    <w:p w14:paraId="40AE7F0D">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（11）图标印刷要求美观、醒目，不脱落。垃圾桶桶身正面生活垃圾分类四大类大标志及小图标要求使用热转印工艺印刷，其他标语采用丝网印刷，样品不做要求。</w:t>
      </w:r>
    </w:p>
    <w:p w14:paraId="5F6E014A">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5.二轮巡逻车</w:t>
      </w:r>
    </w:p>
    <w:p w14:paraId="0A356384">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5.1整车主要技术参数</w:t>
      </w:r>
    </w:p>
    <w:p w14:paraId="5C6024B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（1）外形参考尺寸长宽高（mm）：≤1820*710*1090±50 (mm)</w:t>
      </w:r>
    </w:p>
    <w:p w14:paraId="217E881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（2）前后轮中心距离（mm）：≤1200</w:t>
      </w:r>
    </w:p>
    <w:p w14:paraId="4B16265D">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（3）整车质量（kg）：≤65</w:t>
      </w:r>
    </w:p>
    <w:p w14:paraId="4BAE8F3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（4）最高设计车速（km/h）：≧25</w:t>
      </w:r>
    </w:p>
    <w:p w14:paraId="2A79CE5C">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（5）续行里程（km）：≧35</w:t>
      </w:r>
    </w:p>
    <w:p w14:paraId="6D7E119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（6）百公里电耗（km·h/100km）：≤1.5</w:t>
      </w:r>
    </w:p>
    <w:p w14:paraId="46CD38E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（7）载重量（kg）：≧75</w:t>
      </w:r>
    </w:p>
    <w:p w14:paraId="2926B86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5.2蓄电池主要技术参数</w:t>
      </w:r>
    </w:p>
    <w:p w14:paraId="6BD21FF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（1）蓄电池类型：锂电</w:t>
      </w:r>
    </w:p>
    <w:p w14:paraId="02A7EB8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（2）容量：≧24Ah</w:t>
      </w:r>
    </w:p>
    <w:p w14:paraId="37EFAC7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（3）标称电压：≧ 48V</w:t>
      </w:r>
    </w:p>
    <w:p w14:paraId="50674C0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5.3电动车主要技术参数</w:t>
      </w:r>
    </w:p>
    <w:p w14:paraId="6F6A2B9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（1）电动机型式：永磁</w:t>
      </w:r>
    </w:p>
    <w:p w14:paraId="3587F44C">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（2）标称功率：≧350W</w:t>
      </w:r>
    </w:p>
    <w:p w14:paraId="1DB0C6F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（3）额定转速：≧320r/min</w:t>
      </w:r>
    </w:p>
    <w:p w14:paraId="3BFF326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（4）额定电压：≧48V</w:t>
      </w:r>
    </w:p>
    <w:p w14:paraId="3DDAE5B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5.4控制器的主要技术参数</w:t>
      </w:r>
    </w:p>
    <w:p w14:paraId="239718C9">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（1）控制器欠压保护值：41V±1V</w:t>
      </w:r>
    </w:p>
    <w:p w14:paraId="3DF89B0B">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（2）控制器过流保护值：25A±1A</w:t>
      </w:r>
    </w:p>
    <w:p w14:paraId="5D5C359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5.5充电器主要技术参数</w:t>
      </w:r>
    </w:p>
    <w:p w14:paraId="1D48961C">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（1）充电器输出电压（直流）：48/2.0A</w:t>
      </w:r>
    </w:p>
    <w:p w14:paraId="596B24D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（2）充电器输入电压（交流）：220/1.6A</w:t>
      </w:r>
    </w:p>
    <w:p w14:paraId="3223F22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（3）充电时间：6-8小时</w:t>
      </w:r>
    </w:p>
    <w:p w14:paraId="6D274E77">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6.手持式电动割草机</w:t>
      </w:r>
    </w:p>
    <w:p w14:paraId="5C6048B4">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（1）安全设计：配备割草挡板保护</w:t>
      </w:r>
    </w:p>
    <w:p w14:paraId="2346129F">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（2）功率范围1800W—4800W</w:t>
      </w:r>
    </w:p>
    <w:p w14:paraId="1D8E52C4">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（3）适用电压48V—42V</w:t>
      </w:r>
    </w:p>
    <w:p w14:paraId="266EB73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（4）电机类型：外转子纯钢无刷电机</w:t>
      </w:r>
    </w:p>
    <w:p w14:paraId="4933AF3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（5）转速≥3000R/min</w:t>
      </w:r>
    </w:p>
    <w:p w14:paraId="7F680B97">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（6）电芯等级：A品电芯</w:t>
      </w:r>
    </w:p>
    <w:p w14:paraId="15E58928">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7.电动修枝剪</w:t>
      </w:r>
    </w:p>
    <w:p w14:paraId="11CF4B6D">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（1）动力类型：锂电池，容量≥4000mAH</w:t>
      </w:r>
    </w:p>
    <w:p w14:paraId="420FD2A7">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（2）工作时长：≥8小时</w:t>
      </w:r>
    </w:p>
    <w:p w14:paraId="27891BC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（3）充电时间：≤5小时</w:t>
      </w:r>
    </w:p>
    <w:p w14:paraId="4FB3A061">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（4）重量与便携性：轻量化设计控制小于等于1.5KG，防滑握把、可调节手柄</w:t>
      </w:r>
    </w:p>
    <w:p w14:paraId="507CADBA">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（5）安全保护：断电保护功能、防误触开关降低操作风险</w:t>
      </w:r>
    </w:p>
    <w:p w14:paraId="09FC054D">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（6）剪切能力：硬枝剪切直径25—30mm，软枝剪切直径≤40mm</w:t>
      </w:r>
    </w:p>
    <w:p w14:paraId="4B225C02">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（7）刀片材质：高强度钢材。</w:t>
      </w:r>
    </w:p>
    <w:p w14:paraId="79D511D1">
      <w:pPr>
        <w:pStyle w:val="18"/>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8.人力保洁车</w:t>
      </w:r>
    </w:p>
    <w:p w14:paraId="50D85F3C">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（1）箱体规格：900*700*550mm。</w:t>
      </w:r>
    </w:p>
    <w:p w14:paraId="1AB1B814">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（2）箱体材质：采用优质不锈钢板，厚度1.0mm；箱体顶设置垃圾投入口，合页采用不锈钢加强型铰链，把手采用不锈钢把手；后门搭扣采用可调节不锈钢搭扣。</w:t>
      </w:r>
      <w:r>
        <w:rPr>
          <w:rFonts w:hint="eastAsia" w:ascii="仿宋" w:hAnsi="仿宋" w:eastAsia="仿宋" w:cs="仿宋"/>
          <w:b/>
          <w:bCs/>
          <w:sz w:val="24"/>
          <w:szCs w:val="24"/>
          <w:highlight w:val="none"/>
          <w:lang w:val="en-US" w:eastAsia="zh-CN"/>
        </w:rPr>
        <w:t>不锈钢板检测符合以下要求：</w:t>
      </w:r>
    </w:p>
    <w:p w14:paraId="14AF881B">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▲中性盐雾试验≥500h,</w:t>
      </w:r>
    </w:p>
    <w:p w14:paraId="431F3913">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提供不锈钢板检测报告，加盖供应商电子签章。</w:t>
      </w:r>
    </w:p>
    <w:p w14:paraId="7F978E75">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▲耐高温≥（135℃/24h），</w:t>
      </w:r>
    </w:p>
    <w:p w14:paraId="1FA269E0">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提供不锈钢板检测报告，加盖供应商电子签章。</w:t>
      </w:r>
    </w:p>
    <w:p w14:paraId="16FF5EEB">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▲耐低温性≥（-32℃/24h）。</w:t>
      </w:r>
    </w:p>
    <w:p w14:paraId="4DC0ACBD">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提供不锈钢板检测报告，加盖供应商电子签章。</w:t>
      </w:r>
    </w:p>
    <w:p w14:paraId="409138BF">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（3）底盘车架：前梁采用40mm×75mm×2.5mm加强型椭圆管，后架采用25mm×50mm×2.5mm矩型管，表面做防紫外线静电喷塑处理。</w:t>
      </w:r>
    </w:p>
    <w:p w14:paraId="11B89710">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（4）轮胎：前轮采用36根钢丝24#铝合金材质钢圈，后轮采用40根钢丝24#加重型铁质钢圈，后轮为加重车圈。</w:t>
      </w:r>
    </w:p>
    <w:p w14:paraId="6FE35AFD">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（5）特殊要求：前轮采用手刹制动，后轮制动采用内涨鼓刹；链条加装链条自动调节，能长期保持链条的正常使用，不需要人工调整。</w:t>
      </w:r>
    </w:p>
    <w:p w14:paraId="53FFBD69">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（6）链条拉断力≥8010N。</w:t>
      </w:r>
    </w:p>
    <w:p w14:paraId="76E508BA">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（7）后轮连接件采用轴承，前轮连接件采用一体化轴承；前叉为减震型，轴承座为铝合金材质，长期使用不锈蚀。</w:t>
      </w:r>
    </w:p>
    <w:p w14:paraId="6FCE7D59">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（8）箱体卸料方式及链接：人力倾翻式卸料方式，倾翻角度通过链条定位。</w:t>
      </w:r>
    </w:p>
    <w:p w14:paraId="1CB589A4">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（9）两侧及后门贴有反光条，红白相间；两侧标语采用专业丝网印刷技术。</w:t>
      </w:r>
    </w:p>
    <w:p w14:paraId="6D41CC49">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（10）箱体整体焊接，采用氩弧焊接，焊接质量良好，应无虚焊和漏焊。</w:t>
      </w:r>
    </w:p>
    <w:p w14:paraId="3B8EEAEF">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（11）箱体没有易划伤手的锐边、尖角等隐患。</w:t>
      </w:r>
    </w:p>
    <w:p w14:paraId="2A3D0860">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（12）钢圈、钢丝、内外胎、车架、前叉、车把（龙头）符合载重量和安全要求。</w:t>
      </w:r>
    </w:p>
    <w:p w14:paraId="10FB1F5E">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（13）车头前加装一个坚固的车篓，箱体前部加装有毒有害物收集盒。</w:t>
      </w:r>
    </w:p>
    <w:p w14:paraId="0C5169EF">
      <w:pPr>
        <w:keepNext w:val="0"/>
        <w:keepLines w:val="0"/>
        <w:pageBreakBefore w:val="0"/>
        <w:widowControl w:val="0"/>
        <w:kinsoku/>
        <w:overflowPunct/>
        <w:topLinePunct w:val="0"/>
        <w:bidi w:val="0"/>
        <w:snapToGrid w:val="0"/>
        <w:spacing w:line="360" w:lineRule="auto"/>
        <w:ind w:firstLine="480" w:firstLineChars="20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（14）所有车辆及配套垃圾箱的颜色、图案及文字标语等由采购人指定</w:t>
      </w:r>
    </w:p>
    <w:p w14:paraId="235BFBBB">
      <w:pPr>
        <w:keepNext w:val="0"/>
        <w:keepLines w:val="0"/>
        <w:pageBreakBefore w:val="0"/>
        <w:widowControl w:val="0"/>
        <w:kinsoku/>
        <w:overflowPunct/>
        <w:topLinePunct w:val="0"/>
        <w:bidi w:val="0"/>
        <w:snapToGrid w:val="0"/>
        <w:spacing w:line="360" w:lineRule="auto"/>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9.三轮电动垃圾清运车</w:t>
      </w:r>
    </w:p>
    <w:tbl>
      <w:tblPr>
        <w:tblStyle w:val="37"/>
        <w:tblW w:w="9700" w:type="dxa"/>
        <w:tblInd w:w="93" w:type="dxa"/>
        <w:tblLayout w:type="fixed"/>
        <w:tblCellMar>
          <w:top w:w="0" w:type="dxa"/>
          <w:left w:w="108" w:type="dxa"/>
          <w:bottom w:w="0" w:type="dxa"/>
          <w:right w:w="108" w:type="dxa"/>
        </w:tblCellMar>
      </w:tblPr>
      <w:tblGrid>
        <w:gridCol w:w="1191"/>
        <w:gridCol w:w="1965"/>
        <w:gridCol w:w="6544"/>
      </w:tblGrid>
      <w:tr w14:paraId="5B53877C">
        <w:tblPrEx>
          <w:tblCellMar>
            <w:top w:w="0" w:type="dxa"/>
            <w:left w:w="108" w:type="dxa"/>
            <w:bottom w:w="0" w:type="dxa"/>
            <w:right w:w="108" w:type="dxa"/>
          </w:tblCellMar>
        </w:tblPrEx>
        <w:trPr>
          <w:trHeight w:val="465" w:hRule="atLeast"/>
        </w:trPr>
        <w:tc>
          <w:tcPr>
            <w:tcW w:w="1191" w:type="dxa"/>
            <w:vMerge w:val="restart"/>
            <w:tcBorders>
              <w:top w:val="single" w:color="auto" w:sz="4" w:space="0"/>
              <w:left w:val="single" w:color="auto" w:sz="4" w:space="0"/>
              <w:bottom w:val="single" w:color="auto" w:sz="4" w:space="0"/>
              <w:right w:val="single" w:color="auto" w:sz="4" w:space="0"/>
            </w:tcBorders>
            <w:noWrap/>
            <w:vAlign w:val="center"/>
          </w:tcPr>
          <w:p w14:paraId="75833907">
            <w:pPr>
              <w:pStyle w:val="18"/>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技术参数</w:t>
            </w:r>
          </w:p>
        </w:tc>
        <w:tc>
          <w:tcPr>
            <w:tcW w:w="1965" w:type="dxa"/>
            <w:tcBorders>
              <w:top w:val="single" w:color="auto" w:sz="4" w:space="0"/>
              <w:left w:val="single" w:color="auto" w:sz="4" w:space="0"/>
              <w:bottom w:val="single" w:color="auto" w:sz="4" w:space="0"/>
              <w:right w:val="single" w:color="auto" w:sz="4" w:space="0"/>
            </w:tcBorders>
            <w:noWrap/>
            <w:vAlign w:val="center"/>
          </w:tcPr>
          <w:p w14:paraId="06FE2BA5">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额定乘员</w:t>
            </w:r>
          </w:p>
        </w:tc>
        <w:tc>
          <w:tcPr>
            <w:tcW w:w="6544" w:type="dxa"/>
            <w:tcBorders>
              <w:top w:val="single" w:color="auto" w:sz="4" w:space="0"/>
              <w:left w:val="single" w:color="auto" w:sz="4" w:space="0"/>
              <w:bottom w:val="single" w:color="auto" w:sz="4" w:space="0"/>
              <w:right w:val="single" w:color="auto" w:sz="4" w:space="0"/>
            </w:tcBorders>
            <w:noWrap/>
            <w:vAlign w:val="center"/>
          </w:tcPr>
          <w:p w14:paraId="5D568385">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1人</w:t>
            </w:r>
          </w:p>
        </w:tc>
      </w:tr>
      <w:tr w14:paraId="5687EA51">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3F58D5A3">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766E4333">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长*宽*高</w:t>
            </w:r>
          </w:p>
        </w:tc>
        <w:tc>
          <w:tcPr>
            <w:tcW w:w="6544" w:type="dxa"/>
            <w:tcBorders>
              <w:top w:val="single" w:color="auto" w:sz="4" w:space="0"/>
              <w:left w:val="single" w:color="auto" w:sz="4" w:space="0"/>
              <w:bottom w:val="single" w:color="auto" w:sz="4" w:space="0"/>
              <w:right w:val="single" w:color="auto" w:sz="4" w:space="0"/>
            </w:tcBorders>
            <w:noWrap/>
            <w:vAlign w:val="center"/>
          </w:tcPr>
          <w:p w14:paraId="478FC081">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2480*850*1280 mm(±30mm)</w:t>
            </w:r>
          </w:p>
        </w:tc>
      </w:tr>
      <w:tr w14:paraId="744F4CC3">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5BAC669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727B31FD">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续驶里程</w:t>
            </w:r>
          </w:p>
        </w:tc>
        <w:tc>
          <w:tcPr>
            <w:tcW w:w="6544" w:type="dxa"/>
            <w:tcBorders>
              <w:top w:val="single" w:color="auto" w:sz="4" w:space="0"/>
              <w:left w:val="single" w:color="auto" w:sz="4" w:space="0"/>
              <w:bottom w:val="single" w:color="auto" w:sz="4" w:space="0"/>
              <w:right w:val="single" w:color="auto" w:sz="4" w:space="0"/>
            </w:tcBorders>
            <w:noWrap/>
            <w:vAlign w:val="center"/>
          </w:tcPr>
          <w:p w14:paraId="438DC52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≥50KM</w:t>
            </w:r>
          </w:p>
        </w:tc>
      </w:tr>
      <w:tr w14:paraId="11B704BF">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3D0901C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52192388">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最高车速</w:t>
            </w:r>
          </w:p>
        </w:tc>
        <w:tc>
          <w:tcPr>
            <w:tcW w:w="6544" w:type="dxa"/>
            <w:tcBorders>
              <w:top w:val="single" w:color="auto" w:sz="4" w:space="0"/>
              <w:left w:val="single" w:color="auto" w:sz="4" w:space="0"/>
              <w:bottom w:val="single" w:color="auto" w:sz="4" w:space="0"/>
              <w:right w:val="single" w:color="auto" w:sz="4" w:space="0"/>
            </w:tcBorders>
            <w:noWrap/>
            <w:vAlign w:val="center"/>
          </w:tcPr>
          <w:p w14:paraId="0B603F8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25KM/H</w:t>
            </w:r>
          </w:p>
        </w:tc>
      </w:tr>
      <w:tr w14:paraId="1543850B">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5237FE4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19F145A6">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车厢尺寸</w:t>
            </w:r>
          </w:p>
        </w:tc>
        <w:tc>
          <w:tcPr>
            <w:tcW w:w="6544" w:type="dxa"/>
            <w:tcBorders>
              <w:top w:val="single" w:color="auto" w:sz="4" w:space="0"/>
              <w:left w:val="single" w:color="auto" w:sz="4" w:space="0"/>
              <w:bottom w:val="single" w:color="auto" w:sz="4" w:space="0"/>
              <w:right w:val="single" w:color="auto" w:sz="4" w:space="0"/>
            </w:tcBorders>
            <w:noWrap/>
            <w:vAlign w:val="center"/>
          </w:tcPr>
          <w:p w14:paraId="1D1F036A">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≥1100*860*600(mm)</w:t>
            </w:r>
          </w:p>
        </w:tc>
      </w:tr>
      <w:tr w14:paraId="21CDB82C">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0A3C3EA8">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4EA5F21A">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额定装载质量</w:t>
            </w:r>
          </w:p>
        </w:tc>
        <w:tc>
          <w:tcPr>
            <w:tcW w:w="6544" w:type="dxa"/>
            <w:tcBorders>
              <w:top w:val="single" w:color="auto" w:sz="4" w:space="0"/>
              <w:left w:val="single" w:color="auto" w:sz="4" w:space="0"/>
              <w:bottom w:val="single" w:color="auto" w:sz="4" w:space="0"/>
              <w:right w:val="single" w:color="auto" w:sz="4" w:space="0"/>
            </w:tcBorders>
            <w:noWrap/>
            <w:vAlign w:val="center"/>
          </w:tcPr>
          <w:p w14:paraId="2A31E27F">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≥500kg</w:t>
            </w:r>
          </w:p>
        </w:tc>
      </w:tr>
      <w:tr w14:paraId="432AA454">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6E5F5E7F">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4E272C59">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前后轴距</w:t>
            </w:r>
          </w:p>
        </w:tc>
        <w:tc>
          <w:tcPr>
            <w:tcW w:w="6544" w:type="dxa"/>
            <w:tcBorders>
              <w:top w:val="single" w:color="auto" w:sz="4" w:space="0"/>
              <w:left w:val="single" w:color="auto" w:sz="4" w:space="0"/>
              <w:bottom w:val="single" w:color="auto" w:sz="4" w:space="0"/>
              <w:right w:val="single" w:color="auto" w:sz="4" w:space="0"/>
            </w:tcBorders>
            <w:noWrap/>
            <w:vAlign w:val="center"/>
          </w:tcPr>
          <w:p w14:paraId="5F287091">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≤2000mm(后轮）≤900mm</w:t>
            </w:r>
          </w:p>
        </w:tc>
      </w:tr>
      <w:tr w14:paraId="01570B93">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0D03468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5E3DE1C7">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爬坡度</w:t>
            </w:r>
          </w:p>
        </w:tc>
        <w:tc>
          <w:tcPr>
            <w:tcW w:w="6544" w:type="dxa"/>
            <w:tcBorders>
              <w:top w:val="single" w:color="auto" w:sz="4" w:space="0"/>
              <w:left w:val="single" w:color="auto" w:sz="4" w:space="0"/>
              <w:bottom w:val="single" w:color="auto" w:sz="4" w:space="0"/>
              <w:right w:val="single" w:color="auto" w:sz="4" w:space="0"/>
            </w:tcBorders>
            <w:noWrap/>
            <w:vAlign w:val="center"/>
          </w:tcPr>
          <w:p w14:paraId="5215CD46">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m≤15度</w:t>
            </w:r>
          </w:p>
        </w:tc>
      </w:tr>
      <w:tr w14:paraId="0277C1A6">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299BB53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6E2175B0">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充电时间</w:t>
            </w:r>
          </w:p>
        </w:tc>
        <w:tc>
          <w:tcPr>
            <w:tcW w:w="6544" w:type="dxa"/>
            <w:tcBorders>
              <w:top w:val="single" w:color="auto" w:sz="4" w:space="0"/>
              <w:left w:val="single" w:color="auto" w:sz="4" w:space="0"/>
              <w:bottom w:val="single" w:color="auto" w:sz="4" w:space="0"/>
              <w:right w:val="single" w:color="auto" w:sz="4" w:space="0"/>
            </w:tcBorders>
            <w:noWrap/>
            <w:vAlign w:val="center"/>
          </w:tcPr>
          <w:p w14:paraId="150552C9">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6—8小时(放电率为80%）</w:t>
            </w:r>
          </w:p>
        </w:tc>
      </w:tr>
      <w:tr w14:paraId="6D61CB33">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2E54D40A">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32D696E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轮胎规格</w:t>
            </w:r>
          </w:p>
        </w:tc>
        <w:tc>
          <w:tcPr>
            <w:tcW w:w="6544" w:type="dxa"/>
            <w:tcBorders>
              <w:top w:val="single" w:color="auto" w:sz="4" w:space="0"/>
              <w:left w:val="single" w:color="auto" w:sz="4" w:space="0"/>
              <w:bottom w:val="single" w:color="auto" w:sz="4" w:space="0"/>
              <w:right w:val="single" w:color="auto" w:sz="4" w:space="0"/>
            </w:tcBorders>
            <w:noWrap/>
            <w:vAlign w:val="center"/>
          </w:tcPr>
          <w:p w14:paraId="645D6A1B">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前后375-12</w:t>
            </w:r>
          </w:p>
        </w:tc>
      </w:tr>
      <w:tr w14:paraId="100EC9AD">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auto" w:sz="4" w:space="0"/>
            </w:tcBorders>
            <w:noWrap/>
            <w:vAlign w:val="center"/>
          </w:tcPr>
          <w:p w14:paraId="55A07F1A">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auto" w:sz="4" w:space="0"/>
              <w:bottom w:val="single" w:color="auto" w:sz="4" w:space="0"/>
              <w:right w:val="single" w:color="auto" w:sz="4" w:space="0"/>
            </w:tcBorders>
            <w:noWrap/>
            <w:vAlign w:val="center"/>
          </w:tcPr>
          <w:p w14:paraId="0D183223">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容量</w:t>
            </w:r>
          </w:p>
        </w:tc>
        <w:tc>
          <w:tcPr>
            <w:tcW w:w="6544" w:type="dxa"/>
            <w:tcBorders>
              <w:top w:val="single" w:color="auto" w:sz="4" w:space="0"/>
              <w:left w:val="single" w:color="auto" w:sz="4" w:space="0"/>
              <w:bottom w:val="single" w:color="auto" w:sz="4" w:space="0"/>
              <w:right w:val="single" w:color="auto" w:sz="4" w:space="0"/>
            </w:tcBorders>
            <w:noWrap/>
            <w:vAlign w:val="center"/>
          </w:tcPr>
          <w:p w14:paraId="74E6DD8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950L</w:t>
            </w:r>
          </w:p>
        </w:tc>
      </w:tr>
      <w:tr w14:paraId="396D82EC">
        <w:tblPrEx>
          <w:tblCellMar>
            <w:top w:w="0" w:type="dxa"/>
            <w:left w:w="108" w:type="dxa"/>
            <w:bottom w:w="0" w:type="dxa"/>
            <w:right w:w="108" w:type="dxa"/>
          </w:tblCellMar>
        </w:tblPrEx>
        <w:trPr>
          <w:trHeight w:val="465" w:hRule="atLeast"/>
        </w:trPr>
        <w:tc>
          <w:tcPr>
            <w:tcW w:w="1191" w:type="dxa"/>
            <w:vMerge w:val="restart"/>
            <w:tcBorders>
              <w:top w:val="single" w:color="auto" w:sz="4" w:space="0"/>
              <w:left w:val="single" w:color="auto" w:sz="4" w:space="0"/>
              <w:bottom w:val="single" w:color="auto" w:sz="4" w:space="0"/>
              <w:right w:val="single" w:color="auto" w:sz="4" w:space="0"/>
            </w:tcBorders>
            <w:noWrap/>
            <w:vAlign w:val="center"/>
          </w:tcPr>
          <w:p w14:paraId="19C4AC77">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电气系统</w:t>
            </w:r>
          </w:p>
        </w:tc>
        <w:tc>
          <w:tcPr>
            <w:tcW w:w="1965" w:type="dxa"/>
            <w:tcBorders>
              <w:top w:val="single" w:color="auto" w:sz="4" w:space="0"/>
              <w:left w:val="single" w:color="auto" w:sz="4" w:space="0"/>
              <w:bottom w:val="single" w:color="auto" w:sz="4" w:space="0"/>
              <w:right w:val="single" w:color="auto" w:sz="4" w:space="0"/>
            </w:tcBorders>
            <w:noWrap/>
            <w:vAlign w:val="center"/>
          </w:tcPr>
          <w:p w14:paraId="37E6E26D">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电机</w:t>
            </w:r>
          </w:p>
        </w:tc>
        <w:tc>
          <w:tcPr>
            <w:tcW w:w="6544" w:type="dxa"/>
            <w:tcBorders>
              <w:top w:val="single" w:color="auto" w:sz="4" w:space="0"/>
              <w:left w:val="single" w:color="auto" w:sz="4" w:space="0"/>
              <w:bottom w:val="single" w:color="auto" w:sz="4" w:space="0"/>
              <w:right w:val="single" w:color="auto" w:sz="4" w:space="0"/>
            </w:tcBorders>
            <w:noWrap/>
            <w:vAlign w:val="center"/>
          </w:tcPr>
          <w:p w14:paraId="5ECAC3BA">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48V600W高礠钢无刷差速电机</w:t>
            </w:r>
          </w:p>
        </w:tc>
      </w:tr>
      <w:tr w14:paraId="7D06C388">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bottom w:val="single" w:color="auto" w:sz="4" w:space="0"/>
              <w:right w:val="single" w:color="000000" w:sz="4" w:space="0"/>
            </w:tcBorders>
            <w:noWrap/>
            <w:vAlign w:val="center"/>
          </w:tcPr>
          <w:p w14:paraId="10D71736">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000000" w:sz="4" w:space="0"/>
              <w:bottom w:val="single" w:color="auto" w:sz="4" w:space="0"/>
              <w:right w:val="single" w:color="000000" w:sz="4" w:space="0"/>
            </w:tcBorders>
            <w:noWrap/>
            <w:vAlign w:val="center"/>
          </w:tcPr>
          <w:p w14:paraId="6ECA26B7">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电控</w:t>
            </w:r>
          </w:p>
        </w:tc>
        <w:tc>
          <w:tcPr>
            <w:tcW w:w="6544" w:type="dxa"/>
            <w:tcBorders>
              <w:top w:val="single" w:color="auto" w:sz="4" w:space="0"/>
              <w:left w:val="single" w:color="000000" w:sz="4" w:space="0"/>
              <w:bottom w:val="single" w:color="000000" w:sz="4" w:space="0"/>
              <w:right w:val="single" w:color="000000" w:sz="4" w:space="0"/>
            </w:tcBorders>
            <w:noWrap/>
            <w:vAlign w:val="center"/>
          </w:tcPr>
          <w:p w14:paraId="622CA2DF">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48V18管无刷控制器</w:t>
            </w:r>
          </w:p>
        </w:tc>
      </w:tr>
      <w:tr w14:paraId="57C2C207">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auto" w:sz="4" w:space="0"/>
              <w:right w:val="single" w:color="000000" w:sz="4" w:space="0"/>
            </w:tcBorders>
            <w:noWrap/>
            <w:vAlign w:val="center"/>
          </w:tcPr>
          <w:p w14:paraId="409DFEC5">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000000" w:sz="4" w:space="0"/>
              <w:bottom w:val="single" w:color="000000" w:sz="4" w:space="0"/>
              <w:right w:val="single" w:color="000000" w:sz="4" w:space="0"/>
            </w:tcBorders>
            <w:noWrap/>
            <w:vAlign w:val="center"/>
          </w:tcPr>
          <w:p w14:paraId="606B6E69">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电池</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4C4BAE9C">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48VV32AH锂电池</w:t>
            </w:r>
          </w:p>
        </w:tc>
      </w:tr>
      <w:tr w14:paraId="55D5E654">
        <w:tblPrEx>
          <w:tblCellMar>
            <w:top w:w="0" w:type="dxa"/>
            <w:left w:w="108" w:type="dxa"/>
            <w:bottom w:w="0" w:type="dxa"/>
            <w:right w:w="108" w:type="dxa"/>
          </w:tblCellMar>
        </w:tblPrEx>
        <w:trPr>
          <w:trHeight w:val="465" w:hRule="atLeast"/>
        </w:trPr>
        <w:tc>
          <w:tcPr>
            <w:tcW w:w="1191" w:type="dxa"/>
            <w:vMerge w:val="continue"/>
            <w:tcBorders>
              <w:left w:val="single" w:color="auto" w:sz="4" w:space="0"/>
              <w:right w:val="single" w:color="000000" w:sz="4" w:space="0"/>
            </w:tcBorders>
            <w:noWrap/>
            <w:vAlign w:val="center"/>
          </w:tcPr>
          <w:p w14:paraId="52AC4EB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1919F9F8">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充电器</w:t>
            </w:r>
          </w:p>
        </w:tc>
        <w:tc>
          <w:tcPr>
            <w:tcW w:w="6544" w:type="dxa"/>
            <w:tcBorders>
              <w:top w:val="single" w:color="000000" w:sz="4" w:space="0"/>
              <w:left w:val="single" w:color="000000" w:sz="4" w:space="0"/>
              <w:bottom w:val="nil"/>
              <w:right w:val="single" w:color="000000" w:sz="4" w:space="0"/>
            </w:tcBorders>
            <w:noWrap/>
            <w:vAlign w:val="center"/>
          </w:tcPr>
          <w:p w14:paraId="044454EC">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便携式智能全自动充电器</w:t>
            </w:r>
          </w:p>
        </w:tc>
      </w:tr>
      <w:tr w14:paraId="0B3432C9">
        <w:tblPrEx>
          <w:tblCellMar>
            <w:top w:w="0" w:type="dxa"/>
            <w:left w:w="108" w:type="dxa"/>
            <w:bottom w:w="0" w:type="dxa"/>
            <w:right w:w="108" w:type="dxa"/>
          </w:tblCellMar>
        </w:tblPrEx>
        <w:trPr>
          <w:trHeight w:val="740" w:hRule="atLeast"/>
        </w:trPr>
        <w:tc>
          <w:tcPr>
            <w:tcW w:w="1191" w:type="dxa"/>
            <w:vMerge w:val="continue"/>
            <w:tcBorders>
              <w:left w:val="single" w:color="auto" w:sz="4" w:space="0"/>
              <w:bottom w:val="single" w:color="000000" w:sz="4" w:space="0"/>
              <w:right w:val="single" w:color="000000" w:sz="4" w:space="0"/>
            </w:tcBorders>
            <w:noWrap/>
            <w:vAlign w:val="center"/>
          </w:tcPr>
          <w:p w14:paraId="321EB68F">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14FF9F71">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灯光及信号</w:t>
            </w:r>
          </w:p>
        </w:tc>
        <w:tc>
          <w:tcPr>
            <w:tcW w:w="6544" w:type="dxa"/>
            <w:tcBorders>
              <w:top w:val="single" w:color="000000" w:sz="4" w:space="0"/>
              <w:left w:val="single" w:color="000000" w:sz="4" w:space="0"/>
              <w:bottom w:val="single" w:color="000000" w:sz="4" w:space="0"/>
              <w:right w:val="single" w:color="000000" w:sz="4" w:space="0"/>
            </w:tcBorders>
            <w:vAlign w:val="center"/>
          </w:tcPr>
          <w:p w14:paraId="496CBABE">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LED照明灯，左右转向灯，刹车灯，行车灯，仪表，电喇叭，工作警灯（选装）</w:t>
            </w:r>
          </w:p>
        </w:tc>
      </w:tr>
      <w:tr w14:paraId="6BF10629">
        <w:tblPrEx>
          <w:tblCellMar>
            <w:top w:w="0" w:type="dxa"/>
            <w:left w:w="108" w:type="dxa"/>
            <w:bottom w:w="0" w:type="dxa"/>
            <w:right w:w="108" w:type="dxa"/>
          </w:tblCellMar>
        </w:tblPrEx>
        <w:trPr>
          <w:trHeight w:val="465" w:hRule="atLeast"/>
        </w:trPr>
        <w:tc>
          <w:tcPr>
            <w:tcW w:w="1191" w:type="dxa"/>
            <w:vMerge w:val="restart"/>
            <w:tcBorders>
              <w:top w:val="single" w:color="000000" w:sz="4" w:space="0"/>
              <w:left w:val="single" w:color="000000" w:sz="4" w:space="0"/>
              <w:right w:val="single" w:color="000000" w:sz="4" w:space="0"/>
            </w:tcBorders>
            <w:noWrap/>
            <w:vAlign w:val="center"/>
          </w:tcPr>
          <w:p w14:paraId="3A03CAB9">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底盘系统</w:t>
            </w: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3C99F094">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车架</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2FBB01FF">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整体焊接车架+酸洗电泳烤漆</w:t>
            </w:r>
          </w:p>
        </w:tc>
      </w:tr>
      <w:tr w14:paraId="497AF440">
        <w:tblPrEx>
          <w:tblCellMar>
            <w:top w:w="0" w:type="dxa"/>
            <w:left w:w="108" w:type="dxa"/>
            <w:bottom w:w="0" w:type="dxa"/>
            <w:right w:w="108" w:type="dxa"/>
          </w:tblCellMar>
        </w:tblPrEx>
        <w:trPr>
          <w:trHeight w:val="465" w:hRule="atLeast"/>
        </w:trPr>
        <w:tc>
          <w:tcPr>
            <w:tcW w:w="1191" w:type="dxa"/>
            <w:vMerge w:val="continue"/>
            <w:tcBorders>
              <w:left w:val="single" w:color="000000" w:sz="4" w:space="0"/>
              <w:bottom w:val="single" w:color="auto" w:sz="4" w:space="0"/>
              <w:right w:val="single" w:color="000000" w:sz="4" w:space="0"/>
            </w:tcBorders>
            <w:noWrap/>
            <w:vAlign w:val="center"/>
          </w:tcPr>
          <w:p w14:paraId="7505D29E">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auto" w:sz="4" w:space="0"/>
              <w:right w:val="single" w:color="000000" w:sz="4" w:space="0"/>
            </w:tcBorders>
            <w:noWrap/>
            <w:vAlign w:val="center"/>
          </w:tcPr>
          <w:p w14:paraId="7F98A0C6">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悬架</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1F8D6813">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前悬架：43龙爆前叉。后悬架：独立悬架</w:t>
            </w:r>
          </w:p>
        </w:tc>
      </w:tr>
      <w:tr w14:paraId="3DAF491B">
        <w:tblPrEx>
          <w:tblCellMar>
            <w:top w:w="0" w:type="dxa"/>
            <w:left w:w="108" w:type="dxa"/>
            <w:bottom w:w="0" w:type="dxa"/>
            <w:right w:w="108" w:type="dxa"/>
          </w:tblCellMar>
        </w:tblPrEx>
        <w:trPr>
          <w:trHeight w:val="465" w:hRule="atLeast"/>
        </w:trPr>
        <w:tc>
          <w:tcPr>
            <w:tcW w:w="1191" w:type="dxa"/>
            <w:vMerge w:val="continue"/>
            <w:tcBorders>
              <w:top w:val="single" w:color="auto" w:sz="4" w:space="0"/>
              <w:left w:val="single" w:color="000000" w:sz="4" w:space="0"/>
              <w:right w:val="single" w:color="000000" w:sz="4" w:space="0"/>
            </w:tcBorders>
            <w:noWrap/>
            <w:vAlign w:val="center"/>
          </w:tcPr>
          <w:p w14:paraId="253841EA">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auto" w:sz="4" w:space="0"/>
              <w:left w:val="single" w:color="000000" w:sz="4" w:space="0"/>
              <w:bottom w:val="single" w:color="000000" w:sz="4" w:space="0"/>
              <w:right w:val="single" w:color="000000" w:sz="4" w:space="0"/>
            </w:tcBorders>
            <w:noWrap/>
            <w:vAlign w:val="center"/>
          </w:tcPr>
          <w:p w14:paraId="1229ABAA">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后桥</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7CCFA3DB">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一体式差速后桥</w:t>
            </w:r>
          </w:p>
        </w:tc>
      </w:tr>
      <w:tr w14:paraId="57EDD478">
        <w:tblPrEx>
          <w:tblCellMar>
            <w:top w:w="0" w:type="dxa"/>
            <w:left w:w="108" w:type="dxa"/>
            <w:bottom w:w="0" w:type="dxa"/>
            <w:right w:w="108" w:type="dxa"/>
          </w:tblCellMar>
        </w:tblPrEx>
        <w:trPr>
          <w:trHeight w:val="465" w:hRule="atLeast"/>
        </w:trPr>
        <w:tc>
          <w:tcPr>
            <w:tcW w:w="1191" w:type="dxa"/>
            <w:vMerge w:val="continue"/>
            <w:tcBorders>
              <w:left w:val="single" w:color="000000" w:sz="4" w:space="0"/>
              <w:right w:val="single" w:color="000000" w:sz="4" w:space="0"/>
            </w:tcBorders>
            <w:noWrap/>
            <w:vAlign w:val="center"/>
          </w:tcPr>
          <w:p w14:paraId="68A076DC">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2644F8AD">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制动</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1D7CFA2B">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脚踩机械连杆鼓式后轮制动+手动机械柱车制动</w:t>
            </w:r>
          </w:p>
        </w:tc>
      </w:tr>
      <w:tr w14:paraId="046E4341">
        <w:tblPrEx>
          <w:tblCellMar>
            <w:top w:w="0" w:type="dxa"/>
            <w:left w:w="108" w:type="dxa"/>
            <w:bottom w:w="0" w:type="dxa"/>
            <w:right w:w="108" w:type="dxa"/>
          </w:tblCellMar>
        </w:tblPrEx>
        <w:trPr>
          <w:trHeight w:val="465" w:hRule="atLeast"/>
        </w:trPr>
        <w:tc>
          <w:tcPr>
            <w:tcW w:w="1191" w:type="dxa"/>
            <w:vMerge w:val="continue"/>
            <w:tcBorders>
              <w:left w:val="single" w:color="000000" w:sz="4" w:space="0"/>
              <w:bottom w:val="single" w:color="000000" w:sz="4" w:space="0"/>
              <w:right w:val="single" w:color="000000" w:sz="4" w:space="0"/>
            </w:tcBorders>
            <w:noWrap/>
            <w:vAlign w:val="center"/>
          </w:tcPr>
          <w:p w14:paraId="7F54D439">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648DC34F">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液压功能</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78CB378C">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电动液压自卸功能，车厢后门自动打开方式</w:t>
            </w:r>
          </w:p>
        </w:tc>
      </w:tr>
      <w:tr w14:paraId="1C8C7258">
        <w:tblPrEx>
          <w:tblCellMar>
            <w:top w:w="0" w:type="dxa"/>
            <w:left w:w="108" w:type="dxa"/>
            <w:bottom w:w="0" w:type="dxa"/>
            <w:right w:w="108" w:type="dxa"/>
          </w:tblCellMar>
        </w:tblPrEx>
        <w:trPr>
          <w:trHeight w:val="465" w:hRule="atLeast"/>
        </w:trPr>
        <w:tc>
          <w:tcPr>
            <w:tcW w:w="1191" w:type="dxa"/>
            <w:vMerge w:val="restart"/>
            <w:tcBorders>
              <w:top w:val="single" w:color="000000" w:sz="4" w:space="0"/>
              <w:left w:val="single" w:color="000000" w:sz="4" w:space="0"/>
              <w:right w:val="single" w:color="000000" w:sz="4" w:space="0"/>
            </w:tcBorders>
            <w:noWrap/>
            <w:vAlign w:val="center"/>
          </w:tcPr>
          <w:p w14:paraId="17E1D330">
            <w:pPr>
              <w:pStyle w:val="18"/>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车身</w:t>
            </w: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42A70952">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仪表台</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511BE69D">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注塑成型仪表台，电门锁，仪表，组合开关</w:t>
            </w:r>
          </w:p>
        </w:tc>
      </w:tr>
      <w:tr w14:paraId="4DAC9BCF">
        <w:tblPrEx>
          <w:tblCellMar>
            <w:top w:w="0" w:type="dxa"/>
            <w:left w:w="108" w:type="dxa"/>
            <w:bottom w:w="0" w:type="dxa"/>
            <w:right w:w="108" w:type="dxa"/>
          </w:tblCellMar>
        </w:tblPrEx>
        <w:trPr>
          <w:trHeight w:val="465" w:hRule="atLeast"/>
        </w:trPr>
        <w:tc>
          <w:tcPr>
            <w:tcW w:w="1191" w:type="dxa"/>
            <w:vMerge w:val="continue"/>
            <w:tcBorders>
              <w:left w:val="single" w:color="000000" w:sz="4" w:space="0"/>
              <w:bottom w:val="single" w:color="000000" w:sz="4" w:space="0"/>
              <w:right w:val="single" w:color="000000" w:sz="4" w:space="0"/>
            </w:tcBorders>
            <w:noWrap/>
            <w:vAlign w:val="center"/>
          </w:tcPr>
          <w:p w14:paraId="2CF28F50">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p>
        </w:tc>
        <w:tc>
          <w:tcPr>
            <w:tcW w:w="1965" w:type="dxa"/>
            <w:tcBorders>
              <w:top w:val="single" w:color="000000" w:sz="4" w:space="0"/>
              <w:left w:val="single" w:color="000000" w:sz="4" w:space="0"/>
              <w:bottom w:val="single" w:color="000000" w:sz="4" w:space="0"/>
              <w:right w:val="single" w:color="000000" w:sz="4" w:space="0"/>
            </w:tcBorders>
            <w:noWrap/>
            <w:vAlign w:val="center"/>
          </w:tcPr>
          <w:p w14:paraId="1F877DF0">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油漆</w:t>
            </w:r>
          </w:p>
        </w:tc>
        <w:tc>
          <w:tcPr>
            <w:tcW w:w="6544" w:type="dxa"/>
            <w:tcBorders>
              <w:top w:val="single" w:color="000000" w:sz="4" w:space="0"/>
              <w:left w:val="single" w:color="000000" w:sz="4" w:space="0"/>
              <w:bottom w:val="single" w:color="000000" w:sz="4" w:space="0"/>
              <w:right w:val="single" w:color="000000" w:sz="4" w:space="0"/>
            </w:tcBorders>
            <w:noWrap/>
            <w:vAlign w:val="center"/>
          </w:tcPr>
          <w:p w14:paraId="4ADCEEBC">
            <w:pPr>
              <w:pStyle w:val="18"/>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高级汽车专用漆</w:t>
            </w:r>
          </w:p>
        </w:tc>
      </w:tr>
    </w:tbl>
    <w:p w14:paraId="303404EF">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b w:val="0"/>
          <w:bCs w:val="0"/>
          <w:sz w:val="24"/>
          <w:szCs w:val="24"/>
          <w:highlight w:val="none"/>
          <w:lang w:val="en-US" w:eastAsia="zh-CN"/>
        </w:rPr>
      </w:pPr>
      <w:r>
        <w:rPr>
          <w:rFonts w:hint="default" w:ascii="仿宋" w:hAnsi="仿宋" w:eastAsia="仿宋" w:cs="仿宋"/>
          <w:b w:val="0"/>
          <w:bCs w:val="0"/>
          <w:sz w:val="24"/>
          <w:szCs w:val="24"/>
          <w:highlight w:val="none"/>
          <w:lang w:val="en-US" w:eastAsia="zh-CN"/>
        </w:rPr>
        <w:t>备注：</w:t>
      </w:r>
      <w:r>
        <w:rPr>
          <w:rFonts w:hint="eastAsia" w:ascii="仿宋" w:hAnsi="仿宋" w:eastAsia="仿宋" w:cs="仿宋"/>
          <w:b w:val="0"/>
          <w:bCs w:val="0"/>
          <w:sz w:val="24"/>
          <w:szCs w:val="24"/>
          <w:highlight w:val="none"/>
          <w:lang w:val="en-US" w:eastAsia="zh-CN"/>
        </w:rPr>
        <w:t>成交供应商</w:t>
      </w:r>
      <w:r>
        <w:rPr>
          <w:rFonts w:hint="default" w:ascii="仿宋" w:hAnsi="仿宋" w:eastAsia="仿宋" w:cs="仿宋"/>
          <w:b w:val="0"/>
          <w:bCs w:val="0"/>
          <w:sz w:val="24"/>
          <w:szCs w:val="24"/>
          <w:highlight w:val="none"/>
          <w:lang w:val="en-US" w:eastAsia="zh-CN"/>
        </w:rPr>
        <w:t>在</w:t>
      </w:r>
      <w:r>
        <w:rPr>
          <w:rFonts w:hint="eastAsia" w:ascii="仿宋" w:hAnsi="仿宋" w:eastAsia="仿宋" w:cs="仿宋"/>
          <w:b w:val="0"/>
          <w:bCs w:val="0"/>
          <w:sz w:val="24"/>
          <w:szCs w:val="24"/>
          <w:highlight w:val="none"/>
          <w:lang w:val="en-US" w:eastAsia="zh-CN"/>
        </w:rPr>
        <w:t>成交</w:t>
      </w:r>
      <w:r>
        <w:rPr>
          <w:rFonts w:hint="default" w:ascii="仿宋" w:hAnsi="仿宋" w:eastAsia="仿宋" w:cs="仿宋"/>
          <w:b w:val="0"/>
          <w:bCs w:val="0"/>
          <w:sz w:val="24"/>
          <w:szCs w:val="24"/>
          <w:highlight w:val="none"/>
          <w:lang w:val="en-US" w:eastAsia="zh-CN"/>
        </w:rPr>
        <w:t>后七日内</w:t>
      </w:r>
      <w:r>
        <w:rPr>
          <w:rFonts w:hint="eastAsia" w:ascii="仿宋" w:hAnsi="仿宋" w:eastAsia="仿宋" w:cs="仿宋"/>
          <w:b w:val="0"/>
          <w:bCs w:val="0"/>
          <w:sz w:val="24"/>
          <w:szCs w:val="24"/>
          <w:highlight w:val="none"/>
          <w:lang w:val="en-US" w:eastAsia="zh-CN"/>
        </w:rPr>
        <w:t>提供采购</w:t>
      </w:r>
      <w:r>
        <w:rPr>
          <w:rFonts w:hint="default" w:ascii="仿宋" w:hAnsi="仿宋" w:eastAsia="仿宋" w:cs="仿宋"/>
          <w:b w:val="0"/>
          <w:bCs w:val="0"/>
          <w:sz w:val="24"/>
          <w:szCs w:val="24"/>
          <w:highlight w:val="none"/>
          <w:lang w:val="en-US" w:eastAsia="zh-CN"/>
        </w:rPr>
        <w:t>清单中各一样产品送</w:t>
      </w:r>
      <w:r>
        <w:rPr>
          <w:rFonts w:hint="eastAsia" w:ascii="仿宋" w:hAnsi="仿宋" w:eastAsia="仿宋" w:cs="仿宋"/>
          <w:b w:val="0"/>
          <w:bCs w:val="0"/>
          <w:sz w:val="24"/>
          <w:szCs w:val="24"/>
          <w:highlight w:val="none"/>
          <w:lang w:val="en-US" w:eastAsia="zh-CN"/>
        </w:rPr>
        <w:t>采购人</w:t>
      </w:r>
      <w:r>
        <w:rPr>
          <w:rFonts w:hint="default" w:ascii="仿宋" w:hAnsi="仿宋" w:eastAsia="仿宋" w:cs="仿宋"/>
          <w:b w:val="0"/>
          <w:bCs w:val="0"/>
          <w:sz w:val="24"/>
          <w:szCs w:val="24"/>
          <w:highlight w:val="none"/>
          <w:lang w:val="en-US" w:eastAsia="zh-CN"/>
        </w:rPr>
        <w:t>检验合格后作为供货标准，后续供货按样品标准统一供货。</w:t>
      </w:r>
    </w:p>
    <w:p w14:paraId="49B1ADD5">
      <w:pPr>
        <w:pStyle w:val="24"/>
        <w:keepNext w:val="0"/>
        <w:keepLines w:val="0"/>
        <w:pageBreakBefore w:val="0"/>
        <w:widowControl w:val="0"/>
        <w:kinsoku/>
        <w:overflowPunct/>
        <w:topLinePunct w:val="0"/>
        <w:bidi w:val="0"/>
        <w:rPr>
          <w:rFonts w:hint="default" w:eastAsia="宋体"/>
          <w:highlight w:val="none"/>
          <w:lang w:val="en-US" w:eastAsia="zh-CN"/>
        </w:rPr>
      </w:pPr>
    </w:p>
    <w:p w14:paraId="7595C3F2">
      <w:pPr>
        <w:pStyle w:val="18"/>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sz w:val="24"/>
          <w:szCs w:val="24"/>
          <w:highlight w:val="none"/>
          <w:lang w:val="en-US" w:eastAsia="zh-CN"/>
        </w:rPr>
      </w:pPr>
    </w:p>
    <w:p w14:paraId="48906718">
      <w:pPr>
        <w:pStyle w:val="18"/>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仿宋"/>
          <w:sz w:val="24"/>
          <w:highlight w:val="none"/>
          <w:lang w:val="en-US" w:eastAsia="zh-CN"/>
        </w:rPr>
      </w:pPr>
    </w:p>
    <w:p w14:paraId="1FB430B8">
      <w:pPr>
        <w:keepNext w:val="0"/>
        <w:keepLines w:val="0"/>
        <w:pageBreakBefore w:val="0"/>
        <w:widowControl w:val="0"/>
        <w:kinsoku/>
        <w:overflowPunct/>
        <w:topLinePunct w:val="0"/>
        <w:bidi w:val="0"/>
        <w:snapToGrid w:val="0"/>
        <w:spacing w:line="360" w:lineRule="auto"/>
        <w:ind w:firstLine="480"/>
        <w:jc w:val="center"/>
        <w:rPr>
          <w:rFonts w:hint="eastAsia" w:ascii="宋体" w:hAnsi="宋体" w:cs="仿宋"/>
          <w:sz w:val="24"/>
          <w:highlight w:val="none"/>
        </w:rPr>
      </w:pPr>
    </w:p>
    <w:p w14:paraId="4750657C">
      <w:pPr>
        <w:pStyle w:val="245"/>
        <w:keepNext w:val="0"/>
        <w:keepLines w:val="0"/>
        <w:pageBreakBefore w:val="0"/>
        <w:widowControl w:val="0"/>
        <w:kinsoku/>
        <w:overflowPunct/>
        <w:topLinePunct w:val="0"/>
        <w:bidi w:val="0"/>
        <w:rPr>
          <w:rFonts w:ascii="黑体" w:hAnsi="黑体" w:eastAsia="黑体"/>
          <w:b/>
          <w:bCs/>
          <w:color w:val="000000" w:themeColor="text1"/>
          <w:sz w:val="36"/>
          <w:szCs w:val="36"/>
          <w:highlight w:val="none"/>
          <w14:textFill>
            <w14:solidFill>
              <w14:schemeClr w14:val="tx1"/>
            </w14:solidFill>
          </w14:textFill>
        </w:rPr>
      </w:pPr>
    </w:p>
    <w:p w14:paraId="1E4BCC3F">
      <w:pPr>
        <w:keepNext w:val="0"/>
        <w:keepLines w:val="0"/>
        <w:pageBreakBefore w:val="0"/>
        <w:widowControl w:val="0"/>
        <w:kinsoku/>
        <w:overflowPunct/>
        <w:topLinePunct w:val="0"/>
        <w:bidi w:val="0"/>
        <w:rPr>
          <w:rFonts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br w:type="page" w:clear="all"/>
      </w:r>
    </w:p>
    <w:p w14:paraId="7AFFCF47">
      <w:pPr>
        <w:pStyle w:val="2"/>
        <w:keepNext w:val="0"/>
        <w:keepLines w:val="0"/>
        <w:pageBreakBefore w:val="0"/>
        <w:widowControl w:val="0"/>
        <w:kinsoku/>
        <w:overflowPunct/>
        <w:topLinePunct w:val="0"/>
        <w:bidi w:val="0"/>
        <w:rPr>
          <w:rFonts w:hint="eastAsia"/>
          <w:sz w:val="40"/>
          <w:szCs w:val="48"/>
          <w:highlight w:val="none"/>
        </w:rPr>
      </w:pPr>
      <w:bookmarkStart w:id="75" w:name="_Toc31773"/>
      <w:r>
        <w:rPr>
          <w:rFonts w:hint="eastAsia"/>
          <w:sz w:val="40"/>
          <w:szCs w:val="48"/>
          <w:highlight w:val="none"/>
        </w:rPr>
        <w:t>第六章   响  应  文  件</w:t>
      </w:r>
      <w:bookmarkEnd w:id="75"/>
      <w:r>
        <w:rPr>
          <w:rFonts w:hint="eastAsia"/>
          <w:sz w:val="40"/>
          <w:szCs w:val="48"/>
          <w:highlight w:val="none"/>
        </w:rPr>
        <w:t xml:space="preserve">  </w:t>
      </w:r>
    </w:p>
    <w:p w14:paraId="03D8265B">
      <w:pPr>
        <w:pStyle w:val="244"/>
        <w:keepNext w:val="0"/>
        <w:keepLines w:val="0"/>
        <w:pageBreakBefore w:val="0"/>
        <w:widowControl w:val="0"/>
        <w:kinsoku/>
        <w:overflowPunct/>
        <w:topLinePunct w:val="0"/>
        <w:bidi w:val="0"/>
        <w:ind w:firstLine="2640"/>
        <w:rPr>
          <w:rFonts w:hint="eastAsia" w:ascii="仿宋" w:hAnsi="仿宋" w:eastAsia="仿宋" w:cs="仿宋"/>
          <w:color w:val="000000" w:themeColor="text1"/>
          <w:sz w:val="40"/>
          <w:szCs w:val="40"/>
          <w:highlight w:val="none"/>
          <w14:textFill>
            <w14:solidFill>
              <w14:schemeClr w14:val="tx1"/>
            </w14:solidFill>
          </w14:textFill>
        </w:rPr>
      </w:pPr>
    </w:p>
    <w:p w14:paraId="0F27C732">
      <w:pPr>
        <w:pStyle w:val="244"/>
        <w:keepNext w:val="0"/>
        <w:keepLines w:val="0"/>
        <w:pageBreakBefore w:val="0"/>
        <w:widowControl w:val="0"/>
        <w:kinsoku/>
        <w:overflowPunct/>
        <w:topLinePunct w:val="0"/>
        <w:bidi w:val="0"/>
        <w:ind w:firstLine="2640"/>
        <w:rPr>
          <w:rFonts w:hint="eastAsia" w:ascii="仿宋" w:hAnsi="仿宋" w:eastAsia="仿宋" w:cs="仿宋"/>
          <w:color w:val="000000" w:themeColor="text1"/>
          <w:sz w:val="40"/>
          <w:szCs w:val="40"/>
          <w:highlight w:val="none"/>
          <w14:textFill>
            <w14:solidFill>
              <w14:schemeClr w14:val="tx1"/>
            </w14:solidFill>
          </w14:textFill>
        </w:rPr>
      </w:pPr>
    </w:p>
    <w:p w14:paraId="7DE79E6F">
      <w:pPr>
        <w:pStyle w:val="244"/>
        <w:keepNext w:val="0"/>
        <w:keepLines w:val="0"/>
        <w:pageBreakBefore w:val="0"/>
        <w:widowControl w:val="0"/>
        <w:kinsoku/>
        <w:overflowPunct/>
        <w:topLinePunct w:val="0"/>
        <w:bidi w:val="0"/>
        <w:rPr>
          <w:rFonts w:hint="eastAsia" w:ascii="仿宋" w:hAnsi="仿宋" w:eastAsia="仿宋" w:cs="仿宋"/>
          <w:color w:val="000000" w:themeColor="text1"/>
          <w:sz w:val="40"/>
          <w:szCs w:val="40"/>
          <w:highlight w:val="none"/>
          <w14:textFill>
            <w14:solidFill>
              <w14:schemeClr w14:val="tx1"/>
            </w14:solidFill>
          </w14:textFill>
        </w:rPr>
      </w:pPr>
    </w:p>
    <w:p w14:paraId="5730A0D0">
      <w:pPr>
        <w:pStyle w:val="244"/>
        <w:keepNext w:val="0"/>
        <w:keepLines w:val="0"/>
        <w:pageBreakBefore w:val="0"/>
        <w:widowControl w:val="0"/>
        <w:kinsoku/>
        <w:overflowPunct/>
        <w:topLinePunct w:val="0"/>
        <w:bidi w:val="0"/>
        <w:rPr>
          <w:rFonts w:hint="eastAsia" w:ascii="仿宋" w:hAnsi="仿宋" w:eastAsia="仿宋" w:cs="仿宋"/>
          <w:color w:val="000000" w:themeColor="text1"/>
          <w:sz w:val="28"/>
          <w:szCs w:val="18"/>
          <w:highlight w:val="none"/>
          <w14:textFill>
            <w14:solidFill>
              <w14:schemeClr w14:val="tx1"/>
            </w14:solidFill>
          </w14:textFill>
        </w:rPr>
      </w:pPr>
    </w:p>
    <w:p w14:paraId="054B3A21">
      <w:pPr>
        <w:pStyle w:val="244"/>
        <w:keepNext w:val="0"/>
        <w:keepLines w:val="0"/>
        <w:pageBreakBefore w:val="0"/>
        <w:widowControl w:val="0"/>
        <w:kinsoku/>
        <w:overflowPunct/>
        <w:topLinePunct w:val="0"/>
        <w:bidi w:val="0"/>
        <w:rPr>
          <w:rFonts w:hint="eastAsia" w:ascii="仿宋" w:hAnsi="仿宋" w:eastAsia="仿宋" w:cs="仿宋"/>
          <w:color w:val="000000" w:themeColor="text1"/>
          <w:sz w:val="28"/>
          <w:szCs w:val="18"/>
          <w:highlight w:val="none"/>
          <w14:textFill>
            <w14:solidFill>
              <w14:schemeClr w14:val="tx1"/>
            </w14:solidFill>
          </w14:textFill>
        </w:rPr>
      </w:pPr>
    </w:p>
    <w:p w14:paraId="4AD289C3">
      <w:pPr>
        <w:keepNext w:val="0"/>
        <w:keepLines w:val="0"/>
        <w:pageBreakBefore w:val="0"/>
        <w:widowControl w:val="0"/>
        <w:kinsoku/>
        <w:overflowPunct/>
        <w:topLinePunct w:val="0"/>
        <w:bidi w:val="0"/>
        <w:spacing w:line="400" w:lineRule="exact"/>
        <w:ind w:firstLine="1446"/>
        <w:rPr>
          <w:rFonts w:hint="eastAsia" w:ascii="仿宋" w:hAnsi="仿宋" w:eastAsia="仿宋" w:cs="仿宋"/>
          <w:b/>
          <w:bCs/>
          <w:color w:val="000000" w:themeColor="text1"/>
          <w:sz w:val="32"/>
          <w:szCs w:val="22"/>
          <w:highlight w:val="none"/>
          <w14:textFill>
            <w14:solidFill>
              <w14:schemeClr w14:val="tx1"/>
            </w14:solidFill>
          </w14:textFill>
        </w:rPr>
      </w:pPr>
      <w:r>
        <w:rPr>
          <w:rFonts w:hint="eastAsia" w:ascii="仿宋" w:hAnsi="仿宋" w:eastAsia="仿宋" w:cs="仿宋"/>
          <w:b/>
          <w:bCs/>
          <w:color w:val="000000" w:themeColor="text1"/>
          <w:sz w:val="32"/>
          <w:szCs w:val="22"/>
          <w:highlight w:val="none"/>
          <w14:textFill>
            <w14:solidFill>
              <w14:schemeClr w14:val="tx1"/>
            </w14:solidFill>
          </w14:textFill>
        </w:rPr>
        <w:t>项目名称</w:t>
      </w:r>
      <w:r>
        <w:rPr>
          <w:rFonts w:hint="eastAsia" w:ascii="仿宋" w:hAnsi="仿宋" w:eastAsia="仿宋" w:cs="仿宋"/>
          <w:b/>
          <w:bCs/>
          <w:color w:val="000000" w:themeColor="text1"/>
          <w:sz w:val="32"/>
          <w:szCs w:val="22"/>
          <w:highlight w:val="none"/>
          <w:lang w:eastAsia="zh-CN"/>
          <w14:textFill>
            <w14:solidFill>
              <w14:schemeClr w14:val="tx1"/>
            </w14:solidFill>
          </w14:textFill>
        </w:rPr>
        <w:t>：</w:t>
      </w:r>
    </w:p>
    <w:p w14:paraId="20AB61B9">
      <w:pPr>
        <w:pStyle w:val="244"/>
        <w:keepNext w:val="0"/>
        <w:keepLines w:val="0"/>
        <w:pageBreakBefore w:val="0"/>
        <w:widowControl w:val="0"/>
        <w:kinsoku/>
        <w:overflowPunct/>
        <w:topLinePunct w:val="0"/>
        <w:bidi w:val="0"/>
        <w:rPr>
          <w:rFonts w:hint="eastAsia" w:ascii="仿宋" w:hAnsi="仿宋" w:eastAsia="仿宋" w:cs="仿宋"/>
          <w:color w:val="000000" w:themeColor="text1"/>
          <w:sz w:val="28"/>
          <w:szCs w:val="18"/>
          <w:highlight w:val="none"/>
          <w14:textFill>
            <w14:solidFill>
              <w14:schemeClr w14:val="tx1"/>
            </w14:solidFill>
          </w14:textFill>
        </w:rPr>
      </w:pPr>
    </w:p>
    <w:p w14:paraId="351E9938">
      <w:pPr>
        <w:pStyle w:val="244"/>
        <w:keepNext w:val="0"/>
        <w:keepLines w:val="0"/>
        <w:pageBreakBefore w:val="0"/>
        <w:widowControl w:val="0"/>
        <w:kinsoku/>
        <w:overflowPunct/>
        <w:topLinePunct w:val="0"/>
        <w:bidi w:val="0"/>
        <w:ind w:firstLine="1066"/>
        <w:rPr>
          <w:rFonts w:hint="eastAsia" w:ascii="仿宋" w:hAnsi="仿宋" w:eastAsia="仿宋" w:cs="仿宋"/>
          <w:b/>
          <w:color w:val="000000" w:themeColor="text1"/>
          <w:sz w:val="32"/>
          <w:szCs w:val="22"/>
          <w:highlight w:val="none"/>
          <w14:textFill>
            <w14:solidFill>
              <w14:schemeClr w14:val="tx1"/>
            </w14:solidFill>
          </w14:textFill>
        </w:rPr>
      </w:pPr>
    </w:p>
    <w:p w14:paraId="0505ED60">
      <w:pPr>
        <w:pStyle w:val="244"/>
        <w:keepNext w:val="0"/>
        <w:keepLines w:val="0"/>
        <w:pageBreakBefore w:val="0"/>
        <w:widowControl w:val="0"/>
        <w:kinsoku/>
        <w:overflowPunct/>
        <w:topLinePunct w:val="0"/>
        <w:bidi w:val="0"/>
        <w:ind w:firstLine="1066"/>
        <w:rPr>
          <w:rFonts w:hint="eastAsia" w:ascii="仿宋" w:hAnsi="仿宋" w:eastAsia="仿宋" w:cs="仿宋"/>
          <w:b/>
          <w:color w:val="000000" w:themeColor="text1"/>
          <w:sz w:val="32"/>
          <w:szCs w:val="22"/>
          <w:highlight w:val="none"/>
          <w14:textFill>
            <w14:solidFill>
              <w14:schemeClr w14:val="tx1"/>
            </w14:solidFill>
          </w14:textFill>
        </w:rPr>
      </w:pPr>
    </w:p>
    <w:p w14:paraId="55EB327A">
      <w:pPr>
        <w:pStyle w:val="244"/>
        <w:keepNext w:val="0"/>
        <w:keepLines w:val="0"/>
        <w:pageBreakBefore w:val="0"/>
        <w:widowControl w:val="0"/>
        <w:kinsoku/>
        <w:overflowPunct/>
        <w:topLinePunct w:val="0"/>
        <w:bidi w:val="0"/>
        <w:ind w:firstLine="1428"/>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14:textFill>
            <w14:solidFill>
              <w14:schemeClr w14:val="tx1"/>
            </w14:solidFill>
          </w14:textFill>
        </w:rPr>
        <w:t>项目编号</w:t>
      </w:r>
      <w:r>
        <w:rPr>
          <w:rFonts w:hint="eastAsia" w:ascii="仿宋" w:hAnsi="仿宋" w:eastAsia="仿宋" w:cs="仿宋"/>
          <w:b/>
          <w:color w:val="000000" w:themeColor="text1"/>
          <w:sz w:val="32"/>
          <w:szCs w:val="22"/>
          <w:highlight w:val="none"/>
          <w:lang w:eastAsia="zh-CN"/>
          <w14:textFill>
            <w14:solidFill>
              <w14:schemeClr w14:val="tx1"/>
            </w14:solidFill>
          </w14:textFill>
        </w:rPr>
        <w:t>：</w:t>
      </w:r>
    </w:p>
    <w:p w14:paraId="78FA83CA">
      <w:pPr>
        <w:keepNext w:val="0"/>
        <w:keepLines w:val="0"/>
        <w:pageBreakBefore w:val="0"/>
        <w:widowControl w:val="0"/>
        <w:kinsoku/>
        <w:overflowPunct/>
        <w:topLinePunct w:val="0"/>
        <w:bidi w:val="0"/>
        <w:spacing w:line="400" w:lineRule="exact"/>
        <w:rPr>
          <w:rFonts w:hint="eastAsia" w:ascii="仿宋" w:hAnsi="仿宋" w:eastAsia="仿宋" w:cs="仿宋"/>
          <w:color w:val="000000" w:themeColor="text1"/>
          <w:sz w:val="28"/>
          <w:szCs w:val="18"/>
          <w:highlight w:val="none"/>
          <w14:textFill>
            <w14:solidFill>
              <w14:schemeClr w14:val="tx1"/>
            </w14:solidFill>
          </w14:textFill>
        </w:rPr>
      </w:pPr>
    </w:p>
    <w:p w14:paraId="2F703842">
      <w:pPr>
        <w:keepNext w:val="0"/>
        <w:keepLines w:val="0"/>
        <w:pageBreakBefore w:val="0"/>
        <w:widowControl w:val="0"/>
        <w:kinsoku/>
        <w:overflowPunct/>
        <w:topLinePunct w:val="0"/>
        <w:bidi w:val="0"/>
        <w:spacing w:line="400" w:lineRule="exact"/>
        <w:rPr>
          <w:rFonts w:hint="eastAsia" w:ascii="仿宋" w:hAnsi="仿宋" w:eastAsia="仿宋" w:cs="仿宋"/>
          <w:color w:val="000000" w:themeColor="text1"/>
          <w:sz w:val="28"/>
          <w:szCs w:val="18"/>
          <w:highlight w:val="none"/>
          <w14:textFill>
            <w14:solidFill>
              <w14:schemeClr w14:val="tx1"/>
            </w14:solidFill>
          </w14:textFill>
        </w:rPr>
      </w:pPr>
    </w:p>
    <w:p w14:paraId="45EF07E6">
      <w:pPr>
        <w:keepNext w:val="0"/>
        <w:keepLines w:val="0"/>
        <w:pageBreakBefore w:val="0"/>
        <w:widowControl w:val="0"/>
        <w:kinsoku/>
        <w:overflowPunct/>
        <w:topLinePunct w:val="0"/>
        <w:bidi w:val="0"/>
        <w:spacing w:line="400" w:lineRule="exact"/>
        <w:rPr>
          <w:rFonts w:hint="eastAsia" w:ascii="仿宋" w:hAnsi="仿宋" w:eastAsia="仿宋" w:cs="仿宋"/>
          <w:color w:val="000000" w:themeColor="text1"/>
          <w:sz w:val="28"/>
          <w:szCs w:val="18"/>
          <w:highlight w:val="none"/>
          <w14:textFill>
            <w14:solidFill>
              <w14:schemeClr w14:val="tx1"/>
            </w14:solidFill>
          </w14:textFill>
        </w:rPr>
      </w:pPr>
    </w:p>
    <w:p w14:paraId="4563F53D">
      <w:pPr>
        <w:keepNext w:val="0"/>
        <w:keepLines w:val="0"/>
        <w:pageBreakBefore w:val="0"/>
        <w:widowControl w:val="0"/>
        <w:kinsoku/>
        <w:overflowPunct/>
        <w:topLinePunct w:val="0"/>
        <w:bidi w:val="0"/>
        <w:spacing w:line="400" w:lineRule="exact"/>
        <w:rPr>
          <w:rFonts w:hint="eastAsia" w:ascii="仿宋" w:hAnsi="仿宋" w:eastAsia="仿宋" w:cs="仿宋"/>
          <w:color w:val="000000" w:themeColor="text1"/>
          <w:sz w:val="28"/>
          <w:szCs w:val="18"/>
          <w:highlight w:val="none"/>
          <w14:textFill>
            <w14:solidFill>
              <w14:schemeClr w14:val="tx1"/>
            </w14:solidFill>
          </w14:textFill>
        </w:rPr>
      </w:pPr>
    </w:p>
    <w:p w14:paraId="1C75B367">
      <w:pPr>
        <w:keepNext w:val="0"/>
        <w:keepLines w:val="0"/>
        <w:pageBreakBefore w:val="0"/>
        <w:widowControl w:val="0"/>
        <w:kinsoku/>
        <w:overflowPunct/>
        <w:topLinePunct w:val="0"/>
        <w:bidi w:val="0"/>
        <w:spacing w:line="400" w:lineRule="exact"/>
        <w:rPr>
          <w:rFonts w:hint="eastAsia" w:ascii="仿宋" w:hAnsi="仿宋" w:eastAsia="仿宋" w:cs="仿宋"/>
          <w:color w:val="000000" w:themeColor="text1"/>
          <w:sz w:val="28"/>
          <w:szCs w:val="18"/>
          <w:highlight w:val="none"/>
          <w14:textFill>
            <w14:solidFill>
              <w14:schemeClr w14:val="tx1"/>
            </w14:solidFill>
          </w14:textFill>
        </w:rPr>
      </w:pPr>
    </w:p>
    <w:p w14:paraId="0F77DE58">
      <w:pPr>
        <w:keepNext w:val="0"/>
        <w:keepLines w:val="0"/>
        <w:pageBreakBefore w:val="0"/>
        <w:widowControl w:val="0"/>
        <w:kinsoku/>
        <w:overflowPunct/>
        <w:topLinePunct w:val="0"/>
        <w:bidi w:val="0"/>
        <w:spacing w:line="400" w:lineRule="exact"/>
        <w:ind w:firstLine="1428"/>
        <w:rPr>
          <w:rFonts w:hint="eastAsia" w:ascii="仿宋" w:hAnsi="仿宋" w:eastAsia="仿宋" w:cs="仿宋"/>
          <w:b/>
          <w:bCs/>
          <w:color w:val="000000" w:themeColor="text1"/>
          <w:sz w:val="28"/>
          <w:szCs w:val="22"/>
          <w:highlight w:val="none"/>
          <w14:textFill>
            <w14:solidFill>
              <w14:schemeClr w14:val="tx1"/>
            </w14:solidFill>
          </w14:textFill>
        </w:rPr>
      </w:pPr>
      <w:r>
        <w:rPr>
          <w:rFonts w:hint="eastAsia" w:ascii="仿宋" w:hAnsi="仿宋" w:eastAsia="仿宋" w:cs="仿宋"/>
          <w:b/>
          <w:bCs/>
          <w:color w:val="000000" w:themeColor="text1"/>
          <w:sz w:val="32"/>
          <w:szCs w:val="22"/>
          <w:highlight w:val="none"/>
          <w14:textFill>
            <w14:solidFill>
              <w14:schemeClr w14:val="tx1"/>
            </w14:solidFill>
          </w14:textFill>
        </w:rPr>
        <w:t>供应商</w:t>
      </w:r>
      <w:r>
        <w:rPr>
          <w:rFonts w:hint="eastAsia" w:ascii="仿宋" w:hAnsi="仿宋" w:eastAsia="仿宋" w:cs="仿宋"/>
          <w:b/>
          <w:bCs/>
          <w:color w:val="000000" w:themeColor="text1"/>
          <w:sz w:val="32"/>
          <w:szCs w:val="22"/>
          <w:highlight w:val="none"/>
          <w:lang w:eastAsia="zh-CN"/>
          <w14:textFill>
            <w14:solidFill>
              <w14:schemeClr w14:val="tx1"/>
            </w14:solidFill>
          </w14:textFill>
        </w:rPr>
        <w:t>：</w:t>
      </w:r>
      <w:r>
        <w:rPr>
          <w:rFonts w:hint="eastAsia" w:ascii="仿宋" w:hAnsi="仿宋" w:eastAsia="仿宋" w:cs="仿宋"/>
          <w:color w:val="000000" w:themeColor="text1"/>
          <w:sz w:val="32"/>
          <w:szCs w:val="22"/>
          <w:highlight w:val="none"/>
          <w14:textFill>
            <w14:solidFill>
              <w14:schemeClr w14:val="tx1"/>
            </w14:solidFill>
          </w14:textFill>
        </w:rPr>
        <w:t xml:space="preserve"> （加盖CA电子</w:t>
      </w:r>
      <w:r>
        <w:rPr>
          <w:rFonts w:hint="eastAsia" w:ascii="仿宋" w:hAnsi="仿宋" w:eastAsia="仿宋" w:cs="仿宋"/>
          <w:color w:val="000000" w:themeColor="text1"/>
          <w:sz w:val="32"/>
          <w:szCs w:val="22"/>
          <w:highlight w:val="none"/>
          <w:lang w:eastAsia="zh-CN"/>
          <w14:textFill>
            <w14:solidFill>
              <w14:schemeClr w14:val="tx1"/>
            </w14:solidFill>
          </w14:textFill>
        </w:rPr>
        <w:t>签</w:t>
      </w:r>
      <w:r>
        <w:rPr>
          <w:rFonts w:hint="eastAsia" w:ascii="仿宋" w:hAnsi="仿宋" w:eastAsia="仿宋" w:cs="仿宋"/>
          <w:color w:val="000000" w:themeColor="text1"/>
          <w:sz w:val="32"/>
          <w:szCs w:val="22"/>
          <w:highlight w:val="none"/>
          <w14:textFill>
            <w14:solidFill>
              <w14:schemeClr w14:val="tx1"/>
            </w14:solidFill>
          </w14:textFill>
        </w:rPr>
        <w:t>章）</w:t>
      </w:r>
    </w:p>
    <w:p w14:paraId="152CEBD5">
      <w:pPr>
        <w:pStyle w:val="244"/>
        <w:keepNext w:val="0"/>
        <w:keepLines w:val="0"/>
        <w:pageBreakBefore w:val="0"/>
        <w:widowControl w:val="0"/>
        <w:kinsoku/>
        <w:overflowPunct/>
        <w:topLinePunct w:val="0"/>
        <w:bidi w:val="0"/>
        <w:ind w:firstLine="1904"/>
        <w:rPr>
          <w:rFonts w:hint="eastAsia" w:ascii="仿宋" w:hAnsi="仿宋" w:eastAsia="仿宋" w:cs="仿宋"/>
          <w:color w:val="000000" w:themeColor="text1"/>
          <w:sz w:val="28"/>
          <w:szCs w:val="18"/>
          <w:highlight w:val="none"/>
          <w14:textFill>
            <w14:solidFill>
              <w14:schemeClr w14:val="tx1"/>
            </w14:solidFill>
          </w14:textFill>
        </w:rPr>
      </w:pPr>
    </w:p>
    <w:p w14:paraId="3D9FDCD0">
      <w:pPr>
        <w:pStyle w:val="244"/>
        <w:keepNext w:val="0"/>
        <w:keepLines w:val="0"/>
        <w:pageBreakBefore w:val="0"/>
        <w:widowControl w:val="0"/>
        <w:kinsoku/>
        <w:overflowPunct/>
        <w:topLinePunct w:val="0"/>
        <w:bidi w:val="0"/>
        <w:ind w:firstLine="1904"/>
        <w:rPr>
          <w:rFonts w:hint="eastAsia" w:ascii="仿宋" w:hAnsi="仿宋" w:eastAsia="仿宋" w:cs="仿宋"/>
          <w:color w:val="000000" w:themeColor="text1"/>
          <w:sz w:val="28"/>
          <w:szCs w:val="18"/>
          <w:highlight w:val="none"/>
          <w14:textFill>
            <w14:solidFill>
              <w14:schemeClr w14:val="tx1"/>
            </w14:solidFill>
          </w14:textFill>
        </w:rPr>
      </w:pPr>
    </w:p>
    <w:p w14:paraId="236CC45C">
      <w:pPr>
        <w:pStyle w:val="244"/>
        <w:keepNext w:val="0"/>
        <w:keepLines w:val="0"/>
        <w:pageBreakBefore w:val="0"/>
        <w:widowControl w:val="0"/>
        <w:kinsoku/>
        <w:overflowPunct/>
        <w:topLinePunct w:val="0"/>
        <w:bidi w:val="0"/>
        <w:ind w:firstLine="1904"/>
        <w:rPr>
          <w:rFonts w:hint="eastAsia" w:ascii="仿宋" w:hAnsi="仿宋" w:eastAsia="仿宋" w:cs="仿宋"/>
          <w:color w:val="000000" w:themeColor="text1"/>
          <w:sz w:val="28"/>
          <w:szCs w:val="18"/>
          <w:highlight w:val="none"/>
          <w14:textFill>
            <w14:solidFill>
              <w14:schemeClr w14:val="tx1"/>
            </w14:solidFill>
          </w14:textFill>
        </w:rPr>
      </w:pPr>
    </w:p>
    <w:p w14:paraId="743424CA">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6AD5E397">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738EB451">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0430C704">
      <w:pPr>
        <w:pStyle w:val="244"/>
        <w:keepNext w:val="0"/>
        <w:keepLines w:val="0"/>
        <w:pageBreakBefore w:val="0"/>
        <w:widowControl w:val="0"/>
        <w:kinsoku/>
        <w:overflowPunct/>
        <w:topLinePunct w:val="0"/>
        <w:bidi w:val="0"/>
        <w:ind w:firstLine="1904"/>
        <w:rPr>
          <w:rFonts w:hint="eastAsia" w:ascii="仿宋" w:hAnsi="仿宋" w:eastAsia="仿宋" w:cs="仿宋"/>
          <w:color w:val="000000" w:themeColor="text1"/>
          <w:sz w:val="28"/>
          <w:szCs w:val="18"/>
          <w:highlight w:val="none"/>
          <w14:textFill>
            <w14:solidFill>
              <w14:schemeClr w14:val="tx1"/>
            </w14:solidFill>
          </w14:textFill>
        </w:rPr>
      </w:pPr>
    </w:p>
    <w:p w14:paraId="34E59F92">
      <w:pPr>
        <w:pStyle w:val="244"/>
        <w:keepNext w:val="0"/>
        <w:keepLines w:val="0"/>
        <w:pageBreakBefore w:val="0"/>
        <w:widowControl w:val="0"/>
        <w:kinsoku/>
        <w:overflowPunct/>
        <w:topLinePunct w:val="0"/>
        <w:bidi w:val="0"/>
        <w:ind w:firstLine="2645"/>
        <w:rPr>
          <w:rFonts w:hint="eastAsia" w:ascii="仿宋" w:hAnsi="仿宋" w:eastAsia="仿宋" w:cs="仿宋"/>
          <w:b/>
          <w:color w:val="000000" w:themeColor="text1"/>
          <w:sz w:val="32"/>
          <w:szCs w:val="22"/>
          <w:highlight w:val="none"/>
          <w14:textFill>
            <w14:solidFill>
              <w14:schemeClr w14:val="tx1"/>
            </w14:solidFill>
          </w14:textFill>
        </w:rPr>
      </w:pPr>
      <w:r>
        <w:rPr>
          <w:rFonts w:hint="eastAsia" w:ascii="仿宋" w:hAnsi="仿宋" w:eastAsia="仿宋" w:cs="仿宋"/>
          <w:b/>
          <w:color w:val="000000" w:themeColor="text1"/>
          <w:sz w:val="32"/>
          <w:szCs w:val="22"/>
          <w:highlight w:val="none"/>
          <w:lang w:eastAsia="zh-CN"/>
          <w14:textFill>
            <w14:solidFill>
              <w14:schemeClr w14:val="tx1"/>
            </w14:solidFill>
          </w14:textFill>
        </w:rPr>
        <w:t>二〇二六</w:t>
      </w:r>
      <w:r>
        <w:rPr>
          <w:rFonts w:hint="eastAsia" w:ascii="仿宋" w:hAnsi="仿宋" w:eastAsia="仿宋" w:cs="仿宋"/>
          <w:b/>
          <w:color w:val="000000" w:themeColor="text1"/>
          <w:sz w:val="32"/>
          <w:szCs w:val="22"/>
          <w:highlight w:val="none"/>
          <w14:textFill>
            <w14:solidFill>
              <w14:schemeClr w14:val="tx1"/>
            </w14:solidFill>
          </w14:textFill>
        </w:rPr>
        <w:t>年    月    日</w:t>
      </w:r>
    </w:p>
    <w:p w14:paraId="3C190955">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4971F5E9">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170310EE">
      <w:pPr>
        <w:pStyle w:val="245"/>
        <w:keepNext w:val="0"/>
        <w:keepLines w:val="0"/>
        <w:pageBreakBefore w:val="0"/>
        <w:widowControl w:val="0"/>
        <w:kinsoku/>
        <w:overflowPunct/>
        <w:topLinePunct w:val="0"/>
        <w:bidi w:val="0"/>
        <w:rPr>
          <w:rFonts w:hint="eastAsia" w:ascii="仿宋" w:hAnsi="仿宋" w:eastAsia="仿宋" w:cs="仿宋"/>
          <w:color w:val="000000" w:themeColor="text1"/>
          <w:sz w:val="18"/>
          <w:szCs w:val="22"/>
          <w:highlight w:val="none"/>
          <w14:textFill>
            <w14:solidFill>
              <w14:schemeClr w14:val="tx1"/>
            </w14:solidFill>
          </w14:textFill>
        </w:rPr>
      </w:pPr>
    </w:p>
    <w:p w14:paraId="34F5B14E">
      <w:pPr>
        <w:keepNext w:val="0"/>
        <w:keepLines w:val="0"/>
        <w:pageBreakBefore w:val="0"/>
        <w:widowControl w:val="0"/>
        <w:kinsoku/>
        <w:wordWrap/>
        <w:overflowPunct/>
        <w:topLinePunct w:val="0"/>
        <w:autoSpaceDE/>
        <w:autoSpaceDN/>
        <w:bidi w:val="0"/>
        <w:adjustRightInd/>
        <w:snapToGrid/>
        <w:spacing w:line="500" w:lineRule="exact"/>
        <w:ind w:right="0"/>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themeColor="text1"/>
          <w:sz w:val="28"/>
          <w:szCs w:val="28"/>
          <w:highlight w:val="none"/>
          <w14:textFill>
            <w14:solidFill>
              <w14:schemeClr w14:val="tx1"/>
            </w14:solidFill>
          </w14:textFill>
        </w:rPr>
        <w:br w:type="page" w:clear="all"/>
      </w:r>
      <w:r>
        <w:rPr>
          <w:rFonts w:hint="eastAsia" w:ascii="仿宋" w:hAnsi="仿宋" w:eastAsia="仿宋" w:cs="仿宋"/>
          <w:b/>
          <w:bCs/>
          <w:color w:val="000000"/>
          <w:spacing w:val="0"/>
          <w:sz w:val="24"/>
          <w:highlight w:val="none"/>
        </w:rPr>
        <w:t>尊敬的供应商</w:t>
      </w:r>
      <w:r>
        <w:rPr>
          <w:rFonts w:hint="eastAsia" w:ascii="仿宋" w:hAnsi="仿宋" w:eastAsia="仿宋" w:cs="仿宋"/>
          <w:b/>
          <w:bCs/>
          <w:color w:val="000000"/>
          <w:spacing w:val="0"/>
          <w:sz w:val="24"/>
          <w:highlight w:val="none"/>
          <w:lang w:eastAsia="zh-CN"/>
        </w:rPr>
        <w:t>：</w:t>
      </w:r>
    </w:p>
    <w:p w14:paraId="2B32C06C">
      <w:pPr>
        <w:keepNext w:val="0"/>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请按照以下文件的格式要求、内容、顺序制作响应文件，否则可能将影响对响应文件的评价。</w:t>
      </w:r>
    </w:p>
    <w:p w14:paraId="05771420">
      <w:pPr>
        <w:keepNext w:val="0"/>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响应文件格式中所有要求签字和盖章的部分，签字全部</w:t>
      </w:r>
      <w:r>
        <w:rPr>
          <w:rFonts w:hint="eastAsia" w:ascii="仿宋" w:hAnsi="仿宋" w:eastAsia="仿宋" w:cs="仿宋"/>
          <w:b/>
          <w:bCs/>
          <w:color w:val="000000"/>
          <w:spacing w:val="0"/>
          <w:sz w:val="24"/>
          <w:highlight w:val="none"/>
          <w:lang w:eastAsia="zh-CN"/>
        </w:rPr>
        <w:t>视为</w:t>
      </w:r>
      <w:r>
        <w:rPr>
          <w:rFonts w:hint="eastAsia" w:ascii="仿宋" w:hAnsi="仿宋" w:eastAsia="仿宋" w:cs="仿宋"/>
          <w:b/>
          <w:bCs/>
          <w:color w:val="000000"/>
          <w:spacing w:val="0"/>
          <w:sz w:val="24"/>
          <w:highlight w:val="none"/>
        </w:rPr>
        <w:t>法定代表人电子签字，盖章全部为供应商自身电子签章。</w:t>
      </w:r>
    </w:p>
    <w:p w14:paraId="736F9867">
      <w:pPr>
        <w:keepNext w:val="0"/>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lang w:val="en-US" w:eastAsia="zh-CN"/>
        </w:rPr>
        <w:t>注：如响应文件制作工具中现有端口格式与本项目采购文件格式有不一致之处，各供应商应以采购文件提供的格式为准，将采购文件格式要求的证明材料以扫描件形式编入电子响应文件，并按采购文件要求加盖单位电子签章及相关人员签字或签章。</w:t>
      </w:r>
    </w:p>
    <w:p w14:paraId="6FA16EBD">
      <w:pPr>
        <w:keepNext w:val="0"/>
        <w:keepLines w:val="0"/>
        <w:pageBreakBefore w:val="0"/>
        <w:widowControl w:val="0"/>
        <w:kinsoku/>
        <w:overflowPunct/>
        <w:topLinePunct w:val="0"/>
        <w:bidi w:val="0"/>
        <w:jc w:val="center"/>
        <w:rPr>
          <w:rFonts w:hint="eastAsia" w:ascii="仿宋" w:hAnsi="仿宋" w:eastAsia="仿宋" w:cs="仿宋"/>
          <w:b/>
          <w:bCs/>
          <w:color w:val="000000" w:themeColor="text1"/>
          <w:sz w:val="28"/>
          <w:szCs w:val="28"/>
          <w:highlight w:val="none"/>
          <w14:textFill>
            <w14:solidFill>
              <w14:schemeClr w14:val="tx1"/>
            </w14:solidFill>
          </w14:textFill>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5B466EB1">
      <w:pPr>
        <w:keepNext w:val="0"/>
        <w:keepLines w:val="0"/>
        <w:pageBreakBefore w:val="0"/>
        <w:widowControl w:val="0"/>
        <w:kinsoku/>
        <w:overflowPunct/>
        <w:topLinePunct w:val="0"/>
        <w:bidi w:val="0"/>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一、磋商函</w:t>
      </w:r>
    </w:p>
    <w:p w14:paraId="78A0AE5B">
      <w:pPr>
        <w:keepNext w:val="0"/>
        <w:keepLines w:val="0"/>
        <w:pageBreakBefore w:val="0"/>
        <w:widowControl w:val="0"/>
        <w:kinsoku/>
        <w:overflowPunct/>
        <w:topLinePunct w:val="0"/>
        <w:bidi w:val="0"/>
        <w:spacing w:line="640" w:lineRule="exact"/>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b w:val="0"/>
          <w:bCs w:val="0"/>
          <w:color w:val="000000" w:themeColor="text1"/>
          <w:sz w:val="24"/>
          <w:szCs w:val="24"/>
          <w:highlight w:val="none"/>
          <w:u w:val="none"/>
          <w:lang w:eastAsia="zh-CN"/>
          <w14:textFill>
            <w14:solidFill>
              <w14:schemeClr w14:val="tx1"/>
            </w14:solidFill>
          </w14:textFill>
        </w:rPr>
        <w:t>致：淮安市淮安区山阳街道办事处</w:t>
      </w:r>
    </w:p>
    <w:p w14:paraId="017D54F1">
      <w:pPr>
        <w:pStyle w:val="280"/>
        <w:keepNext w:val="0"/>
        <w:keepLines w:val="0"/>
        <w:pageBreakBefore w:val="0"/>
        <w:widowControl w:val="0"/>
        <w:kinsoku/>
        <w:wordWrap w:val="0"/>
        <w:overflowPunct/>
        <w:topLinePunct w:val="0"/>
        <w:autoSpaceDE/>
        <w:autoSpaceDN/>
        <w:bidi w:val="0"/>
        <w:adjustRightInd/>
        <w:snapToGrid/>
        <w:spacing w:before="0" w:after="0" w:line="640" w:lineRule="exact"/>
        <w:ind w:firstLine="56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关于采购项目</w:t>
      </w:r>
      <w:r>
        <w:rPr>
          <w:rFonts w:hint="eastAsia" w:ascii="仿宋" w:hAnsi="仿宋" w:eastAsia="仿宋" w:cs="仿宋"/>
          <w:color w:val="000000" w:themeColor="text1"/>
          <w:sz w:val="24"/>
          <w:szCs w:val="22"/>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磋商文件（包括更正公告，如果有的话）收悉，我们经详细审阅和研究，现决定参加本项目磋商。</w:t>
      </w:r>
      <w:r>
        <w:rPr>
          <w:rFonts w:hint="eastAsia" w:ascii="仿宋" w:hAnsi="仿宋" w:eastAsia="仿宋" w:cs="仿宋"/>
          <w:color w:val="000000" w:themeColor="text1"/>
          <w:sz w:val="24"/>
          <w:szCs w:val="24"/>
          <w:highlight w:val="none"/>
          <w14:textFill>
            <w14:solidFill>
              <w14:schemeClr w14:val="tx1"/>
            </w14:solidFill>
          </w14:textFill>
        </w:rPr>
        <w:t>同时，正式授权下述签字人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（姓名和职务）代表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（供应商单位名称），全权处理本次项目磋商的有关事宜。</w:t>
      </w:r>
    </w:p>
    <w:p w14:paraId="4FD45B1B">
      <w:pPr>
        <w:pStyle w:val="280"/>
        <w:keepNext w:val="0"/>
        <w:keepLines w:val="0"/>
        <w:pageBreakBefore w:val="0"/>
        <w:widowControl w:val="0"/>
        <w:kinsoku/>
        <w:wordWrap w:val="0"/>
        <w:overflowPunct/>
        <w:topLinePunct w:val="0"/>
        <w:autoSpaceDE/>
        <w:autoSpaceDN/>
        <w:bidi w:val="0"/>
        <w:adjustRightInd/>
        <w:snapToGrid/>
        <w:spacing w:before="0" w:after="0" w:line="500" w:lineRule="exact"/>
        <w:ind w:firstLine="482"/>
        <w:textAlignment w:val="auto"/>
        <w:rPr>
          <w:rFonts w:hint="eastAsia" w:ascii="仿宋" w:hAnsi="仿宋" w:eastAsia="仿宋" w:cs="仿宋"/>
          <w:highlight w:val="none"/>
        </w:rPr>
      </w:pPr>
      <w:r>
        <w:rPr>
          <w:rFonts w:hint="eastAsia" w:ascii="仿宋" w:hAnsi="仿宋" w:eastAsia="仿宋" w:cs="仿宋"/>
          <w:sz w:val="24"/>
          <w:highlight w:val="none"/>
          <w:lang w:eastAsia="zh-CN"/>
        </w:rPr>
        <w:t>1.我公司经研究，</w:t>
      </w:r>
      <w:r>
        <w:rPr>
          <w:rFonts w:hint="eastAsia" w:ascii="仿宋" w:hAnsi="仿宋" w:eastAsia="仿宋" w:cs="仿宋"/>
          <w:highlight w:val="none"/>
        </w:rPr>
        <w:t>按照</w:t>
      </w:r>
      <w:r>
        <w:rPr>
          <w:rFonts w:hint="eastAsia" w:ascii="仿宋" w:hAnsi="仿宋" w:eastAsia="仿宋" w:cs="仿宋"/>
          <w:highlight w:val="none"/>
          <w:lang w:eastAsia="zh-CN"/>
        </w:rPr>
        <w:t>竞争性磋商</w:t>
      </w:r>
      <w:r>
        <w:rPr>
          <w:rFonts w:hint="eastAsia" w:ascii="仿宋" w:hAnsi="仿宋" w:eastAsia="仿宋" w:cs="仿宋"/>
          <w:highlight w:val="none"/>
        </w:rPr>
        <w:t>文件中规</w:t>
      </w:r>
      <w:r>
        <w:rPr>
          <w:rFonts w:hint="eastAsia" w:ascii="仿宋" w:hAnsi="仿宋" w:eastAsia="仿宋" w:cs="仿宋"/>
          <w:highlight w:val="none"/>
          <w:lang w:eastAsia="zh-CN"/>
        </w:rPr>
        <w:t>定的</w:t>
      </w:r>
      <w:r>
        <w:rPr>
          <w:rFonts w:hint="eastAsia" w:ascii="仿宋" w:hAnsi="仿宋" w:eastAsia="仿宋" w:cs="仿宋"/>
          <w:highlight w:val="none"/>
        </w:rPr>
        <w:t>各项要求，我方愿以（大写、人民币</w:t>
      </w:r>
      <w:r>
        <w:rPr>
          <w:rFonts w:hint="eastAsia" w:ascii="仿宋" w:hAnsi="仿宋" w:eastAsia="仿宋" w:cs="仿宋"/>
          <w:highlight w:val="none"/>
          <w:u w:val="none"/>
        </w:rPr>
        <w:t>）</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）的</w:t>
      </w:r>
      <w:r>
        <w:rPr>
          <w:rFonts w:hint="eastAsia" w:ascii="仿宋" w:hAnsi="仿宋" w:eastAsia="仿宋" w:cs="仿宋"/>
          <w:highlight w:val="none"/>
          <w:lang w:eastAsia="zh-CN"/>
        </w:rPr>
        <w:t>磋商</w:t>
      </w:r>
      <w:r>
        <w:rPr>
          <w:rFonts w:hint="eastAsia" w:ascii="仿宋" w:hAnsi="仿宋" w:eastAsia="仿宋" w:cs="仿宋"/>
          <w:highlight w:val="none"/>
        </w:rPr>
        <w:t>报价并按</w:t>
      </w:r>
      <w:r>
        <w:rPr>
          <w:rFonts w:hint="eastAsia" w:ascii="仿宋" w:hAnsi="仿宋" w:eastAsia="仿宋" w:cs="仿宋"/>
          <w:highlight w:val="none"/>
          <w:lang w:eastAsia="zh-CN"/>
        </w:rPr>
        <w:t>竞争性磋商</w:t>
      </w:r>
      <w:r>
        <w:rPr>
          <w:rFonts w:hint="eastAsia" w:ascii="仿宋" w:hAnsi="仿宋" w:eastAsia="仿宋" w:cs="仿宋"/>
          <w:highlight w:val="none"/>
        </w:rPr>
        <w:t>文件的规定要求提供货物和服务。</w:t>
      </w:r>
    </w:p>
    <w:p w14:paraId="24103FE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参加本次政府采购活动前三年内，我公司在经营活动中没有因违法经营受到刑事处罚或者责令停产停业、吊销许可证或者执照、较大数额罚款等行政处罚。 </w:t>
      </w:r>
    </w:p>
    <w:p w14:paraId="6B6A34DD">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我公司负责人</w:t>
      </w:r>
      <w:r>
        <w:rPr>
          <w:rFonts w:hint="eastAsia" w:ascii="仿宋" w:hAnsi="仿宋" w:eastAsia="仿宋" w:cs="仿宋"/>
          <w:sz w:val="24"/>
          <w:highlight w:val="none"/>
          <w:lang w:eastAsia="zh-CN"/>
        </w:rPr>
        <w:t>没有</w:t>
      </w:r>
      <w:r>
        <w:rPr>
          <w:rFonts w:hint="eastAsia" w:ascii="仿宋" w:hAnsi="仿宋" w:eastAsia="仿宋" w:cs="仿宋"/>
          <w:sz w:val="24"/>
          <w:highlight w:val="none"/>
        </w:rPr>
        <w:t>为同一人或者存在直接控股、管理关系的不同供应商，</w:t>
      </w:r>
      <w:r>
        <w:rPr>
          <w:rFonts w:hint="eastAsia" w:ascii="仿宋" w:hAnsi="仿宋" w:eastAsia="仿宋" w:cs="仿宋"/>
          <w:sz w:val="24"/>
          <w:highlight w:val="none"/>
          <w:lang w:eastAsia="zh-CN"/>
        </w:rPr>
        <w:t>不得</w:t>
      </w:r>
      <w:r>
        <w:rPr>
          <w:rFonts w:hint="eastAsia" w:ascii="仿宋" w:hAnsi="仿宋" w:eastAsia="仿宋" w:cs="仿宋"/>
          <w:sz w:val="24"/>
          <w:highlight w:val="none"/>
        </w:rPr>
        <w:t>同时参加同一合同项下的政府采购活动</w:t>
      </w:r>
      <w:r>
        <w:rPr>
          <w:rFonts w:hint="eastAsia" w:ascii="仿宋" w:hAnsi="仿宋" w:eastAsia="仿宋" w:cs="仿宋"/>
          <w:sz w:val="24"/>
          <w:highlight w:val="none"/>
          <w:lang w:eastAsia="zh-CN"/>
        </w:rPr>
        <w:t>。</w:t>
      </w:r>
    </w:p>
    <w:p w14:paraId="7A30F8D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我公司没有为本项目提供整体设计、规范编制或者项目管理、监理、检测等服务。</w:t>
      </w:r>
    </w:p>
    <w:p w14:paraId="34DFFC7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参加本次采购活动前，我</w:t>
      </w:r>
      <w:r>
        <w:rPr>
          <w:rFonts w:hint="eastAsia" w:ascii="仿宋" w:hAnsi="仿宋" w:eastAsia="仿宋" w:cs="仿宋"/>
          <w:sz w:val="24"/>
          <w:highlight w:val="none"/>
          <w:lang w:eastAsia="zh-CN"/>
        </w:rPr>
        <w:t>公司通过自查</w:t>
      </w:r>
      <w:r>
        <w:rPr>
          <w:rFonts w:hint="eastAsia" w:ascii="仿宋" w:hAnsi="仿宋" w:eastAsia="仿宋" w:cs="仿宋"/>
          <w:sz w:val="24"/>
          <w:highlight w:val="none"/>
        </w:rPr>
        <w:t>没有被“信用中国”网站、“中国政府采购网”列入失信被执行人名单、重大税收违法案件当事人名单、政府采购严重违法失信行为记录名单。</w:t>
      </w:r>
    </w:p>
    <w:p w14:paraId="1ACE6A3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我公司郑重承诺具备履行合同所必需的设备和专业技术能力。</w:t>
      </w:r>
    </w:p>
    <w:p w14:paraId="4BBA171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我公司郑重承诺具备《中华人民共和国政府采购法》第二十二条第一款规定的六项条件。</w:t>
      </w:r>
    </w:p>
    <w:p w14:paraId="27B7F41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lang w:eastAsia="zh-CN"/>
        </w:rPr>
        <w:t>.</w:t>
      </w:r>
      <w:r>
        <w:rPr>
          <w:rFonts w:hint="eastAsia" w:ascii="仿宋" w:hAnsi="仿宋" w:eastAsia="仿宋" w:cs="仿宋"/>
          <w:sz w:val="24"/>
          <w:highlight w:val="none"/>
        </w:rPr>
        <w:t>我方同意按照</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文件中第1</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条规定，本响应文件的有效期为从</w:t>
      </w:r>
      <w:r>
        <w:rPr>
          <w:rFonts w:hint="eastAsia" w:ascii="仿宋" w:hAnsi="仿宋" w:eastAsia="仿宋" w:cs="仿宋"/>
          <w:sz w:val="24"/>
          <w:highlight w:val="none"/>
          <w:lang w:eastAsia="zh-CN"/>
        </w:rPr>
        <w:t>磋商</w:t>
      </w:r>
      <w:r>
        <w:rPr>
          <w:rFonts w:hint="eastAsia" w:ascii="仿宋" w:hAnsi="仿宋" w:eastAsia="仿宋" w:cs="仿宋"/>
          <w:sz w:val="24"/>
          <w:highlight w:val="none"/>
        </w:rPr>
        <w:t>之日起计算</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0天，在此期间，本响应文件将始终对我们具有约束力，并可随时被接受。如果我们成交，本响应文件在此期间之后将继续保持有效，直到合同生效。</w:t>
      </w:r>
    </w:p>
    <w:p w14:paraId="2FA4FA28">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9</w:t>
      </w:r>
      <w:r>
        <w:rPr>
          <w:rFonts w:hint="eastAsia" w:ascii="仿宋" w:hAnsi="仿宋" w:eastAsia="仿宋" w:cs="仿宋"/>
          <w:sz w:val="24"/>
          <w:highlight w:val="none"/>
          <w:lang w:eastAsia="zh-CN"/>
        </w:rPr>
        <w:t>.</w:t>
      </w:r>
      <w:r>
        <w:rPr>
          <w:rFonts w:hint="eastAsia" w:ascii="仿宋" w:hAnsi="仿宋" w:eastAsia="仿宋" w:cs="仿宋"/>
          <w:sz w:val="24"/>
          <w:highlight w:val="none"/>
        </w:rPr>
        <w:t>我们同意向贵方提供贵方可能要求的与</w:t>
      </w:r>
      <w:r>
        <w:rPr>
          <w:rFonts w:hint="eastAsia" w:ascii="仿宋" w:hAnsi="仿宋" w:eastAsia="仿宋" w:cs="仿宋"/>
          <w:sz w:val="24"/>
          <w:highlight w:val="none"/>
          <w:lang w:eastAsia="zh-CN"/>
        </w:rPr>
        <w:t>磋商</w:t>
      </w:r>
      <w:r>
        <w:rPr>
          <w:rFonts w:hint="eastAsia" w:ascii="仿宋" w:hAnsi="仿宋" w:eastAsia="仿宋" w:cs="仿宋"/>
          <w:sz w:val="24"/>
          <w:highlight w:val="none"/>
        </w:rPr>
        <w:t>有关的任何证据或资料，并保证所提供的都是真实的、准确的。</w:t>
      </w:r>
    </w:p>
    <w:p w14:paraId="137C46F4">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lang w:eastAsia="zh-CN"/>
        </w:rPr>
        <w:t>.如果我公司成交，为执行合同，将按照采购文件的要求提交履约保证金。</w:t>
      </w:r>
    </w:p>
    <w:p w14:paraId="562E8CCB">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一旦我</w:t>
      </w:r>
      <w:r>
        <w:rPr>
          <w:rFonts w:hint="eastAsia" w:ascii="仿宋" w:hAnsi="仿宋" w:eastAsia="仿宋" w:cs="仿宋"/>
          <w:sz w:val="24"/>
          <w:highlight w:val="none"/>
          <w:lang w:eastAsia="zh-CN"/>
        </w:rPr>
        <w:t>公司</w:t>
      </w:r>
      <w:r>
        <w:rPr>
          <w:rFonts w:hint="eastAsia" w:ascii="仿宋" w:hAnsi="仿宋" w:eastAsia="仿宋" w:cs="仿宋"/>
          <w:sz w:val="24"/>
          <w:highlight w:val="none"/>
        </w:rPr>
        <w:t>成交，将按照</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文件的规定，严格履行合同的责任和义务，并保证按</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文件中规定的时间内提供货物和服务</w:t>
      </w:r>
      <w:r>
        <w:rPr>
          <w:rFonts w:hint="eastAsia" w:ascii="仿宋" w:hAnsi="仿宋" w:eastAsia="仿宋" w:cs="仿宋"/>
          <w:sz w:val="24"/>
          <w:highlight w:val="none"/>
          <w:lang w:eastAsia="zh-CN"/>
        </w:rPr>
        <w:t>，否则我公司的履约保证金将被贵方没收。</w:t>
      </w:r>
    </w:p>
    <w:p w14:paraId="4A46C8D2">
      <w:pPr>
        <w:pStyle w:val="280"/>
        <w:keepNext w:val="0"/>
        <w:keepLines w:val="0"/>
        <w:pageBreakBefore w:val="0"/>
        <w:widowControl w:val="0"/>
        <w:kinsoku/>
        <w:wordWrap/>
        <w:overflowPunct/>
        <w:topLinePunct w:val="0"/>
        <w:autoSpaceDE/>
        <w:autoSpaceDN/>
        <w:bidi w:val="0"/>
        <w:adjustRightInd/>
        <w:snapToGrid/>
        <w:spacing w:before="0" w:after="0" w:line="500" w:lineRule="exact"/>
        <w:ind w:firstLine="2880"/>
        <w:textAlignment w:val="auto"/>
        <w:rPr>
          <w:rFonts w:hint="eastAsia" w:ascii="仿宋" w:hAnsi="仿宋" w:eastAsia="仿宋" w:cs="仿宋"/>
          <w:highlight w:val="none"/>
          <w:u w:val="single"/>
        </w:rPr>
      </w:pPr>
      <w:r>
        <w:rPr>
          <w:rFonts w:hint="eastAsia" w:ascii="仿宋" w:hAnsi="仿宋" w:eastAsia="仿宋" w:cs="仿宋"/>
          <w:highlight w:val="none"/>
        </w:rPr>
        <w:t>供应商名称</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（电子签章）           </w:t>
      </w:r>
    </w:p>
    <w:p w14:paraId="518423A2">
      <w:pPr>
        <w:pStyle w:val="280"/>
        <w:keepNext w:val="0"/>
        <w:keepLines w:val="0"/>
        <w:pageBreakBefore w:val="0"/>
        <w:widowControl w:val="0"/>
        <w:kinsoku/>
        <w:wordWrap/>
        <w:overflowPunct/>
        <w:topLinePunct w:val="0"/>
        <w:autoSpaceDE/>
        <w:autoSpaceDN/>
        <w:bidi w:val="0"/>
        <w:adjustRightInd/>
        <w:snapToGrid/>
        <w:spacing w:before="0" w:after="0" w:line="500" w:lineRule="exact"/>
        <w:ind w:firstLine="2880"/>
        <w:textAlignment w:val="auto"/>
        <w:rPr>
          <w:rFonts w:hint="eastAsia" w:ascii="仿宋" w:hAnsi="仿宋" w:eastAsia="仿宋" w:cs="仿宋"/>
          <w:highlight w:val="none"/>
        </w:rPr>
      </w:pPr>
      <w:r>
        <w:rPr>
          <w:rFonts w:hint="eastAsia" w:ascii="仿宋" w:hAnsi="仿宋" w:eastAsia="仿宋" w:cs="仿宋"/>
          <w:highlight w:val="none"/>
        </w:rPr>
        <w:t>地址</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w:t>
      </w:r>
      <w:r>
        <w:rPr>
          <w:rFonts w:hint="eastAsia" w:ascii="仿宋" w:hAnsi="仿宋" w:eastAsia="仿宋" w:cs="仿宋"/>
          <w:highlight w:val="none"/>
        </w:rPr>
        <w:t>邮编</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w:t>
      </w:r>
    </w:p>
    <w:p w14:paraId="592E998E">
      <w:pPr>
        <w:keepNext w:val="0"/>
        <w:keepLines w:val="0"/>
        <w:pageBreakBefore w:val="0"/>
        <w:widowControl w:val="0"/>
        <w:kinsoku/>
        <w:wordWrap/>
        <w:overflowPunct/>
        <w:topLinePunct w:val="0"/>
        <w:autoSpaceDE/>
        <w:autoSpaceDN/>
        <w:bidi w:val="0"/>
        <w:adjustRightInd/>
        <w:snapToGrid/>
        <w:spacing w:line="500" w:lineRule="exact"/>
        <w:ind w:firstLine="288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电话</w:t>
      </w:r>
      <w:r>
        <w:rPr>
          <w:rFonts w:hint="eastAsia" w:ascii="仿宋" w:hAnsi="仿宋" w:eastAsia="仿宋" w:cs="仿宋"/>
          <w:sz w:val="24"/>
          <w:highlight w:val="none"/>
          <w:lang w:eastAsia="zh-CN"/>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传真</w:t>
      </w:r>
      <w:r>
        <w:rPr>
          <w:rFonts w:hint="eastAsia" w:ascii="仿宋" w:hAnsi="仿宋" w:eastAsia="仿宋" w:cs="仿宋"/>
          <w:sz w:val="24"/>
          <w:highlight w:val="none"/>
          <w:lang w:eastAsia="zh-CN"/>
        </w:rPr>
        <w:t>：</w:t>
      </w:r>
      <w:r>
        <w:rPr>
          <w:rFonts w:hint="eastAsia" w:ascii="仿宋" w:hAnsi="仿宋" w:eastAsia="仿宋" w:cs="仿宋"/>
          <w:sz w:val="24"/>
          <w:highlight w:val="none"/>
          <w:u w:val="single"/>
        </w:rPr>
        <w:t xml:space="preserve">             </w:t>
      </w:r>
    </w:p>
    <w:p w14:paraId="12F9E660">
      <w:pPr>
        <w:keepNext w:val="0"/>
        <w:keepLines w:val="0"/>
        <w:pageBreakBefore w:val="0"/>
        <w:widowControl w:val="0"/>
        <w:kinsoku/>
        <w:overflowPunct/>
        <w:topLinePunct w:val="0"/>
        <w:bidi w:val="0"/>
        <w:spacing w:line="440" w:lineRule="exact"/>
        <w:jc w:val="center"/>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或授权委托人：</w:t>
      </w:r>
      <w:r>
        <w:rPr>
          <w:rFonts w:hint="eastAsia" w:ascii="仿宋" w:hAnsi="仿宋" w:eastAsia="仿宋" w:cs="仿宋"/>
          <w:color w:val="000000" w:themeColor="text1"/>
          <w:sz w:val="24"/>
          <w:szCs w:val="22"/>
          <w:highlight w:val="none"/>
          <w:u w:val="single"/>
          <w14:textFill>
            <w14:solidFill>
              <w14:schemeClr w14:val="tx1"/>
            </w14:solidFill>
          </w14:textFill>
        </w:rPr>
        <w:t>（签章或签字）</w:t>
      </w:r>
    </w:p>
    <w:p w14:paraId="27B67295">
      <w:pPr>
        <w:pStyle w:val="248"/>
        <w:keepNext w:val="0"/>
        <w:keepLines w:val="0"/>
        <w:pageBreakBefore w:val="0"/>
        <w:widowControl w:val="0"/>
        <w:kinsoku/>
        <w:wordWrap/>
        <w:overflowPunct/>
        <w:topLinePunct w:val="0"/>
        <w:autoSpaceDE/>
        <w:autoSpaceDN/>
        <w:bidi w:val="0"/>
        <w:adjustRightInd/>
        <w:snapToGrid/>
        <w:spacing w:line="500" w:lineRule="exact"/>
        <w:ind w:firstLine="288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职务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u w:val="single"/>
        </w:rPr>
        <w:t xml:space="preserve">                               </w:t>
      </w:r>
    </w:p>
    <w:p w14:paraId="03B5425C">
      <w:pPr>
        <w:pStyle w:val="248"/>
        <w:keepNext w:val="0"/>
        <w:keepLines w:val="0"/>
        <w:pageBreakBefore w:val="0"/>
        <w:widowControl w:val="0"/>
        <w:kinsoku/>
        <w:wordWrap/>
        <w:overflowPunct/>
        <w:topLinePunct w:val="0"/>
        <w:autoSpaceDE/>
        <w:autoSpaceDN/>
        <w:bidi w:val="0"/>
        <w:adjustRightInd/>
        <w:snapToGrid/>
        <w:spacing w:line="500" w:lineRule="exact"/>
        <w:ind w:firstLine="2880"/>
        <w:textAlignment w:val="auto"/>
        <w:rPr>
          <w:rFonts w:hint="eastAsia" w:ascii="仿宋" w:hAnsi="仿宋" w:eastAsia="仿宋" w:cs="仿宋"/>
          <w:sz w:val="24"/>
          <w:szCs w:val="24"/>
          <w:highlight w:val="none"/>
        </w:rPr>
        <w:sectPr>
          <w:pgSz w:w="11906" w:h="16838"/>
          <w:pgMar w:top="1440" w:right="1080" w:bottom="1440" w:left="1080" w:header="851" w:footer="992" w:gutter="0"/>
          <w:pgNumType w:fmt="decimal"/>
          <w:cols w:space="1701" w:num="1"/>
          <w:docGrid w:linePitch="360" w:charSpace="0"/>
        </w:sect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C1EC38B">
      <w:pPr>
        <w:pStyle w:val="244"/>
        <w:keepNext w:val="0"/>
        <w:keepLines w:val="0"/>
        <w:pageBreakBefore w:val="0"/>
        <w:widowControl w:val="0"/>
        <w:kinsoku/>
        <w:overflowPunct/>
        <w:topLinePunct w:val="0"/>
        <w:bidi w:val="0"/>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二、</w:t>
      </w:r>
      <w:bookmarkStart w:id="76" w:name="OLE_LINK40"/>
      <w:bookmarkStart w:id="77" w:name="OLE_LINK39"/>
      <w:r>
        <w:rPr>
          <w:rFonts w:hint="eastAsia" w:ascii="仿宋" w:hAnsi="仿宋" w:eastAsia="仿宋" w:cs="仿宋"/>
          <w:b/>
          <w:color w:val="000000" w:themeColor="text1"/>
          <w:sz w:val="28"/>
          <w:szCs w:val="28"/>
          <w:highlight w:val="none"/>
          <w14:textFill>
            <w14:solidFill>
              <w14:schemeClr w14:val="tx1"/>
            </w14:solidFill>
          </w14:textFill>
        </w:rPr>
        <w:t>报价明细表</w:t>
      </w:r>
    </w:p>
    <w:tbl>
      <w:tblPr>
        <w:tblStyle w:val="37"/>
        <w:tblW w:w="0" w:type="auto"/>
        <w:tblInd w:w="144" w:type="dxa"/>
        <w:shd w:val="clear" w:color="auto" w:fill="auto"/>
        <w:tblLayout w:type="fixed"/>
        <w:tblCellMar>
          <w:top w:w="0" w:type="dxa"/>
          <w:left w:w="108" w:type="dxa"/>
          <w:bottom w:w="0" w:type="dxa"/>
          <w:right w:w="108" w:type="dxa"/>
        </w:tblCellMar>
      </w:tblPr>
      <w:tblGrid>
        <w:gridCol w:w="720"/>
        <w:gridCol w:w="1215"/>
        <w:gridCol w:w="2145"/>
        <w:gridCol w:w="870"/>
        <w:gridCol w:w="1005"/>
        <w:gridCol w:w="1409"/>
        <w:gridCol w:w="1227"/>
        <w:gridCol w:w="1227"/>
      </w:tblGrid>
      <w:tr w14:paraId="7F669BFA">
        <w:tblPrEx>
          <w:shd w:val="clear" w:color="auto" w:fill="auto"/>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DDE046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序号</w:t>
            </w:r>
          </w:p>
        </w:tc>
        <w:tc>
          <w:tcPr>
            <w:tcW w:w="121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9E6E03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产品名称</w:t>
            </w:r>
          </w:p>
        </w:tc>
        <w:tc>
          <w:tcPr>
            <w:tcW w:w="214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6D2C3EE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规格</w:t>
            </w:r>
          </w:p>
        </w:tc>
        <w:tc>
          <w:tcPr>
            <w:tcW w:w="870" w:type="dxa"/>
            <w:tcBorders>
              <w:top w:val="single" w:color="000000" w:sz="8" w:space="0"/>
              <w:left w:val="single" w:color="000000" w:sz="8" w:space="0"/>
              <w:bottom w:val="single" w:color="000000" w:sz="4" w:space="0"/>
              <w:right w:val="single" w:color="000000" w:sz="8" w:space="0"/>
            </w:tcBorders>
            <w:shd w:val="clear" w:color="auto" w:fill="auto"/>
            <w:vAlign w:val="center"/>
          </w:tcPr>
          <w:p w14:paraId="7857829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w:t>
            </w:r>
          </w:p>
        </w:tc>
        <w:tc>
          <w:tcPr>
            <w:tcW w:w="10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4E624165">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40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1921997">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备注</w:t>
            </w: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E78E141">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单价（元）</w:t>
            </w: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61B5684">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总价（元）</w:t>
            </w:r>
          </w:p>
        </w:tc>
      </w:tr>
      <w:tr w14:paraId="480AA2DC">
        <w:trPr>
          <w:trHeight w:val="624"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F59E4C0">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w:t>
            </w:r>
          </w:p>
        </w:tc>
        <w:tc>
          <w:tcPr>
            <w:tcW w:w="121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2191A6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电动挂桶垃圾车</w:t>
            </w:r>
          </w:p>
        </w:tc>
        <w:tc>
          <w:tcPr>
            <w:tcW w:w="214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6859317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5m³</w:t>
            </w:r>
          </w:p>
        </w:tc>
        <w:tc>
          <w:tcPr>
            <w:tcW w:w="870" w:type="dxa"/>
            <w:tcBorders>
              <w:top w:val="single" w:color="000000" w:sz="8" w:space="0"/>
              <w:left w:val="single" w:color="000000" w:sz="8" w:space="0"/>
              <w:bottom w:val="single" w:color="000000" w:sz="4" w:space="0"/>
              <w:right w:val="single" w:color="000000" w:sz="8" w:space="0"/>
            </w:tcBorders>
            <w:shd w:val="clear" w:color="auto" w:fill="auto"/>
            <w:vAlign w:val="center"/>
          </w:tcPr>
          <w:p w14:paraId="104B853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10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BA0ACD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40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2C0721B7">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493200D">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9732382">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02ED8577">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78C4018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w:t>
            </w:r>
          </w:p>
        </w:tc>
        <w:tc>
          <w:tcPr>
            <w:tcW w:w="121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C9078B0">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电动挂桶垃圾车</w:t>
            </w:r>
          </w:p>
        </w:tc>
        <w:tc>
          <w:tcPr>
            <w:tcW w:w="214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5529DE1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2.5m³</w:t>
            </w:r>
          </w:p>
        </w:tc>
        <w:tc>
          <w:tcPr>
            <w:tcW w:w="870" w:type="dxa"/>
            <w:tcBorders>
              <w:top w:val="single" w:color="000000" w:sz="8" w:space="0"/>
              <w:left w:val="single" w:color="000000" w:sz="8" w:space="0"/>
              <w:bottom w:val="single" w:color="000000" w:sz="4" w:space="0"/>
              <w:right w:val="single" w:color="000000" w:sz="8" w:space="0"/>
            </w:tcBorders>
            <w:shd w:val="clear" w:color="auto" w:fill="auto"/>
            <w:vAlign w:val="center"/>
          </w:tcPr>
          <w:p w14:paraId="442B7F39">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10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3172673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40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CEE025A">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7C0554C">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C76A7FB">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3D28A6A7">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41D7E82">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3</w:t>
            </w:r>
          </w:p>
        </w:tc>
        <w:tc>
          <w:tcPr>
            <w:tcW w:w="121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DCE4D0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240升垃圾桶（可挂桶）</w:t>
            </w:r>
          </w:p>
        </w:tc>
        <w:tc>
          <w:tcPr>
            <w:tcW w:w="214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4BF1231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L720*580*1070mm(±10mm</w:t>
            </w:r>
            <w:r>
              <w:rPr>
                <w:rFonts w:hint="eastAsia" w:ascii="仿宋" w:hAnsi="仿宋" w:eastAsia="仿宋" w:cs="仿宋"/>
                <w:color w:val="auto"/>
                <w:sz w:val="24"/>
                <w:highlight w:val="none"/>
                <w:lang w:eastAsia="zh-CN"/>
              </w:rPr>
              <w:t>)</w:t>
            </w:r>
          </w:p>
        </w:tc>
        <w:tc>
          <w:tcPr>
            <w:tcW w:w="870" w:type="dxa"/>
            <w:tcBorders>
              <w:top w:val="single" w:color="000000" w:sz="8" w:space="0"/>
              <w:left w:val="single" w:color="000000" w:sz="8" w:space="0"/>
              <w:bottom w:val="single" w:color="000000" w:sz="4" w:space="0"/>
              <w:right w:val="single" w:color="000000" w:sz="8" w:space="0"/>
            </w:tcBorders>
            <w:shd w:val="clear" w:color="auto" w:fill="auto"/>
            <w:vAlign w:val="center"/>
          </w:tcPr>
          <w:p w14:paraId="61978FDC">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个</w:t>
            </w:r>
          </w:p>
        </w:tc>
        <w:tc>
          <w:tcPr>
            <w:tcW w:w="10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E4ED54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6000</w:t>
            </w:r>
          </w:p>
        </w:tc>
        <w:tc>
          <w:tcPr>
            <w:tcW w:w="140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4F8DEB86">
            <w:pPr>
              <w:keepNext w:val="0"/>
              <w:keepLines w:val="0"/>
              <w:pageBreakBefore w:val="0"/>
              <w:widowControl w:val="0"/>
              <w:kinsoku/>
              <w:overflowPunct/>
              <w:topLinePunct w:val="0"/>
              <w:bidi w:val="0"/>
              <w:snapToGrid w:val="0"/>
              <w:spacing w:line="360" w:lineRule="auto"/>
              <w:rPr>
                <w:rFonts w:hint="eastAsia" w:ascii="宋体" w:hAnsi="宋体" w:eastAsia="宋体" w:cs="Calibri"/>
                <w:color w:val="000000"/>
                <w:sz w:val="24"/>
                <w:szCs w:val="24"/>
                <w:highlight w:val="none"/>
              </w:rPr>
            </w:pPr>
            <w:r>
              <w:rPr>
                <w:rFonts w:hint="eastAsia" w:ascii="宋体" w:hAnsi="宋体" w:cs="Calibri"/>
                <w:color w:val="000000"/>
                <w:sz w:val="24"/>
                <w:highlight w:val="none"/>
              </w:rPr>
              <w:drawing>
                <wp:anchor distT="0" distB="0" distL="114300" distR="114300" simplePos="0" relativeHeight="251663360" behindDoc="0" locked="0" layoutInCell="1" allowOverlap="1">
                  <wp:simplePos x="0" y="0"/>
                  <wp:positionH relativeFrom="column">
                    <wp:posOffset>19050</wp:posOffset>
                  </wp:positionH>
                  <wp:positionV relativeFrom="paragraph">
                    <wp:posOffset>114300</wp:posOffset>
                  </wp:positionV>
                  <wp:extent cx="723900" cy="447675"/>
                  <wp:effectExtent l="0" t="0" r="0" b="9525"/>
                  <wp:wrapNone/>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23900" cy="451757"/>
                          </a:xfrm>
                          <a:prstGeom prst="rect">
                            <a:avLst/>
                          </a:prstGeom>
                          <a:noFill/>
                        </pic:spPr>
                      </pic:pic>
                    </a:graphicData>
                  </a:graphic>
                </wp:anchor>
              </w:drawing>
            </w: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9C4C5D6">
            <w:pPr>
              <w:keepNext w:val="0"/>
              <w:keepLines w:val="0"/>
              <w:pageBreakBefore w:val="0"/>
              <w:widowControl w:val="0"/>
              <w:kinsoku/>
              <w:overflowPunct/>
              <w:topLinePunct w:val="0"/>
              <w:bidi w:val="0"/>
              <w:snapToGrid w:val="0"/>
              <w:spacing w:line="360" w:lineRule="auto"/>
              <w:rPr>
                <w:rFonts w:hint="eastAsia" w:ascii="宋体" w:hAnsi="宋体" w:cs="Calibri"/>
                <w:color w:val="000000"/>
                <w:sz w:val="24"/>
                <w:highlight w:val="none"/>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988D65C">
            <w:pPr>
              <w:keepNext w:val="0"/>
              <w:keepLines w:val="0"/>
              <w:pageBreakBefore w:val="0"/>
              <w:widowControl w:val="0"/>
              <w:kinsoku/>
              <w:overflowPunct/>
              <w:topLinePunct w:val="0"/>
              <w:bidi w:val="0"/>
              <w:snapToGrid w:val="0"/>
              <w:spacing w:line="360" w:lineRule="auto"/>
              <w:rPr>
                <w:rFonts w:hint="eastAsia" w:ascii="宋体" w:hAnsi="宋体" w:cs="Calibri"/>
                <w:color w:val="000000"/>
                <w:sz w:val="24"/>
                <w:highlight w:val="none"/>
              </w:rPr>
            </w:pPr>
          </w:p>
        </w:tc>
      </w:tr>
      <w:tr w14:paraId="0466A417">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vAlign w:val="center"/>
          </w:tcPr>
          <w:p w14:paraId="1C3B3636">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4</w:t>
            </w:r>
          </w:p>
        </w:tc>
        <w:tc>
          <w:tcPr>
            <w:tcW w:w="121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A5FE67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120升垃圾桶</w:t>
            </w:r>
          </w:p>
        </w:tc>
        <w:tc>
          <w:tcPr>
            <w:tcW w:w="2145" w:type="dxa"/>
            <w:tcBorders>
              <w:top w:val="single" w:color="000000" w:sz="8" w:space="0"/>
              <w:left w:val="single" w:color="000000" w:sz="8" w:space="0"/>
              <w:bottom w:val="single" w:color="000000" w:sz="4" w:space="0"/>
              <w:right w:val="single" w:color="000000" w:sz="8" w:space="0"/>
            </w:tcBorders>
            <w:shd w:val="clear" w:color="auto" w:fill="auto"/>
            <w:vAlign w:val="center"/>
          </w:tcPr>
          <w:p w14:paraId="6EC5CD9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L470*540*900mm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±30mm</w:t>
            </w:r>
            <w:r>
              <w:rPr>
                <w:rFonts w:hint="eastAsia" w:ascii="仿宋" w:hAnsi="仿宋" w:eastAsia="仿宋" w:cs="仿宋"/>
                <w:color w:val="auto"/>
                <w:sz w:val="24"/>
                <w:highlight w:val="none"/>
                <w:lang w:eastAsia="zh-CN"/>
              </w:rPr>
              <w:t>)</w:t>
            </w:r>
          </w:p>
        </w:tc>
        <w:tc>
          <w:tcPr>
            <w:tcW w:w="870" w:type="dxa"/>
            <w:tcBorders>
              <w:top w:val="single" w:color="000000" w:sz="8" w:space="0"/>
              <w:left w:val="single" w:color="000000" w:sz="8" w:space="0"/>
              <w:bottom w:val="single" w:color="000000" w:sz="4" w:space="0"/>
              <w:right w:val="single" w:color="000000" w:sz="8" w:space="0"/>
            </w:tcBorders>
            <w:shd w:val="clear" w:color="auto" w:fill="auto"/>
            <w:vAlign w:val="center"/>
          </w:tcPr>
          <w:p w14:paraId="0DEFE2CB">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个</w:t>
            </w:r>
          </w:p>
        </w:tc>
        <w:tc>
          <w:tcPr>
            <w:tcW w:w="1005"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FE6D4C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600</w:t>
            </w:r>
          </w:p>
        </w:tc>
        <w:tc>
          <w:tcPr>
            <w:tcW w:w="1409"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65E05BC2">
            <w:pPr>
              <w:keepNext w:val="0"/>
              <w:keepLines w:val="0"/>
              <w:pageBreakBefore w:val="0"/>
              <w:widowControl w:val="0"/>
              <w:kinsoku/>
              <w:overflowPunct/>
              <w:topLinePunct w:val="0"/>
              <w:bidi w:val="0"/>
              <w:snapToGrid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rPr>
              <w:drawing>
                <wp:anchor distT="0" distB="0" distL="114300" distR="114300" simplePos="0" relativeHeight="251664384" behindDoc="0" locked="0" layoutInCell="1" allowOverlap="1">
                  <wp:simplePos x="0" y="0"/>
                  <wp:positionH relativeFrom="column">
                    <wp:posOffset>205105</wp:posOffset>
                  </wp:positionH>
                  <wp:positionV relativeFrom="paragraph">
                    <wp:posOffset>-13335</wp:posOffset>
                  </wp:positionV>
                  <wp:extent cx="581025" cy="523875"/>
                  <wp:effectExtent l="0" t="0" r="9525" b="9525"/>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81025" cy="523875"/>
                          </a:xfrm>
                          <a:prstGeom prst="rect">
                            <a:avLst/>
                          </a:prstGeom>
                          <a:noFill/>
                        </pic:spPr>
                      </pic:pic>
                    </a:graphicData>
                  </a:graphic>
                </wp:anchor>
              </w:drawing>
            </w: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75D8C5A">
            <w:pPr>
              <w:keepNext w:val="0"/>
              <w:keepLines w:val="0"/>
              <w:pageBreakBefore w:val="0"/>
              <w:widowControl w:val="0"/>
              <w:kinsoku/>
              <w:overflowPunct/>
              <w:topLinePunct w:val="0"/>
              <w:bidi w:val="0"/>
              <w:snapToGrid w:val="0"/>
              <w:spacing w:line="360" w:lineRule="auto"/>
              <w:rPr>
                <w:rFonts w:hint="eastAsia" w:ascii="宋体" w:hAnsi="宋体" w:cs="宋体"/>
                <w:color w:val="000000"/>
                <w:sz w:val="24"/>
                <w:highlight w:val="none"/>
              </w:rPr>
            </w:pPr>
          </w:p>
        </w:tc>
        <w:tc>
          <w:tcPr>
            <w:tcW w:w="122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0C121855">
            <w:pPr>
              <w:keepNext w:val="0"/>
              <w:keepLines w:val="0"/>
              <w:pageBreakBefore w:val="0"/>
              <w:widowControl w:val="0"/>
              <w:kinsoku/>
              <w:overflowPunct/>
              <w:topLinePunct w:val="0"/>
              <w:bidi w:val="0"/>
              <w:snapToGrid w:val="0"/>
              <w:spacing w:line="360" w:lineRule="auto"/>
              <w:rPr>
                <w:rFonts w:hint="eastAsia" w:ascii="宋体" w:hAnsi="宋体" w:cs="宋体"/>
                <w:color w:val="000000"/>
                <w:sz w:val="24"/>
                <w:highlight w:val="none"/>
              </w:rPr>
            </w:pPr>
          </w:p>
        </w:tc>
      </w:tr>
      <w:tr w14:paraId="1C4F202E">
        <w:tblPrEx>
          <w:tblCellMar>
            <w:top w:w="0" w:type="dxa"/>
            <w:left w:w="108" w:type="dxa"/>
            <w:bottom w:w="0" w:type="dxa"/>
            <w:right w:w="108" w:type="dxa"/>
          </w:tblCellMar>
        </w:tblPrEx>
        <w:trPr>
          <w:trHeight w:val="733" w:hRule="atLeast"/>
        </w:trPr>
        <w:tc>
          <w:tcPr>
            <w:tcW w:w="72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500CFA2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w:t>
            </w:r>
          </w:p>
        </w:tc>
        <w:tc>
          <w:tcPr>
            <w:tcW w:w="121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8A8878E">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二轮巡逻车</w:t>
            </w:r>
          </w:p>
        </w:tc>
        <w:tc>
          <w:tcPr>
            <w:tcW w:w="21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A88EEF9">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1820*710*1090±50 (mm)</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3EEB8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100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09F446ED">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15</w:t>
            </w:r>
          </w:p>
        </w:tc>
        <w:tc>
          <w:tcPr>
            <w:tcW w:w="140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894F011">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19FEADC5">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4B535340">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2FED07CB">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7393F09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6</w:t>
            </w:r>
          </w:p>
        </w:tc>
        <w:tc>
          <w:tcPr>
            <w:tcW w:w="121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18A86B9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  手持式电动割草机</w:t>
            </w:r>
          </w:p>
        </w:tc>
        <w:tc>
          <w:tcPr>
            <w:tcW w:w="21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84A035C">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6D366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台</w:t>
            </w:r>
          </w:p>
        </w:tc>
        <w:tc>
          <w:tcPr>
            <w:tcW w:w="100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7851666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0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33E6A76D">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51CD8DF">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3CF2428B">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5ADC98C0">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5A188BF0">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7</w:t>
            </w:r>
          </w:p>
        </w:tc>
        <w:tc>
          <w:tcPr>
            <w:tcW w:w="121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1B5AB31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电动</w:t>
            </w:r>
            <w:r>
              <w:rPr>
                <w:rFonts w:hint="eastAsia" w:ascii="仿宋" w:hAnsi="仿宋" w:eastAsia="仿宋" w:cs="仿宋"/>
                <w:color w:val="auto"/>
                <w:sz w:val="24"/>
                <w:highlight w:val="none"/>
              </w:rPr>
              <w:t>修枝机</w:t>
            </w:r>
          </w:p>
        </w:tc>
        <w:tc>
          <w:tcPr>
            <w:tcW w:w="21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7E500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D3BD8">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台</w:t>
            </w:r>
          </w:p>
        </w:tc>
        <w:tc>
          <w:tcPr>
            <w:tcW w:w="100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78ED771A">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0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8A43F61">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061AEFE5">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4A70D55E">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19FE960C">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32B88A2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8</w:t>
            </w:r>
          </w:p>
        </w:tc>
        <w:tc>
          <w:tcPr>
            <w:tcW w:w="121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72E7EA1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人力保洁车</w:t>
            </w:r>
          </w:p>
        </w:tc>
        <w:tc>
          <w:tcPr>
            <w:tcW w:w="21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B22C013">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900*700*550mm</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5D67405">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100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7FE676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0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A55C84D">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03B4C5F8">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74064090">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31026AEE">
        <w:tblPrEx>
          <w:tblCellMar>
            <w:top w:w="0" w:type="dxa"/>
            <w:left w:w="108" w:type="dxa"/>
            <w:bottom w:w="0" w:type="dxa"/>
            <w:right w:w="108" w:type="dxa"/>
          </w:tblCellMar>
        </w:tblPrEx>
        <w:trPr>
          <w:trHeight w:val="624" w:hRule="atLeast"/>
        </w:trPr>
        <w:tc>
          <w:tcPr>
            <w:tcW w:w="720" w:type="dxa"/>
            <w:tcBorders>
              <w:top w:val="single" w:color="000000" w:sz="8" w:space="0"/>
              <w:left w:val="single" w:color="000000" w:sz="8" w:space="0"/>
              <w:bottom w:val="single" w:color="000000" w:sz="8" w:space="0"/>
              <w:right w:val="single" w:color="000000" w:sz="4" w:space="0"/>
            </w:tcBorders>
            <w:shd w:val="clear" w:color="auto" w:fill="auto"/>
            <w:vAlign w:val="center"/>
          </w:tcPr>
          <w:p w14:paraId="006AB02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9</w:t>
            </w:r>
          </w:p>
        </w:tc>
        <w:tc>
          <w:tcPr>
            <w:tcW w:w="121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67FC0BFF">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三轮电动垃圾清运车</w:t>
            </w:r>
          </w:p>
        </w:tc>
        <w:tc>
          <w:tcPr>
            <w:tcW w:w="214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22462C1">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2480*850*1280 mm</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±30mm</w:t>
            </w:r>
            <w:r>
              <w:rPr>
                <w:rFonts w:hint="eastAsia" w:ascii="仿宋" w:hAnsi="仿宋" w:eastAsia="仿宋" w:cs="仿宋"/>
                <w:color w:val="auto"/>
                <w:sz w:val="24"/>
                <w:highlight w:val="none"/>
                <w:lang w:eastAsia="zh-CN"/>
              </w:rPr>
              <w:t>)</w:t>
            </w:r>
          </w:p>
        </w:tc>
        <w:tc>
          <w:tcPr>
            <w:tcW w:w="87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CD2537">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辆</w:t>
            </w:r>
          </w:p>
        </w:tc>
        <w:tc>
          <w:tcPr>
            <w:tcW w:w="1005"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6FCCA24">
            <w:pPr>
              <w:keepNext w:val="0"/>
              <w:keepLines w:val="0"/>
              <w:pageBreakBefore w:val="0"/>
              <w:widowControl w:val="0"/>
              <w:kinsoku/>
              <w:overflowPunct/>
              <w:topLinePunct w:val="0"/>
              <w:bidi w:val="0"/>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409"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3ADE951">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5362F1DF">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c>
          <w:tcPr>
            <w:tcW w:w="1227" w:type="dxa"/>
            <w:tcBorders>
              <w:top w:val="single" w:color="000000" w:sz="8" w:space="0"/>
              <w:left w:val="single" w:color="000000" w:sz="8" w:space="0"/>
              <w:bottom w:val="single" w:color="000000" w:sz="8" w:space="0"/>
              <w:right w:val="single" w:color="000000" w:sz="4" w:space="0"/>
            </w:tcBorders>
            <w:shd w:val="clear" w:color="auto" w:fill="auto"/>
            <w:noWrap/>
            <w:vAlign w:val="center"/>
          </w:tcPr>
          <w:p w14:paraId="2B99C1F8">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p>
        </w:tc>
      </w:tr>
      <w:tr w14:paraId="25994389">
        <w:tblPrEx>
          <w:tblCellMar>
            <w:top w:w="0" w:type="dxa"/>
            <w:left w:w="108" w:type="dxa"/>
            <w:bottom w:w="0" w:type="dxa"/>
            <w:right w:w="108" w:type="dxa"/>
          </w:tblCellMar>
        </w:tblPrEx>
        <w:trPr>
          <w:trHeight w:val="624" w:hRule="atLeast"/>
        </w:trPr>
        <w:tc>
          <w:tcPr>
            <w:tcW w:w="9818" w:type="dxa"/>
            <w:gridSpan w:val="8"/>
            <w:tcBorders>
              <w:top w:val="single" w:color="000000" w:sz="8" w:space="0"/>
              <w:left w:val="single" w:color="000000" w:sz="8" w:space="0"/>
              <w:bottom w:val="single" w:color="000000" w:sz="4" w:space="0"/>
              <w:right w:val="single" w:color="000000" w:sz="4" w:space="0"/>
            </w:tcBorders>
            <w:shd w:val="clear" w:color="auto" w:fill="auto"/>
            <w:vAlign w:val="center"/>
          </w:tcPr>
          <w:p w14:paraId="6E4F190E">
            <w:pPr>
              <w:keepNext w:val="0"/>
              <w:keepLines w:val="0"/>
              <w:pageBreakBefore w:val="0"/>
              <w:widowControl w:val="0"/>
              <w:kinsoku/>
              <w:wordWrap/>
              <w:overflowPunct/>
              <w:topLinePunct w:val="0"/>
              <w:autoSpaceDE/>
              <w:autoSpaceDN/>
              <w:bidi w:val="0"/>
              <w:adjustRightInd/>
              <w:snapToGrid/>
              <w:spacing w:beforeAutospacing="0" w:afterAutospacing="0" w:line="480" w:lineRule="exact"/>
              <w:contextualSpacing/>
              <w:jc w:val="center"/>
              <w:textAlignment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合计：人民币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            ）</w:t>
            </w:r>
          </w:p>
        </w:tc>
      </w:tr>
    </w:tbl>
    <w:p w14:paraId="208C9FDA">
      <w:pPr>
        <w:keepNext w:val="0"/>
        <w:keepLines w:val="0"/>
        <w:pageBreakBefore w:val="0"/>
        <w:widowControl w:val="0"/>
        <w:kinsoku/>
        <w:overflowPunct/>
        <w:topLinePunct w:val="0"/>
        <w:bidi w:val="0"/>
        <w:spacing w:line="44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p>
    <w:p w14:paraId="7FBDD1D7">
      <w:pPr>
        <w:keepNext w:val="0"/>
        <w:keepLines w:val="0"/>
        <w:pageBreakBefore w:val="0"/>
        <w:widowControl w:val="0"/>
        <w:kinsoku/>
        <w:overflowPunct/>
        <w:topLinePunct w:val="0"/>
        <w:bidi w:val="0"/>
        <w:spacing w:line="440" w:lineRule="exact"/>
        <w:jc w:val="center"/>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（电子签章）           </w:t>
      </w:r>
    </w:p>
    <w:p w14:paraId="20975913">
      <w:pPr>
        <w:keepNext w:val="0"/>
        <w:keepLines w:val="0"/>
        <w:pageBreakBefore w:val="0"/>
        <w:widowControl w:val="0"/>
        <w:kinsoku/>
        <w:overflowPunct/>
        <w:topLinePunct w:val="0"/>
        <w:bidi w:val="0"/>
        <w:spacing w:line="440" w:lineRule="exact"/>
        <w:jc w:val="right"/>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或授权委托人：</w:t>
      </w:r>
      <w:r>
        <w:rPr>
          <w:rFonts w:hint="eastAsia" w:ascii="仿宋" w:hAnsi="仿宋" w:eastAsia="仿宋" w:cs="仿宋"/>
          <w:color w:val="000000" w:themeColor="text1"/>
          <w:sz w:val="24"/>
          <w:szCs w:val="22"/>
          <w:highlight w:val="none"/>
          <w:u w:val="single"/>
          <w14:textFill>
            <w14:solidFill>
              <w14:schemeClr w14:val="tx1"/>
            </w14:solidFill>
          </w14:textFill>
        </w:rPr>
        <w:t>（签章或签字）</w:t>
      </w:r>
    </w:p>
    <w:p w14:paraId="3AC189E2">
      <w:pPr>
        <w:pStyle w:val="35"/>
        <w:keepNext w:val="0"/>
        <w:keepLines w:val="0"/>
        <w:pageBreakBefore w:val="0"/>
        <w:widowControl w:val="0"/>
        <w:kinsoku/>
        <w:overflowPunct/>
        <w:topLinePunct w:val="0"/>
        <w:bidi w:val="0"/>
        <w:ind w:left="0" w:leftChars="0" w:firstLine="0" w:firstLineChars="0"/>
        <w:jc w:val="center"/>
        <w:rPr>
          <w:rFonts w:hint="default" w:ascii="仿宋" w:hAnsi="仿宋" w:eastAsia="仿宋" w:cs="仿宋"/>
          <w:color w:val="000000" w:themeColor="text1"/>
          <w:sz w:val="24"/>
          <w:szCs w:val="22"/>
          <w:highlight w:val="none"/>
          <w:lang w:val="en-US" w:eastAsia="zh-CN"/>
          <w14:textFill>
            <w14:solidFill>
              <w14:schemeClr w14:val="tx1"/>
            </w14:solidFill>
          </w14:textFill>
        </w:rPr>
      </w:pP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                          </w:t>
      </w:r>
      <w:bookmarkStart w:id="78" w:name="_Toc12344"/>
      <w:r>
        <w:rPr>
          <w:rFonts w:hint="eastAsia" w:ascii="仿宋" w:hAnsi="仿宋" w:eastAsia="仿宋" w:cs="仿宋"/>
          <w:color w:val="000000" w:themeColor="text1"/>
          <w:sz w:val="24"/>
          <w:szCs w:val="22"/>
          <w:highlight w:val="none"/>
          <w:lang w:eastAsia="zh-CN"/>
          <w14:textFill>
            <w14:solidFill>
              <w14:schemeClr w14:val="tx1"/>
            </w14:solidFill>
          </w14:textFill>
        </w:rPr>
        <w:t>日期：</w:t>
      </w:r>
      <w:r>
        <w:rPr>
          <w:rFonts w:hint="eastAsia" w:ascii="仿宋" w:hAnsi="仿宋" w:eastAsia="仿宋" w:cs="仿宋"/>
          <w:color w:val="000000" w:themeColor="text1"/>
          <w:sz w:val="24"/>
          <w:szCs w:val="22"/>
          <w:highlight w:val="none"/>
          <w:lang w:val="en-US" w:eastAsia="zh-CN"/>
          <w14:textFill>
            <w14:solidFill>
              <w14:schemeClr w14:val="tx1"/>
            </w14:solidFill>
          </w14:textFill>
        </w:rPr>
        <w:t xml:space="preserve">   年   月  日</w:t>
      </w:r>
      <w:bookmarkEnd w:id="78"/>
    </w:p>
    <w:bookmarkEnd w:id="76"/>
    <w:bookmarkEnd w:id="77"/>
    <w:p w14:paraId="085DC393">
      <w:pPr>
        <w:keepNext w:val="0"/>
        <w:keepLines w:val="0"/>
        <w:pageBreakBefore w:val="0"/>
        <w:widowControl w:val="0"/>
        <w:kinsoku/>
        <w:overflowPunct/>
        <w:topLinePunct w:val="0"/>
        <w:bidi w:val="0"/>
        <w:spacing w:line="520" w:lineRule="exact"/>
        <w:jc w:val="both"/>
        <w:rPr>
          <w:rFonts w:hint="eastAsia" w:ascii="仿宋" w:hAnsi="仿宋" w:eastAsia="仿宋" w:cs="仿宋"/>
          <w:b/>
          <w:bCs/>
          <w:color w:val="000000" w:themeColor="text1"/>
          <w:sz w:val="28"/>
          <w:szCs w:val="28"/>
          <w:highlight w:val="none"/>
          <w14:textFill>
            <w14:solidFill>
              <w14:schemeClr w14:val="tx1"/>
            </w14:solidFill>
          </w14:textFill>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6656B094">
      <w:pPr>
        <w:keepNext w:val="0"/>
        <w:keepLines w:val="0"/>
        <w:pageBreakBefore w:val="0"/>
        <w:widowControl w:val="0"/>
        <w:kinsoku/>
        <w:overflowPunct/>
        <w:topLinePunct w:val="0"/>
        <w:bidi w:val="0"/>
        <w:spacing w:line="520" w:lineRule="exact"/>
        <w:jc w:val="both"/>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三</w:t>
      </w:r>
      <w:r>
        <w:rPr>
          <w:rFonts w:hint="eastAsia" w:ascii="仿宋" w:hAnsi="仿宋" w:eastAsia="仿宋" w:cs="仿宋"/>
          <w:b/>
          <w:bCs/>
          <w:color w:val="000000" w:themeColor="text1"/>
          <w:sz w:val="28"/>
          <w:szCs w:val="28"/>
          <w:highlight w:val="none"/>
          <w14:textFill>
            <w14:solidFill>
              <w14:schemeClr w14:val="tx1"/>
            </w14:solidFill>
          </w14:textFill>
        </w:rPr>
        <w:t>、资质审查时供应商必须提交的资格证明文件</w:t>
      </w:r>
    </w:p>
    <w:p w14:paraId="3FE49093">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供应商提供下列材料之一</w:t>
      </w:r>
      <w:r>
        <w:rPr>
          <w:rFonts w:hint="eastAsia" w:ascii="仿宋" w:hAnsi="仿宋" w:eastAsia="仿宋" w:cs="仿宋"/>
          <w:sz w:val="24"/>
          <w:highlight w:val="none"/>
          <w:lang w:eastAsia="zh-CN"/>
        </w:rPr>
        <w:t>：</w:t>
      </w:r>
    </w:p>
    <w:p w14:paraId="405C0E6B">
      <w:pPr>
        <w:keepNext w:val="0"/>
        <w:keepLines w:val="0"/>
        <w:pageBreakBefore w:val="0"/>
        <w:widowControl w:val="0"/>
        <w:kinsoku/>
        <w:wordWrap/>
        <w:overflowPunct/>
        <w:topLinePunct w:val="0"/>
        <w:autoSpaceDE/>
        <w:autoSpaceDN/>
        <w:bidi w:val="0"/>
        <w:adjustRightInd/>
        <w:spacing w:line="500" w:lineRule="exact"/>
        <w:ind w:firstLine="360"/>
        <w:textAlignment w:val="auto"/>
        <w:rPr>
          <w:rFonts w:hint="eastAsia" w:ascii="仿宋" w:hAnsi="仿宋" w:eastAsia="仿宋" w:cs="仿宋"/>
          <w:sz w:val="24"/>
          <w:highlight w:val="none"/>
        </w:rPr>
      </w:pPr>
      <w:r>
        <w:rPr>
          <w:rFonts w:hint="eastAsia" w:ascii="仿宋" w:hAnsi="仿宋" w:eastAsia="仿宋" w:cs="仿宋"/>
          <w:sz w:val="24"/>
          <w:highlight w:val="none"/>
          <w:lang w:eastAsia="zh-CN"/>
        </w:rPr>
        <w:t>（1）</w:t>
      </w:r>
      <w:r>
        <w:rPr>
          <w:rFonts w:hint="eastAsia" w:ascii="仿宋" w:hAnsi="仿宋" w:eastAsia="仿宋" w:cs="仿宋"/>
          <w:sz w:val="24"/>
          <w:highlight w:val="none"/>
        </w:rPr>
        <w:t>供应商提供</w:t>
      </w:r>
      <w:r>
        <w:rPr>
          <w:rFonts w:hint="eastAsia" w:ascii="仿宋" w:hAnsi="仿宋" w:eastAsia="仿宋" w:cs="仿宋"/>
          <w:bCs/>
          <w:sz w:val="24"/>
          <w:highlight w:val="none"/>
        </w:rPr>
        <w:t>法定代表人资格证明</w:t>
      </w:r>
      <w:r>
        <w:rPr>
          <w:rFonts w:hint="eastAsia" w:ascii="仿宋" w:hAnsi="仿宋" w:eastAsia="仿宋" w:cs="仿宋"/>
          <w:b/>
          <w:bCs/>
          <w:sz w:val="24"/>
          <w:highlight w:val="none"/>
        </w:rPr>
        <w:t>（必须提供，格式按照示范格式）</w:t>
      </w:r>
      <w:r>
        <w:rPr>
          <w:rFonts w:hint="eastAsia" w:ascii="仿宋" w:hAnsi="仿宋" w:eastAsia="仿宋" w:cs="仿宋"/>
          <w:sz w:val="24"/>
          <w:highlight w:val="none"/>
        </w:rPr>
        <w:t>和</w:t>
      </w:r>
      <w:r>
        <w:rPr>
          <w:rFonts w:hint="eastAsia" w:ascii="仿宋" w:hAnsi="仿宋" w:eastAsia="仿宋" w:cs="仿宋"/>
          <w:bCs/>
          <w:sz w:val="24"/>
          <w:highlight w:val="none"/>
        </w:rPr>
        <w:t>法定代表人身份证</w:t>
      </w:r>
      <w:r>
        <w:rPr>
          <w:rFonts w:hint="eastAsia" w:ascii="仿宋" w:hAnsi="仿宋" w:eastAsia="仿宋" w:cs="仿宋"/>
          <w:b/>
          <w:bCs w:val="0"/>
          <w:sz w:val="24"/>
          <w:highlight w:val="none"/>
        </w:rPr>
        <w:t>（扫描件并加盖供应商电子签章）</w:t>
      </w:r>
      <w:r>
        <w:rPr>
          <w:rFonts w:hint="eastAsia" w:ascii="仿宋" w:hAnsi="仿宋" w:eastAsia="仿宋" w:cs="仿宋"/>
          <w:sz w:val="24"/>
          <w:highlight w:val="none"/>
        </w:rPr>
        <w:t>；</w:t>
      </w:r>
    </w:p>
    <w:p w14:paraId="36033E80">
      <w:pPr>
        <w:keepNext w:val="0"/>
        <w:keepLines w:val="0"/>
        <w:pageBreakBefore w:val="0"/>
        <w:widowControl w:val="0"/>
        <w:kinsoku/>
        <w:wordWrap/>
        <w:overflowPunct/>
        <w:topLinePunct w:val="0"/>
        <w:autoSpaceDE/>
        <w:autoSpaceDN/>
        <w:bidi w:val="0"/>
        <w:adjustRightInd/>
        <w:spacing w:line="500" w:lineRule="exact"/>
        <w:ind w:firstLine="360"/>
        <w:textAlignment w:val="auto"/>
        <w:rPr>
          <w:rFonts w:hint="eastAsia" w:ascii="仿宋" w:hAnsi="仿宋" w:eastAsia="仿宋" w:cs="仿宋"/>
          <w:sz w:val="24"/>
          <w:highlight w:val="none"/>
        </w:rPr>
      </w:pPr>
      <w:r>
        <w:rPr>
          <w:rFonts w:hint="eastAsia" w:ascii="仿宋" w:hAnsi="仿宋" w:eastAsia="仿宋" w:cs="仿宋"/>
          <w:sz w:val="24"/>
          <w:highlight w:val="none"/>
          <w:lang w:eastAsia="zh-CN"/>
        </w:rPr>
        <w:t>（2）</w:t>
      </w:r>
      <w:r>
        <w:rPr>
          <w:rFonts w:hint="eastAsia" w:ascii="仿宋" w:hAnsi="仿宋" w:eastAsia="仿宋" w:cs="仿宋"/>
          <w:sz w:val="24"/>
          <w:highlight w:val="none"/>
        </w:rPr>
        <w:t>供应商提供授权委托书</w:t>
      </w:r>
      <w:r>
        <w:rPr>
          <w:rFonts w:hint="eastAsia" w:ascii="仿宋" w:hAnsi="仿宋" w:eastAsia="仿宋" w:cs="仿宋"/>
          <w:b/>
          <w:bCs/>
          <w:sz w:val="24"/>
          <w:highlight w:val="none"/>
        </w:rPr>
        <w:t>（必须提供，格式按照示范格式）</w:t>
      </w:r>
      <w:r>
        <w:rPr>
          <w:rFonts w:hint="eastAsia" w:ascii="仿宋" w:hAnsi="仿宋" w:eastAsia="仿宋" w:cs="仿宋"/>
          <w:sz w:val="24"/>
          <w:highlight w:val="none"/>
        </w:rPr>
        <w:t>和</w:t>
      </w:r>
      <w:r>
        <w:rPr>
          <w:rFonts w:hint="eastAsia" w:ascii="仿宋" w:hAnsi="仿宋" w:eastAsia="仿宋" w:cs="仿宋"/>
          <w:bCs/>
          <w:sz w:val="24"/>
          <w:highlight w:val="none"/>
        </w:rPr>
        <w:t>受托人身份证</w:t>
      </w:r>
      <w:r>
        <w:rPr>
          <w:rFonts w:hint="eastAsia" w:ascii="仿宋" w:hAnsi="仿宋" w:eastAsia="仿宋" w:cs="仿宋"/>
          <w:b/>
          <w:bCs w:val="0"/>
          <w:sz w:val="24"/>
          <w:highlight w:val="none"/>
        </w:rPr>
        <w:t>（扫描件并加盖供应商电子签章）</w:t>
      </w:r>
      <w:r>
        <w:rPr>
          <w:rFonts w:hint="eastAsia" w:ascii="仿宋" w:hAnsi="仿宋" w:eastAsia="仿宋" w:cs="仿宋"/>
          <w:sz w:val="24"/>
          <w:highlight w:val="none"/>
        </w:rPr>
        <w:t>。</w:t>
      </w:r>
    </w:p>
    <w:p w14:paraId="6E735346">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bCs/>
          <w:sz w:val="24"/>
          <w:highlight w:val="none"/>
        </w:rPr>
        <w:t>供应商提供下列材料之一</w:t>
      </w:r>
      <w:r>
        <w:rPr>
          <w:rFonts w:hint="eastAsia" w:ascii="仿宋" w:hAnsi="仿宋" w:eastAsia="仿宋" w:cs="仿宋"/>
          <w:bCs/>
          <w:sz w:val="24"/>
          <w:highlight w:val="none"/>
          <w:lang w:eastAsia="zh-CN"/>
        </w:rPr>
        <w:t>：</w:t>
      </w:r>
    </w:p>
    <w:p w14:paraId="1E5B1B53">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bCs/>
          <w:sz w:val="24"/>
          <w:highlight w:val="none"/>
        </w:rPr>
        <w:t>A.供应商为企业的</w:t>
      </w:r>
      <w:r>
        <w:rPr>
          <w:rFonts w:hint="eastAsia" w:ascii="仿宋" w:hAnsi="仿宋" w:eastAsia="仿宋" w:cs="仿宋"/>
          <w:bCs/>
          <w:sz w:val="24"/>
          <w:highlight w:val="none"/>
          <w:lang w:eastAsia="zh-CN"/>
        </w:rPr>
        <w:t>：</w:t>
      </w:r>
      <w:r>
        <w:rPr>
          <w:rFonts w:hint="eastAsia" w:ascii="仿宋" w:hAnsi="仿宋" w:eastAsia="仿宋" w:cs="仿宋"/>
          <w:sz w:val="24"/>
          <w:highlight w:val="none"/>
        </w:rPr>
        <w:t>提供营业执照（三证合一）</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有效期内</w:t>
      </w:r>
      <w:r>
        <w:rPr>
          <w:rFonts w:hint="eastAsia" w:ascii="仿宋" w:hAnsi="仿宋" w:eastAsia="仿宋" w:cs="仿宋"/>
          <w:b/>
          <w:bCs/>
          <w:sz w:val="24"/>
          <w:highlight w:val="none"/>
        </w:rPr>
        <w:t>扫描件加盖供应商电子签章）</w:t>
      </w:r>
      <w:r>
        <w:rPr>
          <w:rFonts w:hint="eastAsia" w:ascii="仿宋" w:hAnsi="仿宋" w:eastAsia="仿宋" w:cs="仿宋"/>
          <w:sz w:val="24"/>
          <w:highlight w:val="none"/>
        </w:rPr>
        <w:t>。</w:t>
      </w:r>
    </w:p>
    <w:p w14:paraId="37D568D0">
      <w:pPr>
        <w:pStyle w:val="14"/>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color w:val="000000"/>
          <w:sz w:val="24"/>
          <w:highlight w:val="none"/>
        </w:rPr>
      </w:pPr>
      <w:bookmarkStart w:id="79" w:name="_Toc30657"/>
      <w:r>
        <w:rPr>
          <w:rFonts w:hint="eastAsia" w:ascii="仿宋" w:hAnsi="仿宋" w:eastAsia="仿宋" w:cs="仿宋"/>
          <w:sz w:val="24"/>
          <w:highlight w:val="none"/>
        </w:rPr>
        <w:t>B.供应商为事业单位的</w:t>
      </w:r>
      <w:r>
        <w:rPr>
          <w:rFonts w:hint="eastAsia" w:ascii="仿宋" w:hAnsi="仿宋" w:eastAsia="仿宋" w:cs="仿宋"/>
          <w:sz w:val="24"/>
          <w:highlight w:val="none"/>
          <w:lang w:eastAsia="zh-CN"/>
        </w:rPr>
        <w:t>：</w:t>
      </w:r>
      <w:r>
        <w:rPr>
          <w:rFonts w:hint="eastAsia" w:ascii="仿宋" w:hAnsi="仿宋" w:eastAsia="仿宋" w:cs="仿宋"/>
          <w:sz w:val="24"/>
          <w:highlight w:val="none"/>
        </w:rPr>
        <w:t>提供事业法人证书</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有效期内</w:t>
      </w:r>
      <w:r>
        <w:rPr>
          <w:rFonts w:hint="eastAsia" w:ascii="仿宋" w:hAnsi="仿宋" w:eastAsia="仿宋" w:cs="仿宋"/>
          <w:b/>
          <w:bCs/>
          <w:sz w:val="24"/>
          <w:highlight w:val="none"/>
        </w:rPr>
        <w:t>扫描件加盖供应商电子签章）</w:t>
      </w:r>
      <w:r>
        <w:rPr>
          <w:rFonts w:hint="eastAsia" w:ascii="仿宋" w:hAnsi="仿宋" w:eastAsia="仿宋" w:cs="仿宋"/>
          <w:sz w:val="24"/>
          <w:highlight w:val="none"/>
        </w:rPr>
        <w:t>。</w:t>
      </w:r>
      <w:bookmarkEnd w:id="79"/>
    </w:p>
    <w:p w14:paraId="0AC62618">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
          <w:bCs/>
          <w:sz w:val="24"/>
          <w:highlight w:val="none"/>
          <w:lang w:val="zh-CN" w:eastAsia="zh-CN"/>
        </w:rPr>
      </w:pPr>
      <w:r>
        <w:rPr>
          <w:rFonts w:hint="eastAsia" w:ascii="仿宋" w:hAnsi="仿宋" w:eastAsia="仿宋" w:cs="仿宋"/>
          <w:sz w:val="24"/>
          <w:highlight w:val="none"/>
          <w:lang w:val="en-US" w:eastAsia="zh-CN"/>
        </w:rPr>
        <w:t>3.供应商符合《中华人民共和国政府采购法》第二十二条规定的六项条件的声明函</w:t>
      </w:r>
      <w:r>
        <w:rPr>
          <w:rFonts w:hint="eastAsia" w:ascii="仿宋" w:hAnsi="仿宋" w:eastAsia="仿宋" w:cs="仿宋"/>
          <w:b/>
          <w:bCs/>
          <w:sz w:val="24"/>
          <w:highlight w:val="none"/>
          <w:lang w:val="zh-CN" w:eastAsia="zh-CN"/>
        </w:rPr>
        <w:t>（格式按照示范格式要求提供声明函</w:t>
      </w:r>
      <w:r>
        <w:rPr>
          <w:rFonts w:hint="eastAsia" w:ascii="仿宋" w:hAnsi="仿宋" w:eastAsia="仿宋" w:cs="仿宋"/>
          <w:b/>
          <w:bCs/>
          <w:sz w:val="24"/>
          <w:highlight w:val="none"/>
          <w:lang w:val="en-US" w:eastAsia="zh-CN"/>
        </w:rPr>
        <w:t>加盖供应商电子</w:t>
      </w:r>
      <w:r>
        <w:rPr>
          <w:rFonts w:hint="eastAsia" w:ascii="仿宋" w:hAnsi="仿宋" w:eastAsia="仿宋" w:cs="仿宋"/>
          <w:b/>
          <w:bCs/>
          <w:sz w:val="24"/>
          <w:highlight w:val="none"/>
        </w:rPr>
        <w:t>签章</w:t>
      </w:r>
      <w:r>
        <w:rPr>
          <w:rFonts w:hint="eastAsia" w:ascii="仿宋" w:hAnsi="仿宋" w:eastAsia="仿宋" w:cs="仿宋"/>
          <w:b/>
          <w:bCs/>
          <w:sz w:val="24"/>
          <w:highlight w:val="none"/>
          <w:lang w:val="zh-CN" w:eastAsia="zh-CN"/>
        </w:rPr>
        <w:t>）</w:t>
      </w:r>
    </w:p>
    <w:p w14:paraId="0A18F366">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Cs/>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color w:val="000000"/>
          <w:sz w:val="24"/>
          <w:highlight w:val="none"/>
          <w:lang w:val="en-US" w:eastAsia="zh-CN"/>
        </w:rPr>
        <w:t>.</w:t>
      </w:r>
      <w:r>
        <w:rPr>
          <w:rFonts w:hint="eastAsia" w:ascii="仿宋" w:hAnsi="仿宋" w:eastAsia="仿宋" w:cs="仿宋"/>
          <w:bCs/>
          <w:sz w:val="24"/>
          <w:highlight w:val="none"/>
        </w:rPr>
        <w:t>落实政府采购政策需满足的资格要求</w:t>
      </w:r>
      <w:r>
        <w:rPr>
          <w:rFonts w:hint="eastAsia" w:ascii="仿宋" w:hAnsi="仿宋" w:eastAsia="仿宋" w:cs="仿宋"/>
          <w:bCs/>
          <w:sz w:val="24"/>
          <w:highlight w:val="none"/>
          <w:lang w:eastAsia="zh-CN"/>
        </w:rPr>
        <w:t>：</w:t>
      </w:r>
      <w:r>
        <w:rPr>
          <w:rFonts w:hint="eastAsia" w:ascii="仿宋" w:hAnsi="仿宋" w:eastAsia="仿宋" w:cs="仿宋"/>
          <w:b/>
          <w:bCs w:val="0"/>
          <w:sz w:val="24"/>
          <w:highlight w:val="none"/>
        </w:rPr>
        <w:t>（提供下列任一项材料即可</w:t>
      </w:r>
      <w:r>
        <w:rPr>
          <w:rFonts w:hint="eastAsia" w:ascii="仿宋" w:hAnsi="仿宋" w:eastAsia="仿宋" w:cs="仿宋"/>
          <w:b/>
          <w:bCs w:val="0"/>
          <w:sz w:val="24"/>
          <w:highlight w:val="none"/>
          <w:lang w:eastAsia="zh-CN"/>
        </w:rPr>
        <w:t>，加盖供应商电子签章</w:t>
      </w:r>
      <w:r>
        <w:rPr>
          <w:rFonts w:hint="eastAsia" w:ascii="仿宋" w:hAnsi="仿宋" w:eastAsia="仿宋" w:cs="仿宋"/>
          <w:b/>
          <w:bCs w:val="0"/>
          <w:sz w:val="24"/>
          <w:highlight w:val="none"/>
        </w:rPr>
        <w:t>）</w:t>
      </w:r>
    </w:p>
    <w:p w14:paraId="61A29E1F">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rPr>
        <w:t>（1）《中小企业声明函》</w:t>
      </w:r>
      <w:r>
        <w:rPr>
          <w:rFonts w:hint="eastAsia" w:ascii="仿宋" w:hAnsi="仿宋" w:eastAsia="仿宋" w:cs="仿宋"/>
          <w:b/>
          <w:bCs w:val="0"/>
          <w:sz w:val="24"/>
          <w:highlight w:val="none"/>
        </w:rPr>
        <w:t>（详见示范格式）</w:t>
      </w:r>
      <w:r>
        <w:rPr>
          <w:rFonts w:hint="eastAsia" w:ascii="仿宋" w:hAnsi="仿宋" w:eastAsia="仿宋" w:cs="仿宋"/>
          <w:bCs/>
          <w:sz w:val="24"/>
          <w:highlight w:val="none"/>
        </w:rPr>
        <w:t>；</w:t>
      </w:r>
    </w:p>
    <w:p w14:paraId="1E2C058A">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rPr>
        <w:t>（2）《残疾人福利性单位声明函》</w:t>
      </w:r>
      <w:r>
        <w:rPr>
          <w:rFonts w:hint="eastAsia" w:ascii="仿宋" w:hAnsi="仿宋" w:eastAsia="仿宋" w:cs="仿宋"/>
          <w:b/>
          <w:bCs w:val="0"/>
          <w:sz w:val="24"/>
          <w:highlight w:val="none"/>
        </w:rPr>
        <w:t>（详见示范格式）</w:t>
      </w:r>
      <w:r>
        <w:rPr>
          <w:rFonts w:hint="eastAsia" w:ascii="仿宋" w:hAnsi="仿宋" w:eastAsia="仿宋" w:cs="仿宋"/>
          <w:bCs/>
          <w:sz w:val="24"/>
          <w:highlight w:val="none"/>
        </w:rPr>
        <w:t>；</w:t>
      </w:r>
    </w:p>
    <w:p w14:paraId="1AFFEB9B">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rPr>
        <w:t>（3）由省级以上监狱管理局、戒毒管理局（含新疆生产建设兵团）出具的属于监狱企业的证明文件）</w:t>
      </w:r>
      <w:r>
        <w:rPr>
          <w:rFonts w:hint="eastAsia" w:ascii="仿宋" w:hAnsi="仿宋" w:eastAsia="仿宋" w:cs="仿宋"/>
          <w:b/>
          <w:bCs w:val="0"/>
          <w:sz w:val="24"/>
          <w:highlight w:val="none"/>
        </w:rPr>
        <w:t>（加盖出具单位公章的电子件）</w:t>
      </w:r>
      <w:r>
        <w:rPr>
          <w:rFonts w:hint="eastAsia" w:ascii="仿宋" w:hAnsi="仿宋" w:eastAsia="仿宋" w:cs="仿宋"/>
          <w:bCs/>
          <w:sz w:val="24"/>
          <w:highlight w:val="none"/>
        </w:rPr>
        <w:t>。</w:t>
      </w:r>
    </w:p>
    <w:p w14:paraId="5949F35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rPr>
        <w:t>拒绝符合下述条件的供应商参加本次采购活动：</w:t>
      </w:r>
      <w:r>
        <w:rPr>
          <w:rFonts w:hint="eastAsia" w:ascii="仿宋" w:hAnsi="仿宋" w:eastAsia="仿宋" w:cs="仿宋"/>
          <w:b/>
          <w:bCs/>
          <w:sz w:val="24"/>
          <w:szCs w:val="24"/>
          <w:highlight w:val="none"/>
          <w:u w:val="none"/>
          <w:lang w:eastAsia="zh-CN"/>
        </w:rPr>
        <w:t>（</w:t>
      </w:r>
      <w:r>
        <w:rPr>
          <w:rFonts w:hint="eastAsia" w:ascii="仿宋" w:hAnsi="仿宋" w:eastAsia="仿宋" w:cs="仿宋"/>
          <w:b/>
          <w:bCs/>
          <w:sz w:val="24"/>
          <w:highlight w:val="none"/>
          <w:u w:val="none"/>
        </w:rPr>
        <w:t>格式</w:t>
      </w:r>
      <w:r>
        <w:rPr>
          <w:rFonts w:hint="eastAsia" w:ascii="仿宋" w:hAnsi="仿宋" w:eastAsia="仿宋" w:cs="仿宋"/>
          <w:b/>
          <w:bCs/>
          <w:sz w:val="24"/>
          <w:highlight w:val="none"/>
          <w:u w:val="none"/>
          <w:lang w:eastAsia="zh-CN"/>
        </w:rPr>
        <w:t>按照示范格式要求</w:t>
      </w:r>
      <w:r>
        <w:rPr>
          <w:rFonts w:hint="eastAsia" w:ascii="仿宋" w:hAnsi="仿宋" w:eastAsia="仿宋" w:cs="仿宋"/>
          <w:b/>
          <w:bCs/>
          <w:sz w:val="24"/>
          <w:highlight w:val="none"/>
          <w:u w:val="none"/>
        </w:rPr>
        <w:t>，</w:t>
      </w:r>
      <w:r>
        <w:rPr>
          <w:rFonts w:hint="eastAsia" w:ascii="仿宋" w:hAnsi="仿宋" w:eastAsia="仿宋" w:cs="仿宋"/>
          <w:b/>
          <w:bCs/>
          <w:sz w:val="24"/>
          <w:highlight w:val="none"/>
          <w:u w:val="none"/>
          <w:lang w:eastAsia="zh-CN"/>
        </w:rPr>
        <w:t>提供承诺书</w:t>
      </w:r>
      <w:r>
        <w:rPr>
          <w:rFonts w:hint="eastAsia" w:ascii="仿宋" w:hAnsi="仿宋" w:eastAsia="仿宋" w:cs="仿宋"/>
          <w:b/>
          <w:bCs/>
          <w:sz w:val="24"/>
          <w:highlight w:val="none"/>
          <w:u w:val="none"/>
        </w:rPr>
        <w:t>并加盖供应商电子签章</w:t>
      </w:r>
      <w:r>
        <w:rPr>
          <w:rFonts w:hint="eastAsia" w:ascii="仿宋" w:hAnsi="仿宋" w:eastAsia="仿宋" w:cs="仿宋"/>
          <w:b/>
          <w:bCs/>
          <w:sz w:val="24"/>
          <w:szCs w:val="24"/>
          <w:highlight w:val="none"/>
          <w:u w:val="none"/>
          <w:lang w:eastAsia="zh-CN"/>
        </w:rPr>
        <w:t>）</w:t>
      </w:r>
    </w:p>
    <w:p w14:paraId="366F2206">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w:t>
      </w:r>
      <w:r>
        <w:rPr>
          <w:rFonts w:hint="eastAsia" w:ascii="仿宋" w:hAnsi="仿宋" w:eastAsia="仿宋" w:cs="仿宋"/>
          <w:bCs/>
          <w:sz w:val="24"/>
          <w:highlight w:val="none"/>
        </w:rPr>
        <w:t>供应商单位负责人为同一人或者存在直接控股、管理关系的不同供应商，不得同时参加同一合同项下的政府采购活动。</w:t>
      </w:r>
    </w:p>
    <w:p w14:paraId="11AFFC75">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凡为采购项目提供整体设计、规范编制或者项目管理、监理、检测等服务的供应商，不得再参加本项目的采购活动。</w:t>
      </w:r>
    </w:p>
    <w:p w14:paraId="353EF65F">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rPr>
        <w:t>供应商</w:t>
      </w:r>
      <w:r>
        <w:rPr>
          <w:rFonts w:hint="eastAsia" w:ascii="仿宋" w:hAnsi="仿宋" w:eastAsia="仿宋" w:cs="仿宋"/>
          <w:bCs/>
          <w:sz w:val="24"/>
          <w:highlight w:val="none"/>
        </w:rPr>
        <w:t>被“信用中国”网站、“中国政府采购网”列入失信被执行人、重大税收违法案件当事人名单、政府采购严重违法失信行为记录名单。</w:t>
      </w:r>
    </w:p>
    <w:p w14:paraId="05CBF574">
      <w:pPr>
        <w:keepNext w:val="0"/>
        <w:keepLines w:val="0"/>
        <w:pageBreakBefore w:val="0"/>
        <w:widowControl w:val="0"/>
        <w:kinsoku/>
        <w:overflowPunct/>
        <w:topLinePunct w:val="0"/>
        <w:bidi w:val="0"/>
        <w:spacing w:line="520" w:lineRule="exact"/>
        <w:ind w:firstLine="472"/>
        <w:rPr>
          <w:rFonts w:hint="eastAsia" w:ascii="仿宋" w:hAnsi="仿宋" w:eastAsia="仿宋" w:cs="仿宋"/>
          <w:sz w:val="24"/>
          <w:highlight w:val="none"/>
        </w:rPr>
      </w:pPr>
      <w:r>
        <w:rPr>
          <w:rFonts w:hint="eastAsia" w:ascii="仿宋" w:hAnsi="仿宋" w:eastAsia="仿宋" w:cs="仿宋"/>
          <w:b/>
          <w:bCs/>
          <w:sz w:val="24"/>
          <w:highlight w:val="none"/>
        </w:rPr>
        <w:t>注</w:t>
      </w:r>
      <w:r>
        <w:rPr>
          <w:rFonts w:hint="eastAsia" w:ascii="仿宋" w:hAnsi="仿宋" w:eastAsia="仿宋" w:cs="仿宋"/>
          <w:b/>
          <w:bCs/>
          <w:sz w:val="24"/>
          <w:highlight w:val="none"/>
          <w:lang w:eastAsia="zh-CN"/>
        </w:rPr>
        <w:t>：</w:t>
      </w:r>
      <w:r>
        <w:rPr>
          <w:rFonts w:hint="eastAsia" w:ascii="仿宋" w:hAnsi="仿宋" w:eastAsia="仿宋" w:cs="仿宋"/>
          <w:sz w:val="24"/>
          <w:highlight w:val="none"/>
        </w:rPr>
        <w:t>（1）上述相关原件，成交供应商必须在签订合同时提交采购人审查，成交供应商未能提供上述所有原件的，则取消其成交资格。</w:t>
      </w:r>
    </w:p>
    <w:p w14:paraId="56F86B55">
      <w:pPr>
        <w:keepNext w:val="0"/>
        <w:keepLines w:val="0"/>
        <w:pageBreakBefore w:val="0"/>
        <w:widowControl w:val="0"/>
        <w:kinsoku/>
        <w:overflowPunct/>
        <w:topLinePunct w:val="0"/>
        <w:bidi w:val="0"/>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（2）上述是</w:t>
      </w:r>
      <w:r>
        <w:rPr>
          <w:rFonts w:hint="eastAsia" w:ascii="仿宋" w:hAnsi="仿宋" w:eastAsia="仿宋" w:cs="仿宋"/>
          <w:sz w:val="24"/>
          <w:highlight w:val="none"/>
          <w:lang w:eastAsia="zh-CN"/>
        </w:rPr>
        <w:t>磋商</w:t>
      </w:r>
      <w:r>
        <w:rPr>
          <w:rFonts w:hint="eastAsia" w:ascii="仿宋" w:hAnsi="仿宋" w:eastAsia="仿宋" w:cs="仿宋"/>
          <w:sz w:val="24"/>
          <w:highlight w:val="none"/>
        </w:rPr>
        <w:t>小组对供应商资质审查时，供应商必须提供的资格证明文件，如供应商未能提供上述资格证明文件以及供应商资质条件不符合</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文件要求的将取消其继续参加</w:t>
      </w:r>
      <w:r>
        <w:rPr>
          <w:rFonts w:hint="eastAsia" w:ascii="仿宋" w:hAnsi="仿宋" w:eastAsia="仿宋" w:cs="仿宋"/>
          <w:sz w:val="24"/>
          <w:highlight w:val="none"/>
          <w:lang w:eastAsia="zh-CN"/>
        </w:rPr>
        <w:t>磋商</w:t>
      </w:r>
      <w:r>
        <w:rPr>
          <w:rFonts w:hint="eastAsia" w:ascii="仿宋" w:hAnsi="仿宋" w:eastAsia="仿宋" w:cs="仿宋"/>
          <w:sz w:val="24"/>
          <w:highlight w:val="none"/>
        </w:rPr>
        <w:t>的资格。</w:t>
      </w:r>
    </w:p>
    <w:p w14:paraId="5E3752B4">
      <w:pPr>
        <w:keepNext w:val="0"/>
        <w:keepLines w:val="0"/>
        <w:pageBreakBefore w:val="0"/>
        <w:widowControl w:val="0"/>
        <w:kinsoku/>
        <w:overflowPunct/>
        <w:topLinePunct w:val="0"/>
        <w:bidi w:val="0"/>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（3）供应商所提供的资格证明材料应真实、有效，</w:t>
      </w:r>
      <w:r>
        <w:rPr>
          <w:rFonts w:hint="eastAsia" w:ascii="仿宋" w:hAnsi="仿宋" w:eastAsia="仿宋" w:cs="仿宋"/>
          <w:bCs/>
          <w:sz w:val="24"/>
          <w:highlight w:val="none"/>
          <w:lang w:eastAsia="zh-CN"/>
        </w:rPr>
        <w:t>采购代理机构</w:t>
      </w:r>
      <w:r>
        <w:rPr>
          <w:rFonts w:hint="eastAsia" w:ascii="仿宋" w:hAnsi="仿宋" w:eastAsia="仿宋" w:cs="仿宋"/>
          <w:bCs/>
          <w:sz w:val="24"/>
          <w:highlight w:val="none"/>
        </w:rPr>
        <w:t>及采购人保留对供应商提供的资格证明材料进行核查的权利。如发现供应商提供虚假资格证明材料，监管部门将对其进行严肃处理。</w:t>
      </w:r>
    </w:p>
    <w:p w14:paraId="3CD2966E">
      <w:pPr>
        <w:keepNext w:val="0"/>
        <w:keepLines w:val="0"/>
        <w:pageBreakBefore w:val="0"/>
        <w:widowControl w:val="0"/>
        <w:kinsoku/>
        <w:overflowPunct/>
        <w:topLinePunct w:val="0"/>
        <w:bidi w:val="0"/>
        <w:spacing w:line="520" w:lineRule="exact"/>
        <w:ind w:firstLine="548"/>
        <w:rPr>
          <w:rFonts w:hint="eastAsia" w:ascii="仿宋" w:hAnsi="仿宋" w:eastAsia="仿宋" w:cs="仿宋"/>
          <w:bCs/>
          <w:color w:val="000000" w:themeColor="text1"/>
          <w:sz w:val="24"/>
          <w:szCs w:val="22"/>
          <w:highlight w:val="none"/>
          <w14:textFill>
            <w14:solidFill>
              <w14:schemeClr w14:val="tx1"/>
            </w14:solidFill>
          </w14:textFill>
        </w:rPr>
      </w:pPr>
    </w:p>
    <w:p w14:paraId="66B9BB5A">
      <w:pPr>
        <w:keepNext w:val="0"/>
        <w:keepLines w:val="0"/>
        <w:pageBreakBefore w:val="0"/>
        <w:widowControl w:val="0"/>
        <w:kinsoku/>
        <w:overflowPunct/>
        <w:topLinePunct w:val="0"/>
        <w:bidi w:val="0"/>
        <w:rPr>
          <w:rFonts w:hint="eastAsia" w:ascii="仿宋" w:hAnsi="仿宋" w:eastAsia="仿宋" w:cs="仿宋"/>
          <w:b/>
          <w:bCs/>
          <w:color w:val="000000" w:themeColor="text1"/>
          <w:sz w:val="28"/>
          <w:szCs w:val="22"/>
          <w:highlight w:val="none"/>
          <w:lang w:eastAsia="zh-CN"/>
          <w14:textFill>
            <w14:solidFill>
              <w14:schemeClr w14:val="tx1"/>
            </w14:solidFill>
          </w14:textFill>
        </w:rPr>
      </w:pPr>
    </w:p>
    <w:p w14:paraId="62751992">
      <w:pPr>
        <w:keepNext w:val="0"/>
        <w:keepLines w:val="0"/>
        <w:pageBreakBefore w:val="0"/>
        <w:widowControl w:val="0"/>
        <w:kinsoku/>
        <w:overflowPunct/>
        <w:topLinePunct w:val="0"/>
        <w:bidi w:val="0"/>
        <w:rPr>
          <w:rFonts w:hint="eastAsia" w:ascii="仿宋" w:hAnsi="仿宋" w:eastAsia="仿宋" w:cs="仿宋"/>
          <w:b/>
          <w:bCs/>
          <w:color w:val="000000" w:themeColor="text1"/>
          <w:sz w:val="28"/>
          <w:szCs w:val="22"/>
          <w:highlight w:val="none"/>
          <w14:textFill>
            <w14:solidFill>
              <w14:schemeClr w14:val="tx1"/>
            </w14:solidFill>
          </w14:textFill>
        </w:rPr>
      </w:pPr>
      <w:r>
        <w:rPr>
          <w:rFonts w:hint="eastAsia" w:ascii="仿宋" w:hAnsi="仿宋" w:eastAsia="仿宋" w:cs="仿宋"/>
          <w:b/>
          <w:bCs/>
          <w:color w:val="000000" w:themeColor="text1"/>
          <w:sz w:val="28"/>
          <w:szCs w:val="22"/>
          <w:highlight w:val="none"/>
          <w:lang w:eastAsia="zh-CN"/>
          <w14:textFill>
            <w14:solidFill>
              <w14:schemeClr w14:val="tx1"/>
            </w14:solidFill>
          </w14:textFill>
        </w:rPr>
        <w:t>四</w:t>
      </w:r>
      <w:r>
        <w:rPr>
          <w:rFonts w:hint="eastAsia" w:ascii="仿宋" w:hAnsi="仿宋" w:eastAsia="仿宋" w:cs="仿宋"/>
          <w:b/>
          <w:bCs/>
          <w:color w:val="000000" w:themeColor="text1"/>
          <w:sz w:val="28"/>
          <w:szCs w:val="22"/>
          <w:highlight w:val="none"/>
          <w14:textFill>
            <w14:solidFill>
              <w14:schemeClr w14:val="tx1"/>
            </w14:solidFill>
          </w14:textFill>
        </w:rPr>
        <w:t>、综合评分时供应商需提供的证明文件</w:t>
      </w:r>
    </w:p>
    <w:p w14:paraId="74091590">
      <w:pPr>
        <w:keepNext w:val="0"/>
        <w:keepLines w:val="0"/>
        <w:pageBreakBefore w:val="0"/>
        <w:widowControl w:val="0"/>
        <w:kinsoku/>
        <w:overflowPunct/>
        <w:topLinePunct w:val="0"/>
        <w:bidi w:val="0"/>
        <w:spacing w:line="520" w:lineRule="exact"/>
        <w:jc w:val="both"/>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（供应商根据第三章评标标准的要求提供相关材料）</w:t>
      </w:r>
    </w:p>
    <w:p w14:paraId="5CA5664D">
      <w:pPr>
        <w:keepNext w:val="0"/>
        <w:keepLines w:val="0"/>
        <w:pageBreakBefore w:val="0"/>
        <w:widowControl w:val="0"/>
        <w:kinsoku/>
        <w:overflowPunct/>
        <w:topLinePunct w:val="0"/>
        <w:bidi w:val="0"/>
        <w:spacing w:line="520" w:lineRule="exact"/>
        <w:ind w:firstLine="560"/>
        <w:jc w:val="center"/>
        <w:rPr>
          <w:rFonts w:hint="eastAsia" w:ascii="仿宋" w:hAnsi="仿宋" w:eastAsia="仿宋" w:cs="仿宋"/>
          <w:color w:val="000000" w:themeColor="text1"/>
          <w:sz w:val="24"/>
          <w:szCs w:val="24"/>
          <w:highlight w:val="none"/>
          <w:lang w:val="zh-CN"/>
          <w14:textFill>
            <w14:solidFill>
              <w14:schemeClr w14:val="tx1"/>
            </w14:solidFill>
          </w14:textFill>
        </w:rPr>
      </w:pPr>
    </w:p>
    <w:p w14:paraId="765A9197">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bookmarkStart w:id="80" w:name="_Toc157775454"/>
    </w:p>
    <w:p w14:paraId="7DD15A9A">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35AB3B71">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464B4818">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316104FD">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0967FCE5">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58E4BA5B">
      <w:pPr>
        <w:keepNext w:val="0"/>
        <w:keepLines w:val="0"/>
        <w:pageBreakBefore w:val="0"/>
        <w:widowControl w:val="0"/>
        <w:kinsoku/>
        <w:overflowPunct/>
        <w:topLinePunct w:val="0"/>
        <w:bidi w:val="0"/>
        <w:spacing w:line="440" w:lineRule="exact"/>
        <w:ind w:firstLine="2877"/>
        <w:rPr>
          <w:rFonts w:hint="eastAsia" w:ascii="仿宋" w:hAnsi="仿宋" w:eastAsia="仿宋" w:cs="仿宋"/>
          <w:b/>
          <w:color w:val="000000" w:themeColor="text1"/>
          <w:sz w:val="32"/>
          <w:szCs w:val="22"/>
          <w:highlight w:val="none"/>
          <w14:textFill>
            <w14:solidFill>
              <w14:schemeClr w14:val="tx1"/>
            </w14:solidFill>
          </w14:textFill>
        </w:rPr>
      </w:pPr>
    </w:p>
    <w:p w14:paraId="736D5501">
      <w:pPr>
        <w:keepNext w:val="0"/>
        <w:keepLines w:val="0"/>
        <w:pageBreakBefore w:val="0"/>
        <w:widowControl w:val="0"/>
        <w:kinsoku/>
        <w:overflowPunct/>
        <w:topLinePunct w:val="0"/>
        <w:bidi w:val="0"/>
        <w:spacing w:line="440" w:lineRule="exact"/>
        <w:rPr>
          <w:rFonts w:hint="eastAsia" w:ascii="仿宋" w:hAnsi="仿宋" w:eastAsia="仿宋" w:cs="仿宋"/>
          <w:b/>
          <w:color w:val="000000" w:themeColor="text1"/>
          <w:sz w:val="32"/>
          <w:szCs w:val="22"/>
          <w:highlight w:val="none"/>
          <w14:textFill>
            <w14:solidFill>
              <w14:schemeClr w14:val="tx1"/>
            </w14:solidFill>
          </w14:textFill>
        </w:rPr>
      </w:pPr>
    </w:p>
    <w:p w14:paraId="2A10B452">
      <w:pPr>
        <w:pStyle w:val="242"/>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6894D939">
      <w:pPr>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05889A44">
      <w:pPr>
        <w:pStyle w:val="242"/>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4155337E">
      <w:pPr>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3AF73468">
      <w:pPr>
        <w:pStyle w:val="242"/>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71B8CF45">
      <w:pPr>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5E18E1D6">
      <w:pPr>
        <w:pStyle w:val="242"/>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6B260A5F">
      <w:pPr>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37F923F3">
      <w:pPr>
        <w:pStyle w:val="242"/>
        <w:keepNext w:val="0"/>
        <w:keepLines w:val="0"/>
        <w:pageBreakBefore w:val="0"/>
        <w:widowControl w:val="0"/>
        <w:kinsoku/>
        <w:overflowPunct/>
        <w:topLinePunct w:val="0"/>
        <w:bidi w:val="0"/>
        <w:rPr>
          <w:rFonts w:hint="eastAsia" w:ascii="仿宋" w:hAnsi="仿宋" w:eastAsia="仿宋" w:cs="仿宋"/>
          <w:b/>
          <w:color w:val="000000" w:themeColor="text1"/>
          <w:sz w:val="32"/>
          <w:szCs w:val="22"/>
          <w:highlight w:val="none"/>
          <w14:textFill>
            <w14:solidFill>
              <w14:schemeClr w14:val="tx1"/>
            </w14:solidFill>
          </w14:textFill>
        </w:rPr>
      </w:pPr>
    </w:p>
    <w:p w14:paraId="2F05CBB5">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p>
    <w:p w14:paraId="7B44C054">
      <w:pPr>
        <w:keepNext w:val="0"/>
        <w:keepLines w:val="0"/>
        <w:pageBreakBefore w:val="0"/>
        <w:widowControl w:val="0"/>
        <w:kinsoku/>
        <w:overflowPunct/>
        <w:topLinePunct w:val="0"/>
        <w:bidi w:val="0"/>
        <w:spacing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示范格式一                 </w:t>
      </w:r>
      <w:bookmarkEnd w:id="80"/>
    </w:p>
    <w:p w14:paraId="71EFBD1C">
      <w:pPr>
        <w:keepNext w:val="0"/>
        <w:keepLines w:val="0"/>
        <w:pageBreakBefore w:val="0"/>
        <w:widowControl w:val="0"/>
        <w:kinsoku/>
        <w:overflowPunct/>
        <w:topLinePunct w:val="0"/>
        <w:bidi w:val="0"/>
        <w:spacing w:line="440" w:lineRule="exact"/>
        <w:ind w:firstLine="2570"/>
        <w:rPr>
          <w:rFonts w:hint="eastAsia" w:ascii="仿宋" w:hAnsi="仿宋" w:eastAsia="仿宋" w:cs="仿宋"/>
          <w:b/>
          <w:bCs/>
          <w:color w:val="000000" w:themeColor="text1"/>
          <w:sz w:val="28"/>
          <w:szCs w:val="22"/>
          <w:highlight w:val="none"/>
          <w14:textFill>
            <w14:solidFill>
              <w14:schemeClr w14:val="tx1"/>
            </w14:solidFill>
          </w14:textFill>
        </w:rPr>
      </w:pPr>
    </w:p>
    <w:p w14:paraId="10463F1D">
      <w:pPr>
        <w:keepNext w:val="0"/>
        <w:keepLines w:val="0"/>
        <w:pageBreakBefore w:val="0"/>
        <w:widowControl w:val="0"/>
        <w:kinsoku/>
        <w:overflowPunct/>
        <w:topLinePunct w:val="0"/>
        <w:bidi w:val="0"/>
        <w:spacing w:line="640" w:lineRule="exact"/>
        <w:ind w:firstLine="2891"/>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法定代表人资格证明</w:t>
      </w:r>
    </w:p>
    <w:p w14:paraId="164758CD">
      <w:pPr>
        <w:keepNext w:val="0"/>
        <w:keepLines w:val="0"/>
        <w:pageBreakBefore w:val="0"/>
        <w:widowControl w:val="0"/>
        <w:kinsoku/>
        <w:overflowPunct/>
        <w:topLinePunct w:val="0"/>
        <w:bidi w:val="0"/>
        <w:spacing w:line="64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单位名称：</w:t>
      </w:r>
    </w:p>
    <w:p w14:paraId="66F320D1">
      <w:pPr>
        <w:keepNext w:val="0"/>
        <w:keepLines w:val="0"/>
        <w:pageBreakBefore w:val="0"/>
        <w:widowControl w:val="0"/>
        <w:kinsoku/>
        <w:overflowPunct/>
        <w:topLinePunct w:val="0"/>
        <w:bidi w:val="0"/>
        <w:spacing w:line="64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地址：</w:t>
      </w:r>
    </w:p>
    <w:p w14:paraId="1CDE1FF6">
      <w:pPr>
        <w:keepNext w:val="0"/>
        <w:keepLines w:val="0"/>
        <w:pageBreakBefore w:val="0"/>
        <w:widowControl w:val="0"/>
        <w:kinsoku/>
        <w:overflowPunct/>
        <w:topLinePunct w:val="0"/>
        <w:bidi w:val="0"/>
        <w:spacing w:line="64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姓名：     性别：      年龄：      职务：</w:t>
      </w:r>
    </w:p>
    <w:p w14:paraId="5F9D486D">
      <w:pPr>
        <w:keepNext w:val="0"/>
        <w:keepLines w:val="0"/>
        <w:pageBreakBefore w:val="0"/>
        <w:widowControl w:val="0"/>
        <w:kinsoku/>
        <w:overflowPunct/>
        <w:topLinePunct w:val="0"/>
        <w:bidi w:val="0"/>
        <w:spacing w:line="640" w:lineRule="exact"/>
        <w:ind w:left="1" w:firstLine="560"/>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系</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（供应商单位名称）</w:t>
      </w:r>
      <w:r>
        <w:rPr>
          <w:rFonts w:hint="eastAsia" w:ascii="仿宋" w:hAnsi="仿宋" w:eastAsia="仿宋" w:cs="仿宋"/>
          <w:color w:val="000000" w:themeColor="text1"/>
          <w:sz w:val="24"/>
          <w:szCs w:val="24"/>
          <w:highlight w:val="none"/>
          <w:lang w:val="zh-CN"/>
          <w14:textFill>
            <w14:solidFill>
              <w14:schemeClr w14:val="tx1"/>
            </w14:solidFill>
          </w14:textFill>
        </w:rPr>
        <w:t>的法定代表人。</w:t>
      </w:r>
      <w:r>
        <w:rPr>
          <w:rFonts w:hint="eastAsia" w:ascii="仿宋" w:hAnsi="仿宋" w:eastAsia="仿宋" w:cs="仿宋"/>
          <w:color w:val="000000" w:themeColor="text1"/>
          <w:sz w:val="24"/>
          <w:szCs w:val="22"/>
          <w:highlight w:val="none"/>
          <w14:textFill>
            <w14:solidFill>
              <w14:schemeClr w14:val="tx1"/>
            </w14:solidFill>
          </w14:textFill>
        </w:rPr>
        <w:t>为参与</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2"/>
          <w:highlight w:val="none"/>
          <w14:textFill>
            <w14:solidFill>
              <w14:schemeClr w14:val="tx1"/>
            </w14:solidFill>
          </w14:textFill>
        </w:rPr>
        <w:t>项目，签署上述项目的采购文件、进行采购、签署合同和处理与之有关的一切事务。</w:t>
      </w:r>
    </w:p>
    <w:p w14:paraId="48C7D067">
      <w:pPr>
        <w:keepNext w:val="0"/>
        <w:keepLines w:val="0"/>
        <w:pageBreakBefore w:val="0"/>
        <w:widowControl w:val="0"/>
        <w:kinsoku/>
        <w:overflowPunct/>
        <w:topLinePunct w:val="0"/>
        <w:bidi w:val="0"/>
        <w:spacing w:line="640" w:lineRule="exact"/>
        <w:ind w:firstLine="280"/>
        <w:rPr>
          <w:rFonts w:hint="eastAsia" w:ascii="仿宋" w:hAnsi="仿宋" w:eastAsia="仿宋" w:cs="仿宋"/>
          <w:color w:val="000000" w:themeColor="text1"/>
          <w:sz w:val="24"/>
          <w:szCs w:val="24"/>
          <w:highlight w:val="none"/>
          <w14:textFill>
            <w14:solidFill>
              <w14:schemeClr w14:val="tx1"/>
            </w14:solidFill>
          </w14:textFill>
        </w:rPr>
      </w:pPr>
    </w:p>
    <w:p w14:paraId="734DA9EB">
      <w:pPr>
        <w:keepNext w:val="0"/>
        <w:keepLines w:val="0"/>
        <w:pageBreakBefore w:val="0"/>
        <w:widowControl w:val="0"/>
        <w:kinsoku/>
        <w:overflowPunct/>
        <w:topLinePunct w:val="0"/>
        <w:bidi w:val="0"/>
        <w:spacing w:line="640" w:lineRule="exact"/>
        <w:rPr>
          <w:rFonts w:hint="eastAsia" w:ascii="仿宋" w:hAnsi="仿宋" w:eastAsia="仿宋" w:cs="仿宋"/>
          <w:color w:val="000000" w:themeColor="text1"/>
          <w:sz w:val="24"/>
          <w:szCs w:val="24"/>
          <w:highlight w:val="none"/>
          <w:lang w:val="zh-CN"/>
          <w14:textFill>
            <w14:solidFill>
              <w14:schemeClr w14:val="tx1"/>
            </w14:solidFill>
          </w14:textFill>
        </w:rPr>
      </w:pPr>
    </w:p>
    <w:p w14:paraId="6A58F757">
      <w:pPr>
        <w:keepNext w:val="0"/>
        <w:keepLines w:val="0"/>
        <w:pageBreakBefore w:val="0"/>
        <w:widowControl w:val="0"/>
        <w:kinsoku/>
        <w:overflowPunct/>
        <w:topLinePunct w:val="0"/>
        <w:bidi w:val="0"/>
        <w:spacing w:line="640" w:lineRule="exact"/>
        <w:ind w:firstLine="28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特此证明。</w:t>
      </w:r>
    </w:p>
    <w:p w14:paraId="0677676D">
      <w:pPr>
        <w:keepNext w:val="0"/>
        <w:keepLines w:val="0"/>
        <w:pageBreakBefore w:val="0"/>
        <w:widowControl w:val="0"/>
        <w:kinsoku/>
        <w:overflowPunct/>
        <w:topLinePunct w:val="0"/>
        <w:bidi w:val="0"/>
        <w:spacing w:line="640" w:lineRule="exact"/>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w:t>
      </w:r>
    </w:p>
    <w:p w14:paraId="2068DE8B">
      <w:pPr>
        <w:keepNext w:val="0"/>
        <w:keepLines w:val="0"/>
        <w:pageBreakBefore w:val="0"/>
        <w:widowControl w:val="0"/>
        <w:kinsoku/>
        <w:overflowPunct/>
        <w:topLinePunct w:val="0"/>
        <w:bidi w:val="0"/>
        <w:spacing w:line="640" w:lineRule="exact"/>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供应商：</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p>
    <w:p w14:paraId="59203069">
      <w:pPr>
        <w:keepNext w:val="0"/>
        <w:keepLines w:val="0"/>
        <w:pageBreakBefore w:val="0"/>
        <w:widowControl w:val="0"/>
        <w:kinsoku/>
        <w:overflowPunct/>
        <w:topLinePunct w:val="0"/>
        <w:bidi w:val="0"/>
        <w:spacing w:line="640" w:lineRule="exact"/>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日</w:t>
      </w:r>
    </w:p>
    <w:p w14:paraId="486C5533">
      <w:pPr>
        <w:pStyle w:val="280"/>
        <w:keepNext w:val="0"/>
        <w:keepLines w:val="0"/>
        <w:pageBreakBefore w:val="0"/>
        <w:widowControl w:val="0"/>
        <w:kinsoku/>
        <w:overflowPunct/>
        <w:topLinePunct w:val="0"/>
        <w:bidi w:val="0"/>
        <w:spacing w:before="0" w:after="0" w:line="520" w:lineRule="exact"/>
        <w:ind w:left="4760" w:right="560" w:hanging="1820"/>
        <w:rPr>
          <w:rFonts w:hint="eastAsia" w:ascii="仿宋" w:hAnsi="仿宋" w:eastAsia="仿宋" w:cs="仿宋"/>
          <w:color w:val="000000" w:themeColor="text1"/>
          <w:sz w:val="24"/>
          <w:szCs w:val="24"/>
          <w:highlight w:val="none"/>
          <w:lang w:val="zh-CN"/>
          <w14:textFill>
            <w14:solidFill>
              <w14:schemeClr w14:val="tx1"/>
            </w14:solidFill>
          </w14:textFill>
        </w:rPr>
      </w:pPr>
    </w:p>
    <w:p w14:paraId="2BE6ABCC">
      <w:pPr>
        <w:keepNext w:val="0"/>
        <w:keepLines w:val="0"/>
        <w:pageBreakBefore w:val="0"/>
        <w:widowControl w:val="0"/>
        <w:kinsoku/>
        <w:overflowPunct/>
        <w:topLinePunct w:val="0"/>
        <w:bidi w:val="0"/>
        <w:spacing w:line="640" w:lineRule="exact"/>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                     </w:t>
      </w:r>
    </w:p>
    <w:p w14:paraId="28C60FC7">
      <w:pPr>
        <w:keepNext w:val="0"/>
        <w:keepLines w:val="0"/>
        <w:pageBreakBefore w:val="0"/>
        <w:widowControl w:val="0"/>
        <w:kinsoku/>
        <w:overflowPunct/>
        <w:topLinePunct w:val="0"/>
        <w:bidi w:val="0"/>
        <w:spacing w:line="640" w:lineRule="exact"/>
        <w:ind w:firstLine="560"/>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注</w:t>
      </w:r>
      <w:r>
        <w:rPr>
          <w:rFonts w:hint="eastAsia" w:ascii="仿宋" w:hAnsi="仿宋" w:eastAsia="仿宋" w:cs="仿宋"/>
          <w:bCs/>
          <w:color w:val="000000" w:themeColor="text1"/>
          <w:sz w:val="24"/>
          <w:szCs w:val="22"/>
          <w:highlight w:val="none"/>
          <w:lang w:eastAsia="zh-CN"/>
          <w14:textFill>
            <w14:solidFill>
              <w14:schemeClr w14:val="tx1"/>
            </w14:solidFill>
          </w14:textFill>
        </w:rPr>
        <w:t>：</w:t>
      </w:r>
      <w:r>
        <w:rPr>
          <w:rFonts w:hint="eastAsia" w:ascii="仿宋" w:hAnsi="仿宋" w:eastAsia="仿宋" w:cs="仿宋"/>
          <w:bCs/>
          <w:color w:val="000000" w:themeColor="text1"/>
          <w:sz w:val="24"/>
          <w:szCs w:val="22"/>
          <w:highlight w:val="none"/>
          <w14:textFill>
            <w14:solidFill>
              <w14:schemeClr w14:val="tx1"/>
            </w14:solidFill>
          </w14:textFill>
        </w:rPr>
        <w:t>供应商法定代表人</w:t>
      </w:r>
      <w:r>
        <w:rPr>
          <w:rFonts w:hint="eastAsia" w:ascii="仿宋" w:hAnsi="仿宋" w:eastAsia="仿宋" w:cs="仿宋"/>
          <w:bCs/>
          <w:color w:val="000000" w:themeColor="text1"/>
          <w:sz w:val="24"/>
          <w:szCs w:val="24"/>
          <w:highlight w:val="none"/>
          <w14:textFill>
            <w14:solidFill>
              <w14:schemeClr w14:val="tx1"/>
            </w14:solidFill>
          </w14:textFill>
        </w:rPr>
        <w:t>参加磋商的，必须附</w:t>
      </w:r>
      <w:r>
        <w:rPr>
          <w:rFonts w:hint="eastAsia" w:ascii="仿宋" w:hAnsi="仿宋" w:eastAsia="仿宋" w:cs="仿宋"/>
          <w:bCs/>
          <w:color w:val="000000" w:themeColor="text1"/>
          <w:sz w:val="24"/>
          <w:szCs w:val="22"/>
          <w:highlight w:val="none"/>
          <w14:textFill>
            <w14:solidFill>
              <w14:schemeClr w14:val="tx1"/>
            </w14:solidFill>
          </w14:textFill>
        </w:rPr>
        <w:t>法定代表人</w:t>
      </w:r>
      <w:r>
        <w:rPr>
          <w:rFonts w:hint="eastAsia" w:ascii="仿宋" w:hAnsi="仿宋" w:eastAsia="仿宋" w:cs="仿宋"/>
          <w:bCs/>
          <w:color w:val="000000" w:themeColor="text1"/>
          <w:sz w:val="24"/>
          <w:szCs w:val="24"/>
          <w:highlight w:val="none"/>
          <w14:textFill>
            <w14:solidFill>
              <w14:schemeClr w14:val="tx1"/>
            </w14:solidFill>
          </w14:textFill>
        </w:rPr>
        <w:t>身份证扫描件加盖供应商电子签章。</w:t>
      </w:r>
      <w:r>
        <w:rPr>
          <w:rFonts w:hint="eastAsia" w:ascii="仿宋" w:hAnsi="仿宋" w:eastAsia="仿宋" w:cs="仿宋"/>
          <w:color w:val="000000" w:themeColor="text1"/>
          <w:sz w:val="24"/>
          <w:szCs w:val="24"/>
          <w:highlight w:val="none"/>
          <w14:textFill>
            <w14:solidFill>
              <w14:schemeClr w14:val="tx1"/>
            </w14:solidFill>
          </w14:textFill>
        </w:rPr>
        <w:t>法定代表人授权其他人参加磋商的，仅需填写“授权委托书”。</w:t>
      </w:r>
    </w:p>
    <w:p w14:paraId="14149B50">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14:textFill>
            <w14:solidFill>
              <w14:schemeClr w14:val="tx1"/>
            </w14:solidFill>
          </w14:textFill>
        </w:rPr>
      </w:pPr>
    </w:p>
    <w:p w14:paraId="1BFAE3C2">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14:textFill>
            <w14:solidFill>
              <w14:schemeClr w14:val="tx1"/>
            </w14:solidFill>
          </w14:textFill>
        </w:rPr>
      </w:pPr>
    </w:p>
    <w:p w14:paraId="307FA0BB">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14:textFill>
            <w14:solidFill>
              <w14:schemeClr w14:val="tx1"/>
            </w14:solidFill>
          </w14:textFill>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38FD9959">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8"/>
          <w:szCs w:val="22"/>
          <w:highlight w:val="none"/>
          <w14:textFill>
            <w14:solidFill>
              <w14:schemeClr w14:val="tx1"/>
            </w14:solidFill>
          </w14:textFill>
        </w:rPr>
        <w:t>示范格式二</w:t>
      </w:r>
    </w:p>
    <w:p w14:paraId="327397FC">
      <w:pPr>
        <w:keepNext w:val="0"/>
        <w:keepLines w:val="0"/>
        <w:pageBreakBefore w:val="0"/>
        <w:widowControl w:val="0"/>
        <w:kinsoku/>
        <w:overflowPunct/>
        <w:topLinePunct w:val="0"/>
        <w:bidi w:val="0"/>
        <w:spacing w:line="520" w:lineRule="exact"/>
        <w:ind w:firstLine="3213"/>
        <w:rPr>
          <w:rFonts w:hint="eastAsia" w:ascii="仿宋" w:hAnsi="仿宋" w:eastAsia="仿宋" w:cs="仿宋"/>
          <w:b/>
          <w:bCs/>
          <w:color w:val="000000" w:themeColor="text1"/>
          <w:sz w:val="24"/>
          <w:szCs w:val="22"/>
          <w:highlight w:val="none"/>
          <w14:textFill>
            <w14:solidFill>
              <w14:schemeClr w14:val="tx1"/>
            </w14:solidFill>
          </w14:textFill>
        </w:rPr>
      </w:pPr>
      <w:bookmarkStart w:id="81" w:name="OLE_LINK37"/>
      <w:bookmarkStart w:id="82" w:name="OLE_LINK38"/>
      <w:r>
        <w:rPr>
          <w:rFonts w:hint="eastAsia" w:ascii="仿宋" w:hAnsi="仿宋" w:eastAsia="仿宋" w:cs="仿宋"/>
          <w:b/>
          <w:bCs/>
          <w:color w:val="000000" w:themeColor="text1"/>
          <w:sz w:val="28"/>
          <w:szCs w:val="22"/>
          <w:highlight w:val="none"/>
          <w14:textFill>
            <w14:solidFill>
              <w14:schemeClr w14:val="tx1"/>
            </w14:solidFill>
          </w14:textFill>
        </w:rPr>
        <w:t>授权委托书</w:t>
      </w:r>
    </w:p>
    <w:p w14:paraId="334FED35">
      <w:pPr>
        <w:keepNext w:val="0"/>
        <w:keepLines w:val="0"/>
        <w:pageBreakBefore w:val="0"/>
        <w:widowControl w:val="0"/>
        <w:kinsoku/>
        <w:overflowPunct/>
        <w:topLinePunct w:val="0"/>
        <w:bidi w:val="0"/>
        <w:spacing w:line="520" w:lineRule="exact"/>
        <w:rPr>
          <w:rFonts w:hint="eastAsia" w:ascii="仿宋" w:hAnsi="仿宋" w:eastAsia="仿宋" w:cs="仿宋"/>
          <w:bCs/>
          <w:color w:val="000000" w:themeColor="text1"/>
          <w:sz w:val="28"/>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致</w:t>
      </w:r>
      <w:r>
        <w:rPr>
          <w:rFonts w:hint="eastAsia" w:ascii="仿宋" w:hAnsi="仿宋" w:eastAsia="仿宋" w:cs="仿宋"/>
          <w:b w:val="0"/>
          <w:bCs w:val="0"/>
          <w:color w:val="000000" w:themeColor="text1"/>
          <w:sz w:val="24"/>
          <w:szCs w:val="24"/>
          <w:highlight w:val="none"/>
          <w:u w:val="none"/>
          <w:lang w:eastAsia="zh-CN"/>
          <w14:textFill>
            <w14:solidFill>
              <w14:schemeClr w14:val="tx1"/>
            </w14:solidFill>
          </w14:textFill>
        </w:rPr>
        <w:t>淮安市淮安区山阳街道办事处：</w:t>
      </w:r>
    </w:p>
    <w:p w14:paraId="427C5CED">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本授权书宣告</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1DC94D5">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委托方</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39AA8C9D">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50DEB0E7">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受托人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姓名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性别</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出生日期</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101168BE">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所在单位</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59CF1462">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身 份 证</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联系方式</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0B4FF34E">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兹委托受托人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代表我公司参加</w:t>
      </w:r>
      <w:r>
        <w:rPr>
          <w:rFonts w:hint="eastAsia" w:ascii="仿宋" w:hAnsi="仿宋" w:eastAsia="仿宋" w:cs="仿宋"/>
          <w:b w:val="0"/>
          <w:bCs w:val="0"/>
          <w:color w:val="000000" w:themeColor="text1"/>
          <w:sz w:val="24"/>
          <w:szCs w:val="24"/>
          <w:highlight w:val="none"/>
          <w:u w:val="single"/>
          <w:lang w:eastAsia="zh-CN"/>
          <w14:textFill>
            <w14:solidFill>
              <w14:schemeClr w14:val="tx1"/>
            </w14:solidFill>
          </w14:textFill>
        </w:rPr>
        <w:t>淮安市淮安区山阳街道办事处</w:t>
      </w:r>
      <w:r>
        <w:rPr>
          <w:rFonts w:hint="eastAsia" w:ascii="仿宋" w:hAnsi="仿宋" w:eastAsia="仿宋" w:cs="仿宋"/>
          <w:color w:val="000000" w:themeColor="text1"/>
          <w:sz w:val="24"/>
          <w:szCs w:val="24"/>
          <w:highlight w:val="none"/>
          <w14:textFill>
            <w14:solidFill>
              <w14:schemeClr w14:val="tx1"/>
            </w14:solidFill>
          </w14:textFill>
        </w:rPr>
        <w:t>组织的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采购项目的政府采购活动，受托人有权在该</w:t>
      </w:r>
      <w:r>
        <w:rPr>
          <w:rFonts w:hint="eastAsia" w:ascii="仿宋" w:hAnsi="仿宋" w:eastAsia="仿宋" w:cs="仿宋"/>
          <w:color w:val="000000" w:themeColor="text1"/>
          <w:sz w:val="24"/>
          <w:szCs w:val="24"/>
          <w:highlight w:val="none"/>
          <w:lang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活动中，以我单位的名义签署磋商函和采购文件，与代理机构协商、澄清、解释，签订合同书并执行一切与此有关的事项。</w:t>
      </w:r>
    </w:p>
    <w:p w14:paraId="01DB8AF8">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受托人在办理上述事宜过程中以其自己的名义所签署的所有文件我公司均予以承认。受托人无转委托权。</w:t>
      </w:r>
    </w:p>
    <w:p w14:paraId="19140D19">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委托期限</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至上述事宜处理完毕止。</w:t>
      </w:r>
    </w:p>
    <w:p w14:paraId="5DB5C068">
      <w:pPr>
        <w:keepNext w:val="0"/>
        <w:keepLines w:val="0"/>
        <w:pageBreakBefore w:val="0"/>
        <w:widowControl w:val="0"/>
        <w:kinsoku/>
        <w:overflowPunct/>
        <w:topLinePunct w:val="0"/>
        <w:bidi w:val="0"/>
        <w:spacing w:line="520" w:lineRule="exact"/>
        <w:ind w:firstLine="600"/>
        <w:rPr>
          <w:rFonts w:hint="eastAsia" w:ascii="仿宋" w:hAnsi="仿宋" w:eastAsia="仿宋" w:cs="仿宋"/>
          <w:b/>
          <w:color w:val="000000" w:themeColor="text1"/>
          <w:sz w:val="24"/>
          <w:szCs w:val="24"/>
          <w:highlight w:val="none"/>
          <w14:textFill>
            <w14:solidFill>
              <w14:schemeClr w14:val="tx1"/>
            </w14:solidFill>
          </w14:textFill>
        </w:rPr>
      </w:pPr>
    </w:p>
    <w:p w14:paraId="08BF7DCE">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14:textFill>
            <w14:solidFill>
              <w14:schemeClr w14:val="tx1"/>
            </w14:solidFill>
          </w14:textFill>
        </w:rPr>
      </w:pPr>
    </w:p>
    <w:p w14:paraId="7EED32BA">
      <w:pPr>
        <w:keepNext w:val="0"/>
        <w:keepLines w:val="0"/>
        <w:pageBreakBefore w:val="0"/>
        <w:widowControl w:val="0"/>
        <w:kinsoku/>
        <w:overflowPunct/>
        <w:topLinePunct w:val="0"/>
        <w:bidi w:val="0"/>
        <w:spacing w:line="640" w:lineRule="exact"/>
        <w:jc w:val="center"/>
        <w:rPr>
          <w:rFonts w:hint="eastAsia" w:ascii="仿宋" w:hAnsi="仿宋" w:eastAsia="仿宋" w:cs="仿宋"/>
          <w:color w:val="000000" w:themeColor="text1"/>
          <w:sz w:val="24"/>
          <w:szCs w:val="24"/>
          <w:highlight w:val="none"/>
          <w:u w:val="singl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供应商：</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p>
    <w:p w14:paraId="345EA71E">
      <w:pPr>
        <w:keepNext w:val="0"/>
        <w:keepLines w:val="0"/>
        <w:pageBreakBefore w:val="0"/>
        <w:widowControl w:val="0"/>
        <w:kinsoku/>
        <w:overflowPunct/>
        <w:topLinePunct w:val="0"/>
        <w:bidi w:val="0"/>
        <w:spacing w:line="440" w:lineRule="exact"/>
        <w:jc w:val="center"/>
        <w:rPr>
          <w:rFonts w:hint="eastAsia" w:ascii="仿宋" w:hAnsi="仿宋" w:eastAsia="仿宋" w:cs="仿宋"/>
          <w:color w:val="000000" w:themeColor="text1"/>
          <w:sz w:val="24"/>
          <w:szCs w:val="22"/>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法定代表人</w:t>
      </w:r>
      <w:r>
        <w:rPr>
          <w:rFonts w:hint="eastAsia" w:ascii="仿宋" w:hAnsi="仿宋" w:eastAsia="仿宋" w:cs="仿宋"/>
          <w:color w:val="000000" w:themeColor="text1"/>
          <w:sz w:val="24"/>
          <w:szCs w:val="24"/>
          <w:highlight w:val="none"/>
          <w:lang w:eastAsia="zh-CN"/>
          <w14:textFill>
            <w14:solidFill>
              <w14:schemeClr w14:val="tx1"/>
            </w14:solidFill>
          </w14:textFill>
        </w:rPr>
        <w:t>或授权委托人：</w:t>
      </w:r>
      <w:r>
        <w:rPr>
          <w:rFonts w:hint="eastAsia" w:ascii="仿宋" w:hAnsi="仿宋" w:eastAsia="仿宋" w:cs="仿宋"/>
          <w:color w:val="000000" w:themeColor="text1"/>
          <w:sz w:val="24"/>
          <w:szCs w:val="22"/>
          <w:highlight w:val="none"/>
          <w:u w:val="single"/>
          <w14:textFill>
            <w14:solidFill>
              <w14:schemeClr w14:val="tx1"/>
            </w14:solidFill>
          </w14:textFill>
        </w:rPr>
        <w:t>（签章或签字）</w:t>
      </w:r>
    </w:p>
    <w:p w14:paraId="41BBEE99">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日</w:t>
      </w:r>
    </w:p>
    <w:p w14:paraId="49014251">
      <w:pPr>
        <w:keepNext w:val="0"/>
        <w:keepLines w:val="0"/>
        <w:pageBreakBefore w:val="0"/>
        <w:widowControl w:val="0"/>
        <w:kinsoku/>
        <w:overflowPunct/>
        <w:topLinePunct w:val="0"/>
        <w:bidi w:val="0"/>
        <w:spacing w:line="520" w:lineRule="exact"/>
        <w:ind w:left="-359" w:firstLine="548"/>
        <w:rPr>
          <w:rFonts w:hint="eastAsia" w:ascii="仿宋" w:hAnsi="仿宋" w:eastAsia="仿宋" w:cs="仿宋"/>
          <w:bCs/>
          <w:color w:val="000000" w:themeColor="text1"/>
          <w:sz w:val="24"/>
          <w:szCs w:val="22"/>
          <w:highlight w:val="none"/>
          <w14:textFill>
            <w14:solidFill>
              <w14:schemeClr w14:val="tx1"/>
            </w14:solidFill>
          </w14:textFill>
        </w:rPr>
      </w:pPr>
    </w:p>
    <w:p w14:paraId="75574266">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2"/>
          <w:highlight w:val="none"/>
          <w14:textFill>
            <w14:solidFill>
              <w14:schemeClr w14:val="tx1"/>
            </w14:solidFill>
          </w14:textFill>
        </w:rPr>
        <w:t>注</w:t>
      </w:r>
      <w:r>
        <w:rPr>
          <w:rFonts w:hint="eastAsia" w:ascii="仿宋" w:hAnsi="仿宋" w:eastAsia="仿宋" w:cs="仿宋"/>
          <w:bCs/>
          <w:color w:val="000000" w:themeColor="text1"/>
          <w:sz w:val="24"/>
          <w:szCs w:val="22"/>
          <w:highlight w:val="none"/>
          <w:lang w:eastAsia="zh-CN"/>
          <w14:textFill>
            <w14:solidFill>
              <w14:schemeClr w14:val="tx1"/>
            </w14:solidFill>
          </w14:textFill>
        </w:rPr>
        <w:t>：</w:t>
      </w:r>
      <w:r>
        <w:rPr>
          <w:rFonts w:hint="eastAsia" w:ascii="仿宋" w:hAnsi="仿宋" w:eastAsia="仿宋" w:cs="仿宋"/>
          <w:bCs/>
          <w:color w:val="000000" w:themeColor="text1"/>
          <w:sz w:val="24"/>
          <w:szCs w:val="22"/>
          <w:highlight w:val="none"/>
          <w14:textFill>
            <w14:solidFill>
              <w14:schemeClr w14:val="tx1"/>
            </w14:solidFill>
          </w14:textFill>
        </w:rPr>
        <w:t>供应商委托</w:t>
      </w:r>
      <w:r>
        <w:rPr>
          <w:rFonts w:hint="eastAsia" w:ascii="仿宋" w:hAnsi="仿宋" w:eastAsia="仿宋" w:cs="仿宋"/>
          <w:bCs/>
          <w:color w:val="000000" w:themeColor="text1"/>
          <w:sz w:val="24"/>
          <w:szCs w:val="24"/>
          <w:highlight w:val="none"/>
          <w14:textFill>
            <w14:solidFill>
              <w14:schemeClr w14:val="tx1"/>
            </w14:solidFill>
          </w14:textFill>
        </w:rPr>
        <w:t>受托人参加磋商的，必须附受托人身份证</w:t>
      </w:r>
      <w:r>
        <w:rPr>
          <w:rFonts w:hint="eastAsia" w:ascii="仿宋" w:hAnsi="仿宋" w:eastAsia="仿宋" w:cs="仿宋"/>
          <w:color w:val="000000" w:themeColor="text1"/>
          <w:sz w:val="24"/>
          <w:szCs w:val="24"/>
          <w:highlight w:val="none"/>
          <w14:textFill>
            <w14:solidFill>
              <w14:schemeClr w14:val="tx1"/>
            </w14:solidFill>
          </w14:textFill>
        </w:rPr>
        <w:t>扫描</w:t>
      </w:r>
      <w:r>
        <w:rPr>
          <w:rFonts w:hint="eastAsia" w:ascii="仿宋" w:hAnsi="仿宋" w:eastAsia="仿宋" w:cs="仿宋"/>
          <w:bCs/>
          <w:color w:val="000000" w:themeColor="text1"/>
          <w:sz w:val="24"/>
          <w:szCs w:val="24"/>
          <w:highlight w:val="none"/>
          <w14:textFill>
            <w14:solidFill>
              <w14:schemeClr w14:val="tx1"/>
            </w14:solidFill>
          </w14:textFill>
        </w:rPr>
        <w:t>件加盖供应商电子签章。</w:t>
      </w:r>
      <w:r>
        <w:rPr>
          <w:rFonts w:hint="eastAsia" w:ascii="仿宋" w:hAnsi="仿宋" w:eastAsia="仿宋" w:cs="仿宋"/>
          <w:color w:val="000000" w:themeColor="text1"/>
          <w:sz w:val="24"/>
          <w:szCs w:val="24"/>
          <w:highlight w:val="none"/>
          <w14:textFill>
            <w14:solidFill>
              <w14:schemeClr w14:val="tx1"/>
            </w14:solidFill>
          </w14:textFill>
        </w:rPr>
        <w:t>法定代表人直接参加磋商的，仅需填写“法定代表人资格证明”。</w:t>
      </w:r>
      <w:bookmarkEnd w:id="81"/>
      <w:bookmarkEnd w:id="82"/>
    </w:p>
    <w:p w14:paraId="69E4AD80">
      <w:pPr>
        <w:keepNext w:val="0"/>
        <w:keepLines w:val="0"/>
        <w:pageBreakBefore w:val="0"/>
        <w:widowControl w:val="0"/>
        <w:kinsoku/>
        <w:overflowPunct/>
        <w:topLinePunct w:val="0"/>
        <w:bidi w:val="0"/>
        <w:rPr>
          <w:rFonts w:hint="eastAsia" w:ascii="仿宋" w:hAnsi="仿宋" w:eastAsia="仿宋" w:cs="仿宋"/>
          <w:b/>
          <w:color w:val="000000" w:themeColor="text1"/>
          <w:sz w:val="28"/>
          <w:szCs w:val="22"/>
          <w:highlight w:val="none"/>
          <w14:textFill>
            <w14:solidFill>
              <w14:schemeClr w14:val="tx1"/>
            </w14:solidFill>
          </w14:textFill>
        </w:rPr>
      </w:pPr>
    </w:p>
    <w:p w14:paraId="5F2E4636">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326FBDFB">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示范格式三</w:t>
      </w:r>
    </w:p>
    <w:p w14:paraId="71470FFA">
      <w:pPr>
        <w:keepNext w:val="0"/>
        <w:keepLines w:val="0"/>
        <w:pageBreakBefore w:val="0"/>
        <w:widowControl w:val="0"/>
        <w:kinsoku/>
        <w:overflowPunct/>
        <w:topLinePunct w:val="0"/>
        <w:bidi w:val="0"/>
        <w:spacing w:line="640" w:lineRule="exact"/>
        <w:ind w:left="-359" w:firstLine="357"/>
        <w:jc w:val="center"/>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符合《中华人民共和国政府采购法》第二十二条规定条件的声明函</w:t>
      </w:r>
    </w:p>
    <w:p w14:paraId="77719BF3">
      <w:pPr>
        <w:pStyle w:val="232"/>
        <w:keepNext w:val="0"/>
        <w:keepLines w:val="0"/>
        <w:pageBreakBefore w:val="0"/>
        <w:widowControl w:val="0"/>
        <w:kinsoku/>
        <w:overflowPunct/>
        <w:topLinePunct w:val="0"/>
        <w:bidi w:val="0"/>
        <w:spacing w:line="720" w:lineRule="exact"/>
        <w:ind w:firstLine="0"/>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：淮安市淮安区山阳街道办事处</w:t>
      </w:r>
    </w:p>
    <w:p w14:paraId="75BC2600">
      <w:pPr>
        <w:keepNext w:val="0"/>
        <w:keepLines w:val="0"/>
        <w:pageBreakBefore w:val="0"/>
        <w:widowControl w:val="0"/>
        <w:kinsoku/>
        <w:overflowPunct/>
        <w:topLinePunct w:val="0"/>
        <w:bidi w:val="0"/>
        <w:spacing w:line="520" w:lineRule="exact"/>
        <w:ind w:firstLine="84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我公司参加贵中心组织实施的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采购项目的政府采购活动。针对《中华人民共和国政府采购法》第二十二条规定做出如下声明：</w:t>
      </w:r>
    </w:p>
    <w:p w14:paraId="0CF31DA3">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我单位具有独立承担民事责任的能力；</w:t>
      </w:r>
    </w:p>
    <w:p w14:paraId="78B79BCE">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我单位具有良好的商业信誉和健全的财务会计制度；</w:t>
      </w:r>
    </w:p>
    <w:p w14:paraId="32451A5D">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我单位具有履行合同所必需的设备和专业技术能力；</w:t>
      </w:r>
    </w:p>
    <w:p w14:paraId="6AFF75FF">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我单位有依法缴纳税收和社会保障资金的良好记录；</w:t>
      </w:r>
    </w:p>
    <w:p w14:paraId="312DE726">
      <w:pPr>
        <w:keepNext w:val="0"/>
        <w:keepLines w:val="0"/>
        <w:pageBreakBefore w:val="0"/>
        <w:widowControl w:val="0"/>
        <w:kinsoku/>
        <w:overflowPunct/>
        <w:topLinePunct w:val="0"/>
        <w:bidi w:val="0"/>
        <w:spacing w:line="640" w:lineRule="exact"/>
        <w:ind w:firstLine="56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 xml:space="preserve">参加本次政府采购活动前三年内，我公司在经营活动中没有因违法经营受到刑事处罚或者责令停产停业、吊销许可证或者执照、较大数额罚款等行政处罚。 </w:t>
      </w:r>
    </w:p>
    <w:p w14:paraId="46263035">
      <w:pPr>
        <w:keepNext w:val="0"/>
        <w:keepLines w:val="0"/>
        <w:pageBreakBefore w:val="0"/>
        <w:widowControl w:val="0"/>
        <w:kinsoku/>
        <w:overflowPunct/>
        <w:topLinePunct w:val="0"/>
        <w:bidi w:val="0"/>
        <w:spacing w:line="520" w:lineRule="exact"/>
        <w:ind w:firstLine="63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我单位满足法律、行政法规规定的其他条件。</w:t>
      </w:r>
    </w:p>
    <w:p w14:paraId="2ECFFCB5">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特此声明！</w:t>
      </w:r>
    </w:p>
    <w:p w14:paraId="760D33A5">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u w:val="single"/>
          <w14:textFill>
            <w14:solidFill>
              <w14:schemeClr w14:val="tx1"/>
            </w14:solidFill>
          </w14:textFill>
        </w:rPr>
      </w:pPr>
    </w:p>
    <w:p w14:paraId="18D9F6E4">
      <w:pPr>
        <w:keepNext w:val="0"/>
        <w:keepLines w:val="0"/>
        <w:pageBreakBefore w:val="0"/>
        <w:widowControl w:val="0"/>
        <w:kinsoku/>
        <w:overflowPunct/>
        <w:topLinePunct w:val="0"/>
        <w:bidi w:val="0"/>
        <w:spacing w:line="640" w:lineRule="exact"/>
        <w:jc w:val="righ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承诺人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（电子签章）    </w:t>
      </w:r>
    </w:p>
    <w:p w14:paraId="44EABB2A">
      <w:pPr>
        <w:keepNext w:val="0"/>
        <w:keepLines w:val="0"/>
        <w:pageBreakBefore w:val="0"/>
        <w:widowControl w:val="0"/>
        <w:kinsoku/>
        <w:overflowPunct/>
        <w:topLinePunct w:val="0"/>
        <w:bidi w:val="0"/>
        <w:spacing w:line="520" w:lineRule="exact"/>
        <w:jc w:val="righ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日期：</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年 </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月</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日</w:t>
      </w:r>
    </w:p>
    <w:p w14:paraId="6BA81FB1">
      <w:pPr>
        <w:keepNext w:val="0"/>
        <w:keepLines w:val="0"/>
        <w:pageBreakBefore w:val="0"/>
        <w:widowControl w:val="0"/>
        <w:kinsoku/>
        <w:overflowPunct/>
        <w:topLinePunct w:val="0"/>
        <w:bidi w:val="0"/>
        <w:spacing w:line="520" w:lineRule="exact"/>
        <w:rPr>
          <w:rFonts w:hint="eastAsia" w:ascii="仿宋" w:hAnsi="仿宋" w:eastAsia="仿宋" w:cs="仿宋"/>
          <w:color w:val="000000" w:themeColor="text1"/>
          <w:sz w:val="24"/>
          <w:szCs w:val="24"/>
          <w:highlight w:val="none"/>
          <w:u w:val="single"/>
          <w14:textFill>
            <w14:solidFill>
              <w14:schemeClr w14:val="tx1"/>
            </w14:solidFill>
          </w14:textFill>
        </w:rPr>
      </w:pPr>
    </w:p>
    <w:p w14:paraId="0708D16B">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p>
    <w:p w14:paraId="0B4A2054">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p>
    <w:p w14:paraId="2EAA388F">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p>
    <w:p w14:paraId="4AB1CF14">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p>
    <w:p w14:paraId="6A439B3E">
      <w:pPr>
        <w:keepNext w:val="0"/>
        <w:keepLines w:val="0"/>
        <w:pageBreakBefore w:val="0"/>
        <w:widowControl w:val="0"/>
        <w:kinsoku/>
        <w:overflowPunct/>
        <w:topLinePunct w:val="0"/>
        <w:bidi w:val="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clear="all"/>
      </w:r>
    </w:p>
    <w:p w14:paraId="022736F7">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 xml:space="preserve">示范格式四 </w:t>
      </w:r>
    </w:p>
    <w:p w14:paraId="2BFAB7F5">
      <w:pPr>
        <w:keepNext w:val="0"/>
        <w:keepLines w:val="0"/>
        <w:pageBreakBefore w:val="0"/>
        <w:widowControl w:val="0"/>
        <w:kinsoku/>
        <w:wordWrap/>
        <w:overflowPunct/>
        <w:topLinePunct w:val="0"/>
        <w:autoSpaceDE/>
        <w:autoSpaceDN/>
        <w:bidi w:val="0"/>
        <w:adjustRightInd/>
        <w:snapToGrid/>
        <w:spacing w:line="500" w:lineRule="exact"/>
        <w:ind w:left="-359" w:firstLine="357"/>
        <w:jc w:val="center"/>
        <w:textAlignment w:val="auto"/>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承诺书</w:t>
      </w:r>
    </w:p>
    <w:p w14:paraId="21EB69FC">
      <w:pPr>
        <w:pStyle w:val="232"/>
        <w:keepNext w:val="0"/>
        <w:keepLines w:val="0"/>
        <w:pageBreakBefore w:val="0"/>
        <w:widowControl w:val="0"/>
        <w:kinsoku/>
        <w:wordWrap/>
        <w:overflowPunct/>
        <w:topLinePunct w:val="0"/>
        <w:autoSpaceDE/>
        <w:autoSpaceDN/>
        <w:bidi w:val="0"/>
        <w:adjustRightInd/>
        <w:snapToGrid/>
        <w:spacing w:line="500" w:lineRule="exact"/>
        <w:ind w:firstLine="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：淮安市淮安区山阳街道办事处</w:t>
      </w:r>
    </w:p>
    <w:p w14:paraId="263D7745">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我公司参加贵中心组织实施的</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2025年山阳街道人居环境综合整治提升物资采购项目</w:t>
      </w:r>
      <w:r>
        <w:rPr>
          <w:rFonts w:hint="eastAsia" w:ascii="仿宋" w:hAnsi="仿宋" w:eastAsia="仿宋" w:cs="仿宋"/>
          <w:color w:val="000000" w:themeColor="text1"/>
          <w:sz w:val="24"/>
          <w:szCs w:val="24"/>
          <w:highlight w:val="none"/>
          <w:u w:val="single"/>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：JSZC-320803-ZZGC-C2026-0002</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采购项目的政府采购活动，</w:t>
      </w:r>
      <w:r>
        <w:rPr>
          <w:rFonts w:hint="eastAsia" w:ascii="仿宋" w:hAnsi="仿宋" w:eastAsia="仿宋" w:cs="仿宋"/>
          <w:color w:val="000000" w:themeColor="text1"/>
          <w:sz w:val="24"/>
          <w:szCs w:val="24"/>
          <w:highlight w:val="none"/>
          <w:lang w:eastAsia="zh-CN"/>
          <w14:textFill>
            <w14:solidFill>
              <w14:schemeClr w14:val="tx1"/>
            </w14:solidFill>
          </w14:textFill>
        </w:rPr>
        <w:t>承诺如下</w:t>
      </w:r>
      <w:r>
        <w:rPr>
          <w:rFonts w:hint="eastAsia" w:ascii="仿宋" w:hAnsi="仿宋" w:eastAsia="仿宋" w:cs="仿宋"/>
          <w:color w:val="000000" w:themeColor="text1"/>
          <w:sz w:val="24"/>
          <w:szCs w:val="24"/>
          <w:highlight w:val="none"/>
          <w14:textFill>
            <w14:solidFill>
              <w14:schemeClr w14:val="tx1"/>
            </w14:solidFill>
          </w14:textFill>
        </w:rPr>
        <w:t>：</w:t>
      </w:r>
    </w:p>
    <w:p w14:paraId="4C6E8874">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单位负责人</w:t>
      </w:r>
      <w:r>
        <w:rPr>
          <w:rFonts w:hint="eastAsia" w:ascii="仿宋" w:hAnsi="仿宋" w:eastAsia="仿宋" w:cs="仿宋"/>
          <w:color w:val="000000" w:themeColor="text1"/>
          <w:sz w:val="24"/>
          <w:szCs w:val="24"/>
          <w:highlight w:val="none"/>
          <w:lang w:eastAsia="zh-CN"/>
          <w14:textFill>
            <w14:solidFill>
              <w14:schemeClr w14:val="tx1"/>
            </w14:solidFill>
          </w14:textFill>
        </w:rPr>
        <w:t>没有</w:t>
      </w:r>
      <w:r>
        <w:rPr>
          <w:rFonts w:hint="eastAsia" w:ascii="仿宋" w:hAnsi="仿宋" w:eastAsia="仿宋" w:cs="仿宋"/>
          <w:color w:val="000000" w:themeColor="text1"/>
          <w:sz w:val="24"/>
          <w:szCs w:val="24"/>
          <w:highlight w:val="none"/>
          <w14:textFill>
            <w14:solidFill>
              <w14:schemeClr w14:val="tx1"/>
            </w14:solidFill>
          </w14:textFill>
        </w:rPr>
        <w:t>为同一人或者存在直接控股、管理关系的不同供应商，不得同时参加同一合同项下的政府采购活动。</w:t>
      </w:r>
    </w:p>
    <w:p w14:paraId="1480DD16">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凡为采购项目提供整体设计、规范编制或者项目管理、监理、检测等服务的供应商，不得再参加本项目的采购活动。</w:t>
      </w:r>
    </w:p>
    <w:p w14:paraId="285623AF">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.在参加投标前，通过自查，未</w:t>
      </w:r>
      <w:r>
        <w:rPr>
          <w:rFonts w:hint="eastAsia" w:ascii="仿宋" w:hAnsi="仿宋" w:eastAsia="仿宋" w:cs="仿宋"/>
          <w:color w:val="000000" w:themeColor="text1"/>
          <w:sz w:val="24"/>
          <w:szCs w:val="24"/>
          <w:highlight w:val="none"/>
          <w14:textFill>
            <w14:solidFill>
              <w14:schemeClr w14:val="tx1"/>
            </w14:solidFill>
          </w14:textFill>
        </w:rPr>
        <w:t xml:space="preserve">被“信用中国 </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中国政府采购网 ”列入失信被执行人、重大税收违法案件当事人名单、政府采购严重违法失信行为记录名单。</w:t>
      </w:r>
    </w:p>
    <w:p w14:paraId="45EABF2D">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p>
    <w:p w14:paraId="232CC68E">
      <w:pPr>
        <w:keepNext w:val="0"/>
        <w:keepLines w:val="0"/>
        <w:pageBreakBefore w:val="0"/>
        <w:widowControl w:val="0"/>
        <w:kinsoku/>
        <w:overflowPunct/>
        <w:topLinePunct w:val="0"/>
        <w:bidi w:val="0"/>
        <w:spacing w:line="520" w:lineRule="exact"/>
        <w:ind w:firstLine="5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特此承诺！</w:t>
      </w:r>
    </w:p>
    <w:p w14:paraId="236E761F">
      <w:pPr>
        <w:pStyle w:val="14"/>
        <w:keepNext w:val="0"/>
        <w:keepLines w:val="0"/>
        <w:pageBreakBefore w:val="0"/>
        <w:widowControl w:val="0"/>
        <w:kinsoku/>
        <w:overflowPunct/>
        <w:topLinePunct w:val="0"/>
        <w:bidi w:val="0"/>
        <w:spacing w:line="360" w:lineRule="auto"/>
        <w:ind w:left="0"/>
        <w:jc w:val="left"/>
        <w:rPr>
          <w:spacing w:val="0"/>
          <w:sz w:val="24"/>
          <w:szCs w:val="24"/>
          <w:highlight w:val="none"/>
        </w:rPr>
      </w:pPr>
    </w:p>
    <w:p w14:paraId="56F3D6FE">
      <w:pPr>
        <w:keepNext w:val="0"/>
        <w:keepLines w:val="0"/>
        <w:pageBreakBefore w:val="0"/>
        <w:widowControl w:val="0"/>
        <w:kinsoku/>
        <w:overflowPunct/>
        <w:topLinePunct w:val="0"/>
        <w:bidi w:val="0"/>
        <w:spacing w:line="360" w:lineRule="auto"/>
        <w:jc w:val="left"/>
        <w:outlineLvl w:val="0"/>
        <w:rPr>
          <w:rFonts w:hint="eastAsia" w:ascii="仿宋" w:hAnsi="仿宋" w:eastAsia="仿宋" w:cs="仿宋"/>
          <w:spacing w:val="0"/>
          <w:sz w:val="24"/>
          <w:szCs w:val="24"/>
          <w:highlight w:val="none"/>
          <w:lang w:val="en-US" w:eastAsia="zh-CN"/>
        </w:rPr>
      </w:pPr>
      <w:r>
        <w:rPr>
          <w:rFonts w:hint="eastAsia" w:ascii="仿宋" w:hAnsi="仿宋" w:eastAsia="仿宋" w:cs="仿宋"/>
          <w:spacing w:val="0"/>
          <w:sz w:val="24"/>
          <w:szCs w:val="24"/>
          <w:highlight w:val="none"/>
          <w:lang w:val="en-US" w:eastAsia="zh-CN"/>
        </w:rPr>
        <w:t xml:space="preserve"> </w:t>
      </w:r>
    </w:p>
    <w:p w14:paraId="5C03E965">
      <w:pPr>
        <w:keepNext w:val="0"/>
        <w:keepLines w:val="0"/>
        <w:pageBreakBefore w:val="0"/>
        <w:widowControl w:val="0"/>
        <w:kinsoku/>
        <w:overflowPunct/>
        <w:topLinePunct w:val="0"/>
        <w:bidi w:val="0"/>
        <w:spacing w:line="360" w:lineRule="auto"/>
        <w:ind w:firstLine="4320" w:firstLineChars="1800"/>
        <w:jc w:val="left"/>
        <w:outlineLvl w:val="0"/>
        <w:rPr>
          <w:rFonts w:ascii="仿宋" w:hAnsi="仿宋" w:eastAsia="仿宋" w:cs="仿宋"/>
          <w:spacing w:val="0"/>
          <w:sz w:val="24"/>
          <w:szCs w:val="24"/>
          <w:highlight w:val="none"/>
        </w:rPr>
      </w:pPr>
      <w:bookmarkStart w:id="83" w:name="_Toc16266"/>
      <w:r>
        <w:rPr>
          <w:rFonts w:ascii="仿宋" w:hAnsi="仿宋" w:eastAsia="仿宋" w:cs="仿宋"/>
          <w:spacing w:val="0"/>
          <w:sz w:val="24"/>
          <w:szCs w:val="24"/>
          <w:highlight w:val="none"/>
        </w:rPr>
        <w:t>供应商：</w:t>
      </w:r>
      <w:r>
        <w:rPr>
          <w:rFonts w:ascii="仿宋" w:hAnsi="仿宋" w:eastAsia="仿宋" w:cs="仿宋"/>
          <w:spacing w:val="0"/>
          <w:sz w:val="24"/>
          <w:szCs w:val="24"/>
          <w:highlight w:val="none"/>
          <w:u w:val="single"/>
        </w:rPr>
        <w:t xml:space="preserve">    （电子签章）</w:t>
      </w:r>
      <w:bookmarkEnd w:id="83"/>
    </w:p>
    <w:p w14:paraId="1759AEE6">
      <w:pPr>
        <w:keepNext w:val="0"/>
        <w:keepLines w:val="0"/>
        <w:pageBreakBefore w:val="0"/>
        <w:widowControl w:val="0"/>
        <w:kinsoku/>
        <w:overflowPunct/>
        <w:topLinePunct w:val="0"/>
        <w:bidi w:val="0"/>
        <w:spacing w:line="360" w:lineRule="auto"/>
        <w:ind w:left="0"/>
        <w:jc w:val="center"/>
        <w:rPr>
          <w:rFonts w:ascii="仿宋" w:hAnsi="仿宋" w:eastAsia="仿宋" w:cs="仿宋"/>
          <w:spacing w:val="0"/>
          <w:sz w:val="24"/>
          <w:szCs w:val="24"/>
          <w:highlight w:val="none"/>
        </w:rPr>
      </w:pPr>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法定代表人（委托受托人）：</w:t>
      </w:r>
      <w:r>
        <w:rPr>
          <w:rFonts w:ascii="仿宋" w:hAnsi="仿宋" w:eastAsia="仿宋" w:cs="仿宋"/>
          <w:spacing w:val="0"/>
          <w:sz w:val="24"/>
          <w:szCs w:val="24"/>
          <w:highlight w:val="none"/>
          <w:u w:val="single"/>
        </w:rPr>
        <w:t>（签章或签字）</w:t>
      </w:r>
    </w:p>
    <w:p w14:paraId="657E55DB">
      <w:pPr>
        <w:keepNext w:val="0"/>
        <w:keepLines w:val="0"/>
        <w:pageBreakBefore w:val="0"/>
        <w:widowControl w:val="0"/>
        <w:kinsoku/>
        <w:overflowPunct/>
        <w:topLinePunct w:val="0"/>
        <w:bidi w:val="0"/>
        <w:spacing w:line="360" w:lineRule="auto"/>
        <w:jc w:val="center"/>
        <w:outlineLvl w:val="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pacing w:val="0"/>
          <w:sz w:val="24"/>
          <w:szCs w:val="24"/>
          <w:highlight w:val="none"/>
          <w:lang w:val="en-US" w:eastAsia="zh-CN"/>
        </w:rPr>
        <w:t xml:space="preserve">         </w:t>
      </w:r>
      <w:bookmarkStart w:id="84" w:name="_Toc25785"/>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日期：</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年</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月</w:t>
      </w:r>
      <w:r>
        <w:rPr>
          <w:rFonts w:ascii="仿宋" w:hAnsi="仿宋" w:eastAsia="仿宋" w:cs="仿宋"/>
          <w:spacing w:val="0"/>
          <w:sz w:val="24"/>
          <w:szCs w:val="24"/>
          <w:highlight w:val="none"/>
          <w:u w:val="single"/>
        </w:rPr>
        <w:t xml:space="preserve">   </w:t>
      </w:r>
      <w:r>
        <w:rPr>
          <w:rFonts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val="en-US" w:eastAsia="zh-CN"/>
        </w:rPr>
        <w:t>日</w:t>
      </w:r>
      <w:bookmarkEnd w:id="84"/>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744D604B">
      <w:pPr>
        <w:keepNext w:val="0"/>
        <w:keepLines w:val="0"/>
        <w:pageBreakBefore w:val="0"/>
        <w:widowControl w:val="0"/>
        <w:kinsoku/>
        <w:overflowPunct/>
        <w:topLinePunct w:val="0"/>
        <w:bidi w:val="0"/>
        <w:spacing w:line="520" w:lineRule="exact"/>
        <w:jc w:val="both"/>
        <w:rPr>
          <w:rFonts w:hint="eastAsia" w:ascii="仿宋" w:hAnsi="仿宋" w:eastAsia="仿宋" w:cs="仿宋"/>
          <w:b/>
          <w:bCs/>
          <w:color w:val="000000" w:themeColor="text1"/>
          <w:sz w:val="28"/>
          <w:szCs w:val="22"/>
          <w:highlight w:val="none"/>
          <w:lang w:eastAsia="zh-CN"/>
          <w14:textFill>
            <w14:solidFill>
              <w14:schemeClr w14:val="tx1"/>
            </w14:solidFill>
          </w14:textFill>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p>
    <w:p w14:paraId="008C0F39">
      <w:pPr>
        <w:keepNext w:val="0"/>
        <w:keepLines w:val="0"/>
        <w:pageBreakBefore w:val="0"/>
        <w:widowControl w:val="0"/>
        <w:kinsoku/>
        <w:overflowPunct/>
        <w:topLinePunct w:val="0"/>
        <w:bidi w:val="0"/>
        <w:spacing w:line="640" w:lineRule="exact"/>
        <w:ind w:left="-359" w:firstLine="357"/>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示范格式五</w:t>
      </w:r>
    </w:p>
    <w:p w14:paraId="7DD98CB0">
      <w:pPr>
        <w:keepNext w:val="0"/>
        <w:keepLines w:val="0"/>
        <w:pageBreakBefore w:val="0"/>
        <w:widowControl w:val="0"/>
        <w:kinsoku/>
        <w:overflowPunct/>
        <w:topLinePunct w:val="0"/>
        <w:bidi w:val="0"/>
        <w:spacing w:line="640" w:lineRule="exact"/>
        <w:ind w:left="-359" w:firstLine="357"/>
        <w:jc w:val="center"/>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中小企业声明函（货物）</w:t>
      </w:r>
    </w:p>
    <w:p w14:paraId="085A6270">
      <w:pPr>
        <w:pStyle w:val="232"/>
        <w:keepNext w:val="0"/>
        <w:keepLines w:val="0"/>
        <w:pageBreakBefore w:val="0"/>
        <w:widowControl w:val="0"/>
        <w:kinsoku/>
        <w:overflowPunct/>
        <w:topLinePunct w:val="0"/>
        <w:bidi w:val="0"/>
        <w:spacing w:line="600" w:lineRule="exact"/>
        <w:ind w:left="0" w:leftChars="0" w:firstLine="0" w:firstLineChars="0"/>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：淮安市淮安区山阳街道办事处</w:t>
      </w:r>
    </w:p>
    <w:p w14:paraId="5FE30E37">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本公司郑重声明，根据《政府采购促进中小企业发展管理办法》（财库﹝2020﹞46号）的规定，本公司参加</w:t>
      </w:r>
      <w:r>
        <w:rPr>
          <w:rFonts w:hint="eastAsia" w:ascii="仿宋" w:hAnsi="仿宋" w:eastAsia="仿宋" w:cs="仿宋"/>
          <w:bCs/>
          <w:sz w:val="24"/>
          <w:szCs w:val="24"/>
          <w:highlight w:val="none"/>
          <w:u w:val="single"/>
          <w:lang w:eastAsia="zh-CN"/>
        </w:rPr>
        <w:t>淮安市淮安区山阳街道办事处</w:t>
      </w:r>
      <w:r>
        <w:rPr>
          <w:rFonts w:hint="eastAsia" w:ascii="仿宋" w:hAnsi="仿宋" w:eastAsia="仿宋" w:cs="仿宋"/>
          <w:bCs/>
          <w:sz w:val="24"/>
          <w:szCs w:val="24"/>
          <w:highlight w:val="none"/>
          <w:u w:val="single"/>
        </w:rPr>
        <w:t>（单位名称）</w:t>
      </w:r>
      <w:r>
        <w:rPr>
          <w:rFonts w:hint="eastAsia" w:ascii="仿宋" w:hAnsi="仿宋" w:eastAsia="仿宋" w:cs="仿宋"/>
          <w:bCs/>
          <w:sz w:val="24"/>
          <w:szCs w:val="24"/>
          <w:highlight w:val="none"/>
        </w:rPr>
        <w:t>的</w:t>
      </w:r>
      <w:r>
        <w:rPr>
          <w:rFonts w:hint="eastAsia" w:ascii="仿宋" w:hAnsi="仿宋" w:eastAsia="仿宋" w:cs="仿宋"/>
          <w:bCs/>
          <w:sz w:val="24"/>
          <w:szCs w:val="24"/>
          <w:highlight w:val="none"/>
          <w:u w:val="single"/>
          <w:lang w:eastAsia="zh-CN"/>
        </w:rPr>
        <w:t>2025年山阳街道人居环境综合整治提升物资采购项目</w:t>
      </w:r>
      <w:r>
        <w:rPr>
          <w:rFonts w:hint="eastAsia" w:ascii="仿宋" w:hAnsi="仿宋" w:eastAsia="仿宋" w:cs="仿宋"/>
          <w:bCs/>
          <w:sz w:val="24"/>
          <w:szCs w:val="24"/>
          <w:highlight w:val="none"/>
          <w:u w:val="single"/>
        </w:rPr>
        <w:t>（项目名称）</w:t>
      </w:r>
      <w:r>
        <w:rPr>
          <w:rFonts w:hint="eastAsia" w:ascii="仿宋" w:hAnsi="仿宋" w:eastAsia="仿宋" w:cs="仿宋"/>
          <w:bCs/>
          <w:sz w:val="24"/>
          <w:szCs w:val="24"/>
          <w:highlight w:val="none"/>
        </w:rPr>
        <w:t>采购活动，</w:t>
      </w:r>
      <w:r>
        <w:rPr>
          <w:rFonts w:hint="eastAsia" w:ascii="仿宋" w:hAnsi="仿宋" w:eastAsia="仿宋" w:cs="仿宋"/>
          <w:bCs/>
          <w:sz w:val="24"/>
          <w:szCs w:val="24"/>
          <w:highlight w:val="none"/>
          <w:lang w:eastAsia="zh-CN"/>
        </w:rPr>
        <w:t>货物</w:t>
      </w:r>
      <w:r>
        <w:rPr>
          <w:rFonts w:hint="eastAsia" w:ascii="仿宋" w:hAnsi="仿宋" w:eastAsia="仿宋" w:cs="仿宋"/>
          <w:bCs/>
          <w:sz w:val="24"/>
          <w:szCs w:val="24"/>
          <w:highlight w:val="none"/>
        </w:rPr>
        <w:t>全部由符合政策要求的中小企业</w:t>
      </w:r>
      <w:r>
        <w:rPr>
          <w:rFonts w:hint="eastAsia" w:ascii="仿宋" w:hAnsi="仿宋" w:eastAsia="仿宋" w:cs="仿宋"/>
          <w:bCs/>
          <w:sz w:val="24"/>
          <w:szCs w:val="24"/>
          <w:highlight w:val="none"/>
          <w:lang w:eastAsia="zh-CN"/>
        </w:rPr>
        <w:t>制造</w:t>
      </w:r>
      <w:r>
        <w:rPr>
          <w:rFonts w:hint="eastAsia" w:ascii="仿宋" w:hAnsi="仿宋" w:eastAsia="仿宋" w:cs="仿宋"/>
          <w:bCs/>
          <w:sz w:val="24"/>
          <w:szCs w:val="24"/>
          <w:highlight w:val="none"/>
        </w:rPr>
        <w:t>。相关企业的具体情况如下</w:t>
      </w:r>
      <w:r>
        <w:rPr>
          <w:rFonts w:hint="eastAsia" w:ascii="仿宋" w:hAnsi="仿宋" w:eastAsia="仿宋" w:cs="仿宋"/>
          <w:bCs/>
          <w:sz w:val="24"/>
          <w:szCs w:val="24"/>
          <w:highlight w:val="none"/>
          <w:lang w:eastAsia="zh-CN"/>
        </w:rPr>
        <w:t>：</w:t>
      </w:r>
    </w:p>
    <w:p w14:paraId="290FDB3F">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u w:val="single"/>
        </w:rPr>
        <w:t xml:space="preserve"> （标的名称） </w:t>
      </w:r>
      <w:r>
        <w:rPr>
          <w:rFonts w:hint="eastAsia" w:ascii="仿宋" w:hAnsi="仿宋" w:eastAsia="仿宋" w:cs="仿宋"/>
          <w:bCs/>
          <w:sz w:val="24"/>
          <w:szCs w:val="24"/>
          <w:highlight w:val="none"/>
        </w:rPr>
        <w:t>，属于</w:t>
      </w:r>
      <w:r>
        <w:rPr>
          <w:rFonts w:hint="eastAsia" w:ascii="仿宋" w:hAnsi="仿宋" w:eastAsia="仿宋" w:cs="仿宋"/>
          <w:bCs/>
          <w:sz w:val="24"/>
          <w:szCs w:val="24"/>
          <w:highlight w:val="none"/>
          <w:u w:val="single"/>
        </w:rPr>
        <w:t>（采购文件中明确的所属行业）</w:t>
      </w:r>
      <w:r>
        <w:rPr>
          <w:rFonts w:hint="eastAsia" w:ascii="仿宋" w:hAnsi="仿宋" w:eastAsia="仿宋" w:cs="仿宋"/>
          <w:bCs/>
          <w:sz w:val="24"/>
          <w:szCs w:val="24"/>
          <w:highlight w:val="none"/>
          <w:lang w:eastAsia="zh-CN"/>
        </w:rPr>
        <w:t>；制造</w:t>
      </w:r>
      <w:r>
        <w:rPr>
          <w:rFonts w:hint="eastAsia" w:ascii="仿宋" w:hAnsi="仿宋" w:eastAsia="仿宋" w:cs="仿宋"/>
          <w:bCs/>
          <w:sz w:val="24"/>
          <w:szCs w:val="24"/>
          <w:highlight w:val="none"/>
        </w:rPr>
        <w:t>企业为</w:t>
      </w:r>
      <w:r>
        <w:rPr>
          <w:rFonts w:hint="eastAsia" w:ascii="仿宋" w:hAnsi="仿宋" w:eastAsia="仿宋" w:cs="仿宋"/>
          <w:bCs/>
          <w:sz w:val="24"/>
          <w:szCs w:val="24"/>
          <w:highlight w:val="none"/>
          <w:u w:val="single"/>
        </w:rPr>
        <w:t>（企业名称）</w:t>
      </w:r>
      <w:r>
        <w:rPr>
          <w:rFonts w:hint="eastAsia" w:ascii="仿宋" w:hAnsi="仿宋" w:eastAsia="仿宋" w:cs="仿宋"/>
          <w:bCs/>
          <w:sz w:val="24"/>
          <w:szCs w:val="24"/>
          <w:highlight w:val="none"/>
        </w:rPr>
        <w:t>，从业人员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万元，属于</w:t>
      </w:r>
      <w:r>
        <w:rPr>
          <w:rFonts w:hint="eastAsia" w:ascii="仿宋" w:hAnsi="仿宋" w:eastAsia="仿宋" w:cs="仿宋"/>
          <w:bCs/>
          <w:sz w:val="24"/>
          <w:szCs w:val="24"/>
          <w:highlight w:val="none"/>
          <w:u w:val="single"/>
        </w:rPr>
        <w:t>（中型企业、小型企业、微型企业）</w:t>
      </w:r>
      <w:r>
        <w:rPr>
          <w:rFonts w:hint="eastAsia" w:ascii="仿宋" w:hAnsi="仿宋" w:eastAsia="仿宋" w:cs="仿宋"/>
          <w:bCs/>
          <w:sz w:val="24"/>
          <w:szCs w:val="24"/>
          <w:highlight w:val="none"/>
          <w:u w:val="single"/>
          <w:lang w:eastAsia="zh-CN"/>
        </w:rPr>
        <w:t>；</w:t>
      </w:r>
      <w:r>
        <w:rPr>
          <w:rFonts w:hint="eastAsia" w:ascii="仿宋" w:hAnsi="仿宋" w:eastAsia="仿宋" w:cs="仿宋"/>
          <w:bCs/>
          <w:sz w:val="24"/>
          <w:szCs w:val="24"/>
          <w:highlight w:val="none"/>
        </w:rPr>
        <w:t xml:space="preserve"> </w:t>
      </w:r>
    </w:p>
    <w:p w14:paraId="54867847">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 </w:t>
      </w:r>
      <w:r>
        <w:rPr>
          <w:rFonts w:hint="eastAsia" w:ascii="仿宋" w:hAnsi="仿宋" w:eastAsia="仿宋" w:cs="仿宋"/>
          <w:bCs/>
          <w:sz w:val="24"/>
          <w:szCs w:val="24"/>
          <w:highlight w:val="none"/>
          <w:u w:val="single"/>
        </w:rPr>
        <w:t xml:space="preserve">（标的名称） </w:t>
      </w:r>
      <w:r>
        <w:rPr>
          <w:rFonts w:hint="eastAsia" w:ascii="仿宋" w:hAnsi="仿宋" w:eastAsia="仿宋" w:cs="仿宋"/>
          <w:bCs/>
          <w:sz w:val="24"/>
          <w:szCs w:val="24"/>
          <w:highlight w:val="none"/>
        </w:rPr>
        <w:t>，属于</w:t>
      </w:r>
      <w:r>
        <w:rPr>
          <w:rFonts w:hint="eastAsia" w:ascii="仿宋" w:hAnsi="仿宋" w:eastAsia="仿宋" w:cs="仿宋"/>
          <w:bCs/>
          <w:sz w:val="24"/>
          <w:szCs w:val="24"/>
          <w:highlight w:val="none"/>
          <w:u w:val="single"/>
        </w:rPr>
        <w:t>（采购文件中明确的所属行业）</w:t>
      </w:r>
      <w:r>
        <w:rPr>
          <w:rFonts w:hint="eastAsia" w:ascii="仿宋" w:hAnsi="仿宋" w:eastAsia="仿宋" w:cs="仿宋"/>
          <w:bCs/>
          <w:sz w:val="24"/>
          <w:szCs w:val="24"/>
          <w:highlight w:val="none"/>
          <w:lang w:eastAsia="zh-CN"/>
        </w:rPr>
        <w:t>；制造</w:t>
      </w:r>
      <w:r>
        <w:rPr>
          <w:rFonts w:hint="eastAsia" w:ascii="仿宋" w:hAnsi="仿宋" w:eastAsia="仿宋" w:cs="仿宋"/>
          <w:bCs/>
          <w:sz w:val="24"/>
          <w:szCs w:val="24"/>
          <w:highlight w:val="none"/>
        </w:rPr>
        <w:t>企业为</w:t>
      </w:r>
      <w:r>
        <w:rPr>
          <w:rFonts w:hint="eastAsia" w:ascii="仿宋" w:hAnsi="仿宋" w:eastAsia="仿宋" w:cs="仿宋"/>
          <w:bCs/>
          <w:sz w:val="24"/>
          <w:szCs w:val="24"/>
          <w:highlight w:val="none"/>
          <w:u w:val="single"/>
        </w:rPr>
        <w:t>（企业名称）</w:t>
      </w:r>
      <w:r>
        <w:rPr>
          <w:rFonts w:hint="eastAsia" w:ascii="仿宋" w:hAnsi="仿宋" w:eastAsia="仿宋" w:cs="仿宋"/>
          <w:bCs/>
          <w:sz w:val="24"/>
          <w:szCs w:val="24"/>
          <w:highlight w:val="none"/>
        </w:rPr>
        <w:t>，从业人员</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人，营业收入为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万元，资产总额为</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万元，属于</w:t>
      </w:r>
      <w:r>
        <w:rPr>
          <w:rFonts w:hint="eastAsia" w:ascii="仿宋" w:hAnsi="仿宋" w:eastAsia="仿宋" w:cs="仿宋"/>
          <w:bCs/>
          <w:sz w:val="24"/>
          <w:szCs w:val="24"/>
          <w:highlight w:val="none"/>
          <w:u w:val="single"/>
        </w:rPr>
        <w:t>（中型企业、小型企业、微型企业）</w:t>
      </w:r>
      <w:r>
        <w:rPr>
          <w:rFonts w:hint="eastAsia" w:ascii="仿宋" w:hAnsi="仿宋" w:eastAsia="仿宋" w:cs="仿宋"/>
          <w:bCs/>
          <w:sz w:val="24"/>
          <w:szCs w:val="24"/>
          <w:highlight w:val="none"/>
          <w:u w:val="single"/>
          <w:lang w:eastAsia="zh-CN"/>
        </w:rPr>
        <w:t>；</w:t>
      </w:r>
      <w:r>
        <w:rPr>
          <w:rFonts w:hint="eastAsia" w:ascii="仿宋" w:hAnsi="仿宋" w:eastAsia="仿宋" w:cs="仿宋"/>
          <w:bCs/>
          <w:sz w:val="24"/>
          <w:szCs w:val="24"/>
          <w:highlight w:val="none"/>
        </w:rPr>
        <w:t xml:space="preserve"> </w:t>
      </w:r>
    </w:p>
    <w:p w14:paraId="1E5DEFAF">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w:t>
      </w:r>
    </w:p>
    <w:p w14:paraId="74AA063D">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以上企业，不属于大企业的分支机构，不存在控股股东为大企业的情形，也不存在与大企业的负责人为同一人的情形。</w:t>
      </w:r>
    </w:p>
    <w:p w14:paraId="69908A58">
      <w:pPr>
        <w:pStyle w:val="232"/>
        <w:keepNext w:val="0"/>
        <w:keepLines w:val="0"/>
        <w:pageBreakBefore w:val="0"/>
        <w:widowControl w:val="0"/>
        <w:kinsoku/>
        <w:wordWrap/>
        <w:overflowPunct/>
        <w:topLinePunct w:val="0"/>
        <w:autoSpaceDE/>
        <w:autoSpaceDN/>
        <w:bidi w:val="0"/>
        <w:adjustRightInd/>
        <w:snapToGrid/>
        <w:spacing w:line="500" w:lineRule="exact"/>
        <w:ind w:left="0" w:right="0" w:firstLine="560"/>
        <w:textAlignment w:val="auto"/>
        <w:rPr>
          <w:rFonts w:hint="eastAsia" w:ascii="仿宋" w:hAnsi="仿宋" w:eastAsia="仿宋" w:cs="仿宋"/>
          <w:bCs/>
          <w:color w:val="000000"/>
          <w:spacing w:val="0"/>
          <w:sz w:val="24"/>
          <w:szCs w:val="24"/>
          <w:highlight w:val="none"/>
        </w:rPr>
      </w:pPr>
      <w:r>
        <w:rPr>
          <w:rFonts w:hint="eastAsia" w:ascii="仿宋" w:hAnsi="仿宋" w:eastAsia="仿宋" w:cs="仿宋"/>
          <w:bCs/>
          <w:sz w:val="24"/>
          <w:szCs w:val="24"/>
          <w:highlight w:val="none"/>
        </w:rPr>
        <w:t>本企业对上述声明内容的真实性负责。如有虚假，将依法承担相应责任。</w:t>
      </w:r>
    </w:p>
    <w:p w14:paraId="1CCFAEF8">
      <w:pPr>
        <w:keepNext w:val="0"/>
        <w:keepLines w:val="0"/>
        <w:pageBreakBefore w:val="0"/>
        <w:widowControl w:val="0"/>
        <w:kinsoku/>
        <w:wordWrap/>
        <w:overflowPunct/>
        <w:topLinePunct w:val="0"/>
        <w:autoSpaceDE/>
        <w:autoSpaceDN/>
        <w:bidi w:val="0"/>
        <w:adjustRightInd/>
        <w:snapToGrid/>
        <w:spacing w:line="500" w:lineRule="exact"/>
        <w:ind w:left="0" w:right="0"/>
        <w:jc w:val="center"/>
        <w:textAlignment w:val="auto"/>
        <w:rPr>
          <w:rFonts w:hint="eastAsia" w:ascii="仿宋" w:hAnsi="仿宋" w:eastAsia="仿宋" w:cs="仿宋"/>
          <w:bCs/>
          <w:color w:val="000000"/>
          <w:spacing w:val="0"/>
          <w:sz w:val="24"/>
          <w:szCs w:val="24"/>
          <w:highlight w:val="none"/>
          <w:lang w:val="zh-CN"/>
        </w:rPr>
      </w:pPr>
      <w:r>
        <w:rPr>
          <w:rFonts w:hint="eastAsia" w:ascii="仿宋" w:hAnsi="仿宋" w:eastAsia="仿宋" w:cs="仿宋"/>
          <w:bCs/>
          <w:color w:val="000000"/>
          <w:spacing w:val="0"/>
          <w:sz w:val="24"/>
          <w:szCs w:val="24"/>
          <w:highlight w:val="none"/>
        </w:rPr>
        <w:t xml:space="preserve">                   </w:t>
      </w:r>
      <w:r>
        <w:rPr>
          <w:rFonts w:hint="eastAsia" w:ascii="仿宋" w:hAnsi="仿宋" w:eastAsia="仿宋" w:cs="仿宋"/>
          <w:bCs/>
          <w:color w:val="000000"/>
          <w:spacing w:val="0"/>
          <w:sz w:val="24"/>
          <w:szCs w:val="24"/>
          <w:highlight w:val="none"/>
          <w:lang w:val="zh-CN"/>
        </w:rPr>
        <w:t xml:space="preserve"> </w:t>
      </w:r>
    </w:p>
    <w:p w14:paraId="58BF4D33">
      <w:pPr>
        <w:keepNext w:val="0"/>
        <w:keepLines w:val="0"/>
        <w:pageBreakBefore w:val="0"/>
        <w:widowControl w:val="0"/>
        <w:kinsoku/>
        <w:wordWrap/>
        <w:overflowPunct/>
        <w:topLinePunct w:val="0"/>
        <w:autoSpaceDE/>
        <w:autoSpaceDN/>
        <w:bidi w:val="0"/>
        <w:adjustRightInd/>
        <w:snapToGrid/>
        <w:spacing w:line="500" w:lineRule="exact"/>
        <w:ind w:left="0" w:right="0" w:firstLine="4200"/>
        <w:jc w:val="left"/>
        <w:textAlignment w:val="auto"/>
        <w:rPr>
          <w:rFonts w:hint="eastAsia" w:ascii="仿宋" w:hAnsi="仿宋" w:eastAsia="仿宋" w:cs="仿宋"/>
          <w:color w:val="000000"/>
          <w:spacing w:val="0"/>
          <w:sz w:val="24"/>
          <w:szCs w:val="24"/>
          <w:highlight w:val="none"/>
          <w:lang w:val="zh-CN"/>
        </w:rPr>
      </w:pPr>
      <w:r>
        <w:rPr>
          <w:rFonts w:hint="eastAsia" w:ascii="仿宋" w:hAnsi="仿宋" w:eastAsia="仿宋" w:cs="仿宋"/>
          <w:bCs/>
          <w:color w:val="000000"/>
          <w:spacing w:val="0"/>
          <w:sz w:val="24"/>
          <w:szCs w:val="24"/>
          <w:highlight w:val="none"/>
          <w:lang w:val="zh-CN"/>
        </w:rPr>
        <w:t>供应商</w:t>
      </w:r>
      <w:r>
        <w:rPr>
          <w:rFonts w:hint="eastAsia" w:ascii="仿宋" w:hAnsi="仿宋" w:eastAsia="仿宋" w:cs="仿宋"/>
          <w:color w:val="000000"/>
          <w:spacing w:val="0"/>
          <w:sz w:val="24"/>
          <w:szCs w:val="24"/>
          <w:highlight w:val="none"/>
          <w:lang w:val="zh-CN"/>
        </w:rPr>
        <w:t>：</w:t>
      </w:r>
      <w:r>
        <w:rPr>
          <w:rFonts w:hint="eastAsia" w:ascii="仿宋" w:hAnsi="仿宋" w:eastAsia="仿宋" w:cs="仿宋"/>
          <w:color w:val="000000"/>
          <w:spacing w:val="0"/>
          <w:sz w:val="24"/>
          <w:szCs w:val="24"/>
          <w:highlight w:val="none"/>
          <w:u w:val="single"/>
          <w:lang w:val="zh-CN"/>
        </w:rPr>
        <w:t xml:space="preserve">        （电子签章）     </w:t>
      </w:r>
    </w:p>
    <w:p w14:paraId="7E9AB416">
      <w:pPr>
        <w:keepNext w:val="0"/>
        <w:keepLines w:val="0"/>
        <w:pageBreakBefore w:val="0"/>
        <w:widowControl w:val="0"/>
        <w:kinsoku/>
        <w:wordWrap/>
        <w:overflowPunct/>
        <w:topLinePunct w:val="0"/>
        <w:autoSpaceDE/>
        <w:autoSpaceDN/>
        <w:bidi w:val="0"/>
        <w:adjustRightInd/>
        <w:snapToGrid/>
        <w:spacing w:line="500" w:lineRule="exact"/>
        <w:ind w:left="0" w:right="0" w:firstLine="4200"/>
        <w:jc w:val="left"/>
        <w:textAlignment w:val="auto"/>
        <w:rPr>
          <w:rFonts w:hint="eastAsia" w:ascii="仿宋" w:hAnsi="仿宋" w:eastAsia="仿宋" w:cs="仿宋"/>
          <w:color w:val="000000"/>
          <w:spacing w:val="0"/>
          <w:sz w:val="24"/>
          <w:szCs w:val="24"/>
          <w:highlight w:val="none"/>
          <w:lang w:val="zh-CN"/>
        </w:rPr>
      </w:pPr>
      <w:r>
        <w:rPr>
          <w:rFonts w:hint="eastAsia" w:ascii="仿宋" w:hAnsi="仿宋" w:eastAsia="仿宋" w:cs="仿宋"/>
          <w:color w:val="000000"/>
          <w:spacing w:val="0"/>
          <w:sz w:val="24"/>
          <w:szCs w:val="24"/>
          <w:highlight w:val="none"/>
        </w:rPr>
        <w:t>法定代表人</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2"/>
          <w:highlight w:val="none"/>
          <w:u w:val="single"/>
        </w:rPr>
        <w:t>（签章或签字）</w:t>
      </w:r>
    </w:p>
    <w:p w14:paraId="787A035A">
      <w:pPr>
        <w:keepNext w:val="0"/>
        <w:keepLines w:val="0"/>
        <w:pageBreakBefore w:val="0"/>
        <w:widowControl w:val="0"/>
        <w:kinsoku/>
        <w:wordWrap/>
        <w:overflowPunct/>
        <w:topLinePunct w:val="0"/>
        <w:autoSpaceDE/>
        <w:autoSpaceDN/>
        <w:bidi w:val="0"/>
        <w:adjustRightInd/>
        <w:snapToGrid/>
        <w:spacing w:line="500" w:lineRule="exact"/>
        <w:ind w:left="0" w:right="0" w:firstLine="4200"/>
        <w:jc w:val="left"/>
        <w:textAlignment w:val="auto"/>
        <w:rPr>
          <w:rFonts w:hint="eastAsia" w:ascii="仿宋" w:hAnsi="仿宋" w:eastAsia="仿宋" w:cs="仿宋"/>
          <w:color w:val="000000"/>
          <w:spacing w:val="0"/>
          <w:sz w:val="24"/>
          <w:szCs w:val="24"/>
          <w:highlight w:val="none"/>
          <w:lang w:val="zh-CN"/>
        </w:rPr>
      </w:pPr>
      <w:r>
        <w:rPr>
          <w:rFonts w:hint="eastAsia" w:ascii="仿宋" w:hAnsi="仿宋" w:eastAsia="仿宋" w:cs="仿宋"/>
          <w:color w:val="000000"/>
          <w:spacing w:val="0"/>
          <w:sz w:val="24"/>
          <w:szCs w:val="24"/>
          <w:highlight w:val="none"/>
          <w:lang w:val="zh-CN"/>
        </w:rPr>
        <w:t>日期</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 xml:space="preserve">年 </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月</w:t>
      </w:r>
      <w:r>
        <w:rPr>
          <w:rFonts w:hint="eastAsia" w:ascii="仿宋" w:hAnsi="仿宋" w:eastAsia="仿宋" w:cs="仿宋"/>
          <w:color w:val="000000"/>
          <w:spacing w:val="0"/>
          <w:sz w:val="24"/>
          <w:szCs w:val="24"/>
          <w:highlight w:val="none"/>
          <w:u w:val="single"/>
          <w:lang w:val="zh-CN"/>
        </w:rPr>
        <w:t xml:space="preserve">      </w:t>
      </w:r>
      <w:r>
        <w:rPr>
          <w:rFonts w:hint="eastAsia" w:ascii="仿宋" w:hAnsi="仿宋" w:eastAsia="仿宋" w:cs="仿宋"/>
          <w:color w:val="000000"/>
          <w:spacing w:val="0"/>
          <w:sz w:val="24"/>
          <w:szCs w:val="24"/>
          <w:highlight w:val="none"/>
          <w:lang w:val="zh-CN"/>
        </w:rPr>
        <w:t>日</w:t>
      </w:r>
    </w:p>
    <w:p w14:paraId="24D20306">
      <w:pPr>
        <w:pStyle w:val="232"/>
        <w:keepNext w:val="0"/>
        <w:keepLines w:val="0"/>
        <w:pageBreakBefore w:val="0"/>
        <w:widowControl w:val="0"/>
        <w:kinsoku/>
        <w:wordWrap/>
        <w:overflowPunct/>
        <w:topLinePunct w:val="0"/>
        <w:autoSpaceDE/>
        <w:autoSpaceDN/>
        <w:bidi w:val="0"/>
        <w:adjustRightInd/>
        <w:snapToGrid/>
        <w:spacing w:line="500" w:lineRule="exact"/>
        <w:ind w:left="0" w:right="0" w:firstLine="0"/>
        <w:textAlignment w:val="auto"/>
        <w:rPr>
          <w:rFonts w:hint="eastAsia" w:ascii="仿宋" w:hAnsi="仿宋" w:eastAsia="仿宋" w:cs="仿宋"/>
          <w:bCs/>
          <w:color w:val="000000"/>
          <w:spacing w:val="0"/>
          <w:sz w:val="22"/>
          <w:szCs w:val="22"/>
          <w:highlight w:val="none"/>
        </w:rPr>
      </w:pPr>
    </w:p>
    <w:p w14:paraId="141287F8">
      <w:pPr>
        <w:pStyle w:val="232"/>
        <w:keepNext w:val="0"/>
        <w:keepLines w:val="0"/>
        <w:pageBreakBefore w:val="0"/>
        <w:widowControl w:val="0"/>
        <w:kinsoku/>
        <w:wordWrap/>
        <w:overflowPunct/>
        <w:topLinePunct w:val="0"/>
        <w:autoSpaceDE/>
        <w:autoSpaceDN/>
        <w:bidi w:val="0"/>
        <w:adjustRightInd/>
        <w:snapToGrid/>
        <w:spacing w:line="500" w:lineRule="exact"/>
        <w:ind w:left="0" w:right="0" w:firstLine="0"/>
        <w:textAlignment w:val="auto"/>
        <w:rPr>
          <w:rFonts w:hint="eastAsia" w:ascii="仿宋" w:hAnsi="仿宋" w:eastAsia="仿宋" w:cs="仿宋"/>
          <w:b/>
          <w:bCs w:val="0"/>
          <w:color w:val="000000"/>
          <w:spacing w:val="0"/>
          <w:sz w:val="24"/>
          <w:szCs w:val="24"/>
          <w:highlight w:val="none"/>
        </w:rPr>
      </w:pPr>
    </w:p>
    <w:p w14:paraId="27D24780">
      <w:pPr>
        <w:pStyle w:val="232"/>
        <w:keepNext w:val="0"/>
        <w:keepLines w:val="0"/>
        <w:pageBreakBefore w:val="0"/>
        <w:widowControl w:val="0"/>
        <w:kinsoku/>
        <w:wordWrap/>
        <w:overflowPunct/>
        <w:topLinePunct w:val="0"/>
        <w:autoSpaceDE/>
        <w:autoSpaceDN/>
        <w:bidi w:val="0"/>
        <w:adjustRightInd/>
        <w:snapToGrid/>
        <w:spacing w:line="500" w:lineRule="exact"/>
        <w:ind w:left="0" w:right="0" w:firstLine="0"/>
        <w:textAlignment w:val="auto"/>
        <w:rPr>
          <w:rFonts w:hint="eastAsia" w:ascii="仿宋" w:hAnsi="仿宋" w:eastAsia="仿宋" w:cs="仿宋"/>
          <w:b/>
          <w:bCs w:val="0"/>
          <w:color w:val="000000"/>
          <w:spacing w:val="0"/>
          <w:sz w:val="24"/>
          <w:szCs w:val="24"/>
          <w:highlight w:val="none"/>
        </w:rPr>
      </w:pPr>
    </w:p>
    <w:p w14:paraId="50D25768">
      <w:pPr>
        <w:pStyle w:val="232"/>
        <w:keepNext w:val="0"/>
        <w:keepLines w:val="0"/>
        <w:pageBreakBefore w:val="0"/>
        <w:widowControl w:val="0"/>
        <w:kinsoku/>
        <w:wordWrap/>
        <w:overflowPunct/>
        <w:topLinePunct w:val="0"/>
        <w:autoSpaceDE/>
        <w:autoSpaceDN/>
        <w:bidi w:val="0"/>
        <w:adjustRightInd/>
        <w:snapToGrid/>
        <w:spacing w:line="500" w:lineRule="exact"/>
        <w:ind w:left="0" w:right="0" w:firstLine="0"/>
        <w:textAlignment w:val="auto"/>
        <w:rPr>
          <w:rFonts w:hint="eastAsia" w:ascii="仿宋" w:hAnsi="仿宋" w:eastAsia="仿宋" w:cs="仿宋"/>
          <w:b/>
          <w:bCs w:val="0"/>
          <w:color w:val="000000"/>
          <w:spacing w:val="0"/>
          <w:sz w:val="22"/>
          <w:szCs w:val="22"/>
          <w:highlight w:val="none"/>
        </w:rPr>
      </w:pPr>
      <w:r>
        <w:rPr>
          <w:rFonts w:hint="eastAsia" w:ascii="仿宋" w:hAnsi="仿宋" w:eastAsia="仿宋" w:cs="仿宋"/>
          <w:b/>
          <w:bCs w:val="0"/>
          <w:color w:val="000000"/>
          <w:spacing w:val="0"/>
          <w:sz w:val="24"/>
          <w:szCs w:val="24"/>
          <w:highlight w:val="none"/>
        </w:rPr>
        <w:t>注：从业人员、营业收入、资产总额填报上一年度数据，无上一年度数据的新成立企业可不填报。</w:t>
      </w:r>
    </w:p>
    <w:p w14:paraId="6AABD8EC">
      <w:pPr>
        <w:keepNext w:val="0"/>
        <w:keepLines w:val="0"/>
        <w:pageBreakBefore w:val="0"/>
        <w:widowControl w:val="0"/>
        <w:kinsoku/>
        <w:overflowPunct/>
        <w:topLinePunct w:val="0"/>
        <w:bidi w:val="0"/>
        <w:spacing w:line="640" w:lineRule="exact"/>
        <w:ind w:left="-359" w:firstLine="357"/>
        <w:jc w:val="both"/>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color w:val="000000"/>
          <w:sz w:val="28"/>
          <w:szCs w:val="28"/>
          <w:highlight w:val="none"/>
        </w:rPr>
        <w:br w:type="page" w:clear="all"/>
      </w:r>
      <w:bookmarkStart w:id="85" w:name="_Toc17287"/>
      <w:r>
        <w:rPr>
          <w:rFonts w:hint="eastAsia" w:ascii="仿宋" w:hAnsi="仿宋" w:eastAsia="仿宋" w:cs="仿宋"/>
          <w:b/>
          <w:color w:val="000000" w:themeColor="text1"/>
          <w:sz w:val="28"/>
          <w:szCs w:val="22"/>
          <w:highlight w:val="none"/>
          <w:lang w:eastAsia="zh-CN"/>
          <w14:textFill>
            <w14:solidFill>
              <w14:schemeClr w14:val="tx1"/>
            </w14:solidFill>
          </w14:textFill>
        </w:rPr>
        <w:t>示范格式</w:t>
      </w:r>
      <w:bookmarkEnd w:id="85"/>
      <w:r>
        <w:rPr>
          <w:rFonts w:hint="eastAsia" w:ascii="仿宋" w:hAnsi="仿宋" w:eastAsia="仿宋" w:cs="仿宋"/>
          <w:b/>
          <w:color w:val="000000" w:themeColor="text1"/>
          <w:sz w:val="28"/>
          <w:szCs w:val="22"/>
          <w:highlight w:val="none"/>
          <w:lang w:eastAsia="zh-CN"/>
          <w14:textFill>
            <w14:solidFill>
              <w14:schemeClr w14:val="tx1"/>
            </w14:solidFill>
          </w14:textFill>
        </w:rPr>
        <w:t>六</w:t>
      </w:r>
    </w:p>
    <w:p w14:paraId="5D51821D">
      <w:pPr>
        <w:keepNext w:val="0"/>
        <w:keepLines w:val="0"/>
        <w:pageBreakBefore w:val="0"/>
        <w:widowControl w:val="0"/>
        <w:kinsoku/>
        <w:overflowPunct/>
        <w:topLinePunct w:val="0"/>
        <w:bidi w:val="0"/>
        <w:spacing w:line="640" w:lineRule="exact"/>
        <w:ind w:left="-359" w:firstLine="357"/>
        <w:jc w:val="center"/>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残疾人福利性单位声明函</w:t>
      </w:r>
    </w:p>
    <w:p w14:paraId="1A2A1984">
      <w:pPr>
        <w:pStyle w:val="232"/>
        <w:keepNext w:val="0"/>
        <w:keepLines w:val="0"/>
        <w:pageBreakBefore w:val="0"/>
        <w:widowControl w:val="0"/>
        <w:kinsoku/>
        <w:overflowPunct/>
        <w:topLinePunct w:val="0"/>
        <w:bidi w:val="0"/>
        <w:spacing w:line="600" w:lineRule="exact"/>
        <w:ind w:left="0" w:leftChars="0" w:firstLine="0" w:firstLineChars="0"/>
        <w:rPr>
          <w:rFonts w:hint="eastAsia" w:ascii="仿宋" w:hAnsi="仿宋" w:eastAsia="仿宋" w:cs="仿宋"/>
          <w:b/>
          <w:bCs w:val="0"/>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致</w:t>
      </w:r>
      <w:r>
        <w:rPr>
          <w:rFonts w:hint="eastAsia" w:ascii="仿宋" w:hAnsi="仿宋" w:eastAsia="仿宋" w:cs="仿宋"/>
          <w:b/>
          <w:bCs w:val="0"/>
          <w:color w:val="000000" w:themeColor="text1"/>
          <w:sz w:val="24"/>
          <w:szCs w:val="24"/>
          <w:highlight w:val="none"/>
          <w:u w:val="none"/>
          <w:lang w:eastAsia="zh-CN"/>
          <w14:textFill>
            <w14:solidFill>
              <w14:schemeClr w14:val="tx1"/>
            </w14:solidFill>
          </w14:textFill>
        </w:rPr>
        <w:t>淮安市淮安区山阳街道办事处：</w:t>
      </w:r>
    </w:p>
    <w:p w14:paraId="344FAFEA">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本单位郑重声明</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根据《财政部民政部中国残疾人联合会关于促进残疾人就业政府采购政策的通知》（财库〔2017〕141号）的规定</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本单位为符合条件的残疾人福利性单位。即</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本单位同时满足以下条件</w:t>
      </w:r>
      <w:r>
        <w:rPr>
          <w:rFonts w:hint="eastAsia" w:ascii="仿宋" w:hAnsi="仿宋" w:eastAsia="仿宋" w:cs="仿宋"/>
          <w:bCs/>
          <w:color w:val="000000"/>
          <w:sz w:val="24"/>
          <w:szCs w:val="24"/>
          <w:highlight w:val="none"/>
          <w:lang w:eastAsia="zh-CN"/>
        </w:rPr>
        <w:t>：</w:t>
      </w:r>
    </w:p>
    <w:p w14:paraId="41F057E0">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1.</w:t>
      </w:r>
      <w:r>
        <w:rPr>
          <w:rFonts w:hint="eastAsia" w:ascii="仿宋" w:hAnsi="仿宋" w:eastAsia="仿宋" w:cs="仿宋"/>
          <w:bCs/>
          <w:color w:val="000000"/>
          <w:sz w:val="24"/>
          <w:szCs w:val="24"/>
          <w:highlight w:val="none"/>
        </w:rPr>
        <w:t>根据《财政部民政部中国残疾人联合会关于促进残疾人就业政府采购政策的通知》（财库〔2017〕141号）规定的划分标准</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本公司为残疾人福利性企业。</w:t>
      </w:r>
    </w:p>
    <w:p w14:paraId="3BE353F5">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2.</w:t>
      </w:r>
      <w:r>
        <w:rPr>
          <w:rFonts w:hint="eastAsia" w:ascii="仿宋" w:hAnsi="仿宋" w:eastAsia="仿宋" w:cs="仿宋"/>
          <w:bCs/>
          <w:color w:val="000000"/>
          <w:sz w:val="24"/>
          <w:szCs w:val="24"/>
          <w:highlight w:val="none"/>
        </w:rPr>
        <w:t>本单位参加</w:t>
      </w:r>
      <w:r>
        <w:rPr>
          <w:rFonts w:hint="eastAsia" w:ascii="仿宋" w:hAnsi="仿宋" w:eastAsia="仿宋" w:cs="仿宋"/>
          <w:bCs/>
          <w:color w:val="000000"/>
          <w:sz w:val="24"/>
          <w:szCs w:val="24"/>
          <w:highlight w:val="none"/>
          <w:u w:val="single"/>
        </w:rPr>
        <w:t xml:space="preserve">（采购单位名称） </w:t>
      </w:r>
      <w:r>
        <w:rPr>
          <w:rFonts w:hint="eastAsia" w:ascii="仿宋" w:hAnsi="仿宋" w:eastAsia="仿宋" w:cs="仿宋"/>
          <w:bCs/>
          <w:color w:val="000000"/>
          <w:sz w:val="24"/>
          <w:szCs w:val="24"/>
          <w:highlight w:val="none"/>
        </w:rPr>
        <w:t>的</w:t>
      </w:r>
      <w:r>
        <w:rPr>
          <w:rFonts w:hint="eastAsia" w:ascii="仿宋" w:hAnsi="仿宋" w:eastAsia="仿宋" w:cs="仿宋"/>
          <w:bCs/>
          <w:color w:val="000000"/>
          <w:sz w:val="24"/>
          <w:szCs w:val="24"/>
          <w:highlight w:val="none"/>
          <w:u w:val="single"/>
        </w:rPr>
        <w:t>（采购项目名称）</w:t>
      </w:r>
      <w:r>
        <w:rPr>
          <w:rFonts w:hint="eastAsia" w:ascii="仿宋" w:hAnsi="仿宋" w:eastAsia="仿宋" w:cs="仿宋"/>
          <w:bCs/>
          <w:color w:val="000000"/>
          <w:sz w:val="24"/>
          <w:szCs w:val="24"/>
          <w:highlight w:val="none"/>
        </w:rPr>
        <w:t>采购活动提供本企业制造的货物</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由本企业承担工程、提供服务</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或者提供其他残疾人福利性单位制造的货物（不包括使用非残疾人福利性单位注册商标的货物</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w:t>
      </w:r>
    </w:p>
    <w:p w14:paraId="4838210E">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注</w:t>
      </w:r>
      <w:r>
        <w:rPr>
          <w:rFonts w:hint="eastAsia" w:ascii="仿宋" w:hAnsi="仿宋" w:eastAsia="仿宋" w:cs="仿宋"/>
          <w:color w:val="000000"/>
          <w:sz w:val="24"/>
          <w:szCs w:val="24"/>
          <w:highlight w:val="none"/>
          <w:lang w:eastAsia="zh-CN"/>
        </w:rPr>
        <w:t>：</w:t>
      </w:r>
      <w:r>
        <w:rPr>
          <w:rFonts w:hint="eastAsia" w:ascii="仿宋" w:hAnsi="仿宋" w:eastAsia="仿宋" w:cs="仿宋"/>
          <w:bCs/>
          <w:color w:val="000000"/>
          <w:sz w:val="24"/>
          <w:szCs w:val="24"/>
          <w:highlight w:val="none"/>
        </w:rPr>
        <w:t>本公司对上述声明的真实性负责。如有虚假</w:t>
      </w:r>
      <w:r>
        <w:rPr>
          <w:rFonts w:hint="eastAsia" w:ascii="仿宋" w:hAnsi="仿宋" w:eastAsia="仿宋" w:cs="仿宋"/>
          <w:bCs/>
          <w:color w:val="000000"/>
          <w:sz w:val="24"/>
          <w:szCs w:val="24"/>
          <w:highlight w:val="none"/>
          <w:lang w:eastAsia="zh-CN"/>
        </w:rPr>
        <w:t>，</w:t>
      </w:r>
      <w:r>
        <w:rPr>
          <w:rFonts w:hint="eastAsia" w:ascii="仿宋" w:hAnsi="仿宋" w:eastAsia="仿宋" w:cs="仿宋"/>
          <w:bCs/>
          <w:color w:val="000000"/>
          <w:sz w:val="24"/>
          <w:szCs w:val="24"/>
          <w:highlight w:val="none"/>
        </w:rPr>
        <w:t>将依法承担相应责任。</w:t>
      </w:r>
    </w:p>
    <w:p w14:paraId="6502238C">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p>
    <w:p w14:paraId="265D5577">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p>
    <w:p w14:paraId="09B6BDF3">
      <w:pPr>
        <w:pStyle w:val="349"/>
        <w:keepNext w:val="0"/>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p>
    <w:p w14:paraId="219BA9D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供应商：</w:t>
      </w:r>
      <w:r>
        <w:rPr>
          <w:rFonts w:hint="eastAsia" w:ascii="仿宋" w:hAnsi="仿宋" w:eastAsia="仿宋" w:cs="仿宋"/>
          <w:color w:val="000000"/>
          <w:sz w:val="24"/>
          <w:szCs w:val="24"/>
          <w:highlight w:val="none"/>
          <w:u w:val="single"/>
          <w:lang w:val="zh-CN"/>
        </w:rPr>
        <w:t xml:space="preserve">        （电子签章）     </w:t>
      </w:r>
    </w:p>
    <w:p w14:paraId="61B3DA1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2"/>
          <w:highlight w:val="none"/>
          <w:u w:val="single"/>
        </w:rPr>
        <w:t>（签章或签字）</w:t>
      </w:r>
    </w:p>
    <w:p w14:paraId="233E37C9">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日期</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日</w:t>
      </w:r>
    </w:p>
    <w:p w14:paraId="082EC4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000000"/>
          <w:sz w:val="24"/>
          <w:szCs w:val="24"/>
          <w:highlight w:val="none"/>
        </w:rPr>
      </w:pPr>
    </w:p>
    <w:p w14:paraId="1B3D863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000000"/>
          <w:sz w:val="24"/>
          <w:szCs w:val="24"/>
          <w:highlight w:val="none"/>
        </w:rPr>
      </w:pPr>
    </w:p>
    <w:p w14:paraId="7F8870B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000000"/>
          <w:sz w:val="24"/>
          <w:szCs w:val="24"/>
          <w:highlight w:val="none"/>
        </w:rPr>
      </w:pPr>
    </w:p>
    <w:p w14:paraId="20CE9A0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000000"/>
          <w:sz w:val="24"/>
          <w:szCs w:val="24"/>
          <w:highlight w:val="none"/>
        </w:rPr>
      </w:pPr>
    </w:p>
    <w:p w14:paraId="2E66733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000000"/>
          <w:sz w:val="24"/>
          <w:szCs w:val="24"/>
          <w:highlight w:val="none"/>
        </w:rPr>
      </w:pPr>
    </w:p>
    <w:p w14:paraId="65C63638">
      <w:pPr>
        <w:tabs>
          <w:tab w:val="left" w:pos="2020"/>
          <w:tab w:val="center" w:pos="4535"/>
        </w:tabs>
        <w:spacing w:line="360" w:lineRule="auto"/>
        <w:ind w:right="-1"/>
        <w:outlineLvl w:val="0"/>
        <w:rPr>
          <w:rFonts w:hint="eastAsia" w:ascii="仿宋" w:hAnsi="仿宋" w:eastAsia="仿宋" w:cs="仿宋"/>
          <w:b/>
          <w:bCs/>
          <w:color w:val="000000"/>
          <w:sz w:val="24"/>
          <w:szCs w:val="24"/>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pPr>
      <w:r>
        <w:rPr>
          <w:rFonts w:hint="eastAsia" w:ascii="仿宋" w:hAnsi="仿宋" w:eastAsia="仿宋" w:cs="仿宋"/>
          <w:b/>
          <w:bCs/>
          <w:color w:val="000000"/>
          <w:sz w:val="24"/>
          <w:szCs w:val="24"/>
          <w:highlight w:val="none"/>
        </w:rPr>
        <w:t>注</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非</w:t>
      </w:r>
      <w:r>
        <w:rPr>
          <w:rFonts w:hint="eastAsia" w:ascii="仿宋" w:hAnsi="仿宋" w:eastAsia="仿宋" w:cs="仿宋"/>
          <w:b/>
          <w:bCs/>
          <w:color w:val="000000"/>
          <w:sz w:val="24"/>
          <w:szCs w:val="22"/>
          <w:highlight w:val="none"/>
        </w:rPr>
        <w:t>残疾人福利性单位不</w:t>
      </w:r>
      <w:r>
        <w:rPr>
          <w:rFonts w:hint="eastAsia" w:ascii="仿宋" w:hAnsi="仿宋" w:eastAsia="仿宋" w:cs="仿宋"/>
          <w:b/>
          <w:bCs/>
          <w:color w:val="000000"/>
          <w:sz w:val="24"/>
          <w:szCs w:val="24"/>
          <w:highlight w:val="none"/>
        </w:rPr>
        <w:t>需提供此函。</w:t>
      </w:r>
    </w:p>
    <w:p w14:paraId="363663BB">
      <w:pPr>
        <w:keepNext w:val="0"/>
        <w:keepLines w:val="0"/>
        <w:pageBreakBefore w:val="0"/>
        <w:widowControl w:val="0"/>
        <w:kinsoku/>
        <w:overflowPunct/>
        <w:topLinePunct w:val="0"/>
        <w:bidi w:val="0"/>
        <w:spacing w:line="640" w:lineRule="exact"/>
        <w:ind w:left="-359" w:firstLine="357"/>
        <w:jc w:val="both"/>
        <w:rPr>
          <w:rFonts w:hint="eastAsia" w:ascii="仿宋" w:hAnsi="仿宋" w:eastAsia="仿宋" w:cs="仿宋"/>
          <w:b/>
          <w:color w:val="000000" w:themeColor="text1"/>
          <w:sz w:val="28"/>
          <w:szCs w:val="22"/>
          <w:highlight w:val="none"/>
          <w:lang w:eastAsia="zh-CN"/>
          <w14:textFill>
            <w14:solidFill>
              <w14:schemeClr w14:val="tx1"/>
            </w14:solidFill>
          </w14:textFill>
        </w:rPr>
      </w:pPr>
      <w:r>
        <w:rPr>
          <w:rFonts w:hint="eastAsia" w:ascii="仿宋" w:hAnsi="仿宋" w:eastAsia="仿宋" w:cs="仿宋"/>
          <w:b/>
          <w:color w:val="000000" w:themeColor="text1"/>
          <w:sz w:val="28"/>
          <w:szCs w:val="22"/>
          <w:highlight w:val="none"/>
          <w:lang w:eastAsia="zh-CN"/>
          <w14:textFill>
            <w14:solidFill>
              <w14:schemeClr w14:val="tx1"/>
            </w14:solidFill>
          </w14:textFill>
        </w:rPr>
        <w:t>示范格式七</w:t>
      </w:r>
    </w:p>
    <w:p w14:paraId="41ABBCAE">
      <w:pPr>
        <w:tabs>
          <w:tab w:val="left" w:pos="2020"/>
          <w:tab w:val="center" w:pos="4535"/>
        </w:tabs>
        <w:spacing w:line="360" w:lineRule="auto"/>
        <w:ind w:right="-1"/>
        <w:jc w:val="center"/>
        <w:outlineLvl w:val="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关于符合本国产品标准的声明函</w:t>
      </w:r>
      <w:r>
        <w:rPr>
          <w:rFonts w:hint="eastAsia" w:ascii="仿宋" w:hAnsi="仿宋" w:eastAsia="仿宋" w:cs="仿宋"/>
          <w:b/>
          <w:bCs/>
          <w:color w:val="000000"/>
          <w:sz w:val="24"/>
          <w:szCs w:val="24"/>
        </w:rPr>
        <w:t>（本项目不适用）</w:t>
      </w:r>
    </w:p>
    <w:p w14:paraId="726AAAF0">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97E71B6">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1.</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vertAlign w:val="superscript"/>
        </w:rPr>
        <w:t>1</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vertAlign w:val="superscript"/>
        </w:rPr>
        <w:t>2</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（规定比例）</w:t>
      </w:r>
      <w:r>
        <w:rPr>
          <w:rFonts w:hint="eastAsia" w:ascii="仿宋" w:hAnsi="仿宋" w:eastAsia="仿宋" w:cs="仿宋"/>
          <w:color w:val="000000"/>
          <w:sz w:val="24"/>
          <w:szCs w:val="24"/>
          <w:shd w:val="clear" w:color="auto" w:fill="FFFFFF"/>
          <w:vertAlign w:val="superscript"/>
        </w:rPr>
        <w:t>3</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（关键组件）</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（关键工序）</w:t>
      </w:r>
      <w:r>
        <w:rPr>
          <w:rFonts w:hint="eastAsia" w:ascii="仿宋" w:hAnsi="仿宋" w:eastAsia="仿宋" w:cs="仿宋"/>
          <w:color w:val="000000"/>
          <w:sz w:val="24"/>
          <w:szCs w:val="24"/>
          <w:shd w:val="clear" w:color="auto" w:fill="FFFFFF"/>
          <w:vertAlign w:val="superscript"/>
        </w:rPr>
        <w:t>5</w:t>
      </w:r>
      <w:r>
        <w:rPr>
          <w:rFonts w:hint="eastAsia" w:ascii="仿宋" w:hAnsi="仿宋" w:eastAsia="仿宋" w:cs="仿宋"/>
          <w:color w:val="000000"/>
          <w:sz w:val="24"/>
          <w:szCs w:val="24"/>
          <w:shd w:val="clear" w:color="auto" w:fill="FFFFFF"/>
        </w:rPr>
        <w:t>在中国境内完成。</w:t>
      </w:r>
    </w:p>
    <w:p w14:paraId="7B15654A">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2.</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，生产厂为</w:t>
      </w:r>
      <w:r>
        <w:rPr>
          <w:rFonts w:hint="eastAsia" w:ascii="仿宋" w:hAnsi="仿宋" w:eastAsia="仿宋" w:cs="仿宋"/>
          <w:color w:val="000000"/>
          <w:sz w:val="24"/>
          <w:szCs w:val="24"/>
          <w:u w:val="single"/>
          <w:shd w:val="clear" w:color="auto" w:fill="FFFFFF"/>
        </w:rPr>
        <w:t>（厂名）</w:t>
      </w:r>
      <w:r>
        <w:rPr>
          <w:rFonts w:hint="eastAsia" w:ascii="仿宋" w:hAnsi="仿宋" w:eastAsia="仿宋" w:cs="仿宋"/>
          <w:color w:val="000000"/>
          <w:sz w:val="24"/>
          <w:szCs w:val="24"/>
          <w:shd w:val="clear" w:color="auto" w:fill="FFFFFF"/>
        </w:rPr>
        <w:t>，厂址为</w:t>
      </w:r>
      <w:r>
        <w:rPr>
          <w:rFonts w:hint="eastAsia" w:ascii="仿宋" w:hAnsi="仿宋" w:eastAsia="仿宋" w:cs="仿宋"/>
          <w:color w:val="000000"/>
          <w:sz w:val="24"/>
          <w:szCs w:val="24"/>
          <w:u w:val="single"/>
          <w:shd w:val="clear" w:color="auto" w:fill="FFFFFF"/>
        </w:rPr>
        <w:t>（生产厂址）</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的中国境内生产的组件成本占比≥</w:t>
      </w:r>
      <w:r>
        <w:rPr>
          <w:rFonts w:hint="eastAsia" w:ascii="仿宋" w:hAnsi="仿宋" w:eastAsia="仿宋" w:cs="仿宋"/>
          <w:color w:val="000000"/>
          <w:sz w:val="24"/>
          <w:szCs w:val="24"/>
          <w:u w:val="single"/>
          <w:shd w:val="clear" w:color="auto" w:fill="FFFFFF"/>
        </w:rPr>
        <w:t>（规定比例）</w:t>
      </w:r>
      <w:r>
        <w:rPr>
          <w:rFonts w:hint="eastAsia" w:ascii="仿宋" w:hAnsi="仿宋" w:eastAsia="仿宋" w:cs="仿宋"/>
          <w:color w:val="000000"/>
          <w:sz w:val="24"/>
          <w:szCs w:val="24"/>
          <w:shd w:val="clear" w:color="auto" w:fill="FFFFFF"/>
        </w:rPr>
        <w:t>。</w:t>
      </w:r>
      <w:r>
        <w:rPr>
          <w:rFonts w:hint="eastAsia" w:ascii="仿宋" w:hAnsi="仿宋" w:eastAsia="仿宋" w:cs="仿宋"/>
          <w:color w:val="000000"/>
          <w:sz w:val="24"/>
          <w:szCs w:val="24"/>
          <w:u w:val="single"/>
          <w:shd w:val="clear" w:color="auto" w:fill="FFFFFF"/>
        </w:rPr>
        <w:t>（产品名称2）</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（关键组件）</w:t>
      </w:r>
      <w:r>
        <w:rPr>
          <w:rFonts w:hint="eastAsia" w:ascii="仿宋" w:hAnsi="仿宋" w:eastAsia="仿宋" w:cs="仿宋"/>
          <w:color w:val="000000"/>
          <w:sz w:val="24"/>
          <w:szCs w:val="24"/>
          <w:shd w:val="clear" w:color="auto" w:fill="FFFFFF"/>
        </w:rPr>
        <w:t>在中国境内生产。</w:t>
      </w:r>
      <w:r>
        <w:rPr>
          <w:rFonts w:hint="eastAsia" w:ascii="仿宋" w:hAnsi="仿宋" w:eastAsia="仿宋" w:cs="仿宋"/>
          <w:color w:val="000000"/>
          <w:sz w:val="24"/>
          <w:szCs w:val="24"/>
          <w:u w:val="single"/>
          <w:shd w:val="clear" w:color="auto" w:fill="FFFFFF"/>
        </w:rPr>
        <w:t>（产品名称1）</w:t>
      </w:r>
      <w:r>
        <w:rPr>
          <w:rFonts w:hint="eastAsia" w:ascii="仿宋" w:hAnsi="仿宋" w:eastAsia="仿宋" w:cs="仿宋"/>
          <w:color w:val="000000"/>
          <w:sz w:val="24"/>
          <w:szCs w:val="24"/>
          <w:shd w:val="clear" w:color="auto" w:fill="FFFFFF"/>
        </w:rPr>
        <w:t>的</w:t>
      </w:r>
      <w:r>
        <w:rPr>
          <w:rFonts w:hint="eastAsia" w:ascii="仿宋" w:hAnsi="仿宋" w:eastAsia="仿宋" w:cs="仿宋"/>
          <w:color w:val="000000"/>
          <w:sz w:val="24"/>
          <w:szCs w:val="24"/>
          <w:u w:val="single"/>
          <w:shd w:val="clear" w:color="auto" w:fill="FFFFFF"/>
        </w:rPr>
        <w:t>（关键工序）</w:t>
      </w:r>
      <w:r>
        <w:rPr>
          <w:rFonts w:hint="eastAsia" w:ascii="仿宋" w:hAnsi="仿宋" w:eastAsia="仿宋" w:cs="仿宋"/>
          <w:color w:val="000000"/>
          <w:sz w:val="24"/>
          <w:szCs w:val="24"/>
          <w:shd w:val="clear" w:color="auto" w:fill="FFFFFF"/>
        </w:rPr>
        <w:t>在中国境内完成。</w:t>
      </w:r>
    </w:p>
    <w:p w14:paraId="2C9BC6AC">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w:t>
      </w:r>
    </w:p>
    <w:p w14:paraId="4B248C1E">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本公司（单位）对上述声明内容的真实性负责。如有虚假，愿承担相应法律责任。</w:t>
      </w:r>
    </w:p>
    <w:p w14:paraId="29C91E53">
      <w:pPr>
        <w:spacing w:line="480" w:lineRule="exact"/>
        <w:ind w:firstLine="480"/>
        <w:jc w:val="left"/>
        <w:rPr>
          <w:rFonts w:hint="eastAsia" w:ascii="仿宋" w:hAnsi="仿宋" w:eastAsia="仿宋" w:cs="仿宋"/>
          <w:color w:val="000000"/>
          <w:sz w:val="24"/>
          <w:szCs w:val="24"/>
        </w:rPr>
      </w:pPr>
    </w:p>
    <w:p w14:paraId="2B78E4F3">
      <w:pPr>
        <w:spacing w:line="480" w:lineRule="exact"/>
        <w:ind w:firstLine="480"/>
        <w:jc w:val="center"/>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 xml:space="preserve">           </w:t>
      </w:r>
    </w:p>
    <w:p w14:paraId="332BF57C">
      <w:pPr>
        <w:spacing w:line="480" w:lineRule="exact"/>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lang w:val="en-US" w:eastAsia="zh-CN"/>
        </w:rPr>
        <w:t xml:space="preserve">          </w:t>
      </w:r>
      <w:r>
        <w:rPr>
          <w:rFonts w:hint="eastAsia" w:ascii="仿宋" w:hAnsi="仿宋" w:eastAsia="仿宋" w:cs="仿宋"/>
          <w:color w:val="000000"/>
          <w:sz w:val="24"/>
          <w:szCs w:val="24"/>
          <w:shd w:val="clear" w:color="auto" w:fill="FFFFFF"/>
        </w:rPr>
        <w:t>公司（单位）名称（电子签章）：</w:t>
      </w:r>
    </w:p>
    <w:p w14:paraId="63C06EDA">
      <w:pPr>
        <w:spacing w:line="480" w:lineRule="exact"/>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      日期：    年    月    日</w:t>
      </w:r>
    </w:p>
    <w:p w14:paraId="019E433C">
      <w:pPr>
        <w:spacing w:line="480" w:lineRule="exact"/>
        <w:ind w:firstLine="480"/>
        <w:jc w:val="left"/>
        <w:rPr>
          <w:rFonts w:hint="eastAsia" w:ascii="仿宋" w:hAnsi="仿宋" w:eastAsia="仿宋" w:cs="仿宋"/>
          <w:color w:val="000000"/>
          <w:sz w:val="24"/>
          <w:szCs w:val="24"/>
          <w:shd w:val="clear" w:color="auto" w:fill="FFFFFF"/>
        </w:rPr>
      </w:pPr>
    </w:p>
    <w:p w14:paraId="719A33CE">
      <w:pPr>
        <w:spacing w:line="480" w:lineRule="exact"/>
        <w:ind w:firstLine="480"/>
        <w:jc w:val="left"/>
        <w:rPr>
          <w:rFonts w:hint="eastAsia" w:ascii="仿宋" w:hAnsi="仿宋" w:eastAsia="仿宋" w:cs="仿宋"/>
          <w:color w:val="000000"/>
          <w:sz w:val="24"/>
          <w:szCs w:val="24"/>
          <w:shd w:val="clear" w:color="auto" w:fill="FFFFFF"/>
        </w:rPr>
      </w:pPr>
    </w:p>
    <w:p w14:paraId="029CDFD9">
      <w:pPr>
        <w:spacing w:line="480" w:lineRule="exact"/>
        <w:ind w:firstLine="480"/>
        <w:jc w:val="left"/>
        <w:rPr>
          <w:rFonts w:hint="eastAsia" w:ascii="仿宋" w:hAnsi="仿宋" w:eastAsia="仿宋" w:cs="仿宋"/>
          <w:color w:val="000000"/>
          <w:sz w:val="24"/>
          <w:szCs w:val="24"/>
          <w:shd w:val="clear" w:color="auto" w:fill="FFFFFF"/>
        </w:rPr>
      </w:pPr>
    </w:p>
    <w:p w14:paraId="64CC3B35">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1.产品如有型号，请在“产品名称”栏一并填写。</w:t>
      </w:r>
    </w:p>
    <w:p w14:paraId="77E3DD18">
      <w:pPr>
        <w:spacing w:line="480" w:lineRule="exact"/>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2.生产厂名与厂址应与生产厂营业执照载明的相关信息保持一致。</w:t>
      </w:r>
    </w:p>
    <w:p w14:paraId="4A7498C9">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3.该产品的中国境内生产的组件成本占比相关要求实施前，“规定比例”栏可不填，下同。</w:t>
      </w:r>
    </w:p>
    <w:p w14:paraId="0EDB2594">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4.该产品的关键组件要求实施前，“关键组件”栏可不填，下同。</w:t>
      </w:r>
    </w:p>
    <w:p w14:paraId="7FA41AFB">
      <w:pPr>
        <w:spacing w:line="480" w:lineRule="exact"/>
        <w:ind w:firstLine="480"/>
        <w:jc w:val="left"/>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5.该产品的关键工序要求实施前，“关键工序”栏可不填，下同。</w:t>
      </w:r>
    </w:p>
    <w:p w14:paraId="02E44820">
      <w:pPr>
        <w:spacing w:line="520" w:lineRule="exact"/>
        <w:ind w:firstLine="561"/>
        <w:rPr>
          <w:rFonts w:hint="eastAsia" w:ascii="仿宋" w:hAnsi="仿宋" w:eastAsia="仿宋" w:cs="仿宋"/>
          <w:color w:val="000000"/>
          <w:sz w:val="24"/>
          <w:szCs w:val="24"/>
          <w:shd w:val="clear" w:color="auto" w:fill="FFFFFF"/>
        </w:rPr>
      </w:pPr>
      <w:r>
        <w:rPr>
          <w:rFonts w:hint="eastAsia" w:ascii="仿宋" w:hAnsi="仿宋" w:eastAsia="仿宋" w:cs="仿宋"/>
          <w:color w:val="000000"/>
          <w:sz w:val="24"/>
          <w:szCs w:val="24"/>
          <w:shd w:val="clear" w:color="auto" w:fill="FFFFFF"/>
        </w:rPr>
        <w:t>6.用横线划除的地方无需填写。</w:t>
      </w:r>
    </w:p>
    <w:p w14:paraId="2C41B68B">
      <w:pPr>
        <w:spacing w:line="520" w:lineRule="exact"/>
        <w:ind w:firstLine="561"/>
        <w:rPr>
          <w:rFonts w:hint="eastAsia" w:ascii="仿宋" w:hAnsi="仿宋" w:eastAsia="仿宋" w:cs="仿宋"/>
          <w:color w:val="000000"/>
          <w:sz w:val="24"/>
          <w:szCs w:val="24"/>
          <w:shd w:val="clear" w:color="auto" w:fill="FFFFFF"/>
        </w:rPr>
      </w:pPr>
    </w:p>
    <w:p w14:paraId="7A598CE9">
      <w:pPr>
        <w:spacing w:line="640" w:lineRule="exact"/>
        <w:rPr>
          <w:rFonts w:hint="eastAsia" w:ascii="仿宋" w:hAnsi="仿宋" w:eastAsia="仿宋" w:cs="仿宋"/>
          <w:b/>
          <w:bCs/>
          <w:color w:val="000000"/>
          <w:sz w:val="28"/>
          <w:szCs w:val="28"/>
          <w:lang w:eastAsia="zh-CN"/>
        </w:rPr>
      </w:pPr>
      <w:r>
        <w:rPr>
          <w:rFonts w:hint="eastAsia" w:ascii="仿宋" w:hAnsi="仿宋" w:eastAsia="仿宋" w:cs="仿宋"/>
          <w:b/>
          <w:color w:val="000000"/>
          <w:sz w:val="28"/>
          <w:szCs w:val="28"/>
        </w:rPr>
        <w:t>示范格式</w:t>
      </w:r>
      <w:r>
        <w:rPr>
          <w:rFonts w:hint="eastAsia" w:ascii="仿宋" w:hAnsi="仿宋" w:eastAsia="仿宋" w:cs="仿宋"/>
          <w:b/>
          <w:color w:val="000000"/>
          <w:sz w:val="28"/>
          <w:szCs w:val="28"/>
          <w:lang w:eastAsia="zh-CN"/>
        </w:rPr>
        <w:t>八</w:t>
      </w:r>
    </w:p>
    <w:p w14:paraId="095C4659">
      <w:pPr>
        <w:spacing w:line="520" w:lineRule="exact"/>
        <w:ind w:firstLine="561"/>
        <w:jc w:val="center"/>
        <w:rPr>
          <w:rFonts w:hint="eastAsia" w:ascii="仿宋" w:hAnsi="仿宋" w:eastAsia="仿宋" w:cs="仿宋"/>
          <w:sz w:val="28"/>
          <w:szCs w:val="28"/>
        </w:rPr>
      </w:pPr>
      <w:r>
        <w:rPr>
          <w:rFonts w:hint="eastAsia" w:ascii="仿宋" w:hAnsi="仿宋" w:eastAsia="仿宋" w:cs="仿宋"/>
          <w:b/>
          <w:bCs/>
          <w:color w:val="000000"/>
          <w:sz w:val="28"/>
          <w:szCs w:val="28"/>
        </w:rPr>
        <w:t>质疑函范本</w:t>
      </w:r>
    </w:p>
    <w:p w14:paraId="351C43A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一、质疑供应商基本信息</w:t>
      </w:r>
    </w:p>
    <w:p w14:paraId="12B9399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质疑供应商：                                                              </w:t>
      </w:r>
    </w:p>
    <w:p w14:paraId="08BB72B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地址：                             邮编：                                    </w:t>
      </w:r>
    </w:p>
    <w:p w14:paraId="7AEA2AE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联系人：                      联系电话：                                       </w:t>
      </w:r>
    </w:p>
    <w:p w14:paraId="1DE04F1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授权代表：                                                                 </w:t>
      </w:r>
    </w:p>
    <w:p w14:paraId="5E6CB55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联系电话：                                                                </w:t>
      </w:r>
    </w:p>
    <w:p w14:paraId="355ACD8D">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地址：                         邮编：                                     </w:t>
      </w:r>
    </w:p>
    <w:p w14:paraId="5282D868">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二、质疑项目基本情况</w:t>
      </w:r>
    </w:p>
    <w:p w14:paraId="078C8A6D">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质疑项目的名称：                                                          </w:t>
      </w:r>
    </w:p>
    <w:p w14:paraId="789034B3">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质疑项目的编号：                         包号：                           </w:t>
      </w:r>
    </w:p>
    <w:p w14:paraId="6AA1AEEE">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采购人名称：                                                              </w:t>
      </w:r>
    </w:p>
    <w:p w14:paraId="05924CD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采购文件获取日期：                                                        </w:t>
      </w:r>
    </w:p>
    <w:p w14:paraId="08A113F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三、质疑事项具体内容</w:t>
      </w:r>
    </w:p>
    <w:p w14:paraId="40C251A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质疑事项1：                                                              </w:t>
      </w:r>
    </w:p>
    <w:p w14:paraId="5EBEA9A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事实依据：                                                                </w:t>
      </w:r>
    </w:p>
    <w:p w14:paraId="09A7A2A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                                                                           </w:t>
      </w:r>
    </w:p>
    <w:p w14:paraId="588C5C7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法律依据：                                                                 </w:t>
      </w:r>
    </w:p>
    <w:p w14:paraId="2CAAE4BC">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                                                                           </w:t>
      </w:r>
    </w:p>
    <w:p w14:paraId="7C474D9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质疑事项2</w:t>
      </w:r>
    </w:p>
    <w:p w14:paraId="4782244A">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w:t>
      </w:r>
    </w:p>
    <w:p w14:paraId="7EEB0509">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四、与质疑事项相关的质疑请求</w:t>
      </w:r>
    </w:p>
    <w:p w14:paraId="59FEFA64">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请求：                                                                     </w:t>
      </w:r>
    </w:p>
    <w:p w14:paraId="4A7A4E73">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70B11E12">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日期：    </w:t>
      </w:r>
    </w:p>
    <w:p w14:paraId="379B2E96">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质疑函制作说明：</w:t>
      </w:r>
    </w:p>
    <w:p w14:paraId="665338D0">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278DEA4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36893B">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68F96F7E">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2E33A121">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60722C95">
      <w:pPr>
        <w:spacing w:line="520" w:lineRule="exact"/>
        <w:ind w:firstLine="560"/>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 </w:t>
      </w:r>
    </w:p>
    <w:p w14:paraId="7F408E5B">
      <w:pPr>
        <w:spacing w:line="600" w:lineRule="exact"/>
        <w:ind w:firstLine="562"/>
        <w:rPr>
          <w:rFonts w:hint="eastAsia" w:ascii="仿宋" w:hAnsi="仿宋" w:eastAsia="仿宋" w:cs="仿宋"/>
          <w:b/>
          <w:sz w:val="24"/>
          <w:szCs w:val="22"/>
        </w:rPr>
      </w:pPr>
    </w:p>
    <w:p w14:paraId="1D40D74E">
      <w:pPr>
        <w:spacing w:line="440" w:lineRule="exact"/>
        <w:rPr>
          <w:rFonts w:hint="eastAsia" w:ascii="仿宋" w:hAnsi="仿宋" w:eastAsia="仿宋" w:cs="仿宋"/>
          <w:b/>
          <w:bCs/>
          <w:sz w:val="32"/>
          <w:szCs w:val="32"/>
        </w:rPr>
      </w:pPr>
    </w:p>
    <w:p w14:paraId="7DC78D35">
      <w:pPr>
        <w:spacing w:line="520" w:lineRule="exact"/>
        <w:rPr>
          <w:rFonts w:hint="eastAsia" w:ascii="仿宋" w:hAnsi="仿宋" w:eastAsia="仿宋" w:cs="仿宋"/>
          <w:b/>
          <w:bCs/>
          <w:sz w:val="28"/>
          <w:szCs w:val="28"/>
        </w:rPr>
      </w:pPr>
    </w:p>
    <w:p w14:paraId="2FFED035">
      <w:pPr>
        <w:pStyle w:val="14"/>
        <w:rPr>
          <w:rFonts w:hint="eastAsia" w:ascii="仿宋" w:hAnsi="仿宋" w:eastAsia="仿宋" w:cs="仿宋"/>
          <w:sz w:val="24"/>
          <w:szCs w:val="22"/>
        </w:rPr>
      </w:pPr>
    </w:p>
    <w:p w14:paraId="2F69337E">
      <w:pPr>
        <w:pStyle w:val="44"/>
        <w:rPr>
          <w:rFonts w:hint="eastAsia" w:ascii="仿宋" w:hAnsi="仿宋" w:eastAsia="仿宋" w:cs="仿宋"/>
          <w:sz w:val="22"/>
          <w:szCs w:val="22"/>
        </w:rPr>
      </w:pPr>
    </w:p>
    <w:p w14:paraId="5163CBAC">
      <w:pPr>
        <w:jc w:val="center"/>
        <w:rPr>
          <w:rFonts w:hint="eastAsia" w:ascii="仿宋" w:hAnsi="仿宋" w:eastAsia="仿宋" w:cs="仿宋"/>
          <w:b/>
          <w:color w:val="000000"/>
          <w:sz w:val="28"/>
          <w:szCs w:val="28"/>
        </w:rPr>
      </w:pPr>
    </w:p>
    <w:p w14:paraId="64EA392A">
      <w:pPr>
        <w:spacing w:line="520" w:lineRule="exact"/>
        <w:ind w:firstLine="548"/>
        <w:rPr>
          <w:rFonts w:hint="eastAsia" w:ascii="仿宋" w:hAnsi="仿宋" w:eastAsia="仿宋" w:cs="仿宋"/>
          <w:bCs/>
          <w:sz w:val="24"/>
          <w:szCs w:val="22"/>
        </w:rPr>
      </w:pPr>
    </w:p>
    <w:p w14:paraId="5B8B04A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bCs/>
          <w:color w:val="000000"/>
          <w:sz w:val="22"/>
          <w:szCs w:val="22"/>
          <w:highlight w:val="none"/>
        </w:rPr>
      </w:pPr>
    </w:p>
    <w:p w14:paraId="5585C736">
      <w:pPr>
        <w:pStyle w:val="44"/>
        <w:keepNext w:val="0"/>
        <w:keepLines w:val="0"/>
        <w:pageBreakBefore w:val="0"/>
        <w:widowControl w:val="0"/>
        <w:kinsoku/>
        <w:overflowPunct/>
        <w:topLinePunct w:val="0"/>
        <w:bidi w:val="0"/>
        <w:rPr>
          <w:rFonts w:hint="eastAsia" w:ascii="仿宋" w:hAnsi="仿宋" w:eastAsia="仿宋" w:cs="仿宋"/>
          <w:color w:val="000000" w:themeColor="text1"/>
          <w:sz w:val="21"/>
          <w:szCs w:val="21"/>
          <w:highlight w:val="none"/>
          <w14:textFill>
            <w14:solidFill>
              <w14:schemeClr w14:val="tx1"/>
            </w14:solidFill>
          </w14:textFill>
        </w:rPr>
      </w:pPr>
    </w:p>
    <w:p w14:paraId="3A602E1A">
      <w:pPr>
        <w:keepNext w:val="0"/>
        <w:keepLines w:val="0"/>
        <w:pageBreakBefore w:val="0"/>
        <w:widowControl w:val="0"/>
        <w:kinsoku/>
        <w:overflowPunct/>
        <w:topLinePunct w:val="0"/>
        <w:bidi w:val="0"/>
        <w:rPr>
          <w:rFonts w:hint="eastAsia" w:ascii="仿宋" w:hAnsi="仿宋" w:eastAsia="仿宋" w:cs="仿宋"/>
          <w:color w:val="000000" w:themeColor="text1"/>
          <w:sz w:val="18"/>
          <w:szCs w:val="21"/>
          <w:highlight w:val="none"/>
          <w14:textFill>
            <w14:solidFill>
              <w14:schemeClr w14:val="tx1"/>
            </w14:solidFill>
          </w14:textFill>
        </w:rPr>
      </w:pPr>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3FA2F">
    <w:pPr>
      <w:pStyle w:val="304"/>
      <w:framePr w:wrap="around" w:vAnchor="text" w:hAnchor="margin" w:xAlign="center" w:y="1"/>
      <w:rPr>
        <w:rStyle w:val="235"/>
      </w:rPr>
    </w:pPr>
    <w:r>
      <w:fldChar w:fldCharType="begin"/>
    </w:r>
    <w:r>
      <w:rPr>
        <w:rStyle w:val="235"/>
      </w:rPr>
      <w:instrText xml:space="preserve">PAGE  </w:instrText>
    </w:r>
    <w:r>
      <w:fldChar w:fldCharType="separate"/>
    </w:r>
    <w:r>
      <w:rPr>
        <w:rStyle w:val="235"/>
      </w:rPr>
      <w:t>21</w:t>
    </w:r>
    <w:r>
      <w:fldChar w:fldCharType="end"/>
    </w:r>
  </w:p>
  <w:p w14:paraId="00F33F6D">
    <w:pPr>
      <w:pStyle w:val="30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CF704">
    <w:pPr>
      <w:pStyle w:val="30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9180F">
                          <w:pPr>
                            <w:pStyle w:val="304"/>
                            <w:rPr>
                              <w:rStyle w:val="235"/>
                            </w:rPr>
                          </w:pPr>
                          <w:r>
                            <w:fldChar w:fldCharType="begin"/>
                          </w:r>
                          <w:r>
                            <w:rPr>
                              <w:rStyle w:val="235"/>
                            </w:rPr>
                            <w:instrText xml:space="preserve">PAGE  </w:instrText>
                          </w:r>
                          <w:r>
                            <w:fldChar w:fldCharType="separate"/>
                          </w:r>
                          <w:r>
                            <w:rPr>
                              <w:rStyle w:val="235"/>
                            </w:rP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59180F">
                    <w:pPr>
                      <w:pStyle w:val="304"/>
                      <w:rPr>
                        <w:rStyle w:val="235"/>
                      </w:rPr>
                    </w:pPr>
                    <w:r>
                      <w:fldChar w:fldCharType="begin"/>
                    </w:r>
                    <w:r>
                      <w:rPr>
                        <w:rStyle w:val="235"/>
                      </w:rPr>
                      <w:instrText xml:space="preserve">PAGE  </w:instrText>
                    </w:r>
                    <w:r>
                      <w:fldChar w:fldCharType="separate"/>
                    </w:r>
                    <w:r>
                      <w:rPr>
                        <w:rStyle w:val="235"/>
                      </w:rPr>
                      <w:t>21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2A0E6">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151083">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6151083">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EB70">
    <w:pPr>
      <w:pStyle w:val="257"/>
      <w:pBdr>
        <w:bottom w:val="none" w:color="auto" w:sz="0" w:space="1"/>
      </w:pBdr>
      <w:rPr>
        <w:rFonts w:ascii="华文行楷" w:hAnsi="黑体" w:eastAsia="华文行楷"/>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30"/>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231"/>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205E5266"/>
    <w:multiLevelType w:val="singleLevel"/>
    <w:tmpl w:val="205E5266"/>
    <w:lvl w:ilvl="0" w:tentative="0">
      <w:start w:val="2"/>
      <w:numFmt w:val="decimal"/>
      <w:lvlText w:val="%1."/>
      <w:lvlJc w:val="left"/>
      <w:pPr>
        <w:tabs>
          <w:tab w:val="left" w:pos="312"/>
        </w:tabs>
      </w:pPr>
    </w:lvl>
  </w:abstractNum>
  <w:abstractNum w:abstractNumId="2">
    <w:nsid w:val="5A421BAC"/>
    <w:multiLevelType w:val="singleLevel"/>
    <w:tmpl w:val="5A421BAC"/>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C3DA7"/>
    <w:rsid w:val="00B170C8"/>
    <w:rsid w:val="00CC744B"/>
    <w:rsid w:val="00D5063D"/>
    <w:rsid w:val="00E829C5"/>
    <w:rsid w:val="010E1E57"/>
    <w:rsid w:val="01243BEC"/>
    <w:rsid w:val="016B50FF"/>
    <w:rsid w:val="016E2E7C"/>
    <w:rsid w:val="019D1B08"/>
    <w:rsid w:val="019E4ED3"/>
    <w:rsid w:val="01AC3A93"/>
    <w:rsid w:val="01CE432B"/>
    <w:rsid w:val="01D9415D"/>
    <w:rsid w:val="01E51B2E"/>
    <w:rsid w:val="020E1124"/>
    <w:rsid w:val="02251150"/>
    <w:rsid w:val="022A26A7"/>
    <w:rsid w:val="022B32D8"/>
    <w:rsid w:val="0241483D"/>
    <w:rsid w:val="02693733"/>
    <w:rsid w:val="028C44B2"/>
    <w:rsid w:val="02B54036"/>
    <w:rsid w:val="02D06B1E"/>
    <w:rsid w:val="02F76F90"/>
    <w:rsid w:val="02FE031F"/>
    <w:rsid w:val="0301396B"/>
    <w:rsid w:val="036F7BB1"/>
    <w:rsid w:val="038325D2"/>
    <w:rsid w:val="038C575E"/>
    <w:rsid w:val="03F1578E"/>
    <w:rsid w:val="03F85F17"/>
    <w:rsid w:val="04002483"/>
    <w:rsid w:val="044C0C16"/>
    <w:rsid w:val="045D1075"/>
    <w:rsid w:val="04BE7CF3"/>
    <w:rsid w:val="04D31337"/>
    <w:rsid w:val="04EA5DFD"/>
    <w:rsid w:val="04EE7F1F"/>
    <w:rsid w:val="05171224"/>
    <w:rsid w:val="051E55C3"/>
    <w:rsid w:val="05487A70"/>
    <w:rsid w:val="0571142D"/>
    <w:rsid w:val="05946774"/>
    <w:rsid w:val="05E355AA"/>
    <w:rsid w:val="0607573C"/>
    <w:rsid w:val="060C5A82"/>
    <w:rsid w:val="061340E1"/>
    <w:rsid w:val="061B2F96"/>
    <w:rsid w:val="061D0ABC"/>
    <w:rsid w:val="062E0FB2"/>
    <w:rsid w:val="0637210A"/>
    <w:rsid w:val="067F1BC4"/>
    <w:rsid w:val="06874187"/>
    <w:rsid w:val="068A3C77"/>
    <w:rsid w:val="069A2832"/>
    <w:rsid w:val="06F56A16"/>
    <w:rsid w:val="070309D9"/>
    <w:rsid w:val="07463BD5"/>
    <w:rsid w:val="0749768F"/>
    <w:rsid w:val="074F739B"/>
    <w:rsid w:val="075E313A"/>
    <w:rsid w:val="0765096C"/>
    <w:rsid w:val="07781D8F"/>
    <w:rsid w:val="078903A8"/>
    <w:rsid w:val="078F0CA4"/>
    <w:rsid w:val="07CB4548"/>
    <w:rsid w:val="07D478A0"/>
    <w:rsid w:val="08065580"/>
    <w:rsid w:val="080C0DE8"/>
    <w:rsid w:val="084F33CB"/>
    <w:rsid w:val="086504F8"/>
    <w:rsid w:val="08766BA9"/>
    <w:rsid w:val="089D59AE"/>
    <w:rsid w:val="08BB636A"/>
    <w:rsid w:val="08C6543B"/>
    <w:rsid w:val="08DC6E88"/>
    <w:rsid w:val="08F71A98"/>
    <w:rsid w:val="09023F99"/>
    <w:rsid w:val="090F1795"/>
    <w:rsid w:val="09137F54"/>
    <w:rsid w:val="09252D8D"/>
    <w:rsid w:val="09440A55"/>
    <w:rsid w:val="09D640F0"/>
    <w:rsid w:val="09E65607"/>
    <w:rsid w:val="09F77876"/>
    <w:rsid w:val="0A116B8A"/>
    <w:rsid w:val="0A3E54A5"/>
    <w:rsid w:val="0A4F1460"/>
    <w:rsid w:val="0A6138EA"/>
    <w:rsid w:val="0A673952"/>
    <w:rsid w:val="0A7462CE"/>
    <w:rsid w:val="0A9B46A5"/>
    <w:rsid w:val="0A9D666F"/>
    <w:rsid w:val="0AB45767"/>
    <w:rsid w:val="0ABA2D7D"/>
    <w:rsid w:val="0ADD4CBE"/>
    <w:rsid w:val="0AE24082"/>
    <w:rsid w:val="0B1D330C"/>
    <w:rsid w:val="0B5A7049"/>
    <w:rsid w:val="0B5B0065"/>
    <w:rsid w:val="0BAE0408"/>
    <w:rsid w:val="0C21777C"/>
    <w:rsid w:val="0C2B3807"/>
    <w:rsid w:val="0C3D28FD"/>
    <w:rsid w:val="0C5D1102"/>
    <w:rsid w:val="0C6E3A87"/>
    <w:rsid w:val="0C9B6BDE"/>
    <w:rsid w:val="0CAF2CDB"/>
    <w:rsid w:val="0CC223BD"/>
    <w:rsid w:val="0CD255CF"/>
    <w:rsid w:val="0CE67053"/>
    <w:rsid w:val="0D142B79"/>
    <w:rsid w:val="0D39295E"/>
    <w:rsid w:val="0D5F5E5E"/>
    <w:rsid w:val="0D825D10"/>
    <w:rsid w:val="0D945838"/>
    <w:rsid w:val="0D957AD2"/>
    <w:rsid w:val="0DAB582B"/>
    <w:rsid w:val="0DBC2D52"/>
    <w:rsid w:val="0DC3539C"/>
    <w:rsid w:val="0DD06C7C"/>
    <w:rsid w:val="0E45272D"/>
    <w:rsid w:val="0E76365C"/>
    <w:rsid w:val="0E8576F2"/>
    <w:rsid w:val="0E8707AF"/>
    <w:rsid w:val="0E96765D"/>
    <w:rsid w:val="0EE7610B"/>
    <w:rsid w:val="0EF45E39"/>
    <w:rsid w:val="0EF92712"/>
    <w:rsid w:val="0F16079E"/>
    <w:rsid w:val="0F36499C"/>
    <w:rsid w:val="0F4E1CE6"/>
    <w:rsid w:val="0F62655D"/>
    <w:rsid w:val="0F6B03D6"/>
    <w:rsid w:val="0F7722CF"/>
    <w:rsid w:val="0F851480"/>
    <w:rsid w:val="0FA4224E"/>
    <w:rsid w:val="0FBF2BE4"/>
    <w:rsid w:val="0FDB6241"/>
    <w:rsid w:val="0FF54858"/>
    <w:rsid w:val="10152804"/>
    <w:rsid w:val="101622D4"/>
    <w:rsid w:val="10164837"/>
    <w:rsid w:val="10346EDB"/>
    <w:rsid w:val="10A122E9"/>
    <w:rsid w:val="10B160B7"/>
    <w:rsid w:val="10BB33AB"/>
    <w:rsid w:val="10BE4C49"/>
    <w:rsid w:val="10C31666"/>
    <w:rsid w:val="10EC17B7"/>
    <w:rsid w:val="10F24846"/>
    <w:rsid w:val="116003F7"/>
    <w:rsid w:val="11BC525A"/>
    <w:rsid w:val="11BF511D"/>
    <w:rsid w:val="11E608FC"/>
    <w:rsid w:val="1209283C"/>
    <w:rsid w:val="12502219"/>
    <w:rsid w:val="12521AED"/>
    <w:rsid w:val="12597320"/>
    <w:rsid w:val="126B6F53"/>
    <w:rsid w:val="127E28E2"/>
    <w:rsid w:val="128F5713"/>
    <w:rsid w:val="12D55546"/>
    <w:rsid w:val="12D6180B"/>
    <w:rsid w:val="13001549"/>
    <w:rsid w:val="13161C63"/>
    <w:rsid w:val="13294EA9"/>
    <w:rsid w:val="13511DA5"/>
    <w:rsid w:val="13573133"/>
    <w:rsid w:val="13824654"/>
    <w:rsid w:val="13A97E33"/>
    <w:rsid w:val="13AE5449"/>
    <w:rsid w:val="13B3480E"/>
    <w:rsid w:val="13D6674E"/>
    <w:rsid w:val="13DA0CC8"/>
    <w:rsid w:val="13DF1AA7"/>
    <w:rsid w:val="13FF2E46"/>
    <w:rsid w:val="14050323"/>
    <w:rsid w:val="140D75DF"/>
    <w:rsid w:val="14144585"/>
    <w:rsid w:val="14812B5E"/>
    <w:rsid w:val="148E0DD7"/>
    <w:rsid w:val="14BA7E1E"/>
    <w:rsid w:val="14BF53D3"/>
    <w:rsid w:val="14E27F84"/>
    <w:rsid w:val="14ED01F3"/>
    <w:rsid w:val="150572EB"/>
    <w:rsid w:val="15226239"/>
    <w:rsid w:val="15826B8D"/>
    <w:rsid w:val="158A3C94"/>
    <w:rsid w:val="15995C85"/>
    <w:rsid w:val="15AE34DE"/>
    <w:rsid w:val="15B84CA8"/>
    <w:rsid w:val="15C342FB"/>
    <w:rsid w:val="16152341"/>
    <w:rsid w:val="16161084"/>
    <w:rsid w:val="16330576"/>
    <w:rsid w:val="163A2FC4"/>
    <w:rsid w:val="167D6DB2"/>
    <w:rsid w:val="16967A65"/>
    <w:rsid w:val="16C16583"/>
    <w:rsid w:val="16C429D7"/>
    <w:rsid w:val="170610F8"/>
    <w:rsid w:val="171001C9"/>
    <w:rsid w:val="17397720"/>
    <w:rsid w:val="173D340E"/>
    <w:rsid w:val="174F0CF1"/>
    <w:rsid w:val="176D2F1A"/>
    <w:rsid w:val="17887D5F"/>
    <w:rsid w:val="17C214C3"/>
    <w:rsid w:val="17CA1B6D"/>
    <w:rsid w:val="17E51656"/>
    <w:rsid w:val="185068C7"/>
    <w:rsid w:val="188D2E35"/>
    <w:rsid w:val="189B516F"/>
    <w:rsid w:val="19377C8F"/>
    <w:rsid w:val="19517A63"/>
    <w:rsid w:val="195A572B"/>
    <w:rsid w:val="19AF4232"/>
    <w:rsid w:val="19B412DF"/>
    <w:rsid w:val="19C01A32"/>
    <w:rsid w:val="1A0210DD"/>
    <w:rsid w:val="1A0F4768"/>
    <w:rsid w:val="1A295829"/>
    <w:rsid w:val="1A312930"/>
    <w:rsid w:val="1A530AA5"/>
    <w:rsid w:val="1A777714"/>
    <w:rsid w:val="1A98650B"/>
    <w:rsid w:val="1A9865E9"/>
    <w:rsid w:val="1ACC4407"/>
    <w:rsid w:val="1ADF1A7A"/>
    <w:rsid w:val="1B043BA1"/>
    <w:rsid w:val="1B244243"/>
    <w:rsid w:val="1B267FBB"/>
    <w:rsid w:val="1B324BB2"/>
    <w:rsid w:val="1B697EA8"/>
    <w:rsid w:val="1B944F25"/>
    <w:rsid w:val="1BA62EAA"/>
    <w:rsid w:val="1BEA0E1A"/>
    <w:rsid w:val="1BF47641"/>
    <w:rsid w:val="1C033E58"/>
    <w:rsid w:val="1C042B2C"/>
    <w:rsid w:val="1C267089"/>
    <w:rsid w:val="1C3861F8"/>
    <w:rsid w:val="1C3B1844"/>
    <w:rsid w:val="1C6012AB"/>
    <w:rsid w:val="1C7873E1"/>
    <w:rsid w:val="1CBC0BD7"/>
    <w:rsid w:val="1CDA2E0B"/>
    <w:rsid w:val="1CF00880"/>
    <w:rsid w:val="1CF322CF"/>
    <w:rsid w:val="1CFE3ED0"/>
    <w:rsid w:val="1D2B18B9"/>
    <w:rsid w:val="1D5A241E"/>
    <w:rsid w:val="1D814ED0"/>
    <w:rsid w:val="1D8B2357"/>
    <w:rsid w:val="1D8E3FE2"/>
    <w:rsid w:val="1D9456B0"/>
    <w:rsid w:val="1DD261D8"/>
    <w:rsid w:val="1E2C3D38"/>
    <w:rsid w:val="1E3A7D64"/>
    <w:rsid w:val="1E800A2C"/>
    <w:rsid w:val="1E8373D6"/>
    <w:rsid w:val="1E837A7A"/>
    <w:rsid w:val="1E85149C"/>
    <w:rsid w:val="1E960FB4"/>
    <w:rsid w:val="1ECC4AE2"/>
    <w:rsid w:val="1F29075B"/>
    <w:rsid w:val="1F4C5B16"/>
    <w:rsid w:val="1F63035D"/>
    <w:rsid w:val="1F660F3A"/>
    <w:rsid w:val="1F6B0692"/>
    <w:rsid w:val="1F6D7F66"/>
    <w:rsid w:val="1F86727A"/>
    <w:rsid w:val="1FAD2A59"/>
    <w:rsid w:val="1FBC2C9C"/>
    <w:rsid w:val="1FC27604"/>
    <w:rsid w:val="1FE87F35"/>
    <w:rsid w:val="1FED3D12"/>
    <w:rsid w:val="1FF93EF0"/>
    <w:rsid w:val="204333BD"/>
    <w:rsid w:val="204729D7"/>
    <w:rsid w:val="20B326D1"/>
    <w:rsid w:val="20B87907"/>
    <w:rsid w:val="20DD736E"/>
    <w:rsid w:val="211A5ECC"/>
    <w:rsid w:val="21370234"/>
    <w:rsid w:val="21425982"/>
    <w:rsid w:val="21577120"/>
    <w:rsid w:val="216E446A"/>
    <w:rsid w:val="21A8797C"/>
    <w:rsid w:val="21C91279"/>
    <w:rsid w:val="220821C8"/>
    <w:rsid w:val="2213326B"/>
    <w:rsid w:val="221943D6"/>
    <w:rsid w:val="22683E24"/>
    <w:rsid w:val="22A939AB"/>
    <w:rsid w:val="22C72083"/>
    <w:rsid w:val="22CA3922"/>
    <w:rsid w:val="22F015DA"/>
    <w:rsid w:val="23072480"/>
    <w:rsid w:val="232D7E58"/>
    <w:rsid w:val="23386ADD"/>
    <w:rsid w:val="23425BAE"/>
    <w:rsid w:val="235A4CA6"/>
    <w:rsid w:val="235B207D"/>
    <w:rsid w:val="236A4208"/>
    <w:rsid w:val="23706277"/>
    <w:rsid w:val="238E2BA1"/>
    <w:rsid w:val="239D2DE4"/>
    <w:rsid w:val="23A128D5"/>
    <w:rsid w:val="23D20CE0"/>
    <w:rsid w:val="23D8020A"/>
    <w:rsid w:val="242B6642"/>
    <w:rsid w:val="242F7EE0"/>
    <w:rsid w:val="24376D95"/>
    <w:rsid w:val="24B54893"/>
    <w:rsid w:val="24C8140D"/>
    <w:rsid w:val="24CC1BD3"/>
    <w:rsid w:val="24DE5462"/>
    <w:rsid w:val="24FF3AEE"/>
    <w:rsid w:val="250C1FD0"/>
    <w:rsid w:val="250F1AC0"/>
    <w:rsid w:val="251470D6"/>
    <w:rsid w:val="25203CCD"/>
    <w:rsid w:val="25283815"/>
    <w:rsid w:val="253D662D"/>
    <w:rsid w:val="254E25E8"/>
    <w:rsid w:val="255E0351"/>
    <w:rsid w:val="25757B75"/>
    <w:rsid w:val="25B803EE"/>
    <w:rsid w:val="25EB42DB"/>
    <w:rsid w:val="25F211C5"/>
    <w:rsid w:val="261750D0"/>
    <w:rsid w:val="26643486"/>
    <w:rsid w:val="26764F27"/>
    <w:rsid w:val="2699311D"/>
    <w:rsid w:val="26A85D28"/>
    <w:rsid w:val="26AC3A6A"/>
    <w:rsid w:val="26C32B62"/>
    <w:rsid w:val="26CA7DB2"/>
    <w:rsid w:val="26D11723"/>
    <w:rsid w:val="272F1FA5"/>
    <w:rsid w:val="2762237B"/>
    <w:rsid w:val="27637EA1"/>
    <w:rsid w:val="27686199"/>
    <w:rsid w:val="276E2ACE"/>
    <w:rsid w:val="279135A5"/>
    <w:rsid w:val="27A6495D"/>
    <w:rsid w:val="27AC64E8"/>
    <w:rsid w:val="27CA2623"/>
    <w:rsid w:val="27CB6172"/>
    <w:rsid w:val="28101DD7"/>
    <w:rsid w:val="282B09BF"/>
    <w:rsid w:val="28533A39"/>
    <w:rsid w:val="28643ED1"/>
    <w:rsid w:val="286E6AFD"/>
    <w:rsid w:val="28732366"/>
    <w:rsid w:val="28905912"/>
    <w:rsid w:val="289F721E"/>
    <w:rsid w:val="28D9083E"/>
    <w:rsid w:val="290A671B"/>
    <w:rsid w:val="291B4ED7"/>
    <w:rsid w:val="29383DBD"/>
    <w:rsid w:val="2938426B"/>
    <w:rsid w:val="296C7188"/>
    <w:rsid w:val="297A2A81"/>
    <w:rsid w:val="29847FAB"/>
    <w:rsid w:val="299F78B6"/>
    <w:rsid w:val="2A0616E3"/>
    <w:rsid w:val="2A390BCB"/>
    <w:rsid w:val="2A413456"/>
    <w:rsid w:val="2A8F792B"/>
    <w:rsid w:val="2ABD4C84"/>
    <w:rsid w:val="2ACF5F79"/>
    <w:rsid w:val="2AE83B98"/>
    <w:rsid w:val="2B116592"/>
    <w:rsid w:val="2B2A1401"/>
    <w:rsid w:val="2B585F6F"/>
    <w:rsid w:val="2B902EA7"/>
    <w:rsid w:val="2B9372B0"/>
    <w:rsid w:val="2BE139CF"/>
    <w:rsid w:val="2BEE5CA9"/>
    <w:rsid w:val="2BFB64EA"/>
    <w:rsid w:val="2C251BC9"/>
    <w:rsid w:val="2C53524E"/>
    <w:rsid w:val="2C536608"/>
    <w:rsid w:val="2C5C7480"/>
    <w:rsid w:val="2C950AFD"/>
    <w:rsid w:val="2CD535EF"/>
    <w:rsid w:val="2CDF0280"/>
    <w:rsid w:val="2CF445D2"/>
    <w:rsid w:val="2D0C1A6D"/>
    <w:rsid w:val="2D28301E"/>
    <w:rsid w:val="2D564730"/>
    <w:rsid w:val="2D612987"/>
    <w:rsid w:val="2D6E4118"/>
    <w:rsid w:val="2D990AC0"/>
    <w:rsid w:val="2DA42A29"/>
    <w:rsid w:val="2DC45B3D"/>
    <w:rsid w:val="2DFB53A0"/>
    <w:rsid w:val="2DFD2DFD"/>
    <w:rsid w:val="2E272A2B"/>
    <w:rsid w:val="2E314855"/>
    <w:rsid w:val="2E8A13DC"/>
    <w:rsid w:val="2ECD1FFC"/>
    <w:rsid w:val="2EEB534C"/>
    <w:rsid w:val="2F455109"/>
    <w:rsid w:val="2F552BD4"/>
    <w:rsid w:val="2F680ACF"/>
    <w:rsid w:val="2F6E7C82"/>
    <w:rsid w:val="2F6F1AD9"/>
    <w:rsid w:val="2F9D630E"/>
    <w:rsid w:val="2F9E5F1A"/>
    <w:rsid w:val="2FB7522E"/>
    <w:rsid w:val="2FF410E3"/>
    <w:rsid w:val="3014442E"/>
    <w:rsid w:val="30224D9D"/>
    <w:rsid w:val="30256CFA"/>
    <w:rsid w:val="30425274"/>
    <w:rsid w:val="304F751B"/>
    <w:rsid w:val="30A43A04"/>
    <w:rsid w:val="30BC0D4E"/>
    <w:rsid w:val="30D51E0F"/>
    <w:rsid w:val="31395673"/>
    <w:rsid w:val="31413001"/>
    <w:rsid w:val="31490108"/>
    <w:rsid w:val="314B3E80"/>
    <w:rsid w:val="31563F8A"/>
    <w:rsid w:val="31813D45"/>
    <w:rsid w:val="31A13AFD"/>
    <w:rsid w:val="31AD0696"/>
    <w:rsid w:val="31C94210"/>
    <w:rsid w:val="31D200FD"/>
    <w:rsid w:val="31E10F22"/>
    <w:rsid w:val="322A1CE7"/>
    <w:rsid w:val="3239017C"/>
    <w:rsid w:val="32562ADC"/>
    <w:rsid w:val="32800130"/>
    <w:rsid w:val="32841EA5"/>
    <w:rsid w:val="32C51A10"/>
    <w:rsid w:val="32CA309F"/>
    <w:rsid w:val="32D81743"/>
    <w:rsid w:val="33011039"/>
    <w:rsid w:val="33013EE5"/>
    <w:rsid w:val="3302598D"/>
    <w:rsid w:val="33233306"/>
    <w:rsid w:val="33337F26"/>
    <w:rsid w:val="33BE302F"/>
    <w:rsid w:val="33D939C5"/>
    <w:rsid w:val="33EC194A"/>
    <w:rsid w:val="34070092"/>
    <w:rsid w:val="340F73E6"/>
    <w:rsid w:val="341A36D8"/>
    <w:rsid w:val="342B5F2F"/>
    <w:rsid w:val="343F0906"/>
    <w:rsid w:val="34596CA3"/>
    <w:rsid w:val="34622101"/>
    <w:rsid w:val="346D235F"/>
    <w:rsid w:val="34A77473"/>
    <w:rsid w:val="34B40824"/>
    <w:rsid w:val="34CB7A56"/>
    <w:rsid w:val="34DD36B9"/>
    <w:rsid w:val="34FC1F63"/>
    <w:rsid w:val="351C4CED"/>
    <w:rsid w:val="352A7C22"/>
    <w:rsid w:val="356419B4"/>
    <w:rsid w:val="35702107"/>
    <w:rsid w:val="357C4F4F"/>
    <w:rsid w:val="359679D1"/>
    <w:rsid w:val="35AD5109"/>
    <w:rsid w:val="35BF2E57"/>
    <w:rsid w:val="35C0308E"/>
    <w:rsid w:val="35C057BC"/>
    <w:rsid w:val="35C366DA"/>
    <w:rsid w:val="35C674F1"/>
    <w:rsid w:val="35D01D25"/>
    <w:rsid w:val="35D22DC1"/>
    <w:rsid w:val="360311CD"/>
    <w:rsid w:val="36463152"/>
    <w:rsid w:val="369B7657"/>
    <w:rsid w:val="369F1D40"/>
    <w:rsid w:val="36A75FFC"/>
    <w:rsid w:val="36D502A9"/>
    <w:rsid w:val="3705690A"/>
    <w:rsid w:val="372E4027"/>
    <w:rsid w:val="37384EA6"/>
    <w:rsid w:val="373C3BA7"/>
    <w:rsid w:val="373D4443"/>
    <w:rsid w:val="374E0867"/>
    <w:rsid w:val="37620175"/>
    <w:rsid w:val="377C2FE5"/>
    <w:rsid w:val="37804506"/>
    <w:rsid w:val="37994D05"/>
    <w:rsid w:val="380134EA"/>
    <w:rsid w:val="383270B5"/>
    <w:rsid w:val="385C2E16"/>
    <w:rsid w:val="387C734F"/>
    <w:rsid w:val="38AF3C2A"/>
    <w:rsid w:val="38B367B1"/>
    <w:rsid w:val="38B86862"/>
    <w:rsid w:val="38BC72C7"/>
    <w:rsid w:val="38C56C0D"/>
    <w:rsid w:val="38D224AF"/>
    <w:rsid w:val="38E269EA"/>
    <w:rsid w:val="391D07F7"/>
    <w:rsid w:val="393D67A4"/>
    <w:rsid w:val="3942331A"/>
    <w:rsid w:val="396627BB"/>
    <w:rsid w:val="39775BEF"/>
    <w:rsid w:val="3991089E"/>
    <w:rsid w:val="39935943"/>
    <w:rsid w:val="39B34CB8"/>
    <w:rsid w:val="3A2C07E5"/>
    <w:rsid w:val="3A2F10AE"/>
    <w:rsid w:val="3A573414"/>
    <w:rsid w:val="3AAA60BB"/>
    <w:rsid w:val="3AE01ADD"/>
    <w:rsid w:val="3B295D4D"/>
    <w:rsid w:val="3B8E05B6"/>
    <w:rsid w:val="3BB371F1"/>
    <w:rsid w:val="3BC83935"/>
    <w:rsid w:val="3BD70530"/>
    <w:rsid w:val="3BEC625F"/>
    <w:rsid w:val="3BF84C04"/>
    <w:rsid w:val="3BFA085F"/>
    <w:rsid w:val="3C0D4B53"/>
    <w:rsid w:val="3C340332"/>
    <w:rsid w:val="3C356086"/>
    <w:rsid w:val="3C3814A4"/>
    <w:rsid w:val="3CAE3D51"/>
    <w:rsid w:val="3CE55188"/>
    <w:rsid w:val="3CE970C6"/>
    <w:rsid w:val="3CEA2115"/>
    <w:rsid w:val="3CFB4687"/>
    <w:rsid w:val="3D042809"/>
    <w:rsid w:val="3D0D152A"/>
    <w:rsid w:val="3D5A0F8B"/>
    <w:rsid w:val="3D9C2BAB"/>
    <w:rsid w:val="3DB72FC9"/>
    <w:rsid w:val="3DBB238D"/>
    <w:rsid w:val="3DC2167E"/>
    <w:rsid w:val="3DC4168B"/>
    <w:rsid w:val="3DD376D7"/>
    <w:rsid w:val="3DD5344F"/>
    <w:rsid w:val="3E047890"/>
    <w:rsid w:val="3E09513A"/>
    <w:rsid w:val="3E952CC2"/>
    <w:rsid w:val="3EAA48DB"/>
    <w:rsid w:val="3EAF0351"/>
    <w:rsid w:val="3EBB0897"/>
    <w:rsid w:val="3EF0459E"/>
    <w:rsid w:val="3EF913BF"/>
    <w:rsid w:val="3EFB02A8"/>
    <w:rsid w:val="3EFC2C5D"/>
    <w:rsid w:val="3F1411D8"/>
    <w:rsid w:val="3F493445"/>
    <w:rsid w:val="3F550CE4"/>
    <w:rsid w:val="3F6A406B"/>
    <w:rsid w:val="3F746C97"/>
    <w:rsid w:val="3F850EA5"/>
    <w:rsid w:val="3F8954F2"/>
    <w:rsid w:val="3F9C496C"/>
    <w:rsid w:val="3FDB2873"/>
    <w:rsid w:val="3FDF2363"/>
    <w:rsid w:val="3FF06480"/>
    <w:rsid w:val="3FF316C7"/>
    <w:rsid w:val="3FFE3A57"/>
    <w:rsid w:val="40125DF9"/>
    <w:rsid w:val="402406BD"/>
    <w:rsid w:val="403703F1"/>
    <w:rsid w:val="40476B69"/>
    <w:rsid w:val="404F2D5E"/>
    <w:rsid w:val="406A7FF3"/>
    <w:rsid w:val="409A6309"/>
    <w:rsid w:val="40BC08F6"/>
    <w:rsid w:val="40BC4452"/>
    <w:rsid w:val="40EA7211"/>
    <w:rsid w:val="412E745D"/>
    <w:rsid w:val="417411D1"/>
    <w:rsid w:val="417770AA"/>
    <w:rsid w:val="41974542"/>
    <w:rsid w:val="41E50BAA"/>
    <w:rsid w:val="421B33FA"/>
    <w:rsid w:val="42342E75"/>
    <w:rsid w:val="4241794E"/>
    <w:rsid w:val="42507548"/>
    <w:rsid w:val="426F7296"/>
    <w:rsid w:val="429C565A"/>
    <w:rsid w:val="42B051DE"/>
    <w:rsid w:val="42C57D09"/>
    <w:rsid w:val="42C62596"/>
    <w:rsid w:val="42F425C9"/>
    <w:rsid w:val="43136B3F"/>
    <w:rsid w:val="43170066"/>
    <w:rsid w:val="432B1D63"/>
    <w:rsid w:val="438C2802"/>
    <w:rsid w:val="439B47F3"/>
    <w:rsid w:val="43A93F3B"/>
    <w:rsid w:val="43AC75D5"/>
    <w:rsid w:val="44055D98"/>
    <w:rsid w:val="44533F3E"/>
    <w:rsid w:val="446C1438"/>
    <w:rsid w:val="447A4D50"/>
    <w:rsid w:val="448E07FB"/>
    <w:rsid w:val="44975920"/>
    <w:rsid w:val="449F0313"/>
    <w:rsid w:val="44AF170F"/>
    <w:rsid w:val="44C97212"/>
    <w:rsid w:val="44F22B38"/>
    <w:rsid w:val="44F3240C"/>
    <w:rsid w:val="44F56185"/>
    <w:rsid w:val="44F93EC7"/>
    <w:rsid w:val="44FA5C39"/>
    <w:rsid w:val="450273A4"/>
    <w:rsid w:val="45192845"/>
    <w:rsid w:val="451A381A"/>
    <w:rsid w:val="452B429C"/>
    <w:rsid w:val="454D5FC1"/>
    <w:rsid w:val="45AB2CE7"/>
    <w:rsid w:val="45AC7FDA"/>
    <w:rsid w:val="45BC6CA2"/>
    <w:rsid w:val="45CC6892"/>
    <w:rsid w:val="460B309C"/>
    <w:rsid w:val="461F4D03"/>
    <w:rsid w:val="462C207A"/>
    <w:rsid w:val="463C4240"/>
    <w:rsid w:val="4653292B"/>
    <w:rsid w:val="466E61EE"/>
    <w:rsid w:val="46B81B60"/>
    <w:rsid w:val="46BC1650"/>
    <w:rsid w:val="46E76ED6"/>
    <w:rsid w:val="472D42FC"/>
    <w:rsid w:val="473C009B"/>
    <w:rsid w:val="477A662A"/>
    <w:rsid w:val="47857C94"/>
    <w:rsid w:val="478C7274"/>
    <w:rsid w:val="47A67F29"/>
    <w:rsid w:val="47B2035D"/>
    <w:rsid w:val="47B95B8F"/>
    <w:rsid w:val="47C337F0"/>
    <w:rsid w:val="47FE35A2"/>
    <w:rsid w:val="480F027F"/>
    <w:rsid w:val="48137925"/>
    <w:rsid w:val="483D231C"/>
    <w:rsid w:val="48425B85"/>
    <w:rsid w:val="48501BE8"/>
    <w:rsid w:val="488937B4"/>
    <w:rsid w:val="4897550A"/>
    <w:rsid w:val="48D013E2"/>
    <w:rsid w:val="494B2817"/>
    <w:rsid w:val="495913D8"/>
    <w:rsid w:val="49780AF1"/>
    <w:rsid w:val="49C927D1"/>
    <w:rsid w:val="49FC29AC"/>
    <w:rsid w:val="4A080708"/>
    <w:rsid w:val="4A2378F6"/>
    <w:rsid w:val="4A8A55C1"/>
    <w:rsid w:val="4AAD305D"/>
    <w:rsid w:val="4AC705C3"/>
    <w:rsid w:val="4AE16011"/>
    <w:rsid w:val="4AF15640"/>
    <w:rsid w:val="4B271F48"/>
    <w:rsid w:val="4B351DC6"/>
    <w:rsid w:val="4B3814C1"/>
    <w:rsid w:val="4B460F2D"/>
    <w:rsid w:val="4B4734B2"/>
    <w:rsid w:val="4B8B7843"/>
    <w:rsid w:val="4BC14583"/>
    <w:rsid w:val="4BCA036B"/>
    <w:rsid w:val="4BDA60D4"/>
    <w:rsid w:val="4BEA7E5D"/>
    <w:rsid w:val="4BFE7D23"/>
    <w:rsid w:val="4C2729A2"/>
    <w:rsid w:val="4C343A36"/>
    <w:rsid w:val="4C570835"/>
    <w:rsid w:val="4CB8759E"/>
    <w:rsid w:val="4CD62D3F"/>
    <w:rsid w:val="4CDE3FDB"/>
    <w:rsid w:val="4CF136D5"/>
    <w:rsid w:val="4CF82CB6"/>
    <w:rsid w:val="4D2A6BE7"/>
    <w:rsid w:val="4D331F40"/>
    <w:rsid w:val="4D913927"/>
    <w:rsid w:val="4D9734F2"/>
    <w:rsid w:val="4D9979D8"/>
    <w:rsid w:val="4DA70238"/>
    <w:rsid w:val="4DD23507"/>
    <w:rsid w:val="4E086514"/>
    <w:rsid w:val="4E6E275B"/>
    <w:rsid w:val="4E772300"/>
    <w:rsid w:val="4E9456AC"/>
    <w:rsid w:val="4EA24050"/>
    <w:rsid w:val="4EA26CAC"/>
    <w:rsid w:val="4EC76DE4"/>
    <w:rsid w:val="4EF179BD"/>
    <w:rsid w:val="4F745EFA"/>
    <w:rsid w:val="4FB15253"/>
    <w:rsid w:val="4FB530E0"/>
    <w:rsid w:val="4FE94B38"/>
    <w:rsid w:val="4FEE214E"/>
    <w:rsid w:val="50083210"/>
    <w:rsid w:val="5008672A"/>
    <w:rsid w:val="500D71ED"/>
    <w:rsid w:val="502344EE"/>
    <w:rsid w:val="502F4C40"/>
    <w:rsid w:val="50875D46"/>
    <w:rsid w:val="50884351"/>
    <w:rsid w:val="509E5922"/>
    <w:rsid w:val="50C609B0"/>
    <w:rsid w:val="50E83EC0"/>
    <w:rsid w:val="511300BE"/>
    <w:rsid w:val="51220301"/>
    <w:rsid w:val="512C1180"/>
    <w:rsid w:val="51501312"/>
    <w:rsid w:val="51870A76"/>
    <w:rsid w:val="518C1BE9"/>
    <w:rsid w:val="51BF1FF4"/>
    <w:rsid w:val="51F872B4"/>
    <w:rsid w:val="51FA6C65"/>
    <w:rsid w:val="5201260D"/>
    <w:rsid w:val="520F5C87"/>
    <w:rsid w:val="52263E21"/>
    <w:rsid w:val="52662470"/>
    <w:rsid w:val="528079D5"/>
    <w:rsid w:val="5289407A"/>
    <w:rsid w:val="528B1DBA"/>
    <w:rsid w:val="52E02222"/>
    <w:rsid w:val="52F661ED"/>
    <w:rsid w:val="52F73E06"/>
    <w:rsid w:val="531A5484"/>
    <w:rsid w:val="538B1301"/>
    <w:rsid w:val="53B8319F"/>
    <w:rsid w:val="542B1BC3"/>
    <w:rsid w:val="5483555B"/>
    <w:rsid w:val="54915D64"/>
    <w:rsid w:val="54A43723"/>
    <w:rsid w:val="54C212E8"/>
    <w:rsid w:val="54E63D3C"/>
    <w:rsid w:val="553153C0"/>
    <w:rsid w:val="55621614"/>
    <w:rsid w:val="556F4F6D"/>
    <w:rsid w:val="557C3F5E"/>
    <w:rsid w:val="559F4616"/>
    <w:rsid w:val="55EA33B8"/>
    <w:rsid w:val="56004989"/>
    <w:rsid w:val="560D130C"/>
    <w:rsid w:val="561647A5"/>
    <w:rsid w:val="56170E73"/>
    <w:rsid w:val="56576C9F"/>
    <w:rsid w:val="566A460F"/>
    <w:rsid w:val="57346FE0"/>
    <w:rsid w:val="576D6145"/>
    <w:rsid w:val="57827D4C"/>
    <w:rsid w:val="579161E1"/>
    <w:rsid w:val="57A04676"/>
    <w:rsid w:val="57A53B6E"/>
    <w:rsid w:val="57B27F05"/>
    <w:rsid w:val="57B819BF"/>
    <w:rsid w:val="57C40364"/>
    <w:rsid w:val="57E24199"/>
    <w:rsid w:val="57E91B79"/>
    <w:rsid w:val="580921E3"/>
    <w:rsid w:val="58A55D9F"/>
    <w:rsid w:val="58DF2F7C"/>
    <w:rsid w:val="58E80082"/>
    <w:rsid w:val="58EE31BF"/>
    <w:rsid w:val="590E31C8"/>
    <w:rsid w:val="596671F9"/>
    <w:rsid w:val="597C6A1D"/>
    <w:rsid w:val="59876129"/>
    <w:rsid w:val="59FA28A1"/>
    <w:rsid w:val="5A0C5FF2"/>
    <w:rsid w:val="5A1E1882"/>
    <w:rsid w:val="5A53777D"/>
    <w:rsid w:val="5A7D2A4C"/>
    <w:rsid w:val="5A81253D"/>
    <w:rsid w:val="5A951B44"/>
    <w:rsid w:val="5AB75F5E"/>
    <w:rsid w:val="5ABA15AB"/>
    <w:rsid w:val="5B305D11"/>
    <w:rsid w:val="5B50604C"/>
    <w:rsid w:val="5B7779A5"/>
    <w:rsid w:val="5BA83AF9"/>
    <w:rsid w:val="5BC87CF7"/>
    <w:rsid w:val="5C5A1297"/>
    <w:rsid w:val="5C5F68AD"/>
    <w:rsid w:val="5C6A0DAE"/>
    <w:rsid w:val="5C9F5C6D"/>
    <w:rsid w:val="5CA442C0"/>
    <w:rsid w:val="5CBA2F9F"/>
    <w:rsid w:val="5CC8716D"/>
    <w:rsid w:val="5D0607CD"/>
    <w:rsid w:val="5D0A7171"/>
    <w:rsid w:val="5D2E0E49"/>
    <w:rsid w:val="5D683540"/>
    <w:rsid w:val="5D8C2D92"/>
    <w:rsid w:val="5D9D01AB"/>
    <w:rsid w:val="5DD63D7C"/>
    <w:rsid w:val="5DE0757A"/>
    <w:rsid w:val="5DF330E8"/>
    <w:rsid w:val="5DFA38AA"/>
    <w:rsid w:val="5E2753FD"/>
    <w:rsid w:val="5E4E4E2C"/>
    <w:rsid w:val="5E624254"/>
    <w:rsid w:val="5E8F0FA0"/>
    <w:rsid w:val="5EA07923"/>
    <w:rsid w:val="5EB6567A"/>
    <w:rsid w:val="5ED630AD"/>
    <w:rsid w:val="5F011E0E"/>
    <w:rsid w:val="5F1A4D0E"/>
    <w:rsid w:val="5F1E20CE"/>
    <w:rsid w:val="5F553840"/>
    <w:rsid w:val="5F923F69"/>
    <w:rsid w:val="5F993E84"/>
    <w:rsid w:val="5FA171DD"/>
    <w:rsid w:val="5FAA42E4"/>
    <w:rsid w:val="5FC353A5"/>
    <w:rsid w:val="5FE97DAA"/>
    <w:rsid w:val="60522285"/>
    <w:rsid w:val="60615684"/>
    <w:rsid w:val="60786190"/>
    <w:rsid w:val="607D5554"/>
    <w:rsid w:val="60B579E0"/>
    <w:rsid w:val="60B847DE"/>
    <w:rsid w:val="60EF5D26"/>
    <w:rsid w:val="610B051E"/>
    <w:rsid w:val="61212DE9"/>
    <w:rsid w:val="615D0EE2"/>
    <w:rsid w:val="617C580C"/>
    <w:rsid w:val="61833CD8"/>
    <w:rsid w:val="61AE1315"/>
    <w:rsid w:val="61C3343B"/>
    <w:rsid w:val="61C6520A"/>
    <w:rsid w:val="61DC274E"/>
    <w:rsid w:val="623B56C7"/>
    <w:rsid w:val="623E0D13"/>
    <w:rsid w:val="625C5D3A"/>
    <w:rsid w:val="62614A02"/>
    <w:rsid w:val="626F36BE"/>
    <w:rsid w:val="627E55B4"/>
    <w:rsid w:val="629943FC"/>
    <w:rsid w:val="62AA45FB"/>
    <w:rsid w:val="62B17737"/>
    <w:rsid w:val="62B64D4D"/>
    <w:rsid w:val="63381C06"/>
    <w:rsid w:val="639004F3"/>
    <w:rsid w:val="63D23E09"/>
    <w:rsid w:val="63D95197"/>
    <w:rsid w:val="63DB2105"/>
    <w:rsid w:val="640D6BEF"/>
    <w:rsid w:val="64412342"/>
    <w:rsid w:val="644F46F3"/>
    <w:rsid w:val="64A37553"/>
    <w:rsid w:val="64CA4AE0"/>
    <w:rsid w:val="64E20C5E"/>
    <w:rsid w:val="64E5191A"/>
    <w:rsid w:val="65271032"/>
    <w:rsid w:val="656A1E1F"/>
    <w:rsid w:val="656F7435"/>
    <w:rsid w:val="657145DF"/>
    <w:rsid w:val="65813D24"/>
    <w:rsid w:val="65B4017A"/>
    <w:rsid w:val="65E120E1"/>
    <w:rsid w:val="65EB2F60"/>
    <w:rsid w:val="65F05759"/>
    <w:rsid w:val="661E2CB4"/>
    <w:rsid w:val="662A28F3"/>
    <w:rsid w:val="66C60DE4"/>
    <w:rsid w:val="66D07A07"/>
    <w:rsid w:val="66F67052"/>
    <w:rsid w:val="670F0ED0"/>
    <w:rsid w:val="671F55B7"/>
    <w:rsid w:val="67340260"/>
    <w:rsid w:val="6736645D"/>
    <w:rsid w:val="6773145F"/>
    <w:rsid w:val="67AC64F1"/>
    <w:rsid w:val="67AF7FBD"/>
    <w:rsid w:val="67B6134C"/>
    <w:rsid w:val="67FA1B80"/>
    <w:rsid w:val="68093B71"/>
    <w:rsid w:val="68272865"/>
    <w:rsid w:val="685F2857"/>
    <w:rsid w:val="687C2595"/>
    <w:rsid w:val="689477BE"/>
    <w:rsid w:val="68DB533D"/>
    <w:rsid w:val="68E31BD1"/>
    <w:rsid w:val="690D7691"/>
    <w:rsid w:val="691813E2"/>
    <w:rsid w:val="694A2693"/>
    <w:rsid w:val="697360D5"/>
    <w:rsid w:val="69737B1B"/>
    <w:rsid w:val="69794D27"/>
    <w:rsid w:val="697B0A9F"/>
    <w:rsid w:val="697D0373"/>
    <w:rsid w:val="69801C11"/>
    <w:rsid w:val="69831701"/>
    <w:rsid w:val="699F653B"/>
    <w:rsid w:val="69A77168"/>
    <w:rsid w:val="69BA177B"/>
    <w:rsid w:val="69EF64A1"/>
    <w:rsid w:val="69F85A87"/>
    <w:rsid w:val="6A667059"/>
    <w:rsid w:val="6A6D6639"/>
    <w:rsid w:val="6A964CD0"/>
    <w:rsid w:val="6AA10091"/>
    <w:rsid w:val="6AA47B81"/>
    <w:rsid w:val="6AB33AA6"/>
    <w:rsid w:val="6AB808A7"/>
    <w:rsid w:val="6AD71D05"/>
    <w:rsid w:val="6AF369AF"/>
    <w:rsid w:val="6B0625EA"/>
    <w:rsid w:val="6B482C03"/>
    <w:rsid w:val="6B594E10"/>
    <w:rsid w:val="6BA53BB1"/>
    <w:rsid w:val="6BAC4F3F"/>
    <w:rsid w:val="6BC92B9F"/>
    <w:rsid w:val="6BD34359"/>
    <w:rsid w:val="6BE2035B"/>
    <w:rsid w:val="6BF15048"/>
    <w:rsid w:val="6BF40D40"/>
    <w:rsid w:val="6C1F1BB5"/>
    <w:rsid w:val="6C3D64DF"/>
    <w:rsid w:val="6C557CC0"/>
    <w:rsid w:val="6C5F1FB2"/>
    <w:rsid w:val="6C8E6D3B"/>
    <w:rsid w:val="6C8F1D13"/>
    <w:rsid w:val="6CF03552"/>
    <w:rsid w:val="6D301158"/>
    <w:rsid w:val="6D7D37A2"/>
    <w:rsid w:val="6D91263F"/>
    <w:rsid w:val="6D9D5488"/>
    <w:rsid w:val="6DAD4F9F"/>
    <w:rsid w:val="6DAE4FEF"/>
    <w:rsid w:val="6DC347C2"/>
    <w:rsid w:val="6DCF4F15"/>
    <w:rsid w:val="6DD26688"/>
    <w:rsid w:val="6DDD5884"/>
    <w:rsid w:val="6DF56252"/>
    <w:rsid w:val="6E030C04"/>
    <w:rsid w:val="6E2D7C6F"/>
    <w:rsid w:val="6E743815"/>
    <w:rsid w:val="6E9D3265"/>
    <w:rsid w:val="6E9F7543"/>
    <w:rsid w:val="6ED87576"/>
    <w:rsid w:val="6EDA18C3"/>
    <w:rsid w:val="6EDA7A5E"/>
    <w:rsid w:val="6EDF562C"/>
    <w:rsid w:val="6EFE3D04"/>
    <w:rsid w:val="6F255462"/>
    <w:rsid w:val="6FC614C4"/>
    <w:rsid w:val="6FE17097"/>
    <w:rsid w:val="7019431C"/>
    <w:rsid w:val="702552C0"/>
    <w:rsid w:val="704907BA"/>
    <w:rsid w:val="70531351"/>
    <w:rsid w:val="706E310B"/>
    <w:rsid w:val="70700C31"/>
    <w:rsid w:val="70703BC6"/>
    <w:rsid w:val="70710506"/>
    <w:rsid w:val="708F3705"/>
    <w:rsid w:val="709D12FB"/>
    <w:rsid w:val="70CD7E32"/>
    <w:rsid w:val="70D90C00"/>
    <w:rsid w:val="70FE78C8"/>
    <w:rsid w:val="711F4406"/>
    <w:rsid w:val="7131029F"/>
    <w:rsid w:val="71520337"/>
    <w:rsid w:val="71605BF2"/>
    <w:rsid w:val="71686ACA"/>
    <w:rsid w:val="717C3606"/>
    <w:rsid w:val="719E532A"/>
    <w:rsid w:val="71AB157B"/>
    <w:rsid w:val="71ED62B2"/>
    <w:rsid w:val="720C498A"/>
    <w:rsid w:val="72133F6A"/>
    <w:rsid w:val="726C3753"/>
    <w:rsid w:val="727918F3"/>
    <w:rsid w:val="72C4042E"/>
    <w:rsid w:val="72E01973"/>
    <w:rsid w:val="730E4732"/>
    <w:rsid w:val="731107FB"/>
    <w:rsid w:val="73506AF8"/>
    <w:rsid w:val="73584F97"/>
    <w:rsid w:val="73691968"/>
    <w:rsid w:val="73AF1A71"/>
    <w:rsid w:val="73EB10C8"/>
    <w:rsid w:val="74161AF0"/>
    <w:rsid w:val="74192C1B"/>
    <w:rsid w:val="74A235EA"/>
    <w:rsid w:val="74BC04D7"/>
    <w:rsid w:val="74E25E76"/>
    <w:rsid w:val="75383CE8"/>
    <w:rsid w:val="756643B1"/>
    <w:rsid w:val="75731A56"/>
    <w:rsid w:val="757F36C5"/>
    <w:rsid w:val="75932CCC"/>
    <w:rsid w:val="759C7879"/>
    <w:rsid w:val="75A35605"/>
    <w:rsid w:val="75AA214C"/>
    <w:rsid w:val="75C80BC8"/>
    <w:rsid w:val="75E7262D"/>
    <w:rsid w:val="760A5684"/>
    <w:rsid w:val="7616166B"/>
    <w:rsid w:val="762962C6"/>
    <w:rsid w:val="76375D4D"/>
    <w:rsid w:val="76403B69"/>
    <w:rsid w:val="766139B8"/>
    <w:rsid w:val="769A6A08"/>
    <w:rsid w:val="76E23F0B"/>
    <w:rsid w:val="770743C5"/>
    <w:rsid w:val="774C35AD"/>
    <w:rsid w:val="775C1F10"/>
    <w:rsid w:val="776E6C5C"/>
    <w:rsid w:val="77D23A5D"/>
    <w:rsid w:val="77E45A61"/>
    <w:rsid w:val="78000AED"/>
    <w:rsid w:val="78521180"/>
    <w:rsid w:val="785715FC"/>
    <w:rsid w:val="786D3CA8"/>
    <w:rsid w:val="787C290A"/>
    <w:rsid w:val="78904CD1"/>
    <w:rsid w:val="78992CEF"/>
    <w:rsid w:val="78AC657F"/>
    <w:rsid w:val="78D635FC"/>
    <w:rsid w:val="78DC00DC"/>
    <w:rsid w:val="790C526F"/>
    <w:rsid w:val="791660EE"/>
    <w:rsid w:val="795A6692"/>
    <w:rsid w:val="79627089"/>
    <w:rsid w:val="797409AF"/>
    <w:rsid w:val="79E22436"/>
    <w:rsid w:val="7A0736FE"/>
    <w:rsid w:val="7A541090"/>
    <w:rsid w:val="7A59680A"/>
    <w:rsid w:val="7A6B4218"/>
    <w:rsid w:val="7AD93877"/>
    <w:rsid w:val="7ADC45FF"/>
    <w:rsid w:val="7AFA62D4"/>
    <w:rsid w:val="7B430ADD"/>
    <w:rsid w:val="7B533629"/>
    <w:rsid w:val="7B5B65A2"/>
    <w:rsid w:val="7B83645A"/>
    <w:rsid w:val="7BB06525"/>
    <w:rsid w:val="7BD227A0"/>
    <w:rsid w:val="7BF10231"/>
    <w:rsid w:val="7C484810"/>
    <w:rsid w:val="7C7970C0"/>
    <w:rsid w:val="7C7B2E38"/>
    <w:rsid w:val="7C7E289D"/>
    <w:rsid w:val="7C8A63D2"/>
    <w:rsid w:val="7C986FF0"/>
    <w:rsid w:val="7CB364E1"/>
    <w:rsid w:val="7CC52305"/>
    <w:rsid w:val="7D00301C"/>
    <w:rsid w:val="7D080816"/>
    <w:rsid w:val="7D16490F"/>
    <w:rsid w:val="7D1E3982"/>
    <w:rsid w:val="7D936CE6"/>
    <w:rsid w:val="7DFF53A3"/>
    <w:rsid w:val="7E023E41"/>
    <w:rsid w:val="7E365FF5"/>
    <w:rsid w:val="7E4D5CA8"/>
    <w:rsid w:val="7E683185"/>
    <w:rsid w:val="7E837D82"/>
    <w:rsid w:val="7E8E5BBF"/>
    <w:rsid w:val="7EB616B8"/>
    <w:rsid w:val="7EF06039"/>
    <w:rsid w:val="7EF76851"/>
    <w:rsid w:val="7F061AE9"/>
    <w:rsid w:val="7F36010F"/>
    <w:rsid w:val="7F3D2627"/>
    <w:rsid w:val="7F480FCB"/>
    <w:rsid w:val="7F6556D9"/>
    <w:rsid w:val="7F72401D"/>
    <w:rsid w:val="7F8C4A9F"/>
    <w:rsid w:val="7FA0426E"/>
    <w:rsid w:val="7FA47887"/>
    <w:rsid w:val="7FAB3A34"/>
    <w:rsid w:val="7FB90F14"/>
    <w:rsid w:val="7FBA5A25"/>
    <w:rsid w:val="7FD12B85"/>
    <w:rsid w:val="7FD8234F"/>
    <w:rsid w:val="7FF66FAF"/>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rPr>
  </w:style>
  <w:style w:type="paragraph" w:styleId="2">
    <w:name w:val="heading 1"/>
    <w:basedOn w:val="1"/>
    <w:next w:val="1"/>
    <w:link w:val="82"/>
    <w:qFormat/>
    <w:uiPriority w:val="9"/>
    <w:pPr>
      <w:keepNext/>
      <w:keepLines/>
      <w:spacing w:before="120" w:after="200" w:line="360" w:lineRule="auto"/>
      <w:jc w:val="center"/>
      <w:outlineLvl w:val="0"/>
    </w:pPr>
    <w:rPr>
      <w:rFonts w:ascii="Arial" w:hAnsi="Arial" w:eastAsia="仿宋" w:cs="Arial"/>
      <w:b/>
      <w:sz w:val="32"/>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345"/>
    <w:qFormat/>
    <w:uiPriority w:val="0"/>
    <w:pPr>
      <w:ind w:firstLine="420"/>
    </w:pPr>
    <w:rPr>
      <w:rFonts w:ascii="Times New Roman" w:hAnsi="Times New Roman"/>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link w:val="340"/>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5">
    <w:name w:val="Body Text Indent"/>
    <w:basedOn w:val="1"/>
    <w:link w:val="342"/>
    <w:qFormat/>
    <w:uiPriority w:val="0"/>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szCs w:val="20"/>
    </w:rPr>
  </w:style>
  <w:style w:type="paragraph" w:styleId="19">
    <w:name w:val="toc 8"/>
    <w:basedOn w:val="1"/>
    <w:next w:val="1"/>
    <w:unhideWhenUsed/>
    <w:qFormat/>
    <w:uiPriority w:val="39"/>
    <w:pPr>
      <w:spacing w:after="57"/>
      <w:ind w:left="1984"/>
    </w:pPr>
  </w:style>
  <w:style w:type="paragraph" w:styleId="20">
    <w:name w:val="endnote text"/>
    <w:basedOn w:val="1"/>
    <w:link w:val="228"/>
    <w:semiHidden/>
    <w:unhideWhenUsed/>
    <w:qFormat/>
    <w:uiPriority w:val="99"/>
    <w:rPr>
      <w:sz w:val="20"/>
    </w:rPr>
  </w:style>
  <w:style w:type="paragraph" w:styleId="21">
    <w:name w:val="Balloon Text"/>
    <w:basedOn w:val="1"/>
    <w:link w:val="344"/>
    <w:semiHidden/>
    <w:unhideWhenUsed/>
    <w:qFormat/>
    <w:uiPriority w:val="99"/>
    <w:rPr>
      <w:sz w:val="18"/>
      <w:szCs w:val="18"/>
    </w:rPr>
  </w:style>
  <w:style w:type="paragraph" w:styleId="22">
    <w:name w:val="footer"/>
    <w:basedOn w:val="1"/>
    <w:link w:val="101"/>
    <w:unhideWhenUsed/>
    <w:qFormat/>
    <w:uiPriority w:val="99"/>
    <w:pPr>
      <w:tabs>
        <w:tab w:val="center" w:pos="7143"/>
        <w:tab w:val="right" w:pos="14287"/>
      </w:tabs>
    </w:pPr>
  </w:style>
  <w:style w:type="paragraph" w:styleId="23">
    <w:name w:val="header"/>
    <w:basedOn w:val="1"/>
    <w:link w:val="99"/>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4"/>
    <w:qFormat/>
    <w:uiPriority w:val="11"/>
    <w:pPr>
      <w:spacing w:before="200" w:after="200"/>
    </w:pPr>
    <w:rPr>
      <w:sz w:val="24"/>
    </w:rPr>
  </w:style>
  <w:style w:type="paragraph" w:styleId="27">
    <w:name w:val="footnote text"/>
    <w:basedOn w:val="1"/>
    <w:link w:val="227"/>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341"/>
    <w:qFormat/>
    <w:uiPriority w:val="0"/>
    <w:pPr>
      <w:ind w:firstLine="420"/>
    </w:pPr>
    <w:rPr>
      <w:rFonts w:ascii="Times New Roman" w:hAnsi="Times New Roman" w:eastAsia="楷体_GB2312"/>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4">
    <w:name w:val="Title"/>
    <w:basedOn w:val="1"/>
    <w:next w:val="1"/>
    <w:link w:val="93"/>
    <w:qFormat/>
    <w:uiPriority w:val="10"/>
    <w:pPr>
      <w:spacing w:before="300" w:after="200"/>
      <w:contextualSpacing/>
    </w:pPr>
    <w:rPr>
      <w:sz w:val="48"/>
      <w:szCs w:val="48"/>
    </w:rPr>
  </w:style>
  <w:style w:type="paragraph" w:styleId="35">
    <w:name w:val="Body Text First Indent"/>
    <w:basedOn w:val="14"/>
    <w:next w:val="36"/>
    <w:qFormat/>
    <w:uiPriority w:val="99"/>
    <w:pPr>
      <w:spacing w:line="312" w:lineRule="auto"/>
      <w:ind w:firstLine="420"/>
    </w:pPr>
    <w:rPr>
      <w:rFonts w:ascii="Calibri" w:hAnsi="Calibri" w:eastAsia="宋体" w:cs="Times New Roman"/>
      <w:szCs w:val="22"/>
    </w:rPr>
  </w:style>
  <w:style w:type="paragraph" w:styleId="36">
    <w:name w:val="Body Text First Indent 2"/>
    <w:basedOn w:val="15"/>
    <w:next w:val="1"/>
    <w:qFormat/>
    <w:uiPriority w:val="0"/>
    <w:pPr>
      <w:widowControl/>
      <w:tabs>
        <w:tab w:val="left" w:pos="0"/>
        <w:tab w:val="left" w:pos="993"/>
        <w:tab w:val="left" w:pos="1134"/>
      </w:tabs>
      <w:spacing w:after="120" w:afterLines="0"/>
      <w:ind w:left="420" w:leftChars="200" w:firstLine="420" w:firstLineChars="200"/>
    </w:pPr>
    <w:rPr>
      <w:rFonts w:ascii="仿宋_GB2312" w:eastAsia="仿宋_GB2312"/>
      <w:color w:val="FF6600"/>
      <w:sz w:val="21"/>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标题 51"/>
    <w:basedOn w:val="1"/>
    <w:next w:val="1"/>
    <w:unhideWhenUsed/>
    <w:qFormat/>
    <w:uiPriority w:val="9"/>
    <w:pPr>
      <w:keepNext/>
      <w:keepLines/>
      <w:spacing w:before="320" w:after="200"/>
      <w:outlineLvl w:val="4"/>
    </w:pPr>
    <w:rPr>
      <w:rFonts w:ascii="Arial" w:hAnsi="Arial" w:eastAsia="Arial" w:cs="Arial"/>
      <w:b/>
      <w:bCs/>
      <w:sz w:val="24"/>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qFormat/>
    <w:uiPriority w:val="9"/>
    <w:rPr>
      <w:rFonts w:ascii="Arial" w:hAnsi="Arial" w:eastAsia="Arial" w:cs="Arial"/>
      <w:b/>
      <w:bCs/>
      <w:sz w:val="24"/>
      <w:szCs w:val="24"/>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9"/>
    <w:qFormat/>
    <w:uiPriority w:val="99"/>
  </w:style>
  <w:style w:type="character" w:customStyle="1" w:styleId="59">
    <w:name w:val="Caption Char"/>
    <w:qFormat/>
    <w:uiPriority w:val="99"/>
  </w:style>
  <w:style w:type="table" w:customStyle="1" w:styleId="6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Heading"/>
    <w:unhideWhenUsed/>
    <w:qFormat/>
    <w:uiPriority w:val="39"/>
    <w:rPr>
      <w:rFonts w:hint="default" w:ascii="Calibri" w:hAnsi="Calibri" w:eastAsia="宋体" w:cs="Times New Roman"/>
    </w:rPr>
  </w:style>
  <w:style w:type="character" w:customStyle="1" w:styleId="82">
    <w:name w:val="标题 1 Char"/>
    <w:link w:val="2"/>
    <w:qFormat/>
    <w:uiPriority w:val="9"/>
    <w:rPr>
      <w:rFonts w:ascii="Arial" w:hAnsi="Arial" w:eastAsia="仿宋" w:cs="Arial"/>
      <w:b/>
      <w:sz w:val="32"/>
      <w:szCs w:val="40"/>
    </w:rPr>
  </w:style>
  <w:style w:type="character" w:customStyle="1" w:styleId="83">
    <w:name w:val="标题 2 Char"/>
    <w:link w:val="3"/>
    <w:qFormat/>
    <w:uiPriority w:val="9"/>
    <w:rPr>
      <w:rFonts w:ascii="Arial" w:hAnsi="Arial" w:eastAsia="Arial" w:cs="Arial"/>
      <w:sz w:val="34"/>
    </w:rPr>
  </w:style>
  <w:style w:type="character" w:customStyle="1" w:styleId="84">
    <w:name w:val="标题 3 Char"/>
    <w:link w:val="4"/>
    <w:qFormat/>
    <w:uiPriority w:val="9"/>
    <w:rPr>
      <w:rFonts w:ascii="Arial" w:hAnsi="Arial" w:eastAsia="Arial" w:cs="Arial"/>
      <w:sz w:val="30"/>
      <w:szCs w:val="30"/>
    </w:rPr>
  </w:style>
  <w:style w:type="character" w:customStyle="1" w:styleId="85">
    <w:name w:val="标题 4 Char"/>
    <w:link w:val="5"/>
    <w:qFormat/>
    <w:uiPriority w:val="9"/>
    <w:rPr>
      <w:rFonts w:ascii="Arial" w:hAnsi="Arial" w:eastAsia="Arial" w:cs="Arial"/>
      <w:b/>
      <w:bCs/>
      <w:sz w:val="26"/>
      <w:szCs w:val="26"/>
    </w:rPr>
  </w:style>
  <w:style w:type="character" w:customStyle="1" w:styleId="86">
    <w:name w:val="标题 5 Char"/>
    <w:link w:val="6"/>
    <w:qFormat/>
    <w:uiPriority w:val="9"/>
    <w:rPr>
      <w:rFonts w:ascii="Arial" w:hAnsi="Arial" w:eastAsia="Arial" w:cs="Arial"/>
      <w:b/>
      <w:bCs/>
      <w:sz w:val="24"/>
      <w:szCs w:val="24"/>
    </w:rPr>
  </w:style>
  <w:style w:type="character" w:customStyle="1" w:styleId="87">
    <w:name w:val="标题 6 Char"/>
    <w:link w:val="7"/>
    <w:qFormat/>
    <w:uiPriority w:val="9"/>
    <w:rPr>
      <w:rFonts w:ascii="Arial" w:hAnsi="Arial" w:eastAsia="Arial" w:cs="Arial"/>
      <w:b/>
      <w:bCs/>
      <w:sz w:val="22"/>
      <w:szCs w:val="22"/>
    </w:rPr>
  </w:style>
  <w:style w:type="character" w:customStyle="1" w:styleId="88">
    <w:name w:val="标题 7 Char"/>
    <w:link w:val="8"/>
    <w:qFormat/>
    <w:uiPriority w:val="9"/>
    <w:rPr>
      <w:rFonts w:ascii="Arial" w:hAnsi="Arial" w:eastAsia="Arial" w:cs="Arial"/>
      <w:b/>
      <w:bCs/>
      <w:i/>
      <w:iCs/>
      <w:sz w:val="22"/>
      <w:szCs w:val="22"/>
    </w:rPr>
  </w:style>
  <w:style w:type="character" w:customStyle="1" w:styleId="89">
    <w:name w:val="标题 8 Char"/>
    <w:link w:val="9"/>
    <w:qFormat/>
    <w:uiPriority w:val="9"/>
    <w:rPr>
      <w:rFonts w:ascii="Arial" w:hAnsi="Arial" w:eastAsia="Arial" w:cs="Arial"/>
      <w:i/>
      <w:iCs/>
      <w:sz w:val="22"/>
      <w:szCs w:val="22"/>
    </w:rPr>
  </w:style>
  <w:style w:type="character" w:customStyle="1" w:styleId="90">
    <w:name w:val="标题 9 Char"/>
    <w:link w:val="10"/>
    <w:qFormat/>
    <w:uiPriority w:val="9"/>
    <w:rPr>
      <w:rFonts w:ascii="Arial" w:hAnsi="Arial" w:eastAsia="Arial" w:cs="Arial"/>
      <w:i/>
      <w:iCs/>
      <w:sz w:val="21"/>
      <w:szCs w:val="21"/>
    </w:rPr>
  </w:style>
  <w:style w:type="paragraph" w:styleId="91">
    <w:name w:val="List Paragraph"/>
    <w:basedOn w:val="1"/>
    <w:qFormat/>
    <w:uiPriority w:val="99"/>
    <w:pPr>
      <w:ind w:left="720"/>
      <w:contextualSpacing/>
    </w:pPr>
  </w:style>
  <w:style w:type="paragraph" w:styleId="92">
    <w:name w:val="No Spacing"/>
    <w:qFormat/>
    <w:uiPriority w:val="1"/>
    <w:rPr>
      <w:rFonts w:hint="default" w:ascii="Calibri" w:hAnsi="Calibri" w:eastAsia="宋体" w:cs="Times New Roman"/>
    </w:rPr>
  </w:style>
  <w:style w:type="character" w:customStyle="1" w:styleId="93">
    <w:name w:val="标题 Char"/>
    <w:link w:val="34"/>
    <w:qFormat/>
    <w:uiPriority w:val="10"/>
    <w:rPr>
      <w:sz w:val="48"/>
      <w:szCs w:val="48"/>
    </w:rPr>
  </w:style>
  <w:style w:type="character" w:customStyle="1" w:styleId="94">
    <w:name w:val="副标题 Char"/>
    <w:link w:val="26"/>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
    <w:link w:val="97"/>
    <w:qFormat/>
    <w:uiPriority w:val="30"/>
    <w:rPr>
      <w:i/>
    </w:rPr>
  </w:style>
  <w:style w:type="character" w:customStyle="1" w:styleId="99">
    <w:name w:val="页眉 Char"/>
    <w:link w:val="23"/>
    <w:qFormat/>
    <w:uiPriority w:val="99"/>
  </w:style>
  <w:style w:type="character" w:customStyle="1" w:styleId="100">
    <w:name w:val="Footer Char"/>
    <w:qFormat/>
    <w:uiPriority w:val="99"/>
  </w:style>
  <w:style w:type="character" w:customStyle="1" w:styleId="101">
    <w:name w:val="页脚 Char"/>
    <w:link w:val="22"/>
    <w:qFormat/>
    <w:uiPriority w:val="99"/>
  </w:style>
  <w:style w:type="table" w:customStyle="1" w:styleId="10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5">
    <w:name w:val="无格式表格 31"/>
    <w:qFormat/>
    <w:uiPriority w:val="99"/>
    <w:tblPr>
      <w:tblCellMar>
        <w:top w:w="0" w:type="dxa"/>
        <w:left w:w="0" w:type="dxa"/>
        <w:bottom w:w="0" w:type="dxa"/>
        <w:right w:w="0" w:type="dxa"/>
      </w:tblCellMar>
    </w:tblPr>
  </w:style>
  <w:style w:type="table" w:customStyle="1" w:styleId="106">
    <w:name w:val="无格式表格 41"/>
    <w:qFormat/>
    <w:uiPriority w:val="99"/>
    <w:tblPr>
      <w:tblCellMar>
        <w:top w:w="0" w:type="dxa"/>
        <w:left w:w="0" w:type="dxa"/>
        <w:bottom w:w="0" w:type="dxa"/>
        <w:right w:w="0" w:type="dxa"/>
      </w:tblCellMar>
    </w:tblPr>
  </w:style>
  <w:style w:type="table" w:customStyle="1" w:styleId="107">
    <w:name w:val="无格式表格 51"/>
    <w:qFormat/>
    <w:uiPriority w:val="99"/>
    <w:tblPr>
      <w:tblCellMar>
        <w:top w:w="0" w:type="dxa"/>
        <w:left w:w="0" w:type="dxa"/>
        <w:bottom w:w="0" w:type="dxa"/>
        <w:right w:w="0" w:type="dxa"/>
      </w:tblCellMar>
    </w:tblPr>
  </w:style>
  <w:style w:type="table" w:customStyle="1" w:styleId="10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7">
    <w:name w:val="清单表 1 浅色1"/>
    <w:qFormat/>
    <w:uiPriority w:val="99"/>
    <w:tblPr>
      <w:tblCellMar>
        <w:top w:w="0" w:type="dxa"/>
        <w:left w:w="0" w:type="dxa"/>
        <w:bottom w:w="0" w:type="dxa"/>
        <w:right w:w="0" w:type="dxa"/>
      </w:tblCellMar>
    </w:tblPr>
  </w:style>
  <w:style w:type="table" w:customStyle="1" w:styleId="158">
    <w:name w:val="List Table 1 Light - Accent 1"/>
    <w:qFormat/>
    <w:uiPriority w:val="99"/>
    <w:tblPr>
      <w:tblCellMar>
        <w:top w:w="0" w:type="dxa"/>
        <w:left w:w="0" w:type="dxa"/>
        <w:bottom w:w="0" w:type="dxa"/>
        <w:right w:w="0" w:type="dxa"/>
      </w:tblCellMar>
    </w:tblPr>
  </w:style>
  <w:style w:type="table" w:customStyle="1" w:styleId="159">
    <w:name w:val="List Table 1 Light - Accent 2"/>
    <w:qFormat/>
    <w:uiPriority w:val="99"/>
    <w:tblPr>
      <w:tblCellMar>
        <w:top w:w="0" w:type="dxa"/>
        <w:left w:w="0" w:type="dxa"/>
        <w:bottom w:w="0" w:type="dxa"/>
        <w:right w:w="0" w:type="dxa"/>
      </w:tblCellMar>
    </w:tblPr>
  </w:style>
  <w:style w:type="table" w:customStyle="1" w:styleId="160">
    <w:name w:val="List Table 1 Light - Accent 3"/>
    <w:qFormat/>
    <w:uiPriority w:val="99"/>
    <w:tblPr>
      <w:tblCellMar>
        <w:top w:w="0" w:type="dxa"/>
        <w:left w:w="0" w:type="dxa"/>
        <w:bottom w:w="0" w:type="dxa"/>
        <w:right w:w="0" w:type="dxa"/>
      </w:tblCellMar>
    </w:tblPr>
  </w:style>
  <w:style w:type="table" w:customStyle="1" w:styleId="161">
    <w:name w:val="List Table 1 Light - Accent 4"/>
    <w:qFormat/>
    <w:uiPriority w:val="99"/>
    <w:tblPr>
      <w:tblCellMar>
        <w:top w:w="0" w:type="dxa"/>
        <w:left w:w="0" w:type="dxa"/>
        <w:bottom w:w="0" w:type="dxa"/>
        <w:right w:w="0" w:type="dxa"/>
      </w:tblCellMar>
    </w:tblPr>
  </w:style>
  <w:style w:type="table" w:customStyle="1" w:styleId="162">
    <w:name w:val="List Table 1 Light - Accent 5"/>
    <w:qFormat/>
    <w:uiPriority w:val="99"/>
    <w:tblPr>
      <w:tblCellMar>
        <w:top w:w="0" w:type="dxa"/>
        <w:left w:w="0" w:type="dxa"/>
        <w:bottom w:w="0" w:type="dxa"/>
        <w:right w:w="0" w:type="dxa"/>
      </w:tblCellMar>
    </w:tblPr>
  </w:style>
  <w:style w:type="table" w:customStyle="1" w:styleId="163">
    <w:name w:val="List Table 1 Light - Accent 6"/>
    <w:qFormat/>
    <w:uiPriority w:val="99"/>
    <w:tblPr>
      <w:tblCellMar>
        <w:top w:w="0" w:type="dxa"/>
        <w:left w:w="0" w:type="dxa"/>
        <w:bottom w:w="0" w:type="dxa"/>
        <w:right w:w="0" w:type="dxa"/>
      </w:tblCellMar>
    </w:tblPr>
  </w:style>
  <w:style w:type="table" w:customStyle="1" w:styleId="16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6">
    <w:name w:val="Lined - Accent"/>
    <w:qFormat/>
    <w:uiPriority w:val="99"/>
    <w:rPr>
      <w:color w:val="404040"/>
    </w:rPr>
    <w:tblPr>
      <w:tblCellMar>
        <w:top w:w="0" w:type="dxa"/>
        <w:left w:w="0" w:type="dxa"/>
        <w:bottom w:w="0" w:type="dxa"/>
        <w:right w:w="0" w:type="dxa"/>
      </w:tblCellMar>
    </w:tblPr>
  </w:style>
  <w:style w:type="table" w:customStyle="1" w:styleId="207">
    <w:name w:val="Lined - Accent 1"/>
    <w:qFormat/>
    <w:uiPriority w:val="99"/>
    <w:rPr>
      <w:color w:val="404040"/>
    </w:rPr>
    <w:tblPr>
      <w:tblCellMar>
        <w:top w:w="0" w:type="dxa"/>
        <w:left w:w="0" w:type="dxa"/>
        <w:bottom w:w="0" w:type="dxa"/>
        <w:right w:w="0" w:type="dxa"/>
      </w:tblCellMar>
    </w:tblPr>
  </w:style>
  <w:style w:type="table" w:customStyle="1" w:styleId="208">
    <w:name w:val="Lined - Accent 2"/>
    <w:qFormat/>
    <w:uiPriority w:val="99"/>
    <w:rPr>
      <w:color w:val="404040"/>
    </w:rPr>
    <w:tblPr>
      <w:tblCellMar>
        <w:top w:w="0" w:type="dxa"/>
        <w:left w:w="0" w:type="dxa"/>
        <w:bottom w:w="0" w:type="dxa"/>
        <w:right w:w="0" w:type="dxa"/>
      </w:tblCellMar>
    </w:tblPr>
  </w:style>
  <w:style w:type="table" w:customStyle="1" w:styleId="209">
    <w:name w:val="Lined - Accent 3"/>
    <w:qFormat/>
    <w:uiPriority w:val="99"/>
    <w:rPr>
      <w:color w:val="404040"/>
    </w:rPr>
    <w:tblPr>
      <w:tblCellMar>
        <w:top w:w="0" w:type="dxa"/>
        <w:left w:w="0" w:type="dxa"/>
        <w:bottom w:w="0" w:type="dxa"/>
        <w:right w:w="0" w:type="dxa"/>
      </w:tblCellMar>
    </w:tblPr>
  </w:style>
  <w:style w:type="table" w:customStyle="1" w:styleId="210">
    <w:name w:val="Lined - Accent 4"/>
    <w:qFormat/>
    <w:uiPriority w:val="99"/>
    <w:rPr>
      <w:color w:val="404040"/>
    </w:rPr>
    <w:tblPr>
      <w:tblCellMar>
        <w:top w:w="0" w:type="dxa"/>
        <w:left w:w="0" w:type="dxa"/>
        <w:bottom w:w="0" w:type="dxa"/>
        <w:right w:w="0" w:type="dxa"/>
      </w:tblCellMar>
    </w:tblPr>
  </w:style>
  <w:style w:type="table" w:customStyle="1" w:styleId="211">
    <w:name w:val="Lined - Accent 5"/>
    <w:qFormat/>
    <w:uiPriority w:val="99"/>
    <w:rPr>
      <w:color w:val="404040"/>
    </w:rPr>
    <w:tblPr>
      <w:tblCellMar>
        <w:top w:w="0" w:type="dxa"/>
        <w:left w:w="0" w:type="dxa"/>
        <w:bottom w:w="0" w:type="dxa"/>
        <w:right w:w="0" w:type="dxa"/>
      </w:tblCellMar>
    </w:tblPr>
  </w:style>
  <w:style w:type="table" w:customStyle="1" w:styleId="212">
    <w:name w:val="Lined - Accent 6"/>
    <w:qFormat/>
    <w:uiPriority w:val="99"/>
    <w:rPr>
      <w:color w:val="404040"/>
    </w:rPr>
    <w:tblPr>
      <w:tblCellMar>
        <w:top w:w="0" w:type="dxa"/>
        <w:left w:w="0" w:type="dxa"/>
        <w:bottom w:w="0" w:type="dxa"/>
        <w:right w:w="0" w:type="dxa"/>
      </w:tblCellMar>
    </w:tblPr>
  </w:style>
  <w:style w:type="table" w:customStyle="1" w:styleId="21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7">
    <w:name w:val="脚注文本 Char"/>
    <w:link w:val="27"/>
    <w:qFormat/>
    <w:uiPriority w:val="99"/>
    <w:rPr>
      <w:sz w:val="18"/>
    </w:rPr>
  </w:style>
  <w:style w:type="character" w:customStyle="1" w:styleId="228">
    <w:name w:val="尾注文本 Char"/>
    <w:link w:val="20"/>
    <w:qFormat/>
    <w:uiPriority w:val="99"/>
    <w:rPr>
      <w:sz w:val="20"/>
    </w:rPr>
  </w:style>
  <w:style w:type="paragraph" w:customStyle="1" w:styleId="229">
    <w:name w:val="TOC 标题1"/>
    <w:unhideWhenUsed/>
    <w:qFormat/>
    <w:uiPriority w:val="39"/>
    <w:rPr>
      <w:rFonts w:hint="default" w:ascii="Calibri" w:hAnsi="Calibri" w:eastAsia="宋体" w:cs="Times New Roman"/>
    </w:rPr>
  </w:style>
  <w:style w:type="paragraph" w:customStyle="1" w:styleId="230">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231">
    <w:name w:val="标题 31"/>
    <w:basedOn w:val="1"/>
    <w:next w:val="232"/>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232">
    <w:name w:val="正文缩进1"/>
    <w:basedOn w:val="1"/>
    <w:next w:val="1"/>
    <w:link w:val="246"/>
    <w:qFormat/>
    <w:uiPriority w:val="0"/>
    <w:pPr>
      <w:ind w:firstLine="420"/>
    </w:pPr>
  </w:style>
  <w:style w:type="character" w:customStyle="1" w:styleId="233">
    <w:name w:val="默认段落字体1"/>
    <w:semiHidden/>
    <w:qFormat/>
    <w:uiPriority w:val="0"/>
  </w:style>
  <w:style w:type="table" w:customStyle="1" w:styleId="234">
    <w:name w:val="普通表格1"/>
    <w:semiHidden/>
    <w:qFormat/>
    <w:uiPriority w:val="0"/>
    <w:tblPr>
      <w:tblCellMar>
        <w:top w:w="0" w:type="dxa"/>
        <w:left w:w="0" w:type="dxa"/>
        <w:bottom w:w="0" w:type="dxa"/>
        <w:right w:w="0" w:type="dxa"/>
      </w:tblCellMar>
    </w:tblPr>
  </w:style>
  <w:style w:type="character" w:customStyle="1" w:styleId="235">
    <w:name w:val="页码1"/>
    <w:qFormat/>
    <w:uiPriority w:val="0"/>
  </w:style>
  <w:style w:type="character" w:customStyle="1" w:styleId="236">
    <w:name w:val="已访问的超链接1"/>
    <w:qFormat/>
    <w:uiPriority w:val="0"/>
    <w:rPr>
      <w:color w:val="800080"/>
      <w:u w:val="single"/>
    </w:rPr>
  </w:style>
  <w:style w:type="character" w:customStyle="1" w:styleId="237">
    <w:name w:val="超链接1"/>
    <w:qFormat/>
    <w:uiPriority w:val="0"/>
    <w:rPr>
      <w:color w:val="0000FF"/>
      <w:u w:val="single"/>
    </w:rPr>
  </w:style>
  <w:style w:type="character" w:customStyle="1" w:styleId="238">
    <w:name w:val="纯文本 Char1"/>
    <w:qFormat/>
    <w:uiPriority w:val="0"/>
    <w:rPr>
      <w:rFonts w:ascii="宋体" w:hAnsi="Courier New"/>
      <w:sz w:val="21"/>
    </w:rPr>
  </w:style>
  <w:style w:type="character" w:customStyle="1" w:styleId="239">
    <w:name w:val="正文首行缩进 2 Char"/>
    <w:basedOn w:val="240"/>
    <w:link w:val="242"/>
    <w:qFormat/>
    <w:uiPriority w:val="0"/>
    <w:rPr>
      <w:sz w:val="21"/>
      <w:szCs w:val="24"/>
    </w:rPr>
  </w:style>
  <w:style w:type="character" w:customStyle="1" w:styleId="240">
    <w:name w:val="正文文本缩进 Char"/>
    <w:link w:val="241"/>
    <w:qFormat/>
    <w:uiPriority w:val="0"/>
    <w:rPr>
      <w:sz w:val="21"/>
      <w:szCs w:val="24"/>
    </w:rPr>
  </w:style>
  <w:style w:type="paragraph" w:customStyle="1" w:styleId="241">
    <w:name w:val="正文文本缩进1"/>
    <w:basedOn w:val="1"/>
    <w:link w:val="240"/>
    <w:qFormat/>
    <w:uiPriority w:val="0"/>
    <w:pPr>
      <w:spacing w:after="120"/>
      <w:ind w:left="420"/>
    </w:pPr>
  </w:style>
  <w:style w:type="paragraph" w:customStyle="1" w:styleId="242">
    <w:name w:val="正文首行缩进 21"/>
    <w:basedOn w:val="241"/>
    <w:next w:val="1"/>
    <w:link w:val="239"/>
    <w:qFormat/>
    <w:uiPriority w:val="0"/>
    <w:pPr>
      <w:ind w:firstLine="420"/>
    </w:pPr>
  </w:style>
  <w:style w:type="character" w:customStyle="1" w:styleId="243">
    <w:name w:val="纯文本 Char"/>
    <w:link w:val="244"/>
    <w:qFormat/>
    <w:uiPriority w:val="0"/>
    <w:rPr>
      <w:rFonts w:ascii="宋体" w:hAnsi="Courier New" w:eastAsia="宋体"/>
      <w:sz w:val="21"/>
      <w:lang w:val="en-US" w:eastAsia="zh-CN" w:bidi="ar-SA"/>
    </w:rPr>
  </w:style>
  <w:style w:type="paragraph" w:customStyle="1" w:styleId="244">
    <w:name w:val="纯文本2"/>
    <w:basedOn w:val="1"/>
    <w:next w:val="245"/>
    <w:link w:val="243"/>
    <w:qFormat/>
    <w:uiPriority w:val="0"/>
    <w:rPr>
      <w:rFonts w:ascii="宋体" w:hAnsi="Courier New"/>
      <w:szCs w:val="20"/>
    </w:rPr>
  </w:style>
  <w:style w:type="paragraph" w:customStyle="1" w:styleId="245">
    <w:name w:val="Char Char Char Char Char Char Char Char Char Char Char Char Char"/>
    <w:basedOn w:val="1"/>
    <w:qFormat/>
    <w:uiPriority w:val="0"/>
    <w:pPr>
      <w:widowControl/>
      <w:spacing w:before="100" w:beforeAutospacing="1" w:after="160" w:line="240" w:lineRule="exact"/>
      <w:jc w:val="left"/>
    </w:pPr>
    <w:rPr>
      <w:rFonts w:ascii="Verdana" w:hAnsi="Verdana" w:cs="宋体"/>
      <w:sz w:val="20"/>
    </w:rPr>
  </w:style>
  <w:style w:type="character" w:customStyle="1" w:styleId="246">
    <w:name w:val="正文缩进 Char"/>
    <w:link w:val="232"/>
    <w:qFormat/>
    <w:uiPriority w:val="0"/>
    <w:rPr>
      <w:sz w:val="21"/>
      <w:szCs w:val="24"/>
    </w:rPr>
  </w:style>
  <w:style w:type="paragraph" w:customStyle="1" w:styleId="247">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48">
    <w:name w:val="纯文本1"/>
    <w:basedOn w:val="1"/>
    <w:qFormat/>
    <w:uiPriority w:val="0"/>
    <w:rPr>
      <w:rFonts w:ascii="宋体" w:hAnsi="Courier New"/>
      <w:szCs w:val="20"/>
    </w:rPr>
  </w:style>
  <w:style w:type="paragraph" w:customStyle="1" w:styleId="249">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50">
    <w:name w:val="Char"/>
    <w:basedOn w:val="1"/>
    <w:qFormat/>
    <w:uiPriority w:val="0"/>
    <w:pPr>
      <w:tabs>
        <w:tab w:val="left" w:pos="360"/>
      </w:tabs>
    </w:pPr>
    <w:rPr>
      <w:sz w:val="24"/>
    </w:rPr>
  </w:style>
  <w:style w:type="paragraph" w:customStyle="1" w:styleId="251">
    <w:name w:val="正文文本1"/>
    <w:basedOn w:val="1"/>
    <w:qFormat/>
    <w:uiPriority w:val="0"/>
    <w:pPr>
      <w:jc w:val="center"/>
    </w:pPr>
    <w:rPr>
      <w:rFonts w:eastAsia="仿宋_GB2312"/>
      <w:sz w:val="28"/>
    </w:rPr>
  </w:style>
  <w:style w:type="paragraph" w:customStyle="1" w:styleId="252">
    <w:name w:val="文档结构图1"/>
    <w:basedOn w:val="1"/>
    <w:semiHidden/>
    <w:qFormat/>
    <w:uiPriority w:val="0"/>
    <w:pPr>
      <w:shd w:val="clear" w:color="auto" w:fill="000080"/>
    </w:pPr>
  </w:style>
  <w:style w:type="paragraph" w:customStyle="1" w:styleId="253">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6">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58">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0">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1">
    <w:name w:val="正文文本 31"/>
    <w:basedOn w:val="1"/>
    <w:qFormat/>
    <w:uiPriority w:val="0"/>
    <w:pPr>
      <w:jc w:val="center"/>
    </w:pPr>
    <w:rPr>
      <w:rFonts w:eastAsia="黑体"/>
      <w:sz w:val="72"/>
    </w:rPr>
  </w:style>
  <w:style w:type="paragraph" w:customStyle="1" w:styleId="26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3">
    <w:name w:val="日期1"/>
    <w:basedOn w:val="1"/>
    <w:next w:val="1"/>
    <w:qFormat/>
    <w:uiPriority w:val="0"/>
    <w:pPr>
      <w:ind w:left="100"/>
    </w:pPr>
    <w:rPr>
      <w:rFonts w:ascii="黑体" w:eastAsia="黑体"/>
      <w:sz w:val="72"/>
    </w:rPr>
  </w:style>
  <w:style w:type="paragraph" w:customStyle="1" w:styleId="264">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5">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Default"/>
    <w:qFormat/>
    <w:uiPriority w:val="0"/>
    <w:pPr>
      <w:widowControl w:val="0"/>
    </w:pPr>
    <w:rPr>
      <w:rFonts w:hint="default" w:ascii="仿宋" w:hAnsi="Calibri" w:eastAsia="仿宋" w:cs="仿宋"/>
      <w:color w:val="000000"/>
      <w:sz w:val="24"/>
      <w:szCs w:val="24"/>
    </w:rPr>
  </w:style>
  <w:style w:type="paragraph" w:customStyle="1" w:styleId="267">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正文文本 21"/>
    <w:basedOn w:val="1"/>
    <w:qFormat/>
    <w:uiPriority w:val="0"/>
    <w:rPr>
      <w:rFonts w:ascii="仿宋_GB2312" w:eastAsia="仿宋_GB2312"/>
      <w:sz w:val="28"/>
    </w:rPr>
  </w:style>
  <w:style w:type="paragraph" w:customStyle="1" w:styleId="269">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70">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1">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默认段落字体 Para Char Char Char Char Char Char Char Char Char1 Char Char Char Char Char Char Char"/>
    <w:basedOn w:val="252"/>
    <w:qFormat/>
    <w:uiPriority w:val="0"/>
    <w:rPr>
      <w:rFonts w:ascii="Tahoma" w:hAnsi="Tahoma"/>
      <w:sz w:val="24"/>
    </w:rPr>
  </w:style>
  <w:style w:type="paragraph" w:customStyle="1" w:styleId="275">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76">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0">
    <w:name w:val="普通正文"/>
    <w:basedOn w:val="1"/>
    <w:qFormat/>
    <w:uiPriority w:val="0"/>
    <w:pPr>
      <w:spacing w:before="120" w:after="120" w:line="360" w:lineRule="auto"/>
      <w:ind w:firstLine="480"/>
      <w:jc w:val="left"/>
    </w:pPr>
    <w:rPr>
      <w:rFonts w:ascii="Arial" w:hAnsi="Arial"/>
      <w:sz w:val="24"/>
    </w:rPr>
  </w:style>
  <w:style w:type="paragraph" w:customStyle="1" w:styleId="28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82">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3">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87">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88">
    <w:name w:val="文本块1"/>
    <w:basedOn w:val="1"/>
    <w:qFormat/>
    <w:uiPriority w:val="0"/>
    <w:pPr>
      <w:ind w:left="420" w:right="33"/>
      <w:jc w:val="left"/>
    </w:pPr>
    <w:rPr>
      <w:sz w:val="24"/>
      <w:szCs w:val="20"/>
    </w:rPr>
  </w:style>
  <w:style w:type="paragraph" w:customStyle="1" w:styleId="289">
    <w:name w:val="列出段落1"/>
    <w:basedOn w:val="1"/>
    <w:qFormat/>
    <w:uiPriority w:val="99"/>
    <w:pPr>
      <w:ind w:firstLine="420"/>
    </w:pPr>
  </w:style>
  <w:style w:type="paragraph" w:customStyle="1" w:styleId="29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91">
    <w:name w:val="Char1"/>
    <w:basedOn w:val="252"/>
    <w:qFormat/>
    <w:uiPriority w:val="0"/>
    <w:pPr>
      <w:spacing w:line="360" w:lineRule="auto"/>
    </w:pPr>
    <w:rPr>
      <w:rFonts w:ascii="Tahoma" w:hAnsi="Tahoma"/>
      <w:sz w:val="24"/>
    </w:rPr>
  </w:style>
  <w:style w:type="paragraph" w:customStyle="1" w:styleId="292">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3">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99">
    <w:name w:val="正文文本缩进 21"/>
    <w:basedOn w:val="1"/>
    <w:qFormat/>
    <w:uiPriority w:val="0"/>
    <w:pPr>
      <w:tabs>
        <w:tab w:val="left" w:pos="9741"/>
      </w:tabs>
      <w:ind w:right="-2" w:firstLine="540"/>
    </w:pPr>
    <w:rPr>
      <w:rFonts w:eastAsia="仿宋_GB2312"/>
      <w:sz w:val="28"/>
    </w:rPr>
  </w:style>
  <w:style w:type="paragraph" w:customStyle="1" w:styleId="300">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1">
    <w:name w:val="批注框文本1"/>
    <w:basedOn w:val="1"/>
    <w:semiHidden/>
    <w:qFormat/>
    <w:uiPriority w:val="0"/>
    <w:rPr>
      <w:sz w:val="18"/>
      <w:szCs w:val="18"/>
    </w:rPr>
  </w:style>
  <w:style w:type="paragraph" w:customStyle="1" w:styleId="302">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0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04">
    <w:name w:val="页脚1"/>
    <w:basedOn w:val="1"/>
    <w:qFormat/>
    <w:uiPriority w:val="0"/>
    <w:pPr>
      <w:tabs>
        <w:tab w:val="center" w:pos="4153"/>
        <w:tab w:val="right" w:pos="8306"/>
      </w:tabs>
      <w:jc w:val="left"/>
    </w:pPr>
    <w:rPr>
      <w:sz w:val="18"/>
      <w:szCs w:val="18"/>
    </w:rPr>
  </w:style>
  <w:style w:type="paragraph" w:customStyle="1" w:styleId="30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7">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08">
    <w:name w:val="普通(网站)1"/>
    <w:basedOn w:val="1"/>
    <w:unhideWhenUsed/>
    <w:qFormat/>
    <w:uiPriority w:val="99"/>
    <w:pPr>
      <w:spacing w:before="100" w:beforeAutospacing="1" w:after="100" w:afterAutospacing="1"/>
      <w:jc w:val="left"/>
    </w:pPr>
    <w:rPr>
      <w:sz w:val="24"/>
      <w:szCs w:val="20"/>
    </w:rPr>
  </w:style>
  <w:style w:type="paragraph" w:customStyle="1" w:styleId="309">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310">
    <w:name w:val="正文文本缩进 31"/>
    <w:basedOn w:val="1"/>
    <w:qFormat/>
    <w:uiPriority w:val="0"/>
    <w:pPr>
      <w:ind w:firstLine="435"/>
    </w:pPr>
    <w:rPr>
      <w:rFonts w:ascii="仿宋_GB2312" w:hAnsi="宋体" w:eastAsia="仿宋_GB2312"/>
      <w:sz w:val="28"/>
    </w:rPr>
  </w:style>
  <w:style w:type="paragraph" w:customStyle="1" w:styleId="31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13">
    <w:name w:val="标书正文格式"/>
    <w:qFormat/>
    <w:uiPriority w:val="0"/>
    <w:pPr>
      <w:spacing w:line="360" w:lineRule="auto"/>
      <w:ind w:firstLine="480"/>
      <w:jc w:val="both"/>
    </w:pPr>
    <w:rPr>
      <w:rFonts w:hint="default" w:ascii="宋体" w:hAnsi="宋体" w:eastAsia="宋体" w:cs="Times New Roman"/>
      <w:sz w:val="24"/>
      <w:szCs w:val="24"/>
    </w:rPr>
  </w:style>
  <w:style w:type="paragraph" w:customStyle="1" w:styleId="31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5">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7">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8">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19">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20">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1">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22">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23">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4">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5">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2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27">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2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29">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30">
    <w:name w:val="Char Char Char Char"/>
    <w:basedOn w:val="252"/>
    <w:qFormat/>
    <w:uiPriority w:val="0"/>
    <w:pPr>
      <w:spacing w:line="360" w:lineRule="auto"/>
    </w:pPr>
    <w:rPr>
      <w:rFonts w:ascii="Tahoma" w:hAnsi="Tahoma"/>
      <w:sz w:val="24"/>
    </w:rPr>
  </w:style>
  <w:style w:type="paragraph" w:customStyle="1" w:styleId="33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2">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33">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34">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35">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36">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37">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table" w:customStyle="1" w:styleId="338">
    <w:name w:val="网格型1"/>
    <w:basedOn w:val="234"/>
    <w:qFormat/>
    <w:uiPriority w:val="0"/>
    <w:rPr>
      <w:rFonts w:cs="Calibri"/>
      <w:sz w:val="21"/>
      <w:szCs w:val="22"/>
    </w:rPr>
  </w:style>
  <w:style w:type="paragraph" w:customStyle="1" w:styleId="339">
    <w:name w:val="纯文本11"/>
    <w:basedOn w:val="1"/>
    <w:qFormat/>
    <w:uiPriority w:val="0"/>
    <w:rPr>
      <w:rFonts w:ascii="宋体" w:hAnsi="Courier New"/>
      <w:szCs w:val="20"/>
    </w:rPr>
  </w:style>
  <w:style w:type="character" w:customStyle="1" w:styleId="340">
    <w:name w:val="正文文本 Char"/>
    <w:link w:val="14"/>
    <w:qFormat/>
    <w:uiPriority w:val="99"/>
    <w:rPr>
      <w:rFonts w:ascii="华文彩云" w:hAnsi="宋体" w:eastAsia="华文彩云"/>
      <w:bCs/>
      <w:color w:val="000000"/>
      <w:sz w:val="28"/>
      <w:szCs w:val="24"/>
    </w:rPr>
  </w:style>
  <w:style w:type="character" w:customStyle="1" w:styleId="341">
    <w:name w:val="正文文本缩进 3 Char"/>
    <w:link w:val="29"/>
    <w:qFormat/>
    <w:uiPriority w:val="0"/>
    <w:rPr>
      <w:rFonts w:ascii="Times New Roman" w:hAnsi="Times New Roman" w:eastAsia="楷体_GB2312"/>
      <w:sz w:val="21"/>
      <w:szCs w:val="24"/>
    </w:rPr>
  </w:style>
  <w:style w:type="character" w:customStyle="1" w:styleId="342">
    <w:name w:val="正文文本缩进 Char1"/>
    <w:link w:val="15"/>
    <w:qFormat/>
    <w:uiPriority w:val="0"/>
    <w:rPr>
      <w:sz w:val="21"/>
      <w:szCs w:val="24"/>
    </w:rPr>
  </w:style>
  <w:style w:type="character" w:customStyle="1" w:styleId="343">
    <w:name w:val="纯文本 Char2"/>
    <w:semiHidden/>
    <w:qFormat/>
    <w:uiPriority w:val="99"/>
    <w:rPr>
      <w:rFonts w:ascii="宋体" w:hAnsi="Courier New" w:cs="Courier New"/>
      <w:sz w:val="21"/>
      <w:szCs w:val="21"/>
    </w:rPr>
  </w:style>
  <w:style w:type="character" w:customStyle="1" w:styleId="344">
    <w:name w:val="批注框文本 Char"/>
    <w:basedOn w:val="39"/>
    <w:link w:val="21"/>
    <w:semiHidden/>
    <w:qFormat/>
    <w:uiPriority w:val="99"/>
    <w:rPr>
      <w:sz w:val="18"/>
      <w:szCs w:val="18"/>
    </w:rPr>
  </w:style>
  <w:style w:type="character" w:customStyle="1" w:styleId="345">
    <w:name w:val="正文缩进 Char1"/>
    <w:link w:val="12"/>
    <w:qFormat/>
    <w:uiPriority w:val="0"/>
    <w:rPr>
      <w:rFonts w:ascii="Times New Roman" w:hAnsi="Times New Roman"/>
      <w:sz w:val="21"/>
      <w:szCs w:val="24"/>
    </w:rPr>
  </w:style>
  <w:style w:type="character" w:customStyle="1" w:styleId="346">
    <w:name w:val="default-defaultmode"/>
    <w:basedOn w:val="39"/>
    <w:qFormat/>
    <w:uiPriority w:val="0"/>
  </w:style>
  <w:style w:type="character" w:customStyle="1" w:styleId="347">
    <w:name w:val="default-defaultmode1"/>
    <w:basedOn w:val="39"/>
    <w:qFormat/>
    <w:uiPriority w:val="0"/>
  </w:style>
  <w:style w:type="paragraph" w:customStyle="1" w:styleId="348">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49">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8.pn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538b21f3-2a4c-425c-88d0-ede4262f14f2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27442178</paraID>
      <start>8</start>
      <end>11</end>
      <status>ignored</status>
      <modifiedWord/>
      <trackRevisions>false</trackRevisions>
    </reviewItem>
    <reviewItem>
      <errorID>357663f6-3cc9-4e3f-894a-86af64e1fd24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4016A4D3</paraID>
      <start>12</start>
      <end>15</end>
      <status>ignored</status>
      <modifiedWord/>
      <trackRevisions>false</trackRevisions>
    </reviewItem>
    <reviewItem>
      <errorID>8dddb26f-0302-48c3-915c-bcaf8a273932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744962F2</paraID>
      <start>13</start>
      <end>17</end>
      <status>ignored</status>
      <modifiedWord/>
      <trackRevisions>false</trackRevisions>
    </reviewItem>
    <reviewItem>
      <errorID>3d883097-8437-41f4-b587-78ab28d54e65</errorID>
      <errorWord>法律、法规</errorWord>
      <group>L1_Word</group>
      <groupName>字词问题</groupName>
      <ability>L2_Typo</ability>
      <abilityName>字词错误</abilityName>
      <candidateList>
        <item>法律法规</item>
      </candidateList>
      <explain/>
      <paraID>6768DAC4</paraID>
      <start>6</start>
      <end>11</end>
      <status>ignored</status>
      <modifiedWord/>
      <trackRevisions>false</trackRevisions>
    </reviewItem>
    <reviewItem>
      <errorID>d3d538d8-34aa-45fa-8eb3-19bc0a54054c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1201C86E</paraID>
      <start>78</start>
      <end>79</end>
      <status>ignored</status>
      <modifiedWord/>
      <trackRevisions>false</trackRevisions>
    </reviewItem>
    <reviewItem>
      <errorID>6ef554e2-7a1e-43fc-b74d-b2f54a3cde0b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1201C86E</paraID>
      <start>98</start>
      <end>102</end>
      <status>ignored</status>
      <modifiedWord/>
      <trackRevisions>false</trackRevisions>
    </reviewItem>
    <reviewItem>
      <errorID>bf57be4f-76cb-4a9f-a95c-ccd3f762461c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8FFE547</paraID>
      <start>31</start>
      <end>35</end>
      <status>ignored</status>
      <modifiedWord/>
      <trackRevisions>false</trackRevisions>
    </reviewItem>
    <reviewItem>
      <errorID>45cd79ee-aaf5-43c2-b8a8-da3868f545f5</errorID>
      <errorWord>《</errorWord>
      <group>L1_Punc</group>
      <groupName>标点问题</groupName>
      <ability>L2_Punc</ability>
      <abilityName>标点符号检查</abilityName>
      <candidateList/>
      <explain>同一形式括号套用。</explain>
      <paraID>272707C2</paraID>
      <start>38</start>
      <end>39</end>
      <status>ignored</status>
      <modifiedWord/>
      <trackRevisions>false</trackRevisions>
    </reviewItem>
    <reviewItem>
      <errorID>7e055f0e-faf8-4734-b2e2-964e8f670fbe</errorID>
      <errorWord>》</errorWord>
      <group>L1_Punc</group>
      <groupName>标点问题</groupName>
      <ability>L2_Punc</ability>
      <abilityName>标点符号检查</abilityName>
      <candidateList/>
      <explain>同一形式括号套用。</explain>
      <paraID>272707C2</paraID>
      <start>55</start>
      <end>56</end>
      <status>ignored</status>
      <modifiedWord/>
      <trackRevisions>false</trackRevisions>
    </reviewItem>
    <reviewItem>
      <errorID>9c087a2c-c57b-4260-a946-37fb7b470e03</errorID>
      <errorWord>《</errorWord>
      <group>L1_Punc</group>
      <groupName>标点问题</groupName>
      <ability>L2_Punc</ability>
      <abilityName>标点符号检查</abilityName>
      <candidateList/>
      <explain>同一形式括号套用。</explain>
      <paraID>272707C2</paraID>
      <start>56</start>
      <end>57</end>
      <status>ignored</status>
      <modifiedWord/>
      <trackRevisions>false</trackRevisions>
    </reviewItem>
    <reviewItem>
      <errorID>74478698-b251-4f82-a009-9ca55ab5a167</errorID>
      <errorWord>》</errorWord>
      <group>L1_Punc</group>
      <groupName>标点问题</groupName>
      <ability>L2_Punc</ability>
      <abilityName>标点符号检查</abilityName>
      <candidateList/>
      <explain>同一形式括号套用。</explain>
      <paraID>272707C2</paraID>
      <start>73</start>
      <end>74</end>
      <status>ignored</status>
      <modifiedWord/>
      <trackRevisions>false</trackRevisions>
    </reviewItem>
    <reviewItem>
      <errorID>09f1455f-6be3-4e37-afa3-ead62bad6725</errorID>
      <errorWord>、等</errorWord>
      <group>L1_Punc</group>
      <groupName>标点问题</groupName>
      <ability>L2_Punc</ability>
      <abilityName>标点符号检查</abilityName>
      <candidateList>
        <item>等</item>
      </candidateList>
      <explain>“及”“和”“等”连词前不宜使用顿号，建议删除（或使用逗号）。</explain>
      <paraID>7A870EC6</paraID>
      <start>30</start>
      <end>31</end>
      <status>modified</status>
      <modifiedWord>等</modifiedWord>
      <trackRevisions>false</trackRevisions>
    </reviewItem>
    <reviewItem>
      <errorID>82b863c2-9b4b-4094-be64-a52c089533f1</errorID>
      <errorWord>签定</errorWord>
      <group>L1_Word</group>
      <groupName>字词问题</groupName>
      <ability>L2_Typo</ability>
      <abilityName>字词错误</abilityName>
      <candidateList>
        <item>签订</item>
      </candidateList>
      <explain>存在发音相同字词的误用。</explain>
      <paraID>48F8CCCF</paraID>
      <start>0</start>
      <end>2</end>
      <status>ignored</status>
      <modifiedWord/>
      <trackRevisions>false</trackRevisions>
    </reviewItem>
    <reviewItem>
      <errorID>63e43290-f941-444d-9927-45e840b4e28c</errorID>
      <errorWord>签定</errorWord>
      <group>L1_Word</group>
      <groupName>字词问题</groupName>
      <ability>L2_Typo</ability>
      <abilityName>字词错误</abilityName>
      <candidateList>
        <item>签订</item>
      </candidateList>
      <explain>存在发音相同字词的误用。</explain>
      <paraID>48F8CCCF</paraID>
      <start>41</start>
      <end>43</end>
      <status>ignored</status>
      <modifiedWord/>
      <trackRevisions>false</trackRevisions>
    </reviewItem>
    <reviewItem>
      <errorID>7ec57970-4847-4749-8319-183a82cde5b0</errorID>
      <errorWord>承担的</errorWord>
      <group>L1_Word</group>
      <groupName>字词问题</groupName>
      <ability>L2_Typo</ability>
      <abilityName>字词错误</abilityName>
      <candidateList>
        <item>承担</item>
      </candidateList>
      <explain>〈动〉担负；担当：～义务｜～责任。</explain>
      <paraID> F6748F3</paraID>
      <start>19</start>
      <end>21</end>
      <status>modified</status>
      <modifiedWord>承担</modifiedWord>
      <trackRevisions>false</trackRevisions>
    </reviewItem>
    <reviewItem>
      <errorID>caf5e218-ad67-44db-ac62-1fb8092002bb</errorID>
      <errorWord>中止合同</errorWord>
      <group>L1_Word</group>
      <groupName>字词问题</groupName>
      <ability>L2_Typo</ability>
      <abilityName>字词错误</abilityName>
      <candidateList>
        <item>终止合同</item>
      </candidateList>
      <explain/>
      <paraID>605C7BCD</paraID>
      <start>34</start>
      <end>38</end>
      <status>ignored</status>
      <modifiedWord/>
      <trackRevisions>false</trackRevisions>
    </reviewItem>
    <reviewItem>
      <errorID>62842d1a-e4a2-4002-910e-910f0e3a84d2</errorID>
      <errorWord>）</errorWord>
      <group>L1_Format</group>
      <groupName>格式问题</groupName>
      <ability>L2_HalfPunc</ability>
      <abilityName>全半角检查</abilityName>
      <candidateList>
        <item>)</item>
      </candidateList>
      <explain>文本全半角错误。</explain>
      <paraID>   6DE83</paraID>
      <start>21</start>
      <end>22</end>
      <status>modified</status>
      <modifiedWord>)</modifiedWord>
      <trackRevisions>false</trackRevisions>
    </reviewItem>
    <reviewItem>
      <errorID>ff8aeae3-3e64-44fd-881c-31dafdf21f49</errorID>
      <errorWord>（</errorWord>
      <group>L1_Format</group>
      <groupName>格式问题</groupName>
      <ability>L2_HalfPunc</ability>
      <abilityName>全半角检查</abilityName>
      <candidateList>
        <item>(</item>
      </candidateList>
      <explain>文本全半角错误。</explain>
      <paraID>23BAB1EB</paraID>
      <start>14</start>
      <end>15</end>
      <status>modified</status>
      <modifiedWord>(</modifiedWord>
      <trackRevisions>false</trackRevisions>
    </reviewItem>
    <reviewItem>
      <errorID>6f204b30-aef8-42f8-af5c-50185ae5b8ca</errorID>
      <errorWord>）</errorWord>
      <group>L1_Format</group>
      <groupName>格式问题</groupName>
      <ability>L2_HalfPunc</ability>
      <abilityName>全半角检查</abilityName>
      <candidateList>
        <item>)</item>
      </candidateList>
      <explain>文本全半角错误。</explain>
      <paraID>23BAB1EB</paraID>
      <start>20</start>
      <end>21</end>
      <status>modified</status>
      <modifiedWord>)</modifiedWord>
      <trackRevisions>false</trackRevisions>
    </reviewItem>
    <reviewItem>
      <errorID>340c3885-4845-44cf-8b69-5805995a2788</errorID>
      <errorWord>（</errorWord>
      <group>L1_Format</group>
      <groupName>格式问题</groupName>
      <ability>L2_HalfPunc</ability>
      <abilityName>全半角检查</abilityName>
      <candidateList>
        <item>(</item>
      </candidateList>
      <explain>文本全半角错误。</explain>
      <paraID>3826AE5F</paraID>
      <start>16</start>
      <end>17</end>
      <status>modified</status>
      <modifiedWord>(</modifiedWord>
      <trackRevisions>false</trackRevisions>
    </reviewItem>
    <reviewItem>
      <errorID>f9ddb48c-ca93-47d7-aa86-b91e48565dab</errorID>
      <errorWord>）</errorWord>
      <group>L1_Format</group>
      <groupName>格式问题</groupName>
      <ability>L2_HalfPunc</ability>
      <abilityName>全半角检查</abilityName>
      <candidateList>
        <item>)</item>
      </candidateList>
      <explain>文本全半角错误。</explain>
      <paraID>3826AE5F</paraID>
      <start>22</start>
      <end>23</end>
      <status>modified</status>
      <modifiedWord>)</modifiedWord>
      <trackRevisions>false</trackRevisions>
    </reviewItem>
    <reviewItem>
      <errorID>7ebecaec-745e-405a-ba41-c164c4f1d046</errorID>
      <errorWord>(</errorWord>
      <group>L1_Format</group>
      <groupName>格式问题</groupName>
      <ability>L2_HalfPunc</ability>
      <abilityName>全半角检查</abilityName>
      <candidateList>
        <item>（</item>
      </candidateList>
      <explain>文本全半角错误。</explain>
      <paraID>74AC0933</paraID>
      <start>4</start>
      <end>5</end>
      <status>modified</status>
      <modifiedWord>（</modifiedWord>
      <trackRevisions>false</trackRevisions>
    </reviewItem>
    <reviewItem>
      <errorID>7400795d-4bab-40c4-b68f-f286c253432f</errorID>
      <errorWord>)</errorWord>
      <group>L1_Format</group>
      <groupName>格式问题</groupName>
      <ability>L2_HalfPunc</ability>
      <abilityName>全半角检查</abilityName>
      <candidateList>
        <item>）</item>
      </candidateList>
      <explain>文本全半角错误。</explain>
      <paraID>74AC0933</paraID>
      <start>10</start>
      <end>11</end>
      <status>modified</status>
      <modifiedWord>）</modifiedWord>
      <trackRevisions>false</trackRevisions>
    </reviewItem>
    <reviewItem>
      <errorID>d6f369d8-c8e7-400a-8527-cc83933fc9a1</errorID>
      <errorWord>（</errorWord>
      <group>L1_Format</group>
      <groupName>格式问题</groupName>
      <ability>L2_HalfPunc</ability>
      <abilityName>全半角检查</abilityName>
      <candidateList>
        <item>(</item>
      </candidateList>
      <explain>文本全半角错误。</explain>
      <paraID>2D4FBC76</paraID>
      <start>14</start>
      <end>15</end>
      <status>modified</status>
      <modifiedWord>(</modifiedWord>
      <trackRevisions>false</trackRevisions>
    </reviewItem>
    <reviewItem>
      <errorID>48ae88b7-4c0f-4114-875f-f86099ca9612</errorID>
      <errorWord>）</errorWord>
      <group>L1_Format</group>
      <groupName>格式问题</groupName>
      <ability>L2_HalfPunc</ability>
      <abilityName>全半角检查</abilityName>
      <candidateList>
        <item>)</item>
      </candidateList>
      <explain>文本全半角错误。</explain>
      <paraID>2D4FBC76</paraID>
      <start>20</start>
      <end>21</end>
      <status>modified</status>
      <modifiedWord>)</modifiedWord>
      <trackRevisions>false</trackRevisions>
    </reviewItem>
    <reviewItem>
      <errorID>075502d2-dda7-4131-b90d-504c629100b4</errorID>
      <errorWord>(</errorWord>
      <group>L1_Format</group>
      <groupName>格式问题</groupName>
      <ability>L2_HalfPunc</ability>
      <abilityName>全半角检查</abilityName>
      <candidateList>
        <item>（</item>
      </candidateList>
      <explain>文本全半角错误。</explain>
      <paraID>7CF52246</paraID>
      <start>4</start>
      <end>5</end>
      <status>modified</status>
      <modifiedWord>（</modifiedWord>
      <trackRevisions>false</trackRevisions>
    </reviewItem>
    <reviewItem>
      <errorID>54005180-e859-4546-99ba-ada9ba18b5c9</errorID>
      <errorWord>)</errorWord>
      <group>L1_Format</group>
      <groupName>格式问题</groupName>
      <ability>L2_HalfPunc</ability>
      <abilityName>全半角检查</abilityName>
      <candidateList>
        <item>）</item>
      </candidateList>
      <explain>文本全半角错误。</explain>
      <paraID>7CF52246</paraID>
      <start>10</start>
      <end>11</end>
      <status>modified</status>
      <modifiedWord>）</modifiedWord>
      <trackRevisions>false</trackRevisions>
    </reviewItem>
    <reviewItem>
      <errorID>e88a7433-bb66-4e97-b845-6c9dfa7322d4</errorID>
      <errorWord>（</errorWord>
      <group>L1_Format</group>
      <groupName>格式问题</groupName>
      <ability>L2_HalfPunc</ability>
      <abilityName>全半角检查</abilityName>
      <candidateList>
        <item>(</item>
      </candidateList>
      <explain>文本全半角错误。</explain>
      <paraID>1DD6F86C</paraID>
      <start>14</start>
      <end>15</end>
      <status>modified</status>
      <modifiedWord>(</modifiedWord>
      <trackRevisions>false</trackRevisions>
    </reviewItem>
    <reviewItem>
      <errorID>affadf1a-25d2-4a81-8743-90730b048617</errorID>
      <errorWord>）</errorWord>
      <group>L1_Format</group>
      <groupName>格式问题</groupName>
      <ability>L2_HalfPunc</ability>
      <abilityName>全半角检查</abilityName>
      <candidateList>
        <item>)</item>
      </candidateList>
      <explain>文本全半角错误。</explain>
      <paraID>1DD6F86C</paraID>
      <start>20</start>
      <end>21</end>
      <status>modified</status>
      <modifiedWord>)</modifiedWord>
      <trackRevisions>false</trackRevisions>
    </reviewItem>
    <reviewItem>
      <errorID>f66a9453-5590-4d0c-88a2-7acf3ae6e209</errorID>
      <errorWord>噪音</errorWord>
      <group>L1_Word</group>
      <groupName>字词问题</groupName>
      <ability>L2_Alias</ability>
      <abilityName>也作/曾用词</abilityName>
      <candidateList>
        <item>噪声</item>
      </candidateList>
      <explain>词汇[噪音]为不规范表述或旧称，其规范书面表述为[噪声]。</explain>
      <paraID>307FE026</paraID>
      <start>4</start>
      <end>6</end>
      <status>ignored</status>
      <modifiedWord/>
      <trackRevisions>false</trackRevisions>
    </reviewItem>
    <reviewItem>
      <errorID>db478137-6288-42d8-b411-bdf8bc844210</errorID>
      <errorWord>有盖</errorWord>
      <group>L1_Word</group>
      <groupName>字词问题</groupName>
      <ability>L2_Typo</ability>
      <abilityName>字词错误</abilityName>
      <candidateList>
        <item>后盖</item>
      </candidateList>
      <explain/>
      <paraID> 3CD9A29</paraID>
      <start>2</start>
      <end>4</end>
      <status>ignored</status>
      <modifiedWord/>
      <trackRevisions>false</trackRevisions>
    </reviewItem>
    <reviewItem>
      <errorID>d933b10a-5d9c-40d6-a69a-f7d8330cda6c</errorID>
      <errorWord>,</errorWord>
      <group>L1_Format</group>
      <groupName>格式问题</groupName>
      <ability>L2_HalfPunc</ability>
      <abilityName>全半角检查</abilityName>
      <candidateList>
        <item>，</item>
      </candidateList>
      <explain>文本全半角错误。</explain>
      <paraID> 81069EB</paraID>
      <start>16</start>
      <end>17</end>
      <status>modified</status>
      <modifiedWord>，</modifiedWord>
      <trackRevisions>false</trackRevisions>
    </reviewItem>
    <reviewItem>
      <errorID>2cae2f3a-234c-4b06-8c30-fc4e28391701</errorID>
      <errorWord>清倒</errorWord>
      <group>L1_Word</group>
      <groupName>字词问题</groupName>
      <ability>L2_Typo</ability>
      <abilityName>字词错误</abilityName>
      <candidateList>
        <item>倾倒</item>
      </candidateList>
      <explain/>
      <paraID>23A70CEA</paraID>
      <start>36</start>
      <end>38</end>
      <status>ignored</status>
      <modifiedWord/>
      <trackRevisions>false</trackRevisions>
    </reviewItem>
    <reviewItem>
      <errorID>a2cbe75e-b1ff-43b0-9d46-78c2f44d1878</errorID>
      <errorWord>拌</errorWord>
      <group>L1_Word</group>
      <groupName>字词问题</groupName>
      <ability>L2_Typo</ability>
      <abilityName>字词错误</abilityName>
      <candidateList>
        <item>绊</item>
      </candidateList>
      <explain/>
      <paraID>349C2118</paraID>
      <start>26</start>
      <end>27</end>
      <status>ignored</status>
      <modifiedWord/>
      <trackRevisions>false</trackRevisions>
    </reviewItem>
    <reviewItem>
      <errorID>583ec4dd-bb6f-4f20-80f1-c73c679ad10b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6DFBE117</paraID>
      <start>1</start>
      <end>2</end>
      <status>ignored</status>
      <modifiedWord/>
      <trackRevisions>false</trackRevisions>
    </reviewItem>
    <reviewItem>
      <errorID>22ed73f8-d346-4e15-b1a1-12a1b71630a3</errorID>
      <errorWord>,</errorWord>
      <group>L1_Format</group>
      <groupName>格式问题</groupName>
      <ability>L2_HalfPunc</ability>
      <abilityName>全半角检查</abilityName>
      <candidateList>
        <item>，</item>
      </candidateList>
      <explain>文本全半角错误。</explain>
      <paraID>534C2148</paraID>
      <start>4</start>
      <end>5</end>
      <status>modified</status>
      <modifiedWord>，</modifiedWord>
      <trackRevisions>false</trackRevisions>
    </reviewItem>
    <reviewItem>
      <errorID>26817e99-7614-44f8-aa83-cdff2864dee3</errorID>
      <errorWord>公分</errorWord>
      <group>L1_Word</group>
      <groupName>字词问题</groupName>
      <ability>L2_Typo</ability>
      <abilityName>字词错误</abilityName>
      <candidateList>
        <item>厘米</item>
      </candidateList>
      <explain/>
      <paraID>773C8074</paraID>
      <start>5</start>
      <end>7</end>
      <status>ignored</status>
      <modifiedWord/>
      <trackRevisions>false</trackRevisions>
    </reviewItem>
    <reviewItem>
      <errorID>795b088d-1df7-4f09-ab6c-5703b0668b9e</errorID>
      <errorWord>kw</errorWord>
      <group>L1_Word</group>
      <groupName>字词问题</groupName>
      <ability>L2_Typo</ability>
      <abilityName>字词错误</abilityName>
      <candidateList>
        <item>kW</item>
      </candidateList>
      <explain/>
      <paraID>1285AAD4</paraID>
      <start>0</start>
      <end>2</end>
      <status>ignored</status>
      <modifiedWord/>
      <trackRevisions>false</trackRevisions>
    </reviewItem>
    <reviewItem>
      <errorID>e4d391cd-b739-42ff-8a22-dd18fadf5df9</errorID>
      <errorWord>连动</errorWord>
      <group>L1_Word</group>
      <groupName>字词问题</groupName>
      <ability>L2_Typo</ability>
      <abilityName>字词错误</abilityName>
      <candidateList>
        <item>联动</item>
      </candidateList>
      <explain>存在发音相同字词的误用。</explain>
      <paraID>47395096</paraID>
      <start>66</start>
      <end>68</end>
      <status>ignored</status>
      <modifiedWord/>
      <trackRevisions>false</trackRevisions>
    </reviewItem>
    <reviewItem>
      <errorID>cf536e51-f6c7-4a47-809c-2adb1e2befb3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ADA8480</paraID>
      <start>3</start>
      <end>4</end>
      <status>ignored</status>
      <modifiedWord/>
      <trackRevisions>false</trackRevisions>
    </reviewItem>
    <reviewItem>
      <errorID>ababe360-f439-4d7b-a631-5e7c43d38ff0</errorID>
      <errorWord>蓬</errorWord>
      <group>L1_Word</group>
      <groupName>字词问题</groupName>
      <ability>L2_Typo</ability>
      <abilityName>字词错误</abilityName>
      <candidateList>
        <item>篷</item>
      </candidateList>
      <explain>存在发音相同字词的误用。</explain>
      <paraID> ADA8480</paraID>
      <start>9</start>
      <end>10</end>
      <status>ignored</status>
      <modifiedWord/>
      <trackRevisions>false</trackRevisions>
    </reviewItem>
    <reviewItem>
      <errorID>43299b0d-1a82-49a6-9a6a-27b60b2dfde7</errorID>
      <errorWord>含盖</errorWord>
      <group>L1_Word</group>
      <groupName>字词问题</groupName>
      <ability>L2_Typo</ability>
      <abilityName>字词错误</abilityName>
      <candidateList>
        <item>涵盖</item>
      </candidateList>
      <explain/>
      <paraID> 45A1D3B</paraID>
      <start>38</start>
      <end>40</end>
      <status>ignored</status>
      <modifiedWord/>
      <trackRevisions>false</trackRevisions>
    </reviewItem>
    <reviewItem>
      <errorID>cdc8c346-f391-4280-a129-713a52c0141f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45A1D3B</paraID>
      <start>64</start>
      <end>65</end>
      <status>ignored</status>
      <modifiedWord/>
      <trackRevisions>false</trackRevisions>
    </reviewItem>
    <reviewItem>
      <errorID>0c666740-cc46-490e-bc5c-810b2337d5b5</errorID>
      <errorWord>至少两年以上</errorWord>
      <group>L1_Grammar</group>
      <groupName>语法问题</groupName>
      <ability>L2_Grammar</ability>
      <abilityName>语法错误</abilityName>
      <candidateList>
        <item>至少两年</item>
      </candidateList>
      <explain>该表达中的“至少两年以上”存在语义重复。</explain>
      <paraID>3B11226D</paraID>
      <start>43</start>
      <end>49</end>
      <status>ignored</status>
      <modifiedWord/>
      <trackRevisions>false</trackRevisions>
    </reviewItem>
    <reviewItem>
      <errorID>92d56df5-52e7-4414-8c40-fd2f58c64d75</errorID>
      <errorWord>至少两年以上</errorWord>
      <group>L1_Grammar</group>
      <groupName>语法问题</groupName>
      <ability>L2_Grammar</ability>
      <abilityName>语法错误</abilityName>
      <candidateList>
        <item>至少两年</item>
      </candidateList>
      <explain>该表达中的“至少两年以上”存在语义重复。</explain>
      <paraID>7593EFB0</paraID>
      <start>100</start>
      <end>106</end>
      <status>ignored</status>
      <modifiedWord/>
      <trackRevisions>false</trackRevisions>
    </reviewItem>
    <reviewItem>
      <errorID>0cbe5b96-c564-479a-9ecd-bedb8e11c637</errorID>
      <errorWord>;</errorWord>
      <group>L1_Format</group>
      <groupName>格式问题</groupName>
      <ability>L2_HalfPunc</ability>
      <abilityName>全半角检查</abilityName>
      <candidateList>
        <item>；</item>
      </candidateList>
      <explain>文本全半角错误。</explain>
      <paraID>52C26AF8</paraID>
      <start>24</start>
      <end>25</end>
      <status>modified</status>
      <modifiedWord>；</modifiedWord>
      <trackRevisions>false</trackRevisions>
    </reviewItem>
    <reviewItem>
      <errorID>d4cbeabd-6f51-4816-9aa7-236e2811dbd7</errorID>
      <errorWord>;</errorWord>
      <group>L1_Format</group>
      <groupName>格式问题</groupName>
      <ability>L2_HalfPunc</ability>
      <abilityName>全半角检查</abilityName>
      <candidateList>
        <item>；</item>
      </candidateList>
      <explain>文本全半角错误。</explain>
      <paraID>52C26AF8</paraID>
      <start>49</start>
      <end>50</end>
      <status>modified</status>
      <modifiedWord>；</modifiedWord>
      <trackRevisions>false</trackRevisions>
    </reviewItem>
    <reviewItem>
      <errorID>c85ff629-6150-4b15-a495-f57202b81eac</errorID>
      <errorWord>处</errorWord>
      <group>L1_Word</group>
      <groupName>字词问题</groupName>
      <ability>L2_Typo</ability>
      <abilityName>字词错误</abilityName>
      <candidateList>
        <item>处理</item>
      </candidateList>
      <explain/>
      <paraID>52C26AF8</paraID>
      <start>59</start>
      <end>60</end>
      <status>ignored</status>
      <modifiedWord/>
      <trackRevisions>false</trackRevisions>
    </reviewItem>
    <reviewItem>
      <errorID>38033f4a-e14c-496f-a798-74aef56ad372</errorID>
      <errorWord>做</errorWord>
      <group>L1_Word</group>
      <groupName>字词问题</groupName>
      <ability>L2_Typo</ability>
      <abilityName>字词错误</abilityName>
      <candidateList>
        <item>作</item>
      </candidateList>
      <explain>存在发音相同字词的误用。</explain>
      <paraID>40AE7F0D</paraID>
      <start>69</start>
      <end>70</end>
      <status>ignored</status>
      <modifiedWord/>
      <trackRevisions>false</trackRevisions>
    </reviewItem>
    <reviewItem>
      <errorID>38b529d5-bb5d-414a-b045-e56b837ec06f</errorID>
      <errorWord>(</errorWord>
      <group>L1_Format</group>
      <groupName>格式问题</groupName>
      <ability>L2_HalfPunc</ability>
      <abilityName>全半角检查</abilityName>
      <candidateList>
        <item>（</item>
      </candidateList>
      <explain>文本全半角错误。</explain>
      <paraID>217E881B</paraID>
      <start>10</start>
      <end>11</end>
      <status>modified</status>
      <modifiedWord>（</modifiedWord>
      <trackRevisions>false</trackRevisions>
    </reviewItem>
    <reviewItem>
      <errorID>e04b5483-f73a-403c-881d-1525d90acac9</errorID>
      <errorWord>)</errorWord>
      <group>L1_Format</group>
      <groupName>格式问题</groupName>
      <ability>L2_HalfPunc</ability>
      <abilityName>全半角检查</abilityName>
      <candidateList>
        <item>）</item>
      </candidateList>
      <explain>文本全半角错误。</explain>
      <paraID>217E881B</paraID>
      <start>13</start>
      <end>14</end>
      <status>modified</status>
      <modifiedWord>）</modifiedWord>
      <trackRevisions>false</trackRevisions>
    </reviewItem>
    <reviewItem>
      <errorID>0124edba-cc3c-4673-acd8-174ee7fc0bb9</errorID>
      <errorWord>)</errorWord>
      <group>L1_Format</group>
      <groupName>格式问题</groupName>
      <ability>L2_HalfPunc</ability>
      <abilityName>全半角检查</abilityName>
      <candidateList>
        <item>）</item>
      </candidateList>
      <explain>文本全半角错误。</explain>
      <paraID>4BAE8F38</paraID>
      <start>14</start>
      <end>15</end>
      <status>modified</status>
      <modifiedWord>）</modifiedWord>
      <trackRevisions>false</trackRevisions>
    </reviewItem>
    <reviewItem>
      <errorID>089fbf3a-c54f-4ec9-91f7-73ccef457306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3223F228</paraID>
      <start>9</start>
      <end>10</end>
      <status>ignored</status>
      <modifiedWord/>
      <trackRevisions>false</trackRevisions>
    </reviewItem>
    <reviewItem>
      <errorID>eca7e8c1-f0f6-4d45-9289-add7b7220b73</errorID>
      <errorWord>矩型管</errorWord>
      <group>L1_Word</group>
      <groupName>字词问题</groupName>
      <ability>L2_Typo</ability>
      <abilityName>字词错误</abilityName>
      <candidateList>
        <item>矩形管</item>
      </candidateList>
      <explain>存在发音相同字词的误用。</explain>
      <paraID>409138BF</paraID>
      <start>53</start>
      <end>56</end>
      <status>ignored</status>
      <modifiedWord/>
      <trackRevisions>false</trackRevisions>
    </reviewItem>
    <reviewItem>
      <errorID>134e1959-ebac-4625-a02a-ae61427c17a4</errorID>
      <errorWord>（</errorWord>
      <group>L1_Format</group>
      <groupName>格式问题</groupName>
      <ability>L2_HalfPunc</ability>
      <abilityName>全半角检查</abilityName>
      <candidateList>
        <item>(</item>
      </candidateList>
      <explain>文本全半角错误。</explain>
      <paraID>478FC081</paraID>
      <start>16</start>
      <end>17</end>
      <status>modified</status>
      <modifiedWord>(</modifiedWord>
      <trackRevisions>false</trackRevisions>
    </reviewItem>
    <reviewItem>
      <errorID>2bc04db6-1893-49a7-bfb2-ac0646c87bc0</errorID>
      <errorWord>）</errorWord>
      <group>L1_Format</group>
      <groupName>格式问题</groupName>
      <ability>L2_HalfPunc</ability>
      <abilityName>全半角检查</abilityName>
      <candidateList>
        <item>)</item>
      </candidateList>
      <explain>文本全半角错误。</explain>
      <paraID>478FC081</paraID>
      <start>22</start>
      <end>23</end>
      <status>modified</status>
      <modifiedWord>)</modifiedWord>
      <trackRevisions>false</trackRevisions>
    </reviewItem>
    <reviewItem>
      <errorID>dec3e87c-f17e-4e3a-827c-b9ca525cc1e0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150552C9</paraID>
      <start>1</start>
      <end>2</end>
      <status>modified</status>
      <modifiedWord>—</modifiedWord>
      <trackRevisions>false</trackRevisions>
    </reviewItem>
    <reviewItem>
      <errorID>59c1aa6f-28cf-4f29-ae58-13259b2504c6</errorID>
      <errorWord>(</errorWord>
      <group>L1_Format</group>
      <groupName>格式问题</groupName>
      <ability>L2_HalfPunc</ability>
      <abilityName>全半角检查</abilityName>
      <candidateList>
        <item>（</item>
      </candidateList>
      <explain>文本全半角错误。</explain>
      <paraID>150552C9</paraID>
      <start>5</start>
      <end>6</end>
      <status>ignored</status>
      <modifiedWord/>
      <trackRevisions>false</trackRevisions>
    </reviewItem>
    <reviewItem>
      <errorID>d14ba25a-55a0-469f-b580-188a38bc0747</errorID>
      <errorWord>项目2025年</errorWord>
      <group>L1_Word</group>
      <groupName>字词问题</groupName>
      <ability>L2_Typo</ability>
      <abilityName>字词错误</abilityName>
      <candidateList>
        <item>项目于2025年</item>
      </candidateList>
      <explain/>
      <paraID> 17D54F1</paraID>
      <start>4</start>
      <end>11</end>
      <status>ignored</status>
      <modifiedWord/>
      <trackRevisions>false</trackRevisions>
    </reviewItem>
    <reviewItem>
      <errorID>8da5b238-97e3-49c5-8cfd-6edbbee28297</errorID>
      <errorWord>）</errorWord>
      <group>L1_Format</group>
      <groupName>格式问题</groupName>
      <ability>L2_HalfPunc</ability>
      <abilityName>全半角检查</abilityName>
      <candidateList>
        <item>)</item>
      </candidateList>
      <explain>文本全半角错误。</explain>
      <paraID>4BF12317</paraID>
      <start>21</start>
      <end>22</end>
      <status>modified</status>
      <modifiedWord>)</modifiedWord>
      <trackRevisions>false</trackRevisions>
    </reviewItem>
    <reviewItem>
      <errorID>1b8a0be3-dfc0-4566-9623-b860838c2496</errorID>
      <errorWord>（</errorWord>
      <group>L1_Format</group>
      <groupName>格式问题</groupName>
      <ability>L2_HalfPunc</ability>
      <abilityName>全半角检查</abilityName>
      <candidateList>
        <item>(</item>
      </candidateList>
      <explain>文本全半角错误。</explain>
      <paraID>6EC5CD93</paraID>
      <start>14</start>
      <end>15</end>
      <status>modified</status>
      <modifiedWord>(</modifiedWord>
      <trackRevisions>false</trackRevisions>
    </reviewItem>
    <reviewItem>
      <errorID>a18bb51a-618f-41b0-b46c-16828c5e7abd</errorID>
      <errorWord>）</errorWord>
      <group>L1_Format</group>
      <groupName>格式问题</groupName>
      <ability>L2_HalfPunc</ability>
      <abilityName>全半角检查</abilityName>
      <candidateList>
        <item>)</item>
      </candidateList>
      <explain>文本全半角错误。</explain>
      <paraID>6EC5CD93</paraID>
      <start>20</start>
      <end>21</end>
      <status>modified</status>
      <modifiedWord>)</modifiedWord>
      <trackRevisions>false</trackRevisions>
    </reviewItem>
    <reviewItem>
      <errorID>181cb881-da6d-421f-871e-2be652dea740</errorID>
      <errorWord>（</errorWord>
      <group>L1_Format</group>
      <groupName>格式问题</groupName>
      <ability>L2_HalfPunc</ability>
      <abilityName>全半角检查</abilityName>
      <candidateList>
        <item>(</item>
      </candidateList>
      <explain>文本全半角错误。</explain>
      <paraID>522462C1</paraID>
      <start>16</start>
      <end>17</end>
      <status>modified</status>
      <modifiedWord>(</modifiedWord>
      <trackRevisions>false</trackRevisions>
    </reviewItem>
    <reviewItem>
      <errorID>0af329e6-ae5c-4f31-be05-de57d2f215a6</errorID>
      <errorWord>）</errorWord>
      <group>L1_Format</group>
      <groupName>格式问题</groupName>
      <ability>L2_HalfPunc</ability>
      <abilityName>全半角检查</abilityName>
      <candidateList>
        <item>)</item>
      </candidateList>
      <explain>文本全半角错误。</explain>
      <paraID>522462C1</paraID>
      <start>22</start>
      <end>23</end>
      <status>modified</status>
      <modifiedWord>)</modifiedWord>
      <trackRevisions>false</trackRevisions>
    </reviewItem>
    <reviewItem>
      <errorID>1447db97-db2d-4df6-88b6-85e95dfea369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1AFFEB9B</paraID>
      <start>44</start>
      <end>45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3ce24-33a5-46a7-b761-1a5bb8c8c287}">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63</Pages>
  <Words>20748</Words>
  <Characters>22003</Characters>
  <TotalTime>5</TotalTime>
  <ScaleCrop>false</ScaleCrop>
  <LinksUpToDate>false</LinksUpToDate>
  <CharactersWithSpaces>22414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2025-06-30T08:26:00Z</dcterms:created>
  <dc:creator>us</dc:creator>
  <cp:lastModifiedBy>admin1</cp:lastModifiedBy>
  <cp:lastPrinted>2026-07-17T08:26:13Z</cp:lastPrinted>
  <dcterms:modified xsi:type="dcterms:W3CDTF">2026-07-17T08:26:34Z</dcterms:modified>
  <dc:title>淮安市职业</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48ABE134EBFE4264A34BE487EFDCF6A0_13</vt:lpwstr>
  </property>
  <property fmtid="{D5CDD505-2E9C-101B-9397-08002B2CF9AE}" pid="4" name="KSOTemplateDocerSaveRecord">
    <vt:lpwstr>eyJoZGlkIjoiMzM1N2NmZDg0ZDY4MDE3MDI0ZWRlOGZlMTE5OTc0YjkiLCJ1c2VySWQiOiIzMDQxMTMzNzMifQ==</vt:lpwstr>
  </property>
</Properties>
</file>