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55E6B42">
      <w:pPr>
        <w:spacing w:line="360" w:lineRule="auto"/>
        <w:jc w:val="center"/>
        <w:rPr>
          <w:rFonts w:hint="eastAsia" w:ascii="宋体" w:hAnsi="宋体"/>
          <w:b/>
          <w:sz w:val="72"/>
          <w:szCs w:val="72"/>
        </w:rPr>
      </w:pPr>
    </w:p>
    <w:p w14:paraId="02458B83">
      <w:pPr>
        <w:spacing w:line="1040" w:lineRule="exact"/>
        <w:ind w:firstLine="332"/>
        <w:jc w:val="center"/>
        <w:rPr>
          <w:rFonts w:hint="eastAsia" w:ascii="宋体" w:hAnsi="宋体" w:cs="宋体"/>
          <w:b/>
          <w:sz w:val="60"/>
          <w:szCs w:val="60"/>
        </w:rPr>
      </w:pPr>
      <w:r>
        <w:rPr>
          <w:rFonts w:hint="eastAsia" w:ascii="宋体" w:hAnsi="宋体" w:cs="宋体"/>
          <w:b/>
          <w:sz w:val="56"/>
          <w:szCs w:val="56"/>
        </w:rPr>
        <w:t>“</w:t>
      </w:r>
      <w:r>
        <w:rPr>
          <w:rFonts w:hint="eastAsia" w:ascii="宋体" w:hAnsi="宋体" w:cs="宋体"/>
          <w:b/>
          <w:sz w:val="60"/>
          <w:szCs w:val="60"/>
        </w:rPr>
        <w:t>苏采云全流程不见面交易”</w:t>
      </w:r>
    </w:p>
    <w:p w14:paraId="4105CD79">
      <w:pPr>
        <w:pStyle w:val="21"/>
        <w:rPr>
          <w:sz w:val="22"/>
          <w:szCs w:val="22"/>
        </w:rPr>
      </w:pPr>
    </w:p>
    <w:p w14:paraId="16A86D3C">
      <w:pPr>
        <w:spacing w:line="360" w:lineRule="auto"/>
        <w:jc w:val="center"/>
        <w:rPr>
          <w:rFonts w:hint="eastAsia" w:ascii="黑体" w:hAnsi="黑体" w:eastAsia="黑体"/>
          <w:b/>
          <w:sz w:val="60"/>
          <w:szCs w:val="60"/>
        </w:rPr>
      </w:pPr>
      <w:r>
        <w:rPr>
          <w:rFonts w:hint="eastAsia" w:ascii="宋体" w:hAnsi="宋体" w:cs="宋体"/>
          <w:b/>
          <w:sz w:val="60"/>
          <w:szCs w:val="60"/>
        </w:rPr>
        <w:t>招 标 文 件</w:t>
      </w:r>
    </w:p>
    <w:p w14:paraId="56734BD8">
      <w:pPr>
        <w:spacing w:line="360" w:lineRule="auto"/>
        <w:ind w:firstLine="843"/>
        <w:outlineLvl w:val="0"/>
        <w:rPr>
          <w:rFonts w:hint="eastAsia" w:ascii="宋体" w:hAnsi="宋体" w:cs="宋体"/>
          <w:b/>
          <w:sz w:val="28"/>
          <w:szCs w:val="22"/>
        </w:rPr>
      </w:pPr>
    </w:p>
    <w:p w14:paraId="20318E63">
      <w:pPr>
        <w:spacing w:line="360" w:lineRule="auto"/>
        <w:ind w:left="1606" w:hanging="1606"/>
        <w:jc w:val="left"/>
        <w:outlineLvl w:val="0"/>
        <w:rPr>
          <w:rFonts w:hint="eastAsia" w:ascii="宋体" w:hAnsi="宋体" w:cs="宋体"/>
          <w:b/>
          <w:sz w:val="32"/>
        </w:rPr>
      </w:pPr>
    </w:p>
    <w:p w14:paraId="28303B8A">
      <w:pPr>
        <w:spacing w:line="360" w:lineRule="auto"/>
        <w:ind w:left="1925" w:hanging="1606"/>
        <w:outlineLvl w:val="0"/>
        <w:rPr>
          <w:rFonts w:hint="eastAsia" w:ascii="宋体" w:hAnsi="宋体" w:cs="宋体"/>
          <w:b/>
          <w:sz w:val="32"/>
        </w:rPr>
      </w:pPr>
      <w:r>
        <w:rPr>
          <w:rFonts w:hint="eastAsia" w:ascii="宋体" w:hAnsi="宋体" w:cs="宋体"/>
          <w:b/>
          <w:sz w:val="32"/>
        </w:rPr>
        <w:t>项目</w:t>
      </w:r>
      <w:r>
        <w:rPr>
          <w:rFonts w:hint="eastAsia" w:ascii="宋体" w:hAnsi="宋体" w:cs="宋体"/>
          <w:b/>
          <w:sz w:val="32"/>
          <w:szCs w:val="32"/>
        </w:rPr>
        <w:t>名称：盱眙县2025年小麦高产优质片区建设(农情监测点建设)</w:t>
      </w:r>
    </w:p>
    <w:p w14:paraId="5D68F339">
      <w:pPr>
        <w:spacing w:line="400" w:lineRule="exact"/>
        <w:ind w:firstLine="321"/>
        <w:rPr>
          <w:rFonts w:hint="eastAsia" w:ascii="宋体" w:hAnsi="宋体" w:cs="宋体"/>
          <w:b/>
          <w:sz w:val="32"/>
          <w:szCs w:val="32"/>
        </w:rPr>
      </w:pPr>
    </w:p>
    <w:p w14:paraId="1E47C699">
      <w:pPr>
        <w:spacing w:line="400" w:lineRule="exact"/>
        <w:ind w:firstLine="321"/>
        <w:rPr>
          <w:rFonts w:hint="eastAsia" w:ascii="宋体" w:hAnsi="宋体" w:cs="宋体"/>
          <w:b/>
          <w:sz w:val="32"/>
          <w:szCs w:val="32"/>
        </w:rPr>
      </w:pPr>
    </w:p>
    <w:p w14:paraId="429A9CD8">
      <w:pPr>
        <w:spacing w:line="400" w:lineRule="exact"/>
        <w:ind w:firstLine="321"/>
        <w:rPr>
          <w:rFonts w:hint="eastAsia" w:ascii="宋体" w:hAnsi="宋体" w:eastAsia="宋体" w:cs="宋体"/>
          <w:b/>
          <w:sz w:val="32"/>
          <w:szCs w:val="32"/>
          <w:lang w:eastAsia="zh-CN"/>
        </w:rPr>
      </w:pPr>
      <w:r>
        <w:rPr>
          <w:rFonts w:hint="eastAsia" w:ascii="宋体" w:hAnsi="宋体" w:cs="宋体"/>
          <w:b/>
          <w:sz w:val="32"/>
          <w:szCs w:val="32"/>
        </w:rPr>
        <w:t>项目编号：</w:t>
      </w:r>
      <w:r>
        <w:rPr>
          <w:rFonts w:hint="eastAsia" w:ascii="宋体" w:hAnsi="宋体" w:cs="宋体"/>
          <w:b/>
          <w:sz w:val="32"/>
          <w:szCs w:val="32"/>
          <w:lang w:eastAsia="zh-CN"/>
        </w:rPr>
        <w:t>JSZC-320830-HADY-G2026-0003</w:t>
      </w:r>
    </w:p>
    <w:p w14:paraId="407FEC53">
      <w:pPr>
        <w:spacing w:line="400" w:lineRule="exact"/>
        <w:rPr>
          <w:rFonts w:hint="eastAsia" w:ascii="宋体" w:hAnsi="宋体" w:cs="宋体"/>
          <w:b/>
          <w:sz w:val="32"/>
        </w:rPr>
      </w:pPr>
    </w:p>
    <w:p w14:paraId="069A0E89">
      <w:pPr>
        <w:spacing w:line="400" w:lineRule="exact"/>
        <w:ind w:firstLine="2692"/>
        <w:rPr>
          <w:rFonts w:hint="eastAsia" w:ascii="宋体" w:hAnsi="宋体" w:cs="宋体"/>
          <w:b/>
          <w:sz w:val="36"/>
        </w:rPr>
      </w:pPr>
    </w:p>
    <w:p w14:paraId="5F2C6433">
      <w:pPr>
        <w:pStyle w:val="39"/>
        <w:rPr>
          <w:color w:val="auto"/>
        </w:rPr>
      </w:pPr>
    </w:p>
    <w:p w14:paraId="450CEED7">
      <w:pPr>
        <w:pStyle w:val="39"/>
        <w:ind w:left="0" w:firstLine="0"/>
        <w:rPr>
          <w:color w:val="auto"/>
        </w:rPr>
      </w:pPr>
    </w:p>
    <w:p w14:paraId="1C3380AE"/>
    <w:p w14:paraId="7EDC4D21">
      <w:pPr>
        <w:pStyle w:val="21"/>
      </w:pPr>
    </w:p>
    <w:p w14:paraId="6487D47C"/>
    <w:p w14:paraId="49EF8FA8">
      <w:pPr>
        <w:pStyle w:val="206"/>
      </w:pPr>
    </w:p>
    <w:p w14:paraId="06670E7B">
      <w:pPr>
        <w:pStyle w:val="21"/>
      </w:pPr>
    </w:p>
    <w:p w14:paraId="3AA32E1F"/>
    <w:p w14:paraId="212D1FE6">
      <w:pPr>
        <w:spacing w:line="360" w:lineRule="auto"/>
        <w:ind w:firstLine="1606"/>
        <w:outlineLvl w:val="0"/>
        <w:rPr>
          <w:rFonts w:hint="eastAsia" w:ascii="宋体" w:hAnsi="宋体" w:cs="宋体"/>
          <w:b/>
          <w:sz w:val="32"/>
          <w:szCs w:val="32"/>
        </w:rPr>
      </w:pPr>
      <w:r>
        <w:rPr>
          <w:rFonts w:hint="eastAsia" w:ascii="宋体" w:hAnsi="宋体" w:cs="宋体"/>
          <w:b/>
          <w:sz w:val="32"/>
          <w:szCs w:val="32"/>
        </w:rPr>
        <w:t>采 购 人:盱眙县农业技术推广中心</w:t>
      </w:r>
    </w:p>
    <w:p w14:paraId="5B2D7CB7">
      <w:pPr>
        <w:spacing w:line="360" w:lineRule="auto"/>
        <w:jc w:val="center"/>
        <w:outlineLvl w:val="0"/>
        <w:rPr>
          <w:sz w:val="32"/>
          <w:szCs w:val="32"/>
        </w:rPr>
      </w:pPr>
      <w:r>
        <w:rPr>
          <w:rFonts w:hint="eastAsia" w:ascii="宋体" w:hAnsi="宋体" w:cs="宋体"/>
          <w:b/>
          <w:sz w:val="32"/>
          <w:szCs w:val="32"/>
        </w:rPr>
        <w:t>代理机构:淮安德誉工程项目管理有限公司</w:t>
      </w:r>
    </w:p>
    <w:p w14:paraId="7B16613A">
      <w:pPr>
        <w:spacing w:line="360" w:lineRule="auto"/>
        <w:jc w:val="center"/>
        <w:outlineLvl w:val="0"/>
        <w:rPr>
          <w:rFonts w:hint="eastAsia" w:ascii="宋体" w:hAnsi="宋体" w:cs="宋体"/>
          <w:b/>
          <w:sz w:val="32"/>
          <w:szCs w:val="32"/>
        </w:rPr>
      </w:pPr>
    </w:p>
    <w:p w14:paraId="249CEBBA">
      <w:pPr>
        <w:spacing w:line="360" w:lineRule="auto"/>
        <w:jc w:val="center"/>
        <w:outlineLvl w:val="0"/>
        <w:rPr>
          <w:rFonts w:hint="eastAsia" w:ascii="宋体" w:hAnsi="宋体" w:cs="宋体"/>
          <w:b/>
          <w:sz w:val="32"/>
          <w:szCs w:val="32"/>
        </w:rPr>
        <w:sectPr>
          <w:headerReference r:id="rId5" w:type="first"/>
          <w:footerReference r:id="rId8" w:type="first"/>
          <w:headerReference r:id="rId3" w:type="default"/>
          <w:footerReference r:id="rId6" w:type="default"/>
          <w:headerReference r:id="rId4" w:type="even"/>
          <w:footerReference r:id="rId7" w:type="even"/>
          <w:pgSz w:w="11906" w:h="16838" w:orient="landscape"/>
          <w:pgMar w:top="1463" w:right="1803" w:bottom="1463" w:left="1803" w:header="851" w:footer="992" w:gutter="0"/>
          <w:cols w:space="720" w:num="1"/>
        </w:sectPr>
      </w:pPr>
      <w:r>
        <w:rPr>
          <w:rFonts w:hint="eastAsia" w:ascii="宋体" w:hAnsi="宋体" w:cs="宋体"/>
          <w:b/>
          <w:sz w:val="32"/>
          <w:szCs w:val="32"/>
        </w:rPr>
        <w:t>二〇二六年</w:t>
      </w:r>
      <w:bookmarkStart w:id="0" w:name="_Toc142209795"/>
      <w:bookmarkStart w:id="1" w:name="_Toc115756014"/>
      <w:r>
        <w:rPr>
          <w:rFonts w:hint="eastAsia" w:ascii="宋体" w:hAnsi="宋体" w:cs="宋体"/>
          <w:b/>
          <w:sz w:val="32"/>
          <w:szCs w:val="32"/>
          <w:lang w:val="en-US" w:eastAsia="zh-CN"/>
        </w:rPr>
        <w:t>七</w:t>
      </w:r>
      <w:r>
        <w:rPr>
          <w:rFonts w:hint="eastAsia" w:ascii="宋体" w:hAnsi="宋体" w:cs="宋体"/>
          <w:b/>
          <w:sz w:val="32"/>
          <w:szCs w:val="32"/>
        </w:rPr>
        <w:t>月</w:t>
      </w:r>
      <w:r>
        <w:rPr>
          <w:rFonts w:hint="eastAsia" w:ascii="宋体" w:hAnsi="宋体" w:cs="宋体"/>
          <w:b/>
          <w:sz w:val="32"/>
          <w:szCs w:val="32"/>
          <w:lang w:val="en-US" w:eastAsia="zh-CN"/>
        </w:rPr>
        <w:t>十三</w:t>
      </w:r>
      <w:r>
        <w:rPr>
          <w:rFonts w:hint="eastAsia" w:ascii="宋体" w:hAnsi="宋体" w:cs="宋体"/>
          <w:b/>
          <w:sz w:val="32"/>
          <w:szCs w:val="32"/>
        </w:rPr>
        <w:t>日</w:t>
      </w:r>
      <w:bookmarkEnd w:id="0"/>
      <w:bookmarkEnd w:id="1"/>
    </w:p>
    <w:p w14:paraId="330C0993">
      <w:pPr>
        <w:spacing w:after="240"/>
        <w:jc w:val="center"/>
        <w:rPr>
          <w:rFonts w:hint="eastAsia" w:ascii="宋体" w:hAnsi="宋体" w:cs="宋体"/>
          <w:b/>
          <w:bCs/>
          <w:sz w:val="36"/>
          <w:szCs w:val="36"/>
        </w:rPr>
      </w:pPr>
      <w:bookmarkStart w:id="2" w:name="_Toc8631988"/>
      <w:bookmarkStart w:id="3" w:name="_Toc14516908"/>
      <w:bookmarkStart w:id="4" w:name="OLE_LINK1"/>
    </w:p>
    <w:p w14:paraId="6FD81F6C">
      <w:pPr>
        <w:spacing w:after="240"/>
        <w:jc w:val="center"/>
        <w:rPr>
          <w:rFonts w:hint="eastAsia" w:ascii="宋体" w:hAnsi="宋体" w:cs="宋体"/>
          <w:b/>
          <w:bCs/>
          <w:sz w:val="36"/>
          <w:szCs w:val="36"/>
        </w:rPr>
      </w:pPr>
    </w:p>
    <w:p w14:paraId="513A55F7">
      <w:pPr>
        <w:spacing w:after="240"/>
        <w:jc w:val="center"/>
        <w:rPr>
          <w:rFonts w:hint="eastAsia" w:ascii="宋体" w:hAnsi="宋体" w:cs="宋体"/>
          <w:b/>
          <w:bCs/>
          <w:sz w:val="36"/>
          <w:szCs w:val="36"/>
        </w:rPr>
      </w:pPr>
    </w:p>
    <w:p w14:paraId="4600B594">
      <w:pPr>
        <w:spacing w:after="240"/>
        <w:jc w:val="center"/>
        <w:rPr>
          <w:rFonts w:hint="eastAsia" w:ascii="宋体" w:hAnsi="宋体" w:cs="宋体"/>
          <w:b/>
          <w:bCs/>
          <w:sz w:val="36"/>
          <w:szCs w:val="36"/>
        </w:rPr>
      </w:pPr>
    </w:p>
    <w:p w14:paraId="2442C83B">
      <w:pPr>
        <w:spacing w:after="240"/>
        <w:jc w:val="center"/>
        <w:rPr>
          <w:rFonts w:hint="eastAsia" w:ascii="宋体" w:hAnsi="宋体" w:cs="宋体"/>
          <w:bCs/>
          <w:sz w:val="28"/>
          <w:szCs w:val="28"/>
        </w:rPr>
      </w:pPr>
      <w:r>
        <w:rPr>
          <w:rFonts w:hint="eastAsia" w:ascii="宋体" w:hAnsi="宋体" w:cs="宋体"/>
          <w:b/>
          <w:bCs/>
          <w:sz w:val="36"/>
          <w:szCs w:val="36"/>
        </w:rPr>
        <w:t>目  录</w:t>
      </w:r>
    </w:p>
    <w:p w14:paraId="310854A1">
      <w:pPr>
        <w:pStyle w:val="27"/>
        <w:tabs>
          <w:tab w:val="right" w:leader="dot" w:pos="8931"/>
        </w:tabs>
        <w:spacing w:line="360" w:lineRule="auto"/>
        <w:rPr>
          <w:rFonts w:hint="eastAsia" w:ascii="宋体" w:hAnsi="宋体" w:cs="宋体"/>
          <w:bCs/>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TOC \o "1-1" \h \u </w:instrText>
      </w:r>
      <w:r>
        <w:rPr>
          <w:rFonts w:hint="eastAsia" w:ascii="宋体" w:hAnsi="宋体" w:cs="宋体"/>
          <w:bCs/>
          <w:sz w:val="28"/>
          <w:szCs w:val="28"/>
        </w:rPr>
        <w:fldChar w:fldCharType="separate"/>
      </w:r>
      <w:r>
        <w:fldChar w:fldCharType="begin"/>
      </w:r>
      <w:r>
        <w:instrText xml:space="preserve"> HYPERLINK \l "_Toc22938" </w:instrText>
      </w:r>
      <w:r>
        <w:fldChar w:fldCharType="separate"/>
      </w:r>
      <w:r>
        <w:rPr>
          <w:rFonts w:hint="eastAsia" w:ascii="宋体" w:hAnsi="宋体" w:cs="宋体"/>
          <w:bCs/>
          <w:sz w:val="28"/>
          <w:szCs w:val="28"/>
        </w:rPr>
        <w:t>第一章 招标公告</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rPr>
        <w:t>1</w:t>
      </w:r>
    </w:p>
    <w:p w14:paraId="27A36C1F">
      <w:pPr>
        <w:pStyle w:val="27"/>
        <w:tabs>
          <w:tab w:val="right" w:leader="dot" w:pos="8931"/>
        </w:tabs>
        <w:spacing w:line="360" w:lineRule="auto"/>
        <w:rPr>
          <w:rFonts w:hint="eastAsia" w:ascii="宋体" w:hAnsi="宋体" w:cs="宋体"/>
          <w:bCs/>
          <w:sz w:val="28"/>
          <w:szCs w:val="28"/>
        </w:rPr>
      </w:pPr>
      <w:r>
        <w:rPr>
          <w:rFonts w:hint="eastAsia" w:ascii="宋体" w:hAnsi="宋体" w:cs="宋体"/>
          <w:bCs/>
          <w:sz w:val="28"/>
          <w:szCs w:val="28"/>
        </w:rPr>
        <w:t>第二章 投标人须知</w:t>
      </w:r>
      <w:r>
        <w:fldChar w:fldCharType="begin"/>
      </w:r>
      <w:r>
        <w:instrText xml:space="preserve"> HYPERLINK \l "_Toc262" </w:instrText>
      </w:r>
      <w:r>
        <w:fldChar w:fldCharType="separate"/>
      </w:r>
      <w:r>
        <w:rPr>
          <w:rFonts w:hint="eastAsia" w:ascii="宋体" w:hAnsi="宋体" w:cs="宋体"/>
          <w:bCs/>
          <w:sz w:val="28"/>
          <w:szCs w:val="28"/>
        </w:rPr>
        <w:t xml:space="preserve"> </w:t>
      </w:r>
      <w:bookmarkStart w:id="5" w:name="_Hlt91514356"/>
      <w:r>
        <w:rPr>
          <w:rFonts w:hint="eastAsia" w:ascii="宋体" w:hAnsi="宋体" w:cs="宋体"/>
          <w:bCs/>
          <w:sz w:val="28"/>
          <w:szCs w:val="28"/>
        </w:rPr>
        <w:tab/>
      </w:r>
      <w:bookmarkEnd w:id="5"/>
      <w:r>
        <w:rPr>
          <w:rFonts w:hint="eastAsia" w:ascii="宋体" w:hAnsi="宋体" w:cs="宋体"/>
          <w:bCs/>
          <w:sz w:val="28"/>
          <w:szCs w:val="28"/>
        </w:rPr>
        <w:fldChar w:fldCharType="end"/>
      </w:r>
      <w:r>
        <w:rPr>
          <w:rFonts w:hint="eastAsia" w:ascii="宋体" w:hAnsi="宋体" w:cs="宋体"/>
          <w:bCs/>
          <w:sz w:val="28"/>
          <w:szCs w:val="28"/>
        </w:rPr>
        <w:t>5</w:t>
      </w:r>
    </w:p>
    <w:p w14:paraId="4377AD9D">
      <w:pPr>
        <w:pStyle w:val="27"/>
        <w:tabs>
          <w:tab w:val="right" w:leader="dot" w:pos="8931"/>
        </w:tabs>
        <w:spacing w:line="360" w:lineRule="auto"/>
        <w:rPr>
          <w:rFonts w:hint="eastAsia" w:ascii="宋体" w:hAnsi="宋体" w:cs="宋体"/>
          <w:bCs/>
          <w:sz w:val="28"/>
          <w:szCs w:val="28"/>
        </w:rPr>
      </w:pPr>
      <w:r>
        <w:fldChar w:fldCharType="begin"/>
      </w:r>
      <w:r>
        <w:instrText xml:space="preserve"> HYPERLINK \l "_Toc262" </w:instrText>
      </w:r>
      <w:r>
        <w:fldChar w:fldCharType="separate"/>
      </w:r>
      <w:r>
        <w:rPr>
          <w:rFonts w:hint="eastAsia" w:ascii="宋体" w:hAnsi="宋体" w:cs="宋体"/>
          <w:bCs/>
          <w:sz w:val="28"/>
          <w:szCs w:val="28"/>
        </w:rPr>
        <w:t>第三章 评分标准</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rPr>
        <w:t>20</w:t>
      </w:r>
    </w:p>
    <w:p w14:paraId="614C3D65">
      <w:r>
        <w:fldChar w:fldCharType="begin"/>
      </w:r>
      <w:r>
        <w:instrText xml:space="preserve"> HYPERLINK \l "_Toc262" </w:instrText>
      </w:r>
      <w:r>
        <w:fldChar w:fldCharType="separate"/>
      </w:r>
      <w:r>
        <w:rPr>
          <w:rFonts w:hint="eastAsia" w:ascii="宋体" w:hAnsi="宋体" w:cs="宋体"/>
          <w:bCs/>
          <w:sz w:val="28"/>
          <w:szCs w:val="28"/>
        </w:rPr>
        <w:t>第四章 合同格式及条款.....</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rPr>
        <w:t>...................................23</w:t>
      </w:r>
    </w:p>
    <w:p w14:paraId="44DC31F8">
      <w:pPr>
        <w:pStyle w:val="27"/>
        <w:tabs>
          <w:tab w:val="right" w:leader="dot" w:pos="8931"/>
        </w:tabs>
        <w:spacing w:line="360" w:lineRule="auto"/>
        <w:rPr>
          <w:rFonts w:hint="eastAsia" w:ascii="宋体" w:hAnsi="宋体" w:cs="宋体"/>
          <w:bCs/>
          <w:sz w:val="28"/>
          <w:szCs w:val="28"/>
        </w:rPr>
      </w:pPr>
      <w:r>
        <w:fldChar w:fldCharType="begin"/>
      </w:r>
      <w:r>
        <w:instrText xml:space="preserve"> HYPERLINK \l "_Toc28295" </w:instrText>
      </w:r>
      <w:r>
        <w:fldChar w:fldCharType="separate"/>
      </w:r>
      <w:r>
        <w:rPr>
          <w:rFonts w:hint="eastAsia" w:ascii="宋体" w:hAnsi="宋体" w:cs="宋体"/>
          <w:bCs/>
          <w:sz w:val="28"/>
          <w:szCs w:val="28"/>
        </w:rPr>
        <w:t>第五章 采购需求</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rPr>
        <w:t>33</w:t>
      </w:r>
    </w:p>
    <w:p w14:paraId="4E75CE9C">
      <w:pPr>
        <w:pStyle w:val="27"/>
        <w:tabs>
          <w:tab w:val="right" w:leader="dot" w:pos="8931"/>
        </w:tabs>
        <w:spacing w:line="360" w:lineRule="auto"/>
        <w:rPr>
          <w:rFonts w:hint="eastAsia" w:ascii="宋体" w:hAnsi="宋体" w:cs="宋体"/>
          <w:bCs/>
          <w:sz w:val="28"/>
          <w:szCs w:val="28"/>
        </w:rPr>
      </w:pPr>
      <w:r>
        <w:fldChar w:fldCharType="begin"/>
      </w:r>
      <w:r>
        <w:instrText xml:space="preserve"> HYPERLINK \l "_Toc13476" </w:instrText>
      </w:r>
      <w:r>
        <w:fldChar w:fldCharType="separate"/>
      </w:r>
      <w:r>
        <w:rPr>
          <w:rFonts w:hint="eastAsia" w:ascii="宋体" w:hAnsi="宋体" w:cs="宋体"/>
          <w:bCs/>
          <w:sz w:val="28"/>
          <w:szCs w:val="28"/>
        </w:rPr>
        <w:t xml:space="preserve">第六章 投标文件 </w:t>
      </w:r>
      <w:r>
        <w:rPr>
          <w:rFonts w:hint="eastAsia" w:ascii="宋体" w:hAnsi="宋体" w:cs="宋体"/>
          <w:bCs/>
          <w:sz w:val="28"/>
          <w:szCs w:val="28"/>
        </w:rPr>
        <w:tab/>
      </w:r>
      <w:r>
        <w:rPr>
          <w:rFonts w:hint="eastAsia" w:ascii="宋体" w:hAnsi="宋体" w:cs="宋体"/>
          <w:bCs/>
          <w:sz w:val="28"/>
          <w:szCs w:val="28"/>
        </w:rPr>
        <w:t>3</w:t>
      </w:r>
      <w:r>
        <w:rPr>
          <w:rFonts w:hint="eastAsia" w:ascii="宋体" w:hAnsi="宋体" w:cs="宋体"/>
          <w:bCs/>
          <w:sz w:val="28"/>
          <w:szCs w:val="28"/>
        </w:rPr>
        <w:fldChar w:fldCharType="end"/>
      </w:r>
      <w:r>
        <w:rPr>
          <w:rFonts w:hint="eastAsia" w:ascii="宋体" w:hAnsi="宋体" w:cs="宋体"/>
          <w:bCs/>
          <w:sz w:val="28"/>
          <w:szCs w:val="28"/>
        </w:rPr>
        <w:t>6</w:t>
      </w:r>
    </w:p>
    <w:p w14:paraId="18841682">
      <w:r>
        <w:rPr>
          <w:rFonts w:hint="eastAsia" w:ascii="宋体" w:hAnsi="宋体" w:cs="宋体"/>
          <w:bCs/>
          <w:sz w:val="28"/>
          <w:szCs w:val="28"/>
        </w:rPr>
        <w:fldChar w:fldCharType="end"/>
      </w:r>
    </w:p>
    <w:bookmarkEnd w:id="2"/>
    <w:bookmarkEnd w:id="3"/>
    <w:p w14:paraId="1E6038EB">
      <w:pPr>
        <w:pStyle w:val="32"/>
        <w:ind w:left="3360"/>
      </w:pPr>
    </w:p>
    <w:p w14:paraId="6C7451FB">
      <w:pPr>
        <w:spacing w:line="360" w:lineRule="auto"/>
        <w:rPr>
          <w:rFonts w:hint="eastAsia" w:ascii="宋体" w:hAnsi="宋体" w:cs="宋体"/>
          <w:b/>
          <w:bCs/>
          <w:sz w:val="32"/>
          <w:szCs w:val="32"/>
        </w:rPr>
        <w:sectPr>
          <w:footerReference r:id="rId9" w:type="default"/>
          <w:pgSz w:w="11906" w:h="16838" w:orient="landscape"/>
          <w:pgMar w:top="1440" w:right="1463" w:bottom="1440" w:left="1463" w:header="851" w:footer="992" w:gutter="0"/>
          <w:pgNumType w:start="1"/>
          <w:cols w:space="720" w:num="1"/>
        </w:sectPr>
      </w:pPr>
    </w:p>
    <w:p w14:paraId="4579F661">
      <w:pPr>
        <w:jc w:val="center"/>
        <w:rPr>
          <w:rFonts w:hint="eastAsia" w:ascii="宋体" w:hAnsi="宋体" w:cs="宋体"/>
          <w:b/>
          <w:bCs/>
          <w:sz w:val="32"/>
          <w:szCs w:val="32"/>
        </w:rPr>
      </w:pPr>
      <w:r>
        <w:rPr>
          <w:rFonts w:hint="eastAsia" w:ascii="宋体" w:hAnsi="宋体" w:cs="宋体"/>
          <w:b/>
          <w:bCs/>
          <w:sz w:val="32"/>
          <w:szCs w:val="32"/>
        </w:rPr>
        <w:t>第一章  招标公告</w:t>
      </w:r>
    </w:p>
    <w:p w14:paraId="72EDCC2A">
      <w:pPr>
        <w:spacing w:line="400" w:lineRule="exact"/>
        <w:ind w:firstLine="480"/>
        <w:rPr>
          <w:rFonts w:hint="eastAsia" w:ascii="宋体" w:hAnsi="宋体" w:cs="宋体"/>
          <w:b/>
          <w:bCs/>
          <w:sz w:val="24"/>
          <w:szCs w:val="20"/>
        </w:rPr>
      </w:pPr>
      <w:bookmarkStart w:id="6" w:name="_Toc28359081"/>
      <w:bookmarkStart w:id="7" w:name="_Toc35393792"/>
      <w:bookmarkStart w:id="8" w:name="_Toc28359004"/>
      <w:bookmarkStart w:id="9" w:name="_Toc35393623"/>
      <w:r>
        <w:rPr>
          <w:rFonts w:hint="eastAsia" w:ascii="宋体" w:hAnsi="宋体"/>
          <w:sz w:val="24"/>
        </w:rPr>
        <w:t>受盱眙县农业技术推广中心的委托，淮安德誉工程项目管理有限公司就盱眙县2025年小麦高产优质片区建设(农情监测点建设)（项目编号：</w:t>
      </w:r>
      <w:r>
        <w:rPr>
          <w:rFonts w:hint="eastAsia" w:ascii="宋体" w:hAnsi="宋体"/>
          <w:sz w:val="24"/>
          <w:lang w:eastAsia="zh-CN"/>
        </w:rPr>
        <w:t>JSZC-320830-HADY-G2026-0003</w:t>
      </w:r>
      <w:r>
        <w:rPr>
          <w:rFonts w:hint="eastAsia" w:ascii="宋体" w:hAnsi="宋体"/>
          <w:sz w:val="24"/>
        </w:rPr>
        <w:t>）项目进行公开招标采购，欢迎符合条件的供应商投标。</w:t>
      </w:r>
    </w:p>
    <w:p w14:paraId="27BE5ACD">
      <w:pPr>
        <w:spacing w:line="400" w:lineRule="exact"/>
        <w:ind w:firstLine="480"/>
        <w:jc w:val="left"/>
        <w:outlineLvl w:val="2"/>
        <w:rPr>
          <w:rFonts w:hint="eastAsia" w:ascii="宋体" w:hAnsi="宋体" w:cs="宋体"/>
          <w:sz w:val="24"/>
          <w:szCs w:val="20"/>
        </w:rPr>
      </w:pPr>
      <w:r>
        <w:rPr>
          <w:sz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828800" cy="1828800"/>
                <wp:effectExtent l="0" t="0" r="0" b="0"/>
                <wp:wrapSquare wrapText="bothSides"/>
                <wp:docPr id="2"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2E44FB24">
                            <w:pPr>
                              <w:spacing w:line="380" w:lineRule="exact"/>
                              <w:rPr>
                                <w:rFonts w:hint="eastAsia" w:ascii="宋体" w:hAnsi="宋体" w:cs="宋体"/>
                                <w:b/>
                                <w:bCs/>
                                <w:sz w:val="24"/>
                                <w:szCs w:val="20"/>
                              </w:rPr>
                            </w:pPr>
                            <w:r>
                              <w:rPr>
                                <w:rFonts w:hint="eastAsia" w:ascii="宋体" w:hAnsi="宋体" w:cs="宋体"/>
                                <w:b/>
                                <w:bCs/>
                                <w:sz w:val="24"/>
                                <w:szCs w:val="20"/>
                              </w:rPr>
                              <w:t>项目概况：</w:t>
                            </w:r>
                          </w:p>
                          <w:p w14:paraId="2763647A">
                            <w:pPr>
                              <w:spacing w:line="400" w:lineRule="exact"/>
                              <w:ind w:firstLine="480"/>
                              <w:jc w:val="left"/>
                              <w:outlineLvl w:val="2"/>
                              <w:rPr>
                                <w:rFonts w:hint="eastAsia" w:ascii="宋体" w:hAnsi="宋体" w:cs="宋体"/>
                                <w:sz w:val="24"/>
                                <w:szCs w:val="20"/>
                              </w:rPr>
                            </w:pPr>
                            <w:r>
                              <w:rPr>
                                <w:rFonts w:hint="eastAsia" w:ascii="宋体" w:cs="宋体"/>
                                <w:sz w:val="24"/>
                              </w:rPr>
                              <w:t>潜在供应商</w:t>
                            </w:r>
                            <w:r>
                              <w:rPr>
                                <w:rFonts w:hint="eastAsia" w:ascii="宋体" w:hAnsi="宋体"/>
                                <w:sz w:val="24"/>
                              </w:rPr>
                              <w:t>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cs="宋体"/>
                                <w:sz w:val="24"/>
                              </w:rPr>
                              <w:t>，并于2026年</w:t>
                            </w:r>
                            <w:r>
                              <w:rPr>
                                <w:rFonts w:hint="eastAsia" w:ascii="宋体" w:cs="宋体"/>
                                <w:sz w:val="24"/>
                                <w:lang w:val="en-US" w:eastAsia="zh-CN"/>
                              </w:rPr>
                              <w:t>8</w:t>
                            </w:r>
                            <w:r>
                              <w:rPr>
                                <w:rFonts w:hint="eastAsia" w:ascii="宋体" w:cs="宋体"/>
                                <w:sz w:val="24"/>
                              </w:rPr>
                              <w:t>月</w:t>
                            </w:r>
                            <w:r>
                              <w:rPr>
                                <w:rFonts w:hint="eastAsia" w:ascii="宋体" w:cs="宋体"/>
                                <w:sz w:val="24"/>
                                <w:lang w:val="en-US" w:eastAsia="zh-CN"/>
                              </w:rPr>
                              <w:t>4</w:t>
                            </w:r>
                            <w:r>
                              <w:rPr>
                                <w:rFonts w:hint="eastAsia" w:ascii="宋体" w:cs="宋体"/>
                                <w:sz w:val="24"/>
                              </w:rPr>
                              <w:t>日9时00分（北京时</w:t>
                            </w:r>
                            <w:r>
                              <w:rPr>
                                <w:rFonts w:hint="eastAsia" w:ascii="宋体" w:cs="宋体"/>
                                <w:bCs/>
                                <w:sz w:val="24"/>
                              </w:rPr>
                              <w:t>间）前递交响应文件</w:t>
                            </w:r>
                            <w:r>
                              <w:rPr>
                                <w:rFonts w:hint="eastAsia" w:ascii="宋体" w:cs="宋体"/>
                                <w:sz w:val="24"/>
                              </w:rPr>
                              <w:t>。</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文本框 1" o:spid="_x0000_s1026" o:spt="202" type="#_x0000_t202" style="position:absolute;left:0pt;margin-left:0pt;margin-top:0pt;height:144pt;width:144pt;mso-wrap-distance-bottom:0pt;mso-wrap-distance-left:9pt;mso-wrap-distance-right:9pt;mso-wrap-distance-top:0pt;mso-wrap-style:none;z-index:251659264;mso-width-relative:page;mso-height-relative:page;" fillcolor="#FFFFFF [3201]" filled="t" stroked="t" coordsize="21600,21600" o:gfxdata="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JsqR73PAAAABQEA&#10;AA8AAAAAAAAAAQAgAAAAIgAAAGRycy9kb3ducmV2LnhtbFBLAQIUABQAAAAIAIdO4kAE+7P4XAIA&#10;AMQEAAAOAAAAAAAAAAEAIAAAAB4BAABkcnMvZTJvRG9jLnhtbFBLBQYAAAAABgAGAFkBAADsBQAA&#10;AAA=&#10;">
                <v:fill on="t" focussize="0,0"/>
                <v:stroke weight="0.5pt" color="#000000 [3204]" joinstyle="round"/>
                <v:imagedata o:title=""/>
                <o:lock v:ext="edit" aspectratio="f"/>
                <v:textbox style="mso-fit-shape-to-text:t;">
                  <w:txbxContent>
                    <w:p w14:paraId="2E44FB24">
                      <w:pPr>
                        <w:spacing w:line="380" w:lineRule="exact"/>
                        <w:rPr>
                          <w:rFonts w:hint="eastAsia" w:ascii="宋体" w:hAnsi="宋体" w:cs="宋体"/>
                          <w:b/>
                          <w:bCs/>
                          <w:sz w:val="24"/>
                          <w:szCs w:val="20"/>
                        </w:rPr>
                      </w:pPr>
                      <w:r>
                        <w:rPr>
                          <w:rFonts w:hint="eastAsia" w:ascii="宋体" w:hAnsi="宋体" w:cs="宋体"/>
                          <w:b/>
                          <w:bCs/>
                          <w:sz w:val="24"/>
                          <w:szCs w:val="20"/>
                        </w:rPr>
                        <w:t>项目概况：</w:t>
                      </w:r>
                    </w:p>
                    <w:p w14:paraId="2763647A">
                      <w:pPr>
                        <w:spacing w:line="400" w:lineRule="exact"/>
                        <w:ind w:firstLine="480"/>
                        <w:jc w:val="left"/>
                        <w:outlineLvl w:val="2"/>
                        <w:rPr>
                          <w:rFonts w:hint="eastAsia" w:ascii="宋体" w:hAnsi="宋体" w:cs="宋体"/>
                          <w:sz w:val="24"/>
                          <w:szCs w:val="20"/>
                        </w:rPr>
                      </w:pPr>
                      <w:r>
                        <w:rPr>
                          <w:rFonts w:hint="eastAsia" w:ascii="宋体" w:cs="宋体"/>
                          <w:sz w:val="24"/>
                        </w:rPr>
                        <w:t>潜在供应商</w:t>
                      </w:r>
                      <w:r>
                        <w:rPr>
                          <w:rFonts w:hint="eastAsia" w:ascii="宋体" w:hAnsi="宋体"/>
                          <w:sz w:val="24"/>
                        </w:rPr>
                        <w:t>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cs="宋体"/>
                          <w:sz w:val="24"/>
                        </w:rPr>
                        <w:t>，并于2026年</w:t>
                      </w:r>
                      <w:r>
                        <w:rPr>
                          <w:rFonts w:hint="eastAsia" w:ascii="宋体" w:cs="宋体"/>
                          <w:sz w:val="24"/>
                          <w:lang w:val="en-US" w:eastAsia="zh-CN"/>
                        </w:rPr>
                        <w:t>8</w:t>
                      </w:r>
                      <w:r>
                        <w:rPr>
                          <w:rFonts w:hint="eastAsia" w:ascii="宋体" w:cs="宋体"/>
                          <w:sz w:val="24"/>
                        </w:rPr>
                        <w:t>月</w:t>
                      </w:r>
                      <w:r>
                        <w:rPr>
                          <w:rFonts w:hint="eastAsia" w:ascii="宋体" w:cs="宋体"/>
                          <w:sz w:val="24"/>
                          <w:lang w:val="en-US" w:eastAsia="zh-CN"/>
                        </w:rPr>
                        <w:t>4</w:t>
                      </w:r>
                      <w:r>
                        <w:rPr>
                          <w:rFonts w:hint="eastAsia" w:ascii="宋体" w:cs="宋体"/>
                          <w:sz w:val="24"/>
                        </w:rPr>
                        <w:t>日9时00分（北京时</w:t>
                      </w:r>
                      <w:r>
                        <w:rPr>
                          <w:rFonts w:hint="eastAsia" w:ascii="宋体" w:cs="宋体"/>
                          <w:bCs/>
                          <w:sz w:val="24"/>
                        </w:rPr>
                        <w:t>间）前递交响应文件</w:t>
                      </w:r>
                      <w:r>
                        <w:rPr>
                          <w:rFonts w:hint="eastAsia" w:ascii="宋体" w:cs="宋体"/>
                          <w:sz w:val="24"/>
                        </w:rPr>
                        <w:t>。</w:t>
                      </w:r>
                    </w:p>
                  </w:txbxContent>
                </v:textbox>
                <w10:wrap type="square"/>
              </v:shape>
            </w:pict>
          </mc:Fallback>
        </mc:AlternateContent>
      </w:r>
    </w:p>
    <w:p w14:paraId="4CAE218B">
      <w:pPr>
        <w:spacing w:line="400" w:lineRule="exact"/>
        <w:jc w:val="left"/>
        <w:outlineLvl w:val="2"/>
        <w:rPr>
          <w:rFonts w:hint="eastAsia" w:ascii="宋体" w:hAnsi="宋体" w:cs="宋体"/>
          <w:b/>
          <w:bCs/>
          <w:sz w:val="24"/>
        </w:rPr>
      </w:pPr>
      <w:r>
        <w:rPr>
          <w:rFonts w:hint="eastAsia" w:ascii="宋体" w:hAnsi="宋体" w:cs="宋体"/>
          <w:b/>
          <w:bCs/>
          <w:sz w:val="24"/>
        </w:rPr>
        <w:t>一、项目基本情况</w:t>
      </w:r>
    </w:p>
    <w:p w14:paraId="4F49BEBE">
      <w:pPr>
        <w:spacing w:line="400" w:lineRule="exact"/>
        <w:ind w:firstLine="480"/>
        <w:jc w:val="left"/>
        <w:outlineLvl w:val="2"/>
        <w:rPr>
          <w:rFonts w:hint="eastAsia" w:ascii="宋体" w:hAnsi="宋体" w:eastAsia="宋体" w:cs="宋体"/>
          <w:sz w:val="24"/>
          <w:szCs w:val="20"/>
          <w:lang w:eastAsia="zh-CN"/>
        </w:rPr>
      </w:pPr>
      <w:r>
        <w:rPr>
          <w:rFonts w:hint="eastAsia" w:ascii="宋体" w:hAnsi="宋体" w:cs="宋体"/>
          <w:sz w:val="24"/>
          <w:szCs w:val="20"/>
        </w:rPr>
        <w:t>（一）项目编号：</w:t>
      </w:r>
      <w:r>
        <w:rPr>
          <w:rFonts w:hint="eastAsia" w:ascii="宋体" w:hAnsi="宋体"/>
          <w:sz w:val="24"/>
          <w:lang w:eastAsia="zh-CN"/>
        </w:rPr>
        <w:t>JSZC-320830-HADY-G2026-0003</w:t>
      </w:r>
    </w:p>
    <w:p w14:paraId="5B27526B">
      <w:pPr>
        <w:spacing w:line="400" w:lineRule="exact"/>
        <w:ind w:firstLine="480"/>
        <w:jc w:val="left"/>
        <w:outlineLvl w:val="2"/>
        <w:rPr>
          <w:rFonts w:hint="eastAsia" w:ascii="宋体" w:hAnsi="宋体" w:cs="宋体"/>
          <w:sz w:val="24"/>
          <w:szCs w:val="20"/>
        </w:rPr>
      </w:pPr>
      <w:r>
        <w:rPr>
          <w:rFonts w:hint="eastAsia" w:ascii="宋体" w:hAnsi="宋体" w:cs="宋体"/>
          <w:sz w:val="24"/>
          <w:szCs w:val="20"/>
        </w:rPr>
        <w:t>（二）项目名称：盱眙县2025年小麦高产优质片区建设(农情监测点建设)</w:t>
      </w:r>
    </w:p>
    <w:p w14:paraId="0E91B315">
      <w:pPr>
        <w:spacing w:line="400" w:lineRule="exact"/>
        <w:ind w:firstLine="480"/>
        <w:jc w:val="left"/>
        <w:outlineLvl w:val="2"/>
        <w:rPr>
          <w:rFonts w:hint="eastAsia" w:ascii="宋体" w:hAnsi="宋体" w:cs="宋体"/>
          <w:sz w:val="24"/>
          <w:szCs w:val="20"/>
        </w:rPr>
      </w:pPr>
      <w:r>
        <w:rPr>
          <w:rFonts w:hint="eastAsia" w:ascii="宋体" w:hAnsi="宋体" w:cs="宋体"/>
          <w:sz w:val="24"/>
          <w:szCs w:val="20"/>
        </w:rPr>
        <w:t>（三）预算金额：138万元</w:t>
      </w:r>
    </w:p>
    <w:p w14:paraId="068FE8CD">
      <w:pPr>
        <w:spacing w:line="400" w:lineRule="exact"/>
        <w:ind w:firstLine="480"/>
        <w:jc w:val="left"/>
        <w:outlineLvl w:val="2"/>
        <w:rPr>
          <w:rFonts w:hint="eastAsia" w:ascii="宋体" w:hAnsi="宋体" w:cs="宋体"/>
          <w:sz w:val="24"/>
          <w:szCs w:val="20"/>
        </w:rPr>
      </w:pPr>
      <w:r>
        <w:rPr>
          <w:rFonts w:hint="eastAsia" w:ascii="宋体" w:hAnsi="宋体" w:cs="宋体"/>
          <w:sz w:val="24"/>
          <w:szCs w:val="20"/>
        </w:rPr>
        <w:t>（四）最高限价：138万元（超过最高限价均为无效标</w:t>
      </w:r>
      <w:r>
        <w:rPr>
          <w:rFonts w:hint="eastAsia" w:cs="宋体"/>
          <w:sz w:val="24"/>
          <w:szCs w:val="20"/>
        </w:rPr>
        <w:t>）</w:t>
      </w:r>
    </w:p>
    <w:p w14:paraId="59E2AE7A">
      <w:pPr>
        <w:spacing w:line="420" w:lineRule="exact"/>
        <w:ind w:firstLine="480"/>
        <w:rPr>
          <w:rFonts w:cs="宋体"/>
          <w:sz w:val="24"/>
          <w:szCs w:val="20"/>
        </w:rPr>
      </w:pPr>
      <w:r>
        <w:rPr>
          <w:rFonts w:hint="eastAsia" w:cs="宋体"/>
          <w:sz w:val="24"/>
          <w:szCs w:val="20"/>
        </w:rPr>
        <w:t>（五）采购需求：</w:t>
      </w:r>
      <w:r>
        <w:rPr>
          <w:rFonts w:hint="eastAsia" w:cs="宋体"/>
          <w:color w:val="FF0000"/>
          <w:sz w:val="24"/>
          <w:szCs w:val="20"/>
        </w:rPr>
        <w:t>购置农情监测巡航飞机5台，建设气象墒情监测点4个、病虫害情监测点4个以及辅助设施设备，提升片区智能化、信息化管理水平，</w:t>
      </w:r>
      <w:r>
        <w:rPr>
          <w:rFonts w:hint="eastAsia" w:ascii="宋体" w:hAnsi="宋体" w:cs="宋体"/>
          <w:color w:val="FF0000"/>
          <w:sz w:val="24"/>
        </w:rPr>
        <w:t>具体详见采购需求部分。</w:t>
      </w:r>
    </w:p>
    <w:p w14:paraId="684C6C63">
      <w:pPr>
        <w:pStyle w:val="36"/>
        <w:spacing w:before="0" w:beforeAutospacing="0" w:after="0" w:afterAutospacing="0" w:line="380" w:lineRule="exact"/>
        <w:ind w:firstLine="480"/>
        <w:rPr>
          <w:rFonts w:hint="eastAsia" w:cs="宋体"/>
        </w:rPr>
      </w:pPr>
      <w:r>
        <w:rPr>
          <w:rFonts w:hint="eastAsia" w:cs="宋体"/>
        </w:rPr>
        <w:t>（六）合同履行期限：</w:t>
      </w:r>
      <w:r>
        <w:rPr>
          <w:rFonts w:hint="eastAsia" w:cs="宋体"/>
          <w:color w:val="FF0000"/>
        </w:rPr>
        <w:t>签约后三个月内完成。</w:t>
      </w:r>
    </w:p>
    <w:p w14:paraId="56E70BA6">
      <w:pPr>
        <w:pStyle w:val="36"/>
        <w:spacing w:before="0" w:beforeAutospacing="0" w:after="0" w:afterAutospacing="0" w:line="380" w:lineRule="exact"/>
        <w:ind w:firstLine="480"/>
        <w:rPr>
          <w:rFonts w:hint="eastAsia" w:cs="宋体"/>
          <w:lang w:val="zh-CN"/>
        </w:rPr>
      </w:pPr>
      <w:r>
        <w:rPr>
          <w:rFonts w:hint="eastAsia" w:cs="宋体"/>
        </w:rPr>
        <w:t>（七）本项目（是/否）接受联合体：否</w:t>
      </w:r>
    </w:p>
    <w:p w14:paraId="78B6B88B">
      <w:pPr>
        <w:pStyle w:val="214"/>
        <w:spacing w:line="380" w:lineRule="exact"/>
        <w:outlineLvl w:val="2"/>
        <w:rPr>
          <w:rFonts w:hint="eastAsia" w:ascii="宋体" w:hAnsi="宋体" w:eastAsia="宋体" w:cs="宋体"/>
          <w:b/>
          <w:bCs/>
          <w:szCs w:val="24"/>
          <w:lang w:val="en-US"/>
        </w:rPr>
      </w:pPr>
      <w:r>
        <w:rPr>
          <w:rFonts w:hint="eastAsia" w:ascii="宋体" w:hAnsi="宋体" w:eastAsia="宋体" w:cs="宋体"/>
          <w:b/>
          <w:bCs/>
          <w:szCs w:val="24"/>
          <w:lang w:val="en-US"/>
        </w:rPr>
        <w:t>二、申请人的资格要求</w:t>
      </w:r>
    </w:p>
    <w:p w14:paraId="14D29327">
      <w:pPr>
        <w:pStyle w:val="211"/>
        <w:rPr>
          <w:rFonts w:hint="eastAsia" w:ascii="宋体" w:hAnsi="宋体"/>
          <w:sz w:val="24"/>
          <w:szCs w:val="24"/>
        </w:rPr>
      </w:pPr>
      <w:r>
        <w:rPr>
          <w:rFonts w:hint="eastAsia" w:ascii="宋体" w:hAnsi="宋体"/>
          <w:sz w:val="24"/>
          <w:szCs w:val="24"/>
        </w:rPr>
        <w:t>（一）满足《中华人民共和国政府采购法》第二十二条规定的条件；</w:t>
      </w:r>
    </w:p>
    <w:p w14:paraId="6D63ECF2">
      <w:pPr>
        <w:pStyle w:val="211"/>
        <w:rPr>
          <w:rFonts w:hint="eastAsia" w:ascii="宋体" w:hAnsi="宋体"/>
          <w:sz w:val="24"/>
          <w:szCs w:val="20"/>
          <w:lang w:val="zh-CN"/>
        </w:rPr>
      </w:pPr>
      <w:r>
        <w:rPr>
          <w:rFonts w:hint="eastAsia" w:ascii="宋体" w:hAnsi="宋体"/>
          <w:sz w:val="24"/>
          <w:szCs w:val="24"/>
        </w:rPr>
        <w:t>1</w:t>
      </w:r>
      <w:r>
        <w:rPr>
          <w:rFonts w:hint="eastAsia" w:ascii="宋体" w:hAnsi="宋体"/>
          <w:sz w:val="24"/>
          <w:szCs w:val="24"/>
          <w:lang w:val="zh-CN"/>
        </w:rPr>
        <w:t>.符合《中华人民共和国政府采购法》第二十二条规定条件的声明函（格式按照示范格式三要求</w:t>
      </w:r>
      <w:r>
        <w:rPr>
          <w:rFonts w:hint="eastAsia" w:ascii="宋体" w:hAnsi="宋体"/>
          <w:sz w:val="24"/>
          <w:szCs w:val="20"/>
          <w:lang w:val="zh-CN"/>
        </w:rPr>
        <w:t>，扫描件上传至电子</w:t>
      </w:r>
      <w:r>
        <w:rPr>
          <w:rFonts w:hint="eastAsia" w:ascii="宋体" w:hAnsi="宋体"/>
          <w:sz w:val="24"/>
          <w:szCs w:val="24"/>
        </w:rPr>
        <w:t>投标文件</w:t>
      </w:r>
      <w:r>
        <w:rPr>
          <w:rFonts w:hint="eastAsia" w:ascii="宋体" w:hAnsi="宋体"/>
          <w:sz w:val="24"/>
          <w:szCs w:val="20"/>
          <w:lang w:val="zh-CN"/>
        </w:rPr>
        <w:t>件）；</w:t>
      </w:r>
    </w:p>
    <w:p w14:paraId="2D85FF72">
      <w:pPr>
        <w:pStyle w:val="211"/>
        <w:rPr>
          <w:rFonts w:hint="eastAsia" w:ascii="宋体" w:hAnsi="宋体"/>
          <w:sz w:val="24"/>
          <w:szCs w:val="20"/>
        </w:rPr>
      </w:pPr>
      <w:r>
        <w:rPr>
          <w:rFonts w:hint="eastAsia" w:ascii="宋体" w:hAnsi="宋体"/>
          <w:sz w:val="24"/>
          <w:szCs w:val="20"/>
        </w:rPr>
        <w:t>2.供应商可任选其中一项（提供下列任一项材料即可）</w:t>
      </w:r>
    </w:p>
    <w:p w14:paraId="08A571E3">
      <w:pPr>
        <w:pStyle w:val="211"/>
        <w:rPr>
          <w:rFonts w:hint="eastAsia" w:ascii="宋体" w:hAnsi="宋体"/>
          <w:sz w:val="24"/>
          <w:szCs w:val="20"/>
        </w:rPr>
      </w:pPr>
      <w:r>
        <w:rPr>
          <w:rFonts w:hint="eastAsia" w:ascii="宋体" w:hAnsi="宋体"/>
          <w:sz w:val="24"/>
          <w:szCs w:val="20"/>
        </w:rPr>
        <w:t>（1）法定代表人资格证明（格式按照示范格式一要求）和法定代表人身份证（扫描件上传至电子响应文件）；</w:t>
      </w:r>
    </w:p>
    <w:p w14:paraId="4E0ED127">
      <w:pPr>
        <w:pStyle w:val="211"/>
        <w:rPr>
          <w:rFonts w:hint="eastAsia" w:ascii="宋体" w:hAnsi="宋体"/>
          <w:sz w:val="24"/>
          <w:szCs w:val="20"/>
        </w:rPr>
      </w:pPr>
      <w:r>
        <w:rPr>
          <w:rFonts w:hint="eastAsia" w:ascii="宋体" w:hAnsi="宋体"/>
          <w:sz w:val="24"/>
          <w:szCs w:val="20"/>
        </w:rPr>
        <w:t>（2）授权委托书（格式按照示范格式二要求）和受托人身份证（扫描件上传至电子</w:t>
      </w:r>
      <w:r>
        <w:rPr>
          <w:rFonts w:hint="eastAsia" w:ascii="宋体" w:hAnsi="宋体"/>
          <w:sz w:val="24"/>
          <w:szCs w:val="24"/>
        </w:rPr>
        <w:t>投标文件</w:t>
      </w:r>
      <w:r>
        <w:rPr>
          <w:rFonts w:hint="eastAsia" w:ascii="宋体" w:hAnsi="宋体"/>
          <w:sz w:val="24"/>
          <w:szCs w:val="20"/>
        </w:rPr>
        <w:t>）；</w:t>
      </w:r>
    </w:p>
    <w:p w14:paraId="297AAE25">
      <w:pPr>
        <w:pStyle w:val="211"/>
        <w:rPr>
          <w:rFonts w:hint="eastAsia" w:ascii="宋体" w:hAnsi="宋体"/>
          <w:sz w:val="24"/>
          <w:szCs w:val="24"/>
        </w:rPr>
      </w:pPr>
      <w:r>
        <w:rPr>
          <w:rFonts w:hint="eastAsia" w:ascii="宋体" w:hAnsi="宋体"/>
          <w:sz w:val="24"/>
          <w:szCs w:val="24"/>
        </w:rPr>
        <w:t>（二）落实政府采购政策需满足的资格要求：</w:t>
      </w:r>
    </w:p>
    <w:p w14:paraId="62778746">
      <w:pPr>
        <w:pStyle w:val="211"/>
        <w:rPr>
          <w:rFonts w:hint="eastAsia" w:ascii="宋体" w:hAnsi="宋体"/>
          <w:sz w:val="24"/>
          <w:szCs w:val="24"/>
        </w:rPr>
      </w:pPr>
      <w:r>
        <w:rPr>
          <w:rFonts w:hint="eastAsia" w:ascii="宋体" w:hAnsi="宋体"/>
          <w:sz w:val="24"/>
          <w:szCs w:val="24"/>
        </w:rPr>
        <w:t>本项目按照</w:t>
      </w:r>
      <w:r>
        <w:rPr>
          <w:rFonts w:hint="eastAsia" w:ascii="宋体" w:hAnsi="宋体"/>
          <w:color w:val="FF0000"/>
          <w:sz w:val="24"/>
          <w:szCs w:val="24"/>
        </w:rPr>
        <w:t>以下第</w:t>
      </w:r>
      <w:r>
        <w:rPr>
          <w:rFonts w:hint="eastAsia" w:ascii="宋体" w:hAnsi="宋体"/>
          <w:color w:val="FF0000"/>
          <w:sz w:val="24"/>
          <w:szCs w:val="24"/>
          <w:u w:val="single"/>
        </w:rPr>
        <w:t xml:space="preserve"> 3 </w:t>
      </w:r>
      <w:r>
        <w:rPr>
          <w:rFonts w:hint="eastAsia" w:ascii="宋体" w:hAnsi="宋体"/>
          <w:color w:val="FF0000"/>
          <w:sz w:val="24"/>
          <w:szCs w:val="24"/>
        </w:rPr>
        <w:t>种方式落实政</w:t>
      </w:r>
      <w:r>
        <w:rPr>
          <w:rFonts w:hint="eastAsia" w:ascii="宋体" w:hAnsi="宋体"/>
          <w:sz w:val="24"/>
          <w:szCs w:val="24"/>
        </w:rPr>
        <w:t>府采购促进中小企业发展的要求：</w:t>
      </w:r>
    </w:p>
    <w:p w14:paraId="1E8D6D5C">
      <w:pPr>
        <w:pStyle w:val="211"/>
        <w:rPr>
          <w:rFonts w:hint="eastAsia" w:ascii="宋体" w:hAnsi="宋体"/>
          <w:sz w:val="24"/>
          <w:szCs w:val="24"/>
        </w:rPr>
      </w:pPr>
      <w:r>
        <w:rPr>
          <w:rFonts w:hint="eastAsia" w:ascii="宋体" w:hAnsi="宋体"/>
          <w:sz w:val="24"/>
          <w:szCs w:val="24"/>
        </w:rPr>
        <w:t>1.本项目为专门面向中小企业采购的项目。</w:t>
      </w:r>
    </w:p>
    <w:p w14:paraId="32A92F99">
      <w:pPr>
        <w:pStyle w:val="211"/>
        <w:rPr>
          <w:rFonts w:hint="eastAsia" w:ascii="宋体" w:hAnsi="宋体"/>
          <w:sz w:val="24"/>
          <w:szCs w:val="24"/>
        </w:rPr>
      </w:pPr>
      <w:r>
        <w:rPr>
          <w:rFonts w:hint="eastAsia" w:ascii="宋体" w:hAnsi="宋体"/>
          <w:sz w:val="24"/>
          <w:szCs w:val="24"/>
        </w:rPr>
        <w:t>2.本项目通过以下第（）种方式预留部分采购份额采购中小企业服务：</w:t>
      </w:r>
    </w:p>
    <w:p w14:paraId="1F93DDDF">
      <w:pPr>
        <w:pStyle w:val="211"/>
        <w:rPr>
          <w:rFonts w:hint="eastAsia" w:ascii="宋体" w:hAnsi="宋体"/>
          <w:sz w:val="24"/>
          <w:szCs w:val="24"/>
        </w:rPr>
      </w:pPr>
      <w:r>
        <w:rPr>
          <w:rFonts w:hint="eastAsia" w:ascii="宋体" w:hAnsi="宋体"/>
          <w:sz w:val="24"/>
          <w:szCs w:val="24"/>
        </w:rPr>
        <w:t>（1）本项目要求供应商以联合体形式参加，中小企业合同金额应当达到的比例为</w:t>
      </w:r>
      <w:r>
        <w:rPr>
          <w:rFonts w:hint="eastAsia" w:ascii="宋体" w:hAnsi="宋体"/>
          <w:sz w:val="24"/>
          <w:szCs w:val="24"/>
          <w:u w:val="single"/>
        </w:rPr>
        <w:t xml:space="preserve"> / </w:t>
      </w:r>
      <w:r>
        <w:rPr>
          <w:rFonts w:hint="eastAsia" w:ascii="宋体" w:hAnsi="宋体"/>
          <w:sz w:val="24"/>
          <w:szCs w:val="24"/>
        </w:rPr>
        <w:t>%，其中小微企业所占比例应为</w:t>
      </w:r>
      <w:r>
        <w:rPr>
          <w:rFonts w:hint="eastAsia" w:ascii="宋体" w:hAnsi="宋体"/>
          <w:sz w:val="24"/>
          <w:szCs w:val="24"/>
          <w:u w:val="single"/>
        </w:rPr>
        <w:t xml:space="preserve">  / </w:t>
      </w:r>
      <w:r>
        <w:rPr>
          <w:rFonts w:hint="eastAsia" w:ascii="宋体" w:hAnsi="宋体"/>
          <w:sz w:val="24"/>
          <w:szCs w:val="24"/>
        </w:rPr>
        <w:t>%（两项比例均应符合《政府采购促进中小企业发展管理办法》第八条规定）。</w:t>
      </w:r>
    </w:p>
    <w:p w14:paraId="06B36CF6">
      <w:pPr>
        <w:pStyle w:val="211"/>
        <w:rPr>
          <w:rFonts w:hint="eastAsia" w:ascii="宋体" w:hAnsi="宋体"/>
          <w:sz w:val="24"/>
          <w:szCs w:val="24"/>
        </w:rPr>
      </w:pPr>
      <w:r>
        <w:rPr>
          <w:rFonts w:hint="eastAsia" w:ascii="宋体" w:hAnsi="宋体"/>
          <w:sz w:val="24"/>
          <w:szCs w:val="24"/>
        </w:rPr>
        <w:t>（2）本项目要求供应商进行合同分包，中小企业合同金额应当达到的比例为</w:t>
      </w:r>
      <w:r>
        <w:rPr>
          <w:rFonts w:hint="eastAsia" w:ascii="宋体" w:hAnsi="宋体"/>
          <w:sz w:val="24"/>
          <w:szCs w:val="24"/>
          <w:u w:val="single"/>
        </w:rPr>
        <w:t xml:space="preserve"> / </w:t>
      </w:r>
      <w:r>
        <w:rPr>
          <w:rFonts w:hint="eastAsia" w:ascii="宋体" w:hAnsi="宋体"/>
          <w:sz w:val="24"/>
          <w:szCs w:val="24"/>
        </w:rPr>
        <w:t>%，其中小微企业所占比例应为</w:t>
      </w:r>
      <w:r>
        <w:rPr>
          <w:rFonts w:hint="eastAsia" w:ascii="宋体" w:hAnsi="宋体"/>
          <w:sz w:val="24"/>
          <w:szCs w:val="24"/>
          <w:u w:val="single"/>
        </w:rPr>
        <w:t xml:space="preserve"> /  </w:t>
      </w:r>
      <w:r>
        <w:rPr>
          <w:rFonts w:hint="eastAsia" w:ascii="宋体" w:hAnsi="宋体"/>
          <w:sz w:val="24"/>
          <w:szCs w:val="24"/>
        </w:rPr>
        <w:t>%（两项比例均应符合《政府采购促进中小企业发展管理办法》第八条规定）。</w:t>
      </w:r>
    </w:p>
    <w:p w14:paraId="2C67CEA5">
      <w:pPr>
        <w:pStyle w:val="211"/>
        <w:rPr>
          <w:rFonts w:hint="eastAsia" w:ascii="宋体" w:hAnsi="宋体"/>
          <w:sz w:val="24"/>
          <w:szCs w:val="24"/>
        </w:rPr>
      </w:pPr>
      <w:r>
        <w:rPr>
          <w:rFonts w:hint="eastAsia" w:ascii="宋体" w:hAnsi="宋体"/>
          <w:sz w:val="24"/>
          <w:szCs w:val="24"/>
        </w:rPr>
        <w:t>3.本项目为非预留份额的采购项目，对小微企业报价给予扣除，用扣除后的价格参加评审，具体详见“投标人须知”。</w:t>
      </w:r>
    </w:p>
    <w:p w14:paraId="256F490A">
      <w:pPr>
        <w:pStyle w:val="14"/>
        <w:spacing w:line="440" w:lineRule="exact"/>
        <w:ind w:firstLine="480"/>
        <w:rPr>
          <w:rFonts w:hint="eastAsia" w:ascii="宋体" w:hAnsi="宋体" w:cs="宋体"/>
        </w:rPr>
      </w:pPr>
      <w:r>
        <w:rPr>
          <w:rFonts w:hint="eastAsia" w:ascii="宋体" w:hAnsi="宋体" w:cs="宋体"/>
          <w:sz w:val="24"/>
          <w:shd w:val="clear" w:color="auto" w:fill="FFFFFF"/>
        </w:rPr>
        <w:t>4.本项目采购标的对应的中小企业划分标准所</w:t>
      </w:r>
      <w:r>
        <w:rPr>
          <w:rFonts w:hint="eastAsia" w:ascii="宋体" w:hAnsi="宋体" w:cs="宋体"/>
          <w:color w:val="FF0000"/>
          <w:sz w:val="24"/>
          <w:shd w:val="clear" w:color="auto" w:fill="FFFFFF"/>
        </w:rPr>
        <w:t>属行业为</w:t>
      </w:r>
      <w:r>
        <w:rPr>
          <w:rFonts w:hint="eastAsia" w:ascii="宋体" w:hAnsi="宋体" w:cs="宋体"/>
          <w:color w:val="FF0000"/>
          <w:sz w:val="24"/>
          <w:u w:val="single"/>
          <w:shd w:val="clear" w:color="auto" w:fill="FFFFFF"/>
        </w:rPr>
        <w:t xml:space="preserve"> 工业</w:t>
      </w:r>
      <w:r>
        <w:rPr>
          <w:rFonts w:hint="eastAsia" w:ascii="宋体" w:hAnsi="宋体" w:cs="宋体"/>
          <w:color w:val="FF0000"/>
          <w:sz w:val="24"/>
          <w:shd w:val="clear" w:color="auto" w:fill="FFFFFF"/>
        </w:rPr>
        <w:t>。</w:t>
      </w:r>
    </w:p>
    <w:p w14:paraId="3951C7D8">
      <w:pPr>
        <w:spacing w:line="390" w:lineRule="exact"/>
        <w:ind w:firstLine="360"/>
      </w:pPr>
      <w:r>
        <w:rPr>
          <w:rFonts w:hint="eastAsia" w:ascii="宋体" w:hAnsi="宋体" w:cs="宋体"/>
          <w:sz w:val="24"/>
        </w:rPr>
        <w:t>注：监狱企业、残疾人福利性单位视同小微企业；符合中小企业划分标准的个体工商户，在政府采购活动中视同中小企业，享受政府采购支持中小企业发展。</w:t>
      </w:r>
    </w:p>
    <w:p w14:paraId="116C80B0">
      <w:pPr>
        <w:pStyle w:val="211"/>
        <w:numPr>
          <w:ilvl w:val="0"/>
          <w:numId w:val="1"/>
        </w:numPr>
        <w:rPr>
          <w:rFonts w:hint="eastAsia" w:ascii="宋体" w:hAnsi="宋体"/>
          <w:sz w:val="24"/>
          <w:szCs w:val="24"/>
        </w:rPr>
      </w:pPr>
      <w:r>
        <w:rPr>
          <w:rFonts w:hint="eastAsia" w:ascii="宋体" w:hAnsi="宋体"/>
          <w:sz w:val="24"/>
          <w:szCs w:val="24"/>
        </w:rPr>
        <w:t>本项目的特定资格要求：</w:t>
      </w:r>
    </w:p>
    <w:p w14:paraId="0A91A3E7">
      <w:pPr>
        <w:pStyle w:val="211"/>
        <w:rPr>
          <w:rFonts w:hint="eastAsia" w:ascii="宋体" w:hAnsi="宋体"/>
          <w:sz w:val="24"/>
          <w:szCs w:val="24"/>
        </w:rPr>
      </w:pPr>
      <w:r>
        <w:rPr>
          <w:rFonts w:hint="eastAsia" w:ascii="宋体" w:hAnsi="宋体"/>
          <w:sz w:val="24"/>
          <w:szCs w:val="24"/>
        </w:rPr>
        <w:t>1.有效的营业执照（证书扫描件上传至电子投标文件）；</w:t>
      </w:r>
    </w:p>
    <w:p w14:paraId="10497EBB">
      <w:pPr>
        <w:spacing w:line="400" w:lineRule="exact"/>
        <w:ind w:firstLine="480"/>
        <w:rPr>
          <w:rFonts w:hint="eastAsia" w:ascii="宋体" w:hAnsi="宋体" w:cs="宋体"/>
          <w:sz w:val="24"/>
        </w:rPr>
      </w:pPr>
      <w:r>
        <w:rPr>
          <w:rFonts w:hint="eastAsia" w:ascii="宋体" w:hAnsi="宋体" w:cs="宋体"/>
          <w:sz w:val="24"/>
        </w:rPr>
        <w:t>（四）拒绝下述条件的供应商参加本次采购活动：</w:t>
      </w:r>
    </w:p>
    <w:p w14:paraId="6E8F8D0B">
      <w:pPr>
        <w:spacing w:line="400" w:lineRule="exact"/>
        <w:ind w:firstLine="480"/>
        <w:rPr>
          <w:rFonts w:hint="eastAsia" w:ascii="宋体" w:hAnsi="宋体" w:cs="宋体"/>
          <w:sz w:val="24"/>
        </w:rPr>
      </w:pPr>
      <w:r>
        <w:rPr>
          <w:rFonts w:hint="eastAsia" w:ascii="宋体" w:hAnsi="宋体" w:cs="宋体"/>
          <w:sz w:val="24"/>
        </w:rPr>
        <w:t>1.供应商单位负责人为同一人或者存在直接控股、管理关系的不同供应商，不得同时参加同一合同项下的政府采购活动。</w:t>
      </w:r>
    </w:p>
    <w:p w14:paraId="1422D948">
      <w:pPr>
        <w:spacing w:line="400" w:lineRule="exact"/>
        <w:ind w:firstLine="480"/>
        <w:rPr>
          <w:rFonts w:hint="eastAsia" w:ascii="宋体" w:hAnsi="宋体" w:cs="宋体"/>
          <w:sz w:val="24"/>
        </w:rPr>
      </w:pPr>
      <w:r>
        <w:rPr>
          <w:rFonts w:hint="eastAsia" w:ascii="宋体" w:hAnsi="宋体" w:cs="宋体"/>
          <w:sz w:val="24"/>
        </w:rPr>
        <w:t>2.凡为采购项目提供整体设计、规范编制或者项目管理、监理、检测等服务的供应商，不得再参加本项目的采购活动。</w:t>
      </w:r>
    </w:p>
    <w:p w14:paraId="17F6636B">
      <w:pPr>
        <w:spacing w:line="400" w:lineRule="exact"/>
        <w:ind w:firstLine="480"/>
        <w:rPr>
          <w:rFonts w:hint="eastAsia" w:ascii="宋体" w:hAnsi="宋体" w:cs="宋体"/>
          <w:sz w:val="24"/>
        </w:rPr>
      </w:pPr>
      <w:r>
        <w:rPr>
          <w:rFonts w:hint="eastAsia" w:ascii="宋体" w:hAnsi="宋体" w:cs="宋体"/>
          <w:sz w:val="24"/>
        </w:rPr>
        <w:t>3.投标人被“信用中国”网站、“中国政府采购网”列入失信被执行人、重大税收违法案件当事人名单、政府采购严重违法失信行为记录名单。</w:t>
      </w:r>
    </w:p>
    <w:p w14:paraId="6250C58D">
      <w:pPr>
        <w:spacing w:line="400" w:lineRule="exact"/>
        <w:ind w:firstLine="480"/>
        <w:rPr>
          <w:rFonts w:hint="eastAsia" w:ascii="宋体" w:hAnsi="宋体" w:cs="宋体"/>
          <w:sz w:val="24"/>
        </w:rPr>
      </w:pPr>
      <w:r>
        <w:rPr>
          <w:rFonts w:hint="eastAsia" w:ascii="宋体" w:hAnsi="宋体" w:cs="宋体"/>
          <w:sz w:val="24"/>
        </w:rPr>
        <w:t>注：由采购人（采购代理单位）</w:t>
      </w:r>
      <w:r>
        <w:rPr>
          <w:rFonts w:hint="eastAsia" w:ascii="宋体" w:hAnsi="宋体" w:cs="宋体"/>
          <w:sz w:val="24"/>
          <w:lang w:val="zh-CN"/>
        </w:rPr>
        <w:t>组织评审小组</w:t>
      </w:r>
      <w:r>
        <w:rPr>
          <w:rFonts w:hint="eastAsia" w:ascii="宋体" w:hAnsi="宋体" w:cs="宋体"/>
          <w:sz w:val="24"/>
        </w:rPr>
        <w:t>在资格审查时查询，一旦被查询存在上述失信行为记录名单的，将视为资格审查不通过。</w:t>
      </w:r>
    </w:p>
    <w:p w14:paraId="4FB7AF94">
      <w:pPr>
        <w:spacing w:line="400" w:lineRule="exact"/>
        <w:rPr>
          <w:rFonts w:hint="eastAsia" w:ascii="宋体" w:hAnsi="宋体" w:cs="宋体"/>
          <w:b/>
          <w:bCs/>
          <w:sz w:val="24"/>
        </w:rPr>
      </w:pPr>
      <w:r>
        <w:rPr>
          <w:rFonts w:hint="eastAsia" w:ascii="宋体" w:hAnsi="宋体" w:cs="宋体"/>
          <w:b/>
          <w:bCs/>
          <w:sz w:val="24"/>
        </w:rPr>
        <w:t>三、获取招标文件</w:t>
      </w:r>
      <w:bookmarkEnd w:id="6"/>
      <w:bookmarkEnd w:id="7"/>
      <w:bookmarkEnd w:id="8"/>
      <w:bookmarkEnd w:id="9"/>
    </w:p>
    <w:p w14:paraId="54D7962F">
      <w:pPr>
        <w:spacing w:line="400" w:lineRule="exact"/>
        <w:ind w:firstLine="480"/>
        <w:rPr>
          <w:rFonts w:hint="eastAsia" w:ascii="宋体" w:hAnsi="宋体" w:cs="宋体"/>
          <w:sz w:val="24"/>
        </w:rPr>
      </w:pPr>
      <w:bookmarkStart w:id="10" w:name="_Toc28359005"/>
      <w:bookmarkStart w:id="11" w:name="_Toc28359082"/>
      <w:bookmarkStart w:id="12" w:name="_Toc35393624"/>
      <w:bookmarkStart w:id="13" w:name="_Toc35393793"/>
      <w:r>
        <w:rPr>
          <w:rFonts w:hint="eastAsia" w:ascii="宋体" w:hAnsi="宋体" w:cs="宋体"/>
          <w:sz w:val="24"/>
        </w:rPr>
        <w:t>（一）时间：自招标文件公告发布之日起5个工作日 </w:t>
      </w:r>
    </w:p>
    <w:p w14:paraId="6DA9659C">
      <w:pPr>
        <w:spacing w:line="400" w:lineRule="exact"/>
        <w:ind w:firstLine="480"/>
        <w:rPr>
          <w:rFonts w:hint="eastAsia" w:ascii="宋体" w:hAnsi="宋体" w:cs="宋体"/>
          <w:sz w:val="24"/>
        </w:rPr>
      </w:pPr>
      <w:r>
        <w:rPr>
          <w:rFonts w:hint="eastAsia" w:ascii="宋体" w:hAnsi="宋体" w:cs="宋体"/>
          <w:sz w:val="24"/>
        </w:rPr>
        <w:t>（二）地点：“淮安市政府采购网”或“江苏政府采购网” </w:t>
      </w:r>
    </w:p>
    <w:p w14:paraId="16ABF807">
      <w:pPr>
        <w:spacing w:line="400" w:lineRule="exact"/>
        <w:ind w:firstLine="480"/>
        <w:rPr>
          <w:rFonts w:hint="eastAsia" w:ascii="宋体" w:hAnsi="宋体" w:cs="宋体"/>
          <w:sz w:val="24"/>
        </w:rPr>
      </w:pPr>
      <w:r>
        <w:rPr>
          <w:rFonts w:hint="eastAsia" w:ascii="宋体" w:hAnsi="宋体" w:cs="宋体"/>
          <w:sz w:val="24"/>
        </w:rPr>
        <w:t>（三）方式：供应商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p>
    <w:p w14:paraId="5E56DCD0">
      <w:pPr>
        <w:spacing w:line="400" w:lineRule="exact"/>
        <w:ind w:firstLine="480"/>
        <w:rPr>
          <w:rFonts w:hint="eastAsia" w:ascii="宋体" w:hAnsi="宋体" w:cs="宋体"/>
          <w:sz w:val="24"/>
        </w:rPr>
      </w:pPr>
      <w:r>
        <w:rPr>
          <w:rFonts w:hint="eastAsia" w:ascii="宋体" w:hAnsi="宋体" w:cs="宋体"/>
          <w:sz w:val="24"/>
        </w:rPr>
        <w:t>（四）售价：0.00元 </w:t>
      </w:r>
    </w:p>
    <w:p w14:paraId="45620136">
      <w:pPr>
        <w:pStyle w:val="3"/>
        <w:spacing w:before="0" w:after="0" w:line="370" w:lineRule="exact"/>
        <w:rPr>
          <w:rFonts w:hint="eastAsia" w:ascii="宋体" w:hAnsi="宋体" w:eastAsia="宋体" w:cs="宋体"/>
          <w:bCs/>
          <w:sz w:val="24"/>
          <w:szCs w:val="24"/>
        </w:rPr>
      </w:pPr>
      <w:r>
        <w:rPr>
          <w:rFonts w:hint="eastAsia" w:ascii="宋体" w:hAnsi="宋体" w:eastAsia="宋体" w:cs="宋体"/>
          <w:bCs/>
          <w:sz w:val="24"/>
          <w:szCs w:val="24"/>
        </w:rPr>
        <w:t>四、提交投标文件</w:t>
      </w:r>
      <w:bookmarkEnd w:id="10"/>
      <w:bookmarkEnd w:id="11"/>
      <w:r>
        <w:rPr>
          <w:rFonts w:hint="eastAsia" w:ascii="宋体" w:hAnsi="宋体" w:eastAsia="宋体" w:cs="宋体"/>
          <w:bCs/>
          <w:sz w:val="24"/>
          <w:szCs w:val="24"/>
        </w:rPr>
        <w:t>截止时间、开标时间和地点</w:t>
      </w:r>
      <w:bookmarkEnd w:id="12"/>
      <w:bookmarkEnd w:id="13"/>
    </w:p>
    <w:p w14:paraId="5BD552CD">
      <w:pPr>
        <w:spacing w:line="400" w:lineRule="exact"/>
        <w:ind w:firstLine="480"/>
        <w:rPr>
          <w:rFonts w:hint="eastAsia" w:ascii="宋体" w:hAnsi="宋体" w:cs="宋体"/>
          <w:sz w:val="24"/>
        </w:rPr>
      </w:pPr>
      <w:r>
        <w:rPr>
          <w:rFonts w:hint="eastAsia" w:ascii="宋体" w:hAnsi="宋体" w:cs="宋体"/>
          <w:sz w:val="24"/>
        </w:rPr>
        <w:t>（一）时间：</w:t>
      </w:r>
      <w:r>
        <w:rPr>
          <w:rFonts w:hint="eastAsia" w:ascii="宋体" w:cs="宋体"/>
          <w:sz w:val="24"/>
        </w:rPr>
        <w:t>2026年</w:t>
      </w:r>
      <w:r>
        <w:rPr>
          <w:rFonts w:hint="eastAsia" w:ascii="宋体" w:cs="宋体"/>
          <w:sz w:val="24"/>
          <w:lang w:val="en-US" w:eastAsia="zh-CN"/>
        </w:rPr>
        <w:t>8</w:t>
      </w:r>
      <w:r>
        <w:rPr>
          <w:rFonts w:hint="eastAsia" w:ascii="宋体" w:cs="宋体"/>
          <w:sz w:val="24"/>
        </w:rPr>
        <w:t>月</w:t>
      </w:r>
      <w:r>
        <w:rPr>
          <w:rFonts w:hint="eastAsia" w:ascii="宋体" w:cs="宋体"/>
          <w:sz w:val="24"/>
          <w:lang w:val="en-US" w:eastAsia="zh-CN"/>
        </w:rPr>
        <w:t>4</w:t>
      </w:r>
      <w:r>
        <w:rPr>
          <w:rFonts w:hint="eastAsia" w:ascii="宋体" w:cs="宋体"/>
          <w:sz w:val="24"/>
        </w:rPr>
        <w:t>日9时00分</w:t>
      </w:r>
      <w:r>
        <w:rPr>
          <w:rFonts w:hint="eastAsia" w:ascii="宋体" w:hAnsi="宋体" w:cs="宋体"/>
          <w:sz w:val="24"/>
        </w:rPr>
        <w:t>（北京时间）</w:t>
      </w:r>
    </w:p>
    <w:p w14:paraId="21D668AD">
      <w:pPr>
        <w:spacing w:line="400" w:lineRule="exact"/>
        <w:ind w:firstLine="480"/>
        <w:rPr>
          <w:rFonts w:hint="eastAsia" w:ascii="宋体" w:hAnsi="宋体" w:cs="宋体"/>
          <w:sz w:val="24"/>
        </w:rPr>
      </w:pPr>
      <w:bookmarkStart w:id="14" w:name="_Toc35393794"/>
      <w:bookmarkStart w:id="15" w:name="_Toc28359007"/>
      <w:bookmarkStart w:id="16" w:name="_Toc35393625"/>
      <w:bookmarkStart w:id="17" w:name="_Toc28359084"/>
      <w:r>
        <w:rPr>
          <w:rFonts w:hint="eastAsia" w:ascii="宋体" w:hAnsi="宋体" w:cs="宋体"/>
          <w:sz w:val="24"/>
        </w:rPr>
        <w:t>（二）地点：本项目采用远程“不见面”开标方式，无需到现场提交，请投标人在投标文件提交截止前提前登入苏采云政府采购一体化平台（网址：http://jszfcg.jscz.gov.cn/jszc/login）提交投标文件。  </w:t>
      </w:r>
    </w:p>
    <w:p w14:paraId="397A8565">
      <w:pPr>
        <w:pStyle w:val="3"/>
        <w:spacing w:before="0" w:after="0" w:line="370" w:lineRule="exact"/>
        <w:rPr>
          <w:rFonts w:hint="eastAsia" w:ascii="宋体" w:hAnsi="宋体" w:eastAsia="宋体" w:cs="宋体"/>
          <w:bCs/>
          <w:sz w:val="24"/>
          <w:szCs w:val="24"/>
        </w:rPr>
      </w:pPr>
      <w:r>
        <w:rPr>
          <w:rFonts w:hint="eastAsia" w:ascii="宋体" w:hAnsi="宋体" w:eastAsia="宋体" w:cs="宋体"/>
          <w:bCs/>
          <w:sz w:val="24"/>
          <w:szCs w:val="24"/>
        </w:rPr>
        <w:t>五、公告期限</w:t>
      </w:r>
      <w:bookmarkEnd w:id="14"/>
      <w:bookmarkEnd w:id="15"/>
      <w:bookmarkEnd w:id="16"/>
      <w:bookmarkEnd w:id="17"/>
    </w:p>
    <w:p w14:paraId="2C5C57A6">
      <w:pPr>
        <w:spacing w:line="370" w:lineRule="exact"/>
        <w:ind w:firstLine="480"/>
        <w:rPr>
          <w:rFonts w:hint="eastAsia" w:ascii="宋体" w:hAnsi="宋体" w:cs="宋体"/>
          <w:sz w:val="28"/>
          <w:szCs w:val="28"/>
        </w:rPr>
      </w:pPr>
      <w:r>
        <w:rPr>
          <w:rFonts w:hint="eastAsia" w:ascii="宋体" w:hAnsi="宋体" w:cs="宋体"/>
          <w:sz w:val="24"/>
        </w:rPr>
        <w:t>自本公告发布之日起5个工作日。</w:t>
      </w:r>
    </w:p>
    <w:p w14:paraId="6D9B3A9E">
      <w:pPr>
        <w:pStyle w:val="3"/>
        <w:spacing w:before="0" w:after="0" w:line="370" w:lineRule="exact"/>
        <w:rPr>
          <w:rFonts w:hint="eastAsia" w:ascii="宋体" w:hAnsi="宋体" w:eastAsia="宋体" w:cs="宋体"/>
          <w:bCs/>
          <w:sz w:val="24"/>
          <w:szCs w:val="24"/>
        </w:rPr>
      </w:pPr>
      <w:bookmarkStart w:id="18" w:name="_Toc35393795"/>
      <w:bookmarkStart w:id="19" w:name="_Toc35393626"/>
      <w:r>
        <w:rPr>
          <w:rFonts w:hint="eastAsia" w:ascii="宋体" w:hAnsi="宋体" w:eastAsia="宋体" w:cs="宋体"/>
          <w:bCs/>
          <w:sz w:val="24"/>
          <w:szCs w:val="24"/>
        </w:rPr>
        <w:t>六、其他补充事宜</w:t>
      </w:r>
      <w:bookmarkEnd w:id="18"/>
      <w:bookmarkEnd w:id="19"/>
      <w:r>
        <w:rPr>
          <w:rFonts w:hint="eastAsia" w:ascii="宋体" w:hAnsi="宋体" w:eastAsia="宋体" w:cs="宋体"/>
          <w:bCs/>
          <w:sz w:val="24"/>
          <w:szCs w:val="24"/>
        </w:rPr>
        <w:t xml:space="preserve"> </w:t>
      </w:r>
    </w:p>
    <w:p w14:paraId="7724ABE4">
      <w:pPr>
        <w:pStyle w:val="16"/>
        <w:tabs>
          <w:tab w:val="left" w:pos="1365"/>
        </w:tabs>
        <w:spacing w:line="370" w:lineRule="exact"/>
        <w:ind w:firstLine="480"/>
        <w:rPr>
          <w:rFonts w:hint="eastAsia" w:ascii="宋体" w:hAnsi="宋体" w:eastAsia="宋体" w:cs="宋体"/>
          <w:color w:val="FF0000"/>
          <w:sz w:val="24"/>
          <w:szCs w:val="24"/>
        </w:rPr>
      </w:pPr>
      <w:r>
        <w:rPr>
          <w:rFonts w:hint="eastAsia" w:ascii="宋体" w:hAnsi="宋体" w:eastAsia="宋体" w:cs="宋体"/>
          <w:color w:val="FF0000"/>
          <w:sz w:val="24"/>
          <w:szCs w:val="24"/>
        </w:rPr>
        <w:t>（一）投标保证金：本项目不收取投标保证金；</w:t>
      </w:r>
    </w:p>
    <w:p w14:paraId="54E34AA1">
      <w:pPr>
        <w:pStyle w:val="16"/>
        <w:tabs>
          <w:tab w:val="left" w:pos="1365"/>
        </w:tabs>
        <w:spacing w:line="370" w:lineRule="exact"/>
        <w:ind w:firstLine="480"/>
        <w:rPr>
          <w:rFonts w:hint="eastAsia" w:ascii="宋体" w:hAnsi="宋体" w:eastAsia="宋体" w:cs="宋体"/>
          <w:color w:val="FF0000"/>
          <w:sz w:val="24"/>
          <w:szCs w:val="24"/>
        </w:rPr>
      </w:pPr>
      <w:r>
        <w:rPr>
          <w:rFonts w:hint="eastAsia" w:ascii="宋体" w:hAnsi="宋体" w:eastAsia="宋体" w:cs="宋体"/>
          <w:color w:val="FF0000"/>
          <w:sz w:val="24"/>
          <w:szCs w:val="24"/>
        </w:rPr>
        <w:t>（二）履约保证金：成交供应商必须在签订合同之前，向采购人缴纳中标总价1%的履约保证金，否则招标人可取消其中标资格；支持和鼓励中标供应商自愿使用履约保函（保险）代替缴纳履约保证金，具体详见《关于在全省政府采购领域推行电子履约保函（保险）的通知》（苏财购〔2023〕150号）规定。</w:t>
      </w:r>
    </w:p>
    <w:p w14:paraId="2EB2E59F">
      <w:pPr>
        <w:pStyle w:val="214"/>
        <w:spacing w:line="400" w:lineRule="exact"/>
        <w:ind w:firstLine="480"/>
        <w:outlineLvl w:val="2"/>
        <w:rPr>
          <w:rFonts w:hint="eastAsia" w:ascii="宋体" w:hAnsi="宋体" w:eastAsia="宋体" w:cs="宋体"/>
        </w:rPr>
      </w:pPr>
      <w:r>
        <w:rPr>
          <w:rFonts w:hint="eastAsia" w:ascii="宋体" w:hAnsi="宋体" w:eastAsia="宋体" w:cs="宋体"/>
          <w:szCs w:val="24"/>
          <w:lang w:val="en-US"/>
        </w:rPr>
        <w:t>(三）</w:t>
      </w:r>
      <w:r>
        <w:rPr>
          <w:rFonts w:hint="eastAsia" w:ascii="宋体" w:hAnsi="宋体" w:eastAsia="宋体" w:cs="宋体"/>
          <w:lang w:val="en-US"/>
        </w:rPr>
        <w:t>本项目采用“全流程不见面交易”模式，通过“苏采云政府采购一体化平台”及相应的配套硬件设备（摄像头、话筒、麦克风等）完成远程解密、公布报价、澄清等交互环节。相关要求和说明详见第二章“供应商须知”。</w:t>
      </w:r>
    </w:p>
    <w:p w14:paraId="201FC427">
      <w:pPr>
        <w:pStyle w:val="214"/>
        <w:spacing w:line="400" w:lineRule="exact"/>
        <w:ind w:firstLine="480"/>
        <w:outlineLvl w:val="2"/>
        <w:rPr>
          <w:rFonts w:hint="eastAsia" w:ascii="宋体" w:hAnsi="宋体" w:eastAsia="宋体" w:cs="宋体"/>
        </w:rPr>
      </w:pPr>
      <w:r>
        <w:rPr>
          <w:rFonts w:hint="eastAsia" w:ascii="宋体" w:hAnsi="宋体" w:eastAsia="宋体" w:cs="宋体"/>
          <w:lang w:val="en-US"/>
        </w:rPr>
        <w:t>（四）</w:t>
      </w:r>
      <w:r>
        <w:rPr>
          <w:rFonts w:hint="eastAsia" w:ascii="宋体" w:hAnsi="宋体" w:eastAsia="宋体" w:cs="宋体"/>
        </w:rPr>
        <w:t>根据省财政厅《关于更换全省政府采购交易系统C A数字证书和电子签章的通知》（苏财购</w:t>
      </w:r>
      <w:r>
        <w:rPr>
          <w:rFonts w:hint="eastAsia" w:ascii="宋体" w:hAnsi="宋体" w:eastAsia="宋体" w:cs="宋体"/>
          <w:szCs w:val="24"/>
          <w:lang w:val="en-US"/>
        </w:rPr>
        <w:t>〔2023〕101号），“苏采云”政府采购交易系统（以下简称苏采云系统）的CA数字证书、电子签章已更换为江苏省电子政务证书认证中心C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rPr>
        <w:t>http://www.ccgp-jiangsu.gov.cn/jiangsu/zlxz/ee/ee3a4bc5a3454aa2b0d9312230633ce9.html。</w:t>
      </w:r>
    </w:p>
    <w:p w14:paraId="7DB4D944">
      <w:pPr>
        <w:pStyle w:val="16"/>
        <w:tabs>
          <w:tab w:val="left" w:pos="1365"/>
        </w:tabs>
        <w:spacing w:line="370" w:lineRule="exact"/>
        <w:ind w:firstLine="480"/>
        <w:rPr>
          <w:rFonts w:hint="eastAsia" w:ascii="宋体" w:hAnsi="宋体" w:eastAsia="宋体" w:cs="宋体"/>
          <w:sz w:val="24"/>
          <w:szCs w:val="24"/>
        </w:rPr>
      </w:pPr>
      <w:r>
        <w:rPr>
          <w:rFonts w:hint="eastAsia" w:ascii="宋体" w:hAnsi="宋体" w:eastAsia="宋体" w:cs="宋体"/>
          <w:sz w:val="24"/>
        </w:rPr>
        <w:t>（</w:t>
      </w:r>
      <w:r>
        <w:rPr>
          <w:rFonts w:hint="eastAsia" w:ascii="宋体" w:hAnsi="宋体" w:eastAsia="宋体" w:cs="宋体"/>
          <w:sz w:val="24"/>
          <w:szCs w:val="24"/>
        </w:rPr>
        <w:t>五）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p>
    <w:p w14:paraId="1E000263">
      <w:pPr>
        <w:pStyle w:val="16"/>
        <w:tabs>
          <w:tab w:val="left" w:pos="1365"/>
        </w:tabs>
        <w:spacing w:line="370" w:lineRule="exact"/>
        <w:ind w:firstLine="480"/>
        <w:rPr>
          <w:rFonts w:hint="eastAsia" w:ascii="宋体" w:hAnsi="宋体" w:eastAsia="宋体" w:cs="宋体"/>
          <w:sz w:val="24"/>
          <w:szCs w:val="24"/>
        </w:rPr>
      </w:pPr>
      <w:r>
        <w:rPr>
          <w:rFonts w:hint="eastAsia" w:ascii="宋体" w:hAnsi="宋体" w:eastAsia="宋体" w:cs="宋体"/>
          <w:sz w:val="24"/>
          <w:szCs w:val="24"/>
        </w:rPr>
        <w:t>（六）有关本次招标的事项若存在变动或修改，敬请及时关注淮安市政府采购网或淮安市公共资源交易网发布的更正公告，否则产生的后果由投标人自行承担。</w:t>
      </w:r>
    </w:p>
    <w:p w14:paraId="01684D09">
      <w:pPr>
        <w:pStyle w:val="214"/>
        <w:spacing w:line="370" w:lineRule="exact"/>
        <w:outlineLvl w:val="2"/>
        <w:rPr>
          <w:rFonts w:hint="eastAsia" w:ascii="宋体" w:hAnsi="宋体" w:eastAsia="宋体" w:cs="宋体"/>
          <w:b/>
          <w:bCs/>
          <w:szCs w:val="24"/>
          <w:lang w:val="en-US"/>
        </w:rPr>
      </w:pPr>
      <w:r>
        <w:rPr>
          <w:rFonts w:hint="eastAsia" w:ascii="宋体" w:hAnsi="宋体" w:eastAsia="宋体" w:cs="宋体"/>
          <w:b/>
          <w:bCs/>
          <w:szCs w:val="24"/>
          <w:lang w:val="en-US"/>
        </w:rPr>
        <w:t>七、凡对本次采购提出询问，请按以下方式联系</w:t>
      </w:r>
    </w:p>
    <w:p w14:paraId="1960072C">
      <w:pPr>
        <w:spacing w:line="370" w:lineRule="exact"/>
        <w:ind w:firstLine="420"/>
        <w:rPr>
          <w:rFonts w:hint="eastAsia" w:ascii="宋体" w:hAnsi="宋体" w:cs="宋体"/>
          <w:sz w:val="24"/>
        </w:rPr>
      </w:pPr>
      <w:r>
        <w:rPr>
          <w:rFonts w:hint="eastAsia" w:ascii="宋体" w:hAnsi="宋体" w:cs="宋体"/>
        </w:rPr>
        <w:t>1</w:t>
      </w:r>
      <w:r>
        <w:rPr>
          <w:rFonts w:hint="eastAsia" w:ascii="宋体" w:hAnsi="宋体" w:cs="宋体"/>
          <w:sz w:val="24"/>
        </w:rPr>
        <w:t>.采购人信息</w:t>
      </w:r>
    </w:p>
    <w:p w14:paraId="13FFDF9B">
      <w:pPr>
        <w:spacing w:line="370" w:lineRule="exact"/>
        <w:ind w:firstLine="480"/>
        <w:rPr>
          <w:rFonts w:hint="eastAsia" w:ascii="宋体" w:hAnsi="宋体" w:cs="宋体"/>
          <w:sz w:val="24"/>
        </w:rPr>
      </w:pPr>
      <w:r>
        <w:rPr>
          <w:rFonts w:hint="eastAsia" w:ascii="宋体" w:hAnsi="宋体" w:cs="宋体"/>
          <w:sz w:val="24"/>
        </w:rPr>
        <w:t>名  称：盱眙县农业技术推广中心</w:t>
      </w:r>
    </w:p>
    <w:p w14:paraId="5A31FA43">
      <w:pPr>
        <w:spacing w:line="370" w:lineRule="exact"/>
        <w:ind w:firstLine="480"/>
        <w:rPr>
          <w:rFonts w:hint="eastAsia" w:ascii="宋体" w:hAnsi="宋体" w:cs="宋体"/>
          <w:sz w:val="24"/>
        </w:rPr>
      </w:pPr>
      <w:r>
        <w:rPr>
          <w:rFonts w:hint="eastAsia" w:ascii="宋体" w:hAnsi="宋体" w:cs="宋体"/>
          <w:sz w:val="24"/>
        </w:rPr>
        <w:t>地  址：盱眙县山水商务大厦10楼</w:t>
      </w:r>
    </w:p>
    <w:p w14:paraId="4A5AC055">
      <w:pPr>
        <w:spacing w:line="370" w:lineRule="exact"/>
        <w:ind w:firstLine="480"/>
        <w:rPr>
          <w:rFonts w:hint="eastAsia" w:ascii="宋体" w:hAnsi="宋体" w:cs="宋体"/>
          <w:sz w:val="24"/>
        </w:rPr>
      </w:pPr>
      <w:r>
        <w:rPr>
          <w:rFonts w:hint="eastAsia" w:ascii="宋体" w:hAnsi="宋体" w:cs="宋体"/>
          <w:sz w:val="24"/>
        </w:rPr>
        <w:t xml:space="preserve">联系人：沈主任     </w:t>
      </w:r>
    </w:p>
    <w:p w14:paraId="169152E6">
      <w:pPr>
        <w:spacing w:line="370" w:lineRule="exact"/>
        <w:ind w:firstLine="480"/>
        <w:rPr>
          <w:rFonts w:hint="eastAsia" w:ascii="宋体" w:hAnsi="宋体" w:cs="宋体"/>
          <w:sz w:val="24"/>
        </w:rPr>
      </w:pPr>
      <w:r>
        <w:rPr>
          <w:rFonts w:hint="eastAsia" w:ascii="宋体" w:hAnsi="宋体" w:cs="宋体"/>
          <w:sz w:val="24"/>
        </w:rPr>
        <w:t>电  话：0517-88222260</w:t>
      </w:r>
    </w:p>
    <w:p w14:paraId="6026091C">
      <w:pPr>
        <w:spacing w:line="370" w:lineRule="exact"/>
        <w:ind w:firstLine="480"/>
        <w:rPr>
          <w:rFonts w:hint="eastAsia" w:ascii="宋体" w:hAnsi="宋体" w:cs="宋体"/>
          <w:sz w:val="24"/>
        </w:rPr>
      </w:pPr>
      <w:r>
        <w:rPr>
          <w:rFonts w:hint="eastAsia" w:ascii="宋体" w:hAnsi="宋体" w:cs="宋体"/>
          <w:sz w:val="24"/>
        </w:rPr>
        <w:t>2.采购代理机构信息</w:t>
      </w:r>
      <w:r>
        <w:rPr>
          <w:rFonts w:hint="eastAsia" w:ascii="宋体" w:hAnsi="宋体" w:cs="宋体"/>
          <w:sz w:val="24"/>
        </w:rPr>
        <w:tab/>
      </w:r>
    </w:p>
    <w:p w14:paraId="2E3862EC">
      <w:pPr>
        <w:spacing w:line="370" w:lineRule="exact"/>
        <w:ind w:firstLine="480"/>
        <w:rPr>
          <w:rFonts w:hint="eastAsia" w:ascii="宋体" w:hAnsi="宋体" w:cs="宋体"/>
          <w:sz w:val="24"/>
        </w:rPr>
      </w:pPr>
      <w:r>
        <w:rPr>
          <w:rFonts w:hint="eastAsia" w:ascii="宋体" w:hAnsi="宋体" w:cs="宋体"/>
          <w:sz w:val="24"/>
        </w:rPr>
        <w:t>名  称：淮安德誉工程项目管理有限公司</w:t>
      </w:r>
    </w:p>
    <w:p w14:paraId="4437B2DA">
      <w:pPr>
        <w:spacing w:line="370" w:lineRule="exact"/>
        <w:ind w:firstLine="480"/>
        <w:rPr>
          <w:rFonts w:hint="eastAsia" w:ascii="宋体" w:hAnsi="宋体" w:cs="宋体"/>
          <w:sz w:val="24"/>
        </w:rPr>
      </w:pPr>
      <w:r>
        <w:rPr>
          <w:rFonts w:hint="eastAsia" w:ascii="宋体" w:hAnsi="宋体" w:cs="宋体"/>
          <w:sz w:val="24"/>
        </w:rPr>
        <w:t>地　址：</w:t>
      </w:r>
      <w:r>
        <w:rPr>
          <w:rFonts w:hint="eastAsia" w:ascii="宋体" w:cs="宋体"/>
          <w:sz w:val="24"/>
        </w:rPr>
        <w:t>盱眙县盱城街道二山路2-4号</w:t>
      </w:r>
    </w:p>
    <w:p w14:paraId="27D53B19">
      <w:pPr>
        <w:spacing w:line="370" w:lineRule="exact"/>
        <w:ind w:firstLine="480"/>
        <w:rPr>
          <w:rFonts w:hint="eastAsia" w:ascii="宋体" w:hAnsi="宋体" w:cs="宋体"/>
          <w:sz w:val="24"/>
        </w:rPr>
      </w:pPr>
      <w:r>
        <w:rPr>
          <w:rFonts w:hint="eastAsia" w:ascii="宋体" w:hAnsi="宋体" w:cs="宋体"/>
          <w:sz w:val="24"/>
        </w:rPr>
        <w:t>联系</w:t>
      </w:r>
      <w:bookmarkStart w:id="20" w:name="_Toc35393639"/>
      <w:bookmarkStart w:id="21" w:name="_Toc35393808"/>
      <w:bookmarkStart w:id="22" w:name="_Toc28359021"/>
      <w:bookmarkStart w:id="23" w:name="_Toc28359098"/>
      <w:r>
        <w:rPr>
          <w:rFonts w:hint="eastAsia" w:ascii="宋体" w:hAnsi="宋体" w:cs="宋体"/>
          <w:sz w:val="24"/>
        </w:rPr>
        <w:t xml:space="preserve">人：李方玉 </w:t>
      </w:r>
    </w:p>
    <w:p w14:paraId="3A49091F">
      <w:pPr>
        <w:spacing w:line="370" w:lineRule="exact"/>
        <w:ind w:firstLine="480"/>
        <w:rPr>
          <w:rFonts w:hint="eastAsia" w:ascii="宋体" w:hAnsi="宋体" w:cs="宋体"/>
          <w:sz w:val="24"/>
        </w:rPr>
      </w:pPr>
      <w:r>
        <w:rPr>
          <w:rFonts w:hint="eastAsia" w:ascii="宋体" w:hAnsi="宋体" w:cs="宋体"/>
          <w:sz w:val="24"/>
        </w:rPr>
        <w:t>电  话</w:t>
      </w:r>
      <w:bookmarkEnd w:id="20"/>
      <w:bookmarkEnd w:id="21"/>
      <w:bookmarkEnd w:id="22"/>
      <w:bookmarkEnd w:id="23"/>
      <w:r>
        <w:rPr>
          <w:rFonts w:hint="eastAsia" w:ascii="宋体" w:hAnsi="宋体" w:cs="宋体"/>
          <w:sz w:val="24"/>
        </w:rPr>
        <w:t>：</w:t>
      </w:r>
      <w:bookmarkEnd w:id="4"/>
      <w:bookmarkStart w:id="24" w:name="_Toc522870431"/>
      <w:r>
        <w:rPr>
          <w:rFonts w:hint="eastAsia" w:ascii="宋体" w:hAnsi="宋体" w:cs="宋体"/>
          <w:sz w:val="24"/>
        </w:rPr>
        <w:t>0517-88332298</w:t>
      </w:r>
    </w:p>
    <w:p w14:paraId="1EEFB857">
      <w:pPr>
        <w:jc w:val="center"/>
        <w:rPr>
          <w:rFonts w:hint="eastAsia" w:ascii="宋体" w:hAnsi="宋体" w:cs="宋体"/>
          <w:b/>
          <w:sz w:val="24"/>
        </w:rPr>
      </w:pPr>
      <w:r>
        <w:rPr>
          <w:rFonts w:hint="eastAsia" w:ascii="宋体" w:hAnsi="宋体" w:cs="宋体"/>
          <w:b/>
          <w:sz w:val="36"/>
          <w:szCs w:val="36"/>
        </w:rPr>
        <w:t>第二章  投标人须知</w:t>
      </w:r>
    </w:p>
    <w:p w14:paraId="6D7F9F6B">
      <w:pPr>
        <w:spacing w:line="440" w:lineRule="exact"/>
        <w:outlineLvl w:val="2"/>
        <w:rPr>
          <w:rFonts w:hint="eastAsia" w:ascii="宋体" w:hAnsi="宋体" w:cs="宋体"/>
          <w:b/>
          <w:sz w:val="24"/>
        </w:rPr>
      </w:pPr>
      <w:r>
        <w:rPr>
          <w:rFonts w:hint="eastAsia" w:ascii="宋体" w:hAnsi="宋体" w:cs="宋体"/>
          <w:b/>
          <w:sz w:val="24"/>
        </w:rPr>
        <w:t>一、总  则</w:t>
      </w:r>
    </w:p>
    <w:p w14:paraId="5413C674">
      <w:pPr>
        <w:pStyle w:val="16"/>
        <w:spacing w:line="440" w:lineRule="exact"/>
        <w:ind w:firstLine="0"/>
        <w:rPr>
          <w:rFonts w:hint="eastAsia" w:ascii="宋体" w:hAnsi="宋体" w:eastAsia="宋体" w:cs="宋体"/>
          <w:sz w:val="24"/>
          <w:szCs w:val="24"/>
        </w:rPr>
      </w:pPr>
      <w:r>
        <w:rPr>
          <w:rFonts w:hint="eastAsia" w:ascii="宋体" w:hAnsi="宋体" w:eastAsia="宋体" w:cs="宋体"/>
          <w:sz w:val="24"/>
          <w:szCs w:val="24"/>
        </w:rPr>
        <w:t>1.适用范围</w:t>
      </w:r>
    </w:p>
    <w:p w14:paraId="15B13047">
      <w:pPr>
        <w:pStyle w:val="16"/>
        <w:spacing w:line="440" w:lineRule="exact"/>
        <w:ind w:firstLine="480"/>
        <w:rPr>
          <w:rFonts w:hint="eastAsia" w:ascii="宋体" w:hAnsi="宋体" w:eastAsia="宋体" w:cs="宋体"/>
          <w:sz w:val="24"/>
          <w:szCs w:val="24"/>
        </w:rPr>
      </w:pPr>
      <w:r>
        <w:rPr>
          <w:rFonts w:hint="eastAsia" w:ascii="宋体" w:hAnsi="宋体" w:eastAsia="宋体" w:cs="宋体"/>
          <w:sz w:val="24"/>
          <w:szCs w:val="24"/>
        </w:rPr>
        <w:t>本招标文件仅适用于本次投标邀请中所述项目的采购。</w:t>
      </w:r>
    </w:p>
    <w:p w14:paraId="4995C8FE">
      <w:pPr>
        <w:pStyle w:val="16"/>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2.合格的投标人</w:t>
      </w:r>
    </w:p>
    <w:p w14:paraId="124C90C4">
      <w:pPr>
        <w:pStyle w:val="16"/>
        <w:spacing w:line="440" w:lineRule="exact"/>
        <w:ind w:firstLine="480"/>
        <w:rPr>
          <w:rFonts w:hint="eastAsia" w:ascii="宋体" w:hAnsi="宋体" w:eastAsia="宋体" w:cs="宋体"/>
          <w:sz w:val="24"/>
          <w:szCs w:val="24"/>
        </w:rPr>
      </w:pPr>
      <w:r>
        <w:rPr>
          <w:rFonts w:hint="eastAsia" w:ascii="宋体" w:hAnsi="宋体" w:eastAsia="宋体" w:cs="宋体"/>
          <w:sz w:val="24"/>
          <w:szCs w:val="24"/>
        </w:rPr>
        <w:t xml:space="preserve">2.1 满足第一章投标邀请中投标人资格要求的规定。 </w:t>
      </w:r>
    </w:p>
    <w:p w14:paraId="1E5A768A">
      <w:pPr>
        <w:pStyle w:val="16"/>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2.2 满足招标文件中实质性条款的规定。</w:t>
      </w:r>
    </w:p>
    <w:p w14:paraId="0F823C9D">
      <w:pPr>
        <w:pStyle w:val="16"/>
        <w:spacing w:line="440" w:lineRule="exact"/>
        <w:ind w:firstLine="0"/>
        <w:rPr>
          <w:rFonts w:hint="eastAsia" w:ascii="宋体" w:hAnsi="宋体" w:eastAsia="宋体" w:cs="宋体"/>
          <w:b/>
          <w:sz w:val="24"/>
          <w:szCs w:val="24"/>
        </w:rPr>
      </w:pPr>
      <w:r>
        <w:rPr>
          <w:rFonts w:hint="eastAsia" w:ascii="宋体" w:hAnsi="宋体" w:eastAsia="宋体" w:cs="宋体"/>
          <w:b/>
          <w:sz w:val="24"/>
          <w:szCs w:val="24"/>
        </w:rPr>
        <w:t>3.适用法律</w:t>
      </w:r>
    </w:p>
    <w:p w14:paraId="125C1A85">
      <w:pPr>
        <w:pStyle w:val="16"/>
        <w:spacing w:line="440" w:lineRule="exact"/>
        <w:ind w:firstLine="592"/>
        <w:rPr>
          <w:rFonts w:hint="eastAsia" w:ascii="宋体" w:hAnsi="宋体" w:eastAsia="宋体" w:cs="宋体"/>
          <w:bCs/>
          <w:sz w:val="24"/>
          <w:szCs w:val="24"/>
        </w:rPr>
      </w:pPr>
      <w:r>
        <w:rPr>
          <w:rFonts w:hint="eastAsia" w:ascii="宋体" w:hAnsi="宋体" w:eastAsia="宋体" w:cs="宋体"/>
          <w:bCs/>
          <w:sz w:val="24"/>
          <w:szCs w:val="24"/>
        </w:rPr>
        <w:t>3.1《中华人民共和国政府采购法》、《中华人民共和国政府采购法实施条例》、《政府采购货物和服务招标投标管理办法》等有关法律、规章和规定等。</w:t>
      </w:r>
    </w:p>
    <w:p w14:paraId="72721EBB">
      <w:pPr>
        <w:pStyle w:val="25"/>
      </w:pPr>
      <w:r>
        <w:rPr>
          <w:rFonts w:hint="eastAsia" w:ascii="宋体" w:hAnsi="宋体" w:cs="宋体"/>
          <w:bCs/>
          <w:sz w:val="24"/>
        </w:rPr>
        <w:t xml:space="preserve">    3.2 在本项目政府采购活动过程中，如果所执行的标准有更新的，按照最新标准执行。</w:t>
      </w:r>
    </w:p>
    <w:p w14:paraId="1F11D18A">
      <w:pPr>
        <w:pStyle w:val="16"/>
        <w:spacing w:line="440" w:lineRule="exact"/>
        <w:ind w:firstLine="0"/>
        <w:rPr>
          <w:rFonts w:hint="eastAsia" w:ascii="宋体" w:hAnsi="宋体" w:eastAsia="宋体" w:cs="宋体"/>
          <w:bCs/>
          <w:sz w:val="24"/>
          <w:szCs w:val="24"/>
        </w:rPr>
      </w:pPr>
      <w:r>
        <w:rPr>
          <w:rFonts w:hint="eastAsia" w:ascii="宋体" w:hAnsi="宋体" w:eastAsia="宋体" w:cs="宋体"/>
          <w:b/>
          <w:sz w:val="24"/>
          <w:szCs w:val="24"/>
        </w:rPr>
        <w:t>4.投标费用</w:t>
      </w:r>
    </w:p>
    <w:p w14:paraId="09A05A4D">
      <w:pPr>
        <w:spacing w:line="440" w:lineRule="exact"/>
        <w:ind w:firstLine="480"/>
        <w:outlineLvl w:val="2"/>
        <w:rPr>
          <w:rFonts w:hint="eastAsia" w:ascii="宋体" w:hAnsi="宋体" w:cs="宋体"/>
          <w:bCs/>
          <w:sz w:val="24"/>
        </w:rPr>
      </w:pPr>
      <w:r>
        <w:rPr>
          <w:rFonts w:hint="eastAsia" w:ascii="宋体" w:hAnsi="宋体" w:cs="宋体"/>
          <w:bCs/>
          <w:sz w:val="24"/>
        </w:rPr>
        <w:t>4.1投标人应自行承担所有与参加本项目有关的费用。不论结果如何，采购人和采购代理机构在任何情况下均无义务和责任承担这些费用。</w:t>
      </w:r>
    </w:p>
    <w:p w14:paraId="67B4F42B">
      <w:pPr>
        <w:spacing w:line="440" w:lineRule="exact"/>
        <w:ind w:firstLine="480"/>
        <w:outlineLvl w:val="2"/>
        <w:rPr>
          <w:rFonts w:hint="eastAsia" w:ascii="宋体" w:hAnsi="宋体" w:cs="宋体"/>
          <w:bCs/>
          <w:sz w:val="24"/>
        </w:rPr>
      </w:pPr>
      <w:r>
        <w:rPr>
          <w:rFonts w:hint="eastAsia" w:ascii="宋体" w:hAnsi="宋体" w:cs="宋体"/>
          <w:bCs/>
          <w:sz w:val="24"/>
        </w:rPr>
        <w:t>4.2本次采购项目不收取标书工本费和中标管理费。</w:t>
      </w:r>
    </w:p>
    <w:p w14:paraId="2407F84E">
      <w:pPr>
        <w:spacing w:line="360" w:lineRule="auto"/>
        <w:ind w:firstLine="480"/>
      </w:pPr>
      <w:r>
        <w:rPr>
          <w:rFonts w:hint="eastAsia" w:ascii="宋体" w:hAnsi="宋体" w:cs="宋体"/>
          <w:bCs/>
          <w:sz w:val="24"/>
        </w:rPr>
        <w:t>4.3</w:t>
      </w:r>
      <w:r>
        <w:rPr>
          <w:rFonts w:hint="eastAsia" w:ascii="宋体" w:hAnsi="宋体" w:cs="宋体"/>
          <w:sz w:val="24"/>
        </w:rPr>
        <w:t>本次采购代理费用参照苏政采协【2024】20号关于印发《江苏省政府采购代理服务收费指导意见》的通知规定收费标准</w:t>
      </w:r>
      <w:r>
        <w:rPr>
          <w:rFonts w:hint="eastAsia" w:ascii="宋体" w:hAnsi="宋体" w:cs="宋体"/>
          <w:color w:val="0000FF"/>
          <w:sz w:val="24"/>
        </w:rPr>
        <w:t>，</w:t>
      </w:r>
      <w:r>
        <w:rPr>
          <w:rFonts w:hint="eastAsia" w:ascii="宋体" w:hAnsi="宋体" w:cs="宋体"/>
          <w:color w:val="FF0000"/>
          <w:sz w:val="24"/>
        </w:rPr>
        <w:t>优惠收取13000元</w:t>
      </w:r>
      <w:r>
        <w:rPr>
          <w:rFonts w:hint="eastAsia" w:ascii="宋体" w:hAnsi="宋体" w:cs="宋体"/>
          <w:color w:val="0000FF"/>
          <w:sz w:val="24"/>
        </w:rPr>
        <w:t>，</w:t>
      </w:r>
      <w:r>
        <w:rPr>
          <w:rFonts w:hint="eastAsia" w:ascii="宋体" w:hAnsi="宋体" w:cs="宋体"/>
          <w:sz w:val="24"/>
        </w:rPr>
        <w:t>由成交供应商领取中标通知书时缴纳，投标单位充分考虑报价风险计入总价且不单独立项。</w:t>
      </w:r>
    </w:p>
    <w:p w14:paraId="60CD8447">
      <w:pPr>
        <w:spacing w:line="440" w:lineRule="exact"/>
        <w:outlineLvl w:val="2"/>
        <w:rPr>
          <w:rFonts w:hint="eastAsia" w:ascii="宋体" w:hAnsi="宋体" w:cs="宋体"/>
          <w:b/>
          <w:sz w:val="24"/>
        </w:rPr>
      </w:pPr>
      <w:r>
        <w:rPr>
          <w:rFonts w:hint="eastAsia" w:ascii="宋体" w:hAnsi="宋体" w:cs="宋体"/>
          <w:b/>
          <w:sz w:val="24"/>
        </w:rPr>
        <w:t>二、招标文件</w:t>
      </w:r>
    </w:p>
    <w:p w14:paraId="47587D9F">
      <w:pPr>
        <w:spacing w:line="440" w:lineRule="exact"/>
        <w:outlineLvl w:val="2"/>
        <w:rPr>
          <w:rFonts w:hint="eastAsia" w:ascii="宋体" w:hAnsi="宋体" w:cs="宋体"/>
          <w:bCs/>
          <w:sz w:val="24"/>
        </w:rPr>
      </w:pPr>
      <w:r>
        <w:rPr>
          <w:rFonts w:hint="eastAsia" w:ascii="宋体" w:hAnsi="宋体" w:cs="宋体"/>
          <w:bCs/>
          <w:sz w:val="24"/>
        </w:rPr>
        <w:t>5.招标文件由以下部分组成:</w:t>
      </w:r>
    </w:p>
    <w:p w14:paraId="28D810D5">
      <w:pPr>
        <w:spacing w:line="440" w:lineRule="exact"/>
        <w:ind w:firstLine="480"/>
        <w:outlineLvl w:val="2"/>
        <w:rPr>
          <w:rFonts w:hint="eastAsia" w:ascii="宋体" w:hAnsi="宋体" w:cs="宋体"/>
          <w:bCs/>
          <w:sz w:val="24"/>
        </w:rPr>
      </w:pPr>
      <w:r>
        <w:rPr>
          <w:rFonts w:hint="eastAsia" w:ascii="宋体" w:hAnsi="宋体" w:cs="宋体"/>
          <w:bCs/>
          <w:sz w:val="24"/>
        </w:rPr>
        <w:t>5.1招标公告</w:t>
      </w:r>
    </w:p>
    <w:p w14:paraId="040A8D94">
      <w:pPr>
        <w:spacing w:line="440" w:lineRule="exact"/>
        <w:ind w:firstLine="480"/>
        <w:outlineLvl w:val="2"/>
        <w:rPr>
          <w:rFonts w:hint="eastAsia" w:ascii="宋体" w:hAnsi="宋体" w:cs="宋体"/>
          <w:bCs/>
          <w:sz w:val="24"/>
        </w:rPr>
      </w:pPr>
      <w:r>
        <w:rPr>
          <w:rFonts w:hint="eastAsia" w:ascii="宋体" w:hAnsi="宋体" w:cs="宋体"/>
          <w:bCs/>
          <w:sz w:val="24"/>
        </w:rPr>
        <w:t>5.2投标人须知</w:t>
      </w:r>
    </w:p>
    <w:p w14:paraId="23E62435">
      <w:pPr>
        <w:spacing w:line="440" w:lineRule="exact"/>
        <w:ind w:firstLine="480"/>
        <w:outlineLvl w:val="2"/>
        <w:rPr>
          <w:rFonts w:hint="eastAsia" w:ascii="宋体" w:hAnsi="宋体" w:cs="宋体"/>
          <w:bCs/>
          <w:sz w:val="24"/>
        </w:rPr>
      </w:pPr>
      <w:r>
        <w:rPr>
          <w:rFonts w:hint="eastAsia" w:ascii="宋体" w:hAnsi="宋体" w:cs="宋体"/>
          <w:bCs/>
          <w:sz w:val="24"/>
        </w:rPr>
        <w:t>5.3合同文本</w:t>
      </w:r>
    </w:p>
    <w:p w14:paraId="4F07DCFF">
      <w:pPr>
        <w:spacing w:line="440" w:lineRule="exact"/>
        <w:ind w:firstLine="480"/>
        <w:outlineLvl w:val="2"/>
        <w:rPr>
          <w:rFonts w:hint="eastAsia" w:ascii="宋体" w:hAnsi="宋体" w:cs="宋体"/>
          <w:bCs/>
          <w:sz w:val="24"/>
        </w:rPr>
      </w:pPr>
      <w:r>
        <w:rPr>
          <w:rFonts w:hint="eastAsia" w:ascii="宋体" w:hAnsi="宋体" w:cs="宋体"/>
          <w:bCs/>
          <w:sz w:val="24"/>
        </w:rPr>
        <w:t>5.4项目采购需求</w:t>
      </w:r>
    </w:p>
    <w:p w14:paraId="7BB5F102">
      <w:pPr>
        <w:spacing w:line="440" w:lineRule="exact"/>
        <w:ind w:firstLine="480"/>
        <w:outlineLvl w:val="2"/>
        <w:rPr>
          <w:rFonts w:hint="eastAsia" w:ascii="宋体" w:hAnsi="宋体" w:cs="宋体"/>
          <w:bCs/>
          <w:sz w:val="24"/>
        </w:rPr>
      </w:pPr>
      <w:r>
        <w:rPr>
          <w:rFonts w:hint="eastAsia" w:ascii="宋体" w:hAnsi="宋体" w:cs="宋体"/>
          <w:bCs/>
          <w:sz w:val="24"/>
        </w:rPr>
        <w:t>5.5评标方法与评标标准</w:t>
      </w:r>
    </w:p>
    <w:p w14:paraId="0DEBD9C8">
      <w:pPr>
        <w:spacing w:line="440" w:lineRule="exact"/>
        <w:ind w:firstLine="480"/>
        <w:outlineLvl w:val="2"/>
        <w:rPr>
          <w:rFonts w:hint="eastAsia" w:ascii="宋体" w:hAnsi="宋体" w:cs="宋体"/>
          <w:bCs/>
          <w:sz w:val="24"/>
        </w:rPr>
      </w:pPr>
      <w:r>
        <w:rPr>
          <w:rFonts w:hint="eastAsia" w:ascii="宋体" w:hAnsi="宋体" w:cs="宋体"/>
          <w:bCs/>
          <w:sz w:val="24"/>
        </w:rPr>
        <w:t>5.6投标文件</w:t>
      </w:r>
    </w:p>
    <w:p w14:paraId="2C0E9178">
      <w:pPr>
        <w:spacing w:line="440" w:lineRule="exact"/>
        <w:outlineLvl w:val="2"/>
        <w:rPr>
          <w:rFonts w:hint="eastAsia" w:ascii="宋体" w:hAnsi="宋体" w:cs="宋体"/>
          <w:bCs/>
          <w:sz w:val="24"/>
        </w:rPr>
      </w:pPr>
      <w:r>
        <w:rPr>
          <w:rFonts w:hint="eastAsia" w:ascii="宋体" w:hAnsi="宋体" w:cs="宋体"/>
          <w:bCs/>
          <w:sz w:val="24"/>
        </w:rPr>
        <w:t>6.招标文件的澄清</w:t>
      </w:r>
    </w:p>
    <w:p w14:paraId="45EF6AD5">
      <w:pPr>
        <w:spacing w:line="440" w:lineRule="exact"/>
        <w:ind w:firstLine="480"/>
        <w:outlineLvl w:val="2"/>
        <w:rPr>
          <w:rFonts w:hint="eastAsia" w:ascii="宋体" w:hAnsi="宋体" w:cs="宋体"/>
          <w:sz w:val="24"/>
          <w:lang w:val="zh-CN"/>
        </w:rPr>
      </w:pPr>
      <w:r>
        <w:rPr>
          <w:rFonts w:hint="eastAsia" w:ascii="宋体" w:hAnsi="宋体" w:cs="宋体"/>
          <w:bCs/>
          <w:sz w:val="24"/>
        </w:rPr>
        <w:t>6.1</w:t>
      </w:r>
      <w:r>
        <w:rPr>
          <w:rFonts w:hint="eastAsia" w:ascii="宋体" w:hAnsi="宋体" w:cs="宋体"/>
          <w:sz w:val="24"/>
          <w:lang w:val="zh-CN"/>
        </w:rPr>
        <w:t>任何要求对招标文件进行澄清的投标人，均应在投标截止时间十日前通过以书面文件或电子文件形式并加盖印章或电子签章（电子文件形式指:从苏彩云登录，从“网上提问”模块提出澄清）通知代理机构</w:t>
      </w:r>
      <w:r>
        <w:rPr>
          <w:rFonts w:hint="eastAsia" w:ascii="宋体" w:hAnsi="宋体" w:cs="宋体"/>
          <w:sz w:val="24"/>
        </w:rPr>
        <w:t>或采购人</w:t>
      </w:r>
      <w:r>
        <w:rPr>
          <w:rFonts w:hint="eastAsia" w:ascii="宋体" w:hAnsi="宋体" w:cs="宋体"/>
          <w:sz w:val="24"/>
          <w:lang w:val="zh-CN"/>
        </w:rPr>
        <w:t>，代理机构</w:t>
      </w:r>
      <w:r>
        <w:rPr>
          <w:rFonts w:hint="eastAsia" w:ascii="宋体" w:hAnsi="宋体" w:cs="宋体"/>
          <w:sz w:val="24"/>
        </w:rPr>
        <w:t>或采购人</w:t>
      </w:r>
      <w:r>
        <w:rPr>
          <w:rFonts w:hint="eastAsia" w:ascii="宋体" w:hAnsi="宋体" w:cs="宋体"/>
          <w:sz w:val="24"/>
          <w:lang w:val="zh-CN"/>
        </w:rPr>
        <w:t>对投标截止时间前十日收到的任何澄清要求将通过电子交易平台以电子文件形式予以答复。</w:t>
      </w:r>
    </w:p>
    <w:p w14:paraId="0CE236BD">
      <w:pPr>
        <w:spacing w:line="440" w:lineRule="exact"/>
        <w:outlineLvl w:val="2"/>
        <w:rPr>
          <w:rFonts w:hint="eastAsia" w:ascii="宋体" w:hAnsi="宋体" w:cs="宋体"/>
          <w:bCs/>
          <w:sz w:val="24"/>
        </w:rPr>
      </w:pPr>
      <w:r>
        <w:rPr>
          <w:rFonts w:hint="eastAsia" w:ascii="宋体" w:hAnsi="宋体" w:cs="宋体"/>
          <w:bCs/>
          <w:sz w:val="24"/>
        </w:rPr>
        <w:t>7.招标文件的更正或补充</w:t>
      </w:r>
    </w:p>
    <w:p w14:paraId="5D5A9D77">
      <w:pPr>
        <w:spacing w:line="440" w:lineRule="exact"/>
        <w:ind w:firstLine="480"/>
        <w:outlineLvl w:val="2"/>
        <w:rPr>
          <w:rFonts w:hint="eastAsia" w:ascii="宋体" w:hAnsi="宋体" w:cs="宋体"/>
          <w:sz w:val="24"/>
          <w:lang w:val="zh-CN"/>
        </w:rPr>
      </w:pPr>
      <w:r>
        <w:rPr>
          <w:rFonts w:hint="eastAsia" w:ascii="宋体" w:hAnsi="宋体" w:cs="宋体"/>
          <w:sz w:val="24"/>
          <w:lang w:val="zh-CN"/>
        </w:rPr>
        <w:t>7.1在投标截止时间十五日前，采购中心可主动或在解答投标人提出的澄清问题时对招标文件用更正公告的方式进行修正。</w:t>
      </w:r>
    </w:p>
    <w:p w14:paraId="7857CFE5">
      <w:pPr>
        <w:spacing w:line="440" w:lineRule="exact"/>
        <w:ind w:firstLine="480"/>
        <w:outlineLvl w:val="2"/>
        <w:rPr>
          <w:rFonts w:hint="eastAsia" w:ascii="宋体" w:hAnsi="宋体" w:cs="宋体"/>
          <w:sz w:val="24"/>
          <w:lang w:val="zh-CN"/>
        </w:rPr>
      </w:pPr>
      <w:r>
        <w:rPr>
          <w:rFonts w:hint="eastAsia" w:ascii="宋体" w:hAnsi="宋体" w:cs="宋体"/>
          <w:sz w:val="24"/>
          <w:lang w:val="zh-CN"/>
        </w:rPr>
        <w:t>7.2对招标文件的更正将在淮安市政府采购网进行公告，更正公告将作为招标文件的组成部分，对所有参加本次投标的投标人都具有约束力。</w:t>
      </w:r>
    </w:p>
    <w:p w14:paraId="5BCF7315">
      <w:pPr>
        <w:spacing w:line="440" w:lineRule="exact"/>
        <w:ind w:firstLine="480"/>
        <w:outlineLvl w:val="2"/>
        <w:rPr>
          <w:rFonts w:hint="eastAsia" w:ascii="宋体" w:hAnsi="宋体" w:cs="宋体"/>
          <w:sz w:val="24"/>
          <w:lang w:val="zh-CN"/>
        </w:rPr>
      </w:pPr>
      <w:r>
        <w:rPr>
          <w:rFonts w:hint="eastAsia" w:ascii="宋体" w:hAnsi="宋体" w:cs="宋体"/>
          <w:sz w:val="24"/>
          <w:lang w:val="zh-CN"/>
        </w:rPr>
        <w:t xml:space="preserve">7.3为使投标人有足够的时间按招标文件的更正要求修正投标文件，采购中心有权按照相关法定的要求推迟投标截止时间和开标日期。 </w:t>
      </w:r>
    </w:p>
    <w:p w14:paraId="407EE63D">
      <w:pPr>
        <w:spacing w:line="440" w:lineRule="exact"/>
        <w:outlineLvl w:val="2"/>
        <w:rPr>
          <w:rFonts w:hint="eastAsia" w:ascii="宋体" w:hAnsi="宋体" w:cs="宋体"/>
          <w:b/>
          <w:sz w:val="24"/>
        </w:rPr>
      </w:pPr>
      <w:r>
        <w:rPr>
          <w:rFonts w:hint="eastAsia" w:ascii="宋体" w:hAnsi="宋体" w:cs="宋体"/>
          <w:b/>
          <w:sz w:val="24"/>
        </w:rPr>
        <w:t>三、投标文件的编制</w:t>
      </w:r>
    </w:p>
    <w:p w14:paraId="5F53846E">
      <w:pPr>
        <w:spacing w:line="440" w:lineRule="exact"/>
        <w:outlineLvl w:val="2"/>
        <w:rPr>
          <w:rFonts w:hint="eastAsia" w:ascii="宋体" w:hAnsi="宋体" w:cs="宋体"/>
          <w:bCs/>
          <w:sz w:val="24"/>
        </w:rPr>
      </w:pPr>
      <w:bookmarkStart w:id="25" w:name="_Toc462564073"/>
      <w:bookmarkStart w:id="26" w:name="_Toc513029214"/>
      <w:bookmarkStart w:id="27" w:name="_Toc16938530"/>
      <w:bookmarkStart w:id="28" w:name="_Toc20823286"/>
      <w:r>
        <w:rPr>
          <w:rFonts w:hint="eastAsia" w:ascii="宋体" w:hAnsi="宋体" w:cs="宋体"/>
          <w:bCs/>
          <w:sz w:val="24"/>
        </w:rPr>
        <w:t>8.投标文件的语言及度量衡单位</w:t>
      </w:r>
      <w:bookmarkEnd w:id="25"/>
      <w:bookmarkEnd w:id="26"/>
      <w:bookmarkEnd w:id="27"/>
      <w:bookmarkEnd w:id="28"/>
    </w:p>
    <w:p w14:paraId="220C5ABC">
      <w:pPr>
        <w:spacing w:line="440" w:lineRule="exact"/>
        <w:ind w:firstLine="480"/>
        <w:outlineLvl w:val="2"/>
        <w:rPr>
          <w:rFonts w:hint="eastAsia" w:ascii="宋体" w:hAnsi="宋体" w:cs="宋体"/>
          <w:bCs/>
          <w:sz w:val="24"/>
        </w:rPr>
      </w:pPr>
      <w:r>
        <w:rPr>
          <w:rFonts w:hint="eastAsia" w:ascii="宋体" w:hAnsi="宋体" w:cs="宋体"/>
          <w:bCs/>
          <w:sz w:val="24"/>
        </w:rPr>
        <w:t>8.1 投标人提交的投标文件以及投标人与采购人就有关投标的所有来往通知、函件和文件均应使用简体中文。</w:t>
      </w:r>
    </w:p>
    <w:p w14:paraId="4F01B1EB">
      <w:pPr>
        <w:spacing w:line="440" w:lineRule="exact"/>
        <w:ind w:firstLine="480"/>
        <w:outlineLvl w:val="2"/>
        <w:rPr>
          <w:rFonts w:hint="eastAsia" w:ascii="宋体" w:hAnsi="宋体" w:cs="宋体"/>
          <w:bCs/>
          <w:sz w:val="24"/>
        </w:rPr>
      </w:pPr>
      <w:r>
        <w:rPr>
          <w:rFonts w:hint="eastAsia" w:ascii="宋体" w:hAnsi="宋体" w:cs="宋体"/>
          <w:bCs/>
          <w:sz w:val="24"/>
        </w:rPr>
        <w:t>8.2 除技术性能另有规定外，投标文件所使用的度量衡单位，均须采用国家法定计量单位。</w:t>
      </w:r>
    </w:p>
    <w:p w14:paraId="0F135320">
      <w:pPr>
        <w:spacing w:line="440" w:lineRule="exact"/>
        <w:outlineLvl w:val="2"/>
        <w:rPr>
          <w:rFonts w:hint="eastAsia" w:ascii="宋体" w:hAnsi="宋体" w:cs="宋体"/>
          <w:bCs/>
          <w:sz w:val="24"/>
        </w:rPr>
      </w:pPr>
      <w:r>
        <w:rPr>
          <w:rFonts w:hint="eastAsia" w:ascii="宋体" w:hAnsi="宋体" w:cs="宋体"/>
          <w:bCs/>
          <w:sz w:val="24"/>
        </w:rPr>
        <w:t>9.投标文件构成</w:t>
      </w:r>
    </w:p>
    <w:p w14:paraId="7368A26D">
      <w:pPr>
        <w:spacing w:line="440" w:lineRule="exact"/>
        <w:ind w:firstLine="480"/>
        <w:outlineLvl w:val="2"/>
        <w:rPr>
          <w:rFonts w:hint="eastAsia" w:ascii="宋体" w:hAnsi="宋体" w:cs="宋体"/>
          <w:bCs/>
          <w:sz w:val="24"/>
        </w:rPr>
      </w:pPr>
      <w:r>
        <w:rPr>
          <w:rFonts w:hint="eastAsia" w:ascii="宋体" w:hAnsi="宋体" w:cs="宋体"/>
          <w:bCs/>
          <w:sz w:val="24"/>
        </w:rPr>
        <w:t>9.1 投标人编写的投标文件应包括资格证明文件、符合性证明文件、投标分项报价表、技术要求响应及偏离表、其他证明文件、投标函、开标一览表等部分。</w:t>
      </w:r>
      <w:r>
        <w:rPr>
          <w:rFonts w:hint="eastAsia" w:ascii="宋体" w:hAnsi="宋体" w:cs="宋体"/>
          <w:bCs/>
          <w:sz w:val="24"/>
          <w:lang w:val="zh-CN"/>
        </w:rPr>
        <w:t>请投标人根据本招标文件的要求在指定模块中上传响应的投标材料，未按招标文件要求在指定模块上传响应的投标材料的，</w:t>
      </w:r>
      <w:r>
        <w:rPr>
          <w:rFonts w:hint="eastAsia" w:ascii="宋体" w:hAnsi="宋体" w:cs="宋体"/>
          <w:bCs/>
          <w:sz w:val="24"/>
        </w:rPr>
        <w:t>视同未提交该投标材料处理。</w:t>
      </w:r>
    </w:p>
    <w:p w14:paraId="102C2B75">
      <w:pPr>
        <w:spacing w:line="440" w:lineRule="exact"/>
        <w:ind w:firstLine="480"/>
        <w:outlineLvl w:val="2"/>
        <w:rPr>
          <w:rFonts w:hint="eastAsia" w:ascii="宋体" w:hAnsi="宋体" w:cs="宋体"/>
          <w:bCs/>
          <w:sz w:val="24"/>
        </w:rPr>
      </w:pPr>
      <w:r>
        <w:rPr>
          <w:rFonts w:hint="eastAsia" w:ascii="宋体" w:hAnsi="宋体" w:cs="宋体"/>
          <w:bCs/>
          <w:sz w:val="24"/>
        </w:rPr>
        <w:t>9.2 如标书制作工具中格式和内容与“淮安市政府采购网”发布的招标文件不一致，请以“淮安市政府采购网”发布的招标文件为准。</w:t>
      </w:r>
    </w:p>
    <w:p w14:paraId="098BE4B9">
      <w:pPr>
        <w:spacing w:line="440" w:lineRule="exact"/>
        <w:outlineLvl w:val="2"/>
        <w:rPr>
          <w:rFonts w:hint="eastAsia" w:ascii="宋体" w:hAnsi="宋体" w:cs="宋体"/>
          <w:bCs/>
          <w:sz w:val="24"/>
        </w:rPr>
      </w:pPr>
      <w:r>
        <w:rPr>
          <w:rFonts w:hint="eastAsia" w:ascii="宋体" w:hAnsi="宋体" w:cs="宋体"/>
          <w:bCs/>
          <w:sz w:val="24"/>
        </w:rPr>
        <w:t>10.证明投标人及投标标的符合招标文件规定的文件</w:t>
      </w:r>
    </w:p>
    <w:p w14:paraId="56D2500B">
      <w:pPr>
        <w:spacing w:line="440" w:lineRule="exact"/>
        <w:ind w:firstLine="480"/>
        <w:outlineLvl w:val="2"/>
        <w:rPr>
          <w:rFonts w:hint="eastAsia" w:ascii="宋体" w:hAnsi="宋体" w:cs="宋体"/>
          <w:bCs/>
          <w:sz w:val="24"/>
        </w:rPr>
      </w:pPr>
      <w:r>
        <w:rPr>
          <w:rFonts w:hint="eastAsia" w:ascii="宋体" w:hAnsi="宋体" w:cs="宋体"/>
          <w:bCs/>
          <w:sz w:val="24"/>
        </w:rPr>
        <w:t>10.1 投标人应按照招标文件要求提交证明文件，证明其及投标标的符合招标文件规定。</w:t>
      </w:r>
    </w:p>
    <w:p w14:paraId="5D5590BC">
      <w:pPr>
        <w:spacing w:line="440" w:lineRule="exact"/>
        <w:ind w:firstLine="480"/>
        <w:outlineLvl w:val="2"/>
        <w:rPr>
          <w:rFonts w:hint="eastAsia" w:ascii="宋体" w:hAnsi="宋体" w:cs="宋体"/>
          <w:bCs/>
          <w:sz w:val="24"/>
        </w:rPr>
      </w:pPr>
      <w:r>
        <w:rPr>
          <w:rFonts w:hint="eastAsia" w:ascii="宋体" w:hAnsi="宋体" w:cs="宋体"/>
          <w:bCs/>
          <w:sz w:val="24"/>
        </w:rPr>
        <w:t>10.2招标文件对证明文件无明确形式要求的，证明文件可以以文字资料、图纸和数据等形式提交。</w:t>
      </w:r>
    </w:p>
    <w:p w14:paraId="369E54DD">
      <w:pPr>
        <w:spacing w:line="440" w:lineRule="exact"/>
        <w:outlineLvl w:val="2"/>
        <w:rPr>
          <w:rFonts w:hint="eastAsia" w:ascii="宋体" w:hAnsi="宋体" w:cs="宋体"/>
          <w:bCs/>
          <w:sz w:val="24"/>
        </w:rPr>
      </w:pPr>
      <w:r>
        <w:rPr>
          <w:rFonts w:hint="eastAsia" w:ascii="宋体" w:hAnsi="宋体" w:cs="宋体"/>
          <w:bCs/>
          <w:sz w:val="24"/>
        </w:rPr>
        <w:t>11.投标报价明细表</w:t>
      </w:r>
    </w:p>
    <w:p w14:paraId="732A7095">
      <w:pPr>
        <w:spacing w:line="440" w:lineRule="exact"/>
        <w:ind w:firstLine="480"/>
        <w:outlineLvl w:val="2"/>
        <w:rPr>
          <w:rFonts w:hint="eastAsia" w:ascii="宋体" w:hAnsi="宋体" w:cs="宋体"/>
          <w:bCs/>
          <w:sz w:val="24"/>
        </w:rPr>
      </w:pPr>
      <w:r>
        <w:rPr>
          <w:rFonts w:hint="eastAsia" w:ascii="宋体" w:hAnsi="宋体" w:cs="宋体"/>
          <w:bCs/>
          <w:sz w:val="24"/>
        </w:rPr>
        <w:t>11.1 投标人应按照招标文件规定格式填报投标明细报价表。</w:t>
      </w:r>
    </w:p>
    <w:p w14:paraId="3E2DFD37">
      <w:pPr>
        <w:spacing w:line="440" w:lineRule="exact"/>
        <w:ind w:firstLine="480"/>
        <w:outlineLvl w:val="2"/>
        <w:rPr>
          <w:rFonts w:hint="eastAsia" w:ascii="宋体" w:hAnsi="宋体" w:cs="宋体"/>
          <w:bCs/>
          <w:sz w:val="24"/>
        </w:rPr>
      </w:pPr>
      <w:r>
        <w:rPr>
          <w:rFonts w:hint="eastAsia" w:ascii="宋体" w:hAnsi="宋体" w:cs="宋体"/>
          <w:bCs/>
          <w:sz w:val="24"/>
        </w:rPr>
        <w:t>11.2投标货币。投标文件中的单价和总价无特殊规定的采用人民币报价，以元为单位标注。招标文件中另有规定的按规定执行。</w:t>
      </w:r>
    </w:p>
    <w:p w14:paraId="0557EED7">
      <w:pPr>
        <w:spacing w:line="440" w:lineRule="exact"/>
        <w:outlineLvl w:val="2"/>
        <w:rPr>
          <w:rFonts w:hint="eastAsia" w:ascii="宋体" w:hAnsi="宋体" w:cs="宋体"/>
          <w:bCs/>
          <w:sz w:val="24"/>
        </w:rPr>
      </w:pPr>
      <w:r>
        <w:rPr>
          <w:rFonts w:hint="eastAsia" w:ascii="宋体" w:hAnsi="宋体" w:cs="宋体"/>
          <w:bCs/>
          <w:sz w:val="24"/>
        </w:rPr>
        <w:t>12.技术要求响应及偏离表</w:t>
      </w:r>
    </w:p>
    <w:p w14:paraId="19726900">
      <w:pPr>
        <w:spacing w:line="440" w:lineRule="exact"/>
        <w:ind w:firstLine="480"/>
        <w:outlineLvl w:val="2"/>
        <w:rPr>
          <w:rFonts w:hint="eastAsia" w:ascii="宋体" w:hAnsi="宋体" w:cs="宋体"/>
          <w:bCs/>
          <w:sz w:val="24"/>
        </w:rPr>
      </w:pPr>
      <w:r>
        <w:rPr>
          <w:rFonts w:hint="eastAsia" w:ascii="宋体" w:hAnsi="宋体" w:cs="宋体"/>
          <w:bCs/>
          <w:sz w:val="24"/>
        </w:rPr>
        <w:t>12.1 投标人需对招标文件中的技术要求逐项作出响应或偏离，并说明原因。</w:t>
      </w:r>
    </w:p>
    <w:p w14:paraId="5532F5FF">
      <w:pPr>
        <w:spacing w:line="440" w:lineRule="exact"/>
        <w:ind w:firstLine="480"/>
        <w:outlineLvl w:val="2"/>
        <w:rPr>
          <w:rFonts w:hint="eastAsia" w:ascii="宋体" w:hAnsi="宋体" w:cs="宋体"/>
          <w:bCs/>
          <w:sz w:val="24"/>
        </w:rPr>
      </w:pPr>
      <w:r>
        <w:rPr>
          <w:rFonts w:hint="eastAsia" w:ascii="宋体" w:hAnsi="宋体" w:cs="宋体"/>
          <w:bCs/>
          <w:sz w:val="24"/>
        </w:rPr>
        <w:t>12.2 投标人可在投标文件中提供认为需要的其他技术文件或说明。</w:t>
      </w:r>
    </w:p>
    <w:p w14:paraId="1F141F0A">
      <w:pPr>
        <w:spacing w:line="440" w:lineRule="exact"/>
        <w:outlineLvl w:val="2"/>
        <w:rPr>
          <w:rFonts w:hint="eastAsia" w:ascii="宋体" w:hAnsi="宋体" w:cs="宋体"/>
          <w:bCs/>
          <w:sz w:val="24"/>
        </w:rPr>
      </w:pPr>
      <w:r>
        <w:rPr>
          <w:rFonts w:hint="eastAsia" w:ascii="宋体" w:hAnsi="宋体" w:cs="宋体"/>
          <w:bCs/>
          <w:sz w:val="24"/>
        </w:rPr>
        <w:t>13.服务承诺</w:t>
      </w:r>
    </w:p>
    <w:p w14:paraId="61F78F95">
      <w:pPr>
        <w:spacing w:line="440" w:lineRule="exact"/>
        <w:ind w:firstLine="480"/>
        <w:outlineLvl w:val="2"/>
        <w:rPr>
          <w:rFonts w:hint="eastAsia" w:ascii="宋体" w:hAnsi="宋体" w:cs="宋体"/>
          <w:bCs/>
          <w:sz w:val="24"/>
          <w:highlight w:val="yellow"/>
        </w:rPr>
      </w:pPr>
      <w:r>
        <w:rPr>
          <w:rFonts w:hint="eastAsia" w:ascii="宋体" w:hAnsi="宋体" w:cs="宋体"/>
          <w:bCs/>
          <w:sz w:val="24"/>
        </w:rPr>
        <w:t xml:space="preserve">13.1 </w:t>
      </w:r>
      <w:r>
        <w:rPr>
          <w:rFonts w:hint="eastAsia" w:ascii="宋体" w:hAnsi="宋体" w:cs="宋体"/>
          <w:sz w:val="24"/>
          <w:lang w:val="zh-CN"/>
        </w:rPr>
        <w:t>投标人的服务承诺应按不低于招标文件中基本服务要求的标准，并作出响应。</w:t>
      </w:r>
    </w:p>
    <w:p w14:paraId="714C35DF">
      <w:pPr>
        <w:spacing w:line="440" w:lineRule="exact"/>
        <w:outlineLvl w:val="2"/>
        <w:rPr>
          <w:rFonts w:hint="eastAsia" w:ascii="宋体" w:hAnsi="宋体" w:cs="宋体"/>
          <w:bCs/>
          <w:sz w:val="24"/>
        </w:rPr>
      </w:pPr>
      <w:bookmarkStart w:id="29" w:name="_Toc49090510"/>
      <w:bookmarkStart w:id="30" w:name="_Toc14577359"/>
      <w:r>
        <w:rPr>
          <w:rFonts w:hint="eastAsia" w:ascii="宋体" w:hAnsi="宋体" w:cs="宋体"/>
          <w:bCs/>
          <w:sz w:val="24"/>
        </w:rPr>
        <w:t>14.投标函和开标一览表</w:t>
      </w:r>
    </w:p>
    <w:p w14:paraId="13BB97B0">
      <w:pPr>
        <w:spacing w:line="440" w:lineRule="exact"/>
        <w:ind w:firstLine="480"/>
        <w:outlineLvl w:val="2"/>
        <w:rPr>
          <w:rFonts w:hint="eastAsia" w:ascii="宋体" w:hAnsi="宋体" w:cs="宋体"/>
          <w:bCs/>
          <w:sz w:val="24"/>
        </w:rPr>
      </w:pPr>
      <w:r>
        <w:rPr>
          <w:rFonts w:hint="eastAsia" w:ascii="宋体" w:hAnsi="宋体" w:cs="宋体"/>
          <w:bCs/>
          <w:sz w:val="24"/>
        </w:rPr>
        <w:t>14.1 投标人应按照招标文件中提供的格式完整、正确填写投标函、开标一览表。</w:t>
      </w:r>
    </w:p>
    <w:p w14:paraId="1EB6EF2A">
      <w:pPr>
        <w:spacing w:line="440" w:lineRule="exact"/>
        <w:ind w:firstLine="480"/>
        <w:outlineLvl w:val="2"/>
        <w:rPr>
          <w:rFonts w:hint="eastAsia" w:ascii="宋体" w:hAnsi="宋体" w:cs="宋体"/>
          <w:bCs/>
          <w:sz w:val="24"/>
        </w:rPr>
      </w:pPr>
      <w:r>
        <w:rPr>
          <w:rFonts w:hint="eastAsia" w:ascii="宋体" w:hAnsi="宋体" w:cs="宋体"/>
          <w:bCs/>
          <w:sz w:val="24"/>
        </w:rPr>
        <w:t>14.2 对于采用货币报价的项目，开标一览表中的投标总报价应与投标报价明细表中的投标总报价一致，如不一致，不作为无效投标处理，但评标时按开标一览表中价格为准。</w:t>
      </w:r>
      <w:bookmarkEnd w:id="29"/>
      <w:bookmarkEnd w:id="30"/>
    </w:p>
    <w:p w14:paraId="6B01E8E2">
      <w:pPr>
        <w:spacing w:line="440" w:lineRule="exact"/>
        <w:outlineLvl w:val="2"/>
        <w:rPr>
          <w:rFonts w:hint="eastAsia" w:ascii="宋体" w:hAnsi="宋体" w:cs="宋体"/>
          <w:bCs/>
          <w:sz w:val="24"/>
        </w:rPr>
      </w:pPr>
      <w:bookmarkStart w:id="31" w:name="_Toc49090511"/>
      <w:bookmarkStart w:id="32" w:name="_Toc14577360"/>
      <w:r>
        <w:rPr>
          <w:rFonts w:hint="eastAsia" w:ascii="宋体" w:hAnsi="宋体" w:cs="宋体"/>
          <w:bCs/>
          <w:sz w:val="24"/>
        </w:rPr>
        <w:t>15.投标有效期</w:t>
      </w:r>
      <w:bookmarkEnd w:id="31"/>
      <w:bookmarkEnd w:id="32"/>
    </w:p>
    <w:p w14:paraId="43502302">
      <w:pPr>
        <w:spacing w:line="440" w:lineRule="exact"/>
        <w:ind w:firstLine="480"/>
        <w:outlineLvl w:val="2"/>
        <w:rPr>
          <w:rFonts w:hint="eastAsia" w:ascii="宋体" w:hAnsi="宋体" w:cs="宋体"/>
          <w:bCs/>
          <w:sz w:val="24"/>
        </w:rPr>
      </w:pPr>
      <w:r>
        <w:rPr>
          <w:rFonts w:hint="eastAsia" w:ascii="宋体" w:hAnsi="宋体" w:cs="宋体"/>
          <w:bCs/>
          <w:sz w:val="24"/>
        </w:rPr>
        <w:t>15.1投标有效期为采购人规定的开标之日后九十天。投标有效期比规定短的将被视为未实质性响应招标文件而予以拒绝。</w:t>
      </w:r>
    </w:p>
    <w:p w14:paraId="745BD5C5">
      <w:pPr>
        <w:spacing w:line="440" w:lineRule="exact"/>
        <w:outlineLvl w:val="2"/>
        <w:rPr>
          <w:rFonts w:hint="eastAsia" w:ascii="宋体" w:hAnsi="宋体" w:cs="宋体"/>
          <w:bCs/>
          <w:sz w:val="24"/>
        </w:rPr>
      </w:pPr>
      <w:r>
        <w:rPr>
          <w:rFonts w:hint="eastAsia" w:ascii="宋体" w:hAnsi="宋体" w:cs="宋体"/>
          <w:bCs/>
          <w:sz w:val="24"/>
        </w:rPr>
        <w:t>16.投标有效期的延长</w:t>
      </w:r>
    </w:p>
    <w:p w14:paraId="0224E2CD">
      <w:pPr>
        <w:spacing w:line="440" w:lineRule="exact"/>
        <w:ind w:firstLine="480"/>
        <w:outlineLvl w:val="2"/>
        <w:rPr>
          <w:rFonts w:hint="eastAsia" w:ascii="宋体" w:hAnsi="宋体" w:cs="宋体"/>
          <w:bCs/>
          <w:sz w:val="24"/>
        </w:rPr>
      </w:pPr>
      <w:r>
        <w:rPr>
          <w:rFonts w:hint="eastAsia" w:ascii="宋体" w:hAnsi="宋体" w:cs="宋体"/>
          <w:bCs/>
          <w:sz w:val="24"/>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5C1D8C3E">
      <w:pPr>
        <w:spacing w:line="440" w:lineRule="exact"/>
        <w:outlineLvl w:val="2"/>
        <w:rPr>
          <w:rFonts w:hint="eastAsia" w:ascii="宋体" w:hAnsi="宋体" w:cs="宋体"/>
          <w:bCs/>
          <w:sz w:val="24"/>
        </w:rPr>
      </w:pPr>
      <w:r>
        <w:rPr>
          <w:rFonts w:hint="eastAsia" w:ascii="宋体" w:hAnsi="宋体" w:cs="宋体"/>
          <w:bCs/>
          <w:sz w:val="24"/>
        </w:rPr>
        <w:t>17.方案部分</w:t>
      </w:r>
    </w:p>
    <w:p w14:paraId="749A0216">
      <w:pPr>
        <w:spacing w:line="440" w:lineRule="exact"/>
        <w:ind w:firstLine="480"/>
        <w:outlineLvl w:val="2"/>
        <w:rPr>
          <w:rFonts w:hint="eastAsia" w:ascii="宋体" w:hAnsi="宋体" w:cs="宋体"/>
          <w:bCs/>
          <w:sz w:val="24"/>
        </w:rPr>
      </w:pPr>
      <w:r>
        <w:rPr>
          <w:rFonts w:hint="eastAsia" w:ascii="宋体" w:hAnsi="宋体" w:cs="宋体"/>
          <w:bCs/>
          <w:sz w:val="24"/>
        </w:rPr>
        <w:t>17.1供应商应按招标文件要求编制方案，经三分之二评委认定，供应商未按要求编制方案的，按未提供方案处理。</w:t>
      </w:r>
    </w:p>
    <w:p w14:paraId="534EF57C">
      <w:pPr>
        <w:spacing w:line="440" w:lineRule="exact"/>
        <w:outlineLvl w:val="2"/>
        <w:rPr>
          <w:rFonts w:hint="eastAsia" w:ascii="宋体" w:hAnsi="宋体" w:cs="宋体"/>
          <w:b/>
          <w:sz w:val="24"/>
        </w:rPr>
      </w:pPr>
      <w:r>
        <w:rPr>
          <w:rFonts w:hint="eastAsia" w:ascii="宋体" w:hAnsi="宋体" w:cs="宋体"/>
          <w:b/>
          <w:sz w:val="24"/>
        </w:rPr>
        <w:t>四、投标文件上传</w:t>
      </w:r>
    </w:p>
    <w:p w14:paraId="172C7AAE">
      <w:pPr>
        <w:spacing w:line="440" w:lineRule="exact"/>
        <w:outlineLvl w:val="2"/>
        <w:rPr>
          <w:rFonts w:hint="eastAsia" w:ascii="宋体" w:hAnsi="宋体" w:cs="宋体"/>
          <w:bCs/>
          <w:sz w:val="24"/>
        </w:rPr>
      </w:pPr>
      <w:r>
        <w:rPr>
          <w:rFonts w:hint="eastAsia" w:ascii="宋体" w:hAnsi="宋体" w:cs="宋体"/>
          <w:bCs/>
          <w:sz w:val="24"/>
        </w:rPr>
        <w:t>18.投标文件的上传</w:t>
      </w:r>
    </w:p>
    <w:p w14:paraId="206B1684">
      <w:pPr>
        <w:spacing w:line="440" w:lineRule="exact"/>
        <w:ind w:firstLine="480"/>
        <w:outlineLvl w:val="2"/>
        <w:rPr>
          <w:rFonts w:hint="eastAsia" w:ascii="宋体" w:hAnsi="宋体" w:cs="宋体"/>
          <w:bCs/>
          <w:sz w:val="24"/>
        </w:rPr>
      </w:pPr>
      <w:r>
        <w:rPr>
          <w:rFonts w:hint="eastAsia" w:ascii="宋体" w:hAnsi="宋体" w:cs="宋体"/>
          <w:bCs/>
          <w:sz w:val="24"/>
        </w:rPr>
        <w:t>18.1投标人应当按照《操作手册》规定，在投标截止时间前制作并上传电子投标文件。</w:t>
      </w:r>
    </w:p>
    <w:p w14:paraId="474B8D5C">
      <w:pPr>
        <w:spacing w:line="440" w:lineRule="exact"/>
        <w:ind w:firstLine="480"/>
        <w:outlineLvl w:val="2"/>
        <w:rPr>
          <w:rFonts w:hint="eastAsia" w:ascii="宋体" w:hAnsi="宋体" w:cs="宋体"/>
          <w:bCs/>
          <w:sz w:val="24"/>
          <w:lang w:val="zh-CN"/>
        </w:rPr>
      </w:pPr>
      <w:r>
        <w:rPr>
          <w:rFonts w:hint="eastAsia" w:ascii="宋体" w:hAnsi="宋体" w:cs="宋体"/>
          <w:bCs/>
          <w:sz w:val="24"/>
        </w:rPr>
        <w:t>18.2投标人上传的电子投标文件内容不清楚或不清晰的（含扫描件），造成无法评审或部分影响评审的，</w:t>
      </w:r>
      <w:r>
        <w:rPr>
          <w:rFonts w:hint="eastAsia" w:ascii="宋体" w:hAnsi="宋体" w:cs="宋体"/>
          <w:bCs/>
          <w:sz w:val="24"/>
          <w:lang w:val="zh-CN"/>
        </w:rPr>
        <w:t>责任由</w:t>
      </w:r>
      <w:r>
        <w:rPr>
          <w:rFonts w:hint="eastAsia" w:ascii="宋体" w:hAnsi="宋体" w:cs="宋体"/>
          <w:bCs/>
          <w:sz w:val="24"/>
        </w:rPr>
        <w:t>投标人</w:t>
      </w:r>
      <w:r>
        <w:rPr>
          <w:rFonts w:hint="eastAsia" w:ascii="宋体" w:hAnsi="宋体" w:cs="宋体"/>
          <w:bCs/>
          <w:sz w:val="24"/>
          <w:lang w:val="zh-CN"/>
        </w:rPr>
        <w:t>自负。</w:t>
      </w:r>
    </w:p>
    <w:p w14:paraId="387AE03C">
      <w:pPr>
        <w:spacing w:line="440" w:lineRule="exact"/>
        <w:ind w:firstLine="480"/>
        <w:outlineLvl w:val="2"/>
        <w:rPr>
          <w:rFonts w:hint="eastAsia" w:ascii="宋体" w:hAnsi="宋体" w:cs="宋体"/>
          <w:bCs/>
          <w:sz w:val="24"/>
        </w:rPr>
      </w:pPr>
      <w:r>
        <w:rPr>
          <w:rFonts w:hint="eastAsia" w:ascii="宋体" w:hAnsi="宋体" w:cs="宋体"/>
          <w:bCs/>
          <w:sz w:val="24"/>
        </w:rPr>
        <w:t>18.3投标人上传电子投标文件的时间不得迟于投标邀请中规定的截止时间。</w:t>
      </w:r>
    </w:p>
    <w:p w14:paraId="5CF92128">
      <w:pPr>
        <w:spacing w:line="440" w:lineRule="exact"/>
        <w:ind w:firstLine="480"/>
        <w:outlineLvl w:val="2"/>
        <w:rPr>
          <w:rFonts w:hint="eastAsia" w:ascii="宋体" w:hAnsi="宋体" w:cs="宋体"/>
          <w:bCs/>
          <w:sz w:val="24"/>
        </w:rPr>
      </w:pPr>
      <w:r>
        <w:rPr>
          <w:rFonts w:hint="eastAsia" w:ascii="宋体" w:hAnsi="宋体" w:cs="宋体"/>
          <w:bCs/>
          <w:sz w:val="24"/>
        </w:rPr>
        <w:t>18.4采购人可以按第7条规定，通过修改招标文件有权酌情延长投标文件接收截止时间。在此情况下，投标人的所有权利和义务以及投标人受制约的截止日期均应以延长后新的截止日期为准。</w:t>
      </w:r>
    </w:p>
    <w:p w14:paraId="5C79E0AF">
      <w:pPr>
        <w:spacing w:line="440" w:lineRule="exact"/>
        <w:ind w:firstLine="540"/>
        <w:rPr>
          <w:rFonts w:hint="eastAsia" w:ascii="宋体" w:hAnsi="宋体" w:cs="宋体"/>
          <w:bCs/>
          <w:sz w:val="24"/>
        </w:rPr>
      </w:pPr>
      <w:r>
        <w:rPr>
          <w:rFonts w:hint="eastAsia" w:ascii="宋体" w:hAnsi="宋体" w:cs="宋体"/>
          <w:sz w:val="24"/>
        </w:rPr>
        <w:t>18.5中标供应商在领取（中标）成交通知书之前，必须提供四份与电子投标文件一致的纸质打印投标文件（打印胶装完整）。</w:t>
      </w:r>
    </w:p>
    <w:p w14:paraId="4AAD7BA8">
      <w:pPr>
        <w:spacing w:line="440" w:lineRule="exact"/>
        <w:outlineLvl w:val="2"/>
        <w:rPr>
          <w:rFonts w:hint="eastAsia" w:ascii="宋体" w:hAnsi="宋体" w:cs="宋体"/>
          <w:bCs/>
          <w:sz w:val="24"/>
        </w:rPr>
      </w:pPr>
      <w:r>
        <w:rPr>
          <w:rFonts w:hint="eastAsia" w:ascii="宋体" w:hAnsi="宋体" w:cs="宋体"/>
          <w:bCs/>
          <w:sz w:val="24"/>
        </w:rPr>
        <w:t>19.投标文件被拒绝接收的情形</w:t>
      </w:r>
    </w:p>
    <w:p w14:paraId="7C6DACF3">
      <w:pPr>
        <w:spacing w:line="440" w:lineRule="exact"/>
        <w:ind w:firstLine="480"/>
        <w:outlineLvl w:val="2"/>
        <w:rPr>
          <w:rFonts w:hint="eastAsia" w:ascii="宋体" w:hAnsi="宋体" w:cs="宋体"/>
          <w:bCs/>
          <w:sz w:val="24"/>
        </w:rPr>
      </w:pPr>
      <w:r>
        <w:rPr>
          <w:rFonts w:hint="eastAsia" w:ascii="宋体" w:hAnsi="宋体" w:cs="宋体"/>
          <w:bCs/>
          <w:sz w:val="24"/>
        </w:rPr>
        <w:t>19.1在招标文件规定的提交投标文件截止时间后上传的电子投标文件。</w:t>
      </w:r>
    </w:p>
    <w:p w14:paraId="1690ED14">
      <w:pPr>
        <w:spacing w:line="440" w:lineRule="exact"/>
        <w:outlineLvl w:val="2"/>
        <w:rPr>
          <w:rFonts w:hint="eastAsia" w:ascii="宋体" w:hAnsi="宋体" w:cs="宋体"/>
          <w:bCs/>
          <w:sz w:val="24"/>
        </w:rPr>
      </w:pPr>
      <w:r>
        <w:rPr>
          <w:rFonts w:hint="eastAsia" w:ascii="宋体" w:hAnsi="宋体" w:cs="宋体"/>
          <w:bCs/>
          <w:sz w:val="24"/>
        </w:rPr>
        <w:t>20.投标文件的修改和撤回</w:t>
      </w:r>
    </w:p>
    <w:p w14:paraId="50E3C30D">
      <w:pPr>
        <w:spacing w:line="440" w:lineRule="exact"/>
        <w:ind w:firstLine="480"/>
        <w:outlineLvl w:val="2"/>
        <w:rPr>
          <w:rFonts w:hint="eastAsia" w:ascii="宋体" w:hAnsi="宋体" w:cs="宋体"/>
          <w:bCs/>
          <w:sz w:val="24"/>
        </w:rPr>
      </w:pPr>
      <w:r>
        <w:rPr>
          <w:rFonts w:hint="eastAsia" w:ascii="宋体" w:hAnsi="宋体" w:cs="宋体"/>
          <w:bCs/>
          <w:sz w:val="24"/>
        </w:rPr>
        <w:t>20.1投标人在上传电子投标文件后可以对其修改或撤回，但这种修改和撤回，必须在规定的开标时间之前，具体操作方法见《操作手册》。</w:t>
      </w:r>
    </w:p>
    <w:p w14:paraId="4CBE98B2">
      <w:pPr>
        <w:spacing w:line="440" w:lineRule="exact"/>
        <w:ind w:firstLine="480"/>
        <w:outlineLvl w:val="2"/>
        <w:rPr>
          <w:rFonts w:hint="eastAsia" w:ascii="宋体" w:hAnsi="宋体" w:cs="宋体"/>
          <w:bCs/>
          <w:sz w:val="24"/>
        </w:rPr>
      </w:pPr>
      <w:r>
        <w:rPr>
          <w:rFonts w:hint="eastAsia" w:ascii="宋体" w:hAnsi="宋体" w:cs="宋体"/>
          <w:bCs/>
          <w:sz w:val="24"/>
        </w:rPr>
        <w:t>20.2投标人不得在开标时间以后修改电子投标文件。</w:t>
      </w:r>
    </w:p>
    <w:p w14:paraId="46F4CFBD">
      <w:pPr>
        <w:spacing w:line="440" w:lineRule="exact"/>
        <w:ind w:firstLine="480"/>
        <w:outlineLvl w:val="2"/>
        <w:rPr>
          <w:rFonts w:hint="eastAsia" w:ascii="宋体" w:hAnsi="宋体" w:cs="宋体"/>
          <w:bCs/>
          <w:sz w:val="24"/>
        </w:rPr>
      </w:pPr>
      <w:r>
        <w:rPr>
          <w:rFonts w:hint="eastAsia" w:ascii="宋体" w:hAnsi="宋体" w:cs="宋体"/>
          <w:bCs/>
          <w:sz w:val="24"/>
        </w:rPr>
        <w:t>20.3投标人不得在提交电子投标文件截止时间起至投标有效期满前撤回电子投标文件。</w:t>
      </w:r>
    </w:p>
    <w:p w14:paraId="38D24ECA">
      <w:pPr>
        <w:spacing w:line="440" w:lineRule="exact"/>
        <w:outlineLvl w:val="2"/>
        <w:rPr>
          <w:rFonts w:hint="eastAsia" w:ascii="宋体" w:hAnsi="宋体" w:cs="宋体"/>
          <w:b/>
          <w:sz w:val="24"/>
        </w:rPr>
      </w:pPr>
      <w:r>
        <w:rPr>
          <w:rFonts w:hint="eastAsia" w:ascii="宋体" w:hAnsi="宋体" w:cs="宋体"/>
          <w:b/>
          <w:sz w:val="24"/>
        </w:rPr>
        <w:t>五、开标及评标</w:t>
      </w:r>
    </w:p>
    <w:p w14:paraId="77258002">
      <w:pPr>
        <w:spacing w:line="440" w:lineRule="exact"/>
        <w:outlineLvl w:val="2"/>
        <w:rPr>
          <w:rFonts w:hint="eastAsia" w:ascii="宋体" w:hAnsi="宋体" w:cs="宋体"/>
          <w:bCs/>
          <w:sz w:val="24"/>
        </w:rPr>
      </w:pPr>
      <w:r>
        <w:rPr>
          <w:rFonts w:hint="eastAsia" w:ascii="宋体" w:hAnsi="宋体" w:cs="宋体"/>
          <w:bCs/>
          <w:sz w:val="24"/>
        </w:rPr>
        <w:t>21.开标</w:t>
      </w:r>
    </w:p>
    <w:p w14:paraId="74ACCAC1">
      <w:pPr>
        <w:spacing w:line="440" w:lineRule="exact"/>
        <w:ind w:firstLine="480"/>
        <w:outlineLvl w:val="2"/>
        <w:rPr>
          <w:rFonts w:hint="eastAsia" w:ascii="宋体" w:hAnsi="宋体" w:cs="宋体"/>
          <w:bCs/>
          <w:sz w:val="24"/>
        </w:rPr>
      </w:pPr>
      <w:r>
        <w:rPr>
          <w:rFonts w:hint="eastAsia" w:ascii="宋体" w:hAnsi="宋体" w:cs="宋体"/>
          <w:bCs/>
          <w:sz w:val="24"/>
        </w:rPr>
        <w:t>21.1 采购人将在招标公告中规定的时间和地点组织开标。投标人应当按照《操作手册》规定，参加开标活动和在苏采云系统规定的时间内对投标文件进行解密。</w:t>
      </w:r>
    </w:p>
    <w:p w14:paraId="23EB3C09">
      <w:pPr>
        <w:spacing w:line="440" w:lineRule="exact"/>
        <w:ind w:firstLine="480"/>
        <w:outlineLvl w:val="2"/>
        <w:rPr>
          <w:rFonts w:hint="eastAsia" w:ascii="宋体" w:hAnsi="宋体" w:cs="宋体"/>
          <w:bCs/>
          <w:sz w:val="24"/>
        </w:rPr>
      </w:pPr>
      <w:r>
        <w:rPr>
          <w:rFonts w:hint="eastAsia" w:ascii="宋体" w:hAnsi="宋体" w:cs="宋体"/>
          <w:bCs/>
          <w:sz w:val="24"/>
        </w:rPr>
        <w:t>21.2开标仪式由采购人组织。苏采云系统将自动对项目进行开标，并宣布各投标人名称和投标价格。</w:t>
      </w:r>
    </w:p>
    <w:p w14:paraId="126AEABB">
      <w:pPr>
        <w:spacing w:line="440" w:lineRule="exact"/>
        <w:ind w:firstLine="480"/>
        <w:outlineLvl w:val="2"/>
        <w:rPr>
          <w:rFonts w:hint="eastAsia" w:ascii="宋体" w:hAnsi="宋体" w:cs="宋体"/>
          <w:bCs/>
          <w:sz w:val="24"/>
        </w:rPr>
      </w:pPr>
      <w:r>
        <w:rPr>
          <w:rFonts w:hint="eastAsia" w:ascii="宋体" w:hAnsi="宋体" w:cs="宋体"/>
          <w:bCs/>
          <w:sz w:val="24"/>
        </w:rPr>
        <w:t>21.3投标人在开标过程中涉及到的投标文件解密、开标结果确认等工作，应按照《操作手册》规定执行。</w:t>
      </w:r>
    </w:p>
    <w:p w14:paraId="2ABBCA06">
      <w:pPr>
        <w:spacing w:line="440" w:lineRule="exact"/>
        <w:ind w:firstLine="480"/>
        <w:outlineLvl w:val="2"/>
        <w:rPr>
          <w:rFonts w:hint="eastAsia" w:ascii="宋体" w:hAnsi="宋体" w:cs="宋体"/>
          <w:bCs/>
          <w:sz w:val="24"/>
        </w:rPr>
      </w:pPr>
      <w:r>
        <w:rPr>
          <w:rFonts w:hint="eastAsia" w:ascii="宋体" w:hAnsi="宋体" w:cs="宋体"/>
          <w:bCs/>
          <w:sz w:val="24"/>
        </w:rPr>
        <w:t>21.4投标人如果对开标过程和开标记录有疑义，应当根据《操作手册》规定提出，如苏采云系统中《开标记录表》宣布后5分钟内未提出的，视同认可开标结果。</w:t>
      </w:r>
    </w:p>
    <w:p w14:paraId="0142039A">
      <w:pPr>
        <w:spacing w:line="440" w:lineRule="exact"/>
        <w:outlineLvl w:val="2"/>
        <w:rPr>
          <w:rFonts w:hint="eastAsia" w:ascii="宋体" w:hAnsi="宋体" w:cs="宋体"/>
          <w:bCs/>
          <w:sz w:val="24"/>
        </w:rPr>
      </w:pPr>
      <w:bookmarkStart w:id="33" w:name="_Toc16938547"/>
      <w:bookmarkStart w:id="34" w:name="_Toc20823303"/>
      <w:bookmarkStart w:id="35" w:name="_Toc513029231"/>
      <w:r>
        <w:rPr>
          <w:rFonts w:hint="eastAsia" w:ascii="宋体" w:hAnsi="宋体" w:cs="宋体"/>
          <w:bCs/>
          <w:sz w:val="24"/>
        </w:rPr>
        <w:t>22.评标委员会</w:t>
      </w:r>
    </w:p>
    <w:p w14:paraId="5C90DFFE">
      <w:pPr>
        <w:spacing w:line="440" w:lineRule="exact"/>
        <w:ind w:firstLine="480"/>
        <w:outlineLvl w:val="2"/>
        <w:rPr>
          <w:rFonts w:hint="eastAsia" w:ascii="宋体" w:hAnsi="宋体" w:cs="宋体"/>
          <w:bCs/>
          <w:sz w:val="24"/>
        </w:rPr>
      </w:pPr>
      <w:r>
        <w:rPr>
          <w:rFonts w:hint="eastAsia" w:ascii="宋体" w:hAnsi="宋体" w:cs="宋体"/>
          <w:bCs/>
          <w:sz w:val="24"/>
        </w:rPr>
        <w:t>22.1开标后，采购人立即组织评标委员会（以下简称评委会）进行评标。</w:t>
      </w:r>
    </w:p>
    <w:p w14:paraId="3CEE0431">
      <w:pPr>
        <w:spacing w:line="440" w:lineRule="exact"/>
        <w:ind w:firstLine="480"/>
        <w:outlineLvl w:val="2"/>
        <w:rPr>
          <w:rFonts w:hint="eastAsia" w:ascii="宋体" w:hAnsi="宋体" w:cs="宋体"/>
          <w:bCs/>
          <w:sz w:val="24"/>
        </w:rPr>
      </w:pPr>
      <w:r>
        <w:rPr>
          <w:rFonts w:hint="eastAsia" w:ascii="宋体" w:hAnsi="宋体" w:cs="宋体"/>
          <w:bCs/>
          <w:sz w:val="24"/>
        </w:rPr>
        <w:t>22.2 评委会由采购人代表和有关技术、经济等方面的专家组成，且人员构成符合政府采购有关规定。</w:t>
      </w:r>
    </w:p>
    <w:p w14:paraId="1223A6D7">
      <w:pPr>
        <w:spacing w:line="440" w:lineRule="exact"/>
        <w:ind w:firstLine="480"/>
        <w:outlineLvl w:val="2"/>
        <w:rPr>
          <w:rFonts w:hint="eastAsia" w:ascii="宋体" w:hAnsi="宋体" w:cs="宋体"/>
          <w:bCs/>
          <w:sz w:val="24"/>
        </w:rPr>
      </w:pPr>
      <w:r>
        <w:rPr>
          <w:rFonts w:hint="eastAsia" w:ascii="宋体" w:hAnsi="宋体" w:cs="宋体"/>
          <w:bCs/>
          <w:sz w:val="24"/>
        </w:rPr>
        <w:t>22.3评委会独立工作，负责评审所有投标文件并确定中标候选人。</w:t>
      </w:r>
    </w:p>
    <w:p w14:paraId="7CC4542D">
      <w:pPr>
        <w:spacing w:line="440" w:lineRule="exact"/>
        <w:outlineLvl w:val="2"/>
        <w:rPr>
          <w:rFonts w:hint="eastAsia" w:ascii="宋体" w:hAnsi="宋体" w:cs="宋体"/>
          <w:bCs/>
          <w:sz w:val="24"/>
        </w:rPr>
      </w:pPr>
      <w:r>
        <w:rPr>
          <w:rFonts w:hint="eastAsia" w:ascii="宋体" w:hAnsi="宋体" w:cs="宋体"/>
          <w:bCs/>
          <w:sz w:val="24"/>
        </w:rPr>
        <w:t>23．评标过程的保密与公正</w:t>
      </w:r>
      <w:bookmarkEnd w:id="33"/>
      <w:bookmarkEnd w:id="34"/>
      <w:bookmarkEnd w:id="35"/>
    </w:p>
    <w:p w14:paraId="12DE4CE5">
      <w:pPr>
        <w:spacing w:line="440" w:lineRule="exact"/>
        <w:ind w:firstLine="480"/>
        <w:outlineLvl w:val="2"/>
        <w:rPr>
          <w:rFonts w:hint="eastAsia" w:ascii="宋体" w:hAnsi="宋体" w:cs="宋体"/>
          <w:bCs/>
          <w:sz w:val="24"/>
        </w:rPr>
      </w:pPr>
      <w:r>
        <w:rPr>
          <w:rFonts w:hint="eastAsia" w:ascii="宋体" w:hAnsi="宋体" w:cs="宋体"/>
          <w:bCs/>
          <w:sz w:val="24"/>
        </w:rPr>
        <w:t>23.1凡是与审查、澄清、评价和比较投标的有关资料以及授标建议等，采购人、评委、采购人均不得向投标人或与评标无关的其他人员透露。</w:t>
      </w:r>
    </w:p>
    <w:p w14:paraId="75389B1F">
      <w:pPr>
        <w:spacing w:line="440" w:lineRule="exact"/>
        <w:ind w:firstLine="480"/>
        <w:outlineLvl w:val="2"/>
        <w:rPr>
          <w:rFonts w:hint="eastAsia" w:ascii="宋体" w:hAnsi="宋体" w:cs="宋体"/>
          <w:bCs/>
          <w:sz w:val="24"/>
        </w:rPr>
      </w:pPr>
      <w:r>
        <w:rPr>
          <w:rFonts w:hint="eastAsia" w:ascii="宋体" w:hAnsi="宋体" w:cs="宋体"/>
          <w:bCs/>
          <w:sz w:val="24"/>
        </w:rPr>
        <w:t>23.2在评标过程中，投标人不得以任何行为影响评标过程，否则其投标文件将被作为无效投标文件。</w:t>
      </w:r>
    </w:p>
    <w:p w14:paraId="17A3DB5E">
      <w:pPr>
        <w:spacing w:line="440" w:lineRule="exact"/>
        <w:ind w:firstLine="480"/>
        <w:outlineLvl w:val="2"/>
        <w:rPr>
          <w:rFonts w:hint="eastAsia" w:ascii="宋体" w:hAnsi="宋体" w:cs="宋体"/>
          <w:bCs/>
          <w:sz w:val="24"/>
        </w:rPr>
      </w:pPr>
      <w:r>
        <w:rPr>
          <w:rFonts w:hint="eastAsia" w:ascii="宋体" w:hAnsi="宋体" w:cs="宋体"/>
          <w:bCs/>
          <w:sz w:val="24"/>
        </w:rPr>
        <w:t>23.3 采购人和评标委员会不向未中标的投标人解释未中标原因，也不公布评标过程中的相关细节。</w:t>
      </w:r>
    </w:p>
    <w:p w14:paraId="0423563B">
      <w:pPr>
        <w:spacing w:line="440" w:lineRule="exact"/>
        <w:ind w:firstLine="480"/>
        <w:outlineLvl w:val="2"/>
        <w:rPr>
          <w:rFonts w:hint="eastAsia" w:ascii="宋体" w:hAnsi="宋体" w:cs="宋体"/>
          <w:bCs/>
          <w:sz w:val="24"/>
        </w:rPr>
      </w:pPr>
      <w:r>
        <w:rPr>
          <w:rFonts w:hint="eastAsia" w:ascii="宋体" w:hAnsi="宋体" w:cs="宋体"/>
          <w:bCs/>
          <w:sz w:val="24"/>
        </w:rPr>
        <w:t>23.4 采用综合评分法的项目，未中标的投标人可于中标结果公告期限届满之日起通过苏采云系统查看自己的评审得分及排序情况。</w:t>
      </w:r>
    </w:p>
    <w:p w14:paraId="5AAFC7EF">
      <w:pPr>
        <w:spacing w:line="440" w:lineRule="exact"/>
        <w:outlineLvl w:val="2"/>
        <w:rPr>
          <w:rFonts w:hint="eastAsia" w:ascii="宋体" w:hAnsi="宋体" w:cs="宋体"/>
          <w:bCs/>
          <w:sz w:val="24"/>
        </w:rPr>
      </w:pPr>
      <w:bookmarkStart w:id="36" w:name="_Toc20823304"/>
      <w:bookmarkStart w:id="37" w:name="_Toc16938548"/>
      <w:bookmarkStart w:id="38" w:name="_Toc513029232"/>
      <w:r>
        <w:rPr>
          <w:rFonts w:hint="eastAsia" w:ascii="宋体" w:hAnsi="宋体" w:cs="宋体"/>
          <w:bCs/>
          <w:sz w:val="24"/>
        </w:rPr>
        <w:t>24．投标文件的澄清</w:t>
      </w:r>
      <w:bookmarkEnd w:id="36"/>
      <w:bookmarkEnd w:id="37"/>
      <w:bookmarkEnd w:id="38"/>
    </w:p>
    <w:p w14:paraId="24960600">
      <w:pPr>
        <w:spacing w:line="440" w:lineRule="exact"/>
        <w:ind w:firstLine="480"/>
        <w:outlineLvl w:val="2"/>
        <w:rPr>
          <w:rFonts w:hint="eastAsia" w:ascii="宋体" w:hAnsi="宋体" w:cs="宋体"/>
          <w:bCs/>
          <w:sz w:val="24"/>
        </w:rPr>
      </w:pPr>
      <w:bookmarkStart w:id="39" w:name="_Toc16938549"/>
      <w:bookmarkStart w:id="40" w:name="_Toc20823305"/>
      <w:bookmarkStart w:id="41" w:name="_Toc513029233"/>
      <w:r>
        <w:rPr>
          <w:rFonts w:hint="eastAsia" w:ascii="宋体" w:hAnsi="宋体" w:cs="宋体"/>
          <w:bCs/>
          <w:sz w:val="24"/>
        </w:rPr>
        <w:t>24.1评标期间，评委会对投标文件中含义不明确、同类问题表述不一致或者有明显文字和计算错误的内容，有权要求投标人作出必要的澄清、说明或者补正。</w:t>
      </w:r>
    </w:p>
    <w:p w14:paraId="2A70F03D">
      <w:pPr>
        <w:spacing w:line="440" w:lineRule="exact"/>
        <w:ind w:firstLine="480"/>
        <w:outlineLvl w:val="2"/>
        <w:rPr>
          <w:rFonts w:hint="eastAsia" w:ascii="宋体" w:hAnsi="宋体" w:cs="宋体"/>
          <w:bCs/>
          <w:sz w:val="24"/>
        </w:rPr>
      </w:pPr>
      <w:r>
        <w:rPr>
          <w:rFonts w:hint="eastAsia" w:ascii="宋体" w:hAnsi="宋体" w:cs="宋体"/>
          <w:bCs/>
          <w:sz w:val="24"/>
        </w:rPr>
        <w:t>投标人的澄清、说明或者补正不得超出投标文件的范围或者改变投标文件的实质性内容。</w:t>
      </w:r>
    </w:p>
    <w:p w14:paraId="49BD1D84">
      <w:pPr>
        <w:spacing w:line="440" w:lineRule="exact"/>
        <w:ind w:firstLine="480"/>
        <w:outlineLvl w:val="2"/>
        <w:rPr>
          <w:rFonts w:hint="eastAsia" w:ascii="宋体" w:hAnsi="宋体" w:cs="宋体"/>
          <w:bCs/>
          <w:sz w:val="24"/>
        </w:rPr>
      </w:pPr>
      <w:r>
        <w:rPr>
          <w:rFonts w:hint="eastAsia" w:ascii="宋体" w:hAnsi="宋体" w:cs="宋体"/>
          <w:bCs/>
          <w:sz w:val="24"/>
        </w:rPr>
        <w:t>评委会并非对每个投标人都做澄清要求。</w:t>
      </w:r>
    </w:p>
    <w:p w14:paraId="7722241F">
      <w:pPr>
        <w:spacing w:line="440" w:lineRule="exact"/>
        <w:ind w:firstLine="480"/>
        <w:outlineLvl w:val="2"/>
        <w:rPr>
          <w:rFonts w:hint="eastAsia" w:ascii="宋体" w:hAnsi="宋体" w:cs="宋体"/>
          <w:bCs/>
          <w:sz w:val="24"/>
        </w:rPr>
      </w:pPr>
      <w:r>
        <w:rPr>
          <w:rFonts w:hint="eastAsia" w:ascii="宋体" w:hAnsi="宋体" w:cs="宋体"/>
          <w:bCs/>
          <w:sz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3D0AAED">
      <w:pPr>
        <w:spacing w:line="440" w:lineRule="exact"/>
        <w:ind w:firstLine="480"/>
        <w:outlineLvl w:val="2"/>
        <w:rPr>
          <w:rFonts w:hint="eastAsia" w:ascii="宋体" w:hAnsi="宋体" w:cs="宋体"/>
          <w:bCs/>
          <w:sz w:val="24"/>
        </w:rPr>
      </w:pPr>
      <w:r>
        <w:rPr>
          <w:rFonts w:hint="eastAsia" w:ascii="宋体" w:hAnsi="宋体" w:cs="宋体"/>
          <w:bCs/>
          <w:sz w:val="24"/>
        </w:rPr>
        <w:t>24.3 接到评委会澄清、说明和补正要求的投标人如未按规定做出澄清、说明和补正，其风险由投标人自行承担。</w:t>
      </w:r>
    </w:p>
    <w:p w14:paraId="273A3511">
      <w:pPr>
        <w:spacing w:line="440" w:lineRule="exact"/>
        <w:outlineLvl w:val="2"/>
        <w:rPr>
          <w:rFonts w:hint="eastAsia" w:ascii="宋体" w:hAnsi="宋体" w:cs="宋体"/>
          <w:bCs/>
          <w:sz w:val="24"/>
        </w:rPr>
      </w:pPr>
      <w:r>
        <w:rPr>
          <w:rFonts w:hint="eastAsia" w:ascii="宋体" w:hAnsi="宋体" w:cs="宋体"/>
          <w:bCs/>
          <w:sz w:val="24"/>
        </w:rPr>
        <w:t>25.对投标文件的初审</w:t>
      </w:r>
      <w:bookmarkEnd w:id="39"/>
      <w:bookmarkEnd w:id="40"/>
      <w:bookmarkEnd w:id="41"/>
    </w:p>
    <w:p w14:paraId="7F12A776">
      <w:pPr>
        <w:spacing w:line="440" w:lineRule="exact"/>
        <w:ind w:firstLine="480"/>
        <w:outlineLvl w:val="2"/>
        <w:rPr>
          <w:rFonts w:hint="eastAsia" w:ascii="宋体" w:hAnsi="宋体" w:cs="宋体"/>
          <w:bCs/>
          <w:sz w:val="24"/>
        </w:rPr>
      </w:pPr>
      <w:r>
        <w:rPr>
          <w:rFonts w:hint="eastAsia" w:ascii="宋体" w:hAnsi="宋体" w:cs="宋体"/>
          <w:bCs/>
          <w:sz w:val="24"/>
        </w:rPr>
        <w:t>25.1投标文件初审分为资格审查和符合性审查。</w:t>
      </w:r>
    </w:p>
    <w:p w14:paraId="09AF555A">
      <w:pPr>
        <w:spacing w:line="440" w:lineRule="exact"/>
        <w:ind w:firstLine="482"/>
        <w:outlineLvl w:val="2"/>
        <w:rPr>
          <w:rFonts w:hint="eastAsia" w:ascii="宋体" w:hAnsi="宋体" w:cs="宋体"/>
          <w:bCs/>
          <w:sz w:val="24"/>
        </w:rPr>
      </w:pPr>
      <w:r>
        <w:rPr>
          <w:rFonts w:hint="eastAsia" w:ascii="宋体" w:hAnsi="宋体" w:cs="宋体"/>
          <w:b/>
          <w:sz w:val="24"/>
        </w:rPr>
        <w:t>2</w:t>
      </w:r>
      <w:r>
        <w:rPr>
          <w:rFonts w:hint="eastAsia" w:ascii="宋体" w:hAnsi="宋体" w:cs="宋体"/>
          <w:bCs/>
          <w:sz w:val="24"/>
        </w:rPr>
        <w:t>5.1.1 资格审查：依据法律法规和招标文件的规定，由采购人对投标文件中的资格证明文件进行审查。资格审查的结论，采购人向评委会进行反馈。</w:t>
      </w:r>
    </w:p>
    <w:p w14:paraId="266A1E5C">
      <w:pPr>
        <w:spacing w:line="440" w:lineRule="exact"/>
        <w:ind w:firstLine="480"/>
        <w:outlineLvl w:val="2"/>
        <w:rPr>
          <w:rFonts w:hint="eastAsia" w:ascii="宋体" w:hAnsi="宋体" w:cs="宋体"/>
          <w:bCs/>
          <w:sz w:val="24"/>
        </w:rPr>
      </w:pPr>
      <w:r>
        <w:rPr>
          <w:rFonts w:hint="eastAsia" w:ascii="宋体" w:hAnsi="宋体" w:cs="宋体"/>
          <w:bCs/>
          <w:sz w:val="24"/>
        </w:rPr>
        <w:t>采购人在进行资格性审查的同时，将在“信用中国”网站“中国政府采购网”网站查询投标人的信用记录，以确定投标人是否具备投标资格,查询结果留存并归档。</w:t>
      </w:r>
    </w:p>
    <w:p w14:paraId="501B7FE5">
      <w:pPr>
        <w:spacing w:line="440" w:lineRule="exact"/>
        <w:ind w:firstLine="480"/>
        <w:outlineLvl w:val="2"/>
        <w:rPr>
          <w:rFonts w:hint="eastAsia" w:ascii="宋体" w:hAnsi="宋体" w:cs="宋体"/>
          <w:bCs/>
          <w:sz w:val="24"/>
        </w:rPr>
      </w:pPr>
      <w:r>
        <w:rPr>
          <w:rFonts w:hint="eastAsia" w:ascii="宋体" w:hAnsi="宋体" w:cs="宋体"/>
          <w:bCs/>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4A06512D">
      <w:pPr>
        <w:spacing w:line="440" w:lineRule="exact"/>
        <w:ind w:firstLine="480"/>
        <w:outlineLvl w:val="2"/>
        <w:rPr>
          <w:rFonts w:hint="eastAsia" w:ascii="宋体" w:hAnsi="宋体" w:cs="宋体"/>
          <w:bCs/>
          <w:sz w:val="24"/>
        </w:rPr>
      </w:pPr>
      <w:r>
        <w:rPr>
          <w:rFonts w:hint="eastAsia" w:ascii="宋体" w:hAnsi="宋体" w:cs="宋体"/>
          <w:bCs/>
          <w:sz w:val="24"/>
        </w:rPr>
        <w:t>25.1.2 符合性审查：依据招标文件的规定，由评委会从投标文件的有效性、完整性和对招标文件的响应程度进行审查，以确定是否对招标文件的实质性要求作出响应。</w:t>
      </w:r>
    </w:p>
    <w:p w14:paraId="6F651525">
      <w:pPr>
        <w:spacing w:line="440" w:lineRule="exact"/>
        <w:ind w:firstLine="480"/>
        <w:outlineLvl w:val="2"/>
        <w:rPr>
          <w:rFonts w:hint="eastAsia" w:ascii="宋体" w:hAnsi="宋体" w:cs="宋体"/>
          <w:bCs/>
          <w:sz w:val="24"/>
        </w:rPr>
      </w:pPr>
      <w:r>
        <w:rPr>
          <w:rFonts w:hint="eastAsia" w:ascii="宋体" w:hAnsi="宋体" w:cs="宋体"/>
          <w:bCs/>
          <w:sz w:val="24"/>
        </w:rPr>
        <w:t>25.1.3 未通过资格审查或符合性审查的投标人，采购人将在苏采云系统中告知未通过资格审查或符合性审查的原因，评审结束后，采购人将不再告知未通过资格审查或符合性审查的原因。</w:t>
      </w:r>
    </w:p>
    <w:p w14:paraId="13E91891">
      <w:pPr>
        <w:spacing w:line="440" w:lineRule="exact"/>
        <w:ind w:firstLine="480"/>
        <w:outlineLvl w:val="2"/>
        <w:rPr>
          <w:rFonts w:hint="eastAsia" w:ascii="宋体" w:hAnsi="宋体" w:cs="宋体"/>
          <w:bCs/>
          <w:sz w:val="24"/>
        </w:rPr>
      </w:pPr>
      <w:r>
        <w:rPr>
          <w:rFonts w:hint="eastAsia" w:ascii="宋体" w:hAnsi="宋体" w:cs="宋体"/>
          <w:bCs/>
          <w:sz w:val="24"/>
        </w:rPr>
        <w:t>25.2在详细评标之前，评委会将首先审查每份投标文件是否实质性响应了招标文件的要求。实质性响应的投标应该是与招标文件要求的全部条款、条件和规格相符，没有重大偏离或保留的投标。</w:t>
      </w:r>
    </w:p>
    <w:p w14:paraId="70602A58">
      <w:pPr>
        <w:spacing w:line="440" w:lineRule="exact"/>
        <w:ind w:firstLine="480"/>
        <w:outlineLvl w:val="2"/>
        <w:rPr>
          <w:rFonts w:hint="eastAsia" w:ascii="宋体" w:hAnsi="宋体" w:cs="宋体"/>
          <w:bCs/>
          <w:sz w:val="24"/>
        </w:rPr>
      </w:pPr>
      <w:r>
        <w:rPr>
          <w:rFonts w:hint="eastAsia" w:ascii="宋体" w:hAnsi="宋体" w:cs="宋体"/>
          <w:bCs/>
          <w:sz w:val="24"/>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4457099">
      <w:pPr>
        <w:spacing w:line="440" w:lineRule="exact"/>
        <w:ind w:firstLine="480"/>
        <w:outlineLvl w:val="2"/>
        <w:rPr>
          <w:rFonts w:hint="eastAsia" w:ascii="宋体" w:hAnsi="宋体" w:cs="宋体"/>
          <w:bCs/>
          <w:sz w:val="24"/>
        </w:rPr>
      </w:pPr>
      <w:r>
        <w:rPr>
          <w:rFonts w:hint="eastAsia" w:ascii="宋体" w:hAnsi="宋体" w:cs="宋体"/>
          <w:bCs/>
          <w:sz w:val="24"/>
        </w:rPr>
        <w:t>25.3如果投标文件实质上没有响应招标文件的要求，评委会将予以拒绝，投标人不得通过修改或撤销不合要求的偏离或保留而使其投标成为实质性响应的投标。</w:t>
      </w:r>
    </w:p>
    <w:p w14:paraId="66FD7685">
      <w:pPr>
        <w:spacing w:line="440" w:lineRule="exact"/>
        <w:ind w:firstLine="480"/>
        <w:outlineLvl w:val="2"/>
        <w:rPr>
          <w:rFonts w:hint="eastAsia" w:ascii="宋体" w:hAnsi="宋体" w:cs="宋体"/>
          <w:bCs/>
          <w:sz w:val="24"/>
        </w:rPr>
      </w:pPr>
      <w:r>
        <w:rPr>
          <w:rFonts w:hint="eastAsia" w:ascii="宋体" w:hAnsi="宋体" w:cs="宋体"/>
          <w:bCs/>
          <w:sz w:val="24"/>
        </w:rPr>
        <w:t>25.4评委会将对确定为实质性响应的投标进行进一步审核，看其是否有计算上或累加上的算术错误，修正错误的原则如下：</w:t>
      </w:r>
    </w:p>
    <w:p w14:paraId="24B8BD76">
      <w:pPr>
        <w:spacing w:line="440" w:lineRule="exact"/>
        <w:ind w:firstLine="480"/>
        <w:outlineLvl w:val="2"/>
        <w:rPr>
          <w:rFonts w:hint="eastAsia" w:ascii="宋体" w:hAnsi="宋体" w:cs="宋体"/>
          <w:bCs/>
          <w:sz w:val="24"/>
        </w:rPr>
      </w:pPr>
      <w:r>
        <w:rPr>
          <w:rFonts w:hint="eastAsia" w:ascii="宋体" w:hAnsi="宋体" w:cs="宋体"/>
          <w:bCs/>
          <w:sz w:val="24"/>
        </w:rPr>
        <w:t>（1）投标文件中开标一览表内容与投标文件中相应内容不一致的，以开标一览表为准。</w:t>
      </w:r>
    </w:p>
    <w:p w14:paraId="5E4915FB">
      <w:pPr>
        <w:spacing w:line="440" w:lineRule="exact"/>
        <w:ind w:firstLine="480"/>
        <w:outlineLvl w:val="2"/>
        <w:rPr>
          <w:rFonts w:hint="eastAsia" w:ascii="宋体" w:hAnsi="宋体" w:cs="宋体"/>
          <w:bCs/>
          <w:sz w:val="24"/>
        </w:rPr>
      </w:pPr>
      <w:r>
        <w:rPr>
          <w:rFonts w:hint="eastAsia" w:ascii="宋体" w:hAnsi="宋体" w:cs="宋体"/>
          <w:bCs/>
          <w:sz w:val="24"/>
        </w:rPr>
        <w:t>（2）大写金额和小写金额不一致的，以大写金额为准。</w:t>
      </w:r>
    </w:p>
    <w:p w14:paraId="34DD2E47">
      <w:pPr>
        <w:spacing w:line="440" w:lineRule="exact"/>
        <w:ind w:firstLine="480"/>
        <w:outlineLvl w:val="2"/>
        <w:rPr>
          <w:rFonts w:hint="eastAsia" w:ascii="宋体" w:hAnsi="宋体" w:cs="宋体"/>
          <w:bCs/>
          <w:sz w:val="24"/>
        </w:rPr>
      </w:pPr>
      <w:r>
        <w:rPr>
          <w:rFonts w:hint="eastAsia" w:ascii="宋体" w:hAnsi="宋体" w:cs="宋体"/>
          <w:bCs/>
          <w:sz w:val="24"/>
        </w:rPr>
        <w:t>（3）单价金额小数点或者百分比有明显错位的，以开标一览表的总价为准，并修改单价。</w:t>
      </w:r>
    </w:p>
    <w:p w14:paraId="24452972">
      <w:pPr>
        <w:spacing w:line="440" w:lineRule="exact"/>
        <w:ind w:firstLine="480"/>
        <w:outlineLvl w:val="2"/>
        <w:rPr>
          <w:rFonts w:hint="eastAsia" w:ascii="宋体" w:hAnsi="宋体" w:cs="宋体"/>
          <w:bCs/>
          <w:sz w:val="24"/>
        </w:rPr>
      </w:pPr>
      <w:r>
        <w:rPr>
          <w:rFonts w:hint="eastAsia" w:ascii="宋体" w:hAnsi="宋体" w:cs="宋体"/>
          <w:bCs/>
          <w:sz w:val="24"/>
        </w:rPr>
        <w:t>（4）总价金额与按单价汇总金额不一致的，以单价金额计算结果为准。</w:t>
      </w:r>
    </w:p>
    <w:p w14:paraId="0C53B11D">
      <w:pPr>
        <w:spacing w:line="440" w:lineRule="exact"/>
        <w:ind w:firstLine="480"/>
        <w:outlineLvl w:val="2"/>
        <w:rPr>
          <w:rFonts w:hint="eastAsia" w:ascii="宋体" w:hAnsi="宋体" w:cs="宋体"/>
          <w:bCs/>
          <w:sz w:val="24"/>
        </w:rPr>
      </w:pPr>
      <w:r>
        <w:rPr>
          <w:rFonts w:hint="eastAsia" w:ascii="宋体" w:hAnsi="宋体" w:cs="宋体"/>
          <w:bCs/>
          <w:sz w:val="24"/>
        </w:rPr>
        <w:t>同时出现两种以上错误的，按照前款规定的顺序修正。</w:t>
      </w:r>
    </w:p>
    <w:p w14:paraId="01BE6FF1">
      <w:pPr>
        <w:spacing w:line="440" w:lineRule="exact"/>
        <w:ind w:firstLine="482"/>
        <w:outlineLvl w:val="2"/>
        <w:rPr>
          <w:rFonts w:hint="eastAsia" w:ascii="宋体" w:hAnsi="宋体" w:cs="宋体"/>
          <w:bCs/>
          <w:sz w:val="24"/>
        </w:rPr>
      </w:pPr>
      <w:r>
        <w:rPr>
          <w:rFonts w:hint="eastAsia" w:ascii="宋体" w:hAnsi="宋体" w:cs="宋体"/>
          <w:b/>
          <w:sz w:val="24"/>
        </w:rPr>
        <w:t>2</w:t>
      </w:r>
      <w:r>
        <w:rPr>
          <w:rFonts w:hint="eastAsia" w:ascii="宋体" w:hAnsi="宋体" w:cs="宋体"/>
          <w:bCs/>
          <w:sz w:val="24"/>
        </w:rPr>
        <w:t>5.5评委会将按上述修正错误的方法调整投标文件中的投标报价，并通过苏采云系统告知投标人，调整后的价格应对投标人具有约束力。如果投标人不接受修正后的价格，则其投标将被拒绝。</w:t>
      </w:r>
    </w:p>
    <w:p w14:paraId="01D93231">
      <w:pPr>
        <w:spacing w:line="440" w:lineRule="exact"/>
        <w:ind w:firstLine="480"/>
        <w:outlineLvl w:val="2"/>
        <w:rPr>
          <w:rFonts w:hint="eastAsia" w:ascii="宋体" w:hAnsi="宋体" w:cs="宋体"/>
          <w:bCs/>
          <w:sz w:val="24"/>
        </w:rPr>
      </w:pPr>
      <w:bookmarkStart w:id="42" w:name="_Toc16938550"/>
      <w:bookmarkStart w:id="43" w:name="_Toc513029234"/>
      <w:bookmarkStart w:id="44" w:name="_Toc20823306"/>
      <w:r>
        <w:rPr>
          <w:rFonts w:hint="eastAsia" w:ascii="宋体" w:hAnsi="宋体" w:cs="宋体"/>
          <w:bCs/>
          <w:sz w:val="24"/>
        </w:rPr>
        <w:t>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046739C7">
      <w:pPr>
        <w:spacing w:line="440" w:lineRule="exact"/>
        <w:ind w:firstLine="480"/>
        <w:outlineLvl w:val="2"/>
        <w:rPr>
          <w:rFonts w:hint="eastAsia" w:ascii="宋体" w:hAnsi="宋体" w:cs="宋体"/>
          <w:bCs/>
          <w:sz w:val="24"/>
        </w:rPr>
      </w:pPr>
      <w:r>
        <w:rPr>
          <w:rFonts w:hint="eastAsia" w:ascii="宋体" w:hAnsi="宋体" w:cs="宋体"/>
          <w:bCs/>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072045B5">
      <w:pPr>
        <w:spacing w:line="440" w:lineRule="exact"/>
        <w:ind w:firstLine="480"/>
        <w:outlineLvl w:val="2"/>
        <w:rPr>
          <w:rFonts w:hint="eastAsia" w:ascii="宋体" w:hAnsi="宋体" w:cs="宋体"/>
          <w:bCs/>
          <w:sz w:val="24"/>
        </w:rPr>
      </w:pPr>
      <w:r>
        <w:rPr>
          <w:rFonts w:hint="eastAsia" w:ascii="宋体" w:hAnsi="宋体" w:cs="宋体"/>
          <w:bCs/>
          <w:sz w:val="24"/>
        </w:rPr>
        <w:t>非单一产品采购项目，招标文件中将载明其中的核心产品。多家投标人提供的核心产品品牌相同的，按前两款规定处理。</w:t>
      </w:r>
    </w:p>
    <w:p w14:paraId="7C1EE85D">
      <w:pPr>
        <w:spacing w:line="440" w:lineRule="exact"/>
        <w:ind w:firstLine="480"/>
        <w:outlineLvl w:val="2"/>
        <w:rPr>
          <w:rFonts w:hint="eastAsia" w:ascii="宋体" w:hAnsi="宋体" w:cs="宋体"/>
          <w:bCs/>
          <w:sz w:val="24"/>
        </w:rPr>
      </w:pPr>
      <w:r>
        <w:rPr>
          <w:rFonts w:hint="eastAsia" w:ascii="宋体" w:hAnsi="宋体" w:cs="宋体"/>
          <w:bCs/>
          <w:sz w:val="24"/>
        </w:rPr>
        <w:t>25.7投标人在开、评标全过程中应保持通讯畅通，及时登录苏采云系统查阅、答复相关信息，并安排专人与采购人及评标委员会联系。</w:t>
      </w:r>
    </w:p>
    <w:p w14:paraId="48C51FF9">
      <w:pPr>
        <w:pStyle w:val="15"/>
        <w:ind w:firstLine="480"/>
        <w:rPr>
          <w:rFonts w:hint="eastAsia" w:ascii="宋体" w:eastAsia="宋体" w:cs="宋体"/>
          <w:color w:val="auto"/>
          <w:sz w:val="24"/>
        </w:rPr>
      </w:pPr>
      <w:r>
        <w:rPr>
          <w:rFonts w:hint="eastAsia" w:ascii="宋体" w:eastAsia="宋体" w:cs="宋体"/>
          <w:color w:val="auto"/>
          <w:sz w:val="24"/>
        </w:rPr>
        <w:t>25.8 异常低价投标审查</w:t>
      </w:r>
    </w:p>
    <w:p w14:paraId="4D687025">
      <w:pPr>
        <w:pStyle w:val="15"/>
        <w:ind w:firstLine="480"/>
        <w:rPr>
          <w:rFonts w:hint="eastAsia" w:ascii="宋体" w:eastAsia="宋体" w:cs="宋体"/>
          <w:color w:val="auto"/>
          <w:sz w:val="24"/>
          <w:highlight w:val="yellow"/>
        </w:rPr>
      </w:pPr>
      <w:r>
        <w:rPr>
          <w:rFonts w:hint="eastAsia" w:ascii="宋体" w:eastAsia="宋体" w:cs="宋体"/>
          <w:color w:val="auto"/>
          <w:sz w:val="24"/>
          <w:highlight w:val="yellow"/>
        </w:rPr>
        <w:t>评标委员会启动异常低价投标（响应）审查的情形和具体要求，包括：</w:t>
      </w:r>
    </w:p>
    <w:p w14:paraId="3AA3095E">
      <w:pPr>
        <w:pStyle w:val="15"/>
        <w:ind w:firstLine="480"/>
        <w:rPr>
          <w:rFonts w:hint="eastAsia" w:ascii="宋体" w:eastAsia="宋体" w:cs="宋体"/>
          <w:color w:val="auto"/>
          <w:sz w:val="24"/>
          <w:highlight w:val="yellow"/>
        </w:rPr>
      </w:pPr>
      <w:r>
        <w:rPr>
          <w:rFonts w:hint="eastAsia" w:ascii="宋体" w:eastAsia="宋体" w:cs="宋体"/>
          <w:color w:val="auto"/>
          <w:sz w:val="24"/>
          <w:highlight w:val="yellow"/>
        </w:rPr>
        <w:t>（一）根据《关于推动解决政府采购异常低价问题的通知》（财库〔2026〕2号）通知要求，政府采购评审中出现下列情形之一的，评标委员会应当启动异常低价投标（响应）审查程序：</w:t>
      </w:r>
    </w:p>
    <w:p w14:paraId="1BAB3165">
      <w:pPr>
        <w:pStyle w:val="15"/>
        <w:ind w:firstLine="480"/>
        <w:rPr>
          <w:rFonts w:hint="eastAsia" w:ascii="宋体" w:eastAsia="宋体" w:cs="宋体"/>
          <w:color w:val="auto"/>
          <w:sz w:val="24"/>
          <w:highlight w:val="yellow"/>
        </w:rPr>
      </w:pPr>
      <w:r>
        <w:rPr>
          <w:rFonts w:hint="eastAsia" w:ascii="宋体" w:eastAsia="宋体" w:cs="宋体"/>
          <w:color w:val="auto"/>
          <w:sz w:val="24"/>
          <w:highlight w:val="yellow"/>
        </w:rPr>
        <w:t>1.投标（响应）报价低于全部通过符合性审查供应商投标（响应）报价平均值50%的，即投标（响应）报价&lt;全部通过符合性审查供应商投标（响应）报价平均值×50%；</w:t>
      </w:r>
    </w:p>
    <w:p w14:paraId="1192A5CB">
      <w:pPr>
        <w:pStyle w:val="15"/>
        <w:ind w:firstLine="480"/>
        <w:rPr>
          <w:rFonts w:hint="eastAsia" w:ascii="宋体" w:eastAsia="宋体" w:cs="宋体"/>
          <w:color w:val="auto"/>
          <w:sz w:val="24"/>
          <w:highlight w:val="yellow"/>
        </w:rPr>
      </w:pPr>
      <w:r>
        <w:rPr>
          <w:rFonts w:hint="eastAsia" w:ascii="宋体" w:eastAsia="宋体" w:cs="宋体"/>
          <w:color w:val="auto"/>
          <w:sz w:val="24"/>
          <w:highlight w:val="yellow"/>
        </w:rPr>
        <w:t>2.投标（响应）报价低于通过符合性审查的次低报价供应商投标（响应）报价50%的，即投标（响应）报价&lt;通过符合性审查的次低报价供应商投标（响应）报价×50%；</w:t>
      </w:r>
    </w:p>
    <w:p w14:paraId="41EF15C4">
      <w:pPr>
        <w:pStyle w:val="15"/>
        <w:ind w:firstLine="480"/>
        <w:rPr>
          <w:rFonts w:hint="eastAsia" w:ascii="宋体" w:eastAsia="宋体" w:cs="宋体"/>
          <w:color w:val="auto"/>
          <w:sz w:val="24"/>
          <w:highlight w:val="yellow"/>
        </w:rPr>
      </w:pPr>
      <w:r>
        <w:rPr>
          <w:rFonts w:hint="eastAsia" w:ascii="宋体" w:eastAsia="宋体" w:cs="宋体"/>
          <w:color w:val="auto"/>
          <w:sz w:val="24"/>
          <w:highlight w:val="yellow"/>
        </w:rPr>
        <w:t xml:space="preserve">3.投标（响应）报价低于采购项目最高限价65%的，即投标（响应）报价&lt;采购项目最高限价×65%； </w:t>
      </w:r>
    </w:p>
    <w:p w14:paraId="0C22E2D0">
      <w:pPr>
        <w:pStyle w:val="15"/>
        <w:ind w:firstLine="480"/>
        <w:rPr>
          <w:rFonts w:hint="eastAsia" w:ascii="宋体" w:eastAsia="宋体" w:cs="宋体"/>
          <w:color w:val="auto"/>
          <w:sz w:val="24"/>
          <w:highlight w:val="yellow"/>
        </w:rPr>
      </w:pPr>
      <w:r>
        <w:rPr>
          <w:rFonts w:hint="eastAsia" w:ascii="宋体" w:eastAsia="宋体" w:cs="宋体"/>
          <w:color w:val="auto"/>
          <w:sz w:val="24"/>
          <w:highlight w:val="yellow"/>
        </w:rPr>
        <w:t>4.评标委员会基于专业判断，认为供应商报价过低，有可能影响产品质量或者不能诚信履约的其他情形。</w:t>
      </w:r>
    </w:p>
    <w:p w14:paraId="3163FA8A">
      <w:pPr>
        <w:pStyle w:val="15"/>
        <w:ind w:firstLine="480"/>
        <w:rPr>
          <w:rFonts w:hint="eastAsia" w:ascii="宋体" w:eastAsia="宋体" w:cs="宋体"/>
          <w:color w:val="auto"/>
          <w:sz w:val="24"/>
          <w:highlight w:val="yellow"/>
        </w:rPr>
      </w:pPr>
      <w:r>
        <w:rPr>
          <w:rFonts w:hint="eastAsia" w:ascii="宋体" w:eastAsia="宋体" w:cs="宋体"/>
          <w:color w:val="auto"/>
          <w:sz w:val="24"/>
          <w:highlight w:val="yellow"/>
        </w:rPr>
        <w:t>（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38F43B7">
      <w:pPr>
        <w:pStyle w:val="15"/>
        <w:ind w:firstLine="480"/>
        <w:rPr>
          <w:rFonts w:hint="eastAsia" w:ascii="宋体" w:eastAsia="宋体" w:cs="宋体"/>
          <w:color w:val="auto"/>
          <w:sz w:val="24"/>
          <w:highlight w:val="yellow"/>
        </w:rPr>
      </w:pPr>
      <w:r>
        <w:rPr>
          <w:rFonts w:hint="eastAsia" w:ascii="宋体" w:eastAsia="宋体" w:cs="宋体"/>
          <w:color w:val="auto"/>
          <w:sz w:val="24"/>
          <w:highlight w:val="yellow"/>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 </w:t>
      </w:r>
    </w:p>
    <w:p w14:paraId="0A25BD8B">
      <w:pPr>
        <w:pStyle w:val="15"/>
        <w:ind w:firstLine="480"/>
        <w:rPr>
          <w:rFonts w:hint="eastAsia" w:ascii="宋体" w:eastAsia="宋体" w:cs="宋体"/>
          <w:color w:val="auto"/>
          <w:sz w:val="24"/>
        </w:rPr>
      </w:pPr>
      <w:r>
        <w:rPr>
          <w:rFonts w:hint="eastAsia" w:ascii="宋体" w:eastAsia="宋体" w:cs="宋体"/>
          <w:color w:val="auto"/>
          <w:sz w:val="24"/>
          <w:highlight w:val="yellow"/>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64E52CD9">
      <w:pPr>
        <w:spacing w:line="440" w:lineRule="exact"/>
        <w:outlineLvl w:val="2"/>
        <w:rPr>
          <w:rFonts w:hint="eastAsia" w:ascii="宋体" w:hAnsi="宋体" w:cs="宋体"/>
          <w:bCs/>
          <w:sz w:val="24"/>
        </w:rPr>
      </w:pPr>
      <w:r>
        <w:rPr>
          <w:rFonts w:hint="eastAsia" w:ascii="宋体" w:hAnsi="宋体" w:cs="宋体"/>
          <w:bCs/>
          <w:sz w:val="24"/>
        </w:rPr>
        <w:t>2</w:t>
      </w:r>
      <w:bookmarkEnd w:id="42"/>
      <w:bookmarkEnd w:id="43"/>
      <w:bookmarkEnd w:id="44"/>
      <w:r>
        <w:rPr>
          <w:rFonts w:hint="eastAsia" w:ascii="宋体" w:hAnsi="宋体" w:cs="宋体"/>
          <w:bCs/>
          <w:sz w:val="24"/>
        </w:rPr>
        <w:t>6.无效投标条款和废标条款</w:t>
      </w:r>
    </w:p>
    <w:p w14:paraId="46F6793E">
      <w:pPr>
        <w:spacing w:line="400" w:lineRule="exact"/>
        <w:ind w:left="479"/>
        <w:rPr>
          <w:rFonts w:hint="eastAsia" w:ascii="宋体" w:hAnsi="宋体"/>
          <w:bCs/>
          <w:sz w:val="24"/>
          <w:szCs w:val="21"/>
        </w:rPr>
      </w:pPr>
      <w:bookmarkStart w:id="45" w:name="_Toc16938551"/>
      <w:bookmarkStart w:id="46" w:name="_Toc513029235"/>
      <w:bookmarkStart w:id="47" w:name="_Toc20823307"/>
      <w:r>
        <w:rPr>
          <w:rFonts w:hint="eastAsia" w:ascii="宋体" w:hAnsi="宋体"/>
          <w:bCs/>
          <w:sz w:val="24"/>
          <w:szCs w:val="21"/>
        </w:rPr>
        <w:t>2</w:t>
      </w:r>
      <w:r>
        <w:rPr>
          <w:rFonts w:ascii="宋体" w:hAnsi="宋体"/>
          <w:bCs/>
          <w:sz w:val="24"/>
          <w:szCs w:val="21"/>
        </w:rPr>
        <w:t>6</w:t>
      </w:r>
      <w:r>
        <w:rPr>
          <w:rFonts w:hint="eastAsia" w:ascii="宋体" w:hAnsi="宋体"/>
          <w:bCs/>
          <w:sz w:val="24"/>
          <w:szCs w:val="21"/>
        </w:rPr>
        <w:t>.1无效投标条款</w:t>
      </w:r>
    </w:p>
    <w:p w14:paraId="78961563">
      <w:pPr>
        <w:spacing w:line="40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.1.1 投标人在</w:t>
      </w:r>
      <w:r>
        <w:rPr>
          <w:rFonts w:hint="eastAsia" w:ascii="宋体" w:hAnsi="宋体"/>
          <w:sz w:val="24"/>
        </w:rPr>
        <w:t>苏采云系统</w:t>
      </w:r>
      <w:r>
        <w:rPr>
          <w:rFonts w:hint="eastAsia" w:ascii="宋体" w:hAnsi="宋体"/>
          <w:bCs/>
          <w:sz w:val="24"/>
          <w:szCs w:val="21"/>
        </w:rPr>
        <w:t>规定的时间内未成功解密电子投标文件的。</w:t>
      </w:r>
    </w:p>
    <w:p w14:paraId="30BF7D50">
      <w:pPr>
        <w:spacing w:line="40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w:t>
      </w:r>
      <w:r>
        <w:rPr>
          <w:rFonts w:ascii="宋体" w:hAnsi="宋体"/>
          <w:bCs/>
          <w:sz w:val="24"/>
          <w:szCs w:val="21"/>
        </w:rPr>
        <w:t>2</w:t>
      </w:r>
      <w:r>
        <w:rPr>
          <w:rFonts w:hint="eastAsia" w:ascii="宋体" w:hAnsi="宋体"/>
          <w:bCs/>
          <w:sz w:val="24"/>
          <w:szCs w:val="21"/>
        </w:rPr>
        <w:t xml:space="preserve"> 投标人未按照招标文件要求上传电子投标文件的。</w:t>
      </w:r>
    </w:p>
    <w:p w14:paraId="3D3733C3">
      <w:pPr>
        <w:spacing w:line="400" w:lineRule="exact"/>
        <w:ind w:left="479"/>
        <w:rPr>
          <w:rFonts w:hint="eastAsia"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w:t>
      </w:r>
      <w:r>
        <w:rPr>
          <w:rFonts w:ascii="宋体" w:hAnsi="宋体"/>
          <w:bCs/>
          <w:sz w:val="24"/>
          <w:szCs w:val="21"/>
        </w:rPr>
        <w:t>3</w:t>
      </w:r>
      <w:r>
        <w:rPr>
          <w:rFonts w:hint="eastAsia" w:ascii="宋体" w:hAnsi="宋体"/>
          <w:bCs/>
          <w:sz w:val="24"/>
          <w:szCs w:val="21"/>
        </w:rPr>
        <w:t xml:space="preserve"> 投标人同一</w:t>
      </w:r>
      <w:r>
        <w:rPr>
          <w:rFonts w:ascii="宋体" w:hAnsi="宋体"/>
          <w:bCs/>
          <w:sz w:val="24"/>
          <w:szCs w:val="21"/>
        </w:rPr>
        <w:t>采购包</w:t>
      </w:r>
      <w:r>
        <w:rPr>
          <w:rFonts w:hint="eastAsia" w:ascii="宋体" w:hAnsi="宋体"/>
          <w:bCs/>
          <w:sz w:val="24"/>
          <w:szCs w:val="21"/>
        </w:rPr>
        <w:t>提交两个</w:t>
      </w:r>
      <w:r>
        <w:rPr>
          <w:rFonts w:ascii="宋体" w:hAnsi="宋体"/>
          <w:bCs/>
          <w:sz w:val="24"/>
          <w:szCs w:val="21"/>
        </w:rPr>
        <w:t>（</w:t>
      </w:r>
      <w:r>
        <w:rPr>
          <w:rFonts w:hint="eastAsia" w:ascii="宋体" w:hAnsi="宋体"/>
          <w:bCs/>
          <w:sz w:val="24"/>
          <w:szCs w:val="21"/>
        </w:rPr>
        <w:t>含</w:t>
      </w:r>
      <w:r>
        <w:rPr>
          <w:rFonts w:ascii="宋体" w:hAnsi="宋体"/>
          <w:bCs/>
          <w:sz w:val="24"/>
          <w:szCs w:val="21"/>
        </w:rPr>
        <w:t>两个）</w:t>
      </w:r>
      <w:r>
        <w:rPr>
          <w:rFonts w:hint="eastAsia" w:ascii="宋体" w:hAnsi="宋体"/>
          <w:bCs/>
          <w:sz w:val="24"/>
          <w:szCs w:val="21"/>
        </w:rPr>
        <w:t>以上不同的</w:t>
      </w:r>
      <w:r>
        <w:rPr>
          <w:rFonts w:ascii="宋体" w:hAnsi="宋体"/>
          <w:bCs/>
          <w:sz w:val="24"/>
          <w:szCs w:val="21"/>
        </w:rPr>
        <w:t>投标报价的。</w:t>
      </w:r>
    </w:p>
    <w:p w14:paraId="09C9A78B">
      <w:pPr>
        <w:spacing w:line="400" w:lineRule="exact"/>
        <w:ind w:left="479"/>
        <w:rPr>
          <w:rFonts w:hint="eastAsia"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w:t>
      </w:r>
      <w:r>
        <w:rPr>
          <w:rFonts w:ascii="宋体" w:hAnsi="宋体"/>
          <w:bCs/>
          <w:sz w:val="24"/>
          <w:szCs w:val="21"/>
        </w:rPr>
        <w:t>4</w:t>
      </w:r>
      <w:r>
        <w:rPr>
          <w:rFonts w:hint="eastAsia" w:ascii="宋体" w:hAnsi="宋体"/>
          <w:bCs/>
          <w:sz w:val="24"/>
          <w:szCs w:val="21"/>
        </w:rPr>
        <w:t>投标人不具备招标文件中规定资格要求的。</w:t>
      </w:r>
    </w:p>
    <w:p w14:paraId="182D41F6">
      <w:pPr>
        <w:spacing w:line="40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w:t>
      </w:r>
      <w:r>
        <w:rPr>
          <w:rFonts w:ascii="宋体" w:hAnsi="宋体"/>
          <w:bCs/>
          <w:sz w:val="24"/>
          <w:szCs w:val="21"/>
        </w:rPr>
        <w:t>5</w:t>
      </w:r>
      <w:r>
        <w:rPr>
          <w:rFonts w:hint="eastAsia" w:ascii="宋体" w:hAnsi="宋体"/>
          <w:bCs/>
          <w:sz w:val="24"/>
          <w:szCs w:val="21"/>
        </w:rPr>
        <w:t>投标人的报价超过了采购预算或最高限价的。</w:t>
      </w:r>
    </w:p>
    <w:p w14:paraId="1B483244">
      <w:pPr>
        <w:spacing w:line="400" w:lineRule="exact"/>
        <w:ind w:firstLine="480"/>
        <w:rPr>
          <w:rFonts w:hint="eastAsia" w:ascii="宋体" w:hAnsi="宋体"/>
          <w:bCs/>
          <w:i/>
          <w:sz w:val="24"/>
          <w:szCs w:val="21"/>
          <w:u w:val="single"/>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w:t>
      </w:r>
      <w:r>
        <w:rPr>
          <w:rFonts w:ascii="宋体" w:hAnsi="宋体"/>
          <w:bCs/>
          <w:sz w:val="24"/>
          <w:szCs w:val="21"/>
        </w:rPr>
        <w:t>6</w:t>
      </w:r>
      <w:r>
        <w:rPr>
          <w:rFonts w:hint="eastAsia" w:ascii="宋体" w:hAnsi="宋体"/>
          <w:bCs/>
          <w:sz w:val="24"/>
          <w:szCs w:val="21"/>
        </w:rPr>
        <w:t>未通过符合性审查的。</w:t>
      </w:r>
    </w:p>
    <w:p w14:paraId="3BBD2183">
      <w:pPr>
        <w:spacing w:line="400" w:lineRule="exact"/>
        <w:ind w:firstLine="360"/>
        <w:rPr>
          <w:rFonts w:hint="eastAsia" w:ascii="宋体" w:hAnsi="宋体"/>
          <w:bCs/>
          <w:sz w:val="24"/>
          <w:szCs w:val="21"/>
          <w:u w:val="single"/>
        </w:rPr>
      </w:pPr>
      <w:r>
        <w:rPr>
          <w:rFonts w:hint="eastAsia" w:ascii="宋体" w:hAnsi="宋体"/>
          <w:bCs/>
          <w:sz w:val="24"/>
          <w:szCs w:val="21"/>
        </w:rPr>
        <w:t xml:space="preserve"> 2</w:t>
      </w:r>
      <w:r>
        <w:rPr>
          <w:rFonts w:ascii="宋体" w:hAnsi="宋体"/>
          <w:bCs/>
          <w:sz w:val="24"/>
          <w:szCs w:val="21"/>
        </w:rPr>
        <w:t>6</w:t>
      </w:r>
      <w:r>
        <w:rPr>
          <w:rFonts w:hint="eastAsia" w:ascii="宋体" w:hAnsi="宋体"/>
          <w:bCs/>
          <w:sz w:val="24"/>
          <w:szCs w:val="21"/>
        </w:rPr>
        <w:t>.1.</w:t>
      </w:r>
      <w:r>
        <w:rPr>
          <w:rFonts w:ascii="宋体" w:hAnsi="宋体"/>
          <w:bCs/>
          <w:sz w:val="24"/>
          <w:szCs w:val="21"/>
        </w:rPr>
        <w:t>7</w:t>
      </w:r>
      <w:r>
        <w:rPr>
          <w:rFonts w:hint="eastAsia" w:ascii="宋体" w:hAnsi="宋体"/>
          <w:bCs/>
          <w:sz w:val="24"/>
          <w:szCs w:val="21"/>
        </w:rPr>
        <w:t>不符合招标文件中规定的实质性要求的（本招标文件中</w:t>
      </w:r>
      <w:r>
        <w:rPr>
          <w:rFonts w:hint="eastAsia" w:ascii="宋体" w:hAnsi="宋体"/>
          <w:bCs/>
          <w:sz w:val="24"/>
          <w:szCs w:val="21"/>
          <w:u w:val="single"/>
        </w:rPr>
        <w:t>斜体且有下划线部分</w:t>
      </w:r>
      <w:r>
        <w:rPr>
          <w:rFonts w:hint="eastAsia" w:ascii="宋体" w:hAnsi="宋体"/>
          <w:bCs/>
          <w:sz w:val="24"/>
          <w:szCs w:val="21"/>
        </w:rPr>
        <w:t>或加*号条款为实质性要求）</w:t>
      </w:r>
    </w:p>
    <w:p w14:paraId="61BB6B04">
      <w:pPr>
        <w:spacing w:line="40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w:t>
      </w:r>
      <w:r>
        <w:rPr>
          <w:rFonts w:ascii="宋体" w:hAnsi="宋体"/>
          <w:bCs/>
          <w:sz w:val="24"/>
          <w:szCs w:val="21"/>
        </w:rPr>
        <w:t>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E055CC8">
      <w:pPr>
        <w:spacing w:line="400" w:lineRule="exact"/>
        <w:ind w:firstLine="480"/>
        <w:rPr>
          <w:rFonts w:hint="eastAsia"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w:t>
      </w:r>
      <w:r>
        <w:rPr>
          <w:rFonts w:ascii="宋体" w:hAnsi="宋体"/>
          <w:bCs/>
          <w:sz w:val="24"/>
          <w:szCs w:val="21"/>
        </w:rPr>
        <w:t>9</w:t>
      </w:r>
      <w:r>
        <w:rPr>
          <w:rFonts w:hint="eastAsia" w:ascii="宋体" w:hAnsi="宋体"/>
          <w:bCs/>
          <w:sz w:val="24"/>
          <w:szCs w:val="21"/>
        </w:rPr>
        <w:t xml:space="preserve">  投标文件含有采购人不能接受的附加条件的。</w:t>
      </w:r>
    </w:p>
    <w:p w14:paraId="5EC546D0">
      <w:pPr>
        <w:spacing w:line="400" w:lineRule="exact"/>
        <w:ind w:firstLine="420"/>
        <w:rPr>
          <w:rFonts w:hint="eastAsia" w:ascii="宋体" w:hAnsi="宋体"/>
          <w:sz w:val="24"/>
          <w:szCs w:val="21"/>
        </w:rPr>
      </w:pPr>
      <w:r>
        <w:rPr>
          <w:rFonts w:hint="eastAsia" w:ascii="宋体" w:hAnsi="宋体"/>
          <w:sz w:val="24"/>
          <w:szCs w:val="21"/>
        </w:rPr>
        <w:t>26.1.10 评标委员会按照本招标文件规定对投标人进行异常低价投标审查后，认为投标人不能证明其报价合理性的。</w:t>
      </w:r>
    </w:p>
    <w:p w14:paraId="513A719A">
      <w:pPr>
        <w:spacing w:line="400" w:lineRule="exact"/>
        <w:ind w:firstLine="420"/>
        <w:rPr>
          <w:rFonts w:hint="eastAsia" w:ascii="宋体" w:hAnsi="宋体"/>
          <w:sz w:val="24"/>
          <w:szCs w:val="21"/>
        </w:rPr>
      </w:pPr>
      <w:r>
        <w:rPr>
          <w:rFonts w:hint="eastAsia" w:ascii="宋体" w:hAnsi="宋体"/>
          <w:sz w:val="24"/>
          <w:szCs w:val="21"/>
        </w:rPr>
        <w:t>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A250B31">
      <w:pPr>
        <w:spacing w:line="400" w:lineRule="exact"/>
        <w:ind w:firstLine="420"/>
        <w:rPr>
          <w:rFonts w:hint="eastAsia" w:ascii="宋体" w:hAnsi="宋体"/>
          <w:sz w:val="24"/>
          <w:szCs w:val="21"/>
        </w:rPr>
      </w:pPr>
      <w:r>
        <w:rPr>
          <w:rFonts w:hint="eastAsia" w:ascii="宋体" w:hAnsi="宋体"/>
          <w:sz w:val="24"/>
          <w:szCs w:val="21"/>
        </w:rPr>
        <w:t>26.1.12 投标文件未按照招标文件要求加盖CA电子公章的。</w:t>
      </w:r>
    </w:p>
    <w:p w14:paraId="0A2B465F">
      <w:pPr>
        <w:spacing w:line="400" w:lineRule="exact"/>
        <w:ind w:firstLine="420"/>
        <w:rPr>
          <w:rFonts w:hint="eastAsia" w:ascii="宋体" w:hAnsi="宋体"/>
          <w:sz w:val="24"/>
          <w:szCs w:val="21"/>
        </w:rPr>
      </w:pPr>
      <w:r>
        <w:rPr>
          <w:rFonts w:hint="eastAsia" w:ascii="宋体" w:hAnsi="宋体"/>
          <w:sz w:val="24"/>
          <w:szCs w:val="21"/>
        </w:rPr>
        <w:t>26.1.13 投标人所投标产品不符合招标文件中所列国家强制性标准的。</w:t>
      </w:r>
    </w:p>
    <w:p w14:paraId="39376FBF">
      <w:pPr>
        <w:spacing w:line="440" w:lineRule="exact"/>
        <w:ind w:firstLine="480"/>
        <w:outlineLvl w:val="2"/>
        <w:rPr>
          <w:rFonts w:hint="eastAsia"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.1.14其他法律、法规及本招标文件规定的属无效投标的情形。</w:t>
      </w:r>
    </w:p>
    <w:p w14:paraId="1EC6C5EF">
      <w:pPr>
        <w:spacing w:line="440" w:lineRule="exact"/>
        <w:outlineLvl w:val="2"/>
        <w:rPr>
          <w:rFonts w:hint="eastAsia" w:ascii="宋体" w:hAnsi="宋体" w:cs="宋体"/>
          <w:bCs/>
          <w:sz w:val="24"/>
        </w:rPr>
      </w:pPr>
      <w:r>
        <w:rPr>
          <w:rFonts w:hint="eastAsia" w:ascii="宋体" w:hAnsi="宋体" w:cs="宋体"/>
          <w:bCs/>
          <w:sz w:val="24"/>
        </w:rPr>
        <w:t>26.2废标条款</w:t>
      </w:r>
    </w:p>
    <w:p w14:paraId="4AA4299B">
      <w:pPr>
        <w:spacing w:line="440" w:lineRule="exact"/>
        <w:ind w:firstLine="480"/>
        <w:outlineLvl w:val="2"/>
        <w:rPr>
          <w:rFonts w:hint="eastAsia" w:ascii="宋体" w:hAnsi="宋体" w:cs="宋体"/>
          <w:bCs/>
          <w:sz w:val="24"/>
        </w:rPr>
      </w:pPr>
      <w:r>
        <w:rPr>
          <w:rFonts w:hint="eastAsia" w:ascii="宋体" w:hAnsi="宋体" w:cs="宋体"/>
          <w:bCs/>
          <w:sz w:val="24"/>
        </w:rPr>
        <w:t>26.2.1符合专业条件的供应商或者对招标文件作实质响应的供应商不足三家的。</w:t>
      </w:r>
    </w:p>
    <w:p w14:paraId="16DCF99A">
      <w:pPr>
        <w:spacing w:line="440" w:lineRule="exact"/>
        <w:ind w:firstLine="480"/>
        <w:outlineLvl w:val="2"/>
        <w:rPr>
          <w:rFonts w:hint="eastAsia" w:ascii="宋体" w:hAnsi="宋体" w:cs="宋体"/>
          <w:bCs/>
          <w:sz w:val="24"/>
        </w:rPr>
      </w:pPr>
      <w:r>
        <w:rPr>
          <w:rFonts w:hint="eastAsia" w:ascii="宋体" w:hAnsi="宋体" w:cs="宋体"/>
          <w:bCs/>
          <w:sz w:val="24"/>
        </w:rPr>
        <w:t>26.2.2出现影响采购公正的违法、违规行为的。</w:t>
      </w:r>
    </w:p>
    <w:p w14:paraId="366037B4">
      <w:pPr>
        <w:spacing w:line="440" w:lineRule="exact"/>
        <w:ind w:firstLine="480"/>
        <w:outlineLvl w:val="2"/>
        <w:rPr>
          <w:rFonts w:hint="eastAsia" w:ascii="宋体" w:hAnsi="宋体" w:cs="宋体"/>
          <w:bCs/>
          <w:sz w:val="24"/>
        </w:rPr>
      </w:pPr>
      <w:r>
        <w:rPr>
          <w:rFonts w:hint="eastAsia" w:ascii="宋体" w:hAnsi="宋体" w:cs="宋体"/>
          <w:bCs/>
          <w:sz w:val="24"/>
        </w:rPr>
        <w:t>26.2.3因重大变故，采购任务取消的。</w:t>
      </w:r>
    </w:p>
    <w:p w14:paraId="2445B50E">
      <w:pPr>
        <w:spacing w:line="440" w:lineRule="exact"/>
        <w:ind w:firstLine="480"/>
        <w:outlineLvl w:val="2"/>
        <w:rPr>
          <w:rFonts w:hint="eastAsia" w:ascii="宋体" w:hAnsi="宋体" w:cs="宋体"/>
          <w:bCs/>
          <w:sz w:val="24"/>
        </w:rPr>
      </w:pPr>
      <w:r>
        <w:rPr>
          <w:rFonts w:hint="eastAsia" w:ascii="宋体" w:hAnsi="宋体" w:cs="宋体"/>
          <w:bCs/>
          <w:sz w:val="24"/>
        </w:rPr>
        <w:t>26.2.4评标委员会认定招标文件存在歧义、重大缺陷导致评审工作无法进行。</w:t>
      </w:r>
    </w:p>
    <w:p w14:paraId="213FAA90">
      <w:pPr>
        <w:spacing w:line="440" w:lineRule="exact"/>
        <w:ind w:firstLine="480"/>
        <w:outlineLvl w:val="2"/>
        <w:rPr>
          <w:rFonts w:hint="eastAsia" w:ascii="宋体" w:hAnsi="宋体" w:cs="宋体"/>
          <w:bCs/>
          <w:sz w:val="24"/>
        </w:rPr>
      </w:pPr>
      <w:r>
        <w:rPr>
          <w:rFonts w:hint="eastAsia" w:ascii="宋体" w:hAnsi="宋体" w:cs="宋体"/>
          <w:bCs/>
          <w:sz w:val="24"/>
        </w:rPr>
        <w:t>26.2.5 因苏采云系统系统故障原因造成开标不成功的。</w:t>
      </w:r>
    </w:p>
    <w:p w14:paraId="227F0CF0">
      <w:pPr>
        <w:spacing w:line="440" w:lineRule="exact"/>
        <w:ind w:firstLine="480"/>
        <w:outlineLvl w:val="2"/>
        <w:rPr>
          <w:rFonts w:hint="eastAsia" w:ascii="宋体" w:hAnsi="宋体" w:cs="宋体"/>
          <w:bCs/>
          <w:sz w:val="24"/>
        </w:rPr>
      </w:pPr>
      <w:r>
        <w:rPr>
          <w:rFonts w:hint="eastAsia" w:ascii="宋体" w:hAnsi="宋体" w:cs="宋体"/>
          <w:bCs/>
          <w:sz w:val="24"/>
        </w:rPr>
        <w:t>26.3 投标截止时间结束后参加投标的供应商不足三家的处理：</w:t>
      </w:r>
    </w:p>
    <w:p w14:paraId="7F20169F">
      <w:pPr>
        <w:spacing w:line="440" w:lineRule="exact"/>
        <w:ind w:firstLine="480"/>
        <w:outlineLvl w:val="2"/>
        <w:rPr>
          <w:rFonts w:hint="eastAsia" w:ascii="宋体" w:hAnsi="宋体" w:cs="宋体"/>
          <w:bCs/>
          <w:sz w:val="24"/>
        </w:rPr>
      </w:pPr>
      <w:r>
        <w:rPr>
          <w:rFonts w:hint="eastAsia" w:ascii="宋体" w:hAnsi="宋体" w:cs="宋体"/>
          <w:bCs/>
          <w:sz w:val="24"/>
        </w:rPr>
        <w:t>26.3.1如出现投标截止时间结束后参加投标的供应商或者在评标期间对招标文件做出实质响应的供应商不足三家情况，按政府采购相关规定执行。</w:t>
      </w:r>
      <w:bookmarkEnd w:id="45"/>
      <w:bookmarkEnd w:id="46"/>
      <w:bookmarkEnd w:id="47"/>
    </w:p>
    <w:p w14:paraId="0D10BDE3">
      <w:pPr>
        <w:spacing w:line="440" w:lineRule="exact"/>
        <w:outlineLvl w:val="2"/>
        <w:rPr>
          <w:rFonts w:hint="eastAsia" w:ascii="宋体" w:hAnsi="宋体" w:cs="宋体"/>
          <w:b/>
          <w:sz w:val="24"/>
        </w:rPr>
      </w:pPr>
      <w:bookmarkStart w:id="48" w:name="_Toc120614219"/>
      <w:r>
        <w:rPr>
          <w:rFonts w:hint="eastAsia" w:ascii="宋体" w:hAnsi="宋体" w:cs="宋体"/>
          <w:b/>
          <w:sz w:val="24"/>
        </w:rPr>
        <w:t>六、定标</w:t>
      </w:r>
      <w:bookmarkEnd w:id="48"/>
    </w:p>
    <w:p w14:paraId="56516523">
      <w:pPr>
        <w:spacing w:line="440" w:lineRule="exact"/>
        <w:outlineLvl w:val="2"/>
        <w:rPr>
          <w:rFonts w:hint="eastAsia" w:ascii="宋体" w:hAnsi="宋体" w:cs="宋体"/>
          <w:bCs/>
          <w:sz w:val="24"/>
        </w:rPr>
      </w:pPr>
      <w:bookmarkStart w:id="49" w:name="_Toc513029238"/>
      <w:bookmarkStart w:id="50" w:name="_Toc16938554"/>
      <w:bookmarkStart w:id="51" w:name="_Toc20823310"/>
      <w:r>
        <w:rPr>
          <w:rFonts w:hint="eastAsia" w:ascii="宋体" w:hAnsi="宋体" w:cs="宋体"/>
          <w:bCs/>
          <w:sz w:val="24"/>
        </w:rPr>
        <w:t>2</w:t>
      </w:r>
      <w:bookmarkEnd w:id="49"/>
      <w:r>
        <w:rPr>
          <w:rFonts w:hint="eastAsia" w:ascii="宋体" w:hAnsi="宋体" w:cs="宋体"/>
          <w:bCs/>
          <w:sz w:val="24"/>
        </w:rPr>
        <w:t>7.确定</w:t>
      </w:r>
      <w:bookmarkEnd w:id="50"/>
      <w:bookmarkEnd w:id="51"/>
      <w:r>
        <w:rPr>
          <w:rFonts w:hint="eastAsia" w:ascii="宋体" w:hAnsi="宋体" w:cs="宋体"/>
          <w:bCs/>
          <w:sz w:val="24"/>
        </w:rPr>
        <w:t>中标单位</w:t>
      </w:r>
    </w:p>
    <w:p w14:paraId="0BA1C7FC">
      <w:pPr>
        <w:spacing w:line="440" w:lineRule="exact"/>
        <w:ind w:firstLine="480"/>
        <w:outlineLvl w:val="2"/>
        <w:rPr>
          <w:rFonts w:hint="eastAsia" w:ascii="宋体" w:hAnsi="宋体" w:cs="宋体"/>
          <w:bCs/>
          <w:sz w:val="24"/>
        </w:rPr>
      </w:pPr>
      <w:r>
        <w:rPr>
          <w:rFonts w:hint="eastAsia" w:ascii="宋体" w:hAnsi="宋体" w:cs="宋体"/>
          <w:bCs/>
          <w:sz w:val="24"/>
        </w:rPr>
        <w:t xml:space="preserve">27.1中标候选人的选取原则和数量见招标文件第三章规定。 </w:t>
      </w:r>
    </w:p>
    <w:p w14:paraId="5881C0F9">
      <w:pPr>
        <w:spacing w:line="440" w:lineRule="exact"/>
        <w:ind w:firstLine="480"/>
        <w:outlineLvl w:val="2"/>
        <w:rPr>
          <w:rFonts w:hint="eastAsia" w:ascii="宋体" w:hAnsi="宋体" w:cs="宋体"/>
          <w:bCs/>
          <w:sz w:val="24"/>
        </w:rPr>
      </w:pPr>
      <w:r>
        <w:rPr>
          <w:rFonts w:hint="eastAsia" w:ascii="宋体" w:hAnsi="宋体" w:cs="宋体"/>
          <w:bCs/>
          <w:sz w:val="24"/>
        </w:rPr>
        <w:t>27.2 采购人应根据评委会推荐的中标候选人确定中标人。</w:t>
      </w:r>
    </w:p>
    <w:p w14:paraId="04D4F3AB">
      <w:pPr>
        <w:spacing w:line="440" w:lineRule="exact"/>
        <w:ind w:firstLine="480"/>
        <w:outlineLvl w:val="2"/>
        <w:rPr>
          <w:rFonts w:hint="eastAsia" w:ascii="宋体" w:hAnsi="宋体" w:cs="宋体"/>
          <w:bCs/>
          <w:sz w:val="24"/>
        </w:rPr>
      </w:pPr>
      <w:r>
        <w:rPr>
          <w:rFonts w:hint="eastAsia" w:ascii="宋体" w:hAnsi="宋体" w:cs="宋体"/>
          <w:bCs/>
          <w:sz w:val="24"/>
        </w:rPr>
        <w:t>27.3 采购人将在“淮安市政府采购网”发布中标公告，公告期限为1个工作日。</w:t>
      </w:r>
    </w:p>
    <w:p w14:paraId="7894871D">
      <w:pPr>
        <w:spacing w:line="440" w:lineRule="exact"/>
        <w:ind w:firstLine="480"/>
        <w:outlineLvl w:val="2"/>
        <w:rPr>
          <w:rFonts w:hint="eastAsia" w:ascii="宋体" w:hAnsi="宋体" w:cs="宋体"/>
          <w:bCs/>
          <w:sz w:val="24"/>
        </w:rPr>
      </w:pPr>
      <w:r>
        <w:rPr>
          <w:rFonts w:hint="eastAsia" w:ascii="宋体" w:hAnsi="宋体" w:cs="宋体"/>
          <w:bCs/>
          <w:sz w:val="24"/>
        </w:rPr>
        <w:t>27.4 若有充分证据证明，中标人出现下列情况之一的，一经查实，将被取消中标资格：</w:t>
      </w:r>
    </w:p>
    <w:p w14:paraId="751052E0">
      <w:pPr>
        <w:spacing w:line="440" w:lineRule="exact"/>
        <w:ind w:firstLine="480"/>
        <w:outlineLvl w:val="2"/>
        <w:rPr>
          <w:rFonts w:hint="eastAsia" w:ascii="宋体" w:hAnsi="宋体" w:cs="宋体"/>
          <w:bCs/>
          <w:sz w:val="24"/>
        </w:rPr>
      </w:pPr>
      <w:r>
        <w:rPr>
          <w:rFonts w:hint="eastAsia" w:ascii="宋体" w:hAnsi="宋体" w:cs="宋体"/>
          <w:bCs/>
          <w:sz w:val="24"/>
        </w:rPr>
        <w:t>27.4.1提供虚假材料谋取中标的。</w:t>
      </w:r>
    </w:p>
    <w:p w14:paraId="0E485895">
      <w:pPr>
        <w:spacing w:line="440" w:lineRule="exact"/>
        <w:ind w:firstLine="480"/>
        <w:outlineLvl w:val="2"/>
        <w:rPr>
          <w:rFonts w:hint="eastAsia" w:ascii="宋体" w:hAnsi="宋体" w:cs="宋体"/>
          <w:bCs/>
          <w:sz w:val="24"/>
        </w:rPr>
      </w:pPr>
      <w:r>
        <w:rPr>
          <w:rFonts w:hint="eastAsia" w:ascii="宋体" w:hAnsi="宋体" w:cs="宋体"/>
          <w:bCs/>
          <w:sz w:val="24"/>
        </w:rPr>
        <w:t>27.4.2向采购人行贿或者提供其他不正当利益的。</w:t>
      </w:r>
    </w:p>
    <w:p w14:paraId="087B13B0">
      <w:pPr>
        <w:spacing w:line="440" w:lineRule="exact"/>
        <w:ind w:firstLine="480"/>
        <w:outlineLvl w:val="2"/>
        <w:rPr>
          <w:rFonts w:hint="eastAsia" w:ascii="宋体" w:hAnsi="宋体" w:cs="宋体"/>
          <w:bCs/>
          <w:sz w:val="24"/>
        </w:rPr>
      </w:pPr>
      <w:r>
        <w:rPr>
          <w:rFonts w:hint="eastAsia" w:ascii="宋体" w:hAnsi="宋体" w:cs="宋体"/>
          <w:bCs/>
          <w:sz w:val="24"/>
        </w:rPr>
        <w:t>27.4.3属于本文件规定的无效条件，但在评标过程中又未被评委会发现的。</w:t>
      </w:r>
    </w:p>
    <w:p w14:paraId="74AF0C51">
      <w:pPr>
        <w:spacing w:line="440" w:lineRule="exact"/>
        <w:ind w:firstLine="480"/>
        <w:outlineLvl w:val="2"/>
        <w:rPr>
          <w:rFonts w:hint="eastAsia" w:ascii="宋体" w:hAnsi="宋体" w:cs="宋体"/>
          <w:bCs/>
          <w:sz w:val="24"/>
        </w:rPr>
      </w:pPr>
      <w:r>
        <w:rPr>
          <w:rFonts w:hint="eastAsia" w:ascii="宋体" w:hAnsi="宋体" w:cs="宋体"/>
          <w:bCs/>
          <w:sz w:val="24"/>
        </w:rPr>
        <w:t>27.4.4与采购人或者其他供应商恶意串通的。</w:t>
      </w:r>
    </w:p>
    <w:p w14:paraId="7A788744">
      <w:pPr>
        <w:spacing w:line="440" w:lineRule="exact"/>
        <w:ind w:firstLine="480"/>
        <w:outlineLvl w:val="2"/>
        <w:rPr>
          <w:rFonts w:hint="eastAsia" w:ascii="宋体" w:hAnsi="宋体" w:cs="宋体"/>
          <w:bCs/>
          <w:sz w:val="24"/>
        </w:rPr>
      </w:pPr>
      <w:r>
        <w:rPr>
          <w:rFonts w:hint="eastAsia" w:ascii="宋体" w:hAnsi="宋体" w:cs="宋体"/>
          <w:bCs/>
          <w:sz w:val="24"/>
        </w:rPr>
        <w:t>276.4.5采取不正当手段诋毁、排挤其他供应商的。</w:t>
      </w:r>
    </w:p>
    <w:p w14:paraId="7CEA480A">
      <w:pPr>
        <w:spacing w:line="440" w:lineRule="exact"/>
        <w:ind w:firstLine="480"/>
        <w:outlineLvl w:val="2"/>
        <w:rPr>
          <w:rFonts w:hint="eastAsia" w:ascii="宋体" w:hAnsi="宋体" w:cs="宋体"/>
          <w:bCs/>
          <w:sz w:val="24"/>
        </w:rPr>
      </w:pPr>
      <w:bookmarkStart w:id="52" w:name="_Toc200451960"/>
      <w:r>
        <w:rPr>
          <w:rFonts w:hint="eastAsia" w:ascii="宋体" w:hAnsi="宋体" w:cs="宋体"/>
          <w:bCs/>
          <w:sz w:val="24"/>
        </w:rPr>
        <w:t>27.5.有下列情形之一的，视为投标人串通投标，投标无效：</w:t>
      </w:r>
    </w:p>
    <w:p w14:paraId="42DAB014">
      <w:pPr>
        <w:spacing w:line="440" w:lineRule="exact"/>
        <w:ind w:firstLine="480"/>
        <w:outlineLvl w:val="2"/>
        <w:rPr>
          <w:rFonts w:hint="eastAsia" w:ascii="宋体" w:hAnsi="宋体" w:cs="宋体"/>
          <w:bCs/>
          <w:sz w:val="24"/>
        </w:rPr>
      </w:pPr>
      <w:r>
        <w:rPr>
          <w:rFonts w:hint="eastAsia" w:ascii="宋体" w:hAnsi="宋体" w:cs="宋体"/>
          <w:bCs/>
          <w:sz w:val="24"/>
        </w:rPr>
        <w:t>27.5.1不同投标人的投标文件由同一单位或者个人编制；</w:t>
      </w:r>
    </w:p>
    <w:p w14:paraId="5AA1C043">
      <w:pPr>
        <w:spacing w:line="440" w:lineRule="exact"/>
        <w:ind w:firstLine="480"/>
        <w:outlineLvl w:val="2"/>
        <w:rPr>
          <w:rFonts w:hint="eastAsia" w:ascii="宋体" w:hAnsi="宋体" w:cs="宋体"/>
          <w:bCs/>
          <w:sz w:val="24"/>
        </w:rPr>
      </w:pPr>
      <w:r>
        <w:rPr>
          <w:rFonts w:hint="eastAsia" w:ascii="宋体" w:hAnsi="宋体" w:cs="宋体"/>
          <w:bCs/>
          <w:sz w:val="24"/>
        </w:rPr>
        <w:t>27.5.2不同投标人委托同一单位或者个人办理投标事宜；</w:t>
      </w:r>
    </w:p>
    <w:p w14:paraId="0A59B1BF">
      <w:pPr>
        <w:spacing w:line="440" w:lineRule="exact"/>
        <w:ind w:firstLine="480"/>
        <w:outlineLvl w:val="2"/>
        <w:rPr>
          <w:rFonts w:hint="eastAsia" w:ascii="宋体" w:hAnsi="宋体" w:cs="宋体"/>
          <w:bCs/>
          <w:sz w:val="24"/>
        </w:rPr>
      </w:pPr>
      <w:r>
        <w:rPr>
          <w:rFonts w:hint="eastAsia" w:ascii="宋体" w:hAnsi="宋体" w:cs="宋体"/>
          <w:bCs/>
          <w:sz w:val="24"/>
        </w:rPr>
        <w:t>27.5.3 不同投标人的投标文件载明的项目管理成员或者联系人员为同一人；</w:t>
      </w:r>
    </w:p>
    <w:p w14:paraId="2E0492FA">
      <w:pPr>
        <w:spacing w:line="440" w:lineRule="exact"/>
        <w:ind w:firstLine="480"/>
        <w:outlineLvl w:val="2"/>
        <w:rPr>
          <w:rFonts w:hint="eastAsia" w:ascii="宋体" w:hAnsi="宋体" w:cs="宋体"/>
          <w:b/>
          <w:sz w:val="24"/>
        </w:rPr>
      </w:pPr>
      <w:r>
        <w:rPr>
          <w:rFonts w:hint="eastAsia" w:ascii="宋体" w:hAnsi="宋体" w:cs="宋体"/>
          <w:bCs/>
          <w:sz w:val="24"/>
        </w:rPr>
        <w:t>27.5.4不同投标人的投标文件异常一致或者投标报价呈规律性差异</w:t>
      </w:r>
      <w:r>
        <w:rPr>
          <w:rFonts w:hint="eastAsia" w:ascii="宋体" w:hAnsi="宋体" w:cs="宋体"/>
          <w:b/>
          <w:sz w:val="24"/>
        </w:rPr>
        <w:t>；</w:t>
      </w:r>
    </w:p>
    <w:p w14:paraId="00874935">
      <w:pPr>
        <w:spacing w:line="440" w:lineRule="exact"/>
        <w:outlineLvl w:val="2"/>
        <w:rPr>
          <w:rFonts w:hint="eastAsia" w:ascii="宋体" w:hAnsi="宋体" w:cs="宋体"/>
          <w:b/>
          <w:sz w:val="24"/>
        </w:rPr>
      </w:pPr>
      <w:r>
        <w:rPr>
          <w:rFonts w:hint="eastAsia" w:ascii="宋体" w:hAnsi="宋体" w:cs="宋体"/>
          <w:b/>
          <w:sz w:val="24"/>
        </w:rPr>
        <w:t>28．质疑处理</w:t>
      </w:r>
      <w:bookmarkEnd w:id="52"/>
    </w:p>
    <w:p w14:paraId="61101533">
      <w:pPr>
        <w:spacing w:line="440" w:lineRule="exact"/>
        <w:ind w:firstLine="480"/>
        <w:outlineLvl w:val="2"/>
        <w:rPr>
          <w:rFonts w:hint="eastAsia" w:ascii="宋体" w:hAnsi="宋体" w:cs="宋体"/>
          <w:bCs/>
          <w:sz w:val="24"/>
        </w:rPr>
      </w:pPr>
      <w:r>
        <w:rPr>
          <w:rFonts w:hint="eastAsia" w:ascii="宋体" w:hAnsi="宋体" w:cs="宋体"/>
          <w:bCs/>
          <w:sz w:val="24"/>
        </w:rPr>
        <w:t>28.1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p>
    <w:p w14:paraId="410A200B">
      <w:pPr>
        <w:spacing w:line="440" w:lineRule="exact"/>
        <w:ind w:firstLine="480"/>
        <w:outlineLvl w:val="2"/>
        <w:rPr>
          <w:rFonts w:hint="eastAsia" w:ascii="宋体" w:hAnsi="宋体" w:cs="宋体"/>
          <w:bCs/>
          <w:sz w:val="24"/>
        </w:rPr>
      </w:pPr>
      <w:r>
        <w:rPr>
          <w:rFonts w:hint="eastAsia" w:ascii="宋体" w:hAnsi="宋体" w:cs="宋体"/>
          <w:bCs/>
          <w:sz w:val="24"/>
        </w:rPr>
        <w:t>28.2上述应知其权益受到损害之日是指:</w:t>
      </w:r>
    </w:p>
    <w:p w14:paraId="3C7C151F">
      <w:pPr>
        <w:spacing w:line="440" w:lineRule="exact"/>
        <w:ind w:firstLine="480"/>
        <w:outlineLvl w:val="2"/>
        <w:rPr>
          <w:rFonts w:hint="eastAsia" w:ascii="宋体" w:hAnsi="宋体" w:cs="宋体"/>
          <w:bCs/>
          <w:sz w:val="24"/>
        </w:rPr>
      </w:pPr>
      <w:r>
        <w:rPr>
          <w:rFonts w:hint="eastAsia" w:ascii="宋体" w:hAnsi="宋体" w:cs="宋体"/>
          <w:bCs/>
          <w:sz w:val="24"/>
        </w:rPr>
        <w:t>（1）对招标文件提出质疑的，为采购文件公告期限届满之日起计算；</w:t>
      </w:r>
    </w:p>
    <w:p w14:paraId="7F4318E7">
      <w:pPr>
        <w:spacing w:line="440" w:lineRule="exact"/>
        <w:ind w:firstLine="480"/>
        <w:outlineLvl w:val="2"/>
        <w:rPr>
          <w:rFonts w:hint="eastAsia" w:ascii="宋体" w:hAnsi="宋体" w:cs="宋体"/>
          <w:bCs/>
          <w:sz w:val="24"/>
        </w:rPr>
      </w:pPr>
      <w:r>
        <w:rPr>
          <w:rFonts w:hint="eastAsia" w:ascii="宋体" w:hAnsi="宋体" w:cs="宋体"/>
          <w:bCs/>
          <w:sz w:val="24"/>
        </w:rPr>
        <w:t>（2）对采购过程提出质疑的，为各采购程序环节结束之日起计算；</w:t>
      </w:r>
    </w:p>
    <w:p w14:paraId="4C1F6388">
      <w:pPr>
        <w:spacing w:line="440" w:lineRule="exact"/>
        <w:ind w:firstLine="480"/>
        <w:outlineLvl w:val="2"/>
        <w:rPr>
          <w:rFonts w:hint="eastAsia" w:ascii="宋体" w:hAnsi="宋体" w:cs="宋体"/>
          <w:bCs/>
          <w:sz w:val="24"/>
        </w:rPr>
      </w:pPr>
      <w:r>
        <w:rPr>
          <w:rFonts w:hint="eastAsia" w:ascii="宋体" w:hAnsi="宋体" w:cs="宋体"/>
          <w:bCs/>
          <w:sz w:val="24"/>
        </w:rPr>
        <w:t>（3）对中标结果提出质疑的，为中标结果公告期限届满之日起计算。</w:t>
      </w:r>
    </w:p>
    <w:p w14:paraId="6B3A3DEF">
      <w:pPr>
        <w:spacing w:line="440" w:lineRule="exact"/>
        <w:ind w:firstLine="480"/>
        <w:outlineLvl w:val="2"/>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28.3质疑供应商是指直接参加本次磋商活动的供应商，未参加磋商活动的供应商或在磋商活动中自身权益未受到损害的供应商所提出的质疑不予受理。</w:t>
      </w:r>
    </w:p>
    <w:p w14:paraId="3466D863">
      <w:pPr>
        <w:spacing w:line="440" w:lineRule="exact"/>
        <w:ind w:firstLine="480"/>
        <w:outlineLvl w:val="2"/>
        <w:rPr>
          <w:rFonts w:hint="eastAsia" w:ascii="宋体" w:hAnsi="宋体" w:cs="宋体"/>
          <w:bCs/>
          <w:sz w:val="24"/>
        </w:rPr>
      </w:pPr>
      <w:r>
        <w:rPr>
          <w:rFonts w:hint="eastAsia" w:ascii="宋体" w:hAnsi="宋体" w:cs="宋体"/>
          <w:bCs/>
          <w:sz w:val="24"/>
        </w:rPr>
        <w:t>28.4质疑投标人在法定质疑期内应当一次性针对同一采购环节提出质疑。</w:t>
      </w:r>
    </w:p>
    <w:p w14:paraId="68880A6E">
      <w:pPr>
        <w:spacing w:line="440" w:lineRule="exact"/>
        <w:ind w:firstLine="480"/>
        <w:outlineLvl w:val="2"/>
        <w:rPr>
          <w:rFonts w:hint="eastAsia" w:ascii="宋体" w:hAnsi="宋体" w:cs="宋体"/>
          <w:bCs/>
          <w:sz w:val="24"/>
        </w:rPr>
      </w:pPr>
      <w:r>
        <w:rPr>
          <w:rFonts w:hint="eastAsia" w:ascii="宋体" w:hAnsi="宋体" w:cs="宋体"/>
          <w:bCs/>
          <w:sz w:val="24"/>
        </w:rPr>
        <w:t>28.5质疑函应当包括以下主要内容，附上相关证明材料。否则，采购人不予受理。</w:t>
      </w:r>
    </w:p>
    <w:p w14:paraId="46050E34">
      <w:pPr>
        <w:spacing w:line="440" w:lineRule="exact"/>
        <w:ind w:firstLine="480"/>
        <w:outlineLvl w:val="2"/>
        <w:rPr>
          <w:rFonts w:hint="eastAsia" w:ascii="宋体" w:hAnsi="宋体" w:cs="宋体"/>
          <w:bCs/>
          <w:sz w:val="24"/>
        </w:rPr>
      </w:pPr>
      <w:r>
        <w:rPr>
          <w:rFonts w:hint="eastAsia" w:ascii="宋体" w:hAnsi="宋体" w:cs="宋体"/>
          <w:bCs/>
          <w:sz w:val="24"/>
        </w:rPr>
        <w:t>（1）质疑投标人的名称、地址、邮编、联系人及联系电话；</w:t>
      </w:r>
    </w:p>
    <w:p w14:paraId="4AFEBE7A">
      <w:pPr>
        <w:spacing w:line="440" w:lineRule="exact"/>
        <w:ind w:firstLine="480"/>
        <w:outlineLvl w:val="2"/>
        <w:rPr>
          <w:rFonts w:hint="eastAsia" w:ascii="宋体" w:hAnsi="宋体" w:cs="宋体"/>
          <w:bCs/>
          <w:sz w:val="24"/>
        </w:rPr>
      </w:pPr>
      <w:r>
        <w:rPr>
          <w:rFonts w:hint="eastAsia" w:ascii="宋体" w:hAnsi="宋体" w:cs="宋体"/>
          <w:bCs/>
          <w:sz w:val="24"/>
        </w:rPr>
        <w:t>（2）质疑项目的名称、编号；</w:t>
      </w:r>
    </w:p>
    <w:p w14:paraId="29DE2324">
      <w:pPr>
        <w:spacing w:line="440" w:lineRule="exact"/>
        <w:ind w:firstLine="480"/>
        <w:outlineLvl w:val="2"/>
        <w:rPr>
          <w:rFonts w:hint="eastAsia" w:ascii="宋体" w:hAnsi="宋体" w:cs="宋体"/>
          <w:bCs/>
          <w:sz w:val="24"/>
        </w:rPr>
      </w:pPr>
      <w:r>
        <w:rPr>
          <w:rFonts w:hint="eastAsia" w:ascii="宋体" w:hAnsi="宋体" w:cs="宋体"/>
          <w:bCs/>
          <w:sz w:val="24"/>
        </w:rPr>
        <w:t>（3）具体、明确的质疑事项和与质疑事实相关的请求；</w:t>
      </w:r>
    </w:p>
    <w:p w14:paraId="49F6E73B">
      <w:pPr>
        <w:spacing w:line="440" w:lineRule="exact"/>
        <w:ind w:firstLine="480"/>
        <w:outlineLvl w:val="2"/>
        <w:rPr>
          <w:rFonts w:hint="eastAsia" w:ascii="宋体" w:hAnsi="宋体" w:cs="宋体"/>
          <w:bCs/>
          <w:sz w:val="24"/>
        </w:rPr>
      </w:pPr>
      <w:r>
        <w:rPr>
          <w:rFonts w:hint="eastAsia" w:ascii="宋体" w:hAnsi="宋体" w:cs="宋体"/>
          <w:bCs/>
          <w:sz w:val="24"/>
        </w:rPr>
        <w:t>（4）事实依据；</w:t>
      </w:r>
    </w:p>
    <w:p w14:paraId="2011A365">
      <w:pPr>
        <w:spacing w:line="440" w:lineRule="exact"/>
        <w:ind w:firstLine="480"/>
        <w:outlineLvl w:val="2"/>
        <w:rPr>
          <w:rFonts w:hint="eastAsia" w:ascii="宋体" w:hAnsi="宋体" w:cs="宋体"/>
          <w:bCs/>
          <w:sz w:val="24"/>
        </w:rPr>
      </w:pPr>
      <w:r>
        <w:rPr>
          <w:rFonts w:hint="eastAsia" w:ascii="宋体" w:hAnsi="宋体" w:cs="宋体"/>
          <w:bCs/>
          <w:sz w:val="24"/>
        </w:rPr>
        <w:t>（5）必要的法律依据；</w:t>
      </w:r>
    </w:p>
    <w:p w14:paraId="5FB60ED0">
      <w:pPr>
        <w:spacing w:line="440" w:lineRule="exact"/>
        <w:ind w:firstLine="480"/>
        <w:outlineLvl w:val="2"/>
        <w:rPr>
          <w:rFonts w:hint="eastAsia" w:ascii="宋体" w:hAnsi="宋体" w:cs="宋体"/>
          <w:bCs/>
          <w:sz w:val="24"/>
        </w:rPr>
      </w:pPr>
      <w:r>
        <w:rPr>
          <w:rFonts w:hint="eastAsia" w:ascii="宋体" w:hAnsi="宋体" w:cs="宋体"/>
          <w:bCs/>
          <w:sz w:val="24"/>
        </w:rPr>
        <w:t>（6）提起质疑的日期；</w:t>
      </w:r>
    </w:p>
    <w:p w14:paraId="66633972">
      <w:pPr>
        <w:spacing w:line="440" w:lineRule="exact"/>
        <w:ind w:firstLine="480"/>
        <w:outlineLvl w:val="2"/>
        <w:rPr>
          <w:rFonts w:hint="eastAsia" w:ascii="宋体" w:hAnsi="宋体" w:cs="宋体"/>
          <w:bCs/>
          <w:sz w:val="24"/>
        </w:rPr>
      </w:pPr>
      <w:r>
        <w:rPr>
          <w:rFonts w:hint="eastAsia" w:ascii="宋体" w:hAnsi="宋体" w:cs="宋体"/>
          <w:bCs/>
          <w:sz w:val="24"/>
        </w:rPr>
        <w:t>【质疑函必须署名，由法定代表人或者其授权代表签字，并加盖单位电子公章。授权代表签字的，还需提供法定代表人出具的办理质疑事项授权书（授权中必须载明具体权限、期限和事项）。】</w:t>
      </w:r>
    </w:p>
    <w:p w14:paraId="079FBC3C">
      <w:pPr>
        <w:spacing w:line="440" w:lineRule="exact"/>
        <w:ind w:firstLine="480"/>
        <w:outlineLvl w:val="2"/>
        <w:rPr>
          <w:rFonts w:hint="eastAsia" w:ascii="宋体" w:hAnsi="宋体" w:cs="宋体"/>
          <w:bCs/>
          <w:sz w:val="24"/>
        </w:rPr>
      </w:pPr>
      <w:r>
        <w:rPr>
          <w:rFonts w:hint="eastAsia" w:ascii="宋体" w:hAnsi="宋体" w:cs="宋体"/>
          <w:bCs/>
          <w:sz w:val="24"/>
        </w:rPr>
        <w:t>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p>
    <w:p w14:paraId="1604F9E7">
      <w:pPr>
        <w:spacing w:line="440" w:lineRule="exact"/>
        <w:ind w:firstLine="480"/>
        <w:outlineLvl w:val="2"/>
        <w:rPr>
          <w:rFonts w:hint="eastAsia" w:ascii="宋体" w:hAnsi="宋体" w:cs="宋体"/>
          <w:bCs/>
          <w:sz w:val="24"/>
        </w:rPr>
      </w:pPr>
      <w:r>
        <w:rPr>
          <w:rFonts w:hint="eastAsia" w:ascii="宋体" w:hAnsi="宋体" w:cs="宋体"/>
          <w:bCs/>
          <w:sz w:val="24"/>
        </w:rPr>
        <w:t>28.7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p>
    <w:p w14:paraId="57F3DDEC">
      <w:pPr>
        <w:spacing w:line="440" w:lineRule="exact"/>
        <w:ind w:firstLine="480"/>
        <w:outlineLvl w:val="2"/>
        <w:rPr>
          <w:rFonts w:hint="eastAsia" w:ascii="宋体" w:hAnsi="宋体" w:cs="宋体"/>
          <w:bCs/>
          <w:sz w:val="24"/>
        </w:rPr>
      </w:pPr>
      <w:r>
        <w:rPr>
          <w:rFonts w:hint="eastAsia" w:ascii="宋体" w:hAnsi="宋体" w:cs="宋体"/>
          <w:bCs/>
          <w:sz w:val="24"/>
        </w:rPr>
        <w:t>28.8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p>
    <w:p w14:paraId="419579C1">
      <w:pPr>
        <w:spacing w:line="440" w:lineRule="exact"/>
        <w:outlineLvl w:val="2"/>
        <w:rPr>
          <w:rFonts w:hint="eastAsia" w:ascii="宋体" w:hAnsi="宋体" w:cs="宋体"/>
          <w:bCs/>
          <w:sz w:val="24"/>
        </w:rPr>
      </w:pPr>
      <w:r>
        <w:rPr>
          <w:rFonts w:hint="eastAsia" w:ascii="宋体" w:hAnsi="宋体" w:cs="宋体"/>
          <w:bCs/>
          <w:sz w:val="24"/>
        </w:rPr>
        <w:t>29.中标通知书</w:t>
      </w:r>
    </w:p>
    <w:p w14:paraId="1E6CC4D8">
      <w:pPr>
        <w:spacing w:line="440" w:lineRule="exact"/>
        <w:ind w:firstLine="480"/>
        <w:outlineLvl w:val="2"/>
        <w:rPr>
          <w:rFonts w:hint="eastAsia" w:ascii="宋体" w:hAnsi="宋体" w:cs="宋体"/>
          <w:bCs/>
          <w:sz w:val="24"/>
        </w:rPr>
      </w:pPr>
      <w:r>
        <w:rPr>
          <w:rFonts w:hint="eastAsia" w:ascii="宋体" w:hAnsi="宋体" w:cs="宋体"/>
          <w:bCs/>
          <w:sz w:val="24"/>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DC8633E">
      <w:pPr>
        <w:spacing w:line="440" w:lineRule="exact"/>
        <w:ind w:firstLine="480"/>
        <w:outlineLvl w:val="2"/>
        <w:rPr>
          <w:rFonts w:hint="eastAsia" w:ascii="宋体" w:hAnsi="宋体" w:cs="宋体"/>
          <w:bCs/>
          <w:sz w:val="24"/>
        </w:rPr>
      </w:pPr>
      <w:r>
        <w:rPr>
          <w:rFonts w:hint="eastAsia" w:ascii="宋体" w:hAnsi="宋体" w:cs="宋体"/>
          <w:bCs/>
          <w:sz w:val="24"/>
        </w:rPr>
        <w:t>29.2中标通知书将是合同的一个组成部分。对采购人和中标供应商均具有法律效力。中标通知书发出后，采购人改变中标结果的，或者中标供应商放弃中标项目的，应当依法承担法律责任。</w:t>
      </w:r>
    </w:p>
    <w:p w14:paraId="1B941406">
      <w:pPr>
        <w:spacing w:line="440" w:lineRule="exact"/>
        <w:outlineLvl w:val="2"/>
        <w:rPr>
          <w:rFonts w:hint="eastAsia" w:ascii="宋体" w:hAnsi="宋体" w:cs="宋体"/>
          <w:b/>
          <w:sz w:val="24"/>
        </w:rPr>
      </w:pPr>
      <w:bookmarkStart w:id="53" w:name="_Toc16938552"/>
      <w:bookmarkStart w:id="54" w:name="_Toc513029236"/>
      <w:bookmarkStart w:id="55" w:name="_Toc120614220"/>
      <w:bookmarkStart w:id="56" w:name="_Toc20823308"/>
      <w:r>
        <w:rPr>
          <w:rFonts w:hint="eastAsia" w:ascii="宋体" w:hAnsi="宋体" w:cs="宋体"/>
          <w:b/>
          <w:sz w:val="24"/>
        </w:rPr>
        <w:t>七、授予合同</w:t>
      </w:r>
      <w:bookmarkEnd w:id="53"/>
      <w:bookmarkEnd w:id="54"/>
      <w:bookmarkEnd w:id="55"/>
      <w:bookmarkEnd w:id="56"/>
    </w:p>
    <w:p w14:paraId="1AD0DD22">
      <w:pPr>
        <w:spacing w:line="440" w:lineRule="exact"/>
        <w:outlineLvl w:val="2"/>
        <w:rPr>
          <w:rFonts w:hint="eastAsia" w:ascii="宋体" w:hAnsi="宋体" w:cs="宋体"/>
          <w:bCs/>
          <w:sz w:val="24"/>
        </w:rPr>
      </w:pPr>
      <w:bookmarkStart w:id="57" w:name="_Toc20823309"/>
      <w:bookmarkStart w:id="58" w:name="_Toc16938553"/>
      <w:bookmarkStart w:id="59" w:name="_Toc513029237"/>
      <w:r>
        <w:rPr>
          <w:rFonts w:hint="eastAsia" w:ascii="宋体" w:hAnsi="宋体" w:cs="宋体"/>
          <w:bCs/>
          <w:sz w:val="24"/>
        </w:rPr>
        <w:t>30. 签订合同</w:t>
      </w:r>
      <w:r>
        <w:rPr>
          <w:rFonts w:hint="eastAsia" w:ascii="宋体" w:hAnsi="宋体" w:cs="宋体"/>
          <w:bCs/>
          <w:sz w:val="24"/>
        </w:rPr>
        <w:tab/>
      </w:r>
    </w:p>
    <w:p w14:paraId="59C0289B">
      <w:pPr>
        <w:spacing w:line="440" w:lineRule="exact"/>
        <w:ind w:firstLine="480"/>
        <w:outlineLvl w:val="2"/>
        <w:rPr>
          <w:rFonts w:hint="eastAsia" w:ascii="宋体" w:hAnsi="宋体" w:cs="宋体"/>
          <w:bCs/>
          <w:sz w:val="24"/>
        </w:rPr>
      </w:pPr>
      <w:r>
        <w:rPr>
          <w:rFonts w:hint="eastAsia" w:ascii="宋体" w:hAnsi="宋体" w:cs="宋体"/>
          <w:bCs/>
          <w:sz w:val="24"/>
        </w:rPr>
        <w:t>30.l中标人应当在中标通知书发出之日起十五日内，按照招标文件确定的事项与采购人签订政府采购合同。</w:t>
      </w:r>
    </w:p>
    <w:p w14:paraId="3BE2B88C">
      <w:pPr>
        <w:spacing w:line="440" w:lineRule="exact"/>
        <w:ind w:firstLine="480"/>
        <w:outlineLvl w:val="2"/>
        <w:rPr>
          <w:rFonts w:hint="eastAsia" w:ascii="宋体" w:hAnsi="宋体" w:cs="宋体"/>
          <w:bCs/>
          <w:sz w:val="24"/>
        </w:rPr>
      </w:pPr>
      <w:r>
        <w:rPr>
          <w:rFonts w:hint="eastAsia" w:ascii="宋体" w:hAnsi="宋体" w:cs="宋体"/>
          <w:bCs/>
          <w:sz w:val="24"/>
        </w:rPr>
        <w:t>30.2招标文件、中标人的投标文件及招标过程中有关澄清、承诺文件均应作为合同附件。</w:t>
      </w:r>
    </w:p>
    <w:p w14:paraId="03CE9E77">
      <w:pPr>
        <w:spacing w:line="440" w:lineRule="exact"/>
        <w:ind w:firstLine="480"/>
        <w:outlineLvl w:val="2"/>
        <w:rPr>
          <w:rFonts w:hint="eastAsia" w:ascii="宋体" w:hAnsi="宋体" w:cs="宋体"/>
          <w:bCs/>
          <w:sz w:val="24"/>
        </w:rPr>
      </w:pPr>
      <w:r>
        <w:rPr>
          <w:rFonts w:hint="eastAsia" w:ascii="宋体" w:hAnsi="宋体" w:cs="宋体"/>
          <w:bCs/>
          <w:sz w:val="24"/>
        </w:rPr>
        <w:t>30.3 签订合同后，中标人不得将合同标的进行转包。未经采购人同意，中标人也不得采用分包的形式履行合同，否则采购人有权终止合同。转包或分包造成采购人损失的，中标人应承担相应赔偿责任。</w:t>
      </w:r>
    </w:p>
    <w:p w14:paraId="28A1F946">
      <w:pPr>
        <w:spacing w:line="440" w:lineRule="exact"/>
        <w:outlineLvl w:val="2"/>
        <w:rPr>
          <w:rFonts w:hint="eastAsia" w:ascii="宋体" w:hAnsi="宋体" w:cs="宋体"/>
          <w:bCs/>
          <w:sz w:val="24"/>
        </w:rPr>
      </w:pPr>
      <w:r>
        <w:rPr>
          <w:rFonts w:hint="eastAsia" w:ascii="宋体" w:hAnsi="宋体" w:cs="宋体"/>
          <w:bCs/>
          <w:sz w:val="24"/>
        </w:rPr>
        <w:t>31.货物（包含与货物相关的服务）的追加</w:t>
      </w:r>
    </w:p>
    <w:p w14:paraId="68E4B530">
      <w:pPr>
        <w:spacing w:line="440" w:lineRule="exact"/>
        <w:ind w:firstLine="480"/>
        <w:outlineLvl w:val="2"/>
        <w:rPr>
          <w:rFonts w:hint="eastAsia" w:ascii="宋体" w:hAnsi="宋体" w:cs="宋体"/>
          <w:bCs/>
          <w:sz w:val="24"/>
        </w:rPr>
      </w:pPr>
      <w:r>
        <w:rPr>
          <w:rFonts w:hint="eastAsia" w:ascii="宋体" w:hAnsi="宋体" w:cs="宋体"/>
          <w:bCs/>
          <w:sz w:val="24"/>
        </w:rPr>
        <w:t>政府采购合同履行中，采购人需追加与合同标的相同的货物（包含与货物相关的服务）的，在不改变合同其他条款的前提下，可以与中标人协商签订补充合同，但所有补充合同的采购金额不超过原合同金额10%。</w:t>
      </w:r>
      <w:bookmarkEnd w:id="57"/>
      <w:bookmarkEnd w:id="58"/>
      <w:bookmarkEnd w:id="59"/>
    </w:p>
    <w:p w14:paraId="2907EC93">
      <w:pPr>
        <w:spacing w:line="440" w:lineRule="exact"/>
        <w:outlineLvl w:val="2"/>
        <w:rPr>
          <w:rFonts w:hint="eastAsia" w:ascii="宋体" w:hAnsi="宋体" w:cs="宋体"/>
          <w:bCs/>
          <w:sz w:val="24"/>
        </w:rPr>
      </w:pPr>
      <w:r>
        <w:rPr>
          <w:rFonts w:hint="eastAsia" w:ascii="宋体" w:hAnsi="宋体" w:cs="宋体"/>
          <w:bCs/>
          <w:sz w:val="24"/>
        </w:rPr>
        <w:t>32.政府采购履约资金扶持政策</w:t>
      </w:r>
    </w:p>
    <w:p w14:paraId="300B79BA">
      <w:pPr>
        <w:spacing w:line="440" w:lineRule="exact"/>
        <w:ind w:firstLine="480"/>
        <w:outlineLvl w:val="2"/>
        <w:rPr>
          <w:rFonts w:hint="eastAsia" w:ascii="宋体" w:hAnsi="宋体" w:cs="宋体"/>
          <w:bCs/>
          <w:sz w:val="24"/>
        </w:rPr>
      </w:pPr>
      <w:r>
        <w:rPr>
          <w:rFonts w:hint="eastAsia" w:ascii="宋体" w:hAnsi="宋体" w:cs="宋体"/>
          <w:bCs/>
          <w:sz w:val="24"/>
        </w:rPr>
        <w:t>中标供应商可凭政府采购合同办理融资贷款，详情请见江苏政府采购网“政采贷”专栏。</w:t>
      </w:r>
    </w:p>
    <w:p w14:paraId="4349A27F">
      <w:pPr>
        <w:spacing w:line="440" w:lineRule="exact"/>
        <w:rPr>
          <w:rFonts w:hint="eastAsia" w:ascii="宋体" w:hAnsi="宋体" w:cs="宋体"/>
          <w:b/>
          <w:sz w:val="24"/>
        </w:rPr>
      </w:pPr>
      <w:r>
        <w:rPr>
          <w:rFonts w:hint="eastAsia" w:ascii="宋体" w:hAnsi="宋体" w:cs="宋体"/>
          <w:b/>
          <w:sz w:val="24"/>
        </w:rPr>
        <w:t>33.履约保证金</w:t>
      </w:r>
    </w:p>
    <w:p w14:paraId="7AEBB860">
      <w:pPr>
        <w:spacing w:line="440" w:lineRule="exact"/>
        <w:ind w:firstLine="480"/>
        <w:rPr>
          <w:rFonts w:hint="eastAsia" w:ascii="宋体" w:hAnsi="宋体" w:cs="宋体"/>
          <w:sz w:val="24"/>
        </w:rPr>
      </w:pPr>
      <w:r>
        <w:rPr>
          <w:rFonts w:hint="eastAsia" w:ascii="宋体" w:hAnsi="宋体" w:cs="宋体"/>
          <w:sz w:val="24"/>
        </w:rPr>
        <w:t>33.1乙方交纳</w:t>
      </w:r>
      <w:r>
        <w:rPr>
          <w:rFonts w:hint="eastAsia" w:ascii="宋体" w:hAnsi="宋体" w:cs="宋体"/>
          <w:color w:val="FF0000"/>
          <w:sz w:val="24"/>
          <w:u w:val="single"/>
        </w:rPr>
        <w:t>合同价的1%</w:t>
      </w:r>
      <w:r>
        <w:rPr>
          <w:rFonts w:hint="eastAsia" w:ascii="宋体" w:hAnsi="宋体" w:cs="宋体"/>
          <w:color w:val="FF0000"/>
          <w:sz w:val="24"/>
        </w:rPr>
        <w:t>作为本</w:t>
      </w:r>
      <w:r>
        <w:rPr>
          <w:rFonts w:hint="eastAsia" w:ascii="宋体" w:hAnsi="宋体" w:cs="宋体"/>
          <w:sz w:val="24"/>
        </w:rPr>
        <w:t>合同的履约保证金。否则可取消其中标资格。</w:t>
      </w:r>
    </w:p>
    <w:p w14:paraId="400D3DB3">
      <w:pPr>
        <w:spacing w:line="440" w:lineRule="exact"/>
        <w:ind w:firstLine="480"/>
        <w:rPr>
          <w:rFonts w:hint="eastAsia" w:ascii="宋体" w:hAnsi="宋体" w:cs="宋体"/>
          <w:sz w:val="24"/>
        </w:rPr>
      </w:pPr>
      <w:r>
        <w:rPr>
          <w:rFonts w:hint="eastAsia" w:ascii="宋体" w:hAnsi="宋体" w:cs="宋体"/>
          <w:sz w:val="24"/>
        </w:rPr>
        <w:t>33.2乙方提供的履约保证金可以是人民币形式（银行本票、汇票、支票、电汇），或银行保函、担保公司的保证担保或保险公司的保证保险等多种形式。</w:t>
      </w:r>
    </w:p>
    <w:p w14:paraId="5704DB8F">
      <w:pPr>
        <w:spacing w:line="440" w:lineRule="exact"/>
        <w:ind w:firstLine="480"/>
        <w:rPr>
          <w:rFonts w:hint="eastAsia" w:ascii="宋体" w:hAnsi="宋体" w:cs="宋体"/>
          <w:sz w:val="24"/>
        </w:rPr>
      </w:pPr>
      <w:r>
        <w:rPr>
          <w:rFonts w:hint="eastAsia" w:ascii="宋体" w:hAnsi="宋体" w:cs="宋体"/>
          <w:sz w:val="24"/>
        </w:rPr>
        <w:t>33.3乙方选取银行保函、担保公司的保证担保或保险公司的保证保险等形式的向采购人缴纳的，如保函（担保、保险等）的约定期到期但乙方履约仍未结束的，乙方须进行续保。</w:t>
      </w:r>
    </w:p>
    <w:p w14:paraId="7067ED7D">
      <w:pPr>
        <w:spacing w:line="440" w:lineRule="exact"/>
        <w:ind w:firstLine="480"/>
        <w:rPr>
          <w:rFonts w:hint="eastAsia" w:ascii="宋体" w:hAnsi="宋体" w:cs="宋体"/>
          <w:sz w:val="24"/>
        </w:rPr>
      </w:pPr>
      <w:r>
        <w:rPr>
          <w:rFonts w:hint="eastAsia" w:ascii="宋体" w:hAnsi="宋体" w:cs="宋体"/>
          <w:sz w:val="24"/>
        </w:rPr>
        <w:t>33.4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5E0ECDDE">
      <w:pPr>
        <w:spacing w:line="440" w:lineRule="exact"/>
        <w:ind w:firstLine="480"/>
        <w:rPr>
          <w:rFonts w:hint="eastAsia" w:ascii="宋体" w:hAnsi="宋体" w:cs="宋体"/>
          <w:sz w:val="24"/>
        </w:rPr>
      </w:pPr>
      <w:r>
        <w:rPr>
          <w:rFonts w:hint="eastAsia" w:ascii="宋体" w:hAnsi="宋体" w:cs="宋体"/>
          <w:sz w:val="24"/>
        </w:rPr>
        <w:t>33.5如乙方未能履行合同规定的义务，甲方有权从履约保证金中取得补偿。</w:t>
      </w:r>
    </w:p>
    <w:p w14:paraId="78FCA86B">
      <w:pPr>
        <w:spacing w:line="440" w:lineRule="exact"/>
        <w:ind w:firstLine="480"/>
        <w:rPr>
          <w:rFonts w:hint="eastAsia" w:ascii="宋体" w:hAnsi="宋体" w:cs="宋体"/>
          <w:sz w:val="24"/>
        </w:rPr>
      </w:pPr>
      <w:r>
        <w:rPr>
          <w:rFonts w:hint="eastAsia" w:ascii="宋体" w:hAnsi="宋体" w:cs="宋体"/>
          <w:sz w:val="24"/>
        </w:rPr>
        <w:t>33.6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w:t>
      </w:r>
    </w:p>
    <w:p w14:paraId="0FD60ADC">
      <w:pPr>
        <w:spacing w:line="440" w:lineRule="exact"/>
        <w:ind w:firstLine="480"/>
        <w:rPr>
          <w:rFonts w:hint="eastAsia" w:ascii="宋体" w:hAnsi="宋体" w:cs="宋体"/>
          <w:sz w:val="24"/>
        </w:rPr>
      </w:pPr>
      <w:r>
        <w:rPr>
          <w:rFonts w:hint="eastAsia" w:ascii="宋体" w:hAnsi="宋体" w:cs="宋体"/>
          <w:sz w:val="24"/>
        </w:rPr>
        <w:t>33.7履约保证金在合同约定期间内不予退还或者应完全有效，履约保证金在项目验收合格后无息退还给乙方。</w:t>
      </w:r>
    </w:p>
    <w:p w14:paraId="216B424F">
      <w:pPr>
        <w:spacing w:line="440" w:lineRule="exact"/>
        <w:ind w:firstLine="480"/>
        <w:rPr>
          <w:rFonts w:hint="eastAsia" w:ascii="宋体" w:hAnsi="宋体" w:cs="宋体"/>
          <w:bCs/>
          <w:sz w:val="24"/>
        </w:rPr>
      </w:pPr>
      <w:r>
        <w:rPr>
          <w:rFonts w:hint="eastAsia" w:ascii="宋体" w:hAnsi="宋体" w:cs="宋体"/>
          <w:bCs/>
          <w:sz w:val="24"/>
        </w:rPr>
        <w:t>33.8退还时间:如在合同期内，中标人自行停止合约或违反合同有关规定被采购人终止合约的，则履约保证金归采购人所有。中标人在服务期间，给采购人造成的损失超过保证金数额的，必须对超出部分给予赔偿。</w:t>
      </w:r>
    </w:p>
    <w:p w14:paraId="2ADBA6DE">
      <w:pPr>
        <w:spacing w:line="440" w:lineRule="exact"/>
        <w:ind w:firstLine="482"/>
        <w:rPr>
          <w:rFonts w:hint="eastAsia" w:ascii="宋体" w:hAnsi="宋体" w:cs="宋体"/>
          <w:bCs/>
          <w:sz w:val="24"/>
        </w:rPr>
      </w:pPr>
      <w:r>
        <w:rPr>
          <w:rFonts w:hint="eastAsia" w:ascii="宋体" w:hAnsi="宋体" w:cs="宋体"/>
          <w:bCs/>
          <w:sz w:val="24"/>
        </w:rPr>
        <w:t>33.9退还方式:中标人携带履约保证金单据、中标(成交)通知书、合同、等经采购人相关业务科室签字后至财务室办理。</w:t>
      </w:r>
    </w:p>
    <w:p w14:paraId="479D6824">
      <w:pPr>
        <w:spacing w:line="440" w:lineRule="exact"/>
        <w:ind w:firstLine="480"/>
        <w:rPr>
          <w:rFonts w:hint="eastAsia" w:ascii="宋体" w:hAnsi="宋体" w:cs="宋体"/>
          <w:b/>
          <w:sz w:val="24"/>
        </w:rPr>
      </w:pPr>
      <w:r>
        <w:rPr>
          <w:rFonts w:hint="eastAsia" w:ascii="宋体" w:hAnsi="宋体" w:cs="宋体"/>
          <w:sz w:val="24"/>
        </w:rPr>
        <w:t>33.10如果中标人没有按照以上规定去做，采购人将有充分理由取消该授标。</w:t>
      </w:r>
      <w:r>
        <w:rPr>
          <w:rFonts w:hint="eastAsia" w:ascii="宋体" w:hAnsi="宋体"/>
          <w:sz w:val="24"/>
        </w:rPr>
        <w:t>在此情况下采购人可将标授予下一个中标候选人，或重新招标</w:t>
      </w:r>
      <w:r>
        <w:rPr>
          <w:rFonts w:hint="eastAsia" w:ascii="宋体" w:hAnsi="宋体" w:cs="宋体"/>
          <w:sz w:val="24"/>
        </w:rPr>
        <w:t>。</w:t>
      </w:r>
    </w:p>
    <w:p w14:paraId="7CB11094">
      <w:pPr>
        <w:spacing w:line="440" w:lineRule="exact"/>
        <w:outlineLvl w:val="2"/>
        <w:rPr>
          <w:rFonts w:hint="eastAsia" w:ascii="宋体" w:hAnsi="宋体" w:cs="宋体"/>
          <w:b/>
          <w:sz w:val="24"/>
        </w:rPr>
      </w:pPr>
      <w:r>
        <w:rPr>
          <w:rFonts w:hint="eastAsia" w:ascii="宋体" w:hAnsi="宋体" w:cs="宋体"/>
          <w:b/>
          <w:sz w:val="24"/>
        </w:rPr>
        <w:t>八、政府采购政策功能落实</w:t>
      </w:r>
    </w:p>
    <w:p w14:paraId="2FD6065C">
      <w:pPr>
        <w:spacing w:line="440" w:lineRule="exact"/>
        <w:outlineLvl w:val="2"/>
        <w:rPr>
          <w:rFonts w:hint="eastAsia" w:ascii="宋体" w:hAnsi="宋体" w:cs="宋体"/>
          <w:bCs/>
          <w:sz w:val="24"/>
        </w:rPr>
      </w:pPr>
      <w:r>
        <w:rPr>
          <w:rFonts w:hint="eastAsia" w:ascii="宋体" w:hAnsi="宋体" w:cs="宋体"/>
          <w:bCs/>
          <w:sz w:val="24"/>
        </w:rPr>
        <w:t>34.</w:t>
      </w:r>
      <w:r>
        <w:rPr>
          <w:rFonts w:hint="eastAsia" w:ascii="宋体" w:hAnsi="宋体" w:cs="宋体"/>
          <w:bCs/>
          <w:sz w:val="24"/>
          <w:lang w:val="zh-CN"/>
        </w:rPr>
        <w:t>促进中小企业发展</w:t>
      </w:r>
      <w:r>
        <w:rPr>
          <w:rFonts w:hint="eastAsia" w:ascii="宋体" w:hAnsi="宋体" w:cs="宋体"/>
          <w:bCs/>
          <w:sz w:val="24"/>
        </w:rPr>
        <w:t>政策</w:t>
      </w:r>
    </w:p>
    <w:p w14:paraId="40BED65B">
      <w:pPr>
        <w:spacing w:line="440" w:lineRule="exact"/>
        <w:ind w:firstLine="480"/>
        <w:outlineLvl w:val="2"/>
        <w:rPr>
          <w:rFonts w:hint="eastAsia" w:ascii="宋体" w:hAnsi="宋体" w:cs="宋体"/>
          <w:bCs/>
          <w:sz w:val="24"/>
        </w:rPr>
      </w:pPr>
      <w:r>
        <w:rPr>
          <w:rFonts w:hint="eastAsia" w:ascii="宋体" w:hAnsi="宋体" w:cs="宋体"/>
          <w:bCs/>
          <w:sz w:val="24"/>
        </w:rPr>
        <w:t>34.1小微型企业价格扣除</w:t>
      </w:r>
    </w:p>
    <w:p w14:paraId="74324037">
      <w:pPr>
        <w:spacing w:line="440" w:lineRule="exact"/>
        <w:ind w:firstLine="480"/>
        <w:outlineLvl w:val="2"/>
        <w:rPr>
          <w:rFonts w:hint="eastAsia" w:ascii="宋体" w:hAnsi="宋体" w:cs="宋体"/>
          <w:bCs/>
          <w:sz w:val="24"/>
        </w:rPr>
      </w:pPr>
      <w:r>
        <w:rPr>
          <w:rFonts w:hint="eastAsia" w:ascii="宋体" w:hAnsi="宋体" w:cs="宋体"/>
          <w:bCs/>
          <w:sz w:val="24"/>
        </w:rPr>
        <w:t>34.1.1</w:t>
      </w:r>
      <w:r>
        <w:rPr>
          <w:rFonts w:hint="eastAsia" w:ascii="宋体" w:hAnsi="宋体" w:cs="宋体"/>
          <w:bCs/>
          <w:sz w:val="24"/>
          <w:lang w:val="zh-CN"/>
        </w:rPr>
        <w:t>对于未专门面向中小企业或者未预留份额专门面向中小企业采购的采购项目，供应商提供的货物或者服务</w:t>
      </w:r>
      <w:r>
        <w:rPr>
          <w:rFonts w:hint="eastAsia" w:ascii="宋体" w:hAnsi="宋体" w:cs="宋体"/>
          <w:bCs/>
          <w:sz w:val="24"/>
        </w:rPr>
        <w:t>符合下列情形的，享受本办法规定的中小企业扶持政策给予小微企</w:t>
      </w:r>
      <w:r>
        <w:rPr>
          <w:rFonts w:hint="eastAsia" w:ascii="宋体" w:hAnsi="宋体" w:cs="宋体"/>
          <w:bCs/>
          <w:color w:val="0000FF"/>
          <w:sz w:val="24"/>
        </w:rPr>
        <w:t>业报价20%的扣</w:t>
      </w:r>
      <w:r>
        <w:rPr>
          <w:rFonts w:hint="eastAsia" w:ascii="宋体" w:hAnsi="宋体" w:cs="宋体"/>
          <w:bCs/>
          <w:sz w:val="24"/>
        </w:rPr>
        <w:t>除，用扣除后的价格参与评审：</w:t>
      </w:r>
    </w:p>
    <w:p w14:paraId="46D6720B">
      <w:pPr>
        <w:spacing w:line="440" w:lineRule="exact"/>
        <w:ind w:firstLine="480"/>
        <w:outlineLvl w:val="2"/>
        <w:rPr>
          <w:rFonts w:hint="eastAsia" w:ascii="宋体" w:hAnsi="宋体" w:cs="宋体"/>
          <w:bCs/>
          <w:sz w:val="24"/>
        </w:rPr>
      </w:pPr>
      <w:r>
        <w:rPr>
          <w:rFonts w:hint="eastAsia" w:ascii="宋体" w:hAnsi="宋体" w:cs="宋体"/>
          <w:bCs/>
          <w:sz w:val="24"/>
        </w:rPr>
        <w:t>（1）在货物采购项目中，货物由中小企业制造，即货物由中小企业生产且使用该中小企业商号或者注册商标；</w:t>
      </w:r>
    </w:p>
    <w:p w14:paraId="2BE1F7C6">
      <w:pPr>
        <w:spacing w:line="440" w:lineRule="exact"/>
        <w:ind w:firstLine="480"/>
        <w:outlineLvl w:val="2"/>
        <w:rPr>
          <w:rFonts w:hint="eastAsia" w:ascii="宋体" w:hAnsi="宋体" w:cs="宋体"/>
          <w:bCs/>
          <w:sz w:val="24"/>
        </w:rPr>
      </w:pPr>
      <w:r>
        <w:rPr>
          <w:rFonts w:hint="eastAsia" w:ascii="宋体" w:hAnsi="宋体" w:cs="宋体"/>
          <w:bCs/>
          <w:sz w:val="24"/>
        </w:rPr>
        <w:t>（2）在服务采购项目中，服务由中小企业承接，即提供服务的人员为中小企业依照《中华人民共和国劳动合同法》订立劳动合同的从业人员。</w:t>
      </w:r>
    </w:p>
    <w:p w14:paraId="16EB305D">
      <w:pPr>
        <w:spacing w:line="440" w:lineRule="exact"/>
        <w:ind w:firstLine="480"/>
        <w:outlineLvl w:val="2"/>
        <w:rPr>
          <w:rFonts w:hint="eastAsia" w:ascii="宋体" w:hAnsi="宋体" w:cs="宋体"/>
          <w:bCs/>
          <w:sz w:val="24"/>
        </w:rPr>
      </w:pPr>
      <w:r>
        <w:rPr>
          <w:rFonts w:hint="eastAsia" w:ascii="宋体" w:hAnsi="宋体" w:cs="宋体"/>
          <w:bCs/>
          <w:sz w:val="24"/>
        </w:rPr>
        <w:t>34.1.2在货物采购项目中，供应商提供的货物既有中小企业制造货物，也有大型企业制造货物的，不享受本办法规定的中小企业扶持政策。</w:t>
      </w:r>
    </w:p>
    <w:p w14:paraId="57AB138F">
      <w:pPr>
        <w:spacing w:line="440" w:lineRule="exact"/>
        <w:ind w:firstLine="480"/>
        <w:outlineLvl w:val="2"/>
        <w:rPr>
          <w:rFonts w:hint="eastAsia" w:ascii="宋体" w:hAnsi="宋体" w:cs="宋体"/>
          <w:bCs/>
          <w:sz w:val="24"/>
        </w:rPr>
      </w:pPr>
      <w:r>
        <w:rPr>
          <w:rFonts w:hint="eastAsia" w:ascii="宋体" w:hAnsi="宋体" w:cs="宋体"/>
          <w:bCs/>
          <w:sz w:val="24"/>
        </w:rPr>
        <w:t>34.2联合体及分包</w:t>
      </w:r>
    </w:p>
    <w:p w14:paraId="591A427E">
      <w:pPr>
        <w:spacing w:line="440" w:lineRule="exact"/>
        <w:ind w:firstLine="480"/>
        <w:outlineLvl w:val="2"/>
        <w:rPr>
          <w:rFonts w:hint="eastAsia" w:ascii="宋体" w:hAnsi="宋体" w:cs="宋体"/>
          <w:bCs/>
          <w:sz w:val="24"/>
        </w:rPr>
      </w:pPr>
      <w:r>
        <w:rPr>
          <w:rFonts w:hint="eastAsia" w:ascii="宋体" w:hAnsi="宋体" w:cs="宋体"/>
          <w:bCs/>
          <w:sz w:val="24"/>
        </w:rPr>
        <w:t>34.2.1以联合体形式参加政府采购活动，联合体各方均为中小企业的，联合体视同中小企业。其中，联合体各方均为小微企业的，联合体视同小微企业。</w:t>
      </w:r>
    </w:p>
    <w:p w14:paraId="5F75CB0A">
      <w:pPr>
        <w:spacing w:line="440" w:lineRule="exact"/>
        <w:ind w:firstLine="480"/>
        <w:outlineLvl w:val="2"/>
        <w:rPr>
          <w:rFonts w:hint="eastAsia" w:ascii="宋体" w:hAnsi="宋体" w:cs="宋体"/>
          <w:bCs/>
          <w:sz w:val="24"/>
        </w:rPr>
      </w:pPr>
      <w:r>
        <w:rPr>
          <w:rFonts w:hint="eastAsia" w:ascii="宋体" w:hAnsi="宋体" w:cs="宋体"/>
          <w:bCs/>
          <w:sz w:val="24"/>
        </w:rPr>
        <w:t>34.2.2享受扶持政策获得政府采购合同的，小微企业不得将合同分包给大中型企业，中型企业不得将合同分包给大型企业。</w:t>
      </w:r>
    </w:p>
    <w:p w14:paraId="44FB34B8">
      <w:pPr>
        <w:spacing w:line="440" w:lineRule="exact"/>
        <w:ind w:firstLine="480"/>
        <w:outlineLvl w:val="2"/>
        <w:rPr>
          <w:rFonts w:hint="eastAsia" w:ascii="宋体" w:hAnsi="宋体" w:cs="宋体"/>
          <w:bCs/>
          <w:sz w:val="24"/>
        </w:rPr>
      </w:pPr>
      <w:r>
        <w:rPr>
          <w:rFonts w:hint="eastAsia" w:ascii="宋体" w:hAnsi="宋体" w:cs="宋体"/>
          <w:bCs/>
          <w:sz w:val="24"/>
        </w:rPr>
        <w:t>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74225ADF">
      <w:pPr>
        <w:spacing w:line="440" w:lineRule="exact"/>
        <w:ind w:firstLine="480"/>
        <w:outlineLvl w:val="2"/>
        <w:rPr>
          <w:rFonts w:hint="eastAsia" w:ascii="宋体" w:hAnsi="宋体" w:cs="宋体"/>
          <w:bCs/>
          <w:sz w:val="24"/>
        </w:rPr>
      </w:pPr>
      <w:r>
        <w:rPr>
          <w:rFonts w:hint="eastAsia" w:ascii="宋体" w:hAnsi="宋体" w:cs="宋体"/>
          <w:bCs/>
          <w:sz w:val="24"/>
        </w:rPr>
        <w:t>34.2.4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650509A8">
      <w:pPr>
        <w:spacing w:line="440" w:lineRule="exact"/>
        <w:ind w:firstLine="480"/>
        <w:outlineLvl w:val="2"/>
        <w:rPr>
          <w:rFonts w:hint="eastAsia" w:ascii="宋体" w:hAnsi="宋体" w:cs="宋体"/>
          <w:bCs/>
          <w:sz w:val="24"/>
        </w:rPr>
      </w:pPr>
      <w:r>
        <w:rPr>
          <w:rFonts w:hint="eastAsia" w:ascii="宋体" w:hAnsi="宋体" w:cs="宋体"/>
          <w:bCs/>
          <w:sz w:val="24"/>
        </w:rPr>
        <w:t>34.3小微型企业</w:t>
      </w:r>
    </w:p>
    <w:p w14:paraId="0D505A8F">
      <w:pPr>
        <w:spacing w:line="440" w:lineRule="exact"/>
        <w:ind w:firstLine="480"/>
        <w:outlineLvl w:val="2"/>
        <w:rPr>
          <w:rFonts w:hint="eastAsia" w:ascii="宋体" w:hAnsi="宋体" w:cs="宋体"/>
          <w:bCs/>
          <w:sz w:val="24"/>
        </w:rPr>
      </w:pPr>
      <w:r>
        <w:rPr>
          <w:rFonts w:hint="eastAsia" w:ascii="宋体" w:hAnsi="宋体" w:cs="宋体"/>
          <w:bCs/>
          <w:sz w:val="24"/>
        </w:rPr>
        <w:t>（1）投标人须按照招标文件的要求提供相应的《企业声明函》，详见招标文件第六章示范格式。</w:t>
      </w:r>
    </w:p>
    <w:p w14:paraId="5EAEE256">
      <w:pPr>
        <w:spacing w:line="440" w:lineRule="exact"/>
        <w:ind w:firstLine="480"/>
        <w:outlineLvl w:val="2"/>
        <w:rPr>
          <w:rFonts w:hint="eastAsia" w:ascii="宋体" w:hAnsi="宋体" w:cs="宋体"/>
          <w:bCs/>
          <w:sz w:val="24"/>
        </w:rPr>
      </w:pPr>
      <w:r>
        <w:rPr>
          <w:rFonts w:hint="eastAsia" w:ascii="宋体" w:hAnsi="宋体" w:cs="宋体"/>
          <w:bCs/>
          <w:sz w:val="24"/>
        </w:rPr>
        <w:t>（2）企业标准请参照《政府采购促进中小企业发展管理办法》（财库【2020】46号）文件规定自行填写。</w:t>
      </w:r>
    </w:p>
    <w:p w14:paraId="762DD488">
      <w:pPr>
        <w:spacing w:line="440" w:lineRule="exact"/>
        <w:ind w:firstLine="480"/>
        <w:outlineLvl w:val="2"/>
        <w:rPr>
          <w:rFonts w:hint="eastAsia" w:ascii="宋体" w:hAnsi="宋体" w:cs="宋体"/>
          <w:bCs/>
          <w:sz w:val="24"/>
        </w:rPr>
      </w:pPr>
      <w:r>
        <w:rPr>
          <w:rFonts w:hint="eastAsia" w:ascii="宋体" w:hAnsi="宋体" w:cs="宋体"/>
          <w:bCs/>
          <w:sz w:val="24"/>
        </w:rPr>
        <w:t>34.4残疾人福利单位</w:t>
      </w:r>
    </w:p>
    <w:p w14:paraId="573F56B2">
      <w:pPr>
        <w:spacing w:line="440" w:lineRule="exact"/>
        <w:ind w:firstLine="480"/>
        <w:outlineLvl w:val="2"/>
        <w:rPr>
          <w:rFonts w:hint="eastAsia" w:ascii="宋体" w:hAnsi="宋体" w:cs="宋体"/>
          <w:bCs/>
          <w:sz w:val="24"/>
        </w:rPr>
      </w:pPr>
      <w:r>
        <w:rPr>
          <w:rFonts w:hint="eastAsia" w:ascii="宋体" w:hAnsi="宋体" w:cs="宋体"/>
          <w:bCs/>
          <w:sz w:val="24"/>
        </w:rPr>
        <w:t>（1）残疾人福利单位需按照招标文件的要求提供《残疾人福利性单位声明函》，详见招标文件第六章示范格式。</w:t>
      </w:r>
    </w:p>
    <w:p w14:paraId="33EDDD15">
      <w:pPr>
        <w:spacing w:line="440" w:lineRule="exact"/>
        <w:ind w:firstLine="480"/>
        <w:outlineLvl w:val="2"/>
        <w:rPr>
          <w:rFonts w:hint="eastAsia" w:ascii="宋体" w:hAnsi="宋体" w:cs="宋体"/>
          <w:bCs/>
          <w:sz w:val="24"/>
        </w:rPr>
      </w:pPr>
      <w:r>
        <w:rPr>
          <w:rFonts w:hint="eastAsia" w:ascii="宋体" w:hAnsi="宋体" w:cs="宋体"/>
          <w:bCs/>
          <w:sz w:val="24"/>
        </w:rPr>
        <w:t>（2）残疾人福利单位标准请参照《关于促进残疾人就业政府采购政策的通知》（财库〔2017〕141号）。</w:t>
      </w:r>
    </w:p>
    <w:p w14:paraId="4747301E">
      <w:pPr>
        <w:spacing w:line="440" w:lineRule="exact"/>
        <w:ind w:firstLine="480"/>
        <w:outlineLvl w:val="2"/>
        <w:rPr>
          <w:rFonts w:hint="eastAsia" w:ascii="宋体" w:hAnsi="宋体" w:cs="宋体"/>
          <w:bCs/>
          <w:sz w:val="24"/>
        </w:rPr>
      </w:pPr>
      <w:r>
        <w:rPr>
          <w:rFonts w:hint="eastAsia" w:ascii="宋体" w:hAnsi="宋体" w:cs="宋体"/>
          <w:bCs/>
          <w:sz w:val="24"/>
        </w:rPr>
        <w:t>34.5监狱和戒毒企业</w:t>
      </w:r>
    </w:p>
    <w:p w14:paraId="110DBF4D">
      <w:pPr>
        <w:spacing w:line="440" w:lineRule="exact"/>
        <w:ind w:firstLine="480"/>
        <w:outlineLvl w:val="2"/>
        <w:rPr>
          <w:rFonts w:hint="eastAsia" w:ascii="宋体" w:hAnsi="宋体" w:cs="宋体"/>
          <w:bCs/>
          <w:sz w:val="24"/>
        </w:rPr>
      </w:pPr>
      <w:r>
        <w:rPr>
          <w:rFonts w:hint="eastAsia" w:ascii="宋体" w:hAnsi="宋体" w:cs="宋体"/>
          <w:bCs/>
          <w:sz w:val="24"/>
        </w:rPr>
        <w:t>（1）监狱企业参加政府采购活动时，需提供由省级以上监狱管理局、戒毒管理局（含新疆生产建设兵团）出具的属于监狱企业的证明文件）（投标文件中上传加盖出具单位公章的电子件）。</w:t>
      </w:r>
    </w:p>
    <w:p w14:paraId="57709CA0">
      <w:pPr>
        <w:spacing w:line="440" w:lineRule="exact"/>
        <w:ind w:firstLine="480"/>
        <w:outlineLvl w:val="2"/>
        <w:rPr>
          <w:rFonts w:hint="eastAsia" w:ascii="宋体" w:hAnsi="宋体" w:cs="宋体"/>
          <w:bCs/>
          <w:sz w:val="24"/>
        </w:rPr>
      </w:pPr>
      <w:r>
        <w:rPr>
          <w:rFonts w:hint="eastAsia" w:ascii="宋体" w:hAnsi="宋体" w:cs="宋体"/>
          <w:bCs/>
          <w:sz w:val="24"/>
        </w:rPr>
        <w:t>（2）监狱企业标准请参照《关于政府采购支持监狱企业发展有关问题的通知》（财库[2014]68号）。</w:t>
      </w:r>
    </w:p>
    <w:p w14:paraId="1635940C">
      <w:pPr>
        <w:spacing w:line="440" w:lineRule="exact"/>
        <w:ind w:firstLine="480"/>
        <w:outlineLvl w:val="2"/>
        <w:rPr>
          <w:rFonts w:hint="eastAsia" w:ascii="宋体" w:hAnsi="宋体" w:cs="宋体"/>
          <w:bCs/>
          <w:sz w:val="24"/>
        </w:rPr>
      </w:pPr>
      <w:r>
        <w:rPr>
          <w:rFonts w:hint="eastAsia" w:ascii="宋体" w:hAnsi="宋体" w:cs="宋体"/>
          <w:bCs/>
          <w:sz w:val="24"/>
        </w:rPr>
        <w:t>35. 节能、环保政策（本项目不涉及）</w:t>
      </w:r>
    </w:p>
    <w:p w14:paraId="207D55BF">
      <w:pPr>
        <w:spacing w:line="440" w:lineRule="exact"/>
        <w:ind w:firstLine="480"/>
        <w:outlineLvl w:val="2"/>
        <w:rPr>
          <w:rFonts w:hint="eastAsia" w:ascii="宋体" w:hAnsi="宋体" w:cs="宋体"/>
          <w:bCs/>
          <w:sz w:val="24"/>
        </w:rPr>
      </w:pPr>
      <w:r>
        <w:rPr>
          <w:rFonts w:hint="eastAsia" w:ascii="宋体" w:hAnsi="宋体" w:cs="宋体"/>
          <w:bCs/>
          <w:sz w:val="24"/>
        </w:rPr>
        <w:t>35.1根据《财政部发展改革委 生态环境部市场监管总局关于调整优化节能产品、环境标志产品政府采购执行机制的通知》【财库〔2019〕9号】要求，依据品目清单对获得节能产品、环境标志产品认证证书的产品实施政府优先采购或强制采购。</w:t>
      </w:r>
    </w:p>
    <w:p w14:paraId="034F3B82">
      <w:pPr>
        <w:spacing w:line="440" w:lineRule="exact"/>
        <w:ind w:firstLine="480"/>
        <w:outlineLvl w:val="2"/>
        <w:rPr>
          <w:rFonts w:hint="eastAsia" w:ascii="宋体" w:hAnsi="宋体" w:cs="宋体"/>
          <w:bCs/>
          <w:sz w:val="24"/>
        </w:rPr>
      </w:pPr>
      <w:r>
        <w:rPr>
          <w:rFonts w:hint="eastAsia" w:ascii="宋体" w:hAnsi="宋体" w:cs="宋体"/>
          <w:bCs/>
          <w:sz w:val="24"/>
        </w:rPr>
        <w:t>35.2节能产品（本项目不涉及）</w:t>
      </w:r>
    </w:p>
    <w:p w14:paraId="11AAA9C5">
      <w:pPr>
        <w:spacing w:line="440" w:lineRule="exact"/>
        <w:ind w:firstLine="480"/>
        <w:outlineLvl w:val="2"/>
        <w:rPr>
          <w:rFonts w:hint="eastAsia" w:ascii="宋体" w:hAnsi="宋体" w:cs="宋体"/>
          <w:bCs/>
          <w:sz w:val="24"/>
        </w:rPr>
      </w:pPr>
      <w:r>
        <w:rPr>
          <w:rFonts w:hint="eastAsia" w:ascii="宋体" w:hAnsi="宋体" w:cs="宋体"/>
          <w:bCs/>
          <w:sz w:val="24"/>
        </w:rPr>
        <w:t>本项目</w:t>
      </w:r>
      <w:r>
        <w:rPr>
          <w:rFonts w:hint="eastAsia" w:ascii="宋体" w:hAnsi="宋体" w:cs="宋体"/>
          <w:bCs/>
          <w:sz w:val="24"/>
          <w:u w:val="single"/>
        </w:rPr>
        <w:t xml:space="preserve"> (采购产品)</w:t>
      </w:r>
      <w:r>
        <w:rPr>
          <w:rFonts w:hint="eastAsia" w:ascii="宋体" w:hAnsi="宋体" w:cs="宋体"/>
          <w:bCs/>
          <w:sz w:val="24"/>
        </w:rPr>
        <w:t>被列入“节能产品品目清单”的，实行</w:t>
      </w:r>
      <w:r>
        <w:rPr>
          <w:rFonts w:hint="eastAsia" w:ascii="宋体" w:hAnsi="宋体" w:cs="宋体"/>
          <w:bCs/>
          <w:sz w:val="24"/>
          <w:u w:val="single"/>
        </w:rPr>
        <w:t>（优先采购/强制采购）</w:t>
      </w:r>
      <w:r>
        <w:rPr>
          <w:rFonts w:hint="eastAsia" w:ascii="宋体" w:hAnsi="宋体" w:cs="宋体"/>
          <w:bCs/>
          <w:sz w:val="24"/>
        </w:rPr>
        <w:t>。</w:t>
      </w:r>
    </w:p>
    <w:p w14:paraId="5B3F9F3E">
      <w:pPr>
        <w:spacing w:line="440" w:lineRule="exact"/>
        <w:ind w:firstLine="480"/>
        <w:outlineLvl w:val="2"/>
        <w:rPr>
          <w:rFonts w:hint="eastAsia" w:ascii="宋体" w:hAnsi="宋体" w:cs="宋体"/>
          <w:bCs/>
          <w:sz w:val="24"/>
        </w:rPr>
      </w:pPr>
      <w:r>
        <w:rPr>
          <w:rFonts w:hint="eastAsia" w:ascii="宋体" w:hAnsi="宋体" w:cs="宋体"/>
          <w:bCs/>
          <w:sz w:val="24"/>
        </w:rPr>
        <w:t>35.3环保产品（本项目不涉及）</w:t>
      </w:r>
    </w:p>
    <w:p w14:paraId="32CCF29A">
      <w:pPr>
        <w:spacing w:line="440" w:lineRule="exact"/>
        <w:ind w:firstLine="480"/>
        <w:outlineLvl w:val="2"/>
        <w:rPr>
          <w:rFonts w:hint="eastAsia" w:ascii="宋体" w:hAnsi="宋体" w:cs="宋体"/>
          <w:bCs/>
          <w:sz w:val="24"/>
        </w:rPr>
      </w:pPr>
      <w:r>
        <w:rPr>
          <w:rFonts w:hint="eastAsia" w:ascii="宋体" w:hAnsi="宋体" w:cs="宋体"/>
          <w:bCs/>
          <w:sz w:val="24"/>
        </w:rPr>
        <w:t>本项目中</w:t>
      </w:r>
      <w:r>
        <w:rPr>
          <w:rFonts w:hint="eastAsia" w:ascii="宋体" w:hAnsi="宋体" w:cs="宋体"/>
          <w:bCs/>
          <w:sz w:val="24"/>
          <w:u w:val="single"/>
        </w:rPr>
        <w:t xml:space="preserve"> (采购产品</w:t>
      </w:r>
      <w:r>
        <w:rPr>
          <w:rFonts w:hint="eastAsia" w:ascii="宋体" w:hAnsi="宋体" w:cs="宋体"/>
          <w:bCs/>
          <w:sz w:val="24"/>
        </w:rPr>
        <w:t>)被列入“环境标志产品品目清单”的，实行优先采购。</w:t>
      </w:r>
    </w:p>
    <w:p w14:paraId="7B83D90E">
      <w:pPr>
        <w:spacing w:line="440" w:lineRule="exact"/>
        <w:ind w:firstLine="480"/>
        <w:outlineLvl w:val="2"/>
        <w:rPr>
          <w:rFonts w:hint="eastAsia" w:ascii="宋体" w:hAnsi="宋体" w:cs="宋体"/>
          <w:bCs/>
          <w:sz w:val="24"/>
        </w:rPr>
      </w:pPr>
      <w:r>
        <w:rPr>
          <w:rFonts w:hint="eastAsia" w:ascii="宋体" w:hAnsi="宋体" w:cs="宋体"/>
          <w:bCs/>
          <w:sz w:val="24"/>
        </w:rPr>
        <w:t>35.4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p>
    <w:p w14:paraId="0C2AE97F">
      <w:pPr>
        <w:spacing w:line="440" w:lineRule="exact"/>
        <w:ind w:firstLine="480"/>
        <w:outlineLvl w:val="2"/>
        <w:rPr>
          <w:rFonts w:hint="eastAsia" w:ascii="宋体" w:hAnsi="宋体" w:cs="宋体"/>
          <w:bCs/>
          <w:sz w:val="24"/>
        </w:rPr>
      </w:pPr>
      <w:r>
        <w:rPr>
          <w:rFonts w:hint="eastAsia" w:ascii="宋体" w:hAnsi="宋体" w:cs="宋体"/>
          <w:bCs/>
          <w:sz w:val="24"/>
        </w:rPr>
        <w:t>35.5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54C66E8">
      <w:pPr>
        <w:spacing w:line="440" w:lineRule="exact"/>
        <w:ind w:firstLine="480"/>
        <w:outlineLvl w:val="2"/>
        <w:rPr>
          <w:rFonts w:hint="eastAsia" w:ascii="宋体" w:hAnsi="宋体" w:cs="宋体"/>
          <w:bCs/>
          <w:sz w:val="24"/>
        </w:rPr>
      </w:pPr>
      <w:r>
        <w:rPr>
          <w:rFonts w:hint="eastAsia" w:ascii="宋体" w:hAnsi="宋体" w:cs="宋体"/>
          <w:bCs/>
          <w:sz w:val="24"/>
        </w:rPr>
        <w:t>36．政府绿色采购</w:t>
      </w:r>
    </w:p>
    <w:p w14:paraId="3F14ADD8">
      <w:pPr>
        <w:spacing w:line="440" w:lineRule="exact"/>
        <w:ind w:firstLine="480"/>
        <w:outlineLvl w:val="2"/>
        <w:rPr>
          <w:rFonts w:hint="eastAsia" w:ascii="宋体" w:hAnsi="宋体" w:cs="宋体"/>
          <w:bCs/>
          <w:sz w:val="24"/>
        </w:rPr>
      </w:pPr>
      <w:r>
        <w:rPr>
          <w:rFonts w:hint="eastAsia" w:ascii="宋体" w:hAnsi="宋体" w:cs="宋体"/>
          <w:bCs/>
          <w:sz w:val="24"/>
        </w:rPr>
        <w:t>根据《江苏省财政厅关于加强政府绿色采购有关事项的通知》（苏财购〔2023〕65号）的要求，落实政府绿色采购相关政策，具体如下：</w:t>
      </w:r>
    </w:p>
    <w:p w14:paraId="175E0FF6">
      <w:pPr>
        <w:spacing w:line="440" w:lineRule="exact"/>
        <w:ind w:firstLine="480"/>
        <w:outlineLvl w:val="2"/>
        <w:rPr>
          <w:rFonts w:hint="eastAsia" w:ascii="宋体" w:hAnsi="宋体" w:cs="宋体"/>
          <w:bCs/>
          <w:sz w:val="24"/>
        </w:rPr>
      </w:pPr>
      <w:r>
        <w:rPr>
          <w:rFonts w:hint="eastAsia" w:ascii="宋体" w:hAnsi="宋体" w:cs="宋体"/>
          <w:bCs/>
          <w:sz w:val="24"/>
        </w:rPr>
        <w:t>36.1本项目为货物类采购项目的，所提供的产品需综合考虑节能环保、节水、循环再生、低碳、有机等因素；本项目为物业、合同能源管理等服务类采购项目的，应在服务中加强绿色低碳管理。</w:t>
      </w:r>
    </w:p>
    <w:p w14:paraId="0E9717B4">
      <w:pPr>
        <w:spacing w:line="440" w:lineRule="exact"/>
        <w:ind w:firstLine="480"/>
        <w:outlineLvl w:val="2"/>
        <w:rPr>
          <w:rFonts w:hint="eastAsia" w:ascii="宋体" w:hAnsi="宋体" w:cs="宋体"/>
          <w:bCs/>
          <w:sz w:val="24"/>
        </w:rPr>
      </w:pPr>
      <w:r>
        <w:rPr>
          <w:rFonts w:hint="eastAsia" w:ascii="宋体" w:hAnsi="宋体" w:cs="宋体"/>
          <w:bCs/>
          <w:sz w:val="24"/>
        </w:rPr>
        <w:t>36.2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p>
    <w:p w14:paraId="557504DE">
      <w:pPr>
        <w:spacing w:line="440" w:lineRule="exact"/>
        <w:ind w:firstLine="480"/>
        <w:outlineLvl w:val="2"/>
        <w:rPr>
          <w:rFonts w:hint="eastAsia" w:ascii="宋体" w:hAnsi="宋体" w:cs="宋体"/>
          <w:bCs/>
          <w:sz w:val="24"/>
        </w:rPr>
      </w:pPr>
      <w:r>
        <w:rPr>
          <w:rFonts w:hint="eastAsia" w:ascii="宋体" w:hAnsi="宋体" w:cs="宋体"/>
          <w:bCs/>
          <w:sz w:val="24"/>
        </w:rPr>
        <w:t>36.3本项目中涉及涂料、胶黏剂、油墨、清洗剂等挥发性有机物产品的，要执行国家和江苏省VOCs含量限制标准，优先使用低挥发性原辅材料，使用低VOCs含量的涂料、胶黏剂等。</w:t>
      </w:r>
    </w:p>
    <w:p w14:paraId="0548A67F">
      <w:pPr>
        <w:spacing w:line="440" w:lineRule="exact"/>
        <w:ind w:firstLine="480"/>
        <w:outlineLvl w:val="2"/>
        <w:rPr>
          <w:rFonts w:hint="eastAsia" w:ascii="宋体" w:hAnsi="宋体" w:cs="宋体"/>
          <w:bCs/>
          <w:sz w:val="24"/>
        </w:rPr>
      </w:pPr>
      <w:r>
        <w:rPr>
          <w:rFonts w:hint="eastAsia" w:ascii="宋体" w:hAnsi="宋体" w:cs="宋体"/>
          <w:bCs/>
          <w:sz w:val="24"/>
        </w:rPr>
        <w:t>37. 履约资金扶持政策</w:t>
      </w:r>
    </w:p>
    <w:p w14:paraId="4F28148D">
      <w:pPr>
        <w:spacing w:line="440" w:lineRule="exact"/>
        <w:ind w:firstLine="480"/>
        <w:outlineLvl w:val="2"/>
        <w:rPr>
          <w:rFonts w:hint="eastAsia" w:ascii="宋体" w:hAnsi="宋体" w:cs="宋体"/>
          <w:bCs/>
          <w:sz w:val="24"/>
        </w:rPr>
      </w:pPr>
      <w:r>
        <w:rPr>
          <w:rFonts w:hint="eastAsia" w:ascii="宋体" w:hAnsi="宋体" w:cs="宋体"/>
          <w:bCs/>
          <w:sz w:val="24"/>
        </w:rPr>
        <w:t>37.1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4FA94AD3">
      <w:pPr>
        <w:spacing w:line="440" w:lineRule="exact"/>
        <w:ind w:firstLine="480"/>
        <w:outlineLvl w:val="2"/>
        <w:rPr>
          <w:rFonts w:hint="eastAsia" w:ascii="宋体" w:hAnsi="宋体" w:cs="宋体"/>
          <w:bCs/>
          <w:sz w:val="24"/>
        </w:rPr>
      </w:pPr>
      <w:r>
        <w:rPr>
          <w:rFonts w:hint="eastAsia" w:ascii="宋体" w:hAnsi="宋体" w:cs="宋体"/>
          <w:bCs/>
          <w:sz w:val="24"/>
        </w:rPr>
        <w:t>37.2有融资贷款需求的中标人，与采购人在苏采云【合同在线签订】模块中进行合同在线签订时，【账户信息完善】的“是否融资”一栏中需选择“是”，同时完善收款账号信息和合同补充协议（融资账号）。</w:t>
      </w:r>
    </w:p>
    <w:p w14:paraId="2CA8662F">
      <w:pPr>
        <w:spacing w:line="440" w:lineRule="exact"/>
        <w:ind w:firstLine="241"/>
        <w:rPr>
          <w:rFonts w:hint="eastAsia" w:ascii="宋体" w:hAnsi="宋体" w:cs="宋体"/>
          <w:b/>
          <w:bCs/>
          <w:sz w:val="24"/>
        </w:rPr>
      </w:pPr>
      <w:r>
        <w:rPr>
          <w:rFonts w:hint="eastAsia" w:ascii="宋体" w:hAnsi="宋体" w:cs="宋体"/>
          <w:b/>
          <w:bCs/>
          <w:sz w:val="24"/>
        </w:rPr>
        <w:t>九、“全流程不见面交易采购”注意事项</w:t>
      </w:r>
    </w:p>
    <w:p w14:paraId="5364D145">
      <w:pPr>
        <w:pStyle w:val="214"/>
        <w:spacing w:line="400" w:lineRule="exact"/>
        <w:ind w:firstLine="480"/>
        <w:outlineLvl w:val="2"/>
        <w:rPr>
          <w:rFonts w:hint="eastAsia" w:ascii="宋体" w:hAnsi="宋体" w:eastAsia="宋体" w:cs="宋体"/>
        </w:rPr>
      </w:pPr>
      <w:r>
        <w:rPr>
          <w:rFonts w:hint="eastAsia" w:ascii="宋体" w:hAnsi="宋体" w:eastAsia="宋体" w:cs="宋体"/>
          <w:lang w:val="en-US"/>
        </w:rPr>
        <w:t>38.1本项目采用“全流程不见面交易”模式，通过“苏采云政府采购一体化平台”及相应的配套硬件设备（摄像头、话筒、麦克风等）完成远程解密、公布报价、澄清等交互环节。</w:t>
      </w:r>
    </w:p>
    <w:p w14:paraId="5DBD26BF">
      <w:pPr>
        <w:pStyle w:val="214"/>
        <w:spacing w:line="400" w:lineRule="exact"/>
        <w:ind w:firstLine="480"/>
        <w:outlineLvl w:val="2"/>
        <w:rPr>
          <w:rFonts w:hint="eastAsia" w:ascii="宋体" w:hAnsi="宋体" w:eastAsia="宋体" w:cs="宋体"/>
        </w:rPr>
      </w:pPr>
      <w:r>
        <w:rPr>
          <w:rFonts w:hint="eastAsia" w:ascii="宋体" w:hAnsi="宋体" w:eastAsia="宋体" w:cs="宋体"/>
          <w:lang w:val="en-US"/>
        </w:rPr>
        <w:t>38.2</w:t>
      </w:r>
      <w:r>
        <w:rPr>
          <w:rFonts w:hint="eastAsia" w:ascii="宋体" w:hAnsi="宋体" w:eastAsia="宋体" w:cs="宋体"/>
        </w:rPr>
        <w:t>根据省财政厅《关于更换全省政府采购交易系统C A数字证书和电子签章的通知》（苏财购</w:t>
      </w:r>
      <w:r>
        <w:rPr>
          <w:rFonts w:hint="eastAsia" w:ascii="宋体" w:hAnsi="宋体" w:eastAsia="宋体" w:cs="宋体"/>
          <w:szCs w:val="24"/>
          <w:lang w:val="en-US"/>
        </w:rPr>
        <w:t>〔2023〕101号），“苏采云”政府采购交易系统（以下简称苏采云系统）的CA数字证书、电子签章已更换为江苏省电子政务证书认证中心C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rPr>
        <w:t>http://www.ccgp-jiangsu.gov.cn/jiangsu/zlxz/ee/ee3a4bc5a3454aa2b0d9312230633ce9.html。</w:t>
      </w:r>
    </w:p>
    <w:p w14:paraId="3C844FB1">
      <w:pPr>
        <w:pStyle w:val="16"/>
        <w:tabs>
          <w:tab w:val="left" w:pos="1365"/>
        </w:tabs>
        <w:spacing w:line="370" w:lineRule="exact"/>
        <w:ind w:firstLine="480"/>
        <w:rPr>
          <w:rFonts w:hint="eastAsia" w:ascii="宋体" w:hAnsi="宋体" w:eastAsia="宋体" w:cs="宋体"/>
          <w:sz w:val="24"/>
          <w:szCs w:val="24"/>
        </w:rPr>
      </w:pPr>
      <w:r>
        <w:rPr>
          <w:rFonts w:hint="eastAsia" w:ascii="宋体" w:hAnsi="宋体" w:eastAsia="宋体" w:cs="宋体"/>
          <w:sz w:val="24"/>
        </w:rPr>
        <w:t>38.3</w:t>
      </w:r>
      <w:r>
        <w:rPr>
          <w:rFonts w:hint="eastAsia" w:ascii="宋体" w:hAnsi="宋体" w:eastAsia="宋体" w:cs="宋体"/>
          <w:sz w:val="24"/>
          <w:szCs w:val="24"/>
        </w:rPr>
        <w:t>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14:paraId="3AF21F21">
      <w:pPr>
        <w:pStyle w:val="16"/>
        <w:tabs>
          <w:tab w:val="left" w:pos="1365"/>
        </w:tabs>
        <w:spacing w:line="370" w:lineRule="exact"/>
        <w:ind w:firstLine="480"/>
        <w:rPr>
          <w:rFonts w:hint="eastAsia" w:ascii="宋体" w:hAnsi="宋体" w:cs="宋体"/>
          <w:sz w:val="24"/>
        </w:rPr>
      </w:pPr>
      <w:r>
        <w:rPr>
          <w:rFonts w:hint="eastAsia" w:ascii="宋体" w:hAnsi="宋体" w:eastAsia="宋体" w:cs="宋体"/>
          <w:sz w:val="24"/>
          <w:szCs w:val="24"/>
        </w:rPr>
        <w:t>38.4有关本次招标的事项若存在变动或修改，敬请及时关注江苏政府采购网或淮安市政府采购网发布的更正公告，否则产生的后果由供应商自行承担。</w:t>
      </w:r>
    </w:p>
    <w:p w14:paraId="75A1090E">
      <w:pPr>
        <w:pStyle w:val="38"/>
        <w:spacing w:after="0" w:line="440" w:lineRule="exact"/>
        <w:ind w:firstLine="480"/>
        <w:rPr>
          <w:rFonts w:hint="eastAsia" w:ascii="宋体" w:hAnsi="宋体" w:cs="宋体"/>
          <w:sz w:val="24"/>
        </w:rPr>
      </w:pPr>
      <w:r>
        <w:rPr>
          <w:rFonts w:hint="eastAsia" w:ascii="宋体" w:hAnsi="宋体" w:cs="宋体"/>
          <w:sz w:val="24"/>
        </w:rPr>
        <w:t>38.5由于“苏采云政府采购一体化平台”自身原因导致项目不能正常进行的，项目作废标处理。</w:t>
      </w:r>
    </w:p>
    <w:p w14:paraId="3DE556A5">
      <w:pPr>
        <w:pStyle w:val="38"/>
        <w:spacing w:after="0" w:line="440" w:lineRule="exact"/>
        <w:ind w:firstLine="480"/>
        <w:rPr>
          <w:rFonts w:hint="eastAsia" w:ascii="宋体" w:hAnsi="宋体" w:cs="宋体"/>
          <w:sz w:val="24"/>
        </w:rPr>
      </w:pPr>
      <w:r>
        <w:rPr>
          <w:rFonts w:hint="eastAsia" w:ascii="宋体" w:hAnsi="宋体" w:cs="宋体"/>
          <w:sz w:val="24"/>
        </w:rPr>
        <w:t>38.6本项目中的时间均以国家授时中心发布的时间为准。</w:t>
      </w:r>
    </w:p>
    <w:p w14:paraId="2239DBD3">
      <w:pPr>
        <w:pStyle w:val="38"/>
        <w:spacing w:after="0" w:line="440" w:lineRule="exact"/>
        <w:ind w:firstLine="480"/>
        <w:rPr>
          <w:rFonts w:hint="eastAsia" w:ascii="宋体" w:hAnsi="宋体" w:cs="宋体"/>
          <w:sz w:val="24"/>
        </w:rPr>
      </w:pPr>
      <w:r>
        <w:rPr>
          <w:rFonts w:hint="eastAsia" w:ascii="宋体" w:hAnsi="宋体" w:cs="宋体"/>
          <w:sz w:val="24"/>
        </w:rPr>
        <w:t>38.7本项目的下载文件、上传响应文件均通过互联网操作，请供应商充分考虑网络拥堵及平台操作所需时间等因素。因供应商自身原因导致操作失败的，其责任自负。</w:t>
      </w:r>
    </w:p>
    <w:p w14:paraId="20B2E600">
      <w:pPr>
        <w:pStyle w:val="38"/>
        <w:spacing w:after="0" w:line="440" w:lineRule="exact"/>
        <w:ind w:firstLine="480"/>
        <w:rPr>
          <w:rFonts w:hint="eastAsia" w:ascii="宋体" w:hAnsi="宋体" w:cs="宋体"/>
          <w:sz w:val="24"/>
        </w:rPr>
      </w:pPr>
      <w:r>
        <w:rPr>
          <w:rFonts w:hint="eastAsia" w:ascii="宋体" w:hAnsi="宋体" w:cs="宋体"/>
          <w:sz w:val="24"/>
        </w:rPr>
        <w:t>38.8本项目投标文件的编制使用“苏采云政府采购一体化平台”客户端，供应商响应文件的编制和上传，应按照招标文件的规定进行。如未按招标文件要求编制、上传电子响应文件，将可能作无效响应文件处理，其后果由供应商自负。供应商如对正确使用“苏采云政府采购一体化平台”客户端有疑问的，请与软件公司技术人员联系。</w:t>
      </w:r>
    </w:p>
    <w:p w14:paraId="0A2E5842">
      <w:pPr>
        <w:pStyle w:val="38"/>
        <w:spacing w:after="0" w:line="440" w:lineRule="exact"/>
        <w:ind w:firstLine="480"/>
        <w:rPr>
          <w:rFonts w:hint="eastAsia" w:ascii="宋体" w:hAnsi="宋体" w:cs="宋体"/>
          <w:sz w:val="24"/>
        </w:rPr>
      </w:pPr>
      <w:r>
        <w:rPr>
          <w:rFonts w:hint="eastAsia" w:ascii="宋体" w:hAnsi="宋体" w:cs="宋体"/>
          <w:sz w:val="24"/>
        </w:rPr>
        <w:t>387.9“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p>
    <w:p w14:paraId="2EFC8FAE">
      <w:pPr>
        <w:pStyle w:val="38"/>
        <w:spacing w:after="0" w:line="440" w:lineRule="exact"/>
        <w:ind w:firstLine="480"/>
        <w:rPr>
          <w:rFonts w:hint="eastAsia" w:ascii="宋体" w:hAnsi="宋体" w:cs="宋体"/>
          <w:sz w:val="24"/>
        </w:rPr>
      </w:pPr>
      <w:r>
        <w:rPr>
          <w:rFonts w:hint="eastAsia" w:ascii="宋体" w:hAnsi="宋体" w:cs="宋体"/>
          <w:sz w:val="24"/>
        </w:rPr>
        <w:t xml:space="preserve">38.10电子响应文件开启时间前，各供应商的授权委托人或法人代表提前进入江苏省政府采购一体化不见面开标（采购）大厅，根据操作手册验证CA与签章是否正常，以免影响响应文件的解密。 </w:t>
      </w:r>
    </w:p>
    <w:p w14:paraId="2A20C66D">
      <w:pPr>
        <w:pStyle w:val="38"/>
        <w:spacing w:after="0" w:line="440" w:lineRule="exact"/>
        <w:ind w:firstLine="480"/>
        <w:rPr>
          <w:rFonts w:hint="eastAsia" w:ascii="宋体" w:hAnsi="宋体" w:cs="宋体"/>
          <w:sz w:val="24"/>
        </w:rPr>
      </w:pPr>
      <w:r>
        <w:rPr>
          <w:rFonts w:hint="eastAsia" w:ascii="宋体" w:hAnsi="宋体" w:cs="宋体"/>
          <w:sz w:val="24"/>
        </w:rPr>
        <w:t>38.11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p>
    <w:p w14:paraId="466910A0">
      <w:pPr>
        <w:pStyle w:val="38"/>
        <w:spacing w:after="0" w:line="440" w:lineRule="exact"/>
        <w:ind w:firstLine="480"/>
        <w:rPr>
          <w:rFonts w:hint="eastAsia" w:ascii="宋体" w:hAnsi="宋体" w:cs="宋体"/>
          <w:sz w:val="24"/>
        </w:rPr>
      </w:pPr>
      <w:r>
        <w:rPr>
          <w:rFonts w:hint="eastAsia" w:ascii="宋体" w:hAnsi="宋体" w:cs="宋体"/>
          <w:sz w:val="24"/>
        </w:rPr>
        <w:t>38.12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47AF9979">
      <w:pPr>
        <w:pStyle w:val="38"/>
        <w:spacing w:after="0" w:line="440" w:lineRule="exact"/>
        <w:ind w:firstLine="480"/>
        <w:rPr>
          <w:rFonts w:hint="eastAsia" w:ascii="宋体" w:hAnsi="宋体" w:cs="宋体"/>
          <w:sz w:val="24"/>
        </w:rPr>
      </w:pPr>
      <w:r>
        <w:rPr>
          <w:rFonts w:hint="eastAsia" w:ascii="宋体" w:hAnsi="宋体" w:cs="宋体"/>
          <w:sz w:val="24"/>
        </w:rPr>
        <w:t>38.13为顺利实现本项目不见面交易活动组织的远程交互，建议供应商配置相关软硬件设施，具体包括:</w:t>
      </w:r>
    </w:p>
    <w:p w14:paraId="369F9E82">
      <w:pPr>
        <w:pStyle w:val="38"/>
        <w:spacing w:after="0" w:line="440" w:lineRule="exact"/>
        <w:ind w:firstLine="480"/>
        <w:rPr>
          <w:rFonts w:hint="eastAsia" w:ascii="宋体" w:hAnsi="宋体" w:cs="宋体"/>
          <w:sz w:val="24"/>
        </w:rPr>
      </w:pPr>
      <w:r>
        <w:rPr>
          <w:rFonts w:hint="eastAsia" w:ascii="宋体" w:hAnsi="宋体" w:cs="宋体"/>
          <w:sz w:val="24"/>
        </w:rPr>
        <w:t xml:space="preserve">38.14谷歌浏览器或360安全浏览器，同时必须安装“苏采云政府采购一体化平台”客户端所要求的驱动。 </w:t>
      </w:r>
    </w:p>
    <w:p w14:paraId="2490BC1E">
      <w:pPr>
        <w:pStyle w:val="38"/>
        <w:spacing w:after="0" w:line="440" w:lineRule="exact"/>
        <w:ind w:firstLine="480"/>
        <w:rPr>
          <w:rFonts w:hint="eastAsia" w:ascii="宋体" w:hAnsi="宋体" w:cs="宋体"/>
          <w:sz w:val="24"/>
        </w:rPr>
      </w:pPr>
      <w:r>
        <w:rPr>
          <w:rFonts w:hint="eastAsia" w:ascii="宋体" w:hAnsi="宋体" w:cs="宋体"/>
          <w:sz w:val="24"/>
        </w:rPr>
        <w:t>38.15硬件设施:高配置电脑（内存4G以上，建议屏幕分辨率用1024*768像素或以上，不要使用上网本）、高速稳定的网络、CA锁、音视频设备［话筒、耳麦、高清摄像头（支持分辨率720P及以上）、音响］等。</w:t>
      </w:r>
    </w:p>
    <w:p w14:paraId="5F8D8B09">
      <w:pPr>
        <w:pStyle w:val="38"/>
        <w:spacing w:after="0" w:line="440" w:lineRule="exact"/>
        <w:ind w:firstLine="480"/>
        <w:rPr>
          <w:rFonts w:hint="eastAsia" w:ascii="宋体" w:hAnsi="宋体" w:cs="宋体"/>
          <w:sz w:val="24"/>
        </w:rPr>
      </w:pPr>
      <w:r>
        <w:rPr>
          <w:rFonts w:hint="eastAsia" w:ascii="宋体" w:hAnsi="宋体" w:cs="宋体"/>
          <w:sz w:val="24"/>
        </w:rPr>
        <w:t>38.16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541BC4B1">
      <w:pPr>
        <w:pStyle w:val="38"/>
        <w:spacing w:after="0" w:line="440" w:lineRule="exact"/>
        <w:ind w:firstLine="480"/>
        <w:rPr>
          <w:rFonts w:hint="eastAsia" w:ascii="宋体" w:hAnsi="宋体" w:cs="宋体"/>
          <w:b/>
          <w:sz w:val="32"/>
          <w:szCs w:val="32"/>
        </w:rPr>
      </w:pPr>
      <w:r>
        <w:rPr>
          <w:rFonts w:hint="eastAsia" w:ascii="宋体" w:hAnsi="宋体" w:cs="宋体"/>
          <w:sz w:val="24"/>
        </w:rPr>
        <w:t>38.17供应商在制作上传电子响应文件、观看活动组织、响应文件解密等技术方面遇到问题时，请与软件公司技术人员咨询，联系电话: 0519-86722802、0517-83638013、18019691765。</w:t>
      </w:r>
    </w:p>
    <w:p w14:paraId="48558DC5">
      <w:pPr>
        <w:spacing w:line="440" w:lineRule="exact"/>
        <w:outlineLvl w:val="2"/>
        <w:rPr>
          <w:rFonts w:hint="eastAsia" w:ascii="宋体" w:hAnsi="宋体" w:cs="宋体"/>
          <w:b/>
          <w:sz w:val="32"/>
          <w:szCs w:val="32"/>
        </w:rPr>
      </w:pPr>
    </w:p>
    <w:p w14:paraId="152CA5BF">
      <w:pPr>
        <w:spacing w:line="440" w:lineRule="exact"/>
        <w:jc w:val="center"/>
        <w:outlineLvl w:val="2"/>
        <w:rPr>
          <w:rFonts w:hint="eastAsia" w:ascii="宋体" w:hAnsi="宋体" w:cs="宋体"/>
          <w:bCs/>
          <w:sz w:val="32"/>
          <w:szCs w:val="32"/>
        </w:rPr>
      </w:pPr>
      <w:r>
        <w:rPr>
          <w:rFonts w:hint="eastAsia" w:ascii="宋体" w:hAnsi="宋体" w:cs="宋体"/>
          <w:b/>
          <w:sz w:val="32"/>
          <w:szCs w:val="32"/>
        </w:rPr>
        <w:t>第三章  评标标准</w:t>
      </w:r>
    </w:p>
    <w:p w14:paraId="6CDF486E">
      <w:pPr>
        <w:spacing w:line="440" w:lineRule="exact"/>
        <w:ind w:firstLine="480"/>
        <w:outlineLvl w:val="2"/>
        <w:rPr>
          <w:rFonts w:hint="eastAsia" w:ascii="宋体" w:hAnsi="宋体" w:cs="宋体"/>
          <w:bCs/>
          <w:sz w:val="24"/>
        </w:rPr>
      </w:pPr>
      <w:r>
        <w:rPr>
          <w:rFonts w:hint="eastAsia" w:ascii="宋体" w:hAnsi="宋体" w:cs="宋体"/>
          <w:bCs/>
          <w:sz w:val="24"/>
        </w:rPr>
        <w:t>一、评委会根据招标文件中规定的评标标准对投标人进行综合评审，最终按综合评审得分由高到低的顺序</w:t>
      </w:r>
      <w:r>
        <w:rPr>
          <w:rFonts w:hint="eastAsia" w:ascii="宋体" w:hAnsi="宋体" w:cs="宋体"/>
          <w:bCs/>
          <w:color w:val="0000FF"/>
          <w:sz w:val="24"/>
        </w:rPr>
        <w:t>推荐出3名中标候选人</w:t>
      </w:r>
      <w:r>
        <w:rPr>
          <w:rFonts w:hint="eastAsia" w:ascii="宋体" w:hAnsi="宋体" w:cs="宋体"/>
          <w:bCs/>
          <w:sz w:val="24"/>
        </w:rPr>
        <w:t>。</w:t>
      </w:r>
    </w:p>
    <w:p w14:paraId="4CEA9F11">
      <w:pPr>
        <w:spacing w:line="440" w:lineRule="exact"/>
        <w:ind w:firstLine="480"/>
        <w:outlineLvl w:val="2"/>
        <w:rPr>
          <w:rFonts w:hint="eastAsia" w:ascii="宋体" w:hAnsi="宋体" w:cs="宋体"/>
          <w:bCs/>
          <w:sz w:val="24"/>
        </w:rPr>
      </w:pPr>
      <w:r>
        <w:rPr>
          <w:rFonts w:hint="eastAsia" w:ascii="宋体" w:hAnsi="宋体" w:cs="宋体"/>
          <w:bCs/>
          <w:sz w:val="24"/>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  </w:t>
      </w:r>
    </w:p>
    <w:p w14:paraId="5FE539CC">
      <w:pPr>
        <w:spacing w:line="440" w:lineRule="exact"/>
        <w:ind w:firstLine="480"/>
        <w:outlineLvl w:val="2"/>
        <w:rPr>
          <w:rFonts w:hint="eastAsia" w:ascii="宋体" w:hAnsi="宋体" w:cs="宋体"/>
          <w:bCs/>
          <w:sz w:val="24"/>
        </w:rPr>
      </w:pPr>
      <w:r>
        <w:rPr>
          <w:rFonts w:hint="eastAsia" w:ascii="宋体" w:hAnsi="宋体" w:cs="宋体"/>
          <w:bCs/>
          <w:sz w:val="24"/>
        </w:rPr>
        <w:t>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p>
    <w:p w14:paraId="77E73327">
      <w:pPr>
        <w:spacing w:line="300" w:lineRule="auto"/>
        <w:rPr>
          <w:rFonts w:ascii="宋体" w:cs="宋体"/>
          <w:b/>
          <w:sz w:val="24"/>
        </w:rPr>
      </w:pPr>
    </w:p>
    <w:p w14:paraId="7BA25C85">
      <w:pPr>
        <w:spacing w:line="300" w:lineRule="auto"/>
        <w:jc w:val="center"/>
      </w:pPr>
      <w:r>
        <w:rPr>
          <w:rFonts w:hint="eastAsia" w:ascii="宋体" w:cs="宋体"/>
          <w:b/>
          <w:sz w:val="24"/>
        </w:rPr>
        <w:t>综合评审因素和评分标准（100分）</w:t>
      </w:r>
    </w:p>
    <w:tbl>
      <w:tblPr>
        <w:tblStyle w:val="40"/>
        <w:tblW w:w="528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
        <w:gridCol w:w="1162"/>
        <w:gridCol w:w="694"/>
        <w:gridCol w:w="6766"/>
      </w:tblGrid>
      <w:tr w14:paraId="4D093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0" w:type="pct"/>
            <w:vAlign w:val="center"/>
          </w:tcPr>
          <w:p w14:paraId="1EC4562D">
            <w:pPr>
              <w:widowControl/>
              <w:spacing w:line="360" w:lineRule="auto"/>
              <w:jc w:val="center"/>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序号</w:t>
            </w:r>
          </w:p>
        </w:tc>
        <w:tc>
          <w:tcPr>
            <w:tcW w:w="612" w:type="pct"/>
            <w:vAlign w:val="center"/>
          </w:tcPr>
          <w:p w14:paraId="6D2AB990">
            <w:pPr>
              <w:widowControl/>
              <w:spacing w:line="360" w:lineRule="auto"/>
              <w:jc w:val="center"/>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评分因素</w:t>
            </w:r>
          </w:p>
        </w:tc>
        <w:tc>
          <w:tcPr>
            <w:tcW w:w="366" w:type="pct"/>
            <w:vAlign w:val="center"/>
          </w:tcPr>
          <w:p w14:paraId="1B1DB284">
            <w:pPr>
              <w:widowControl/>
              <w:spacing w:line="360" w:lineRule="auto"/>
              <w:jc w:val="center"/>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分值</w:t>
            </w:r>
          </w:p>
        </w:tc>
        <w:tc>
          <w:tcPr>
            <w:tcW w:w="3570" w:type="pct"/>
            <w:vAlign w:val="center"/>
          </w:tcPr>
          <w:p w14:paraId="5D562654">
            <w:pPr>
              <w:widowControl/>
              <w:spacing w:line="360" w:lineRule="auto"/>
              <w:jc w:val="center"/>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评分标准</w:t>
            </w:r>
          </w:p>
        </w:tc>
      </w:tr>
      <w:tr w14:paraId="26C51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6" w:hRule="atLeast"/>
        </w:trPr>
        <w:tc>
          <w:tcPr>
            <w:tcW w:w="450" w:type="pct"/>
            <w:vAlign w:val="center"/>
          </w:tcPr>
          <w:p w14:paraId="76791CED">
            <w:pPr>
              <w:widowControl/>
              <w:spacing w:line="360" w:lineRule="auto"/>
              <w:jc w:val="center"/>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612" w:type="pct"/>
            <w:vAlign w:val="center"/>
          </w:tcPr>
          <w:p w14:paraId="1F57A92F">
            <w:pPr>
              <w:widowControl/>
              <w:spacing w:line="360" w:lineRule="auto"/>
              <w:jc w:val="center"/>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价格分</w:t>
            </w:r>
          </w:p>
        </w:tc>
        <w:tc>
          <w:tcPr>
            <w:tcW w:w="366" w:type="pct"/>
            <w:vAlign w:val="center"/>
          </w:tcPr>
          <w:p w14:paraId="010237EF">
            <w:pPr>
              <w:widowControl/>
              <w:spacing w:line="360" w:lineRule="auto"/>
              <w:jc w:val="center"/>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30</w:t>
            </w:r>
          </w:p>
        </w:tc>
        <w:tc>
          <w:tcPr>
            <w:tcW w:w="3570" w:type="pct"/>
            <w:vAlign w:val="center"/>
          </w:tcPr>
          <w:p w14:paraId="4D2886B8">
            <w:pPr>
              <w:widowControl/>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综合评分法中的价格分采用低价优先法计算，即满足招标文件要求且最后报价最低的供应商的价格为评标基准价，其价格分为满分30分。其他供应商的价格分统一按照下列公式计算：投标报价得分= (评标基准价／投标报价)×30。（保留到小数点后2位，四舍五入）</w:t>
            </w:r>
          </w:p>
        </w:tc>
      </w:tr>
      <w:tr w14:paraId="30048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0" w:type="pct"/>
            <w:vAlign w:val="center"/>
          </w:tcPr>
          <w:p w14:paraId="714A57F8">
            <w:pPr>
              <w:widowControl/>
              <w:spacing w:line="360" w:lineRule="auto"/>
              <w:jc w:val="center"/>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612" w:type="pct"/>
            <w:vAlign w:val="center"/>
          </w:tcPr>
          <w:p w14:paraId="4C1DB064">
            <w:pPr>
              <w:widowControl/>
              <w:spacing w:line="360" w:lineRule="auto"/>
              <w:jc w:val="center"/>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投标产品参数要求</w:t>
            </w:r>
          </w:p>
        </w:tc>
        <w:tc>
          <w:tcPr>
            <w:tcW w:w="366" w:type="pct"/>
            <w:vAlign w:val="center"/>
          </w:tcPr>
          <w:p w14:paraId="2A04CA5D">
            <w:pPr>
              <w:widowControl/>
              <w:spacing w:line="360" w:lineRule="auto"/>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36</w:t>
            </w:r>
          </w:p>
        </w:tc>
        <w:tc>
          <w:tcPr>
            <w:tcW w:w="3570" w:type="pct"/>
            <w:vAlign w:val="center"/>
          </w:tcPr>
          <w:p w14:paraId="14D42A0E">
            <w:pPr>
              <w:widowControl/>
              <w:spacing w:line="360" w:lineRule="auto"/>
              <w:rPr>
                <w:rFonts w:hint="eastAsia" w:ascii="宋体" w:hAnsi="宋体" w:cs="宋体"/>
                <w:color w:val="EE0000"/>
                <w:sz w:val="24"/>
              </w:rPr>
            </w:pPr>
            <w:r>
              <w:rPr>
                <w:rFonts w:hint="eastAsia" w:ascii="宋体" w:hAnsi="宋体" w:cs="宋体"/>
                <w:color w:val="EE0000"/>
                <w:sz w:val="24"/>
              </w:rPr>
              <w:t>产品与服务参数共列9类99项条款，其中标注</w:t>
            </w:r>
            <w:r>
              <w:rPr>
                <w:rFonts w:ascii="宋体" w:hAnsi="宋体" w:cs="宋体"/>
                <w:color w:val="EE0000"/>
                <w:sz w:val="24"/>
              </w:rPr>
              <w:t>“▲”</w:t>
            </w:r>
            <w:r>
              <w:rPr>
                <w:rFonts w:hint="eastAsia" w:ascii="宋体" w:hAnsi="宋体" w:cs="宋体"/>
                <w:color w:val="EE0000"/>
                <w:sz w:val="24"/>
              </w:rPr>
              <w:t>的条款</w:t>
            </w:r>
            <w:r>
              <w:rPr>
                <w:rFonts w:ascii="宋体" w:hAnsi="宋体" w:cs="宋体"/>
                <w:color w:val="EE0000"/>
                <w:sz w:val="24"/>
              </w:rPr>
              <w:t>属于重要响应条款</w:t>
            </w:r>
            <w:r>
              <w:rPr>
                <w:rFonts w:hint="eastAsia" w:ascii="宋体" w:hAnsi="宋体" w:cs="宋体"/>
                <w:color w:val="EE0000"/>
                <w:sz w:val="24"/>
              </w:rPr>
              <w:t>共15项</w:t>
            </w:r>
            <w:r>
              <w:rPr>
                <w:rFonts w:ascii="宋体" w:hAnsi="宋体" w:cs="宋体"/>
                <w:color w:val="EE0000"/>
                <w:sz w:val="24"/>
              </w:rPr>
              <w:t>，其余为一般响应条款</w:t>
            </w:r>
            <w:r>
              <w:rPr>
                <w:rFonts w:hint="eastAsia" w:ascii="宋体" w:hAnsi="宋体" w:cs="宋体"/>
                <w:color w:val="EE0000"/>
                <w:sz w:val="24"/>
              </w:rPr>
              <w:t>共84项</w:t>
            </w:r>
            <w:r>
              <w:rPr>
                <w:rFonts w:ascii="宋体" w:hAnsi="宋体" w:cs="宋体"/>
                <w:color w:val="EE0000"/>
                <w:sz w:val="24"/>
              </w:rPr>
              <w:t>。</w:t>
            </w:r>
          </w:p>
          <w:p w14:paraId="2A5E0D84">
            <w:pPr>
              <w:widowControl/>
              <w:spacing w:line="360" w:lineRule="auto"/>
              <w:rPr>
                <w:rFonts w:hint="eastAsia" w:ascii="宋体" w:hAnsi="宋体" w:cs="宋体"/>
                <w:color w:val="EE0000"/>
                <w:sz w:val="24"/>
              </w:rPr>
            </w:pPr>
            <w:r>
              <w:rPr>
                <w:rFonts w:hint="eastAsia" w:ascii="宋体" w:hAnsi="宋体" w:cs="宋体"/>
                <w:color w:val="EE0000"/>
                <w:sz w:val="24"/>
              </w:rPr>
              <w:t>投标人针对本项评审内容在投标文件《技术规格偏离表》中逐条列出所投产品每项参数响应及偏离情况，并提供对应可信证明材料，不提供不得分。可信证明材料包括：硬件方面为具备CNAS认证资质第三方检测机构出具的带有CMA标识的检测报告或盖有生产厂家公章的产品说明书或参数保证函；软件方面为网站或后台界面截图加盖软著权利人公章；质保及服务证明材料为加盖投标人公章的承诺书。无相关证明材料仅填写技术规格正偏离不得分（默认为投标人质量保证承诺），负偏离扣对应参数分值。</w:t>
            </w:r>
          </w:p>
          <w:p w14:paraId="75393DCB">
            <w:pPr>
              <w:widowControl/>
              <w:spacing w:line="360" w:lineRule="auto"/>
              <w:rPr>
                <w:rFonts w:hint="eastAsia" w:ascii="宋体" w:hAnsi="宋体" w:cs="宋体"/>
                <w:color w:val="EE0000"/>
                <w:sz w:val="24"/>
                <w:highlight w:val="yellow"/>
              </w:rPr>
            </w:pPr>
            <w:r>
              <w:rPr>
                <w:rFonts w:hint="eastAsia" w:ascii="宋体" w:hAnsi="宋体" w:cs="宋体"/>
                <w:color w:val="EE0000"/>
                <w:sz w:val="24"/>
              </w:rPr>
              <w:t>每满足1项重要条款得1分；每满足1项一般响应条款得</w:t>
            </w:r>
            <w:r>
              <w:rPr>
                <w:rFonts w:ascii="宋体" w:hAnsi="宋体" w:cs="宋体"/>
                <w:color w:val="EE0000"/>
                <w:sz w:val="24"/>
              </w:rPr>
              <w:t>0.</w:t>
            </w:r>
            <w:r>
              <w:rPr>
                <w:rFonts w:hint="eastAsia" w:ascii="宋体" w:hAnsi="宋体" w:cs="宋体"/>
                <w:color w:val="EE0000"/>
                <w:sz w:val="24"/>
              </w:rPr>
              <w:t>25分。</w:t>
            </w:r>
          </w:p>
        </w:tc>
      </w:tr>
      <w:tr w14:paraId="3D9D9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3" w:hRule="atLeast"/>
        </w:trPr>
        <w:tc>
          <w:tcPr>
            <w:tcW w:w="450" w:type="pct"/>
            <w:vAlign w:val="center"/>
          </w:tcPr>
          <w:p w14:paraId="37E7A1A6">
            <w:pPr>
              <w:widowControl/>
              <w:spacing w:line="360" w:lineRule="auto"/>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p>
        </w:tc>
        <w:tc>
          <w:tcPr>
            <w:tcW w:w="612" w:type="pct"/>
            <w:vAlign w:val="center"/>
          </w:tcPr>
          <w:p w14:paraId="4C313AF7">
            <w:pPr>
              <w:widowControl/>
              <w:spacing w:line="360" w:lineRule="auto"/>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数字田间管理应用视频演示</w:t>
            </w:r>
          </w:p>
        </w:tc>
        <w:tc>
          <w:tcPr>
            <w:tcW w:w="366" w:type="pct"/>
            <w:vAlign w:val="center"/>
          </w:tcPr>
          <w:p w14:paraId="17AFF185">
            <w:pPr>
              <w:widowControl/>
              <w:spacing w:line="360" w:lineRule="auto"/>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8</w:t>
            </w:r>
          </w:p>
        </w:tc>
        <w:tc>
          <w:tcPr>
            <w:tcW w:w="3570" w:type="pct"/>
            <w:vAlign w:val="center"/>
          </w:tcPr>
          <w:p w14:paraId="53D14259">
            <w:pPr>
              <w:widowControl/>
              <w:spacing w:line="360" w:lineRule="auto"/>
              <w:rPr>
                <w:rFonts w:hint="eastAsia" w:ascii="宋体" w:hAnsi="宋体" w:cs="宋体"/>
                <w:color w:val="EE0000"/>
                <w:sz w:val="24"/>
              </w:rPr>
            </w:pPr>
            <w:r>
              <w:rPr>
                <w:rFonts w:hint="eastAsia" w:ascii="宋体" w:hAnsi="宋体"/>
                <w:color w:val="EE0000"/>
                <w:sz w:val="24"/>
              </w:rPr>
              <w:t>投标人需提供软件系统操作演示视音频(PPT等静态图片方式演示不得分)，演示时间原则上不超过30分钟。投标人应将演示视频上传在响应文件组成“演示”中，视频不超过100M，超过的将无法上传，责任由投标人自负。未按要求上传的，对应项不得分。</w:t>
            </w:r>
            <w:r>
              <w:rPr>
                <w:rFonts w:hint="eastAsia" w:ascii="宋体" w:hAnsi="宋体" w:cs="宋体"/>
                <w:color w:val="EE0000"/>
                <w:sz w:val="24"/>
              </w:rPr>
              <w:t>投标人针对以下4个功能在真实环境、同一系统平台中进行演示，如出现跨系统演示现象，本项不得分，演示要点及评分标准说明如下：</w:t>
            </w:r>
          </w:p>
          <w:p w14:paraId="1DEB31AB">
            <w:pPr>
              <w:widowControl/>
              <w:spacing w:line="360" w:lineRule="auto"/>
              <w:rPr>
                <w:rFonts w:hint="eastAsia" w:ascii="宋体" w:hAnsi="宋体"/>
                <w:color w:val="EE0000"/>
                <w:sz w:val="24"/>
              </w:rPr>
            </w:pPr>
            <w:r>
              <w:rPr>
                <w:rFonts w:hint="eastAsia" w:ascii="宋体" w:hAnsi="宋体"/>
                <w:color w:val="EE0000"/>
                <w:sz w:val="24"/>
              </w:rPr>
              <w:t>1、投标人演示基于无人机拍摄的图片样本素材上传至软件系统后，系统即刻触发全自动处理流程，无需人工干预，后台自动完成海量影像的智能拼接与深度分析，并基于专业地图引擎自动生成可视化成果。用户可直接在分析结果页面查看成果并访问发布的地图链接。演示分析完成后，可以立刻在决策页面通过基地在地图上查看分析之后的结果，展示结果包含地块名称、地块面积、分析结果面积占比等。（采用真实系统成功演示并符合要求得2分，不满足得0分）</w:t>
            </w:r>
          </w:p>
          <w:p w14:paraId="62DD1EB9">
            <w:pPr>
              <w:widowControl/>
              <w:spacing w:line="360" w:lineRule="auto"/>
              <w:rPr>
                <w:rFonts w:hint="eastAsia" w:ascii="宋体" w:hAnsi="宋体"/>
                <w:color w:val="EE0000"/>
                <w:sz w:val="24"/>
              </w:rPr>
            </w:pPr>
            <w:r>
              <w:rPr>
                <w:rFonts w:hint="eastAsia" w:ascii="宋体" w:hAnsi="宋体"/>
                <w:color w:val="EE0000"/>
                <w:sz w:val="24"/>
              </w:rPr>
              <w:t>2、投标人演示基于无人机自动飞控系统、田间高清鹰眼摄像头、</w:t>
            </w:r>
            <w:r>
              <w:rPr>
                <w:rFonts w:hint="eastAsia" w:ascii="宋体" w:hAnsi="宋体" w:cs="宋体"/>
                <w:color w:val="EE0000"/>
                <w:sz w:val="24"/>
              </w:rPr>
              <w:t>现场气象、土壤墒情、病虫情监测站点数据</w:t>
            </w:r>
            <w:r>
              <w:rPr>
                <w:rFonts w:hint="eastAsia" w:ascii="宋体" w:hAnsi="宋体"/>
                <w:color w:val="EE0000"/>
                <w:sz w:val="24"/>
              </w:rPr>
              <w:t>，展示水稻/小麦的苗情分析、病虫预警、倒伏分析、测产分析功能等。（采用真实系统成功演示并符合要求得2分，不满足得0分）</w:t>
            </w:r>
          </w:p>
          <w:p w14:paraId="57F0827C">
            <w:pPr>
              <w:widowControl/>
              <w:spacing w:line="360" w:lineRule="auto"/>
              <w:rPr>
                <w:rFonts w:hint="eastAsia" w:ascii="宋体" w:hAnsi="宋体"/>
                <w:color w:val="EE0000"/>
                <w:sz w:val="24"/>
              </w:rPr>
            </w:pPr>
            <w:r>
              <w:rPr>
                <w:rFonts w:hint="eastAsia" w:ascii="宋体" w:hAnsi="宋体"/>
                <w:color w:val="EE0000"/>
                <w:sz w:val="24"/>
              </w:rPr>
              <w:t>3、投标人演示基于作物生长模型，在关键农事节点，根据历史数据和实时监测信息，通过小程序、短信等形式提供实时预警或生成适用于农田生长状况的精准种植处方图，指导植保无人机、灌排水等设备进行相关操作能力。（采用真实系统成功演示并符合要求得2分，不满足得0分）</w:t>
            </w:r>
          </w:p>
          <w:p w14:paraId="40CAC2BD">
            <w:pPr>
              <w:widowControl/>
              <w:spacing w:line="360" w:lineRule="auto"/>
              <w:rPr>
                <w:rFonts w:hint="eastAsia" w:ascii="宋体" w:hAnsi="宋体" w:cs="宋体"/>
                <w:color w:val="EE0000"/>
                <w:sz w:val="24"/>
              </w:rPr>
            </w:pPr>
            <w:r>
              <w:rPr>
                <w:rFonts w:hint="eastAsia" w:ascii="宋体" w:hAnsi="宋体"/>
                <w:color w:val="EE0000"/>
                <w:sz w:val="24"/>
              </w:rPr>
              <w:t>4、投标人演示可通过登录系统或通过接口查看分析的系统与设备运行状态。查询日志，进程状态、处理器使用率、内存使用、电池电量、设备位置、流量提醒等维护与设置功能，（采用真实系统成功演示并符合要求得2分，不满足得0分）</w:t>
            </w:r>
          </w:p>
        </w:tc>
      </w:tr>
      <w:tr w14:paraId="294E1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0" w:type="pct"/>
            <w:vAlign w:val="center"/>
          </w:tcPr>
          <w:p w14:paraId="60E47262">
            <w:pPr>
              <w:widowControl/>
              <w:spacing w:line="360" w:lineRule="auto"/>
              <w:jc w:val="center"/>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p>
        </w:tc>
        <w:tc>
          <w:tcPr>
            <w:tcW w:w="612" w:type="pct"/>
            <w:vAlign w:val="center"/>
          </w:tcPr>
          <w:p w14:paraId="3704F5FD">
            <w:pPr>
              <w:widowControl/>
              <w:spacing w:line="360" w:lineRule="auto"/>
              <w:jc w:val="center"/>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综合实力</w:t>
            </w:r>
          </w:p>
        </w:tc>
        <w:tc>
          <w:tcPr>
            <w:tcW w:w="366" w:type="pct"/>
            <w:vAlign w:val="center"/>
          </w:tcPr>
          <w:p w14:paraId="545DC353">
            <w:pPr>
              <w:widowControl/>
              <w:spacing w:line="360" w:lineRule="auto"/>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10</w:t>
            </w:r>
          </w:p>
        </w:tc>
        <w:tc>
          <w:tcPr>
            <w:tcW w:w="3570" w:type="pct"/>
            <w:vAlign w:val="center"/>
          </w:tcPr>
          <w:p w14:paraId="2C1B2DE1">
            <w:pPr>
              <w:widowControl/>
              <w:numPr>
                <w:ilvl w:val="0"/>
                <w:numId w:val="2"/>
              </w:numPr>
              <w:spacing w:line="360" w:lineRule="auto"/>
              <w:rPr>
                <w:rFonts w:ascii="宋体" w:hAnsi="宋体" w:cs="宋体"/>
                <w:color w:val="EE0000"/>
                <w:sz w:val="24"/>
              </w:rPr>
            </w:pPr>
            <w:r>
              <w:rPr>
                <w:rFonts w:hint="eastAsia" w:ascii="宋体" w:hAnsi="宋体" w:cs="宋体"/>
                <w:color w:val="EE0000"/>
                <w:sz w:val="24"/>
              </w:rPr>
              <w:t>投标人或所投产品供应商具备：智能虫情监测、作物病害自动监测、气象数据或土壤墒情自动监测、苗情或灾情监测、智慧（</w:t>
            </w:r>
            <w:r>
              <w:rPr>
                <w:rFonts w:ascii="宋体" w:hAnsi="宋体" w:cs="宋体"/>
                <w:color w:val="EE0000"/>
                <w:sz w:val="24"/>
              </w:rPr>
              <w:t>数字</w:t>
            </w:r>
            <w:r>
              <w:rPr>
                <w:rFonts w:hint="eastAsia" w:ascii="宋体" w:hAnsi="宋体" w:cs="宋体"/>
                <w:color w:val="EE0000"/>
                <w:sz w:val="24"/>
              </w:rPr>
              <w:t>）</w:t>
            </w:r>
            <w:r>
              <w:rPr>
                <w:rFonts w:ascii="宋体" w:hAnsi="宋体" w:cs="宋体"/>
                <w:color w:val="EE0000"/>
                <w:sz w:val="24"/>
              </w:rPr>
              <w:t>田间管理应用</w:t>
            </w:r>
            <w:r>
              <w:rPr>
                <w:rFonts w:hint="eastAsia" w:ascii="宋体" w:hAnsi="宋体" w:cs="宋体"/>
                <w:color w:val="EE0000"/>
                <w:sz w:val="24"/>
              </w:rPr>
              <w:t>5类相关的软件著作权，每提供1个得1分，相同类型的不重复计分，本项最多得5分。</w:t>
            </w:r>
          </w:p>
          <w:p w14:paraId="29BBEBB4">
            <w:pPr>
              <w:widowControl/>
              <w:spacing w:line="360" w:lineRule="auto"/>
              <w:rPr>
                <w:rFonts w:hint="eastAsia" w:ascii="宋体" w:hAnsi="宋体"/>
                <w:color w:val="EE0000"/>
                <w:sz w:val="24"/>
              </w:rPr>
            </w:pPr>
            <w:r>
              <w:rPr>
                <w:rFonts w:hint="eastAsia" w:ascii="宋体" w:hAnsi="宋体" w:cs="宋体"/>
                <w:color w:val="EE0000"/>
                <w:sz w:val="24"/>
              </w:rPr>
              <w:t>2.</w:t>
            </w:r>
            <w:r>
              <w:rPr>
                <w:rFonts w:hint="eastAsia" w:ascii="宋体" w:hAnsi="宋体"/>
                <w:color w:val="EE0000"/>
                <w:sz w:val="24"/>
              </w:rPr>
              <w:t>投标人具有有效期内的质量管理体系、环境管理体系、职业健康安全管理体系、信息技术服务管理体系认证、CCRC信息安全体系认证、知识产权合规管理体系认证，每提供一个证书得1分，</w:t>
            </w:r>
            <w:r>
              <w:rPr>
                <w:rFonts w:hint="eastAsia" w:ascii="宋体" w:hAnsi="宋体" w:cs="宋体"/>
                <w:color w:val="EE0000"/>
                <w:sz w:val="24"/>
              </w:rPr>
              <w:t>相同类型的不重复计分，</w:t>
            </w:r>
            <w:r>
              <w:rPr>
                <w:rFonts w:hint="eastAsia" w:ascii="宋体" w:hAnsi="宋体"/>
                <w:color w:val="EE0000"/>
                <w:sz w:val="24"/>
              </w:rPr>
              <w:t>本项最高得5分。</w:t>
            </w:r>
          </w:p>
        </w:tc>
      </w:tr>
      <w:tr w14:paraId="04360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0" w:type="pct"/>
            <w:vMerge w:val="restart"/>
            <w:vAlign w:val="center"/>
          </w:tcPr>
          <w:p w14:paraId="351B3370">
            <w:pPr>
              <w:widowControl/>
              <w:spacing w:line="360" w:lineRule="auto"/>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w:t>
            </w:r>
          </w:p>
        </w:tc>
        <w:tc>
          <w:tcPr>
            <w:tcW w:w="612" w:type="pct"/>
            <w:vMerge w:val="restart"/>
            <w:vAlign w:val="center"/>
          </w:tcPr>
          <w:p w14:paraId="6F912388">
            <w:pPr>
              <w:widowControl/>
              <w:spacing w:line="360" w:lineRule="auto"/>
              <w:jc w:val="center"/>
              <w:rPr>
                <w:rFonts w:hint="eastAsia" w:ascii="宋体" w:hAnsi="宋体" w:cs="宋体"/>
                <w:color w:val="000000" w:themeColor="text1"/>
                <w:sz w:val="24"/>
                <w14:textFill>
                  <w14:solidFill>
                    <w14:schemeClr w14:val="tx1"/>
                  </w14:solidFill>
                </w14:textFill>
              </w:rPr>
            </w:pPr>
            <w:bookmarkStart w:id="60" w:name="OLE_LINK9"/>
            <w:bookmarkStart w:id="61" w:name="OLE_LINK8"/>
            <w:r>
              <w:rPr>
                <w:rFonts w:hint="eastAsia" w:ascii="宋体" w:hAnsi="宋体" w:cs="宋体"/>
                <w:color w:val="000000" w:themeColor="text1"/>
                <w:sz w:val="24"/>
                <w14:textFill>
                  <w14:solidFill>
                    <w14:schemeClr w14:val="tx1"/>
                  </w14:solidFill>
                </w14:textFill>
              </w:rPr>
              <w:t>拟投入本项目</w:t>
            </w:r>
          </w:p>
          <w:bookmarkEnd w:id="60"/>
          <w:bookmarkEnd w:id="61"/>
          <w:p w14:paraId="2E0CFC10">
            <w:pPr>
              <w:widowControl/>
              <w:spacing w:line="360" w:lineRule="auto"/>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项目组</w:t>
            </w:r>
          </w:p>
        </w:tc>
        <w:tc>
          <w:tcPr>
            <w:tcW w:w="366" w:type="pct"/>
            <w:vMerge w:val="restart"/>
            <w:vAlign w:val="center"/>
          </w:tcPr>
          <w:p w14:paraId="432EBBC4">
            <w:pPr>
              <w:widowControl/>
              <w:spacing w:line="360" w:lineRule="auto"/>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5</w:t>
            </w:r>
          </w:p>
        </w:tc>
        <w:tc>
          <w:tcPr>
            <w:tcW w:w="3570" w:type="pct"/>
            <w:vAlign w:val="center"/>
          </w:tcPr>
          <w:p w14:paraId="72E632C1">
            <w:pPr>
              <w:widowControl/>
              <w:spacing w:line="360" w:lineRule="auto"/>
              <w:rPr>
                <w:rFonts w:hint="eastAsia" w:ascii="宋体" w:hAnsi="宋体" w:cs="宋体"/>
                <w:color w:val="EE0000"/>
                <w:sz w:val="24"/>
              </w:rPr>
            </w:pPr>
            <w:r>
              <w:rPr>
                <w:rFonts w:hint="eastAsia" w:ascii="宋体" w:hAnsi="宋体" w:cs="宋体"/>
                <w:color w:val="EE0000"/>
                <w:sz w:val="24"/>
              </w:rPr>
              <w:t>1、项目经理具备系统集成项目管理工程师（高级）、智慧农业管理师(高级)证书每有一个证书得1分，相同类型的不重复计分，本项最高得2分。</w:t>
            </w:r>
            <w:r>
              <w:rPr>
                <w:rFonts w:ascii="宋体" w:hAnsi="宋体" w:cs="宋体"/>
                <w:color w:val="EE0000"/>
                <w:sz w:val="24"/>
              </w:rPr>
              <w:t>（提供有效证书复印件，以及投标单位2026年1月1日以来为其缴纳的任意1个月社保证明材料，不提供或材料不全不得分）</w:t>
            </w:r>
          </w:p>
        </w:tc>
      </w:tr>
      <w:tr w14:paraId="3DC50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4" w:hRule="atLeast"/>
        </w:trPr>
        <w:tc>
          <w:tcPr>
            <w:tcW w:w="450" w:type="pct"/>
            <w:vMerge w:val="continue"/>
            <w:vAlign w:val="center"/>
          </w:tcPr>
          <w:p w14:paraId="28A442F4">
            <w:pPr>
              <w:widowControl/>
              <w:spacing w:line="360" w:lineRule="auto"/>
              <w:jc w:val="center"/>
              <w:rPr>
                <w:rFonts w:hint="eastAsia" w:ascii="宋体" w:hAnsi="宋体" w:cs="宋体"/>
                <w:color w:val="000000" w:themeColor="text1"/>
                <w:sz w:val="24"/>
                <w14:textFill>
                  <w14:solidFill>
                    <w14:schemeClr w14:val="tx1"/>
                  </w14:solidFill>
                </w14:textFill>
              </w:rPr>
            </w:pPr>
          </w:p>
        </w:tc>
        <w:tc>
          <w:tcPr>
            <w:tcW w:w="612" w:type="pct"/>
            <w:vMerge w:val="continue"/>
            <w:vAlign w:val="center"/>
          </w:tcPr>
          <w:p w14:paraId="40A948AE">
            <w:pPr>
              <w:widowControl/>
              <w:spacing w:line="360" w:lineRule="auto"/>
              <w:rPr>
                <w:rFonts w:hint="eastAsia" w:ascii="宋体" w:hAnsi="宋体" w:cs="宋体"/>
                <w:color w:val="000000" w:themeColor="text1"/>
                <w:sz w:val="24"/>
                <w14:textFill>
                  <w14:solidFill>
                    <w14:schemeClr w14:val="tx1"/>
                  </w14:solidFill>
                </w14:textFill>
              </w:rPr>
            </w:pPr>
          </w:p>
        </w:tc>
        <w:tc>
          <w:tcPr>
            <w:tcW w:w="366" w:type="pct"/>
            <w:vMerge w:val="continue"/>
            <w:vAlign w:val="center"/>
          </w:tcPr>
          <w:p w14:paraId="39562456">
            <w:pPr>
              <w:widowControl/>
              <w:spacing w:line="360" w:lineRule="auto"/>
              <w:jc w:val="center"/>
              <w:rPr>
                <w:rFonts w:hint="eastAsia" w:ascii="宋体" w:hAnsi="宋体"/>
                <w:color w:val="000000" w:themeColor="text1"/>
                <w:sz w:val="24"/>
                <w14:textFill>
                  <w14:solidFill>
                    <w14:schemeClr w14:val="tx1"/>
                  </w14:solidFill>
                </w14:textFill>
              </w:rPr>
            </w:pPr>
          </w:p>
        </w:tc>
        <w:tc>
          <w:tcPr>
            <w:tcW w:w="3570" w:type="pct"/>
            <w:vAlign w:val="center"/>
          </w:tcPr>
          <w:p w14:paraId="38BCCB03">
            <w:pPr>
              <w:spacing w:line="360" w:lineRule="auto"/>
              <w:rPr>
                <w:rFonts w:hint="eastAsia" w:ascii="宋体" w:hAnsi="宋体" w:cs="宋体"/>
                <w:color w:val="EE0000"/>
                <w:sz w:val="24"/>
                <w:lang w:bidi="ar"/>
              </w:rPr>
            </w:pPr>
            <w:r>
              <w:rPr>
                <w:rFonts w:hint="eastAsia" w:ascii="宋体" w:hAnsi="宋体" w:cs="宋体"/>
                <w:color w:val="EE0000"/>
                <w:sz w:val="24"/>
              </w:rPr>
              <w:t>2、本项目团队成员具备信息系统项目高级工程师、CAAC证书（多旋翼超视距）证书、CISAW（信息安全保障人员认证证书），一个证书得1分，单人多证或单证多人仅计分一次，相同类型的不重复计分，本项最高得3分。</w:t>
            </w:r>
            <w:r>
              <w:rPr>
                <w:rFonts w:ascii="宋体" w:hAnsi="宋体" w:cs="宋体"/>
                <w:color w:val="EE0000"/>
                <w:sz w:val="24"/>
              </w:rPr>
              <w:t>（提供有效证书复印件，以及投标单位2026年1月1日以来为其缴纳的任意1个月社保证明材料，不提供或材料不全不得分）</w:t>
            </w:r>
          </w:p>
        </w:tc>
      </w:tr>
      <w:tr w14:paraId="0A7CB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1" w:hRule="atLeast"/>
        </w:trPr>
        <w:tc>
          <w:tcPr>
            <w:tcW w:w="450" w:type="pct"/>
            <w:vAlign w:val="center"/>
          </w:tcPr>
          <w:p w14:paraId="4BD4B638">
            <w:pPr>
              <w:widowControl/>
              <w:spacing w:line="360" w:lineRule="auto"/>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p>
        </w:tc>
        <w:tc>
          <w:tcPr>
            <w:tcW w:w="612" w:type="pct"/>
            <w:vAlign w:val="center"/>
          </w:tcPr>
          <w:p w14:paraId="3A5F5896">
            <w:pPr>
              <w:widowControl/>
              <w:spacing w:line="360" w:lineRule="auto"/>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业绩</w:t>
            </w:r>
          </w:p>
        </w:tc>
        <w:tc>
          <w:tcPr>
            <w:tcW w:w="366" w:type="pct"/>
            <w:vAlign w:val="center"/>
          </w:tcPr>
          <w:p w14:paraId="76D64EF3">
            <w:pPr>
              <w:widowControl/>
              <w:spacing w:line="360" w:lineRule="auto"/>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w:t>
            </w:r>
          </w:p>
        </w:tc>
        <w:tc>
          <w:tcPr>
            <w:tcW w:w="3570" w:type="pct"/>
            <w:vAlign w:val="center"/>
          </w:tcPr>
          <w:p w14:paraId="169FC607">
            <w:pPr>
              <w:widowControl/>
              <w:spacing w:line="360" w:lineRule="auto"/>
              <w:rPr>
                <w:rFonts w:hint="eastAsia" w:ascii="宋体" w:hAnsi="宋体" w:cs="宋体"/>
                <w:color w:val="EE0000"/>
                <w:sz w:val="24"/>
              </w:rPr>
            </w:pPr>
            <w:r>
              <w:rPr>
                <w:rFonts w:hint="eastAsia" w:ascii="宋体" w:hAnsi="宋体" w:cs="宋体"/>
                <w:color w:val="EE0000"/>
                <w:sz w:val="24"/>
              </w:rPr>
              <w:t>投标人拥有2023年7月1日以来（以中标通知书发放时间为准）承担过类似业绩，每提供一项得1分，本项最多得3分。</w:t>
            </w:r>
          </w:p>
        </w:tc>
      </w:tr>
      <w:tr w14:paraId="71AE4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450" w:type="pct"/>
            <w:vAlign w:val="center"/>
          </w:tcPr>
          <w:p w14:paraId="6D7FF83A">
            <w:pPr>
              <w:widowControl/>
              <w:spacing w:line="360" w:lineRule="auto"/>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w:t>
            </w:r>
          </w:p>
        </w:tc>
        <w:tc>
          <w:tcPr>
            <w:tcW w:w="612" w:type="pct"/>
            <w:vAlign w:val="center"/>
          </w:tcPr>
          <w:p w14:paraId="6162AEE5">
            <w:pPr>
              <w:widowControl/>
              <w:spacing w:line="360" w:lineRule="auto"/>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质保与服务承诺</w:t>
            </w:r>
          </w:p>
        </w:tc>
        <w:tc>
          <w:tcPr>
            <w:tcW w:w="366" w:type="pct"/>
            <w:vAlign w:val="center"/>
          </w:tcPr>
          <w:p w14:paraId="21DC81B4">
            <w:pPr>
              <w:spacing w:line="36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8</w:t>
            </w:r>
          </w:p>
        </w:tc>
        <w:tc>
          <w:tcPr>
            <w:tcW w:w="3570" w:type="pct"/>
            <w:vAlign w:val="center"/>
          </w:tcPr>
          <w:p w14:paraId="23688932">
            <w:pPr>
              <w:spacing w:line="360" w:lineRule="auto"/>
              <w:rPr>
                <w:rFonts w:hint="eastAsia" w:ascii="宋体" w:hAnsi="宋体"/>
                <w:color w:val="EE0000"/>
                <w:sz w:val="24"/>
              </w:rPr>
            </w:pPr>
            <w:r>
              <w:rPr>
                <w:rFonts w:hint="eastAsia" w:ascii="宋体" w:hAnsi="宋体" w:cs="宋体"/>
                <w:color w:val="EE0000"/>
                <w:sz w:val="24"/>
              </w:rPr>
              <w:t>1、投标人能</w:t>
            </w:r>
            <w:r>
              <w:rPr>
                <w:rFonts w:hint="eastAsia" w:ascii="宋体" w:hAnsi="宋体"/>
                <w:color w:val="EE0000"/>
                <w:sz w:val="24"/>
              </w:rPr>
              <w:t>提供整体或各产品与服务基准质保期（期限需符合货物或服务的国家、行业或地方标准），作出</w:t>
            </w:r>
            <w:r>
              <w:rPr>
                <w:rStyle w:val="43"/>
                <w:rFonts w:ascii="Arial" w:hAnsi="Arial" w:eastAsia="Arial" w:cs="Arial"/>
                <w:color w:val="EE0000"/>
                <w:sz w:val="24"/>
              </w:rPr>
              <w:t>明确、完整</w:t>
            </w:r>
            <w:r>
              <w:rPr>
                <w:rFonts w:hint="eastAsia" w:ascii="宋体" w:hAnsi="宋体"/>
                <w:color w:val="EE0000"/>
                <w:sz w:val="24"/>
              </w:rPr>
              <w:t>承诺，得2分。</w:t>
            </w:r>
          </w:p>
          <w:p w14:paraId="7C63FC7B">
            <w:pPr>
              <w:spacing w:line="360" w:lineRule="auto"/>
              <w:rPr>
                <w:rFonts w:hint="eastAsia" w:ascii="宋体" w:hAnsi="宋体" w:cs="宋体"/>
                <w:color w:val="EE0000"/>
                <w:sz w:val="24"/>
              </w:rPr>
            </w:pPr>
            <w:r>
              <w:rPr>
                <w:rFonts w:hint="eastAsia" w:ascii="宋体" w:hAnsi="宋体" w:cs="宋体"/>
                <w:color w:val="EE0000"/>
                <w:sz w:val="24"/>
              </w:rPr>
              <w:t>2、在基准质保期基础上自愿不降低质量与服务标准下，延长质保与服务期（</w:t>
            </w:r>
            <w:r>
              <w:rPr>
                <w:rFonts w:ascii="宋体" w:hAnsi="宋体" w:cs="宋体"/>
                <w:color w:val="EE0000"/>
                <w:sz w:val="24"/>
              </w:rPr>
              <w:t>含平台空间占用、域名IP占用、设备</w:t>
            </w:r>
            <w:r>
              <w:rPr>
                <w:rFonts w:hint="eastAsia" w:ascii="宋体" w:hAnsi="宋体" w:cs="宋体"/>
                <w:color w:val="EE0000"/>
                <w:sz w:val="24"/>
              </w:rPr>
              <w:t>与</w:t>
            </w:r>
            <w:r>
              <w:rPr>
                <w:rFonts w:ascii="宋体" w:hAnsi="宋体" w:cs="宋体"/>
                <w:color w:val="EE0000"/>
                <w:sz w:val="24"/>
              </w:rPr>
              <w:t>建设点位服务期内</w:t>
            </w:r>
            <w:r>
              <w:rPr>
                <w:rFonts w:hint="eastAsia" w:ascii="宋体" w:hAnsi="宋体" w:cs="宋体"/>
                <w:color w:val="EE0000"/>
                <w:sz w:val="24"/>
              </w:rPr>
              <w:t>保证正常工作需要的数据网络与宽带套餐费</w:t>
            </w:r>
            <w:r>
              <w:rPr>
                <w:rFonts w:ascii="宋体" w:hAnsi="宋体" w:cs="宋体"/>
                <w:color w:val="EE0000"/>
                <w:sz w:val="24"/>
              </w:rPr>
              <w:t>、配件耗材费用、软件升级、运维服务等</w:t>
            </w:r>
            <w:r>
              <w:rPr>
                <w:rFonts w:hint="eastAsia" w:ascii="宋体" w:hAnsi="宋体" w:cs="宋体"/>
                <w:color w:val="EE0000"/>
                <w:sz w:val="24"/>
              </w:rPr>
              <w:t>费用）。投标人根据自身实力及成本核算，综合投标报价，决定是否承诺延保服务。按</w:t>
            </w:r>
            <w:r>
              <w:rPr>
                <w:rFonts w:ascii="宋体" w:hAnsi="宋体" w:cs="宋体"/>
                <w:color w:val="EE0000"/>
                <w:sz w:val="24"/>
              </w:rPr>
              <w:t>延保与服务增加</w:t>
            </w:r>
            <w:r>
              <w:rPr>
                <w:rFonts w:hint="eastAsia" w:ascii="宋体" w:hAnsi="宋体" w:cs="宋体"/>
                <w:color w:val="EE0000"/>
                <w:sz w:val="24"/>
              </w:rPr>
              <w:t>年限进行阶梯加分。</w:t>
            </w:r>
          </w:p>
          <w:p w14:paraId="22D9F92A">
            <w:pPr>
              <w:spacing w:line="360" w:lineRule="auto"/>
              <w:rPr>
                <w:rFonts w:hint="eastAsia" w:ascii="宋体" w:hAnsi="宋体" w:cs="宋体"/>
                <w:color w:val="EE0000"/>
                <w:sz w:val="24"/>
              </w:rPr>
            </w:pPr>
            <w:r>
              <w:rPr>
                <w:rFonts w:hint="eastAsia" w:ascii="宋体" w:hAnsi="宋体" w:cs="宋体"/>
                <w:color w:val="EE0000"/>
                <w:sz w:val="24"/>
              </w:rPr>
              <w:t>（1）延保与服务承诺增加1年：加2分；</w:t>
            </w:r>
          </w:p>
          <w:p w14:paraId="1F388B1D">
            <w:pPr>
              <w:spacing w:line="360" w:lineRule="auto"/>
              <w:rPr>
                <w:rFonts w:hint="eastAsia" w:ascii="宋体" w:hAnsi="宋体" w:cs="宋体"/>
                <w:color w:val="EE0000"/>
                <w:sz w:val="24"/>
              </w:rPr>
            </w:pPr>
            <w:r>
              <w:rPr>
                <w:rFonts w:hint="eastAsia" w:ascii="宋体" w:hAnsi="宋体" w:cs="宋体"/>
                <w:color w:val="EE0000"/>
                <w:sz w:val="24"/>
              </w:rPr>
              <w:t>（2）延保与服务承诺增加2年：加4分；</w:t>
            </w:r>
          </w:p>
          <w:p w14:paraId="573D9C9E">
            <w:pPr>
              <w:spacing w:line="360" w:lineRule="auto"/>
              <w:rPr>
                <w:rFonts w:hint="eastAsia" w:ascii="宋体" w:hAnsi="宋体" w:cs="宋体"/>
                <w:color w:val="EE0000"/>
                <w:sz w:val="24"/>
              </w:rPr>
            </w:pPr>
            <w:r>
              <w:rPr>
                <w:rFonts w:hint="eastAsia" w:ascii="宋体" w:hAnsi="宋体" w:cs="宋体"/>
                <w:color w:val="EE0000"/>
                <w:sz w:val="24"/>
              </w:rPr>
              <w:t>（3）延保与服务承诺增加3年：加6分。</w:t>
            </w:r>
          </w:p>
        </w:tc>
      </w:tr>
      <w:tr w14:paraId="08554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063" w:type="pct"/>
            <w:gridSpan w:val="2"/>
          </w:tcPr>
          <w:p w14:paraId="45A81D89">
            <w:pPr>
              <w:widowControl/>
              <w:spacing w:line="360" w:lineRule="auto"/>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合计</w:t>
            </w:r>
          </w:p>
        </w:tc>
        <w:tc>
          <w:tcPr>
            <w:tcW w:w="366" w:type="pct"/>
          </w:tcPr>
          <w:p w14:paraId="5D81EA4F">
            <w:pPr>
              <w:widowControl/>
              <w:spacing w:line="360" w:lineRule="auto"/>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fldChar w:fldCharType="begin"/>
            </w:r>
            <w:r>
              <w:rPr>
                <w:rFonts w:hint="eastAsia" w:ascii="宋体" w:hAnsi="宋体"/>
                <w:color w:val="000000" w:themeColor="text1"/>
                <w:sz w:val="24"/>
                <w14:textFill>
                  <w14:solidFill>
                    <w14:schemeClr w14:val="tx1"/>
                  </w14:solidFill>
                </w14:textFill>
              </w:rPr>
              <w:instrText xml:space="preserve"> =SUM(ABOVE) </w:instrText>
            </w:r>
            <w:r>
              <w:rPr>
                <w:rFonts w:hint="eastAsia" w:ascii="宋体" w:hAnsi="宋体"/>
                <w:color w:val="000000" w:themeColor="text1"/>
                <w:sz w:val="24"/>
                <w14:textFill>
                  <w14:solidFill>
                    <w14:schemeClr w14:val="tx1"/>
                  </w14:solidFill>
                </w14:textFill>
              </w:rPr>
              <w:fldChar w:fldCharType="separate"/>
            </w:r>
            <w:r>
              <w:rPr>
                <w:rFonts w:hint="eastAsia" w:ascii="宋体" w:hAnsi="宋体"/>
                <w:color w:val="000000" w:themeColor="text1"/>
                <w:sz w:val="24"/>
                <w14:textFill>
                  <w14:solidFill>
                    <w14:schemeClr w14:val="tx1"/>
                  </w14:solidFill>
                </w14:textFill>
              </w:rPr>
              <w:t>100</w:t>
            </w:r>
            <w:r>
              <w:rPr>
                <w:rFonts w:hint="eastAsia" w:ascii="宋体" w:hAnsi="宋体"/>
                <w:color w:val="000000" w:themeColor="text1"/>
                <w:sz w:val="24"/>
                <w14:textFill>
                  <w14:solidFill>
                    <w14:schemeClr w14:val="tx1"/>
                  </w14:solidFill>
                </w14:textFill>
              </w:rPr>
              <w:fldChar w:fldCharType="end"/>
            </w:r>
          </w:p>
        </w:tc>
        <w:tc>
          <w:tcPr>
            <w:tcW w:w="3570" w:type="pct"/>
          </w:tcPr>
          <w:p w14:paraId="5C06B4DC">
            <w:pPr>
              <w:widowControl/>
              <w:spacing w:line="360" w:lineRule="auto"/>
              <w:rPr>
                <w:rFonts w:hint="eastAsia" w:ascii="宋体" w:hAnsi="宋体"/>
                <w:color w:val="000000" w:themeColor="text1"/>
                <w:sz w:val="24"/>
                <w14:textFill>
                  <w14:solidFill>
                    <w14:schemeClr w14:val="tx1"/>
                  </w14:solidFill>
                </w14:textFill>
              </w:rPr>
            </w:pPr>
          </w:p>
        </w:tc>
      </w:tr>
    </w:tbl>
    <w:p w14:paraId="4A636FD6">
      <w:pPr>
        <w:spacing w:line="300" w:lineRule="auto"/>
        <w:rPr>
          <w:rFonts w:ascii="宋体" w:cs="宋体"/>
          <w:sz w:val="24"/>
        </w:rPr>
      </w:pPr>
    </w:p>
    <w:p w14:paraId="63C63E94">
      <w:pPr>
        <w:spacing w:line="440" w:lineRule="exact"/>
        <w:ind w:firstLine="480"/>
        <w:rPr>
          <w:rFonts w:hint="eastAsia" w:ascii="宋体" w:hAnsi="宋体" w:cs="宋体"/>
          <w:sz w:val="24"/>
          <w:highlight w:val="yellow"/>
          <w:lang w:val="zh-CN"/>
        </w:rPr>
      </w:pPr>
      <w:r>
        <w:rPr>
          <w:rFonts w:hint="eastAsia" w:ascii="宋体" w:hAnsi="宋体" w:cs="宋体"/>
          <w:sz w:val="24"/>
          <w:highlight w:val="yellow"/>
        </w:rPr>
        <w:t>注：1.</w:t>
      </w:r>
      <w:r>
        <w:rPr>
          <w:rFonts w:hint="eastAsia" w:ascii="宋体" w:hAnsi="宋体" w:cs="宋体"/>
          <w:sz w:val="24"/>
          <w:highlight w:val="yellow"/>
          <w:lang w:val="zh-CN"/>
        </w:rPr>
        <w:t>评分标准中要求提供的支持材料、证书证明等材料需</w:t>
      </w:r>
      <w:r>
        <w:rPr>
          <w:rFonts w:hint="eastAsia" w:ascii="宋体" w:hAnsi="宋体" w:cs="宋体"/>
          <w:sz w:val="24"/>
          <w:highlight w:val="yellow"/>
        </w:rPr>
        <w:t>加盖公章装订至</w:t>
      </w:r>
      <w:r>
        <w:rPr>
          <w:rFonts w:hint="eastAsia" w:ascii="宋体" w:hAnsi="宋体" w:cs="宋体"/>
          <w:sz w:val="24"/>
          <w:highlight w:val="yellow"/>
          <w:lang w:val="zh-CN"/>
        </w:rPr>
        <w:t>投标文件，否则不予得分。</w:t>
      </w:r>
    </w:p>
    <w:p w14:paraId="475BABCD">
      <w:pPr>
        <w:numPr>
          <w:ilvl w:val="0"/>
          <w:numId w:val="3"/>
        </w:numPr>
        <w:spacing w:line="440" w:lineRule="exact"/>
        <w:ind w:firstLine="480"/>
        <w:rPr>
          <w:rFonts w:hint="eastAsia" w:ascii="宋体" w:hAnsi="宋体" w:cs="宋体"/>
          <w:sz w:val="24"/>
          <w:highlight w:val="yellow"/>
          <w:lang w:val="zh-CN"/>
        </w:rPr>
      </w:pPr>
      <w:r>
        <w:rPr>
          <w:rFonts w:hint="eastAsia" w:ascii="宋体" w:hAnsi="宋体" w:cs="宋体"/>
          <w:sz w:val="24"/>
          <w:highlight w:val="yellow"/>
        </w:rPr>
        <w:t>投标人</w:t>
      </w:r>
      <w:r>
        <w:rPr>
          <w:rFonts w:hint="eastAsia" w:ascii="宋体" w:hAnsi="宋体" w:cs="宋体"/>
          <w:sz w:val="24"/>
          <w:highlight w:val="yellow"/>
          <w:lang w:val="zh-CN"/>
        </w:rPr>
        <w:t>所提供的证明材料应真实、有效，采购人保留对</w:t>
      </w:r>
      <w:bookmarkStart w:id="72" w:name="_GoBack"/>
      <w:bookmarkEnd w:id="72"/>
      <w:r>
        <w:rPr>
          <w:rFonts w:hint="eastAsia" w:ascii="宋体" w:hAnsi="宋体" w:cs="宋体"/>
          <w:sz w:val="24"/>
          <w:highlight w:val="yellow"/>
        </w:rPr>
        <w:t>投标人</w:t>
      </w:r>
      <w:r>
        <w:rPr>
          <w:rFonts w:hint="eastAsia" w:ascii="宋体" w:hAnsi="宋体" w:cs="宋体"/>
          <w:sz w:val="24"/>
          <w:highlight w:val="yellow"/>
          <w:lang w:val="zh-CN"/>
        </w:rPr>
        <w:t>提供的证明材料进行核查的权利。如发现供应商提供虚假资格证明材料，采购人将按相关规定对其进行严肃处理。</w:t>
      </w:r>
    </w:p>
    <w:p w14:paraId="22DAB0DD">
      <w:pPr>
        <w:spacing w:line="440" w:lineRule="exact"/>
        <w:rPr>
          <w:rFonts w:hint="eastAsia" w:ascii="宋体" w:hAnsi="宋体" w:cs="宋体"/>
          <w:sz w:val="24"/>
          <w:lang w:val="zh-CN"/>
        </w:rPr>
        <w:sectPr>
          <w:footerReference r:id="rId10" w:type="default"/>
          <w:pgSz w:w="11906" w:h="16838"/>
          <w:pgMar w:top="1440" w:right="1463" w:bottom="1440" w:left="1463" w:header="851" w:footer="992" w:gutter="0"/>
          <w:pgNumType w:start="1"/>
          <w:cols w:space="720" w:num="1"/>
        </w:sectPr>
      </w:pPr>
    </w:p>
    <w:p w14:paraId="3ABFDC83">
      <w:pPr>
        <w:tabs>
          <w:tab w:val="left" w:pos="180"/>
        </w:tabs>
        <w:spacing w:line="440" w:lineRule="exact"/>
        <w:ind w:left="562"/>
        <w:jc w:val="center"/>
        <w:rPr>
          <w:rFonts w:hint="eastAsia"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t>第四章  合同条款及格式</w:t>
      </w:r>
    </w:p>
    <w:p w14:paraId="6D7B5957">
      <w:pPr>
        <w:spacing w:line="440" w:lineRule="exact"/>
        <w:ind w:firstLine="480"/>
        <w:rPr>
          <w:rFonts w:hint="eastAsia" w:ascii="宋体" w:hAnsi="宋体" w:cs="宋体"/>
          <w:sz w:val="24"/>
          <w:lang w:val="zh-CN"/>
        </w:rPr>
      </w:pPr>
      <w:r>
        <w:rPr>
          <w:rFonts w:hint="eastAsia" w:ascii="宋体" w:hAnsi="宋体" w:cs="宋体"/>
          <w:sz w:val="24"/>
          <w:lang w:val="zh-CN"/>
        </w:rPr>
        <w:t>注:以下为采购人提出成交后签订本项目合同的主要条款，成交供应商必须实质性响应，成交供应商不得提出实质性的修改，关于专用条款将由采购人与成交供应商结合本项目具体情况协商后签订。</w:t>
      </w:r>
    </w:p>
    <w:p w14:paraId="301F50F3">
      <w:pPr>
        <w:spacing w:line="440" w:lineRule="exact"/>
        <w:ind w:firstLine="480"/>
        <w:rPr>
          <w:rFonts w:hint="eastAsia" w:ascii="宋体" w:hAnsi="宋体" w:cs="宋体"/>
          <w:sz w:val="24"/>
          <w:lang w:val="zh-CN"/>
        </w:rPr>
      </w:pPr>
    </w:p>
    <w:p w14:paraId="3C7134F2">
      <w:pPr>
        <w:spacing w:line="440" w:lineRule="exact"/>
        <w:ind w:firstLine="480"/>
        <w:jc w:val="center"/>
        <w:rPr>
          <w:rFonts w:hint="eastAsia" w:ascii="宋体" w:hAnsi="宋体" w:cs="宋体"/>
          <w:sz w:val="24"/>
          <w:lang w:val="zh-CN"/>
        </w:rPr>
      </w:pPr>
      <w:r>
        <w:rPr>
          <w:rFonts w:hint="eastAsia" w:ascii="宋体" w:hAnsi="宋体" w:cs="宋体"/>
          <w:sz w:val="24"/>
          <w:lang w:val="zh-CN"/>
        </w:rPr>
        <w:t>合同条款前附表</w:t>
      </w:r>
    </w:p>
    <w:p w14:paraId="5E090A5E">
      <w:pPr>
        <w:spacing w:line="440" w:lineRule="exact"/>
        <w:ind w:firstLine="480"/>
        <w:rPr>
          <w:rFonts w:hint="eastAsia" w:ascii="宋体" w:hAnsi="宋体" w:cs="宋体"/>
          <w:sz w:val="24"/>
          <w:lang w:val="zh-CN"/>
        </w:rPr>
      </w:pPr>
    </w:p>
    <w:tbl>
      <w:tblPr>
        <w:tblStyle w:val="40"/>
        <w:tblW w:w="8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8"/>
        <w:gridCol w:w="6956"/>
      </w:tblGrid>
      <w:tr w14:paraId="2F141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628" w:type="dxa"/>
            <w:vAlign w:val="center"/>
          </w:tcPr>
          <w:p w14:paraId="1BDFABEA">
            <w:pPr>
              <w:spacing w:line="440" w:lineRule="exact"/>
              <w:rPr>
                <w:rFonts w:hint="eastAsia" w:ascii="宋体" w:hAnsi="宋体" w:cs="宋体"/>
                <w:sz w:val="24"/>
              </w:rPr>
            </w:pPr>
            <w:r>
              <w:rPr>
                <w:rFonts w:hint="eastAsia" w:ascii="宋体" w:hAnsi="宋体" w:cs="宋体"/>
                <w:sz w:val="24"/>
              </w:rPr>
              <w:t>付款方式</w:t>
            </w:r>
          </w:p>
        </w:tc>
        <w:tc>
          <w:tcPr>
            <w:tcW w:w="6956" w:type="dxa"/>
          </w:tcPr>
          <w:p w14:paraId="6ED2FBD5">
            <w:pPr>
              <w:spacing w:line="440" w:lineRule="exact"/>
              <w:rPr>
                <w:rFonts w:hint="eastAsia" w:ascii="宋体" w:hAnsi="宋体" w:cs="宋体"/>
                <w:sz w:val="24"/>
              </w:rPr>
            </w:pPr>
            <w:r>
              <w:rPr>
                <w:rFonts w:hint="eastAsia" w:ascii="宋体" w:hAnsi="宋体" w:cs="宋体"/>
                <w:color w:val="FF0000"/>
                <w:sz w:val="24"/>
              </w:rPr>
              <w:t>合同签订生效后付成交价40%预付款，余款待供货与建设完成并经验收合格后，采购人自收到发票后30日内将余款支付到合同约定的供应商账户。（付款时需提供满足采购人要求的发票）。</w:t>
            </w:r>
          </w:p>
        </w:tc>
      </w:tr>
      <w:tr w14:paraId="19FEB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628" w:type="dxa"/>
            <w:vAlign w:val="center"/>
          </w:tcPr>
          <w:p w14:paraId="304423C6">
            <w:pPr>
              <w:spacing w:line="440" w:lineRule="exact"/>
              <w:rPr>
                <w:rFonts w:hint="eastAsia" w:ascii="宋体" w:hAnsi="宋体" w:cs="宋体"/>
                <w:sz w:val="24"/>
              </w:rPr>
            </w:pPr>
            <w:r>
              <w:rPr>
                <w:rFonts w:hint="eastAsia" w:ascii="宋体" w:hAnsi="宋体" w:cs="宋体"/>
                <w:sz w:val="24"/>
              </w:rPr>
              <w:t>履约时间</w:t>
            </w:r>
          </w:p>
        </w:tc>
        <w:tc>
          <w:tcPr>
            <w:tcW w:w="6956" w:type="dxa"/>
          </w:tcPr>
          <w:p w14:paraId="411D3ECB">
            <w:pPr>
              <w:spacing w:line="440" w:lineRule="exact"/>
              <w:rPr>
                <w:rFonts w:hint="eastAsia" w:ascii="宋体" w:hAnsi="宋体" w:cs="宋体"/>
                <w:sz w:val="24"/>
              </w:rPr>
            </w:pPr>
            <w:r>
              <w:rPr>
                <w:rFonts w:ascii="宋体" w:hAnsi="宋体" w:cs="宋体"/>
                <w:color w:val="FF0000"/>
                <w:sz w:val="24"/>
              </w:rPr>
              <w:t>签约后三个月内完成。</w:t>
            </w:r>
          </w:p>
        </w:tc>
      </w:tr>
      <w:tr w14:paraId="32BCE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628" w:type="dxa"/>
            <w:vAlign w:val="center"/>
          </w:tcPr>
          <w:p w14:paraId="5D0EDF99">
            <w:pPr>
              <w:spacing w:line="440" w:lineRule="exact"/>
              <w:rPr>
                <w:rFonts w:hint="eastAsia" w:ascii="宋体" w:hAnsi="宋体" w:cs="宋体"/>
                <w:sz w:val="24"/>
              </w:rPr>
            </w:pPr>
            <w:r>
              <w:rPr>
                <w:rFonts w:hint="eastAsia" w:ascii="宋体" w:hAnsi="宋体" w:cs="宋体"/>
                <w:sz w:val="24"/>
              </w:rPr>
              <w:t>履约地点</w:t>
            </w:r>
          </w:p>
        </w:tc>
        <w:tc>
          <w:tcPr>
            <w:tcW w:w="6956" w:type="dxa"/>
          </w:tcPr>
          <w:p w14:paraId="1EA4C8ED">
            <w:pPr>
              <w:spacing w:line="440" w:lineRule="exact"/>
              <w:rPr>
                <w:rFonts w:hint="eastAsia" w:ascii="宋体" w:hAnsi="宋体" w:cs="宋体"/>
                <w:sz w:val="24"/>
              </w:rPr>
            </w:pPr>
            <w:r>
              <w:rPr>
                <w:rFonts w:hint="eastAsia" w:ascii="宋体" w:hAnsi="宋体" w:cs="宋体"/>
                <w:sz w:val="24"/>
              </w:rPr>
              <w:t xml:space="preserve"> 由采购人指定地点。</w:t>
            </w:r>
          </w:p>
        </w:tc>
      </w:tr>
    </w:tbl>
    <w:p w14:paraId="13BCF1DC">
      <w:pPr>
        <w:pStyle w:val="21"/>
        <w:spacing w:line="360" w:lineRule="exact"/>
        <w:jc w:val="center"/>
        <w:rPr>
          <w:rFonts w:hint="eastAsia" w:asciiTheme="majorEastAsia" w:hAnsiTheme="majorEastAsia" w:eastAsiaTheme="majorEastAsia" w:cstheme="majorEastAsia"/>
          <w:b/>
          <w:sz w:val="28"/>
          <w:szCs w:val="28"/>
        </w:rPr>
      </w:pPr>
    </w:p>
    <w:p w14:paraId="52974BA7">
      <w:pPr>
        <w:pStyle w:val="21"/>
        <w:spacing w:line="360" w:lineRule="exact"/>
        <w:jc w:val="center"/>
        <w:rPr>
          <w:rFonts w:hint="eastAsia" w:asciiTheme="majorEastAsia" w:hAnsiTheme="majorEastAsia" w:eastAsiaTheme="majorEastAsia" w:cstheme="majorEastAsia"/>
          <w:b/>
          <w:sz w:val="28"/>
          <w:szCs w:val="28"/>
        </w:rPr>
      </w:pPr>
    </w:p>
    <w:p w14:paraId="113E317E">
      <w:pPr>
        <w:pStyle w:val="216"/>
        <w:spacing w:line="520" w:lineRule="exact"/>
        <w:ind w:firstLine="3066"/>
        <w:rPr>
          <w:rFonts w:hint="eastAsia" w:hAnsi="宋体" w:cs="宋体"/>
          <w:b/>
          <w:bCs/>
          <w:sz w:val="28"/>
          <w:szCs w:val="28"/>
        </w:rPr>
      </w:pPr>
      <w:r>
        <w:rPr>
          <w:rFonts w:hint="eastAsia" w:hAnsi="宋体" w:cs="宋体"/>
          <w:b/>
          <w:bCs/>
          <w:sz w:val="28"/>
          <w:szCs w:val="28"/>
        </w:rPr>
        <w:t>一、合同格式</w:t>
      </w:r>
    </w:p>
    <w:p w14:paraId="19FD70DD">
      <w:pPr>
        <w:spacing w:line="520" w:lineRule="exact"/>
        <w:jc w:val="left"/>
        <w:rPr>
          <w:rFonts w:hint="eastAsia" w:ascii="宋体" w:hAnsi="宋体" w:cs="宋体"/>
          <w:sz w:val="24"/>
          <w:u w:val="single"/>
        </w:rPr>
      </w:pPr>
      <w:r>
        <w:rPr>
          <w:rFonts w:hint="eastAsia" w:ascii="宋体" w:hAnsi="宋体" w:cs="宋体"/>
          <w:sz w:val="24"/>
        </w:rPr>
        <w:t>甲方:</w:t>
      </w:r>
      <w:r>
        <w:rPr>
          <w:rFonts w:hint="eastAsia" w:ascii="宋体" w:hAnsi="宋体" w:cs="宋体"/>
          <w:sz w:val="24"/>
          <w:u w:val="single"/>
        </w:rPr>
        <w:t xml:space="preserve">          </w:t>
      </w:r>
    </w:p>
    <w:p w14:paraId="2ADF89B4">
      <w:pPr>
        <w:spacing w:line="520" w:lineRule="exact"/>
        <w:jc w:val="left"/>
        <w:rPr>
          <w:rFonts w:hint="eastAsia" w:ascii="宋体" w:hAnsi="宋体" w:cs="宋体"/>
          <w:i/>
          <w:iCs/>
          <w:sz w:val="24"/>
          <w:u w:val="single"/>
        </w:rPr>
      </w:pPr>
      <w:r>
        <w:rPr>
          <w:rFonts w:hint="eastAsia" w:ascii="宋体" w:hAnsi="宋体" w:cs="宋体"/>
          <w:sz w:val="24"/>
        </w:rPr>
        <w:t>乙方:</w:t>
      </w:r>
      <w:r>
        <w:rPr>
          <w:rFonts w:hint="eastAsia" w:ascii="宋体" w:hAnsi="宋体" w:cs="宋体"/>
          <w:sz w:val="24"/>
          <w:u w:val="single"/>
        </w:rPr>
        <w:t xml:space="preserve">          </w:t>
      </w:r>
    </w:p>
    <w:p w14:paraId="5CB299CD">
      <w:pPr>
        <w:pStyle w:val="216"/>
        <w:spacing w:line="360" w:lineRule="auto"/>
        <w:ind w:firstLine="635"/>
        <w:rPr>
          <w:rFonts w:hint="eastAsia" w:hAnsi="宋体" w:cs="宋体"/>
          <w:sz w:val="24"/>
        </w:rPr>
      </w:pPr>
      <w:r>
        <w:rPr>
          <w:rFonts w:hint="eastAsia" w:hAnsi="宋体" w:cs="宋体"/>
          <w:sz w:val="24"/>
        </w:rPr>
        <w:t>甲、乙双方根据项目编号</w:t>
      </w:r>
      <w:r>
        <w:rPr>
          <w:rFonts w:hint="eastAsia" w:hAnsi="宋体" w:cs="宋体"/>
          <w:sz w:val="24"/>
          <w:u w:val="single"/>
        </w:rPr>
        <w:t xml:space="preserve">          </w:t>
      </w:r>
      <w:r>
        <w:rPr>
          <w:rFonts w:hint="eastAsia" w:hAnsi="宋体" w:cs="宋体"/>
          <w:sz w:val="24"/>
        </w:rPr>
        <w:t>的</w:t>
      </w:r>
      <w:r>
        <w:rPr>
          <w:rFonts w:hint="eastAsia" w:hAnsi="宋体" w:cs="宋体"/>
          <w:sz w:val="24"/>
          <w:u w:val="single"/>
        </w:rPr>
        <w:t xml:space="preserve">            </w:t>
      </w:r>
      <w:r>
        <w:rPr>
          <w:rFonts w:hint="eastAsia" w:hAnsi="宋体" w:cs="宋体"/>
          <w:sz w:val="24"/>
        </w:rPr>
        <w:t>采购项目公开招标采购结果及招标文件的要求,经协商一致,达成如下购销合同:</w:t>
      </w:r>
    </w:p>
    <w:p w14:paraId="4AC33E64">
      <w:pPr>
        <w:pStyle w:val="216"/>
        <w:spacing w:line="360" w:lineRule="auto"/>
        <w:ind w:left="-359" w:firstLine="963"/>
        <w:rPr>
          <w:rFonts w:hint="eastAsia" w:hAnsi="宋体" w:cs="宋体"/>
          <w:sz w:val="24"/>
        </w:rPr>
      </w:pPr>
      <w:r>
        <w:rPr>
          <w:rFonts w:hint="eastAsia" w:hAnsi="宋体" w:cs="宋体"/>
          <w:sz w:val="24"/>
        </w:rPr>
        <w:t>一、货物及数量</w:t>
      </w:r>
    </w:p>
    <w:p w14:paraId="3F3D51E7">
      <w:pPr>
        <w:pStyle w:val="216"/>
        <w:spacing w:line="360" w:lineRule="auto"/>
        <w:ind w:firstLine="560"/>
        <w:rPr>
          <w:rFonts w:hint="eastAsia" w:hAnsi="宋体" w:cs="宋体"/>
          <w:sz w:val="24"/>
        </w:rPr>
      </w:pPr>
      <w:r>
        <w:rPr>
          <w:rFonts w:hint="eastAsia" w:hAnsi="宋体" w:cs="宋体"/>
          <w:sz w:val="24"/>
        </w:rPr>
        <w:t>本合同所提供的货物及数量详见“项目采购需求”。</w:t>
      </w:r>
    </w:p>
    <w:p w14:paraId="2E7BE103">
      <w:pPr>
        <w:pStyle w:val="216"/>
        <w:spacing w:line="360" w:lineRule="auto"/>
        <w:ind w:left="-359" w:firstLine="963"/>
        <w:rPr>
          <w:rFonts w:hint="eastAsia" w:hAnsi="宋体" w:cs="宋体"/>
          <w:sz w:val="24"/>
        </w:rPr>
      </w:pPr>
      <w:r>
        <w:rPr>
          <w:rFonts w:hint="eastAsia" w:hAnsi="宋体" w:cs="宋体"/>
          <w:sz w:val="24"/>
        </w:rPr>
        <w:t>二、合同金额</w:t>
      </w:r>
    </w:p>
    <w:p w14:paraId="6173FE9D">
      <w:pPr>
        <w:pStyle w:val="216"/>
        <w:spacing w:line="360" w:lineRule="auto"/>
        <w:ind w:firstLine="495"/>
        <w:rPr>
          <w:rFonts w:hint="eastAsia" w:hAnsi="宋体" w:cs="宋体"/>
          <w:sz w:val="24"/>
        </w:rPr>
      </w:pPr>
      <w:r>
        <w:rPr>
          <w:rFonts w:hint="eastAsia" w:hAnsi="宋体" w:cs="宋体"/>
          <w:sz w:val="24"/>
        </w:rPr>
        <w:t>本合同的总金额(大写)为___________元人民币，分项价格详见乙方提交的投标报价明细表。</w:t>
      </w:r>
    </w:p>
    <w:p w14:paraId="39FBB4A9">
      <w:pPr>
        <w:pStyle w:val="216"/>
        <w:spacing w:line="360" w:lineRule="auto"/>
        <w:ind w:left="-359" w:firstLine="963"/>
        <w:rPr>
          <w:rFonts w:hint="eastAsia" w:hAnsi="宋体" w:cs="宋体"/>
          <w:bCs/>
          <w:sz w:val="24"/>
        </w:rPr>
      </w:pPr>
      <w:r>
        <w:rPr>
          <w:rFonts w:hint="eastAsia" w:hAnsi="宋体" w:cs="宋体"/>
          <w:bCs/>
          <w:sz w:val="24"/>
        </w:rPr>
        <w:t>三、</w:t>
      </w:r>
      <w:r>
        <w:rPr>
          <w:rFonts w:hint="eastAsia" w:hAnsi="宋体" w:cs="宋体"/>
          <w:sz w:val="24"/>
        </w:rPr>
        <w:t>供货时间和地点</w:t>
      </w:r>
    </w:p>
    <w:p w14:paraId="084E9941">
      <w:pPr>
        <w:pStyle w:val="216"/>
        <w:spacing w:line="360" w:lineRule="auto"/>
        <w:ind w:firstLine="560"/>
        <w:rPr>
          <w:rFonts w:hint="eastAsia" w:hAnsi="宋体" w:cs="宋体"/>
          <w:sz w:val="24"/>
        </w:rPr>
      </w:pPr>
      <w:r>
        <w:rPr>
          <w:rFonts w:hint="eastAsia" w:hAnsi="宋体" w:cs="宋体"/>
          <w:sz w:val="24"/>
        </w:rPr>
        <w:t>本合同供货时间和地点在招标文件中有明确规定。</w:t>
      </w:r>
    </w:p>
    <w:p w14:paraId="4A5A0EA1">
      <w:pPr>
        <w:pStyle w:val="216"/>
        <w:spacing w:line="360" w:lineRule="auto"/>
        <w:ind w:left="-357" w:firstLine="963"/>
        <w:rPr>
          <w:rFonts w:hint="eastAsia" w:hAnsi="宋体" w:cs="宋体"/>
          <w:sz w:val="24"/>
        </w:rPr>
      </w:pPr>
      <w:r>
        <w:rPr>
          <w:rFonts w:hint="eastAsia" w:hAnsi="宋体" w:cs="宋体"/>
          <w:sz w:val="24"/>
        </w:rPr>
        <w:t>四、付款</w:t>
      </w:r>
    </w:p>
    <w:p w14:paraId="7BF02348">
      <w:pPr>
        <w:pStyle w:val="216"/>
        <w:spacing w:line="360" w:lineRule="auto"/>
        <w:ind w:firstLine="560"/>
        <w:rPr>
          <w:rFonts w:hint="eastAsia" w:hAnsi="宋体" w:cs="宋体"/>
          <w:sz w:val="24"/>
        </w:rPr>
      </w:pPr>
      <w:r>
        <w:rPr>
          <w:rFonts w:hint="eastAsia" w:hAnsi="宋体" w:cs="宋体"/>
          <w:sz w:val="24"/>
        </w:rPr>
        <w:t>本合同的付款条件在招标文件中有明确规定。</w:t>
      </w:r>
    </w:p>
    <w:p w14:paraId="46867778">
      <w:pPr>
        <w:pStyle w:val="216"/>
        <w:spacing w:line="360" w:lineRule="auto"/>
        <w:ind w:firstLine="560"/>
        <w:rPr>
          <w:rFonts w:hint="eastAsia" w:hAnsi="宋体" w:cs="宋体"/>
          <w:sz w:val="24"/>
        </w:rPr>
      </w:pPr>
      <w:r>
        <w:rPr>
          <w:rFonts w:hint="eastAsia" w:hAnsi="宋体" w:cs="宋体"/>
          <w:sz w:val="24"/>
        </w:rPr>
        <w:t>五、验收</w:t>
      </w:r>
    </w:p>
    <w:p w14:paraId="2FA2093E">
      <w:pPr>
        <w:pStyle w:val="216"/>
        <w:spacing w:line="360" w:lineRule="auto"/>
        <w:ind w:firstLine="560"/>
        <w:rPr>
          <w:rFonts w:hint="eastAsia" w:hAnsi="宋体" w:cs="宋体"/>
          <w:sz w:val="24"/>
        </w:rPr>
      </w:pPr>
      <w:r>
        <w:rPr>
          <w:rFonts w:hint="eastAsia" w:hAnsi="宋体" w:cs="宋体"/>
          <w:sz w:val="24"/>
        </w:rPr>
        <w:t>甲方按招标文件相关要求进行。如需委托第三方验收，第三方是指:</w:t>
      </w:r>
      <w:r>
        <w:rPr>
          <w:rFonts w:hint="eastAsia" w:hAnsi="宋体" w:cs="宋体"/>
          <w:sz w:val="24"/>
          <w:u w:val="single"/>
        </w:rPr>
        <w:t xml:space="preserve"> 甲方指定或上级部门 </w:t>
      </w:r>
      <w:r>
        <w:rPr>
          <w:rFonts w:hint="eastAsia" w:hAnsi="宋体" w:cs="宋体"/>
          <w:sz w:val="24"/>
        </w:rPr>
        <w:t xml:space="preserve">，验收费用由乙方承担。因乙方交付的货物不符合标准导致甲方重复支出的验收费用，由乙方承担。 </w:t>
      </w:r>
    </w:p>
    <w:p w14:paraId="76495069">
      <w:pPr>
        <w:pStyle w:val="216"/>
        <w:spacing w:line="360" w:lineRule="auto"/>
        <w:ind w:firstLine="560"/>
        <w:rPr>
          <w:rFonts w:hint="eastAsia" w:hAnsi="宋体" w:cs="宋体"/>
          <w:sz w:val="24"/>
        </w:rPr>
      </w:pPr>
      <w:r>
        <w:rPr>
          <w:rFonts w:hint="eastAsia" w:hAnsi="宋体" w:cs="宋体"/>
          <w:sz w:val="24"/>
        </w:rPr>
        <w:t>六、履约保证金</w:t>
      </w:r>
    </w:p>
    <w:p w14:paraId="759EB185">
      <w:pPr>
        <w:pStyle w:val="216"/>
        <w:spacing w:line="360" w:lineRule="auto"/>
        <w:ind w:firstLine="560"/>
        <w:rPr>
          <w:rFonts w:hint="eastAsia" w:hAnsi="宋体" w:cs="宋体"/>
          <w:sz w:val="24"/>
        </w:rPr>
      </w:pPr>
      <w:r>
        <w:rPr>
          <w:rFonts w:hint="eastAsia" w:hAnsi="宋体" w:cs="宋体"/>
          <w:sz w:val="24"/>
        </w:rPr>
        <w:t>1.乙方交纳合同金</w:t>
      </w:r>
      <w:r>
        <w:rPr>
          <w:rFonts w:hint="eastAsia" w:hAnsi="宋体" w:cs="宋体"/>
          <w:color w:val="FF0000"/>
          <w:sz w:val="24"/>
        </w:rPr>
        <w:t>额的1%作为本合同的履约保证金。</w:t>
      </w:r>
    </w:p>
    <w:p w14:paraId="640D3260">
      <w:pPr>
        <w:pStyle w:val="216"/>
        <w:spacing w:line="360" w:lineRule="auto"/>
        <w:ind w:firstLine="560"/>
        <w:rPr>
          <w:rFonts w:hint="eastAsia" w:hAnsi="宋体" w:cs="宋体"/>
          <w:sz w:val="24"/>
        </w:rPr>
      </w:pPr>
      <w:r>
        <w:rPr>
          <w:rFonts w:hint="eastAsia" w:hAnsi="宋体" w:cs="宋体"/>
          <w:sz w:val="24"/>
        </w:rPr>
        <w:t>2.乙方提供的履约保证金可以是人民币形式（银行本票、汇票、支票、电汇），或银行保函、担保公司的保证担保或保险公司的保证保险等多种形式。</w:t>
      </w:r>
    </w:p>
    <w:p w14:paraId="69527ED7">
      <w:pPr>
        <w:pStyle w:val="216"/>
        <w:spacing w:line="360" w:lineRule="auto"/>
        <w:ind w:firstLine="560"/>
        <w:rPr>
          <w:rFonts w:hint="eastAsia" w:hAnsi="宋体" w:cs="宋体"/>
          <w:sz w:val="24"/>
        </w:rPr>
      </w:pPr>
      <w:r>
        <w:rPr>
          <w:rFonts w:hint="eastAsia" w:hAnsi="宋体" w:cs="宋体"/>
          <w:sz w:val="24"/>
        </w:rPr>
        <w:t>3.乙方选取银行保函、担保公司的保证担保或保险公司的保证保险等形式的向采购人缴纳的，如保函（担保、保险等）的约定期到期但乙方履约仍未结束的，乙方须进行续保。</w:t>
      </w:r>
    </w:p>
    <w:p w14:paraId="1CD8E283">
      <w:pPr>
        <w:pStyle w:val="216"/>
        <w:spacing w:line="360" w:lineRule="auto"/>
        <w:ind w:firstLine="560"/>
        <w:rPr>
          <w:rFonts w:hint="eastAsia" w:hAnsi="宋体" w:cs="宋体"/>
          <w:sz w:val="24"/>
        </w:rPr>
      </w:pPr>
      <w:r>
        <w:rPr>
          <w:rFonts w:hint="eastAsia" w:hAnsi="宋体" w:cs="宋体"/>
          <w:sz w:val="24"/>
        </w:rPr>
        <w:t>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47767E5A">
      <w:pPr>
        <w:pStyle w:val="216"/>
        <w:spacing w:line="360" w:lineRule="auto"/>
        <w:ind w:firstLine="560"/>
        <w:rPr>
          <w:rFonts w:hint="eastAsia" w:hAnsi="宋体" w:cs="宋体"/>
          <w:sz w:val="24"/>
        </w:rPr>
      </w:pPr>
      <w:r>
        <w:rPr>
          <w:rFonts w:hint="eastAsia" w:hAnsi="宋体" w:cs="宋体"/>
          <w:sz w:val="24"/>
        </w:rPr>
        <w:t>5.如乙方未能履行合同规定的义务，甲方有权从履约保证金中取得补偿。</w:t>
      </w:r>
    </w:p>
    <w:p w14:paraId="27DA1678">
      <w:pPr>
        <w:pStyle w:val="216"/>
        <w:spacing w:line="360" w:lineRule="auto"/>
        <w:ind w:firstLine="560"/>
        <w:rPr>
          <w:rFonts w:hint="eastAsia" w:hAnsi="宋体" w:cs="宋体"/>
          <w:sz w:val="24"/>
        </w:rPr>
      </w:pPr>
      <w:r>
        <w:rPr>
          <w:rFonts w:hint="eastAsia" w:hAnsi="宋体" w:cs="宋体"/>
          <w:sz w:val="24"/>
        </w:rPr>
        <w:t>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p>
    <w:p w14:paraId="749CAFEA">
      <w:pPr>
        <w:pStyle w:val="216"/>
        <w:spacing w:line="360" w:lineRule="auto"/>
        <w:ind w:firstLine="560"/>
        <w:rPr>
          <w:rFonts w:hint="eastAsia" w:hAnsi="宋体" w:cs="宋体"/>
          <w:sz w:val="24"/>
        </w:rPr>
      </w:pPr>
      <w:r>
        <w:rPr>
          <w:rFonts w:hint="eastAsia" w:hAnsi="宋体" w:cs="宋体"/>
          <w:sz w:val="24"/>
        </w:rPr>
        <w:t>7.履约保证金在合同约定期间内不予退还或者应完全有效，履约保证金在项目验收合格后退还给乙方。</w:t>
      </w:r>
    </w:p>
    <w:p w14:paraId="3A15984C">
      <w:pPr>
        <w:pStyle w:val="216"/>
        <w:spacing w:line="360" w:lineRule="auto"/>
        <w:ind w:firstLine="560"/>
        <w:rPr>
          <w:rFonts w:hint="eastAsia" w:hAnsi="宋体" w:cs="宋体"/>
          <w:sz w:val="24"/>
        </w:rPr>
      </w:pPr>
      <w:r>
        <w:rPr>
          <w:rFonts w:hint="eastAsia" w:hAnsi="宋体" w:cs="宋体"/>
          <w:sz w:val="24"/>
        </w:rPr>
        <w:t>8.退还时间:如在合同期内，中标人自行停止合约或违反合同有关规定被甲方终止合约的，则履约保证金归甲方所有。乙方在服务期间，给甲方造成的损失超过保证金数额的，必须对超出部分给予赔偿。</w:t>
      </w:r>
    </w:p>
    <w:p w14:paraId="698071DA">
      <w:pPr>
        <w:spacing w:line="360" w:lineRule="auto"/>
        <w:ind w:firstLine="560"/>
        <w:rPr>
          <w:rFonts w:hint="eastAsia" w:ascii="宋体" w:hAnsi="宋体" w:cs="宋体"/>
          <w:sz w:val="24"/>
        </w:rPr>
      </w:pPr>
      <w:r>
        <w:rPr>
          <w:rFonts w:hint="eastAsia" w:ascii="宋体" w:hAnsi="宋体" w:cs="宋体"/>
          <w:sz w:val="24"/>
        </w:rPr>
        <w:t>七、合同纠纷处理</w:t>
      </w:r>
    </w:p>
    <w:p w14:paraId="7F9C94A7">
      <w:pPr>
        <w:spacing w:line="360" w:lineRule="auto"/>
        <w:ind w:firstLine="560"/>
        <w:rPr>
          <w:rFonts w:hint="eastAsia" w:ascii="宋体" w:hAnsi="宋体" w:cs="宋体"/>
          <w:sz w:val="24"/>
        </w:rPr>
      </w:pPr>
      <w:r>
        <w:rPr>
          <w:rFonts w:hint="eastAsia" w:ascii="宋体" w:hAnsi="宋体" w:cs="宋体"/>
          <w:sz w:val="24"/>
        </w:rPr>
        <w:t>本合同执行过程中发生纠纷，由甲乙双方协商解决，若协商不成，作如下</w:t>
      </w:r>
      <w:r>
        <w:rPr>
          <w:rFonts w:hint="eastAsia" w:ascii="宋体" w:hAnsi="宋体" w:cs="宋体"/>
          <w:sz w:val="24"/>
          <w:u w:val="single"/>
        </w:rPr>
        <w:t xml:space="preserve"> 2  </w:t>
      </w:r>
      <w:r>
        <w:rPr>
          <w:rFonts w:hint="eastAsia" w:ascii="宋体" w:hAnsi="宋体" w:cs="宋体"/>
          <w:sz w:val="24"/>
        </w:rPr>
        <w:t xml:space="preserve">处理: </w:t>
      </w:r>
    </w:p>
    <w:p w14:paraId="34FFD06A">
      <w:pPr>
        <w:spacing w:line="360" w:lineRule="auto"/>
        <w:ind w:firstLine="560"/>
        <w:rPr>
          <w:rFonts w:hint="eastAsia" w:ascii="宋体" w:hAnsi="宋体" w:cs="宋体"/>
          <w:sz w:val="24"/>
        </w:rPr>
      </w:pPr>
      <w:r>
        <w:rPr>
          <w:rFonts w:hint="eastAsia" w:ascii="宋体" w:hAnsi="宋体" w:cs="宋体"/>
          <w:sz w:val="24"/>
        </w:rPr>
        <w:t xml:space="preserve">1.申请仲裁。选定仲裁机构为淮安市仲裁委员会。 </w:t>
      </w:r>
    </w:p>
    <w:p w14:paraId="54EB5530">
      <w:pPr>
        <w:spacing w:line="360" w:lineRule="auto"/>
        <w:ind w:firstLine="560"/>
        <w:rPr>
          <w:rFonts w:hint="eastAsia" w:ascii="宋体" w:hAnsi="宋体" w:cs="宋体"/>
          <w:sz w:val="24"/>
        </w:rPr>
      </w:pPr>
      <w:r>
        <w:rPr>
          <w:rFonts w:hint="eastAsia" w:ascii="宋体" w:hAnsi="宋体" w:cs="宋体"/>
          <w:sz w:val="24"/>
        </w:rPr>
        <w:t xml:space="preserve">2.提起诉讼。约定由采购人所在地法院管辖。 </w:t>
      </w:r>
    </w:p>
    <w:p w14:paraId="632FF4BE">
      <w:pPr>
        <w:spacing w:line="360" w:lineRule="auto"/>
        <w:ind w:firstLine="548"/>
        <w:rPr>
          <w:rFonts w:hint="eastAsia" w:ascii="宋体" w:hAnsi="宋体" w:cs="宋体"/>
          <w:sz w:val="24"/>
        </w:rPr>
      </w:pPr>
      <w:r>
        <w:rPr>
          <w:rFonts w:hint="eastAsia" w:ascii="宋体" w:hAnsi="宋体" w:cs="宋体"/>
          <w:sz w:val="24"/>
        </w:rPr>
        <w:t>八、合同生效及其它</w:t>
      </w:r>
    </w:p>
    <w:p w14:paraId="41CD02DA">
      <w:pPr>
        <w:spacing w:line="480" w:lineRule="exact"/>
        <w:ind w:firstLine="480"/>
        <w:rPr>
          <w:rFonts w:hint="eastAsia" w:ascii="宋体" w:hAnsi="宋体" w:cs="宋体"/>
          <w:sz w:val="24"/>
        </w:rPr>
      </w:pPr>
      <w:r>
        <w:rPr>
          <w:rFonts w:hint="eastAsia" w:ascii="宋体" w:hAnsi="宋体" w:cs="宋体"/>
          <w:sz w:val="24"/>
        </w:rPr>
        <w:t>本合同经甲、乙双方盖章及授权代表签字后生效。如有变动，必须经甲、乙双方协商一致，并报相关部门鉴证后，方可更改。本合同共一式陆份，甲、乙双方和采购代理机构各执两份。</w:t>
      </w:r>
    </w:p>
    <w:p w14:paraId="70F33943">
      <w:pPr>
        <w:spacing w:line="480" w:lineRule="exact"/>
        <w:ind w:firstLine="480"/>
        <w:rPr>
          <w:rFonts w:hint="eastAsia" w:ascii="宋体" w:hAnsi="宋体" w:cs="宋体"/>
          <w:sz w:val="24"/>
        </w:rPr>
      </w:pPr>
      <w:r>
        <w:rPr>
          <w:rFonts w:hint="eastAsia" w:ascii="宋体" w:hAnsi="宋体" w:cs="宋体"/>
          <w:sz w:val="24"/>
        </w:rPr>
        <w:t>九、组成本合同的文件包括</w:t>
      </w:r>
    </w:p>
    <w:p w14:paraId="3DE8B7E6">
      <w:pPr>
        <w:spacing w:line="480" w:lineRule="exact"/>
        <w:ind w:firstLine="480"/>
        <w:rPr>
          <w:rFonts w:hint="eastAsia" w:ascii="宋体" w:hAnsi="宋体" w:cs="宋体"/>
          <w:sz w:val="24"/>
        </w:rPr>
      </w:pPr>
      <w:r>
        <w:rPr>
          <w:rFonts w:hint="eastAsia" w:ascii="宋体" w:hAnsi="宋体" w:cs="宋体"/>
          <w:sz w:val="24"/>
        </w:rPr>
        <w:t>1.合同格式及条款；</w:t>
      </w:r>
    </w:p>
    <w:p w14:paraId="23E3D670">
      <w:pPr>
        <w:spacing w:line="480" w:lineRule="exact"/>
        <w:ind w:firstLine="480"/>
        <w:rPr>
          <w:rFonts w:hint="eastAsia" w:ascii="宋体" w:hAnsi="宋体" w:cs="宋体"/>
          <w:sz w:val="24"/>
        </w:rPr>
      </w:pPr>
      <w:r>
        <w:rPr>
          <w:rFonts w:hint="eastAsia" w:ascii="宋体" w:hAnsi="宋体" w:cs="宋体"/>
          <w:sz w:val="24"/>
        </w:rPr>
        <w:t xml:space="preserve">2.招标文件和乙方的投标文件； </w:t>
      </w:r>
    </w:p>
    <w:p w14:paraId="76A63F08">
      <w:pPr>
        <w:spacing w:line="480" w:lineRule="exact"/>
        <w:ind w:firstLine="480"/>
        <w:rPr>
          <w:rFonts w:hint="eastAsia" w:ascii="宋体" w:hAnsi="宋体" w:cs="宋体"/>
          <w:sz w:val="24"/>
        </w:rPr>
      </w:pPr>
      <w:r>
        <w:rPr>
          <w:rFonts w:hint="eastAsia" w:ascii="宋体" w:hAnsi="宋体" w:cs="宋体"/>
          <w:sz w:val="24"/>
        </w:rPr>
        <w:t xml:space="preserve">3.中标（成交）通知书； </w:t>
      </w:r>
    </w:p>
    <w:p w14:paraId="62CD0686">
      <w:pPr>
        <w:spacing w:line="480" w:lineRule="exact"/>
        <w:ind w:firstLine="480"/>
        <w:rPr>
          <w:rFonts w:hint="eastAsia" w:ascii="宋体" w:hAnsi="宋体" w:cs="宋体"/>
          <w:sz w:val="24"/>
        </w:rPr>
      </w:pPr>
      <w:r>
        <w:rPr>
          <w:rFonts w:hint="eastAsia" w:ascii="宋体" w:hAnsi="宋体" w:cs="宋体"/>
          <w:sz w:val="24"/>
        </w:rPr>
        <w:t>4.甲乙双方商定的其他必要文件。 上述合同文件内容互为补充，如有不明确，由甲方负责解释。</w:t>
      </w:r>
    </w:p>
    <w:p w14:paraId="6E801CD1">
      <w:pPr>
        <w:pStyle w:val="216"/>
        <w:spacing w:line="360" w:lineRule="auto"/>
        <w:rPr>
          <w:rFonts w:hint="eastAsia" w:hAnsi="宋体" w:cs="宋体"/>
          <w:sz w:val="24"/>
        </w:rPr>
      </w:pPr>
      <w:r>
        <w:rPr>
          <w:rFonts w:hint="eastAsia" w:hAnsi="宋体" w:cs="宋体"/>
          <w:sz w:val="24"/>
        </w:rPr>
        <w:t>甲    方:                          乙    方:</w:t>
      </w:r>
    </w:p>
    <w:p w14:paraId="43DE6B79">
      <w:pPr>
        <w:pStyle w:val="216"/>
        <w:spacing w:line="360" w:lineRule="auto"/>
        <w:rPr>
          <w:rFonts w:hint="eastAsia" w:hAnsi="宋体" w:cs="宋体"/>
          <w:sz w:val="24"/>
        </w:rPr>
      </w:pPr>
      <w:r>
        <w:rPr>
          <w:rFonts w:hint="eastAsia" w:hAnsi="宋体" w:cs="宋体"/>
          <w:sz w:val="24"/>
        </w:rPr>
        <w:t>单位盖章:                          单位盖章:</w:t>
      </w:r>
    </w:p>
    <w:p w14:paraId="46CDCA03">
      <w:pPr>
        <w:pStyle w:val="216"/>
        <w:spacing w:line="360" w:lineRule="auto"/>
        <w:rPr>
          <w:rFonts w:hint="eastAsia" w:hAnsi="宋体" w:cs="宋体"/>
          <w:sz w:val="24"/>
        </w:rPr>
      </w:pPr>
      <w:r>
        <w:rPr>
          <w:rFonts w:hint="eastAsia" w:hAnsi="宋体" w:cs="宋体"/>
          <w:sz w:val="24"/>
        </w:rPr>
        <w:t>代表签字:                          代表签字:</w:t>
      </w:r>
    </w:p>
    <w:p w14:paraId="5FCBB2C0">
      <w:pPr>
        <w:pStyle w:val="216"/>
        <w:spacing w:line="360" w:lineRule="auto"/>
        <w:rPr>
          <w:rFonts w:hint="eastAsia" w:hAnsi="宋体" w:cs="宋体"/>
          <w:sz w:val="24"/>
        </w:rPr>
      </w:pPr>
      <w:r>
        <w:rPr>
          <w:rFonts w:hint="eastAsia" w:hAnsi="宋体" w:cs="宋体"/>
          <w:sz w:val="24"/>
        </w:rPr>
        <w:t>签定日期:                          签定日期:</w:t>
      </w:r>
    </w:p>
    <w:p w14:paraId="24954B8A">
      <w:pPr>
        <w:rPr>
          <w:rFonts w:hint="eastAsia" w:ascii="宋体" w:hAnsi="宋体" w:cs="宋体"/>
          <w:sz w:val="24"/>
        </w:rPr>
      </w:pPr>
      <w:r>
        <w:rPr>
          <w:rFonts w:hint="eastAsia" w:ascii="宋体" w:hAnsi="宋体" w:cs="宋体"/>
          <w:sz w:val="24"/>
        </w:rPr>
        <w:br w:type="page"/>
      </w:r>
    </w:p>
    <w:p w14:paraId="0E7FB42B">
      <w:pPr>
        <w:pStyle w:val="216"/>
        <w:spacing w:line="360" w:lineRule="auto"/>
        <w:rPr>
          <w:rFonts w:hint="eastAsia" w:hAnsi="宋体" w:cs="宋体"/>
          <w:sz w:val="24"/>
        </w:rPr>
      </w:pPr>
    </w:p>
    <w:p w14:paraId="542F9097">
      <w:pPr>
        <w:spacing w:line="520" w:lineRule="exact"/>
        <w:jc w:val="center"/>
        <w:rPr>
          <w:rFonts w:hint="eastAsia" w:ascii="宋体" w:hAnsi="宋体" w:cs="宋体"/>
          <w:b/>
          <w:bCs/>
          <w:sz w:val="28"/>
          <w:szCs w:val="28"/>
        </w:rPr>
      </w:pPr>
      <w:r>
        <w:rPr>
          <w:rFonts w:hint="eastAsia" w:ascii="宋体" w:hAnsi="宋体" w:cs="宋体"/>
          <w:b/>
          <w:bCs/>
          <w:sz w:val="28"/>
          <w:szCs w:val="28"/>
        </w:rPr>
        <w:t>二、通用条款</w:t>
      </w:r>
    </w:p>
    <w:p w14:paraId="3FCAC8D2">
      <w:pPr>
        <w:spacing w:line="400" w:lineRule="exact"/>
        <w:ind w:firstLine="660"/>
        <w:rPr>
          <w:rFonts w:hint="eastAsia" w:ascii="宋体" w:hAnsi="宋体" w:cs="宋体"/>
          <w:b/>
          <w:bCs/>
          <w:sz w:val="24"/>
        </w:rPr>
      </w:pPr>
      <w:r>
        <w:rPr>
          <w:rFonts w:hint="eastAsia" w:ascii="宋体" w:hAnsi="宋体" w:cs="宋体"/>
          <w:b/>
          <w:bCs/>
          <w:sz w:val="24"/>
        </w:rPr>
        <w:t>1.定义</w:t>
      </w:r>
    </w:p>
    <w:p w14:paraId="61870391">
      <w:pPr>
        <w:spacing w:line="400" w:lineRule="exact"/>
        <w:ind w:firstLine="660"/>
        <w:rPr>
          <w:rFonts w:hint="eastAsia" w:ascii="宋体" w:hAnsi="宋体" w:cs="宋体"/>
          <w:sz w:val="24"/>
        </w:rPr>
      </w:pPr>
      <w:r>
        <w:rPr>
          <w:rFonts w:hint="eastAsia" w:ascii="宋体" w:hAnsi="宋体" w:cs="宋体"/>
          <w:sz w:val="24"/>
        </w:rPr>
        <w:t>本合同中的下列术语应解释为：</w:t>
      </w:r>
    </w:p>
    <w:p w14:paraId="13A0C55E">
      <w:pPr>
        <w:spacing w:line="400" w:lineRule="exact"/>
        <w:ind w:firstLine="660"/>
        <w:rPr>
          <w:rFonts w:hint="eastAsia" w:ascii="宋体" w:hAnsi="宋体" w:cs="宋体"/>
          <w:sz w:val="24"/>
        </w:rPr>
      </w:pPr>
      <w:r>
        <w:rPr>
          <w:rFonts w:hint="eastAsia" w:ascii="宋体" w:hAnsi="宋体" w:cs="宋体"/>
          <w:sz w:val="24"/>
        </w:rPr>
        <w:t>（1）“合同”系指买方与卖方签署的、合同格式中载明的买方与卖方所达成的协议，包括所有的附件、附录和构成合同的所有文件。</w:t>
      </w:r>
    </w:p>
    <w:p w14:paraId="19C06C03">
      <w:pPr>
        <w:spacing w:line="400" w:lineRule="exact"/>
        <w:ind w:firstLine="660"/>
        <w:rPr>
          <w:rFonts w:hint="eastAsia" w:ascii="宋体" w:hAnsi="宋体" w:cs="宋体"/>
          <w:sz w:val="24"/>
        </w:rPr>
      </w:pPr>
      <w:r>
        <w:rPr>
          <w:rFonts w:hint="eastAsia" w:ascii="宋体" w:hAnsi="宋体" w:cs="宋体"/>
          <w:sz w:val="24"/>
        </w:rPr>
        <w:t>（2）“合同价”系指根据合同规定，卖方在正确地完全履行合同义务后买方应支付给卖方的价格。</w:t>
      </w:r>
    </w:p>
    <w:p w14:paraId="05FC5FCC">
      <w:pPr>
        <w:spacing w:line="400" w:lineRule="exact"/>
        <w:ind w:firstLine="660"/>
        <w:rPr>
          <w:rFonts w:hint="eastAsia" w:ascii="宋体" w:hAnsi="宋体" w:cs="宋体"/>
          <w:sz w:val="24"/>
        </w:rPr>
      </w:pPr>
      <w:r>
        <w:rPr>
          <w:rFonts w:hint="eastAsia" w:ascii="宋体" w:hAnsi="宋体" w:cs="宋体"/>
          <w:sz w:val="24"/>
        </w:rPr>
        <w:t>（3）“货物”系指卖方根据合同规定必须向买方提供的一切设备、机械、仪表、备件、工具、手册和其他技术资料及其他材料。</w:t>
      </w:r>
    </w:p>
    <w:p w14:paraId="3DF3CB22">
      <w:pPr>
        <w:spacing w:line="400" w:lineRule="exact"/>
        <w:ind w:firstLine="660"/>
        <w:rPr>
          <w:rFonts w:hint="eastAsia" w:ascii="宋体" w:hAnsi="宋体" w:cs="宋体"/>
          <w:sz w:val="24"/>
        </w:rPr>
      </w:pPr>
      <w:r>
        <w:rPr>
          <w:rFonts w:hint="eastAsia" w:ascii="宋体" w:hAnsi="宋体" w:cs="宋体"/>
          <w:sz w:val="24"/>
        </w:rPr>
        <w:t>（4）“服务”系指根据合同规定卖方承担与供货有关的辅助服务，如运输、运输过程中保险以及其它的伴随服务，比如安装、调试、提供技术援助、培训和其他类似的卖方应承担的义务。</w:t>
      </w:r>
    </w:p>
    <w:p w14:paraId="4CC4AFC4">
      <w:pPr>
        <w:spacing w:line="400" w:lineRule="exact"/>
        <w:ind w:firstLine="660"/>
        <w:rPr>
          <w:rFonts w:hint="eastAsia" w:ascii="宋体" w:hAnsi="宋体" w:cs="宋体"/>
          <w:sz w:val="24"/>
        </w:rPr>
      </w:pPr>
      <w:r>
        <w:rPr>
          <w:rFonts w:hint="eastAsia" w:ascii="宋体" w:hAnsi="宋体" w:cs="宋体"/>
          <w:sz w:val="24"/>
        </w:rPr>
        <w:t>（5）“买方”系指采购货物和服务的</w:t>
      </w:r>
      <w:r>
        <w:rPr>
          <w:rFonts w:hint="eastAsia" w:ascii="宋体" w:hAnsi="宋体" w:cs="宋体"/>
          <w:sz w:val="24"/>
          <w:lang w:val="zh-CN"/>
        </w:rPr>
        <w:t>。</w:t>
      </w:r>
    </w:p>
    <w:p w14:paraId="3097D8EE">
      <w:pPr>
        <w:spacing w:line="400" w:lineRule="exact"/>
        <w:ind w:firstLine="660"/>
        <w:rPr>
          <w:rFonts w:hint="eastAsia" w:ascii="宋体" w:hAnsi="宋体" w:cs="宋体"/>
          <w:sz w:val="24"/>
        </w:rPr>
      </w:pPr>
      <w:r>
        <w:rPr>
          <w:rFonts w:hint="eastAsia" w:ascii="宋体" w:hAnsi="宋体" w:cs="宋体"/>
          <w:sz w:val="24"/>
        </w:rPr>
        <w:t>（6）“卖方”系指提供货物和服务的供应商。</w:t>
      </w:r>
    </w:p>
    <w:p w14:paraId="4C69FD6C">
      <w:pPr>
        <w:spacing w:line="400" w:lineRule="exact"/>
        <w:ind w:firstLine="660"/>
        <w:rPr>
          <w:rFonts w:hint="eastAsia" w:ascii="宋体" w:hAnsi="宋体" w:cs="宋体"/>
          <w:b/>
          <w:bCs/>
          <w:sz w:val="24"/>
        </w:rPr>
      </w:pPr>
      <w:r>
        <w:rPr>
          <w:rFonts w:hint="eastAsia" w:ascii="宋体" w:hAnsi="宋体" w:cs="宋体"/>
          <w:b/>
          <w:bCs/>
          <w:sz w:val="24"/>
        </w:rPr>
        <w:t>2.技术规格</w:t>
      </w:r>
    </w:p>
    <w:p w14:paraId="192C05B5">
      <w:pPr>
        <w:spacing w:line="400" w:lineRule="exact"/>
        <w:ind w:firstLine="660"/>
        <w:rPr>
          <w:rFonts w:hint="eastAsia" w:ascii="宋体" w:hAnsi="宋体" w:cs="宋体"/>
          <w:sz w:val="24"/>
        </w:rPr>
      </w:pPr>
      <w:r>
        <w:rPr>
          <w:rFonts w:hint="eastAsia" w:ascii="宋体" w:hAnsi="宋体" w:cs="宋体"/>
          <w:sz w:val="24"/>
        </w:rPr>
        <w:t>2.1卖方所提供货物的技术规格应与谈判文件规定的技术规格以及所附的技术规格响应偏离表相一致。</w:t>
      </w:r>
    </w:p>
    <w:p w14:paraId="48E3B2B1">
      <w:pPr>
        <w:spacing w:line="400" w:lineRule="exact"/>
        <w:ind w:firstLine="660"/>
        <w:rPr>
          <w:rFonts w:hint="eastAsia" w:ascii="宋体" w:hAnsi="宋体" w:cs="宋体"/>
          <w:b/>
          <w:sz w:val="24"/>
        </w:rPr>
      </w:pPr>
      <w:r>
        <w:rPr>
          <w:rFonts w:hint="eastAsia" w:ascii="宋体" w:hAnsi="宋体" w:cs="宋体"/>
          <w:b/>
          <w:sz w:val="24"/>
        </w:rPr>
        <w:t>3.专利权</w:t>
      </w:r>
    </w:p>
    <w:p w14:paraId="624B0425">
      <w:pPr>
        <w:spacing w:line="400" w:lineRule="exact"/>
        <w:ind w:firstLine="660"/>
        <w:rPr>
          <w:rFonts w:hint="eastAsia" w:ascii="宋体" w:hAnsi="宋体" w:cs="宋体"/>
          <w:sz w:val="24"/>
        </w:rPr>
      </w:pPr>
      <w:r>
        <w:rPr>
          <w:rFonts w:hint="eastAsia" w:ascii="宋体" w:hAnsi="宋体" w:cs="宋体"/>
          <w:sz w:val="24"/>
        </w:rPr>
        <w:t>3.1卖方应保证买方在使用该货物或其任何一部分时不受第三方提出侵犯其专利权、商标权和工业设计权的起诉。一旦出现专利侵权，卖方应负全部责任，且买方拒付全部货款。</w:t>
      </w:r>
    </w:p>
    <w:p w14:paraId="72EAE318">
      <w:pPr>
        <w:spacing w:line="400" w:lineRule="exact"/>
        <w:ind w:firstLine="660"/>
        <w:rPr>
          <w:rFonts w:hint="eastAsia" w:ascii="宋体" w:hAnsi="宋体" w:cs="宋体"/>
          <w:b/>
          <w:sz w:val="24"/>
        </w:rPr>
      </w:pPr>
      <w:r>
        <w:rPr>
          <w:rFonts w:hint="eastAsia" w:ascii="宋体" w:hAnsi="宋体" w:cs="宋体"/>
          <w:b/>
          <w:sz w:val="24"/>
        </w:rPr>
        <w:t>4.包装要求</w:t>
      </w:r>
    </w:p>
    <w:p w14:paraId="3816FFE3">
      <w:pPr>
        <w:spacing w:line="400" w:lineRule="exact"/>
        <w:ind w:firstLine="660"/>
        <w:rPr>
          <w:rFonts w:hint="eastAsia" w:ascii="宋体" w:hAnsi="宋体" w:cs="宋体"/>
          <w:sz w:val="24"/>
        </w:rPr>
      </w:pPr>
      <w:r>
        <w:rPr>
          <w:rFonts w:hint="eastAsia" w:ascii="宋体" w:hAnsi="宋体" w:cs="宋体"/>
          <w:sz w:val="24"/>
        </w:rPr>
        <w:t>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p>
    <w:p w14:paraId="65637E28">
      <w:pPr>
        <w:spacing w:line="400" w:lineRule="exact"/>
        <w:ind w:firstLine="660"/>
        <w:rPr>
          <w:rFonts w:hint="eastAsia" w:ascii="宋体" w:hAnsi="宋体" w:cs="宋体"/>
          <w:sz w:val="24"/>
        </w:rPr>
      </w:pPr>
      <w:r>
        <w:rPr>
          <w:rFonts w:hint="eastAsia" w:ascii="宋体" w:hAnsi="宋体" w:cs="宋体"/>
          <w:sz w:val="24"/>
        </w:rPr>
        <w:t>4.2每件包装箱内应附一份详细装箱单和质量合格标识。</w:t>
      </w:r>
    </w:p>
    <w:p w14:paraId="34EBA471">
      <w:pPr>
        <w:spacing w:line="400" w:lineRule="exact"/>
        <w:ind w:firstLine="660"/>
        <w:rPr>
          <w:rFonts w:hint="eastAsia" w:ascii="宋体" w:hAnsi="宋体" w:cs="宋体"/>
          <w:b/>
          <w:sz w:val="24"/>
        </w:rPr>
      </w:pPr>
      <w:r>
        <w:rPr>
          <w:rFonts w:hint="eastAsia" w:ascii="宋体" w:hAnsi="宋体" w:cs="宋体"/>
          <w:b/>
          <w:sz w:val="24"/>
        </w:rPr>
        <w:t>5.装运条件</w:t>
      </w:r>
    </w:p>
    <w:p w14:paraId="4F1049B5">
      <w:pPr>
        <w:spacing w:line="400" w:lineRule="exact"/>
        <w:ind w:firstLine="660"/>
        <w:rPr>
          <w:rFonts w:hint="eastAsia" w:ascii="宋体" w:hAnsi="宋体" w:cs="宋体"/>
          <w:sz w:val="24"/>
        </w:rPr>
      </w:pPr>
      <w:r>
        <w:rPr>
          <w:rFonts w:hint="eastAsia" w:ascii="宋体" w:hAnsi="宋体" w:cs="宋体"/>
          <w:sz w:val="24"/>
        </w:rPr>
        <w:t>5.1根据买方指定地点，卖方负责安排运输，运输费由卖方承担。</w:t>
      </w:r>
    </w:p>
    <w:p w14:paraId="3EE8899C">
      <w:pPr>
        <w:spacing w:line="400" w:lineRule="exact"/>
        <w:ind w:firstLine="660"/>
        <w:rPr>
          <w:rFonts w:hint="eastAsia" w:ascii="宋体" w:hAnsi="宋体" w:cs="宋体"/>
          <w:b/>
          <w:sz w:val="24"/>
        </w:rPr>
      </w:pPr>
      <w:r>
        <w:rPr>
          <w:rFonts w:hint="eastAsia" w:ascii="宋体" w:hAnsi="宋体" w:cs="宋体"/>
          <w:b/>
          <w:sz w:val="24"/>
        </w:rPr>
        <w:t>6.付    款</w:t>
      </w:r>
    </w:p>
    <w:p w14:paraId="79F3EBE0">
      <w:pPr>
        <w:spacing w:line="400" w:lineRule="exact"/>
        <w:ind w:firstLine="660"/>
        <w:rPr>
          <w:rFonts w:hint="eastAsia" w:ascii="宋体" w:hAnsi="宋体" w:cs="宋体"/>
          <w:sz w:val="24"/>
        </w:rPr>
      </w:pPr>
      <w:r>
        <w:rPr>
          <w:rFonts w:hint="eastAsia" w:ascii="宋体" w:hAnsi="宋体" w:cs="宋体"/>
          <w:sz w:val="24"/>
        </w:rPr>
        <w:t>6.1本合同以人民币付款。</w:t>
      </w:r>
    </w:p>
    <w:p w14:paraId="1DACF826">
      <w:pPr>
        <w:spacing w:line="400" w:lineRule="exact"/>
        <w:ind w:firstLine="660"/>
        <w:rPr>
          <w:rFonts w:hint="eastAsia" w:ascii="宋体" w:hAnsi="宋体" w:cs="宋体"/>
          <w:sz w:val="24"/>
        </w:rPr>
      </w:pPr>
      <w:r>
        <w:rPr>
          <w:rFonts w:hint="eastAsia" w:ascii="宋体" w:hAnsi="宋体" w:cs="宋体"/>
          <w:sz w:val="24"/>
        </w:rPr>
        <w:t>6.2卖方应按照与买方签订的合同规定交货。交货后卖方向买方提供下列单据：</w:t>
      </w:r>
    </w:p>
    <w:p w14:paraId="0FB88261">
      <w:pPr>
        <w:spacing w:line="400" w:lineRule="exact"/>
        <w:ind w:firstLine="660"/>
        <w:rPr>
          <w:rFonts w:hint="eastAsia" w:ascii="宋体" w:hAnsi="宋体" w:cs="宋体"/>
          <w:sz w:val="24"/>
        </w:rPr>
      </w:pPr>
      <w:r>
        <w:rPr>
          <w:rFonts w:hint="eastAsia" w:ascii="宋体" w:hAnsi="宋体" w:cs="宋体"/>
          <w:sz w:val="24"/>
        </w:rPr>
        <w:t>（1）发票；</w:t>
      </w:r>
    </w:p>
    <w:p w14:paraId="346E7C09">
      <w:pPr>
        <w:spacing w:line="400" w:lineRule="exact"/>
        <w:ind w:firstLine="660"/>
        <w:rPr>
          <w:rFonts w:hint="eastAsia" w:ascii="宋体" w:hAnsi="宋体" w:cs="宋体"/>
          <w:sz w:val="24"/>
        </w:rPr>
      </w:pPr>
      <w:r>
        <w:rPr>
          <w:rFonts w:hint="eastAsia" w:ascii="宋体" w:hAnsi="宋体" w:cs="宋体"/>
          <w:sz w:val="24"/>
        </w:rPr>
        <w:t>（2）制造厂家出具的质量检验证书等；</w:t>
      </w:r>
    </w:p>
    <w:p w14:paraId="0D9932F9">
      <w:pPr>
        <w:spacing w:line="400" w:lineRule="exact"/>
        <w:ind w:firstLine="660"/>
        <w:rPr>
          <w:rFonts w:hint="eastAsia" w:ascii="宋体" w:hAnsi="宋体" w:cs="宋体"/>
          <w:sz w:val="24"/>
        </w:rPr>
      </w:pPr>
      <w:r>
        <w:rPr>
          <w:rFonts w:hint="eastAsia" w:ascii="宋体" w:hAnsi="宋体" w:cs="宋体"/>
          <w:sz w:val="24"/>
        </w:rPr>
        <w:t>（3）装箱单；</w:t>
      </w:r>
    </w:p>
    <w:p w14:paraId="49453BCB">
      <w:pPr>
        <w:spacing w:line="400" w:lineRule="exact"/>
        <w:ind w:firstLine="660"/>
        <w:rPr>
          <w:rFonts w:hint="eastAsia" w:ascii="宋体" w:hAnsi="宋体" w:cs="宋体"/>
          <w:sz w:val="24"/>
        </w:rPr>
      </w:pPr>
      <w:r>
        <w:rPr>
          <w:rFonts w:hint="eastAsia" w:ascii="宋体" w:hAnsi="宋体" w:cs="宋体"/>
          <w:sz w:val="24"/>
        </w:rPr>
        <w:t>（4）验收合格证书；</w:t>
      </w:r>
    </w:p>
    <w:p w14:paraId="0013C393">
      <w:pPr>
        <w:spacing w:line="400" w:lineRule="exact"/>
        <w:ind w:firstLine="660"/>
        <w:rPr>
          <w:rFonts w:hint="eastAsia" w:ascii="宋体" w:hAnsi="宋体" w:cs="宋体"/>
          <w:sz w:val="24"/>
        </w:rPr>
      </w:pPr>
      <w:r>
        <w:rPr>
          <w:rFonts w:hint="eastAsia" w:ascii="宋体" w:hAnsi="宋体" w:cs="宋体"/>
          <w:sz w:val="24"/>
        </w:rPr>
        <w:t>（5）使用方加盖公章证明货物交付使用合格的验收表。</w:t>
      </w:r>
    </w:p>
    <w:p w14:paraId="1142964D">
      <w:pPr>
        <w:spacing w:line="400" w:lineRule="exact"/>
        <w:ind w:firstLine="660"/>
        <w:rPr>
          <w:rFonts w:hint="eastAsia" w:ascii="宋体" w:hAnsi="宋体" w:cs="宋体"/>
          <w:sz w:val="24"/>
        </w:rPr>
      </w:pPr>
      <w:r>
        <w:rPr>
          <w:rFonts w:hint="eastAsia" w:ascii="宋体" w:hAnsi="宋体" w:cs="宋体"/>
          <w:sz w:val="24"/>
        </w:rPr>
        <w:t>6.3买方将按“合同主要条款及通用条款”规定的付款计划安排付款。</w:t>
      </w:r>
    </w:p>
    <w:p w14:paraId="428CCEC8">
      <w:pPr>
        <w:spacing w:line="400" w:lineRule="exact"/>
        <w:ind w:firstLine="482"/>
        <w:rPr>
          <w:rFonts w:hint="eastAsia" w:ascii="宋体" w:hAnsi="宋体" w:cs="宋体"/>
          <w:b/>
          <w:sz w:val="24"/>
        </w:rPr>
      </w:pPr>
      <w:r>
        <w:rPr>
          <w:rFonts w:hint="eastAsia" w:ascii="宋体" w:hAnsi="宋体" w:cs="宋体"/>
          <w:b/>
          <w:sz w:val="24"/>
        </w:rPr>
        <w:t>7.伴随服务</w:t>
      </w:r>
    </w:p>
    <w:p w14:paraId="2EE5A8BD">
      <w:pPr>
        <w:spacing w:line="400" w:lineRule="exact"/>
        <w:ind w:firstLine="480"/>
        <w:rPr>
          <w:rFonts w:hint="eastAsia" w:ascii="宋体" w:hAnsi="宋体" w:cs="宋体"/>
          <w:sz w:val="24"/>
        </w:rPr>
      </w:pPr>
      <w:r>
        <w:rPr>
          <w:rFonts w:hint="eastAsia" w:ascii="宋体" w:hAnsi="宋体" w:cs="宋体"/>
          <w:sz w:val="24"/>
        </w:rPr>
        <w:t>7.1</w:t>
      </w:r>
      <w:r>
        <w:rPr>
          <w:rFonts w:hint="eastAsia" w:ascii="宋体" w:hAnsi="宋体" w:cs="宋体"/>
          <w:bCs/>
          <w:sz w:val="24"/>
        </w:rPr>
        <w:t>成交人应按照国家有关规定和合同中所附的服务承诺提供服务</w:t>
      </w:r>
      <w:r>
        <w:rPr>
          <w:rFonts w:hint="eastAsia" w:ascii="宋体" w:hAnsi="宋体" w:cs="宋体"/>
          <w:sz w:val="24"/>
        </w:rPr>
        <w:t>。</w:t>
      </w:r>
    </w:p>
    <w:p w14:paraId="3B87395F">
      <w:pPr>
        <w:spacing w:line="400" w:lineRule="exact"/>
        <w:ind w:firstLine="480"/>
        <w:rPr>
          <w:rFonts w:hint="eastAsia" w:ascii="宋体" w:hAnsi="宋体" w:cs="宋体"/>
          <w:sz w:val="24"/>
        </w:rPr>
      </w:pPr>
      <w:r>
        <w:rPr>
          <w:rFonts w:hint="eastAsia" w:ascii="宋体" w:hAnsi="宋体" w:cs="宋体"/>
          <w:sz w:val="24"/>
        </w:rPr>
        <w:t>7.2除第7.1条规定外，卖方还应提供下列服务：</w:t>
      </w:r>
    </w:p>
    <w:p w14:paraId="4DB0BBC4">
      <w:pPr>
        <w:spacing w:line="400" w:lineRule="exact"/>
        <w:ind w:firstLine="480"/>
        <w:rPr>
          <w:rFonts w:hint="eastAsia" w:ascii="宋体" w:hAnsi="宋体" w:cs="宋体"/>
          <w:sz w:val="24"/>
        </w:rPr>
      </w:pPr>
      <w:r>
        <w:rPr>
          <w:rFonts w:hint="eastAsia" w:ascii="宋体" w:hAnsi="宋体" w:cs="宋体"/>
          <w:sz w:val="24"/>
        </w:rPr>
        <w:t>（1）货物的现场安装和启动监督；</w:t>
      </w:r>
    </w:p>
    <w:p w14:paraId="10202845">
      <w:pPr>
        <w:spacing w:line="400" w:lineRule="exact"/>
        <w:ind w:firstLine="480"/>
        <w:rPr>
          <w:rFonts w:hint="eastAsia" w:ascii="宋体" w:hAnsi="宋体" w:cs="宋体"/>
          <w:sz w:val="24"/>
        </w:rPr>
      </w:pPr>
      <w:r>
        <w:rPr>
          <w:rFonts w:hint="eastAsia" w:ascii="宋体" w:hAnsi="宋体" w:cs="宋体"/>
          <w:sz w:val="24"/>
        </w:rPr>
        <w:t>（2）提供货物组装和维修所需的工具；</w:t>
      </w:r>
    </w:p>
    <w:p w14:paraId="3CB59F48">
      <w:pPr>
        <w:spacing w:line="400" w:lineRule="exact"/>
        <w:ind w:firstLine="480"/>
        <w:rPr>
          <w:rFonts w:hint="eastAsia" w:ascii="宋体" w:hAnsi="宋体" w:cs="宋体"/>
          <w:sz w:val="24"/>
        </w:rPr>
      </w:pPr>
      <w:r>
        <w:rPr>
          <w:rFonts w:hint="eastAsia" w:ascii="宋体" w:hAnsi="宋体" w:cs="宋体"/>
          <w:sz w:val="24"/>
        </w:rPr>
        <w:t>（3）在合同中卖方承诺的期限内对所提供货物实施运行监督、维修，但前提条件是该服务并不能免除卖方在质量保证期内应承担的义务；</w:t>
      </w:r>
    </w:p>
    <w:p w14:paraId="1EAC5A2F">
      <w:pPr>
        <w:spacing w:line="400" w:lineRule="exact"/>
        <w:ind w:firstLine="480"/>
        <w:rPr>
          <w:rFonts w:hint="eastAsia" w:ascii="宋体" w:hAnsi="宋体" w:cs="宋体"/>
          <w:sz w:val="24"/>
        </w:rPr>
      </w:pPr>
      <w:r>
        <w:rPr>
          <w:rFonts w:hint="eastAsia" w:ascii="宋体" w:hAnsi="宋体" w:cs="宋体"/>
          <w:sz w:val="24"/>
        </w:rPr>
        <w:t>（4）在项目交货现场就货物的安装、启动、运行、维护对买方人员进行培训。</w:t>
      </w:r>
    </w:p>
    <w:p w14:paraId="550C8C6C">
      <w:pPr>
        <w:spacing w:line="400" w:lineRule="exact"/>
        <w:ind w:firstLine="480"/>
        <w:rPr>
          <w:rFonts w:hint="eastAsia" w:ascii="宋体" w:hAnsi="宋体" w:cs="宋体"/>
          <w:b/>
          <w:bCs/>
          <w:sz w:val="24"/>
        </w:rPr>
      </w:pPr>
      <w:r>
        <w:rPr>
          <w:rFonts w:hint="eastAsia" w:ascii="宋体" w:hAnsi="宋体" w:cs="宋体"/>
          <w:sz w:val="24"/>
        </w:rPr>
        <w:t>7.3伴随服务的费用应含在合同价中，不单独进行支付</w:t>
      </w:r>
      <w:r>
        <w:rPr>
          <w:rFonts w:hint="eastAsia" w:ascii="宋体" w:hAnsi="宋体" w:cs="宋体"/>
          <w:b/>
          <w:bCs/>
          <w:sz w:val="24"/>
        </w:rPr>
        <w:t>。</w:t>
      </w:r>
    </w:p>
    <w:p w14:paraId="5D73F2C9">
      <w:pPr>
        <w:spacing w:line="400" w:lineRule="exact"/>
        <w:ind w:firstLine="482"/>
        <w:rPr>
          <w:rFonts w:hint="eastAsia" w:ascii="宋体" w:hAnsi="宋体" w:cs="宋体"/>
          <w:b/>
          <w:sz w:val="24"/>
        </w:rPr>
      </w:pPr>
      <w:r>
        <w:rPr>
          <w:rFonts w:hint="eastAsia" w:ascii="宋体" w:hAnsi="宋体" w:cs="宋体"/>
          <w:b/>
          <w:sz w:val="24"/>
        </w:rPr>
        <w:t>8.质量保证</w:t>
      </w:r>
    </w:p>
    <w:p w14:paraId="4435E3E8">
      <w:pPr>
        <w:spacing w:line="400" w:lineRule="exact"/>
        <w:ind w:firstLine="480"/>
        <w:rPr>
          <w:rFonts w:hint="eastAsia" w:ascii="宋体" w:hAnsi="宋体" w:cs="宋体"/>
          <w:sz w:val="24"/>
        </w:rPr>
      </w:pPr>
      <w:r>
        <w:rPr>
          <w:rFonts w:hint="eastAsia" w:ascii="宋体" w:hAnsi="宋体" w:cs="宋体"/>
          <w:sz w:val="24"/>
        </w:rPr>
        <w:t>8.1卖方所提供货物必须符合谈判文件要求并不低于国家有关标准。</w:t>
      </w:r>
    </w:p>
    <w:p w14:paraId="627521C8">
      <w:pPr>
        <w:spacing w:line="400" w:lineRule="exact"/>
        <w:ind w:firstLine="480"/>
        <w:rPr>
          <w:rFonts w:hint="eastAsia" w:ascii="宋体" w:hAnsi="宋体" w:cs="宋体"/>
          <w:sz w:val="24"/>
        </w:rPr>
      </w:pPr>
      <w:r>
        <w:rPr>
          <w:rFonts w:hint="eastAsia" w:ascii="宋体" w:hAnsi="宋体" w:cs="宋体"/>
          <w:sz w:val="24"/>
        </w:rPr>
        <w:t>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p>
    <w:p w14:paraId="429DE214">
      <w:pPr>
        <w:spacing w:line="400" w:lineRule="exact"/>
        <w:ind w:firstLine="480"/>
        <w:rPr>
          <w:rFonts w:hint="eastAsia" w:ascii="宋体" w:hAnsi="宋体" w:cs="宋体"/>
          <w:sz w:val="24"/>
        </w:rPr>
      </w:pPr>
      <w:r>
        <w:rPr>
          <w:rFonts w:hint="eastAsia" w:ascii="宋体" w:hAnsi="宋体" w:cs="宋体"/>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 </w:t>
      </w:r>
    </w:p>
    <w:p w14:paraId="3DF6ECBC">
      <w:pPr>
        <w:spacing w:line="400" w:lineRule="exact"/>
        <w:ind w:firstLine="480"/>
        <w:rPr>
          <w:rFonts w:hint="eastAsia" w:ascii="宋体" w:hAnsi="宋体" w:cs="宋体"/>
          <w:sz w:val="24"/>
        </w:rPr>
      </w:pPr>
      <w:r>
        <w:rPr>
          <w:rFonts w:hint="eastAsia" w:ascii="宋体" w:hAnsi="宋体" w:cs="宋体"/>
          <w:sz w:val="24"/>
        </w:rPr>
        <w:t>8.4卖方在收到通知后，应在合同中所附服务承诺约定的时间内免费维修、更换有缺陷的货物或部件。</w:t>
      </w:r>
    </w:p>
    <w:p w14:paraId="44E4CF79">
      <w:pPr>
        <w:spacing w:line="400" w:lineRule="exact"/>
        <w:ind w:firstLine="480"/>
        <w:rPr>
          <w:rFonts w:hint="eastAsia" w:ascii="宋体" w:hAnsi="宋体" w:cs="宋体"/>
          <w:sz w:val="24"/>
        </w:rPr>
      </w:pPr>
      <w:r>
        <w:rPr>
          <w:rFonts w:hint="eastAsia" w:ascii="宋体" w:hAnsi="宋体" w:cs="宋体"/>
          <w:sz w:val="24"/>
        </w:rPr>
        <w:t>8.5如果卖方在收到通知后，在合同中所附服务承诺约定的时间内没有弥补缺陷，买方可采取必要的补救措施，但风险和费用将由卖方承担。</w:t>
      </w:r>
    </w:p>
    <w:p w14:paraId="18F8335F">
      <w:pPr>
        <w:spacing w:line="400" w:lineRule="exact"/>
        <w:ind w:firstLine="482"/>
        <w:rPr>
          <w:rFonts w:hint="eastAsia" w:ascii="宋体" w:hAnsi="宋体" w:cs="宋体"/>
          <w:b/>
          <w:sz w:val="24"/>
        </w:rPr>
      </w:pPr>
      <w:r>
        <w:rPr>
          <w:rFonts w:hint="eastAsia" w:ascii="宋体" w:hAnsi="宋体" w:cs="宋体"/>
          <w:b/>
          <w:sz w:val="24"/>
        </w:rPr>
        <w:t>9.检验</w:t>
      </w:r>
    </w:p>
    <w:p w14:paraId="04D771E5">
      <w:pPr>
        <w:spacing w:line="400" w:lineRule="exact"/>
        <w:ind w:firstLine="480"/>
        <w:rPr>
          <w:rFonts w:hint="eastAsia" w:ascii="宋体" w:hAnsi="宋体" w:cs="宋体"/>
          <w:sz w:val="24"/>
        </w:rPr>
      </w:pPr>
      <w:r>
        <w:rPr>
          <w:rFonts w:hint="eastAsia" w:ascii="宋体" w:hAnsi="宋体" w:cs="宋体"/>
          <w:sz w:val="24"/>
        </w:rPr>
        <w:t>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p>
    <w:p w14:paraId="58392260">
      <w:pPr>
        <w:spacing w:line="400" w:lineRule="exact"/>
        <w:ind w:firstLine="480"/>
        <w:rPr>
          <w:rFonts w:hint="eastAsia" w:ascii="宋体" w:hAnsi="宋体" w:cs="宋体"/>
          <w:sz w:val="24"/>
        </w:rPr>
      </w:pPr>
      <w:r>
        <w:rPr>
          <w:rFonts w:hint="eastAsia" w:ascii="宋体" w:hAnsi="宋体" w:cs="宋体"/>
          <w:sz w:val="24"/>
        </w:rPr>
        <w:t>9.2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p>
    <w:p w14:paraId="22E8A1F5">
      <w:pPr>
        <w:spacing w:line="400" w:lineRule="exact"/>
        <w:ind w:firstLine="482"/>
        <w:rPr>
          <w:rFonts w:hint="eastAsia" w:ascii="宋体" w:hAnsi="宋体" w:cs="宋体"/>
          <w:b/>
          <w:sz w:val="24"/>
        </w:rPr>
      </w:pPr>
      <w:r>
        <w:rPr>
          <w:rFonts w:hint="eastAsia" w:ascii="宋体" w:hAnsi="宋体" w:cs="宋体"/>
          <w:b/>
          <w:sz w:val="24"/>
        </w:rPr>
        <w:t>10.索赔</w:t>
      </w:r>
    </w:p>
    <w:p w14:paraId="5199E8C1">
      <w:pPr>
        <w:spacing w:line="400" w:lineRule="exact"/>
        <w:ind w:firstLine="480"/>
        <w:rPr>
          <w:rFonts w:hint="eastAsia" w:ascii="宋体" w:hAnsi="宋体" w:cs="宋体"/>
          <w:sz w:val="24"/>
        </w:rPr>
      </w:pPr>
      <w:r>
        <w:rPr>
          <w:rFonts w:hint="eastAsia" w:ascii="宋体" w:hAnsi="宋体" w:cs="宋体"/>
          <w:sz w:val="24"/>
        </w:rPr>
        <w:t>10.1买方有权根据法定检验机构出具的检验报告，向卖方提出索赔。</w:t>
      </w:r>
    </w:p>
    <w:p w14:paraId="18830929">
      <w:pPr>
        <w:spacing w:line="400" w:lineRule="exact"/>
        <w:ind w:firstLine="480"/>
        <w:rPr>
          <w:rFonts w:hint="eastAsia" w:ascii="宋体" w:hAnsi="宋体" w:cs="宋体"/>
          <w:sz w:val="24"/>
        </w:rPr>
      </w:pPr>
      <w:r>
        <w:rPr>
          <w:rFonts w:hint="eastAsia" w:ascii="宋体" w:hAnsi="宋体" w:cs="宋体"/>
          <w:sz w:val="24"/>
        </w:rPr>
        <w:t>10.2根据合同规定的检验期和质量保证期内，如果卖方对买方提出的索赔和差异负有责任，卖方应按照买方同意的下列一种或多种方式解决索赔事宜；</w:t>
      </w:r>
    </w:p>
    <w:p w14:paraId="76032396">
      <w:pPr>
        <w:spacing w:line="400" w:lineRule="exact"/>
        <w:ind w:firstLine="480"/>
        <w:rPr>
          <w:rFonts w:hint="eastAsia" w:ascii="宋体" w:hAnsi="宋体" w:cs="宋体"/>
          <w:sz w:val="24"/>
        </w:rPr>
      </w:pPr>
      <w:r>
        <w:rPr>
          <w:rFonts w:hint="eastAsia" w:ascii="宋体" w:hAnsi="宋体" w:cs="宋体"/>
          <w:sz w:val="24"/>
        </w:rPr>
        <w:t>（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p>
    <w:p w14:paraId="71792C72">
      <w:pPr>
        <w:spacing w:line="400" w:lineRule="exact"/>
        <w:ind w:firstLine="480"/>
        <w:rPr>
          <w:rFonts w:hint="eastAsia" w:ascii="宋体" w:hAnsi="宋体" w:cs="宋体"/>
          <w:sz w:val="24"/>
        </w:rPr>
      </w:pPr>
      <w:r>
        <w:rPr>
          <w:rFonts w:hint="eastAsia" w:ascii="宋体" w:hAnsi="宋体" w:cs="宋体"/>
          <w:sz w:val="24"/>
        </w:rPr>
        <w:t>（2）根据货物的低劣程度、损坏程度以及买方所遭损失的数额，卖方必须降低货物的价格。</w:t>
      </w:r>
    </w:p>
    <w:p w14:paraId="50AB1477">
      <w:pPr>
        <w:spacing w:line="400" w:lineRule="exact"/>
        <w:ind w:firstLine="480"/>
        <w:rPr>
          <w:rFonts w:hint="eastAsia" w:ascii="宋体" w:hAnsi="宋体" w:cs="宋体"/>
          <w:sz w:val="24"/>
        </w:rPr>
      </w:pPr>
      <w:r>
        <w:rPr>
          <w:rFonts w:hint="eastAsia" w:ascii="宋体" w:hAnsi="宋体" w:cs="宋体"/>
          <w:sz w:val="24"/>
        </w:rPr>
        <w:t>（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p>
    <w:p w14:paraId="4E3CE73B">
      <w:pPr>
        <w:spacing w:line="400" w:lineRule="exact"/>
        <w:ind w:firstLine="480"/>
        <w:rPr>
          <w:rFonts w:hint="eastAsia" w:ascii="宋体" w:hAnsi="宋体" w:cs="宋体"/>
          <w:sz w:val="24"/>
        </w:rPr>
      </w:pPr>
      <w:r>
        <w:rPr>
          <w:rFonts w:hint="eastAsia" w:ascii="宋体" w:hAnsi="宋体" w:cs="宋体"/>
          <w:sz w:val="24"/>
        </w:rPr>
        <w:t>10.3如果在买方发出索赔通知后10天内，卖方未作答复，上述索赔应视为已被卖方接受，如卖方未能在买方提出索赔通知后10天内或买方同意的更长时间内，按照本合同规定的任何一种方法解决索赔事宜，买方将从卖方开具的履约保证金中扣回索赔金额，或采用法律手段解决索赔事宜。</w:t>
      </w:r>
    </w:p>
    <w:p w14:paraId="117F9FA6">
      <w:pPr>
        <w:spacing w:line="400" w:lineRule="exact"/>
        <w:ind w:firstLine="482"/>
        <w:rPr>
          <w:rFonts w:hint="eastAsia" w:ascii="宋体" w:hAnsi="宋体" w:cs="宋体"/>
          <w:b/>
          <w:sz w:val="24"/>
        </w:rPr>
      </w:pPr>
      <w:r>
        <w:rPr>
          <w:rFonts w:hint="eastAsia" w:ascii="宋体" w:hAnsi="宋体" w:cs="宋体"/>
          <w:b/>
          <w:sz w:val="24"/>
        </w:rPr>
        <w:t>11.卖方迟交货、安装</w:t>
      </w:r>
    </w:p>
    <w:p w14:paraId="681C5548">
      <w:pPr>
        <w:spacing w:line="400" w:lineRule="exact"/>
        <w:ind w:firstLine="480"/>
        <w:rPr>
          <w:rFonts w:hint="eastAsia" w:ascii="宋体" w:hAnsi="宋体" w:cs="宋体"/>
          <w:bCs/>
          <w:sz w:val="24"/>
        </w:rPr>
      </w:pPr>
      <w:r>
        <w:rPr>
          <w:rFonts w:hint="eastAsia" w:ascii="宋体" w:hAnsi="宋体" w:cs="宋体"/>
          <w:sz w:val="24"/>
        </w:rPr>
        <w:t>11.1卖方应按照“合同主要条款及通用条款”中规定的交货期交货、安装，并交付买方验收使用。如果卖方无正当理由拖延交货、安装，将受到以下制裁：</w:t>
      </w:r>
      <w:r>
        <w:rPr>
          <w:rFonts w:hint="eastAsia" w:ascii="宋体" w:hAnsi="宋体" w:cs="宋体"/>
          <w:bCs/>
          <w:sz w:val="24"/>
        </w:rPr>
        <w:t>没收履约保证金，加收误期赔偿或终止合同。</w:t>
      </w:r>
    </w:p>
    <w:p w14:paraId="22008AEB">
      <w:pPr>
        <w:spacing w:line="400" w:lineRule="exact"/>
        <w:ind w:firstLine="480"/>
        <w:rPr>
          <w:rFonts w:hint="eastAsia" w:ascii="宋体" w:hAnsi="宋体" w:cs="宋体"/>
          <w:sz w:val="24"/>
        </w:rPr>
      </w:pPr>
      <w:r>
        <w:rPr>
          <w:rFonts w:hint="eastAsia" w:ascii="宋体" w:hAnsi="宋体" w:cs="宋体"/>
          <w:sz w:val="24"/>
        </w:rPr>
        <w:t>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p>
    <w:p w14:paraId="09DE1218">
      <w:pPr>
        <w:spacing w:line="400" w:lineRule="exact"/>
        <w:ind w:firstLine="482"/>
        <w:rPr>
          <w:rFonts w:hint="eastAsia" w:ascii="宋体" w:hAnsi="宋体" w:cs="宋体"/>
          <w:b/>
          <w:sz w:val="24"/>
        </w:rPr>
      </w:pPr>
      <w:r>
        <w:rPr>
          <w:rFonts w:hint="eastAsia" w:ascii="宋体" w:hAnsi="宋体" w:cs="宋体"/>
          <w:b/>
          <w:sz w:val="24"/>
        </w:rPr>
        <w:t>12.误期赔偿</w:t>
      </w:r>
    </w:p>
    <w:p w14:paraId="2768E974">
      <w:pPr>
        <w:spacing w:line="400" w:lineRule="exact"/>
        <w:ind w:firstLine="480"/>
        <w:rPr>
          <w:rFonts w:hint="eastAsia" w:ascii="宋体" w:hAnsi="宋体" w:cs="宋体"/>
          <w:sz w:val="24"/>
        </w:rPr>
      </w:pPr>
      <w:r>
        <w:rPr>
          <w:rFonts w:hint="eastAsia" w:ascii="宋体" w:hAnsi="宋体" w:cs="宋体"/>
          <w:sz w:val="24"/>
        </w:rPr>
        <w:t>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p>
    <w:p w14:paraId="7ED0CC98">
      <w:pPr>
        <w:spacing w:line="400" w:lineRule="exact"/>
        <w:ind w:firstLine="482"/>
        <w:rPr>
          <w:rFonts w:hint="eastAsia" w:ascii="宋体" w:hAnsi="宋体" w:cs="宋体"/>
          <w:b/>
          <w:sz w:val="24"/>
        </w:rPr>
      </w:pPr>
      <w:r>
        <w:rPr>
          <w:rFonts w:hint="eastAsia" w:ascii="宋体" w:hAnsi="宋体" w:cs="宋体"/>
          <w:b/>
          <w:sz w:val="24"/>
        </w:rPr>
        <w:t>13.不可抗力</w:t>
      </w:r>
    </w:p>
    <w:p w14:paraId="2B45F209">
      <w:pPr>
        <w:spacing w:line="400" w:lineRule="exact"/>
        <w:ind w:firstLine="480"/>
        <w:rPr>
          <w:rFonts w:hint="eastAsia" w:ascii="宋体" w:hAnsi="宋体" w:cs="宋体"/>
          <w:sz w:val="24"/>
        </w:rPr>
      </w:pPr>
      <w:r>
        <w:rPr>
          <w:rFonts w:hint="eastAsia" w:ascii="宋体" w:hAnsi="宋体" w:cs="宋体"/>
          <w:sz w:val="24"/>
        </w:rPr>
        <w:t>13.1尽管有合同条款第11条、12条和17条的规定，如果卖方因不可抗力而导致合同实施延误或不能履行合同义务的话，不应该被没收履约保证金，也不应该承担误期赔偿或终止合同的责任。</w:t>
      </w:r>
    </w:p>
    <w:p w14:paraId="3562FED7">
      <w:pPr>
        <w:spacing w:line="400" w:lineRule="exact"/>
        <w:ind w:firstLine="480"/>
        <w:rPr>
          <w:rFonts w:hint="eastAsia" w:ascii="宋体" w:hAnsi="宋体" w:cs="宋体"/>
          <w:sz w:val="24"/>
        </w:rPr>
      </w:pPr>
      <w:r>
        <w:rPr>
          <w:rFonts w:hint="eastAsia" w:ascii="宋体" w:hAnsi="宋体" w:cs="宋体"/>
          <w:sz w:val="24"/>
        </w:rPr>
        <w:t>13.2本条所述的“不可抗力”系指那些卖方无法控制、不可预见的事件，但不包括卖方的违约或疏忽。这些事件包括：战争、严重火灾、洪水、台风、地震以及其它买方和卖方商定的事件。</w:t>
      </w:r>
    </w:p>
    <w:p w14:paraId="31D74118">
      <w:pPr>
        <w:spacing w:line="400" w:lineRule="exact"/>
        <w:ind w:firstLine="480"/>
        <w:rPr>
          <w:rFonts w:hint="eastAsia" w:ascii="宋体" w:hAnsi="宋体" w:cs="宋体"/>
          <w:sz w:val="24"/>
        </w:rPr>
      </w:pPr>
      <w:r>
        <w:rPr>
          <w:rFonts w:hint="eastAsia" w:ascii="宋体" w:hAnsi="宋体" w:cs="宋体"/>
          <w:sz w:val="24"/>
        </w:rPr>
        <w:t>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p>
    <w:p w14:paraId="29E8F808">
      <w:pPr>
        <w:spacing w:line="400" w:lineRule="exact"/>
        <w:ind w:firstLine="482"/>
        <w:rPr>
          <w:rFonts w:hint="eastAsia" w:ascii="宋体" w:hAnsi="宋体" w:cs="宋体"/>
          <w:b/>
          <w:sz w:val="24"/>
        </w:rPr>
      </w:pPr>
      <w:r>
        <w:rPr>
          <w:rFonts w:hint="eastAsia" w:ascii="宋体" w:hAnsi="宋体" w:cs="宋体"/>
          <w:b/>
          <w:sz w:val="24"/>
        </w:rPr>
        <w:t>14.税费</w:t>
      </w:r>
    </w:p>
    <w:p w14:paraId="69801B3A">
      <w:pPr>
        <w:spacing w:line="400" w:lineRule="exact"/>
        <w:ind w:firstLine="480"/>
        <w:rPr>
          <w:rFonts w:hint="eastAsia" w:ascii="宋体" w:hAnsi="宋体" w:cs="宋体"/>
          <w:sz w:val="24"/>
        </w:rPr>
      </w:pPr>
      <w:r>
        <w:rPr>
          <w:rFonts w:hint="eastAsia" w:ascii="宋体" w:hAnsi="宋体" w:cs="宋体"/>
          <w:sz w:val="24"/>
        </w:rPr>
        <w:t>与本合同有关的一切税费，均由中标单位（卖方）负担。</w:t>
      </w:r>
    </w:p>
    <w:p w14:paraId="72A1757B">
      <w:pPr>
        <w:spacing w:line="400" w:lineRule="exact"/>
        <w:ind w:firstLine="472"/>
        <w:rPr>
          <w:rFonts w:hint="eastAsia" w:ascii="宋体" w:hAnsi="宋体" w:cs="宋体"/>
          <w:b/>
          <w:sz w:val="24"/>
        </w:rPr>
      </w:pPr>
      <w:r>
        <w:rPr>
          <w:rFonts w:hint="eastAsia" w:ascii="宋体" w:hAnsi="宋体" w:cs="宋体"/>
          <w:b/>
          <w:sz w:val="24"/>
        </w:rPr>
        <w:t>15.履约保证金</w:t>
      </w:r>
    </w:p>
    <w:p w14:paraId="3724E1BA">
      <w:pPr>
        <w:spacing w:line="400" w:lineRule="exact"/>
        <w:ind w:firstLine="480"/>
        <w:rPr>
          <w:rFonts w:hint="eastAsia" w:ascii="宋体" w:hAnsi="宋体" w:cs="宋体"/>
          <w:sz w:val="24"/>
        </w:rPr>
      </w:pPr>
      <w:r>
        <w:rPr>
          <w:rFonts w:hint="eastAsia" w:ascii="宋体" w:hAnsi="宋体" w:cs="宋体"/>
          <w:sz w:val="24"/>
        </w:rPr>
        <w:t>15.1履约保证金的有效期为货物验收合格后贰拾捌天。</w:t>
      </w:r>
    </w:p>
    <w:p w14:paraId="1CF461BB">
      <w:pPr>
        <w:spacing w:line="400" w:lineRule="exact"/>
        <w:ind w:firstLine="480"/>
        <w:rPr>
          <w:rFonts w:hint="eastAsia" w:ascii="宋体" w:hAnsi="宋体" w:cs="宋体"/>
          <w:sz w:val="24"/>
        </w:rPr>
      </w:pPr>
      <w:r>
        <w:rPr>
          <w:rFonts w:hint="eastAsia" w:ascii="宋体" w:hAnsi="宋体" w:cs="宋体"/>
          <w:sz w:val="24"/>
        </w:rPr>
        <w:t>15.2卖方提供的履约保证金必须是人民币，形式为银行本票、汇票、支票、电汇、电子保函等。</w:t>
      </w:r>
    </w:p>
    <w:p w14:paraId="66560F82">
      <w:pPr>
        <w:spacing w:line="400" w:lineRule="exact"/>
        <w:ind w:firstLine="480"/>
        <w:rPr>
          <w:rFonts w:hint="eastAsia" w:ascii="宋体" w:hAnsi="宋体" w:cs="宋体"/>
          <w:sz w:val="24"/>
        </w:rPr>
      </w:pPr>
      <w:r>
        <w:rPr>
          <w:rFonts w:hint="eastAsia" w:ascii="宋体" w:hAnsi="宋体" w:cs="宋体"/>
          <w:sz w:val="24"/>
        </w:rPr>
        <w:t>15.3如卖方未能履行合同规定的义务，买方有权从履约保证金中取得补偿。</w:t>
      </w:r>
    </w:p>
    <w:p w14:paraId="0E9DE07F">
      <w:pPr>
        <w:spacing w:line="400" w:lineRule="exact"/>
        <w:ind w:firstLine="480"/>
        <w:rPr>
          <w:rFonts w:hint="eastAsia" w:ascii="宋体" w:hAnsi="宋体" w:cs="宋体"/>
          <w:sz w:val="24"/>
        </w:rPr>
      </w:pPr>
      <w:r>
        <w:rPr>
          <w:rFonts w:hint="eastAsia" w:ascii="宋体" w:hAnsi="宋体" w:cs="宋体"/>
          <w:sz w:val="24"/>
        </w:rPr>
        <w:t>15.4履约保证金应在有效期满后叁天内退还给卖方，不计利息。</w:t>
      </w:r>
    </w:p>
    <w:p w14:paraId="59BA1BB0">
      <w:pPr>
        <w:spacing w:line="400" w:lineRule="exact"/>
        <w:rPr>
          <w:rFonts w:hint="eastAsia" w:ascii="宋体" w:hAnsi="宋体" w:cs="宋体"/>
          <w:b/>
          <w:sz w:val="24"/>
        </w:rPr>
      </w:pPr>
      <w:r>
        <w:rPr>
          <w:rFonts w:hint="eastAsia" w:ascii="宋体" w:hAnsi="宋体" w:cs="宋体"/>
          <w:b/>
          <w:sz w:val="24"/>
        </w:rPr>
        <w:t xml:space="preserve">    16.仲裁</w:t>
      </w:r>
    </w:p>
    <w:p w14:paraId="53C50794">
      <w:pPr>
        <w:spacing w:line="400" w:lineRule="exact"/>
        <w:ind w:firstLine="480"/>
        <w:rPr>
          <w:rFonts w:hint="eastAsia" w:ascii="宋体" w:hAnsi="宋体" w:cs="宋体"/>
          <w:sz w:val="24"/>
        </w:rPr>
      </w:pPr>
      <w:r>
        <w:rPr>
          <w:rFonts w:hint="eastAsia" w:ascii="宋体" w:hAnsi="宋体" w:cs="宋体"/>
          <w:sz w:val="24"/>
        </w:rPr>
        <w:t xml:space="preserve">   因合同及合同有关事项发生的争议，按下列第 2种方式解决：</w:t>
      </w:r>
    </w:p>
    <w:p w14:paraId="48C08E09">
      <w:pPr>
        <w:spacing w:line="400" w:lineRule="exact"/>
        <w:ind w:firstLine="480"/>
        <w:rPr>
          <w:rFonts w:hint="eastAsia" w:ascii="宋体" w:hAnsi="宋体" w:cs="宋体"/>
          <w:sz w:val="24"/>
        </w:rPr>
      </w:pPr>
      <w:r>
        <w:rPr>
          <w:rFonts w:hint="eastAsia" w:ascii="宋体" w:hAnsi="宋体" w:cs="宋体"/>
          <w:sz w:val="24"/>
        </w:rPr>
        <w:t xml:space="preserve">（1）向 </w:t>
      </w:r>
      <w:r>
        <w:rPr>
          <w:rFonts w:hint="eastAsia" w:ascii="宋体" w:hAnsi="宋体" w:cs="宋体"/>
          <w:i/>
          <w:iCs/>
          <w:sz w:val="24"/>
          <w:u w:val="single"/>
        </w:rPr>
        <w:t xml:space="preserve">   /    </w:t>
      </w:r>
      <w:r>
        <w:rPr>
          <w:rFonts w:hint="eastAsia" w:ascii="宋体" w:hAnsi="宋体" w:cs="宋体"/>
          <w:sz w:val="24"/>
        </w:rPr>
        <w:t xml:space="preserve"> 仲裁委员会申请仲裁；</w:t>
      </w:r>
    </w:p>
    <w:p w14:paraId="1E15BDDF">
      <w:pPr>
        <w:spacing w:line="400" w:lineRule="exact"/>
        <w:ind w:firstLine="480"/>
        <w:rPr>
          <w:rFonts w:hint="eastAsia" w:ascii="宋体" w:hAnsi="宋体" w:cs="宋体"/>
          <w:sz w:val="24"/>
        </w:rPr>
      </w:pPr>
      <w:r>
        <w:rPr>
          <w:rFonts w:hint="eastAsia" w:ascii="宋体" w:hAnsi="宋体" w:cs="宋体"/>
          <w:sz w:val="24"/>
        </w:rPr>
        <w:t xml:space="preserve">（2）向  </w:t>
      </w:r>
      <w:r>
        <w:rPr>
          <w:rFonts w:hint="eastAsia" w:ascii="宋体" w:hAnsi="宋体" w:cs="宋体"/>
          <w:sz w:val="24"/>
          <w:u w:val="single"/>
        </w:rPr>
        <w:t xml:space="preserve">  项目所在地  </w:t>
      </w:r>
      <w:r>
        <w:rPr>
          <w:rFonts w:hint="eastAsia" w:ascii="宋体" w:hAnsi="宋体" w:cs="宋体"/>
          <w:sz w:val="24"/>
        </w:rPr>
        <w:t xml:space="preserve"> 人民法院起诉。</w:t>
      </w:r>
    </w:p>
    <w:p w14:paraId="4321DC3E">
      <w:pPr>
        <w:pStyle w:val="21"/>
        <w:spacing w:line="400" w:lineRule="exact"/>
        <w:rPr>
          <w:rFonts w:hint="eastAsia" w:hAnsi="宋体" w:cs="宋体"/>
          <w:b/>
          <w:sz w:val="24"/>
          <w:szCs w:val="24"/>
        </w:rPr>
      </w:pPr>
      <w:r>
        <w:rPr>
          <w:rFonts w:hint="eastAsia" w:hAnsi="宋体" w:cs="宋体"/>
          <w:b/>
          <w:sz w:val="24"/>
          <w:szCs w:val="24"/>
        </w:rPr>
        <w:t xml:space="preserve">    17.违约终止合同</w:t>
      </w:r>
    </w:p>
    <w:p w14:paraId="050B1443">
      <w:pPr>
        <w:pStyle w:val="21"/>
        <w:tabs>
          <w:tab w:val="left" w:pos="540"/>
        </w:tabs>
        <w:spacing w:line="400" w:lineRule="exact"/>
        <w:ind w:firstLine="480"/>
        <w:rPr>
          <w:rFonts w:hint="eastAsia" w:hAnsi="宋体" w:cs="宋体"/>
          <w:sz w:val="24"/>
          <w:szCs w:val="24"/>
        </w:rPr>
      </w:pPr>
      <w:r>
        <w:rPr>
          <w:rFonts w:hint="eastAsia" w:hAnsi="宋体" w:cs="宋体"/>
          <w:sz w:val="24"/>
          <w:szCs w:val="24"/>
        </w:rPr>
        <w:t>17.1在买方对卖方违约而采取的任何补救措施不受影响的情况下，买方可向卖方发出终止部分或全部合同的书面通知书。</w:t>
      </w:r>
    </w:p>
    <w:p w14:paraId="15150ABC">
      <w:pPr>
        <w:pStyle w:val="21"/>
        <w:spacing w:line="400" w:lineRule="exact"/>
        <w:rPr>
          <w:rFonts w:hint="eastAsia" w:hAnsi="宋体" w:cs="宋体"/>
          <w:sz w:val="24"/>
          <w:szCs w:val="24"/>
        </w:rPr>
      </w:pPr>
      <w:r>
        <w:rPr>
          <w:rFonts w:hint="eastAsia" w:hAnsi="宋体" w:cs="宋体"/>
          <w:sz w:val="24"/>
          <w:szCs w:val="24"/>
        </w:rPr>
        <w:t xml:space="preserve">   （1）如果卖方未能按合同规定的期限或买方同意延长的期限内提供部分或全部货物；</w:t>
      </w:r>
    </w:p>
    <w:p w14:paraId="63499135">
      <w:pPr>
        <w:pStyle w:val="21"/>
        <w:spacing w:line="400" w:lineRule="exact"/>
        <w:rPr>
          <w:rFonts w:hint="eastAsia" w:hAnsi="宋体" w:cs="宋体"/>
          <w:sz w:val="24"/>
          <w:szCs w:val="24"/>
        </w:rPr>
      </w:pPr>
      <w:r>
        <w:rPr>
          <w:rFonts w:hint="eastAsia" w:hAnsi="宋体" w:cs="宋体"/>
          <w:sz w:val="24"/>
          <w:szCs w:val="24"/>
        </w:rPr>
        <w:t xml:space="preserve">   （2）卖方在收到买方发出的违约通知后贰拾天内，或经买方书面认可可延长的时间内未能纠正其过失；</w:t>
      </w:r>
    </w:p>
    <w:p w14:paraId="18547FF7">
      <w:pPr>
        <w:pStyle w:val="21"/>
        <w:spacing w:line="400" w:lineRule="exact"/>
        <w:rPr>
          <w:rFonts w:hint="eastAsia" w:hAnsi="宋体" w:cs="宋体"/>
          <w:sz w:val="24"/>
          <w:szCs w:val="24"/>
        </w:rPr>
      </w:pPr>
      <w:r>
        <w:rPr>
          <w:rFonts w:hint="eastAsia" w:hAnsi="宋体" w:cs="宋体"/>
          <w:sz w:val="24"/>
          <w:szCs w:val="24"/>
        </w:rPr>
        <w:t xml:space="preserve">   （3）如果卖方未能履行合同规定的其他义务。</w:t>
      </w:r>
    </w:p>
    <w:p w14:paraId="7CBDD4CF">
      <w:pPr>
        <w:pStyle w:val="21"/>
        <w:spacing w:line="400" w:lineRule="exact"/>
        <w:rPr>
          <w:rFonts w:hint="eastAsia" w:hAnsi="宋体" w:cs="宋体"/>
          <w:sz w:val="24"/>
          <w:szCs w:val="24"/>
        </w:rPr>
      </w:pPr>
      <w:r>
        <w:rPr>
          <w:rFonts w:hint="eastAsia" w:hAnsi="宋体" w:cs="宋体"/>
          <w:sz w:val="24"/>
          <w:szCs w:val="24"/>
        </w:rPr>
        <w:t xml:space="preserve">    17.2在买方根据上述第17.1条规定，终止了全部或部分合同后，买方可以依其认为适当的条件和方法购买与未交货物类似的货物，卖方应对买方购买类似货物所超出的那部分费用负责，并继续执行合同中未终止的部分。</w:t>
      </w:r>
    </w:p>
    <w:p w14:paraId="1999FE3D">
      <w:pPr>
        <w:pStyle w:val="21"/>
        <w:spacing w:line="400" w:lineRule="exact"/>
        <w:rPr>
          <w:rFonts w:hint="eastAsia" w:hAnsi="宋体" w:cs="宋体"/>
          <w:b/>
          <w:sz w:val="24"/>
          <w:szCs w:val="24"/>
        </w:rPr>
      </w:pPr>
      <w:r>
        <w:rPr>
          <w:rFonts w:hint="eastAsia" w:hAnsi="宋体" w:cs="宋体"/>
          <w:b/>
          <w:sz w:val="24"/>
          <w:szCs w:val="24"/>
        </w:rPr>
        <w:t xml:space="preserve">    18.破产中止合同</w:t>
      </w:r>
    </w:p>
    <w:p w14:paraId="43BB3982">
      <w:pPr>
        <w:pStyle w:val="21"/>
        <w:spacing w:line="400" w:lineRule="exact"/>
        <w:ind w:firstLine="240"/>
        <w:rPr>
          <w:rFonts w:hint="eastAsia" w:hAnsi="宋体" w:cs="宋体"/>
          <w:sz w:val="24"/>
          <w:szCs w:val="24"/>
        </w:rPr>
      </w:pPr>
      <w:r>
        <w:rPr>
          <w:rFonts w:hint="eastAsia" w:hAnsi="宋体" w:cs="宋体"/>
          <w:sz w:val="24"/>
          <w:szCs w:val="24"/>
        </w:rPr>
        <w:t xml:space="preserve"> 18.1如果卖方破产或无清偿能力，买方可在任何时候以书面形式通知卖方中止合同而不给卖方补偿。该中止合同将不损害或影响买方和使用方已经采取或将要采取的任何行动或补救措施的权力</w:t>
      </w:r>
    </w:p>
    <w:p w14:paraId="009A17C8">
      <w:pPr>
        <w:pStyle w:val="21"/>
        <w:spacing w:line="400" w:lineRule="exact"/>
        <w:rPr>
          <w:rFonts w:hint="eastAsia" w:hAnsi="宋体" w:cs="宋体"/>
          <w:b/>
          <w:sz w:val="24"/>
          <w:szCs w:val="24"/>
        </w:rPr>
      </w:pPr>
      <w:r>
        <w:rPr>
          <w:rFonts w:hint="eastAsia" w:hAnsi="宋体" w:cs="宋体"/>
          <w:b/>
          <w:sz w:val="24"/>
          <w:szCs w:val="24"/>
        </w:rPr>
        <w:t xml:space="preserve">    19.转让</w:t>
      </w:r>
    </w:p>
    <w:p w14:paraId="328F082F">
      <w:pPr>
        <w:pStyle w:val="21"/>
        <w:spacing w:line="400" w:lineRule="exact"/>
        <w:ind w:firstLine="480"/>
        <w:rPr>
          <w:rFonts w:hint="eastAsia" w:hAnsi="宋体" w:cs="宋体"/>
          <w:sz w:val="24"/>
          <w:szCs w:val="24"/>
        </w:rPr>
      </w:pPr>
      <w:r>
        <w:rPr>
          <w:rFonts w:hint="eastAsia" w:hAnsi="宋体" w:cs="宋体"/>
          <w:sz w:val="24"/>
          <w:szCs w:val="24"/>
        </w:rPr>
        <w:t>19.1 除买方事先书面同意外，卖方不得部分转让或全部转让其应履行的合同义务。</w:t>
      </w:r>
    </w:p>
    <w:p w14:paraId="3439B337">
      <w:pPr>
        <w:pStyle w:val="21"/>
        <w:spacing w:line="400" w:lineRule="exact"/>
        <w:rPr>
          <w:rFonts w:hint="eastAsia" w:hAnsi="宋体" w:cs="宋体"/>
          <w:b/>
          <w:sz w:val="24"/>
          <w:szCs w:val="24"/>
        </w:rPr>
      </w:pPr>
      <w:r>
        <w:rPr>
          <w:rFonts w:hint="eastAsia" w:hAnsi="宋体" w:cs="宋体"/>
          <w:b/>
          <w:sz w:val="24"/>
          <w:szCs w:val="24"/>
        </w:rPr>
        <w:t xml:space="preserve">    20.合同生效及其它</w:t>
      </w:r>
    </w:p>
    <w:p w14:paraId="249D168B">
      <w:pPr>
        <w:spacing w:line="400" w:lineRule="exact"/>
        <w:rPr>
          <w:rFonts w:hint="eastAsia" w:ascii="宋体" w:hAnsi="宋体" w:cs="宋体"/>
          <w:b/>
          <w:sz w:val="24"/>
        </w:rPr>
      </w:pPr>
      <w:r>
        <w:rPr>
          <w:rFonts w:hint="eastAsia" w:ascii="宋体" w:hAnsi="宋体" w:cs="宋体"/>
          <w:sz w:val="24"/>
        </w:rPr>
        <w:t xml:space="preserve">   20.1采购人在公告媒介发布的文件、卖方提交的响应文件、本次谈判的成交通知书和谈判过程中卖方的澄清等内容将作为本次采购合同文件的主要内容。卖方在合同履行过程中若发生服务内容缩减、服务不及时的现象，买方有权对卖方处以适当的经济处罚</w:t>
      </w:r>
      <w:r>
        <w:rPr>
          <w:rFonts w:hint="eastAsia" w:ascii="宋体" w:hAnsi="宋体" w:cs="宋体"/>
          <w:b/>
          <w:sz w:val="24"/>
        </w:rPr>
        <w:t>。</w:t>
      </w:r>
    </w:p>
    <w:p w14:paraId="39768E41">
      <w:pPr>
        <w:pStyle w:val="21"/>
        <w:spacing w:line="400" w:lineRule="exact"/>
        <w:ind w:firstLine="480"/>
        <w:rPr>
          <w:rFonts w:hint="eastAsia" w:hAnsi="宋体" w:cs="宋体"/>
          <w:sz w:val="24"/>
          <w:szCs w:val="24"/>
        </w:rPr>
      </w:pPr>
      <w:r>
        <w:rPr>
          <w:rFonts w:hint="eastAsia" w:hAnsi="宋体" w:cs="宋体"/>
          <w:sz w:val="24"/>
          <w:szCs w:val="24"/>
        </w:rPr>
        <w:t>20.2本合同应在买方和卖方双方签字盖章，并在卖方向代理机构交纳履约保证金后生效。</w:t>
      </w:r>
    </w:p>
    <w:p w14:paraId="143C14D7">
      <w:pPr>
        <w:pStyle w:val="21"/>
        <w:spacing w:line="400" w:lineRule="exact"/>
        <w:rPr>
          <w:rFonts w:hint="eastAsia" w:hAnsi="宋体" w:cs="宋体"/>
          <w:sz w:val="24"/>
          <w:szCs w:val="24"/>
        </w:rPr>
      </w:pPr>
      <w:r>
        <w:rPr>
          <w:rFonts w:hint="eastAsia" w:hAnsi="宋体" w:cs="宋体"/>
          <w:sz w:val="24"/>
          <w:szCs w:val="24"/>
        </w:rPr>
        <w:t xml:space="preserve">    20.3本合同一式六份，买方执二份，卖方执二份、代理机构二份。</w:t>
      </w:r>
    </w:p>
    <w:p w14:paraId="5FF84755">
      <w:pPr>
        <w:pStyle w:val="21"/>
        <w:spacing w:line="400" w:lineRule="exact"/>
        <w:ind w:firstLine="480"/>
        <w:rPr>
          <w:rFonts w:hint="eastAsia" w:hAnsi="宋体" w:cs="宋体"/>
          <w:sz w:val="24"/>
          <w:szCs w:val="24"/>
        </w:rPr>
      </w:pPr>
      <w:r>
        <w:rPr>
          <w:rFonts w:hint="eastAsia" w:hAnsi="宋体" w:cs="宋体"/>
          <w:sz w:val="24"/>
          <w:szCs w:val="24"/>
        </w:rPr>
        <w:t>20.4合同货物交付使用后所发生的合同纠纷，买方与卖方进行协商处理。</w:t>
      </w:r>
    </w:p>
    <w:p w14:paraId="52D56FCE">
      <w:pPr>
        <w:pStyle w:val="21"/>
        <w:spacing w:line="400" w:lineRule="exact"/>
        <w:ind w:firstLine="480"/>
        <w:rPr>
          <w:rFonts w:hint="eastAsia" w:hAnsi="宋体" w:cs="宋体"/>
          <w:sz w:val="24"/>
          <w:szCs w:val="24"/>
        </w:rPr>
      </w:pPr>
      <w:r>
        <w:rPr>
          <w:rFonts w:hint="eastAsia" w:hAnsi="宋体" w:cs="宋体"/>
          <w:sz w:val="24"/>
          <w:szCs w:val="24"/>
        </w:rPr>
        <w:t>20.5如需修改或补充合同内容，应经卖方、买方协商，签署书面修改或补充协议。该协议将作为本合同不可分割的一部分。</w:t>
      </w:r>
    </w:p>
    <w:p w14:paraId="612F0933">
      <w:pPr>
        <w:spacing w:line="400" w:lineRule="exact"/>
        <w:ind w:firstLine="480"/>
        <w:rPr>
          <w:rFonts w:hint="eastAsia" w:ascii="宋体" w:hAnsi="宋体" w:cs="宋体"/>
          <w:sz w:val="24"/>
        </w:rPr>
        <w:sectPr>
          <w:pgSz w:w="11906" w:h="16838"/>
          <w:pgMar w:top="1440" w:right="1463" w:bottom="1440" w:left="1463" w:header="851" w:footer="992" w:gutter="0"/>
          <w:pgNumType w:start="1"/>
          <w:cols w:space="720" w:num="1"/>
        </w:sectPr>
      </w:pPr>
      <w:r>
        <w:rPr>
          <w:rFonts w:hint="eastAsia" w:ascii="宋体" w:hAnsi="宋体" w:cs="宋体"/>
          <w:sz w:val="24"/>
        </w:rPr>
        <w:t>20.6本合同应按照中华人民共和国的现行法律进行解释。</w:t>
      </w:r>
    </w:p>
    <w:p w14:paraId="6480E1C9"/>
    <w:p w14:paraId="3F62CA50">
      <w:pPr>
        <w:spacing w:after="156"/>
        <w:jc w:val="center"/>
        <w:rPr>
          <w:rFonts w:hint="eastAsia" w:asciiTheme="majorEastAsia" w:hAnsiTheme="majorEastAsia" w:eastAsiaTheme="majorEastAsia" w:cstheme="majorEastAsia"/>
          <w:b/>
          <w:sz w:val="32"/>
          <w:szCs w:val="32"/>
        </w:rPr>
      </w:pPr>
      <w:r>
        <w:rPr>
          <w:rFonts w:hint="eastAsia" w:asciiTheme="majorEastAsia" w:hAnsiTheme="majorEastAsia" w:eastAsiaTheme="majorEastAsia" w:cstheme="majorEastAsia"/>
          <w:b/>
          <w:sz w:val="32"/>
          <w:szCs w:val="32"/>
        </w:rPr>
        <w:t>第五章  采购需求</w:t>
      </w:r>
    </w:p>
    <w:tbl>
      <w:tblPr>
        <w:tblStyle w:val="40"/>
        <w:tblW w:w="14019" w:type="dxa"/>
        <w:tblInd w:w="91" w:type="dxa"/>
        <w:tblLayout w:type="fixed"/>
        <w:tblCellMar>
          <w:top w:w="0" w:type="dxa"/>
          <w:left w:w="108" w:type="dxa"/>
          <w:bottom w:w="0" w:type="dxa"/>
          <w:right w:w="108" w:type="dxa"/>
        </w:tblCellMar>
      </w:tblPr>
      <w:tblGrid>
        <w:gridCol w:w="995"/>
        <w:gridCol w:w="995"/>
        <w:gridCol w:w="995"/>
        <w:gridCol w:w="1290"/>
        <w:gridCol w:w="7934"/>
        <w:gridCol w:w="815"/>
        <w:gridCol w:w="995"/>
      </w:tblGrid>
      <w:tr w14:paraId="38E24455">
        <w:tblPrEx>
          <w:tblCellMar>
            <w:top w:w="0" w:type="dxa"/>
            <w:left w:w="108" w:type="dxa"/>
            <w:bottom w:w="0" w:type="dxa"/>
            <w:right w:w="108" w:type="dxa"/>
          </w:tblCellMar>
        </w:tblPrEx>
        <w:trPr>
          <w:trHeight w:val="453" w:hRule="atLeast"/>
        </w:trPr>
        <w:tc>
          <w:tcPr>
            <w:tcW w:w="995" w:type="dxa"/>
            <w:tcBorders>
              <w:top w:val="single" w:color="auto" w:sz="4" w:space="0"/>
              <w:left w:val="single" w:color="auto" w:sz="4" w:space="0"/>
              <w:bottom w:val="single" w:color="auto" w:sz="4" w:space="0"/>
              <w:right w:val="single" w:color="auto" w:sz="4" w:space="0"/>
            </w:tcBorders>
            <w:vAlign w:val="center"/>
          </w:tcPr>
          <w:p w14:paraId="4BF8474A">
            <w:pPr>
              <w:widowControl/>
              <w:spacing w:line="360" w:lineRule="auto"/>
              <w:jc w:val="center"/>
              <w:rPr>
                <w:rFonts w:hint="eastAsia" w:ascii="宋体" w:hAnsi="宋体" w:cs="宋体"/>
                <w:b/>
                <w:bCs/>
                <w:color w:val="000000"/>
                <w:sz w:val="24"/>
              </w:rPr>
            </w:pPr>
            <w:r>
              <w:rPr>
                <w:rFonts w:hint="eastAsia" w:ascii="宋体" w:hAnsi="宋体" w:cs="宋体"/>
                <w:b/>
                <w:bCs/>
                <w:color w:val="000000"/>
                <w:sz w:val="24"/>
              </w:rPr>
              <w:t>序号</w:t>
            </w:r>
          </w:p>
        </w:tc>
        <w:tc>
          <w:tcPr>
            <w:tcW w:w="995" w:type="dxa"/>
            <w:tcBorders>
              <w:top w:val="single" w:color="auto" w:sz="4" w:space="0"/>
              <w:left w:val="nil"/>
              <w:bottom w:val="single" w:color="auto" w:sz="4" w:space="0"/>
              <w:right w:val="single" w:color="auto" w:sz="4" w:space="0"/>
            </w:tcBorders>
            <w:vAlign w:val="center"/>
          </w:tcPr>
          <w:p w14:paraId="0ED3AEC3">
            <w:pPr>
              <w:widowControl/>
              <w:spacing w:line="360" w:lineRule="auto"/>
              <w:jc w:val="center"/>
              <w:rPr>
                <w:rFonts w:hint="eastAsia" w:ascii="宋体" w:hAnsi="宋体" w:cs="宋体"/>
                <w:b/>
                <w:bCs/>
                <w:color w:val="000000"/>
                <w:sz w:val="24"/>
              </w:rPr>
            </w:pPr>
            <w:r>
              <w:rPr>
                <w:rFonts w:hint="eastAsia" w:ascii="宋体" w:hAnsi="宋体" w:cs="宋体"/>
                <w:b/>
                <w:bCs/>
                <w:color w:val="000000"/>
                <w:sz w:val="24"/>
              </w:rPr>
              <w:t>模块</w:t>
            </w:r>
          </w:p>
        </w:tc>
        <w:tc>
          <w:tcPr>
            <w:tcW w:w="2285" w:type="dxa"/>
            <w:gridSpan w:val="2"/>
            <w:tcBorders>
              <w:top w:val="single" w:color="auto" w:sz="4" w:space="0"/>
              <w:left w:val="nil"/>
              <w:bottom w:val="single" w:color="auto" w:sz="4" w:space="0"/>
              <w:right w:val="single" w:color="auto" w:sz="4" w:space="0"/>
            </w:tcBorders>
            <w:vAlign w:val="center"/>
          </w:tcPr>
          <w:p w14:paraId="69E43040">
            <w:pPr>
              <w:widowControl/>
              <w:spacing w:line="360" w:lineRule="auto"/>
              <w:jc w:val="center"/>
              <w:rPr>
                <w:rFonts w:hint="eastAsia" w:ascii="宋体" w:hAnsi="宋体" w:cs="宋体"/>
                <w:b/>
                <w:bCs/>
                <w:color w:val="000000"/>
                <w:sz w:val="24"/>
              </w:rPr>
            </w:pPr>
            <w:r>
              <w:rPr>
                <w:rFonts w:hint="eastAsia" w:ascii="宋体" w:hAnsi="宋体" w:cs="宋体"/>
                <w:b/>
                <w:bCs/>
                <w:color w:val="000000"/>
                <w:sz w:val="24"/>
              </w:rPr>
              <w:t>设备名称</w:t>
            </w:r>
          </w:p>
        </w:tc>
        <w:tc>
          <w:tcPr>
            <w:tcW w:w="7934" w:type="dxa"/>
            <w:tcBorders>
              <w:top w:val="single" w:color="auto" w:sz="4" w:space="0"/>
              <w:left w:val="nil"/>
              <w:bottom w:val="single" w:color="auto" w:sz="4" w:space="0"/>
              <w:right w:val="single" w:color="auto" w:sz="4" w:space="0"/>
            </w:tcBorders>
            <w:vAlign w:val="center"/>
          </w:tcPr>
          <w:p w14:paraId="721BF70A">
            <w:pPr>
              <w:widowControl/>
              <w:spacing w:line="360" w:lineRule="auto"/>
              <w:jc w:val="center"/>
              <w:rPr>
                <w:rFonts w:hint="eastAsia" w:ascii="宋体" w:hAnsi="宋体" w:cs="宋体"/>
                <w:b/>
                <w:bCs/>
                <w:color w:val="000000"/>
                <w:sz w:val="24"/>
              </w:rPr>
            </w:pPr>
            <w:r>
              <w:rPr>
                <w:rFonts w:hint="eastAsia" w:ascii="宋体" w:hAnsi="宋体" w:cs="宋体"/>
                <w:b/>
                <w:bCs/>
                <w:color w:val="000000"/>
                <w:sz w:val="24"/>
              </w:rPr>
              <w:t>参数</w:t>
            </w:r>
          </w:p>
        </w:tc>
        <w:tc>
          <w:tcPr>
            <w:tcW w:w="815" w:type="dxa"/>
            <w:tcBorders>
              <w:top w:val="single" w:color="auto" w:sz="4" w:space="0"/>
              <w:left w:val="nil"/>
              <w:bottom w:val="single" w:color="auto" w:sz="4" w:space="0"/>
              <w:right w:val="single" w:color="auto" w:sz="4" w:space="0"/>
            </w:tcBorders>
            <w:vAlign w:val="center"/>
          </w:tcPr>
          <w:p w14:paraId="35E13B23">
            <w:pPr>
              <w:widowControl/>
              <w:spacing w:line="360" w:lineRule="auto"/>
              <w:jc w:val="center"/>
              <w:rPr>
                <w:rFonts w:hint="eastAsia" w:ascii="宋体" w:hAnsi="宋体" w:cs="宋体"/>
                <w:b/>
                <w:bCs/>
                <w:color w:val="000000"/>
                <w:sz w:val="24"/>
              </w:rPr>
            </w:pPr>
            <w:r>
              <w:rPr>
                <w:rFonts w:hint="eastAsia" w:ascii="宋体" w:hAnsi="宋体" w:cs="宋体"/>
                <w:b/>
                <w:bCs/>
                <w:color w:val="000000"/>
                <w:sz w:val="24"/>
              </w:rPr>
              <w:t>数量</w:t>
            </w:r>
          </w:p>
        </w:tc>
        <w:tc>
          <w:tcPr>
            <w:tcW w:w="995" w:type="dxa"/>
            <w:tcBorders>
              <w:top w:val="single" w:color="auto" w:sz="4" w:space="0"/>
              <w:left w:val="nil"/>
              <w:bottom w:val="single" w:color="auto" w:sz="4" w:space="0"/>
              <w:right w:val="single" w:color="auto" w:sz="4" w:space="0"/>
            </w:tcBorders>
            <w:vAlign w:val="center"/>
          </w:tcPr>
          <w:p w14:paraId="1CA674F9">
            <w:pPr>
              <w:widowControl/>
              <w:spacing w:line="360" w:lineRule="auto"/>
              <w:jc w:val="center"/>
              <w:rPr>
                <w:rFonts w:hint="eastAsia" w:ascii="宋体" w:hAnsi="宋体" w:cs="宋体"/>
                <w:b/>
                <w:bCs/>
                <w:color w:val="000000"/>
                <w:sz w:val="24"/>
              </w:rPr>
            </w:pPr>
            <w:r>
              <w:rPr>
                <w:rFonts w:hint="eastAsia" w:ascii="宋体" w:hAnsi="宋体" w:cs="宋体"/>
                <w:b/>
                <w:bCs/>
                <w:color w:val="000000"/>
                <w:sz w:val="24"/>
              </w:rPr>
              <w:t>单位</w:t>
            </w:r>
          </w:p>
        </w:tc>
      </w:tr>
      <w:tr w14:paraId="2F711F17">
        <w:tblPrEx>
          <w:tblCellMar>
            <w:top w:w="0" w:type="dxa"/>
            <w:left w:w="108" w:type="dxa"/>
            <w:bottom w:w="0" w:type="dxa"/>
            <w:right w:w="108" w:type="dxa"/>
          </w:tblCellMar>
        </w:tblPrEx>
        <w:trPr>
          <w:trHeight w:val="453" w:hRule="atLeast"/>
        </w:trPr>
        <w:tc>
          <w:tcPr>
            <w:tcW w:w="14019" w:type="dxa"/>
            <w:gridSpan w:val="7"/>
            <w:tcBorders>
              <w:top w:val="single" w:color="auto" w:sz="4" w:space="0"/>
              <w:left w:val="single" w:color="auto" w:sz="4" w:space="0"/>
              <w:bottom w:val="single" w:color="auto" w:sz="4" w:space="0"/>
              <w:right w:val="single" w:color="auto" w:sz="4" w:space="0"/>
            </w:tcBorders>
            <w:vAlign w:val="center"/>
          </w:tcPr>
          <w:p w14:paraId="5B643C7B">
            <w:pPr>
              <w:widowControl/>
              <w:spacing w:line="360" w:lineRule="auto"/>
              <w:jc w:val="left"/>
              <w:rPr>
                <w:rFonts w:hint="eastAsia" w:ascii="宋体" w:hAnsi="宋体" w:cs="宋体"/>
                <w:b/>
                <w:bCs/>
                <w:color w:val="000000"/>
                <w:sz w:val="24"/>
              </w:rPr>
            </w:pPr>
            <w:r>
              <w:rPr>
                <w:rFonts w:hint="eastAsia" w:ascii="宋体" w:hAnsi="宋体" w:cs="宋体"/>
                <w:b/>
                <w:bCs/>
                <w:color w:val="000000"/>
                <w:sz w:val="24"/>
              </w:rPr>
              <w:t>一、农田信息智能监测</w:t>
            </w:r>
          </w:p>
        </w:tc>
      </w:tr>
      <w:tr w14:paraId="681E69D0">
        <w:tblPrEx>
          <w:tblCellMar>
            <w:top w:w="0" w:type="dxa"/>
            <w:left w:w="108" w:type="dxa"/>
            <w:bottom w:w="0" w:type="dxa"/>
            <w:right w:w="108" w:type="dxa"/>
          </w:tblCellMar>
        </w:tblPrEx>
        <w:trPr>
          <w:trHeight w:val="20" w:hRule="atLeast"/>
        </w:trPr>
        <w:tc>
          <w:tcPr>
            <w:tcW w:w="995" w:type="dxa"/>
            <w:vMerge w:val="restart"/>
            <w:tcBorders>
              <w:top w:val="nil"/>
              <w:left w:val="single" w:color="auto" w:sz="4" w:space="0"/>
              <w:bottom w:val="single" w:color="auto" w:sz="4" w:space="0"/>
              <w:right w:val="single" w:color="auto" w:sz="4" w:space="0"/>
            </w:tcBorders>
            <w:vAlign w:val="center"/>
          </w:tcPr>
          <w:p w14:paraId="21C2781E">
            <w:pPr>
              <w:widowControl/>
              <w:spacing w:line="360" w:lineRule="auto"/>
              <w:jc w:val="center"/>
              <w:rPr>
                <w:rFonts w:hint="eastAsia" w:ascii="宋体" w:hAnsi="宋体" w:cs="宋体"/>
                <w:color w:val="000000"/>
                <w:sz w:val="24"/>
              </w:rPr>
            </w:pPr>
            <w:r>
              <w:rPr>
                <w:rFonts w:hint="eastAsia" w:ascii="宋体" w:hAnsi="宋体" w:cs="宋体"/>
                <w:color w:val="000000"/>
                <w:sz w:val="24"/>
              </w:rPr>
              <w:t>1</w:t>
            </w:r>
          </w:p>
        </w:tc>
        <w:tc>
          <w:tcPr>
            <w:tcW w:w="995" w:type="dxa"/>
            <w:vMerge w:val="restart"/>
            <w:tcBorders>
              <w:top w:val="nil"/>
              <w:left w:val="single" w:color="auto" w:sz="4" w:space="0"/>
              <w:bottom w:val="single" w:color="auto" w:sz="4" w:space="0"/>
              <w:right w:val="single" w:color="auto" w:sz="4" w:space="0"/>
            </w:tcBorders>
            <w:vAlign w:val="center"/>
          </w:tcPr>
          <w:p w14:paraId="3C86EAAB">
            <w:pPr>
              <w:widowControl/>
              <w:spacing w:line="360" w:lineRule="auto"/>
              <w:jc w:val="center"/>
              <w:rPr>
                <w:rFonts w:hint="eastAsia" w:ascii="宋体" w:hAnsi="宋体" w:cs="宋体"/>
                <w:color w:val="000000"/>
                <w:sz w:val="24"/>
              </w:rPr>
            </w:pPr>
            <w:r>
              <w:rPr>
                <w:rFonts w:hint="eastAsia" w:ascii="宋体" w:hAnsi="宋体" w:cs="宋体"/>
                <w:color w:val="000000"/>
                <w:sz w:val="24"/>
              </w:rPr>
              <w:t>病虫害智能防控</w:t>
            </w:r>
          </w:p>
        </w:tc>
        <w:tc>
          <w:tcPr>
            <w:tcW w:w="995" w:type="dxa"/>
            <w:tcBorders>
              <w:top w:val="nil"/>
              <w:left w:val="nil"/>
              <w:bottom w:val="single" w:color="auto" w:sz="4" w:space="0"/>
              <w:right w:val="single" w:color="auto" w:sz="4" w:space="0"/>
            </w:tcBorders>
            <w:vAlign w:val="center"/>
          </w:tcPr>
          <w:p w14:paraId="1EE57ECF">
            <w:pPr>
              <w:widowControl/>
              <w:spacing w:line="360" w:lineRule="auto"/>
              <w:jc w:val="center"/>
              <w:rPr>
                <w:rFonts w:hint="eastAsia" w:ascii="宋体" w:hAnsi="宋体" w:cs="宋体"/>
                <w:color w:val="000000"/>
                <w:sz w:val="24"/>
              </w:rPr>
            </w:pPr>
            <w:r>
              <w:rPr>
                <w:rFonts w:hint="eastAsia" w:ascii="宋体" w:hAnsi="宋体" w:cs="宋体"/>
                <w:color w:val="000000"/>
                <w:sz w:val="24"/>
              </w:rPr>
              <w:t>智能虫情监测站</w:t>
            </w:r>
          </w:p>
          <w:p w14:paraId="653E991F">
            <w:pPr>
              <w:widowControl/>
              <w:spacing w:line="360" w:lineRule="auto"/>
              <w:jc w:val="center"/>
              <w:rPr>
                <w:rFonts w:hint="eastAsia" w:ascii="宋体" w:hAnsi="宋体" w:cs="宋体"/>
                <w:color w:val="000000"/>
                <w:sz w:val="24"/>
              </w:rPr>
            </w:pPr>
          </w:p>
        </w:tc>
        <w:tc>
          <w:tcPr>
            <w:tcW w:w="1290" w:type="dxa"/>
            <w:tcBorders>
              <w:top w:val="nil"/>
              <w:left w:val="nil"/>
              <w:bottom w:val="single" w:color="auto" w:sz="4" w:space="0"/>
              <w:right w:val="single" w:color="auto" w:sz="4" w:space="0"/>
            </w:tcBorders>
            <w:vAlign w:val="center"/>
          </w:tcPr>
          <w:p w14:paraId="2D8536DE">
            <w:pPr>
              <w:widowControl/>
              <w:spacing w:line="360" w:lineRule="auto"/>
              <w:jc w:val="center"/>
              <w:rPr>
                <w:rFonts w:hint="eastAsia" w:ascii="宋体" w:hAnsi="宋体" w:cs="宋体"/>
                <w:color w:val="000000"/>
                <w:sz w:val="24"/>
              </w:rPr>
            </w:pPr>
            <w:bookmarkStart w:id="62" w:name="OLE_LINK30"/>
            <w:bookmarkStart w:id="63" w:name="OLE_LINK31"/>
            <w:r>
              <w:rPr>
                <w:rFonts w:hint="eastAsia" w:ascii="宋体" w:hAnsi="宋体" w:cs="宋体"/>
                <w:color w:val="000000"/>
                <w:sz w:val="24"/>
              </w:rPr>
              <w:t>智能虫情测报灯</w:t>
            </w:r>
            <w:bookmarkEnd w:id="62"/>
            <w:bookmarkEnd w:id="63"/>
          </w:p>
        </w:tc>
        <w:tc>
          <w:tcPr>
            <w:tcW w:w="7934" w:type="dxa"/>
            <w:tcBorders>
              <w:top w:val="nil"/>
              <w:left w:val="nil"/>
              <w:bottom w:val="single" w:color="auto" w:sz="4" w:space="0"/>
              <w:right w:val="single" w:color="auto" w:sz="4" w:space="0"/>
            </w:tcBorders>
            <w:vAlign w:val="center"/>
          </w:tcPr>
          <w:p w14:paraId="6A96BF1C">
            <w:pPr>
              <w:widowControl/>
              <w:spacing w:line="360" w:lineRule="auto"/>
              <w:jc w:val="left"/>
              <w:rPr>
                <w:rFonts w:hint="eastAsia" w:ascii="宋体" w:hAnsi="宋体" w:cs="宋体"/>
                <w:color w:val="000000"/>
                <w:sz w:val="24"/>
              </w:rPr>
            </w:pPr>
            <w:r>
              <w:rPr>
                <w:rFonts w:hint="eastAsia" w:ascii="宋体" w:hAnsi="宋体" w:cs="宋体"/>
                <w:color w:val="000000"/>
                <w:sz w:val="24"/>
              </w:rPr>
              <w:t>1、符合GB/T 24689.1-2009植物保护机械虫情测报灯国家标准。</w:t>
            </w:r>
          </w:p>
          <w:p w14:paraId="342E748E">
            <w:pPr>
              <w:widowControl/>
              <w:spacing w:line="360" w:lineRule="auto"/>
              <w:jc w:val="left"/>
              <w:rPr>
                <w:rFonts w:hint="eastAsia" w:ascii="宋体" w:hAnsi="宋体" w:cs="宋体"/>
                <w:color w:val="000000"/>
                <w:sz w:val="24"/>
              </w:rPr>
            </w:pPr>
            <w:r>
              <w:rPr>
                <w:rFonts w:hint="eastAsia" w:ascii="宋体" w:hAnsi="宋体" w:cs="宋体"/>
                <w:color w:val="000000"/>
                <w:sz w:val="24"/>
              </w:rPr>
              <w:t>▲2、虫情图像拍照要求：内置高清工业摄像机，且摄像头像素不低于</w:t>
            </w:r>
            <w:r>
              <w:rPr>
                <w:rFonts w:hint="eastAsia" w:ascii="宋体" w:hAnsi="宋体" w:cs="宋体"/>
                <w:sz w:val="24"/>
              </w:rPr>
              <w:t>2000W</w:t>
            </w:r>
            <w:r>
              <w:rPr>
                <w:rFonts w:hint="eastAsia" w:ascii="宋体" w:hAnsi="宋体" w:cs="宋体"/>
                <w:color w:val="000000"/>
                <w:sz w:val="24"/>
              </w:rPr>
              <w:t>，彩色触摸显示中控屏；智能操作系统；机器内置GPS/北斗定位模块；无人值守全自动运行，具有断电重启运行自检功能，机器运行进程屏内显示。可通过照片自动识别虫子数量来自动调节拍照时间间隔，系统感应到虫子数量较多后，设备会自动调节拍照间隔时间。</w:t>
            </w:r>
          </w:p>
          <w:p w14:paraId="753A4E30">
            <w:pPr>
              <w:widowControl/>
              <w:spacing w:line="360" w:lineRule="auto"/>
              <w:jc w:val="left"/>
              <w:rPr>
                <w:rFonts w:hint="eastAsia" w:ascii="宋体" w:hAnsi="宋体" w:cs="宋体"/>
                <w:color w:val="000000"/>
                <w:sz w:val="24"/>
              </w:rPr>
            </w:pPr>
            <w:r>
              <w:rPr>
                <w:rFonts w:hint="eastAsia" w:ascii="宋体" w:hAnsi="宋体" w:cs="宋体"/>
                <w:color w:val="000000"/>
                <w:sz w:val="24"/>
              </w:rPr>
              <w:t>3、图像成像：昆虫图像全视域范围都为有效成像面积，无超出拍照板；有效成像面积≥600cm²，可承载害虫爆发时的大诱虫量；昆虫图像无畸变：昆虫图像全视域范围清晰度一致，昆虫图像视域中心与四周清晰度无差别，无出现因畸变引起的昆虫图像中间清晰，越往四周越模糊的情况；昆虫图像无色差：还原昆虫真实色彩，无出现昆虫颜色失真。</w:t>
            </w:r>
          </w:p>
          <w:p w14:paraId="58D68923">
            <w:pPr>
              <w:widowControl/>
              <w:spacing w:line="360" w:lineRule="auto"/>
              <w:jc w:val="left"/>
              <w:rPr>
                <w:rFonts w:hint="eastAsia" w:ascii="宋体" w:hAnsi="宋体" w:cs="宋体"/>
                <w:color w:val="000000"/>
                <w:sz w:val="24"/>
              </w:rPr>
            </w:pPr>
            <w:r>
              <w:rPr>
                <w:rFonts w:ascii="宋体" w:hAnsi="宋体" w:cs="宋体"/>
                <w:color w:val="000000"/>
                <w:sz w:val="24"/>
              </w:rPr>
              <w:t>测报人员可以根据数据比较要求，自由在图片平台上切换虫体大小对比标尺网格，实现精准校准虫体大小。</w:t>
            </w:r>
            <w:r>
              <w:rPr>
                <w:rFonts w:hint="eastAsia" w:ascii="宋体" w:hAnsi="宋体" w:cs="宋体"/>
                <w:color w:val="000000"/>
                <w:sz w:val="24"/>
              </w:rPr>
              <w:br w:type="textWrapping"/>
            </w:r>
            <w:r>
              <w:rPr>
                <w:rFonts w:hint="eastAsia" w:ascii="宋体" w:hAnsi="宋体" w:cs="宋体"/>
                <w:color w:val="000000"/>
                <w:sz w:val="24"/>
              </w:rPr>
              <w:t>4、测报灯可以引诱并通过AI等智能识别和计数。 AI模型识别准确率：在独立测试集上，对稻纵卷叶螟、褐飞虱等130余种常见害虫的整体识别准确率 ≥95%；对一二类农作物病虫害名录中趋光性害虫的单一种类识别准确率≥96%</w:t>
            </w:r>
          </w:p>
          <w:p w14:paraId="3957EDBD">
            <w:pPr>
              <w:widowControl/>
              <w:spacing w:line="360" w:lineRule="auto"/>
              <w:jc w:val="left"/>
              <w:rPr>
                <w:rFonts w:hint="eastAsia" w:ascii="宋体" w:hAnsi="宋体" w:cs="宋体"/>
                <w:color w:val="000000"/>
                <w:sz w:val="24"/>
              </w:rPr>
            </w:pPr>
            <w:r>
              <w:rPr>
                <w:rFonts w:hint="eastAsia" w:ascii="宋体" w:hAnsi="宋体" w:cs="宋体"/>
                <w:color w:val="000000"/>
                <w:sz w:val="24"/>
              </w:rPr>
              <w:t>5</w:t>
            </w:r>
            <w:r>
              <w:rPr>
                <w:rFonts w:ascii="宋体" w:hAnsi="宋体" w:cs="宋体"/>
                <w:color w:val="000000"/>
                <w:sz w:val="24"/>
              </w:rPr>
              <w:t>、</w:t>
            </w:r>
            <w:r>
              <w:rPr>
                <w:rFonts w:ascii="宋体" w:hAnsi="宋体" w:cs="宋体"/>
                <w:b/>
                <w:bCs/>
                <w:color w:val="000000"/>
                <w:sz w:val="24"/>
              </w:rPr>
              <w:t>虫体无堆叠：</w:t>
            </w:r>
            <w:r>
              <w:rPr>
                <w:rFonts w:ascii="宋体" w:hAnsi="宋体" w:cs="宋体"/>
                <w:color w:val="000000"/>
                <w:sz w:val="24"/>
              </w:rPr>
              <w:t>设备自带传送带散虫平铺结构，传送带准确的将虫体运输带拍照区域内，保证虫体不堆叠，能确保会让每一个虫子特征都可以被拍的清楚，为自动识别和人工矫正打好基础，分散率100%，无堆叠。</w:t>
            </w:r>
          </w:p>
          <w:p w14:paraId="7D484652">
            <w:pPr>
              <w:widowControl/>
              <w:spacing w:line="360" w:lineRule="auto"/>
              <w:jc w:val="left"/>
              <w:rPr>
                <w:rFonts w:hint="eastAsia" w:ascii="宋体" w:hAnsi="宋体" w:cs="宋体"/>
                <w:color w:val="000000"/>
                <w:sz w:val="24"/>
              </w:rPr>
            </w:pPr>
            <w:r>
              <w:rPr>
                <w:rFonts w:hint="eastAsia" w:ascii="宋体" w:hAnsi="宋体" w:cs="宋体"/>
                <w:b/>
                <w:bCs/>
                <w:color w:val="000000"/>
                <w:sz w:val="24"/>
              </w:rPr>
              <w:t>实时监测是否堵虫</w:t>
            </w:r>
            <w:r>
              <w:rPr>
                <w:rFonts w:hint="eastAsia" w:ascii="宋体" w:hAnsi="宋体" w:cs="宋体"/>
                <w:color w:val="000000"/>
                <w:sz w:val="24"/>
              </w:rPr>
              <w:t>，当设备检测到堵虫，会关闭诱虫灯管，并通过软件平台推送堵虫告警。执行自动清虫,通过程序控制自动运行，清理堵虫故障，减少人工上门清理频率，降低设备故障率，检测到无堵虫时恢复正常工作模式并后台推送堵虫恢复告警。</w:t>
            </w:r>
          </w:p>
          <w:p w14:paraId="58BEAFC0">
            <w:pPr>
              <w:widowControl/>
              <w:spacing w:line="360" w:lineRule="auto"/>
              <w:jc w:val="left"/>
              <w:rPr>
                <w:rFonts w:hint="eastAsia" w:ascii="宋体" w:hAnsi="宋体" w:cs="宋体"/>
                <w:color w:val="000000"/>
                <w:sz w:val="24"/>
              </w:rPr>
            </w:pPr>
            <w:r>
              <w:rPr>
                <w:rFonts w:hint="eastAsia" w:ascii="宋体" w:hAnsi="宋体" w:cs="宋体"/>
                <w:b/>
                <w:bCs/>
                <w:color w:val="000000"/>
                <w:sz w:val="24"/>
              </w:rPr>
              <w:t>防掉落装置</w:t>
            </w:r>
            <w:r>
              <w:rPr>
                <w:rFonts w:hint="eastAsia" w:ascii="宋体" w:hAnsi="宋体" w:cs="宋体"/>
                <w:color w:val="000000"/>
                <w:sz w:val="24"/>
              </w:rPr>
              <w:t>:拍照底板四周增加联动防掉落装置，保证拍摄到的虫害数量和收集到的虫害数量一致。</w:t>
            </w:r>
          </w:p>
          <w:p w14:paraId="26692B3F">
            <w:pPr>
              <w:widowControl/>
              <w:spacing w:line="360" w:lineRule="auto"/>
              <w:jc w:val="left"/>
              <w:rPr>
                <w:rFonts w:hint="eastAsia" w:ascii="宋体" w:hAnsi="宋体" w:cs="宋体"/>
                <w:color w:val="000000"/>
                <w:sz w:val="24"/>
              </w:rPr>
            </w:pPr>
            <w:r>
              <w:rPr>
                <w:rFonts w:hint="eastAsia" w:ascii="宋体" w:hAnsi="宋体" w:cs="宋体"/>
                <w:b/>
                <w:bCs/>
                <w:color w:val="000000"/>
                <w:sz w:val="24"/>
              </w:rPr>
              <w:t>拍照底板脏污预警</w:t>
            </w:r>
            <w:r>
              <w:rPr>
                <w:rFonts w:hint="eastAsia" w:ascii="宋体" w:hAnsi="宋体" w:cs="宋体"/>
                <w:color w:val="000000"/>
                <w:sz w:val="24"/>
              </w:rPr>
              <w:t>:搭建虫体脏污模型，通过拍摄的图片自动识别拍照底板脏污情况，发出预警提醒。</w:t>
            </w:r>
          </w:p>
          <w:p w14:paraId="2BACE934">
            <w:pPr>
              <w:widowControl/>
              <w:spacing w:line="360" w:lineRule="auto"/>
              <w:jc w:val="left"/>
              <w:rPr>
                <w:rFonts w:hint="eastAsia" w:ascii="宋体" w:hAnsi="宋体" w:cs="宋体"/>
                <w:color w:val="000000"/>
                <w:sz w:val="24"/>
              </w:rPr>
            </w:pPr>
            <w:r>
              <w:rPr>
                <w:rFonts w:ascii="宋体" w:hAnsi="宋体" w:cs="宋体"/>
                <w:color w:val="000000"/>
                <w:sz w:val="24"/>
              </w:rPr>
              <w:t>▲</w:t>
            </w:r>
            <w:r>
              <w:rPr>
                <w:rFonts w:hint="eastAsia" w:ascii="宋体" w:hAnsi="宋体" w:cs="宋体"/>
                <w:color w:val="000000"/>
                <w:sz w:val="24"/>
              </w:rPr>
              <w:t>6、数据传输:内置有线和无线网络传输模块，支持有线和4/5G全网通无线接入互联网，能够将监测数据传输至软件平台或数据中心。</w:t>
            </w:r>
          </w:p>
          <w:p w14:paraId="237B3726">
            <w:pPr>
              <w:widowControl/>
              <w:spacing w:line="360" w:lineRule="auto"/>
              <w:jc w:val="left"/>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sz w:val="24"/>
              </w:rPr>
              <w:t>能自动拍照、上传害虫图片，支持电脑客户端、网页版、移动端版数据共享，同时能够实现自动分析相关数据，历史数据可实时在线免费存储、查阅、</w:t>
            </w:r>
            <w:r>
              <w:rPr>
                <w:rFonts w:hint="eastAsia" w:ascii="宋体" w:hAnsi="宋体" w:cs="宋体"/>
                <w:bCs/>
                <w:color w:val="000000" w:themeColor="text1"/>
                <w:sz w:val="24"/>
                <w14:textFill>
                  <w14:solidFill>
                    <w14:schemeClr w14:val="tx1"/>
                  </w14:solidFill>
                </w14:textFill>
              </w:rPr>
              <w:t>下载表格及图片，自动分析相关数据。</w:t>
            </w:r>
          </w:p>
          <w:p w14:paraId="48FF7CAE">
            <w:pPr>
              <w:widowControl/>
              <w:spacing w:line="360" w:lineRule="auto"/>
              <w:jc w:val="left"/>
              <w:rPr>
                <w:rFonts w:hint="eastAsia" w:ascii="宋体" w:hAnsi="宋体" w:cs="宋体"/>
                <w:color w:val="000000"/>
                <w:sz w:val="24"/>
              </w:rPr>
            </w:pPr>
            <w:r>
              <w:rPr>
                <w:rFonts w:hint="eastAsia" w:ascii="宋体" w:hAnsi="宋体" w:cs="宋体"/>
                <w:color w:val="000000"/>
                <w:sz w:val="24"/>
              </w:rPr>
              <w:t>图像上传成功率与完整性：设备拍摄的照片应能100%成功上传至服务器。在连续7天的测试中，无任何照片丢失或损坏的情况。</w:t>
            </w:r>
          </w:p>
          <w:p w14:paraId="0C5EEAD1">
            <w:pPr>
              <w:widowControl/>
              <w:spacing w:line="360" w:lineRule="auto"/>
              <w:jc w:val="left"/>
              <w:rPr>
                <w:rFonts w:hint="eastAsia" w:ascii="宋体" w:hAnsi="宋体" w:cs="宋体"/>
                <w:color w:val="000000"/>
                <w:sz w:val="24"/>
              </w:rPr>
            </w:pPr>
            <w:r>
              <w:rPr>
                <w:rFonts w:hint="eastAsia" w:ascii="宋体" w:hAnsi="宋体" w:cs="宋体"/>
                <w:color w:val="000000"/>
                <w:sz w:val="24"/>
              </w:rPr>
              <w:t>7、中控系统：采用四核或以上微型电脑中控，可通过触摸屏现场控制及软件端远程手动监测控制设备，诱虫灯开启、手动拍照、光控时控切换、拍照间隔时间、有线、无线网络切换功能、流量限流、GPS/北斗定位、设备位置报警、电量提醒、流量提醒等功能；具有断电重启运行自检功能，机器运行进程屏内显示。</w:t>
            </w:r>
          </w:p>
          <w:p w14:paraId="306311F8">
            <w:pPr>
              <w:widowControl/>
              <w:spacing w:line="360" w:lineRule="auto"/>
              <w:jc w:val="left"/>
              <w:rPr>
                <w:rFonts w:hint="eastAsia" w:ascii="宋体" w:hAnsi="宋体" w:cs="宋体"/>
                <w:color w:val="000000"/>
                <w:sz w:val="24"/>
              </w:rPr>
            </w:pPr>
            <w:r>
              <w:rPr>
                <w:rFonts w:hint="eastAsia" w:ascii="宋体" w:hAnsi="宋体" w:cs="宋体"/>
                <w:color w:val="000000"/>
                <w:sz w:val="24"/>
              </w:rPr>
              <w:t>系统运行稳定性：设备及配套软件平台在无人干预的情况下，持续稳定运行30天，期间无非计划性重启、死机或服务中断。</w:t>
            </w:r>
          </w:p>
          <w:p w14:paraId="63B519DA">
            <w:pPr>
              <w:widowControl/>
              <w:spacing w:line="360" w:lineRule="auto"/>
              <w:jc w:val="left"/>
              <w:rPr>
                <w:rFonts w:hint="eastAsia" w:ascii="宋体" w:hAnsi="宋体" w:cs="宋体"/>
                <w:color w:val="000000"/>
                <w:sz w:val="24"/>
              </w:rPr>
            </w:pPr>
            <w:r>
              <w:rPr>
                <w:rFonts w:hint="eastAsia" w:ascii="宋体" w:hAnsi="宋体" w:cs="宋体"/>
                <w:color w:val="000000"/>
                <w:sz w:val="24"/>
              </w:rPr>
              <w:t>供电方式：提供太阳能供电模式，电池容量：≥48AH/12V，太阳能板≥80W；太阳能供电模式，连续阴雨条件下正常工作≥30天。</w:t>
            </w:r>
          </w:p>
        </w:tc>
        <w:tc>
          <w:tcPr>
            <w:tcW w:w="815" w:type="dxa"/>
            <w:tcBorders>
              <w:top w:val="nil"/>
              <w:left w:val="nil"/>
              <w:bottom w:val="single" w:color="auto" w:sz="4" w:space="0"/>
              <w:right w:val="single" w:color="auto" w:sz="4" w:space="0"/>
            </w:tcBorders>
            <w:vAlign w:val="center"/>
          </w:tcPr>
          <w:p w14:paraId="35ADBA54">
            <w:pPr>
              <w:widowControl/>
              <w:spacing w:line="360" w:lineRule="auto"/>
              <w:jc w:val="center"/>
              <w:rPr>
                <w:rFonts w:hint="eastAsia" w:ascii="宋体" w:hAnsi="宋体" w:cs="宋体"/>
                <w:color w:val="000000"/>
                <w:sz w:val="24"/>
              </w:rPr>
            </w:pPr>
            <w:r>
              <w:rPr>
                <w:rFonts w:hint="eastAsia" w:ascii="宋体" w:hAnsi="宋体" w:cs="宋体"/>
                <w:color w:val="000000"/>
                <w:sz w:val="24"/>
              </w:rPr>
              <w:t>4</w:t>
            </w:r>
          </w:p>
        </w:tc>
        <w:tc>
          <w:tcPr>
            <w:tcW w:w="995" w:type="dxa"/>
            <w:tcBorders>
              <w:top w:val="nil"/>
              <w:left w:val="nil"/>
              <w:bottom w:val="single" w:color="auto" w:sz="4" w:space="0"/>
              <w:right w:val="single" w:color="auto" w:sz="4" w:space="0"/>
            </w:tcBorders>
            <w:vAlign w:val="center"/>
          </w:tcPr>
          <w:p w14:paraId="64D20533">
            <w:pPr>
              <w:widowControl/>
              <w:spacing w:line="360" w:lineRule="auto"/>
              <w:jc w:val="center"/>
              <w:rPr>
                <w:rFonts w:hint="eastAsia" w:ascii="宋体" w:hAnsi="宋体" w:cs="宋体"/>
                <w:color w:val="000000"/>
                <w:sz w:val="24"/>
              </w:rPr>
            </w:pPr>
            <w:r>
              <w:rPr>
                <w:rFonts w:hint="eastAsia" w:ascii="宋体" w:hAnsi="宋体" w:cs="宋体"/>
                <w:color w:val="000000"/>
                <w:sz w:val="24"/>
              </w:rPr>
              <w:t>套</w:t>
            </w:r>
          </w:p>
        </w:tc>
      </w:tr>
      <w:tr w14:paraId="260E7C14">
        <w:tblPrEx>
          <w:tblCellMar>
            <w:top w:w="0" w:type="dxa"/>
            <w:left w:w="108" w:type="dxa"/>
            <w:bottom w:w="0" w:type="dxa"/>
            <w:right w:w="108" w:type="dxa"/>
          </w:tblCellMar>
        </w:tblPrEx>
        <w:trPr>
          <w:trHeight w:val="453" w:hRule="atLeast"/>
        </w:trPr>
        <w:tc>
          <w:tcPr>
            <w:tcW w:w="995" w:type="dxa"/>
            <w:vMerge w:val="continue"/>
            <w:tcBorders>
              <w:top w:val="single" w:color="auto" w:sz="4" w:space="0"/>
              <w:left w:val="single" w:color="auto" w:sz="4" w:space="0"/>
              <w:bottom w:val="single" w:color="auto" w:sz="4" w:space="0"/>
              <w:right w:val="single" w:color="auto" w:sz="4" w:space="0"/>
            </w:tcBorders>
            <w:vAlign w:val="center"/>
          </w:tcPr>
          <w:p w14:paraId="71CE4D2A">
            <w:pPr>
              <w:widowControl/>
              <w:spacing w:line="360" w:lineRule="auto"/>
              <w:jc w:val="left"/>
              <w:rPr>
                <w:rFonts w:hint="eastAsia" w:ascii="宋体" w:hAnsi="宋体" w:cs="宋体"/>
                <w:color w:val="000000"/>
                <w:sz w:val="24"/>
              </w:rPr>
            </w:pPr>
          </w:p>
        </w:tc>
        <w:tc>
          <w:tcPr>
            <w:tcW w:w="995" w:type="dxa"/>
            <w:vMerge w:val="continue"/>
            <w:tcBorders>
              <w:top w:val="single" w:color="auto" w:sz="4" w:space="0"/>
              <w:left w:val="single" w:color="auto" w:sz="4" w:space="0"/>
              <w:bottom w:val="single" w:color="auto" w:sz="4" w:space="0"/>
              <w:right w:val="single" w:color="auto" w:sz="4" w:space="0"/>
            </w:tcBorders>
            <w:vAlign w:val="center"/>
          </w:tcPr>
          <w:p w14:paraId="12734716">
            <w:pPr>
              <w:widowControl/>
              <w:spacing w:line="360" w:lineRule="auto"/>
              <w:jc w:val="left"/>
              <w:rPr>
                <w:rFonts w:hint="eastAsia" w:ascii="宋体" w:hAnsi="宋体" w:cs="宋体"/>
                <w:color w:val="000000"/>
                <w:sz w:val="24"/>
              </w:rPr>
            </w:pPr>
          </w:p>
        </w:tc>
        <w:tc>
          <w:tcPr>
            <w:tcW w:w="995" w:type="dxa"/>
            <w:tcBorders>
              <w:top w:val="single" w:color="auto" w:sz="4" w:space="0"/>
              <w:left w:val="single" w:color="auto" w:sz="4" w:space="0"/>
              <w:bottom w:val="single" w:color="auto" w:sz="4" w:space="0"/>
              <w:right w:val="single" w:color="auto" w:sz="4" w:space="0"/>
            </w:tcBorders>
            <w:vAlign w:val="center"/>
          </w:tcPr>
          <w:p w14:paraId="6B7AD029">
            <w:pPr>
              <w:widowControl/>
              <w:spacing w:line="360" w:lineRule="auto"/>
              <w:jc w:val="center"/>
              <w:rPr>
                <w:rFonts w:hint="eastAsia" w:ascii="宋体" w:hAnsi="宋体" w:cs="宋体"/>
                <w:color w:val="000000"/>
                <w:sz w:val="24"/>
              </w:rPr>
            </w:pPr>
          </w:p>
          <w:p w14:paraId="6190A56F">
            <w:pPr>
              <w:widowControl/>
              <w:spacing w:line="360" w:lineRule="auto"/>
              <w:jc w:val="center"/>
              <w:rPr>
                <w:rFonts w:hint="eastAsia" w:ascii="宋体" w:hAnsi="宋体" w:cs="宋体"/>
                <w:color w:val="000000"/>
                <w:sz w:val="24"/>
              </w:rPr>
            </w:pPr>
          </w:p>
          <w:p w14:paraId="05278CF0">
            <w:pPr>
              <w:widowControl/>
              <w:spacing w:line="360" w:lineRule="auto"/>
              <w:jc w:val="center"/>
              <w:rPr>
                <w:rFonts w:hint="eastAsia" w:ascii="宋体" w:hAnsi="宋体" w:cs="宋体"/>
                <w:color w:val="000000"/>
                <w:sz w:val="24"/>
              </w:rPr>
            </w:pPr>
          </w:p>
          <w:p w14:paraId="59567F18">
            <w:pPr>
              <w:widowControl/>
              <w:spacing w:line="360" w:lineRule="auto"/>
              <w:jc w:val="center"/>
              <w:rPr>
                <w:rFonts w:hint="eastAsia" w:ascii="宋体" w:hAnsi="宋体" w:cs="宋体"/>
                <w:color w:val="000000"/>
                <w:sz w:val="24"/>
              </w:rPr>
            </w:pPr>
          </w:p>
          <w:p w14:paraId="6656A67D">
            <w:pPr>
              <w:widowControl/>
              <w:spacing w:line="360" w:lineRule="auto"/>
              <w:jc w:val="center"/>
              <w:rPr>
                <w:rFonts w:hint="eastAsia" w:ascii="宋体" w:hAnsi="宋体" w:cs="宋体"/>
                <w:color w:val="000000"/>
                <w:sz w:val="24"/>
              </w:rPr>
            </w:pPr>
          </w:p>
          <w:p w14:paraId="253E0365">
            <w:pPr>
              <w:widowControl/>
              <w:spacing w:line="360" w:lineRule="auto"/>
              <w:jc w:val="center"/>
              <w:rPr>
                <w:rFonts w:hint="eastAsia" w:ascii="宋体" w:hAnsi="宋体" w:cs="宋体"/>
                <w:color w:val="000000"/>
                <w:sz w:val="24"/>
              </w:rPr>
            </w:pPr>
          </w:p>
          <w:p w14:paraId="57150871">
            <w:pPr>
              <w:widowControl/>
              <w:spacing w:line="360" w:lineRule="auto"/>
              <w:jc w:val="center"/>
              <w:rPr>
                <w:rFonts w:hint="eastAsia" w:ascii="宋体" w:hAnsi="宋体" w:cs="宋体"/>
                <w:color w:val="000000"/>
                <w:sz w:val="24"/>
              </w:rPr>
            </w:pPr>
          </w:p>
          <w:p w14:paraId="5CF1AD38">
            <w:pPr>
              <w:widowControl/>
              <w:spacing w:line="360" w:lineRule="auto"/>
              <w:jc w:val="center"/>
              <w:rPr>
                <w:rFonts w:hint="eastAsia" w:ascii="宋体" w:hAnsi="宋体" w:cs="宋体"/>
                <w:color w:val="000000"/>
                <w:sz w:val="24"/>
              </w:rPr>
            </w:pPr>
          </w:p>
          <w:p w14:paraId="3E8F12D6">
            <w:pPr>
              <w:widowControl/>
              <w:spacing w:line="360" w:lineRule="auto"/>
              <w:jc w:val="center"/>
              <w:rPr>
                <w:rFonts w:hint="eastAsia" w:ascii="宋体" w:hAnsi="宋体" w:cs="宋体"/>
                <w:color w:val="000000"/>
                <w:sz w:val="24"/>
              </w:rPr>
            </w:pPr>
          </w:p>
          <w:p w14:paraId="11D27F40">
            <w:pPr>
              <w:widowControl/>
              <w:spacing w:line="360" w:lineRule="auto"/>
              <w:jc w:val="center"/>
              <w:rPr>
                <w:rFonts w:hint="eastAsia" w:ascii="宋体" w:hAnsi="宋体" w:cs="宋体"/>
                <w:color w:val="000000"/>
                <w:sz w:val="24"/>
              </w:rPr>
            </w:pPr>
            <w:r>
              <w:rPr>
                <w:rFonts w:hint="eastAsia" w:ascii="宋体" w:hAnsi="宋体" w:cs="宋体"/>
                <w:color w:val="000000"/>
                <w:sz w:val="24"/>
              </w:rPr>
              <w:t>作物病害自动监测预警系统</w:t>
            </w:r>
          </w:p>
        </w:tc>
        <w:tc>
          <w:tcPr>
            <w:tcW w:w="1290" w:type="dxa"/>
            <w:tcBorders>
              <w:top w:val="single" w:color="auto" w:sz="4" w:space="0"/>
              <w:left w:val="single" w:color="auto" w:sz="4" w:space="0"/>
              <w:bottom w:val="single" w:color="auto" w:sz="4" w:space="0"/>
              <w:right w:val="single" w:color="auto" w:sz="4" w:space="0"/>
            </w:tcBorders>
            <w:vAlign w:val="center"/>
          </w:tcPr>
          <w:p w14:paraId="5368761E">
            <w:pPr>
              <w:widowControl/>
              <w:spacing w:line="360" w:lineRule="auto"/>
              <w:jc w:val="center"/>
              <w:rPr>
                <w:rFonts w:hint="eastAsia" w:ascii="宋体" w:hAnsi="宋体" w:cs="宋体"/>
                <w:color w:val="000000"/>
                <w:sz w:val="24"/>
              </w:rPr>
            </w:pPr>
          </w:p>
          <w:p w14:paraId="69883BC1">
            <w:pPr>
              <w:widowControl/>
              <w:spacing w:line="360" w:lineRule="auto"/>
              <w:jc w:val="center"/>
              <w:rPr>
                <w:rFonts w:hint="eastAsia" w:ascii="宋体" w:hAnsi="宋体" w:cs="宋体"/>
                <w:color w:val="000000"/>
                <w:sz w:val="24"/>
              </w:rPr>
            </w:pPr>
          </w:p>
          <w:p w14:paraId="2A6959AB">
            <w:pPr>
              <w:widowControl/>
              <w:spacing w:line="360" w:lineRule="auto"/>
              <w:jc w:val="center"/>
              <w:rPr>
                <w:rFonts w:hint="eastAsia" w:ascii="宋体" w:hAnsi="宋体" w:cs="宋体"/>
                <w:color w:val="000000"/>
                <w:sz w:val="24"/>
              </w:rPr>
            </w:pPr>
          </w:p>
          <w:p w14:paraId="26A1C6F2">
            <w:pPr>
              <w:widowControl/>
              <w:spacing w:line="360" w:lineRule="auto"/>
              <w:jc w:val="center"/>
              <w:rPr>
                <w:rFonts w:hint="eastAsia" w:ascii="宋体" w:hAnsi="宋体" w:cs="宋体"/>
                <w:color w:val="000000"/>
                <w:sz w:val="24"/>
              </w:rPr>
            </w:pPr>
          </w:p>
          <w:p w14:paraId="2759F2E1">
            <w:pPr>
              <w:widowControl/>
              <w:spacing w:line="360" w:lineRule="auto"/>
              <w:jc w:val="center"/>
              <w:rPr>
                <w:rFonts w:hint="eastAsia" w:ascii="宋体" w:hAnsi="宋体" w:cs="宋体"/>
                <w:color w:val="000000"/>
                <w:sz w:val="24"/>
              </w:rPr>
            </w:pPr>
          </w:p>
          <w:p w14:paraId="40C767B9">
            <w:pPr>
              <w:widowControl/>
              <w:spacing w:line="360" w:lineRule="auto"/>
              <w:jc w:val="center"/>
              <w:rPr>
                <w:rFonts w:hint="eastAsia" w:ascii="宋体" w:hAnsi="宋体" w:cs="宋体"/>
                <w:color w:val="000000"/>
                <w:sz w:val="24"/>
              </w:rPr>
            </w:pPr>
          </w:p>
          <w:p w14:paraId="3CE2F0B6">
            <w:pPr>
              <w:widowControl/>
              <w:spacing w:line="360" w:lineRule="auto"/>
              <w:jc w:val="center"/>
              <w:rPr>
                <w:rFonts w:hint="eastAsia" w:ascii="宋体" w:hAnsi="宋体" w:cs="宋体"/>
                <w:color w:val="000000"/>
                <w:sz w:val="24"/>
              </w:rPr>
            </w:pPr>
          </w:p>
          <w:p w14:paraId="69393B0D">
            <w:pPr>
              <w:widowControl/>
              <w:spacing w:line="360" w:lineRule="auto"/>
              <w:jc w:val="center"/>
              <w:rPr>
                <w:rFonts w:hint="eastAsia" w:ascii="宋体" w:hAnsi="宋体" w:cs="宋体"/>
                <w:color w:val="000000"/>
                <w:sz w:val="24"/>
              </w:rPr>
            </w:pPr>
          </w:p>
          <w:p w14:paraId="539B3FC2">
            <w:pPr>
              <w:widowControl/>
              <w:spacing w:line="360" w:lineRule="auto"/>
              <w:jc w:val="center"/>
              <w:rPr>
                <w:rFonts w:hint="eastAsia" w:ascii="宋体" w:hAnsi="宋体" w:cs="宋体"/>
                <w:color w:val="000000"/>
                <w:sz w:val="24"/>
              </w:rPr>
            </w:pPr>
          </w:p>
          <w:p w14:paraId="05E9CDBF">
            <w:pPr>
              <w:widowControl/>
              <w:spacing w:line="360" w:lineRule="auto"/>
              <w:jc w:val="center"/>
              <w:rPr>
                <w:rFonts w:hint="eastAsia" w:ascii="宋体" w:hAnsi="宋体" w:cs="宋体"/>
                <w:color w:val="000000"/>
                <w:sz w:val="24"/>
              </w:rPr>
            </w:pPr>
            <w:r>
              <w:rPr>
                <w:rFonts w:hint="eastAsia" w:ascii="宋体" w:hAnsi="宋体" w:cs="宋体"/>
                <w:color w:val="000000"/>
                <w:sz w:val="24"/>
              </w:rPr>
              <w:t>赤霉病+稻瘟病</w:t>
            </w:r>
          </w:p>
        </w:tc>
        <w:tc>
          <w:tcPr>
            <w:tcW w:w="7934" w:type="dxa"/>
            <w:tcBorders>
              <w:top w:val="single" w:color="auto" w:sz="4" w:space="0"/>
              <w:left w:val="single" w:color="auto" w:sz="4" w:space="0"/>
              <w:bottom w:val="single" w:color="auto" w:sz="4" w:space="0"/>
              <w:right w:val="single" w:color="auto" w:sz="4" w:space="0"/>
            </w:tcBorders>
            <w:vAlign w:val="center"/>
          </w:tcPr>
          <w:p w14:paraId="7586CACF">
            <w:pPr>
              <w:widowControl/>
              <w:spacing w:line="360" w:lineRule="auto"/>
              <w:jc w:val="left"/>
              <w:rPr>
                <w:rFonts w:hint="eastAsia" w:ascii="宋体" w:hAnsi="宋体" w:cs="宋体"/>
                <w:sz w:val="24"/>
              </w:rPr>
            </w:pPr>
            <w:r>
              <w:rPr>
                <w:rFonts w:ascii="宋体" w:hAnsi="宋体" w:cs="宋体"/>
                <w:sz w:val="24"/>
              </w:rPr>
              <w:t>▲</w:t>
            </w:r>
            <w:r>
              <w:rPr>
                <w:rFonts w:hint="eastAsia" w:ascii="宋体" w:hAnsi="宋体" w:cs="宋体"/>
                <w:sz w:val="24"/>
              </w:rPr>
              <w:t>8、作物病害自动监测预警系统-预警模型</w:t>
            </w:r>
            <w:r>
              <w:rPr>
                <w:rFonts w:hint="eastAsia" w:ascii="宋体" w:hAnsi="宋体" w:cs="宋体"/>
                <w:sz w:val="24"/>
              </w:rPr>
              <w:br w:type="textWrapping"/>
            </w:r>
            <w:r>
              <w:rPr>
                <w:rFonts w:hint="eastAsia" w:ascii="宋体" w:hAnsi="宋体" w:cs="宋体"/>
                <w:sz w:val="24"/>
              </w:rPr>
              <w:t>包括子囊壳形成与温湿度关系模型、侵染概率模型、菌量模型、潜育速率模型、显症率模型、重复侵染概率模型、病穗率模型、发病程度模型等子模型，构成小麦-玉米轮作和小麦-水稻轮作的赤霉病、稻瘟病监测预警模型。</w:t>
            </w:r>
            <w:r>
              <w:rPr>
                <w:rFonts w:hint="eastAsia" w:ascii="宋体" w:hAnsi="宋体" w:cs="宋体"/>
                <w:sz w:val="24"/>
              </w:rPr>
              <w:br w:type="textWrapping"/>
            </w:r>
            <w:r>
              <w:rPr>
                <w:rFonts w:hint="eastAsia" w:ascii="宋体" w:hAnsi="宋体" w:cs="宋体"/>
                <w:sz w:val="24"/>
              </w:rPr>
              <w:t>9、作物病害自动监测预警系统数据采集云存储：实时采集田间数据，每2小时上传一次，储存至少3年历史数据，用折线图、数据列表等不同形式展示；</w:t>
            </w:r>
            <w:r>
              <w:rPr>
                <w:rFonts w:hint="eastAsia" w:ascii="宋体" w:hAnsi="宋体" w:cs="宋体"/>
                <w:sz w:val="24"/>
              </w:rPr>
              <w:br w:type="textWrapping"/>
            </w:r>
            <w:r>
              <w:rPr>
                <w:rFonts w:ascii="宋体" w:hAnsi="宋体" w:cs="宋体"/>
                <w:sz w:val="24"/>
              </w:rPr>
              <w:t>▲</w:t>
            </w:r>
            <w:r>
              <w:rPr>
                <w:rFonts w:hint="eastAsia" w:ascii="宋体" w:hAnsi="宋体" w:cs="宋体"/>
                <w:sz w:val="24"/>
              </w:rPr>
              <w:t>10、预测结果与国家标准对应，在小麦赤霉病、稻瘟病防治关键期前15天开始预报发病情况，超过防治指标自动报警，可在电脑PC端、手机微信小程序查看；</w:t>
            </w:r>
            <w:r>
              <w:rPr>
                <w:rFonts w:hint="eastAsia" w:ascii="宋体" w:hAnsi="宋体" w:cs="宋体"/>
                <w:sz w:val="24"/>
              </w:rPr>
              <w:br w:type="textWrapping"/>
            </w:r>
            <w:r>
              <w:rPr>
                <w:rFonts w:hint="eastAsia" w:ascii="宋体" w:hAnsi="宋体" w:cs="宋体"/>
                <w:sz w:val="24"/>
              </w:rPr>
              <w:t>11、开放式系统平台，可按要求接入国家、省、市、县平台。</w:t>
            </w:r>
            <w:r>
              <w:rPr>
                <w:rFonts w:hint="eastAsia" w:ascii="宋体" w:hAnsi="宋体" w:cs="宋体"/>
                <w:sz w:val="24"/>
              </w:rPr>
              <w:br w:type="textWrapping"/>
            </w:r>
            <w:r>
              <w:rPr>
                <w:rFonts w:hint="eastAsia" w:ascii="宋体" w:hAnsi="宋体" w:cs="宋体"/>
                <w:sz w:val="24"/>
              </w:rPr>
              <w:t>12、主机规格：整机采用耐酸碱，耐腐蚀材质，防护等级IP67，抗冲击等级IK08；电池容量：≥20AH/12V（输出功率受环境温度影响较小）；太阳能板：≥40W；功耗：≤10mA；</w:t>
            </w:r>
            <w:r>
              <w:rPr>
                <w:rFonts w:hint="eastAsia" w:ascii="宋体" w:hAnsi="宋体" w:cs="宋体"/>
                <w:bCs/>
                <w:color w:val="000000" w:themeColor="text1"/>
                <w:sz w:val="24"/>
                <w14:textFill>
                  <w14:solidFill>
                    <w14:schemeClr w14:val="tx1"/>
                  </w14:solidFill>
                </w14:textFill>
              </w:rPr>
              <w:t>工作时间：在连续阴雨天环境中可持续工作30天；工作温度范围：-20℃~80℃；</w:t>
            </w:r>
            <w:r>
              <w:rPr>
                <w:rFonts w:hint="eastAsia" w:ascii="宋体" w:hAnsi="宋体" w:cs="宋体"/>
                <w:sz w:val="24"/>
              </w:rPr>
              <w:t>仪器具有远程调试、无人值守、无缝监控等功能。</w:t>
            </w:r>
            <w:r>
              <w:rPr>
                <w:rFonts w:hint="eastAsia" w:ascii="宋体" w:hAnsi="宋体" w:cs="宋体"/>
                <w:sz w:val="24"/>
              </w:rPr>
              <w:br w:type="textWrapping"/>
            </w:r>
            <w:r>
              <w:rPr>
                <w:rFonts w:hint="eastAsia" w:ascii="宋体" w:hAnsi="宋体" w:cs="宋体"/>
                <w:sz w:val="24"/>
              </w:rPr>
              <w:t>13、温度及降雨量采集传感器采用光电感应技术；风速风向传感器采用超声波采集技术；</w:t>
            </w:r>
          </w:p>
        </w:tc>
        <w:tc>
          <w:tcPr>
            <w:tcW w:w="815" w:type="dxa"/>
            <w:tcBorders>
              <w:top w:val="single" w:color="auto" w:sz="4" w:space="0"/>
              <w:left w:val="single" w:color="auto" w:sz="4" w:space="0"/>
              <w:bottom w:val="single" w:color="auto" w:sz="4" w:space="0"/>
              <w:right w:val="single" w:color="auto" w:sz="4" w:space="0"/>
            </w:tcBorders>
            <w:vAlign w:val="center"/>
          </w:tcPr>
          <w:p w14:paraId="4F1F70C4">
            <w:pPr>
              <w:widowControl/>
              <w:spacing w:line="360" w:lineRule="auto"/>
              <w:jc w:val="center"/>
              <w:rPr>
                <w:rFonts w:hint="eastAsia" w:ascii="宋体" w:hAnsi="宋体" w:cs="宋体"/>
                <w:color w:val="000000"/>
                <w:sz w:val="24"/>
              </w:rPr>
            </w:pPr>
            <w:r>
              <w:rPr>
                <w:rFonts w:hint="eastAsia" w:ascii="宋体" w:hAnsi="宋体" w:cs="宋体"/>
                <w:color w:val="000000"/>
                <w:sz w:val="24"/>
              </w:rPr>
              <w:t>4</w:t>
            </w:r>
          </w:p>
        </w:tc>
        <w:tc>
          <w:tcPr>
            <w:tcW w:w="995" w:type="dxa"/>
            <w:tcBorders>
              <w:top w:val="single" w:color="auto" w:sz="4" w:space="0"/>
              <w:left w:val="single" w:color="auto" w:sz="4" w:space="0"/>
              <w:bottom w:val="single" w:color="auto" w:sz="4" w:space="0"/>
              <w:right w:val="single" w:color="auto" w:sz="4" w:space="0"/>
            </w:tcBorders>
            <w:vAlign w:val="center"/>
          </w:tcPr>
          <w:p w14:paraId="0435FBEE">
            <w:pPr>
              <w:widowControl/>
              <w:spacing w:line="360" w:lineRule="auto"/>
              <w:jc w:val="center"/>
              <w:rPr>
                <w:rFonts w:hint="eastAsia" w:ascii="宋体" w:hAnsi="宋体" w:cs="宋体"/>
                <w:color w:val="000000"/>
                <w:sz w:val="24"/>
              </w:rPr>
            </w:pPr>
            <w:r>
              <w:rPr>
                <w:rFonts w:hint="eastAsia" w:ascii="宋体" w:hAnsi="宋体" w:cs="宋体"/>
                <w:color w:val="000000"/>
                <w:sz w:val="24"/>
              </w:rPr>
              <w:t>套</w:t>
            </w:r>
          </w:p>
        </w:tc>
      </w:tr>
      <w:tr w14:paraId="254600EC">
        <w:tblPrEx>
          <w:tblCellMar>
            <w:top w:w="0" w:type="dxa"/>
            <w:left w:w="108" w:type="dxa"/>
            <w:bottom w:w="0" w:type="dxa"/>
            <w:right w:w="108" w:type="dxa"/>
          </w:tblCellMar>
        </w:tblPrEx>
        <w:trPr>
          <w:trHeight w:val="4234" w:hRule="atLeast"/>
        </w:trPr>
        <w:tc>
          <w:tcPr>
            <w:tcW w:w="995" w:type="dxa"/>
            <w:tcBorders>
              <w:top w:val="single" w:color="auto" w:sz="4" w:space="0"/>
              <w:left w:val="single" w:color="auto" w:sz="4" w:space="0"/>
              <w:bottom w:val="nil"/>
              <w:right w:val="single" w:color="auto" w:sz="4" w:space="0"/>
            </w:tcBorders>
            <w:vAlign w:val="center"/>
          </w:tcPr>
          <w:p w14:paraId="14BAE1F6">
            <w:pPr>
              <w:widowControl/>
              <w:spacing w:line="360" w:lineRule="auto"/>
              <w:jc w:val="center"/>
              <w:rPr>
                <w:rFonts w:hint="eastAsia" w:ascii="宋体" w:hAnsi="宋体" w:cs="宋体"/>
                <w:color w:val="000000"/>
                <w:sz w:val="24"/>
              </w:rPr>
            </w:pPr>
            <w:r>
              <w:rPr>
                <w:rFonts w:hint="eastAsia" w:ascii="宋体" w:hAnsi="宋体" w:cs="宋体"/>
                <w:color w:val="000000"/>
                <w:sz w:val="24"/>
              </w:rPr>
              <w:t>2</w:t>
            </w:r>
          </w:p>
        </w:tc>
        <w:tc>
          <w:tcPr>
            <w:tcW w:w="995" w:type="dxa"/>
            <w:tcBorders>
              <w:top w:val="single" w:color="auto" w:sz="4" w:space="0"/>
              <w:left w:val="nil"/>
              <w:bottom w:val="nil"/>
              <w:right w:val="single" w:color="auto" w:sz="4" w:space="0"/>
            </w:tcBorders>
            <w:vAlign w:val="center"/>
          </w:tcPr>
          <w:p w14:paraId="607B53E9">
            <w:pPr>
              <w:widowControl/>
              <w:spacing w:line="360" w:lineRule="auto"/>
              <w:jc w:val="left"/>
              <w:rPr>
                <w:rFonts w:hint="eastAsia" w:ascii="宋体" w:hAnsi="宋体" w:cs="宋体"/>
                <w:color w:val="000000"/>
                <w:sz w:val="24"/>
              </w:rPr>
            </w:pPr>
            <w:r>
              <w:rPr>
                <w:rFonts w:hint="eastAsia" w:ascii="宋体" w:hAnsi="宋体" w:cs="宋体"/>
                <w:color w:val="000000"/>
                <w:sz w:val="24"/>
              </w:rPr>
              <w:t>测量田间气候要素</w:t>
            </w:r>
          </w:p>
        </w:tc>
        <w:tc>
          <w:tcPr>
            <w:tcW w:w="995" w:type="dxa"/>
            <w:tcBorders>
              <w:top w:val="single" w:color="auto" w:sz="4" w:space="0"/>
              <w:left w:val="nil"/>
              <w:bottom w:val="nil"/>
              <w:right w:val="single" w:color="auto" w:sz="4" w:space="0"/>
            </w:tcBorders>
            <w:vAlign w:val="center"/>
          </w:tcPr>
          <w:p w14:paraId="764EFEAA">
            <w:pPr>
              <w:widowControl/>
              <w:spacing w:line="360" w:lineRule="auto"/>
              <w:jc w:val="left"/>
              <w:rPr>
                <w:rFonts w:hint="eastAsia" w:ascii="宋体" w:hAnsi="宋体" w:cs="宋体"/>
                <w:color w:val="000000"/>
                <w:sz w:val="24"/>
              </w:rPr>
            </w:pPr>
            <w:bookmarkStart w:id="64" w:name="OLE_LINK32"/>
            <w:r>
              <w:rPr>
                <w:rFonts w:hint="eastAsia" w:ascii="宋体" w:hAnsi="宋体" w:cs="宋体"/>
                <w:color w:val="000000"/>
                <w:sz w:val="24"/>
              </w:rPr>
              <w:t>气象、土壤墒情自动监测站</w:t>
            </w:r>
            <w:bookmarkEnd w:id="64"/>
          </w:p>
        </w:tc>
        <w:tc>
          <w:tcPr>
            <w:tcW w:w="1290" w:type="dxa"/>
            <w:tcBorders>
              <w:top w:val="single" w:color="auto" w:sz="4" w:space="0"/>
              <w:left w:val="nil"/>
              <w:bottom w:val="single" w:color="auto" w:sz="4" w:space="0"/>
              <w:right w:val="single" w:color="auto" w:sz="4" w:space="0"/>
            </w:tcBorders>
            <w:vAlign w:val="center"/>
          </w:tcPr>
          <w:p w14:paraId="4F8CA49C">
            <w:pPr>
              <w:widowControl/>
              <w:spacing w:line="360" w:lineRule="auto"/>
              <w:jc w:val="center"/>
              <w:rPr>
                <w:rFonts w:hint="eastAsia" w:ascii="宋体" w:hAnsi="宋体" w:cs="宋体"/>
                <w:color w:val="000000"/>
                <w:sz w:val="24"/>
              </w:rPr>
            </w:pPr>
            <w:r>
              <w:rPr>
                <w:rFonts w:hint="eastAsia" w:ascii="宋体" w:hAnsi="宋体" w:cs="宋体"/>
                <w:color w:val="000000"/>
                <w:sz w:val="24"/>
              </w:rPr>
              <w:t>空气温度、空气湿度、风向、风速、降雨量、蒸发量、气压、光照度、土壤温度、土壤含水率</w:t>
            </w:r>
            <w:r>
              <w:rPr>
                <w:rFonts w:hint="eastAsia" w:ascii="宋体" w:hAnsi="宋体" w:cs="宋体"/>
                <w:color w:val="000000"/>
                <w:sz w:val="24"/>
              </w:rPr>
              <w:br w:type="textWrapping"/>
            </w:r>
            <w:r>
              <w:rPr>
                <w:rFonts w:hint="eastAsia" w:ascii="宋体" w:hAnsi="宋体" w:cs="宋体"/>
                <w:color w:val="000000"/>
                <w:sz w:val="24"/>
              </w:rPr>
              <w:t>等</w:t>
            </w:r>
          </w:p>
        </w:tc>
        <w:tc>
          <w:tcPr>
            <w:tcW w:w="7934" w:type="dxa"/>
            <w:tcBorders>
              <w:top w:val="single" w:color="auto" w:sz="4" w:space="0"/>
              <w:left w:val="nil"/>
              <w:bottom w:val="single" w:color="auto" w:sz="4" w:space="0"/>
              <w:right w:val="single" w:color="auto" w:sz="4" w:space="0"/>
            </w:tcBorders>
            <w:vAlign w:val="center"/>
          </w:tcPr>
          <w:p w14:paraId="6193E164">
            <w:pPr>
              <w:widowControl/>
              <w:spacing w:line="360" w:lineRule="auto"/>
              <w:jc w:val="left"/>
              <w:rPr>
                <w:rFonts w:hint="eastAsia" w:ascii="宋体" w:hAnsi="宋体" w:cs="宋体"/>
                <w:sz w:val="24"/>
              </w:rPr>
            </w:pPr>
            <w:r>
              <w:rPr>
                <w:rFonts w:hint="eastAsia" w:ascii="宋体" w:hAnsi="宋体" w:cs="宋体"/>
                <w:sz w:val="24"/>
              </w:rPr>
              <w:t>14、满足GB/T 24689.6-2009（植物保护机械农林小气候信息采集系统）标准。</w:t>
            </w:r>
            <w:r>
              <w:rPr>
                <w:rFonts w:hint="eastAsia" w:ascii="宋体" w:hAnsi="宋体" w:cs="宋体"/>
                <w:sz w:val="24"/>
              </w:rPr>
              <w:br w:type="textWrapping"/>
            </w:r>
            <w:r>
              <w:rPr>
                <w:rFonts w:hint="eastAsia" w:ascii="宋体" w:hAnsi="宋体" w:cs="宋体"/>
                <w:sz w:val="24"/>
              </w:rPr>
              <w:t>15、</w:t>
            </w:r>
            <w:r>
              <w:rPr>
                <w:rFonts w:hint="eastAsia" w:ascii="宋体" w:hAnsi="宋体" w:cs="宋体"/>
                <w:color w:val="000000"/>
                <w:sz w:val="24"/>
              </w:rPr>
              <w:t>气象站</w:t>
            </w:r>
            <w:r>
              <w:rPr>
                <w:rFonts w:hint="eastAsia" w:ascii="宋体" w:hAnsi="宋体" w:cs="宋体"/>
                <w:sz w:val="24"/>
              </w:rPr>
              <w:t>可实时采集田间空气温度、空气湿度、风向、风速、雨量、CO</w:t>
            </w:r>
            <w:r>
              <w:rPr>
                <w:rFonts w:hint="eastAsia" w:ascii="宋体" w:hAnsi="宋体" w:cs="宋体"/>
                <w:sz w:val="24"/>
                <w:vertAlign w:val="subscript"/>
              </w:rPr>
              <w:t>2</w:t>
            </w:r>
            <w:r>
              <w:rPr>
                <w:rFonts w:hint="eastAsia" w:ascii="宋体" w:hAnsi="宋体" w:cs="宋体"/>
                <w:sz w:val="24"/>
              </w:rPr>
              <w:t>、气压、照度、太阳总辐射等气象数据，指导作物得到适时适量的灌溉。</w:t>
            </w:r>
            <w:r>
              <w:rPr>
                <w:rFonts w:hint="eastAsia" w:ascii="宋体" w:hAnsi="宋体" w:cs="宋体"/>
                <w:sz w:val="24"/>
              </w:rPr>
              <w:br w:type="textWrapping"/>
            </w:r>
            <w:r>
              <w:rPr>
                <w:rFonts w:hint="eastAsia" w:ascii="宋体" w:hAnsi="宋体" w:cs="宋体"/>
                <w:sz w:val="24"/>
              </w:rPr>
              <w:t>▲16、</w:t>
            </w:r>
            <w:r>
              <w:rPr>
                <w:rFonts w:hint="eastAsia" w:ascii="宋体" w:hAnsi="宋体" w:cs="宋体"/>
                <w:color w:val="000000"/>
                <w:sz w:val="24"/>
              </w:rPr>
              <w:t>土壤墒情监测</w:t>
            </w:r>
            <w:r>
              <w:rPr>
                <w:rFonts w:hint="eastAsia" w:ascii="宋体" w:hAnsi="宋体" w:cs="宋体"/>
                <w:sz w:val="24"/>
              </w:rPr>
              <w:t>产品结构要求：①全密封管式一体化结构，管体内包含4组土壤水分传感器、4组温度传感器测量要求,监测地表与地下连续4个土层深度（0-20、20-40、40-60、60-100cm）的土壤温度与水分；②设备管体内部正压密封，保证设备器件的稳定性；③土壤水分及土壤温度同时同位进行监测，精确感知不同深度土层的水分含量和温度等参数，动态调整灌溉计划，以适应气候变化。</w:t>
            </w:r>
          </w:p>
          <w:p w14:paraId="013AA8AD">
            <w:pPr>
              <w:widowControl/>
              <w:spacing w:line="360" w:lineRule="auto"/>
              <w:jc w:val="left"/>
              <w:rPr>
                <w:rFonts w:hint="eastAsia" w:ascii="宋体" w:hAnsi="宋体" w:cs="宋体"/>
                <w:sz w:val="24"/>
              </w:rPr>
            </w:pPr>
            <w:r>
              <w:rPr>
                <w:rFonts w:hint="eastAsia" w:ascii="宋体" w:hAnsi="宋体" w:cs="宋体"/>
                <w:sz w:val="24"/>
              </w:rPr>
              <w:t>▲17、通讯方式：5G（兼容4G）,采集模块：通过无线方式组建的局域网，将数据传输到数据采集网关位置，再由数据采集网关上传到云端，实现数据云监测。数据采集及上传时间间隔：数据采集及上传时间间隔可远程设置，默认时间间隔为1小时，支持5-240分钟间隔设置</w:t>
            </w:r>
            <w:r>
              <w:rPr>
                <w:rFonts w:hint="eastAsia" w:ascii="宋体" w:hAnsi="宋体" w:cs="宋体"/>
                <w:sz w:val="24"/>
              </w:rPr>
              <w:br w:type="textWrapping"/>
            </w:r>
            <w:r>
              <w:rPr>
                <w:rFonts w:hint="eastAsia" w:ascii="宋体" w:hAnsi="宋体" w:cs="宋体"/>
                <w:sz w:val="24"/>
              </w:rPr>
              <w:t>18、定位防盗功能：①内置GPS或北斗等定位类传感芯片，可定位更新设备位置；②具备实时振动防盗功能，当设备发生较大振动时，设备会采集GPS定位信息；③支持追踪设备位置发送到后台服务器，并通知设备管理人。</w:t>
            </w:r>
            <w:r>
              <w:rPr>
                <w:rFonts w:hint="eastAsia" w:ascii="宋体" w:hAnsi="宋体" w:cs="宋体"/>
                <w:sz w:val="24"/>
              </w:rPr>
              <w:br w:type="textWrapping"/>
            </w:r>
            <w:r>
              <w:rPr>
                <w:rFonts w:hint="eastAsia" w:ascii="宋体" w:hAnsi="宋体" w:cs="宋体"/>
                <w:sz w:val="24"/>
              </w:rPr>
              <w:t>19、设备管理功能：①为保证数据不间断，在低电量时，设备自动启动降频采集模式，来最大限度保证数据的连续性；②自动智能识别设备工作状态（正常工作、被拔出、缺电等），提供低电量、太阳能充电异常、停发等设备状态的报警。</w:t>
            </w:r>
            <w:r>
              <w:rPr>
                <w:rFonts w:hint="eastAsia" w:ascii="宋体" w:hAnsi="宋体" w:cs="宋体"/>
                <w:sz w:val="24"/>
              </w:rPr>
              <w:br w:type="textWrapping"/>
            </w:r>
            <w:r>
              <w:rPr>
                <w:rFonts w:hint="eastAsia" w:ascii="宋体" w:hAnsi="宋体" w:cs="宋体"/>
                <w:sz w:val="24"/>
              </w:rPr>
              <w:t>20、供电方式：①要求内置高性能蓄电池，无外部供电情况下，要求持续工作至少45天；②可扩展外置太阳能供电系统和外部移动电源供电，太阳能板≥30W，电池12-24V；③设备低电压时，可自动或远程切换为低功耗采集模式和休眠工作模式，要求工作时间不低于45天。</w:t>
            </w:r>
          </w:p>
          <w:p w14:paraId="4265A52D">
            <w:pPr>
              <w:widowControl/>
              <w:spacing w:line="360" w:lineRule="auto"/>
              <w:jc w:val="left"/>
              <w:rPr>
                <w:rFonts w:hint="eastAsia" w:ascii="宋体" w:hAnsi="宋体" w:cs="宋体"/>
                <w:sz w:val="24"/>
              </w:rPr>
            </w:pPr>
            <w:r>
              <w:rPr>
                <w:rFonts w:hint="eastAsia" w:ascii="宋体" w:hAnsi="宋体" w:cs="宋体"/>
                <w:sz w:val="24"/>
                <w:highlight w:val="yellow"/>
              </w:rPr>
              <w:t>21、流量卡：2年视频流量卡,1G/月。</w:t>
            </w:r>
          </w:p>
        </w:tc>
        <w:tc>
          <w:tcPr>
            <w:tcW w:w="815" w:type="dxa"/>
            <w:tcBorders>
              <w:top w:val="single" w:color="auto" w:sz="4" w:space="0"/>
              <w:left w:val="nil"/>
              <w:bottom w:val="single" w:color="auto" w:sz="4" w:space="0"/>
              <w:right w:val="single" w:color="auto" w:sz="4" w:space="0"/>
            </w:tcBorders>
            <w:vAlign w:val="center"/>
          </w:tcPr>
          <w:p w14:paraId="507E8F42">
            <w:pPr>
              <w:widowControl/>
              <w:spacing w:line="360" w:lineRule="auto"/>
              <w:jc w:val="center"/>
              <w:rPr>
                <w:rFonts w:hint="eastAsia" w:ascii="宋体" w:hAnsi="宋体" w:cs="宋体"/>
                <w:color w:val="000000"/>
                <w:sz w:val="24"/>
              </w:rPr>
            </w:pPr>
            <w:r>
              <w:rPr>
                <w:rFonts w:hint="eastAsia" w:ascii="宋体" w:hAnsi="宋体" w:cs="宋体"/>
                <w:color w:val="000000"/>
                <w:sz w:val="24"/>
              </w:rPr>
              <w:t>4</w:t>
            </w:r>
          </w:p>
        </w:tc>
        <w:tc>
          <w:tcPr>
            <w:tcW w:w="995" w:type="dxa"/>
            <w:tcBorders>
              <w:top w:val="single" w:color="auto" w:sz="4" w:space="0"/>
              <w:left w:val="nil"/>
              <w:bottom w:val="single" w:color="auto" w:sz="4" w:space="0"/>
              <w:right w:val="single" w:color="auto" w:sz="4" w:space="0"/>
            </w:tcBorders>
            <w:vAlign w:val="center"/>
          </w:tcPr>
          <w:p w14:paraId="224AA91A">
            <w:pPr>
              <w:widowControl/>
              <w:spacing w:line="360" w:lineRule="auto"/>
              <w:jc w:val="center"/>
              <w:rPr>
                <w:rFonts w:hint="eastAsia" w:ascii="宋体" w:hAnsi="宋体" w:cs="宋体"/>
                <w:color w:val="000000"/>
                <w:sz w:val="24"/>
              </w:rPr>
            </w:pPr>
            <w:r>
              <w:rPr>
                <w:rFonts w:hint="eastAsia" w:ascii="宋体" w:hAnsi="宋体" w:cs="宋体"/>
                <w:color w:val="000000"/>
                <w:sz w:val="24"/>
              </w:rPr>
              <w:t>套</w:t>
            </w:r>
          </w:p>
        </w:tc>
      </w:tr>
      <w:tr w14:paraId="3B8F6931">
        <w:tblPrEx>
          <w:tblCellMar>
            <w:top w:w="0" w:type="dxa"/>
            <w:left w:w="108" w:type="dxa"/>
            <w:bottom w:w="0" w:type="dxa"/>
            <w:right w:w="108" w:type="dxa"/>
          </w:tblCellMar>
        </w:tblPrEx>
        <w:trPr>
          <w:trHeight w:val="90" w:hRule="atLeast"/>
        </w:trPr>
        <w:tc>
          <w:tcPr>
            <w:tcW w:w="995" w:type="dxa"/>
            <w:tcBorders>
              <w:top w:val="single" w:color="auto" w:sz="4" w:space="0"/>
              <w:left w:val="single" w:color="auto" w:sz="4" w:space="0"/>
              <w:bottom w:val="nil"/>
              <w:right w:val="single" w:color="auto" w:sz="4" w:space="0"/>
            </w:tcBorders>
            <w:vAlign w:val="center"/>
          </w:tcPr>
          <w:p w14:paraId="099E133D">
            <w:pPr>
              <w:widowControl/>
              <w:spacing w:line="360" w:lineRule="auto"/>
              <w:jc w:val="center"/>
              <w:rPr>
                <w:rFonts w:hint="eastAsia" w:ascii="宋体" w:hAnsi="宋体" w:cs="宋体"/>
                <w:color w:val="000000"/>
                <w:sz w:val="24"/>
              </w:rPr>
            </w:pPr>
            <w:r>
              <w:rPr>
                <w:rFonts w:hint="eastAsia" w:ascii="宋体" w:hAnsi="宋体" w:cs="宋体"/>
                <w:color w:val="000000"/>
                <w:sz w:val="24"/>
              </w:rPr>
              <w:t>3</w:t>
            </w:r>
          </w:p>
        </w:tc>
        <w:tc>
          <w:tcPr>
            <w:tcW w:w="995" w:type="dxa"/>
            <w:tcBorders>
              <w:top w:val="single" w:color="auto" w:sz="4" w:space="0"/>
              <w:left w:val="nil"/>
              <w:bottom w:val="nil"/>
              <w:right w:val="single" w:color="auto" w:sz="4" w:space="0"/>
            </w:tcBorders>
            <w:vAlign w:val="center"/>
          </w:tcPr>
          <w:p w14:paraId="1054B2CD">
            <w:pPr>
              <w:widowControl/>
              <w:spacing w:line="360" w:lineRule="auto"/>
              <w:jc w:val="left"/>
              <w:rPr>
                <w:rFonts w:hint="eastAsia" w:ascii="宋体" w:hAnsi="宋体" w:cs="宋体"/>
                <w:color w:val="000000"/>
                <w:sz w:val="24"/>
              </w:rPr>
            </w:pPr>
            <w:r>
              <w:rPr>
                <w:rFonts w:hint="eastAsia" w:ascii="宋体" w:hAnsi="宋体" w:cs="宋体"/>
                <w:color w:val="000000"/>
                <w:sz w:val="24"/>
              </w:rPr>
              <w:t>苗情、灾情监测</w:t>
            </w:r>
          </w:p>
        </w:tc>
        <w:tc>
          <w:tcPr>
            <w:tcW w:w="995" w:type="dxa"/>
            <w:tcBorders>
              <w:top w:val="single" w:color="auto" w:sz="4" w:space="0"/>
              <w:left w:val="nil"/>
              <w:bottom w:val="nil"/>
              <w:right w:val="single" w:color="auto" w:sz="4" w:space="0"/>
            </w:tcBorders>
            <w:vAlign w:val="center"/>
          </w:tcPr>
          <w:p w14:paraId="1C5C1953">
            <w:pPr>
              <w:widowControl/>
              <w:spacing w:line="360" w:lineRule="auto"/>
              <w:jc w:val="left"/>
              <w:rPr>
                <w:rFonts w:hint="eastAsia" w:ascii="宋体" w:hAnsi="宋体" w:cs="宋体"/>
                <w:color w:val="000000"/>
                <w:sz w:val="24"/>
              </w:rPr>
            </w:pPr>
            <w:r>
              <w:rPr>
                <w:rFonts w:hint="eastAsia" w:ascii="宋体" w:hAnsi="宋体" w:cs="宋体"/>
                <w:color w:val="000000"/>
                <w:sz w:val="24"/>
              </w:rPr>
              <w:t>苗情、灾情监测</w:t>
            </w:r>
          </w:p>
        </w:tc>
        <w:tc>
          <w:tcPr>
            <w:tcW w:w="1290" w:type="dxa"/>
            <w:tcBorders>
              <w:top w:val="nil"/>
              <w:left w:val="nil"/>
              <w:bottom w:val="single" w:color="auto" w:sz="4" w:space="0"/>
              <w:right w:val="single" w:color="auto" w:sz="4" w:space="0"/>
            </w:tcBorders>
            <w:vAlign w:val="center"/>
          </w:tcPr>
          <w:p w14:paraId="14443722">
            <w:pPr>
              <w:widowControl/>
              <w:spacing w:line="360" w:lineRule="auto"/>
              <w:jc w:val="center"/>
              <w:rPr>
                <w:rFonts w:hint="eastAsia" w:ascii="宋体" w:hAnsi="宋体" w:cs="宋体"/>
                <w:color w:val="000000"/>
                <w:sz w:val="24"/>
              </w:rPr>
            </w:pPr>
            <w:bookmarkStart w:id="65" w:name="OLE_LINK3"/>
            <w:r>
              <w:rPr>
                <w:rFonts w:hint="eastAsia" w:ascii="宋体" w:hAnsi="宋体" w:cs="宋体"/>
                <w:color w:val="000000"/>
                <w:sz w:val="24"/>
              </w:rPr>
              <w:t>农业遥感无人机</w:t>
            </w:r>
            <w:bookmarkEnd w:id="65"/>
          </w:p>
        </w:tc>
        <w:tc>
          <w:tcPr>
            <w:tcW w:w="7934" w:type="dxa"/>
            <w:tcBorders>
              <w:top w:val="nil"/>
              <w:left w:val="nil"/>
              <w:bottom w:val="single" w:color="auto" w:sz="4" w:space="0"/>
              <w:right w:val="single" w:color="auto" w:sz="4" w:space="0"/>
            </w:tcBorders>
            <w:vAlign w:val="center"/>
          </w:tcPr>
          <w:p w14:paraId="1803CCC0">
            <w:pPr>
              <w:widowControl/>
              <w:spacing w:line="360" w:lineRule="auto"/>
              <w:jc w:val="left"/>
              <w:rPr>
                <w:rFonts w:hint="eastAsia" w:ascii="宋体" w:hAnsi="宋体" w:cs="宋体"/>
                <w:color w:val="000000"/>
                <w:sz w:val="24"/>
              </w:rPr>
            </w:pPr>
            <w:r>
              <w:rPr>
                <w:rFonts w:hint="eastAsia" w:ascii="宋体" w:hAnsi="宋体" w:cs="宋体"/>
                <w:color w:val="000000"/>
                <w:sz w:val="24"/>
              </w:rPr>
              <w:t>集成1个2000万像素可见光相机及4个500万像素的多光谱相机(绿光、红光，红边及近红外)，实现自动巡田，作物生长检测等应用。</w:t>
            </w:r>
            <w:r>
              <w:rPr>
                <w:rFonts w:hint="eastAsia" w:ascii="宋体" w:hAnsi="宋体" w:cs="宋体"/>
                <w:color w:val="000000"/>
                <w:sz w:val="24"/>
              </w:rPr>
              <w:br w:type="textWrapping"/>
            </w:r>
            <w:r>
              <w:rPr>
                <w:rFonts w:hint="eastAsia" w:ascii="宋体" w:hAnsi="宋体" w:cs="宋体"/>
                <w:color w:val="000000"/>
                <w:sz w:val="24"/>
              </w:rPr>
              <w:t>22、飞行器</w:t>
            </w:r>
            <w:r>
              <w:rPr>
                <w:rFonts w:hint="eastAsia" w:ascii="宋体" w:hAnsi="宋体" w:cs="宋体"/>
                <w:color w:val="000000"/>
                <w:sz w:val="24"/>
              </w:rPr>
              <w:br w:type="textWrapping"/>
            </w:r>
            <w:r>
              <w:rPr>
                <w:rFonts w:hint="eastAsia" w:ascii="宋体" w:hAnsi="宋体" w:cs="宋体"/>
                <w:color w:val="000000"/>
                <w:sz w:val="24"/>
              </w:rPr>
              <w:t>起飞重量（无配件）：≤1000g；</w:t>
            </w:r>
            <w:r>
              <w:rPr>
                <w:rFonts w:hint="eastAsia" w:ascii="宋体" w:hAnsi="宋体" w:cs="宋体"/>
                <w:color w:val="000000"/>
                <w:sz w:val="24"/>
              </w:rPr>
              <w:br w:type="textWrapping"/>
            </w:r>
            <w:r>
              <w:rPr>
                <w:rFonts w:hint="eastAsia" w:ascii="宋体" w:hAnsi="宋体" w:cs="宋体"/>
                <w:color w:val="000000"/>
                <w:sz w:val="24"/>
              </w:rPr>
              <w:t>折叠后尺寸（长×宽×高）：≤225×100×130mm；</w:t>
            </w:r>
            <w:r>
              <w:rPr>
                <w:rFonts w:hint="eastAsia" w:ascii="宋体" w:hAnsi="宋体" w:cs="宋体"/>
                <w:color w:val="000000"/>
                <w:sz w:val="24"/>
              </w:rPr>
              <w:br w:type="textWrapping"/>
            </w:r>
            <w:r>
              <w:rPr>
                <w:rFonts w:hint="eastAsia" w:ascii="宋体" w:hAnsi="宋体" w:cs="宋体"/>
                <w:color w:val="000000"/>
                <w:sz w:val="24"/>
              </w:rPr>
              <w:t>对角线轴距：≥380 mm；</w:t>
            </w:r>
            <w:r>
              <w:rPr>
                <w:rFonts w:hint="eastAsia" w:ascii="宋体" w:hAnsi="宋体" w:cs="宋体"/>
                <w:color w:val="000000"/>
                <w:sz w:val="24"/>
              </w:rPr>
              <w:br w:type="textWrapping"/>
            </w:r>
            <w:r>
              <w:rPr>
                <w:rFonts w:hint="eastAsia" w:ascii="宋体" w:hAnsi="宋体" w:cs="宋体"/>
                <w:color w:val="000000"/>
                <w:sz w:val="24"/>
              </w:rPr>
              <w:t>最大信号有效距离（无干扰、无遮挡）：≥15km；</w:t>
            </w:r>
            <w:r>
              <w:rPr>
                <w:rFonts w:hint="eastAsia" w:ascii="宋体" w:hAnsi="宋体" w:cs="宋体"/>
                <w:color w:val="000000"/>
                <w:sz w:val="24"/>
              </w:rPr>
              <w:br w:type="textWrapping"/>
            </w:r>
            <w:r>
              <w:rPr>
                <w:rFonts w:hint="eastAsia" w:ascii="宋体" w:hAnsi="宋体" w:cs="宋体"/>
                <w:color w:val="000000"/>
                <w:sz w:val="24"/>
              </w:rPr>
              <w:t>最长飞行时间：≥40 分钟；</w:t>
            </w:r>
            <w:r>
              <w:rPr>
                <w:rFonts w:hint="eastAsia" w:ascii="宋体" w:hAnsi="宋体" w:cs="宋体"/>
                <w:color w:val="000000"/>
                <w:sz w:val="24"/>
              </w:rPr>
              <w:br w:type="textWrapping"/>
            </w:r>
            <w:r>
              <w:rPr>
                <w:rFonts w:hint="eastAsia" w:ascii="宋体" w:hAnsi="宋体" w:cs="宋体"/>
                <w:color w:val="000000"/>
                <w:sz w:val="24"/>
              </w:rPr>
              <w:t>最大可抗风速：≥12m/s；</w:t>
            </w:r>
            <w:r>
              <w:rPr>
                <w:rFonts w:hint="eastAsia" w:ascii="宋体" w:hAnsi="宋体" w:cs="宋体"/>
                <w:color w:val="000000"/>
                <w:sz w:val="24"/>
              </w:rPr>
              <w:br w:type="textWrapping"/>
            </w:r>
            <w:r>
              <w:rPr>
                <w:rFonts w:ascii="宋体" w:hAnsi="宋体" w:cs="宋体"/>
                <w:color w:val="000000"/>
                <w:sz w:val="24"/>
              </w:rPr>
              <w:t>▲</w:t>
            </w:r>
            <w:r>
              <w:rPr>
                <w:rFonts w:hint="eastAsia" w:ascii="宋体" w:hAnsi="宋体" w:cs="宋体"/>
                <w:color w:val="000000"/>
                <w:sz w:val="24"/>
              </w:rPr>
              <w:t>23、全向感知系统：飞行器的前、后、左、右、上、下均具备视觉或红外避障传感器，能够在探测到障碍物时在App上进行提醒，并自动减速刹车；</w:t>
            </w:r>
            <w:r>
              <w:rPr>
                <w:rFonts w:hint="eastAsia" w:ascii="宋体" w:hAnsi="宋体" w:cs="宋体"/>
                <w:color w:val="000000"/>
                <w:sz w:val="24"/>
              </w:rPr>
              <w:br w:type="textWrapping"/>
            </w:r>
            <w:r>
              <w:rPr>
                <w:rFonts w:hint="eastAsia" w:ascii="宋体" w:hAnsi="宋体" w:cs="宋体"/>
                <w:color w:val="000000"/>
                <w:sz w:val="24"/>
              </w:rPr>
              <w:t>GNSS：支持GPS+GLONASS+BEIDOU，支持单北斗模式；</w:t>
            </w:r>
            <w:r>
              <w:rPr>
                <w:rFonts w:hint="eastAsia" w:ascii="宋体" w:hAnsi="宋体" w:cs="宋体"/>
                <w:color w:val="000000"/>
                <w:sz w:val="24"/>
              </w:rPr>
              <w:br w:type="textWrapping"/>
            </w:r>
            <w:r>
              <w:rPr>
                <w:rFonts w:hint="eastAsia" w:ascii="宋体" w:hAnsi="宋体" w:cs="宋体"/>
                <w:color w:val="000000"/>
                <w:sz w:val="24"/>
              </w:rPr>
              <w:t>工作环境温度：工作温度范围覆盖-10°C 至 40°C；</w:t>
            </w:r>
            <w:r>
              <w:rPr>
                <w:rFonts w:hint="eastAsia" w:ascii="宋体" w:hAnsi="宋体" w:cs="宋体"/>
                <w:color w:val="000000"/>
                <w:sz w:val="24"/>
              </w:rPr>
              <w:br w:type="textWrapping"/>
            </w:r>
            <w:r>
              <w:rPr>
                <w:rFonts w:hint="eastAsia" w:ascii="宋体" w:hAnsi="宋体" w:cs="宋体"/>
                <w:color w:val="000000"/>
                <w:sz w:val="24"/>
              </w:rPr>
              <w:t>GNSS定位悬停精度：垂直≤0.5 m，水平≤0.5 m；</w:t>
            </w:r>
            <w:r>
              <w:rPr>
                <w:rFonts w:hint="eastAsia" w:ascii="宋体" w:hAnsi="宋体" w:cs="宋体"/>
                <w:color w:val="000000"/>
                <w:sz w:val="24"/>
              </w:rPr>
              <w:br w:type="textWrapping"/>
            </w:r>
            <w:r>
              <w:rPr>
                <w:rFonts w:hint="eastAsia" w:ascii="宋体" w:hAnsi="宋体" w:cs="宋体"/>
                <w:color w:val="000000"/>
                <w:sz w:val="24"/>
              </w:rPr>
              <w:t>视觉定位悬停精度：垂直≤0.1 m，水平≤0.1 m；</w:t>
            </w:r>
            <w:r>
              <w:rPr>
                <w:rFonts w:hint="eastAsia" w:ascii="宋体" w:hAnsi="宋体" w:cs="宋体"/>
                <w:color w:val="000000"/>
                <w:sz w:val="24"/>
              </w:rPr>
              <w:br w:type="textWrapping"/>
            </w:r>
            <w:r>
              <w:rPr>
                <w:rFonts w:hint="eastAsia" w:ascii="宋体" w:hAnsi="宋体" w:cs="宋体"/>
                <w:color w:val="000000"/>
                <w:sz w:val="24"/>
              </w:rPr>
              <w:t>展开时间：从携行状态到起飞状态的展开时间≤30s；</w:t>
            </w:r>
            <w:r>
              <w:rPr>
                <w:rFonts w:hint="eastAsia" w:ascii="宋体" w:hAnsi="宋体" w:cs="宋体"/>
                <w:color w:val="000000"/>
                <w:sz w:val="24"/>
              </w:rPr>
              <w:br w:type="textWrapping"/>
            </w:r>
            <w:r>
              <w:rPr>
                <w:rFonts w:hint="eastAsia" w:ascii="宋体" w:hAnsi="宋体" w:cs="宋体"/>
                <w:color w:val="000000"/>
                <w:sz w:val="24"/>
              </w:rPr>
              <w:t>最大上升速度：≥6 m/s；</w:t>
            </w:r>
            <w:r>
              <w:rPr>
                <w:rFonts w:hint="eastAsia" w:ascii="宋体" w:hAnsi="宋体" w:cs="宋体"/>
                <w:color w:val="000000"/>
                <w:sz w:val="24"/>
              </w:rPr>
              <w:br w:type="textWrapping"/>
            </w:r>
            <w:r>
              <w:rPr>
                <w:rFonts w:hint="eastAsia" w:ascii="宋体" w:hAnsi="宋体" w:cs="宋体"/>
                <w:color w:val="000000"/>
                <w:sz w:val="24"/>
              </w:rPr>
              <w:t>最大下降速度：≥6 m/s ；</w:t>
            </w:r>
            <w:r>
              <w:rPr>
                <w:rFonts w:hint="eastAsia" w:ascii="宋体" w:hAnsi="宋体" w:cs="宋体"/>
                <w:color w:val="000000"/>
                <w:sz w:val="24"/>
              </w:rPr>
              <w:br w:type="textWrapping"/>
            </w:r>
            <w:r>
              <w:rPr>
                <w:rFonts w:hint="eastAsia" w:ascii="宋体" w:hAnsi="宋体" w:cs="宋体"/>
                <w:color w:val="000000"/>
                <w:sz w:val="24"/>
              </w:rPr>
              <w:t>最大水平飞行速度：≥15m/s；</w:t>
            </w:r>
            <w:r>
              <w:rPr>
                <w:rFonts w:hint="eastAsia" w:ascii="宋体" w:hAnsi="宋体" w:cs="宋体"/>
                <w:color w:val="000000"/>
                <w:sz w:val="24"/>
              </w:rPr>
              <w:br w:type="textWrapping"/>
            </w:r>
            <w:r>
              <w:rPr>
                <w:rFonts w:hint="eastAsia" w:ascii="宋体" w:hAnsi="宋体" w:cs="宋体"/>
                <w:color w:val="000000"/>
                <w:sz w:val="24"/>
              </w:rPr>
              <w:t>最大飞行海拔高度：≥6000 米；</w:t>
            </w:r>
            <w:r>
              <w:rPr>
                <w:rFonts w:hint="eastAsia" w:ascii="宋体" w:hAnsi="宋体" w:cs="宋体"/>
                <w:color w:val="000000"/>
                <w:sz w:val="24"/>
              </w:rPr>
              <w:br w:type="textWrapping"/>
            </w:r>
            <w:r>
              <w:rPr>
                <w:rFonts w:hint="eastAsia" w:ascii="宋体" w:hAnsi="宋体" w:cs="宋体"/>
                <w:color w:val="000000"/>
                <w:sz w:val="24"/>
              </w:rPr>
              <w:t>降落保护：在自主降落过程中，无人机飞行器能够检测下方地形.当下方地形为不平整地面或水面，飞行器保持悬停，同时通过地面站软件向用户发出警示信息；</w:t>
            </w:r>
            <w:r>
              <w:rPr>
                <w:rFonts w:hint="eastAsia" w:ascii="宋体" w:hAnsi="宋体" w:cs="宋体"/>
                <w:color w:val="000000"/>
                <w:sz w:val="24"/>
              </w:rPr>
              <w:br w:type="textWrapping"/>
            </w:r>
            <w:r>
              <w:rPr>
                <w:rFonts w:hint="eastAsia" w:ascii="宋体" w:hAnsi="宋体" w:cs="宋体"/>
                <w:color w:val="000000"/>
                <w:sz w:val="24"/>
              </w:rPr>
              <w:t>飞行器自检功能：具备飞行器自检功能；</w:t>
            </w:r>
            <w:r>
              <w:rPr>
                <w:rFonts w:hint="eastAsia" w:ascii="宋体" w:hAnsi="宋体" w:cs="宋体"/>
                <w:color w:val="000000"/>
                <w:sz w:val="24"/>
              </w:rPr>
              <w:br w:type="textWrapping"/>
            </w:r>
            <w:r>
              <w:rPr>
                <w:rFonts w:hint="eastAsia" w:ascii="宋体" w:hAnsi="宋体" w:cs="宋体"/>
                <w:color w:val="000000"/>
                <w:sz w:val="24"/>
              </w:rPr>
              <w:t>低电量自动返航：具备低电量自动返航功能；</w:t>
            </w:r>
            <w:r>
              <w:rPr>
                <w:rFonts w:hint="eastAsia" w:ascii="宋体" w:hAnsi="宋体" w:cs="宋体"/>
                <w:color w:val="000000"/>
                <w:sz w:val="24"/>
              </w:rPr>
              <w:br w:type="textWrapping"/>
            </w:r>
            <w:r>
              <w:rPr>
                <w:rFonts w:hint="eastAsia" w:ascii="宋体" w:hAnsi="宋体" w:cs="宋体"/>
                <w:color w:val="000000"/>
                <w:sz w:val="24"/>
              </w:rPr>
              <w:t>信号丢失自动返航：具备信号丢失自动返航功能。</w:t>
            </w:r>
            <w:r>
              <w:rPr>
                <w:rFonts w:hint="eastAsia" w:ascii="宋体" w:hAnsi="宋体" w:cs="宋体"/>
                <w:color w:val="000000"/>
                <w:sz w:val="24"/>
              </w:rPr>
              <w:br w:type="textWrapping"/>
            </w:r>
            <w:r>
              <w:rPr>
                <w:rFonts w:hint="eastAsia" w:ascii="宋体" w:hAnsi="宋体" w:cs="宋体"/>
                <w:color w:val="000000"/>
                <w:sz w:val="24"/>
              </w:rPr>
              <w:t>▲24、可见光相机</w:t>
            </w:r>
            <w:r>
              <w:rPr>
                <w:rFonts w:hint="eastAsia" w:ascii="宋体" w:hAnsi="宋体" w:cs="宋体"/>
                <w:color w:val="000000"/>
                <w:sz w:val="24"/>
              </w:rPr>
              <w:br w:type="textWrapping"/>
            </w:r>
            <w:r>
              <w:rPr>
                <w:rFonts w:hint="eastAsia" w:ascii="宋体" w:hAnsi="宋体" w:cs="宋体"/>
                <w:color w:val="000000"/>
                <w:sz w:val="24"/>
              </w:rPr>
              <w:t>可见光相机CMOS：具备可见光测绘相机，相机CMOS不低于4/3英寸；</w:t>
            </w:r>
            <w:r>
              <w:rPr>
                <w:rFonts w:hint="eastAsia" w:ascii="宋体" w:hAnsi="宋体" w:cs="宋体"/>
                <w:color w:val="000000"/>
                <w:sz w:val="24"/>
              </w:rPr>
              <w:br w:type="textWrapping"/>
            </w:r>
            <w:r>
              <w:rPr>
                <w:rFonts w:hint="eastAsia" w:ascii="宋体" w:hAnsi="宋体" w:cs="宋体"/>
                <w:color w:val="000000"/>
                <w:sz w:val="24"/>
              </w:rPr>
              <w:t>可见光相机像素：有效像素不低于2000万；</w:t>
            </w:r>
            <w:r>
              <w:rPr>
                <w:rFonts w:hint="eastAsia" w:ascii="宋体" w:hAnsi="宋体" w:cs="宋体"/>
                <w:color w:val="000000"/>
                <w:sz w:val="24"/>
              </w:rPr>
              <w:br w:type="textWrapping"/>
            </w:r>
            <w:r>
              <w:rPr>
                <w:rFonts w:hint="eastAsia" w:ascii="宋体" w:hAnsi="宋体" w:cs="宋体"/>
                <w:color w:val="000000"/>
                <w:sz w:val="24"/>
              </w:rPr>
              <w:t>可见光相机像元尺寸：像元尺寸不小于3.3um；</w:t>
            </w:r>
            <w:r>
              <w:rPr>
                <w:rFonts w:hint="eastAsia" w:ascii="宋体" w:hAnsi="宋体" w:cs="宋体"/>
                <w:color w:val="000000"/>
                <w:sz w:val="24"/>
              </w:rPr>
              <w:br w:type="textWrapping"/>
            </w:r>
            <w:r>
              <w:rPr>
                <w:rFonts w:hint="eastAsia" w:ascii="宋体" w:hAnsi="宋体" w:cs="宋体"/>
                <w:color w:val="000000"/>
                <w:sz w:val="24"/>
              </w:rPr>
              <w:t>可见光相机机械快门：相机具有机械快门；</w:t>
            </w:r>
            <w:r>
              <w:rPr>
                <w:rFonts w:hint="eastAsia" w:ascii="宋体" w:hAnsi="宋体" w:cs="宋体"/>
                <w:color w:val="000000"/>
                <w:sz w:val="24"/>
              </w:rPr>
              <w:br w:type="textWrapping"/>
            </w:r>
            <w:r>
              <w:rPr>
                <w:rFonts w:hint="eastAsia" w:ascii="宋体" w:hAnsi="宋体" w:cs="宋体"/>
                <w:color w:val="000000"/>
                <w:sz w:val="24"/>
              </w:rPr>
              <w:t>可见光相机连续拍照间隔：最短连续拍照间隔不低于0.7秒；</w:t>
            </w:r>
            <w:r>
              <w:rPr>
                <w:rFonts w:hint="eastAsia" w:ascii="宋体" w:hAnsi="宋体" w:cs="宋体"/>
                <w:color w:val="000000"/>
                <w:sz w:val="24"/>
              </w:rPr>
              <w:br w:type="textWrapping"/>
            </w:r>
            <w:r>
              <w:rPr>
                <w:rFonts w:hint="eastAsia" w:ascii="宋体" w:hAnsi="宋体" w:cs="宋体"/>
                <w:color w:val="000000"/>
                <w:sz w:val="24"/>
              </w:rPr>
              <w:t>可见光相机内参标定：提供内参标定参数。</w:t>
            </w:r>
            <w:r>
              <w:rPr>
                <w:rFonts w:hint="eastAsia" w:ascii="宋体" w:hAnsi="宋体" w:cs="宋体"/>
                <w:color w:val="000000"/>
                <w:sz w:val="24"/>
              </w:rPr>
              <w:br w:type="textWrapping"/>
            </w:r>
            <w:r>
              <w:rPr>
                <w:rFonts w:hint="eastAsia" w:ascii="宋体" w:hAnsi="宋体" w:cs="宋体"/>
                <w:color w:val="000000"/>
                <w:sz w:val="24"/>
              </w:rPr>
              <w:t>▲25、多光谱相机</w:t>
            </w:r>
            <w:r>
              <w:rPr>
                <w:rFonts w:hint="eastAsia" w:ascii="宋体" w:hAnsi="宋体" w:cs="宋体"/>
                <w:color w:val="000000"/>
                <w:sz w:val="24"/>
              </w:rPr>
              <w:br w:type="textWrapping"/>
            </w:r>
            <w:r>
              <w:rPr>
                <w:rFonts w:hint="eastAsia" w:ascii="宋体" w:hAnsi="宋体" w:cs="宋体"/>
                <w:color w:val="000000"/>
                <w:sz w:val="24"/>
              </w:rPr>
              <w:t>多光谱相机：除可见光相机外，应具备绿、红、红边、近红外多光谱相机；</w:t>
            </w:r>
            <w:r>
              <w:rPr>
                <w:rFonts w:hint="eastAsia" w:ascii="宋体" w:hAnsi="宋体" w:cs="宋体"/>
                <w:color w:val="000000"/>
                <w:sz w:val="24"/>
              </w:rPr>
              <w:br w:type="textWrapping"/>
            </w:r>
            <w:r>
              <w:rPr>
                <w:rFonts w:hint="eastAsia" w:ascii="宋体" w:hAnsi="宋体" w:cs="宋体"/>
                <w:color w:val="000000"/>
                <w:sz w:val="24"/>
              </w:rPr>
              <w:t>多光谱相机有效像素：多光谱相机有效像素不低于500万；</w:t>
            </w:r>
            <w:r>
              <w:rPr>
                <w:rFonts w:hint="eastAsia" w:ascii="宋体" w:hAnsi="宋体" w:cs="宋体"/>
                <w:color w:val="000000"/>
                <w:sz w:val="24"/>
              </w:rPr>
              <w:br w:type="textWrapping"/>
            </w:r>
            <w:r>
              <w:rPr>
                <w:rFonts w:hint="eastAsia" w:ascii="宋体" w:hAnsi="宋体" w:cs="宋体"/>
                <w:color w:val="000000"/>
                <w:sz w:val="24"/>
              </w:rPr>
              <w:t>绿波段多光谱相机波段范围：绿波段多光谱相机波段在560nm± 16nm；</w:t>
            </w:r>
            <w:r>
              <w:rPr>
                <w:rFonts w:hint="eastAsia" w:ascii="宋体" w:hAnsi="宋体" w:cs="宋体"/>
                <w:color w:val="000000"/>
                <w:sz w:val="24"/>
              </w:rPr>
              <w:br w:type="textWrapping"/>
            </w:r>
            <w:r>
              <w:rPr>
                <w:rFonts w:hint="eastAsia" w:ascii="宋体" w:hAnsi="宋体" w:cs="宋体"/>
                <w:color w:val="000000"/>
                <w:sz w:val="24"/>
              </w:rPr>
              <w:t>红波段多光谱相机波段范围：红波段多光谱相机波段在650nm± 16nm；</w:t>
            </w:r>
            <w:r>
              <w:rPr>
                <w:rFonts w:hint="eastAsia" w:ascii="宋体" w:hAnsi="宋体" w:cs="宋体"/>
                <w:color w:val="000000"/>
                <w:sz w:val="24"/>
              </w:rPr>
              <w:br w:type="textWrapping"/>
            </w:r>
            <w:r>
              <w:rPr>
                <w:rFonts w:hint="eastAsia" w:ascii="宋体" w:hAnsi="宋体" w:cs="宋体"/>
                <w:color w:val="000000"/>
                <w:sz w:val="24"/>
              </w:rPr>
              <w:t>红边波段多光谱相机波段范围：红边波段多光谱相机波段在730nm± 16nm；</w:t>
            </w:r>
            <w:r>
              <w:rPr>
                <w:rFonts w:hint="eastAsia" w:ascii="宋体" w:hAnsi="宋体" w:cs="宋体"/>
                <w:color w:val="000000"/>
                <w:sz w:val="24"/>
              </w:rPr>
              <w:br w:type="textWrapping"/>
            </w:r>
            <w:r>
              <w:rPr>
                <w:rFonts w:hint="eastAsia" w:ascii="宋体" w:hAnsi="宋体" w:cs="宋体"/>
                <w:color w:val="000000"/>
                <w:sz w:val="24"/>
              </w:rPr>
              <w:t>近红外波段多光谱相机波段范围：近红外波段多光谱相机波段在860nm± 16nm。</w:t>
            </w:r>
            <w:r>
              <w:rPr>
                <w:rFonts w:hint="eastAsia" w:ascii="宋体" w:hAnsi="宋体" w:cs="宋体"/>
                <w:color w:val="000000"/>
                <w:sz w:val="24"/>
              </w:rPr>
              <w:br w:type="textWrapping"/>
            </w:r>
            <w:r>
              <w:rPr>
                <w:rFonts w:hint="eastAsia" w:ascii="宋体" w:hAnsi="宋体" w:cs="宋体"/>
                <w:color w:val="000000"/>
                <w:sz w:val="24"/>
              </w:rPr>
              <w:t>26、航线软件功能</w:t>
            </w:r>
            <w:r>
              <w:rPr>
                <w:rFonts w:hint="eastAsia" w:ascii="宋体" w:hAnsi="宋体" w:cs="宋体"/>
                <w:color w:val="000000"/>
                <w:sz w:val="24"/>
              </w:rPr>
              <w:br w:type="textWrapping"/>
            </w:r>
            <w:r>
              <w:rPr>
                <w:rFonts w:hint="eastAsia" w:ascii="宋体" w:hAnsi="宋体" w:cs="宋体"/>
                <w:color w:val="000000"/>
                <w:sz w:val="24"/>
              </w:rPr>
              <w:t>航线功能：支持航点、正射、倾斜、航带、仿地等多种航线作业类型；</w:t>
            </w:r>
            <w:r>
              <w:rPr>
                <w:rFonts w:hint="eastAsia" w:ascii="宋体" w:hAnsi="宋体" w:cs="宋体"/>
                <w:color w:val="000000"/>
                <w:sz w:val="24"/>
              </w:rPr>
              <w:br w:type="textWrapping"/>
            </w:r>
            <w:r>
              <w:rPr>
                <w:rFonts w:hint="eastAsia" w:ascii="宋体" w:hAnsi="宋体" w:cs="宋体"/>
                <w:color w:val="000000"/>
                <w:sz w:val="24"/>
              </w:rPr>
              <w:t>实时仿地：无人机可实现自主实时仿地；</w:t>
            </w:r>
            <w:r>
              <w:rPr>
                <w:rFonts w:hint="eastAsia" w:ascii="宋体" w:hAnsi="宋体" w:cs="宋体"/>
                <w:color w:val="000000"/>
                <w:sz w:val="24"/>
              </w:rPr>
              <w:br w:type="textWrapping"/>
            </w:r>
            <w:r>
              <w:rPr>
                <w:rFonts w:hint="eastAsia" w:ascii="宋体" w:hAnsi="宋体" w:cs="宋体"/>
                <w:color w:val="000000"/>
                <w:sz w:val="24"/>
              </w:rPr>
              <w:t>实时NDVI：支持实时NDVI植被指数查看；</w:t>
            </w:r>
            <w:r>
              <w:rPr>
                <w:rFonts w:hint="eastAsia" w:ascii="宋体" w:hAnsi="宋体" w:cs="宋体"/>
                <w:color w:val="000000"/>
                <w:sz w:val="24"/>
              </w:rPr>
              <w:br w:type="textWrapping"/>
            </w:r>
            <w:r>
              <w:rPr>
                <w:rFonts w:hint="eastAsia" w:ascii="宋体" w:hAnsi="宋体" w:cs="宋体"/>
                <w:color w:val="000000"/>
                <w:sz w:val="24"/>
              </w:rPr>
              <w:t>可见光测绘：可单独使用可见光相机进行测绘作业；</w:t>
            </w:r>
            <w:r>
              <w:rPr>
                <w:rFonts w:hint="eastAsia" w:ascii="宋体" w:hAnsi="宋体" w:cs="宋体"/>
                <w:color w:val="000000"/>
                <w:sz w:val="24"/>
              </w:rPr>
              <w:br w:type="textWrapping"/>
            </w:r>
            <w:r>
              <w:rPr>
                <w:rFonts w:hint="eastAsia" w:ascii="宋体" w:hAnsi="宋体" w:cs="宋体"/>
                <w:color w:val="000000"/>
                <w:sz w:val="24"/>
              </w:rPr>
              <w:t>密码保护:支持通过密码保护无人机机身存储的图像视频数据；</w:t>
            </w:r>
            <w:r>
              <w:rPr>
                <w:rFonts w:hint="eastAsia" w:ascii="宋体" w:hAnsi="宋体" w:cs="宋体"/>
                <w:color w:val="000000"/>
                <w:sz w:val="24"/>
              </w:rPr>
              <w:br w:type="textWrapping"/>
            </w:r>
            <w:r>
              <w:rPr>
                <w:rFonts w:hint="eastAsia" w:ascii="宋体" w:hAnsi="宋体" w:cs="宋体"/>
                <w:color w:val="000000"/>
                <w:sz w:val="24"/>
              </w:rPr>
              <w:t>27、图传</w:t>
            </w:r>
            <w:r>
              <w:rPr>
                <w:rFonts w:hint="eastAsia" w:ascii="宋体" w:hAnsi="宋体" w:cs="宋体"/>
                <w:color w:val="000000"/>
                <w:sz w:val="24"/>
              </w:rPr>
              <w:br w:type="textWrapping"/>
            </w:r>
            <w:r>
              <w:rPr>
                <w:rFonts w:hint="eastAsia" w:ascii="宋体" w:hAnsi="宋体" w:cs="宋体"/>
                <w:color w:val="000000"/>
                <w:sz w:val="24"/>
              </w:rPr>
              <w:t>工作频段：支持2.4G、5.8G图传；4G增强图传：支持4G dongle。</w:t>
            </w:r>
          </w:p>
          <w:p w14:paraId="64D29A78">
            <w:pPr>
              <w:widowControl/>
              <w:spacing w:line="360" w:lineRule="auto"/>
              <w:jc w:val="left"/>
              <w:rPr>
                <w:rFonts w:hint="eastAsia" w:ascii="宋体" w:hAnsi="宋体" w:cs="宋体"/>
                <w:color w:val="000000"/>
                <w:sz w:val="24"/>
                <w:highlight w:val="yellow"/>
              </w:rPr>
            </w:pPr>
            <w:r>
              <w:rPr>
                <w:rFonts w:hint="eastAsia" w:ascii="宋体" w:hAnsi="宋体" w:cs="宋体"/>
                <w:color w:val="000000"/>
                <w:sz w:val="24"/>
                <w:highlight w:val="yellow"/>
              </w:rPr>
              <w:t>28、提供</w:t>
            </w:r>
            <w:bookmarkStart w:id="66" w:name="OLE_LINK2"/>
            <w:r>
              <w:rPr>
                <w:rFonts w:hint="eastAsia" w:ascii="宋体" w:hAnsi="宋体" w:cs="宋体"/>
                <w:color w:val="000000"/>
                <w:sz w:val="24"/>
                <w:highlight w:val="yellow"/>
              </w:rPr>
              <w:t>配套三块电池</w:t>
            </w:r>
            <w:bookmarkEnd w:id="66"/>
            <w:r>
              <w:rPr>
                <w:rFonts w:hint="eastAsia" w:ascii="宋体" w:hAnsi="宋体" w:cs="宋体"/>
                <w:color w:val="000000"/>
                <w:sz w:val="24"/>
                <w:highlight w:val="yellow"/>
              </w:rPr>
              <w:t>；提供充电套装具有以下功能：</w:t>
            </w:r>
          </w:p>
          <w:p w14:paraId="7E7CDAB0">
            <w:pPr>
              <w:widowControl/>
              <w:spacing w:line="360" w:lineRule="auto"/>
              <w:jc w:val="left"/>
              <w:rPr>
                <w:rFonts w:hint="eastAsia" w:ascii="宋体" w:hAnsi="宋体" w:cs="宋体"/>
                <w:color w:val="000000"/>
                <w:sz w:val="24"/>
                <w:highlight w:val="yellow"/>
              </w:rPr>
            </w:pPr>
            <w:r>
              <w:rPr>
                <w:rFonts w:hint="eastAsia" w:ascii="宋体" w:hAnsi="宋体" w:cs="宋体"/>
                <w:color w:val="000000"/>
                <w:sz w:val="24"/>
                <w:highlight w:val="yellow"/>
              </w:rPr>
              <w:t>多电池集中管理：可以同时插入2-4块电池进行集中充电或放电。能智能识别电池，并按照剩余电量由高到低的顺序依次充满。</w:t>
            </w:r>
          </w:p>
          <w:p w14:paraId="16DE7DC3">
            <w:pPr>
              <w:widowControl/>
              <w:spacing w:line="360" w:lineRule="auto"/>
              <w:jc w:val="left"/>
              <w:rPr>
                <w:rFonts w:hint="eastAsia" w:ascii="宋体" w:hAnsi="宋体" w:cs="宋体"/>
                <w:color w:val="000000"/>
                <w:sz w:val="24"/>
                <w:highlight w:val="yellow"/>
              </w:rPr>
            </w:pPr>
            <w:r>
              <w:rPr>
                <w:rFonts w:hint="eastAsia" w:ascii="宋体" w:hAnsi="宋体" w:cs="宋体"/>
                <w:color w:val="000000"/>
                <w:sz w:val="24"/>
                <w:highlight w:val="yellow"/>
              </w:rPr>
              <w:t>集电功能：能将多块低电量电池的剩余电量，集中转移到电量最高的那块电池里。电池收纳与保护：能将电池集中存放，避免磕碰。</w:t>
            </w:r>
          </w:p>
        </w:tc>
        <w:tc>
          <w:tcPr>
            <w:tcW w:w="815" w:type="dxa"/>
            <w:tcBorders>
              <w:top w:val="nil"/>
              <w:left w:val="nil"/>
              <w:bottom w:val="single" w:color="auto" w:sz="4" w:space="0"/>
              <w:right w:val="single" w:color="auto" w:sz="4" w:space="0"/>
            </w:tcBorders>
            <w:vAlign w:val="center"/>
          </w:tcPr>
          <w:p w14:paraId="708B6400">
            <w:pPr>
              <w:widowControl/>
              <w:spacing w:line="360" w:lineRule="auto"/>
              <w:jc w:val="center"/>
              <w:rPr>
                <w:rFonts w:hint="eastAsia" w:ascii="宋体" w:hAnsi="宋体" w:cs="宋体"/>
                <w:color w:val="000000"/>
                <w:sz w:val="24"/>
              </w:rPr>
            </w:pPr>
            <w:r>
              <w:rPr>
                <w:rFonts w:hint="eastAsia" w:ascii="宋体" w:hAnsi="宋体" w:cs="宋体"/>
                <w:color w:val="000000"/>
                <w:sz w:val="24"/>
              </w:rPr>
              <w:t>5</w:t>
            </w:r>
          </w:p>
        </w:tc>
        <w:tc>
          <w:tcPr>
            <w:tcW w:w="995" w:type="dxa"/>
            <w:tcBorders>
              <w:top w:val="nil"/>
              <w:left w:val="nil"/>
              <w:bottom w:val="single" w:color="auto" w:sz="4" w:space="0"/>
              <w:right w:val="single" w:color="auto" w:sz="4" w:space="0"/>
            </w:tcBorders>
            <w:vAlign w:val="center"/>
          </w:tcPr>
          <w:p w14:paraId="2E883CC0">
            <w:pPr>
              <w:widowControl/>
              <w:spacing w:line="360" w:lineRule="auto"/>
              <w:jc w:val="center"/>
              <w:rPr>
                <w:rFonts w:hint="eastAsia" w:ascii="宋体" w:hAnsi="宋体" w:cs="宋体"/>
                <w:color w:val="000000"/>
                <w:sz w:val="24"/>
              </w:rPr>
            </w:pPr>
            <w:r>
              <w:rPr>
                <w:rFonts w:hint="eastAsia" w:ascii="宋体" w:hAnsi="宋体" w:cs="宋体"/>
                <w:color w:val="000000"/>
                <w:sz w:val="24"/>
              </w:rPr>
              <w:t>套</w:t>
            </w:r>
          </w:p>
        </w:tc>
      </w:tr>
      <w:tr w14:paraId="3B5158E0">
        <w:tblPrEx>
          <w:tblCellMar>
            <w:top w:w="0" w:type="dxa"/>
            <w:left w:w="108" w:type="dxa"/>
            <w:bottom w:w="0" w:type="dxa"/>
            <w:right w:w="108" w:type="dxa"/>
          </w:tblCellMar>
        </w:tblPrEx>
        <w:trPr>
          <w:trHeight w:val="20" w:hRule="atLeast"/>
        </w:trPr>
        <w:tc>
          <w:tcPr>
            <w:tcW w:w="995" w:type="dxa"/>
            <w:tcBorders>
              <w:top w:val="single" w:color="auto" w:sz="4" w:space="0"/>
              <w:left w:val="single" w:color="auto" w:sz="4" w:space="0"/>
              <w:bottom w:val="single" w:color="auto" w:sz="4" w:space="0"/>
              <w:right w:val="single" w:color="auto" w:sz="4" w:space="0"/>
            </w:tcBorders>
            <w:vAlign w:val="center"/>
          </w:tcPr>
          <w:p w14:paraId="07C355AB">
            <w:pPr>
              <w:widowControl/>
              <w:spacing w:line="360" w:lineRule="auto"/>
              <w:jc w:val="center"/>
              <w:rPr>
                <w:rFonts w:hint="eastAsia" w:ascii="宋体" w:hAnsi="宋体" w:cs="宋体"/>
                <w:color w:val="000000"/>
                <w:sz w:val="24"/>
              </w:rPr>
            </w:pPr>
            <w:r>
              <w:rPr>
                <w:rFonts w:hint="eastAsia" w:ascii="宋体" w:hAnsi="宋体" w:cs="宋体"/>
                <w:color w:val="000000"/>
                <w:sz w:val="24"/>
              </w:rPr>
              <w:t>4</w:t>
            </w:r>
          </w:p>
        </w:tc>
        <w:tc>
          <w:tcPr>
            <w:tcW w:w="995" w:type="dxa"/>
            <w:tcBorders>
              <w:top w:val="single" w:color="auto" w:sz="4" w:space="0"/>
              <w:left w:val="nil"/>
              <w:bottom w:val="single" w:color="auto" w:sz="4" w:space="0"/>
              <w:right w:val="single" w:color="auto" w:sz="4" w:space="0"/>
            </w:tcBorders>
            <w:vAlign w:val="center"/>
          </w:tcPr>
          <w:p w14:paraId="6BBA44EE">
            <w:pPr>
              <w:widowControl/>
              <w:spacing w:line="360" w:lineRule="auto"/>
              <w:jc w:val="left"/>
              <w:rPr>
                <w:rFonts w:hint="eastAsia" w:ascii="宋体" w:hAnsi="宋体" w:cs="宋体"/>
                <w:color w:val="000000"/>
                <w:sz w:val="24"/>
              </w:rPr>
            </w:pPr>
            <w:r>
              <w:rPr>
                <w:rFonts w:hint="eastAsia" w:ascii="宋体" w:hAnsi="宋体" w:cs="宋体"/>
                <w:color w:val="000000"/>
                <w:sz w:val="24"/>
              </w:rPr>
              <w:t>固定高清鹰眼摄像头</w:t>
            </w:r>
          </w:p>
          <w:p w14:paraId="63F3470F">
            <w:pPr>
              <w:widowControl/>
              <w:spacing w:line="360" w:lineRule="auto"/>
              <w:jc w:val="left"/>
              <w:rPr>
                <w:rFonts w:hint="eastAsia" w:ascii="宋体" w:hAnsi="宋体" w:cs="宋体"/>
                <w:color w:val="000000"/>
                <w:sz w:val="24"/>
              </w:rPr>
            </w:pPr>
          </w:p>
        </w:tc>
        <w:tc>
          <w:tcPr>
            <w:tcW w:w="995" w:type="dxa"/>
            <w:tcBorders>
              <w:top w:val="single" w:color="auto" w:sz="4" w:space="0"/>
              <w:left w:val="nil"/>
              <w:bottom w:val="single" w:color="auto" w:sz="4" w:space="0"/>
              <w:right w:val="single" w:color="auto" w:sz="4" w:space="0"/>
            </w:tcBorders>
            <w:vAlign w:val="center"/>
          </w:tcPr>
          <w:p w14:paraId="06F9FA2C">
            <w:pPr>
              <w:widowControl/>
              <w:spacing w:line="360" w:lineRule="auto"/>
              <w:jc w:val="left"/>
              <w:rPr>
                <w:rFonts w:hint="eastAsia" w:ascii="宋体" w:hAnsi="宋体" w:cs="宋体"/>
                <w:color w:val="000000"/>
                <w:sz w:val="24"/>
              </w:rPr>
            </w:pPr>
            <w:r>
              <w:rPr>
                <w:rFonts w:hint="eastAsia" w:ascii="宋体" w:hAnsi="宋体" w:cs="宋体"/>
                <w:color w:val="000000"/>
                <w:sz w:val="24"/>
              </w:rPr>
              <w:t>农田生境远程实时监测设备5G智能无人巡田眼</w:t>
            </w:r>
          </w:p>
        </w:tc>
        <w:tc>
          <w:tcPr>
            <w:tcW w:w="1290" w:type="dxa"/>
            <w:tcBorders>
              <w:top w:val="nil"/>
              <w:left w:val="nil"/>
              <w:bottom w:val="single" w:color="auto" w:sz="4" w:space="0"/>
              <w:right w:val="single" w:color="auto" w:sz="4" w:space="0"/>
            </w:tcBorders>
            <w:vAlign w:val="center"/>
          </w:tcPr>
          <w:p w14:paraId="3EFF16CB">
            <w:pPr>
              <w:widowControl/>
              <w:spacing w:line="360" w:lineRule="auto"/>
              <w:jc w:val="center"/>
              <w:rPr>
                <w:rFonts w:hint="eastAsia" w:ascii="宋体" w:hAnsi="宋体" w:cs="宋体"/>
                <w:color w:val="000000"/>
                <w:sz w:val="24"/>
              </w:rPr>
            </w:pPr>
            <w:bookmarkStart w:id="67" w:name="OLE_LINK7"/>
            <w:r>
              <w:rPr>
                <w:rFonts w:hint="eastAsia" w:ascii="宋体" w:hAnsi="宋体" w:cs="宋体"/>
                <w:color w:val="000000"/>
                <w:sz w:val="24"/>
              </w:rPr>
              <w:t>高清摄像设备及硬盘录像机</w:t>
            </w:r>
            <w:bookmarkEnd w:id="67"/>
          </w:p>
        </w:tc>
        <w:tc>
          <w:tcPr>
            <w:tcW w:w="7934" w:type="dxa"/>
            <w:tcBorders>
              <w:top w:val="nil"/>
              <w:left w:val="nil"/>
              <w:bottom w:val="single" w:color="auto" w:sz="4" w:space="0"/>
              <w:right w:val="single" w:color="auto" w:sz="4" w:space="0"/>
            </w:tcBorders>
            <w:vAlign w:val="center"/>
          </w:tcPr>
          <w:p w14:paraId="5B1A350C">
            <w:pPr>
              <w:widowControl/>
              <w:spacing w:line="360" w:lineRule="auto"/>
              <w:jc w:val="left"/>
              <w:rPr>
                <w:rFonts w:hint="eastAsia" w:ascii="宋体" w:hAnsi="宋体" w:cs="宋体"/>
                <w:color w:val="000000"/>
                <w:sz w:val="24"/>
              </w:rPr>
            </w:pPr>
            <w:r>
              <w:rPr>
                <w:rFonts w:ascii="宋体" w:hAnsi="宋体" w:cs="宋体"/>
                <w:color w:val="000000"/>
                <w:sz w:val="24"/>
              </w:rPr>
              <w:t>▲</w:t>
            </w:r>
            <w:r>
              <w:rPr>
                <w:rFonts w:hint="eastAsia" w:ascii="宋体" w:hAnsi="宋体" w:cs="宋体"/>
                <w:color w:val="000000"/>
                <w:sz w:val="24"/>
              </w:rPr>
              <w:t>29、全景通道内置6个镜头、靶面尺寸不小于1/1.8英寸的CMOS传感器，细节通道内置1个镜头，靶面尺寸不小于1/1.8英寸的CMOS传感器，细节通道内置镜头不小于40倍光学变焦，镜头最大焦距不小于240mm；全景通道最高分辨率不小于9024 x 2656，细节通道最高分辨率不小于2688×1520；</w:t>
            </w:r>
          </w:p>
          <w:p w14:paraId="1771FC42">
            <w:pPr>
              <w:widowControl/>
              <w:spacing w:line="360" w:lineRule="auto"/>
              <w:jc w:val="left"/>
              <w:rPr>
                <w:rFonts w:hint="eastAsia" w:ascii="宋体" w:hAnsi="宋体" w:cs="宋体"/>
                <w:color w:val="000000"/>
                <w:sz w:val="24"/>
              </w:rPr>
            </w:pPr>
            <w:r>
              <w:rPr>
                <w:rFonts w:hint="eastAsia" w:ascii="宋体" w:hAnsi="宋体" w:cs="宋体"/>
                <w:color w:val="000000"/>
                <w:sz w:val="24"/>
              </w:rPr>
              <w:t>30、主码流帧率分辨率：全景：50Hz: 25fps 60Hz: 30fps 多模式可选</w:t>
            </w:r>
          </w:p>
          <w:p w14:paraId="0AE71CDD">
            <w:pPr>
              <w:widowControl/>
              <w:spacing w:line="360" w:lineRule="auto"/>
              <w:jc w:val="left"/>
              <w:rPr>
                <w:rFonts w:hint="eastAsia" w:ascii="宋体" w:hAnsi="宋体" w:cs="宋体"/>
                <w:color w:val="000000"/>
                <w:sz w:val="24"/>
              </w:rPr>
            </w:pPr>
            <w:r>
              <w:rPr>
                <w:rFonts w:hint="eastAsia" w:ascii="宋体" w:hAnsi="宋体" w:cs="宋体"/>
                <w:color w:val="000000"/>
                <w:sz w:val="24"/>
              </w:rPr>
              <w:t>视频压缩标准支持：H.265;H.264;MJPEG等 。</w:t>
            </w:r>
          </w:p>
          <w:p w14:paraId="5F4AF631">
            <w:pPr>
              <w:widowControl/>
              <w:spacing w:line="360" w:lineRule="auto"/>
              <w:jc w:val="left"/>
              <w:rPr>
                <w:rFonts w:hint="eastAsia" w:ascii="宋体" w:hAnsi="宋体" w:cs="宋体"/>
                <w:color w:val="000000"/>
                <w:sz w:val="24"/>
              </w:rPr>
            </w:pPr>
            <w:r>
              <w:rPr>
                <w:rFonts w:hint="eastAsia" w:ascii="宋体" w:hAnsi="宋体" w:cs="宋体"/>
                <w:color w:val="000000"/>
                <w:sz w:val="24"/>
              </w:rPr>
              <w:t>最低照度：【全景】0.0005Lux/F1.0（彩色），0.0001Lux/F1.0（黑白）；【细节】星光级超低照度，0.0005Lux/F1.2（彩色），0.0001Lux/F1.2（黑白），0 Lux with IR ；支持宽动态，3D降噪，强光抑制，背光补偿，适用不同监控环境；</w:t>
            </w:r>
          </w:p>
          <w:p w14:paraId="59D3A093">
            <w:pPr>
              <w:widowControl/>
              <w:spacing w:line="360" w:lineRule="auto"/>
              <w:jc w:val="left"/>
              <w:rPr>
                <w:rFonts w:hint="eastAsia" w:ascii="宋体" w:hAnsi="宋体" w:cs="宋体"/>
                <w:color w:val="000000"/>
                <w:sz w:val="24"/>
              </w:rPr>
            </w:pPr>
            <w:r>
              <w:rPr>
                <w:rFonts w:hint="eastAsia" w:ascii="宋体" w:hAnsi="宋体" w:cs="宋体"/>
                <w:color w:val="000000"/>
                <w:sz w:val="24"/>
              </w:rPr>
              <w:t>AI-ISP：细节球机采用去噪卷积神经网络将深度结构、学习算法用于图像去噪，最终使画面成像更新清晰，噪点更小图像更干净；</w:t>
            </w:r>
          </w:p>
          <w:p w14:paraId="26C3FB06">
            <w:pPr>
              <w:widowControl/>
              <w:spacing w:line="360" w:lineRule="auto"/>
              <w:jc w:val="left"/>
              <w:rPr>
                <w:rFonts w:hint="eastAsia" w:ascii="宋体" w:hAnsi="宋体" w:cs="宋体"/>
                <w:color w:val="000000"/>
                <w:sz w:val="24"/>
              </w:rPr>
            </w:pPr>
            <w:r>
              <w:rPr>
                <w:rFonts w:hint="eastAsia" w:ascii="宋体" w:hAnsi="宋体" w:cs="宋体"/>
                <w:color w:val="000000"/>
                <w:sz w:val="24"/>
              </w:rPr>
              <w:t>设备支持画中画功能，可通过IE浏览器在细节图像中叠加全景视频图像进行预览；</w:t>
            </w:r>
          </w:p>
          <w:p w14:paraId="4781E3EE">
            <w:pPr>
              <w:widowControl/>
              <w:spacing w:line="360" w:lineRule="auto"/>
              <w:jc w:val="left"/>
              <w:rPr>
                <w:rFonts w:hint="eastAsia" w:ascii="宋体" w:hAnsi="宋体" w:cs="宋体"/>
                <w:color w:val="000000"/>
                <w:sz w:val="24"/>
              </w:rPr>
            </w:pPr>
            <w:r>
              <w:rPr>
                <w:rFonts w:hint="eastAsia" w:ascii="宋体" w:hAnsi="宋体" w:cs="宋体"/>
                <w:color w:val="000000"/>
                <w:sz w:val="24"/>
              </w:rPr>
              <w:t>31、视场角：水平：不小于 270°，竖直：不小于110°；旋转范围：水平:0°-360°连续旋转，垂直:-15°～+90°；球机内置高效红外补光灯，最大红外监控距离300米；可将6个全景视频图像进行拼接，实现不小于270°拼接画面显示并抓拍拼接后的图片。</w:t>
            </w:r>
            <w:r>
              <w:rPr>
                <w:rFonts w:hint="eastAsia" w:ascii="宋体" w:hAnsi="宋体" w:cs="宋体"/>
                <w:color w:val="000000"/>
                <w:sz w:val="24"/>
              </w:rPr>
              <w:br w:type="textWrapping"/>
            </w:r>
            <w:r>
              <w:rPr>
                <w:rFonts w:hint="eastAsia" w:ascii="宋体" w:hAnsi="宋体" w:cs="宋体"/>
                <w:color w:val="000000"/>
                <w:sz w:val="24"/>
              </w:rPr>
              <w:t>32、供电方式：DC36V；整机平均功耗75w，最大功耗 90w；工作温湿度：-40℃-70℃;湿度小于90%；</w:t>
            </w:r>
          </w:p>
          <w:p w14:paraId="5D11F7A1">
            <w:pPr>
              <w:widowControl/>
              <w:spacing w:line="360" w:lineRule="auto"/>
              <w:jc w:val="left"/>
              <w:rPr>
                <w:rFonts w:hint="eastAsia" w:ascii="宋体" w:hAnsi="宋体" w:cs="宋体"/>
                <w:color w:val="000000"/>
                <w:sz w:val="24"/>
              </w:rPr>
            </w:pPr>
            <w:r>
              <w:rPr>
                <w:rFonts w:hint="eastAsia" w:ascii="宋体" w:hAnsi="宋体" w:cs="宋体"/>
                <w:color w:val="000000"/>
                <w:sz w:val="24"/>
              </w:rPr>
              <w:t>33、除雾：支持；卫星定位：支持北斗卫星定位；陀螺仪：支持；电子罗盘：支持；</w:t>
            </w:r>
            <w:r>
              <w:rPr>
                <w:rFonts w:hint="eastAsia" w:ascii="宋体" w:hAnsi="宋体" w:cs="宋体"/>
                <w:color w:val="000000"/>
                <w:sz w:val="24"/>
              </w:rPr>
              <w:br w:type="textWrapping"/>
            </w:r>
            <w:r>
              <w:rPr>
                <w:rFonts w:hint="eastAsia" w:ascii="宋体" w:hAnsi="宋体" w:cs="宋体"/>
                <w:color w:val="000000"/>
                <w:sz w:val="24"/>
              </w:rPr>
              <w:t>34、网络接口：RJ45网口；自适应10M/100M/1000M网络数据；光纤接口：FC接口；内置光纤模块;波长TX1310/RX1550nm;20km传输距离；单模单纤；1000M网络数据；</w:t>
            </w:r>
          </w:p>
          <w:p w14:paraId="1555B0FC">
            <w:pPr>
              <w:widowControl/>
              <w:spacing w:line="360" w:lineRule="auto"/>
              <w:jc w:val="left"/>
              <w:rPr>
                <w:rFonts w:hint="eastAsia" w:ascii="宋体" w:hAnsi="宋体" w:cs="宋体"/>
                <w:color w:val="000000"/>
                <w:sz w:val="24"/>
              </w:rPr>
            </w:pPr>
            <w:r>
              <w:rPr>
                <w:rFonts w:hint="eastAsia" w:ascii="宋体" w:hAnsi="宋体" w:cs="宋体"/>
                <w:color w:val="000000"/>
                <w:sz w:val="24"/>
              </w:rPr>
              <w:t>SD卡扩展：内置Micro SD卡插槽，支持Micro SD/Micro SDHC/Micro SDXC卡（最大支持512G）；</w:t>
            </w:r>
          </w:p>
          <w:p w14:paraId="137370B1">
            <w:pPr>
              <w:widowControl/>
              <w:spacing w:line="360" w:lineRule="auto"/>
              <w:jc w:val="left"/>
              <w:rPr>
                <w:rFonts w:hint="eastAsia" w:ascii="宋体" w:hAnsi="宋体" w:cs="宋体"/>
                <w:color w:val="000000"/>
                <w:sz w:val="24"/>
              </w:rPr>
            </w:pPr>
            <w:r>
              <w:rPr>
                <w:rFonts w:ascii="宋体" w:hAnsi="宋体" w:cs="宋体"/>
                <w:color w:val="000000"/>
                <w:sz w:val="24"/>
              </w:rPr>
              <w:t>硬盘录像机：1.5U机架式5盘位嵌入式网络硬盘录像机，整机采用短机箱设计，搭载高性能ATX电源。存储接口：5个SATA接口，支持满配20TB硬盘；视频接口：2×HDMI，1×VGA；网络接口：2×RJ45 10/100/1000Mbps自适应以太网口；报警接口：16路报警输入，4路报警输出；反向供电：1路DC12V 1A；串行接口：1路RS-232接口，1路全双工RS-485接口；USB接口：2×USB 2.0，1×USB 3.0。</w:t>
            </w:r>
            <w:r>
              <w:rPr>
                <w:rFonts w:hint="eastAsia" w:ascii="宋体" w:hAnsi="宋体" w:cs="宋体"/>
                <w:color w:val="000000"/>
                <w:sz w:val="24"/>
              </w:rPr>
              <w:br w:type="textWrapping"/>
            </w:r>
            <w:r>
              <w:rPr>
                <w:rFonts w:hint="eastAsia" w:ascii="宋体" w:hAnsi="宋体" w:cs="宋体"/>
                <w:color w:val="000000"/>
                <w:sz w:val="24"/>
              </w:rPr>
              <w:t>35、支持点击联动功能，通过在客户端点击或者框选全景摄像机画面任意位置，细节跟踪摄像机可自动通过云台调整与变焦，将该区域置于画面中心；支持目标自动跟踪功能，通过设置智能事件规则，对设定区域内触发事件的运动目标在设定的跟踪时间内进行持续稳定跟踪。并可在跟踪过程中手动切换跟踪目标，支持手动选择跟踪目标，在设定跟踪时间内进行持续稳定跟踪；</w:t>
            </w:r>
            <w:r>
              <w:rPr>
                <w:rFonts w:hint="eastAsia" w:ascii="宋体" w:hAnsi="宋体" w:cs="宋体"/>
                <w:color w:val="000000"/>
                <w:sz w:val="24"/>
              </w:rPr>
              <w:br w:type="textWrapping"/>
            </w:r>
            <w:r>
              <w:rPr>
                <w:rFonts w:hint="eastAsia" w:ascii="宋体" w:hAnsi="宋体" w:cs="宋体"/>
                <w:color w:val="000000"/>
                <w:sz w:val="24"/>
              </w:rPr>
              <w:t>36、支持GB35114A级安全加密；</w:t>
            </w:r>
            <w:r>
              <w:rPr>
                <w:rFonts w:ascii="宋体" w:hAnsi="宋体" w:cs="宋体"/>
                <w:color w:val="000000"/>
                <w:sz w:val="24"/>
              </w:rPr>
              <w:t>防护：IP67; 6000V 防雷、防浪涌、防突波，符合GB/T17626.2/3/4/5/6四级标准；</w:t>
            </w:r>
            <w:r>
              <w:rPr>
                <w:rFonts w:hint="eastAsia" w:ascii="宋体" w:hAnsi="宋体" w:cs="宋体"/>
                <w:color w:val="000000"/>
                <w:sz w:val="24"/>
              </w:rPr>
              <w:t>恢复出厂设置：支持。</w:t>
            </w:r>
          </w:p>
        </w:tc>
        <w:tc>
          <w:tcPr>
            <w:tcW w:w="815" w:type="dxa"/>
            <w:tcBorders>
              <w:top w:val="nil"/>
              <w:left w:val="nil"/>
              <w:bottom w:val="single" w:color="auto" w:sz="4" w:space="0"/>
              <w:right w:val="single" w:color="auto" w:sz="4" w:space="0"/>
            </w:tcBorders>
            <w:vAlign w:val="center"/>
          </w:tcPr>
          <w:p w14:paraId="4EB6F22B">
            <w:pPr>
              <w:widowControl/>
              <w:spacing w:line="360" w:lineRule="auto"/>
              <w:jc w:val="center"/>
              <w:rPr>
                <w:rFonts w:hint="eastAsia" w:ascii="宋体" w:hAnsi="宋体" w:cs="宋体"/>
                <w:color w:val="000000"/>
                <w:sz w:val="24"/>
              </w:rPr>
            </w:pPr>
            <w:r>
              <w:rPr>
                <w:rFonts w:hint="eastAsia" w:ascii="宋体" w:hAnsi="宋体" w:cs="宋体"/>
                <w:color w:val="000000"/>
                <w:sz w:val="24"/>
              </w:rPr>
              <w:t>4</w:t>
            </w:r>
          </w:p>
        </w:tc>
        <w:tc>
          <w:tcPr>
            <w:tcW w:w="995" w:type="dxa"/>
            <w:tcBorders>
              <w:top w:val="nil"/>
              <w:left w:val="nil"/>
              <w:bottom w:val="single" w:color="auto" w:sz="4" w:space="0"/>
              <w:right w:val="single" w:color="auto" w:sz="4" w:space="0"/>
            </w:tcBorders>
            <w:vAlign w:val="center"/>
          </w:tcPr>
          <w:p w14:paraId="5B753A7B">
            <w:pPr>
              <w:widowControl/>
              <w:spacing w:line="360" w:lineRule="auto"/>
              <w:jc w:val="center"/>
              <w:rPr>
                <w:rFonts w:hint="eastAsia" w:ascii="宋体" w:hAnsi="宋体" w:cs="宋体"/>
                <w:color w:val="000000"/>
                <w:sz w:val="24"/>
              </w:rPr>
            </w:pPr>
            <w:r>
              <w:rPr>
                <w:rFonts w:hint="eastAsia" w:ascii="宋体" w:hAnsi="宋体" w:cs="宋体"/>
                <w:color w:val="000000"/>
                <w:sz w:val="24"/>
              </w:rPr>
              <w:t>套</w:t>
            </w:r>
          </w:p>
        </w:tc>
      </w:tr>
      <w:tr w14:paraId="6302F6C0">
        <w:tblPrEx>
          <w:tblCellMar>
            <w:top w:w="0" w:type="dxa"/>
            <w:left w:w="108" w:type="dxa"/>
            <w:bottom w:w="0" w:type="dxa"/>
            <w:right w:w="108" w:type="dxa"/>
          </w:tblCellMar>
        </w:tblPrEx>
        <w:trPr>
          <w:trHeight w:val="2122" w:hRule="atLeast"/>
        </w:trPr>
        <w:tc>
          <w:tcPr>
            <w:tcW w:w="995" w:type="dxa"/>
            <w:tcBorders>
              <w:left w:val="single" w:color="auto" w:sz="4" w:space="0"/>
              <w:bottom w:val="nil"/>
              <w:right w:val="single" w:color="auto" w:sz="4" w:space="0"/>
            </w:tcBorders>
            <w:vAlign w:val="center"/>
          </w:tcPr>
          <w:p w14:paraId="3ACB5B33">
            <w:pPr>
              <w:widowControl/>
              <w:spacing w:line="360" w:lineRule="auto"/>
              <w:jc w:val="center"/>
              <w:rPr>
                <w:rFonts w:hint="eastAsia" w:ascii="宋体" w:hAnsi="宋体" w:cs="宋体"/>
                <w:color w:val="000000"/>
                <w:sz w:val="24"/>
              </w:rPr>
            </w:pPr>
          </w:p>
          <w:p w14:paraId="2676747E">
            <w:pPr>
              <w:widowControl/>
              <w:spacing w:line="360" w:lineRule="auto"/>
              <w:jc w:val="center"/>
              <w:rPr>
                <w:rFonts w:hint="eastAsia" w:ascii="宋体" w:hAnsi="宋体" w:cs="宋体"/>
                <w:color w:val="000000"/>
                <w:sz w:val="24"/>
              </w:rPr>
            </w:pPr>
          </w:p>
          <w:p w14:paraId="295FCBC2">
            <w:pPr>
              <w:widowControl/>
              <w:spacing w:line="360" w:lineRule="auto"/>
              <w:jc w:val="center"/>
              <w:rPr>
                <w:rFonts w:hint="eastAsia" w:ascii="宋体" w:hAnsi="宋体" w:cs="宋体"/>
                <w:color w:val="000000"/>
                <w:sz w:val="24"/>
              </w:rPr>
            </w:pPr>
          </w:p>
          <w:p w14:paraId="5B189DFA">
            <w:pPr>
              <w:widowControl/>
              <w:spacing w:line="360" w:lineRule="auto"/>
              <w:jc w:val="center"/>
              <w:rPr>
                <w:rFonts w:hint="eastAsia" w:ascii="宋体" w:hAnsi="宋体" w:cs="宋体"/>
                <w:color w:val="000000"/>
                <w:sz w:val="24"/>
              </w:rPr>
            </w:pPr>
          </w:p>
          <w:p w14:paraId="5A716B1E">
            <w:pPr>
              <w:widowControl/>
              <w:spacing w:line="360" w:lineRule="auto"/>
              <w:jc w:val="center"/>
              <w:rPr>
                <w:rFonts w:hint="eastAsia" w:ascii="宋体" w:hAnsi="宋体" w:cs="宋体"/>
                <w:color w:val="000000"/>
                <w:sz w:val="24"/>
              </w:rPr>
            </w:pPr>
          </w:p>
          <w:p w14:paraId="4C273BEF">
            <w:pPr>
              <w:widowControl/>
              <w:spacing w:line="360" w:lineRule="auto"/>
              <w:jc w:val="center"/>
              <w:rPr>
                <w:rFonts w:hint="eastAsia" w:ascii="宋体" w:hAnsi="宋体" w:cs="宋体"/>
                <w:color w:val="000000"/>
                <w:sz w:val="24"/>
              </w:rPr>
            </w:pPr>
          </w:p>
          <w:p w14:paraId="18331818">
            <w:pPr>
              <w:widowControl/>
              <w:spacing w:line="360" w:lineRule="auto"/>
              <w:jc w:val="center"/>
              <w:rPr>
                <w:rFonts w:hint="eastAsia" w:ascii="宋体" w:hAnsi="宋体" w:cs="宋体"/>
                <w:color w:val="000000"/>
                <w:sz w:val="24"/>
              </w:rPr>
            </w:pPr>
          </w:p>
          <w:p w14:paraId="7B300324">
            <w:pPr>
              <w:widowControl/>
              <w:spacing w:line="360" w:lineRule="auto"/>
              <w:jc w:val="center"/>
              <w:rPr>
                <w:rFonts w:hint="eastAsia" w:ascii="宋体" w:hAnsi="宋体" w:cs="宋体"/>
                <w:color w:val="000000"/>
                <w:sz w:val="24"/>
              </w:rPr>
            </w:pPr>
          </w:p>
          <w:p w14:paraId="7BF585A5">
            <w:pPr>
              <w:widowControl/>
              <w:spacing w:line="360" w:lineRule="auto"/>
              <w:jc w:val="center"/>
              <w:rPr>
                <w:rFonts w:hint="eastAsia" w:ascii="宋体" w:hAnsi="宋体" w:cs="宋体"/>
                <w:color w:val="000000"/>
                <w:sz w:val="24"/>
              </w:rPr>
            </w:pPr>
          </w:p>
          <w:p w14:paraId="1514F7AA">
            <w:pPr>
              <w:widowControl/>
              <w:spacing w:line="360" w:lineRule="auto"/>
              <w:jc w:val="center"/>
              <w:rPr>
                <w:rFonts w:hint="eastAsia" w:ascii="宋体" w:hAnsi="宋体" w:cs="宋体"/>
                <w:color w:val="000000"/>
                <w:sz w:val="24"/>
              </w:rPr>
            </w:pPr>
            <w:r>
              <w:rPr>
                <w:rFonts w:hint="eastAsia" w:ascii="宋体" w:hAnsi="宋体" w:cs="宋体"/>
                <w:color w:val="000000"/>
                <w:sz w:val="24"/>
              </w:rPr>
              <w:t>5</w:t>
            </w:r>
          </w:p>
        </w:tc>
        <w:tc>
          <w:tcPr>
            <w:tcW w:w="995" w:type="dxa"/>
            <w:tcBorders>
              <w:left w:val="single" w:color="auto" w:sz="4" w:space="0"/>
              <w:bottom w:val="single" w:color="auto" w:sz="4" w:space="0"/>
              <w:right w:val="single" w:color="auto" w:sz="4" w:space="0"/>
            </w:tcBorders>
            <w:vAlign w:val="center"/>
          </w:tcPr>
          <w:p w14:paraId="606DFDD0">
            <w:pPr>
              <w:widowControl/>
              <w:spacing w:line="360" w:lineRule="auto"/>
              <w:jc w:val="left"/>
              <w:rPr>
                <w:rFonts w:hint="eastAsia" w:ascii="宋体" w:hAnsi="宋体" w:cs="宋体"/>
                <w:color w:val="000000"/>
                <w:sz w:val="24"/>
              </w:rPr>
            </w:pPr>
          </w:p>
          <w:p w14:paraId="76AEF238">
            <w:pPr>
              <w:widowControl/>
              <w:spacing w:line="360" w:lineRule="auto"/>
              <w:jc w:val="left"/>
              <w:rPr>
                <w:rFonts w:hint="eastAsia" w:ascii="宋体" w:hAnsi="宋体" w:cs="宋体"/>
                <w:color w:val="000000"/>
                <w:sz w:val="24"/>
              </w:rPr>
            </w:pPr>
          </w:p>
          <w:p w14:paraId="308F507F">
            <w:pPr>
              <w:widowControl/>
              <w:spacing w:line="360" w:lineRule="auto"/>
              <w:jc w:val="left"/>
              <w:rPr>
                <w:rFonts w:hint="eastAsia" w:ascii="宋体" w:hAnsi="宋体" w:cs="宋体"/>
                <w:color w:val="000000"/>
                <w:sz w:val="24"/>
              </w:rPr>
            </w:pPr>
          </w:p>
          <w:p w14:paraId="050FDF3F">
            <w:pPr>
              <w:widowControl/>
              <w:spacing w:line="360" w:lineRule="auto"/>
              <w:jc w:val="left"/>
              <w:rPr>
                <w:rFonts w:hint="eastAsia" w:ascii="宋体" w:hAnsi="宋体" w:cs="宋体"/>
                <w:color w:val="000000"/>
                <w:sz w:val="24"/>
              </w:rPr>
            </w:pPr>
          </w:p>
          <w:p w14:paraId="4CF435D3">
            <w:pPr>
              <w:widowControl/>
              <w:spacing w:line="360" w:lineRule="auto"/>
              <w:jc w:val="left"/>
              <w:rPr>
                <w:rFonts w:hint="eastAsia" w:ascii="宋体" w:hAnsi="宋体" w:cs="宋体"/>
                <w:color w:val="000000"/>
                <w:sz w:val="24"/>
              </w:rPr>
            </w:pPr>
          </w:p>
          <w:p w14:paraId="4FC1B37F">
            <w:pPr>
              <w:widowControl/>
              <w:spacing w:line="360" w:lineRule="auto"/>
              <w:jc w:val="left"/>
              <w:rPr>
                <w:rFonts w:hint="eastAsia" w:ascii="宋体" w:hAnsi="宋体" w:cs="宋体"/>
                <w:color w:val="000000"/>
                <w:sz w:val="24"/>
              </w:rPr>
            </w:pPr>
          </w:p>
          <w:p w14:paraId="550FF2CA">
            <w:pPr>
              <w:widowControl/>
              <w:spacing w:line="360" w:lineRule="auto"/>
              <w:jc w:val="left"/>
              <w:rPr>
                <w:rFonts w:hint="eastAsia" w:ascii="宋体" w:hAnsi="宋体" w:cs="宋体"/>
                <w:color w:val="000000"/>
                <w:sz w:val="24"/>
              </w:rPr>
            </w:pPr>
          </w:p>
          <w:p w14:paraId="5FE21F8D">
            <w:pPr>
              <w:widowControl/>
              <w:spacing w:line="360" w:lineRule="auto"/>
              <w:jc w:val="left"/>
              <w:rPr>
                <w:rFonts w:hint="eastAsia" w:ascii="宋体" w:hAnsi="宋体" w:cs="宋体"/>
                <w:color w:val="000000"/>
                <w:sz w:val="24"/>
              </w:rPr>
            </w:pPr>
          </w:p>
          <w:p w14:paraId="00E13AD8">
            <w:pPr>
              <w:widowControl/>
              <w:spacing w:line="360" w:lineRule="auto"/>
              <w:jc w:val="left"/>
              <w:rPr>
                <w:rFonts w:hint="eastAsia" w:ascii="宋体" w:hAnsi="宋体" w:cs="宋体"/>
                <w:color w:val="000000"/>
                <w:sz w:val="24"/>
              </w:rPr>
            </w:pPr>
            <w:r>
              <w:rPr>
                <w:rFonts w:hint="eastAsia" w:ascii="宋体" w:hAnsi="宋体" w:cs="宋体"/>
                <w:color w:val="000000"/>
                <w:sz w:val="24"/>
              </w:rPr>
              <w:t>平台空间占用</w:t>
            </w:r>
          </w:p>
        </w:tc>
        <w:tc>
          <w:tcPr>
            <w:tcW w:w="995" w:type="dxa"/>
            <w:tcBorders>
              <w:top w:val="single" w:color="auto" w:sz="4" w:space="0"/>
              <w:left w:val="nil"/>
              <w:bottom w:val="single" w:color="auto" w:sz="4" w:space="0"/>
              <w:right w:val="single" w:color="auto" w:sz="4" w:space="0"/>
            </w:tcBorders>
            <w:vAlign w:val="center"/>
          </w:tcPr>
          <w:p w14:paraId="5B9B230B">
            <w:pPr>
              <w:widowControl/>
              <w:spacing w:line="360" w:lineRule="auto"/>
              <w:jc w:val="left"/>
              <w:rPr>
                <w:rFonts w:hint="eastAsia" w:ascii="宋体" w:hAnsi="宋体" w:cs="宋体"/>
                <w:color w:val="000000"/>
                <w:sz w:val="24"/>
              </w:rPr>
            </w:pPr>
          </w:p>
          <w:p w14:paraId="699C4E23">
            <w:pPr>
              <w:widowControl/>
              <w:spacing w:line="360" w:lineRule="auto"/>
              <w:jc w:val="left"/>
              <w:rPr>
                <w:rFonts w:hint="eastAsia" w:ascii="宋体" w:hAnsi="宋体" w:cs="宋体"/>
                <w:color w:val="000000"/>
                <w:sz w:val="24"/>
              </w:rPr>
            </w:pPr>
          </w:p>
          <w:p w14:paraId="2C6E84A9">
            <w:pPr>
              <w:widowControl/>
              <w:spacing w:line="360" w:lineRule="auto"/>
              <w:jc w:val="left"/>
              <w:rPr>
                <w:rFonts w:hint="eastAsia" w:ascii="宋体" w:hAnsi="宋体" w:cs="宋体"/>
                <w:color w:val="000000"/>
                <w:sz w:val="24"/>
              </w:rPr>
            </w:pPr>
          </w:p>
          <w:p w14:paraId="26E4091C">
            <w:pPr>
              <w:widowControl/>
              <w:spacing w:line="360" w:lineRule="auto"/>
              <w:jc w:val="left"/>
              <w:rPr>
                <w:rFonts w:hint="eastAsia" w:ascii="宋体" w:hAnsi="宋体" w:cs="宋体"/>
                <w:color w:val="000000"/>
                <w:sz w:val="24"/>
              </w:rPr>
            </w:pPr>
          </w:p>
          <w:p w14:paraId="153E361D">
            <w:pPr>
              <w:widowControl/>
              <w:spacing w:line="360" w:lineRule="auto"/>
              <w:jc w:val="left"/>
              <w:rPr>
                <w:rFonts w:hint="eastAsia" w:ascii="宋体" w:hAnsi="宋体" w:cs="宋体"/>
                <w:color w:val="000000"/>
                <w:sz w:val="24"/>
              </w:rPr>
            </w:pPr>
          </w:p>
          <w:p w14:paraId="0EAEC031">
            <w:pPr>
              <w:widowControl/>
              <w:spacing w:line="360" w:lineRule="auto"/>
              <w:jc w:val="left"/>
              <w:rPr>
                <w:rFonts w:hint="eastAsia" w:ascii="宋体" w:hAnsi="宋体" w:cs="宋体"/>
                <w:color w:val="000000"/>
                <w:sz w:val="24"/>
              </w:rPr>
            </w:pPr>
          </w:p>
          <w:p w14:paraId="610FE07B">
            <w:pPr>
              <w:widowControl/>
              <w:spacing w:line="360" w:lineRule="auto"/>
              <w:jc w:val="left"/>
              <w:rPr>
                <w:rFonts w:hint="eastAsia" w:ascii="宋体" w:hAnsi="宋体" w:cs="宋体"/>
                <w:color w:val="000000"/>
                <w:sz w:val="24"/>
              </w:rPr>
            </w:pPr>
          </w:p>
          <w:p w14:paraId="3923AFDE">
            <w:pPr>
              <w:widowControl/>
              <w:spacing w:line="360" w:lineRule="auto"/>
              <w:jc w:val="left"/>
              <w:rPr>
                <w:rFonts w:hint="eastAsia" w:ascii="宋体" w:hAnsi="宋体" w:cs="宋体"/>
                <w:color w:val="000000"/>
                <w:sz w:val="24"/>
              </w:rPr>
            </w:pPr>
          </w:p>
          <w:p w14:paraId="291EA1AE">
            <w:pPr>
              <w:widowControl/>
              <w:spacing w:line="360" w:lineRule="auto"/>
              <w:jc w:val="left"/>
              <w:rPr>
                <w:rFonts w:hint="eastAsia" w:ascii="宋体" w:hAnsi="宋体" w:cs="宋体"/>
                <w:color w:val="000000"/>
                <w:sz w:val="24"/>
              </w:rPr>
            </w:pPr>
            <w:r>
              <w:rPr>
                <w:rFonts w:ascii="宋体" w:hAnsi="宋体" w:cs="宋体"/>
                <w:color w:val="000000"/>
                <w:sz w:val="24"/>
              </w:rPr>
              <w:t>独享弹性云主机</w:t>
            </w:r>
          </w:p>
        </w:tc>
        <w:tc>
          <w:tcPr>
            <w:tcW w:w="1290" w:type="dxa"/>
            <w:tcBorders>
              <w:top w:val="single" w:color="auto" w:sz="4" w:space="0"/>
              <w:left w:val="nil"/>
              <w:bottom w:val="single" w:color="auto" w:sz="4" w:space="0"/>
              <w:right w:val="single" w:color="auto" w:sz="4" w:space="0"/>
            </w:tcBorders>
            <w:vAlign w:val="center"/>
          </w:tcPr>
          <w:p w14:paraId="172D555F">
            <w:pPr>
              <w:widowControl/>
              <w:spacing w:line="360" w:lineRule="auto"/>
              <w:jc w:val="left"/>
              <w:rPr>
                <w:rFonts w:hint="eastAsia" w:ascii="宋体" w:hAnsi="宋体" w:cs="宋体"/>
                <w:color w:val="000000"/>
                <w:sz w:val="24"/>
              </w:rPr>
            </w:pPr>
          </w:p>
          <w:p w14:paraId="4130EA17">
            <w:pPr>
              <w:widowControl/>
              <w:spacing w:line="360" w:lineRule="auto"/>
              <w:jc w:val="left"/>
              <w:rPr>
                <w:rFonts w:hint="eastAsia" w:ascii="宋体" w:hAnsi="宋体" w:cs="宋体"/>
                <w:color w:val="000000"/>
                <w:sz w:val="24"/>
              </w:rPr>
            </w:pPr>
          </w:p>
          <w:p w14:paraId="0C914043">
            <w:pPr>
              <w:widowControl/>
              <w:spacing w:line="360" w:lineRule="auto"/>
              <w:jc w:val="left"/>
              <w:rPr>
                <w:rFonts w:hint="eastAsia" w:ascii="宋体" w:hAnsi="宋体" w:cs="宋体"/>
                <w:color w:val="000000"/>
                <w:sz w:val="24"/>
              </w:rPr>
            </w:pPr>
          </w:p>
          <w:p w14:paraId="3B5AFDE4">
            <w:pPr>
              <w:widowControl/>
              <w:spacing w:line="360" w:lineRule="auto"/>
              <w:jc w:val="left"/>
              <w:rPr>
                <w:rFonts w:hint="eastAsia" w:ascii="宋体" w:hAnsi="宋体" w:cs="宋体"/>
                <w:color w:val="000000"/>
                <w:sz w:val="24"/>
              </w:rPr>
            </w:pPr>
          </w:p>
          <w:p w14:paraId="2CCAEC78">
            <w:pPr>
              <w:widowControl/>
              <w:spacing w:line="360" w:lineRule="auto"/>
              <w:jc w:val="left"/>
              <w:rPr>
                <w:rFonts w:hint="eastAsia" w:ascii="宋体" w:hAnsi="宋体" w:cs="宋体"/>
                <w:color w:val="000000"/>
                <w:sz w:val="24"/>
              </w:rPr>
            </w:pPr>
          </w:p>
          <w:p w14:paraId="7FDE8CDC">
            <w:pPr>
              <w:widowControl/>
              <w:spacing w:line="360" w:lineRule="auto"/>
              <w:jc w:val="left"/>
              <w:rPr>
                <w:rFonts w:hint="eastAsia" w:ascii="宋体" w:hAnsi="宋体" w:cs="宋体"/>
                <w:color w:val="000000"/>
                <w:sz w:val="24"/>
              </w:rPr>
            </w:pPr>
          </w:p>
          <w:p w14:paraId="17CEC8E3">
            <w:pPr>
              <w:widowControl/>
              <w:spacing w:line="360" w:lineRule="auto"/>
              <w:jc w:val="left"/>
              <w:rPr>
                <w:rFonts w:hint="eastAsia" w:ascii="宋体" w:hAnsi="宋体" w:cs="宋体"/>
                <w:color w:val="000000"/>
                <w:sz w:val="24"/>
              </w:rPr>
            </w:pPr>
          </w:p>
          <w:p w14:paraId="72FD74C5">
            <w:pPr>
              <w:widowControl/>
              <w:spacing w:line="360" w:lineRule="auto"/>
              <w:jc w:val="left"/>
              <w:rPr>
                <w:rFonts w:hint="eastAsia" w:ascii="宋体" w:hAnsi="宋体" w:cs="宋体"/>
                <w:color w:val="000000"/>
                <w:sz w:val="24"/>
              </w:rPr>
            </w:pPr>
          </w:p>
          <w:p w14:paraId="00758E46">
            <w:pPr>
              <w:widowControl/>
              <w:spacing w:line="360" w:lineRule="auto"/>
              <w:jc w:val="left"/>
              <w:rPr>
                <w:rFonts w:hint="eastAsia" w:ascii="宋体" w:hAnsi="宋体" w:cs="宋体"/>
                <w:color w:val="000000"/>
                <w:sz w:val="24"/>
              </w:rPr>
            </w:pPr>
            <w:r>
              <w:rPr>
                <w:rFonts w:ascii="宋体" w:hAnsi="宋体" w:cs="宋体"/>
                <w:color w:val="000000"/>
                <w:sz w:val="24"/>
              </w:rPr>
              <w:t>云主机、云安全</w:t>
            </w:r>
          </w:p>
          <w:p w14:paraId="38DFCBB4">
            <w:pPr>
              <w:pStyle w:val="16"/>
              <w:rPr>
                <w:rFonts w:hint="eastAsia" w:ascii="宋体" w:hAnsi="宋体" w:cs="宋体"/>
                <w:color w:val="000000"/>
                <w:sz w:val="24"/>
              </w:rPr>
            </w:pPr>
          </w:p>
          <w:p w14:paraId="7C967BAD">
            <w:pPr>
              <w:pStyle w:val="16"/>
              <w:rPr>
                <w:rFonts w:hint="eastAsia" w:ascii="宋体" w:hAnsi="宋体" w:cs="宋体"/>
                <w:color w:val="000000"/>
                <w:sz w:val="24"/>
              </w:rPr>
            </w:pPr>
          </w:p>
        </w:tc>
        <w:tc>
          <w:tcPr>
            <w:tcW w:w="7934" w:type="dxa"/>
            <w:tcBorders>
              <w:top w:val="single" w:color="auto" w:sz="4" w:space="0"/>
              <w:left w:val="nil"/>
              <w:bottom w:val="single" w:color="auto" w:sz="4" w:space="0"/>
              <w:right w:val="single" w:color="auto" w:sz="4" w:space="0"/>
            </w:tcBorders>
            <w:vAlign w:val="center"/>
          </w:tcPr>
          <w:p w14:paraId="3413857F">
            <w:pPr>
              <w:widowControl/>
              <w:spacing w:line="360" w:lineRule="auto"/>
              <w:jc w:val="left"/>
              <w:rPr>
                <w:rFonts w:hint="eastAsia" w:ascii="宋体" w:hAnsi="宋体" w:cs="宋体"/>
                <w:color w:val="EE0000"/>
                <w:sz w:val="24"/>
              </w:rPr>
            </w:pPr>
            <w:r>
              <w:rPr>
                <w:rFonts w:ascii="宋体" w:hAnsi="宋体" w:cs="宋体"/>
                <w:color w:val="000000"/>
                <w:sz w:val="24"/>
              </w:rPr>
              <w:t>▲</w:t>
            </w:r>
            <w:r>
              <w:rPr>
                <w:rFonts w:hint="eastAsia" w:ascii="宋体" w:hAnsi="宋体" w:cs="宋体"/>
                <w:color w:val="000000"/>
                <w:sz w:val="24"/>
              </w:rPr>
              <w:t>37</w:t>
            </w:r>
            <w:r>
              <w:rPr>
                <w:rFonts w:ascii="宋体" w:hAnsi="宋体" w:cs="宋体"/>
                <w:color w:val="000000"/>
                <w:sz w:val="24"/>
              </w:rPr>
              <w:t>、计算规格：提供独享弹性云主机，虚拟 CPU 不少于 8 核，运行内存不少于 32GB，CPU 无性能限速，资源全程独占；</w:t>
            </w:r>
            <w:r>
              <w:rPr>
                <w:rFonts w:ascii="宋体" w:hAnsi="宋体" w:cs="宋体"/>
                <w:color w:val="000000"/>
                <w:sz w:val="24"/>
              </w:rPr>
              <w:br w:type="textWrapping"/>
            </w:r>
            <w:r>
              <w:rPr>
                <w:rFonts w:hint="eastAsia" w:ascii="宋体" w:hAnsi="宋体" w:cs="宋体"/>
                <w:color w:val="000000"/>
                <w:sz w:val="24"/>
              </w:rPr>
              <w:t>38</w:t>
            </w:r>
            <w:r>
              <w:rPr>
                <w:rFonts w:ascii="宋体" w:hAnsi="宋体" w:cs="宋体"/>
                <w:color w:val="000000"/>
                <w:sz w:val="24"/>
              </w:rPr>
              <w:t>、存储配置：配置独立系统盘≥500GB，配套独立数据盘≥2T；支持在线不停机扩容磁盘容量，磁盘 4KB 随机读写持续基线 IOPS≥2000，顺序读写持续吞吐量≥110MB/s；</w:t>
            </w:r>
            <w:r>
              <w:rPr>
                <w:rFonts w:ascii="宋体" w:hAnsi="宋体" w:cs="宋体"/>
                <w:color w:val="000000"/>
                <w:sz w:val="24"/>
              </w:rPr>
              <w:br w:type="textWrapping"/>
            </w:r>
            <w:r>
              <w:rPr>
                <w:rFonts w:hint="eastAsia" w:ascii="宋体" w:hAnsi="宋体" w:cs="宋体"/>
                <w:color w:val="000000"/>
                <w:sz w:val="24"/>
              </w:rPr>
              <w:t>39</w:t>
            </w:r>
            <w:r>
              <w:rPr>
                <w:rFonts w:ascii="宋体" w:hAnsi="宋体" w:cs="宋体"/>
                <w:color w:val="000000"/>
                <w:sz w:val="24"/>
              </w:rPr>
              <w:t>、操作系统：兼容 Windows Server、主流 Linux 操作系统，提供官方纯净镜像，无额外系统授权费用，支持按需重装、切换操作系统；</w:t>
            </w:r>
            <w:r>
              <w:rPr>
                <w:rFonts w:ascii="宋体" w:hAnsi="宋体" w:cs="宋体"/>
                <w:color w:val="000000"/>
                <w:sz w:val="24"/>
              </w:rPr>
              <w:br w:type="textWrapping"/>
            </w:r>
            <w:r>
              <w:rPr>
                <w:rFonts w:hint="eastAsia" w:ascii="宋体" w:hAnsi="宋体" w:cs="宋体"/>
                <w:color w:val="000000"/>
                <w:sz w:val="24"/>
              </w:rPr>
              <w:t>40</w:t>
            </w:r>
            <w:r>
              <w:rPr>
                <w:rFonts w:ascii="宋体" w:hAnsi="宋体" w:cs="宋体"/>
                <w:color w:val="000000"/>
                <w:sz w:val="24"/>
              </w:rPr>
              <w:t>、弹性伸缩：支持纵向在线扩容 CPU、内存、磁盘，业务高峰期可临时提升资源配置，升降配流程线上自助完成，无需停机业务中断。</w:t>
            </w:r>
            <w:r>
              <w:rPr>
                <w:rFonts w:ascii="宋体" w:hAnsi="宋体" w:cs="宋体"/>
                <w:color w:val="000000"/>
                <w:sz w:val="24"/>
              </w:rPr>
              <w:br w:type="textWrapping"/>
            </w:r>
            <w:r>
              <w:rPr>
                <w:rFonts w:hint="eastAsia" w:ascii="宋体" w:hAnsi="宋体" w:cs="宋体"/>
                <w:color w:val="000000"/>
                <w:sz w:val="24"/>
              </w:rPr>
              <w:t>41</w:t>
            </w:r>
            <w:r>
              <w:rPr>
                <w:rFonts w:ascii="宋体" w:hAnsi="宋体" w:cs="宋体"/>
                <w:color w:val="000000"/>
                <w:sz w:val="24"/>
              </w:rPr>
              <w:t>、配套网络资源：分配独立固定公网 IPv4 地址，带宽不低于100Mbps，带宽无峰值限流，支持按需平滑升级带宽；提供独立租户 VPC 虚拟私有网络，支持自定义子网、路由策略，通过安全组实现端口、IP 访问精细化管控，实现网络逻辑隔离。</w:t>
            </w:r>
            <w:r>
              <w:rPr>
                <w:rFonts w:ascii="宋体" w:hAnsi="宋体" w:cs="宋体"/>
                <w:color w:val="000000"/>
                <w:sz w:val="24"/>
              </w:rPr>
              <w:br w:type="textWrapping"/>
            </w:r>
            <w:r>
              <w:rPr>
                <w:rFonts w:hint="eastAsia" w:ascii="宋体" w:hAnsi="宋体" w:cs="宋体"/>
                <w:color w:val="000000"/>
                <w:sz w:val="24"/>
              </w:rPr>
              <w:t>42</w:t>
            </w:r>
            <w:r>
              <w:rPr>
                <w:rFonts w:ascii="宋体" w:hAnsi="宋体" w:cs="宋体"/>
                <w:color w:val="000000"/>
                <w:sz w:val="24"/>
              </w:rPr>
              <w:t>、应用防护：内置 Web 应用防护，可拦截 SQL 注入、XSS 注入、跨站请求伪造攻击、Cookie篡改以及应用层Web攻击、支持黑白名单配置， 通过设置IP黑白名单访问控制来阻断或放行指定IP的访问请求、具备应用攻击日报、报表等能力，用户展示分析， 同时可以生成告警及时通知相关人员；（1）支持暴力破解防护，可针对指定URL进行暴力破解防护，支持多种方式的登陆，支持referer检测，支持阈值和检测周期的设置（需提供系统平台截图）；（2）支持非法下载防护，可以根据文件大小、MIME类型及文件扩展名灵活定义下载限制策略，限制用户非法获取网站的关键数据；</w:t>
            </w:r>
            <w:r>
              <w:rPr>
                <w:rFonts w:ascii="宋体" w:hAnsi="宋体" w:cs="宋体"/>
                <w:color w:val="000000"/>
                <w:sz w:val="24"/>
              </w:rPr>
              <w:br w:type="textWrapping"/>
            </w:r>
            <w:r>
              <w:rPr>
                <w:rFonts w:hint="eastAsia" w:ascii="宋体" w:hAnsi="宋体" w:cs="宋体"/>
                <w:color w:val="000000"/>
                <w:sz w:val="24"/>
              </w:rPr>
              <w:t>43</w:t>
            </w:r>
            <w:r>
              <w:rPr>
                <w:rFonts w:ascii="宋体" w:hAnsi="宋体" w:cs="宋体"/>
                <w:color w:val="000000"/>
                <w:sz w:val="24"/>
              </w:rPr>
              <w:t>、主机安全：自带云主机安全中心，具备漏洞扫描、弱口令检测、异地登录告警、病毒木马查杀、基线核查等功能；（1）支持查杀病毒包括如下类型：勒索病毒：WanaCry、CryptoLocker等加密文件型勒索软件。</w:t>
            </w:r>
            <w:r>
              <w:rPr>
                <w:rFonts w:ascii="宋体" w:hAnsi="宋体" w:cs="宋体"/>
                <w:color w:val="000000"/>
                <w:sz w:val="24"/>
              </w:rPr>
              <w:br w:type="textWrapping"/>
            </w:r>
            <w:r>
              <w:rPr>
                <w:rFonts w:ascii="宋体" w:hAnsi="宋体" w:cs="宋体"/>
                <w:color w:val="000000"/>
                <w:sz w:val="24"/>
              </w:rPr>
              <w:t>恶意攻击：对外DDoS攻击木马、对外恶意扫描木马、垃圾邮件发送木马等。挖矿软件：占用服务器非法挖掘虚拟货币的资源消耗型软件。</w:t>
            </w:r>
            <w:r>
              <w:rPr>
                <w:rFonts w:ascii="宋体" w:hAnsi="宋体" w:cs="宋体"/>
                <w:color w:val="000000"/>
                <w:sz w:val="24"/>
              </w:rPr>
              <w:br w:type="textWrapping"/>
            </w:r>
            <w:r>
              <w:rPr>
                <w:rFonts w:ascii="宋体" w:hAnsi="宋体" w:cs="宋体"/>
                <w:color w:val="000000"/>
                <w:sz w:val="24"/>
              </w:rPr>
              <w:t>肉鸡程序：中控木马、恶意中控连接、黑客工具等。其他病毒：蠕虫病毒、Mirai病毒、感染型病毒等。（需提供系统平台截图）；（2）支持检测网络访问控制、数据安全、日志审计、身份认证及权限类型配置是否存在安全隐患，检测结果包括风险描述，验证信息，修复建议。（需提供系统平台截图）；（3）支持实时监控病毒文件落地及进程启动的行为，及时发现并检测病毒，避免通过扫描的方式增加系统负载。支持对病毒进行进程阻断、文件隔离和文件删除等操作，支持将非病毒文件加入白名单。支持对病毒所有的处理记录进行查看，并可对处理成功的病毒进行管理和进一步处理，例如删除已隔离文件、还原已隔离文件等。支持自定义配置自动处理策略，病毒文件可被自动隔离。支持对防护模式进行更改，至少包括告警并隔离、仅告警等防护模式。</w:t>
            </w:r>
          </w:p>
        </w:tc>
        <w:tc>
          <w:tcPr>
            <w:tcW w:w="815" w:type="dxa"/>
            <w:tcBorders>
              <w:top w:val="single" w:color="auto" w:sz="4" w:space="0"/>
              <w:left w:val="nil"/>
              <w:bottom w:val="single" w:color="auto" w:sz="4" w:space="0"/>
              <w:right w:val="single" w:color="auto" w:sz="4" w:space="0"/>
            </w:tcBorders>
            <w:vAlign w:val="center"/>
          </w:tcPr>
          <w:p w14:paraId="6BF53778">
            <w:pPr>
              <w:widowControl/>
              <w:spacing w:line="360" w:lineRule="auto"/>
              <w:jc w:val="center"/>
              <w:rPr>
                <w:rFonts w:hint="eastAsia" w:ascii="宋体" w:hAnsi="宋体" w:cs="宋体"/>
                <w:color w:val="000000"/>
                <w:sz w:val="24"/>
              </w:rPr>
            </w:pPr>
            <w:r>
              <w:rPr>
                <w:rFonts w:hint="eastAsia" w:ascii="宋体" w:hAnsi="宋体" w:cs="宋体"/>
                <w:color w:val="000000"/>
                <w:sz w:val="24"/>
              </w:rPr>
              <w:t>1</w:t>
            </w:r>
          </w:p>
        </w:tc>
        <w:tc>
          <w:tcPr>
            <w:tcW w:w="995" w:type="dxa"/>
            <w:tcBorders>
              <w:top w:val="single" w:color="auto" w:sz="4" w:space="0"/>
              <w:left w:val="nil"/>
              <w:bottom w:val="single" w:color="auto" w:sz="4" w:space="0"/>
              <w:right w:val="single" w:color="auto" w:sz="4" w:space="0"/>
            </w:tcBorders>
            <w:vAlign w:val="center"/>
          </w:tcPr>
          <w:p w14:paraId="395DEABC">
            <w:pPr>
              <w:widowControl/>
              <w:spacing w:line="360" w:lineRule="auto"/>
              <w:jc w:val="center"/>
              <w:rPr>
                <w:rFonts w:hint="eastAsia" w:ascii="宋体" w:hAnsi="宋体" w:cs="宋体"/>
                <w:color w:val="000000"/>
                <w:sz w:val="24"/>
              </w:rPr>
            </w:pPr>
            <w:r>
              <w:rPr>
                <w:rFonts w:hint="eastAsia" w:ascii="宋体" w:hAnsi="宋体" w:cs="宋体"/>
                <w:color w:val="000000"/>
                <w:sz w:val="24"/>
              </w:rPr>
              <w:t>套</w:t>
            </w:r>
          </w:p>
        </w:tc>
      </w:tr>
      <w:tr w14:paraId="421E7121">
        <w:tblPrEx>
          <w:tblCellMar>
            <w:top w:w="0" w:type="dxa"/>
            <w:left w:w="108" w:type="dxa"/>
            <w:bottom w:w="0" w:type="dxa"/>
            <w:right w:w="108" w:type="dxa"/>
          </w:tblCellMar>
        </w:tblPrEx>
        <w:trPr>
          <w:trHeight w:val="1048" w:hRule="atLeast"/>
        </w:trPr>
        <w:tc>
          <w:tcPr>
            <w:tcW w:w="995" w:type="dxa"/>
            <w:vMerge w:val="restart"/>
            <w:tcBorders>
              <w:top w:val="single" w:color="auto" w:sz="4" w:space="0"/>
              <w:left w:val="single" w:color="auto" w:sz="4" w:space="0"/>
              <w:right w:val="single" w:color="auto" w:sz="4" w:space="0"/>
            </w:tcBorders>
            <w:vAlign w:val="center"/>
          </w:tcPr>
          <w:p w14:paraId="03C11665">
            <w:pPr>
              <w:widowControl/>
              <w:spacing w:line="360" w:lineRule="auto"/>
              <w:jc w:val="center"/>
              <w:rPr>
                <w:rFonts w:hint="eastAsia" w:ascii="宋体" w:hAnsi="宋体" w:cs="宋体"/>
                <w:color w:val="000000"/>
                <w:sz w:val="24"/>
              </w:rPr>
            </w:pPr>
          </w:p>
          <w:p w14:paraId="2184D0B9">
            <w:pPr>
              <w:widowControl/>
              <w:spacing w:line="360" w:lineRule="auto"/>
              <w:jc w:val="center"/>
              <w:rPr>
                <w:rFonts w:hint="eastAsia" w:ascii="宋体" w:hAnsi="宋体" w:cs="宋体"/>
                <w:color w:val="000000"/>
                <w:sz w:val="24"/>
              </w:rPr>
            </w:pPr>
          </w:p>
          <w:p w14:paraId="7F480D3D">
            <w:pPr>
              <w:widowControl/>
              <w:spacing w:line="360" w:lineRule="auto"/>
              <w:jc w:val="center"/>
              <w:rPr>
                <w:rFonts w:hint="eastAsia" w:ascii="宋体" w:hAnsi="宋体" w:cs="宋体"/>
                <w:color w:val="000000"/>
                <w:sz w:val="24"/>
              </w:rPr>
            </w:pPr>
          </w:p>
          <w:p w14:paraId="0A30DAAB">
            <w:pPr>
              <w:widowControl/>
              <w:spacing w:line="360" w:lineRule="auto"/>
              <w:jc w:val="center"/>
              <w:rPr>
                <w:rFonts w:hint="eastAsia" w:ascii="宋体" w:hAnsi="宋体" w:cs="宋体"/>
                <w:color w:val="000000"/>
                <w:sz w:val="24"/>
              </w:rPr>
            </w:pPr>
          </w:p>
          <w:p w14:paraId="0F418F31">
            <w:pPr>
              <w:widowControl/>
              <w:spacing w:line="360" w:lineRule="auto"/>
              <w:jc w:val="center"/>
              <w:rPr>
                <w:rFonts w:hint="eastAsia" w:ascii="宋体" w:hAnsi="宋体" w:cs="宋体"/>
                <w:color w:val="000000"/>
                <w:sz w:val="24"/>
              </w:rPr>
            </w:pPr>
          </w:p>
          <w:p w14:paraId="611EFFB3">
            <w:pPr>
              <w:widowControl/>
              <w:spacing w:line="360" w:lineRule="auto"/>
              <w:jc w:val="center"/>
              <w:rPr>
                <w:rFonts w:hint="eastAsia" w:ascii="宋体" w:hAnsi="宋体" w:cs="宋体"/>
                <w:color w:val="000000"/>
                <w:sz w:val="24"/>
              </w:rPr>
            </w:pPr>
          </w:p>
          <w:p w14:paraId="7D445901">
            <w:pPr>
              <w:widowControl/>
              <w:spacing w:line="360" w:lineRule="auto"/>
              <w:jc w:val="center"/>
              <w:rPr>
                <w:rFonts w:hint="eastAsia" w:ascii="宋体" w:hAnsi="宋体" w:cs="宋体"/>
                <w:color w:val="000000"/>
                <w:sz w:val="24"/>
              </w:rPr>
            </w:pPr>
          </w:p>
          <w:p w14:paraId="4217798B">
            <w:pPr>
              <w:widowControl/>
              <w:spacing w:line="360" w:lineRule="auto"/>
              <w:jc w:val="center"/>
              <w:rPr>
                <w:rFonts w:hint="eastAsia" w:ascii="宋体" w:hAnsi="宋体" w:cs="宋体"/>
                <w:color w:val="000000"/>
                <w:sz w:val="24"/>
              </w:rPr>
            </w:pPr>
            <w:r>
              <w:rPr>
                <w:rFonts w:hint="eastAsia" w:ascii="宋体" w:hAnsi="宋体" w:cs="宋体"/>
                <w:color w:val="000000"/>
                <w:sz w:val="24"/>
              </w:rPr>
              <w:t>6</w:t>
            </w:r>
          </w:p>
        </w:tc>
        <w:tc>
          <w:tcPr>
            <w:tcW w:w="995" w:type="dxa"/>
            <w:vMerge w:val="restart"/>
            <w:tcBorders>
              <w:top w:val="single" w:color="auto" w:sz="4" w:space="0"/>
              <w:left w:val="single" w:color="auto" w:sz="4" w:space="0"/>
              <w:right w:val="single" w:color="auto" w:sz="4" w:space="0"/>
            </w:tcBorders>
            <w:vAlign w:val="center"/>
          </w:tcPr>
          <w:p w14:paraId="199E9ED8">
            <w:pPr>
              <w:widowControl/>
              <w:spacing w:line="360" w:lineRule="auto"/>
              <w:jc w:val="center"/>
              <w:rPr>
                <w:rFonts w:hint="eastAsia" w:ascii="宋体" w:hAnsi="宋体" w:cs="宋体"/>
                <w:color w:val="000000"/>
                <w:sz w:val="24"/>
              </w:rPr>
            </w:pPr>
          </w:p>
          <w:p w14:paraId="754073AC">
            <w:pPr>
              <w:widowControl/>
              <w:spacing w:line="360" w:lineRule="auto"/>
              <w:jc w:val="center"/>
              <w:rPr>
                <w:rFonts w:hint="eastAsia" w:ascii="宋体" w:hAnsi="宋体" w:cs="宋体"/>
                <w:color w:val="000000"/>
                <w:sz w:val="24"/>
              </w:rPr>
            </w:pPr>
          </w:p>
          <w:p w14:paraId="44A277F5">
            <w:pPr>
              <w:widowControl/>
              <w:spacing w:line="360" w:lineRule="auto"/>
              <w:jc w:val="center"/>
              <w:rPr>
                <w:rFonts w:hint="eastAsia" w:ascii="宋体" w:hAnsi="宋体" w:cs="宋体"/>
                <w:color w:val="000000"/>
                <w:sz w:val="24"/>
              </w:rPr>
            </w:pPr>
          </w:p>
          <w:p w14:paraId="27E0D031">
            <w:pPr>
              <w:widowControl/>
              <w:spacing w:line="360" w:lineRule="auto"/>
              <w:jc w:val="center"/>
              <w:rPr>
                <w:rFonts w:hint="eastAsia" w:ascii="宋体" w:hAnsi="宋体" w:cs="宋体"/>
                <w:color w:val="000000"/>
                <w:sz w:val="24"/>
              </w:rPr>
            </w:pPr>
          </w:p>
          <w:p w14:paraId="769FA7A3">
            <w:pPr>
              <w:widowControl/>
              <w:spacing w:line="360" w:lineRule="auto"/>
              <w:jc w:val="center"/>
              <w:rPr>
                <w:rFonts w:hint="eastAsia" w:ascii="宋体" w:hAnsi="宋体" w:cs="宋体"/>
                <w:color w:val="000000"/>
                <w:sz w:val="24"/>
              </w:rPr>
            </w:pPr>
          </w:p>
          <w:p w14:paraId="65EF0F20">
            <w:pPr>
              <w:widowControl/>
              <w:spacing w:line="360" w:lineRule="auto"/>
              <w:jc w:val="center"/>
              <w:rPr>
                <w:rFonts w:hint="eastAsia" w:ascii="宋体" w:hAnsi="宋体" w:cs="宋体"/>
                <w:color w:val="000000"/>
                <w:sz w:val="24"/>
              </w:rPr>
            </w:pPr>
          </w:p>
          <w:p w14:paraId="1F2422A8">
            <w:pPr>
              <w:widowControl/>
              <w:spacing w:line="360" w:lineRule="auto"/>
              <w:jc w:val="center"/>
              <w:rPr>
                <w:rFonts w:hint="eastAsia" w:ascii="宋体" w:hAnsi="宋体" w:cs="宋体"/>
                <w:color w:val="000000"/>
                <w:sz w:val="24"/>
              </w:rPr>
            </w:pPr>
          </w:p>
          <w:p w14:paraId="48524D50">
            <w:pPr>
              <w:widowControl/>
              <w:spacing w:line="360" w:lineRule="auto"/>
              <w:jc w:val="center"/>
              <w:rPr>
                <w:rFonts w:hint="eastAsia" w:ascii="宋体" w:hAnsi="宋体" w:cs="宋体"/>
                <w:color w:val="000000"/>
                <w:sz w:val="24"/>
              </w:rPr>
            </w:pPr>
            <w:r>
              <w:rPr>
                <w:rFonts w:hint="eastAsia" w:ascii="宋体" w:hAnsi="宋体" w:cs="宋体"/>
                <w:color w:val="000000"/>
                <w:sz w:val="24"/>
              </w:rPr>
              <w:t>平台维护</w:t>
            </w:r>
          </w:p>
        </w:tc>
        <w:tc>
          <w:tcPr>
            <w:tcW w:w="995" w:type="dxa"/>
            <w:vMerge w:val="restart"/>
            <w:tcBorders>
              <w:top w:val="single" w:color="auto" w:sz="4" w:space="0"/>
              <w:left w:val="single" w:color="auto" w:sz="4" w:space="0"/>
              <w:right w:val="single" w:color="auto" w:sz="4" w:space="0"/>
            </w:tcBorders>
            <w:vAlign w:val="center"/>
          </w:tcPr>
          <w:p w14:paraId="186CDE71">
            <w:pPr>
              <w:widowControl/>
              <w:spacing w:line="360" w:lineRule="auto"/>
              <w:jc w:val="center"/>
              <w:rPr>
                <w:rFonts w:hint="eastAsia" w:ascii="宋体" w:hAnsi="宋体" w:cs="宋体"/>
                <w:color w:val="000000"/>
                <w:sz w:val="24"/>
              </w:rPr>
            </w:pPr>
          </w:p>
          <w:p w14:paraId="239E4981">
            <w:pPr>
              <w:widowControl/>
              <w:spacing w:line="360" w:lineRule="auto"/>
              <w:jc w:val="center"/>
              <w:rPr>
                <w:rFonts w:hint="eastAsia" w:ascii="宋体" w:hAnsi="宋体" w:cs="宋体"/>
                <w:color w:val="000000"/>
                <w:sz w:val="24"/>
              </w:rPr>
            </w:pPr>
          </w:p>
          <w:p w14:paraId="0A76930A">
            <w:pPr>
              <w:widowControl/>
              <w:spacing w:line="360" w:lineRule="auto"/>
              <w:jc w:val="center"/>
              <w:rPr>
                <w:rFonts w:hint="eastAsia" w:ascii="宋体" w:hAnsi="宋体" w:cs="宋体"/>
                <w:color w:val="000000"/>
                <w:sz w:val="24"/>
              </w:rPr>
            </w:pPr>
          </w:p>
          <w:p w14:paraId="01F38A74">
            <w:pPr>
              <w:widowControl/>
              <w:spacing w:line="360" w:lineRule="auto"/>
              <w:jc w:val="center"/>
              <w:rPr>
                <w:rFonts w:hint="eastAsia" w:ascii="宋体" w:hAnsi="宋体" w:cs="宋体"/>
                <w:color w:val="000000"/>
                <w:sz w:val="24"/>
              </w:rPr>
            </w:pPr>
          </w:p>
          <w:p w14:paraId="771330DF">
            <w:pPr>
              <w:widowControl/>
              <w:spacing w:line="360" w:lineRule="auto"/>
              <w:jc w:val="center"/>
              <w:rPr>
                <w:rFonts w:hint="eastAsia" w:ascii="宋体" w:hAnsi="宋体" w:cs="宋体"/>
                <w:color w:val="000000"/>
                <w:sz w:val="24"/>
              </w:rPr>
            </w:pPr>
          </w:p>
          <w:p w14:paraId="3646C5B6">
            <w:pPr>
              <w:widowControl/>
              <w:spacing w:line="360" w:lineRule="auto"/>
              <w:jc w:val="center"/>
              <w:rPr>
                <w:rFonts w:hint="eastAsia" w:ascii="宋体" w:hAnsi="宋体" w:cs="宋体"/>
                <w:color w:val="000000"/>
                <w:sz w:val="24"/>
              </w:rPr>
            </w:pPr>
          </w:p>
          <w:p w14:paraId="541BBAD9">
            <w:pPr>
              <w:widowControl/>
              <w:spacing w:line="360" w:lineRule="auto"/>
              <w:jc w:val="center"/>
              <w:rPr>
                <w:rFonts w:hint="eastAsia" w:ascii="宋体" w:hAnsi="宋体" w:cs="宋体"/>
                <w:color w:val="000000"/>
                <w:sz w:val="24"/>
              </w:rPr>
            </w:pPr>
          </w:p>
          <w:p w14:paraId="46DBE79B">
            <w:pPr>
              <w:widowControl/>
              <w:spacing w:line="360" w:lineRule="auto"/>
              <w:jc w:val="center"/>
              <w:rPr>
                <w:rFonts w:hint="eastAsia" w:ascii="宋体" w:hAnsi="宋体" w:cs="宋体"/>
                <w:color w:val="000000"/>
                <w:sz w:val="24"/>
              </w:rPr>
            </w:pPr>
            <w:r>
              <w:rPr>
                <w:rFonts w:hint="eastAsia" w:ascii="宋体" w:hAnsi="宋体" w:cs="宋体"/>
                <w:color w:val="000000"/>
                <w:sz w:val="24"/>
              </w:rPr>
              <w:t>操作终端</w:t>
            </w:r>
          </w:p>
        </w:tc>
        <w:tc>
          <w:tcPr>
            <w:tcW w:w="1290" w:type="dxa"/>
            <w:tcBorders>
              <w:top w:val="single" w:color="auto" w:sz="4" w:space="0"/>
              <w:left w:val="single" w:color="auto" w:sz="4" w:space="0"/>
              <w:bottom w:val="single" w:color="auto" w:sz="4" w:space="0"/>
              <w:right w:val="single" w:color="auto" w:sz="4" w:space="0"/>
            </w:tcBorders>
            <w:vAlign w:val="center"/>
          </w:tcPr>
          <w:p w14:paraId="7D50F7CD">
            <w:pPr>
              <w:widowControl/>
              <w:spacing w:line="360" w:lineRule="auto"/>
              <w:jc w:val="center"/>
              <w:rPr>
                <w:rFonts w:hint="eastAsia" w:ascii="宋体" w:hAnsi="宋体" w:cs="宋体"/>
                <w:color w:val="000000"/>
                <w:sz w:val="24"/>
              </w:rPr>
            </w:pPr>
          </w:p>
          <w:p w14:paraId="263F7327">
            <w:pPr>
              <w:widowControl/>
              <w:spacing w:line="360" w:lineRule="auto"/>
              <w:jc w:val="center"/>
              <w:rPr>
                <w:rFonts w:hint="eastAsia" w:ascii="宋体" w:hAnsi="宋体" w:cs="宋体"/>
                <w:color w:val="000000"/>
                <w:sz w:val="24"/>
              </w:rPr>
            </w:pPr>
            <w:r>
              <w:rPr>
                <w:rFonts w:hint="eastAsia" w:ascii="宋体" w:hAnsi="宋体" w:cs="宋体"/>
                <w:color w:val="000000"/>
                <w:sz w:val="24"/>
              </w:rPr>
              <w:t>台式终端</w:t>
            </w:r>
          </w:p>
          <w:p w14:paraId="6B31666C">
            <w:pPr>
              <w:pStyle w:val="16"/>
            </w:pPr>
          </w:p>
        </w:tc>
        <w:tc>
          <w:tcPr>
            <w:tcW w:w="7934" w:type="dxa"/>
            <w:tcBorders>
              <w:top w:val="single" w:color="auto" w:sz="4" w:space="0"/>
              <w:left w:val="single" w:color="auto" w:sz="4" w:space="0"/>
              <w:bottom w:val="single" w:color="auto" w:sz="4" w:space="0"/>
              <w:right w:val="single" w:color="auto" w:sz="4" w:space="0"/>
            </w:tcBorders>
            <w:vAlign w:val="center"/>
          </w:tcPr>
          <w:p w14:paraId="61333378">
            <w:pPr>
              <w:widowControl/>
              <w:spacing w:line="360" w:lineRule="auto"/>
              <w:jc w:val="left"/>
              <w:rPr>
                <w:rFonts w:hint="eastAsia" w:ascii="宋体" w:hAnsi="宋体" w:cs="宋体"/>
                <w:color w:val="000000"/>
                <w:sz w:val="24"/>
              </w:rPr>
            </w:pPr>
            <w:r>
              <w:rPr>
                <w:rFonts w:hint="eastAsia" w:ascii="宋体" w:hAnsi="宋体" w:cs="宋体"/>
                <w:color w:val="000000"/>
                <w:sz w:val="24"/>
              </w:rPr>
              <w:t>44、CPU：:配置1颗国产C86架构CPU，主频≥3.1GHz；</w:t>
            </w:r>
          </w:p>
          <w:p w14:paraId="044A74B7">
            <w:pPr>
              <w:widowControl/>
              <w:spacing w:line="360" w:lineRule="auto"/>
              <w:jc w:val="left"/>
              <w:rPr>
                <w:rFonts w:hint="eastAsia" w:ascii="宋体" w:hAnsi="宋体" w:cs="宋体"/>
                <w:color w:val="000000"/>
                <w:sz w:val="24"/>
              </w:rPr>
            </w:pPr>
            <w:r>
              <w:rPr>
                <w:rFonts w:hint="eastAsia" w:ascii="宋体" w:hAnsi="宋体" w:cs="宋体"/>
                <w:color w:val="000000"/>
                <w:sz w:val="24"/>
              </w:rPr>
              <w:t>45、内存：≥16GB DDR5；</w:t>
            </w:r>
          </w:p>
          <w:p w14:paraId="376C3618">
            <w:pPr>
              <w:widowControl/>
              <w:spacing w:line="360" w:lineRule="auto"/>
              <w:jc w:val="left"/>
              <w:rPr>
                <w:rFonts w:hint="eastAsia" w:ascii="宋体" w:hAnsi="宋体" w:cs="宋体"/>
                <w:color w:val="000000"/>
                <w:sz w:val="24"/>
              </w:rPr>
            </w:pPr>
            <w:r>
              <w:rPr>
                <w:rFonts w:hint="eastAsia" w:ascii="宋体" w:hAnsi="宋体" w:cs="宋体"/>
                <w:color w:val="000000"/>
                <w:sz w:val="24"/>
              </w:rPr>
              <w:t>46、硬盘：≥1TB M.2 SSD固态硬盘；</w:t>
            </w:r>
          </w:p>
          <w:p w14:paraId="4D64179A">
            <w:pPr>
              <w:widowControl/>
              <w:spacing w:line="360" w:lineRule="auto"/>
              <w:jc w:val="left"/>
              <w:rPr>
                <w:rFonts w:hint="eastAsia" w:ascii="宋体" w:hAnsi="宋体" w:cs="宋体"/>
                <w:color w:val="000000"/>
                <w:sz w:val="24"/>
              </w:rPr>
            </w:pPr>
            <w:r>
              <w:rPr>
                <w:rFonts w:hint="eastAsia" w:ascii="宋体" w:hAnsi="宋体" w:cs="宋体"/>
                <w:color w:val="000000"/>
                <w:sz w:val="24"/>
              </w:rPr>
              <w:t>47、屏幕尺寸：≥27英寸，分辨率≥1920*1080</w:t>
            </w:r>
          </w:p>
          <w:p w14:paraId="13EA4378">
            <w:pPr>
              <w:widowControl/>
              <w:spacing w:line="360" w:lineRule="auto"/>
              <w:jc w:val="left"/>
              <w:rPr>
                <w:rFonts w:hint="eastAsia" w:ascii="宋体" w:hAnsi="宋体" w:cs="宋体"/>
                <w:color w:val="000000"/>
                <w:sz w:val="24"/>
              </w:rPr>
            </w:pPr>
            <w:r>
              <w:rPr>
                <w:rFonts w:hint="eastAsia" w:ascii="宋体" w:hAnsi="宋体" w:cs="宋体"/>
                <w:color w:val="000000"/>
                <w:sz w:val="24"/>
              </w:rPr>
              <w:t>48、网络及接口：无线网卡支持WiFi6（外置USB），具备有线网络RJ45接口，2.5G；HDMI2.1≥1个、USB-A接口≥1个</w:t>
            </w:r>
          </w:p>
        </w:tc>
        <w:tc>
          <w:tcPr>
            <w:tcW w:w="815" w:type="dxa"/>
            <w:tcBorders>
              <w:top w:val="single" w:color="auto" w:sz="4" w:space="0"/>
              <w:left w:val="single" w:color="auto" w:sz="4" w:space="0"/>
              <w:bottom w:val="single" w:color="auto" w:sz="4" w:space="0"/>
              <w:right w:val="single" w:color="auto" w:sz="4" w:space="0"/>
            </w:tcBorders>
            <w:vAlign w:val="center"/>
          </w:tcPr>
          <w:p w14:paraId="1D2B01E0">
            <w:pPr>
              <w:widowControl/>
              <w:spacing w:line="360" w:lineRule="auto"/>
              <w:jc w:val="center"/>
              <w:rPr>
                <w:rFonts w:hint="eastAsia" w:ascii="宋体" w:hAnsi="宋体" w:cs="宋体"/>
                <w:color w:val="000000"/>
                <w:sz w:val="24"/>
              </w:rPr>
            </w:pPr>
            <w:r>
              <w:rPr>
                <w:rFonts w:hint="eastAsia" w:ascii="宋体" w:hAnsi="宋体" w:cs="宋体"/>
                <w:color w:val="000000"/>
                <w:sz w:val="24"/>
              </w:rPr>
              <w:t>1</w:t>
            </w:r>
          </w:p>
        </w:tc>
        <w:tc>
          <w:tcPr>
            <w:tcW w:w="995" w:type="dxa"/>
            <w:tcBorders>
              <w:top w:val="single" w:color="auto" w:sz="4" w:space="0"/>
              <w:left w:val="single" w:color="auto" w:sz="4" w:space="0"/>
              <w:bottom w:val="single" w:color="auto" w:sz="4" w:space="0"/>
              <w:right w:val="single" w:color="auto" w:sz="4" w:space="0"/>
            </w:tcBorders>
            <w:vAlign w:val="center"/>
          </w:tcPr>
          <w:p w14:paraId="15F3B975">
            <w:pPr>
              <w:widowControl/>
              <w:spacing w:line="360" w:lineRule="auto"/>
              <w:jc w:val="center"/>
              <w:rPr>
                <w:rFonts w:hint="eastAsia" w:ascii="宋体" w:hAnsi="宋体" w:cs="宋体"/>
                <w:color w:val="000000"/>
                <w:sz w:val="24"/>
              </w:rPr>
            </w:pPr>
            <w:r>
              <w:rPr>
                <w:rFonts w:hint="eastAsia" w:ascii="宋体" w:hAnsi="宋体" w:cs="宋体"/>
                <w:color w:val="000000"/>
                <w:sz w:val="24"/>
              </w:rPr>
              <w:t>台</w:t>
            </w:r>
          </w:p>
        </w:tc>
      </w:tr>
      <w:tr w14:paraId="0D9BD3D7">
        <w:tblPrEx>
          <w:tblCellMar>
            <w:top w:w="0" w:type="dxa"/>
            <w:left w:w="108" w:type="dxa"/>
            <w:bottom w:w="0" w:type="dxa"/>
            <w:right w:w="108" w:type="dxa"/>
          </w:tblCellMar>
        </w:tblPrEx>
        <w:trPr>
          <w:trHeight w:val="90" w:hRule="atLeast"/>
        </w:trPr>
        <w:tc>
          <w:tcPr>
            <w:tcW w:w="995" w:type="dxa"/>
            <w:vMerge w:val="continue"/>
            <w:tcBorders>
              <w:left w:val="single" w:color="auto" w:sz="4" w:space="0"/>
              <w:right w:val="single" w:color="auto" w:sz="4" w:space="0"/>
            </w:tcBorders>
            <w:vAlign w:val="center"/>
          </w:tcPr>
          <w:p w14:paraId="24E6DE99">
            <w:pPr>
              <w:widowControl/>
              <w:spacing w:line="360" w:lineRule="auto"/>
              <w:jc w:val="center"/>
              <w:rPr>
                <w:rFonts w:hint="eastAsia" w:ascii="宋体" w:hAnsi="宋体" w:cs="宋体"/>
                <w:color w:val="000000"/>
                <w:sz w:val="24"/>
              </w:rPr>
            </w:pPr>
          </w:p>
        </w:tc>
        <w:tc>
          <w:tcPr>
            <w:tcW w:w="995" w:type="dxa"/>
            <w:vMerge w:val="continue"/>
            <w:tcBorders>
              <w:left w:val="single" w:color="auto" w:sz="4" w:space="0"/>
              <w:right w:val="single" w:color="auto" w:sz="4" w:space="0"/>
            </w:tcBorders>
            <w:vAlign w:val="center"/>
          </w:tcPr>
          <w:p w14:paraId="47F664BB">
            <w:pPr>
              <w:widowControl/>
              <w:spacing w:line="360" w:lineRule="auto"/>
              <w:jc w:val="left"/>
              <w:rPr>
                <w:rFonts w:hint="eastAsia" w:ascii="宋体" w:hAnsi="宋体" w:cs="宋体"/>
                <w:color w:val="000000"/>
                <w:sz w:val="24"/>
              </w:rPr>
            </w:pPr>
          </w:p>
        </w:tc>
        <w:tc>
          <w:tcPr>
            <w:tcW w:w="995" w:type="dxa"/>
            <w:vMerge w:val="continue"/>
            <w:tcBorders>
              <w:left w:val="single" w:color="auto" w:sz="4" w:space="0"/>
              <w:bottom w:val="single" w:color="auto" w:sz="4" w:space="0"/>
              <w:right w:val="single" w:color="auto" w:sz="4" w:space="0"/>
            </w:tcBorders>
            <w:vAlign w:val="center"/>
          </w:tcPr>
          <w:p w14:paraId="528328E8">
            <w:pPr>
              <w:widowControl/>
              <w:spacing w:line="360" w:lineRule="auto"/>
              <w:jc w:val="center"/>
              <w:rPr>
                <w:rFonts w:hint="eastAsia" w:ascii="宋体" w:hAnsi="宋体" w:cs="宋体"/>
                <w:color w:val="000000"/>
                <w:sz w:val="24"/>
              </w:rPr>
            </w:pPr>
          </w:p>
        </w:tc>
        <w:tc>
          <w:tcPr>
            <w:tcW w:w="1290" w:type="dxa"/>
            <w:tcBorders>
              <w:top w:val="single" w:color="auto" w:sz="4" w:space="0"/>
              <w:left w:val="nil"/>
              <w:bottom w:val="single" w:color="auto" w:sz="4" w:space="0"/>
              <w:right w:val="single" w:color="auto" w:sz="4" w:space="0"/>
            </w:tcBorders>
            <w:vAlign w:val="center"/>
          </w:tcPr>
          <w:p w14:paraId="0CC5375B">
            <w:pPr>
              <w:widowControl/>
              <w:spacing w:line="360" w:lineRule="auto"/>
              <w:jc w:val="center"/>
              <w:rPr>
                <w:rFonts w:hint="eastAsia" w:ascii="宋体" w:hAnsi="宋体" w:cs="宋体"/>
                <w:color w:val="000000"/>
                <w:sz w:val="24"/>
              </w:rPr>
            </w:pPr>
            <w:r>
              <w:rPr>
                <w:rFonts w:hint="eastAsia" w:ascii="宋体" w:hAnsi="宋体" w:cs="宋体"/>
                <w:color w:val="000000"/>
                <w:sz w:val="24"/>
              </w:rPr>
              <w:t>移动终端</w:t>
            </w:r>
          </w:p>
          <w:p w14:paraId="04E96731">
            <w:pPr>
              <w:pStyle w:val="16"/>
            </w:pPr>
          </w:p>
        </w:tc>
        <w:tc>
          <w:tcPr>
            <w:tcW w:w="7934" w:type="dxa"/>
            <w:tcBorders>
              <w:top w:val="single" w:color="auto" w:sz="4" w:space="0"/>
              <w:left w:val="nil"/>
              <w:bottom w:val="single" w:color="auto" w:sz="4" w:space="0"/>
              <w:right w:val="single" w:color="auto" w:sz="4" w:space="0"/>
            </w:tcBorders>
            <w:vAlign w:val="center"/>
          </w:tcPr>
          <w:p w14:paraId="09288112">
            <w:pPr>
              <w:widowControl/>
              <w:spacing w:line="360" w:lineRule="auto"/>
              <w:jc w:val="left"/>
              <w:rPr>
                <w:rFonts w:hint="eastAsia" w:ascii="宋体" w:hAnsi="宋体" w:cs="宋体"/>
                <w:color w:val="000000"/>
                <w:sz w:val="24"/>
              </w:rPr>
            </w:pPr>
            <w:r>
              <w:rPr>
                <w:rFonts w:ascii="宋体" w:hAnsi="宋体" w:cs="宋体"/>
                <w:color w:val="000000"/>
                <w:sz w:val="24"/>
              </w:rPr>
              <w:t>▲</w:t>
            </w:r>
            <w:r>
              <w:rPr>
                <w:rFonts w:hint="eastAsia" w:ascii="宋体" w:hAnsi="宋体" w:cs="宋体"/>
                <w:color w:val="000000"/>
                <w:sz w:val="24"/>
              </w:rPr>
              <w:t>49、处理器：配置一颗Hygon C86-4G架构CPU，核心数≥8核，线程数≥16线程，最高主频≥4.0GHz；</w:t>
            </w:r>
          </w:p>
          <w:p w14:paraId="71EC40D7">
            <w:pPr>
              <w:widowControl/>
              <w:spacing w:line="360" w:lineRule="auto"/>
              <w:jc w:val="left"/>
              <w:rPr>
                <w:rFonts w:hint="eastAsia" w:ascii="宋体" w:hAnsi="宋体" w:cs="宋体"/>
                <w:color w:val="000000"/>
                <w:sz w:val="24"/>
              </w:rPr>
            </w:pPr>
            <w:r>
              <w:rPr>
                <w:rFonts w:hint="eastAsia" w:ascii="宋体" w:hAnsi="宋体" w:cs="宋体"/>
                <w:color w:val="000000"/>
                <w:sz w:val="24"/>
              </w:rPr>
              <w:t>50、GPU(独立显卡):搭配4GB独立高速显存；</w:t>
            </w:r>
          </w:p>
          <w:p w14:paraId="0F8065E1">
            <w:pPr>
              <w:widowControl/>
              <w:spacing w:line="360" w:lineRule="auto"/>
              <w:jc w:val="left"/>
              <w:rPr>
                <w:rFonts w:hint="eastAsia" w:ascii="宋体" w:hAnsi="宋体" w:cs="宋体"/>
                <w:color w:val="000000"/>
                <w:sz w:val="24"/>
              </w:rPr>
            </w:pPr>
            <w:r>
              <w:rPr>
                <w:rFonts w:hint="eastAsia" w:ascii="宋体" w:hAnsi="宋体" w:cs="宋体"/>
                <w:color w:val="000000"/>
                <w:sz w:val="24"/>
              </w:rPr>
              <w:t>51、内存≥DDR5 32G；</w:t>
            </w:r>
          </w:p>
          <w:p w14:paraId="4BD12042">
            <w:pPr>
              <w:widowControl/>
              <w:spacing w:line="360" w:lineRule="auto"/>
              <w:jc w:val="left"/>
              <w:rPr>
                <w:rFonts w:hint="eastAsia" w:ascii="宋体" w:hAnsi="宋体" w:cs="宋体"/>
                <w:color w:val="000000"/>
                <w:sz w:val="24"/>
              </w:rPr>
            </w:pPr>
            <w:r>
              <w:rPr>
                <w:rFonts w:hint="eastAsia" w:ascii="宋体" w:hAnsi="宋体" w:cs="宋体"/>
                <w:color w:val="000000"/>
                <w:sz w:val="24"/>
              </w:rPr>
              <w:t>52、硬盘：NVMe SSD≥2TB；</w:t>
            </w:r>
          </w:p>
          <w:p w14:paraId="30CF74AC">
            <w:pPr>
              <w:widowControl/>
              <w:spacing w:line="360" w:lineRule="auto"/>
              <w:jc w:val="left"/>
              <w:rPr>
                <w:rFonts w:hint="eastAsia" w:ascii="宋体" w:hAnsi="宋体" w:cs="宋体"/>
                <w:color w:val="000000"/>
                <w:sz w:val="24"/>
              </w:rPr>
            </w:pPr>
            <w:r>
              <w:rPr>
                <w:rFonts w:hint="eastAsia" w:ascii="宋体" w:hAnsi="宋体" w:cs="宋体"/>
                <w:color w:val="000000"/>
                <w:sz w:val="24"/>
              </w:rPr>
              <w:t>53、屏幕显示尺寸：≥14英寸IPS、分辨率≥2.5K、亮度≥350nits，低蓝光护眼；</w:t>
            </w:r>
          </w:p>
          <w:p w14:paraId="21BBA528">
            <w:pPr>
              <w:widowControl/>
              <w:spacing w:line="360" w:lineRule="auto"/>
              <w:jc w:val="left"/>
              <w:rPr>
                <w:rFonts w:hint="eastAsia" w:ascii="宋体" w:hAnsi="宋体" w:cs="宋体"/>
                <w:color w:val="000000"/>
                <w:sz w:val="24"/>
              </w:rPr>
            </w:pPr>
            <w:r>
              <w:rPr>
                <w:rFonts w:hint="eastAsia" w:ascii="宋体" w:hAnsi="宋体" w:cs="宋体"/>
                <w:color w:val="000000"/>
                <w:sz w:val="24"/>
              </w:rPr>
              <w:t>54、网卡：内置千兆自适应网卡；无线网络：具备无线WiFi及蓝牙功能；</w:t>
            </w:r>
          </w:p>
          <w:p w14:paraId="36BBABA0">
            <w:pPr>
              <w:widowControl/>
              <w:spacing w:line="360" w:lineRule="auto"/>
              <w:jc w:val="left"/>
              <w:rPr>
                <w:rFonts w:hint="eastAsia" w:ascii="宋体" w:hAnsi="宋体" w:cs="宋体"/>
                <w:color w:val="000000"/>
                <w:sz w:val="24"/>
              </w:rPr>
            </w:pPr>
            <w:r>
              <w:rPr>
                <w:rFonts w:hint="eastAsia" w:ascii="宋体" w:hAnsi="宋体" w:cs="宋体"/>
                <w:color w:val="000000"/>
                <w:sz w:val="24"/>
              </w:rPr>
              <w:t>55、扬声器：内置扬声器；摄像头：含摄像头；</w:t>
            </w:r>
          </w:p>
          <w:p w14:paraId="58B3E686">
            <w:pPr>
              <w:widowControl/>
              <w:spacing w:line="360" w:lineRule="auto"/>
              <w:jc w:val="left"/>
              <w:rPr>
                <w:rFonts w:hint="eastAsia" w:ascii="宋体" w:hAnsi="宋体" w:cs="宋体"/>
                <w:color w:val="000000"/>
                <w:sz w:val="24"/>
              </w:rPr>
            </w:pPr>
            <w:r>
              <w:rPr>
                <w:rFonts w:hint="eastAsia" w:ascii="宋体" w:hAnsi="宋体" w:cs="宋体"/>
                <w:color w:val="000000"/>
                <w:sz w:val="24"/>
              </w:rPr>
              <w:t>56、接口：≥3个USB3-C接口，≥2个USB-A接口。其中USB-C口支持显卡扩展，速率不低于40Gbps；网络接口：≥1个RJ45网络接口；</w:t>
            </w:r>
          </w:p>
          <w:p w14:paraId="089F94E0">
            <w:pPr>
              <w:widowControl/>
              <w:spacing w:line="360" w:lineRule="auto"/>
              <w:jc w:val="left"/>
              <w:rPr>
                <w:rFonts w:hint="eastAsia" w:ascii="宋体" w:hAnsi="宋体" w:cs="宋体"/>
                <w:color w:val="000000"/>
                <w:sz w:val="24"/>
              </w:rPr>
            </w:pPr>
            <w:r>
              <w:rPr>
                <w:rFonts w:hint="eastAsia" w:ascii="宋体" w:hAnsi="宋体" w:cs="宋体"/>
                <w:color w:val="000000"/>
                <w:sz w:val="24"/>
              </w:rPr>
              <w:t>57、键盘：背光调节键盘；</w:t>
            </w:r>
          </w:p>
          <w:p w14:paraId="6D1F01F4">
            <w:pPr>
              <w:widowControl/>
              <w:spacing w:line="360" w:lineRule="auto"/>
              <w:jc w:val="left"/>
              <w:rPr>
                <w:rFonts w:hint="eastAsia" w:ascii="宋体" w:hAnsi="宋体" w:cs="宋体"/>
                <w:color w:val="000000"/>
                <w:sz w:val="24"/>
              </w:rPr>
            </w:pPr>
            <w:r>
              <w:rPr>
                <w:rFonts w:hint="eastAsia" w:ascii="宋体" w:hAnsi="宋体" w:cs="宋体"/>
                <w:color w:val="000000"/>
                <w:sz w:val="24"/>
              </w:rPr>
              <w:t>58.操作系统：出厂预装国产化操作系统；</w:t>
            </w:r>
          </w:p>
          <w:p w14:paraId="599AF0C4">
            <w:pPr>
              <w:widowControl/>
              <w:spacing w:line="360" w:lineRule="auto"/>
              <w:jc w:val="left"/>
              <w:rPr>
                <w:rFonts w:hint="eastAsia" w:ascii="宋体" w:hAnsi="宋体" w:cs="宋体"/>
                <w:color w:val="000000"/>
                <w:sz w:val="24"/>
              </w:rPr>
            </w:pPr>
            <w:r>
              <w:rPr>
                <w:rFonts w:hint="eastAsia" w:ascii="宋体" w:hAnsi="宋体" w:cs="宋体"/>
                <w:color w:val="000000"/>
                <w:sz w:val="24"/>
              </w:rPr>
              <w:t>59.保修：三年原厂免费上门保修。</w:t>
            </w:r>
          </w:p>
          <w:p w14:paraId="28136440">
            <w:pPr>
              <w:widowControl/>
              <w:spacing w:line="360" w:lineRule="auto"/>
              <w:jc w:val="left"/>
            </w:pPr>
            <w:r>
              <w:rPr>
                <w:rFonts w:hint="eastAsia" w:ascii="宋体" w:hAnsi="宋体" w:cs="宋体"/>
                <w:color w:val="E54C5E" w:themeColor="accent6"/>
                <w:sz w:val="24"/>
                <w14:textFill>
                  <w14:solidFill>
                    <w14:schemeClr w14:val="accent6"/>
                  </w14:solidFill>
                </w14:textFill>
              </w:rPr>
              <w:t>60、流量套餐：5张80G以上/月移动流量，2年。</w:t>
            </w:r>
          </w:p>
        </w:tc>
        <w:tc>
          <w:tcPr>
            <w:tcW w:w="815" w:type="dxa"/>
            <w:tcBorders>
              <w:top w:val="single" w:color="auto" w:sz="4" w:space="0"/>
              <w:left w:val="nil"/>
              <w:bottom w:val="single" w:color="auto" w:sz="4" w:space="0"/>
              <w:right w:val="single" w:color="auto" w:sz="4" w:space="0"/>
            </w:tcBorders>
            <w:vAlign w:val="center"/>
          </w:tcPr>
          <w:p w14:paraId="0AF9A4F3">
            <w:pPr>
              <w:widowControl/>
              <w:spacing w:line="360" w:lineRule="auto"/>
              <w:jc w:val="center"/>
              <w:rPr>
                <w:rFonts w:hint="eastAsia" w:ascii="宋体" w:hAnsi="宋体" w:cs="宋体"/>
                <w:color w:val="000000"/>
                <w:sz w:val="24"/>
              </w:rPr>
            </w:pPr>
            <w:r>
              <w:rPr>
                <w:rFonts w:hint="eastAsia" w:ascii="宋体" w:hAnsi="宋体" w:cs="宋体"/>
                <w:color w:val="000000"/>
                <w:sz w:val="24"/>
              </w:rPr>
              <w:t>5</w:t>
            </w:r>
          </w:p>
        </w:tc>
        <w:tc>
          <w:tcPr>
            <w:tcW w:w="995" w:type="dxa"/>
            <w:tcBorders>
              <w:top w:val="single" w:color="auto" w:sz="4" w:space="0"/>
              <w:left w:val="nil"/>
              <w:bottom w:val="single" w:color="auto" w:sz="4" w:space="0"/>
              <w:right w:val="single" w:color="auto" w:sz="4" w:space="0"/>
            </w:tcBorders>
            <w:vAlign w:val="center"/>
          </w:tcPr>
          <w:p w14:paraId="2639AC83">
            <w:pPr>
              <w:widowControl/>
              <w:spacing w:line="360" w:lineRule="auto"/>
              <w:jc w:val="center"/>
              <w:rPr>
                <w:rFonts w:hint="eastAsia" w:ascii="宋体" w:hAnsi="宋体" w:cs="宋体"/>
                <w:color w:val="000000"/>
                <w:sz w:val="24"/>
              </w:rPr>
            </w:pPr>
            <w:r>
              <w:rPr>
                <w:rFonts w:hint="eastAsia" w:ascii="宋体" w:hAnsi="宋体" w:cs="宋体"/>
                <w:color w:val="000000"/>
                <w:sz w:val="24"/>
              </w:rPr>
              <w:t>台</w:t>
            </w:r>
          </w:p>
        </w:tc>
      </w:tr>
      <w:tr w14:paraId="2513A011">
        <w:tblPrEx>
          <w:tblCellMar>
            <w:top w:w="0" w:type="dxa"/>
            <w:left w:w="108" w:type="dxa"/>
            <w:bottom w:w="0" w:type="dxa"/>
            <w:right w:w="108" w:type="dxa"/>
          </w:tblCellMar>
        </w:tblPrEx>
        <w:trPr>
          <w:trHeight w:val="2122" w:hRule="atLeast"/>
        </w:trPr>
        <w:tc>
          <w:tcPr>
            <w:tcW w:w="995" w:type="dxa"/>
            <w:vMerge w:val="continue"/>
            <w:tcBorders>
              <w:left w:val="single" w:color="auto" w:sz="4" w:space="0"/>
              <w:bottom w:val="nil"/>
              <w:right w:val="single" w:color="auto" w:sz="4" w:space="0"/>
            </w:tcBorders>
            <w:vAlign w:val="center"/>
          </w:tcPr>
          <w:p w14:paraId="2E1AA610">
            <w:pPr>
              <w:widowControl/>
              <w:spacing w:line="360" w:lineRule="auto"/>
              <w:jc w:val="center"/>
              <w:rPr>
                <w:rFonts w:hint="eastAsia" w:ascii="宋体" w:hAnsi="宋体" w:cs="宋体"/>
                <w:color w:val="000000"/>
                <w:sz w:val="24"/>
              </w:rPr>
            </w:pPr>
          </w:p>
        </w:tc>
        <w:tc>
          <w:tcPr>
            <w:tcW w:w="995" w:type="dxa"/>
            <w:vMerge w:val="continue"/>
            <w:tcBorders>
              <w:left w:val="single" w:color="auto" w:sz="4" w:space="0"/>
              <w:bottom w:val="single" w:color="auto" w:sz="4" w:space="0"/>
              <w:right w:val="single" w:color="auto" w:sz="4" w:space="0"/>
            </w:tcBorders>
            <w:vAlign w:val="center"/>
          </w:tcPr>
          <w:p w14:paraId="4F618E2D">
            <w:pPr>
              <w:widowControl/>
              <w:spacing w:line="360" w:lineRule="auto"/>
              <w:jc w:val="left"/>
              <w:rPr>
                <w:rFonts w:hint="eastAsia" w:ascii="宋体" w:hAnsi="宋体" w:cs="宋体"/>
                <w:color w:val="000000"/>
                <w:sz w:val="24"/>
              </w:rPr>
            </w:pPr>
          </w:p>
        </w:tc>
        <w:tc>
          <w:tcPr>
            <w:tcW w:w="995" w:type="dxa"/>
            <w:tcBorders>
              <w:top w:val="single" w:color="auto" w:sz="4" w:space="0"/>
              <w:left w:val="nil"/>
              <w:bottom w:val="single" w:color="auto" w:sz="4" w:space="0"/>
              <w:right w:val="single" w:color="auto" w:sz="4" w:space="0"/>
            </w:tcBorders>
            <w:vAlign w:val="center"/>
          </w:tcPr>
          <w:p w14:paraId="6C98306F">
            <w:pPr>
              <w:widowControl/>
              <w:spacing w:line="360" w:lineRule="auto"/>
              <w:jc w:val="center"/>
              <w:rPr>
                <w:rFonts w:hint="eastAsia" w:ascii="宋体" w:hAnsi="宋体" w:cs="宋体"/>
                <w:color w:val="000000"/>
                <w:sz w:val="24"/>
              </w:rPr>
            </w:pPr>
            <w:r>
              <w:rPr>
                <w:rFonts w:hint="eastAsia" w:ascii="宋体" w:hAnsi="宋体" w:cs="宋体"/>
                <w:color w:val="000000"/>
                <w:sz w:val="24"/>
              </w:rPr>
              <w:t>线下存储数据档案</w:t>
            </w:r>
          </w:p>
        </w:tc>
        <w:tc>
          <w:tcPr>
            <w:tcW w:w="1290" w:type="dxa"/>
            <w:tcBorders>
              <w:top w:val="single" w:color="auto" w:sz="4" w:space="0"/>
              <w:left w:val="nil"/>
              <w:bottom w:val="single" w:color="auto" w:sz="4" w:space="0"/>
              <w:right w:val="single" w:color="auto" w:sz="4" w:space="0"/>
            </w:tcBorders>
            <w:vAlign w:val="center"/>
          </w:tcPr>
          <w:p w14:paraId="2586F53B">
            <w:pPr>
              <w:widowControl/>
              <w:spacing w:line="360" w:lineRule="auto"/>
              <w:jc w:val="left"/>
              <w:rPr>
                <w:rFonts w:eastAsia="楷体_GB2312"/>
              </w:rPr>
            </w:pPr>
            <w:r>
              <w:rPr>
                <w:rFonts w:hint="eastAsia" w:ascii="宋体" w:hAnsi="宋体" w:cs="宋体"/>
                <w:color w:val="000000"/>
                <w:sz w:val="24"/>
              </w:rPr>
              <w:t>塔式文件服务器</w:t>
            </w:r>
          </w:p>
        </w:tc>
        <w:tc>
          <w:tcPr>
            <w:tcW w:w="7934" w:type="dxa"/>
            <w:tcBorders>
              <w:top w:val="single" w:color="auto" w:sz="4" w:space="0"/>
              <w:left w:val="nil"/>
              <w:bottom w:val="single" w:color="auto" w:sz="4" w:space="0"/>
              <w:right w:val="single" w:color="auto" w:sz="4" w:space="0"/>
            </w:tcBorders>
            <w:vAlign w:val="center"/>
          </w:tcPr>
          <w:p w14:paraId="457AA948">
            <w:pPr>
              <w:widowControl/>
              <w:spacing w:line="360" w:lineRule="auto"/>
              <w:jc w:val="left"/>
              <w:rPr>
                <w:rFonts w:hint="eastAsia" w:ascii="宋体" w:hAnsi="宋体" w:cs="宋体"/>
                <w:color w:val="000000"/>
                <w:sz w:val="24"/>
              </w:rPr>
            </w:pPr>
            <w:r>
              <w:rPr>
                <w:rFonts w:ascii="宋体" w:hAnsi="宋体" w:cs="宋体"/>
                <w:color w:val="000000"/>
                <w:sz w:val="24"/>
              </w:rPr>
              <w:t>▲</w:t>
            </w:r>
            <w:r>
              <w:rPr>
                <w:rFonts w:hint="eastAsia" w:ascii="宋体" w:hAnsi="宋体" w:cs="宋体"/>
                <w:color w:val="000000"/>
                <w:sz w:val="24"/>
              </w:rPr>
              <w:t>61、CPU:不低于16核32线程2.8GHz基础主频，国产X86架构CPU，主板全固态电容；</w:t>
            </w:r>
          </w:p>
          <w:p w14:paraId="0DBD08A0">
            <w:pPr>
              <w:widowControl/>
              <w:spacing w:line="360" w:lineRule="auto"/>
              <w:jc w:val="left"/>
              <w:rPr>
                <w:rFonts w:hint="eastAsia" w:ascii="宋体" w:hAnsi="宋体" w:cs="宋体"/>
                <w:color w:val="000000"/>
                <w:sz w:val="24"/>
              </w:rPr>
            </w:pPr>
            <w:r>
              <w:rPr>
                <w:rFonts w:hint="eastAsia" w:ascii="宋体" w:hAnsi="宋体" w:cs="宋体"/>
                <w:color w:val="000000"/>
                <w:sz w:val="24"/>
              </w:rPr>
              <w:t>62、内存不低于128GB DDR5内存，至少4个内存插槽；</w:t>
            </w:r>
          </w:p>
          <w:p w14:paraId="280090F5">
            <w:pPr>
              <w:widowControl/>
              <w:spacing w:line="360" w:lineRule="auto"/>
              <w:jc w:val="left"/>
              <w:rPr>
                <w:rFonts w:hint="eastAsia" w:ascii="宋体" w:hAnsi="宋体" w:cs="宋体"/>
                <w:color w:val="000000"/>
                <w:sz w:val="24"/>
              </w:rPr>
            </w:pPr>
            <w:r>
              <w:rPr>
                <w:rFonts w:hint="eastAsia" w:ascii="宋体" w:hAnsi="宋体" w:cs="宋体"/>
                <w:color w:val="000000"/>
                <w:sz w:val="24"/>
              </w:rPr>
              <w:t>63、显卡不低于RTX A400显卡，显存≥4G，支持VGA+HDMI视频输出显示；</w:t>
            </w:r>
          </w:p>
          <w:p w14:paraId="38C5CEA3">
            <w:pPr>
              <w:widowControl/>
              <w:spacing w:line="360" w:lineRule="auto"/>
              <w:jc w:val="left"/>
              <w:rPr>
                <w:rFonts w:hint="eastAsia" w:ascii="宋体" w:hAnsi="宋体" w:cs="宋体"/>
                <w:color w:val="000000"/>
                <w:sz w:val="24"/>
              </w:rPr>
            </w:pPr>
            <w:r>
              <w:rPr>
                <w:rFonts w:hint="eastAsia" w:ascii="宋体" w:hAnsi="宋体" w:cs="宋体"/>
                <w:color w:val="000000"/>
                <w:sz w:val="24"/>
              </w:rPr>
              <w:t>64、硬盘不低于1TB M.2接口NVME协议SSD，不低于16T机械硬盘，支持4块3.5”机械硬盘扩展；</w:t>
            </w:r>
          </w:p>
          <w:p w14:paraId="17950F92">
            <w:pPr>
              <w:widowControl/>
              <w:spacing w:line="360" w:lineRule="auto"/>
              <w:jc w:val="left"/>
              <w:rPr>
                <w:rFonts w:hint="eastAsia" w:ascii="宋体" w:hAnsi="宋体" w:cs="宋体"/>
                <w:color w:val="000000"/>
                <w:sz w:val="24"/>
              </w:rPr>
            </w:pPr>
            <w:r>
              <w:rPr>
                <w:rFonts w:hint="eastAsia" w:ascii="宋体" w:hAnsi="宋体" w:cs="宋体"/>
                <w:color w:val="000000"/>
                <w:sz w:val="24"/>
              </w:rPr>
              <w:t>65、原厂配备5.1声道声卡 ，至少提供5个音频接口；主板板载至少1个RJ45以太网口、1个M.2 WiFi扩展接口；</w:t>
            </w:r>
          </w:p>
          <w:p w14:paraId="4C830B09">
            <w:pPr>
              <w:widowControl/>
              <w:spacing w:line="360" w:lineRule="auto"/>
              <w:jc w:val="left"/>
              <w:rPr>
                <w:rFonts w:hint="eastAsia" w:ascii="宋体" w:hAnsi="宋体" w:cs="宋体"/>
                <w:color w:val="000000"/>
                <w:sz w:val="24"/>
              </w:rPr>
            </w:pPr>
            <w:r>
              <w:rPr>
                <w:rFonts w:hint="eastAsia" w:ascii="宋体" w:hAnsi="宋体" w:cs="宋体"/>
                <w:color w:val="000000"/>
                <w:sz w:val="24"/>
              </w:rPr>
              <w:t>66、显示器不低于23.8英寸显示器，与主机同品牌，分辨率≥1920*1080，刷新频率≥100Hz，对比度≥3000:1，视频接口VGA+HDMI</w:t>
            </w:r>
          </w:p>
          <w:p w14:paraId="5A4B3E8C">
            <w:pPr>
              <w:widowControl/>
              <w:spacing w:line="360" w:lineRule="auto"/>
              <w:jc w:val="left"/>
              <w:rPr>
                <w:rFonts w:hint="eastAsia" w:ascii="宋体" w:hAnsi="宋体" w:cs="宋体"/>
                <w:color w:val="000000"/>
                <w:sz w:val="24"/>
              </w:rPr>
            </w:pPr>
            <w:r>
              <w:rPr>
                <w:rFonts w:hint="eastAsia" w:ascii="宋体" w:hAnsi="宋体" w:cs="宋体"/>
                <w:color w:val="000000"/>
                <w:sz w:val="24"/>
              </w:rPr>
              <w:t>67、扩展槽至少提供3个PCIe x16(至少1个Gen5信号)、1个PCIe x1、2个M.2扩展插槽、4个SATA接口；</w:t>
            </w:r>
          </w:p>
          <w:p w14:paraId="13AB5861">
            <w:pPr>
              <w:widowControl/>
              <w:spacing w:line="360" w:lineRule="auto"/>
              <w:jc w:val="left"/>
              <w:rPr>
                <w:rFonts w:hint="eastAsia" w:ascii="宋体" w:hAnsi="宋体" w:cs="宋体"/>
                <w:color w:val="000000"/>
                <w:sz w:val="24"/>
              </w:rPr>
            </w:pPr>
            <w:r>
              <w:rPr>
                <w:rFonts w:hint="eastAsia" w:ascii="宋体" w:hAnsi="宋体" w:cs="宋体"/>
                <w:color w:val="000000"/>
                <w:sz w:val="24"/>
              </w:rPr>
              <w:t>68、USB接口不少于11个（其中前置USB3.0 TYPE-A数量≥4个，前置TYPE-C数量≥1个，后置USB3.0接口≥4个）；</w:t>
            </w:r>
          </w:p>
          <w:p w14:paraId="2F6A3AB6">
            <w:pPr>
              <w:widowControl/>
              <w:spacing w:line="360" w:lineRule="auto"/>
              <w:jc w:val="left"/>
              <w:rPr>
                <w:rFonts w:hint="eastAsia" w:ascii="宋体" w:hAnsi="宋体" w:cs="宋体"/>
                <w:color w:val="000000"/>
                <w:sz w:val="24"/>
              </w:rPr>
            </w:pPr>
            <w:r>
              <w:rPr>
                <w:rFonts w:hint="eastAsia" w:ascii="宋体" w:hAnsi="宋体" w:cs="宋体"/>
                <w:color w:val="000000"/>
                <w:sz w:val="24"/>
              </w:rPr>
              <w:t>69、标配原厂防水键盘、抗菌鼠标，支持键盘开机；</w:t>
            </w:r>
          </w:p>
          <w:p w14:paraId="195B17CF">
            <w:pPr>
              <w:widowControl/>
              <w:spacing w:line="360" w:lineRule="auto"/>
              <w:jc w:val="left"/>
              <w:rPr>
                <w:rFonts w:hint="eastAsia" w:ascii="宋体" w:hAnsi="宋体" w:cs="宋体"/>
                <w:color w:val="000000"/>
                <w:sz w:val="24"/>
              </w:rPr>
            </w:pPr>
            <w:r>
              <w:rPr>
                <w:rFonts w:hint="eastAsia" w:ascii="宋体" w:hAnsi="宋体" w:cs="宋体"/>
                <w:color w:val="000000"/>
                <w:sz w:val="24"/>
              </w:rPr>
              <w:t>70、不低于750W高效电源，且通过80PLUS认证；</w:t>
            </w:r>
          </w:p>
          <w:p w14:paraId="56AD22CF">
            <w:pPr>
              <w:widowControl/>
              <w:spacing w:line="360" w:lineRule="auto"/>
              <w:jc w:val="left"/>
              <w:rPr>
                <w:rFonts w:hint="eastAsia" w:ascii="宋体" w:hAnsi="宋体" w:cs="宋体"/>
                <w:color w:val="000000"/>
                <w:sz w:val="24"/>
              </w:rPr>
            </w:pPr>
            <w:r>
              <w:rPr>
                <w:rFonts w:hint="eastAsia" w:ascii="宋体" w:hAnsi="宋体" w:cs="宋体"/>
                <w:color w:val="000000"/>
                <w:sz w:val="24"/>
              </w:rPr>
              <w:t>71、出厂预装国产化操作系统</w:t>
            </w:r>
          </w:p>
          <w:p w14:paraId="4B1D4B65">
            <w:pPr>
              <w:widowControl/>
              <w:spacing w:line="360" w:lineRule="auto"/>
              <w:jc w:val="left"/>
              <w:rPr>
                <w:rFonts w:hint="eastAsia" w:ascii="宋体" w:hAnsi="宋体" w:cs="宋体"/>
                <w:color w:val="000000"/>
                <w:sz w:val="24"/>
              </w:rPr>
            </w:pPr>
            <w:r>
              <w:rPr>
                <w:rFonts w:hint="eastAsia" w:ascii="宋体" w:hAnsi="宋体" w:cs="宋体"/>
                <w:color w:val="000000"/>
                <w:sz w:val="24"/>
              </w:rPr>
              <w:t>72、出厂标配基于BIOS级的一键备份和恢复的功能（非操作系统自带功能），支持BIOS 下USB接口智能屏蔽(仅识别键鼠，不识别外部存储)；</w:t>
            </w:r>
          </w:p>
          <w:p w14:paraId="3DE2469F">
            <w:pPr>
              <w:widowControl/>
              <w:spacing w:line="360" w:lineRule="auto"/>
              <w:jc w:val="left"/>
              <w:rPr>
                <w:rFonts w:hint="eastAsia" w:ascii="宋体" w:hAnsi="宋体" w:cs="宋体"/>
                <w:color w:val="000000"/>
                <w:sz w:val="24"/>
              </w:rPr>
            </w:pPr>
            <w:r>
              <w:rPr>
                <w:rFonts w:hint="eastAsia" w:ascii="宋体" w:hAnsi="宋体" w:cs="宋体"/>
                <w:color w:val="000000"/>
                <w:sz w:val="24"/>
              </w:rPr>
              <w:t>73、不小于27L标准塔式免工具拆卸机箱，前面板标配硬盘灯和电源灯；</w:t>
            </w:r>
          </w:p>
          <w:p w14:paraId="2CBC0EF0">
            <w:pPr>
              <w:widowControl/>
              <w:spacing w:line="360" w:lineRule="auto"/>
              <w:jc w:val="left"/>
              <w:rPr>
                <w:rFonts w:hint="eastAsia" w:ascii="宋体" w:hAnsi="宋体" w:cs="宋体"/>
                <w:color w:val="000000"/>
                <w:sz w:val="24"/>
              </w:rPr>
            </w:pPr>
            <w:r>
              <w:rPr>
                <w:rFonts w:hint="eastAsia" w:ascii="宋体" w:hAnsi="宋体" w:cs="宋体"/>
                <w:color w:val="000000"/>
                <w:sz w:val="24"/>
              </w:rPr>
              <w:t>74、服务：1）针对产品提供原厂三年质保，提供专业的7*24h远程服务支持。2）由原厂专业技术工程师为客户提供安装部署服务：在产品配送到达指定地点后，进行开箱、检查、设置、连接、通电以及外围设备（键盘，显示器和鼠标）测试。3）产品生命周期结束后，原厂需提供符合工信部要求的IT资产环保处置服务，包括上门回收、数据销毁、环保拆解，并提供《资产环保处置证明》，服务可通过电话或官方网站查询。</w:t>
            </w:r>
          </w:p>
          <w:p w14:paraId="4595EA79">
            <w:pPr>
              <w:widowControl/>
              <w:spacing w:line="360" w:lineRule="auto"/>
              <w:jc w:val="left"/>
              <w:rPr>
                <w:rFonts w:hint="eastAsia" w:ascii="宋体" w:hAnsi="宋体" w:cs="宋体"/>
                <w:color w:val="000000"/>
                <w:sz w:val="24"/>
              </w:rPr>
            </w:pPr>
            <w:r>
              <w:rPr>
                <w:rFonts w:hint="eastAsia" w:ascii="宋体" w:hAnsi="宋体" w:cs="宋体"/>
                <w:color w:val="000000"/>
                <w:sz w:val="24"/>
              </w:rPr>
              <w:t>75、所投产品的3C、节能认证须为工作站产品类别，并提供证书扫描件加盖投标人公章。</w:t>
            </w:r>
          </w:p>
        </w:tc>
        <w:tc>
          <w:tcPr>
            <w:tcW w:w="815" w:type="dxa"/>
            <w:tcBorders>
              <w:top w:val="single" w:color="auto" w:sz="4" w:space="0"/>
              <w:left w:val="nil"/>
              <w:bottom w:val="single" w:color="auto" w:sz="4" w:space="0"/>
              <w:right w:val="single" w:color="auto" w:sz="4" w:space="0"/>
            </w:tcBorders>
            <w:vAlign w:val="center"/>
          </w:tcPr>
          <w:p w14:paraId="23510345">
            <w:pPr>
              <w:widowControl/>
              <w:spacing w:line="360" w:lineRule="auto"/>
              <w:jc w:val="center"/>
              <w:rPr>
                <w:rFonts w:hint="eastAsia" w:ascii="宋体" w:hAnsi="宋体" w:cs="宋体"/>
                <w:color w:val="000000"/>
                <w:sz w:val="24"/>
              </w:rPr>
            </w:pPr>
            <w:r>
              <w:rPr>
                <w:rFonts w:hint="eastAsia" w:ascii="宋体" w:hAnsi="宋体" w:cs="宋体"/>
                <w:color w:val="000000"/>
                <w:sz w:val="24"/>
              </w:rPr>
              <w:t>1</w:t>
            </w:r>
          </w:p>
        </w:tc>
        <w:tc>
          <w:tcPr>
            <w:tcW w:w="995" w:type="dxa"/>
            <w:tcBorders>
              <w:top w:val="single" w:color="auto" w:sz="4" w:space="0"/>
              <w:left w:val="nil"/>
              <w:bottom w:val="single" w:color="auto" w:sz="4" w:space="0"/>
              <w:right w:val="single" w:color="auto" w:sz="4" w:space="0"/>
            </w:tcBorders>
            <w:vAlign w:val="center"/>
          </w:tcPr>
          <w:p w14:paraId="75F72356">
            <w:pPr>
              <w:widowControl/>
              <w:spacing w:line="360" w:lineRule="auto"/>
              <w:jc w:val="center"/>
              <w:rPr>
                <w:rFonts w:hint="eastAsia" w:ascii="宋体" w:hAnsi="宋体" w:cs="宋体"/>
                <w:color w:val="000000"/>
                <w:sz w:val="24"/>
              </w:rPr>
            </w:pPr>
            <w:r>
              <w:rPr>
                <w:rFonts w:hint="eastAsia" w:ascii="宋体" w:hAnsi="宋体" w:cs="宋体"/>
                <w:color w:val="000000"/>
                <w:sz w:val="24"/>
              </w:rPr>
              <w:t>台</w:t>
            </w:r>
          </w:p>
        </w:tc>
      </w:tr>
      <w:tr w14:paraId="01BAB283">
        <w:tblPrEx>
          <w:tblCellMar>
            <w:top w:w="0" w:type="dxa"/>
            <w:left w:w="108" w:type="dxa"/>
            <w:bottom w:w="0" w:type="dxa"/>
            <w:right w:w="108" w:type="dxa"/>
          </w:tblCellMar>
        </w:tblPrEx>
        <w:trPr>
          <w:trHeight w:val="693" w:hRule="atLeast"/>
        </w:trPr>
        <w:tc>
          <w:tcPr>
            <w:tcW w:w="995" w:type="dxa"/>
            <w:vMerge w:val="restart"/>
            <w:tcBorders>
              <w:top w:val="single" w:color="auto" w:sz="4" w:space="0"/>
              <w:left w:val="single" w:color="auto" w:sz="4" w:space="0"/>
              <w:bottom w:val="single" w:color="000000" w:sz="4" w:space="0"/>
              <w:right w:val="single" w:color="auto" w:sz="4" w:space="0"/>
            </w:tcBorders>
            <w:vAlign w:val="center"/>
          </w:tcPr>
          <w:p w14:paraId="7CF06F88">
            <w:pPr>
              <w:widowControl/>
              <w:spacing w:line="360" w:lineRule="auto"/>
              <w:jc w:val="center"/>
              <w:rPr>
                <w:rFonts w:hint="eastAsia" w:ascii="宋体" w:hAnsi="宋体" w:cs="宋体"/>
                <w:color w:val="000000"/>
                <w:sz w:val="24"/>
              </w:rPr>
            </w:pPr>
            <w:r>
              <w:rPr>
                <w:rFonts w:hint="eastAsia" w:ascii="宋体" w:hAnsi="宋体" w:cs="宋体"/>
                <w:color w:val="000000"/>
                <w:sz w:val="24"/>
              </w:rPr>
              <w:t>7</w:t>
            </w:r>
          </w:p>
        </w:tc>
        <w:tc>
          <w:tcPr>
            <w:tcW w:w="995" w:type="dxa"/>
            <w:vMerge w:val="restart"/>
            <w:tcBorders>
              <w:top w:val="nil"/>
              <w:left w:val="single" w:color="auto" w:sz="4" w:space="0"/>
              <w:bottom w:val="single" w:color="000000" w:sz="4" w:space="0"/>
              <w:right w:val="single" w:color="auto" w:sz="4" w:space="0"/>
            </w:tcBorders>
            <w:vAlign w:val="center"/>
          </w:tcPr>
          <w:p w14:paraId="2EF3BFED">
            <w:pPr>
              <w:widowControl/>
              <w:spacing w:line="360" w:lineRule="auto"/>
              <w:jc w:val="center"/>
              <w:rPr>
                <w:rFonts w:hint="eastAsia" w:ascii="宋体" w:hAnsi="宋体" w:cs="宋体"/>
                <w:color w:val="000000"/>
                <w:sz w:val="24"/>
              </w:rPr>
            </w:pPr>
            <w:r>
              <w:rPr>
                <w:rFonts w:hint="eastAsia" w:ascii="宋体" w:hAnsi="宋体" w:cs="宋体"/>
                <w:color w:val="000000"/>
                <w:sz w:val="24"/>
              </w:rPr>
              <w:t>辅助设施</w:t>
            </w:r>
          </w:p>
        </w:tc>
        <w:tc>
          <w:tcPr>
            <w:tcW w:w="995" w:type="dxa"/>
            <w:vMerge w:val="restart"/>
            <w:tcBorders>
              <w:top w:val="nil"/>
              <w:left w:val="single" w:color="auto" w:sz="4" w:space="0"/>
              <w:bottom w:val="single" w:color="000000" w:sz="4" w:space="0"/>
              <w:right w:val="single" w:color="auto" w:sz="4" w:space="0"/>
            </w:tcBorders>
            <w:vAlign w:val="center"/>
          </w:tcPr>
          <w:p w14:paraId="5816A2F7">
            <w:pPr>
              <w:widowControl/>
              <w:spacing w:line="360" w:lineRule="auto"/>
              <w:jc w:val="center"/>
              <w:rPr>
                <w:rFonts w:hint="eastAsia" w:ascii="宋体" w:hAnsi="宋体" w:cs="宋体"/>
                <w:color w:val="000000"/>
                <w:sz w:val="24"/>
              </w:rPr>
            </w:pPr>
            <w:r>
              <w:rPr>
                <w:rFonts w:hint="eastAsia" w:ascii="宋体" w:hAnsi="宋体" w:cs="宋体"/>
                <w:color w:val="000000"/>
                <w:sz w:val="24"/>
              </w:rPr>
              <w:t>农田生境远程实时监测</w:t>
            </w:r>
          </w:p>
        </w:tc>
        <w:tc>
          <w:tcPr>
            <w:tcW w:w="1290" w:type="dxa"/>
            <w:tcBorders>
              <w:top w:val="nil"/>
              <w:left w:val="nil"/>
              <w:bottom w:val="single" w:color="auto" w:sz="4" w:space="0"/>
              <w:right w:val="single" w:color="auto" w:sz="4" w:space="0"/>
            </w:tcBorders>
            <w:vAlign w:val="center"/>
          </w:tcPr>
          <w:p w14:paraId="7776BC96">
            <w:pPr>
              <w:widowControl/>
              <w:spacing w:line="360" w:lineRule="auto"/>
              <w:jc w:val="center"/>
              <w:rPr>
                <w:rFonts w:hint="eastAsia" w:ascii="宋体" w:hAnsi="宋体" w:cs="宋体"/>
                <w:color w:val="000000"/>
                <w:sz w:val="24"/>
              </w:rPr>
            </w:pPr>
            <w:r>
              <w:rPr>
                <w:rFonts w:hint="eastAsia" w:ascii="宋体" w:hAnsi="宋体" w:cs="宋体"/>
                <w:color w:val="000000"/>
                <w:sz w:val="24"/>
              </w:rPr>
              <w:t>立杆</w:t>
            </w:r>
          </w:p>
        </w:tc>
        <w:tc>
          <w:tcPr>
            <w:tcW w:w="7934" w:type="dxa"/>
            <w:tcBorders>
              <w:top w:val="nil"/>
              <w:left w:val="nil"/>
              <w:bottom w:val="single" w:color="auto" w:sz="4" w:space="0"/>
              <w:right w:val="single" w:color="auto" w:sz="4" w:space="0"/>
            </w:tcBorders>
            <w:vAlign w:val="center"/>
          </w:tcPr>
          <w:p w14:paraId="212DC50C">
            <w:pPr>
              <w:widowControl/>
              <w:spacing w:line="360" w:lineRule="auto"/>
              <w:rPr>
                <w:rFonts w:hint="eastAsia" w:ascii="宋体" w:hAnsi="宋体" w:cs="宋体"/>
                <w:color w:val="000000"/>
                <w:sz w:val="24"/>
              </w:rPr>
            </w:pPr>
            <w:r>
              <w:rPr>
                <w:rFonts w:hint="eastAsia" w:ascii="宋体" w:hAnsi="宋体" w:cs="宋体"/>
                <w:color w:val="000000"/>
                <w:sz w:val="24"/>
              </w:rPr>
              <w:t>76、立杆，高度9米，主杆板厚8mm</w:t>
            </w:r>
          </w:p>
        </w:tc>
        <w:tc>
          <w:tcPr>
            <w:tcW w:w="815" w:type="dxa"/>
            <w:vMerge w:val="restart"/>
            <w:tcBorders>
              <w:top w:val="nil"/>
              <w:left w:val="single" w:color="auto" w:sz="4" w:space="0"/>
              <w:bottom w:val="single" w:color="000000" w:sz="4" w:space="0"/>
              <w:right w:val="single" w:color="auto" w:sz="4" w:space="0"/>
            </w:tcBorders>
            <w:vAlign w:val="center"/>
          </w:tcPr>
          <w:p w14:paraId="73ED2F41">
            <w:pPr>
              <w:widowControl/>
              <w:spacing w:line="360" w:lineRule="auto"/>
              <w:jc w:val="center"/>
              <w:rPr>
                <w:rFonts w:hint="eastAsia" w:ascii="宋体" w:hAnsi="宋体" w:cs="宋体"/>
                <w:color w:val="000000"/>
                <w:sz w:val="24"/>
              </w:rPr>
            </w:pPr>
            <w:r>
              <w:rPr>
                <w:rFonts w:hint="eastAsia" w:ascii="宋体" w:hAnsi="宋体" w:cs="宋体"/>
                <w:color w:val="000000"/>
                <w:sz w:val="24"/>
              </w:rPr>
              <w:t>4</w:t>
            </w:r>
          </w:p>
        </w:tc>
        <w:tc>
          <w:tcPr>
            <w:tcW w:w="995" w:type="dxa"/>
            <w:vMerge w:val="restart"/>
            <w:tcBorders>
              <w:top w:val="nil"/>
              <w:left w:val="single" w:color="auto" w:sz="4" w:space="0"/>
              <w:bottom w:val="single" w:color="000000" w:sz="4" w:space="0"/>
              <w:right w:val="single" w:color="auto" w:sz="4" w:space="0"/>
            </w:tcBorders>
            <w:vAlign w:val="center"/>
          </w:tcPr>
          <w:p w14:paraId="6D3ABEE8">
            <w:pPr>
              <w:widowControl/>
              <w:spacing w:line="360" w:lineRule="auto"/>
              <w:jc w:val="center"/>
              <w:rPr>
                <w:rFonts w:hint="eastAsia" w:ascii="宋体" w:hAnsi="宋体" w:cs="宋体"/>
                <w:color w:val="000000"/>
                <w:sz w:val="24"/>
              </w:rPr>
            </w:pPr>
            <w:r>
              <w:rPr>
                <w:rFonts w:hint="eastAsia" w:ascii="宋体" w:hAnsi="宋体" w:cs="宋体"/>
                <w:color w:val="000000"/>
                <w:sz w:val="24"/>
              </w:rPr>
              <w:t>套</w:t>
            </w:r>
          </w:p>
        </w:tc>
      </w:tr>
      <w:tr w14:paraId="7A7768F3">
        <w:tblPrEx>
          <w:tblCellMar>
            <w:top w:w="0" w:type="dxa"/>
            <w:left w:w="108" w:type="dxa"/>
            <w:bottom w:w="0" w:type="dxa"/>
            <w:right w:w="108" w:type="dxa"/>
          </w:tblCellMar>
        </w:tblPrEx>
        <w:trPr>
          <w:trHeight w:val="897" w:hRule="atLeast"/>
        </w:trPr>
        <w:tc>
          <w:tcPr>
            <w:tcW w:w="995" w:type="dxa"/>
            <w:vMerge w:val="continue"/>
            <w:tcBorders>
              <w:top w:val="single" w:color="auto" w:sz="4" w:space="0"/>
              <w:left w:val="single" w:color="auto" w:sz="4" w:space="0"/>
              <w:bottom w:val="single" w:color="000000" w:sz="4" w:space="0"/>
              <w:right w:val="single" w:color="auto" w:sz="4" w:space="0"/>
            </w:tcBorders>
            <w:vAlign w:val="center"/>
          </w:tcPr>
          <w:p w14:paraId="725EF22D">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3F7D9718">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501A501B">
            <w:pPr>
              <w:widowControl/>
              <w:spacing w:line="360" w:lineRule="auto"/>
              <w:jc w:val="left"/>
              <w:rPr>
                <w:rFonts w:hint="eastAsia" w:ascii="宋体" w:hAnsi="宋体" w:cs="宋体"/>
                <w:color w:val="000000"/>
                <w:sz w:val="24"/>
              </w:rPr>
            </w:pPr>
          </w:p>
        </w:tc>
        <w:tc>
          <w:tcPr>
            <w:tcW w:w="1290" w:type="dxa"/>
            <w:tcBorders>
              <w:top w:val="nil"/>
              <w:left w:val="nil"/>
              <w:bottom w:val="single" w:color="auto" w:sz="4" w:space="0"/>
              <w:right w:val="single" w:color="auto" w:sz="4" w:space="0"/>
            </w:tcBorders>
            <w:vAlign w:val="center"/>
          </w:tcPr>
          <w:p w14:paraId="1C7FF43A">
            <w:pPr>
              <w:widowControl/>
              <w:spacing w:line="360" w:lineRule="auto"/>
              <w:jc w:val="center"/>
              <w:rPr>
                <w:rFonts w:hint="eastAsia" w:ascii="宋体" w:hAnsi="宋体" w:cs="宋体"/>
                <w:sz w:val="24"/>
              </w:rPr>
            </w:pPr>
            <w:r>
              <w:rPr>
                <w:rFonts w:hint="eastAsia" w:ascii="宋体" w:hAnsi="宋体" w:cs="宋体"/>
                <w:sz w:val="24"/>
              </w:rPr>
              <w:t>混凝土基础</w:t>
            </w:r>
          </w:p>
        </w:tc>
        <w:tc>
          <w:tcPr>
            <w:tcW w:w="7934" w:type="dxa"/>
            <w:tcBorders>
              <w:top w:val="nil"/>
              <w:left w:val="nil"/>
              <w:bottom w:val="single" w:color="auto" w:sz="4" w:space="0"/>
              <w:right w:val="single" w:color="auto" w:sz="4" w:space="0"/>
            </w:tcBorders>
            <w:vAlign w:val="center"/>
          </w:tcPr>
          <w:p w14:paraId="73C9156E">
            <w:pPr>
              <w:widowControl/>
              <w:spacing w:line="360" w:lineRule="auto"/>
              <w:jc w:val="left"/>
              <w:rPr>
                <w:rFonts w:hint="eastAsia" w:ascii="宋体" w:hAnsi="宋体" w:cs="宋体"/>
                <w:sz w:val="24"/>
              </w:rPr>
            </w:pPr>
            <w:r>
              <w:rPr>
                <w:rFonts w:hint="eastAsia" w:ascii="宋体" w:hAnsi="宋体" w:cs="宋体"/>
                <w:sz w:val="24"/>
              </w:rPr>
              <w:t>77、立杆水泥地基，含地笼等预埋件，C25混凝土，5立方。</w:t>
            </w:r>
          </w:p>
        </w:tc>
        <w:tc>
          <w:tcPr>
            <w:tcW w:w="815" w:type="dxa"/>
            <w:vMerge w:val="continue"/>
            <w:tcBorders>
              <w:top w:val="nil"/>
              <w:left w:val="single" w:color="auto" w:sz="4" w:space="0"/>
              <w:bottom w:val="single" w:color="000000" w:sz="4" w:space="0"/>
              <w:right w:val="single" w:color="auto" w:sz="4" w:space="0"/>
            </w:tcBorders>
            <w:vAlign w:val="center"/>
          </w:tcPr>
          <w:p w14:paraId="04481E4B">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5DBEC423">
            <w:pPr>
              <w:widowControl/>
              <w:spacing w:line="360" w:lineRule="auto"/>
              <w:jc w:val="left"/>
              <w:rPr>
                <w:rFonts w:hint="eastAsia" w:ascii="宋体" w:hAnsi="宋体" w:cs="宋体"/>
                <w:color w:val="000000"/>
                <w:sz w:val="24"/>
              </w:rPr>
            </w:pPr>
          </w:p>
        </w:tc>
      </w:tr>
      <w:tr w14:paraId="7B17278E">
        <w:tblPrEx>
          <w:tblCellMar>
            <w:top w:w="0" w:type="dxa"/>
            <w:left w:w="108" w:type="dxa"/>
            <w:bottom w:w="0" w:type="dxa"/>
            <w:right w:w="108" w:type="dxa"/>
          </w:tblCellMar>
        </w:tblPrEx>
        <w:trPr>
          <w:trHeight w:val="897" w:hRule="atLeast"/>
        </w:trPr>
        <w:tc>
          <w:tcPr>
            <w:tcW w:w="995" w:type="dxa"/>
            <w:vMerge w:val="continue"/>
            <w:tcBorders>
              <w:top w:val="single" w:color="auto" w:sz="4" w:space="0"/>
              <w:left w:val="single" w:color="auto" w:sz="4" w:space="0"/>
              <w:bottom w:val="single" w:color="000000" w:sz="4" w:space="0"/>
              <w:right w:val="single" w:color="auto" w:sz="4" w:space="0"/>
            </w:tcBorders>
            <w:vAlign w:val="center"/>
          </w:tcPr>
          <w:p w14:paraId="5202243E">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37354301">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11584719">
            <w:pPr>
              <w:widowControl/>
              <w:spacing w:line="360" w:lineRule="auto"/>
              <w:jc w:val="left"/>
              <w:rPr>
                <w:rFonts w:hint="eastAsia" w:ascii="宋体" w:hAnsi="宋体" w:cs="宋体"/>
                <w:color w:val="000000"/>
                <w:sz w:val="24"/>
              </w:rPr>
            </w:pPr>
          </w:p>
        </w:tc>
        <w:tc>
          <w:tcPr>
            <w:tcW w:w="1290" w:type="dxa"/>
            <w:tcBorders>
              <w:top w:val="nil"/>
              <w:left w:val="nil"/>
              <w:bottom w:val="single" w:color="auto" w:sz="4" w:space="0"/>
              <w:right w:val="single" w:color="auto" w:sz="4" w:space="0"/>
            </w:tcBorders>
            <w:vAlign w:val="center"/>
          </w:tcPr>
          <w:p w14:paraId="02AC335F">
            <w:pPr>
              <w:widowControl/>
              <w:spacing w:line="360" w:lineRule="auto"/>
              <w:jc w:val="center"/>
              <w:rPr>
                <w:rFonts w:hint="eastAsia" w:ascii="宋体" w:hAnsi="宋体" w:cs="宋体"/>
                <w:sz w:val="24"/>
              </w:rPr>
            </w:pPr>
            <w:r>
              <w:rPr>
                <w:rFonts w:hint="eastAsia" w:ascii="宋体" w:hAnsi="宋体" w:cs="宋体"/>
                <w:sz w:val="24"/>
              </w:rPr>
              <w:t>其他设备</w:t>
            </w:r>
          </w:p>
        </w:tc>
        <w:tc>
          <w:tcPr>
            <w:tcW w:w="7934" w:type="dxa"/>
            <w:tcBorders>
              <w:top w:val="nil"/>
              <w:left w:val="nil"/>
              <w:bottom w:val="single" w:color="auto" w:sz="4" w:space="0"/>
              <w:right w:val="single" w:color="auto" w:sz="4" w:space="0"/>
            </w:tcBorders>
            <w:vAlign w:val="center"/>
          </w:tcPr>
          <w:p w14:paraId="233B7A36">
            <w:pPr>
              <w:widowControl/>
              <w:spacing w:line="360" w:lineRule="auto"/>
              <w:jc w:val="left"/>
              <w:rPr>
                <w:rFonts w:hint="eastAsia" w:ascii="宋体" w:hAnsi="宋体" w:cs="宋体"/>
                <w:sz w:val="24"/>
              </w:rPr>
            </w:pPr>
            <w:r>
              <w:rPr>
                <w:rFonts w:hint="eastAsia" w:ascii="宋体" w:hAnsi="宋体" w:cs="宋体"/>
                <w:sz w:val="24"/>
              </w:rPr>
              <w:t>78、监控柜：定制，耐腐蚀防水设计（含内部插座、空开等电器件）；5口千兆交换机；熔纤盒（含尾纤）；千兆光纤收发器；室外4芯光纤等。</w:t>
            </w:r>
          </w:p>
        </w:tc>
        <w:tc>
          <w:tcPr>
            <w:tcW w:w="815" w:type="dxa"/>
            <w:vMerge w:val="continue"/>
            <w:tcBorders>
              <w:top w:val="nil"/>
              <w:left w:val="single" w:color="auto" w:sz="4" w:space="0"/>
              <w:bottom w:val="single" w:color="000000" w:sz="4" w:space="0"/>
              <w:right w:val="single" w:color="auto" w:sz="4" w:space="0"/>
            </w:tcBorders>
            <w:vAlign w:val="center"/>
          </w:tcPr>
          <w:p w14:paraId="3BCC3406">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23F4A2D2">
            <w:pPr>
              <w:widowControl/>
              <w:spacing w:line="360" w:lineRule="auto"/>
              <w:jc w:val="left"/>
              <w:rPr>
                <w:rFonts w:hint="eastAsia" w:ascii="宋体" w:hAnsi="宋体" w:cs="宋体"/>
                <w:color w:val="000000"/>
                <w:sz w:val="24"/>
              </w:rPr>
            </w:pPr>
          </w:p>
        </w:tc>
      </w:tr>
      <w:tr w14:paraId="59D9F5B4">
        <w:tblPrEx>
          <w:tblCellMar>
            <w:top w:w="0" w:type="dxa"/>
            <w:left w:w="108" w:type="dxa"/>
            <w:bottom w:w="0" w:type="dxa"/>
            <w:right w:w="108" w:type="dxa"/>
          </w:tblCellMar>
        </w:tblPrEx>
        <w:trPr>
          <w:trHeight w:val="897" w:hRule="atLeast"/>
        </w:trPr>
        <w:tc>
          <w:tcPr>
            <w:tcW w:w="995" w:type="dxa"/>
            <w:vMerge w:val="continue"/>
            <w:tcBorders>
              <w:top w:val="single" w:color="auto" w:sz="4" w:space="0"/>
              <w:left w:val="single" w:color="auto" w:sz="4" w:space="0"/>
              <w:bottom w:val="single" w:color="000000" w:sz="4" w:space="0"/>
              <w:right w:val="single" w:color="auto" w:sz="4" w:space="0"/>
            </w:tcBorders>
            <w:vAlign w:val="center"/>
          </w:tcPr>
          <w:p w14:paraId="4255678D">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61725487">
            <w:pPr>
              <w:widowControl/>
              <w:spacing w:line="360" w:lineRule="auto"/>
              <w:jc w:val="left"/>
              <w:rPr>
                <w:rFonts w:hint="eastAsia" w:ascii="宋体" w:hAnsi="宋体" w:cs="宋体"/>
                <w:color w:val="000000"/>
                <w:sz w:val="24"/>
              </w:rPr>
            </w:pPr>
          </w:p>
        </w:tc>
        <w:tc>
          <w:tcPr>
            <w:tcW w:w="995" w:type="dxa"/>
            <w:vMerge w:val="restart"/>
            <w:tcBorders>
              <w:top w:val="nil"/>
              <w:left w:val="single" w:color="auto" w:sz="4" w:space="0"/>
              <w:bottom w:val="nil"/>
              <w:right w:val="single" w:color="auto" w:sz="4" w:space="0"/>
            </w:tcBorders>
            <w:vAlign w:val="center"/>
          </w:tcPr>
          <w:p w14:paraId="7A21A3BE">
            <w:pPr>
              <w:widowControl/>
              <w:spacing w:line="360" w:lineRule="auto"/>
              <w:jc w:val="center"/>
              <w:rPr>
                <w:rFonts w:hint="eastAsia" w:ascii="宋体" w:hAnsi="宋体" w:cs="宋体"/>
                <w:color w:val="000000"/>
                <w:sz w:val="24"/>
              </w:rPr>
            </w:pPr>
            <w:r>
              <w:rPr>
                <w:rFonts w:hint="eastAsia" w:ascii="宋体" w:hAnsi="宋体" w:cs="宋体"/>
                <w:color w:val="000000"/>
                <w:sz w:val="24"/>
              </w:rPr>
              <w:t>气象、土壤墒情自动监测站</w:t>
            </w:r>
          </w:p>
        </w:tc>
        <w:tc>
          <w:tcPr>
            <w:tcW w:w="1290" w:type="dxa"/>
            <w:tcBorders>
              <w:top w:val="nil"/>
              <w:left w:val="nil"/>
              <w:bottom w:val="single" w:color="auto" w:sz="4" w:space="0"/>
              <w:right w:val="single" w:color="auto" w:sz="4" w:space="0"/>
            </w:tcBorders>
            <w:vAlign w:val="center"/>
          </w:tcPr>
          <w:p w14:paraId="7793B505">
            <w:pPr>
              <w:widowControl/>
              <w:spacing w:line="360" w:lineRule="auto"/>
              <w:jc w:val="center"/>
              <w:rPr>
                <w:rFonts w:hint="eastAsia" w:ascii="宋体" w:hAnsi="宋体" w:cs="宋体"/>
                <w:color w:val="000000"/>
                <w:sz w:val="24"/>
              </w:rPr>
            </w:pPr>
            <w:r>
              <w:rPr>
                <w:rFonts w:hint="eastAsia" w:ascii="宋体" w:hAnsi="宋体" w:cs="宋体"/>
                <w:color w:val="000000"/>
                <w:sz w:val="24"/>
              </w:rPr>
              <w:t>监测专用立杆</w:t>
            </w:r>
          </w:p>
        </w:tc>
        <w:tc>
          <w:tcPr>
            <w:tcW w:w="7934" w:type="dxa"/>
            <w:tcBorders>
              <w:top w:val="nil"/>
              <w:left w:val="nil"/>
              <w:bottom w:val="single" w:color="auto" w:sz="4" w:space="0"/>
              <w:right w:val="single" w:color="auto" w:sz="4" w:space="0"/>
            </w:tcBorders>
            <w:vAlign w:val="center"/>
          </w:tcPr>
          <w:p w14:paraId="78946A89">
            <w:pPr>
              <w:widowControl/>
              <w:spacing w:line="360" w:lineRule="auto"/>
              <w:rPr>
                <w:rFonts w:hint="eastAsia" w:ascii="宋体" w:hAnsi="宋体" w:cs="宋体"/>
                <w:color w:val="000000"/>
                <w:sz w:val="24"/>
              </w:rPr>
            </w:pPr>
            <w:r>
              <w:rPr>
                <w:rFonts w:hint="eastAsia" w:ascii="宋体" w:hAnsi="宋体" w:cs="宋体"/>
                <w:color w:val="000000"/>
                <w:sz w:val="24"/>
              </w:rPr>
              <w:t>79、高度1.5-3.5米，采用热镀锌、静电喷塑工艺处理，抗腐蚀、抗氧化性强，必要时配备防风拉索。</w:t>
            </w:r>
          </w:p>
        </w:tc>
        <w:tc>
          <w:tcPr>
            <w:tcW w:w="815" w:type="dxa"/>
            <w:vMerge w:val="continue"/>
            <w:tcBorders>
              <w:top w:val="nil"/>
              <w:left w:val="single" w:color="auto" w:sz="4" w:space="0"/>
              <w:bottom w:val="single" w:color="000000" w:sz="4" w:space="0"/>
              <w:right w:val="single" w:color="auto" w:sz="4" w:space="0"/>
            </w:tcBorders>
            <w:vAlign w:val="center"/>
          </w:tcPr>
          <w:p w14:paraId="70C8155C">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46E8538C">
            <w:pPr>
              <w:widowControl/>
              <w:spacing w:line="360" w:lineRule="auto"/>
              <w:jc w:val="left"/>
              <w:rPr>
                <w:rFonts w:hint="eastAsia" w:ascii="宋体" w:hAnsi="宋体" w:cs="宋体"/>
                <w:color w:val="000000"/>
                <w:sz w:val="24"/>
              </w:rPr>
            </w:pPr>
          </w:p>
        </w:tc>
      </w:tr>
      <w:tr w14:paraId="6DB4482C">
        <w:tblPrEx>
          <w:tblCellMar>
            <w:top w:w="0" w:type="dxa"/>
            <w:left w:w="108" w:type="dxa"/>
            <w:bottom w:w="0" w:type="dxa"/>
            <w:right w:w="108" w:type="dxa"/>
          </w:tblCellMar>
        </w:tblPrEx>
        <w:trPr>
          <w:trHeight w:val="897" w:hRule="atLeast"/>
        </w:trPr>
        <w:tc>
          <w:tcPr>
            <w:tcW w:w="995" w:type="dxa"/>
            <w:vMerge w:val="continue"/>
            <w:tcBorders>
              <w:top w:val="single" w:color="auto" w:sz="4" w:space="0"/>
              <w:left w:val="single" w:color="auto" w:sz="4" w:space="0"/>
              <w:bottom w:val="single" w:color="000000" w:sz="4" w:space="0"/>
              <w:right w:val="single" w:color="auto" w:sz="4" w:space="0"/>
            </w:tcBorders>
            <w:vAlign w:val="center"/>
          </w:tcPr>
          <w:p w14:paraId="19B3DE0C">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245A3C2A">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nil"/>
              <w:right w:val="single" w:color="auto" w:sz="4" w:space="0"/>
            </w:tcBorders>
            <w:vAlign w:val="center"/>
          </w:tcPr>
          <w:p w14:paraId="34C2EDE0">
            <w:pPr>
              <w:widowControl/>
              <w:spacing w:line="360" w:lineRule="auto"/>
              <w:jc w:val="left"/>
              <w:rPr>
                <w:rFonts w:hint="eastAsia" w:ascii="宋体" w:hAnsi="宋体" w:cs="宋体"/>
                <w:color w:val="000000"/>
                <w:sz w:val="24"/>
              </w:rPr>
            </w:pPr>
          </w:p>
        </w:tc>
        <w:tc>
          <w:tcPr>
            <w:tcW w:w="1290" w:type="dxa"/>
            <w:tcBorders>
              <w:top w:val="nil"/>
              <w:left w:val="nil"/>
              <w:bottom w:val="single" w:color="auto" w:sz="4" w:space="0"/>
              <w:right w:val="single" w:color="auto" w:sz="4" w:space="0"/>
            </w:tcBorders>
            <w:vAlign w:val="center"/>
          </w:tcPr>
          <w:p w14:paraId="352C8351">
            <w:pPr>
              <w:widowControl/>
              <w:spacing w:line="360" w:lineRule="auto"/>
              <w:jc w:val="center"/>
              <w:rPr>
                <w:rFonts w:hint="eastAsia" w:ascii="宋体" w:hAnsi="宋体" w:cs="宋体"/>
                <w:color w:val="000000"/>
                <w:sz w:val="24"/>
              </w:rPr>
            </w:pPr>
            <w:r>
              <w:rPr>
                <w:rFonts w:hint="eastAsia" w:ascii="宋体" w:hAnsi="宋体" w:cs="宋体"/>
                <w:color w:val="000000"/>
                <w:sz w:val="24"/>
              </w:rPr>
              <w:t>监测柜</w:t>
            </w:r>
          </w:p>
        </w:tc>
        <w:tc>
          <w:tcPr>
            <w:tcW w:w="7934" w:type="dxa"/>
            <w:tcBorders>
              <w:top w:val="nil"/>
              <w:left w:val="nil"/>
              <w:bottom w:val="single" w:color="auto" w:sz="4" w:space="0"/>
              <w:right w:val="single" w:color="auto" w:sz="4" w:space="0"/>
            </w:tcBorders>
            <w:vAlign w:val="center"/>
          </w:tcPr>
          <w:p w14:paraId="07B68535">
            <w:pPr>
              <w:widowControl/>
              <w:spacing w:line="360" w:lineRule="auto"/>
              <w:rPr>
                <w:rFonts w:hint="eastAsia" w:ascii="宋体" w:hAnsi="宋体" w:cs="宋体"/>
                <w:color w:val="000000"/>
                <w:sz w:val="24"/>
              </w:rPr>
            </w:pPr>
            <w:r>
              <w:rPr>
                <w:rFonts w:hint="eastAsia" w:ascii="宋体" w:hAnsi="宋体" w:cs="宋体"/>
                <w:color w:val="000000"/>
                <w:sz w:val="24"/>
              </w:rPr>
              <w:t>80、定制：防水设计（含内部插座、空开等电器件），配套安装需要的电线、套管、支架等辅材材料。</w:t>
            </w:r>
          </w:p>
        </w:tc>
        <w:tc>
          <w:tcPr>
            <w:tcW w:w="815" w:type="dxa"/>
            <w:vMerge w:val="continue"/>
            <w:tcBorders>
              <w:top w:val="nil"/>
              <w:left w:val="single" w:color="auto" w:sz="4" w:space="0"/>
              <w:bottom w:val="single" w:color="000000" w:sz="4" w:space="0"/>
              <w:right w:val="single" w:color="auto" w:sz="4" w:space="0"/>
            </w:tcBorders>
            <w:vAlign w:val="center"/>
          </w:tcPr>
          <w:p w14:paraId="00210060">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0D18063F">
            <w:pPr>
              <w:widowControl/>
              <w:spacing w:line="360" w:lineRule="auto"/>
              <w:jc w:val="left"/>
              <w:rPr>
                <w:rFonts w:hint="eastAsia" w:ascii="宋体" w:hAnsi="宋体" w:cs="宋体"/>
                <w:color w:val="000000"/>
                <w:sz w:val="24"/>
              </w:rPr>
            </w:pPr>
          </w:p>
        </w:tc>
      </w:tr>
      <w:tr w14:paraId="151CD370">
        <w:tblPrEx>
          <w:tblCellMar>
            <w:top w:w="0" w:type="dxa"/>
            <w:left w:w="108" w:type="dxa"/>
            <w:bottom w:w="0" w:type="dxa"/>
            <w:right w:w="108" w:type="dxa"/>
          </w:tblCellMar>
        </w:tblPrEx>
        <w:trPr>
          <w:trHeight w:val="897" w:hRule="atLeast"/>
        </w:trPr>
        <w:tc>
          <w:tcPr>
            <w:tcW w:w="995" w:type="dxa"/>
            <w:vMerge w:val="continue"/>
            <w:tcBorders>
              <w:top w:val="single" w:color="auto" w:sz="4" w:space="0"/>
              <w:left w:val="single" w:color="auto" w:sz="4" w:space="0"/>
              <w:bottom w:val="single" w:color="000000" w:sz="4" w:space="0"/>
              <w:right w:val="single" w:color="auto" w:sz="4" w:space="0"/>
            </w:tcBorders>
            <w:vAlign w:val="center"/>
          </w:tcPr>
          <w:p w14:paraId="3841AB6C">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4A5A2B12">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nil"/>
              <w:right w:val="single" w:color="auto" w:sz="4" w:space="0"/>
            </w:tcBorders>
            <w:vAlign w:val="center"/>
          </w:tcPr>
          <w:p w14:paraId="00332D68">
            <w:pPr>
              <w:widowControl/>
              <w:spacing w:line="360" w:lineRule="auto"/>
              <w:jc w:val="left"/>
              <w:rPr>
                <w:rFonts w:hint="eastAsia" w:ascii="宋体" w:hAnsi="宋体" w:cs="宋体"/>
                <w:color w:val="000000"/>
                <w:sz w:val="24"/>
              </w:rPr>
            </w:pPr>
          </w:p>
        </w:tc>
        <w:tc>
          <w:tcPr>
            <w:tcW w:w="1290" w:type="dxa"/>
            <w:tcBorders>
              <w:top w:val="nil"/>
              <w:left w:val="nil"/>
              <w:bottom w:val="single" w:color="auto" w:sz="4" w:space="0"/>
              <w:right w:val="single" w:color="auto" w:sz="4" w:space="0"/>
            </w:tcBorders>
            <w:vAlign w:val="center"/>
          </w:tcPr>
          <w:p w14:paraId="4661966B">
            <w:pPr>
              <w:widowControl/>
              <w:spacing w:line="360" w:lineRule="auto"/>
              <w:jc w:val="center"/>
              <w:rPr>
                <w:rFonts w:hint="eastAsia" w:ascii="宋体" w:hAnsi="宋体" w:cs="宋体"/>
                <w:color w:val="000000"/>
                <w:sz w:val="24"/>
              </w:rPr>
            </w:pPr>
            <w:r>
              <w:rPr>
                <w:rFonts w:hint="eastAsia" w:ascii="宋体" w:hAnsi="宋体" w:cs="宋体"/>
                <w:color w:val="000000"/>
                <w:sz w:val="24"/>
              </w:rPr>
              <w:t>混凝土地基</w:t>
            </w:r>
          </w:p>
        </w:tc>
        <w:tc>
          <w:tcPr>
            <w:tcW w:w="7934" w:type="dxa"/>
            <w:tcBorders>
              <w:top w:val="nil"/>
              <w:left w:val="nil"/>
              <w:bottom w:val="single" w:color="auto" w:sz="4" w:space="0"/>
              <w:right w:val="single" w:color="auto" w:sz="4" w:space="0"/>
            </w:tcBorders>
            <w:vAlign w:val="center"/>
          </w:tcPr>
          <w:p w14:paraId="28D46416">
            <w:pPr>
              <w:widowControl/>
              <w:spacing w:line="360" w:lineRule="auto"/>
              <w:rPr>
                <w:rFonts w:hint="eastAsia" w:ascii="宋体" w:hAnsi="宋体" w:cs="宋体"/>
                <w:color w:val="000000"/>
                <w:sz w:val="24"/>
              </w:rPr>
            </w:pPr>
            <w:r>
              <w:rPr>
                <w:rFonts w:hint="eastAsia" w:ascii="宋体" w:hAnsi="宋体" w:cs="宋体"/>
                <w:color w:val="000000"/>
                <w:sz w:val="24"/>
              </w:rPr>
              <w:t>81、监测专用立杆水泥地基，含地笼，设备安装稳固，无安全隐患，抗强风。</w:t>
            </w:r>
          </w:p>
        </w:tc>
        <w:tc>
          <w:tcPr>
            <w:tcW w:w="815" w:type="dxa"/>
            <w:vMerge w:val="continue"/>
            <w:tcBorders>
              <w:top w:val="nil"/>
              <w:left w:val="single" w:color="auto" w:sz="4" w:space="0"/>
              <w:bottom w:val="single" w:color="000000" w:sz="4" w:space="0"/>
              <w:right w:val="single" w:color="auto" w:sz="4" w:space="0"/>
            </w:tcBorders>
            <w:vAlign w:val="center"/>
          </w:tcPr>
          <w:p w14:paraId="7710605A">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4A4D5E05">
            <w:pPr>
              <w:widowControl/>
              <w:spacing w:line="360" w:lineRule="auto"/>
              <w:jc w:val="left"/>
              <w:rPr>
                <w:rFonts w:hint="eastAsia" w:ascii="宋体" w:hAnsi="宋体" w:cs="宋体"/>
                <w:color w:val="000000"/>
                <w:sz w:val="24"/>
              </w:rPr>
            </w:pPr>
          </w:p>
        </w:tc>
      </w:tr>
      <w:tr w14:paraId="06E17BC8">
        <w:tblPrEx>
          <w:tblCellMar>
            <w:top w:w="0" w:type="dxa"/>
            <w:left w:w="108" w:type="dxa"/>
            <w:bottom w:w="0" w:type="dxa"/>
            <w:right w:w="108" w:type="dxa"/>
          </w:tblCellMar>
        </w:tblPrEx>
        <w:trPr>
          <w:trHeight w:val="1784" w:hRule="atLeast"/>
        </w:trPr>
        <w:tc>
          <w:tcPr>
            <w:tcW w:w="995" w:type="dxa"/>
            <w:vMerge w:val="continue"/>
            <w:tcBorders>
              <w:top w:val="single" w:color="auto" w:sz="4" w:space="0"/>
              <w:left w:val="single" w:color="auto" w:sz="4" w:space="0"/>
              <w:bottom w:val="single" w:color="000000" w:sz="4" w:space="0"/>
              <w:right w:val="single" w:color="auto" w:sz="4" w:space="0"/>
            </w:tcBorders>
            <w:vAlign w:val="center"/>
          </w:tcPr>
          <w:p w14:paraId="0DE83F90">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21DB42EB">
            <w:pPr>
              <w:widowControl/>
              <w:spacing w:line="360" w:lineRule="auto"/>
              <w:jc w:val="left"/>
              <w:rPr>
                <w:rFonts w:hint="eastAsia" w:ascii="宋体" w:hAnsi="宋体" w:cs="宋体"/>
                <w:color w:val="000000"/>
                <w:sz w:val="24"/>
              </w:rPr>
            </w:pPr>
          </w:p>
        </w:tc>
        <w:tc>
          <w:tcPr>
            <w:tcW w:w="2285" w:type="dxa"/>
            <w:gridSpan w:val="2"/>
            <w:tcBorders>
              <w:top w:val="single" w:color="auto" w:sz="4" w:space="0"/>
              <w:left w:val="nil"/>
              <w:bottom w:val="single" w:color="auto" w:sz="4" w:space="0"/>
              <w:right w:val="single" w:color="000000" w:sz="4" w:space="0"/>
            </w:tcBorders>
            <w:vAlign w:val="center"/>
          </w:tcPr>
          <w:p w14:paraId="73A2EF69">
            <w:pPr>
              <w:widowControl/>
              <w:spacing w:line="360" w:lineRule="auto"/>
              <w:jc w:val="center"/>
              <w:rPr>
                <w:rFonts w:hint="eastAsia" w:ascii="宋体" w:hAnsi="宋体" w:cs="宋体"/>
                <w:color w:val="000000"/>
                <w:sz w:val="24"/>
              </w:rPr>
            </w:pPr>
            <w:r>
              <w:rPr>
                <w:rFonts w:hint="eastAsia" w:ascii="宋体" w:hAnsi="宋体" w:cs="宋体"/>
                <w:color w:val="000000"/>
                <w:sz w:val="24"/>
              </w:rPr>
              <w:t>基础平台</w:t>
            </w:r>
          </w:p>
        </w:tc>
        <w:tc>
          <w:tcPr>
            <w:tcW w:w="7934" w:type="dxa"/>
            <w:tcBorders>
              <w:top w:val="nil"/>
              <w:left w:val="nil"/>
              <w:bottom w:val="single" w:color="auto" w:sz="4" w:space="0"/>
              <w:right w:val="single" w:color="auto" w:sz="4" w:space="0"/>
            </w:tcBorders>
            <w:vAlign w:val="center"/>
          </w:tcPr>
          <w:p w14:paraId="4CC77845">
            <w:pPr>
              <w:widowControl/>
              <w:spacing w:line="360" w:lineRule="auto"/>
              <w:rPr>
                <w:rFonts w:hint="eastAsia" w:ascii="宋体" w:hAnsi="宋体" w:cs="宋体"/>
                <w:color w:val="000000"/>
                <w:sz w:val="24"/>
              </w:rPr>
            </w:pPr>
            <w:r>
              <w:rPr>
                <w:rFonts w:hint="eastAsia" w:ascii="宋体" w:hAnsi="宋体" w:cs="宋体"/>
                <w:color w:val="000000"/>
                <w:sz w:val="24"/>
              </w:rPr>
              <w:t>82、满足建设点位设备部署要求，新建设备操作平台≥21m²，尺寸：≥3m*7m，平台为塑木地基，塑木板材≥23</w:t>
            </w:r>
            <w:r>
              <w:t xml:space="preserve"> </w:t>
            </w:r>
            <w:r>
              <w:rPr>
                <w:rFonts w:ascii="宋体" w:hAnsi="宋体" w:cs="宋体"/>
                <w:color w:val="000000"/>
                <w:sz w:val="24"/>
              </w:rPr>
              <w:t>mm</w:t>
            </w:r>
            <w:r>
              <w:rPr>
                <w:rFonts w:hint="eastAsia" w:ascii="宋体" w:hAnsi="宋体" w:cs="宋体"/>
                <w:color w:val="000000"/>
                <w:sz w:val="24"/>
              </w:rPr>
              <w:t>厚，新建围栏≥20m，围栏采用304不锈钢材质，立柱壁厚≥1mm，围栏高出平台1.2m；围栏上开设1套1米宽人行门，材质及样式同围栏。</w:t>
            </w:r>
          </w:p>
        </w:tc>
        <w:tc>
          <w:tcPr>
            <w:tcW w:w="815" w:type="dxa"/>
            <w:vMerge w:val="continue"/>
            <w:tcBorders>
              <w:top w:val="nil"/>
              <w:left w:val="single" w:color="auto" w:sz="4" w:space="0"/>
              <w:bottom w:val="single" w:color="000000" w:sz="4" w:space="0"/>
              <w:right w:val="single" w:color="auto" w:sz="4" w:space="0"/>
            </w:tcBorders>
            <w:vAlign w:val="center"/>
          </w:tcPr>
          <w:p w14:paraId="1B5DC2EA">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770B484C">
            <w:pPr>
              <w:widowControl/>
              <w:spacing w:line="360" w:lineRule="auto"/>
              <w:jc w:val="left"/>
              <w:rPr>
                <w:rFonts w:hint="eastAsia" w:ascii="宋体" w:hAnsi="宋体" w:cs="宋体"/>
                <w:color w:val="000000"/>
                <w:sz w:val="24"/>
              </w:rPr>
            </w:pPr>
          </w:p>
        </w:tc>
      </w:tr>
      <w:tr w14:paraId="7BDC5847">
        <w:tblPrEx>
          <w:tblCellMar>
            <w:top w:w="0" w:type="dxa"/>
            <w:left w:w="108" w:type="dxa"/>
            <w:bottom w:w="0" w:type="dxa"/>
            <w:right w:w="108" w:type="dxa"/>
          </w:tblCellMar>
        </w:tblPrEx>
        <w:trPr>
          <w:trHeight w:val="897" w:hRule="atLeast"/>
        </w:trPr>
        <w:tc>
          <w:tcPr>
            <w:tcW w:w="995" w:type="dxa"/>
            <w:vMerge w:val="continue"/>
            <w:tcBorders>
              <w:top w:val="single" w:color="auto" w:sz="4" w:space="0"/>
              <w:left w:val="single" w:color="auto" w:sz="4" w:space="0"/>
              <w:bottom w:val="single" w:color="000000" w:sz="4" w:space="0"/>
              <w:right w:val="single" w:color="auto" w:sz="4" w:space="0"/>
            </w:tcBorders>
            <w:vAlign w:val="center"/>
          </w:tcPr>
          <w:p w14:paraId="135657FD">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727A3E74">
            <w:pPr>
              <w:widowControl/>
              <w:spacing w:line="360" w:lineRule="auto"/>
              <w:jc w:val="left"/>
              <w:rPr>
                <w:rFonts w:hint="eastAsia" w:ascii="宋体" w:hAnsi="宋体" w:cs="宋体"/>
                <w:color w:val="000000"/>
                <w:sz w:val="24"/>
              </w:rPr>
            </w:pPr>
          </w:p>
        </w:tc>
        <w:tc>
          <w:tcPr>
            <w:tcW w:w="2285" w:type="dxa"/>
            <w:gridSpan w:val="2"/>
            <w:tcBorders>
              <w:top w:val="single" w:color="auto" w:sz="4" w:space="0"/>
              <w:left w:val="nil"/>
              <w:bottom w:val="single" w:color="auto" w:sz="4" w:space="0"/>
              <w:right w:val="single" w:color="000000" w:sz="4" w:space="0"/>
            </w:tcBorders>
            <w:vAlign w:val="center"/>
          </w:tcPr>
          <w:p w14:paraId="56BAD529">
            <w:pPr>
              <w:widowControl/>
              <w:spacing w:line="360" w:lineRule="auto"/>
              <w:jc w:val="center"/>
              <w:rPr>
                <w:rFonts w:hint="eastAsia" w:ascii="宋体" w:hAnsi="宋体" w:cs="宋体"/>
                <w:color w:val="000000"/>
                <w:sz w:val="24"/>
              </w:rPr>
            </w:pPr>
            <w:r>
              <w:rPr>
                <w:rFonts w:hint="eastAsia" w:ascii="宋体" w:hAnsi="宋体" w:cs="宋体"/>
                <w:color w:val="000000"/>
                <w:sz w:val="24"/>
              </w:rPr>
              <w:t>人行栈道</w:t>
            </w:r>
          </w:p>
        </w:tc>
        <w:tc>
          <w:tcPr>
            <w:tcW w:w="7934" w:type="dxa"/>
            <w:tcBorders>
              <w:top w:val="nil"/>
              <w:left w:val="nil"/>
              <w:bottom w:val="single" w:color="auto" w:sz="4" w:space="0"/>
              <w:right w:val="single" w:color="auto" w:sz="4" w:space="0"/>
            </w:tcBorders>
            <w:vAlign w:val="center"/>
          </w:tcPr>
          <w:p w14:paraId="58906AD2">
            <w:pPr>
              <w:widowControl/>
              <w:spacing w:line="360" w:lineRule="auto"/>
              <w:rPr>
                <w:rFonts w:hint="eastAsia" w:ascii="宋体" w:hAnsi="宋体" w:cs="宋体"/>
                <w:color w:val="000000"/>
                <w:sz w:val="24"/>
              </w:rPr>
            </w:pPr>
            <w:r>
              <w:rPr>
                <w:rFonts w:hint="eastAsia" w:ascii="宋体" w:hAnsi="宋体" w:cs="宋体"/>
                <w:color w:val="000000"/>
                <w:sz w:val="24"/>
              </w:rPr>
              <w:t>83、新建≥1.5米长塑木栈道，方便人员进出，塑木板材厚度≥23mm，尺寸(长*宽)：1.5m*1m；</w:t>
            </w:r>
          </w:p>
        </w:tc>
        <w:tc>
          <w:tcPr>
            <w:tcW w:w="815" w:type="dxa"/>
            <w:vMerge w:val="continue"/>
            <w:tcBorders>
              <w:top w:val="nil"/>
              <w:left w:val="single" w:color="auto" w:sz="4" w:space="0"/>
              <w:bottom w:val="single" w:color="000000" w:sz="4" w:space="0"/>
              <w:right w:val="single" w:color="auto" w:sz="4" w:space="0"/>
            </w:tcBorders>
            <w:vAlign w:val="center"/>
          </w:tcPr>
          <w:p w14:paraId="375EEDD4">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4FD6BB4D">
            <w:pPr>
              <w:widowControl/>
              <w:spacing w:line="360" w:lineRule="auto"/>
              <w:jc w:val="left"/>
              <w:rPr>
                <w:rFonts w:hint="eastAsia" w:ascii="宋体" w:hAnsi="宋体" w:cs="宋体"/>
                <w:color w:val="000000"/>
                <w:sz w:val="24"/>
              </w:rPr>
            </w:pPr>
          </w:p>
        </w:tc>
      </w:tr>
      <w:tr w14:paraId="0A395449">
        <w:tblPrEx>
          <w:tblCellMar>
            <w:top w:w="0" w:type="dxa"/>
            <w:left w:w="108" w:type="dxa"/>
            <w:bottom w:w="0" w:type="dxa"/>
            <w:right w:w="108" w:type="dxa"/>
          </w:tblCellMar>
        </w:tblPrEx>
        <w:trPr>
          <w:trHeight w:val="453" w:hRule="atLeast"/>
        </w:trPr>
        <w:tc>
          <w:tcPr>
            <w:tcW w:w="14019" w:type="dxa"/>
            <w:gridSpan w:val="7"/>
            <w:tcBorders>
              <w:top w:val="single" w:color="auto" w:sz="4" w:space="0"/>
              <w:left w:val="single" w:color="auto" w:sz="4" w:space="0"/>
              <w:bottom w:val="single" w:color="auto" w:sz="4" w:space="0"/>
              <w:right w:val="single" w:color="000000" w:sz="4" w:space="0"/>
            </w:tcBorders>
            <w:noWrap/>
            <w:vAlign w:val="center"/>
          </w:tcPr>
          <w:p w14:paraId="4F339DCB">
            <w:pPr>
              <w:widowControl/>
              <w:spacing w:line="360" w:lineRule="auto"/>
              <w:jc w:val="left"/>
              <w:rPr>
                <w:rFonts w:hint="eastAsia" w:ascii="宋体" w:hAnsi="宋体" w:cs="宋体"/>
                <w:b/>
                <w:bCs/>
                <w:color w:val="000000"/>
                <w:sz w:val="24"/>
              </w:rPr>
            </w:pPr>
            <w:r>
              <w:rPr>
                <w:rFonts w:hint="eastAsia" w:ascii="宋体" w:hAnsi="宋体" w:cs="宋体"/>
                <w:b/>
                <w:bCs/>
                <w:color w:val="000000"/>
                <w:sz w:val="24"/>
              </w:rPr>
              <w:t>二、数字田间管理应用服务</w:t>
            </w:r>
          </w:p>
        </w:tc>
      </w:tr>
      <w:tr w14:paraId="7A0E34C5">
        <w:tblPrEx>
          <w:tblCellMar>
            <w:top w:w="0" w:type="dxa"/>
            <w:left w:w="108" w:type="dxa"/>
            <w:bottom w:w="0" w:type="dxa"/>
            <w:right w:w="108" w:type="dxa"/>
          </w:tblCellMar>
        </w:tblPrEx>
        <w:trPr>
          <w:trHeight w:val="1966" w:hRule="atLeast"/>
        </w:trPr>
        <w:tc>
          <w:tcPr>
            <w:tcW w:w="995" w:type="dxa"/>
            <w:vMerge w:val="restart"/>
            <w:tcBorders>
              <w:top w:val="nil"/>
              <w:left w:val="single" w:color="auto" w:sz="4" w:space="0"/>
              <w:bottom w:val="nil"/>
              <w:right w:val="nil"/>
            </w:tcBorders>
            <w:noWrap/>
            <w:vAlign w:val="center"/>
          </w:tcPr>
          <w:p w14:paraId="54631856">
            <w:pPr>
              <w:widowControl/>
              <w:spacing w:line="360" w:lineRule="auto"/>
              <w:jc w:val="center"/>
              <w:rPr>
                <w:rFonts w:hint="eastAsia" w:ascii="宋体" w:hAnsi="宋体" w:cs="宋体"/>
                <w:color w:val="000000"/>
                <w:sz w:val="24"/>
              </w:rPr>
            </w:pPr>
            <w:r>
              <w:rPr>
                <w:rFonts w:hint="eastAsia" w:ascii="宋体" w:hAnsi="宋体" w:cs="宋体"/>
                <w:color w:val="000000"/>
                <w:sz w:val="24"/>
              </w:rPr>
              <w:t>8</w:t>
            </w:r>
          </w:p>
        </w:tc>
        <w:tc>
          <w:tcPr>
            <w:tcW w:w="995" w:type="dxa"/>
            <w:tcBorders>
              <w:top w:val="nil"/>
              <w:left w:val="single" w:color="auto" w:sz="4" w:space="0"/>
              <w:bottom w:val="single" w:color="auto" w:sz="4" w:space="0"/>
              <w:right w:val="single" w:color="auto" w:sz="4" w:space="0"/>
            </w:tcBorders>
            <w:vAlign w:val="center"/>
          </w:tcPr>
          <w:p w14:paraId="78A96E56">
            <w:pPr>
              <w:widowControl/>
              <w:spacing w:line="360" w:lineRule="auto"/>
              <w:jc w:val="center"/>
              <w:rPr>
                <w:rFonts w:hint="eastAsia" w:ascii="宋体" w:hAnsi="宋体" w:cs="宋体"/>
                <w:color w:val="000000"/>
                <w:sz w:val="24"/>
              </w:rPr>
            </w:pPr>
            <w:r>
              <w:rPr>
                <w:rFonts w:hint="eastAsia" w:ascii="宋体" w:hAnsi="宋体" w:cs="宋体"/>
                <w:color w:val="000000"/>
                <w:sz w:val="24"/>
              </w:rPr>
              <w:t>基本功能</w:t>
            </w:r>
          </w:p>
          <w:p w14:paraId="16FAC3F1">
            <w:pPr>
              <w:widowControl/>
              <w:spacing w:line="360" w:lineRule="auto"/>
              <w:jc w:val="center"/>
              <w:rPr>
                <w:rFonts w:hint="eastAsia" w:ascii="宋体" w:hAnsi="宋体" w:cs="宋体"/>
                <w:color w:val="000000"/>
                <w:sz w:val="24"/>
              </w:rPr>
            </w:pPr>
          </w:p>
        </w:tc>
        <w:tc>
          <w:tcPr>
            <w:tcW w:w="10219" w:type="dxa"/>
            <w:gridSpan w:val="3"/>
            <w:tcBorders>
              <w:top w:val="single" w:color="auto" w:sz="4" w:space="0"/>
              <w:left w:val="nil"/>
              <w:bottom w:val="single" w:color="auto" w:sz="4" w:space="0"/>
              <w:right w:val="single" w:color="auto" w:sz="4" w:space="0"/>
            </w:tcBorders>
            <w:vAlign w:val="center"/>
          </w:tcPr>
          <w:p w14:paraId="2D3BC134">
            <w:pPr>
              <w:widowControl/>
              <w:spacing w:line="360" w:lineRule="auto"/>
              <w:jc w:val="left"/>
              <w:rPr>
                <w:rFonts w:hint="eastAsia" w:ascii="宋体" w:hAnsi="宋体" w:cs="宋体"/>
                <w:color w:val="000000"/>
                <w:sz w:val="24"/>
              </w:rPr>
            </w:pPr>
            <w:r>
              <w:rPr>
                <w:rFonts w:hint="eastAsia" w:ascii="宋体" w:hAnsi="宋体" w:cs="宋体"/>
                <w:color w:val="000000"/>
                <w:sz w:val="24"/>
              </w:rPr>
              <w:t>提供智慧农业整体解决方案：</w:t>
            </w:r>
            <w:r>
              <w:rPr>
                <w:rFonts w:hint="eastAsia" w:ascii="宋体" w:hAnsi="宋体" w:cs="宋体"/>
                <w:color w:val="000000"/>
                <w:sz w:val="24"/>
              </w:rPr>
              <w:br w:type="textWrapping"/>
            </w:r>
            <w:r>
              <w:rPr>
                <w:rFonts w:hint="eastAsia" w:ascii="宋体" w:hAnsi="宋体" w:cs="宋体"/>
                <w:color w:val="000000"/>
                <w:sz w:val="24"/>
              </w:rPr>
              <w:t>84、通过PC端对农场地块区域范围、地块分布、设备分布等情况进行展示；</w:t>
            </w:r>
            <w:r>
              <w:rPr>
                <w:rFonts w:hint="eastAsia" w:ascii="宋体" w:hAnsi="宋体" w:cs="宋体"/>
                <w:color w:val="000000"/>
                <w:sz w:val="24"/>
              </w:rPr>
              <w:br w:type="textWrapping"/>
            </w:r>
            <w:r>
              <w:rPr>
                <w:rFonts w:hint="eastAsia" w:ascii="宋体" w:hAnsi="宋体" w:cs="宋体"/>
                <w:color w:val="000000"/>
                <w:sz w:val="24"/>
              </w:rPr>
              <w:t>85、实时监测现场气象、土壤墒情、病虫情、苗情等数据，并可通过数字模型进行数据分析与预警；</w:t>
            </w:r>
            <w:r>
              <w:rPr>
                <w:rFonts w:hint="eastAsia" w:ascii="宋体" w:hAnsi="宋体" w:cs="宋体"/>
                <w:color w:val="000000"/>
                <w:sz w:val="24"/>
              </w:rPr>
              <w:br w:type="textWrapping"/>
            </w:r>
            <w:r>
              <w:rPr>
                <w:rFonts w:hint="eastAsia" w:ascii="宋体" w:hAnsi="宋体" w:cs="宋体"/>
                <w:color w:val="000000"/>
                <w:sz w:val="24"/>
              </w:rPr>
              <w:t>86、可实现远程控制，调整环境状态，为作物创造适宜的生长环境（预留相关控制模块）；</w:t>
            </w:r>
            <w:r>
              <w:rPr>
                <w:rFonts w:hint="eastAsia" w:ascii="宋体" w:hAnsi="宋体" w:cs="宋体"/>
                <w:color w:val="000000"/>
                <w:sz w:val="24"/>
              </w:rPr>
              <w:br w:type="textWrapping"/>
            </w:r>
            <w:r>
              <w:rPr>
                <w:rFonts w:hint="eastAsia" w:ascii="宋体" w:hAnsi="宋体" w:cs="宋体"/>
                <w:color w:val="000000"/>
                <w:sz w:val="24"/>
              </w:rPr>
              <w:t>▲87、基于作物生长模型，在关键农事节点，根据历史数据和实时监测信息，通过小程序、短信等形式提供实时预警信息。支持用户自定义播种、施肥等农事计划，结合气象数据提供任务预警提醒，方便农户快速参考与执行。系统须采用模块化架构设计，提供开放API接口供二次开发。</w:t>
            </w:r>
          </w:p>
          <w:p w14:paraId="686FBAC2">
            <w:pPr>
              <w:widowControl/>
              <w:spacing w:line="360" w:lineRule="auto"/>
              <w:jc w:val="left"/>
              <w:rPr>
                <w:rFonts w:hint="eastAsia" w:ascii="宋体" w:hAnsi="宋体" w:cs="宋体"/>
                <w:color w:val="000000"/>
                <w:sz w:val="24"/>
              </w:rPr>
            </w:pPr>
            <w:r>
              <w:rPr>
                <w:rFonts w:hint="eastAsia" w:ascii="宋体" w:hAnsi="宋体" w:cs="宋体"/>
                <w:color w:val="000000"/>
                <w:sz w:val="24"/>
              </w:rPr>
              <w:t>88、无人机飞控：通过平台支持对无人机的远程操作，可手动操作无人机的飞行方向、速度、悬停、拍照，可查看无人机实时数据，包含实时监测画面、飞行距离、飞行高度、经纬度、电池状态。</w:t>
            </w:r>
          </w:p>
          <w:p w14:paraId="215CA0A3">
            <w:pPr>
              <w:widowControl/>
              <w:spacing w:line="360" w:lineRule="auto"/>
              <w:jc w:val="left"/>
              <w:rPr>
                <w:rFonts w:hint="eastAsia" w:ascii="宋体" w:hAnsi="宋体" w:cs="宋体"/>
                <w:color w:val="000000"/>
                <w:sz w:val="24"/>
              </w:rPr>
            </w:pPr>
            <w:r>
              <w:rPr>
                <w:rFonts w:hint="eastAsia" w:ascii="宋体" w:hAnsi="宋体" w:cs="宋体"/>
                <w:color w:val="000000"/>
                <w:sz w:val="24"/>
              </w:rPr>
              <w:t>89、作业合规监测：利用无人机对收割机作业进行巡查，通过算法识别留茬高度是否合规，对不合规的区域进行异常预警，及时发现违规操作。</w:t>
            </w:r>
          </w:p>
          <w:p w14:paraId="798B3FDD">
            <w:pPr>
              <w:widowControl/>
              <w:spacing w:line="360" w:lineRule="auto"/>
              <w:jc w:val="left"/>
              <w:rPr>
                <w:rFonts w:hint="eastAsia" w:ascii="宋体" w:hAnsi="宋体" w:cs="宋体"/>
                <w:color w:val="000000"/>
                <w:sz w:val="24"/>
              </w:rPr>
            </w:pPr>
            <w:r>
              <w:rPr>
                <w:rFonts w:hint="eastAsia" w:ascii="宋体" w:hAnsi="宋体" w:cs="宋体"/>
                <w:color w:val="000000"/>
                <w:sz w:val="24"/>
              </w:rPr>
              <w:t>90、收获进度分析：定期航拍获取农田影像，结合多光谱数据自动标注已收、未收区域，生成可视化热力图，统计收获占比。</w:t>
            </w:r>
          </w:p>
        </w:tc>
        <w:tc>
          <w:tcPr>
            <w:tcW w:w="815" w:type="dxa"/>
            <w:vMerge w:val="restart"/>
            <w:tcBorders>
              <w:top w:val="nil"/>
              <w:left w:val="single" w:color="auto" w:sz="4" w:space="0"/>
              <w:bottom w:val="single" w:color="000000" w:sz="4" w:space="0"/>
              <w:right w:val="single" w:color="auto" w:sz="4" w:space="0"/>
            </w:tcBorders>
            <w:vAlign w:val="center"/>
          </w:tcPr>
          <w:p w14:paraId="6E1DF965">
            <w:pPr>
              <w:widowControl/>
              <w:spacing w:line="360" w:lineRule="auto"/>
              <w:jc w:val="center"/>
              <w:rPr>
                <w:rFonts w:hint="eastAsia" w:ascii="宋体" w:hAnsi="宋体" w:cs="宋体"/>
                <w:color w:val="000000"/>
                <w:sz w:val="24"/>
              </w:rPr>
            </w:pPr>
            <w:r>
              <w:rPr>
                <w:rFonts w:hint="eastAsia" w:ascii="宋体" w:hAnsi="宋体" w:cs="宋体"/>
                <w:color w:val="000000"/>
                <w:sz w:val="24"/>
              </w:rPr>
              <w:t>1</w:t>
            </w:r>
          </w:p>
        </w:tc>
        <w:tc>
          <w:tcPr>
            <w:tcW w:w="995" w:type="dxa"/>
            <w:vMerge w:val="restart"/>
            <w:tcBorders>
              <w:top w:val="nil"/>
              <w:left w:val="single" w:color="auto" w:sz="4" w:space="0"/>
              <w:bottom w:val="single" w:color="000000" w:sz="4" w:space="0"/>
              <w:right w:val="single" w:color="auto" w:sz="4" w:space="0"/>
            </w:tcBorders>
            <w:vAlign w:val="center"/>
          </w:tcPr>
          <w:p w14:paraId="0EF57821">
            <w:pPr>
              <w:widowControl/>
              <w:spacing w:line="360" w:lineRule="auto"/>
              <w:jc w:val="center"/>
              <w:rPr>
                <w:rFonts w:hint="eastAsia" w:ascii="宋体" w:hAnsi="宋体" w:cs="宋体"/>
                <w:color w:val="000000"/>
                <w:sz w:val="24"/>
              </w:rPr>
            </w:pPr>
            <w:r>
              <w:rPr>
                <w:rFonts w:hint="eastAsia" w:ascii="宋体" w:hAnsi="宋体" w:cs="宋体"/>
                <w:color w:val="000000"/>
                <w:sz w:val="24"/>
              </w:rPr>
              <w:t>套</w:t>
            </w:r>
          </w:p>
        </w:tc>
      </w:tr>
      <w:tr w14:paraId="33D555B0">
        <w:tblPrEx>
          <w:tblCellMar>
            <w:top w:w="0" w:type="dxa"/>
            <w:left w:w="108" w:type="dxa"/>
            <w:bottom w:w="0" w:type="dxa"/>
            <w:right w:w="108" w:type="dxa"/>
          </w:tblCellMar>
        </w:tblPrEx>
        <w:trPr>
          <w:trHeight w:val="2228" w:hRule="atLeast"/>
        </w:trPr>
        <w:tc>
          <w:tcPr>
            <w:tcW w:w="995" w:type="dxa"/>
            <w:vMerge w:val="continue"/>
            <w:tcBorders>
              <w:top w:val="nil"/>
              <w:left w:val="single" w:color="auto" w:sz="4" w:space="0"/>
              <w:bottom w:val="nil"/>
              <w:right w:val="nil"/>
            </w:tcBorders>
            <w:vAlign w:val="center"/>
          </w:tcPr>
          <w:p w14:paraId="0E0B5EE8">
            <w:pPr>
              <w:widowControl/>
              <w:spacing w:line="360" w:lineRule="auto"/>
              <w:jc w:val="left"/>
              <w:rPr>
                <w:rFonts w:hint="eastAsia" w:ascii="宋体" w:hAnsi="宋体" w:cs="宋体"/>
                <w:color w:val="000000"/>
                <w:sz w:val="24"/>
              </w:rPr>
            </w:pPr>
          </w:p>
        </w:tc>
        <w:tc>
          <w:tcPr>
            <w:tcW w:w="995" w:type="dxa"/>
            <w:vMerge w:val="restart"/>
            <w:tcBorders>
              <w:top w:val="nil"/>
              <w:left w:val="single" w:color="auto" w:sz="4" w:space="0"/>
              <w:bottom w:val="nil"/>
              <w:right w:val="single" w:color="auto" w:sz="4" w:space="0"/>
            </w:tcBorders>
            <w:vAlign w:val="center"/>
          </w:tcPr>
          <w:p w14:paraId="6544AF23">
            <w:pPr>
              <w:widowControl/>
              <w:spacing w:line="360" w:lineRule="auto"/>
              <w:jc w:val="center"/>
              <w:rPr>
                <w:rFonts w:hint="eastAsia" w:ascii="宋体" w:hAnsi="宋体" w:cs="宋体"/>
                <w:color w:val="000000"/>
                <w:sz w:val="24"/>
              </w:rPr>
            </w:pPr>
            <w:r>
              <w:rPr>
                <w:rFonts w:hint="eastAsia" w:ascii="宋体" w:hAnsi="宋体" w:cs="宋体"/>
                <w:color w:val="000000"/>
                <w:sz w:val="24"/>
              </w:rPr>
              <w:t>主要模块</w:t>
            </w:r>
          </w:p>
        </w:tc>
        <w:tc>
          <w:tcPr>
            <w:tcW w:w="10219" w:type="dxa"/>
            <w:gridSpan w:val="3"/>
            <w:tcBorders>
              <w:top w:val="single" w:color="auto" w:sz="4" w:space="0"/>
              <w:left w:val="nil"/>
              <w:bottom w:val="single" w:color="auto" w:sz="4" w:space="0"/>
              <w:right w:val="single" w:color="000000" w:sz="4" w:space="0"/>
            </w:tcBorders>
            <w:vAlign w:val="center"/>
          </w:tcPr>
          <w:p w14:paraId="16FFCF26">
            <w:pPr>
              <w:widowControl/>
              <w:spacing w:line="360" w:lineRule="auto"/>
              <w:jc w:val="left"/>
              <w:rPr>
                <w:rFonts w:hint="eastAsia" w:ascii="宋体" w:hAnsi="宋体" w:cs="宋体"/>
                <w:color w:val="000000"/>
                <w:sz w:val="24"/>
              </w:rPr>
            </w:pPr>
            <w:r>
              <w:rPr>
                <w:rFonts w:hint="eastAsia" w:ascii="宋体" w:hAnsi="宋体" w:cs="宋体"/>
                <w:color w:val="000000"/>
                <w:sz w:val="24"/>
              </w:rPr>
              <w:t>91、自然灾害预警系统：系统应实时对接国家气象局降水、风速、温度等核心气象要素数据，建立基于历史灾情数据的智能评估模型，动态生成分灾种、分等级的预警信息，并通过可视化任务编排工具自动生成包含短信预警应急响应序列，支持APP/短信/微信小程序等多通道一键下发至农户及管理部门。系统兼容LoRaWAN/NB-IoT等物联网协议，可直接控制田间灌溉设备、环境调控装置，并集成无人机巡查模块实现灾情实时影像采集与AI识别</w:t>
            </w:r>
          </w:p>
        </w:tc>
        <w:tc>
          <w:tcPr>
            <w:tcW w:w="815" w:type="dxa"/>
            <w:vMerge w:val="continue"/>
            <w:tcBorders>
              <w:top w:val="nil"/>
              <w:left w:val="single" w:color="auto" w:sz="4" w:space="0"/>
              <w:bottom w:val="single" w:color="000000" w:sz="4" w:space="0"/>
              <w:right w:val="single" w:color="auto" w:sz="4" w:space="0"/>
            </w:tcBorders>
            <w:vAlign w:val="center"/>
          </w:tcPr>
          <w:p w14:paraId="6EBA9AD3">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07D28F6F">
            <w:pPr>
              <w:widowControl/>
              <w:spacing w:line="360" w:lineRule="auto"/>
              <w:jc w:val="left"/>
              <w:rPr>
                <w:rFonts w:hint="eastAsia" w:ascii="宋体" w:hAnsi="宋体" w:cs="宋体"/>
                <w:color w:val="000000"/>
                <w:sz w:val="24"/>
              </w:rPr>
            </w:pPr>
          </w:p>
        </w:tc>
      </w:tr>
      <w:tr w14:paraId="673FCEFB">
        <w:tblPrEx>
          <w:tblCellMar>
            <w:top w:w="0" w:type="dxa"/>
            <w:left w:w="108" w:type="dxa"/>
            <w:bottom w:w="0" w:type="dxa"/>
            <w:right w:w="108" w:type="dxa"/>
          </w:tblCellMar>
        </w:tblPrEx>
        <w:trPr>
          <w:trHeight w:val="832" w:hRule="atLeast"/>
        </w:trPr>
        <w:tc>
          <w:tcPr>
            <w:tcW w:w="995" w:type="dxa"/>
            <w:vMerge w:val="continue"/>
            <w:tcBorders>
              <w:top w:val="nil"/>
              <w:left w:val="single" w:color="auto" w:sz="4" w:space="0"/>
              <w:bottom w:val="nil"/>
              <w:right w:val="nil"/>
            </w:tcBorders>
            <w:vAlign w:val="center"/>
          </w:tcPr>
          <w:p w14:paraId="1A451BE7">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nil"/>
              <w:right w:val="single" w:color="auto" w:sz="4" w:space="0"/>
            </w:tcBorders>
            <w:vAlign w:val="center"/>
          </w:tcPr>
          <w:p w14:paraId="684C3406">
            <w:pPr>
              <w:widowControl/>
              <w:spacing w:line="360" w:lineRule="auto"/>
              <w:jc w:val="left"/>
              <w:rPr>
                <w:rFonts w:hint="eastAsia" w:ascii="宋体" w:hAnsi="宋体" w:cs="宋体"/>
                <w:color w:val="000000"/>
                <w:sz w:val="24"/>
              </w:rPr>
            </w:pPr>
          </w:p>
        </w:tc>
        <w:tc>
          <w:tcPr>
            <w:tcW w:w="10219" w:type="dxa"/>
            <w:gridSpan w:val="3"/>
            <w:tcBorders>
              <w:top w:val="single" w:color="auto" w:sz="4" w:space="0"/>
              <w:left w:val="nil"/>
              <w:bottom w:val="single" w:color="auto" w:sz="4" w:space="0"/>
              <w:right w:val="single" w:color="000000" w:sz="4" w:space="0"/>
            </w:tcBorders>
            <w:vAlign w:val="center"/>
          </w:tcPr>
          <w:p w14:paraId="4E74B27B">
            <w:pPr>
              <w:widowControl/>
              <w:spacing w:line="360" w:lineRule="auto"/>
              <w:jc w:val="left"/>
              <w:rPr>
                <w:rFonts w:hint="eastAsia" w:ascii="宋体" w:hAnsi="宋体" w:cs="宋体"/>
                <w:sz w:val="24"/>
              </w:rPr>
            </w:pPr>
            <w:r>
              <w:rPr>
                <w:rFonts w:hint="eastAsia" w:ascii="宋体" w:hAnsi="宋体" w:cs="宋体"/>
                <w:sz w:val="24"/>
              </w:rPr>
              <w:t>92、土壤检测分析系统：利用土壤传感器，对土壤水分、温度进行实时监测，留有采集土壤盐分含量、热通量、PH值、EC值数据接口，并进行统计分析。运用数据挖掘技术建立模型，可预测出设备覆盖区域的未来摘情走势。可根据设备传感器数据，采用数据模型算法，对各层土壤水分消耗占比情况分析，自动数据分析判断作物根系生长触及深度及需水灌溉时长分析。可根据每日气象数据（最高最低温度、最高最低湿度、风速、经纬度、海拔等）、作物信息（各生育周期及对应的基础KC系数）、土壤信息（田间持水量、土水含量）、降水和灌溉信息等，来预测每日的作物参考作物蒸腾量（ETO）每日的作物蒸腾量，未来土壤含水量的预测，缺水时的需灌水量。</w:t>
            </w:r>
          </w:p>
        </w:tc>
        <w:tc>
          <w:tcPr>
            <w:tcW w:w="815" w:type="dxa"/>
            <w:vMerge w:val="continue"/>
            <w:tcBorders>
              <w:top w:val="nil"/>
              <w:left w:val="single" w:color="auto" w:sz="4" w:space="0"/>
              <w:bottom w:val="single" w:color="000000" w:sz="4" w:space="0"/>
              <w:right w:val="single" w:color="auto" w:sz="4" w:space="0"/>
            </w:tcBorders>
            <w:vAlign w:val="center"/>
          </w:tcPr>
          <w:p w14:paraId="6DEFEC87">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2851DAB3">
            <w:pPr>
              <w:widowControl/>
              <w:spacing w:line="360" w:lineRule="auto"/>
              <w:jc w:val="left"/>
              <w:rPr>
                <w:rFonts w:hint="eastAsia" w:ascii="宋体" w:hAnsi="宋体" w:cs="宋体"/>
                <w:color w:val="000000"/>
                <w:sz w:val="24"/>
              </w:rPr>
            </w:pPr>
          </w:p>
        </w:tc>
      </w:tr>
      <w:tr w14:paraId="6A4B0B2E">
        <w:tblPrEx>
          <w:tblCellMar>
            <w:top w:w="0" w:type="dxa"/>
            <w:left w:w="108" w:type="dxa"/>
            <w:bottom w:w="0" w:type="dxa"/>
            <w:right w:w="108" w:type="dxa"/>
          </w:tblCellMar>
        </w:tblPrEx>
        <w:trPr>
          <w:trHeight w:val="897" w:hRule="atLeast"/>
        </w:trPr>
        <w:tc>
          <w:tcPr>
            <w:tcW w:w="995" w:type="dxa"/>
            <w:vMerge w:val="continue"/>
            <w:tcBorders>
              <w:top w:val="nil"/>
              <w:left w:val="single" w:color="auto" w:sz="4" w:space="0"/>
              <w:bottom w:val="nil"/>
              <w:right w:val="nil"/>
            </w:tcBorders>
            <w:vAlign w:val="center"/>
          </w:tcPr>
          <w:p w14:paraId="15F457BE">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nil"/>
              <w:right w:val="single" w:color="auto" w:sz="4" w:space="0"/>
            </w:tcBorders>
            <w:vAlign w:val="center"/>
          </w:tcPr>
          <w:p w14:paraId="59D6BE5B">
            <w:pPr>
              <w:widowControl/>
              <w:spacing w:line="360" w:lineRule="auto"/>
              <w:jc w:val="left"/>
              <w:rPr>
                <w:rFonts w:hint="eastAsia" w:ascii="宋体" w:hAnsi="宋体" w:cs="宋体"/>
                <w:color w:val="000000"/>
                <w:sz w:val="24"/>
              </w:rPr>
            </w:pPr>
          </w:p>
        </w:tc>
        <w:tc>
          <w:tcPr>
            <w:tcW w:w="10219" w:type="dxa"/>
            <w:gridSpan w:val="3"/>
            <w:tcBorders>
              <w:top w:val="single" w:color="auto" w:sz="4" w:space="0"/>
              <w:left w:val="nil"/>
              <w:bottom w:val="single" w:color="auto" w:sz="4" w:space="0"/>
              <w:right w:val="single" w:color="000000" w:sz="4" w:space="0"/>
            </w:tcBorders>
            <w:vAlign w:val="center"/>
          </w:tcPr>
          <w:p w14:paraId="1E519AF4">
            <w:pPr>
              <w:widowControl/>
              <w:spacing w:line="360" w:lineRule="auto"/>
              <w:jc w:val="left"/>
              <w:rPr>
                <w:rFonts w:hint="eastAsia" w:ascii="宋体" w:hAnsi="宋体" w:cs="宋体"/>
                <w:color w:val="000000"/>
                <w:sz w:val="24"/>
              </w:rPr>
            </w:pPr>
            <w:r>
              <w:rPr>
                <w:rFonts w:hint="eastAsia" w:ascii="宋体" w:hAnsi="宋体" w:cs="宋体"/>
                <w:color w:val="000000"/>
                <w:sz w:val="24"/>
              </w:rPr>
              <w:t>93、病虫害检测系统：基于无人机遥感采样和病虫害监测站的病虫害情监测体系，通过多时相无人机影像采集与AI识别分析，获取主要病虫害的空间分布特征与虫口密度水平。</w:t>
            </w:r>
          </w:p>
        </w:tc>
        <w:tc>
          <w:tcPr>
            <w:tcW w:w="815" w:type="dxa"/>
            <w:vMerge w:val="continue"/>
            <w:tcBorders>
              <w:top w:val="nil"/>
              <w:left w:val="single" w:color="auto" w:sz="4" w:space="0"/>
              <w:bottom w:val="single" w:color="000000" w:sz="4" w:space="0"/>
              <w:right w:val="single" w:color="auto" w:sz="4" w:space="0"/>
            </w:tcBorders>
            <w:vAlign w:val="center"/>
          </w:tcPr>
          <w:p w14:paraId="3BB239B7">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3F5CE85D">
            <w:pPr>
              <w:widowControl/>
              <w:spacing w:line="360" w:lineRule="auto"/>
              <w:jc w:val="left"/>
              <w:rPr>
                <w:rFonts w:hint="eastAsia" w:ascii="宋体" w:hAnsi="宋体" w:cs="宋体"/>
                <w:color w:val="000000"/>
                <w:sz w:val="24"/>
              </w:rPr>
            </w:pPr>
          </w:p>
        </w:tc>
      </w:tr>
      <w:tr w14:paraId="0018A662">
        <w:tblPrEx>
          <w:tblCellMar>
            <w:top w:w="0" w:type="dxa"/>
            <w:left w:w="108" w:type="dxa"/>
            <w:bottom w:w="0" w:type="dxa"/>
            <w:right w:w="108" w:type="dxa"/>
          </w:tblCellMar>
        </w:tblPrEx>
        <w:trPr>
          <w:trHeight w:val="897" w:hRule="atLeast"/>
        </w:trPr>
        <w:tc>
          <w:tcPr>
            <w:tcW w:w="995" w:type="dxa"/>
            <w:vMerge w:val="continue"/>
            <w:tcBorders>
              <w:top w:val="nil"/>
              <w:left w:val="single" w:color="auto" w:sz="4" w:space="0"/>
              <w:bottom w:val="nil"/>
              <w:right w:val="nil"/>
            </w:tcBorders>
            <w:vAlign w:val="center"/>
          </w:tcPr>
          <w:p w14:paraId="5BF8C3EB">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nil"/>
              <w:right w:val="single" w:color="auto" w:sz="4" w:space="0"/>
            </w:tcBorders>
            <w:vAlign w:val="center"/>
          </w:tcPr>
          <w:p w14:paraId="7180F0E6">
            <w:pPr>
              <w:widowControl/>
              <w:spacing w:line="360" w:lineRule="auto"/>
              <w:jc w:val="left"/>
              <w:rPr>
                <w:rFonts w:hint="eastAsia" w:ascii="宋体" w:hAnsi="宋体" w:cs="宋体"/>
                <w:color w:val="000000"/>
                <w:sz w:val="24"/>
              </w:rPr>
            </w:pPr>
          </w:p>
        </w:tc>
        <w:tc>
          <w:tcPr>
            <w:tcW w:w="10219" w:type="dxa"/>
            <w:gridSpan w:val="3"/>
            <w:tcBorders>
              <w:top w:val="single" w:color="auto" w:sz="4" w:space="0"/>
              <w:left w:val="nil"/>
              <w:bottom w:val="single" w:color="auto" w:sz="4" w:space="0"/>
              <w:right w:val="single" w:color="000000" w:sz="4" w:space="0"/>
            </w:tcBorders>
            <w:vAlign w:val="center"/>
          </w:tcPr>
          <w:p w14:paraId="7AA6A249">
            <w:pPr>
              <w:widowControl/>
              <w:spacing w:line="360" w:lineRule="auto"/>
              <w:jc w:val="left"/>
              <w:rPr>
                <w:rFonts w:hint="eastAsia" w:ascii="宋体" w:hAnsi="宋体" w:cs="宋体"/>
                <w:color w:val="000000"/>
                <w:sz w:val="24"/>
              </w:rPr>
            </w:pPr>
            <w:r>
              <w:rPr>
                <w:rFonts w:ascii="宋体" w:hAnsi="宋体" w:cs="宋体"/>
                <w:color w:val="000000"/>
                <w:sz w:val="24"/>
              </w:rPr>
              <w:t>▲</w:t>
            </w:r>
            <w:r>
              <w:rPr>
                <w:rFonts w:hint="eastAsia" w:ascii="宋体" w:hAnsi="宋体" w:cs="宋体"/>
                <w:color w:val="000000"/>
                <w:sz w:val="24"/>
              </w:rPr>
              <w:t>94、苗情分析系统 ：</w:t>
            </w:r>
          </w:p>
          <w:p w14:paraId="65ACB8BD">
            <w:pPr>
              <w:widowControl/>
              <w:spacing w:line="360" w:lineRule="auto"/>
              <w:jc w:val="left"/>
              <w:rPr>
                <w:rFonts w:hint="eastAsia" w:ascii="宋体" w:hAnsi="宋体" w:cs="宋体"/>
                <w:color w:val="000000"/>
                <w:sz w:val="24"/>
              </w:rPr>
            </w:pPr>
            <w:r>
              <w:rPr>
                <w:rFonts w:hint="eastAsia" w:ascii="宋体" w:hAnsi="宋体" w:cs="宋体"/>
                <w:color w:val="000000"/>
                <w:sz w:val="24"/>
              </w:rPr>
              <w:t>利用无人机搭载多光谱相机，结合田间高清鹰眼摄像头，可自动快速高效地获取作物生长参数，并通过耦台嵌入在地面端。运用作物生长诊断调控模型，实施监测，可视化展示长势数据，分析NDVI图，提供长势分析结果。</w:t>
            </w:r>
          </w:p>
          <w:p w14:paraId="2E380BFE">
            <w:pPr>
              <w:widowControl/>
              <w:spacing w:line="360" w:lineRule="auto"/>
              <w:jc w:val="left"/>
              <w:rPr>
                <w:rFonts w:hint="eastAsia" w:ascii="宋体" w:hAnsi="宋体" w:cs="宋体"/>
                <w:color w:val="000000"/>
                <w:sz w:val="24"/>
              </w:rPr>
            </w:pPr>
            <w:r>
              <w:rPr>
                <w:rFonts w:hint="eastAsia" w:ascii="宋体" w:hAnsi="宋体" w:cs="宋体"/>
                <w:color w:val="000000"/>
                <w:sz w:val="24"/>
              </w:rPr>
              <w:t>出苗分析：通过无人机巡田记录，可以分析作物出苗率，为补苗补肥做生产依据。</w:t>
            </w:r>
            <w:r>
              <w:rPr>
                <w:rFonts w:hint="eastAsia" w:ascii="宋体" w:hAnsi="宋体" w:cs="宋体"/>
                <w:color w:val="000000"/>
                <w:sz w:val="24"/>
              </w:rPr>
              <w:br w:type="textWrapping"/>
            </w:r>
            <w:r>
              <w:rPr>
                <w:rFonts w:hint="eastAsia" w:ascii="宋体" w:hAnsi="宋体" w:cs="宋体"/>
                <w:color w:val="000000"/>
                <w:sz w:val="24"/>
              </w:rPr>
              <w:t>倒伏分析：通过智慧农业机场巡田，可以对倒伏区域进行标注，倒伏面积进行测量。支持对险情进行新建和分类，如倒伏等场景的识别和分类，支持对自定义的险情进行自动化预警，并通过手机端和Web端提醒，航线巡检（可见光+多光谱），AI识别倒伏区域标记并测算损失率。</w:t>
            </w:r>
            <w:r>
              <w:rPr>
                <w:rFonts w:hint="eastAsia" w:ascii="宋体" w:hAnsi="宋体" w:cs="宋体"/>
                <w:color w:val="000000"/>
                <w:sz w:val="24"/>
              </w:rPr>
              <w:br w:type="textWrapping"/>
            </w:r>
            <w:r>
              <w:rPr>
                <w:rFonts w:hint="eastAsia" w:ascii="宋体" w:hAnsi="宋体" w:cs="宋体"/>
                <w:color w:val="000000"/>
                <w:sz w:val="24"/>
              </w:rPr>
              <w:t>精准种植：结合长势分析、病虫害预警、气象土壤等多重因素，生成适用于农田生长状况的处方图，指导植保无人机、灌排水等设备进行相关操作。增设农事日历模块。</w:t>
            </w:r>
            <w:r>
              <w:rPr>
                <w:rFonts w:hint="eastAsia" w:ascii="宋体" w:hAnsi="宋体" w:cs="宋体"/>
                <w:color w:val="000000"/>
                <w:sz w:val="24"/>
              </w:rPr>
              <w:br w:type="textWrapping"/>
            </w:r>
            <w:r>
              <w:rPr>
                <w:rFonts w:hint="eastAsia" w:ascii="宋体" w:hAnsi="宋体" w:cs="宋体"/>
                <w:color w:val="000000"/>
                <w:sz w:val="24"/>
              </w:rPr>
              <w:t>测产分析：通过无人机巡田记录，可以给作物进行产量预测，可以识别单位面积穗数，通过穗数和千粒重得出亩产预估数据。</w:t>
            </w:r>
          </w:p>
        </w:tc>
        <w:tc>
          <w:tcPr>
            <w:tcW w:w="815" w:type="dxa"/>
            <w:vMerge w:val="continue"/>
            <w:tcBorders>
              <w:top w:val="nil"/>
              <w:left w:val="single" w:color="auto" w:sz="4" w:space="0"/>
              <w:bottom w:val="single" w:color="000000" w:sz="4" w:space="0"/>
              <w:right w:val="single" w:color="auto" w:sz="4" w:space="0"/>
            </w:tcBorders>
            <w:vAlign w:val="center"/>
          </w:tcPr>
          <w:p w14:paraId="3730E73D">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6A23F270">
            <w:pPr>
              <w:widowControl/>
              <w:spacing w:line="360" w:lineRule="auto"/>
              <w:jc w:val="left"/>
              <w:rPr>
                <w:rFonts w:hint="eastAsia" w:ascii="宋体" w:hAnsi="宋体" w:cs="宋体"/>
                <w:color w:val="000000"/>
                <w:sz w:val="24"/>
              </w:rPr>
            </w:pPr>
          </w:p>
        </w:tc>
      </w:tr>
      <w:tr w14:paraId="6DC16B9F">
        <w:tblPrEx>
          <w:tblCellMar>
            <w:top w:w="0" w:type="dxa"/>
            <w:left w:w="108" w:type="dxa"/>
            <w:bottom w:w="0" w:type="dxa"/>
            <w:right w:w="108" w:type="dxa"/>
          </w:tblCellMar>
        </w:tblPrEx>
        <w:trPr>
          <w:trHeight w:val="1340" w:hRule="atLeast"/>
        </w:trPr>
        <w:tc>
          <w:tcPr>
            <w:tcW w:w="995" w:type="dxa"/>
            <w:vMerge w:val="continue"/>
            <w:tcBorders>
              <w:top w:val="nil"/>
              <w:left w:val="single" w:color="auto" w:sz="4" w:space="0"/>
              <w:bottom w:val="nil"/>
              <w:right w:val="nil"/>
            </w:tcBorders>
            <w:vAlign w:val="center"/>
          </w:tcPr>
          <w:p w14:paraId="4CB39C19">
            <w:pPr>
              <w:widowControl/>
              <w:spacing w:line="360" w:lineRule="auto"/>
              <w:jc w:val="left"/>
              <w:rPr>
                <w:rFonts w:hint="eastAsia" w:ascii="宋体" w:hAnsi="宋体" w:cs="宋体"/>
                <w:color w:val="000000"/>
                <w:sz w:val="24"/>
              </w:rPr>
            </w:pPr>
          </w:p>
        </w:tc>
        <w:tc>
          <w:tcPr>
            <w:tcW w:w="995" w:type="dxa"/>
            <w:tcBorders>
              <w:top w:val="single" w:color="auto" w:sz="4" w:space="0"/>
              <w:left w:val="single" w:color="auto" w:sz="4" w:space="0"/>
              <w:bottom w:val="single" w:color="auto" w:sz="4" w:space="0"/>
              <w:right w:val="single" w:color="auto" w:sz="4" w:space="0"/>
            </w:tcBorders>
            <w:vAlign w:val="center"/>
          </w:tcPr>
          <w:p w14:paraId="21784227">
            <w:pPr>
              <w:widowControl/>
              <w:spacing w:line="360" w:lineRule="auto"/>
              <w:jc w:val="left"/>
              <w:rPr>
                <w:rFonts w:hint="eastAsia" w:ascii="宋体" w:hAnsi="宋体" w:cs="宋体"/>
                <w:color w:val="000000"/>
                <w:sz w:val="24"/>
              </w:rPr>
            </w:pPr>
            <w:r>
              <w:rPr>
                <w:rFonts w:hint="eastAsia" w:ascii="宋体" w:hAnsi="宋体" w:cs="宋体"/>
                <w:color w:val="000000"/>
                <w:sz w:val="24"/>
              </w:rPr>
              <w:t>知识产权</w:t>
            </w:r>
          </w:p>
        </w:tc>
        <w:tc>
          <w:tcPr>
            <w:tcW w:w="10219" w:type="dxa"/>
            <w:gridSpan w:val="3"/>
            <w:tcBorders>
              <w:top w:val="single" w:color="auto" w:sz="4" w:space="0"/>
              <w:left w:val="nil"/>
              <w:bottom w:val="single" w:color="auto" w:sz="4" w:space="0"/>
              <w:right w:val="single" w:color="000000" w:sz="4" w:space="0"/>
            </w:tcBorders>
            <w:vAlign w:val="center"/>
          </w:tcPr>
          <w:p w14:paraId="1D8E95D5">
            <w:pPr>
              <w:widowControl/>
              <w:spacing w:line="360" w:lineRule="auto"/>
              <w:jc w:val="left"/>
              <w:rPr>
                <w:rFonts w:hint="eastAsia" w:ascii="宋体" w:hAnsi="宋体" w:cs="宋体"/>
                <w:color w:val="000000"/>
                <w:sz w:val="24"/>
              </w:rPr>
            </w:pPr>
            <w:r>
              <w:rPr>
                <w:rFonts w:hint="eastAsia" w:ascii="宋体" w:hAnsi="宋体" w:cs="宋体"/>
                <w:color w:val="000000"/>
                <w:sz w:val="24"/>
              </w:rPr>
              <w:t>95、若软著权利人为第三方（需同步提交股权关系或合作证明文件），则须提供第三方出具的加盖公章的《知识产权授权使用声明》原件扫描件。</w:t>
            </w:r>
          </w:p>
        </w:tc>
        <w:tc>
          <w:tcPr>
            <w:tcW w:w="815" w:type="dxa"/>
            <w:vMerge w:val="continue"/>
            <w:tcBorders>
              <w:top w:val="nil"/>
              <w:left w:val="single" w:color="auto" w:sz="4" w:space="0"/>
              <w:bottom w:val="single" w:color="000000" w:sz="4" w:space="0"/>
              <w:right w:val="single" w:color="auto" w:sz="4" w:space="0"/>
            </w:tcBorders>
            <w:vAlign w:val="center"/>
          </w:tcPr>
          <w:p w14:paraId="0216C0AF">
            <w:pPr>
              <w:widowControl/>
              <w:spacing w:line="360" w:lineRule="auto"/>
              <w:jc w:val="left"/>
              <w:rPr>
                <w:rFonts w:hint="eastAsia" w:ascii="宋体" w:hAnsi="宋体" w:cs="宋体"/>
                <w:color w:val="000000"/>
                <w:sz w:val="24"/>
              </w:rPr>
            </w:pPr>
          </w:p>
        </w:tc>
        <w:tc>
          <w:tcPr>
            <w:tcW w:w="995" w:type="dxa"/>
            <w:vMerge w:val="continue"/>
            <w:tcBorders>
              <w:top w:val="nil"/>
              <w:left w:val="single" w:color="auto" w:sz="4" w:space="0"/>
              <w:bottom w:val="single" w:color="000000" w:sz="4" w:space="0"/>
              <w:right w:val="single" w:color="auto" w:sz="4" w:space="0"/>
            </w:tcBorders>
            <w:vAlign w:val="center"/>
          </w:tcPr>
          <w:p w14:paraId="3DEAA4CF">
            <w:pPr>
              <w:widowControl/>
              <w:spacing w:line="360" w:lineRule="auto"/>
              <w:jc w:val="left"/>
              <w:rPr>
                <w:rFonts w:hint="eastAsia" w:ascii="宋体" w:hAnsi="宋体" w:cs="宋体"/>
                <w:color w:val="000000"/>
                <w:sz w:val="24"/>
              </w:rPr>
            </w:pPr>
          </w:p>
        </w:tc>
      </w:tr>
      <w:tr w14:paraId="3953C6FF">
        <w:tblPrEx>
          <w:tblCellMar>
            <w:top w:w="0" w:type="dxa"/>
            <w:left w:w="108" w:type="dxa"/>
            <w:bottom w:w="0" w:type="dxa"/>
            <w:right w:w="108" w:type="dxa"/>
          </w:tblCellMar>
        </w:tblPrEx>
        <w:trPr>
          <w:trHeight w:val="453" w:hRule="atLeast"/>
        </w:trPr>
        <w:tc>
          <w:tcPr>
            <w:tcW w:w="14019" w:type="dxa"/>
            <w:gridSpan w:val="7"/>
            <w:tcBorders>
              <w:top w:val="single" w:color="auto" w:sz="4" w:space="0"/>
              <w:left w:val="single" w:color="auto" w:sz="4" w:space="0"/>
              <w:bottom w:val="single" w:color="auto" w:sz="4" w:space="0"/>
              <w:right w:val="single" w:color="000000" w:sz="4" w:space="0"/>
            </w:tcBorders>
            <w:noWrap/>
            <w:vAlign w:val="center"/>
          </w:tcPr>
          <w:p w14:paraId="304A9C1D">
            <w:pPr>
              <w:widowControl/>
              <w:spacing w:line="360" w:lineRule="auto"/>
              <w:jc w:val="left"/>
              <w:rPr>
                <w:rFonts w:hint="eastAsia" w:ascii="宋体" w:hAnsi="宋体" w:cs="宋体"/>
                <w:b/>
                <w:bCs/>
                <w:color w:val="000000"/>
                <w:sz w:val="24"/>
              </w:rPr>
            </w:pPr>
            <w:r>
              <w:rPr>
                <w:rFonts w:hint="eastAsia" w:ascii="宋体" w:hAnsi="宋体" w:cs="宋体"/>
                <w:b/>
                <w:bCs/>
                <w:color w:val="000000"/>
                <w:sz w:val="24"/>
              </w:rPr>
              <w:t>三、其他部分</w:t>
            </w:r>
          </w:p>
        </w:tc>
      </w:tr>
      <w:tr w14:paraId="4FEDC912">
        <w:tblPrEx>
          <w:tblCellMar>
            <w:top w:w="0" w:type="dxa"/>
            <w:left w:w="108" w:type="dxa"/>
            <w:bottom w:w="0" w:type="dxa"/>
            <w:right w:w="108" w:type="dxa"/>
          </w:tblCellMar>
        </w:tblPrEx>
        <w:trPr>
          <w:trHeight w:val="2228" w:hRule="atLeast"/>
        </w:trPr>
        <w:tc>
          <w:tcPr>
            <w:tcW w:w="1990" w:type="dxa"/>
            <w:gridSpan w:val="2"/>
            <w:tcBorders>
              <w:top w:val="single" w:color="auto" w:sz="4" w:space="0"/>
              <w:left w:val="single" w:color="auto" w:sz="4" w:space="0"/>
              <w:bottom w:val="single" w:color="auto" w:sz="4" w:space="0"/>
              <w:right w:val="single" w:color="000000" w:sz="4" w:space="0"/>
            </w:tcBorders>
            <w:vAlign w:val="center"/>
          </w:tcPr>
          <w:p w14:paraId="5E0602E5">
            <w:pPr>
              <w:widowControl/>
              <w:spacing w:line="360" w:lineRule="auto"/>
              <w:jc w:val="center"/>
              <w:rPr>
                <w:rFonts w:hint="eastAsia" w:ascii="宋体" w:hAnsi="宋体" w:cs="宋体"/>
                <w:color w:val="000000"/>
                <w:sz w:val="24"/>
              </w:rPr>
            </w:pPr>
            <w:r>
              <w:rPr>
                <w:rFonts w:hint="eastAsia" w:ascii="宋体" w:hAnsi="宋体" w:cs="宋体"/>
                <w:color w:val="000000"/>
                <w:sz w:val="24"/>
              </w:rPr>
              <w:t>9、质保与服务</w:t>
            </w:r>
          </w:p>
        </w:tc>
        <w:tc>
          <w:tcPr>
            <w:tcW w:w="10219" w:type="dxa"/>
            <w:gridSpan w:val="3"/>
            <w:tcBorders>
              <w:top w:val="single" w:color="auto" w:sz="4" w:space="0"/>
              <w:left w:val="nil"/>
              <w:bottom w:val="single" w:color="auto" w:sz="4" w:space="0"/>
              <w:right w:val="single" w:color="000000" w:sz="4" w:space="0"/>
            </w:tcBorders>
            <w:vAlign w:val="center"/>
          </w:tcPr>
          <w:p w14:paraId="27A9F85D">
            <w:pPr>
              <w:widowControl/>
              <w:spacing w:line="360" w:lineRule="auto"/>
              <w:jc w:val="left"/>
              <w:rPr>
                <w:rFonts w:hint="eastAsia" w:ascii="宋体" w:hAnsi="宋体" w:cs="宋体"/>
                <w:color w:val="000000"/>
                <w:sz w:val="24"/>
              </w:rPr>
            </w:pPr>
            <w:r>
              <w:rPr>
                <w:rFonts w:hint="eastAsia" w:ascii="宋体" w:hAnsi="宋体" w:cs="宋体"/>
                <w:color w:val="000000"/>
                <w:sz w:val="24"/>
              </w:rPr>
              <w:t>96、支持多种传感器、智能终端的灵活接入，根据要求接入当地、市级、省级、国家级相关农作物、有害生物等监控监测信息系统和</w:t>
            </w:r>
            <w:r>
              <w:rPr>
                <w:rFonts w:ascii="宋体" w:hAnsi="宋体" w:cs="宋体"/>
                <w:color w:val="000000"/>
                <w:sz w:val="24"/>
                <w:highlight w:val="yellow"/>
              </w:rPr>
              <w:t>“苏农云”</w:t>
            </w:r>
            <w:r>
              <w:rPr>
                <w:rFonts w:hint="eastAsia" w:ascii="宋体" w:hAnsi="宋体" w:cs="宋体"/>
                <w:color w:val="000000"/>
                <w:sz w:val="24"/>
                <w:highlight w:val="yellow"/>
              </w:rPr>
              <w:t>管理平台</w:t>
            </w:r>
            <w:r>
              <w:rPr>
                <w:rFonts w:hint="eastAsia" w:ascii="宋体" w:hAnsi="宋体" w:cs="宋体"/>
                <w:color w:val="000000"/>
                <w:sz w:val="24"/>
              </w:rPr>
              <w:t>。对设备的基本信息、配置信息、历史运行数据等进行收集、整理与存储。</w:t>
            </w:r>
            <w:r>
              <w:rPr>
                <w:rFonts w:hint="eastAsia" w:ascii="宋体" w:hAnsi="宋体" w:cs="宋体"/>
                <w:color w:val="000000"/>
                <w:sz w:val="24"/>
              </w:rPr>
              <w:br w:type="textWrapping"/>
            </w:r>
            <w:r>
              <w:rPr>
                <w:rFonts w:ascii="宋体" w:hAnsi="宋体" w:cs="宋体"/>
                <w:color w:val="000000"/>
                <w:sz w:val="24"/>
              </w:rPr>
              <w:t>▲</w:t>
            </w:r>
            <w:r>
              <w:rPr>
                <w:rFonts w:hint="eastAsia" w:ascii="宋体" w:hAnsi="宋体" w:cs="宋体"/>
                <w:color w:val="000000"/>
                <w:sz w:val="24"/>
              </w:rPr>
              <w:t>97、</w:t>
            </w:r>
            <w:r>
              <w:rPr>
                <w:rFonts w:ascii="宋体" w:hAnsi="宋体" w:cs="宋体"/>
                <w:color w:val="000000"/>
                <w:sz w:val="24"/>
              </w:rPr>
              <w:t>投标人</w:t>
            </w:r>
            <w:r>
              <w:rPr>
                <w:rFonts w:hint="eastAsia" w:ascii="宋体" w:hAnsi="宋体" w:cs="宋体"/>
                <w:color w:val="000000"/>
                <w:sz w:val="24"/>
              </w:rPr>
              <w:t>需</w:t>
            </w:r>
            <w:r>
              <w:rPr>
                <w:rFonts w:ascii="宋体" w:hAnsi="宋体" w:cs="宋体"/>
                <w:color w:val="EE0000"/>
                <w:sz w:val="24"/>
              </w:rPr>
              <w:t>明确</w:t>
            </w:r>
            <w:r>
              <w:rPr>
                <w:rFonts w:hint="eastAsia" w:ascii="宋体" w:hAnsi="宋体" w:cs="宋体"/>
                <w:color w:val="EE0000"/>
                <w:sz w:val="24"/>
              </w:rPr>
              <w:t>承诺</w:t>
            </w:r>
            <w:r>
              <w:rPr>
                <w:rFonts w:ascii="宋体" w:hAnsi="宋体" w:cs="宋体"/>
                <w:color w:val="000000"/>
                <w:sz w:val="24"/>
              </w:rPr>
              <w:t>所投货物、软件与服务免费质保</w:t>
            </w:r>
            <w:r>
              <w:rPr>
                <w:rFonts w:hint="eastAsia" w:ascii="宋体" w:hAnsi="宋体" w:cs="宋体"/>
                <w:color w:val="000000"/>
                <w:sz w:val="24"/>
              </w:rPr>
              <w:t>与服务</w:t>
            </w:r>
            <w:r>
              <w:rPr>
                <w:rFonts w:ascii="宋体" w:hAnsi="宋体" w:cs="宋体"/>
                <w:color w:val="000000"/>
                <w:sz w:val="24"/>
              </w:rPr>
              <w:t>期限（含</w:t>
            </w:r>
            <w:r>
              <w:rPr>
                <w:rFonts w:hint="eastAsia" w:ascii="宋体" w:hAnsi="宋体" w:cs="宋体"/>
                <w:color w:val="000000"/>
                <w:sz w:val="24"/>
              </w:rPr>
              <w:t>平台空间占用、域名IP占用、所投设备及建设点位服务期内宽带与物联网办卡套餐以保证数据上传平台充足流量费用、配件耗材费用、软件升级、运维</w:t>
            </w:r>
            <w:r>
              <w:rPr>
                <w:rFonts w:ascii="宋体" w:hAnsi="宋体" w:cs="宋体"/>
                <w:color w:val="000000"/>
                <w:sz w:val="24"/>
              </w:rPr>
              <w:t>服务</w:t>
            </w:r>
            <w:r>
              <w:rPr>
                <w:rFonts w:hint="eastAsia" w:ascii="宋体" w:hAnsi="宋体" w:cs="宋体"/>
                <w:color w:val="000000"/>
                <w:sz w:val="24"/>
              </w:rPr>
              <w:t>等</w:t>
            </w:r>
            <w:r>
              <w:rPr>
                <w:rFonts w:ascii="宋体" w:hAnsi="宋体" w:cs="宋体"/>
                <w:color w:val="000000"/>
                <w:sz w:val="24"/>
              </w:rPr>
              <w:t>）（自项目整体验收合格之日起计算），质保</w:t>
            </w:r>
            <w:r>
              <w:rPr>
                <w:rFonts w:hint="eastAsia" w:ascii="宋体" w:hAnsi="宋体" w:cs="宋体"/>
                <w:color w:val="000000"/>
                <w:sz w:val="24"/>
              </w:rPr>
              <w:t>期不</w:t>
            </w:r>
            <w:r>
              <w:rPr>
                <w:rFonts w:ascii="宋体" w:hAnsi="宋体" w:cs="宋体"/>
                <w:color w:val="000000"/>
                <w:sz w:val="24"/>
              </w:rPr>
              <w:t>符合相关国家标准、行业标准、地方标准等标准、规范</w:t>
            </w:r>
            <w:r>
              <w:rPr>
                <w:rFonts w:hint="eastAsia" w:ascii="宋体" w:hAnsi="宋体" w:cs="宋体"/>
                <w:color w:val="000000"/>
                <w:sz w:val="24"/>
              </w:rPr>
              <w:t>，</w:t>
            </w:r>
            <w:r>
              <w:rPr>
                <w:rFonts w:ascii="宋体" w:hAnsi="宋体" w:cs="宋体"/>
                <w:color w:val="000000"/>
                <w:sz w:val="24"/>
              </w:rPr>
              <w:t>视为实质性响应不合格，作无效投标处理。</w:t>
            </w:r>
            <w:r>
              <w:rPr>
                <w:rFonts w:hint="eastAsia" w:ascii="宋体" w:hAnsi="宋体" w:cs="宋体"/>
                <w:color w:val="000000"/>
                <w:sz w:val="24"/>
              </w:rPr>
              <w:t>质保期内硬件设备（非人为因素损坏）免费上门保修、更换零配件，供应商每年须对设备进行不少于一次巡检，免费提供 7*24 小时技术服务；如在使用过程中发生质量问题，在接到通知或设备预警后72小时内维修工程师到达现场维修，保修期自验收合格之日起计算。</w:t>
            </w:r>
            <w:r>
              <w:rPr>
                <w:rFonts w:hint="eastAsia" w:ascii="宋体" w:hAnsi="宋体" w:cs="宋体"/>
                <w:color w:val="000000"/>
                <w:sz w:val="24"/>
              </w:rPr>
              <w:br w:type="textWrapping"/>
            </w:r>
            <w:r>
              <w:rPr>
                <w:rFonts w:hint="eastAsia" w:ascii="宋体" w:hAnsi="宋体" w:cs="宋体"/>
                <w:color w:val="000000"/>
                <w:sz w:val="24"/>
              </w:rPr>
              <w:t>98、</w:t>
            </w:r>
            <w:r>
              <w:rPr>
                <w:rFonts w:hint="eastAsia" w:ascii="宋体" w:hAnsi="宋体" w:cs="宋体"/>
                <w:color w:val="000000"/>
                <w:sz w:val="24"/>
                <w:highlight w:val="yellow"/>
              </w:rPr>
              <w:t>服务期间提供不少于八次现场飞服示范和培训。每年提供不少于八次飞行服务，获取稻麦两季长势数据。</w:t>
            </w:r>
            <w:r>
              <w:rPr>
                <w:rFonts w:hint="eastAsia" w:ascii="宋体" w:hAnsi="宋体" w:cs="宋体"/>
                <w:color w:val="000000"/>
                <w:sz w:val="24"/>
              </w:rPr>
              <w:br w:type="textWrapping"/>
            </w:r>
            <w:r>
              <w:rPr>
                <w:rFonts w:hint="eastAsia" w:ascii="宋体" w:hAnsi="宋体" w:cs="宋体"/>
                <w:color w:val="000000"/>
                <w:sz w:val="24"/>
                <w:highlight w:val="yellow"/>
              </w:rPr>
              <w:t>99、</w:t>
            </w:r>
            <w:bookmarkStart w:id="68" w:name="OLE_LINK4"/>
            <w:r>
              <w:rPr>
                <w:rFonts w:hint="eastAsia" w:ascii="宋体" w:hAnsi="宋体" w:cs="宋体"/>
                <w:color w:val="000000"/>
                <w:sz w:val="24"/>
                <w:highlight w:val="yellow"/>
              </w:rPr>
              <w:t>保险：提供多光谱无人机五年期保险，飞丢保障1 次/年，保养1 次/年，电池换新2块/年，保额维修，免费维修，20万三责险。</w:t>
            </w:r>
            <w:r>
              <w:rPr>
                <w:rFonts w:hint="eastAsia" w:ascii="宋体" w:hAnsi="宋体" w:cs="宋体"/>
                <w:color w:val="000000"/>
                <w:sz w:val="24"/>
              </w:rPr>
              <w:t>（提供应标商服务承诺书加盖公章）</w:t>
            </w:r>
            <w:bookmarkEnd w:id="68"/>
          </w:p>
        </w:tc>
        <w:tc>
          <w:tcPr>
            <w:tcW w:w="815" w:type="dxa"/>
            <w:tcBorders>
              <w:top w:val="nil"/>
              <w:left w:val="nil"/>
              <w:bottom w:val="single" w:color="auto" w:sz="4" w:space="0"/>
              <w:right w:val="single" w:color="auto" w:sz="4" w:space="0"/>
            </w:tcBorders>
            <w:noWrap/>
            <w:vAlign w:val="center"/>
          </w:tcPr>
          <w:p w14:paraId="3EA9D436">
            <w:pPr>
              <w:widowControl/>
              <w:spacing w:line="360" w:lineRule="auto"/>
              <w:jc w:val="center"/>
              <w:rPr>
                <w:rFonts w:hint="eastAsia" w:ascii="宋体" w:hAnsi="宋体" w:cs="宋体"/>
                <w:color w:val="000000"/>
                <w:sz w:val="24"/>
              </w:rPr>
            </w:pPr>
            <w:r>
              <w:rPr>
                <w:rFonts w:hint="eastAsia" w:ascii="宋体" w:hAnsi="宋体" w:cs="宋体"/>
                <w:color w:val="000000"/>
                <w:sz w:val="24"/>
              </w:rPr>
              <w:t>1</w:t>
            </w:r>
          </w:p>
        </w:tc>
        <w:tc>
          <w:tcPr>
            <w:tcW w:w="995" w:type="dxa"/>
            <w:tcBorders>
              <w:top w:val="nil"/>
              <w:left w:val="nil"/>
              <w:bottom w:val="single" w:color="auto" w:sz="4" w:space="0"/>
              <w:right w:val="single" w:color="auto" w:sz="4" w:space="0"/>
            </w:tcBorders>
            <w:noWrap/>
            <w:vAlign w:val="center"/>
          </w:tcPr>
          <w:p w14:paraId="143EFFF3">
            <w:pPr>
              <w:widowControl/>
              <w:spacing w:line="360" w:lineRule="auto"/>
              <w:jc w:val="center"/>
              <w:rPr>
                <w:rFonts w:hint="eastAsia" w:ascii="宋体" w:hAnsi="宋体" w:cs="宋体"/>
                <w:color w:val="000000"/>
                <w:sz w:val="24"/>
              </w:rPr>
            </w:pPr>
            <w:r>
              <w:rPr>
                <w:rFonts w:hint="eastAsia" w:ascii="宋体" w:hAnsi="宋体" w:cs="宋体"/>
                <w:color w:val="000000"/>
                <w:sz w:val="24"/>
              </w:rPr>
              <w:t>套</w:t>
            </w:r>
          </w:p>
        </w:tc>
      </w:tr>
      <w:tr w14:paraId="04564B47">
        <w:tblPrEx>
          <w:tblCellMar>
            <w:top w:w="0" w:type="dxa"/>
            <w:left w:w="108" w:type="dxa"/>
            <w:bottom w:w="0" w:type="dxa"/>
            <w:right w:w="108" w:type="dxa"/>
          </w:tblCellMar>
        </w:tblPrEx>
        <w:trPr>
          <w:trHeight w:val="443" w:hRule="atLeast"/>
        </w:trPr>
        <w:tc>
          <w:tcPr>
            <w:tcW w:w="14019" w:type="dxa"/>
            <w:gridSpan w:val="7"/>
            <w:tcBorders>
              <w:top w:val="nil"/>
              <w:left w:val="nil"/>
              <w:bottom w:val="nil"/>
              <w:right w:val="nil"/>
            </w:tcBorders>
            <w:vAlign w:val="center"/>
          </w:tcPr>
          <w:p w14:paraId="70478F6D">
            <w:pPr>
              <w:widowControl/>
              <w:spacing w:line="360" w:lineRule="auto"/>
              <w:jc w:val="left"/>
              <w:rPr>
                <w:rFonts w:hint="eastAsia" w:ascii="宋体" w:hAnsi="宋体" w:cs="宋体"/>
                <w:color w:val="000000"/>
                <w:sz w:val="24"/>
              </w:rPr>
            </w:pPr>
            <w:r>
              <w:rPr>
                <w:rFonts w:hint="eastAsia" w:ascii="宋体" w:hAnsi="宋体" w:cs="宋体"/>
                <w:color w:val="000000"/>
                <w:sz w:val="24"/>
              </w:rPr>
              <w:t>注：</w:t>
            </w:r>
            <w:r>
              <w:rPr>
                <w:rFonts w:ascii="宋体" w:hAnsi="宋体" w:cs="宋体"/>
                <w:color w:val="000000"/>
                <w:sz w:val="24"/>
              </w:rPr>
              <w:t>本项目核心产品为</w:t>
            </w:r>
            <w:r>
              <w:rPr>
                <w:rFonts w:hint="eastAsia" w:ascii="宋体" w:hAnsi="宋体" w:cs="宋体"/>
                <w:color w:val="000000"/>
                <w:sz w:val="24"/>
              </w:rPr>
              <w:t>气象、土壤墒情自动监测站、病虫害智能防控与</w:t>
            </w:r>
            <w:r>
              <w:rPr>
                <w:rFonts w:ascii="宋体" w:hAnsi="宋体" w:cs="宋体"/>
                <w:color w:val="000000"/>
                <w:sz w:val="24"/>
              </w:rPr>
              <w:t>农业遥感无人机</w:t>
            </w:r>
            <w:r>
              <w:rPr>
                <w:rFonts w:hint="eastAsia" w:ascii="宋体" w:hAnsi="宋体" w:cs="宋体"/>
                <w:color w:val="000000"/>
                <w:sz w:val="24"/>
              </w:rPr>
              <w:t>。</w:t>
            </w:r>
          </w:p>
        </w:tc>
      </w:tr>
    </w:tbl>
    <w:p w14:paraId="7D928DE0">
      <w:pPr>
        <w:spacing w:line="420" w:lineRule="exact"/>
        <w:rPr>
          <w:rFonts w:hint="eastAsia" w:asciiTheme="majorEastAsia" w:hAnsiTheme="majorEastAsia" w:eastAsiaTheme="majorEastAsia" w:cstheme="majorEastAsia"/>
          <w:b/>
          <w:bCs/>
          <w:sz w:val="52"/>
        </w:rPr>
        <w:sectPr>
          <w:pgSz w:w="16838" w:h="11906" w:orient="landscape"/>
          <w:pgMar w:top="1463" w:right="1440" w:bottom="1463" w:left="1440" w:header="851" w:footer="992" w:gutter="0"/>
          <w:pgNumType w:start="1"/>
          <w:cols w:space="720" w:num="1"/>
        </w:sectPr>
      </w:pPr>
    </w:p>
    <w:p w14:paraId="7A59B538">
      <w:pPr>
        <w:pStyle w:val="15"/>
        <w:rPr>
          <w:rFonts w:hint="eastAsia"/>
          <w:color w:val="auto"/>
        </w:rPr>
      </w:pPr>
    </w:p>
    <w:p w14:paraId="5E8A2672">
      <w:pPr>
        <w:spacing w:line="420" w:lineRule="exact"/>
        <w:rPr>
          <w:rFonts w:hint="eastAsia" w:asciiTheme="majorEastAsia" w:hAnsiTheme="majorEastAsia" w:eastAsiaTheme="majorEastAsia" w:cstheme="majorEastAsia"/>
          <w:b/>
          <w:bCs/>
          <w:sz w:val="52"/>
        </w:rPr>
      </w:pPr>
    </w:p>
    <w:p w14:paraId="74F1BC0D">
      <w:pPr>
        <w:spacing w:line="420" w:lineRule="exact"/>
        <w:rPr>
          <w:rFonts w:hint="eastAsia" w:asciiTheme="majorEastAsia" w:hAnsiTheme="majorEastAsia" w:eastAsiaTheme="majorEastAsia" w:cstheme="majorEastAsia"/>
          <w:b/>
          <w:bCs/>
          <w:sz w:val="52"/>
        </w:rPr>
      </w:pPr>
    </w:p>
    <w:p w14:paraId="78C83A5A">
      <w:pPr>
        <w:jc w:val="center"/>
        <w:rPr>
          <w:rFonts w:hint="eastAsia" w:asciiTheme="majorEastAsia" w:hAnsiTheme="majorEastAsia" w:eastAsiaTheme="majorEastAsia" w:cstheme="majorEastAsia"/>
          <w:b/>
          <w:bCs/>
          <w:sz w:val="48"/>
          <w:szCs w:val="22"/>
        </w:rPr>
      </w:pPr>
      <w:r>
        <w:rPr>
          <w:rFonts w:hint="eastAsia" w:asciiTheme="majorEastAsia" w:hAnsiTheme="majorEastAsia" w:eastAsiaTheme="majorEastAsia" w:cstheme="majorEastAsia"/>
          <w:b/>
          <w:bCs/>
          <w:sz w:val="48"/>
          <w:szCs w:val="22"/>
        </w:rPr>
        <w:t>第六章 投标文件</w:t>
      </w:r>
    </w:p>
    <w:p w14:paraId="347383CF">
      <w:pPr>
        <w:pStyle w:val="21"/>
        <w:spacing w:line="400" w:lineRule="exact"/>
        <w:rPr>
          <w:rFonts w:hint="eastAsia" w:asciiTheme="majorEastAsia" w:hAnsiTheme="majorEastAsia" w:eastAsiaTheme="majorEastAsia" w:cstheme="majorEastAsia"/>
          <w:b/>
          <w:bCs/>
          <w:sz w:val="52"/>
        </w:rPr>
      </w:pPr>
    </w:p>
    <w:p w14:paraId="4E947271">
      <w:pPr>
        <w:pStyle w:val="21"/>
        <w:spacing w:line="400" w:lineRule="exact"/>
        <w:rPr>
          <w:rFonts w:hint="eastAsia" w:asciiTheme="majorEastAsia" w:hAnsiTheme="majorEastAsia" w:eastAsiaTheme="majorEastAsia" w:cstheme="majorEastAsia"/>
          <w:b/>
          <w:bCs/>
          <w:sz w:val="52"/>
        </w:rPr>
      </w:pPr>
    </w:p>
    <w:p w14:paraId="2FF73583">
      <w:pPr>
        <w:jc w:val="center"/>
        <w:outlineLvl w:val="0"/>
        <w:rPr>
          <w:rFonts w:hint="eastAsia" w:asciiTheme="majorEastAsia" w:hAnsiTheme="majorEastAsia" w:eastAsiaTheme="majorEastAsia" w:cstheme="majorEastAsia"/>
          <w:b/>
          <w:sz w:val="72"/>
        </w:rPr>
      </w:pPr>
      <w:r>
        <w:rPr>
          <w:rFonts w:hint="eastAsia" w:asciiTheme="majorEastAsia" w:hAnsiTheme="majorEastAsia" w:eastAsiaTheme="majorEastAsia" w:cstheme="majorEastAsia"/>
          <w:b/>
          <w:sz w:val="72"/>
        </w:rPr>
        <w:t>投  标  文  件</w:t>
      </w:r>
    </w:p>
    <w:p w14:paraId="39CCC1F9">
      <w:pPr>
        <w:spacing w:line="400" w:lineRule="exact"/>
        <w:jc w:val="center"/>
        <w:rPr>
          <w:rFonts w:hint="eastAsia" w:asciiTheme="majorEastAsia" w:hAnsiTheme="majorEastAsia" w:eastAsiaTheme="majorEastAsia" w:cstheme="majorEastAsia"/>
          <w:b/>
          <w:sz w:val="72"/>
        </w:rPr>
      </w:pPr>
    </w:p>
    <w:p w14:paraId="7F3A500F">
      <w:pPr>
        <w:pStyle w:val="39"/>
        <w:spacing w:line="400" w:lineRule="exact"/>
        <w:ind w:left="0" w:firstLine="0"/>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p>
    <w:p w14:paraId="7B1E5126">
      <w:pPr>
        <w:pStyle w:val="39"/>
        <w:spacing w:line="400" w:lineRule="exact"/>
        <w:ind w:left="0" w:firstLine="0"/>
        <w:rPr>
          <w:rFonts w:hint="eastAsia" w:asciiTheme="majorEastAsia" w:hAnsiTheme="majorEastAsia" w:eastAsiaTheme="majorEastAsia" w:cstheme="majorEastAsia"/>
          <w:color w:val="auto"/>
        </w:rPr>
      </w:pPr>
    </w:p>
    <w:p w14:paraId="551C08D4">
      <w:pPr>
        <w:pStyle w:val="39"/>
        <w:spacing w:line="400" w:lineRule="exact"/>
        <w:ind w:left="0" w:firstLine="0"/>
        <w:rPr>
          <w:rFonts w:hint="eastAsia" w:asciiTheme="majorEastAsia" w:hAnsiTheme="majorEastAsia" w:eastAsiaTheme="majorEastAsia" w:cstheme="majorEastAsia"/>
          <w:color w:val="auto"/>
        </w:rPr>
      </w:pPr>
    </w:p>
    <w:p w14:paraId="2F8B87C1">
      <w:pPr>
        <w:spacing w:line="400" w:lineRule="exact"/>
        <w:jc w:val="center"/>
        <w:rPr>
          <w:rFonts w:hint="eastAsia" w:asciiTheme="majorEastAsia" w:hAnsiTheme="majorEastAsia" w:eastAsiaTheme="majorEastAsia" w:cstheme="majorEastAsia"/>
          <w:b/>
          <w:sz w:val="36"/>
        </w:rPr>
      </w:pPr>
    </w:p>
    <w:p w14:paraId="16E3CFAE">
      <w:pPr>
        <w:spacing w:line="400" w:lineRule="exact"/>
        <w:ind w:firstLine="1084"/>
        <w:outlineLvl w:val="0"/>
        <w:rPr>
          <w:rFonts w:hint="eastAsia" w:asciiTheme="majorEastAsia" w:hAnsiTheme="majorEastAsia" w:eastAsiaTheme="majorEastAsia" w:cstheme="majorEastAsia"/>
          <w:b/>
          <w:sz w:val="36"/>
        </w:rPr>
      </w:pPr>
      <w:r>
        <w:rPr>
          <w:rFonts w:hint="eastAsia" w:asciiTheme="majorEastAsia" w:hAnsiTheme="majorEastAsia" w:eastAsiaTheme="majorEastAsia" w:cstheme="majorEastAsia"/>
          <w:b/>
          <w:sz w:val="36"/>
        </w:rPr>
        <w:t>项 目 名 称:</w:t>
      </w:r>
      <w:r>
        <w:rPr>
          <w:rFonts w:hint="eastAsia" w:asciiTheme="majorEastAsia" w:hAnsiTheme="majorEastAsia" w:eastAsiaTheme="majorEastAsia" w:cstheme="majorEastAsia"/>
          <w:b/>
          <w:sz w:val="36"/>
          <w:u w:val="single"/>
        </w:rPr>
        <w:t xml:space="preserve">               </w:t>
      </w:r>
    </w:p>
    <w:p w14:paraId="3CA31483">
      <w:pPr>
        <w:spacing w:line="400" w:lineRule="exact"/>
        <w:ind w:firstLine="1084"/>
        <w:outlineLvl w:val="0"/>
        <w:rPr>
          <w:rFonts w:hint="eastAsia" w:asciiTheme="majorEastAsia" w:hAnsiTheme="majorEastAsia" w:eastAsiaTheme="majorEastAsia" w:cstheme="majorEastAsia"/>
          <w:b/>
          <w:sz w:val="36"/>
        </w:rPr>
      </w:pPr>
    </w:p>
    <w:p w14:paraId="5756B84F">
      <w:pPr>
        <w:spacing w:line="400" w:lineRule="exact"/>
        <w:ind w:firstLine="1084"/>
        <w:outlineLvl w:val="0"/>
        <w:rPr>
          <w:rFonts w:hint="eastAsia" w:asciiTheme="majorEastAsia" w:hAnsiTheme="majorEastAsia" w:eastAsiaTheme="majorEastAsia" w:cstheme="majorEastAsia"/>
          <w:b/>
          <w:sz w:val="36"/>
          <w:u w:val="single"/>
        </w:rPr>
      </w:pPr>
      <w:r>
        <w:rPr>
          <w:rFonts w:hint="eastAsia" w:asciiTheme="majorEastAsia" w:hAnsiTheme="majorEastAsia" w:eastAsiaTheme="majorEastAsia" w:cstheme="majorEastAsia"/>
          <w:b/>
          <w:sz w:val="36"/>
        </w:rPr>
        <w:t>项 目 编 号:</w:t>
      </w:r>
      <w:r>
        <w:rPr>
          <w:rFonts w:hint="eastAsia" w:asciiTheme="majorEastAsia" w:hAnsiTheme="majorEastAsia" w:eastAsiaTheme="majorEastAsia" w:cstheme="majorEastAsia"/>
          <w:b/>
          <w:sz w:val="36"/>
          <w:u w:val="single"/>
        </w:rPr>
        <w:t xml:space="preserve">               </w:t>
      </w:r>
    </w:p>
    <w:p w14:paraId="34E99CEB">
      <w:pPr>
        <w:spacing w:line="400" w:lineRule="exact"/>
        <w:outlineLvl w:val="0"/>
        <w:rPr>
          <w:rFonts w:hint="eastAsia" w:asciiTheme="majorEastAsia" w:hAnsiTheme="majorEastAsia" w:eastAsiaTheme="majorEastAsia" w:cstheme="majorEastAsia"/>
          <w:b/>
          <w:sz w:val="36"/>
        </w:rPr>
      </w:pPr>
      <w:r>
        <w:rPr>
          <w:rFonts w:hint="eastAsia" w:asciiTheme="majorEastAsia" w:hAnsiTheme="majorEastAsia" w:eastAsiaTheme="majorEastAsia" w:cstheme="majorEastAsia"/>
          <w:b/>
          <w:sz w:val="36"/>
        </w:rPr>
        <w:t xml:space="preserve">     </w:t>
      </w:r>
    </w:p>
    <w:p w14:paraId="0135C4A2">
      <w:pPr>
        <w:spacing w:line="400" w:lineRule="exact"/>
        <w:outlineLvl w:val="0"/>
        <w:rPr>
          <w:rFonts w:hint="eastAsia" w:asciiTheme="majorEastAsia" w:hAnsiTheme="majorEastAsia" w:eastAsiaTheme="majorEastAsia" w:cstheme="majorEastAsia"/>
          <w:b/>
          <w:sz w:val="36"/>
          <w:u w:val="single"/>
        </w:rPr>
      </w:pPr>
      <w:r>
        <w:rPr>
          <w:rFonts w:hint="eastAsia" w:asciiTheme="majorEastAsia" w:hAnsiTheme="majorEastAsia" w:eastAsiaTheme="majorEastAsia" w:cstheme="majorEastAsia"/>
          <w:b/>
          <w:sz w:val="36"/>
        </w:rPr>
        <w:t xml:space="preserve">      投标人名称 :</w:t>
      </w:r>
      <w:r>
        <w:rPr>
          <w:rFonts w:hint="eastAsia" w:asciiTheme="majorEastAsia" w:hAnsiTheme="majorEastAsia" w:eastAsiaTheme="majorEastAsia" w:cstheme="majorEastAsia"/>
          <w:b/>
          <w:sz w:val="36"/>
          <w:u w:val="single"/>
        </w:rPr>
        <w:t xml:space="preserve">               </w:t>
      </w:r>
    </w:p>
    <w:p w14:paraId="06C5257D">
      <w:pPr>
        <w:spacing w:line="400" w:lineRule="exact"/>
        <w:outlineLvl w:val="0"/>
        <w:rPr>
          <w:rFonts w:hint="eastAsia" w:asciiTheme="majorEastAsia" w:hAnsiTheme="majorEastAsia" w:eastAsiaTheme="majorEastAsia" w:cstheme="majorEastAsia"/>
          <w:b/>
          <w:sz w:val="36"/>
        </w:rPr>
      </w:pPr>
      <w:r>
        <w:rPr>
          <w:rFonts w:hint="eastAsia" w:asciiTheme="majorEastAsia" w:hAnsiTheme="majorEastAsia" w:eastAsiaTheme="majorEastAsia" w:cstheme="majorEastAsia"/>
          <w:b/>
          <w:sz w:val="36"/>
        </w:rPr>
        <w:t xml:space="preserve">      </w:t>
      </w:r>
    </w:p>
    <w:p w14:paraId="543BED73">
      <w:pPr>
        <w:spacing w:line="400" w:lineRule="exact"/>
        <w:ind w:firstLine="1084"/>
        <w:outlineLvl w:val="0"/>
        <w:rPr>
          <w:rFonts w:hint="eastAsia" w:asciiTheme="majorEastAsia" w:hAnsiTheme="majorEastAsia" w:eastAsiaTheme="majorEastAsia" w:cstheme="majorEastAsia"/>
          <w:b/>
          <w:sz w:val="36"/>
        </w:rPr>
      </w:pPr>
      <w:r>
        <w:rPr>
          <w:rFonts w:hint="eastAsia" w:asciiTheme="majorEastAsia" w:hAnsiTheme="majorEastAsia" w:eastAsiaTheme="majorEastAsia" w:cstheme="majorEastAsia"/>
          <w:b/>
          <w:sz w:val="36"/>
        </w:rPr>
        <w:t>日      期 :</w:t>
      </w:r>
      <w:r>
        <w:rPr>
          <w:rFonts w:hint="eastAsia" w:asciiTheme="majorEastAsia" w:hAnsiTheme="majorEastAsia" w:eastAsiaTheme="majorEastAsia" w:cstheme="majorEastAsia"/>
          <w:b/>
          <w:sz w:val="36"/>
          <w:u w:val="single"/>
        </w:rPr>
        <w:t xml:space="preserve">               </w:t>
      </w:r>
    </w:p>
    <w:p w14:paraId="1A112D3C">
      <w:pPr>
        <w:spacing w:line="400" w:lineRule="exact"/>
        <w:jc w:val="center"/>
        <w:rPr>
          <w:rFonts w:hint="eastAsia" w:asciiTheme="majorEastAsia" w:hAnsiTheme="majorEastAsia" w:eastAsiaTheme="majorEastAsia" w:cstheme="majorEastAsia"/>
          <w:b/>
          <w:bCs/>
          <w:sz w:val="32"/>
          <w:szCs w:val="32"/>
        </w:rPr>
      </w:pPr>
    </w:p>
    <w:p w14:paraId="20010781">
      <w:pPr>
        <w:pStyle w:val="39"/>
        <w:ind w:left="0" w:firstLine="0"/>
        <w:rPr>
          <w:rFonts w:hint="eastAsia" w:asciiTheme="majorEastAsia" w:hAnsiTheme="majorEastAsia" w:eastAsiaTheme="majorEastAsia" w:cstheme="majorEastAsia"/>
          <w:color w:val="auto"/>
        </w:rPr>
      </w:pPr>
    </w:p>
    <w:p w14:paraId="628995E3">
      <w:pPr>
        <w:rPr>
          <w:rFonts w:hint="eastAsia" w:asciiTheme="majorEastAsia" w:hAnsiTheme="majorEastAsia" w:eastAsiaTheme="majorEastAsia" w:cstheme="majorEastAsia"/>
          <w:bCs/>
          <w:sz w:val="28"/>
        </w:rPr>
      </w:pPr>
      <w:bookmarkStart w:id="69" w:name="_Toc157775468"/>
      <w:r>
        <w:rPr>
          <w:rFonts w:hint="eastAsia" w:asciiTheme="majorEastAsia" w:hAnsiTheme="majorEastAsia" w:eastAsiaTheme="majorEastAsia" w:cstheme="majorEastAsia"/>
          <w:b/>
          <w:sz w:val="28"/>
        </w:rPr>
        <w:t>尊敬的供应商:</w:t>
      </w:r>
    </w:p>
    <w:p w14:paraId="5347FDE1">
      <w:pPr>
        <w:ind w:firstLine="562"/>
        <w:rPr>
          <w:rFonts w:hint="eastAsia" w:asciiTheme="majorEastAsia" w:hAnsiTheme="majorEastAsia" w:eastAsiaTheme="majorEastAsia" w:cstheme="majorEastAsia"/>
          <w:b/>
          <w:sz w:val="28"/>
        </w:rPr>
      </w:pPr>
      <w:r>
        <w:rPr>
          <w:rFonts w:hint="eastAsia" w:asciiTheme="majorEastAsia" w:hAnsiTheme="majorEastAsia" w:eastAsiaTheme="majorEastAsia" w:cstheme="majorEastAsia"/>
          <w:b/>
          <w:sz w:val="28"/>
        </w:rPr>
        <w:t>电子投标文件由“投标文件格式”、“资质审查提供的资格证明文件”、“综合评分提供的证明材料”“投标人认为有必要提供的其他资料”组成。</w:t>
      </w:r>
      <w:r>
        <w:rPr>
          <w:rFonts w:hint="eastAsia" w:asciiTheme="majorEastAsia" w:hAnsiTheme="majorEastAsia" w:eastAsiaTheme="majorEastAsia" w:cstheme="majorEastAsia"/>
          <w:b/>
          <w:sz w:val="28"/>
          <w:lang w:val="zh-CN"/>
        </w:rPr>
        <w:t>请投标人根据本招标文件的要求上传响应的投标材料，未按招标文件要求上传响应的投标材料的，</w:t>
      </w:r>
      <w:r>
        <w:rPr>
          <w:rFonts w:hint="eastAsia" w:asciiTheme="majorEastAsia" w:hAnsiTheme="majorEastAsia" w:eastAsiaTheme="majorEastAsia" w:cstheme="majorEastAsia"/>
          <w:b/>
          <w:sz w:val="28"/>
          <w:szCs w:val="28"/>
        </w:rPr>
        <w:t>视同未提交该投标材料处理。</w:t>
      </w:r>
    </w:p>
    <w:p w14:paraId="0BE38778">
      <w:pPr>
        <w:pStyle w:val="21"/>
        <w:outlineLvl w:val="0"/>
        <w:rPr>
          <w:rFonts w:hint="eastAsia" w:hAnsi="宋体" w:cs="宋体"/>
          <w:b/>
          <w:sz w:val="32"/>
        </w:rPr>
      </w:pPr>
    </w:p>
    <w:p w14:paraId="32D0BB32">
      <w:pPr>
        <w:pStyle w:val="21"/>
        <w:outlineLvl w:val="0"/>
        <w:rPr>
          <w:rFonts w:hint="eastAsia" w:hAnsi="宋体" w:cs="宋体"/>
          <w:b/>
          <w:sz w:val="32"/>
        </w:rPr>
      </w:pPr>
    </w:p>
    <w:p w14:paraId="0CAA3446">
      <w:pPr>
        <w:pStyle w:val="21"/>
        <w:outlineLvl w:val="0"/>
        <w:rPr>
          <w:rFonts w:hint="eastAsia" w:hAnsi="宋体" w:cs="宋体"/>
          <w:b/>
          <w:sz w:val="32"/>
        </w:rPr>
      </w:pPr>
    </w:p>
    <w:p w14:paraId="78A4235D">
      <w:pPr>
        <w:pStyle w:val="21"/>
        <w:outlineLvl w:val="0"/>
        <w:rPr>
          <w:rFonts w:hint="eastAsia" w:hAnsi="宋体" w:cs="宋体"/>
          <w:b/>
          <w:sz w:val="32"/>
        </w:rPr>
      </w:pPr>
    </w:p>
    <w:p w14:paraId="4BEDA0FE">
      <w:pPr>
        <w:pStyle w:val="21"/>
        <w:outlineLvl w:val="0"/>
        <w:rPr>
          <w:rFonts w:hint="eastAsia" w:hAnsi="宋体" w:cs="宋体"/>
          <w:b/>
          <w:sz w:val="32"/>
        </w:rPr>
      </w:pPr>
    </w:p>
    <w:p w14:paraId="76461400">
      <w:pPr>
        <w:pStyle w:val="21"/>
        <w:ind w:firstLine="3213"/>
        <w:outlineLvl w:val="0"/>
        <w:rPr>
          <w:rFonts w:hint="eastAsia" w:hAnsi="宋体" w:cs="宋体"/>
          <w:b/>
          <w:sz w:val="32"/>
        </w:rPr>
      </w:pPr>
      <w:r>
        <w:rPr>
          <w:rFonts w:hint="eastAsia" w:hAnsi="宋体" w:cs="宋体"/>
          <w:b/>
          <w:sz w:val="32"/>
        </w:rPr>
        <w:t>一、投标函</w:t>
      </w:r>
    </w:p>
    <w:p w14:paraId="797A3B22">
      <w:pPr>
        <w:pStyle w:val="216"/>
        <w:spacing w:line="440" w:lineRule="exact"/>
        <w:jc w:val="left"/>
        <w:rPr>
          <w:rFonts w:hint="eastAsia" w:hAnsi="宋体"/>
          <w:b/>
          <w:sz w:val="32"/>
          <w:u w:val="single"/>
        </w:rPr>
      </w:pPr>
      <w:r>
        <w:rPr>
          <w:rFonts w:hint="eastAsia" w:hAnsi="宋体"/>
          <w:b/>
          <w:sz w:val="32"/>
          <w:u w:val="single"/>
        </w:rPr>
        <w:t xml:space="preserve"> </w:t>
      </w:r>
      <w:r>
        <w:rPr>
          <w:rFonts w:hint="eastAsia" w:hAnsi="宋体"/>
          <w:sz w:val="24"/>
          <w:u w:val="single"/>
        </w:rPr>
        <w:t>采购人</w:t>
      </w:r>
      <w:r>
        <w:rPr>
          <w:rFonts w:hint="eastAsia" w:hAnsi="宋体"/>
          <w:b/>
          <w:sz w:val="32"/>
          <w:u w:val="single"/>
        </w:rPr>
        <w:t xml:space="preserve">   </w:t>
      </w:r>
      <w:r>
        <w:rPr>
          <w:rFonts w:hint="eastAsia" w:hAnsi="宋体"/>
          <w:b/>
          <w:sz w:val="32"/>
        </w:rPr>
        <w:t>：</w:t>
      </w:r>
    </w:p>
    <w:p w14:paraId="613B805C">
      <w:pPr>
        <w:pStyle w:val="216"/>
        <w:spacing w:line="440" w:lineRule="exact"/>
        <w:ind w:firstLine="480"/>
        <w:rPr>
          <w:rFonts w:hint="eastAsia" w:hAnsi="宋体"/>
          <w:sz w:val="24"/>
        </w:rPr>
      </w:pPr>
      <w:r>
        <w:rPr>
          <w:rFonts w:hint="eastAsia" w:hAnsi="宋体"/>
          <w:sz w:val="24"/>
        </w:rPr>
        <w:t>关于</w:t>
      </w:r>
      <w:r>
        <w:rPr>
          <w:rFonts w:hint="eastAsia" w:hAnsi="宋体"/>
          <w:sz w:val="24"/>
          <w:u w:val="single"/>
        </w:rPr>
        <w:t xml:space="preserve">          </w:t>
      </w:r>
      <w:r>
        <w:rPr>
          <w:rFonts w:hint="eastAsia" w:hAnsi="宋体"/>
          <w:sz w:val="24"/>
        </w:rPr>
        <w:t>采购项目（项目编号:</w:t>
      </w:r>
      <w:r>
        <w:rPr>
          <w:rFonts w:hint="eastAsia" w:hAnsi="宋体"/>
          <w:sz w:val="24"/>
          <w:u w:val="single"/>
        </w:rPr>
        <w:t xml:space="preserve">          ）</w:t>
      </w:r>
      <w:r>
        <w:rPr>
          <w:rFonts w:hint="eastAsia" w:hAnsi="宋体"/>
          <w:sz w:val="24"/>
        </w:rPr>
        <w:t xml:space="preserve">招标文件，同时，正式授权下述签字人 </w:t>
      </w:r>
      <w:r>
        <w:rPr>
          <w:rFonts w:hint="eastAsia" w:hAnsi="宋体"/>
          <w:sz w:val="24"/>
          <w:u w:val="single"/>
        </w:rPr>
        <w:t xml:space="preserve">             </w:t>
      </w:r>
      <w:r>
        <w:rPr>
          <w:rFonts w:hint="eastAsia" w:hAnsi="宋体"/>
          <w:sz w:val="24"/>
        </w:rPr>
        <w:t xml:space="preserve">（姓名和职务）代表 </w:t>
      </w:r>
      <w:r>
        <w:rPr>
          <w:rFonts w:hint="eastAsia" w:hAnsi="宋体"/>
          <w:sz w:val="24"/>
          <w:u w:val="single"/>
        </w:rPr>
        <w:t xml:space="preserve">          </w:t>
      </w:r>
      <w:r>
        <w:rPr>
          <w:rFonts w:hint="eastAsia" w:hAnsi="宋体"/>
          <w:sz w:val="24"/>
        </w:rPr>
        <w:t xml:space="preserve">（投标人单位名称） </w:t>
      </w:r>
      <w:r>
        <w:rPr>
          <w:rFonts w:hint="eastAsia" w:hAnsi="宋体"/>
          <w:sz w:val="24"/>
          <w:u w:val="single"/>
        </w:rPr>
        <w:t xml:space="preserve">          </w:t>
      </w:r>
      <w:r>
        <w:rPr>
          <w:rFonts w:hint="eastAsia" w:hAnsi="宋体"/>
          <w:sz w:val="24"/>
        </w:rPr>
        <w:t>（投标人名称）全权处理本次项目投标的有关事宜。</w:t>
      </w:r>
    </w:p>
    <w:p w14:paraId="42B830C0">
      <w:pPr>
        <w:pStyle w:val="216"/>
        <w:spacing w:line="440" w:lineRule="exact"/>
        <w:ind w:firstLine="480"/>
        <w:rPr>
          <w:rFonts w:hint="eastAsia" w:hAnsi="宋体"/>
          <w:sz w:val="24"/>
        </w:rPr>
      </w:pPr>
      <w:r>
        <w:rPr>
          <w:rFonts w:hint="eastAsia" w:hAnsi="宋体"/>
          <w:sz w:val="24"/>
        </w:rPr>
        <w:t>1、按招标文件规定的各项要求，我方愿以</w:t>
      </w:r>
      <w:r>
        <w:rPr>
          <w:rFonts w:hint="eastAsia" w:hAnsi="宋体"/>
          <w:b/>
          <w:bCs/>
          <w:sz w:val="24"/>
        </w:rPr>
        <w:t>投标单价</w:t>
      </w:r>
      <w:r>
        <w:rPr>
          <w:rFonts w:hint="eastAsia" w:hAnsi="宋体"/>
          <w:sz w:val="24"/>
          <w:u w:val="single"/>
        </w:rPr>
        <w:t xml:space="preserve"> （大写、人民币）</w:t>
      </w:r>
      <w:r>
        <w:rPr>
          <w:rFonts w:hint="eastAsia" w:hAnsi="宋体"/>
          <w:b/>
          <w:bCs/>
          <w:sz w:val="24"/>
          <w:u w:val="single"/>
        </w:rPr>
        <w:t>元</w:t>
      </w:r>
      <w:r>
        <w:rPr>
          <w:rFonts w:hint="eastAsia" w:hAnsi="宋体"/>
          <w:sz w:val="24"/>
        </w:rPr>
        <w:t>（CNY￥</w:t>
      </w:r>
      <w:r>
        <w:rPr>
          <w:rFonts w:hint="eastAsia" w:hAnsi="宋体"/>
          <w:sz w:val="24"/>
          <w:u w:val="single"/>
        </w:rPr>
        <w:t xml:space="preserve">    </w:t>
      </w:r>
      <w:r>
        <w:rPr>
          <w:rFonts w:hint="eastAsia" w:hAnsi="宋体"/>
          <w:b/>
          <w:bCs/>
          <w:sz w:val="24"/>
        </w:rPr>
        <w:t>元</w:t>
      </w:r>
      <w:r>
        <w:rPr>
          <w:rFonts w:hint="eastAsia" w:hAnsi="宋体"/>
          <w:sz w:val="24"/>
        </w:rPr>
        <w:t>）的投标报价并按招标文件的规定要求提供所需货物和服务。</w:t>
      </w:r>
    </w:p>
    <w:p w14:paraId="2F32FBBC">
      <w:pPr>
        <w:pStyle w:val="216"/>
        <w:spacing w:line="440" w:lineRule="exact"/>
        <w:ind w:left="360"/>
        <w:rPr>
          <w:rFonts w:hint="eastAsia" w:hAnsi="宋体"/>
          <w:sz w:val="24"/>
        </w:rPr>
      </w:pPr>
      <w:r>
        <w:rPr>
          <w:rFonts w:hint="eastAsia" w:hAnsi="宋体"/>
          <w:sz w:val="24"/>
        </w:rPr>
        <w:t>2、我们接受招标文件的所有的条款和规定。</w:t>
      </w:r>
    </w:p>
    <w:p w14:paraId="51F027CC">
      <w:pPr>
        <w:pStyle w:val="216"/>
        <w:spacing w:line="440" w:lineRule="exact"/>
        <w:ind w:firstLine="360"/>
        <w:rPr>
          <w:rFonts w:hint="eastAsia" w:hAnsi="宋体"/>
          <w:sz w:val="24"/>
        </w:rPr>
      </w:pPr>
      <w:r>
        <w:rPr>
          <w:rFonts w:hint="eastAsia" w:hAnsi="宋体"/>
          <w:sz w:val="24"/>
        </w:rPr>
        <w:t>3、我们同意按照招标文件第一章“投标人须知”第17条的规定，本投标文件的有效期为从开标之日期起计算的九十天，在此期间，本投标文件将始终对我们具有约束力，并可随时被接受。如果我们中标，本投标文件在此期间之后将继续保持有效。如果在开标后规定的投标有效期内撤回投标，我们的投标保证金可被贵方没收。</w:t>
      </w:r>
    </w:p>
    <w:p w14:paraId="0533A869">
      <w:pPr>
        <w:pStyle w:val="216"/>
        <w:spacing w:line="440" w:lineRule="exact"/>
        <w:ind w:firstLine="360"/>
        <w:rPr>
          <w:rFonts w:hint="eastAsia" w:hAnsi="宋体"/>
          <w:sz w:val="24"/>
        </w:rPr>
      </w:pPr>
      <w:r>
        <w:rPr>
          <w:rFonts w:hint="eastAsia" w:hAnsi="宋体"/>
          <w:sz w:val="24"/>
        </w:rPr>
        <w:t>4、我们理解，你们无义务必须接受投标价最低的投标。同时也理解你们不承担我们本次投标的费用。</w:t>
      </w:r>
    </w:p>
    <w:p w14:paraId="29D07BD1">
      <w:pPr>
        <w:pStyle w:val="216"/>
        <w:spacing w:line="440" w:lineRule="exact"/>
        <w:ind w:firstLine="360"/>
        <w:rPr>
          <w:rFonts w:hint="eastAsia" w:hAnsi="宋体"/>
          <w:sz w:val="24"/>
        </w:rPr>
      </w:pPr>
      <w:r>
        <w:rPr>
          <w:rFonts w:hint="eastAsia" w:hAnsi="宋体"/>
          <w:sz w:val="24"/>
        </w:rPr>
        <w:t>5、我们同意向贵方提供贵方可能要求的与投标有关的任何证据或资料，并保证所提供的都是真实的、准确的。</w:t>
      </w:r>
    </w:p>
    <w:p w14:paraId="3E2AD931">
      <w:pPr>
        <w:pStyle w:val="216"/>
        <w:spacing w:line="440" w:lineRule="exact"/>
        <w:ind w:firstLine="360"/>
        <w:rPr>
          <w:rFonts w:hint="eastAsia" w:hAnsi="宋体"/>
          <w:sz w:val="24"/>
        </w:rPr>
      </w:pPr>
      <w:r>
        <w:rPr>
          <w:rFonts w:hint="eastAsia" w:hAnsi="宋体"/>
          <w:sz w:val="24"/>
        </w:rPr>
        <w:t>6、一旦我方中标，我方将根据招标文件的规定，严格履行合同的责任和义务，并保证于“合同主要条款及通用条款”中规定的时间供货，并完成项目的施工、调试、交付买方验收、使用。否则我们的履约保证金将被贵方没收。</w:t>
      </w:r>
    </w:p>
    <w:p w14:paraId="0CDB0598">
      <w:pPr>
        <w:pStyle w:val="216"/>
        <w:spacing w:line="440" w:lineRule="exact"/>
        <w:ind w:firstLine="360"/>
        <w:rPr>
          <w:rFonts w:hint="eastAsia" w:hAnsi="宋体"/>
          <w:sz w:val="24"/>
        </w:rPr>
      </w:pPr>
      <w:r>
        <w:rPr>
          <w:rFonts w:hint="eastAsia" w:hAnsi="宋体"/>
          <w:sz w:val="24"/>
        </w:rPr>
        <w:t>7、我们没有为本项目提供整体设计、规范编制或者项目管理、监理、检测等服务。</w:t>
      </w:r>
    </w:p>
    <w:p w14:paraId="4972550F">
      <w:pPr>
        <w:pStyle w:val="216"/>
        <w:spacing w:line="440" w:lineRule="exact"/>
        <w:ind w:firstLine="480"/>
        <w:rPr>
          <w:rFonts w:hint="eastAsia" w:hAnsi="宋体"/>
          <w:sz w:val="24"/>
        </w:rPr>
      </w:pPr>
      <w:r>
        <w:rPr>
          <w:rFonts w:hint="eastAsia" w:hAnsi="宋体"/>
          <w:sz w:val="24"/>
        </w:rPr>
        <w:t>投标人名称：（加盖公章）</w:t>
      </w:r>
    </w:p>
    <w:p w14:paraId="42360D2C">
      <w:pPr>
        <w:pStyle w:val="216"/>
        <w:spacing w:line="440" w:lineRule="exact"/>
        <w:ind w:firstLine="480"/>
        <w:rPr>
          <w:rFonts w:hint="eastAsia" w:hAnsi="宋体"/>
          <w:sz w:val="24"/>
        </w:rPr>
      </w:pPr>
      <w:r>
        <w:rPr>
          <w:rFonts w:hint="eastAsia" w:hAnsi="宋体"/>
          <w:sz w:val="24"/>
        </w:rPr>
        <w:t xml:space="preserve">地址：                     邮编：                                   </w:t>
      </w:r>
    </w:p>
    <w:p w14:paraId="2EA419F7">
      <w:pPr>
        <w:pStyle w:val="216"/>
        <w:spacing w:line="440" w:lineRule="exact"/>
        <w:ind w:firstLine="480"/>
        <w:rPr>
          <w:rFonts w:hint="eastAsia" w:hAnsi="宋体"/>
          <w:sz w:val="24"/>
        </w:rPr>
      </w:pPr>
      <w:r>
        <w:rPr>
          <w:rFonts w:hint="eastAsia" w:hAnsi="宋体"/>
          <w:sz w:val="24"/>
        </w:rPr>
        <w:t xml:space="preserve">电话：                     传真：               </w:t>
      </w:r>
    </w:p>
    <w:p w14:paraId="6884EF6C">
      <w:pPr>
        <w:pStyle w:val="216"/>
        <w:spacing w:line="440" w:lineRule="exact"/>
        <w:ind w:firstLine="480"/>
        <w:rPr>
          <w:rFonts w:hint="eastAsia" w:hAnsi="宋体"/>
          <w:sz w:val="24"/>
        </w:rPr>
      </w:pPr>
      <w:r>
        <w:rPr>
          <w:rFonts w:hint="eastAsia" w:hAnsi="宋体"/>
          <w:sz w:val="24"/>
        </w:rPr>
        <w:t xml:space="preserve">法定代表人：（签字）              </w:t>
      </w:r>
    </w:p>
    <w:p w14:paraId="4EE1E224">
      <w:pPr>
        <w:pStyle w:val="216"/>
        <w:spacing w:line="440" w:lineRule="exact"/>
        <w:ind w:firstLine="480"/>
        <w:rPr>
          <w:rFonts w:hint="eastAsia" w:hAnsi="宋体"/>
          <w:sz w:val="24"/>
        </w:rPr>
      </w:pPr>
      <w:r>
        <w:rPr>
          <w:rFonts w:hint="eastAsia" w:hAnsi="宋体"/>
          <w:sz w:val="24"/>
        </w:rPr>
        <w:t xml:space="preserve">职务：            </w:t>
      </w:r>
    </w:p>
    <w:p w14:paraId="4AAD6C19">
      <w:pPr>
        <w:pStyle w:val="216"/>
        <w:ind w:firstLine="480"/>
        <w:rPr>
          <w:rFonts w:hint="eastAsia" w:hAnsi="宋体"/>
          <w:sz w:val="24"/>
        </w:rPr>
      </w:pPr>
      <w:r>
        <w:rPr>
          <w:rFonts w:hint="eastAsia" w:hAnsi="宋体"/>
          <w:sz w:val="24"/>
        </w:rPr>
        <w:t xml:space="preserve">日期:    年   月   日 </w:t>
      </w:r>
    </w:p>
    <w:p w14:paraId="7A18DFEF">
      <w:pPr>
        <w:pStyle w:val="216"/>
        <w:rPr>
          <w:rFonts w:hint="eastAsia" w:hAnsi="宋体"/>
          <w:sz w:val="24"/>
        </w:rPr>
      </w:pPr>
    </w:p>
    <w:p w14:paraId="2753C066">
      <w:pPr>
        <w:pStyle w:val="216"/>
        <w:rPr>
          <w:rFonts w:hint="eastAsia" w:hAnsi="宋体"/>
          <w:sz w:val="24"/>
        </w:rPr>
      </w:pPr>
    </w:p>
    <w:p w14:paraId="5308C42C">
      <w:pPr>
        <w:rPr>
          <w:rFonts w:hint="eastAsia" w:ascii="宋体" w:hAnsi="宋体"/>
          <w:bCs/>
          <w:sz w:val="24"/>
        </w:rPr>
      </w:pPr>
    </w:p>
    <w:p w14:paraId="125AB1E4">
      <w:pPr>
        <w:rPr>
          <w:rFonts w:hint="eastAsia" w:ascii="宋体" w:hAnsi="宋体"/>
          <w:bCs/>
          <w:sz w:val="24"/>
        </w:rPr>
      </w:pPr>
    </w:p>
    <w:p w14:paraId="3C672C81">
      <w:pPr>
        <w:rPr>
          <w:rFonts w:hint="eastAsia" w:ascii="宋体" w:hAnsi="宋体"/>
          <w:bCs/>
          <w:sz w:val="24"/>
        </w:rPr>
      </w:pPr>
    </w:p>
    <w:p w14:paraId="5D231EF0">
      <w:pPr>
        <w:rPr>
          <w:rFonts w:hint="eastAsia" w:ascii="宋体" w:hAnsi="宋体"/>
          <w:bCs/>
          <w:sz w:val="24"/>
        </w:rPr>
      </w:pPr>
    </w:p>
    <w:p w14:paraId="2766C15E">
      <w:pPr>
        <w:rPr>
          <w:rFonts w:hint="eastAsia" w:ascii="宋体" w:hAnsi="宋体"/>
          <w:bCs/>
          <w:sz w:val="24"/>
        </w:rPr>
      </w:pPr>
    </w:p>
    <w:p w14:paraId="2C15075F">
      <w:pPr>
        <w:rPr>
          <w:rFonts w:hint="eastAsia" w:ascii="宋体" w:hAnsi="宋体"/>
          <w:bCs/>
          <w:sz w:val="24"/>
        </w:rPr>
      </w:pPr>
    </w:p>
    <w:p w14:paraId="3DC88148">
      <w:pPr>
        <w:jc w:val="center"/>
        <w:rPr>
          <w:rFonts w:hint="eastAsia" w:ascii="宋体" w:hAnsi="宋体" w:cs="宋体"/>
          <w:b/>
          <w:sz w:val="24"/>
        </w:rPr>
      </w:pPr>
      <w:r>
        <w:rPr>
          <w:rFonts w:hint="eastAsia" w:ascii="宋体" w:hAnsi="宋体" w:cs="宋体"/>
          <w:b/>
          <w:sz w:val="32"/>
        </w:rPr>
        <w:t>二、开标一览表</w:t>
      </w:r>
    </w:p>
    <w:p w14:paraId="501482B8">
      <w:pPr>
        <w:pStyle w:val="36"/>
        <w:rPr>
          <w:rFonts w:hint="eastAsia"/>
        </w:rPr>
      </w:pPr>
      <w:r>
        <w:rPr>
          <w:rFonts w:hint="eastAsia"/>
        </w:rPr>
        <w:t>投标人全称(CA公章):供应商名称</w:t>
      </w:r>
    </w:p>
    <w:p w14:paraId="3DE7A556">
      <w:pPr>
        <w:pStyle w:val="36"/>
        <w:rPr>
          <w:rFonts w:hint="eastAsia"/>
        </w:rPr>
      </w:pPr>
      <w:r>
        <w:rPr>
          <w:rFonts w:hint="eastAsia"/>
        </w:rPr>
        <w:t>项目名称:</w:t>
      </w:r>
    </w:p>
    <w:p w14:paraId="7ABE9B92">
      <w:pPr>
        <w:pStyle w:val="36"/>
        <w:rPr>
          <w:rFonts w:hint="eastAsia"/>
        </w:rPr>
      </w:pPr>
      <w:r>
        <w:rPr>
          <w:rFonts w:hint="eastAsia"/>
        </w:rPr>
        <w:t>项目编号:</w:t>
      </w:r>
    </w:p>
    <w:p w14:paraId="7D632D3E">
      <w:pPr>
        <w:pStyle w:val="36"/>
        <w:rPr>
          <w:rFonts w:hint="eastAsia"/>
        </w:rPr>
      </w:pPr>
      <w:r>
        <w:rPr>
          <w:rFonts w:hint="eastAsia"/>
        </w:rPr>
        <w:t>分包号:</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76"/>
        <w:gridCol w:w="4494"/>
      </w:tblGrid>
      <w:tr w14:paraId="5C445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4598" w:type="dxa"/>
            <w:vAlign w:val="center"/>
          </w:tcPr>
          <w:p w14:paraId="60CB9171">
            <w:pPr>
              <w:pStyle w:val="36"/>
              <w:rPr>
                <w:rFonts w:hint="eastAsia"/>
              </w:rPr>
            </w:pPr>
            <w:r>
              <w:rPr>
                <w:rFonts w:cs="宋体"/>
                <w:szCs w:val="24"/>
              </w:rPr>
              <w:t>投标货物名称</w:t>
            </w:r>
          </w:p>
        </w:tc>
        <w:tc>
          <w:tcPr>
            <w:tcW w:w="4598" w:type="dxa"/>
            <w:vAlign w:val="center"/>
          </w:tcPr>
          <w:p w14:paraId="7C9787DF">
            <w:pPr>
              <w:pStyle w:val="36"/>
              <w:rPr>
                <w:rFonts w:hint="eastAsia"/>
              </w:rPr>
            </w:pPr>
            <w:r>
              <w:rPr>
                <w:rFonts w:cs="宋体"/>
                <w:szCs w:val="24"/>
              </w:rPr>
              <w:t>总价（小写）</w:t>
            </w:r>
          </w:p>
        </w:tc>
      </w:tr>
      <w:tr w14:paraId="6A410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598" w:type="dxa"/>
            <w:vAlign w:val="center"/>
          </w:tcPr>
          <w:p w14:paraId="45E8B6CC">
            <w:pPr>
              <w:pStyle w:val="36"/>
              <w:rPr>
                <w:rFonts w:hint="eastAsia"/>
              </w:rPr>
            </w:pPr>
            <w:r>
              <w:rPr>
                <w:rFonts w:cs="宋体"/>
                <w:szCs w:val="24"/>
                <w:shd w:val="clear" w:color="auto" w:fill="FFFFFF"/>
              </w:rPr>
              <w:t>投标产品名称</w:t>
            </w:r>
            <w:r>
              <w:rPr>
                <w:rFonts w:cs="宋体"/>
                <w:szCs w:val="24"/>
              </w:rPr>
              <w:t> </w:t>
            </w:r>
          </w:p>
        </w:tc>
        <w:tc>
          <w:tcPr>
            <w:tcW w:w="4598" w:type="dxa"/>
            <w:vAlign w:val="center"/>
          </w:tcPr>
          <w:p w14:paraId="0BB99976">
            <w:pPr>
              <w:pStyle w:val="36"/>
              <w:rPr>
                <w:rFonts w:hint="eastAsia"/>
              </w:rPr>
            </w:pPr>
            <w:r>
              <w:rPr>
                <w:rFonts w:hint="eastAsia"/>
              </w:rPr>
              <w:t>（     ）元</w:t>
            </w:r>
          </w:p>
        </w:tc>
      </w:tr>
      <w:tr w14:paraId="353CD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4598" w:type="dxa"/>
            <w:vAlign w:val="center"/>
          </w:tcPr>
          <w:p w14:paraId="5B96E308">
            <w:pPr>
              <w:pStyle w:val="36"/>
              <w:rPr>
                <w:rFonts w:hint="eastAsia"/>
              </w:rPr>
            </w:pPr>
            <w:r>
              <w:rPr>
                <w:rFonts w:hint="eastAsia"/>
              </w:rPr>
              <w:t>核心产品</w:t>
            </w:r>
          </w:p>
        </w:tc>
        <w:tc>
          <w:tcPr>
            <w:tcW w:w="4598" w:type="dxa"/>
            <w:vAlign w:val="center"/>
          </w:tcPr>
          <w:p w14:paraId="46909F52">
            <w:pPr>
              <w:pStyle w:val="36"/>
              <w:rPr>
                <w:rFonts w:hint="eastAsia"/>
              </w:rPr>
            </w:pPr>
            <w:r>
              <w:rPr>
                <w:rFonts w:hint="eastAsia"/>
              </w:rPr>
              <w:t>（     ）</w:t>
            </w:r>
          </w:p>
        </w:tc>
      </w:tr>
    </w:tbl>
    <w:p w14:paraId="7A493899">
      <w:pPr>
        <w:pStyle w:val="36"/>
        <w:rPr>
          <w:rFonts w:hint="eastAsia" w:cs="宋体"/>
          <w:sz w:val="28"/>
        </w:rPr>
      </w:pPr>
      <w:r>
        <w:t> 年 月</w:t>
      </w:r>
      <w:r>
        <w:rPr>
          <w:rFonts w:hint="eastAsia"/>
        </w:rPr>
        <w:t xml:space="preserve"> </w:t>
      </w:r>
      <w:r>
        <w:t>日</w:t>
      </w:r>
    </w:p>
    <w:p w14:paraId="660D50F2">
      <w:pPr>
        <w:spacing w:line="480" w:lineRule="exact"/>
        <w:rPr>
          <w:rFonts w:hint="eastAsia" w:ascii="宋体" w:hAnsi="宋体" w:cs="宋体"/>
          <w:sz w:val="28"/>
        </w:rPr>
      </w:pPr>
    </w:p>
    <w:p w14:paraId="27E74E6C">
      <w:pPr>
        <w:spacing w:line="480" w:lineRule="exact"/>
        <w:rPr>
          <w:rFonts w:hint="eastAsia" w:ascii="宋体" w:hAnsi="宋体" w:cs="宋体"/>
          <w:sz w:val="28"/>
        </w:rPr>
      </w:pPr>
    </w:p>
    <w:p w14:paraId="6FB85E65">
      <w:pPr>
        <w:spacing w:line="480" w:lineRule="exact"/>
        <w:rPr>
          <w:rFonts w:hint="eastAsia" w:ascii="宋体" w:hAnsi="宋体" w:cs="宋体"/>
          <w:sz w:val="28"/>
        </w:rPr>
      </w:pPr>
    </w:p>
    <w:p w14:paraId="0F0A4EBE">
      <w:pPr>
        <w:spacing w:line="480" w:lineRule="exact"/>
        <w:rPr>
          <w:rFonts w:hint="eastAsia" w:ascii="宋体" w:hAnsi="宋体" w:cs="宋体"/>
          <w:sz w:val="28"/>
        </w:rPr>
      </w:pPr>
    </w:p>
    <w:p w14:paraId="197B80DA">
      <w:pPr>
        <w:spacing w:line="480" w:lineRule="exact"/>
        <w:rPr>
          <w:rFonts w:hint="eastAsia" w:ascii="宋体" w:hAnsi="宋体" w:cs="宋体"/>
          <w:sz w:val="28"/>
        </w:rPr>
      </w:pPr>
    </w:p>
    <w:p w14:paraId="320AFD05">
      <w:pPr>
        <w:spacing w:line="480" w:lineRule="exact"/>
        <w:rPr>
          <w:rFonts w:hint="eastAsia" w:ascii="宋体" w:hAnsi="宋体" w:cs="宋体"/>
          <w:sz w:val="28"/>
        </w:rPr>
      </w:pPr>
    </w:p>
    <w:p w14:paraId="6A9969C7">
      <w:pPr>
        <w:spacing w:line="480" w:lineRule="exact"/>
        <w:rPr>
          <w:rFonts w:hint="eastAsia" w:ascii="宋体" w:hAnsi="宋体" w:cs="宋体"/>
          <w:sz w:val="28"/>
        </w:rPr>
      </w:pPr>
    </w:p>
    <w:p w14:paraId="1A7BE3A4">
      <w:pPr>
        <w:spacing w:line="480" w:lineRule="exact"/>
        <w:rPr>
          <w:rFonts w:hint="eastAsia" w:ascii="宋体" w:hAnsi="宋体" w:cs="宋体"/>
          <w:sz w:val="28"/>
        </w:rPr>
      </w:pPr>
    </w:p>
    <w:p w14:paraId="1DD8D715">
      <w:pPr>
        <w:spacing w:line="480" w:lineRule="exact"/>
        <w:rPr>
          <w:rFonts w:hint="eastAsia" w:ascii="宋体" w:hAnsi="宋体" w:cs="宋体"/>
          <w:sz w:val="28"/>
        </w:rPr>
      </w:pPr>
    </w:p>
    <w:p w14:paraId="22C00591">
      <w:pPr>
        <w:spacing w:line="480" w:lineRule="exact"/>
        <w:rPr>
          <w:rFonts w:hint="eastAsia" w:ascii="宋体" w:hAnsi="宋体" w:cs="宋体"/>
          <w:sz w:val="28"/>
        </w:rPr>
      </w:pPr>
    </w:p>
    <w:p w14:paraId="3BA24359">
      <w:pPr>
        <w:spacing w:line="480" w:lineRule="exact"/>
        <w:rPr>
          <w:rFonts w:hint="eastAsia" w:ascii="宋体" w:hAnsi="宋体" w:cs="宋体"/>
          <w:sz w:val="28"/>
        </w:rPr>
      </w:pPr>
    </w:p>
    <w:p w14:paraId="5AFE8599">
      <w:pPr>
        <w:spacing w:line="480" w:lineRule="exact"/>
        <w:rPr>
          <w:rFonts w:hint="eastAsia" w:ascii="宋体" w:hAnsi="宋体" w:cs="宋体"/>
          <w:sz w:val="28"/>
        </w:rPr>
      </w:pPr>
    </w:p>
    <w:p w14:paraId="7158175F">
      <w:pPr>
        <w:spacing w:line="480" w:lineRule="exact"/>
        <w:rPr>
          <w:rFonts w:hint="eastAsia" w:ascii="宋体" w:hAnsi="宋体" w:cs="宋体"/>
          <w:sz w:val="28"/>
        </w:rPr>
      </w:pPr>
    </w:p>
    <w:p w14:paraId="5B857AB7">
      <w:pPr>
        <w:spacing w:line="480" w:lineRule="exact"/>
        <w:rPr>
          <w:rFonts w:hint="eastAsia" w:ascii="宋体" w:hAnsi="宋体" w:cs="宋体"/>
          <w:sz w:val="28"/>
        </w:rPr>
      </w:pPr>
    </w:p>
    <w:p w14:paraId="2AC1AB34">
      <w:pPr>
        <w:spacing w:line="480" w:lineRule="exact"/>
        <w:rPr>
          <w:rFonts w:hint="eastAsia" w:ascii="宋体" w:hAnsi="宋体" w:cs="宋体"/>
          <w:sz w:val="28"/>
        </w:rPr>
      </w:pPr>
    </w:p>
    <w:p w14:paraId="62D1B2DE">
      <w:pPr>
        <w:spacing w:line="480" w:lineRule="exact"/>
        <w:rPr>
          <w:rFonts w:hint="eastAsia" w:ascii="宋体" w:hAnsi="宋体" w:cs="宋体"/>
          <w:b/>
          <w:szCs w:val="16"/>
        </w:rPr>
      </w:pPr>
      <w:r>
        <w:rPr>
          <w:rFonts w:hint="eastAsia" w:ascii="宋体" w:hAnsi="宋体" w:cs="宋体"/>
          <w:sz w:val="28"/>
        </w:rPr>
        <w:t xml:space="preserve">       </w:t>
      </w:r>
      <w:bookmarkEnd w:id="69"/>
    </w:p>
    <w:p w14:paraId="21C7EBB5">
      <w:pPr>
        <w:widowControl/>
        <w:tabs>
          <w:tab w:val="center" w:pos="4708"/>
          <w:tab w:val="left" w:pos="6939"/>
        </w:tabs>
        <w:spacing w:before="19" w:line="360" w:lineRule="auto"/>
        <w:jc w:val="center"/>
        <w:rPr>
          <w:rFonts w:hint="eastAsia" w:ascii="宋体" w:hAnsi="宋体" w:cs="宋体"/>
          <w:b/>
          <w:bCs/>
          <w:sz w:val="32"/>
          <w:szCs w:val="32"/>
        </w:rPr>
      </w:pPr>
      <w:r>
        <w:rPr>
          <w:rFonts w:hint="eastAsia" w:ascii="宋体" w:hAnsi="宋体" w:cs="宋体"/>
          <w:b/>
          <w:bCs/>
          <w:sz w:val="32"/>
          <w:szCs w:val="32"/>
        </w:rPr>
        <w:t>三、投标报价明细表</w:t>
      </w:r>
    </w:p>
    <w:p w14:paraId="0DAA384D">
      <w:pPr>
        <w:pStyle w:val="3"/>
        <w:jc w:val="right"/>
      </w:pPr>
      <w:r>
        <w:rPr>
          <w:rFonts w:hint="eastAsia" w:ascii="宋体" w:hAnsi="宋体" w:eastAsia="宋体" w:cs="宋体"/>
          <w:b w:val="0"/>
          <w:sz w:val="24"/>
          <w:szCs w:val="24"/>
        </w:rPr>
        <w:t xml:space="preserve"> </w:t>
      </w:r>
      <w:r>
        <w:rPr>
          <w:rFonts w:hint="eastAsia" w:ascii="宋体" w:hAnsi="宋体" w:eastAsia="宋体" w:cs="宋体"/>
          <w:sz w:val="24"/>
          <w:szCs w:val="24"/>
        </w:rPr>
        <w:t xml:space="preserve"> 单位：元</w:t>
      </w:r>
    </w:p>
    <w:tbl>
      <w:tblPr>
        <w:tblStyle w:val="40"/>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219"/>
        <w:gridCol w:w="1131"/>
        <w:gridCol w:w="750"/>
        <w:gridCol w:w="907"/>
        <w:gridCol w:w="988"/>
        <w:gridCol w:w="950"/>
        <w:gridCol w:w="825"/>
        <w:gridCol w:w="635"/>
        <w:gridCol w:w="992"/>
        <w:gridCol w:w="850"/>
      </w:tblGrid>
      <w:tr w14:paraId="3FAEA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34" w:type="dxa"/>
            <w:vAlign w:val="center"/>
          </w:tcPr>
          <w:p w14:paraId="563EA8A1">
            <w:pPr>
              <w:pStyle w:val="21"/>
              <w:spacing w:line="340" w:lineRule="exact"/>
              <w:rPr>
                <w:rFonts w:hint="eastAsia" w:asciiTheme="minorEastAsia" w:hAnsiTheme="minorEastAsia"/>
                <w:sz w:val="22"/>
                <w:szCs w:val="22"/>
              </w:rPr>
            </w:pPr>
            <w:r>
              <w:rPr>
                <w:rFonts w:hint="eastAsia" w:asciiTheme="minorEastAsia" w:hAnsiTheme="minorEastAsia"/>
                <w:sz w:val="22"/>
                <w:szCs w:val="22"/>
              </w:rPr>
              <w:t>序号</w:t>
            </w:r>
          </w:p>
        </w:tc>
        <w:tc>
          <w:tcPr>
            <w:tcW w:w="1219" w:type="dxa"/>
            <w:vAlign w:val="center"/>
          </w:tcPr>
          <w:p w14:paraId="3CD80D58">
            <w:pPr>
              <w:pStyle w:val="21"/>
              <w:spacing w:line="340" w:lineRule="exact"/>
              <w:jc w:val="center"/>
              <w:rPr>
                <w:rFonts w:hint="eastAsia" w:asciiTheme="minorEastAsia" w:hAnsiTheme="minorEastAsia"/>
                <w:sz w:val="22"/>
                <w:szCs w:val="22"/>
              </w:rPr>
            </w:pPr>
            <w:r>
              <w:rPr>
                <w:rFonts w:hint="eastAsia" w:asciiTheme="minorEastAsia" w:hAnsiTheme="minorEastAsia"/>
                <w:sz w:val="22"/>
                <w:szCs w:val="22"/>
              </w:rPr>
              <w:t>货物名称</w:t>
            </w:r>
          </w:p>
        </w:tc>
        <w:tc>
          <w:tcPr>
            <w:tcW w:w="1131" w:type="dxa"/>
            <w:vAlign w:val="center"/>
          </w:tcPr>
          <w:p w14:paraId="4784AF2D">
            <w:pPr>
              <w:pStyle w:val="21"/>
              <w:spacing w:line="340" w:lineRule="exact"/>
              <w:jc w:val="center"/>
              <w:rPr>
                <w:rFonts w:hint="eastAsia" w:asciiTheme="minorEastAsia" w:hAnsiTheme="minorEastAsia"/>
                <w:sz w:val="22"/>
                <w:szCs w:val="22"/>
              </w:rPr>
            </w:pPr>
            <w:r>
              <w:rPr>
                <w:rFonts w:hint="eastAsia" w:asciiTheme="minorEastAsia" w:hAnsiTheme="minorEastAsia"/>
                <w:sz w:val="22"/>
                <w:szCs w:val="22"/>
              </w:rPr>
              <w:t>品牌规格型号</w:t>
            </w:r>
          </w:p>
        </w:tc>
        <w:tc>
          <w:tcPr>
            <w:tcW w:w="750" w:type="dxa"/>
            <w:vAlign w:val="center"/>
          </w:tcPr>
          <w:p w14:paraId="484132C1">
            <w:pPr>
              <w:pStyle w:val="21"/>
              <w:spacing w:line="340" w:lineRule="exact"/>
              <w:ind w:left="120" w:hanging="120"/>
              <w:rPr>
                <w:rFonts w:hint="eastAsia" w:asciiTheme="minorEastAsia" w:hAnsiTheme="minorEastAsia"/>
                <w:sz w:val="22"/>
                <w:szCs w:val="22"/>
              </w:rPr>
            </w:pPr>
            <w:r>
              <w:rPr>
                <w:rFonts w:hint="eastAsia" w:asciiTheme="minorEastAsia" w:hAnsiTheme="minorEastAsia"/>
                <w:sz w:val="22"/>
                <w:szCs w:val="22"/>
              </w:rPr>
              <w:t>数量</w:t>
            </w:r>
          </w:p>
        </w:tc>
        <w:tc>
          <w:tcPr>
            <w:tcW w:w="907" w:type="dxa"/>
            <w:vAlign w:val="center"/>
          </w:tcPr>
          <w:p w14:paraId="0844F50D">
            <w:pPr>
              <w:pStyle w:val="21"/>
              <w:spacing w:line="340" w:lineRule="exact"/>
              <w:jc w:val="center"/>
              <w:rPr>
                <w:rFonts w:hint="eastAsia" w:asciiTheme="minorEastAsia" w:hAnsiTheme="minorEastAsia"/>
                <w:sz w:val="22"/>
                <w:szCs w:val="22"/>
              </w:rPr>
            </w:pPr>
            <w:r>
              <w:rPr>
                <w:rFonts w:hint="eastAsia" w:asciiTheme="minorEastAsia" w:hAnsiTheme="minorEastAsia"/>
                <w:sz w:val="22"/>
                <w:szCs w:val="22"/>
              </w:rPr>
              <w:t>单位</w:t>
            </w:r>
          </w:p>
        </w:tc>
        <w:tc>
          <w:tcPr>
            <w:tcW w:w="988" w:type="dxa"/>
            <w:vAlign w:val="center"/>
          </w:tcPr>
          <w:p w14:paraId="5879AC84">
            <w:pPr>
              <w:pStyle w:val="21"/>
              <w:spacing w:line="340" w:lineRule="exact"/>
              <w:jc w:val="center"/>
              <w:rPr>
                <w:rFonts w:hint="eastAsia" w:asciiTheme="minorEastAsia" w:hAnsiTheme="minorEastAsia"/>
                <w:sz w:val="22"/>
                <w:szCs w:val="22"/>
              </w:rPr>
            </w:pPr>
            <w:r>
              <w:rPr>
                <w:rFonts w:hint="eastAsia" w:asciiTheme="minorEastAsia" w:hAnsiTheme="minorEastAsia"/>
                <w:sz w:val="22"/>
                <w:szCs w:val="22"/>
              </w:rPr>
              <w:t>单价</w:t>
            </w:r>
          </w:p>
        </w:tc>
        <w:tc>
          <w:tcPr>
            <w:tcW w:w="950" w:type="dxa"/>
            <w:vAlign w:val="center"/>
          </w:tcPr>
          <w:p w14:paraId="4EDC3804">
            <w:pPr>
              <w:pStyle w:val="21"/>
              <w:spacing w:line="340" w:lineRule="exact"/>
              <w:jc w:val="center"/>
              <w:rPr>
                <w:rFonts w:hint="eastAsia" w:asciiTheme="minorEastAsia" w:hAnsiTheme="minorEastAsia"/>
                <w:sz w:val="22"/>
                <w:szCs w:val="22"/>
              </w:rPr>
            </w:pPr>
            <w:r>
              <w:rPr>
                <w:rFonts w:hint="eastAsia" w:asciiTheme="minorEastAsia" w:hAnsiTheme="minorEastAsia"/>
                <w:sz w:val="22"/>
                <w:szCs w:val="22"/>
              </w:rPr>
              <w:t>总价</w:t>
            </w:r>
          </w:p>
        </w:tc>
        <w:tc>
          <w:tcPr>
            <w:tcW w:w="825" w:type="dxa"/>
            <w:vAlign w:val="center"/>
          </w:tcPr>
          <w:p w14:paraId="715DD927">
            <w:pPr>
              <w:pStyle w:val="21"/>
              <w:spacing w:line="340" w:lineRule="exact"/>
              <w:jc w:val="center"/>
              <w:rPr>
                <w:rFonts w:hint="eastAsia" w:asciiTheme="minorEastAsia" w:hAnsiTheme="minorEastAsia"/>
                <w:sz w:val="22"/>
                <w:szCs w:val="22"/>
              </w:rPr>
            </w:pPr>
            <w:r>
              <w:rPr>
                <w:rFonts w:hint="eastAsia" w:asciiTheme="minorEastAsia" w:hAnsiTheme="minorEastAsia"/>
                <w:sz w:val="22"/>
                <w:szCs w:val="22"/>
              </w:rPr>
              <w:t>生产</w:t>
            </w:r>
          </w:p>
          <w:p w14:paraId="386095FE">
            <w:pPr>
              <w:pStyle w:val="21"/>
              <w:spacing w:line="340" w:lineRule="exact"/>
              <w:jc w:val="center"/>
              <w:rPr>
                <w:rFonts w:hint="eastAsia" w:asciiTheme="minorEastAsia" w:hAnsiTheme="minorEastAsia"/>
                <w:sz w:val="22"/>
                <w:szCs w:val="22"/>
              </w:rPr>
            </w:pPr>
            <w:r>
              <w:rPr>
                <w:rFonts w:hint="eastAsia" w:asciiTheme="minorEastAsia" w:hAnsiTheme="minorEastAsia"/>
                <w:sz w:val="22"/>
                <w:szCs w:val="22"/>
              </w:rPr>
              <w:t>厂商</w:t>
            </w:r>
          </w:p>
        </w:tc>
        <w:tc>
          <w:tcPr>
            <w:tcW w:w="635" w:type="dxa"/>
            <w:vAlign w:val="center"/>
          </w:tcPr>
          <w:p w14:paraId="6C670F9B">
            <w:pPr>
              <w:pStyle w:val="21"/>
              <w:spacing w:line="340" w:lineRule="exact"/>
              <w:jc w:val="center"/>
              <w:rPr>
                <w:rFonts w:hint="eastAsia" w:asciiTheme="minorEastAsia" w:hAnsiTheme="minorEastAsia"/>
                <w:sz w:val="22"/>
                <w:szCs w:val="22"/>
              </w:rPr>
            </w:pPr>
            <w:r>
              <w:rPr>
                <w:rFonts w:hint="eastAsia" w:asciiTheme="minorEastAsia" w:hAnsiTheme="minorEastAsia"/>
                <w:sz w:val="22"/>
                <w:szCs w:val="22"/>
              </w:rPr>
              <w:t>产地</w:t>
            </w:r>
          </w:p>
        </w:tc>
        <w:tc>
          <w:tcPr>
            <w:tcW w:w="992" w:type="dxa"/>
            <w:vAlign w:val="center"/>
          </w:tcPr>
          <w:p w14:paraId="48CEA172">
            <w:pPr>
              <w:pStyle w:val="21"/>
              <w:spacing w:line="340" w:lineRule="exact"/>
              <w:jc w:val="center"/>
              <w:rPr>
                <w:rFonts w:hint="eastAsia" w:asciiTheme="minorEastAsia" w:hAnsiTheme="minorEastAsia"/>
                <w:sz w:val="22"/>
                <w:szCs w:val="22"/>
              </w:rPr>
            </w:pPr>
            <w:r>
              <w:rPr>
                <w:rFonts w:hint="eastAsia" w:asciiTheme="minorEastAsia" w:hAnsiTheme="minorEastAsia"/>
                <w:sz w:val="22"/>
                <w:szCs w:val="22"/>
              </w:rPr>
              <w:t>质保期</w:t>
            </w:r>
          </w:p>
        </w:tc>
        <w:tc>
          <w:tcPr>
            <w:tcW w:w="850" w:type="dxa"/>
            <w:vAlign w:val="center"/>
          </w:tcPr>
          <w:p w14:paraId="3A14813C">
            <w:pPr>
              <w:widowControl/>
              <w:jc w:val="center"/>
              <w:rPr>
                <w:rFonts w:hint="eastAsia" w:asciiTheme="minorEastAsia" w:hAnsiTheme="minorEastAsia"/>
                <w:sz w:val="22"/>
                <w:szCs w:val="22"/>
              </w:rPr>
            </w:pPr>
            <w:r>
              <w:rPr>
                <w:rFonts w:hint="eastAsia" w:asciiTheme="minorEastAsia" w:hAnsiTheme="minorEastAsia"/>
                <w:sz w:val="22"/>
                <w:szCs w:val="22"/>
              </w:rPr>
              <w:t>备注</w:t>
            </w:r>
          </w:p>
        </w:tc>
      </w:tr>
      <w:tr w14:paraId="33E97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534" w:type="dxa"/>
            <w:vAlign w:val="center"/>
          </w:tcPr>
          <w:p w14:paraId="2A4C5A4C">
            <w:pPr>
              <w:pStyle w:val="21"/>
              <w:spacing w:line="340" w:lineRule="exact"/>
              <w:jc w:val="center"/>
              <w:rPr>
                <w:rFonts w:hint="eastAsia" w:asciiTheme="minorEastAsia" w:hAnsiTheme="minorEastAsia"/>
                <w:sz w:val="22"/>
                <w:szCs w:val="22"/>
              </w:rPr>
            </w:pPr>
            <w:r>
              <w:rPr>
                <w:rFonts w:hint="eastAsia" w:asciiTheme="minorEastAsia" w:hAnsiTheme="minorEastAsia"/>
                <w:sz w:val="22"/>
                <w:szCs w:val="22"/>
              </w:rPr>
              <w:t>1</w:t>
            </w:r>
          </w:p>
        </w:tc>
        <w:tc>
          <w:tcPr>
            <w:tcW w:w="1219" w:type="dxa"/>
            <w:vAlign w:val="center"/>
          </w:tcPr>
          <w:p w14:paraId="4E30D9A5">
            <w:pPr>
              <w:pStyle w:val="21"/>
              <w:spacing w:line="340" w:lineRule="exact"/>
              <w:jc w:val="center"/>
              <w:rPr>
                <w:rFonts w:hint="eastAsia" w:asciiTheme="minorEastAsia" w:hAnsiTheme="minorEastAsia"/>
                <w:sz w:val="22"/>
                <w:szCs w:val="22"/>
              </w:rPr>
            </w:pPr>
          </w:p>
        </w:tc>
        <w:tc>
          <w:tcPr>
            <w:tcW w:w="1131" w:type="dxa"/>
            <w:vAlign w:val="center"/>
          </w:tcPr>
          <w:p w14:paraId="431A6615">
            <w:pPr>
              <w:pStyle w:val="21"/>
              <w:spacing w:line="340" w:lineRule="exact"/>
              <w:jc w:val="center"/>
              <w:rPr>
                <w:rFonts w:hint="eastAsia" w:asciiTheme="minorEastAsia" w:hAnsiTheme="minorEastAsia"/>
                <w:sz w:val="22"/>
                <w:szCs w:val="22"/>
              </w:rPr>
            </w:pPr>
          </w:p>
        </w:tc>
        <w:tc>
          <w:tcPr>
            <w:tcW w:w="750" w:type="dxa"/>
            <w:vAlign w:val="center"/>
          </w:tcPr>
          <w:p w14:paraId="66CB16FB">
            <w:pPr>
              <w:pStyle w:val="21"/>
              <w:spacing w:line="340" w:lineRule="exact"/>
              <w:jc w:val="center"/>
              <w:rPr>
                <w:rFonts w:hint="eastAsia" w:asciiTheme="minorEastAsia" w:hAnsiTheme="minorEastAsia"/>
                <w:sz w:val="22"/>
                <w:szCs w:val="22"/>
              </w:rPr>
            </w:pPr>
          </w:p>
        </w:tc>
        <w:tc>
          <w:tcPr>
            <w:tcW w:w="907" w:type="dxa"/>
            <w:vAlign w:val="center"/>
          </w:tcPr>
          <w:p w14:paraId="183D95D8">
            <w:pPr>
              <w:pStyle w:val="21"/>
              <w:spacing w:line="340" w:lineRule="exact"/>
              <w:jc w:val="center"/>
              <w:rPr>
                <w:rFonts w:hint="eastAsia" w:asciiTheme="minorEastAsia" w:hAnsiTheme="minorEastAsia"/>
                <w:sz w:val="22"/>
                <w:szCs w:val="22"/>
              </w:rPr>
            </w:pPr>
          </w:p>
        </w:tc>
        <w:tc>
          <w:tcPr>
            <w:tcW w:w="988" w:type="dxa"/>
            <w:vAlign w:val="center"/>
          </w:tcPr>
          <w:p w14:paraId="0DAA4036">
            <w:pPr>
              <w:pStyle w:val="21"/>
              <w:spacing w:line="340" w:lineRule="exact"/>
              <w:jc w:val="center"/>
              <w:rPr>
                <w:rFonts w:hint="eastAsia" w:asciiTheme="minorEastAsia" w:hAnsiTheme="minorEastAsia"/>
                <w:sz w:val="22"/>
                <w:szCs w:val="22"/>
              </w:rPr>
            </w:pPr>
          </w:p>
        </w:tc>
        <w:tc>
          <w:tcPr>
            <w:tcW w:w="950" w:type="dxa"/>
            <w:vAlign w:val="center"/>
          </w:tcPr>
          <w:p w14:paraId="576E08B2">
            <w:pPr>
              <w:pStyle w:val="21"/>
              <w:spacing w:line="340" w:lineRule="exact"/>
              <w:jc w:val="center"/>
              <w:rPr>
                <w:rFonts w:hint="eastAsia" w:asciiTheme="minorEastAsia" w:hAnsiTheme="minorEastAsia"/>
                <w:sz w:val="22"/>
                <w:szCs w:val="22"/>
              </w:rPr>
            </w:pPr>
          </w:p>
        </w:tc>
        <w:tc>
          <w:tcPr>
            <w:tcW w:w="825" w:type="dxa"/>
            <w:vAlign w:val="center"/>
          </w:tcPr>
          <w:p w14:paraId="33506D88">
            <w:pPr>
              <w:pStyle w:val="21"/>
              <w:spacing w:line="340" w:lineRule="exact"/>
              <w:jc w:val="center"/>
              <w:rPr>
                <w:rFonts w:hint="eastAsia" w:asciiTheme="minorEastAsia" w:hAnsiTheme="minorEastAsia"/>
                <w:sz w:val="22"/>
                <w:szCs w:val="22"/>
              </w:rPr>
            </w:pPr>
          </w:p>
        </w:tc>
        <w:tc>
          <w:tcPr>
            <w:tcW w:w="635" w:type="dxa"/>
            <w:vAlign w:val="center"/>
          </w:tcPr>
          <w:p w14:paraId="2F86BE38">
            <w:pPr>
              <w:pStyle w:val="21"/>
              <w:spacing w:line="340" w:lineRule="exact"/>
              <w:jc w:val="center"/>
              <w:rPr>
                <w:rFonts w:hint="eastAsia" w:asciiTheme="minorEastAsia" w:hAnsiTheme="minorEastAsia"/>
                <w:sz w:val="22"/>
                <w:szCs w:val="22"/>
              </w:rPr>
            </w:pPr>
          </w:p>
        </w:tc>
        <w:tc>
          <w:tcPr>
            <w:tcW w:w="992" w:type="dxa"/>
            <w:vAlign w:val="center"/>
          </w:tcPr>
          <w:p w14:paraId="5F3C2C94">
            <w:pPr>
              <w:pStyle w:val="21"/>
              <w:spacing w:line="340" w:lineRule="exact"/>
              <w:jc w:val="center"/>
              <w:rPr>
                <w:rFonts w:hint="eastAsia" w:asciiTheme="minorEastAsia" w:hAnsiTheme="minorEastAsia"/>
                <w:sz w:val="22"/>
                <w:szCs w:val="22"/>
              </w:rPr>
            </w:pPr>
          </w:p>
        </w:tc>
        <w:tc>
          <w:tcPr>
            <w:tcW w:w="850" w:type="dxa"/>
          </w:tcPr>
          <w:p w14:paraId="2287197C">
            <w:pPr>
              <w:pStyle w:val="21"/>
              <w:spacing w:line="340" w:lineRule="exact"/>
              <w:jc w:val="center"/>
              <w:rPr>
                <w:rFonts w:hint="eastAsia" w:asciiTheme="minorEastAsia" w:hAnsiTheme="minorEastAsia"/>
                <w:sz w:val="22"/>
                <w:szCs w:val="22"/>
              </w:rPr>
            </w:pPr>
          </w:p>
        </w:tc>
      </w:tr>
      <w:tr w14:paraId="68A3F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34" w:type="dxa"/>
            <w:vAlign w:val="center"/>
          </w:tcPr>
          <w:p w14:paraId="1F7598A6">
            <w:pPr>
              <w:pStyle w:val="21"/>
              <w:spacing w:line="340" w:lineRule="exact"/>
              <w:jc w:val="center"/>
              <w:rPr>
                <w:rFonts w:hint="eastAsia" w:asciiTheme="minorEastAsia" w:hAnsiTheme="minorEastAsia"/>
                <w:sz w:val="22"/>
                <w:szCs w:val="22"/>
              </w:rPr>
            </w:pPr>
            <w:r>
              <w:rPr>
                <w:rFonts w:hint="eastAsia" w:asciiTheme="minorEastAsia" w:hAnsiTheme="minorEastAsia"/>
                <w:sz w:val="22"/>
                <w:szCs w:val="22"/>
              </w:rPr>
              <w:t>2</w:t>
            </w:r>
          </w:p>
        </w:tc>
        <w:tc>
          <w:tcPr>
            <w:tcW w:w="1219" w:type="dxa"/>
            <w:vAlign w:val="center"/>
          </w:tcPr>
          <w:p w14:paraId="7D6DE0D5">
            <w:pPr>
              <w:pStyle w:val="21"/>
              <w:spacing w:line="340" w:lineRule="exact"/>
              <w:jc w:val="center"/>
              <w:rPr>
                <w:rFonts w:hint="eastAsia" w:asciiTheme="minorEastAsia" w:hAnsiTheme="minorEastAsia"/>
                <w:sz w:val="22"/>
                <w:szCs w:val="22"/>
              </w:rPr>
            </w:pPr>
          </w:p>
        </w:tc>
        <w:tc>
          <w:tcPr>
            <w:tcW w:w="1131" w:type="dxa"/>
            <w:vAlign w:val="center"/>
          </w:tcPr>
          <w:p w14:paraId="7B5744FC">
            <w:pPr>
              <w:pStyle w:val="21"/>
              <w:spacing w:line="340" w:lineRule="exact"/>
              <w:jc w:val="center"/>
              <w:rPr>
                <w:rFonts w:hint="eastAsia" w:asciiTheme="minorEastAsia" w:hAnsiTheme="minorEastAsia"/>
                <w:sz w:val="22"/>
                <w:szCs w:val="22"/>
              </w:rPr>
            </w:pPr>
          </w:p>
        </w:tc>
        <w:tc>
          <w:tcPr>
            <w:tcW w:w="750" w:type="dxa"/>
            <w:vAlign w:val="center"/>
          </w:tcPr>
          <w:p w14:paraId="5DFE7041">
            <w:pPr>
              <w:pStyle w:val="21"/>
              <w:spacing w:line="340" w:lineRule="exact"/>
              <w:jc w:val="center"/>
              <w:rPr>
                <w:rFonts w:hint="eastAsia" w:asciiTheme="minorEastAsia" w:hAnsiTheme="minorEastAsia"/>
                <w:sz w:val="22"/>
                <w:szCs w:val="22"/>
              </w:rPr>
            </w:pPr>
          </w:p>
        </w:tc>
        <w:tc>
          <w:tcPr>
            <w:tcW w:w="907" w:type="dxa"/>
            <w:vAlign w:val="center"/>
          </w:tcPr>
          <w:p w14:paraId="05255F6F">
            <w:pPr>
              <w:pStyle w:val="21"/>
              <w:spacing w:line="340" w:lineRule="exact"/>
              <w:jc w:val="center"/>
              <w:rPr>
                <w:rFonts w:hint="eastAsia" w:asciiTheme="minorEastAsia" w:hAnsiTheme="minorEastAsia"/>
                <w:sz w:val="22"/>
                <w:szCs w:val="22"/>
              </w:rPr>
            </w:pPr>
          </w:p>
        </w:tc>
        <w:tc>
          <w:tcPr>
            <w:tcW w:w="988" w:type="dxa"/>
            <w:vAlign w:val="center"/>
          </w:tcPr>
          <w:p w14:paraId="05CAD56F">
            <w:pPr>
              <w:pStyle w:val="21"/>
              <w:spacing w:line="340" w:lineRule="exact"/>
              <w:jc w:val="center"/>
              <w:rPr>
                <w:rFonts w:hint="eastAsia" w:asciiTheme="minorEastAsia" w:hAnsiTheme="minorEastAsia"/>
                <w:sz w:val="22"/>
                <w:szCs w:val="22"/>
              </w:rPr>
            </w:pPr>
          </w:p>
        </w:tc>
        <w:tc>
          <w:tcPr>
            <w:tcW w:w="950" w:type="dxa"/>
            <w:vAlign w:val="center"/>
          </w:tcPr>
          <w:p w14:paraId="516AA7F7">
            <w:pPr>
              <w:pStyle w:val="21"/>
              <w:spacing w:line="340" w:lineRule="exact"/>
              <w:jc w:val="center"/>
              <w:rPr>
                <w:rFonts w:hint="eastAsia" w:asciiTheme="minorEastAsia" w:hAnsiTheme="minorEastAsia"/>
                <w:sz w:val="22"/>
                <w:szCs w:val="22"/>
              </w:rPr>
            </w:pPr>
          </w:p>
        </w:tc>
        <w:tc>
          <w:tcPr>
            <w:tcW w:w="825" w:type="dxa"/>
            <w:vAlign w:val="center"/>
          </w:tcPr>
          <w:p w14:paraId="03BA81C1">
            <w:pPr>
              <w:pStyle w:val="21"/>
              <w:spacing w:line="340" w:lineRule="exact"/>
              <w:jc w:val="center"/>
              <w:rPr>
                <w:rFonts w:hint="eastAsia" w:asciiTheme="minorEastAsia" w:hAnsiTheme="minorEastAsia"/>
                <w:sz w:val="22"/>
                <w:szCs w:val="22"/>
              </w:rPr>
            </w:pPr>
          </w:p>
        </w:tc>
        <w:tc>
          <w:tcPr>
            <w:tcW w:w="635" w:type="dxa"/>
            <w:vAlign w:val="center"/>
          </w:tcPr>
          <w:p w14:paraId="2510867B">
            <w:pPr>
              <w:pStyle w:val="21"/>
              <w:spacing w:line="340" w:lineRule="exact"/>
              <w:jc w:val="center"/>
              <w:rPr>
                <w:rFonts w:hint="eastAsia" w:asciiTheme="minorEastAsia" w:hAnsiTheme="minorEastAsia"/>
                <w:sz w:val="22"/>
                <w:szCs w:val="22"/>
              </w:rPr>
            </w:pPr>
          </w:p>
        </w:tc>
        <w:tc>
          <w:tcPr>
            <w:tcW w:w="992" w:type="dxa"/>
            <w:vAlign w:val="center"/>
          </w:tcPr>
          <w:p w14:paraId="0603ED76">
            <w:pPr>
              <w:pStyle w:val="21"/>
              <w:spacing w:line="340" w:lineRule="exact"/>
              <w:jc w:val="center"/>
              <w:rPr>
                <w:rFonts w:hint="eastAsia" w:asciiTheme="minorEastAsia" w:hAnsiTheme="minorEastAsia"/>
                <w:sz w:val="22"/>
                <w:szCs w:val="22"/>
              </w:rPr>
            </w:pPr>
          </w:p>
        </w:tc>
        <w:tc>
          <w:tcPr>
            <w:tcW w:w="850" w:type="dxa"/>
          </w:tcPr>
          <w:p w14:paraId="5FB97400">
            <w:pPr>
              <w:pStyle w:val="21"/>
              <w:spacing w:line="340" w:lineRule="exact"/>
              <w:jc w:val="center"/>
              <w:rPr>
                <w:rFonts w:hint="eastAsia" w:asciiTheme="minorEastAsia" w:hAnsiTheme="minorEastAsia"/>
                <w:sz w:val="22"/>
                <w:szCs w:val="22"/>
              </w:rPr>
            </w:pPr>
          </w:p>
        </w:tc>
      </w:tr>
      <w:tr w14:paraId="4E879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34" w:type="dxa"/>
            <w:vAlign w:val="center"/>
          </w:tcPr>
          <w:p w14:paraId="7639D3AE">
            <w:pPr>
              <w:pStyle w:val="21"/>
              <w:spacing w:line="340" w:lineRule="exact"/>
              <w:jc w:val="center"/>
              <w:rPr>
                <w:rFonts w:hint="eastAsia" w:asciiTheme="minorEastAsia" w:hAnsiTheme="minorEastAsia"/>
                <w:sz w:val="22"/>
                <w:szCs w:val="22"/>
              </w:rPr>
            </w:pPr>
            <w:r>
              <w:rPr>
                <w:rFonts w:hint="eastAsia" w:asciiTheme="minorEastAsia" w:hAnsiTheme="minorEastAsia"/>
                <w:sz w:val="22"/>
                <w:szCs w:val="22"/>
              </w:rPr>
              <w:t>3</w:t>
            </w:r>
          </w:p>
        </w:tc>
        <w:tc>
          <w:tcPr>
            <w:tcW w:w="1219" w:type="dxa"/>
            <w:vAlign w:val="center"/>
          </w:tcPr>
          <w:p w14:paraId="237AB073">
            <w:pPr>
              <w:pStyle w:val="21"/>
              <w:spacing w:line="340" w:lineRule="exact"/>
              <w:jc w:val="center"/>
              <w:rPr>
                <w:rFonts w:hint="eastAsia" w:asciiTheme="minorEastAsia" w:hAnsiTheme="minorEastAsia"/>
                <w:sz w:val="22"/>
                <w:szCs w:val="22"/>
              </w:rPr>
            </w:pPr>
          </w:p>
        </w:tc>
        <w:tc>
          <w:tcPr>
            <w:tcW w:w="1131" w:type="dxa"/>
            <w:vAlign w:val="center"/>
          </w:tcPr>
          <w:p w14:paraId="34CFF788">
            <w:pPr>
              <w:pStyle w:val="21"/>
              <w:spacing w:line="340" w:lineRule="exact"/>
              <w:jc w:val="center"/>
              <w:rPr>
                <w:rFonts w:hint="eastAsia" w:asciiTheme="minorEastAsia" w:hAnsiTheme="minorEastAsia"/>
                <w:sz w:val="22"/>
                <w:szCs w:val="22"/>
              </w:rPr>
            </w:pPr>
          </w:p>
        </w:tc>
        <w:tc>
          <w:tcPr>
            <w:tcW w:w="750" w:type="dxa"/>
            <w:vAlign w:val="center"/>
          </w:tcPr>
          <w:p w14:paraId="2957E863">
            <w:pPr>
              <w:pStyle w:val="21"/>
              <w:spacing w:line="340" w:lineRule="exact"/>
              <w:jc w:val="center"/>
              <w:rPr>
                <w:rFonts w:hint="eastAsia" w:asciiTheme="minorEastAsia" w:hAnsiTheme="minorEastAsia"/>
                <w:sz w:val="22"/>
                <w:szCs w:val="22"/>
              </w:rPr>
            </w:pPr>
          </w:p>
        </w:tc>
        <w:tc>
          <w:tcPr>
            <w:tcW w:w="907" w:type="dxa"/>
            <w:vAlign w:val="center"/>
          </w:tcPr>
          <w:p w14:paraId="2C7AD87C">
            <w:pPr>
              <w:pStyle w:val="21"/>
              <w:spacing w:line="340" w:lineRule="exact"/>
              <w:jc w:val="center"/>
              <w:rPr>
                <w:rFonts w:hint="eastAsia" w:asciiTheme="minorEastAsia" w:hAnsiTheme="minorEastAsia"/>
                <w:sz w:val="22"/>
                <w:szCs w:val="22"/>
              </w:rPr>
            </w:pPr>
          </w:p>
        </w:tc>
        <w:tc>
          <w:tcPr>
            <w:tcW w:w="988" w:type="dxa"/>
            <w:vAlign w:val="center"/>
          </w:tcPr>
          <w:p w14:paraId="7FCFE190">
            <w:pPr>
              <w:pStyle w:val="21"/>
              <w:spacing w:line="340" w:lineRule="exact"/>
              <w:jc w:val="center"/>
              <w:rPr>
                <w:rFonts w:hint="eastAsia" w:asciiTheme="minorEastAsia" w:hAnsiTheme="minorEastAsia"/>
                <w:sz w:val="22"/>
                <w:szCs w:val="22"/>
              </w:rPr>
            </w:pPr>
          </w:p>
        </w:tc>
        <w:tc>
          <w:tcPr>
            <w:tcW w:w="950" w:type="dxa"/>
            <w:vAlign w:val="center"/>
          </w:tcPr>
          <w:p w14:paraId="650D4D51">
            <w:pPr>
              <w:pStyle w:val="21"/>
              <w:spacing w:line="340" w:lineRule="exact"/>
              <w:jc w:val="center"/>
              <w:rPr>
                <w:rFonts w:hint="eastAsia" w:asciiTheme="minorEastAsia" w:hAnsiTheme="minorEastAsia"/>
                <w:sz w:val="22"/>
                <w:szCs w:val="22"/>
              </w:rPr>
            </w:pPr>
          </w:p>
        </w:tc>
        <w:tc>
          <w:tcPr>
            <w:tcW w:w="825" w:type="dxa"/>
            <w:vAlign w:val="center"/>
          </w:tcPr>
          <w:p w14:paraId="4A5C0DF1">
            <w:pPr>
              <w:pStyle w:val="21"/>
              <w:spacing w:line="340" w:lineRule="exact"/>
              <w:jc w:val="center"/>
              <w:rPr>
                <w:rFonts w:hint="eastAsia" w:asciiTheme="minorEastAsia" w:hAnsiTheme="minorEastAsia"/>
                <w:sz w:val="22"/>
                <w:szCs w:val="22"/>
              </w:rPr>
            </w:pPr>
          </w:p>
        </w:tc>
        <w:tc>
          <w:tcPr>
            <w:tcW w:w="635" w:type="dxa"/>
            <w:vAlign w:val="center"/>
          </w:tcPr>
          <w:p w14:paraId="488FB782">
            <w:pPr>
              <w:pStyle w:val="21"/>
              <w:spacing w:line="340" w:lineRule="exact"/>
              <w:jc w:val="center"/>
              <w:rPr>
                <w:rFonts w:hint="eastAsia" w:asciiTheme="minorEastAsia" w:hAnsiTheme="minorEastAsia"/>
                <w:sz w:val="22"/>
                <w:szCs w:val="22"/>
              </w:rPr>
            </w:pPr>
          </w:p>
        </w:tc>
        <w:tc>
          <w:tcPr>
            <w:tcW w:w="992" w:type="dxa"/>
            <w:vAlign w:val="center"/>
          </w:tcPr>
          <w:p w14:paraId="4C7FD1B7">
            <w:pPr>
              <w:pStyle w:val="21"/>
              <w:spacing w:line="340" w:lineRule="exact"/>
              <w:jc w:val="center"/>
              <w:rPr>
                <w:rFonts w:hint="eastAsia" w:asciiTheme="minorEastAsia" w:hAnsiTheme="minorEastAsia"/>
                <w:sz w:val="22"/>
                <w:szCs w:val="22"/>
              </w:rPr>
            </w:pPr>
          </w:p>
        </w:tc>
        <w:tc>
          <w:tcPr>
            <w:tcW w:w="850" w:type="dxa"/>
          </w:tcPr>
          <w:p w14:paraId="5E9D2B00">
            <w:pPr>
              <w:pStyle w:val="21"/>
              <w:spacing w:line="340" w:lineRule="exact"/>
              <w:jc w:val="center"/>
              <w:rPr>
                <w:rFonts w:hint="eastAsia" w:asciiTheme="minorEastAsia" w:hAnsiTheme="minorEastAsia"/>
                <w:sz w:val="22"/>
                <w:szCs w:val="22"/>
              </w:rPr>
            </w:pPr>
          </w:p>
        </w:tc>
      </w:tr>
      <w:tr w14:paraId="518EE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534" w:type="dxa"/>
            <w:vAlign w:val="center"/>
          </w:tcPr>
          <w:p w14:paraId="41CB7865">
            <w:pPr>
              <w:pStyle w:val="21"/>
              <w:spacing w:line="340" w:lineRule="exact"/>
              <w:jc w:val="center"/>
              <w:rPr>
                <w:rFonts w:hint="eastAsia" w:asciiTheme="minorEastAsia" w:hAnsiTheme="minorEastAsia"/>
                <w:sz w:val="22"/>
                <w:szCs w:val="22"/>
              </w:rPr>
            </w:pPr>
            <w:r>
              <w:rPr>
                <w:rFonts w:hint="eastAsia" w:asciiTheme="minorEastAsia" w:hAnsiTheme="minorEastAsia"/>
                <w:sz w:val="22"/>
                <w:szCs w:val="22"/>
              </w:rPr>
              <w:t>4</w:t>
            </w:r>
          </w:p>
        </w:tc>
        <w:tc>
          <w:tcPr>
            <w:tcW w:w="1219" w:type="dxa"/>
            <w:vAlign w:val="center"/>
          </w:tcPr>
          <w:p w14:paraId="35D685B2">
            <w:pPr>
              <w:pStyle w:val="21"/>
              <w:spacing w:line="340" w:lineRule="exact"/>
              <w:jc w:val="center"/>
              <w:rPr>
                <w:rFonts w:hint="eastAsia" w:asciiTheme="minorEastAsia" w:hAnsiTheme="minorEastAsia"/>
                <w:sz w:val="22"/>
                <w:szCs w:val="22"/>
              </w:rPr>
            </w:pPr>
          </w:p>
        </w:tc>
        <w:tc>
          <w:tcPr>
            <w:tcW w:w="1131" w:type="dxa"/>
            <w:vAlign w:val="center"/>
          </w:tcPr>
          <w:p w14:paraId="01D3D0B0">
            <w:pPr>
              <w:pStyle w:val="21"/>
              <w:spacing w:line="340" w:lineRule="exact"/>
              <w:jc w:val="center"/>
              <w:rPr>
                <w:rFonts w:hint="eastAsia" w:asciiTheme="minorEastAsia" w:hAnsiTheme="minorEastAsia"/>
                <w:sz w:val="22"/>
                <w:szCs w:val="22"/>
              </w:rPr>
            </w:pPr>
          </w:p>
        </w:tc>
        <w:tc>
          <w:tcPr>
            <w:tcW w:w="750" w:type="dxa"/>
            <w:vAlign w:val="center"/>
          </w:tcPr>
          <w:p w14:paraId="35F9AD4E">
            <w:pPr>
              <w:pStyle w:val="21"/>
              <w:spacing w:line="340" w:lineRule="exact"/>
              <w:jc w:val="center"/>
              <w:rPr>
                <w:rFonts w:hint="eastAsia" w:asciiTheme="minorEastAsia" w:hAnsiTheme="minorEastAsia"/>
                <w:sz w:val="22"/>
                <w:szCs w:val="22"/>
              </w:rPr>
            </w:pPr>
          </w:p>
        </w:tc>
        <w:tc>
          <w:tcPr>
            <w:tcW w:w="907" w:type="dxa"/>
            <w:vAlign w:val="center"/>
          </w:tcPr>
          <w:p w14:paraId="467A5A1C">
            <w:pPr>
              <w:pStyle w:val="21"/>
              <w:spacing w:line="340" w:lineRule="exact"/>
              <w:jc w:val="center"/>
              <w:rPr>
                <w:rFonts w:hint="eastAsia" w:asciiTheme="minorEastAsia" w:hAnsiTheme="minorEastAsia"/>
                <w:sz w:val="22"/>
                <w:szCs w:val="22"/>
              </w:rPr>
            </w:pPr>
          </w:p>
        </w:tc>
        <w:tc>
          <w:tcPr>
            <w:tcW w:w="988" w:type="dxa"/>
            <w:vAlign w:val="center"/>
          </w:tcPr>
          <w:p w14:paraId="5EDFCDAB">
            <w:pPr>
              <w:pStyle w:val="21"/>
              <w:spacing w:line="340" w:lineRule="exact"/>
              <w:jc w:val="center"/>
              <w:rPr>
                <w:rFonts w:hint="eastAsia" w:asciiTheme="minorEastAsia" w:hAnsiTheme="minorEastAsia"/>
                <w:sz w:val="22"/>
                <w:szCs w:val="22"/>
              </w:rPr>
            </w:pPr>
          </w:p>
        </w:tc>
        <w:tc>
          <w:tcPr>
            <w:tcW w:w="950" w:type="dxa"/>
            <w:vAlign w:val="center"/>
          </w:tcPr>
          <w:p w14:paraId="4AE20FBB">
            <w:pPr>
              <w:pStyle w:val="21"/>
              <w:spacing w:line="340" w:lineRule="exact"/>
              <w:jc w:val="center"/>
              <w:rPr>
                <w:rFonts w:hint="eastAsia" w:asciiTheme="minorEastAsia" w:hAnsiTheme="minorEastAsia"/>
                <w:sz w:val="22"/>
                <w:szCs w:val="22"/>
              </w:rPr>
            </w:pPr>
          </w:p>
        </w:tc>
        <w:tc>
          <w:tcPr>
            <w:tcW w:w="825" w:type="dxa"/>
            <w:vAlign w:val="center"/>
          </w:tcPr>
          <w:p w14:paraId="5D826760">
            <w:pPr>
              <w:pStyle w:val="21"/>
              <w:spacing w:line="340" w:lineRule="exact"/>
              <w:jc w:val="center"/>
              <w:rPr>
                <w:rFonts w:hint="eastAsia" w:asciiTheme="minorEastAsia" w:hAnsiTheme="minorEastAsia"/>
                <w:sz w:val="22"/>
                <w:szCs w:val="22"/>
              </w:rPr>
            </w:pPr>
          </w:p>
        </w:tc>
        <w:tc>
          <w:tcPr>
            <w:tcW w:w="635" w:type="dxa"/>
            <w:vAlign w:val="center"/>
          </w:tcPr>
          <w:p w14:paraId="6EC4C409">
            <w:pPr>
              <w:pStyle w:val="21"/>
              <w:spacing w:line="340" w:lineRule="exact"/>
              <w:jc w:val="center"/>
              <w:rPr>
                <w:rFonts w:hint="eastAsia" w:asciiTheme="minorEastAsia" w:hAnsiTheme="minorEastAsia"/>
                <w:sz w:val="22"/>
                <w:szCs w:val="22"/>
              </w:rPr>
            </w:pPr>
          </w:p>
        </w:tc>
        <w:tc>
          <w:tcPr>
            <w:tcW w:w="992" w:type="dxa"/>
            <w:vAlign w:val="center"/>
          </w:tcPr>
          <w:p w14:paraId="0DA17845">
            <w:pPr>
              <w:pStyle w:val="21"/>
              <w:spacing w:line="340" w:lineRule="exact"/>
              <w:jc w:val="center"/>
              <w:rPr>
                <w:rFonts w:hint="eastAsia" w:asciiTheme="minorEastAsia" w:hAnsiTheme="minorEastAsia"/>
                <w:sz w:val="22"/>
                <w:szCs w:val="22"/>
              </w:rPr>
            </w:pPr>
          </w:p>
        </w:tc>
        <w:tc>
          <w:tcPr>
            <w:tcW w:w="850" w:type="dxa"/>
          </w:tcPr>
          <w:p w14:paraId="068FB13B">
            <w:pPr>
              <w:pStyle w:val="21"/>
              <w:spacing w:line="340" w:lineRule="exact"/>
              <w:jc w:val="center"/>
              <w:rPr>
                <w:rFonts w:hint="eastAsia" w:asciiTheme="minorEastAsia" w:hAnsiTheme="minorEastAsia"/>
                <w:sz w:val="22"/>
                <w:szCs w:val="22"/>
              </w:rPr>
            </w:pPr>
          </w:p>
        </w:tc>
      </w:tr>
      <w:tr w14:paraId="6C2F9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34" w:type="dxa"/>
            <w:vAlign w:val="center"/>
          </w:tcPr>
          <w:p w14:paraId="7239DD94">
            <w:pPr>
              <w:pStyle w:val="21"/>
              <w:spacing w:line="340" w:lineRule="exact"/>
              <w:jc w:val="center"/>
              <w:rPr>
                <w:rFonts w:hint="eastAsia" w:asciiTheme="minorEastAsia" w:hAnsiTheme="minorEastAsia"/>
                <w:sz w:val="22"/>
                <w:szCs w:val="22"/>
              </w:rPr>
            </w:pPr>
            <w:r>
              <w:rPr>
                <w:rFonts w:hint="eastAsia" w:asciiTheme="minorEastAsia" w:hAnsiTheme="minorEastAsia"/>
                <w:sz w:val="22"/>
                <w:szCs w:val="22"/>
              </w:rPr>
              <w:t>5</w:t>
            </w:r>
          </w:p>
        </w:tc>
        <w:tc>
          <w:tcPr>
            <w:tcW w:w="1219" w:type="dxa"/>
            <w:vAlign w:val="center"/>
          </w:tcPr>
          <w:p w14:paraId="30F6680F">
            <w:pPr>
              <w:pStyle w:val="21"/>
              <w:spacing w:line="340" w:lineRule="exact"/>
              <w:jc w:val="center"/>
              <w:rPr>
                <w:rFonts w:hint="eastAsia" w:asciiTheme="minorEastAsia" w:hAnsiTheme="minorEastAsia"/>
                <w:sz w:val="22"/>
                <w:szCs w:val="22"/>
              </w:rPr>
            </w:pPr>
          </w:p>
        </w:tc>
        <w:tc>
          <w:tcPr>
            <w:tcW w:w="1131" w:type="dxa"/>
            <w:vAlign w:val="center"/>
          </w:tcPr>
          <w:p w14:paraId="7802D380">
            <w:pPr>
              <w:pStyle w:val="21"/>
              <w:spacing w:line="340" w:lineRule="exact"/>
              <w:jc w:val="center"/>
              <w:rPr>
                <w:rFonts w:hint="eastAsia" w:asciiTheme="minorEastAsia" w:hAnsiTheme="minorEastAsia"/>
                <w:sz w:val="22"/>
                <w:szCs w:val="22"/>
              </w:rPr>
            </w:pPr>
          </w:p>
        </w:tc>
        <w:tc>
          <w:tcPr>
            <w:tcW w:w="750" w:type="dxa"/>
            <w:vAlign w:val="center"/>
          </w:tcPr>
          <w:p w14:paraId="1F78BD5A">
            <w:pPr>
              <w:pStyle w:val="21"/>
              <w:spacing w:line="340" w:lineRule="exact"/>
              <w:jc w:val="center"/>
              <w:rPr>
                <w:rFonts w:hint="eastAsia" w:asciiTheme="minorEastAsia" w:hAnsiTheme="minorEastAsia"/>
                <w:sz w:val="22"/>
                <w:szCs w:val="22"/>
              </w:rPr>
            </w:pPr>
          </w:p>
        </w:tc>
        <w:tc>
          <w:tcPr>
            <w:tcW w:w="907" w:type="dxa"/>
            <w:vAlign w:val="center"/>
          </w:tcPr>
          <w:p w14:paraId="7604F63E">
            <w:pPr>
              <w:pStyle w:val="21"/>
              <w:spacing w:line="340" w:lineRule="exact"/>
              <w:jc w:val="center"/>
              <w:rPr>
                <w:rFonts w:hint="eastAsia" w:asciiTheme="minorEastAsia" w:hAnsiTheme="minorEastAsia"/>
                <w:sz w:val="22"/>
                <w:szCs w:val="22"/>
              </w:rPr>
            </w:pPr>
          </w:p>
        </w:tc>
        <w:tc>
          <w:tcPr>
            <w:tcW w:w="988" w:type="dxa"/>
            <w:vAlign w:val="center"/>
          </w:tcPr>
          <w:p w14:paraId="37678C7B">
            <w:pPr>
              <w:pStyle w:val="21"/>
              <w:spacing w:line="340" w:lineRule="exact"/>
              <w:jc w:val="center"/>
              <w:rPr>
                <w:rFonts w:hint="eastAsia" w:asciiTheme="minorEastAsia" w:hAnsiTheme="minorEastAsia"/>
                <w:sz w:val="22"/>
                <w:szCs w:val="22"/>
              </w:rPr>
            </w:pPr>
          </w:p>
        </w:tc>
        <w:tc>
          <w:tcPr>
            <w:tcW w:w="950" w:type="dxa"/>
            <w:vAlign w:val="center"/>
          </w:tcPr>
          <w:p w14:paraId="1A850A27">
            <w:pPr>
              <w:pStyle w:val="21"/>
              <w:spacing w:line="340" w:lineRule="exact"/>
              <w:jc w:val="center"/>
              <w:rPr>
                <w:rFonts w:hint="eastAsia" w:asciiTheme="minorEastAsia" w:hAnsiTheme="minorEastAsia"/>
                <w:sz w:val="22"/>
                <w:szCs w:val="22"/>
              </w:rPr>
            </w:pPr>
          </w:p>
        </w:tc>
        <w:tc>
          <w:tcPr>
            <w:tcW w:w="825" w:type="dxa"/>
            <w:vAlign w:val="center"/>
          </w:tcPr>
          <w:p w14:paraId="7CE327DF">
            <w:pPr>
              <w:pStyle w:val="21"/>
              <w:spacing w:line="340" w:lineRule="exact"/>
              <w:jc w:val="center"/>
              <w:rPr>
                <w:rFonts w:hint="eastAsia" w:asciiTheme="minorEastAsia" w:hAnsiTheme="minorEastAsia"/>
                <w:sz w:val="22"/>
                <w:szCs w:val="22"/>
              </w:rPr>
            </w:pPr>
          </w:p>
        </w:tc>
        <w:tc>
          <w:tcPr>
            <w:tcW w:w="635" w:type="dxa"/>
            <w:vAlign w:val="center"/>
          </w:tcPr>
          <w:p w14:paraId="317D8E93">
            <w:pPr>
              <w:pStyle w:val="21"/>
              <w:spacing w:line="340" w:lineRule="exact"/>
              <w:jc w:val="center"/>
              <w:rPr>
                <w:rFonts w:hint="eastAsia" w:asciiTheme="minorEastAsia" w:hAnsiTheme="minorEastAsia"/>
                <w:sz w:val="22"/>
                <w:szCs w:val="22"/>
              </w:rPr>
            </w:pPr>
          </w:p>
        </w:tc>
        <w:tc>
          <w:tcPr>
            <w:tcW w:w="992" w:type="dxa"/>
            <w:vAlign w:val="center"/>
          </w:tcPr>
          <w:p w14:paraId="38D35AEB">
            <w:pPr>
              <w:pStyle w:val="21"/>
              <w:spacing w:line="340" w:lineRule="exact"/>
              <w:jc w:val="center"/>
              <w:rPr>
                <w:rFonts w:hint="eastAsia" w:asciiTheme="minorEastAsia" w:hAnsiTheme="minorEastAsia"/>
                <w:sz w:val="22"/>
                <w:szCs w:val="22"/>
              </w:rPr>
            </w:pPr>
          </w:p>
        </w:tc>
        <w:tc>
          <w:tcPr>
            <w:tcW w:w="850" w:type="dxa"/>
          </w:tcPr>
          <w:p w14:paraId="1F53C815">
            <w:pPr>
              <w:pStyle w:val="21"/>
              <w:spacing w:line="340" w:lineRule="exact"/>
              <w:jc w:val="center"/>
              <w:rPr>
                <w:rFonts w:hint="eastAsia" w:asciiTheme="minorEastAsia" w:hAnsiTheme="minorEastAsia"/>
                <w:sz w:val="22"/>
                <w:szCs w:val="22"/>
              </w:rPr>
            </w:pPr>
          </w:p>
        </w:tc>
      </w:tr>
      <w:tr w14:paraId="60F8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34" w:type="dxa"/>
            <w:vAlign w:val="center"/>
          </w:tcPr>
          <w:p w14:paraId="78E2932A">
            <w:pPr>
              <w:pStyle w:val="21"/>
              <w:spacing w:line="340" w:lineRule="exact"/>
              <w:jc w:val="center"/>
              <w:rPr>
                <w:rFonts w:hint="eastAsia" w:asciiTheme="minorEastAsia" w:hAnsiTheme="minorEastAsia"/>
                <w:sz w:val="22"/>
                <w:szCs w:val="22"/>
              </w:rPr>
            </w:pPr>
            <w:r>
              <w:rPr>
                <w:rFonts w:hint="eastAsia" w:asciiTheme="minorEastAsia" w:hAnsiTheme="minorEastAsia"/>
                <w:sz w:val="22"/>
                <w:szCs w:val="22"/>
              </w:rPr>
              <w:t>…</w:t>
            </w:r>
          </w:p>
        </w:tc>
        <w:tc>
          <w:tcPr>
            <w:tcW w:w="1219" w:type="dxa"/>
            <w:vAlign w:val="center"/>
          </w:tcPr>
          <w:p w14:paraId="273498FD">
            <w:pPr>
              <w:pStyle w:val="21"/>
              <w:spacing w:line="340" w:lineRule="exact"/>
              <w:jc w:val="center"/>
              <w:rPr>
                <w:rFonts w:hint="eastAsia" w:asciiTheme="minorEastAsia" w:hAnsiTheme="minorEastAsia"/>
                <w:sz w:val="22"/>
                <w:szCs w:val="22"/>
              </w:rPr>
            </w:pPr>
          </w:p>
        </w:tc>
        <w:tc>
          <w:tcPr>
            <w:tcW w:w="1131" w:type="dxa"/>
            <w:vAlign w:val="center"/>
          </w:tcPr>
          <w:p w14:paraId="27DDD696">
            <w:pPr>
              <w:pStyle w:val="21"/>
              <w:spacing w:line="340" w:lineRule="exact"/>
              <w:jc w:val="center"/>
              <w:rPr>
                <w:rFonts w:hint="eastAsia" w:asciiTheme="minorEastAsia" w:hAnsiTheme="minorEastAsia"/>
                <w:sz w:val="22"/>
                <w:szCs w:val="22"/>
              </w:rPr>
            </w:pPr>
          </w:p>
        </w:tc>
        <w:tc>
          <w:tcPr>
            <w:tcW w:w="750" w:type="dxa"/>
            <w:vAlign w:val="center"/>
          </w:tcPr>
          <w:p w14:paraId="047E0692">
            <w:pPr>
              <w:pStyle w:val="21"/>
              <w:spacing w:line="340" w:lineRule="exact"/>
              <w:jc w:val="center"/>
              <w:rPr>
                <w:rFonts w:hint="eastAsia" w:asciiTheme="minorEastAsia" w:hAnsiTheme="minorEastAsia"/>
                <w:sz w:val="22"/>
                <w:szCs w:val="22"/>
              </w:rPr>
            </w:pPr>
          </w:p>
        </w:tc>
        <w:tc>
          <w:tcPr>
            <w:tcW w:w="907" w:type="dxa"/>
            <w:vAlign w:val="center"/>
          </w:tcPr>
          <w:p w14:paraId="71CECCDA">
            <w:pPr>
              <w:pStyle w:val="21"/>
              <w:spacing w:line="340" w:lineRule="exact"/>
              <w:jc w:val="center"/>
              <w:rPr>
                <w:rFonts w:hint="eastAsia" w:asciiTheme="minorEastAsia" w:hAnsiTheme="minorEastAsia"/>
                <w:sz w:val="22"/>
                <w:szCs w:val="22"/>
              </w:rPr>
            </w:pPr>
          </w:p>
        </w:tc>
        <w:tc>
          <w:tcPr>
            <w:tcW w:w="988" w:type="dxa"/>
            <w:vAlign w:val="center"/>
          </w:tcPr>
          <w:p w14:paraId="2595C1C8">
            <w:pPr>
              <w:pStyle w:val="21"/>
              <w:spacing w:line="340" w:lineRule="exact"/>
              <w:jc w:val="center"/>
              <w:rPr>
                <w:rFonts w:hint="eastAsia" w:asciiTheme="minorEastAsia" w:hAnsiTheme="minorEastAsia"/>
                <w:sz w:val="22"/>
                <w:szCs w:val="22"/>
              </w:rPr>
            </w:pPr>
          </w:p>
        </w:tc>
        <w:tc>
          <w:tcPr>
            <w:tcW w:w="950" w:type="dxa"/>
            <w:vAlign w:val="center"/>
          </w:tcPr>
          <w:p w14:paraId="7D37CF6C">
            <w:pPr>
              <w:pStyle w:val="21"/>
              <w:spacing w:line="340" w:lineRule="exact"/>
              <w:jc w:val="center"/>
              <w:rPr>
                <w:rFonts w:hint="eastAsia" w:asciiTheme="minorEastAsia" w:hAnsiTheme="minorEastAsia"/>
                <w:sz w:val="22"/>
                <w:szCs w:val="22"/>
              </w:rPr>
            </w:pPr>
          </w:p>
        </w:tc>
        <w:tc>
          <w:tcPr>
            <w:tcW w:w="825" w:type="dxa"/>
            <w:vAlign w:val="center"/>
          </w:tcPr>
          <w:p w14:paraId="611D6429">
            <w:pPr>
              <w:pStyle w:val="21"/>
              <w:spacing w:line="340" w:lineRule="exact"/>
              <w:jc w:val="center"/>
              <w:rPr>
                <w:rFonts w:hint="eastAsia" w:asciiTheme="minorEastAsia" w:hAnsiTheme="minorEastAsia"/>
                <w:sz w:val="22"/>
                <w:szCs w:val="22"/>
              </w:rPr>
            </w:pPr>
          </w:p>
        </w:tc>
        <w:tc>
          <w:tcPr>
            <w:tcW w:w="635" w:type="dxa"/>
            <w:vAlign w:val="center"/>
          </w:tcPr>
          <w:p w14:paraId="3F985189">
            <w:pPr>
              <w:pStyle w:val="21"/>
              <w:spacing w:line="340" w:lineRule="exact"/>
              <w:jc w:val="center"/>
              <w:rPr>
                <w:rFonts w:hint="eastAsia" w:asciiTheme="minorEastAsia" w:hAnsiTheme="minorEastAsia"/>
                <w:sz w:val="22"/>
                <w:szCs w:val="22"/>
              </w:rPr>
            </w:pPr>
          </w:p>
        </w:tc>
        <w:tc>
          <w:tcPr>
            <w:tcW w:w="992" w:type="dxa"/>
            <w:vAlign w:val="center"/>
          </w:tcPr>
          <w:p w14:paraId="517CCA0A">
            <w:pPr>
              <w:pStyle w:val="21"/>
              <w:spacing w:line="340" w:lineRule="exact"/>
              <w:jc w:val="center"/>
              <w:rPr>
                <w:rFonts w:hint="eastAsia" w:asciiTheme="minorEastAsia" w:hAnsiTheme="minorEastAsia"/>
                <w:sz w:val="22"/>
                <w:szCs w:val="22"/>
              </w:rPr>
            </w:pPr>
          </w:p>
        </w:tc>
        <w:tc>
          <w:tcPr>
            <w:tcW w:w="850" w:type="dxa"/>
          </w:tcPr>
          <w:p w14:paraId="3B5FB03C">
            <w:pPr>
              <w:pStyle w:val="21"/>
              <w:spacing w:line="340" w:lineRule="exact"/>
              <w:jc w:val="center"/>
              <w:rPr>
                <w:rFonts w:hint="eastAsia" w:asciiTheme="minorEastAsia" w:hAnsiTheme="minorEastAsia"/>
                <w:sz w:val="22"/>
                <w:szCs w:val="22"/>
              </w:rPr>
            </w:pPr>
          </w:p>
        </w:tc>
      </w:tr>
      <w:tr w14:paraId="1916A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34" w:type="dxa"/>
            <w:vAlign w:val="center"/>
          </w:tcPr>
          <w:p w14:paraId="406C0847">
            <w:pPr>
              <w:pStyle w:val="21"/>
              <w:spacing w:line="340" w:lineRule="exact"/>
              <w:jc w:val="center"/>
              <w:rPr>
                <w:rFonts w:hint="eastAsia" w:asciiTheme="minorEastAsia" w:hAnsiTheme="minorEastAsia"/>
                <w:sz w:val="22"/>
                <w:szCs w:val="22"/>
              </w:rPr>
            </w:pPr>
          </w:p>
        </w:tc>
        <w:tc>
          <w:tcPr>
            <w:tcW w:w="1219" w:type="dxa"/>
            <w:vAlign w:val="center"/>
          </w:tcPr>
          <w:p w14:paraId="0B866E8D">
            <w:pPr>
              <w:pStyle w:val="21"/>
              <w:spacing w:line="340" w:lineRule="exact"/>
              <w:jc w:val="center"/>
              <w:rPr>
                <w:rFonts w:hint="eastAsia" w:asciiTheme="minorEastAsia" w:hAnsiTheme="minorEastAsia"/>
                <w:sz w:val="22"/>
                <w:szCs w:val="22"/>
              </w:rPr>
            </w:pPr>
            <w:r>
              <w:rPr>
                <w:rFonts w:hint="eastAsia" w:asciiTheme="minorEastAsia" w:hAnsiTheme="minorEastAsia"/>
                <w:sz w:val="22"/>
                <w:szCs w:val="22"/>
              </w:rPr>
              <w:t>安装调试、培训、售后服务等其他所有费用</w:t>
            </w:r>
          </w:p>
        </w:tc>
        <w:tc>
          <w:tcPr>
            <w:tcW w:w="1131" w:type="dxa"/>
            <w:vAlign w:val="center"/>
          </w:tcPr>
          <w:p w14:paraId="3F4BDA22">
            <w:pPr>
              <w:pStyle w:val="21"/>
              <w:spacing w:line="340" w:lineRule="exact"/>
              <w:jc w:val="center"/>
              <w:rPr>
                <w:rFonts w:hint="eastAsia" w:asciiTheme="minorEastAsia" w:hAnsiTheme="minorEastAsia"/>
                <w:sz w:val="22"/>
                <w:szCs w:val="22"/>
              </w:rPr>
            </w:pPr>
          </w:p>
        </w:tc>
        <w:tc>
          <w:tcPr>
            <w:tcW w:w="750" w:type="dxa"/>
            <w:vAlign w:val="center"/>
          </w:tcPr>
          <w:p w14:paraId="5BFC2C0F">
            <w:pPr>
              <w:pStyle w:val="21"/>
              <w:spacing w:line="340" w:lineRule="exact"/>
              <w:jc w:val="center"/>
              <w:rPr>
                <w:rFonts w:hint="eastAsia" w:asciiTheme="minorEastAsia" w:hAnsiTheme="minorEastAsia"/>
                <w:sz w:val="22"/>
                <w:szCs w:val="22"/>
              </w:rPr>
            </w:pPr>
          </w:p>
        </w:tc>
        <w:tc>
          <w:tcPr>
            <w:tcW w:w="907" w:type="dxa"/>
            <w:vAlign w:val="center"/>
          </w:tcPr>
          <w:p w14:paraId="74330FE4">
            <w:pPr>
              <w:pStyle w:val="21"/>
              <w:spacing w:line="340" w:lineRule="exact"/>
              <w:jc w:val="center"/>
              <w:rPr>
                <w:rFonts w:hint="eastAsia" w:asciiTheme="minorEastAsia" w:hAnsiTheme="minorEastAsia"/>
                <w:sz w:val="22"/>
                <w:szCs w:val="22"/>
              </w:rPr>
            </w:pPr>
          </w:p>
        </w:tc>
        <w:tc>
          <w:tcPr>
            <w:tcW w:w="988" w:type="dxa"/>
            <w:vAlign w:val="center"/>
          </w:tcPr>
          <w:p w14:paraId="65F592DD">
            <w:pPr>
              <w:pStyle w:val="21"/>
              <w:spacing w:line="340" w:lineRule="exact"/>
              <w:jc w:val="center"/>
              <w:rPr>
                <w:rFonts w:hint="eastAsia" w:asciiTheme="minorEastAsia" w:hAnsiTheme="minorEastAsia"/>
                <w:sz w:val="22"/>
                <w:szCs w:val="22"/>
              </w:rPr>
            </w:pPr>
          </w:p>
        </w:tc>
        <w:tc>
          <w:tcPr>
            <w:tcW w:w="950" w:type="dxa"/>
            <w:vAlign w:val="center"/>
          </w:tcPr>
          <w:p w14:paraId="19101E00">
            <w:pPr>
              <w:pStyle w:val="21"/>
              <w:spacing w:line="340" w:lineRule="exact"/>
              <w:jc w:val="center"/>
              <w:rPr>
                <w:rFonts w:hint="eastAsia" w:asciiTheme="minorEastAsia" w:hAnsiTheme="minorEastAsia"/>
                <w:sz w:val="22"/>
                <w:szCs w:val="22"/>
              </w:rPr>
            </w:pPr>
          </w:p>
        </w:tc>
        <w:tc>
          <w:tcPr>
            <w:tcW w:w="825" w:type="dxa"/>
            <w:vAlign w:val="center"/>
          </w:tcPr>
          <w:p w14:paraId="1A5BA731">
            <w:pPr>
              <w:pStyle w:val="21"/>
              <w:spacing w:line="340" w:lineRule="exact"/>
              <w:jc w:val="center"/>
              <w:rPr>
                <w:rFonts w:hint="eastAsia" w:asciiTheme="minorEastAsia" w:hAnsiTheme="minorEastAsia"/>
                <w:sz w:val="22"/>
                <w:szCs w:val="22"/>
              </w:rPr>
            </w:pPr>
          </w:p>
        </w:tc>
        <w:tc>
          <w:tcPr>
            <w:tcW w:w="635" w:type="dxa"/>
            <w:vAlign w:val="center"/>
          </w:tcPr>
          <w:p w14:paraId="4929B753">
            <w:pPr>
              <w:pStyle w:val="21"/>
              <w:spacing w:line="340" w:lineRule="exact"/>
              <w:jc w:val="center"/>
              <w:rPr>
                <w:rFonts w:hint="eastAsia" w:asciiTheme="minorEastAsia" w:hAnsiTheme="minorEastAsia"/>
                <w:sz w:val="22"/>
                <w:szCs w:val="22"/>
              </w:rPr>
            </w:pPr>
          </w:p>
        </w:tc>
        <w:tc>
          <w:tcPr>
            <w:tcW w:w="992" w:type="dxa"/>
            <w:vAlign w:val="center"/>
          </w:tcPr>
          <w:p w14:paraId="606AD1A7">
            <w:pPr>
              <w:pStyle w:val="21"/>
              <w:spacing w:line="340" w:lineRule="exact"/>
              <w:jc w:val="center"/>
              <w:rPr>
                <w:rFonts w:hint="eastAsia" w:asciiTheme="minorEastAsia" w:hAnsiTheme="minorEastAsia"/>
                <w:sz w:val="22"/>
                <w:szCs w:val="22"/>
              </w:rPr>
            </w:pPr>
          </w:p>
        </w:tc>
        <w:tc>
          <w:tcPr>
            <w:tcW w:w="850" w:type="dxa"/>
          </w:tcPr>
          <w:p w14:paraId="7CF9E016">
            <w:pPr>
              <w:pStyle w:val="21"/>
              <w:spacing w:line="340" w:lineRule="exact"/>
              <w:jc w:val="center"/>
              <w:rPr>
                <w:rFonts w:hint="eastAsia" w:asciiTheme="minorEastAsia" w:hAnsiTheme="minorEastAsia"/>
                <w:sz w:val="22"/>
                <w:szCs w:val="22"/>
              </w:rPr>
            </w:pPr>
          </w:p>
        </w:tc>
      </w:tr>
      <w:tr w14:paraId="72570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884" w:type="dxa"/>
            <w:gridSpan w:val="3"/>
            <w:vAlign w:val="center"/>
          </w:tcPr>
          <w:p w14:paraId="14E476FB">
            <w:pPr>
              <w:pStyle w:val="21"/>
              <w:spacing w:line="340" w:lineRule="exact"/>
              <w:jc w:val="center"/>
              <w:rPr>
                <w:rFonts w:hint="eastAsia" w:asciiTheme="minorEastAsia" w:hAnsiTheme="minorEastAsia"/>
                <w:sz w:val="22"/>
                <w:szCs w:val="22"/>
              </w:rPr>
            </w:pPr>
            <w:r>
              <w:rPr>
                <w:rFonts w:hint="eastAsia" w:asciiTheme="minorEastAsia" w:hAnsiTheme="minorEastAsia"/>
                <w:b/>
                <w:bCs/>
                <w:sz w:val="22"/>
                <w:szCs w:val="22"/>
              </w:rPr>
              <w:t>合计</w:t>
            </w:r>
          </w:p>
        </w:tc>
        <w:tc>
          <w:tcPr>
            <w:tcW w:w="750" w:type="dxa"/>
            <w:vAlign w:val="center"/>
          </w:tcPr>
          <w:p w14:paraId="1BB5412B">
            <w:pPr>
              <w:pStyle w:val="21"/>
              <w:spacing w:line="340" w:lineRule="exact"/>
              <w:jc w:val="center"/>
              <w:rPr>
                <w:rFonts w:hint="eastAsia" w:asciiTheme="minorEastAsia" w:hAnsiTheme="minorEastAsia"/>
                <w:sz w:val="22"/>
                <w:szCs w:val="22"/>
              </w:rPr>
            </w:pPr>
          </w:p>
        </w:tc>
        <w:tc>
          <w:tcPr>
            <w:tcW w:w="907" w:type="dxa"/>
            <w:vAlign w:val="center"/>
          </w:tcPr>
          <w:p w14:paraId="1391DB20">
            <w:pPr>
              <w:pStyle w:val="21"/>
              <w:spacing w:line="340" w:lineRule="exact"/>
              <w:jc w:val="center"/>
              <w:rPr>
                <w:rFonts w:hint="eastAsia" w:asciiTheme="minorEastAsia" w:hAnsiTheme="minorEastAsia"/>
                <w:sz w:val="22"/>
                <w:szCs w:val="22"/>
              </w:rPr>
            </w:pPr>
          </w:p>
        </w:tc>
        <w:tc>
          <w:tcPr>
            <w:tcW w:w="988" w:type="dxa"/>
            <w:vAlign w:val="center"/>
          </w:tcPr>
          <w:p w14:paraId="5D901F8F">
            <w:pPr>
              <w:pStyle w:val="21"/>
              <w:spacing w:line="340" w:lineRule="exact"/>
              <w:jc w:val="center"/>
              <w:rPr>
                <w:rFonts w:hint="eastAsia" w:asciiTheme="minorEastAsia" w:hAnsiTheme="minorEastAsia"/>
                <w:sz w:val="22"/>
                <w:szCs w:val="22"/>
              </w:rPr>
            </w:pPr>
          </w:p>
        </w:tc>
        <w:tc>
          <w:tcPr>
            <w:tcW w:w="950" w:type="dxa"/>
            <w:vAlign w:val="center"/>
          </w:tcPr>
          <w:p w14:paraId="7D178EFB">
            <w:pPr>
              <w:pStyle w:val="21"/>
              <w:spacing w:line="340" w:lineRule="exact"/>
              <w:jc w:val="center"/>
              <w:rPr>
                <w:rFonts w:hint="eastAsia" w:asciiTheme="minorEastAsia" w:hAnsiTheme="minorEastAsia"/>
                <w:sz w:val="22"/>
                <w:szCs w:val="22"/>
              </w:rPr>
            </w:pPr>
          </w:p>
        </w:tc>
        <w:tc>
          <w:tcPr>
            <w:tcW w:w="825" w:type="dxa"/>
            <w:vAlign w:val="center"/>
          </w:tcPr>
          <w:p w14:paraId="0BD531D1">
            <w:pPr>
              <w:pStyle w:val="21"/>
              <w:spacing w:line="340" w:lineRule="exact"/>
              <w:jc w:val="center"/>
              <w:rPr>
                <w:rFonts w:hint="eastAsia" w:asciiTheme="minorEastAsia" w:hAnsiTheme="minorEastAsia"/>
                <w:sz w:val="22"/>
                <w:szCs w:val="22"/>
              </w:rPr>
            </w:pPr>
          </w:p>
        </w:tc>
        <w:tc>
          <w:tcPr>
            <w:tcW w:w="635" w:type="dxa"/>
            <w:vAlign w:val="center"/>
          </w:tcPr>
          <w:p w14:paraId="0CE4D181">
            <w:pPr>
              <w:pStyle w:val="21"/>
              <w:spacing w:line="340" w:lineRule="exact"/>
              <w:jc w:val="center"/>
              <w:rPr>
                <w:rFonts w:hint="eastAsia" w:asciiTheme="minorEastAsia" w:hAnsiTheme="minorEastAsia"/>
                <w:sz w:val="22"/>
                <w:szCs w:val="22"/>
              </w:rPr>
            </w:pPr>
          </w:p>
        </w:tc>
        <w:tc>
          <w:tcPr>
            <w:tcW w:w="992" w:type="dxa"/>
            <w:vAlign w:val="center"/>
          </w:tcPr>
          <w:p w14:paraId="41460CA4">
            <w:pPr>
              <w:pStyle w:val="21"/>
              <w:spacing w:line="340" w:lineRule="exact"/>
              <w:jc w:val="center"/>
              <w:rPr>
                <w:rFonts w:hint="eastAsia" w:asciiTheme="minorEastAsia" w:hAnsiTheme="minorEastAsia"/>
                <w:sz w:val="22"/>
                <w:szCs w:val="22"/>
              </w:rPr>
            </w:pPr>
          </w:p>
        </w:tc>
        <w:tc>
          <w:tcPr>
            <w:tcW w:w="850" w:type="dxa"/>
          </w:tcPr>
          <w:p w14:paraId="375FD40F">
            <w:pPr>
              <w:pStyle w:val="21"/>
              <w:spacing w:line="340" w:lineRule="exact"/>
              <w:jc w:val="center"/>
              <w:rPr>
                <w:rFonts w:hint="eastAsia" w:asciiTheme="minorEastAsia" w:hAnsiTheme="minorEastAsia"/>
                <w:sz w:val="22"/>
                <w:szCs w:val="22"/>
              </w:rPr>
            </w:pPr>
          </w:p>
        </w:tc>
      </w:tr>
      <w:tr w14:paraId="1BED3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atLeast"/>
          <w:jc w:val="center"/>
        </w:trPr>
        <w:tc>
          <w:tcPr>
            <w:tcW w:w="9781" w:type="dxa"/>
            <w:gridSpan w:val="11"/>
            <w:vAlign w:val="center"/>
          </w:tcPr>
          <w:p w14:paraId="10A16D5D">
            <w:pPr>
              <w:widowControl/>
              <w:spacing w:line="360" w:lineRule="auto"/>
              <w:jc w:val="left"/>
              <w:rPr>
                <w:rFonts w:hint="eastAsia" w:asciiTheme="minorEastAsia" w:hAnsiTheme="minorEastAsia"/>
                <w:sz w:val="22"/>
                <w:szCs w:val="22"/>
              </w:rPr>
            </w:pPr>
            <w:r>
              <w:rPr>
                <w:rFonts w:hint="eastAsia" w:asciiTheme="minorEastAsia" w:hAnsiTheme="minorEastAsia"/>
                <w:sz w:val="22"/>
                <w:szCs w:val="22"/>
              </w:rPr>
              <w:t xml:space="preserve">投标总报价（大写）:    </w:t>
            </w:r>
            <w:r>
              <w:rPr>
                <w:rFonts w:hint="eastAsia" w:ascii="仿宋" w:hAnsi="仿宋" w:eastAsia="仿宋" w:cs="宋体"/>
                <w:color w:val="000000" w:themeColor="text1"/>
                <w:kern w:val="2"/>
                <w:sz w:val="28"/>
                <w:szCs w:val="28"/>
                <w14:textFill>
                  <w14:solidFill>
                    <w14:schemeClr w14:val="tx1"/>
                  </w14:solidFill>
                </w14:textFill>
              </w:rPr>
              <w:t xml:space="preserve">             </w:t>
            </w:r>
            <w:r>
              <w:rPr>
                <w:rFonts w:hint="eastAsia" w:asciiTheme="minorEastAsia" w:hAnsiTheme="minorEastAsia"/>
                <w:sz w:val="22"/>
                <w:szCs w:val="22"/>
              </w:rPr>
              <w:t xml:space="preserve">   元</w:t>
            </w:r>
          </w:p>
        </w:tc>
      </w:tr>
    </w:tbl>
    <w:p w14:paraId="77AC2251">
      <w:pPr>
        <w:pStyle w:val="214"/>
        <w:rPr>
          <w:rFonts w:hint="eastAsia" w:ascii="宋体" w:hAnsi="宋体" w:eastAsia="宋体" w:cs="宋体"/>
          <w:sz w:val="22"/>
          <w:lang w:val="en-US"/>
        </w:rPr>
      </w:pPr>
    </w:p>
    <w:p w14:paraId="21AD87AC">
      <w:pPr>
        <w:spacing w:line="440" w:lineRule="exact"/>
        <w:rPr>
          <w:rFonts w:hint="eastAsia" w:ascii="宋体" w:hAnsi="宋体" w:cs="宋体"/>
          <w:sz w:val="24"/>
          <w:u w:val="single"/>
        </w:rPr>
      </w:pPr>
      <w:r>
        <w:rPr>
          <w:rFonts w:hint="eastAsia" w:ascii="宋体" w:hAnsi="宋体" w:cs="宋体"/>
          <w:sz w:val="24"/>
        </w:rPr>
        <w:t>投标人:</w:t>
      </w:r>
      <w:r>
        <w:rPr>
          <w:rFonts w:hint="eastAsia" w:ascii="宋体" w:hAnsi="宋体" w:cs="宋体"/>
          <w:sz w:val="24"/>
          <w:u w:val="single"/>
        </w:rPr>
        <w:t xml:space="preserve">      （加盖公章）    </w:t>
      </w:r>
    </w:p>
    <w:p w14:paraId="193A89E8">
      <w:pPr>
        <w:pStyle w:val="21"/>
        <w:spacing w:line="340" w:lineRule="exact"/>
        <w:rPr>
          <w:rFonts w:hint="eastAsia" w:hAnsi="宋体" w:cs="宋体"/>
          <w:b/>
          <w:bCs/>
          <w:sz w:val="24"/>
          <w:szCs w:val="24"/>
        </w:rPr>
      </w:pPr>
      <w:r>
        <w:rPr>
          <w:rFonts w:hint="eastAsia" w:hAnsi="宋体" w:cs="宋体"/>
          <w:sz w:val="24"/>
          <w:szCs w:val="24"/>
        </w:rPr>
        <w:t>法定代表人或其委托受托人签字或盖章:</w:t>
      </w:r>
      <w:r>
        <w:rPr>
          <w:rFonts w:hint="eastAsia" w:hAnsi="宋体" w:cs="宋体"/>
          <w:sz w:val="24"/>
          <w:szCs w:val="24"/>
          <w:u w:val="single"/>
        </w:rPr>
        <w:t xml:space="preserve">     </w:t>
      </w:r>
    </w:p>
    <w:p w14:paraId="75C95A80">
      <w:pPr>
        <w:pStyle w:val="21"/>
        <w:spacing w:line="340" w:lineRule="exact"/>
        <w:rPr>
          <w:rFonts w:hint="eastAsia" w:hAnsi="宋体" w:cs="宋体"/>
          <w:b/>
          <w:bCs/>
          <w:sz w:val="24"/>
          <w:szCs w:val="24"/>
        </w:rPr>
      </w:pPr>
    </w:p>
    <w:p w14:paraId="48A1DCCE">
      <w:pPr>
        <w:pStyle w:val="21"/>
        <w:spacing w:line="340" w:lineRule="exact"/>
        <w:rPr>
          <w:rFonts w:hint="eastAsia" w:hAnsi="宋体" w:cs="宋体"/>
          <w:sz w:val="22"/>
          <w:szCs w:val="22"/>
        </w:rPr>
      </w:pPr>
      <w:r>
        <w:rPr>
          <w:rFonts w:hint="eastAsia" w:hAnsi="宋体" w:cs="宋体"/>
          <w:sz w:val="22"/>
          <w:szCs w:val="22"/>
        </w:rPr>
        <w:t>注:1.所有价格系人民币表示。</w:t>
      </w:r>
    </w:p>
    <w:p w14:paraId="04A0B1DE">
      <w:pPr>
        <w:pStyle w:val="215"/>
        <w:rPr>
          <w:rFonts w:hint="eastAsia" w:ascii="宋体" w:hAnsi="宋体" w:eastAsia="宋体" w:cs="宋体"/>
          <w:sz w:val="22"/>
          <w:szCs w:val="22"/>
        </w:rPr>
      </w:pPr>
      <w:r>
        <w:rPr>
          <w:rFonts w:hint="eastAsia" w:ascii="宋体" w:hAnsi="宋体" w:eastAsia="宋体" w:cs="宋体"/>
          <w:sz w:val="22"/>
          <w:szCs w:val="22"/>
        </w:rPr>
        <w:t>2.此表为表样，行数可自行添加，但表式不变。</w:t>
      </w:r>
    </w:p>
    <w:p w14:paraId="23D43BC3">
      <w:pPr>
        <w:pStyle w:val="21"/>
        <w:spacing w:line="340" w:lineRule="exact"/>
        <w:rPr>
          <w:rFonts w:hint="eastAsia" w:hAnsi="宋体" w:cs="宋体"/>
          <w:sz w:val="22"/>
          <w:szCs w:val="22"/>
        </w:rPr>
      </w:pPr>
      <w:r>
        <w:rPr>
          <w:rFonts w:hint="eastAsia" w:hAnsi="宋体" w:cs="宋体"/>
          <w:sz w:val="22"/>
          <w:szCs w:val="22"/>
        </w:rPr>
        <w:t>3.以上报价含所有费用，供应商不得再以其他任何理由要求采购人支付其他任何费用。</w:t>
      </w:r>
    </w:p>
    <w:p w14:paraId="20055E77">
      <w:pPr>
        <w:pStyle w:val="21"/>
        <w:spacing w:line="340" w:lineRule="exact"/>
        <w:rPr>
          <w:rFonts w:hint="eastAsia" w:hAnsi="宋体" w:cs="宋体"/>
          <w:sz w:val="22"/>
          <w:szCs w:val="22"/>
        </w:rPr>
      </w:pPr>
      <w:r>
        <w:rPr>
          <w:rFonts w:hint="eastAsia" w:hAnsi="宋体" w:cs="宋体"/>
          <w:sz w:val="22"/>
          <w:szCs w:val="22"/>
        </w:rPr>
        <w:t>4.采购需求的内容未列明的费用视为分摊到已有的子目之中。</w:t>
      </w:r>
    </w:p>
    <w:p w14:paraId="0905BEAB">
      <w:pPr>
        <w:pStyle w:val="21"/>
        <w:spacing w:line="340" w:lineRule="exact"/>
        <w:rPr>
          <w:rFonts w:hint="eastAsia" w:hAnsi="宋体" w:cs="宋体"/>
          <w:b/>
          <w:sz w:val="32"/>
        </w:rPr>
      </w:pPr>
      <w:r>
        <w:rPr>
          <w:rFonts w:hint="eastAsia" w:hAnsi="宋体" w:cs="宋体"/>
          <w:sz w:val="22"/>
          <w:szCs w:val="22"/>
        </w:rPr>
        <w:t>5.</w:t>
      </w:r>
      <w:r>
        <w:rPr>
          <w:rFonts w:hint="eastAsia" w:hAnsi="宋体"/>
          <w:sz w:val="22"/>
          <w:szCs w:val="22"/>
        </w:rPr>
        <w:t>价格应按照招标文件采购需求及技术参数的要求报价。</w:t>
      </w:r>
    </w:p>
    <w:p w14:paraId="3C706BE1">
      <w:pPr>
        <w:widowControl/>
        <w:tabs>
          <w:tab w:val="center" w:pos="4708"/>
          <w:tab w:val="left" w:pos="6939"/>
        </w:tabs>
        <w:spacing w:before="19" w:line="360" w:lineRule="auto"/>
        <w:jc w:val="center"/>
        <w:rPr>
          <w:rFonts w:hint="eastAsia" w:ascii="宋体" w:hAnsi="宋体" w:cs="宋体"/>
          <w:b/>
          <w:sz w:val="32"/>
        </w:rPr>
      </w:pPr>
    </w:p>
    <w:p w14:paraId="3FE774B3">
      <w:pPr>
        <w:widowControl/>
        <w:tabs>
          <w:tab w:val="center" w:pos="4708"/>
          <w:tab w:val="left" w:pos="6939"/>
        </w:tabs>
        <w:spacing w:before="19" w:line="360" w:lineRule="auto"/>
        <w:jc w:val="center"/>
        <w:rPr>
          <w:rFonts w:hint="eastAsia" w:ascii="宋体" w:hAnsi="宋体" w:cs="宋体"/>
          <w:b/>
          <w:bCs/>
          <w:sz w:val="32"/>
          <w:szCs w:val="32"/>
        </w:rPr>
      </w:pPr>
      <w:r>
        <w:rPr>
          <w:rFonts w:hint="eastAsia" w:ascii="宋体" w:hAnsi="宋体" w:cs="宋体"/>
          <w:b/>
          <w:sz w:val="32"/>
        </w:rPr>
        <w:t>四、技术规格响应偏离表</w:t>
      </w:r>
    </w:p>
    <w:p w14:paraId="2D74C853">
      <w:pPr>
        <w:pStyle w:val="17"/>
        <w:spacing w:before="120" w:line="440" w:lineRule="exact"/>
        <w:ind w:left="0" w:right="0"/>
        <w:jc w:val="center"/>
        <w:rPr>
          <w:rFonts w:hint="eastAsia" w:ascii="宋体" w:hAnsi="宋体" w:cs="宋体"/>
          <w:b/>
          <w:sz w:val="32"/>
        </w:rPr>
      </w:pPr>
    </w:p>
    <w:tbl>
      <w:tblPr>
        <w:tblStyle w:val="40"/>
        <w:tblW w:w="88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1083"/>
        <w:gridCol w:w="2768"/>
        <w:gridCol w:w="3269"/>
        <w:gridCol w:w="910"/>
        <w:gridCol w:w="790"/>
      </w:tblGrid>
      <w:tr w14:paraId="379FA7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14:paraId="7435F510">
            <w:pPr>
              <w:spacing w:line="520" w:lineRule="exact"/>
              <w:jc w:val="center"/>
              <w:rPr>
                <w:rFonts w:hint="eastAsia" w:ascii="宋体" w:hAnsi="宋体" w:cs="宋体"/>
                <w:sz w:val="24"/>
              </w:rPr>
            </w:pPr>
            <w:r>
              <w:rPr>
                <w:rFonts w:hint="eastAsia" w:ascii="宋体" w:hAnsi="宋体" w:cs="宋体"/>
                <w:bCs/>
                <w:sz w:val="24"/>
              </w:rPr>
              <w:t>序号</w:t>
            </w:r>
          </w:p>
        </w:tc>
        <w:tc>
          <w:tcPr>
            <w:tcW w:w="2768" w:type="dxa"/>
            <w:tcBorders>
              <w:top w:val="single" w:color="auto" w:sz="4" w:space="0"/>
              <w:left w:val="single" w:color="auto" w:sz="4" w:space="0"/>
              <w:bottom w:val="single" w:color="auto" w:sz="4" w:space="0"/>
              <w:right w:val="single" w:color="auto" w:sz="4" w:space="0"/>
            </w:tcBorders>
            <w:vAlign w:val="center"/>
          </w:tcPr>
          <w:p w14:paraId="550749A4">
            <w:pPr>
              <w:jc w:val="center"/>
              <w:rPr>
                <w:rFonts w:hint="eastAsia" w:ascii="宋体" w:hAnsi="宋体" w:cs="宋体"/>
                <w:sz w:val="24"/>
              </w:rPr>
            </w:pPr>
            <w:r>
              <w:rPr>
                <w:rFonts w:hint="eastAsia" w:ascii="宋体" w:hAnsi="宋体" w:cs="宋体"/>
                <w:bCs/>
                <w:sz w:val="24"/>
              </w:rPr>
              <w:t>采购需求中技术参数及要求条款描述</w:t>
            </w:r>
          </w:p>
        </w:tc>
        <w:tc>
          <w:tcPr>
            <w:tcW w:w="3269" w:type="dxa"/>
            <w:tcBorders>
              <w:top w:val="single" w:color="auto" w:sz="4" w:space="0"/>
              <w:left w:val="single" w:color="auto" w:sz="4" w:space="0"/>
              <w:bottom w:val="single" w:color="auto" w:sz="4" w:space="0"/>
              <w:right w:val="single" w:color="auto" w:sz="4" w:space="0"/>
            </w:tcBorders>
            <w:vAlign w:val="center"/>
          </w:tcPr>
          <w:p w14:paraId="13A108E6">
            <w:pPr>
              <w:jc w:val="center"/>
              <w:rPr>
                <w:rFonts w:hint="eastAsia" w:ascii="宋体" w:hAnsi="宋体" w:cs="宋体"/>
                <w:sz w:val="24"/>
              </w:rPr>
            </w:pPr>
            <w:r>
              <w:rPr>
                <w:rFonts w:hint="eastAsia" w:ascii="宋体" w:hAnsi="宋体" w:cs="宋体"/>
                <w:bCs/>
                <w:sz w:val="24"/>
              </w:rPr>
              <w:t>所投产品技术参数及要求条款描述</w:t>
            </w:r>
          </w:p>
        </w:tc>
        <w:tc>
          <w:tcPr>
            <w:tcW w:w="910" w:type="dxa"/>
            <w:tcBorders>
              <w:top w:val="single" w:color="auto" w:sz="4" w:space="0"/>
              <w:left w:val="single" w:color="auto" w:sz="4" w:space="0"/>
              <w:bottom w:val="single" w:color="auto" w:sz="4" w:space="0"/>
              <w:right w:val="single" w:color="auto" w:sz="4" w:space="0"/>
            </w:tcBorders>
            <w:vAlign w:val="center"/>
          </w:tcPr>
          <w:p w14:paraId="23DF1DBF">
            <w:pPr>
              <w:jc w:val="center"/>
              <w:rPr>
                <w:rFonts w:hint="eastAsia" w:ascii="宋体" w:hAnsi="宋体" w:cs="宋体"/>
                <w:bCs/>
                <w:sz w:val="24"/>
              </w:rPr>
            </w:pPr>
            <w:r>
              <w:rPr>
                <w:rFonts w:hint="eastAsia" w:ascii="宋体" w:hAnsi="宋体" w:cs="宋体"/>
                <w:bCs/>
                <w:sz w:val="24"/>
              </w:rPr>
              <w:t>是否</w:t>
            </w:r>
          </w:p>
          <w:p w14:paraId="4184F916">
            <w:pPr>
              <w:jc w:val="center"/>
              <w:rPr>
                <w:rFonts w:hint="eastAsia" w:ascii="宋体" w:hAnsi="宋体" w:cs="宋体"/>
                <w:sz w:val="24"/>
              </w:rPr>
            </w:pPr>
            <w:r>
              <w:rPr>
                <w:rFonts w:hint="eastAsia" w:ascii="宋体" w:hAnsi="宋体" w:cs="宋体"/>
                <w:bCs/>
                <w:sz w:val="24"/>
              </w:rPr>
              <w:t>偏离</w:t>
            </w:r>
          </w:p>
        </w:tc>
        <w:tc>
          <w:tcPr>
            <w:tcW w:w="790" w:type="dxa"/>
            <w:tcBorders>
              <w:top w:val="single" w:color="auto" w:sz="4" w:space="0"/>
              <w:left w:val="single" w:color="auto" w:sz="4" w:space="0"/>
              <w:bottom w:val="single" w:color="auto" w:sz="4" w:space="0"/>
              <w:right w:val="single" w:color="auto" w:sz="4" w:space="0"/>
            </w:tcBorders>
            <w:vAlign w:val="center"/>
          </w:tcPr>
          <w:p w14:paraId="25548C86">
            <w:pPr>
              <w:jc w:val="center"/>
              <w:rPr>
                <w:rFonts w:hint="eastAsia" w:ascii="宋体" w:hAnsi="宋体" w:cs="宋体"/>
                <w:sz w:val="24"/>
              </w:rPr>
            </w:pPr>
            <w:r>
              <w:rPr>
                <w:rFonts w:hint="eastAsia" w:ascii="宋体" w:hAnsi="宋体" w:cs="宋体"/>
                <w:bCs/>
                <w:sz w:val="24"/>
              </w:rPr>
              <w:t>备注</w:t>
            </w:r>
          </w:p>
        </w:tc>
      </w:tr>
      <w:tr w14:paraId="4AED53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14:paraId="02F35E00">
            <w:pPr>
              <w:spacing w:line="360" w:lineRule="auto"/>
              <w:jc w:val="center"/>
              <w:rPr>
                <w:rFonts w:hint="eastAsia" w:ascii="宋体" w:hAnsi="宋体" w:cs="宋体"/>
                <w:sz w:val="24"/>
              </w:rPr>
            </w:pPr>
            <w:r>
              <w:rPr>
                <w:rFonts w:hint="eastAsia" w:ascii="宋体" w:hAnsi="宋体" w:cs="宋体"/>
                <w:sz w:val="24"/>
              </w:rPr>
              <w:t>1</w:t>
            </w:r>
          </w:p>
        </w:tc>
        <w:tc>
          <w:tcPr>
            <w:tcW w:w="2768" w:type="dxa"/>
            <w:tcBorders>
              <w:top w:val="single" w:color="auto" w:sz="4" w:space="0"/>
              <w:left w:val="single" w:color="auto" w:sz="4" w:space="0"/>
              <w:bottom w:val="single" w:color="auto" w:sz="4" w:space="0"/>
              <w:right w:val="single" w:color="auto" w:sz="4" w:space="0"/>
            </w:tcBorders>
            <w:vAlign w:val="center"/>
          </w:tcPr>
          <w:p w14:paraId="4D69D308">
            <w:pPr>
              <w:jc w:val="center"/>
              <w:rPr>
                <w:rFonts w:hint="eastAsia" w:ascii="宋体" w:hAnsi="宋体" w:cs="宋体"/>
                <w:sz w:val="24"/>
              </w:rPr>
            </w:pPr>
          </w:p>
        </w:tc>
        <w:tc>
          <w:tcPr>
            <w:tcW w:w="3269" w:type="dxa"/>
            <w:tcBorders>
              <w:top w:val="single" w:color="auto" w:sz="4" w:space="0"/>
              <w:left w:val="single" w:color="auto" w:sz="4" w:space="0"/>
              <w:bottom w:val="single" w:color="auto" w:sz="4" w:space="0"/>
              <w:right w:val="single" w:color="auto" w:sz="4" w:space="0"/>
            </w:tcBorders>
            <w:vAlign w:val="center"/>
          </w:tcPr>
          <w:p w14:paraId="6FD1BA1D">
            <w:pPr>
              <w:jc w:val="center"/>
              <w:rPr>
                <w:rFonts w:hint="eastAsia" w:ascii="宋体" w:hAnsi="宋体" w:cs="宋体"/>
                <w:sz w:val="24"/>
              </w:rPr>
            </w:pPr>
          </w:p>
        </w:tc>
        <w:tc>
          <w:tcPr>
            <w:tcW w:w="910" w:type="dxa"/>
            <w:tcBorders>
              <w:top w:val="single" w:color="auto" w:sz="4" w:space="0"/>
              <w:left w:val="single" w:color="auto" w:sz="4" w:space="0"/>
              <w:bottom w:val="single" w:color="auto" w:sz="4" w:space="0"/>
              <w:right w:val="single" w:color="auto" w:sz="4" w:space="0"/>
            </w:tcBorders>
            <w:vAlign w:val="center"/>
          </w:tcPr>
          <w:p w14:paraId="5BDDE411">
            <w:pPr>
              <w:spacing w:line="360" w:lineRule="auto"/>
              <w:jc w:val="center"/>
              <w:rPr>
                <w:rFonts w:hint="eastAsia" w:ascii="宋体" w:hAnsi="宋体" w:cs="宋体"/>
                <w:sz w:val="24"/>
              </w:rPr>
            </w:pPr>
          </w:p>
        </w:tc>
        <w:tc>
          <w:tcPr>
            <w:tcW w:w="790" w:type="dxa"/>
            <w:tcBorders>
              <w:top w:val="single" w:color="auto" w:sz="4" w:space="0"/>
              <w:left w:val="single" w:color="auto" w:sz="4" w:space="0"/>
              <w:bottom w:val="single" w:color="auto" w:sz="4" w:space="0"/>
              <w:right w:val="single" w:color="auto" w:sz="4" w:space="0"/>
            </w:tcBorders>
            <w:vAlign w:val="center"/>
          </w:tcPr>
          <w:p w14:paraId="6A8351FD">
            <w:pPr>
              <w:spacing w:line="360" w:lineRule="auto"/>
              <w:jc w:val="center"/>
              <w:rPr>
                <w:rFonts w:hint="eastAsia" w:ascii="宋体" w:hAnsi="宋体" w:cs="宋体"/>
                <w:sz w:val="24"/>
              </w:rPr>
            </w:pPr>
          </w:p>
        </w:tc>
      </w:tr>
      <w:tr w14:paraId="0F3353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30" w:hRule="atLeast"/>
          <w:jc w:val="center"/>
        </w:trPr>
        <w:tc>
          <w:tcPr>
            <w:tcW w:w="1083" w:type="dxa"/>
            <w:tcBorders>
              <w:top w:val="single" w:color="auto" w:sz="4" w:space="0"/>
              <w:left w:val="single" w:color="auto" w:sz="4" w:space="0"/>
              <w:right w:val="single" w:color="auto" w:sz="4" w:space="0"/>
            </w:tcBorders>
            <w:vAlign w:val="center"/>
          </w:tcPr>
          <w:p w14:paraId="0DB26B08">
            <w:pPr>
              <w:spacing w:line="360" w:lineRule="auto"/>
              <w:jc w:val="center"/>
              <w:rPr>
                <w:rFonts w:hint="eastAsia" w:ascii="宋体" w:hAnsi="宋体" w:cs="宋体"/>
                <w:sz w:val="24"/>
              </w:rPr>
            </w:pPr>
            <w:r>
              <w:rPr>
                <w:rFonts w:hint="eastAsia" w:ascii="宋体" w:hAnsi="宋体" w:cs="宋体"/>
                <w:sz w:val="24"/>
              </w:rPr>
              <w:t>2</w:t>
            </w:r>
          </w:p>
        </w:tc>
        <w:tc>
          <w:tcPr>
            <w:tcW w:w="2768" w:type="dxa"/>
            <w:tcBorders>
              <w:top w:val="single" w:color="auto" w:sz="4" w:space="0"/>
              <w:left w:val="single" w:color="auto" w:sz="4" w:space="0"/>
              <w:right w:val="single" w:color="auto" w:sz="4" w:space="0"/>
            </w:tcBorders>
            <w:vAlign w:val="center"/>
          </w:tcPr>
          <w:p w14:paraId="10C0BE91">
            <w:pPr>
              <w:jc w:val="center"/>
              <w:rPr>
                <w:rFonts w:hint="eastAsia" w:ascii="宋体" w:hAnsi="宋体" w:cs="宋体"/>
                <w:spacing w:val="-6"/>
                <w:sz w:val="24"/>
              </w:rPr>
            </w:pPr>
          </w:p>
        </w:tc>
        <w:tc>
          <w:tcPr>
            <w:tcW w:w="3269" w:type="dxa"/>
            <w:tcBorders>
              <w:top w:val="single" w:color="auto" w:sz="4" w:space="0"/>
              <w:left w:val="single" w:color="auto" w:sz="4" w:space="0"/>
              <w:right w:val="single" w:color="auto" w:sz="4" w:space="0"/>
            </w:tcBorders>
            <w:vAlign w:val="center"/>
          </w:tcPr>
          <w:p w14:paraId="4D5B7E0B">
            <w:pPr>
              <w:jc w:val="center"/>
              <w:rPr>
                <w:rFonts w:hint="eastAsia" w:ascii="宋体" w:hAnsi="宋体" w:cs="宋体"/>
                <w:sz w:val="24"/>
              </w:rPr>
            </w:pPr>
          </w:p>
        </w:tc>
        <w:tc>
          <w:tcPr>
            <w:tcW w:w="910" w:type="dxa"/>
            <w:tcBorders>
              <w:top w:val="single" w:color="auto" w:sz="4" w:space="0"/>
              <w:left w:val="single" w:color="auto" w:sz="4" w:space="0"/>
              <w:right w:val="single" w:color="auto" w:sz="4" w:space="0"/>
            </w:tcBorders>
            <w:vAlign w:val="center"/>
          </w:tcPr>
          <w:p w14:paraId="49FF3CC5">
            <w:pPr>
              <w:spacing w:line="360" w:lineRule="auto"/>
              <w:jc w:val="center"/>
              <w:rPr>
                <w:rFonts w:hint="eastAsia" w:ascii="宋体" w:hAnsi="宋体" w:cs="宋体"/>
                <w:sz w:val="24"/>
              </w:rPr>
            </w:pPr>
          </w:p>
        </w:tc>
        <w:tc>
          <w:tcPr>
            <w:tcW w:w="790" w:type="dxa"/>
            <w:tcBorders>
              <w:top w:val="single" w:color="auto" w:sz="4" w:space="0"/>
              <w:left w:val="single" w:color="auto" w:sz="4" w:space="0"/>
              <w:right w:val="single" w:color="auto" w:sz="4" w:space="0"/>
            </w:tcBorders>
            <w:vAlign w:val="center"/>
          </w:tcPr>
          <w:p w14:paraId="5FCB2410">
            <w:pPr>
              <w:spacing w:line="360" w:lineRule="auto"/>
              <w:jc w:val="center"/>
              <w:rPr>
                <w:rFonts w:hint="eastAsia" w:ascii="宋体" w:hAnsi="宋体" w:cs="宋体"/>
                <w:sz w:val="24"/>
              </w:rPr>
            </w:pPr>
          </w:p>
        </w:tc>
      </w:tr>
      <w:tr w14:paraId="07FFA2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right w:val="single" w:color="auto" w:sz="4" w:space="0"/>
            </w:tcBorders>
            <w:vAlign w:val="center"/>
          </w:tcPr>
          <w:p w14:paraId="3F08E03F">
            <w:pPr>
              <w:spacing w:line="360" w:lineRule="auto"/>
              <w:jc w:val="center"/>
              <w:rPr>
                <w:rFonts w:hint="eastAsia" w:ascii="宋体" w:hAnsi="宋体" w:cs="宋体"/>
                <w:sz w:val="24"/>
              </w:rPr>
            </w:pPr>
            <w:r>
              <w:rPr>
                <w:rFonts w:hint="eastAsia" w:ascii="宋体" w:hAnsi="宋体" w:cs="宋体"/>
                <w:sz w:val="24"/>
              </w:rPr>
              <w:t>3</w:t>
            </w:r>
          </w:p>
        </w:tc>
        <w:tc>
          <w:tcPr>
            <w:tcW w:w="2768" w:type="dxa"/>
            <w:tcBorders>
              <w:top w:val="single" w:color="auto" w:sz="4" w:space="0"/>
              <w:left w:val="single" w:color="auto" w:sz="4" w:space="0"/>
              <w:right w:val="single" w:color="auto" w:sz="4" w:space="0"/>
            </w:tcBorders>
            <w:vAlign w:val="center"/>
          </w:tcPr>
          <w:p w14:paraId="528FA0C2">
            <w:pPr>
              <w:jc w:val="center"/>
              <w:rPr>
                <w:rFonts w:hint="eastAsia" w:ascii="宋体" w:hAnsi="宋体" w:cs="宋体"/>
                <w:sz w:val="24"/>
              </w:rPr>
            </w:pPr>
          </w:p>
        </w:tc>
        <w:tc>
          <w:tcPr>
            <w:tcW w:w="3269" w:type="dxa"/>
            <w:tcBorders>
              <w:top w:val="single" w:color="auto" w:sz="4" w:space="0"/>
              <w:left w:val="single" w:color="auto" w:sz="4" w:space="0"/>
              <w:right w:val="single" w:color="auto" w:sz="4" w:space="0"/>
            </w:tcBorders>
            <w:vAlign w:val="center"/>
          </w:tcPr>
          <w:p w14:paraId="6B172471">
            <w:pPr>
              <w:jc w:val="center"/>
              <w:rPr>
                <w:rFonts w:hint="eastAsia" w:ascii="宋体" w:hAnsi="宋体" w:cs="宋体"/>
                <w:sz w:val="24"/>
              </w:rPr>
            </w:pPr>
          </w:p>
        </w:tc>
        <w:tc>
          <w:tcPr>
            <w:tcW w:w="910" w:type="dxa"/>
            <w:tcBorders>
              <w:top w:val="single" w:color="auto" w:sz="4" w:space="0"/>
              <w:left w:val="single" w:color="auto" w:sz="4" w:space="0"/>
              <w:right w:val="single" w:color="auto" w:sz="4" w:space="0"/>
            </w:tcBorders>
            <w:vAlign w:val="center"/>
          </w:tcPr>
          <w:p w14:paraId="71DDE774">
            <w:pPr>
              <w:spacing w:line="360" w:lineRule="auto"/>
              <w:jc w:val="center"/>
              <w:rPr>
                <w:rFonts w:hint="eastAsia" w:ascii="宋体" w:hAnsi="宋体" w:cs="宋体"/>
                <w:sz w:val="24"/>
              </w:rPr>
            </w:pPr>
          </w:p>
        </w:tc>
        <w:tc>
          <w:tcPr>
            <w:tcW w:w="790" w:type="dxa"/>
            <w:tcBorders>
              <w:top w:val="single" w:color="auto" w:sz="4" w:space="0"/>
              <w:left w:val="single" w:color="auto" w:sz="4" w:space="0"/>
              <w:right w:val="single" w:color="auto" w:sz="4" w:space="0"/>
            </w:tcBorders>
            <w:vAlign w:val="center"/>
          </w:tcPr>
          <w:p w14:paraId="69053643">
            <w:pPr>
              <w:spacing w:line="360" w:lineRule="auto"/>
              <w:jc w:val="center"/>
              <w:rPr>
                <w:rFonts w:hint="eastAsia" w:ascii="宋体" w:hAnsi="宋体" w:cs="宋体"/>
                <w:sz w:val="24"/>
              </w:rPr>
            </w:pPr>
          </w:p>
        </w:tc>
      </w:tr>
      <w:tr w14:paraId="0DC2B1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right w:val="single" w:color="auto" w:sz="4" w:space="0"/>
            </w:tcBorders>
            <w:vAlign w:val="center"/>
          </w:tcPr>
          <w:p w14:paraId="750BB883">
            <w:pPr>
              <w:spacing w:line="360" w:lineRule="auto"/>
              <w:jc w:val="center"/>
              <w:rPr>
                <w:rFonts w:hint="eastAsia" w:ascii="宋体" w:hAnsi="宋体" w:cs="宋体"/>
                <w:sz w:val="24"/>
              </w:rPr>
            </w:pPr>
            <w:r>
              <w:rPr>
                <w:rFonts w:hint="eastAsia" w:ascii="宋体" w:hAnsi="宋体" w:cs="宋体"/>
                <w:sz w:val="24"/>
              </w:rPr>
              <w:t>4</w:t>
            </w:r>
          </w:p>
        </w:tc>
        <w:tc>
          <w:tcPr>
            <w:tcW w:w="2768" w:type="dxa"/>
            <w:tcBorders>
              <w:top w:val="single" w:color="auto" w:sz="4" w:space="0"/>
              <w:left w:val="single" w:color="auto" w:sz="4" w:space="0"/>
              <w:right w:val="single" w:color="auto" w:sz="4" w:space="0"/>
            </w:tcBorders>
            <w:vAlign w:val="center"/>
          </w:tcPr>
          <w:p w14:paraId="5DB269C2">
            <w:pPr>
              <w:jc w:val="center"/>
              <w:rPr>
                <w:rFonts w:hint="eastAsia" w:ascii="宋体" w:hAnsi="宋体" w:cs="宋体"/>
                <w:sz w:val="24"/>
              </w:rPr>
            </w:pPr>
          </w:p>
        </w:tc>
        <w:tc>
          <w:tcPr>
            <w:tcW w:w="3269" w:type="dxa"/>
            <w:tcBorders>
              <w:top w:val="single" w:color="auto" w:sz="4" w:space="0"/>
              <w:left w:val="single" w:color="auto" w:sz="4" w:space="0"/>
              <w:right w:val="single" w:color="auto" w:sz="4" w:space="0"/>
            </w:tcBorders>
            <w:vAlign w:val="center"/>
          </w:tcPr>
          <w:p w14:paraId="20900E2C">
            <w:pPr>
              <w:jc w:val="center"/>
              <w:rPr>
                <w:rFonts w:hint="eastAsia" w:ascii="宋体" w:hAnsi="宋体" w:cs="宋体"/>
                <w:sz w:val="24"/>
              </w:rPr>
            </w:pPr>
          </w:p>
        </w:tc>
        <w:tc>
          <w:tcPr>
            <w:tcW w:w="910" w:type="dxa"/>
            <w:tcBorders>
              <w:top w:val="single" w:color="auto" w:sz="4" w:space="0"/>
              <w:left w:val="single" w:color="auto" w:sz="4" w:space="0"/>
              <w:right w:val="single" w:color="auto" w:sz="4" w:space="0"/>
            </w:tcBorders>
            <w:vAlign w:val="center"/>
          </w:tcPr>
          <w:p w14:paraId="517C6787">
            <w:pPr>
              <w:spacing w:line="360" w:lineRule="auto"/>
              <w:jc w:val="center"/>
              <w:rPr>
                <w:rFonts w:hint="eastAsia" w:ascii="宋体" w:hAnsi="宋体" w:cs="宋体"/>
                <w:sz w:val="24"/>
              </w:rPr>
            </w:pPr>
          </w:p>
        </w:tc>
        <w:tc>
          <w:tcPr>
            <w:tcW w:w="790" w:type="dxa"/>
            <w:tcBorders>
              <w:top w:val="single" w:color="auto" w:sz="4" w:space="0"/>
              <w:left w:val="single" w:color="auto" w:sz="4" w:space="0"/>
              <w:right w:val="single" w:color="auto" w:sz="4" w:space="0"/>
            </w:tcBorders>
            <w:vAlign w:val="center"/>
          </w:tcPr>
          <w:p w14:paraId="2C9C9311">
            <w:pPr>
              <w:spacing w:line="360" w:lineRule="auto"/>
              <w:jc w:val="center"/>
              <w:rPr>
                <w:rFonts w:hint="eastAsia" w:ascii="宋体" w:hAnsi="宋体" w:cs="宋体"/>
                <w:sz w:val="24"/>
              </w:rPr>
            </w:pPr>
          </w:p>
        </w:tc>
      </w:tr>
      <w:tr w14:paraId="68FF9E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14:paraId="0126B355">
            <w:pPr>
              <w:spacing w:line="360" w:lineRule="auto"/>
              <w:jc w:val="center"/>
              <w:rPr>
                <w:rFonts w:hint="eastAsia" w:ascii="宋体" w:hAnsi="宋体" w:cs="宋体"/>
                <w:sz w:val="24"/>
              </w:rPr>
            </w:pPr>
            <w:r>
              <w:rPr>
                <w:rFonts w:hint="eastAsia" w:ascii="宋体" w:hAnsi="宋体" w:cs="宋体"/>
                <w:sz w:val="24"/>
              </w:rPr>
              <w:t>5</w:t>
            </w:r>
          </w:p>
        </w:tc>
        <w:tc>
          <w:tcPr>
            <w:tcW w:w="2768" w:type="dxa"/>
            <w:tcBorders>
              <w:top w:val="single" w:color="auto" w:sz="4" w:space="0"/>
              <w:left w:val="single" w:color="auto" w:sz="4" w:space="0"/>
              <w:bottom w:val="single" w:color="auto" w:sz="4" w:space="0"/>
              <w:right w:val="single" w:color="auto" w:sz="4" w:space="0"/>
            </w:tcBorders>
            <w:vAlign w:val="center"/>
          </w:tcPr>
          <w:p w14:paraId="44BA7EEC">
            <w:pPr>
              <w:jc w:val="center"/>
              <w:rPr>
                <w:rFonts w:hint="eastAsia" w:ascii="宋体" w:hAnsi="宋体" w:cs="宋体"/>
                <w:sz w:val="24"/>
              </w:rPr>
            </w:pPr>
          </w:p>
        </w:tc>
        <w:tc>
          <w:tcPr>
            <w:tcW w:w="3269" w:type="dxa"/>
            <w:tcBorders>
              <w:top w:val="single" w:color="auto" w:sz="4" w:space="0"/>
              <w:left w:val="single" w:color="auto" w:sz="4" w:space="0"/>
              <w:bottom w:val="single" w:color="auto" w:sz="4" w:space="0"/>
              <w:right w:val="single" w:color="auto" w:sz="4" w:space="0"/>
            </w:tcBorders>
            <w:vAlign w:val="center"/>
          </w:tcPr>
          <w:p w14:paraId="41A402AB">
            <w:pPr>
              <w:jc w:val="center"/>
              <w:rPr>
                <w:rFonts w:hint="eastAsia" w:ascii="宋体" w:hAnsi="宋体" w:cs="宋体"/>
                <w:sz w:val="24"/>
              </w:rPr>
            </w:pPr>
          </w:p>
        </w:tc>
        <w:tc>
          <w:tcPr>
            <w:tcW w:w="910" w:type="dxa"/>
            <w:tcBorders>
              <w:top w:val="single" w:color="auto" w:sz="4" w:space="0"/>
              <w:left w:val="single" w:color="auto" w:sz="4" w:space="0"/>
              <w:bottom w:val="single" w:color="auto" w:sz="4" w:space="0"/>
              <w:right w:val="single" w:color="auto" w:sz="4" w:space="0"/>
            </w:tcBorders>
            <w:vAlign w:val="center"/>
          </w:tcPr>
          <w:p w14:paraId="4C0744BE">
            <w:pPr>
              <w:spacing w:line="360" w:lineRule="auto"/>
              <w:jc w:val="center"/>
              <w:rPr>
                <w:rFonts w:hint="eastAsia" w:ascii="宋体" w:hAnsi="宋体" w:cs="宋体"/>
                <w:sz w:val="24"/>
              </w:rPr>
            </w:pPr>
          </w:p>
        </w:tc>
        <w:tc>
          <w:tcPr>
            <w:tcW w:w="790" w:type="dxa"/>
            <w:tcBorders>
              <w:top w:val="single" w:color="auto" w:sz="4" w:space="0"/>
              <w:left w:val="single" w:color="auto" w:sz="4" w:space="0"/>
              <w:bottom w:val="single" w:color="auto" w:sz="4" w:space="0"/>
              <w:right w:val="single" w:color="auto" w:sz="4" w:space="0"/>
            </w:tcBorders>
            <w:vAlign w:val="center"/>
          </w:tcPr>
          <w:p w14:paraId="4DE51912">
            <w:pPr>
              <w:spacing w:line="360" w:lineRule="auto"/>
              <w:jc w:val="center"/>
              <w:rPr>
                <w:rFonts w:hint="eastAsia" w:ascii="宋体" w:hAnsi="宋体" w:cs="宋体"/>
                <w:sz w:val="24"/>
              </w:rPr>
            </w:pPr>
          </w:p>
        </w:tc>
      </w:tr>
      <w:tr w14:paraId="5AC5E8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14:paraId="31719CD3">
            <w:pPr>
              <w:spacing w:line="360" w:lineRule="auto"/>
              <w:jc w:val="center"/>
              <w:rPr>
                <w:rFonts w:hint="eastAsia" w:ascii="宋体" w:hAnsi="宋体" w:cs="宋体"/>
                <w:sz w:val="24"/>
              </w:rPr>
            </w:pPr>
            <w:r>
              <w:rPr>
                <w:rFonts w:hint="eastAsia" w:ascii="宋体" w:hAnsi="宋体" w:cs="宋体"/>
                <w:sz w:val="24"/>
              </w:rPr>
              <w:t>6</w:t>
            </w:r>
          </w:p>
        </w:tc>
        <w:tc>
          <w:tcPr>
            <w:tcW w:w="2768" w:type="dxa"/>
            <w:tcBorders>
              <w:top w:val="single" w:color="auto" w:sz="4" w:space="0"/>
              <w:left w:val="single" w:color="auto" w:sz="4" w:space="0"/>
              <w:bottom w:val="single" w:color="auto" w:sz="4" w:space="0"/>
              <w:right w:val="single" w:color="auto" w:sz="4" w:space="0"/>
            </w:tcBorders>
            <w:vAlign w:val="center"/>
          </w:tcPr>
          <w:p w14:paraId="6E9A2730">
            <w:pPr>
              <w:jc w:val="center"/>
              <w:rPr>
                <w:rFonts w:hint="eastAsia" w:ascii="宋体" w:hAnsi="宋体" w:cs="宋体"/>
                <w:sz w:val="24"/>
              </w:rPr>
            </w:pPr>
          </w:p>
        </w:tc>
        <w:tc>
          <w:tcPr>
            <w:tcW w:w="3269" w:type="dxa"/>
            <w:tcBorders>
              <w:top w:val="single" w:color="auto" w:sz="4" w:space="0"/>
              <w:left w:val="single" w:color="auto" w:sz="4" w:space="0"/>
              <w:bottom w:val="single" w:color="auto" w:sz="4" w:space="0"/>
              <w:right w:val="single" w:color="auto" w:sz="4" w:space="0"/>
            </w:tcBorders>
            <w:vAlign w:val="center"/>
          </w:tcPr>
          <w:p w14:paraId="2ADE42CB">
            <w:pPr>
              <w:jc w:val="center"/>
              <w:rPr>
                <w:rFonts w:hint="eastAsia" w:ascii="宋体" w:hAnsi="宋体" w:cs="宋体"/>
                <w:sz w:val="24"/>
              </w:rPr>
            </w:pPr>
          </w:p>
        </w:tc>
        <w:tc>
          <w:tcPr>
            <w:tcW w:w="910" w:type="dxa"/>
            <w:tcBorders>
              <w:top w:val="single" w:color="auto" w:sz="4" w:space="0"/>
              <w:left w:val="single" w:color="auto" w:sz="4" w:space="0"/>
              <w:bottom w:val="single" w:color="auto" w:sz="4" w:space="0"/>
              <w:right w:val="single" w:color="auto" w:sz="4" w:space="0"/>
            </w:tcBorders>
            <w:vAlign w:val="center"/>
          </w:tcPr>
          <w:p w14:paraId="2BB51E05">
            <w:pPr>
              <w:spacing w:line="360" w:lineRule="auto"/>
              <w:jc w:val="center"/>
              <w:rPr>
                <w:rFonts w:hint="eastAsia" w:ascii="宋体" w:hAnsi="宋体" w:cs="宋体"/>
                <w:sz w:val="24"/>
              </w:rPr>
            </w:pPr>
          </w:p>
        </w:tc>
        <w:tc>
          <w:tcPr>
            <w:tcW w:w="790" w:type="dxa"/>
            <w:tcBorders>
              <w:top w:val="single" w:color="auto" w:sz="4" w:space="0"/>
              <w:left w:val="single" w:color="auto" w:sz="4" w:space="0"/>
              <w:bottom w:val="single" w:color="auto" w:sz="4" w:space="0"/>
              <w:right w:val="single" w:color="auto" w:sz="4" w:space="0"/>
            </w:tcBorders>
            <w:vAlign w:val="center"/>
          </w:tcPr>
          <w:p w14:paraId="5E4D691A">
            <w:pPr>
              <w:spacing w:line="360" w:lineRule="auto"/>
              <w:jc w:val="center"/>
              <w:rPr>
                <w:rFonts w:hint="eastAsia" w:ascii="宋体" w:hAnsi="宋体" w:cs="宋体"/>
                <w:sz w:val="24"/>
              </w:rPr>
            </w:pPr>
          </w:p>
        </w:tc>
      </w:tr>
      <w:tr w14:paraId="6CD4E6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630" w:hRule="atLeast"/>
          <w:jc w:val="center"/>
        </w:trPr>
        <w:tc>
          <w:tcPr>
            <w:tcW w:w="1083" w:type="dxa"/>
            <w:tcBorders>
              <w:top w:val="single" w:color="auto" w:sz="4" w:space="0"/>
              <w:left w:val="single" w:color="auto" w:sz="4" w:space="0"/>
              <w:bottom w:val="single" w:color="auto" w:sz="4" w:space="0"/>
              <w:right w:val="single" w:color="auto" w:sz="4" w:space="0"/>
            </w:tcBorders>
            <w:vAlign w:val="center"/>
          </w:tcPr>
          <w:p w14:paraId="757A4EB0">
            <w:pPr>
              <w:spacing w:line="360" w:lineRule="auto"/>
              <w:jc w:val="center"/>
              <w:rPr>
                <w:rFonts w:hint="eastAsia" w:ascii="宋体" w:hAnsi="宋体" w:cs="宋体"/>
                <w:sz w:val="24"/>
              </w:rPr>
            </w:pPr>
            <w:r>
              <w:rPr>
                <w:rFonts w:hint="eastAsia" w:ascii="宋体" w:hAnsi="宋体" w:cs="宋体"/>
                <w:sz w:val="24"/>
              </w:rPr>
              <w:t>...</w:t>
            </w:r>
          </w:p>
        </w:tc>
        <w:tc>
          <w:tcPr>
            <w:tcW w:w="2768" w:type="dxa"/>
            <w:tcBorders>
              <w:top w:val="single" w:color="auto" w:sz="4" w:space="0"/>
              <w:left w:val="single" w:color="auto" w:sz="4" w:space="0"/>
              <w:bottom w:val="single" w:color="auto" w:sz="4" w:space="0"/>
              <w:right w:val="single" w:color="auto" w:sz="4" w:space="0"/>
            </w:tcBorders>
            <w:vAlign w:val="center"/>
          </w:tcPr>
          <w:p w14:paraId="7029ACD9">
            <w:pPr>
              <w:jc w:val="center"/>
              <w:rPr>
                <w:rFonts w:hint="eastAsia" w:ascii="宋体" w:hAnsi="宋体" w:cs="宋体"/>
                <w:spacing w:val="-20"/>
                <w:sz w:val="24"/>
              </w:rPr>
            </w:pPr>
            <w:r>
              <w:rPr>
                <w:rFonts w:hint="eastAsia" w:ascii="宋体" w:hAnsi="宋体" w:cs="宋体"/>
                <w:spacing w:val="-20"/>
                <w:sz w:val="24"/>
              </w:rPr>
              <w:t>...</w:t>
            </w:r>
          </w:p>
        </w:tc>
        <w:tc>
          <w:tcPr>
            <w:tcW w:w="3269" w:type="dxa"/>
            <w:tcBorders>
              <w:top w:val="single" w:color="auto" w:sz="4" w:space="0"/>
              <w:left w:val="single" w:color="auto" w:sz="4" w:space="0"/>
              <w:bottom w:val="single" w:color="auto" w:sz="4" w:space="0"/>
              <w:right w:val="single" w:color="auto" w:sz="4" w:space="0"/>
            </w:tcBorders>
            <w:vAlign w:val="center"/>
          </w:tcPr>
          <w:p w14:paraId="09D8E4DD">
            <w:pPr>
              <w:jc w:val="center"/>
              <w:rPr>
                <w:rFonts w:hint="eastAsia" w:ascii="宋体" w:hAnsi="宋体" w:cs="宋体"/>
                <w:spacing w:val="-20"/>
                <w:sz w:val="24"/>
              </w:rPr>
            </w:pPr>
            <w:r>
              <w:rPr>
                <w:rFonts w:hint="eastAsia" w:ascii="宋体" w:hAnsi="宋体" w:cs="宋体"/>
                <w:spacing w:val="-20"/>
                <w:sz w:val="24"/>
              </w:rPr>
              <w:t>...</w:t>
            </w:r>
          </w:p>
        </w:tc>
        <w:tc>
          <w:tcPr>
            <w:tcW w:w="910" w:type="dxa"/>
            <w:tcBorders>
              <w:top w:val="single" w:color="auto" w:sz="4" w:space="0"/>
              <w:left w:val="single" w:color="auto" w:sz="4" w:space="0"/>
              <w:bottom w:val="single" w:color="auto" w:sz="4" w:space="0"/>
              <w:right w:val="single" w:color="auto" w:sz="4" w:space="0"/>
            </w:tcBorders>
            <w:vAlign w:val="center"/>
          </w:tcPr>
          <w:p w14:paraId="60D0B8A4">
            <w:pPr>
              <w:spacing w:line="360" w:lineRule="auto"/>
              <w:jc w:val="center"/>
              <w:rPr>
                <w:rFonts w:hint="eastAsia" w:ascii="宋体" w:hAnsi="宋体" w:cs="宋体"/>
                <w:sz w:val="24"/>
              </w:rPr>
            </w:pPr>
            <w:r>
              <w:rPr>
                <w:rFonts w:hint="eastAsia" w:ascii="宋体" w:hAnsi="宋体" w:cs="宋体"/>
                <w:sz w:val="24"/>
              </w:rPr>
              <w:t>...</w:t>
            </w:r>
          </w:p>
        </w:tc>
        <w:tc>
          <w:tcPr>
            <w:tcW w:w="790" w:type="dxa"/>
            <w:tcBorders>
              <w:top w:val="single" w:color="auto" w:sz="4" w:space="0"/>
              <w:left w:val="single" w:color="auto" w:sz="4" w:space="0"/>
              <w:bottom w:val="single" w:color="auto" w:sz="4" w:space="0"/>
              <w:right w:val="single" w:color="auto" w:sz="4" w:space="0"/>
            </w:tcBorders>
            <w:vAlign w:val="center"/>
          </w:tcPr>
          <w:p w14:paraId="42485AEC">
            <w:pPr>
              <w:spacing w:line="360" w:lineRule="auto"/>
              <w:jc w:val="center"/>
              <w:rPr>
                <w:rFonts w:hint="eastAsia" w:ascii="宋体" w:hAnsi="宋体" w:cs="宋体"/>
                <w:sz w:val="24"/>
              </w:rPr>
            </w:pPr>
            <w:r>
              <w:rPr>
                <w:rFonts w:hint="eastAsia" w:ascii="宋体" w:hAnsi="宋体" w:cs="宋体"/>
                <w:sz w:val="24"/>
              </w:rPr>
              <w:t>...</w:t>
            </w:r>
          </w:p>
        </w:tc>
      </w:tr>
    </w:tbl>
    <w:p w14:paraId="3E98C382">
      <w:pPr>
        <w:spacing w:line="520" w:lineRule="exact"/>
        <w:rPr>
          <w:rFonts w:hint="eastAsia" w:ascii="宋体" w:hAnsi="宋体" w:cs="宋体"/>
          <w:sz w:val="28"/>
        </w:rPr>
      </w:pPr>
    </w:p>
    <w:p w14:paraId="059118E3">
      <w:pPr>
        <w:spacing w:line="520" w:lineRule="exact"/>
        <w:ind w:firstLine="209"/>
        <w:rPr>
          <w:rFonts w:hint="eastAsia" w:ascii="宋体" w:hAnsi="宋体" w:cs="宋体"/>
          <w:sz w:val="28"/>
        </w:rPr>
      </w:pPr>
      <w:r>
        <w:rPr>
          <w:rFonts w:hint="eastAsia" w:ascii="宋体" w:hAnsi="宋体" w:cs="宋体"/>
          <w:sz w:val="28"/>
        </w:rPr>
        <w:t>投标人:</w:t>
      </w:r>
      <w:r>
        <w:rPr>
          <w:rFonts w:hint="eastAsia" w:ascii="宋体" w:hAnsi="宋体" w:cs="宋体"/>
          <w:sz w:val="28"/>
          <w:u w:val="single"/>
        </w:rPr>
        <w:t xml:space="preserve">     （加盖公章）     </w:t>
      </w:r>
    </w:p>
    <w:p w14:paraId="2A747AF5">
      <w:pPr>
        <w:spacing w:line="440" w:lineRule="exact"/>
        <w:rPr>
          <w:rFonts w:hint="eastAsia" w:ascii="宋体" w:hAnsi="宋体" w:cs="宋体"/>
          <w:sz w:val="28"/>
        </w:rPr>
      </w:pPr>
    </w:p>
    <w:p w14:paraId="519DCF36">
      <w:pPr>
        <w:spacing w:line="440" w:lineRule="exact"/>
        <w:rPr>
          <w:rFonts w:hint="eastAsia" w:ascii="宋体" w:hAnsi="宋体" w:cs="宋体"/>
          <w:sz w:val="28"/>
        </w:rPr>
      </w:pPr>
      <w:r>
        <w:rPr>
          <w:rFonts w:hint="eastAsia" w:ascii="宋体" w:hAnsi="宋体" w:cs="宋体"/>
          <w:sz w:val="28"/>
        </w:rPr>
        <w:t>法定代表人或其委托受托人签字:</w:t>
      </w:r>
    </w:p>
    <w:p w14:paraId="2E232C06">
      <w:pPr>
        <w:pStyle w:val="21"/>
        <w:spacing w:line="340" w:lineRule="exact"/>
        <w:rPr>
          <w:rFonts w:hint="eastAsia" w:hAnsi="宋体" w:cs="宋体"/>
          <w:sz w:val="28"/>
          <w:szCs w:val="24"/>
        </w:rPr>
      </w:pPr>
    </w:p>
    <w:p w14:paraId="165CC11E">
      <w:pPr>
        <w:pStyle w:val="21"/>
        <w:spacing w:line="340" w:lineRule="exact"/>
        <w:rPr>
          <w:rFonts w:hint="eastAsia" w:hAnsi="宋体" w:cs="宋体"/>
          <w:sz w:val="28"/>
          <w:szCs w:val="24"/>
        </w:rPr>
      </w:pPr>
      <w:r>
        <w:rPr>
          <w:rFonts w:hint="eastAsia" w:hAnsi="宋体" w:cs="宋体"/>
          <w:sz w:val="28"/>
          <w:szCs w:val="24"/>
        </w:rPr>
        <w:t>日期：年 月 日</w:t>
      </w:r>
    </w:p>
    <w:p w14:paraId="7F6954B1"/>
    <w:p w14:paraId="06E2FE5E">
      <w:pPr>
        <w:spacing w:line="440" w:lineRule="exact"/>
        <w:ind w:firstLine="315"/>
        <w:rPr>
          <w:rFonts w:hint="eastAsia" w:ascii="宋体" w:hAnsi="宋体" w:cs="宋体"/>
          <w:bCs/>
          <w:szCs w:val="21"/>
        </w:rPr>
      </w:pPr>
    </w:p>
    <w:p w14:paraId="4D451D8F">
      <w:pPr>
        <w:spacing w:line="440" w:lineRule="exact"/>
        <w:ind w:firstLine="315"/>
        <w:rPr>
          <w:rFonts w:hint="eastAsia" w:ascii="宋体" w:hAnsi="宋体" w:cs="宋体"/>
          <w:bCs/>
          <w:szCs w:val="21"/>
        </w:rPr>
      </w:pPr>
      <w:r>
        <w:rPr>
          <w:rFonts w:hint="eastAsia" w:ascii="宋体" w:hAnsi="宋体" w:cs="宋体"/>
          <w:bCs/>
          <w:szCs w:val="21"/>
        </w:rPr>
        <w:t xml:space="preserve">注：（1）此表为表样，行数可自行添加，但表式不变。 </w:t>
      </w:r>
    </w:p>
    <w:p w14:paraId="6F8BE6BD">
      <w:pPr>
        <w:spacing w:line="440" w:lineRule="exact"/>
        <w:ind w:firstLine="315"/>
        <w:rPr>
          <w:rFonts w:hint="eastAsia" w:ascii="宋体" w:hAnsi="宋体" w:cs="宋体"/>
          <w:bCs/>
          <w:szCs w:val="21"/>
        </w:rPr>
      </w:pPr>
      <w:r>
        <w:rPr>
          <w:rFonts w:hint="eastAsia" w:ascii="宋体" w:hAnsi="宋体" w:cs="宋体"/>
          <w:bCs/>
          <w:szCs w:val="21"/>
        </w:rPr>
        <w:t xml:space="preserve">（2）是否偏离用符号“+、=、-”分别表示正偏离、完全响应、负偏离。 </w:t>
      </w:r>
    </w:p>
    <w:p w14:paraId="651FE129">
      <w:pPr>
        <w:spacing w:line="440" w:lineRule="exact"/>
        <w:ind w:firstLine="315"/>
        <w:rPr>
          <w:rFonts w:hint="eastAsia" w:ascii="宋体" w:hAnsi="宋体" w:cs="宋体"/>
          <w:bCs/>
          <w:szCs w:val="21"/>
        </w:rPr>
      </w:pPr>
      <w:r>
        <w:rPr>
          <w:rFonts w:hint="eastAsia" w:ascii="宋体" w:hAnsi="宋体" w:cs="宋体"/>
          <w:bCs/>
          <w:szCs w:val="21"/>
        </w:rPr>
        <w:t>（3）根据采购需求中的技术参数要求在《技术规格响应偏离表》中逐条列出响应及偏离情况，采购需求中要求提供证明材料的，以证明材料为准；采购需求中未要求提供证明材料的，以《技术规格响应偏离表》为准。</w:t>
      </w:r>
    </w:p>
    <w:p w14:paraId="130DCF85">
      <w:pPr>
        <w:keepNext/>
        <w:keepLines/>
        <w:spacing w:before="100" w:line="360" w:lineRule="auto"/>
        <w:ind w:firstLine="420"/>
        <w:outlineLvl w:val="1"/>
        <w:rPr>
          <w:rFonts w:hint="eastAsia" w:ascii="宋体" w:hAnsi="宋体" w:cs="宋体"/>
          <w:bCs/>
          <w:szCs w:val="21"/>
        </w:rPr>
      </w:pPr>
    </w:p>
    <w:p w14:paraId="13DECAD4">
      <w:pPr>
        <w:pStyle w:val="12"/>
        <w:spacing w:line="360" w:lineRule="auto"/>
        <w:ind w:firstLine="0"/>
      </w:pPr>
    </w:p>
    <w:p w14:paraId="6517F29E"/>
    <w:p w14:paraId="62C37BCD">
      <w:pPr>
        <w:pStyle w:val="21"/>
      </w:pPr>
    </w:p>
    <w:p w14:paraId="0071509A">
      <w:pPr>
        <w:pStyle w:val="21"/>
        <w:spacing w:line="340" w:lineRule="exact"/>
        <w:rPr>
          <w:rFonts w:hint="eastAsia" w:hAnsi="宋体" w:cs="宋体"/>
          <w:sz w:val="28"/>
          <w:szCs w:val="24"/>
        </w:rPr>
      </w:pPr>
    </w:p>
    <w:p w14:paraId="162DD15B">
      <w:pPr>
        <w:pStyle w:val="21"/>
        <w:spacing w:line="340" w:lineRule="exact"/>
        <w:rPr>
          <w:rFonts w:hint="eastAsia" w:hAnsi="宋体" w:cs="宋体"/>
          <w:sz w:val="28"/>
          <w:szCs w:val="24"/>
        </w:rPr>
      </w:pPr>
    </w:p>
    <w:p w14:paraId="76C54661">
      <w:pPr>
        <w:spacing w:before="10" w:line="400" w:lineRule="exact"/>
        <w:ind w:right="258"/>
        <w:jc w:val="center"/>
        <w:outlineLvl w:val="0"/>
        <w:rPr>
          <w:rFonts w:hint="eastAsia" w:ascii="宋体" w:hAnsi="宋体" w:cs="宋体"/>
          <w:b/>
          <w:sz w:val="32"/>
          <w:szCs w:val="20"/>
        </w:rPr>
      </w:pPr>
      <w:r>
        <w:rPr>
          <w:rFonts w:hint="eastAsia" w:ascii="宋体" w:hAnsi="宋体" w:cs="宋体"/>
          <w:b/>
          <w:sz w:val="32"/>
          <w:szCs w:val="20"/>
        </w:rPr>
        <w:t>五、服务承诺</w:t>
      </w:r>
      <w:bookmarkStart w:id="70" w:name="（格式由投标人自定、加盖公章）"/>
      <w:bookmarkEnd w:id="70"/>
    </w:p>
    <w:p w14:paraId="0929F708">
      <w:pPr>
        <w:spacing w:before="10" w:line="400" w:lineRule="exact"/>
        <w:ind w:right="258"/>
        <w:jc w:val="left"/>
        <w:outlineLvl w:val="0"/>
        <w:rPr>
          <w:rFonts w:hint="eastAsia" w:ascii="宋体" w:hAnsi="宋体" w:cs="宋体"/>
          <w:sz w:val="24"/>
        </w:rPr>
      </w:pPr>
      <w:r>
        <w:rPr>
          <w:rFonts w:hint="eastAsia" w:ascii="宋体" w:hAnsi="宋体" w:cs="宋体"/>
          <w:sz w:val="24"/>
        </w:rPr>
        <w:t>（不低于项目采购需求的要求。格式由投标人自定、加盖投标人公章上传投标文件。）</w:t>
      </w:r>
    </w:p>
    <w:p w14:paraId="29F6AC79">
      <w:pPr>
        <w:spacing w:before="10" w:line="400" w:lineRule="exact"/>
        <w:ind w:right="258"/>
        <w:jc w:val="left"/>
        <w:outlineLvl w:val="0"/>
        <w:rPr>
          <w:rFonts w:hint="eastAsia" w:ascii="宋体" w:hAnsi="宋体" w:cs="宋体"/>
          <w:sz w:val="24"/>
        </w:rPr>
      </w:pPr>
    </w:p>
    <w:p w14:paraId="77436B21">
      <w:pPr>
        <w:spacing w:line="520" w:lineRule="exact"/>
        <w:jc w:val="right"/>
        <w:outlineLvl w:val="0"/>
        <w:rPr>
          <w:rFonts w:hint="eastAsia" w:ascii="宋体" w:hAnsi="宋体" w:cs="宋体"/>
          <w:sz w:val="28"/>
        </w:rPr>
      </w:pPr>
    </w:p>
    <w:p w14:paraId="7071D4A2">
      <w:pPr>
        <w:spacing w:line="520" w:lineRule="exact"/>
        <w:jc w:val="right"/>
        <w:outlineLvl w:val="0"/>
        <w:rPr>
          <w:rFonts w:hint="eastAsia" w:ascii="宋体" w:hAnsi="宋体" w:cs="宋体"/>
          <w:sz w:val="28"/>
        </w:rPr>
      </w:pPr>
    </w:p>
    <w:p w14:paraId="59F75099">
      <w:pPr>
        <w:spacing w:line="520" w:lineRule="exact"/>
        <w:jc w:val="center"/>
        <w:outlineLvl w:val="0"/>
        <w:rPr>
          <w:rFonts w:hint="eastAsia" w:ascii="宋体" w:hAnsi="宋体" w:cs="宋体"/>
          <w:sz w:val="28"/>
        </w:rPr>
      </w:pPr>
      <w:r>
        <w:rPr>
          <w:rFonts w:hint="eastAsia" w:ascii="宋体" w:hAnsi="宋体" w:cs="宋体"/>
          <w:sz w:val="28"/>
        </w:rPr>
        <w:t xml:space="preserve">                          </w:t>
      </w:r>
    </w:p>
    <w:p w14:paraId="7FDBE042">
      <w:pPr>
        <w:spacing w:before="10" w:line="400" w:lineRule="exact"/>
        <w:ind w:right="258"/>
        <w:jc w:val="left"/>
        <w:outlineLvl w:val="0"/>
        <w:rPr>
          <w:rFonts w:hint="eastAsia" w:ascii="宋体" w:hAnsi="宋体" w:cs="宋体"/>
          <w:b/>
          <w:sz w:val="32"/>
          <w:szCs w:val="20"/>
        </w:rPr>
      </w:pPr>
    </w:p>
    <w:p w14:paraId="31374CA6">
      <w:pPr>
        <w:spacing w:before="10" w:line="400" w:lineRule="exact"/>
        <w:ind w:right="258"/>
        <w:outlineLvl w:val="0"/>
        <w:rPr>
          <w:rFonts w:hint="eastAsia" w:ascii="宋体" w:hAnsi="宋体" w:cs="宋体"/>
          <w:b/>
          <w:sz w:val="32"/>
          <w:szCs w:val="20"/>
        </w:rPr>
      </w:pPr>
    </w:p>
    <w:p w14:paraId="31843BC5">
      <w:pPr>
        <w:spacing w:before="10" w:line="400" w:lineRule="exact"/>
        <w:ind w:right="258"/>
        <w:outlineLvl w:val="0"/>
        <w:rPr>
          <w:rFonts w:hint="eastAsia" w:ascii="宋体" w:hAnsi="宋体" w:cs="宋体"/>
          <w:b/>
          <w:sz w:val="32"/>
          <w:szCs w:val="20"/>
        </w:rPr>
      </w:pPr>
    </w:p>
    <w:p w14:paraId="38F5C8A3">
      <w:pPr>
        <w:spacing w:before="10" w:line="400" w:lineRule="exact"/>
        <w:ind w:right="258"/>
        <w:outlineLvl w:val="0"/>
        <w:rPr>
          <w:rFonts w:hint="eastAsia" w:ascii="宋体" w:hAnsi="宋体" w:cs="宋体"/>
          <w:b/>
          <w:sz w:val="32"/>
          <w:szCs w:val="20"/>
        </w:rPr>
      </w:pPr>
    </w:p>
    <w:p w14:paraId="481EE769">
      <w:pPr>
        <w:spacing w:before="10" w:line="400" w:lineRule="exact"/>
        <w:ind w:right="258"/>
        <w:outlineLvl w:val="0"/>
        <w:rPr>
          <w:rFonts w:hint="eastAsia" w:ascii="宋体" w:hAnsi="宋体" w:cs="宋体"/>
          <w:b/>
          <w:sz w:val="32"/>
          <w:szCs w:val="20"/>
        </w:rPr>
      </w:pPr>
    </w:p>
    <w:p w14:paraId="64A08AF2">
      <w:pPr>
        <w:spacing w:before="10" w:line="400" w:lineRule="exact"/>
        <w:ind w:right="258"/>
        <w:outlineLvl w:val="0"/>
        <w:rPr>
          <w:rFonts w:hint="eastAsia" w:ascii="宋体" w:hAnsi="宋体" w:cs="宋体"/>
          <w:b/>
          <w:sz w:val="32"/>
          <w:szCs w:val="20"/>
        </w:rPr>
      </w:pPr>
    </w:p>
    <w:p w14:paraId="7DFF6404">
      <w:pPr>
        <w:spacing w:before="10" w:line="400" w:lineRule="exact"/>
        <w:ind w:right="258"/>
        <w:outlineLvl w:val="0"/>
        <w:rPr>
          <w:rFonts w:hint="eastAsia" w:ascii="宋体" w:hAnsi="宋体" w:cs="宋体"/>
          <w:b/>
          <w:sz w:val="32"/>
          <w:szCs w:val="20"/>
        </w:rPr>
      </w:pPr>
    </w:p>
    <w:p w14:paraId="49ACE231">
      <w:pPr>
        <w:spacing w:before="10" w:line="400" w:lineRule="exact"/>
        <w:ind w:right="258"/>
        <w:outlineLvl w:val="0"/>
        <w:rPr>
          <w:rFonts w:hint="eastAsia" w:ascii="宋体" w:hAnsi="宋体" w:cs="宋体"/>
          <w:b/>
          <w:sz w:val="32"/>
          <w:szCs w:val="20"/>
        </w:rPr>
      </w:pPr>
    </w:p>
    <w:p w14:paraId="086E4BA5">
      <w:pPr>
        <w:spacing w:before="10" w:line="400" w:lineRule="exact"/>
        <w:ind w:right="258"/>
        <w:outlineLvl w:val="0"/>
        <w:rPr>
          <w:rFonts w:hint="eastAsia" w:ascii="宋体" w:hAnsi="宋体" w:cs="宋体"/>
          <w:b/>
          <w:sz w:val="32"/>
          <w:szCs w:val="20"/>
        </w:rPr>
      </w:pPr>
    </w:p>
    <w:p w14:paraId="0A58A441">
      <w:pPr>
        <w:spacing w:before="10" w:line="400" w:lineRule="exact"/>
        <w:ind w:right="258"/>
        <w:outlineLvl w:val="0"/>
        <w:rPr>
          <w:rFonts w:hint="eastAsia" w:ascii="宋体" w:hAnsi="宋体" w:cs="宋体"/>
          <w:b/>
          <w:sz w:val="32"/>
          <w:szCs w:val="20"/>
        </w:rPr>
      </w:pPr>
    </w:p>
    <w:p w14:paraId="05A204A5">
      <w:pPr>
        <w:spacing w:before="10" w:line="400" w:lineRule="exact"/>
        <w:ind w:right="258"/>
        <w:outlineLvl w:val="0"/>
        <w:rPr>
          <w:rFonts w:hint="eastAsia" w:ascii="宋体" w:hAnsi="宋体" w:cs="宋体"/>
          <w:b/>
          <w:sz w:val="32"/>
          <w:szCs w:val="20"/>
        </w:rPr>
      </w:pPr>
    </w:p>
    <w:p w14:paraId="3398D5CE">
      <w:pPr>
        <w:spacing w:before="10" w:line="400" w:lineRule="exact"/>
        <w:ind w:right="258"/>
        <w:outlineLvl w:val="0"/>
        <w:rPr>
          <w:rFonts w:hint="eastAsia" w:ascii="宋体" w:hAnsi="宋体" w:cs="宋体"/>
          <w:b/>
          <w:sz w:val="32"/>
          <w:szCs w:val="20"/>
        </w:rPr>
      </w:pPr>
    </w:p>
    <w:p w14:paraId="094F0B98">
      <w:pPr>
        <w:spacing w:before="10" w:line="400" w:lineRule="exact"/>
        <w:ind w:right="258"/>
        <w:outlineLvl w:val="0"/>
        <w:rPr>
          <w:rFonts w:hint="eastAsia" w:ascii="宋体" w:hAnsi="宋体" w:cs="宋体"/>
          <w:b/>
          <w:sz w:val="32"/>
          <w:szCs w:val="20"/>
        </w:rPr>
      </w:pPr>
    </w:p>
    <w:p w14:paraId="387C6BD5">
      <w:pPr>
        <w:spacing w:before="10" w:line="400" w:lineRule="exact"/>
        <w:ind w:right="258"/>
        <w:outlineLvl w:val="0"/>
        <w:rPr>
          <w:rFonts w:hint="eastAsia" w:ascii="宋体" w:hAnsi="宋体" w:cs="宋体"/>
          <w:b/>
          <w:sz w:val="32"/>
          <w:szCs w:val="20"/>
        </w:rPr>
      </w:pPr>
    </w:p>
    <w:p w14:paraId="1841AB44">
      <w:pPr>
        <w:spacing w:before="10" w:line="400" w:lineRule="exact"/>
        <w:ind w:right="258"/>
        <w:outlineLvl w:val="0"/>
        <w:rPr>
          <w:rFonts w:hint="eastAsia" w:ascii="宋体" w:hAnsi="宋体" w:cs="宋体"/>
          <w:b/>
          <w:sz w:val="32"/>
          <w:szCs w:val="20"/>
        </w:rPr>
      </w:pPr>
    </w:p>
    <w:p w14:paraId="2A53FDDC">
      <w:pPr>
        <w:spacing w:before="10" w:line="400" w:lineRule="exact"/>
        <w:ind w:right="258"/>
        <w:outlineLvl w:val="0"/>
        <w:rPr>
          <w:rFonts w:hint="eastAsia" w:ascii="宋体" w:hAnsi="宋体" w:cs="宋体"/>
          <w:b/>
          <w:sz w:val="32"/>
          <w:szCs w:val="20"/>
        </w:rPr>
      </w:pPr>
    </w:p>
    <w:p w14:paraId="733EB690">
      <w:pPr>
        <w:spacing w:before="10" w:line="400" w:lineRule="exact"/>
        <w:ind w:right="258"/>
        <w:outlineLvl w:val="0"/>
        <w:rPr>
          <w:rFonts w:hint="eastAsia" w:ascii="宋体" w:hAnsi="宋体" w:cs="宋体"/>
          <w:b/>
          <w:sz w:val="32"/>
          <w:szCs w:val="20"/>
        </w:rPr>
      </w:pPr>
    </w:p>
    <w:p w14:paraId="47EEA3C1">
      <w:pPr>
        <w:spacing w:before="10" w:line="400" w:lineRule="exact"/>
        <w:ind w:right="258"/>
        <w:outlineLvl w:val="0"/>
        <w:rPr>
          <w:rFonts w:hint="eastAsia" w:ascii="宋体" w:hAnsi="宋体" w:cs="宋体"/>
          <w:b/>
          <w:sz w:val="32"/>
          <w:szCs w:val="20"/>
        </w:rPr>
      </w:pPr>
    </w:p>
    <w:p w14:paraId="290CFD41">
      <w:pPr>
        <w:spacing w:before="10" w:line="400" w:lineRule="exact"/>
        <w:ind w:right="258"/>
        <w:outlineLvl w:val="0"/>
        <w:rPr>
          <w:rFonts w:hint="eastAsia" w:ascii="宋体" w:hAnsi="宋体" w:cs="宋体"/>
          <w:b/>
          <w:sz w:val="32"/>
          <w:szCs w:val="20"/>
        </w:rPr>
      </w:pPr>
    </w:p>
    <w:p w14:paraId="725C6DCB">
      <w:pPr>
        <w:spacing w:before="10" w:line="400" w:lineRule="exact"/>
        <w:ind w:right="258"/>
        <w:outlineLvl w:val="0"/>
        <w:rPr>
          <w:rFonts w:hint="eastAsia" w:ascii="宋体" w:hAnsi="宋体" w:cs="宋体"/>
          <w:b/>
          <w:sz w:val="32"/>
          <w:szCs w:val="20"/>
        </w:rPr>
      </w:pPr>
    </w:p>
    <w:p w14:paraId="5EECF403">
      <w:pPr>
        <w:spacing w:before="10" w:line="400" w:lineRule="exact"/>
        <w:ind w:right="258"/>
        <w:outlineLvl w:val="0"/>
        <w:rPr>
          <w:rFonts w:hint="eastAsia" w:ascii="宋体" w:hAnsi="宋体" w:cs="宋体"/>
          <w:b/>
          <w:sz w:val="32"/>
          <w:szCs w:val="20"/>
        </w:rPr>
      </w:pPr>
    </w:p>
    <w:p w14:paraId="435A0D40">
      <w:pPr>
        <w:spacing w:before="10" w:line="400" w:lineRule="exact"/>
        <w:ind w:right="258"/>
        <w:outlineLvl w:val="0"/>
        <w:rPr>
          <w:rFonts w:hint="eastAsia" w:ascii="宋体" w:hAnsi="宋体" w:cs="宋体"/>
          <w:b/>
          <w:sz w:val="32"/>
          <w:szCs w:val="20"/>
        </w:rPr>
      </w:pPr>
    </w:p>
    <w:p w14:paraId="70BB3B3F">
      <w:pPr>
        <w:spacing w:before="10" w:line="400" w:lineRule="exact"/>
        <w:ind w:right="258"/>
        <w:outlineLvl w:val="0"/>
        <w:rPr>
          <w:rFonts w:hint="eastAsia" w:ascii="宋体" w:hAnsi="宋体" w:cs="宋体"/>
          <w:b/>
          <w:sz w:val="32"/>
          <w:szCs w:val="20"/>
        </w:rPr>
      </w:pPr>
    </w:p>
    <w:p w14:paraId="59DCC869">
      <w:pPr>
        <w:spacing w:before="10" w:line="400" w:lineRule="exact"/>
        <w:ind w:right="258"/>
        <w:outlineLvl w:val="0"/>
        <w:rPr>
          <w:rFonts w:hint="eastAsia" w:ascii="宋体" w:hAnsi="宋体" w:cs="宋体"/>
          <w:b/>
          <w:sz w:val="32"/>
          <w:szCs w:val="20"/>
        </w:rPr>
      </w:pPr>
    </w:p>
    <w:p w14:paraId="06014CF9">
      <w:pPr>
        <w:spacing w:before="10" w:line="400" w:lineRule="exact"/>
        <w:ind w:right="258"/>
        <w:outlineLvl w:val="0"/>
        <w:rPr>
          <w:rFonts w:hint="eastAsia" w:ascii="宋体" w:hAnsi="宋体" w:cs="宋体"/>
          <w:b/>
          <w:sz w:val="32"/>
          <w:szCs w:val="20"/>
        </w:rPr>
      </w:pPr>
    </w:p>
    <w:p w14:paraId="7AF2A45A">
      <w:pPr>
        <w:pStyle w:val="21"/>
        <w:spacing w:line="360" w:lineRule="auto"/>
        <w:rPr>
          <w:rFonts w:hint="eastAsia" w:hAnsi="宋体" w:cs="宋体"/>
          <w:b/>
          <w:sz w:val="32"/>
          <w:szCs w:val="20"/>
        </w:rPr>
      </w:pPr>
      <w:r>
        <w:rPr>
          <w:rFonts w:hint="eastAsia" w:hAnsi="宋体" w:cs="宋体"/>
          <w:b/>
          <w:sz w:val="32"/>
          <w:szCs w:val="20"/>
        </w:rPr>
        <w:t>六、资质审查时投标人必须提供的资格证明文件</w:t>
      </w:r>
    </w:p>
    <w:p w14:paraId="4997FDDE">
      <w:pPr>
        <w:pStyle w:val="21"/>
        <w:spacing w:line="360" w:lineRule="auto"/>
        <w:ind w:firstLine="644"/>
        <w:rPr>
          <w:rFonts w:hint="eastAsia" w:hAnsi="宋体" w:cs="宋体"/>
          <w:sz w:val="32"/>
        </w:rPr>
      </w:pPr>
      <w:r>
        <w:rPr>
          <w:rFonts w:hint="eastAsia" w:hAnsi="宋体" w:cs="宋体"/>
          <w:sz w:val="28"/>
          <w:szCs w:val="28"/>
        </w:rPr>
        <w:t>（详见招标文件资格要求，</w:t>
      </w:r>
      <w:r>
        <w:rPr>
          <w:rFonts w:hint="eastAsia" w:hAnsi="宋体" w:cs="宋体"/>
          <w:sz w:val="28"/>
          <w:szCs w:val="24"/>
        </w:rPr>
        <w:t>上传至电子投标文件</w:t>
      </w:r>
      <w:r>
        <w:rPr>
          <w:rFonts w:hint="eastAsia" w:hAnsi="宋体" w:cs="宋体"/>
          <w:sz w:val="28"/>
          <w:szCs w:val="28"/>
        </w:rPr>
        <w:t>）</w:t>
      </w:r>
    </w:p>
    <w:p w14:paraId="66F2FA26">
      <w:pPr>
        <w:pStyle w:val="217"/>
        <w:spacing w:before="0" w:after="0" w:line="520" w:lineRule="exact"/>
        <w:ind w:right="51" w:firstLine="0"/>
        <w:jc w:val="both"/>
        <w:rPr>
          <w:rFonts w:hint="eastAsia" w:ascii="宋体" w:hAnsi="宋体" w:cs="宋体"/>
          <w:bCs/>
          <w:sz w:val="28"/>
        </w:rPr>
      </w:pPr>
      <w:bookmarkStart w:id="71" w:name="_Toc157775454"/>
    </w:p>
    <w:p w14:paraId="12736F1B">
      <w:pPr>
        <w:numPr>
          <w:ilvl w:val="0"/>
          <w:numId w:val="4"/>
        </w:numPr>
        <w:jc w:val="left"/>
        <w:rPr>
          <w:rFonts w:hint="eastAsia" w:ascii="宋体" w:hAnsi="宋体" w:cs="宋体"/>
          <w:b/>
          <w:bCs/>
          <w:sz w:val="32"/>
          <w:szCs w:val="21"/>
        </w:rPr>
      </w:pPr>
      <w:r>
        <w:rPr>
          <w:rFonts w:hint="eastAsia" w:ascii="宋体" w:hAnsi="宋体" w:cs="宋体"/>
          <w:b/>
          <w:bCs/>
          <w:sz w:val="32"/>
          <w:szCs w:val="21"/>
        </w:rPr>
        <w:t>综合评分需提供的证明文件</w:t>
      </w:r>
    </w:p>
    <w:p w14:paraId="717A167A">
      <w:pPr>
        <w:ind w:firstLine="280"/>
        <w:jc w:val="left"/>
        <w:rPr>
          <w:rFonts w:hint="eastAsia" w:ascii="宋体" w:hAnsi="宋体" w:cs="宋体"/>
          <w:sz w:val="28"/>
          <w:szCs w:val="20"/>
        </w:rPr>
      </w:pPr>
      <w:r>
        <w:rPr>
          <w:rFonts w:hint="eastAsia" w:ascii="宋体" w:hAnsi="宋体" w:cs="宋体"/>
          <w:sz w:val="28"/>
          <w:szCs w:val="20"/>
        </w:rPr>
        <w:t>（格式由投标人自定，</w:t>
      </w:r>
      <w:r>
        <w:rPr>
          <w:rFonts w:hint="eastAsia" w:hAnsi="宋体" w:cs="宋体"/>
          <w:sz w:val="28"/>
        </w:rPr>
        <w:t>上传至电子投标文件</w:t>
      </w:r>
      <w:r>
        <w:rPr>
          <w:rFonts w:hint="eastAsia" w:ascii="宋体" w:hAnsi="宋体" w:cs="宋体"/>
          <w:sz w:val="28"/>
          <w:szCs w:val="20"/>
        </w:rPr>
        <w:t>）</w:t>
      </w:r>
    </w:p>
    <w:p w14:paraId="73BD44F2">
      <w:pPr>
        <w:spacing w:before="10" w:line="400" w:lineRule="exact"/>
        <w:ind w:right="814"/>
        <w:jc w:val="left"/>
        <w:outlineLvl w:val="0"/>
        <w:rPr>
          <w:rFonts w:hint="eastAsia" w:ascii="宋体" w:hAnsi="宋体" w:cs="宋体"/>
          <w:b/>
          <w:sz w:val="32"/>
        </w:rPr>
      </w:pPr>
    </w:p>
    <w:p w14:paraId="3F0AF738">
      <w:pPr>
        <w:spacing w:before="10" w:line="400" w:lineRule="exact"/>
        <w:ind w:right="814"/>
        <w:jc w:val="left"/>
        <w:outlineLvl w:val="0"/>
        <w:rPr>
          <w:rFonts w:hint="eastAsia" w:ascii="宋体" w:hAnsi="宋体" w:cs="宋体"/>
          <w:b/>
          <w:sz w:val="32"/>
        </w:rPr>
      </w:pPr>
      <w:r>
        <w:rPr>
          <w:rFonts w:hint="eastAsia" w:ascii="宋体" w:hAnsi="宋体" w:cs="宋体"/>
          <w:b/>
          <w:sz w:val="32"/>
        </w:rPr>
        <w:t>八、投标人认为有必要提供并说明的其它资料</w:t>
      </w:r>
    </w:p>
    <w:p w14:paraId="22BAEA33">
      <w:pPr>
        <w:widowControl/>
        <w:spacing w:line="520" w:lineRule="exact"/>
        <w:jc w:val="left"/>
        <w:rPr>
          <w:rFonts w:hint="eastAsia" w:ascii="宋体" w:hAnsi="宋体" w:cs="宋体"/>
          <w:bCs/>
          <w:sz w:val="28"/>
        </w:rPr>
      </w:pPr>
      <w:r>
        <w:rPr>
          <w:rFonts w:hint="eastAsia" w:ascii="仿宋" w:hAnsi="仿宋" w:eastAsia="仿宋"/>
          <w:sz w:val="28"/>
        </w:rPr>
        <w:t>（</w:t>
      </w:r>
      <w:r>
        <w:rPr>
          <w:rFonts w:hint="eastAsia" w:ascii="宋体" w:hAnsi="宋体" w:cs="宋体"/>
          <w:bCs/>
          <w:sz w:val="28"/>
        </w:rPr>
        <w:t>投标人如需上传其它资料，格式由投标人自定，加盖投标人</w:t>
      </w:r>
      <w:r>
        <w:rPr>
          <w:rFonts w:hint="eastAsia" w:ascii="宋体" w:hAnsi="宋体" w:cs="宋体"/>
          <w:sz w:val="28"/>
          <w:szCs w:val="28"/>
        </w:rPr>
        <w:t>公章</w:t>
      </w:r>
      <w:r>
        <w:rPr>
          <w:rFonts w:hint="eastAsia" w:ascii="宋体" w:hAnsi="宋体" w:cs="宋体"/>
          <w:bCs/>
          <w:sz w:val="28"/>
        </w:rPr>
        <w:t>）</w:t>
      </w:r>
    </w:p>
    <w:p w14:paraId="77B76B9C">
      <w:pPr>
        <w:pStyle w:val="217"/>
        <w:spacing w:before="0" w:after="0" w:line="520" w:lineRule="exact"/>
        <w:ind w:right="51" w:firstLine="0"/>
        <w:jc w:val="both"/>
        <w:rPr>
          <w:rFonts w:hint="eastAsia" w:ascii="宋体" w:hAnsi="宋体" w:cs="宋体"/>
          <w:bCs/>
          <w:sz w:val="28"/>
        </w:rPr>
      </w:pPr>
    </w:p>
    <w:p w14:paraId="52A82BA5">
      <w:pPr>
        <w:spacing w:line="400" w:lineRule="exact"/>
        <w:rPr>
          <w:rFonts w:hint="eastAsia" w:ascii="宋体" w:hAnsi="宋体" w:cs="宋体"/>
          <w:sz w:val="32"/>
          <w:szCs w:val="32"/>
        </w:rPr>
      </w:pPr>
      <w:r>
        <w:rPr>
          <w:rFonts w:hint="eastAsia" w:ascii="宋体" w:hAnsi="宋体" w:cs="宋体"/>
          <w:sz w:val="24"/>
        </w:rPr>
        <w:t>注：</w:t>
      </w:r>
    </w:p>
    <w:p w14:paraId="189F290B">
      <w:pPr>
        <w:spacing w:line="440" w:lineRule="exact"/>
        <w:ind w:firstLine="480"/>
        <w:rPr>
          <w:rFonts w:ascii="宋体" w:cs="宋体"/>
          <w:sz w:val="24"/>
        </w:rPr>
      </w:pPr>
      <w:r>
        <w:rPr>
          <w:rFonts w:ascii="宋体" w:hAnsi="宋体" w:cs="宋体"/>
          <w:sz w:val="24"/>
        </w:rPr>
        <w:t>1</w:t>
      </w:r>
      <w:r>
        <w:rPr>
          <w:rFonts w:hint="eastAsia" w:ascii="宋体" w:hAnsi="宋体" w:cs="宋体"/>
          <w:sz w:val="24"/>
        </w:rPr>
        <w:t>.请投标人按照以上文件的要求格式、内容，顺序制作投标文件，否则，将影响对投标文件的评价。</w:t>
      </w:r>
    </w:p>
    <w:p w14:paraId="2CF64524">
      <w:pPr>
        <w:widowControl/>
        <w:spacing w:line="440" w:lineRule="exact"/>
        <w:ind w:firstLine="480"/>
        <w:jc w:val="left"/>
        <w:rPr>
          <w:rFonts w:ascii="宋体" w:cs="宋体"/>
          <w:sz w:val="24"/>
        </w:rPr>
      </w:pPr>
      <w:r>
        <w:rPr>
          <w:rFonts w:ascii="宋体" w:hAnsi="宋体" w:cs="宋体"/>
          <w:sz w:val="24"/>
        </w:rPr>
        <w:t>2</w:t>
      </w:r>
      <w:r>
        <w:rPr>
          <w:rFonts w:hint="eastAsia" w:ascii="宋体" w:hAnsi="宋体" w:cs="宋体"/>
          <w:sz w:val="24"/>
        </w:rPr>
        <w:t>投标人所提供的资格证明材料应真实、有效，交易中心及采购人保留对投标人提供的资格证明材料进行核查的权利。如发现投标人提供虚假资格证明材料，交易中心将对其进行严肃处理。</w:t>
      </w:r>
    </w:p>
    <w:p w14:paraId="7EC74E1E">
      <w:pPr>
        <w:spacing w:line="400" w:lineRule="exact"/>
        <w:outlineLvl w:val="0"/>
        <w:rPr>
          <w:rFonts w:hint="eastAsia" w:ascii="宋体" w:hAnsi="宋体" w:cs="宋体"/>
          <w:sz w:val="32"/>
          <w:szCs w:val="32"/>
        </w:rPr>
      </w:pPr>
      <w:r>
        <w:rPr>
          <w:rFonts w:hint="eastAsia" w:ascii="宋体" w:hAnsi="宋体" w:cs="宋体"/>
          <w:sz w:val="32"/>
          <w:szCs w:val="32"/>
        </w:rPr>
        <w:br w:type="page" w:clear="all"/>
      </w:r>
      <w:bookmarkEnd w:id="71"/>
    </w:p>
    <w:p w14:paraId="3F0CBF26">
      <w:pPr>
        <w:spacing w:line="400" w:lineRule="exact"/>
        <w:jc w:val="center"/>
        <w:outlineLvl w:val="0"/>
        <w:rPr>
          <w:rFonts w:hint="eastAsia" w:ascii="宋体" w:hAnsi="宋体" w:cs="宋体"/>
          <w:b/>
          <w:bCs/>
          <w:sz w:val="32"/>
          <w:szCs w:val="32"/>
        </w:rPr>
      </w:pPr>
      <w:r>
        <w:rPr>
          <w:rFonts w:hint="eastAsia" w:ascii="宋体" w:hAnsi="宋体" w:cs="宋体"/>
          <w:b/>
          <w:bCs/>
          <w:sz w:val="32"/>
          <w:szCs w:val="32"/>
        </w:rPr>
        <w:t>九、示范格式</w:t>
      </w:r>
    </w:p>
    <w:p w14:paraId="670DDE28">
      <w:pPr>
        <w:spacing w:line="400" w:lineRule="exact"/>
        <w:outlineLvl w:val="0"/>
        <w:rPr>
          <w:rFonts w:hint="eastAsia" w:ascii="宋体" w:hAnsi="宋体" w:cs="宋体"/>
          <w:b/>
          <w:sz w:val="32"/>
          <w:szCs w:val="32"/>
        </w:rPr>
      </w:pPr>
      <w:r>
        <w:rPr>
          <w:rFonts w:hint="eastAsia" w:ascii="宋体" w:hAnsi="宋体" w:cs="宋体"/>
          <w:b/>
          <w:sz w:val="28"/>
          <w:szCs w:val="28"/>
        </w:rPr>
        <w:t xml:space="preserve">示范格式一  </w:t>
      </w:r>
      <w:r>
        <w:rPr>
          <w:rFonts w:hint="eastAsia" w:ascii="宋体" w:hAnsi="宋体" w:cs="宋体"/>
          <w:b/>
          <w:sz w:val="32"/>
          <w:szCs w:val="32"/>
        </w:rPr>
        <w:t xml:space="preserve">       </w:t>
      </w:r>
    </w:p>
    <w:p w14:paraId="1A109E11">
      <w:pPr>
        <w:spacing w:line="400" w:lineRule="exact"/>
        <w:outlineLvl w:val="0"/>
        <w:rPr>
          <w:rFonts w:hint="eastAsia" w:ascii="宋体" w:hAnsi="宋体" w:cs="宋体"/>
          <w:b/>
          <w:sz w:val="32"/>
          <w:szCs w:val="32"/>
        </w:rPr>
      </w:pPr>
    </w:p>
    <w:p w14:paraId="0A8CBD7B">
      <w:pPr>
        <w:spacing w:line="400" w:lineRule="exact"/>
        <w:outlineLvl w:val="0"/>
        <w:rPr>
          <w:rFonts w:hint="eastAsia" w:ascii="宋体" w:hAnsi="宋体" w:cs="宋体"/>
          <w:b/>
          <w:sz w:val="32"/>
          <w:szCs w:val="32"/>
        </w:rPr>
      </w:pPr>
      <w:r>
        <w:rPr>
          <w:rFonts w:hint="eastAsia" w:ascii="宋体" w:hAnsi="宋体" w:cs="宋体"/>
          <w:b/>
          <w:sz w:val="32"/>
          <w:szCs w:val="32"/>
        </w:rPr>
        <w:t xml:space="preserve">        </w:t>
      </w:r>
    </w:p>
    <w:p w14:paraId="544DE037">
      <w:pPr>
        <w:spacing w:line="400" w:lineRule="exact"/>
        <w:ind w:firstLine="643"/>
        <w:jc w:val="center"/>
        <w:rPr>
          <w:rFonts w:hint="eastAsia" w:ascii="宋体" w:hAnsi="宋体" w:cs="宋体"/>
          <w:b/>
          <w:bCs/>
          <w:sz w:val="32"/>
          <w:szCs w:val="32"/>
          <w:lang w:val="zh-CN"/>
        </w:rPr>
      </w:pPr>
      <w:r>
        <w:rPr>
          <w:rFonts w:hint="eastAsia" w:ascii="宋体" w:hAnsi="宋体" w:cs="宋体"/>
          <w:b/>
          <w:bCs/>
          <w:sz w:val="32"/>
          <w:szCs w:val="32"/>
          <w:lang w:val="zh-CN"/>
        </w:rPr>
        <w:t>法定代表人资格证明</w:t>
      </w:r>
    </w:p>
    <w:p w14:paraId="4A9F713A">
      <w:pPr>
        <w:spacing w:line="640" w:lineRule="exact"/>
        <w:rPr>
          <w:rFonts w:hint="eastAsia" w:ascii="宋体" w:hAnsi="宋体" w:cs="宋体"/>
          <w:sz w:val="24"/>
          <w:lang w:val="zh-CN"/>
        </w:rPr>
      </w:pPr>
      <w:r>
        <w:rPr>
          <w:rFonts w:hint="eastAsia" w:ascii="宋体" w:hAnsi="宋体" w:cs="宋体"/>
          <w:sz w:val="24"/>
          <w:lang w:val="zh-CN"/>
        </w:rPr>
        <w:t>单位名称:</w:t>
      </w:r>
    </w:p>
    <w:p w14:paraId="61C79057">
      <w:pPr>
        <w:spacing w:line="640" w:lineRule="exact"/>
        <w:rPr>
          <w:rFonts w:hint="eastAsia" w:ascii="宋体" w:hAnsi="宋体" w:cs="宋体"/>
          <w:sz w:val="24"/>
          <w:lang w:val="zh-CN"/>
        </w:rPr>
      </w:pPr>
      <w:r>
        <w:rPr>
          <w:rFonts w:hint="eastAsia" w:ascii="宋体" w:hAnsi="宋体" w:cs="宋体"/>
          <w:sz w:val="24"/>
          <w:lang w:val="zh-CN"/>
        </w:rPr>
        <w:t>地址:</w:t>
      </w:r>
    </w:p>
    <w:p w14:paraId="3FF94461">
      <w:pPr>
        <w:spacing w:line="640" w:lineRule="exact"/>
        <w:rPr>
          <w:rFonts w:hint="eastAsia" w:ascii="宋体" w:hAnsi="宋体" w:cs="宋体"/>
          <w:sz w:val="24"/>
          <w:lang w:val="zh-CN"/>
        </w:rPr>
      </w:pPr>
      <w:r>
        <w:rPr>
          <w:rFonts w:hint="eastAsia" w:ascii="宋体" w:hAnsi="宋体" w:cs="宋体"/>
          <w:sz w:val="24"/>
          <w:lang w:val="zh-CN"/>
        </w:rPr>
        <w:t>姓名:     性别:      年龄:      职务:</w:t>
      </w:r>
    </w:p>
    <w:p w14:paraId="58C110DB">
      <w:pPr>
        <w:spacing w:line="640" w:lineRule="exact"/>
        <w:ind w:left="1" w:firstLine="480"/>
        <w:rPr>
          <w:rFonts w:hint="eastAsia" w:ascii="宋体" w:hAnsi="宋体" w:cs="宋体"/>
          <w:sz w:val="24"/>
          <w:szCs w:val="22"/>
        </w:rPr>
      </w:pPr>
      <w:r>
        <w:rPr>
          <w:rFonts w:hint="eastAsia" w:ascii="宋体" w:hAnsi="宋体" w:cs="宋体"/>
          <w:sz w:val="24"/>
          <w:lang w:val="zh-CN"/>
        </w:rPr>
        <w:t>系</w:t>
      </w:r>
      <w:r>
        <w:rPr>
          <w:rFonts w:hint="eastAsia" w:ascii="宋体" w:hAnsi="宋体" w:cs="宋体"/>
          <w:sz w:val="24"/>
          <w:u w:val="single"/>
          <w:lang w:val="zh-CN"/>
        </w:rPr>
        <w:t xml:space="preserve"> （投标人单位名称）</w:t>
      </w:r>
      <w:r>
        <w:rPr>
          <w:rFonts w:hint="eastAsia" w:ascii="宋体" w:hAnsi="宋体" w:cs="宋体"/>
          <w:sz w:val="24"/>
          <w:lang w:val="zh-CN"/>
        </w:rPr>
        <w:t>的法定代表人。</w:t>
      </w:r>
      <w:r>
        <w:rPr>
          <w:rFonts w:hint="eastAsia" w:ascii="宋体" w:hAnsi="宋体" w:cs="宋体"/>
          <w:sz w:val="24"/>
          <w:szCs w:val="22"/>
        </w:rPr>
        <w:t>为参与</w:t>
      </w:r>
      <w:r>
        <w:rPr>
          <w:rFonts w:hint="eastAsia" w:ascii="宋体" w:hAnsi="宋体" w:cs="宋体"/>
          <w:sz w:val="24"/>
          <w:szCs w:val="22"/>
          <w:u w:val="single"/>
        </w:rPr>
        <w:t xml:space="preserve">           </w:t>
      </w:r>
      <w:r>
        <w:rPr>
          <w:rFonts w:hint="eastAsia" w:ascii="宋体" w:hAnsi="宋体" w:cs="宋体"/>
          <w:sz w:val="24"/>
          <w:szCs w:val="22"/>
        </w:rPr>
        <w:t>项目，签署上述项目的投标文件、进行招标、签署合同和处理与之有关的一切事务。</w:t>
      </w:r>
    </w:p>
    <w:p w14:paraId="01B096AD">
      <w:pPr>
        <w:spacing w:line="640" w:lineRule="exact"/>
        <w:ind w:firstLine="280"/>
        <w:rPr>
          <w:rFonts w:hint="eastAsia" w:ascii="宋体" w:hAnsi="宋体" w:cs="宋体"/>
          <w:sz w:val="24"/>
        </w:rPr>
      </w:pPr>
    </w:p>
    <w:p w14:paraId="6E911AA6">
      <w:pPr>
        <w:spacing w:line="640" w:lineRule="exact"/>
        <w:rPr>
          <w:rFonts w:hint="eastAsia" w:ascii="宋体" w:hAnsi="宋体" w:cs="宋体"/>
          <w:sz w:val="24"/>
          <w:lang w:val="zh-CN"/>
        </w:rPr>
      </w:pPr>
    </w:p>
    <w:p w14:paraId="4FB84E2A">
      <w:pPr>
        <w:spacing w:line="640" w:lineRule="exact"/>
        <w:ind w:firstLine="280"/>
        <w:rPr>
          <w:rFonts w:hint="eastAsia" w:ascii="宋体" w:hAnsi="宋体" w:cs="宋体"/>
          <w:sz w:val="24"/>
          <w:lang w:val="zh-CN"/>
        </w:rPr>
      </w:pPr>
      <w:r>
        <w:rPr>
          <w:rFonts w:hint="eastAsia" w:ascii="宋体" w:hAnsi="宋体" w:cs="宋体"/>
          <w:sz w:val="24"/>
          <w:lang w:val="zh-CN"/>
        </w:rPr>
        <w:t>特此证明。</w:t>
      </w:r>
    </w:p>
    <w:p w14:paraId="6C9B7566">
      <w:pPr>
        <w:spacing w:line="640" w:lineRule="exact"/>
        <w:jc w:val="center"/>
        <w:rPr>
          <w:rFonts w:hint="eastAsia" w:ascii="宋体" w:hAnsi="宋体" w:cs="宋体"/>
          <w:sz w:val="24"/>
          <w:lang w:val="zh-CN"/>
        </w:rPr>
      </w:pPr>
      <w:r>
        <w:rPr>
          <w:rFonts w:hint="eastAsia" w:ascii="宋体" w:hAnsi="宋体" w:cs="宋体"/>
          <w:sz w:val="24"/>
          <w:lang w:val="zh-CN"/>
        </w:rPr>
        <w:t xml:space="preserve">                   </w:t>
      </w:r>
    </w:p>
    <w:p w14:paraId="22F3C996">
      <w:pPr>
        <w:spacing w:line="640" w:lineRule="exact"/>
        <w:jc w:val="center"/>
        <w:rPr>
          <w:rFonts w:hint="eastAsia" w:ascii="宋体" w:hAnsi="宋体" w:cs="宋体"/>
          <w:sz w:val="24"/>
          <w:lang w:val="zh-CN"/>
        </w:rPr>
      </w:pPr>
      <w:r>
        <w:rPr>
          <w:rFonts w:hint="eastAsia" w:ascii="宋体" w:hAnsi="宋体" w:cs="宋体"/>
          <w:sz w:val="24"/>
          <w:lang w:val="zh-CN"/>
        </w:rPr>
        <w:t xml:space="preserve">                 投标人:</w:t>
      </w:r>
      <w:r>
        <w:rPr>
          <w:rFonts w:hint="eastAsia" w:ascii="宋体" w:hAnsi="宋体" w:cs="宋体"/>
          <w:sz w:val="24"/>
          <w:u w:val="single"/>
          <w:lang w:val="zh-CN"/>
        </w:rPr>
        <w:t xml:space="preserve">    （电子签章）     </w:t>
      </w:r>
    </w:p>
    <w:p w14:paraId="7D8938F5">
      <w:pPr>
        <w:spacing w:line="640" w:lineRule="exact"/>
        <w:jc w:val="center"/>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w:t>
      </w:r>
    </w:p>
    <w:p w14:paraId="145B1B6C">
      <w:pPr>
        <w:spacing w:line="400" w:lineRule="exact"/>
        <w:ind w:firstLine="643"/>
        <w:jc w:val="center"/>
        <w:rPr>
          <w:rFonts w:hint="eastAsia" w:ascii="宋体" w:hAnsi="宋体" w:cs="宋体"/>
          <w:b/>
          <w:sz w:val="32"/>
        </w:rPr>
      </w:pPr>
    </w:p>
    <w:p w14:paraId="0637C100">
      <w:pPr>
        <w:spacing w:line="400" w:lineRule="exact"/>
        <w:ind w:firstLine="643"/>
        <w:jc w:val="center"/>
        <w:rPr>
          <w:rFonts w:hint="eastAsia" w:ascii="宋体" w:hAnsi="宋体" w:cs="宋体"/>
          <w:b/>
          <w:sz w:val="32"/>
        </w:rPr>
      </w:pPr>
    </w:p>
    <w:p w14:paraId="23F3CA69">
      <w:pPr>
        <w:spacing w:line="400" w:lineRule="exact"/>
        <w:ind w:firstLine="643"/>
        <w:jc w:val="center"/>
        <w:rPr>
          <w:rFonts w:hint="eastAsia" w:ascii="宋体" w:hAnsi="宋体" w:cs="宋体"/>
          <w:b/>
          <w:sz w:val="32"/>
        </w:rPr>
      </w:pPr>
    </w:p>
    <w:p w14:paraId="5AA8D477">
      <w:pPr>
        <w:spacing w:line="400" w:lineRule="exact"/>
        <w:ind w:firstLine="643"/>
        <w:jc w:val="center"/>
        <w:rPr>
          <w:rFonts w:hint="eastAsia" w:ascii="宋体" w:hAnsi="宋体" w:cs="宋体"/>
          <w:b/>
          <w:sz w:val="32"/>
        </w:rPr>
      </w:pPr>
    </w:p>
    <w:p w14:paraId="19EBCD86">
      <w:pPr>
        <w:spacing w:line="400" w:lineRule="exact"/>
        <w:ind w:firstLine="643"/>
        <w:jc w:val="center"/>
        <w:rPr>
          <w:rFonts w:hint="eastAsia" w:ascii="宋体" w:hAnsi="宋体" w:cs="宋体"/>
          <w:b/>
          <w:sz w:val="32"/>
        </w:rPr>
      </w:pPr>
    </w:p>
    <w:p w14:paraId="06383D90">
      <w:pPr>
        <w:spacing w:line="400" w:lineRule="exact"/>
        <w:rPr>
          <w:rFonts w:hint="eastAsia" w:ascii="宋体" w:hAnsi="宋体" w:cs="宋体"/>
          <w:b/>
          <w:sz w:val="32"/>
        </w:rPr>
      </w:pPr>
    </w:p>
    <w:p w14:paraId="369E7369">
      <w:pPr>
        <w:spacing w:line="640" w:lineRule="exact"/>
        <w:ind w:firstLine="480"/>
        <w:rPr>
          <w:rFonts w:hint="eastAsia" w:ascii="宋体" w:hAnsi="宋体" w:cs="宋体"/>
          <w:sz w:val="24"/>
          <w:lang w:val="zh-CN"/>
        </w:rPr>
      </w:pPr>
      <w:r>
        <w:rPr>
          <w:rFonts w:hint="eastAsia" w:ascii="宋体" w:hAnsi="宋体" w:cs="宋体"/>
          <w:sz w:val="24"/>
          <w:lang w:val="zh-CN"/>
        </w:rPr>
        <w:t>注:投标人法定代表人参加投标的，必须附法定代表人身份证扫描件加盖投标人电子签章。法定代表人授权其他人参加投标的，仅需填写“授权委托书”。</w:t>
      </w:r>
    </w:p>
    <w:p w14:paraId="77BE6286">
      <w:pPr>
        <w:spacing w:line="400" w:lineRule="exact"/>
        <w:ind w:firstLine="643"/>
        <w:rPr>
          <w:rFonts w:hint="eastAsia" w:ascii="宋体" w:hAnsi="宋体" w:cs="宋体"/>
          <w:b/>
          <w:sz w:val="32"/>
        </w:rPr>
      </w:pPr>
    </w:p>
    <w:p w14:paraId="5DD6B7A6">
      <w:pPr>
        <w:spacing w:line="400" w:lineRule="exact"/>
        <w:ind w:firstLine="643"/>
        <w:rPr>
          <w:rFonts w:hint="eastAsia" w:ascii="宋体" w:hAnsi="宋体" w:cs="宋体"/>
          <w:b/>
          <w:sz w:val="32"/>
        </w:rPr>
      </w:pPr>
    </w:p>
    <w:p w14:paraId="115036A5">
      <w:pPr>
        <w:spacing w:line="400" w:lineRule="exact"/>
        <w:rPr>
          <w:rFonts w:hint="eastAsia" w:ascii="宋体" w:hAnsi="宋体" w:cs="宋体"/>
          <w:b/>
          <w:sz w:val="32"/>
        </w:rPr>
      </w:pPr>
      <w:r>
        <w:rPr>
          <w:rFonts w:hint="eastAsia" w:ascii="宋体" w:hAnsi="宋体" w:cs="宋体"/>
          <w:b/>
          <w:sz w:val="32"/>
        </w:rPr>
        <w:t xml:space="preserve">                                                                                                                                                                                                                                                                                                           </w:t>
      </w:r>
    </w:p>
    <w:p w14:paraId="4D4D1B87">
      <w:pPr>
        <w:spacing w:line="400" w:lineRule="exact"/>
        <w:outlineLvl w:val="0"/>
        <w:rPr>
          <w:rFonts w:hint="eastAsia" w:ascii="宋体" w:hAnsi="宋体" w:cs="宋体"/>
          <w:sz w:val="28"/>
          <w:szCs w:val="28"/>
          <w:lang w:val="zh-CN"/>
        </w:rPr>
      </w:pPr>
      <w:r>
        <w:rPr>
          <w:rFonts w:hint="eastAsia" w:ascii="宋体" w:hAnsi="宋体" w:cs="宋体"/>
          <w:b/>
          <w:sz w:val="28"/>
          <w:szCs w:val="28"/>
        </w:rPr>
        <w:t>示范格式二</w:t>
      </w:r>
    </w:p>
    <w:p w14:paraId="2225DDBD">
      <w:pPr>
        <w:spacing w:line="400" w:lineRule="exact"/>
        <w:ind w:firstLine="3694"/>
        <w:outlineLvl w:val="0"/>
        <w:rPr>
          <w:rFonts w:hint="eastAsia" w:ascii="宋体" w:hAnsi="宋体" w:cs="宋体"/>
          <w:b/>
          <w:bCs/>
          <w:sz w:val="32"/>
        </w:rPr>
      </w:pPr>
    </w:p>
    <w:p w14:paraId="21B87161">
      <w:pPr>
        <w:spacing w:line="400" w:lineRule="exact"/>
        <w:ind w:firstLine="3694"/>
        <w:outlineLvl w:val="0"/>
        <w:rPr>
          <w:rFonts w:hint="eastAsia" w:ascii="宋体" w:hAnsi="宋体" w:cs="宋体"/>
          <w:b/>
          <w:bCs/>
          <w:sz w:val="32"/>
        </w:rPr>
      </w:pPr>
      <w:r>
        <w:rPr>
          <w:rFonts w:hint="eastAsia" w:ascii="宋体" w:hAnsi="宋体" w:cs="宋体"/>
          <w:b/>
          <w:bCs/>
          <w:sz w:val="32"/>
        </w:rPr>
        <w:t>授权委托书</w:t>
      </w:r>
    </w:p>
    <w:p w14:paraId="3BE26849">
      <w:pPr>
        <w:pStyle w:val="15"/>
        <w:rPr>
          <w:rFonts w:hint="eastAsia"/>
          <w:color w:val="auto"/>
        </w:rPr>
      </w:pPr>
    </w:p>
    <w:p w14:paraId="77C78E62">
      <w:pPr>
        <w:spacing w:line="400" w:lineRule="exact"/>
        <w:ind w:firstLine="482"/>
        <w:rPr>
          <w:rFonts w:hint="eastAsia" w:ascii="宋体" w:hAnsi="宋体" w:cs="宋体"/>
          <w:b/>
          <w:bCs/>
          <w:sz w:val="24"/>
        </w:rPr>
      </w:pPr>
      <w:r>
        <w:rPr>
          <w:rFonts w:hint="eastAsia" w:ascii="宋体" w:hAnsi="宋体" w:cs="宋体"/>
          <w:b/>
          <w:bCs/>
          <w:sz w:val="24"/>
        </w:rPr>
        <w:t>致</w:t>
      </w:r>
      <w:r>
        <w:rPr>
          <w:rFonts w:hint="eastAsia" w:ascii="宋体" w:hAnsi="宋体" w:cs="宋体"/>
          <w:b/>
          <w:bCs/>
          <w:sz w:val="24"/>
          <w:u w:val="single"/>
        </w:rPr>
        <w:t xml:space="preserve">    （采购单位）          </w:t>
      </w:r>
      <w:r>
        <w:rPr>
          <w:rFonts w:hint="eastAsia" w:ascii="宋体" w:hAnsi="宋体" w:cs="宋体"/>
          <w:b/>
          <w:bCs/>
          <w:sz w:val="24"/>
        </w:rPr>
        <w:t>:</w:t>
      </w:r>
    </w:p>
    <w:p w14:paraId="3DAE4BF3">
      <w:pPr>
        <w:spacing w:line="400" w:lineRule="exact"/>
        <w:ind w:firstLine="480"/>
        <w:rPr>
          <w:rFonts w:hint="eastAsia" w:ascii="宋体" w:hAnsi="宋体" w:cs="宋体"/>
          <w:sz w:val="24"/>
        </w:rPr>
      </w:pPr>
      <w:r>
        <w:rPr>
          <w:rFonts w:hint="eastAsia" w:ascii="宋体" w:hAnsi="宋体" w:cs="宋体"/>
          <w:sz w:val="24"/>
        </w:rPr>
        <w:t>本授权书宣告:</w:t>
      </w:r>
    </w:p>
    <w:p w14:paraId="62A476FA">
      <w:pPr>
        <w:spacing w:line="400" w:lineRule="exact"/>
        <w:ind w:firstLine="480"/>
        <w:rPr>
          <w:rFonts w:hint="eastAsia" w:ascii="宋体" w:hAnsi="宋体" w:cs="宋体"/>
          <w:sz w:val="24"/>
          <w:u w:val="single"/>
        </w:rPr>
      </w:pPr>
      <w:r>
        <w:rPr>
          <w:rFonts w:hint="eastAsia" w:ascii="宋体" w:hAnsi="宋体" w:cs="宋体"/>
          <w:sz w:val="24"/>
        </w:rPr>
        <w:t>委托方:</w:t>
      </w:r>
      <w:r>
        <w:rPr>
          <w:rFonts w:hint="eastAsia" w:ascii="宋体" w:hAnsi="宋体" w:cs="宋体"/>
          <w:sz w:val="24"/>
          <w:u w:val="single"/>
        </w:rPr>
        <w:t xml:space="preserve">                     </w:t>
      </w:r>
    </w:p>
    <w:p w14:paraId="5A753C85">
      <w:pPr>
        <w:spacing w:line="400" w:lineRule="exact"/>
        <w:ind w:firstLine="480"/>
        <w:rPr>
          <w:rFonts w:hint="eastAsia" w:ascii="宋体" w:hAnsi="宋体" w:cs="宋体"/>
          <w:sz w:val="24"/>
        </w:rPr>
      </w:pPr>
      <w:r>
        <w:rPr>
          <w:rFonts w:hint="eastAsia" w:ascii="宋体" w:hAnsi="宋体" w:cs="宋体"/>
          <w:sz w:val="24"/>
        </w:rPr>
        <w:t>地  址:</w:t>
      </w:r>
      <w:r>
        <w:rPr>
          <w:rFonts w:hint="eastAsia" w:ascii="宋体" w:hAnsi="宋体" w:cs="宋体"/>
          <w:sz w:val="24"/>
          <w:u w:val="single"/>
        </w:rPr>
        <w:t xml:space="preserve">                     </w:t>
      </w:r>
      <w:r>
        <w:rPr>
          <w:rFonts w:hint="eastAsia" w:ascii="宋体" w:hAnsi="宋体" w:cs="宋体"/>
          <w:sz w:val="24"/>
        </w:rPr>
        <w:t xml:space="preserve"> 法定代表人:</w:t>
      </w:r>
      <w:r>
        <w:rPr>
          <w:rFonts w:hint="eastAsia" w:ascii="宋体" w:hAnsi="宋体" w:cs="宋体"/>
          <w:sz w:val="24"/>
          <w:u w:val="single"/>
        </w:rPr>
        <w:t xml:space="preserve">          </w:t>
      </w:r>
    </w:p>
    <w:p w14:paraId="5E9FA324">
      <w:pPr>
        <w:spacing w:line="400" w:lineRule="exact"/>
        <w:ind w:firstLine="480"/>
        <w:rPr>
          <w:rFonts w:hint="eastAsia" w:ascii="宋体" w:hAnsi="宋体" w:cs="宋体"/>
          <w:sz w:val="24"/>
        </w:rPr>
      </w:pPr>
      <w:r>
        <w:rPr>
          <w:rFonts w:hint="eastAsia" w:ascii="宋体" w:hAnsi="宋体" w:cs="宋体"/>
          <w:sz w:val="24"/>
        </w:rPr>
        <w:t>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2D427A57">
      <w:pPr>
        <w:spacing w:line="400" w:lineRule="exact"/>
        <w:ind w:firstLine="480"/>
        <w:rPr>
          <w:rFonts w:hint="eastAsia" w:ascii="宋体" w:hAnsi="宋体" w:cs="宋体"/>
          <w:sz w:val="24"/>
        </w:rPr>
      </w:pPr>
      <w:r>
        <w:rPr>
          <w:rFonts w:hint="eastAsia" w:ascii="宋体" w:hAnsi="宋体" w:cs="宋体"/>
          <w:sz w:val="24"/>
        </w:rPr>
        <w:t>所在单位:</w:t>
      </w:r>
      <w:r>
        <w:rPr>
          <w:rFonts w:hint="eastAsia" w:ascii="宋体" w:hAnsi="宋体" w:cs="宋体"/>
          <w:sz w:val="24"/>
          <w:u w:val="single"/>
        </w:rPr>
        <w:t xml:space="preserve">                            </w:t>
      </w:r>
      <w:r>
        <w:rPr>
          <w:rFonts w:hint="eastAsia" w:ascii="宋体" w:hAnsi="宋体" w:cs="宋体"/>
          <w:sz w:val="24"/>
        </w:rPr>
        <w:t>职务:</w:t>
      </w:r>
      <w:r>
        <w:rPr>
          <w:rFonts w:hint="eastAsia" w:ascii="宋体" w:hAnsi="宋体" w:cs="宋体"/>
          <w:sz w:val="24"/>
          <w:u w:val="single"/>
        </w:rPr>
        <w:t xml:space="preserve">           </w:t>
      </w:r>
    </w:p>
    <w:p w14:paraId="6A5C2269">
      <w:pPr>
        <w:spacing w:line="400" w:lineRule="exact"/>
        <w:ind w:firstLine="480"/>
        <w:rPr>
          <w:rFonts w:hint="eastAsia" w:ascii="宋体" w:hAnsi="宋体" w:cs="宋体"/>
          <w:sz w:val="24"/>
        </w:rPr>
      </w:pPr>
      <w:r>
        <w:rPr>
          <w:rFonts w:hint="eastAsia" w:ascii="宋体" w:hAnsi="宋体" w:cs="宋体"/>
          <w:sz w:val="24"/>
        </w:rPr>
        <w:t>身 份 证:</w:t>
      </w:r>
      <w:r>
        <w:rPr>
          <w:rFonts w:hint="eastAsia" w:ascii="宋体" w:hAnsi="宋体" w:cs="宋体"/>
          <w:sz w:val="24"/>
          <w:u w:val="single"/>
        </w:rPr>
        <w:t xml:space="preserve">                </w:t>
      </w:r>
      <w:r>
        <w:rPr>
          <w:rFonts w:hint="eastAsia" w:ascii="宋体" w:hAnsi="宋体" w:cs="宋体"/>
          <w:sz w:val="24"/>
        </w:rPr>
        <w:t>联系方式:</w:t>
      </w:r>
      <w:r>
        <w:rPr>
          <w:rFonts w:hint="eastAsia" w:ascii="宋体" w:hAnsi="宋体" w:cs="宋体"/>
          <w:sz w:val="24"/>
          <w:u w:val="single"/>
        </w:rPr>
        <w:t xml:space="preserve">                   </w:t>
      </w:r>
    </w:p>
    <w:p w14:paraId="6BA108EF">
      <w:pPr>
        <w:spacing w:line="400" w:lineRule="exact"/>
        <w:ind w:firstLine="480"/>
        <w:rPr>
          <w:rFonts w:hint="eastAsia" w:ascii="宋体" w:hAnsi="宋体" w:cs="宋体"/>
          <w:sz w:val="24"/>
        </w:rPr>
      </w:pPr>
      <w:r>
        <w:rPr>
          <w:rFonts w:hint="eastAsia" w:ascii="宋体" w:hAnsi="宋体" w:cs="宋体"/>
          <w:sz w:val="24"/>
        </w:rPr>
        <w:t>兹委托受托人</w:t>
      </w:r>
      <w:r>
        <w:rPr>
          <w:rFonts w:hint="eastAsia" w:ascii="宋体" w:hAnsi="宋体" w:cs="宋体"/>
          <w:sz w:val="24"/>
          <w:u w:val="single"/>
        </w:rPr>
        <w:t xml:space="preserve">               </w:t>
      </w:r>
      <w:r>
        <w:rPr>
          <w:rFonts w:hint="eastAsia" w:ascii="宋体" w:hAnsi="宋体" w:cs="宋体"/>
          <w:sz w:val="24"/>
        </w:rPr>
        <w:t>代表我公司参加</w:t>
      </w:r>
      <w:r>
        <w:rPr>
          <w:rFonts w:hint="eastAsia" w:ascii="宋体" w:hAnsi="宋体" w:cs="宋体"/>
          <w:sz w:val="24"/>
          <w:u w:val="single"/>
        </w:rPr>
        <w:t xml:space="preserve">               </w:t>
      </w:r>
      <w:r>
        <w:rPr>
          <w:rFonts w:hint="eastAsia" w:ascii="宋体" w:hAnsi="宋体" w:cs="宋体"/>
          <w:sz w:val="24"/>
        </w:rPr>
        <w:t>的政府采购活动，受托人有权在该招标活动中，以我单位的名义签署投标函和招标文件，与交易中心协商、澄清、解释，签订合同书并执行一切与此有关的事项。</w:t>
      </w:r>
    </w:p>
    <w:p w14:paraId="1BE09D28">
      <w:pPr>
        <w:spacing w:line="400" w:lineRule="exact"/>
        <w:ind w:firstLine="480"/>
        <w:rPr>
          <w:rFonts w:hint="eastAsia" w:ascii="宋体" w:hAnsi="宋体" w:cs="宋体"/>
          <w:sz w:val="24"/>
        </w:rPr>
      </w:pPr>
      <w:r>
        <w:rPr>
          <w:rFonts w:hint="eastAsia" w:ascii="宋体" w:hAnsi="宋体" w:cs="宋体"/>
          <w:sz w:val="24"/>
        </w:rPr>
        <w:t>受托人在办理上述事宜过程中以其自己的名义所签署的所有文件我公司均予以承认。受托人无转委托权。</w:t>
      </w:r>
    </w:p>
    <w:p w14:paraId="12F9C367">
      <w:pPr>
        <w:spacing w:line="400" w:lineRule="exact"/>
        <w:ind w:firstLine="480"/>
        <w:rPr>
          <w:rFonts w:hint="eastAsia" w:ascii="宋体" w:hAnsi="宋体" w:cs="宋体"/>
          <w:sz w:val="24"/>
        </w:rPr>
      </w:pPr>
      <w:r>
        <w:rPr>
          <w:rFonts w:hint="eastAsia" w:ascii="宋体" w:hAnsi="宋体" w:cs="宋体"/>
          <w:sz w:val="24"/>
        </w:rPr>
        <w:t>委托期限:至上述事宜处理完毕止。</w:t>
      </w:r>
    </w:p>
    <w:p w14:paraId="12C9FEEB">
      <w:pPr>
        <w:spacing w:line="400" w:lineRule="exact"/>
        <w:ind w:firstLine="480"/>
        <w:rPr>
          <w:rFonts w:hint="eastAsia" w:ascii="宋体" w:hAnsi="宋体" w:cs="宋体"/>
          <w:sz w:val="24"/>
        </w:rPr>
      </w:pPr>
    </w:p>
    <w:p w14:paraId="6A452F32">
      <w:pPr>
        <w:spacing w:line="400" w:lineRule="exact"/>
        <w:ind w:firstLine="4080"/>
        <w:rPr>
          <w:rFonts w:hint="eastAsia" w:ascii="宋体" w:hAnsi="宋体" w:cs="宋体"/>
          <w:sz w:val="24"/>
          <w:u w:val="single"/>
        </w:rPr>
      </w:pPr>
      <w:r>
        <w:rPr>
          <w:rFonts w:hint="eastAsia" w:ascii="宋体" w:hAnsi="宋体" w:cs="宋体"/>
          <w:sz w:val="24"/>
        </w:rPr>
        <w:t>委托单位</w:t>
      </w:r>
      <w:r>
        <w:rPr>
          <w:rFonts w:hint="eastAsia" w:ascii="宋体" w:hAnsi="宋体" w:cs="宋体"/>
          <w:sz w:val="24"/>
          <w:u w:val="single"/>
        </w:rPr>
        <w:t xml:space="preserve">       （公章）    </w:t>
      </w:r>
    </w:p>
    <w:p w14:paraId="7B308959">
      <w:pPr>
        <w:spacing w:line="400" w:lineRule="exact"/>
        <w:ind w:firstLine="480"/>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101202A9">
      <w:pPr>
        <w:spacing w:line="400" w:lineRule="exact"/>
        <w:ind w:firstLine="482"/>
        <w:rPr>
          <w:rFonts w:hint="eastAsia" w:ascii="宋体" w:hAnsi="宋体" w:cs="宋体"/>
          <w:b/>
          <w:bCs/>
          <w:sz w:val="24"/>
        </w:rPr>
      </w:pPr>
    </w:p>
    <w:p w14:paraId="1DFCD374">
      <w:pPr>
        <w:spacing w:line="400" w:lineRule="exact"/>
        <w:ind w:firstLine="562"/>
        <w:rPr>
          <w:rFonts w:hint="eastAsia" w:ascii="宋体" w:hAnsi="宋体" w:cs="宋体"/>
          <w:b/>
          <w:bCs/>
          <w:sz w:val="28"/>
          <w:szCs w:val="28"/>
        </w:rPr>
      </w:pPr>
    </w:p>
    <w:p w14:paraId="0748DC9D">
      <w:pPr>
        <w:pStyle w:val="21"/>
        <w:spacing w:line="400" w:lineRule="exact"/>
        <w:rPr>
          <w:rFonts w:hint="eastAsia" w:hAnsi="宋体" w:cs="宋体"/>
          <w:sz w:val="28"/>
          <w:szCs w:val="28"/>
        </w:rPr>
      </w:pPr>
    </w:p>
    <w:p w14:paraId="114433DA">
      <w:pPr>
        <w:pStyle w:val="39"/>
        <w:ind w:left="0" w:firstLine="0"/>
        <w:rPr>
          <w:rFonts w:hint="eastAsia" w:hAnsi="宋体" w:cs="宋体"/>
          <w:color w:val="auto"/>
          <w:sz w:val="28"/>
          <w:szCs w:val="28"/>
        </w:rPr>
      </w:pPr>
    </w:p>
    <w:p w14:paraId="0085EA3F">
      <w:pPr>
        <w:spacing w:line="640" w:lineRule="exact"/>
        <w:ind w:firstLine="480"/>
        <w:rPr>
          <w:rFonts w:hint="eastAsia" w:ascii="宋体" w:hAnsi="宋体" w:cs="宋体"/>
          <w:sz w:val="24"/>
          <w:lang w:val="zh-CN"/>
        </w:rPr>
      </w:pPr>
      <w:r>
        <w:rPr>
          <w:rFonts w:hint="eastAsia" w:ascii="宋体" w:hAnsi="宋体" w:cs="宋体"/>
          <w:sz w:val="24"/>
          <w:lang w:val="zh-CN"/>
        </w:rPr>
        <w:t>注:投标人委托受托人参加投标的，必须附受托人身份证扫描件加盖投标人电子签章。法定代表人直接参加投标的，仅需填写“法定代表人资格证明”。</w:t>
      </w:r>
    </w:p>
    <w:p w14:paraId="2C782145"/>
    <w:p w14:paraId="17A11841">
      <w:pPr>
        <w:pStyle w:val="21"/>
        <w:spacing w:line="400" w:lineRule="exact"/>
        <w:outlineLvl w:val="0"/>
        <w:rPr>
          <w:rFonts w:hint="eastAsia" w:hAnsi="宋体" w:cs="宋体"/>
          <w:b/>
          <w:sz w:val="32"/>
          <w:szCs w:val="24"/>
        </w:rPr>
      </w:pPr>
    </w:p>
    <w:p w14:paraId="1A2C3FD5">
      <w:pPr>
        <w:pStyle w:val="21"/>
        <w:spacing w:line="400" w:lineRule="exact"/>
        <w:outlineLvl w:val="0"/>
        <w:rPr>
          <w:rFonts w:hint="eastAsia" w:hAnsi="宋体" w:cs="宋体"/>
          <w:b/>
          <w:sz w:val="32"/>
          <w:szCs w:val="24"/>
        </w:rPr>
      </w:pPr>
    </w:p>
    <w:p w14:paraId="2E9991C7">
      <w:pPr>
        <w:pStyle w:val="215"/>
        <w:rPr>
          <w:rFonts w:hint="eastAsia" w:hAnsi="宋体" w:cs="宋体"/>
          <w:b/>
          <w:sz w:val="32"/>
          <w:szCs w:val="24"/>
        </w:rPr>
      </w:pPr>
    </w:p>
    <w:p w14:paraId="547A54BF">
      <w:pPr>
        <w:pStyle w:val="215"/>
        <w:rPr>
          <w:rFonts w:hint="eastAsia" w:hAnsi="宋体" w:cs="宋体"/>
          <w:b/>
          <w:sz w:val="32"/>
          <w:szCs w:val="24"/>
        </w:rPr>
      </w:pPr>
    </w:p>
    <w:p w14:paraId="74121696">
      <w:pPr>
        <w:pStyle w:val="21"/>
        <w:spacing w:line="400" w:lineRule="exact"/>
        <w:outlineLvl w:val="0"/>
        <w:rPr>
          <w:rFonts w:hint="eastAsia" w:hAnsi="宋体" w:cs="宋体"/>
          <w:b/>
          <w:sz w:val="32"/>
          <w:szCs w:val="24"/>
        </w:rPr>
      </w:pPr>
    </w:p>
    <w:p w14:paraId="74F96FED">
      <w:pPr>
        <w:pStyle w:val="21"/>
        <w:spacing w:line="400" w:lineRule="exact"/>
        <w:outlineLvl w:val="0"/>
        <w:rPr>
          <w:rFonts w:hint="eastAsia" w:hAnsi="宋体" w:cs="宋体"/>
          <w:b/>
          <w:sz w:val="32"/>
          <w:szCs w:val="24"/>
        </w:rPr>
      </w:pPr>
    </w:p>
    <w:p w14:paraId="2047C59F">
      <w:pPr>
        <w:pStyle w:val="21"/>
        <w:spacing w:line="400" w:lineRule="exact"/>
        <w:outlineLvl w:val="0"/>
        <w:rPr>
          <w:rFonts w:hint="eastAsia" w:hAnsi="宋体" w:cs="宋体"/>
          <w:b/>
          <w:sz w:val="28"/>
          <w:szCs w:val="22"/>
        </w:rPr>
      </w:pPr>
      <w:r>
        <w:rPr>
          <w:rFonts w:hint="eastAsia" w:hAnsi="宋体" w:cs="宋体"/>
          <w:b/>
          <w:sz w:val="28"/>
          <w:szCs w:val="22"/>
        </w:rPr>
        <w:t>示范格式三</w:t>
      </w:r>
    </w:p>
    <w:p w14:paraId="7C75153D">
      <w:pPr>
        <w:pStyle w:val="21"/>
        <w:spacing w:line="400" w:lineRule="exact"/>
        <w:outlineLvl w:val="0"/>
        <w:rPr>
          <w:rFonts w:hint="eastAsia" w:hAnsi="宋体" w:cs="宋体"/>
          <w:b/>
          <w:sz w:val="32"/>
          <w:szCs w:val="24"/>
        </w:rPr>
      </w:pPr>
    </w:p>
    <w:p w14:paraId="32BCB302">
      <w:pPr>
        <w:spacing w:line="480" w:lineRule="auto"/>
        <w:jc w:val="center"/>
        <w:rPr>
          <w:sz w:val="28"/>
          <w:szCs w:val="28"/>
          <w:lang w:val="zh-CN"/>
        </w:rPr>
      </w:pPr>
      <w:r>
        <w:rPr>
          <w:rFonts w:hint="eastAsia" w:asciiTheme="minorEastAsia" w:hAnsiTheme="minorEastAsia" w:eastAsiaTheme="minorEastAsia" w:cstheme="minorEastAsia"/>
          <w:b/>
          <w:bCs/>
          <w:sz w:val="28"/>
          <w:szCs w:val="28"/>
        </w:rPr>
        <w:t>符合《中华人民共和国政府采购法》第二十二条规定条件的声明函</w:t>
      </w:r>
    </w:p>
    <w:p w14:paraId="0C2C124C">
      <w:pPr>
        <w:spacing w:line="520" w:lineRule="exact"/>
        <w:ind w:firstLine="140"/>
        <w:jc w:val="left"/>
        <w:rPr>
          <w:rFonts w:hint="eastAsia" w:ascii="宋体" w:hAnsi="宋体" w:cs="宋体"/>
          <w:sz w:val="24"/>
        </w:rPr>
      </w:pPr>
      <w:r>
        <w:rPr>
          <w:rFonts w:hint="eastAsia" w:ascii="宋体" w:hAnsi="宋体" w:cs="宋体"/>
          <w:sz w:val="28"/>
          <w:szCs w:val="28"/>
          <w:u w:val="single"/>
        </w:rPr>
        <w:t xml:space="preserve"> </w:t>
      </w:r>
      <w:r>
        <w:rPr>
          <w:rFonts w:hint="eastAsia" w:ascii="宋体" w:hAnsi="宋体" w:cs="宋体"/>
          <w:sz w:val="24"/>
          <w:u w:val="single"/>
        </w:rPr>
        <w:t xml:space="preserve"> （采购单位）          </w:t>
      </w:r>
      <w:r>
        <w:rPr>
          <w:rFonts w:hint="eastAsia" w:ascii="宋体" w:hAnsi="宋体" w:cs="宋体"/>
          <w:sz w:val="24"/>
        </w:rPr>
        <w:t>：</w:t>
      </w:r>
    </w:p>
    <w:p w14:paraId="11C6946D">
      <w:pPr>
        <w:spacing w:line="520" w:lineRule="exact"/>
        <w:ind w:firstLine="480"/>
        <w:rPr>
          <w:rFonts w:hint="eastAsia" w:ascii="宋体" w:hAnsi="宋体" w:cs="宋体"/>
          <w:sz w:val="24"/>
        </w:rPr>
      </w:pPr>
      <w:r>
        <w:rPr>
          <w:rFonts w:hint="eastAsia" w:ascii="宋体" w:hAnsi="宋体" w:cs="宋体"/>
          <w:sz w:val="24"/>
        </w:rPr>
        <w:t>我公司参加项目名称：</w:t>
      </w:r>
      <w:r>
        <w:rPr>
          <w:rFonts w:hint="eastAsia" w:ascii="宋体" w:hAnsi="宋体" w:cs="宋体"/>
          <w:sz w:val="24"/>
          <w:u w:val="single"/>
        </w:rPr>
        <w:t xml:space="preserve">             </w:t>
      </w:r>
      <w:r>
        <w:rPr>
          <w:rFonts w:hint="eastAsia" w:ascii="宋体" w:hAnsi="宋体" w:cs="宋体"/>
          <w:sz w:val="24"/>
        </w:rPr>
        <w:t xml:space="preserve"> （项目编号：</w:t>
      </w:r>
      <w:r>
        <w:rPr>
          <w:rFonts w:hint="eastAsia" w:ascii="宋体" w:hAnsi="宋体" w:cs="宋体"/>
          <w:sz w:val="24"/>
          <w:u w:val="single"/>
        </w:rPr>
        <w:t xml:space="preserve">      </w:t>
      </w:r>
      <w:r>
        <w:rPr>
          <w:rFonts w:hint="eastAsia" w:ascii="宋体" w:hAnsi="宋体" w:cs="宋体"/>
          <w:sz w:val="24"/>
        </w:rPr>
        <w:t xml:space="preserve"> ）的政府采购活动。针对《中华人民共和国政府采购法》第二十二条规定做出如下声明：</w:t>
      </w:r>
    </w:p>
    <w:p w14:paraId="0A38D086">
      <w:pPr>
        <w:spacing w:line="520" w:lineRule="exact"/>
        <w:ind w:firstLine="480"/>
        <w:rPr>
          <w:rFonts w:hint="eastAsia" w:ascii="宋体" w:hAnsi="宋体" w:cs="宋体"/>
          <w:sz w:val="24"/>
        </w:rPr>
      </w:pPr>
      <w:r>
        <w:rPr>
          <w:rFonts w:hint="eastAsia" w:ascii="宋体" w:hAnsi="宋体" w:cs="宋体"/>
          <w:sz w:val="24"/>
        </w:rPr>
        <w:t>一、我单位具有独立承担民事责任的能力；</w:t>
      </w:r>
    </w:p>
    <w:p w14:paraId="40A45DA0">
      <w:pPr>
        <w:spacing w:line="520" w:lineRule="exact"/>
        <w:ind w:firstLine="480"/>
        <w:rPr>
          <w:rFonts w:hint="eastAsia" w:ascii="宋体" w:hAnsi="宋体" w:cs="宋体"/>
          <w:sz w:val="24"/>
        </w:rPr>
      </w:pPr>
      <w:r>
        <w:rPr>
          <w:rFonts w:hint="eastAsia" w:ascii="宋体" w:hAnsi="宋体" w:cs="宋体"/>
          <w:sz w:val="24"/>
        </w:rPr>
        <w:t>二、我单位具有良好的商业信誉和健全的财务会计制度；</w:t>
      </w:r>
    </w:p>
    <w:p w14:paraId="7CA89EC2">
      <w:pPr>
        <w:spacing w:line="520" w:lineRule="exact"/>
        <w:ind w:firstLine="480"/>
        <w:rPr>
          <w:rFonts w:hint="eastAsia" w:ascii="宋体" w:hAnsi="宋体" w:cs="宋体"/>
          <w:sz w:val="24"/>
        </w:rPr>
      </w:pPr>
      <w:r>
        <w:rPr>
          <w:rFonts w:hint="eastAsia" w:ascii="宋体" w:hAnsi="宋体" w:cs="宋体"/>
          <w:sz w:val="24"/>
        </w:rPr>
        <w:t>三、我单位具有履行合同所必需的设备和专业技术能力；</w:t>
      </w:r>
    </w:p>
    <w:p w14:paraId="6BDF7E4C">
      <w:pPr>
        <w:spacing w:line="520" w:lineRule="exact"/>
        <w:ind w:firstLine="480"/>
        <w:rPr>
          <w:rFonts w:hint="eastAsia" w:ascii="宋体" w:hAnsi="宋体" w:cs="宋体"/>
          <w:sz w:val="24"/>
        </w:rPr>
      </w:pPr>
      <w:r>
        <w:rPr>
          <w:rFonts w:hint="eastAsia" w:ascii="宋体" w:hAnsi="宋体" w:cs="宋体"/>
          <w:sz w:val="24"/>
        </w:rPr>
        <w:t>四、我单位有依法缴纳税收和社会保障资金的良好记录；</w:t>
      </w:r>
    </w:p>
    <w:p w14:paraId="77FD1355">
      <w:pPr>
        <w:spacing w:line="520" w:lineRule="exact"/>
        <w:ind w:firstLine="480"/>
        <w:rPr>
          <w:rFonts w:hint="eastAsia" w:ascii="宋体" w:hAnsi="宋体" w:cs="宋体"/>
          <w:sz w:val="24"/>
        </w:rPr>
      </w:pPr>
      <w:r>
        <w:rPr>
          <w:rFonts w:hint="eastAsia" w:ascii="宋体" w:hAnsi="宋体" w:cs="宋体"/>
          <w:sz w:val="24"/>
        </w:rPr>
        <w:t>五、我方参加政府采购活动前3年内在经营活动中没有重大违法记录(因违法经营受到刑事处罚或者责令停产停业、吊销许可证或者执照、较大数额罚款等行政处罚)。同时，若我公司为成交供应商，我们将出具检察院的无行贿犯罪记录查询函；</w:t>
      </w:r>
    </w:p>
    <w:p w14:paraId="42DB891B">
      <w:pPr>
        <w:spacing w:line="520" w:lineRule="exact"/>
        <w:ind w:firstLine="480"/>
        <w:rPr>
          <w:rFonts w:hint="eastAsia" w:ascii="宋体" w:hAnsi="宋体" w:cs="宋体"/>
          <w:sz w:val="24"/>
        </w:rPr>
      </w:pPr>
      <w:r>
        <w:rPr>
          <w:rFonts w:hint="eastAsia" w:ascii="宋体" w:hAnsi="宋体" w:cs="宋体"/>
          <w:sz w:val="24"/>
        </w:rPr>
        <w:t>六、我单位满足法律、行政法规规定的其他条件；</w:t>
      </w:r>
    </w:p>
    <w:p w14:paraId="7B27B9EE">
      <w:pPr>
        <w:spacing w:line="520" w:lineRule="exact"/>
        <w:ind w:firstLine="480"/>
        <w:rPr>
          <w:rFonts w:hint="eastAsia" w:ascii="宋体" w:hAnsi="宋体" w:cs="宋体"/>
          <w:sz w:val="24"/>
        </w:rPr>
      </w:pPr>
      <w:r>
        <w:rPr>
          <w:rFonts w:hint="eastAsia" w:ascii="宋体" w:hAnsi="宋体" w:cs="宋体"/>
          <w:sz w:val="24"/>
        </w:rPr>
        <w:t>七、我公司与参加本次采购活动的其他单位不存在单位负责人为同一人的情况，也不存在控股、管理关系的情况；</w:t>
      </w:r>
    </w:p>
    <w:p w14:paraId="3E14D998">
      <w:pPr>
        <w:spacing w:line="520" w:lineRule="exact"/>
        <w:ind w:firstLine="480"/>
      </w:pPr>
      <w:r>
        <w:rPr>
          <w:rFonts w:hint="eastAsia" w:ascii="宋体" w:hAnsi="宋体" w:cs="宋体"/>
          <w:sz w:val="24"/>
        </w:rPr>
        <w:t>八、我公司没有为本采购项目提供整体设计、规范编制或者项目管理、监理、检测等服务；</w:t>
      </w:r>
    </w:p>
    <w:p w14:paraId="40EC790E">
      <w:pPr>
        <w:spacing w:line="520" w:lineRule="exact"/>
        <w:ind w:firstLine="480"/>
        <w:rPr>
          <w:rFonts w:hint="eastAsia" w:ascii="宋体" w:hAnsi="宋体" w:cs="宋体"/>
          <w:sz w:val="24"/>
        </w:rPr>
      </w:pPr>
      <w:r>
        <w:rPr>
          <w:rFonts w:hint="eastAsia" w:ascii="宋体" w:hAnsi="宋体" w:cs="宋体"/>
          <w:sz w:val="24"/>
        </w:rPr>
        <w:t>九、我方保证上述信息的真实和准确，并愿意承担因我方就此弄虚作假所引起的一切法律后果，并自愿接受相关监管部门作出的任何处罚。</w:t>
      </w:r>
    </w:p>
    <w:p w14:paraId="4AECE9F3">
      <w:pPr>
        <w:pStyle w:val="39"/>
        <w:rPr>
          <w:color w:val="auto"/>
        </w:rPr>
      </w:pPr>
    </w:p>
    <w:p w14:paraId="7DD7DD46">
      <w:pPr>
        <w:spacing w:line="520" w:lineRule="exact"/>
        <w:ind w:firstLine="480"/>
        <w:rPr>
          <w:rFonts w:hint="eastAsia" w:ascii="宋体" w:hAnsi="宋体" w:cs="宋体"/>
          <w:sz w:val="24"/>
        </w:rPr>
      </w:pPr>
      <w:r>
        <w:rPr>
          <w:rFonts w:hint="eastAsia" w:ascii="宋体" w:hAnsi="宋体" w:cs="宋体"/>
          <w:sz w:val="24"/>
        </w:rPr>
        <w:t>特此承诺！</w:t>
      </w:r>
    </w:p>
    <w:p w14:paraId="5D50CA01">
      <w:pPr>
        <w:spacing w:line="520" w:lineRule="exact"/>
        <w:ind w:right="420"/>
        <w:rPr>
          <w:rFonts w:hint="eastAsia" w:ascii="宋体" w:hAnsi="宋体" w:cs="宋体"/>
          <w:sz w:val="24"/>
        </w:rPr>
      </w:pPr>
      <w:r>
        <w:rPr>
          <w:rFonts w:hint="eastAsia" w:ascii="宋体" w:hAnsi="宋体" w:cs="宋体"/>
          <w:sz w:val="24"/>
        </w:rPr>
        <w:t xml:space="preserve">                             </w:t>
      </w:r>
    </w:p>
    <w:p w14:paraId="7F6260B3">
      <w:pPr>
        <w:spacing w:line="520" w:lineRule="exact"/>
        <w:ind w:right="420"/>
        <w:rPr>
          <w:rFonts w:hint="eastAsia" w:ascii="宋体" w:hAnsi="宋体" w:cs="宋体"/>
          <w:sz w:val="24"/>
        </w:rPr>
      </w:pPr>
      <w:r>
        <w:rPr>
          <w:rFonts w:hint="eastAsia" w:ascii="宋体" w:hAnsi="宋体" w:cs="宋体"/>
          <w:sz w:val="24"/>
        </w:rPr>
        <w:t xml:space="preserve">                           法定代表人或委托代理人（签字或盖章）：          </w:t>
      </w:r>
    </w:p>
    <w:p w14:paraId="7C24B925">
      <w:pPr>
        <w:spacing w:line="520" w:lineRule="exact"/>
        <w:ind w:right="420"/>
        <w:rPr>
          <w:rFonts w:hint="eastAsia" w:ascii="宋体" w:hAnsi="宋体" w:cs="宋体"/>
          <w:sz w:val="24"/>
        </w:rPr>
      </w:pPr>
      <w:r>
        <w:rPr>
          <w:rFonts w:hint="eastAsia" w:ascii="宋体" w:hAnsi="宋体" w:cs="宋体"/>
          <w:sz w:val="24"/>
        </w:rPr>
        <w:t xml:space="preserve">                                       供应商：（盖单位公章）              </w:t>
      </w:r>
    </w:p>
    <w:p w14:paraId="27DFC60A">
      <w:pPr>
        <w:spacing w:line="520" w:lineRule="exact"/>
        <w:ind w:right="420"/>
        <w:rPr>
          <w:rFonts w:hint="eastAsia" w:ascii="宋体" w:hAnsi="宋体" w:cs="宋体"/>
          <w:sz w:val="24"/>
        </w:rPr>
      </w:pPr>
      <w:r>
        <w:rPr>
          <w:rFonts w:hint="eastAsia" w:hAnsi="宋体" w:cs="宋体"/>
          <w:sz w:val="24"/>
        </w:rPr>
        <w:t xml:space="preserve">                                   </w:t>
      </w:r>
      <w:r>
        <w:rPr>
          <w:rFonts w:hint="eastAsia" w:ascii="宋体" w:hAnsi="宋体" w:cs="宋体"/>
          <w:sz w:val="24"/>
        </w:rPr>
        <w:t xml:space="preserve">    日期:      年   月  日 </w:t>
      </w:r>
    </w:p>
    <w:p w14:paraId="4EBD4260">
      <w:pPr>
        <w:spacing w:line="520" w:lineRule="exact"/>
        <w:ind w:right="420"/>
        <w:rPr>
          <w:rFonts w:hint="eastAsia" w:ascii="宋体" w:hAnsi="宋体" w:cs="宋体"/>
          <w:sz w:val="24"/>
        </w:rPr>
      </w:pPr>
    </w:p>
    <w:p w14:paraId="4DA8476C">
      <w:pPr>
        <w:widowControl/>
        <w:rPr>
          <w:rFonts w:hint="eastAsia" w:ascii="宋体" w:hAnsi="宋体" w:cs="宋体"/>
          <w:b/>
          <w:sz w:val="28"/>
          <w:szCs w:val="22"/>
        </w:rPr>
      </w:pPr>
      <w:r>
        <w:rPr>
          <w:rFonts w:hint="eastAsia" w:ascii="宋体" w:hAnsi="宋体" w:cs="宋体"/>
          <w:b/>
          <w:sz w:val="28"/>
          <w:szCs w:val="22"/>
        </w:rPr>
        <w:t>示范格式四</w:t>
      </w:r>
    </w:p>
    <w:p w14:paraId="4BC8DF50">
      <w:pPr>
        <w:jc w:val="center"/>
        <w:rPr>
          <w:rFonts w:hint="eastAsia" w:ascii="宋体" w:hAnsi="宋体" w:cs="宋体"/>
          <w:b/>
          <w:sz w:val="32"/>
          <w:szCs w:val="32"/>
        </w:rPr>
      </w:pPr>
      <w:r>
        <w:rPr>
          <w:rFonts w:hint="eastAsia" w:ascii="宋体" w:hAnsi="宋体" w:cs="宋体"/>
          <w:b/>
          <w:sz w:val="28"/>
          <w:szCs w:val="28"/>
        </w:rPr>
        <w:t>中小企业声明函</w:t>
      </w:r>
      <w:r>
        <w:rPr>
          <w:rFonts w:hint="eastAsia" w:ascii="仿宋" w:hAnsi="仿宋" w:eastAsia="仿宋"/>
          <w:b/>
          <w:bCs/>
          <w:sz w:val="28"/>
          <w:szCs w:val="28"/>
        </w:rPr>
        <w:t>（货物类）</w:t>
      </w:r>
    </w:p>
    <w:p w14:paraId="742BDB2C">
      <w:pPr>
        <w:spacing w:line="560" w:lineRule="exact"/>
        <w:ind w:firstLine="360"/>
        <w:rPr>
          <w:rFonts w:hint="eastAsia" w:ascii="宋体" w:hAnsi="宋体" w:cs="宋体"/>
          <w:sz w:val="24"/>
        </w:rPr>
      </w:pPr>
      <w:r>
        <w:rPr>
          <w:rFonts w:hint="eastAsia" w:ascii="宋体" w:hAnsi="宋体" w:cs="宋体"/>
          <w:sz w:val="24"/>
        </w:rPr>
        <w:t>本公司郑重声明，根据《政府采购促进中小企业发展管理办法》(财库[2020]46号)的规定，本公司参加</w:t>
      </w:r>
      <w:r>
        <w:rPr>
          <w:rFonts w:hint="eastAsia" w:ascii="宋体" w:hAnsi="宋体" w:cs="宋体"/>
          <w:sz w:val="24"/>
          <w:u w:val="single"/>
        </w:rPr>
        <w:t>（单位名称）</w:t>
      </w:r>
      <w:r>
        <w:rPr>
          <w:rFonts w:hint="eastAsia" w:ascii="宋体" w:hAnsi="宋体" w:cs="宋体"/>
          <w:sz w:val="24"/>
        </w:rPr>
        <w:t>的</w:t>
      </w:r>
      <w:r>
        <w:rPr>
          <w:rFonts w:hint="eastAsia" w:ascii="宋体" w:hAnsi="宋体" w:cs="宋体"/>
          <w:sz w:val="24"/>
          <w:u w:val="single"/>
        </w:rPr>
        <w:t>（项目名称）</w:t>
      </w:r>
      <w:r>
        <w:rPr>
          <w:rFonts w:hint="eastAsia" w:ascii="宋体" w:hAnsi="宋体" w:cs="宋体"/>
          <w:sz w:val="24"/>
        </w:rPr>
        <w:t>采购活动，提供的货物全部由符合政策要求的中小企业制造。相关企业的具体情况如下:</w:t>
      </w:r>
    </w:p>
    <w:p w14:paraId="51842264">
      <w:pPr>
        <w:numPr>
          <w:ilvl w:val="0"/>
          <w:numId w:val="5"/>
        </w:numPr>
        <w:spacing w:line="560" w:lineRule="exact"/>
        <w:ind w:firstLine="480"/>
        <w:rPr>
          <w:rFonts w:hint="eastAsia" w:ascii="宋体" w:hAnsi="宋体" w:cs="宋体"/>
          <w:sz w:val="24"/>
          <w:u w:val="single"/>
        </w:rPr>
      </w:pPr>
      <w:r>
        <w:rPr>
          <w:rFonts w:hint="eastAsia" w:ascii="宋体" w:hAnsi="宋体" w:cs="宋体"/>
          <w:sz w:val="24"/>
          <w:u w:val="single"/>
        </w:rPr>
        <w:t>（标的名称）</w:t>
      </w:r>
      <w:r>
        <w:rPr>
          <w:rFonts w:hint="eastAsia" w:ascii="宋体" w:hAnsi="宋体" w:cs="宋体"/>
          <w:sz w:val="24"/>
        </w:rPr>
        <w:t>，属于</w:t>
      </w:r>
      <w:r>
        <w:rPr>
          <w:rFonts w:hint="eastAsia" w:ascii="宋体" w:hAnsi="宋体" w:cs="宋体"/>
          <w:sz w:val="24"/>
          <w:u w:val="single"/>
        </w:rPr>
        <w:t>行业</w:t>
      </w:r>
      <w:r>
        <w:rPr>
          <w:rFonts w:hint="eastAsia" w:ascii="宋体" w:hAnsi="宋体" w:cs="宋体"/>
          <w:sz w:val="24"/>
        </w:rPr>
        <w:t>；制造商为</w:t>
      </w:r>
      <w:r>
        <w:rPr>
          <w:rFonts w:hint="eastAsia" w:ascii="宋体" w:hAnsi="宋体" w:cs="宋体"/>
          <w:sz w:val="24"/>
          <w:u w:val="single"/>
        </w:rPr>
        <w:t>（企业名称）</w:t>
      </w:r>
      <w:r>
        <w:rPr>
          <w:rFonts w:hint="eastAsia" w:ascii="宋体" w:hAnsi="宋体" w:cs="宋体"/>
          <w:sz w:val="24"/>
        </w:rPr>
        <w:t>，从业人员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（中型企业、小型企业、微型企业）</w:t>
      </w:r>
      <w:r>
        <w:rPr>
          <w:rFonts w:hint="eastAsia" w:ascii="宋体" w:hAnsi="宋体" w:cs="宋体"/>
          <w:sz w:val="24"/>
        </w:rPr>
        <w:t>；</w:t>
      </w:r>
    </w:p>
    <w:p w14:paraId="55283676">
      <w:pPr>
        <w:numPr>
          <w:ilvl w:val="0"/>
          <w:numId w:val="5"/>
        </w:numPr>
        <w:spacing w:line="560" w:lineRule="exact"/>
        <w:ind w:firstLine="480"/>
        <w:rPr>
          <w:rFonts w:hint="eastAsia" w:ascii="宋体" w:hAnsi="宋体" w:cs="宋体"/>
          <w:sz w:val="24"/>
          <w:u w:val="single"/>
        </w:rPr>
      </w:pPr>
      <w:r>
        <w:rPr>
          <w:rFonts w:hint="eastAsia" w:ascii="宋体" w:hAnsi="宋体" w:cs="宋体"/>
          <w:sz w:val="24"/>
          <w:u w:val="single"/>
        </w:rPr>
        <w:t>（标的名称）</w:t>
      </w:r>
      <w:r>
        <w:rPr>
          <w:rFonts w:hint="eastAsia" w:ascii="宋体" w:hAnsi="宋体" w:cs="宋体"/>
          <w:sz w:val="24"/>
        </w:rPr>
        <w:t>，属于</w:t>
      </w:r>
      <w:r>
        <w:rPr>
          <w:rFonts w:hint="eastAsia" w:ascii="宋体" w:hAnsi="宋体" w:cs="宋体"/>
          <w:sz w:val="24"/>
          <w:u w:val="single"/>
        </w:rPr>
        <w:t>行业</w:t>
      </w:r>
      <w:r>
        <w:rPr>
          <w:rFonts w:hint="eastAsia" w:ascii="宋体" w:hAnsi="宋体" w:cs="宋体"/>
          <w:sz w:val="24"/>
        </w:rPr>
        <w:t>；制造商为</w:t>
      </w:r>
      <w:r>
        <w:rPr>
          <w:rFonts w:hint="eastAsia" w:ascii="宋体" w:hAnsi="宋体" w:cs="宋体"/>
          <w:sz w:val="24"/>
          <w:u w:val="single"/>
        </w:rPr>
        <w:t>（企业名称）</w:t>
      </w:r>
      <w:r>
        <w:rPr>
          <w:rFonts w:hint="eastAsia" w:ascii="宋体" w:hAnsi="宋体" w:cs="宋体"/>
          <w:sz w:val="24"/>
        </w:rPr>
        <w:t>，从业人员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 xml:space="preserve">万元，资产总额为 </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（中型企业、小型企业、微型企业）</w:t>
      </w:r>
      <w:r>
        <w:rPr>
          <w:rFonts w:hint="eastAsia" w:ascii="宋体" w:hAnsi="宋体" w:cs="宋体"/>
          <w:sz w:val="24"/>
        </w:rPr>
        <w:t>；</w:t>
      </w:r>
    </w:p>
    <w:p w14:paraId="02BE286F">
      <w:pPr>
        <w:pStyle w:val="39"/>
        <w:ind w:left="0" w:firstLine="560"/>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5421DC73">
      <w:pPr>
        <w:spacing w:line="560" w:lineRule="exact"/>
        <w:ind w:firstLine="360"/>
        <w:rPr>
          <w:rFonts w:hint="eastAsia" w:ascii="宋体" w:hAnsi="宋体" w:cs="宋体"/>
          <w:sz w:val="24"/>
          <w:lang w:val="zh-CN"/>
        </w:rPr>
      </w:pPr>
      <w:r>
        <w:rPr>
          <w:rFonts w:hint="eastAsia" w:ascii="宋体" w:hAnsi="宋体" w:cs="宋体"/>
          <w:sz w:val="24"/>
          <w:lang w:val="zh-CN"/>
        </w:rPr>
        <w:t>以上企业，不属于大企业的分支机构，不存在控股股东为大企业的情形，也不存在与大企业的负责人为同一人的情形。</w:t>
      </w:r>
    </w:p>
    <w:p w14:paraId="3213157A">
      <w:pPr>
        <w:spacing w:line="560" w:lineRule="exact"/>
        <w:ind w:firstLine="360"/>
        <w:rPr>
          <w:rFonts w:hint="eastAsia" w:ascii="宋体" w:hAnsi="宋体" w:cs="宋体"/>
          <w:sz w:val="24"/>
          <w:lang w:val="zh-CN"/>
        </w:rPr>
      </w:pPr>
      <w:r>
        <w:rPr>
          <w:rFonts w:hint="eastAsia" w:ascii="宋体" w:hAnsi="宋体" w:cs="宋体"/>
          <w:sz w:val="24"/>
          <w:lang w:val="zh-CN"/>
        </w:rPr>
        <w:t>本企业对上述声明内容的真实性负责。如有虚假，将依法承担相应责任。</w:t>
      </w:r>
    </w:p>
    <w:p w14:paraId="212BB0CE">
      <w:pPr>
        <w:spacing w:line="560" w:lineRule="exact"/>
        <w:ind w:firstLine="360"/>
        <w:jc w:val="center"/>
        <w:outlineLvl w:val="2"/>
        <w:rPr>
          <w:rFonts w:hint="eastAsia" w:ascii="宋体" w:hAnsi="宋体" w:cs="宋体"/>
          <w:sz w:val="24"/>
        </w:rPr>
      </w:pPr>
      <w:r>
        <w:rPr>
          <w:rFonts w:hint="eastAsia" w:ascii="仿宋" w:hAnsi="仿宋" w:eastAsia="仿宋" w:cs="楷体_GB2312"/>
          <w:sz w:val="24"/>
          <w:lang w:val="zh-CN"/>
        </w:rPr>
        <w:t xml:space="preserve">   </w:t>
      </w:r>
      <w:r>
        <w:rPr>
          <w:rFonts w:hint="eastAsia" w:ascii="仿宋" w:hAnsi="仿宋" w:eastAsia="仿宋" w:cs="楷体_GB2312"/>
          <w:sz w:val="24"/>
        </w:rPr>
        <w:t xml:space="preserve">                    </w:t>
      </w:r>
      <w:r>
        <w:rPr>
          <w:rFonts w:hint="eastAsia" w:ascii="宋体" w:hAnsi="宋体" w:cs="宋体"/>
          <w:sz w:val="24"/>
          <w:lang w:val="zh-CN"/>
        </w:rPr>
        <w:t xml:space="preserve"> </w:t>
      </w:r>
      <w:r>
        <w:rPr>
          <w:rFonts w:hint="eastAsia" w:ascii="宋体" w:hAnsi="宋体" w:cs="宋体"/>
          <w:sz w:val="24"/>
        </w:rPr>
        <w:t>企业名称（盖章）:</w:t>
      </w:r>
    </w:p>
    <w:p w14:paraId="242A8D41">
      <w:pPr>
        <w:spacing w:line="560" w:lineRule="exact"/>
        <w:ind w:right="480" w:firstLine="5280"/>
        <w:rPr>
          <w:rFonts w:hint="eastAsia" w:ascii="宋体" w:hAnsi="宋体" w:cs="宋体"/>
          <w:sz w:val="24"/>
        </w:rPr>
      </w:pPr>
      <w:r>
        <w:rPr>
          <w:rFonts w:hint="eastAsia" w:ascii="宋体" w:hAnsi="宋体" w:cs="宋体"/>
          <w:sz w:val="24"/>
        </w:rPr>
        <w:t>日期:</w:t>
      </w:r>
    </w:p>
    <w:p w14:paraId="0F79B5DB">
      <w:pPr>
        <w:spacing w:line="400" w:lineRule="exact"/>
      </w:pPr>
    </w:p>
    <w:p w14:paraId="4B4251B9">
      <w:pPr>
        <w:spacing w:line="400" w:lineRule="exact"/>
        <w:ind w:firstLine="240"/>
        <w:rPr>
          <w:rFonts w:hint="eastAsia" w:ascii="宋体" w:hAnsi="宋体" w:cs="宋体"/>
          <w:sz w:val="24"/>
        </w:rPr>
      </w:pPr>
      <w:r>
        <w:rPr>
          <w:rFonts w:hint="eastAsia" w:ascii="宋体" w:hAnsi="宋体" w:cs="宋体"/>
          <w:sz w:val="24"/>
        </w:rPr>
        <w:t>注：1.从业人员、营业收入、资产总额填报上一年度数据，无上一年度数据的新成立企业可不填报。</w:t>
      </w:r>
    </w:p>
    <w:p w14:paraId="4A4604C4">
      <w:pPr>
        <w:spacing w:line="400" w:lineRule="exact"/>
        <w:ind w:firstLine="240"/>
        <w:rPr>
          <w:rFonts w:hint="eastAsia" w:ascii="宋体" w:hAnsi="宋体" w:cs="宋体"/>
          <w:sz w:val="24"/>
        </w:rPr>
      </w:pPr>
      <w:r>
        <w:rPr>
          <w:rFonts w:hint="eastAsia" w:ascii="宋体" w:hAnsi="宋体" w:cs="宋体"/>
          <w:sz w:val="24"/>
        </w:rPr>
        <w:t>2.投标人如不提供此声明函，价格将不做相应扣除。</w:t>
      </w:r>
    </w:p>
    <w:p w14:paraId="7B31B5E1">
      <w:pPr>
        <w:pStyle w:val="12"/>
        <w:spacing w:line="600" w:lineRule="exact"/>
        <w:ind w:firstLine="0"/>
        <w:rPr>
          <w:rFonts w:hint="eastAsia" w:ascii="宋体" w:hAnsi="宋体" w:cs="宋体"/>
          <w:sz w:val="24"/>
          <w:szCs w:val="24"/>
        </w:rPr>
      </w:pPr>
    </w:p>
    <w:p w14:paraId="3D1B8168">
      <w:pPr>
        <w:spacing w:line="460" w:lineRule="exact"/>
        <w:jc w:val="left"/>
        <w:outlineLvl w:val="1"/>
        <w:rPr>
          <w:rFonts w:hint="eastAsia" w:ascii="宋体" w:hAnsi="宋体" w:cs="宋体"/>
          <w:b/>
          <w:sz w:val="32"/>
        </w:rPr>
      </w:pPr>
    </w:p>
    <w:p w14:paraId="6340589B">
      <w:pPr>
        <w:spacing w:line="460" w:lineRule="exact"/>
        <w:jc w:val="left"/>
        <w:outlineLvl w:val="1"/>
        <w:rPr>
          <w:rFonts w:hint="eastAsia" w:ascii="宋体" w:hAnsi="宋体" w:cs="宋体"/>
          <w:b/>
          <w:sz w:val="32"/>
        </w:rPr>
      </w:pPr>
    </w:p>
    <w:p w14:paraId="36942CBE">
      <w:pPr>
        <w:spacing w:line="460" w:lineRule="exact"/>
        <w:jc w:val="left"/>
        <w:outlineLvl w:val="1"/>
        <w:rPr>
          <w:rFonts w:hint="eastAsia" w:ascii="宋体" w:hAnsi="宋体" w:cs="宋体"/>
          <w:b/>
          <w:sz w:val="32"/>
        </w:rPr>
      </w:pPr>
    </w:p>
    <w:p w14:paraId="6D854738">
      <w:pPr>
        <w:spacing w:line="460" w:lineRule="exact"/>
        <w:jc w:val="left"/>
        <w:outlineLvl w:val="1"/>
        <w:rPr>
          <w:rFonts w:hint="eastAsia" w:ascii="宋体" w:hAnsi="宋体" w:cs="宋体"/>
          <w:b/>
          <w:sz w:val="32"/>
        </w:rPr>
      </w:pPr>
    </w:p>
    <w:p w14:paraId="2D0A1326">
      <w:pPr>
        <w:spacing w:line="460" w:lineRule="exact"/>
        <w:jc w:val="left"/>
        <w:outlineLvl w:val="1"/>
        <w:rPr>
          <w:rFonts w:hint="eastAsia" w:ascii="宋体" w:hAnsi="宋体" w:cs="宋体"/>
          <w:b/>
          <w:sz w:val="32"/>
        </w:rPr>
      </w:pPr>
    </w:p>
    <w:p w14:paraId="768D708B">
      <w:pPr>
        <w:spacing w:line="460" w:lineRule="exact"/>
        <w:jc w:val="left"/>
        <w:outlineLvl w:val="1"/>
        <w:rPr>
          <w:rFonts w:hint="eastAsia" w:ascii="宋体" w:hAnsi="宋体" w:cs="宋体"/>
          <w:b/>
          <w:sz w:val="32"/>
        </w:rPr>
      </w:pPr>
    </w:p>
    <w:p w14:paraId="2B23793C">
      <w:pPr>
        <w:spacing w:line="460" w:lineRule="exact"/>
        <w:jc w:val="left"/>
        <w:outlineLvl w:val="1"/>
        <w:rPr>
          <w:rFonts w:hint="eastAsia" w:ascii="宋体" w:hAnsi="宋体" w:cs="宋体"/>
          <w:b/>
          <w:sz w:val="32"/>
        </w:rPr>
      </w:pPr>
    </w:p>
    <w:p w14:paraId="0AEECCA4">
      <w:pPr>
        <w:spacing w:line="460" w:lineRule="exact"/>
        <w:jc w:val="left"/>
        <w:outlineLvl w:val="1"/>
        <w:rPr>
          <w:rFonts w:hint="eastAsia" w:ascii="宋体" w:hAnsi="宋体" w:cs="宋体"/>
          <w:b/>
          <w:sz w:val="32"/>
        </w:rPr>
      </w:pPr>
    </w:p>
    <w:p w14:paraId="062D5AE4">
      <w:pPr>
        <w:spacing w:line="460" w:lineRule="exact"/>
        <w:jc w:val="left"/>
        <w:outlineLvl w:val="1"/>
        <w:rPr>
          <w:rFonts w:hint="eastAsia" w:ascii="宋体" w:hAnsi="宋体" w:cs="宋体"/>
          <w:b/>
          <w:sz w:val="32"/>
          <w:szCs w:val="32"/>
        </w:rPr>
      </w:pPr>
      <w:r>
        <w:rPr>
          <w:rFonts w:hint="eastAsia" w:ascii="宋体" w:hAnsi="宋体" w:cs="宋体"/>
          <w:b/>
          <w:sz w:val="28"/>
          <w:szCs w:val="22"/>
        </w:rPr>
        <w:t xml:space="preserve">示范格式五 </w:t>
      </w:r>
      <w:r>
        <w:rPr>
          <w:rFonts w:hint="eastAsia" w:ascii="宋体" w:hAnsi="宋体" w:cs="宋体"/>
          <w:b/>
          <w:sz w:val="28"/>
          <w:szCs w:val="28"/>
        </w:rPr>
        <w:t xml:space="preserve">  </w:t>
      </w:r>
      <w:r>
        <w:rPr>
          <w:rFonts w:hint="eastAsia" w:ascii="宋体" w:hAnsi="宋体" w:cs="宋体"/>
          <w:b/>
          <w:sz w:val="32"/>
          <w:szCs w:val="32"/>
        </w:rPr>
        <w:t xml:space="preserve">  </w:t>
      </w:r>
    </w:p>
    <w:p w14:paraId="15048FDB">
      <w:pPr>
        <w:spacing w:line="460" w:lineRule="exact"/>
        <w:jc w:val="left"/>
        <w:outlineLvl w:val="1"/>
        <w:rPr>
          <w:rFonts w:hint="eastAsia" w:ascii="宋体" w:hAnsi="宋体" w:cs="宋体"/>
          <w:b/>
          <w:sz w:val="32"/>
          <w:szCs w:val="32"/>
        </w:rPr>
      </w:pPr>
    </w:p>
    <w:p w14:paraId="6B0F92C8">
      <w:pPr>
        <w:spacing w:line="460" w:lineRule="exact"/>
        <w:jc w:val="center"/>
        <w:outlineLvl w:val="1"/>
        <w:rPr>
          <w:rFonts w:hint="eastAsia" w:ascii="宋体" w:hAnsi="宋体" w:cs="宋体"/>
          <w:spacing w:val="6"/>
          <w:sz w:val="30"/>
          <w:szCs w:val="30"/>
        </w:rPr>
      </w:pPr>
      <w:r>
        <w:rPr>
          <w:rFonts w:hint="eastAsia" w:ascii="宋体" w:hAnsi="宋体" w:cs="宋体"/>
          <w:b/>
          <w:sz w:val="32"/>
          <w:szCs w:val="32"/>
        </w:rPr>
        <w:t>残疾人福利性单位声明函</w:t>
      </w:r>
    </w:p>
    <w:p w14:paraId="4F7EF4C5">
      <w:pPr>
        <w:spacing w:line="588" w:lineRule="exact"/>
        <w:ind w:firstLine="480"/>
        <w:rPr>
          <w:rFonts w:hint="eastAsia"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 号）的规定，本单位为符合条件的残疾人福利性单位。即，本单位同时满足以下条件:</w:t>
      </w:r>
    </w:p>
    <w:p w14:paraId="54811BFB">
      <w:pPr>
        <w:spacing w:line="588" w:lineRule="exact"/>
        <w:ind w:firstLine="480"/>
        <w:rPr>
          <w:rFonts w:hint="eastAsia" w:ascii="宋体" w:hAnsi="宋体" w:cs="宋体"/>
          <w:sz w:val="24"/>
        </w:rPr>
      </w:pPr>
      <w:r>
        <w:rPr>
          <w:rFonts w:hint="eastAsia" w:ascii="宋体" w:hAnsi="宋体" w:cs="宋体"/>
          <w:sz w:val="24"/>
        </w:rPr>
        <w:t>1、根据《财政部 民政部 中国残疾人联合会关于促进残疾人就业政府采购政策的通知》（财库〔2017〕141 号）规定的划分标准，本公司为残疾人福利性企业。</w:t>
      </w:r>
    </w:p>
    <w:p w14:paraId="781B5408">
      <w:pPr>
        <w:spacing w:line="588" w:lineRule="exact"/>
        <w:ind w:firstLine="480"/>
        <w:rPr>
          <w:rFonts w:hint="eastAsia" w:ascii="宋体" w:hAnsi="宋体" w:cs="宋体"/>
          <w:sz w:val="24"/>
        </w:rPr>
      </w:pPr>
      <w:r>
        <w:rPr>
          <w:rFonts w:hint="eastAsia" w:ascii="宋体" w:hAnsi="宋体" w:cs="宋体"/>
          <w:sz w:val="24"/>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4B73ADAB">
      <w:pPr>
        <w:spacing w:line="588" w:lineRule="exact"/>
        <w:ind w:firstLine="480"/>
        <w:rPr>
          <w:rFonts w:hint="eastAsia" w:ascii="宋体" w:hAnsi="宋体" w:cs="宋体"/>
          <w:sz w:val="24"/>
        </w:rPr>
      </w:pPr>
      <w:r>
        <w:rPr>
          <w:rFonts w:hint="eastAsia" w:ascii="宋体" w:hAnsi="宋体" w:cs="宋体"/>
          <w:sz w:val="24"/>
        </w:rPr>
        <w:t>注:本公司对上述声明的真实性负责。如有虚假，将依法承担相应责任。</w:t>
      </w:r>
    </w:p>
    <w:p w14:paraId="2FDA4F37">
      <w:pPr>
        <w:spacing w:line="588" w:lineRule="exact"/>
        <w:ind w:firstLine="480"/>
        <w:rPr>
          <w:rFonts w:hint="eastAsia" w:ascii="宋体" w:hAnsi="宋体" w:cs="宋体"/>
          <w:sz w:val="24"/>
        </w:rPr>
      </w:pPr>
    </w:p>
    <w:p w14:paraId="651DBF81">
      <w:pPr>
        <w:spacing w:line="588" w:lineRule="exact"/>
        <w:ind w:firstLine="480"/>
        <w:rPr>
          <w:rFonts w:hint="eastAsia" w:ascii="宋体" w:hAnsi="宋体" w:cs="宋体"/>
          <w:sz w:val="24"/>
        </w:rPr>
      </w:pPr>
      <w:r>
        <w:rPr>
          <w:rFonts w:hint="eastAsia" w:ascii="宋体" w:hAnsi="宋体" w:cs="宋体"/>
          <w:sz w:val="24"/>
        </w:rPr>
        <w:t>（备注:1、供应商如不提供此声明函，价格将不做相应扣除。2、中标供应商为残疾人福利单位的，此声明函将随中标结果同时公告，接受社会监督。3、非残疾人福利性单位不需提供此函。）</w:t>
      </w:r>
    </w:p>
    <w:p w14:paraId="41489F7D">
      <w:pPr>
        <w:spacing w:line="588" w:lineRule="exact"/>
        <w:ind w:firstLine="480"/>
        <w:rPr>
          <w:rFonts w:hint="eastAsia" w:ascii="宋体" w:hAnsi="宋体" w:cs="宋体"/>
          <w:sz w:val="24"/>
        </w:rPr>
      </w:pPr>
    </w:p>
    <w:p w14:paraId="1A1B6045">
      <w:pPr>
        <w:spacing w:line="560" w:lineRule="exact"/>
        <w:ind w:firstLine="360"/>
        <w:jc w:val="center"/>
        <w:outlineLvl w:val="2"/>
        <w:rPr>
          <w:rFonts w:hint="eastAsia" w:ascii="宋体" w:hAnsi="宋体" w:cs="宋体"/>
          <w:sz w:val="24"/>
        </w:rPr>
      </w:pP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企业名称（盖章）:</w:t>
      </w:r>
    </w:p>
    <w:p w14:paraId="2748F316">
      <w:pPr>
        <w:spacing w:line="560" w:lineRule="exact"/>
        <w:ind w:right="480" w:firstLine="6000"/>
        <w:rPr>
          <w:rFonts w:hint="eastAsia" w:ascii="宋体" w:hAnsi="宋体" w:cs="宋体"/>
          <w:bCs/>
          <w:sz w:val="24"/>
        </w:rPr>
      </w:pPr>
      <w:r>
        <w:rPr>
          <w:rFonts w:hint="eastAsia" w:ascii="宋体" w:hAnsi="宋体" w:cs="宋体"/>
          <w:sz w:val="24"/>
        </w:rPr>
        <w:t>日期:</w:t>
      </w:r>
      <w:bookmarkEnd w:id="24"/>
    </w:p>
    <w:p w14:paraId="34A2596D">
      <w:pPr>
        <w:spacing w:line="588" w:lineRule="exact"/>
        <w:ind w:firstLine="482"/>
        <w:rPr>
          <w:rFonts w:hint="eastAsia" w:ascii="宋体" w:hAnsi="宋体" w:cs="宋体"/>
          <w:b/>
          <w:bCs/>
          <w:sz w:val="24"/>
        </w:rPr>
      </w:pPr>
    </w:p>
    <w:p w14:paraId="534D7A8C">
      <w:pPr>
        <w:spacing w:line="588" w:lineRule="exact"/>
        <w:ind w:firstLine="480"/>
        <w:rPr>
          <w:rFonts w:hint="eastAsia" w:ascii="宋体" w:hAnsi="宋体" w:cs="宋体"/>
          <w:sz w:val="24"/>
        </w:rPr>
      </w:pPr>
      <w:r>
        <w:rPr>
          <w:rFonts w:hint="eastAsia" w:ascii="宋体" w:hAnsi="宋体" w:cs="宋体"/>
          <w:sz w:val="24"/>
        </w:rPr>
        <w:t>注:非残疾人福利性单位不需提供此函。</w:t>
      </w:r>
    </w:p>
    <w:p w14:paraId="5E631F6E">
      <w:pPr>
        <w:jc w:val="center"/>
        <w:rPr>
          <w:rFonts w:hint="eastAsia" w:ascii="宋体" w:hAnsi="宋体"/>
          <w:b/>
          <w:sz w:val="30"/>
          <w:szCs w:val="30"/>
        </w:rPr>
      </w:pPr>
    </w:p>
    <w:p w14:paraId="1BB99F3F"/>
    <w:sectPr>
      <w:pgSz w:w="11906" w:h="16838" w:orient="landscape"/>
      <w:pgMar w:top="1440" w:right="1463" w:bottom="1440" w:left="1463" w:header="851" w:footer="992"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彩云">
    <w:altName w:val="微软雅黑"/>
    <w:panose1 w:val="0201080004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简体">
    <w:altName w:val="微软雅黑"/>
    <w:panose1 w:val="03000509000000000000"/>
    <w:charset w:val="86"/>
    <w:family w:val="script"/>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0DE90">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02D7B">
    <w:pPr>
      <w:pStyle w:val="24"/>
      <w:framePr w:wrap="around" w:vAnchor="text" w:hAnchor="margin" w:xAlign="center" w:y="1"/>
      <w:rPr>
        <w:rStyle w:val="45"/>
      </w:rPr>
    </w:pPr>
    <w:r>
      <w:fldChar w:fldCharType="begin"/>
    </w:r>
    <w:r>
      <w:rPr>
        <w:rStyle w:val="45"/>
      </w:rPr>
      <w:instrText xml:space="preserve">PAGE  </w:instrText>
    </w:r>
    <w:r>
      <w:fldChar w:fldCharType="end"/>
    </w:r>
  </w:p>
  <w:p w14:paraId="52AD99A8">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FDE1E">
    <w:pPr>
      <w:pStyle w:val="2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228ED">
    <w:pPr>
      <w:pStyle w:val="2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D3B27">
    <w:pPr>
      <w:pStyle w:val="2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1F7FA4">
                          <w:pPr>
                            <w:pStyle w:val="24"/>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Kcwv1w2AgAAYwQAAA4AAAAAAAAAAQAgAAAAHwEAAGRycy9lMm9Eb2MueG1s&#10;UEsFBgAAAAAGAAYAWQEAAMcFAAAAAA==&#10;">
              <v:fill on="f" focussize="0,0"/>
              <v:stroke on="f" weight="0.5pt"/>
              <v:imagedata o:title=""/>
              <o:lock v:ext="edit" aspectratio="f"/>
              <v:textbox inset="0mm,0mm,0mm,0mm" style="mso-fit-shape-to-text:t;">
                <w:txbxContent>
                  <w:p w14:paraId="461F7FA4">
                    <w:pPr>
                      <w:pStyle w:val="24"/>
                    </w:pPr>
                    <w:r>
                      <w:fldChar w:fldCharType="begin"/>
                    </w:r>
                    <w:r>
                      <w:instrText xml:space="preserve"> PAGE  \* MERGEFORMAT </w:instrText>
                    </w:r>
                    <w:r>
                      <w:fldChar w:fldCharType="separate"/>
                    </w:r>
                    <w:r>
                      <w:t>17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17FC4">
    <w:pPr>
      <w:pStyle w:val="2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20177">
    <w:pPr>
      <w:pStyle w:val="2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9C15A">
    <w:pPr>
      <w:pStyle w:val="2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nothing"/>
      <w:lvlText w:val="%1、"/>
      <w:lvlJc w:val="left"/>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3"/>
      <w:numFmt w:val="chineseCounting"/>
      <w:suff w:val="nothing"/>
      <w:lvlText w:val="（%1）"/>
      <w:lvlJc w:val="left"/>
      <w:rPr>
        <w:rFonts w:hint="eastAsia"/>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2">
    <w:nsid w:val="1677658C"/>
    <w:multiLevelType w:val="singleLevel"/>
    <w:tmpl w:val="1677658C"/>
    <w:lvl w:ilvl="0" w:tentative="0">
      <w:start w:val="2"/>
      <w:numFmt w:val="decimal"/>
      <w:lvlText w:val="%1."/>
      <w:lvlJc w:val="left"/>
      <w:pPr>
        <w:tabs>
          <w:tab w:val="left" w:pos="312"/>
        </w:tabs>
      </w:pPr>
    </w:lvl>
  </w:abstractNum>
  <w:abstractNum w:abstractNumId="3">
    <w:nsid w:val="59ADCABA"/>
    <w:multiLevelType w:val="multilevel"/>
    <w:tmpl w:val="59ADCABA"/>
    <w:lvl w:ilvl="0" w:tentative="0">
      <w:start w:val="7"/>
      <w:numFmt w:val="chineseCounting"/>
      <w:suff w:val="nothing"/>
      <w:lvlText w:val="%1、"/>
      <w:lvlJc w:val="left"/>
      <w:rPr>
        <w:rFonts w:hint="eastAsia"/>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4">
    <w:nsid w:val="6FA394A8"/>
    <w:multiLevelType w:val="singleLevel"/>
    <w:tmpl w:val="6FA394A8"/>
    <w:lvl w:ilvl="0" w:tentative="0">
      <w:start w:val="1"/>
      <w:numFmt w:val="decimal"/>
      <w:lvlText w:val="%1."/>
      <w:lvlJc w:val="left"/>
      <w:pPr>
        <w:tabs>
          <w:tab w:val="left" w:pos="312"/>
        </w:tabs>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FiMmY0NzBiMzU0NGIyMDEzMjVkMjBkMmYzMTA2MDgifQ=="/>
  </w:docVars>
  <w:rsids>
    <w:rsidRoot w:val="0002008B"/>
    <w:rsid w:val="000061C5"/>
    <w:rsid w:val="00014BE9"/>
    <w:rsid w:val="0002008B"/>
    <w:rsid w:val="00020BAB"/>
    <w:rsid w:val="00066A8B"/>
    <w:rsid w:val="00067D91"/>
    <w:rsid w:val="000728D7"/>
    <w:rsid w:val="00073381"/>
    <w:rsid w:val="00083BCF"/>
    <w:rsid w:val="0009110C"/>
    <w:rsid w:val="000A36BA"/>
    <w:rsid w:val="000B3F28"/>
    <w:rsid w:val="000D0841"/>
    <w:rsid w:val="000D4E37"/>
    <w:rsid w:val="000E1917"/>
    <w:rsid w:val="00111C4A"/>
    <w:rsid w:val="00123930"/>
    <w:rsid w:val="001315B2"/>
    <w:rsid w:val="001457E5"/>
    <w:rsid w:val="00151D58"/>
    <w:rsid w:val="00152035"/>
    <w:rsid w:val="00155D9B"/>
    <w:rsid w:val="001612B7"/>
    <w:rsid w:val="0016634C"/>
    <w:rsid w:val="00181FFB"/>
    <w:rsid w:val="0019220F"/>
    <w:rsid w:val="001B2BE6"/>
    <w:rsid w:val="001B68EF"/>
    <w:rsid w:val="001B78AE"/>
    <w:rsid w:val="001D434A"/>
    <w:rsid w:val="001E07DA"/>
    <w:rsid w:val="001E5871"/>
    <w:rsid w:val="001F25C9"/>
    <w:rsid w:val="001F4F44"/>
    <w:rsid w:val="002221A4"/>
    <w:rsid w:val="00236C86"/>
    <w:rsid w:val="00240890"/>
    <w:rsid w:val="002A47B9"/>
    <w:rsid w:val="002B2416"/>
    <w:rsid w:val="002D7D7D"/>
    <w:rsid w:val="002E7359"/>
    <w:rsid w:val="0032446E"/>
    <w:rsid w:val="003502E1"/>
    <w:rsid w:val="00351530"/>
    <w:rsid w:val="00361AA7"/>
    <w:rsid w:val="003633CF"/>
    <w:rsid w:val="003637DA"/>
    <w:rsid w:val="003856E0"/>
    <w:rsid w:val="00391F95"/>
    <w:rsid w:val="003A217C"/>
    <w:rsid w:val="003C6E9A"/>
    <w:rsid w:val="003E155C"/>
    <w:rsid w:val="00422A6D"/>
    <w:rsid w:val="00427180"/>
    <w:rsid w:val="00436D27"/>
    <w:rsid w:val="00442D68"/>
    <w:rsid w:val="0046315A"/>
    <w:rsid w:val="00481C1B"/>
    <w:rsid w:val="0048388B"/>
    <w:rsid w:val="004907F4"/>
    <w:rsid w:val="004B4ADB"/>
    <w:rsid w:val="004F1714"/>
    <w:rsid w:val="0051026E"/>
    <w:rsid w:val="00523AF4"/>
    <w:rsid w:val="00526966"/>
    <w:rsid w:val="00544E80"/>
    <w:rsid w:val="0054514E"/>
    <w:rsid w:val="00570691"/>
    <w:rsid w:val="005737FB"/>
    <w:rsid w:val="00581540"/>
    <w:rsid w:val="00581881"/>
    <w:rsid w:val="00582C4B"/>
    <w:rsid w:val="00583299"/>
    <w:rsid w:val="005A7C34"/>
    <w:rsid w:val="005A7F4E"/>
    <w:rsid w:val="005B77C7"/>
    <w:rsid w:val="005C1117"/>
    <w:rsid w:val="005C7591"/>
    <w:rsid w:val="005C7E36"/>
    <w:rsid w:val="005D03F0"/>
    <w:rsid w:val="005F30BD"/>
    <w:rsid w:val="005F3A3B"/>
    <w:rsid w:val="00620C66"/>
    <w:rsid w:val="00631FA1"/>
    <w:rsid w:val="00632F25"/>
    <w:rsid w:val="00644E82"/>
    <w:rsid w:val="006467CE"/>
    <w:rsid w:val="00653EA4"/>
    <w:rsid w:val="00664145"/>
    <w:rsid w:val="00664B34"/>
    <w:rsid w:val="00666EA2"/>
    <w:rsid w:val="0067734A"/>
    <w:rsid w:val="00681128"/>
    <w:rsid w:val="00683D00"/>
    <w:rsid w:val="006942B9"/>
    <w:rsid w:val="006C0EE5"/>
    <w:rsid w:val="006C4697"/>
    <w:rsid w:val="006E5909"/>
    <w:rsid w:val="006F6856"/>
    <w:rsid w:val="007033D6"/>
    <w:rsid w:val="00707AAB"/>
    <w:rsid w:val="007133FA"/>
    <w:rsid w:val="0071679D"/>
    <w:rsid w:val="00717C11"/>
    <w:rsid w:val="007312A9"/>
    <w:rsid w:val="00733168"/>
    <w:rsid w:val="007461FC"/>
    <w:rsid w:val="00747FD0"/>
    <w:rsid w:val="007505ED"/>
    <w:rsid w:val="00761229"/>
    <w:rsid w:val="00770EE0"/>
    <w:rsid w:val="00771717"/>
    <w:rsid w:val="00781BFC"/>
    <w:rsid w:val="007A4DD6"/>
    <w:rsid w:val="007C630A"/>
    <w:rsid w:val="007D21CE"/>
    <w:rsid w:val="007D2660"/>
    <w:rsid w:val="007D6C43"/>
    <w:rsid w:val="007F4BE2"/>
    <w:rsid w:val="007F7B11"/>
    <w:rsid w:val="00811AA1"/>
    <w:rsid w:val="00813C2A"/>
    <w:rsid w:val="0081702E"/>
    <w:rsid w:val="00820444"/>
    <w:rsid w:val="00872F63"/>
    <w:rsid w:val="0088111C"/>
    <w:rsid w:val="00883BFF"/>
    <w:rsid w:val="008954E7"/>
    <w:rsid w:val="008E0CBC"/>
    <w:rsid w:val="00912ED1"/>
    <w:rsid w:val="00915AD3"/>
    <w:rsid w:val="00921C12"/>
    <w:rsid w:val="009476B2"/>
    <w:rsid w:val="00952B8F"/>
    <w:rsid w:val="009558AE"/>
    <w:rsid w:val="00964491"/>
    <w:rsid w:val="00965E8F"/>
    <w:rsid w:val="009672D2"/>
    <w:rsid w:val="00976112"/>
    <w:rsid w:val="0098331A"/>
    <w:rsid w:val="009B125F"/>
    <w:rsid w:val="00A00C64"/>
    <w:rsid w:val="00A12929"/>
    <w:rsid w:val="00A25E1D"/>
    <w:rsid w:val="00A33250"/>
    <w:rsid w:val="00A347F2"/>
    <w:rsid w:val="00A43DC3"/>
    <w:rsid w:val="00A51093"/>
    <w:rsid w:val="00A51D4C"/>
    <w:rsid w:val="00A52608"/>
    <w:rsid w:val="00A72606"/>
    <w:rsid w:val="00AC48CB"/>
    <w:rsid w:val="00AC6405"/>
    <w:rsid w:val="00AE221B"/>
    <w:rsid w:val="00AE54A9"/>
    <w:rsid w:val="00AF1779"/>
    <w:rsid w:val="00B11A8F"/>
    <w:rsid w:val="00B27196"/>
    <w:rsid w:val="00B3308B"/>
    <w:rsid w:val="00B43491"/>
    <w:rsid w:val="00B659FE"/>
    <w:rsid w:val="00B77C0D"/>
    <w:rsid w:val="00B82844"/>
    <w:rsid w:val="00BB2568"/>
    <w:rsid w:val="00BC0D85"/>
    <w:rsid w:val="00BD13F0"/>
    <w:rsid w:val="00BD3855"/>
    <w:rsid w:val="00BE2E4E"/>
    <w:rsid w:val="00BE795E"/>
    <w:rsid w:val="00BF729D"/>
    <w:rsid w:val="00C04AB3"/>
    <w:rsid w:val="00C05A9A"/>
    <w:rsid w:val="00C1073B"/>
    <w:rsid w:val="00C25162"/>
    <w:rsid w:val="00C36C85"/>
    <w:rsid w:val="00C40EED"/>
    <w:rsid w:val="00C463CF"/>
    <w:rsid w:val="00C5696B"/>
    <w:rsid w:val="00C77689"/>
    <w:rsid w:val="00C92867"/>
    <w:rsid w:val="00CB3368"/>
    <w:rsid w:val="00CF4732"/>
    <w:rsid w:val="00CF5F5B"/>
    <w:rsid w:val="00D07BE2"/>
    <w:rsid w:val="00D216A9"/>
    <w:rsid w:val="00D25527"/>
    <w:rsid w:val="00D31051"/>
    <w:rsid w:val="00D317CF"/>
    <w:rsid w:val="00D426B4"/>
    <w:rsid w:val="00D53F73"/>
    <w:rsid w:val="00D82678"/>
    <w:rsid w:val="00D848EC"/>
    <w:rsid w:val="00DD12B0"/>
    <w:rsid w:val="00DE6358"/>
    <w:rsid w:val="00E02564"/>
    <w:rsid w:val="00E147EA"/>
    <w:rsid w:val="00E37985"/>
    <w:rsid w:val="00E60582"/>
    <w:rsid w:val="00E678AF"/>
    <w:rsid w:val="00E73D3C"/>
    <w:rsid w:val="00E73E76"/>
    <w:rsid w:val="00E820EE"/>
    <w:rsid w:val="00E85990"/>
    <w:rsid w:val="00E87A8E"/>
    <w:rsid w:val="00E93FA4"/>
    <w:rsid w:val="00EB541E"/>
    <w:rsid w:val="00EC47E6"/>
    <w:rsid w:val="00ED47E5"/>
    <w:rsid w:val="00EE78F4"/>
    <w:rsid w:val="00EF3A20"/>
    <w:rsid w:val="00F35E00"/>
    <w:rsid w:val="00F55BAA"/>
    <w:rsid w:val="00F667E7"/>
    <w:rsid w:val="00F70205"/>
    <w:rsid w:val="00F720D7"/>
    <w:rsid w:val="00F9296D"/>
    <w:rsid w:val="00FE1C52"/>
    <w:rsid w:val="00FE3BFC"/>
    <w:rsid w:val="00FF0382"/>
    <w:rsid w:val="01013C21"/>
    <w:rsid w:val="01763BCE"/>
    <w:rsid w:val="01875299"/>
    <w:rsid w:val="01EE19B6"/>
    <w:rsid w:val="026F6DA2"/>
    <w:rsid w:val="03100052"/>
    <w:rsid w:val="03315841"/>
    <w:rsid w:val="04974587"/>
    <w:rsid w:val="051C4A8C"/>
    <w:rsid w:val="05B2719F"/>
    <w:rsid w:val="06D8208D"/>
    <w:rsid w:val="08A13C26"/>
    <w:rsid w:val="09903C9B"/>
    <w:rsid w:val="09D73678"/>
    <w:rsid w:val="0A123CF3"/>
    <w:rsid w:val="0AF4215E"/>
    <w:rsid w:val="0BBA4FFF"/>
    <w:rsid w:val="0BFA0333"/>
    <w:rsid w:val="0C460641"/>
    <w:rsid w:val="0C637445"/>
    <w:rsid w:val="0CB437FC"/>
    <w:rsid w:val="0D701E19"/>
    <w:rsid w:val="0E344BF5"/>
    <w:rsid w:val="0FAC4C5F"/>
    <w:rsid w:val="10625C40"/>
    <w:rsid w:val="11186A50"/>
    <w:rsid w:val="118A0FD0"/>
    <w:rsid w:val="12952D4C"/>
    <w:rsid w:val="12AB744F"/>
    <w:rsid w:val="12F157AA"/>
    <w:rsid w:val="13BB206E"/>
    <w:rsid w:val="14425B91"/>
    <w:rsid w:val="155E2E9F"/>
    <w:rsid w:val="15D46344"/>
    <w:rsid w:val="161D2412"/>
    <w:rsid w:val="16AE1708"/>
    <w:rsid w:val="172B0B5F"/>
    <w:rsid w:val="17EE22B8"/>
    <w:rsid w:val="188B5D59"/>
    <w:rsid w:val="18D53478"/>
    <w:rsid w:val="18D70712"/>
    <w:rsid w:val="190009D6"/>
    <w:rsid w:val="1958313F"/>
    <w:rsid w:val="19940C3D"/>
    <w:rsid w:val="1B102545"/>
    <w:rsid w:val="1BAD5FE6"/>
    <w:rsid w:val="1C8E5E18"/>
    <w:rsid w:val="1C99656B"/>
    <w:rsid w:val="1D947315"/>
    <w:rsid w:val="1DF443A0"/>
    <w:rsid w:val="1DFB128B"/>
    <w:rsid w:val="1E57386F"/>
    <w:rsid w:val="1E8F40C9"/>
    <w:rsid w:val="1EF26F6E"/>
    <w:rsid w:val="1FF02946"/>
    <w:rsid w:val="20983E85"/>
    <w:rsid w:val="23DD1481"/>
    <w:rsid w:val="23E10F23"/>
    <w:rsid w:val="259A75DB"/>
    <w:rsid w:val="26C03072"/>
    <w:rsid w:val="27070E5F"/>
    <w:rsid w:val="274E2D73"/>
    <w:rsid w:val="27B84691"/>
    <w:rsid w:val="28475245"/>
    <w:rsid w:val="288E0F4E"/>
    <w:rsid w:val="28F33BD2"/>
    <w:rsid w:val="2903193C"/>
    <w:rsid w:val="2A944F41"/>
    <w:rsid w:val="2B5D5D69"/>
    <w:rsid w:val="2B944ACD"/>
    <w:rsid w:val="2C1520B2"/>
    <w:rsid w:val="2D656721"/>
    <w:rsid w:val="2EBC4A66"/>
    <w:rsid w:val="2EDD678B"/>
    <w:rsid w:val="2F210F49"/>
    <w:rsid w:val="2F8D4F54"/>
    <w:rsid w:val="30705B08"/>
    <w:rsid w:val="30966865"/>
    <w:rsid w:val="30AE6631"/>
    <w:rsid w:val="30D2231F"/>
    <w:rsid w:val="31666F0B"/>
    <w:rsid w:val="320C7AB3"/>
    <w:rsid w:val="32216CDA"/>
    <w:rsid w:val="32911D66"/>
    <w:rsid w:val="32DD1896"/>
    <w:rsid w:val="33114C55"/>
    <w:rsid w:val="340C39F6"/>
    <w:rsid w:val="35313E77"/>
    <w:rsid w:val="35725E7F"/>
    <w:rsid w:val="370451FC"/>
    <w:rsid w:val="370537C1"/>
    <w:rsid w:val="37217B5C"/>
    <w:rsid w:val="39627FB8"/>
    <w:rsid w:val="39820DED"/>
    <w:rsid w:val="39930E3E"/>
    <w:rsid w:val="3B7566C9"/>
    <w:rsid w:val="3BB80364"/>
    <w:rsid w:val="3BED2703"/>
    <w:rsid w:val="3BFF2436"/>
    <w:rsid w:val="3C29300F"/>
    <w:rsid w:val="3C7A386B"/>
    <w:rsid w:val="3CD157EA"/>
    <w:rsid w:val="3D9250BB"/>
    <w:rsid w:val="3E853AAA"/>
    <w:rsid w:val="3F285800"/>
    <w:rsid w:val="3F3B19D7"/>
    <w:rsid w:val="3F424B14"/>
    <w:rsid w:val="3F454604"/>
    <w:rsid w:val="3F9D61EE"/>
    <w:rsid w:val="3FEE07F8"/>
    <w:rsid w:val="41760AA5"/>
    <w:rsid w:val="417D2480"/>
    <w:rsid w:val="41911D83"/>
    <w:rsid w:val="41D61543"/>
    <w:rsid w:val="42006E76"/>
    <w:rsid w:val="42313785"/>
    <w:rsid w:val="436112E1"/>
    <w:rsid w:val="43B41D58"/>
    <w:rsid w:val="43BB2A91"/>
    <w:rsid w:val="44D324F7"/>
    <w:rsid w:val="46342CDD"/>
    <w:rsid w:val="46690BD8"/>
    <w:rsid w:val="469D4D26"/>
    <w:rsid w:val="47CD5554"/>
    <w:rsid w:val="48671147"/>
    <w:rsid w:val="48763A80"/>
    <w:rsid w:val="48CE11C6"/>
    <w:rsid w:val="493A4AAE"/>
    <w:rsid w:val="49595D88"/>
    <w:rsid w:val="4A5472C5"/>
    <w:rsid w:val="4A927362"/>
    <w:rsid w:val="4A971A3B"/>
    <w:rsid w:val="4BDF193C"/>
    <w:rsid w:val="4C9149E5"/>
    <w:rsid w:val="4CFA0BD8"/>
    <w:rsid w:val="4DA941CD"/>
    <w:rsid w:val="4DB12E65"/>
    <w:rsid w:val="4E035DB6"/>
    <w:rsid w:val="4E7E71EB"/>
    <w:rsid w:val="4F22025C"/>
    <w:rsid w:val="4F766114"/>
    <w:rsid w:val="4FB22261"/>
    <w:rsid w:val="505E72D4"/>
    <w:rsid w:val="50E61077"/>
    <w:rsid w:val="513401C6"/>
    <w:rsid w:val="514069D9"/>
    <w:rsid w:val="51844B18"/>
    <w:rsid w:val="519A185D"/>
    <w:rsid w:val="51FF0643"/>
    <w:rsid w:val="52D4387D"/>
    <w:rsid w:val="5305612D"/>
    <w:rsid w:val="53217ECD"/>
    <w:rsid w:val="535D7D17"/>
    <w:rsid w:val="53DB0C3B"/>
    <w:rsid w:val="546B0211"/>
    <w:rsid w:val="55341BC8"/>
    <w:rsid w:val="566413BC"/>
    <w:rsid w:val="57004191"/>
    <w:rsid w:val="579B0E0D"/>
    <w:rsid w:val="57B123DF"/>
    <w:rsid w:val="581F559B"/>
    <w:rsid w:val="58A27F7A"/>
    <w:rsid w:val="58FD6109"/>
    <w:rsid w:val="590649AC"/>
    <w:rsid w:val="59FF13B5"/>
    <w:rsid w:val="5A4532B2"/>
    <w:rsid w:val="5AE66844"/>
    <w:rsid w:val="5B9B7C56"/>
    <w:rsid w:val="5C3F26AF"/>
    <w:rsid w:val="5C403D31"/>
    <w:rsid w:val="5C5F7C1B"/>
    <w:rsid w:val="5C871960"/>
    <w:rsid w:val="5D2673CB"/>
    <w:rsid w:val="5D92680F"/>
    <w:rsid w:val="5FFF5968"/>
    <w:rsid w:val="60430294"/>
    <w:rsid w:val="60A56859"/>
    <w:rsid w:val="60AF592A"/>
    <w:rsid w:val="61E17D65"/>
    <w:rsid w:val="62111285"/>
    <w:rsid w:val="6237240F"/>
    <w:rsid w:val="626C5880"/>
    <w:rsid w:val="627209BD"/>
    <w:rsid w:val="635D341B"/>
    <w:rsid w:val="63B03E93"/>
    <w:rsid w:val="64026A10"/>
    <w:rsid w:val="6487053A"/>
    <w:rsid w:val="64CF58A4"/>
    <w:rsid w:val="64D140C0"/>
    <w:rsid w:val="653603C7"/>
    <w:rsid w:val="65856C59"/>
    <w:rsid w:val="65B0017A"/>
    <w:rsid w:val="65CB4FB4"/>
    <w:rsid w:val="66860EDB"/>
    <w:rsid w:val="66882EA5"/>
    <w:rsid w:val="66ED5C53"/>
    <w:rsid w:val="67A96C2F"/>
    <w:rsid w:val="68203558"/>
    <w:rsid w:val="682E182A"/>
    <w:rsid w:val="68B166E3"/>
    <w:rsid w:val="68D221B5"/>
    <w:rsid w:val="69482477"/>
    <w:rsid w:val="69C2047C"/>
    <w:rsid w:val="69DD3507"/>
    <w:rsid w:val="69EE301F"/>
    <w:rsid w:val="6A464C09"/>
    <w:rsid w:val="6A4946F9"/>
    <w:rsid w:val="6A507835"/>
    <w:rsid w:val="6B6317EA"/>
    <w:rsid w:val="6B715CB5"/>
    <w:rsid w:val="6B8F6814"/>
    <w:rsid w:val="6BA53BB1"/>
    <w:rsid w:val="6BB55DB8"/>
    <w:rsid w:val="6BE648F5"/>
    <w:rsid w:val="6C35538D"/>
    <w:rsid w:val="6C7F2654"/>
    <w:rsid w:val="6CE40709"/>
    <w:rsid w:val="6E3B6A4F"/>
    <w:rsid w:val="6E5A0C83"/>
    <w:rsid w:val="6E8757F0"/>
    <w:rsid w:val="6ECE341F"/>
    <w:rsid w:val="701A68B3"/>
    <w:rsid w:val="72B80445"/>
    <w:rsid w:val="72BC63B0"/>
    <w:rsid w:val="748B42AD"/>
    <w:rsid w:val="750B717B"/>
    <w:rsid w:val="754C28F1"/>
    <w:rsid w:val="759C7DD3"/>
    <w:rsid w:val="76870A83"/>
    <w:rsid w:val="76B80C3C"/>
    <w:rsid w:val="76C84BF7"/>
    <w:rsid w:val="7706409E"/>
    <w:rsid w:val="774E334F"/>
    <w:rsid w:val="781F6A99"/>
    <w:rsid w:val="795D3D1D"/>
    <w:rsid w:val="79B576B5"/>
    <w:rsid w:val="7A383BCB"/>
    <w:rsid w:val="7A8157E9"/>
    <w:rsid w:val="7A8F2033"/>
    <w:rsid w:val="7AD973D3"/>
    <w:rsid w:val="7C815F74"/>
    <w:rsid w:val="7D741635"/>
    <w:rsid w:val="7F345520"/>
    <w:rsid w:val="7F743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qFormat="1" w:uiPriority="99" w:semiHidden="0"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qFormat/>
    <w:uiPriority w:val="0"/>
    <w:pPr>
      <w:keepNext/>
      <w:keepLines/>
      <w:spacing w:before="260" w:after="260" w:line="413" w:lineRule="auto"/>
      <w:outlineLvl w:val="1"/>
    </w:pPr>
    <w:rPr>
      <w:rFonts w:ascii="Arial" w:hAnsi="Arial" w:eastAsia="黑体"/>
      <w:b/>
      <w:sz w:val="32"/>
      <w:szCs w:val="20"/>
    </w:rPr>
  </w:style>
  <w:style w:type="paragraph" w:styleId="4">
    <w:name w:val="heading 3"/>
    <w:basedOn w:val="1"/>
    <w:next w:val="1"/>
    <w:qFormat/>
    <w:uiPriority w:val="0"/>
    <w:pPr>
      <w:keepNext/>
      <w:keepLines/>
      <w:spacing w:before="260" w:after="260" w:line="413" w:lineRule="auto"/>
      <w:outlineLvl w:val="2"/>
    </w:pPr>
    <w:rPr>
      <w:rFonts w:ascii="Arial" w:hAnsi="Arial"/>
      <w:b/>
      <w:sz w:val="32"/>
      <w:szCs w:val="20"/>
    </w:rPr>
  </w:style>
  <w:style w:type="paragraph" w:styleId="5">
    <w:name w:val="heading 4"/>
    <w:basedOn w:val="1"/>
    <w:next w:val="1"/>
    <w:link w:val="59"/>
    <w:unhideWhenUsed/>
    <w:qFormat/>
    <w:uiPriority w:val="9"/>
    <w:pPr>
      <w:keepNext/>
      <w:keepLines/>
      <w:spacing w:before="320" w:after="200"/>
      <w:outlineLvl w:val="3"/>
    </w:pPr>
    <w:rPr>
      <w:rFonts w:ascii="等线" w:hAnsi="等线" w:eastAsia="等线" w:cs="等线"/>
      <w:b/>
      <w:bCs/>
      <w:sz w:val="26"/>
      <w:szCs w:val="26"/>
    </w:rPr>
  </w:style>
  <w:style w:type="paragraph" w:styleId="6">
    <w:name w:val="heading 5"/>
    <w:basedOn w:val="1"/>
    <w:next w:val="1"/>
    <w:link w:val="63"/>
    <w:unhideWhenUsed/>
    <w:qFormat/>
    <w:uiPriority w:val="9"/>
    <w:pPr>
      <w:keepNext/>
      <w:keepLines/>
      <w:spacing w:before="320" w:after="200"/>
      <w:outlineLvl w:val="4"/>
    </w:pPr>
    <w:rPr>
      <w:rFonts w:ascii="等线" w:hAnsi="等线" w:eastAsia="等线" w:cs="等线"/>
      <w:b/>
      <w:bCs/>
      <w:sz w:val="24"/>
    </w:rPr>
  </w:style>
  <w:style w:type="paragraph" w:styleId="7">
    <w:name w:val="heading 6"/>
    <w:basedOn w:val="1"/>
    <w:next w:val="1"/>
    <w:link w:val="64"/>
    <w:unhideWhenUsed/>
    <w:qFormat/>
    <w:uiPriority w:val="9"/>
    <w:pPr>
      <w:keepNext/>
      <w:keepLines/>
      <w:spacing w:before="320" w:after="200"/>
      <w:outlineLvl w:val="5"/>
    </w:pPr>
    <w:rPr>
      <w:rFonts w:ascii="等线" w:hAnsi="等线" w:eastAsia="等线" w:cs="等线"/>
      <w:b/>
      <w:bCs/>
      <w:sz w:val="22"/>
      <w:szCs w:val="22"/>
    </w:rPr>
  </w:style>
  <w:style w:type="paragraph" w:styleId="8">
    <w:name w:val="heading 7"/>
    <w:basedOn w:val="1"/>
    <w:next w:val="1"/>
    <w:link w:val="65"/>
    <w:unhideWhenUsed/>
    <w:qFormat/>
    <w:uiPriority w:val="9"/>
    <w:pPr>
      <w:keepNext/>
      <w:keepLines/>
      <w:spacing w:before="320" w:after="200"/>
      <w:outlineLvl w:val="6"/>
    </w:pPr>
    <w:rPr>
      <w:rFonts w:ascii="等线" w:hAnsi="等线" w:eastAsia="等线" w:cs="等线"/>
      <w:b/>
      <w:bCs/>
      <w:i/>
      <w:iCs/>
      <w:sz w:val="22"/>
      <w:szCs w:val="22"/>
    </w:rPr>
  </w:style>
  <w:style w:type="paragraph" w:styleId="9">
    <w:name w:val="heading 8"/>
    <w:basedOn w:val="1"/>
    <w:next w:val="1"/>
    <w:link w:val="66"/>
    <w:unhideWhenUsed/>
    <w:qFormat/>
    <w:uiPriority w:val="9"/>
    <w:pPr>
      <w:keepNext/>
      <w:keepLines/>
      <w:spacing w:before="320" w:after="200"/>
      <w:outlineLvl w:val="7"/>
    </w:pPr>
    <w:rPr>
      <w:rFonts w:ascii="等线" w:hAnsi="等线" w:eastAsia="等线" w:cs="等线"/>
      <w:i/>
      <w:iCs/>
      <w:sz w:val="22"/>
      <w:szCs w:val="22"/>
    </w:rPr>
  </w:style>
  <w:style w:type="paragraph" w:styleId="10">
    <w:name w:val="heading 9"/>
    <w:basedOn w:val="1"/>
    <w:next w:val="1"/>
    <w:link w:val="67"/>
    <w:unhideWhenUsed/>
    <w:qFormat/>
    <w:uiPriority w:val="9"/>
    <w:pPr>
      <w:keepNext/>
      <w:keepLines/>
      <w:spacing w:before="320" w:after="200"/>
      <w:outlineLvl w:val="8"/>
    </w:pPr>
    <w:rPr>
      <w:rFonts w:ascii="等线" w:hAnsi="等线" w:eastAsia="等线" w:cs="等线"/>
      <w:i/>
      <w:iCs/>
      <w:szCs w:val="21"/>
    </w:rPr>
  </w:style>
  <w:style w:type="character" w:default="1" w:styleId="42">
    <w:name w:val="Default Paragraph Font"/>
    <w:semiHidden/>
    <w:unhideWhenUsed/>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annotation text"/>
    <w:basedOn w:val="1"/>
    <w:unhideWhenUsed/>
    <w:qFormat/>
    <w:uiPriority w:val="99"/>
    <w:pPr>
      <w:jc w:val="left"/>
    </w:pPr>
  </w:style>
  <w:style w:type="paragraph" w:styleId="15">
    <w:name w:val="Body Text"/>
    <w:basedOn w:val="1"/>
    <w:next w:val="1"/>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16">
    <w:name w:val="Body Text Indent"/>
    <w:basedOn w:val="1"/>
    <w:qFormat/>
    <w:uiPriority w:val="0"/>
    <w:pPr>
      <w:ind w:firstLine="630"/>
    </w:pPr>
    <w:rPr>
      <w:rFonts w:ascii="楷体_GB2312" w:eastAsia="楷体_GB2312"/>
      <w:sz w:val="32"/>
      <w:szCs w:val="20"/>
    </w:rPr>
  </w:style>
  <w:style w:type="paragraph" w:styleId="17">
    <w:name w:val="Block Text"/>
    <w:basedOn w:val="1"/>
    <w:qFormat/>
    <w:uiPriority w:val="99"/>
    <w:pPr>
      <w:ind w:left="420" w:right="33"/>
      <w:jc w:val="left"/>
    </w:pPr>
    <w:rPr>
      <w:sz w:val="24"/>
      <w:szCs w:val="20"/>
    </w:rPr>
  </w:style>
  <w:style w:type="paragraph" w:styleId="18">
    <w:name w:val="index 4"/>
    <w:basedOn w:val="1"/>
    <w:next w:val="1"/>
    <w:unhideWhenUsed/>
    <w:qFormat/>
    <w:uiPriority w:val="99"/>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szCs w:val="21"/>
    </w:rPr>
  </w:style>
  <w:style w:type="paragraph" w:styleId="22">
    <w:name w:val="toc 8"/>
    <w:basedOn w:val="1"/>
    <w:next w:val="1"/>
    <w:unhideWhenUsed/>
    <w:qFormat/>
    <w:uiPriority w:val="39"/>
    <w:pPr>
      <w:spacing w:after="57"/>
      <w:ind w:left="1984"/>
    </w:pPr>
  </w:style>
  <w:style w:type="paragraph" w:styleId="23">
    <w:name w:val="endnote text"/>
    <w:basedOn w:val="1"/>
    <w:link w:val="204"/>
    <w:semiHidden/>
    <w:unhideWhenUsed/>
    <w:qFormat/>
    <w:uiPriority w:val="99"/>
    <w:rPr>
      <w:sz w:val="20"/>
    </w:rPr>
  </w:style>
  <w:style w:type="paragraph" w:styleId="24">
    <w:name w:val="footer"/>
    <w:basedOn w:val="1"/>
    <w:next w:val="1"/>
    <w:qFormat/>
    <w:uiPriority w:val="99"/>
    <w:pPr>
      <w:tabs>
        <w:tab w:val="center" w:pos="4153"/>
        <w:tab w:val="right" w:pos="8306"/>
      </w:tabs>
      <w:jc w:val="left"/>
    </w:pPr>
    <w:rPr>
      <w:sz w:val="18"/>
      <w:szCs w:val="18"/>
    </w:rPr>
  </w:style>
  <w:style w:type="paragraph" w:styleId="25">
    <w:name w:val="envelope return"/>
    <w:basedOn w:val="1"/>
    <w:qFormat/>
    <w:uiPriority w:val="0"/>
    <w:rPr>
      <w:rFonts w:ascii="Arial" w:hAnsi="Arial"/>
    </w:rPr>
  </w:style>
  <w:style w:type="paragraph" w:styleId="26">
    <w:name w:val="header"/>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styleId="27">
    <w:name w:val="toc 1"/>
    <w:basedOn w:val="1"/>
    <w:next w:val="1"/>
    <w:qFormat/>
    <w:uiPriority w:val="0"/>
  </w:style>
  <w:style w:type="paragraph" w:styleId="28">
    <w:name w:val="toc 4"/>
    <w:basedOn w:val="1"/>
    <w:next w:val="1"/>
    <w:unhideWhenUsed/>
    <w:qFormat/>
    <w:uiPriority w:val="39"/>
    <w:pPr>
      <w:spacing w:after="57"/>
      <w:ind w:left="850"/>
    </w:pPr>
  </w:style>
  <w:style w:type="paragraph" w:styleId="29">
    <w:name w:val="Subtitle"/>
    <w:basedOn w:val="1"/>
    <w:next w:val="1"/>
    <w:link w:val="70"/>
    <w:qFormat/>
    <w:uiPriority w:val="11"/>
    <w:pPr>
      <w:spacing w:before="200" w:after="200"/>
    </w:pPr>
    <w:rPr>
      <w:sz w:val="24"/>
    </w:rPr>
  </w:style>
  <w:style w:type="paragraph" w:styleId="30">
    <w:name w:val="footnote text"/>
    <w:basedOn w:val="1"/>
    <w:link w:val="203"/>
    <w:semiHidden/>
    <w:unhideWhenUsed/>
    <w:qFormat/>
    <w:uiPriority w:val="99"/>
    <w:pPr>
      <w:spacing w:after="40"/>
    </w:pPr>
    <w:rPr>
      <w:sz w:val="18"/>
    </w:rPr>
  </w:style>
  <w:style w:type="paragraph" w:styleId="31">
    <w:name w:val="toc 6"/>
    <w:basedOn w:val="1"/>
    <w:next w:val="1"/>
    <w:qFormat/>
    <w:uiPriority w:val="39"/>
    <w:pPr>
      <w:ind w:left="1050"/>
      <w:jc w:val="left"/>
    </w:pPr>
    <w:rPr>
      <w:sz w:val="18"/>
      <w:szCs w:val="18"/>
    </w:rPr>
  </w:style>
  <w:style w:type="paragraph" w:styleId="32">
    <w:name w:val="index 9"/>
    <w:basedOn w:val="1"/>
    <w:next w:val="1"/>
    <w:unhideWhenUsed/>
    <w:qFormat/>
    <w:uiPriority w:val="99"/>
    <w:pPr>
      <w:ind w:left="1600"/>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qFormat/>
    <w:uiPriority w:val="99"/>
    <w:pPr>
      <w:widowControl/>
      <w:spacing w:before="100" w:beforeAutospacing="1" w:after="100" w:afterAutospacing="1"/>
      <w:jc w:val="left"/>
    </w:pPr>
    <w:rPr>
      <w:rFonts w:ascii="宋体" w:hAnsi="宋体"/>
      <w:sz w:val="24"/>
      <w:szCs w:val="20"/>
    </w:rPr>
  </w:style>
  <w:style w:type="paragraph" w:styleId="37">
    <w:name w:val="Title"/>
    <w:basedOn w:val="1"/>
    <w:next w:val="1"/>
    <w:qFormat/>
    <w:uiPriority w:val="10"/>
    <w:pPr>
      <w:spacing w:before="240" w:after="60"/>
      <w:jc w:val="center"/>
      <w:outlineLvl w:val="0"/>
    </w:pPr>
    <w:rPr>
      <w:rFonts w:ascii="Arial" w:hAnsi="Arial" w:cs="Arial"/>
      <w:b/>
      <w:bCs/>
      <w:szCs w:val="32"/>
    </w:rPr>
  </w:style>
  <w:style w:type="paragraph" w:styleId="38">
    <w:name w:val="Body Text First Indent"/>
    <w:basedOn w:val="15"/>
    <w:next w:val="31"/>
    <w:qFormat/>
    <w:uiPriority w:val="0"/>
    <w:pPr>
      <w:spacing w:after="120" w:line="240" w:lineRule="auto"/>
      <w:ind w:firstLine="420"/>
      <w:outlineLvl w:val="9"/>
    </w:pPr>
    <w:rPr>
      <w:rFonts w:ascii="Times New Roman" w:hAnsi="Times New Roman" w:eastAsia="宋体"/>
      <w:bCs w:val="0"/>
      <w:color w:val="auto"/>
      <w:sz w:val="21"/>
    </w:rPr>
  </w:style>
  <w:style w:type="paragraph" w:styleId="39">
    <w:name w:val="Body Text First Indent 2"/>
    <w:basedOn w:val="16"/>
    <w:next w:val="1"/>
    <w:qFormat/>
    <w:uiPriority w:val="0"/>
    <w:pPr>
      <w:widowControl/>
      <w:spacing w:after="120"/>
      <w:ind w:left="420" w:firstLine="420"/>
    </w:pPr>
    <w:rPr>
      <w:rFonts w:ascii="仿宋_GB2312" w:eastAsia="仿宋_GB2312"/>
      <w:color w:val="FF6600"/>
      <w:sz w:val="21"/>
    </w:rPr>
  </w:style>
  <w:style w:type="table" w:styleId="41">
    <w:name w:val="Table Grid"/>
    <w:basedOn w:val="4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Strong"/>
    <w:basedOn w:val="42"/>
    <w:qFormat/>
    <w:uiPriority w:val="0"/>
  </w:style>
  <w:style w:type="character" w:styleId="44">
    <w:name w:val="endnote reference"/>
    <w:basedOn w:val="42"/>
    <w:semiHidden/>
    <w:unhideWhenUsed/>
    <w:qFormat/>
    <w:uiPriority w:val="99"/>
    <w:rPr>
      <w:vertAlign w:val="superscript"/>
    </w:rPr>
  </w:style>
  <w:style w:type="character" w:styleId="45">
    <w:name w:val="page number"/>
    <w:basedOn w:val="42"/>
    <w:qFormat/>
    <w:uiPriority w:val="0"/>
  </w:style>
  <w:style w:type="character" w:styleId="46">
    <w:name w:val="FollowedHyperlink"/>
    <w:basedOn w:val="42"/>
    <w:qFormat/>
    <w:uiPriority w:val="0"/>
    <w:rPr>
      <w:color w:val="800080"/>
      <w:u w:val="none"/>
    </w:rPr>
  </w:style>
  <w:style w:type="character" w:styleId="47">
    <w:name w:val="Emphasis"/>
    <w:basedOn w:val="42"/>
    <w:qFormat/>
    <w:uiPriority w:val="0"/>
  </w:style>
  <w:style w:type="character" w:styleId="48">
    <w:name w:val="HTML Definition"/>
    <w:basedOn w:val="42"/>
    <w:qFormat/>
    <w:uiPriority w:val="0"/>
  </w:style>
  <w:style w:type="character" w:styleId="49">
    <w:name w:val="HTML Typewriter"/>
    <w:basedOn w:val="42"/>
    <w:qFormat/>
    <w:uiPriority w:val="0"/>
    <w:rPr>
      <w:rFonts w:hint="default" w:ascii="monospace" w:hAnsi="monospace" w:eastAsia="monospace" w:cs="monospace"/>
      <w:sz w:val="20"/>
    </w:rPr>
  </w:style>
  <w:style w:type="character" w:styleId="50">
    <w:name w:val="HTML Acronym"/>
    <w:basedOn w:val="42"/>
    <w:qFormat/>
    <w:uiPriority w:val="0"/>
  </w:style>
  <w:style w:type="character" w:styleId="51">
    <w:name w:val="HTML Variable"/>
    <w:basedOn w:val="42"/>
    <w:qFormat/>
    <w:uiPriority w:val="0"/>
  </w:style>
  <w:style w:type="character" w:styleId="52">
    <w:name w:val="Hyperlink"/>
    <w:basedOn w:val="42"/>
    <w:qFormat/>
    <w:uiPriority w:val="0"/>
    <w:rPr>
      <w:color w:val="0000FF"/>
      <w:u w:val="none"/>
    </w:rPr>
  </w:style>
  <w:style w:type="character" w:styleId="53">
    <w:name w:val="HTML Code"/>
    <w:basedOn w:val="42"/>
    <w:qFormat/>
    <w:uiPriority w:val="0"/>
    <w:rPr>
      <w:rFonts w:ascii="monospace" w:hAnsi="monospace" w:eastAsia="monospace" w:cs="monospace"/>
      <w:sz w:val="20"/>
    </w:rPr>
  </w:style>
  <w:style w:type="character" w:styleId="54">
    <w:name w:val="HTML Cite"/>
    <w:basedOn w:val="42"/>
    <w:qFormat/>
    <w:uiPriority w:val="0"/>
  </w:style>
  <w:style w:type="character" w:styleId="55">
    <w:name w:val="footnote reference"/>
    <w:basedOn w:val="42"/>
    <w:unhideWhenUsed/>
    <w:qFormat/>
    <w:uiPriority w:val="99"/>
    <w:rPr>
      <w:vertAlign w:val="superscript"/>
    </w:rPr>
  </w:style>
  <w:style w:type="character" w:styleId="56">
    <w:name w:val="HTML Keyboard"/>
    <w:basedOn w:val="42"/>
    <w:qFormat/>
    <w:uiPriority w:val="0"/>
    <w:rPr>
      <w:rFonts w:hint="default" w:ascii="monospace" w:hAnsi="monospace" w:eastAsia="monospace" w:cs="monospace"/>
      <w:sz w:val="20"/>
    </w:rPr>
  </w:style>
  <w:style w:type="character" w:styleId="57">
    <w:name w:val="HTML Sample"/>
    <w:basedOn w:val="42"/>
    <w:qFormat/>
    <w:uiPriority w:val="0"/>
    <w:rPr>
      <w:rFonts w:hint="default" w:ascii="monospace" w:hAnsi="monospace" w:eastAsia="monospace" w:cs="monospace"/>
    </w:rPr>
  </w:style>
  <w:style w:type="paragraph" w:customStyle="1" w:styleId="58">
    <w:name w:val="首行缩进"/>
    <w:basedOn w:val="1"/>
    <w:qFormat/>
    <w:uiPriority w:val="0"/>
    <w:pPr>
      <w:spacing w:line="360" w:lineRule="auto"/>
      <w:ind w:firstLine="420"/>
    </w:pPr>
    <w:rPr>
      <w:sz w:val="20"/>
    </w:rPr>
  </w:style>
  <w:style w:type="character" w:customStyle="1" w:styleId="59">
    <w:name w:val="标题 4 字符"/>
    <w:basedOn w:val="42"/>
    <w:link w:val="5"/>
    <w:qFormat/>
    <w:uiPriority w:val="9"/>
    <w:rPr>
      <w:rFonts w:ascii="等线" w:hAnsi="等线" w:eastAsia="等线" w:cs="等线"/>
      <w:b/>
      <w:bCs/>
      <w:sz w:val="26"/>
      <w:szCs w:val="26"/>
    </w:rPr>
  </w:style>
  <w:style w:type="character" w:customStyle="1" w:styleId="60">
    <w:name w:val="Heading 1 Char"/>
    <w:basedOn w:val="42"/>
    <w:qFormat/>
    <w:uiPriority w:val="9"/>
    <w:rPr>
      <w:rFonts w:ascii="等线" w:hAnsi="等线" w:eastAsia="等线" w:cs="等线"/>
      <w:sz w:val="40"/>
      <w:szCs w:val="40"/>
    </w:rPr>
  </w:style>
  <w:style w:type="character" w:customStyle="1" w:styleId="61">
    <w:name w:val="Heading 2 Char"/>
    <w:basedOn w:val="42"/>
    <w:qFormat/>
    <w:uiPriority w:val="9"/>
    <w:rPr>
      <w:rFonts w:ascii="等线" w:hAnsi="等线" w:eastAsia="等线" w:cs="等线"/>
      <w:sz w:val="34"/>
    </w:rPr>
  </w:style>
  <w:style w:type="character" w:customStyle="1" w:styleId="62">
    <w:name w:val="Heading 3 Char"/>
    <w:basedOn w:val="42"/>
    <w:qFormat/>
    <w:uiPriority w:val="9"/>
    <w:rPr>
      <w:rFonts w:ascii="等线" w:hAnsi="等线" w:eastAsia="等线" w:cs="等线"/>
      <w:sz w:val="30"/>
      <w:szCs w:val="30"/>
    </w:rPr>
  </w:style>
  <w:style w:type="character" w:customStyle="1" w:styleId="63">
    <w:name w:val="标题 5 字符"/>
    <w:basedOn w:val="42"/>
    <w:link w:val="6"/>
    <w:qFormat/>
    <w:uiPriority w:val="9"/>
    <w:rPr>
      <w:rFonts w:ascii="等线" w:hAnsi="等线" w:eastAsia="等线" w:cs="等线"/>
      <w:b/>
      <w:bCs/>
      <w:sz w:val="24"/>
      <w:szCs w:val="24"/>
    </w:rPr>
  </w:style>
  <w:style w:type="character" w:customStyle="1" w:styleId="64">
    <w:name w:val="标题 6 字符"/>
    <w:basedOn w:val="42"/>
    <w:link w:val="7"/>
    <w:qFormat/>
    <w:uiPriority w:val="9"/>
    <w:rPr>
      <w:rFonts w:ascii="等线" w:hAnsi="等线" w:eastAsia="等线" w:cs="等线"/>
      <w:b/>
      <w:bCs/>
      <w:sz w:val="22"/>
      <w:szCs w:val="22"/>
    </w:rPr>
  </w:style>
  <w:style w:type="character" w:customStyle="1" w:styleId="65">
    <w:name w:val="标题 7 字符"/>
    <w:basedOn w:val="42"/>
    <w:link w:val="8"/>
    <w:qFormat/>
    <w:uiPriority w:val="9"/>
    <w:rPr>
      <w:rFonts w:ascii="等线" w:hAnsi="等线" w:eastAsia="等线" w:cs="等线"/>
      <w:b/>
      <w:bCs/>
      <w:i/>
      <w:iCs/>
      <w:sz w:val="22"/>
      <w:szCs w:val="22"/>
    </w:rPr>
  </w:style>
  <w:style w:type="character" w:customStyle="1" w:styleId="66">
    <w:name w:val="标题 8 字符"/>
    <w:basedOn w:val="42"/>
    <w:link w:val="9"/>
    <w:qFormat/>
    <w:uiPriority w:val="9"/>
    <w:rPr>
      <w:rFonts w:ascii="等线" w:hAnsi="等线" w:eastAsia="等线" w:cs="等线"/>
      <w:i/>
      <w:iCs/>
      <w:sz w:val="22"/>
      <w:szCs w:val="22"/>
    </w:rPr>
  </w:style>
  <w:style w:type="character" w:customStyle="1" w:styleId="67">
    <w:name w:val="标题 9 字符"/>
    <w:basedOn w:val="42"/>
    <w:link w:val="10"/>
    <w:qFormat/>
    <w:uiPriority w:val="9"/>
    <w:rPr>
      <w:rFonts w:ascii="等线" w:hAnsi="等线" w:eastAsia="等线" w:cs="等线"/>
      <w:i/>
      <w:iCs/>
      <w:sz w:val="21"/>
      <w:szCs w:val="21"/>
    </w:rPr>
  </w:style>
  <w:style w:type="paragraph" w:styleId="68">
    <w:name w:val="No Spacing"/>
    <w:qFormat/>
    <w:uiPriority w:val="1"/>
    <w:rPr>
      <w:rFonts w:ascii="Times New Roman" w:hAnsi="Times New Roman" w:eastAsia="宋体" w:cs="Times New Roman"/>
      <w:lang w:val="en-US" w:eastAsia="zh-CN" w:bidi="ar-SA"/>
    </w:rPr>
  </w:style>
  <w:style w:type="character" w:customStyle="1" w:styleId="69">
    <w:name w:val="Title Char"/>
    <w:basedOn w:val="42"/>
    <w:qFormat/>
    <w:uiPriority w:val="10"/>
    <w:rPr>
      <w:sz w:val="48"/>
      <w:szCs w:val="48"/>
    </w:rPr>
  </w:style>
  <w:style w:type="character" w:customStyle="1" w:styleId="70">
    <w:name w:val="副标题 字符"/>
    <w:basedOn w:val="42"/>
    <w:link w:val="29"/>
    <w:qFormat/>
    <w:uiPriority w:val="11"/>
    <w:rPr>
      <w:sz w:val="24"/>
      <w:szCs w:val="24"/>
    </w:rPr>
  </w:style>
  <w:style w:type="paragraph" w:styleId="71">
    <w:name w:val="Quote"/>
    <w:basedOn w:val="1"/>
    <w:next w:val="1"/>
    <w:link w:val="72"/>
    <w:qFormat/>
    <w:uiPriority w:val="29"/>
    <w:pPr>
      <w:ind w:left="720" w:right="720"/>
    </w:pPr>
    <w:rPr>
      <w:i/>
    </w:rPr>
  </w:style>
  <w:style w:type="character" w:customStyle="1" w:styleId="72">
    <w:name w:val="引用 字符"/>
    <w:link w:val="71"/>
    <w:qFormat/>
    <w:uiPriority w:val="29"/>
    <w:rPr>
      <w:i/>
    </w:rPr>
  </w:style>
  <w:style w:type="paragraph" w:styleId="73">
    <w:name w:val="Intense Quote"/>
    <w:basedOn w:val="1"/>
    <w:next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4">
    <w:name w:val="明显引用 字符"/>
    <w:link w:val="73"/>
    <w:qFormat/>
    <w:uiPriority w:val="30"/>
    <w:rPr>
      <w:i/>
    </w:rPr>
  </w:style>
  <w:style w:type="character" w:customStyle="1" w:styleId="75">
    <w:name w:val="Header Char"/>
    <w:basedOn w:val="42"/>
    <w:qFormat/>
    <w:uiPriority w:val="99"/>
  </w:style>
  <w:style w:type="character" w:customStyle="1" w:styleId="76">
    <w:name w:val="Footer Char"/>
    <w:basedOn w:val="42"/>
    <w:qFormat/>
    <w:uiPriority w:val="99"/>
  </w:style>
  <w:style w:type="character" w:customStyle="1" w:styleId="77">
    <w:name w:val="Caption Char"/>
    <w:qFormat/>
    <w:uiPriority w:val="99"/>
  </w:style>
  <w:style w:type="table" w:customStyle="1" w:styleId="78">
    <w:name w:val="Table Grid Light"/>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9">
    <w:name w:val="无格式表格 11"/>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无格式表格 21"/>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无格式表格 31"/>
    <w:basedOn w:val="4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41"/>
    <w:basedOn w:val="4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51"/>
    <w:basedOn w:val="4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网格表 1 浅色1"/>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Grid Table 1 Light - Accent 1"/>
    <w:basedOn w:val="40"/>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86">
    <w:name w:val="Grid Table 1 Light - Accent 2"/>
    <w:basedOn w:val="40"/>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87">
    <w:name w:val="Grid Table 1 Light - Accent 3"/>
    <w:basedOn w:val="40"/>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88">
    <w:name w:val="Grid Table 1 Light - Accent 4"/>
    <w:basedOn w:val="40"/>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89">
    <w:name w:val="Grid Table 1 Light - Accent 5"/>
    <w:basedOn w:val="40"/>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90">
    <w:name w:val="Grid Table 1 Light - Accent 6"/>
    <w:basedOn w:val="40"/>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91">
    <w:name w:val="网格表 2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2 - Accent 1"/>
    <w:basedOn w:val="40"/>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93">
    <w:name w:val="Grid Table 2 - Accent 2"/>
    <w:basedOn w:val="40"/>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4">
    <w:name w:val="Grid Table 2 - Accent 3"/>
    <w:basedOn w:val="40"/>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5">
    <w:name w:val="Grid Table 2 - Accent 4"/>
    <w:basedOn w:val="40"/>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6">
    <w:name w:val="Grid Table 2 - Accent 5"/>
    <w:basedOn w:val="40"/>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7">
    <w:name w:val="Grid Table 2 - Accent 6"/>
    <w:basedOn w:val="40"/>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8">
    <w:name w:val="网格表 3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3 - Accent 1"/>
    <w:basedOn w:val="40"/>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00">
    <w:name w:val="Grid Table 3 - Accent 2"/>
    <w:basedOn w:val="40"/>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01">
    <w:name w:val="Grid Table 3 - Accent 3"/>
    <w:basedOn w:val="40"/>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02">
    <w:name w:val="Grid Table 3 - Accent 4"/>
    <w:basedOn w:val="40"/>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03">
    <w:name w:val="Grid Table 3 - Accent 5"/>
    <w:basedOn w:val="40"/>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4">
    <w:name w:val="Grid Table 3 - Accent 6"/>
    <w:basedOn w:val="40"/>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5">
    <w:name w:val="网格表 41"/>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4 - Accent 1"/>
    <w:basedOn w:val="40"/>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07">
    <w:name w:val="Grid Table 4 - Accent 2"/>
    <w:basedOn w:val="40"/>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08">
    <w:name w:val="Grid Table 4 - Accent 3"/>
    <w:basedOn w:val="40"/>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09">
    <w:name w:val="Grid Table 4 - Accent 4"/>
    <w:basedOn w:val="40"/>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10">
    <w:name w:val="Grid Table 4 - Accent 5"/>
    <w:basedOn w:val="40"/>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11">
    <w:name w:val="Grid Table 4 - Accent 6"/>
    <w:basedOn w:val="40"/>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12">
    <w:name w:val="网格表 5 深色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3">
    <w:name w:val="Grid Table 5 Dark- Accent 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14">
    <w:name w:val="Grid Table 5 Dark - Accent 2"/>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15">
    <w:name w:val="Grid Table 5 Dark - Accent 3"/>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16">
    <w:name w:val="Grid Table 5 Dark- Accent 4"/>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17">
    <w:name w:val="Grid Table 5 Dark - Accent 5"/>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18">
    <w:name w:val="Grid Table 5 Dark - Accent 6"/>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19">
    <w:name w:val="网格表 6 彩色1"/>
    <w:basedOn w:val="4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6 Colorful - Accent 1"/>
    <w:basedOn w:val="40"/>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21">
    <w:name w:val="Grid Table 6 Colorful - Accent 2"/>
    <w:basedOn w:val="40"/>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22">
    <w:name w:val="Grid Table 6 Colorful - Accent 3"/>
    <w:basedOn w:val="40"/>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23">
    <w:name w:val="Grid Table 6 Colorful - Accent 4"/>
    <w:basedOn w:val="40"/>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24">
    <w:name w:val="Grid Table 6 Colorful - Accent 5"/>
    <w:basedOn w:val="40"/>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25">
    <w:name w:val="Grid Table 6 Colorful - Accent 6"/>
    <w:basedOn w:val="40"/>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26">
    <w:name w:val="网格表 7 彩色1"/>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7 Colorful - Accent 1"/>
    <w:basedOn w:val="40"/>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28">
    <w:name w:val="Grid Table 7 Colorful - Accent 2"/>
    <w:basedOn w:val="40"/>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29">
    <w:name w:val="Grid Table 7 Colorful - Accent 3"/>
    <w:basedOn w:val="40"/>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30">
    <w:name w:val="Grid Table 7 Colorful - Accent 4"/>
    <w:basedOn w:val="40"/>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31">
    <w:name w:val="Grid Table 7 Colorful - Accent 5"/>
    <w:basedOn w:val="40"/>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32">
    <w:name w:val="Grid Table 7 Colorful - Accent 6"/>
    <w:basedOn w:val="40"/>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33">
    <w:name w:val="清单表 1 浅色1"/>
    <w:basedOn w:val="4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4">
    <w:name w:val="List Table 1 Light - Accent 1"/>
    <w:basedOn w:val="40"/>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35">
    <w:name w:val="List Table 1 Light - Accent 2"/>
    <w:basedOn w:val="40"/>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36">
    <w:name w:val="List Table 1 Light - Accent 3"/>
    <w:basedOn w:val="40"/>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37">
    <w:name w:val="List Table 1 Light - Accent 4"/>
    <w:basedOn w:val="40"/>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38">
    <w:name w:val="List Table 1 Light - Accent 5"/>
    <w:basedOn w:val="40"/>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39">
    <w:name w:val="List Table 1 Light - Accent 6"/>
    <w:basedOn w:val="40"/>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40">
    <w:name w:val="清单表 21"/>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2 - Accent 1"/>
    <w:basedOn w:val="40"/>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2">
    <w:name w:val="List Table 2 - Accent 2"/>
    <w:basedOn w:val="40"/>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3">
    <w:name w:val="List Table 2 - Accent 3"/>
    <w:basedOn w:val="40"/>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4">
    <w:name w:val="List Table 2 - Accent 4"/>
    <w:basedOn w:val="40"/>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5">
    <w:name w:val="List Table 2 - Accent 5"/>
    <w:basedOn w:val="40"/>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6">
    <w:name w:val="List Table 2 - Accent 6"/>
    <w:basedOn w:val="40"/>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7">
    <w:name w:val="清单表 3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8">
    <w:name w:val="List Table 3 - Accent 1"/>
    <w:basedOn w:val="40"/>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49">
    <w:name w:val="List Table 3 - Accent 2"/>
    <w:basedOn w:val="40"/>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50">
    <w:name w:val="List Table 3 - Accent 3"/>
    <w:basedOn w:val="40"/>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51">
    <w:name w:val="List Table 3 - Accent 4"/>
    <w:basedOn w:val="40"/>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52">
    <w:name w:val="List Table 3 - Accent 5"/>
    <w:basedOn w:val="40"/>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53">
    <w:name w:val="List Table 3 - Accent 6"/>
    <w:basedOn w:val="40"/>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54">
    <w:name w:val="清单表 4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4 - Accent 1"/>
    <w:basedOn w:val="40"/>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56">
    <w:name w:val="List Table 4 - Accent 2"/>
    <w:basedOn w:val="40"/>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57">
    <w:name w:val="List Table 4 - Accent 3"/>
    <w:basedOn w:val="40"/>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58">
    <w:name w:val="List Table 4 - Accent 4"/>
    <w:basedOn w:val="40"/>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59">
    <w:name w:val="List Table 4 - Accent 5"/>
    <w:basedOn w:val="40"/>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60">
    <w:name w:val="List Table 4 - Accent 6"/>
    <w:basedOn w:val="40"/>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61">
    <w:name w:val="清单表 5 深色1"/>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2">
    <w:name w:val="List Table 5 Dark - Accent 1"/>
    <w:basedOn w:val="40"/>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63">
    <w:name w:val="List Table 5 Dark - Accent 2"/>
    <w:basedOn w:val="40"/>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64">
    <w:name w:val="List Table 5 Dark - Accent 3"/>
    <w:basedOn w:val="40"/>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65">
    <w:name w:val="List Table 5 Dark - Accent 4"/>
    <w:basedOn w:val="40"/>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66">
    <w:name w:val="List Table 5 Dark - Accent 5"/>
    <w:basedOn w:val="40"/>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67">
    <w:name w:val="List Table 5 Dark - Accent 6"/>
    <w:basedOn w:val="40"/>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68">
    <w:name w:val="清单表 6 彩色1"/>
    <w:basedOn w:val="4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9">
    <w:name w:val="List Table 6 Colorful - Accent 1"/>
    <w:basedOn w:val="40"/>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70">
    <w:name w:val="List Table 6 Colorful - Accent 2"/>
    <w:basedOn w:val="40"/>
    <w:qFormat/>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71">
    <w:name w:val="List Table 6 Colorful - Accent 3"/>
    <w:basedOn w:val="40"/>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2">
    <w:name w:val="List Table 6 Colorful - Accent 4"/>
    <w:basedOn w:val="40"/>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3">
    <w:name w:val="List Table 6 Colorful - Accent 5"/>
    <w:basedOn w:val="40"/>
    <w:qFormat/>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4">
    <w:name w:val="List Table 6 Colorful - Accent 6"/>
    <w:basedOn w:val="40"/>
    <w:qFormat/>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5">
    <w:name w:val="清单表 7 彩色1"/>
    <w:basedOn w:val="4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List Table 7 Colorful - Accent 1"/>
    <w:basedOn w:val="40"/>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77">
    <w:name w:val="List Table 7 Colorful - Accent 2"/>
    <w:basedOn w:val="40"/>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78">
    <w:name w:val="List Table 7 Colorful - Accent 3"/>
    <w:basedOn w:val="40"/>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9">
    <w:name w:val="List Table 7 Colorful - Accent 4"/>
    <w:basedOn w:val="40"/>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80">
    <w:name w:val="List Table 7 Colorful - Accent 5"/>
    <w:basedOn w:val="40"/>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81">
    <w:name w:val="List Table 7 Colorful - Accent 6"/>
    <w:basedOn w:val="40"/>
    <w:qFormat/>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82">
    <w:name w:val="Lined - Accent"/>
    <w:basedOn w:val="40"/>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Lined - Accent 1"/>
    <w:basedOn w:val="40"/>
    <w:qFormat/>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4">
    <w:name w:val="Lined - Accent 2"/>
    <w:basedOn w:val="40"/>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5">
    <w:name w:val="Lined - Accent 3"/>
    <w:basedOn w:val="40"/>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6">
    <w:name w:val="Lined - Accent 4"/>
    <w:basedOn w:val="40"/>
    <w:qFormat/>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7">
    <w:name w:val="Lined - Accent 5"/>
    <w:basedOn w:val="40"/>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8">
    <w:name w:val="Lined - Accent 6"/>
    <w:basedOn w:val="40"/>
    <w:qFormat/>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9">
    <w:name w:val="Bordered &amp; Lined - Accent"/>
    <w:basedOn w:val="4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Bordered &amp; Lined - Accent 1"/>
    <w:basedOn w:val="40"/>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91">
    <w:name w:val="Bordered &amp; Lined - Accent 2"/>
    <w:basedOn w:val="40"/>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92">
    <w:name w:val="Bordered &amp; Lined - Accent 3"/>
    <w:basedOn w:val="40"/>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93">
    <w:name w:val="Bordered &amp; Lined - Accent 4"/>
    <w:basedOn w:val="40"/>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94">
    <w:name w:val="Bordered &amp; Lined - Accent 5"/>
    <w:basedOn w:val="40"/>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95">
    <w:name w:val="Bordered &amp; Lined - Accent 6"/>
    <w:basedOn w:val="40"/>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96">
    <w:name w:val="Bordered"/>
    <w:basedOn w:val="4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Bordered - Accent 1"/>
    <w:basedOn w:val="40"/>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98">
    <w:name w:val="Bordered - Accent 2"/>
    <w:basedOn w:val="40"/>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99">
    <w:name w:val="Bordered - Accent 3"/>
    <w:basedOn w:val="40"/>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200">
    <w:name w:val="Bordered - Accent 4"/>
    <w:basedOn w:val="40"/>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201">
    <w:name w:val="Bordered - Accent 5"/>
    <w:basedOn w:val="40"/>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02">
    <w:name w:val="Bordered - Accent 6"/>
    <w:basedOn w:val="40"/>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03">
    <w:name w:val="脚注文本 字符"/>
    <w:link w:val="30"/>
    <w:qFormat/>
    <w:uiPriority w:val="99"/>
    <w:rPr>
      <w:sz w:val="18"/>
    </w:rPr>
  </w:style>
  <w:style w:type="character" w:customStyle="1" w:styleId="204">
    <w:name w:val="尾注文本 字符"/>
    <w:link w:val="23"/>
    <w:qFormat/>
    <w:uiPriority w:val="99"/>
    <w:rPr>
      <w:sz w:val="20"/>
    </w:rPr>
  </w:style>
  <w:style w:type="paragraph" w:customStyle="1" w:styleId="205">
    <w:name w:val="TOC 标题1"/>
    <w:unhideWhenUsed/>
    <w:qFormat/>
    <w:uiPriority w:val="39"/>
    <w:rPr>
      <w:rFonts w:ascii="Times New Roman" w:hAnsi="Times New Roman" w:eastAsia="宋体" w:cs="Times New Roman"/>
      <w:lang w:val="en-US" w:eastAsia="zh-CN" w:bidi="ar-SA"/>
    </w:rPr>
  </w:style>
  <w:style w:type="paragraph" w:styleId="206">
    <w:name w:val="List Paragraph"/>
    <w:basedOn w:val="1"/>
    <w:qFormat/>
    <w:uiPriority w:val="34"/>
    <w:pPr>
      <w:ind w:firstLine="420"/>
    </w:pPr>
  </w:style>
  <w:style w:type="paragraph" w:customStyle="1" w:styleId="207">
    <w:name w:val="正文首行缩进 21"/>
    <w:basedOn w:val="208"/>
    <w:qFormat/>
    <w:uiPriority w:val="0"/>
    <w:pPr>
      <w:widowControl/>
      <w:ind w:firstLine="420"/>
    </w:pPr>
    <w:rPr>
      <w:rFonts w:ascii="仿宋_GB2312" w:eastAsia="仿宋_GB2312"/>
      <w:color w:val="FF6600"/>
      <w:sz w:val="21"/>
    </w:rPr>
  </w:style>
  <w:style w:type="paragraph" w:customStyle="1" w:styleId="208">
    <w:name w:val="正文文本缩进1"/>
    <w:basedOn w:val="1"/>
    <w:qFormat/>
    <w:uiPriority w:val="99"/>
    <w:pPr>
      <w:spacing w:after="120"/>
      <w:ind w:left="420"/>
    </w:pPr>
    <w:rPr>
      <w:sz w:val="24"/>
    </w:rPr>
  </w:style>
  <w:style w:type="paragraph" w:customStyle="1" w:styleId="209">
    <w:name w:val="寄信人地址1"/>
    <w:basedOn w:val="1"/>
    <w:qFormat/>
    <w:uiPriority w:val="0"/>
    <w:rPr>
      <w:rFonts w:ascii="Arial" w:hAnsi="Arial"/>
    </w:rPr>
  </w:style>
  <w:style w:type="paragraph" w:customStyle="1" w:styleId="210">
    <w:name w:val="目录 51"/>
    <w:next w:val="1"/>
    <w:qFormat/>
    <w:uiPriority w:val="0"/>
    <w:pPr>
      <w:ind w:left="1275"/>
      <w:jc w:val="both"/>
    </w:pPr>
    <w:rPr>
      <w:rFonts w:ascii="Times New Roman" w:hAnsi="Times New Roman" w:eastAsia="宋体" w:cs="Times New Roman"/>
      <w:sz w:val="21"/>
      <w:lang w:val="en-US" w:eastAsia="zh-CN" w:bidi="ar-SA"/>
    </w:rPr>
  </w:style>
  <w:style w:type="paragraph" w:customStyle="1" w:styleId="211">
    <w:name w:val="正文1"/>
    <w:basedOn w:val="212"/>
    <w:next w:val="1"/>
    <w:qFormat/>
    <w:uiPriority w:val="0"/>
    <w:rPr>
      <w:rFonts w:cs="宋体"/>
      <w:sz w:val="21"/>
      <w:szCs w:val="21"/>
    </w:rPr>
  </w:style>
  <w:style w:type="paragraph" w:customStyle="1" w:styleId="212">
    <w:name w:val="样式1"/>
    <w:basedOn w:val="1"/>
    <w:qFormat/>
    <w:uiPriority w:val="0"/>
    <w:pPr>
      <w:spacing w:line="400" w:lineRule="exact"/>
      <w:ind w:firstLine="420"/>
    </w:pPr>
    <w:rPr>
      <w:sz w:val="20"/>
      <w:szCs w:val="20"/>
    </w:rPr>
  </w:style>
  <w:style w:type="paragraph" w:customStyle="1" w:styleId="213">
    <w:name w:val="正文文本1"/>
    <w:basedOn w:val="1"/>
    <w:qFormat/>
    <w:uiPriority w:val="0"/>
    <w:rPr>
      <w:rFonts w:ascii="楷体_GB2312" w:hAnsi="Arial" w:eastAsia="楷体_GB2312"/>
      <w:sz w:val="28"/>
      <w:szCs w:val="28"/>
    </w:rPr>
  </w:style>
  <w:style w:type="paragraph" w:customStyle="1" w:styleId="214">
    <w:name w:val="[Normal]"/>
    <w:qFormat/>
    <w:uiPriority w:val="0"/>
    <w:rPr>
      <w:rFonts w:ascii="方正仿宋简体" w:hAnsi="方正仿宋简体" w:eastAsia="方正仿宋简体" w:cs="Courier New"/>
      <w:sz w:val="24"/>
      <w:szCs w:val="22"/>
      <w:lang w:val="zh-CN" w:eastAsia="zh-CN" w:bidi="ar-SA"/>
    </w:rPr>
  </w:style>
  <w:style w:type="paragraph" w:customStyle="1" w:styleId="215">
    <w:name w:val="Default"/>
    <w:qFormat/>
    <w:uiPriority w:val="0"/>
    <w:pPr>
      <w:widowControl w:val="0"/>
    </w:pPr>
    <w:rPr>
      <w:rFonts w:ascii="黑体" w:hAnsi="Times New Roman" w:eastAsia="黑体" w:cs="Times New Roman"/>
      <w:lang w:val="en-US" w:eastAsia="zh-CN" w:bidi="ar-SA"/>
    </w:rPr>
  </w:style>
  <w:style w:type="paragraph" w:customStyle="1" w:styleId="216">
    <w:name w:val="纯文本1"/>
    <w:basedOn w:val="1"/>
    <w:qFormat/>
    <w:uiPriority w:val="0"/>
    <w:rPr>
      <w:rFonts w:ascii="宋体" w:hAnsi="Courier New"/>
    </w:rPr>
  </w:style>
  <w:style w:type="paragraph" w:customStyle="1" w:styleId="217">
    <w:name w:val="普通正文"/>
    <w:basedOn w:val="1"/>
    <w:qFormat/>
    <w:uiPriority w:val="0"/>
    <w:pPr>
      <w:spacing w:before="120" w:after="120" w:line="360" w:lineRule="auto"/>
      <w:ind w:firstLine="480"/>
      <w:jc w:val="left"/>
    </w:pPr>
    <w:rPr>
      <w:rFonts w:ascii="Arial" w:hAnsi="Arial"/>
      <w:sz w:val="24"/>
    </w:rPr>
  </w:style>
  <w:style w:type="paragraph" w:customStyle="1" w:styleId="218">
    <w:name w:val="正文格式"/>
    <w:qFormat/>
    <w:uiPriority w:val="0"/>
    <w:pPr>
      <w:spacing w:line="360" w:lineRule="auto"/>
      <w:ind w:firstLine="200"/>
    </w:pPr>
    <w:rPr>
      <w:rFonts w:ascii="宋体" w:hAnsi="宋体" w:eastAsia="宋体" w:cs="Times New Roman"/>
      <w:sz w:val="28"/>
      <w:szCs w:val="22"/>
      <w:lang w:val="en-US" w:eastAsia="zh-CN" w:bidi="ar-SA"/>
    </w:rPr>
  </w:style>
  <w:style w:type="paragraph" w:customStyle="1" w:styleId="219">
    <w:name w:val="Table Paragraph"/>
    <w:basedOn w:val="1"/>
    <w:qFormat/>
    <w:uiPriority w:val="1"/>
    <w:rPr>
      <w:rFonts w:ascii="宋体" w:hAnsi="宋体" w:cs="宋体"/>
      <w:lang w:val="zh-CN" w:bidi="zh-CN"/>
    </w:rPr>
  </w:style>
  <w:style w:type="paragraph" w:customStyle="1" w:styleId="220">
    <w:name w:val="目录 11"/>
    <w:basedOn w:val="1"/>
    <w:next w:val="1"/>
    <w:semiHidden/>
    <w:qFormat/>
    <w:uiPriority w:val="0"/>
    <w:rPr>
      <w:rFonts w:cs="Calibri"/>
    </w:rPr>
  </w:style>
  <w:style w:type="character" w:customStyle="1" w:styleId="221">
    <w:name w:val="a_p_1"/>
    <w:basedOn w:val="42"/>
    <w:qFormat/>
    <w:uiPriority w:val="0"/>
    <w:rPr>
      <w:sz w:val="27"/>
      <w:szCs w:val="27"/>
    </w:rPr>
  </w:style>
  <w:style w:type="character" w:customStyle="1" w:styleId="222">
    <w:name w:val="a_p_3"/>
    <w:basedOn w:val="42"/>
    <w:qFormat/>
    <w:uiPriority w:val="0"/>
    <w:rPr>
      <w:sz w:val="27"/>
      <w:szCs w:val="27"/>
    </w:rPr>
  </w:style>
  <w:style w:type="character" w:customStyle="1" w:styleId="223">
    <w:name w:val="a_p_2"/>
    <w:basedOn w:val="42"/>
    <w:qFormat/>
    <w:uiPriority w:val="0"/>
    <w:rPr>
      <w:sz w:val="27"/>
      <w:szCs w:val="27"/>
    </w:rPr>
  </w:style>
  <w:style w:type="character" w:customStyle="1" w:styleId="224">
    <w:name w:val="a_p_21"/>
    <w:basedOn w:val="42"/>
    <w:qFormat/>
    <w:uiPriority w:val="0"/>
  </w:style>
  <w:style w:type="character" w:customStyle="1" w:styleId="225">
    <w:name w:val="ul_li_a_1"/>
    <w:basedOn w:val="42"/>
    <w:qFormat/>
    <w:uiPriority w:val="0"/>
    <w:rPr>
      <w:b/>
      <w:bCs/>
      <w:color w:val="FFFFFF"/>
    </w:rPr>
  </w:style>
  <w:style w:type="character" w:customStyle="1" w:styleId="226">
    <w:name w:val="exap"/>
    <w:basedOn w:val="42"/>
    <w:qFormat/>
    <w:uiPriority w:val="0"/>
    <w:rPr>
      <w:sz w:val="27"/>
      <w:szCs w:val="27"/>
    </w:rPr>
  </w:style>
  <w:style w:type="paragraph" w:customStyle="1" w:styleId="227">
    <w:name w:val="List Paragraph1"/>
    <w:basedOn w:val="1"/>
    <w:qFormat/>
    <w:uiPriority w:val="0"/>
    <w:pPr>
      <w:ind w:firstLine="420"/>
    </w:pPr>
    <w:rPr>
      <w:szCs w:val="21"/>
    </w:rPr>
  </w:style>
  <w:style w:type="paragraph" w:customStyle="1" w:styleId="228">
    <w:name w:val="正文缩进1"/>
    <w:basedOn w:val="1"/>
    <w:qFormat/>
    <w:uiPriority w:val="0"/>
    <w:pPr>
      <w:ind w:firstLine="420"/>
    </w:pPr>
    <w:rPr>
      <w:szCs w:val="20"/>
    </w:rPr>
  </w:style>
  <w:style w:type="paragraph" w:customStyle="1" w:styleId="229">
    <w:name w:val="列出段落1"/>
    <w:basedOn w:val="1"/>
    <w:qFormat/>
    <w:uiPriority w:val="0"/>
    <w:pPr>
      <w:ind w:firstLine="200"/>
    </w:pPr>
    <w:rPr>
      <w:rFonts w:eastAsia="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等线 Light"/>
        <a:ea typeface="等线 Light"/>
        <a:cs typeface="Arial"/>
      </a:majorFont>
      <a:minorFont>
        <a:latin typeface="等线"/>
        <a:ea typeface="等线"/>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65</Pages>
  <Words>16458</Words>
  <Characters>17692</Characters>
  <Lines>1181</Lines>
  <Paragraphs>914</Paragraphs>
  <TotalTime>19</TotalTime>
  <ScaleCrop>false</ScaleCrop>
  <LinksUpToDate>false</LinksUpToDate>
  <CharactersWithSpaces>17829</CharactersWithSpaces>
  <Application>WPS Office_12.1.0.26895_F1E327BC-269C-435d-A152-05C5408002CA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2026-07-05T03:53:00Z</dcterms:created>
  <dc:creator>Administrator</dc:creator>
  <cp:lastModifiedBy>Administrator</cp:lastModifiedBy>
  <dcterms:modified xsi:type="dcterms:W3CDTF">2026-07-13T06:27:24Z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12BC95006CFE4009B6EBA67BF2A2899C_13</vt:lpwstr>
  </property>
  <property fmtid="{D5CDD505-2E9C-101B-9397-08002B2CF9AE}" pid="4" name="KSOTemplateDocerSaveRecord">
    <vt:lpwstr>eyJoZGlkIjoiMTY1MDU5NGU1Nzc4MWUxODY2OTQzMTk3ODlmNDIwMzIiLCJ1c2VySWQiOiI0NjA3NjAxNTgifQ==</vt:lpwstr>
  </property>
</Properties>
</file>