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both"/>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  项目名称：</w:t>
      </w:r>
      <w:r>
        <w:rPr>
          <w:rFonts w:hint="eastAsia" w:ascii="黑体" w:hAnsi="黑体" w:eastAsia="黑体"/>
          <w:b/>
          <w:color w:val="auto"/>
          <w:sz w:val="36"/>
          <w:szCs w:val="36"/>
          <w:highlight w:val="none"/>
          <w:lang w:eastAsia="zh-CN"/>
        </w:rPr>
        <w:t xml:space="preserve">垃圾中转站设施设备、公厕新建及改造项目</w:t>
      </w:r>
      <w:r>
        <w:rPr>
          <w:rFonts w:hint="eastAsia" w:ascii="黑体" w:hAnsi="黑体" w:eastAsia="黑体"/>
          <w:b/>
          <w:color w:val="auto"/>
          <w:sz w:val="36"/>
          <w:szCs w:val="36"/>
          <w:highlight w:val="none"/>
          <w:lang w:val="en-US" w:eastAsia="zh-CN"/>
        </w:rPr>
        <w:t xml:space="preserve">  </w:t>
      </w:r>
      <w:r>
        <w:rPr>
          <w:rFonts w:hint="eastAsia" w:ascii="黑体" w:hAnsi="黑体" w:eastAsia="黑体"/>
          <w:b/>
          <w:color w:val="auto"/>
          <w:sz w:val="36"/>
          <w:szCs w:val="36"/>
          <w:highlight w:val="none"/>
          <w:lang w:eastAsia="zh-CN"/>
        </w:rPr>
        <w:t xml:space="preserve">（移动勾臂箱式12立方中转站设备）</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708"/>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：JSZC-320812-JSFP-G2026-0008</w:t>
      </w:r>
      <w:r>
        <w:rPr>
          <w:rFonts w:hint="eastAsia" w:ascii="黑体" w:hAnsi="黑体" w:eastAsia="黑体"/>
          <w:b/>
          <w:color w:val="auto"/>
          <w:sz w:val="36"/>
          <w:highlight w:val="none"/>
        </w:rPr>
        <w:t xml:space="preserve"> </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江苏富朋</w:t>
      </w:r>
      <w:r>
        <w:rPr>
          <w:rFonts w:hint="eastAsia" w:ascii="黑体" w:hAnsi="黑体" w:eastAsia="黑体"/>
          <w:b/>
          <w:color w:val="auto"/>
          <w:sz w:val="36"/>
          <w:szCs w:val="36"/>
          <w:highlight w:val="none"/>
        </w:rPr>
        <w:t xml:space="preserve">项目管理有限公司</w:t>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八</w:t>
      </w:r>
      <w:bookmarkStart w:id="42" w:name="_GoBack"/>
      <w:r/>
      <w:bookmarkEnd w:id="42"/>
      <w:r>
        <w:rPr>
          <w:rFonts w:hint="eastAsia" w:ascii="黑体" w:hAnsi="黑体" w:eastAsia="黑体"/>
          <w:b/>
          <w:color w:val="auto"/>
          <w:sz w:val="36"/>
          <w:szCs w:val="36"/>
          <w:highlight w:val="none"/>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受淮安市清江浦区环卫事业管理服务中心的委托，</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就</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进行公开招标采购，现邀请符合条件的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参加投标。</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垃圾中转站设施设备、公厕新建及改造项目（移动勾臂箱式12立方中转站设备）</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26</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垃圾中转站设施设备、公厕新建及改造项目（移动勾臂箱式12立方中转站设备）</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26</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分（北京时间）前提交投标文件。</w:t>
                      </w:r>
                      <w:r/>
                    </w:p>
                    <w:p>
                      <w:r/>
                      <w:r/>
                    </w:p>
                  </w:txbxContent>
                </v:textbox>
              </v:shape>
            </w:pict>
          </mc:Fallback>
        </mc:AlternateConten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：JSZC-320812-JSFP-G2026-0008</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527</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527</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，详细内容见本招标文件第五章。本项目核心产品为：移动勾臂箱式垃圾压缩箱设备。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合同签订后，中标人接到采购人分批供货通知之日起 7</w:t>
      </w:r>
      <w:r>
        <w:rPr>
          <w:rFonts w:hint="eastAsia" w:ascii="仿宋" w:hAnsi="仿宋" w:eastAsia="仿宋"/>
          <w:color w:val="auto"/>
          <w:sz w:val="28"/>
          <w:szCs w:val="28"/>
          <w:highlight w:val="none"/>
          <w:lang w:val="en-US" w:eastAsia="zh-CN"/>
        </w:rPr>
        <w:t xml:space="preserve">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内，完成该批次货物的供货、安装、调试并交付采购人使用。具体批次及每批次供货数量以采购人通知为准。中标人可在投标文件中就交货期限提出合理化建议，经采购人同意后可另行协商。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w:t>
      </w:r>
      <w:r>
        <w:rPr>
          <w:rFonts w:ascii="Wingdings" w:hAnsi="Wingdings" w:eastAsia="Wingdings" w:cs="Wingdings"/>
          <w:color w:val="auto"/>
          <w:sz w:val="28"/>
          <w:szCs w:val="28"/>
          <w:highlight w:val="none"/>
        </w:rPr>
        <w:t xml:space="preserve">¨</w:t>
      </w:r>
      <w:r>
        <w:rPr>
          <w:rFonts w:hint="eastAsia" w:ascii="仿宋" w:hAnsi="仿宋" w:eastAsia="仿宋"/>
          <w:color w:val="auto"/>
          <w:sz w:val="28"/>
          <w:szCs w:val="28"/>
          <w:highlight w:val="none"/>
        </w:rPr>
        <w:t xml:space="preserve">是☑否）接受联合体投标。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工业</w:t>
      </w:r>
      <w:r>
        <w:rPr>
          <w:rFonts w:hint="eastAsia" w:ascii="仿宋" w:hAnsi="仿宋" w:eastAsia="仿宋"/>
          <w:color w:val="auto"/>
          <w:sz w:val="28"/>
          <w:szCs w:val="28"/>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color w:val="auto"/>
          <w:sz w:val="28"/>
          <w:szCs w:val="28"/>
          <w:highlight w:val="none"/>
          <w:lang w:eastAsia="zh-CN"/>
        </w:rPr>
        <w:t xml:space="preserve">：</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（二）落实政府采购政策需满足的资格要求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须知”第33.1项</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无。</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rPr>
          <w:rFonts w:hint="eastAsia" w:ascii="仿宋" w:hAnsi="仿宋" w:eastAsia="仿宋" w:cs="宋体"/>
          <w:color w:val="auto"/>
          <w:sz w:val="28"/>
          <w:szCs w:val="28"/>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方式：在“淮安市政府采购网”自行免费下载招标文件。</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投标文件提交截止时间及开标时间</w:t>
      </w:r>
      <w:r>
        <w:rPr>
          <w:rFonts w:hint="eastAsia" w:ascii="仿宋" w:hAnsi="仿宋" w:eastAsia="仿宋"/>
          <w:color w:val="auto"/>
          <w:sz w:val="28"/>
          <w:szCs w:val="28"/>
          <w:highlight w:val="none"/>
          <w:lang w:eastAsia="zh-CN"/>
        </w:rPr>
        <w:t xml:space="preserve">：2026年</w:t>
      </w:r>
      <w:r>
        <w:rPr>
          <w:rFonts w:hint="eastAsia" w:ascii="仿宋" w:hAnsi="仿宋" w:eastAsia="仿宋"/>
          <w:color w:val="auto"/>
          <w:sz w:val="28"/>
          <w:szCs w:val="28"/>
          <w:highlight w:val="none"/>
          <w:lang w:val="en-US" w:eastAsia="zh-CN"/>
        </w:rPr>
        <w:t xml:space="preserve">08</w:t>
      </w:r>
      <w:r>
        <w:rPr>
          <w:rFonts w:hint="eastAsia" w:ascii="仿宋" w:hAnsi="仿宋" w:eastAsia="仿宋"/>
          <w:color w:val="auto"/>
          <w:sz w:val="28"/>
          <w:szCs w:val="28"/>
          <w:highlight w:val="none"/>
          <w:lang w:eastAsia="zh-CN"/>
        </w:rPr>
        <w:t xml:space="preserve">月</w:t>
      </w:r>
      <w:r>
        <w:rPr>
          <w:rFonts w:hint="eastAsia" w:ascii="仿宋" w:hAnsi="仿宋" w:eastAsia="仿宋"/>
          <w:color w:val="auto"/>
          <w:sz w:val="28"/>
          <w:szCs w:val="28"/>
          <w:highlight w:val="none"/>
          <w:lang w:val="en-US" w:eastAsia="zh-CN"/>
        </w:rPr>
        <w:t xml:space="preserve">26</w:t>
      </w:r>
      <w:r>
        <w:rPr>
          <w:rFonts w:hint="eastAsia" w:ascii="仿宋" w:hAnsi="仿宋" w:eastAsia="仿宋"/>
          <w:color w:val="auto"/>
          <w:sz w:val="28"/>
          <w:szCs w:val="28"/>
          <w:highlight w:val="none"/>
          <w:lang w:eastAsia="zh-CN"/>
        </w:rPr>
        <w:t xml:space="preserve">日</w:t>
      </w:r>
      <w:r>
        <w:rPr>
          <w:rFonts w:hint="eastAsia" w:ascii="仿宋" w:hAnsi="仿宋" w:eastAsia="仿宋"/>
          <w:color w:val="auto"/>
          <w:sz w:val="28"/>
          <w:szCs w:val="28"/>
          <w:highlight w:val="none"/>
          <w:lang w:val="en-US" w:eastAsia="zh-CN"/>
        </w:rPr>
        <w:t xml:space="preserve">09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分</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称：淮安市清江浦区环卫事业管理服务中心</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淮安市清江浦区健康西路81号</w:t>
      </w:r>
      <w:r/>
    </w:p>
    <w:p>
      <w:pPr>
        <w:ind w:left="0" w:firstLine="565"/>
        <w:keepLines w:val="0"/>
        <w:keepNext w:val="0"/>
        <w:pageBreakBefore w:val="0"/>
        <w:spacing w:line="336" w:lineRule="auto"/>
        <w:widowControl w:val="off"/>
        <w:rPr>
          <w:rFonts w:hint="eastAsia"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戴</w:t>
      </w:r>
      <w:r>
        <w:rPr>
          <w:rFonts w:hint="eastAsia" w:ascii="仿宋" w:hAnsi="仿宋" w:eastAsia="仿宋"/>
          <w:color w:val="auto"/>
          <w:sz w:val="28"/>
          <w:szCs w:val="28"/>
          <w:highlight w:val="none"/>
          <w:lang w:val="en-US" w:eastAsia="zh-CN"/>
        </w:rPr>
        <w:t xml:space="preserve">先生</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rPr>
        <w:t xml:space="preserve">13952308339</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：江苏富朋项目管理有限公司</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淮安市淮阴区淮河东路江淮科技园4号楼7楼708室</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邵女士</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lang w:eastAsia="zh-CN"/>
        </w:rPr>
        <w:t xml:space="preserve">17314153276</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.有关本次招标的事项若存在变动或修改，敬请及时关注</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.本项目不收取投标保证金。</w:t>
      </w:r>
      <w:r/>
    </w:p>
    <w:p>
      <w:pPr>
        <w:jc w:val="center"/>
        <w:keepLines w:val="0"/>
        <w:keepNext w:val="0"/>
        <w:pageBreakBefore w:val="0"/>
        <w:spacing w:line="336" w:lineRule="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 </w:t>
      </w:r>
      <w:r>
        <w:rPr>
          <w:rFonts w:hint="eastAsia" w:ascii="仿宋" w:hAnsi="仿宋" w:eastAsia="仿宋"/>
          <w:b/>
          <w:color w:val="auto"/>
          <w:sz w:val="36"/>
          <w:szCs w:val="36"/>
          <w:highlight w:val="none"/>
        </w:rPr>
        <w:t xml:space="preserve">第二章  </w:t>
      </w:r>
      <w:r>
        <w:rPr>
          <w:rFonts w:hint="eastAsia" w:ascii="仿宋" w:hAnsi="仿宋" w:eastAsia="仿宋"/>
          <w:b/>
          <w:color w:val="auto"/>
          <w:sz w:val="36"/>
          <w:szCs w:val="36"/>
          <w:highlight w:val="none"/>
          <w:lang w:eastAsia="zh-CN"/>
        </w:rPr>
        <w:t xml:space="preserve">投标人</w:t>
      </w:r>
      <w:r>
        <w:rPr>
          <w:rFonts w:hint="eastAsia" w:ascii="仿宋" w:hAnsi="仿宋" w:eastAsia="仿宋"/>
          <w:b/>
          <w:color w:val="auto"/>
          <w:sz w:val="36"/>
          <w:szCs w:val="36"/>
          <w:highlight w:val="none"/>
        </w:rPr>
        <w:t xml:space="preserve">须知</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2.合格的</w:t>
      </w:r>
      <w:r>
        <w:rPr>
          <w:rFonts w:hint="eastAsia" w:ascii="仿宋" w:hAnsi="仿宋" w:eastAsia="仿宋"/>
          <w:color w:val="auto"/>
          <w:sz w:val="28"/>
          <w:szCs w:val="28"/>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资格要求的规定。 </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应自行承担所有与参加投标有关的费用。不论投标的结果如何，</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（以下简称采购代理机构）和</w:t>
      </w:r>
      <w:r>
        <w:rPr>
          <w:rFonts w:hint="eastAsia" w:ascii="仿宋" w:hAnsi="仿宋" w:eastAsia="仿宋" w:cs="仿宋"/>
          <w:color w:val="auto"/>
          <w:sz w:val="28"/>
          <w:szCs w:val="28"/>
          <w:highlight w:val="none"/>
        </w:rPr>
        <w:t xml:space="preserve">淮安市清江浦区环卫事业管理服务中心</w:t>
      </w:r>
      <w:r>
        <w:rPr>
          <w:rFonts w:hint="eastAsia" w:ascii="仿宋" w:hAnsi="仿宋" w:eastAsia="仿宋"/>
          <w:color w:val="auto"/>
          <w:sz w:val="28"/>
          <w:szCs w:val="28"/>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w:t>
      </w: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招标代理费按照苏招协[2022]002号文收费标准执行，专家评审费按评标现场实际发放计取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此项</w:t>
      </w:r>
      <w:r>
        <w:rPr>
          <w:rFonts w:hint="eastAsia" w:ascii="仿宋" w:hAnsi="仿宋" w:eastAsia="仿宋" w:cs="仿宋"/>
          <w:color w:val="auto"/>
          <w:sz w:val="28"/>
          <w:szCs w:val="28"/>
          <w:highlight w:val="none"/>
        </w:rPr>
        <w:t xml:space="preserve">费用须包含在投标报价中，但无须单独列项计取，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在报价时综合考虑，由中标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在领取</w:t>
      </w:r>
      <w:r>
        <w:rPr>
          <w:rFonts w:hint="eastAsia" w:ascii="仿宋" w:hAnsi="仿宋" w:eastAsia="仿宋"/>
          <w:color w:val="auto"/>
          <w:sz w:val="28"/>
          <w:szCs w:val="28"/>
          <w:highlight w:val="none"/>
          <w:lang w:val="en-US" w:eastAsia="zh-CN"/>
        </w:rPr>
        <w:t xml:space="preserve">中标</w:t>
      </w:r>
      <w:r>
        <w:rPr>
          <w:rFonts w:hint="eastAsia" w:ascii="仿宋" w:hAnsi="仿宋" w:eastAsia="仿宋"/>
          <w:color w:val="auto"/>
          <w:sz w:val="28"/>
          <w:szCs w:val="28"/>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可主动或在解答</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7.3为使</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有足够的时间按招标文件的更正要求修正投标文件，</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keepLines w:val="0"/>
        <w:keepNext w:val="0"/>
        <w:pageBreakBefore w:val="0"/>
        <w:spacing w:line="336" w:lineRule="auto"/>
        <w:rPr>
          <w:rFonts w:hint="eastAsia" w:ascii="仿宋" w:hAnsi="仿宋" w:eastAsia="仿宋"/>
          <w:color w:val="auto"/>
          <w:sz w:val="28"/>
          <w:szCs w:val="28"/>
          <w:highlight w:val="none"/>
        </w:rPr>
      </w:pPr>
      <w:r/>
      <w:bookmarkStart w:id="0" w:name="_Toc20823286"/>
      <w:r/>
      <w:bookmarkStart w:id="1" w:name="_Toc513029214"/>
      <w:r/>
      <w:bookmarkStart w:id="2" w:name="_Toc462564073"/>
      <w:r/>
      <w:bookmarkStart w:id="3" w:name="_Toc16938530"/>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提交的投标文件以及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9.2如标书制作工具中格式和内容与“江苏省政府采购网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淮安市政府采购网”发布的招标文件不一致，请以“江苏省政府采购网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10.证明</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336" w:lineRule="auto"/>
        <w:rPr>
          <w:rFonts w:hint="eastAsia" w:ascii="仿宋" w:hAnsi="仿宋" w:eastAsia="仿宋"/>
          <w:color w:val="auto"/>
          <w:sz w:val="28"/>
          <w:szCs w:val="28"/>
          <w:highlight w:val="none"/>
        </w:rPr>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16.1在特殊情况下，采购人于原投标有效期满之前，可向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提出延长投标有效期的要求。这种要求与答复均应采用书面形式。</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可以拒绝采购人的这一要求而放弃投标，同意延长投标有效期的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lang w:eastAsia="zh-CN"/>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18.4代理公司可以按第7条规定，通过修改招标文件有权酌情延长投标文件接收截止时间。在此情况下，</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的所有权利和义务以及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五、开标及评标</w:t>
      </w:r>
      <w:bookmarkEnd w:id="8"/>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21.1代理公司将在招标公告中规定的时间和地点组织开标。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21.2开标仪式由代理公司组织。苏采云系统将自动对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8"/>
          <w:szCs w:val="28"/>
          <w:highlight w:val="none"/>
        </w:rPr>
      </w:pPr>
      <w:r/>
      <w:bookmarkStart w:id="9" w:name="_Toc20823303"/>
      <w:r/>
      <w:bookmarkStart w:id="10" w:name="_Toc16938547"/>
      <w:r/>
      <w:bookmarkStart w:id="11" w:name="_Toc513029231"/>
      <w:r>
        <w:rPr>
          <w:rFonts w:hint="eastAsia" w:ascii="仿宋" w:hAnsi="仿宋" w:eastAsia="仿宋"/>
          <w:color w:val="auto"/>
          <w:sz w:val="28"/>
          <w:szCs w:val="28"/>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23.1凡是与审查、澄清、评价和比较投标的有关资料以及授标建议等，采购人、评委、代理公司均不得向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23.2在评标过程中，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代理公司和评标委员会不向未中标的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8"/>
          <w:szCs w:val="28"/>
          <w:highlight w:val="none"/>
        </w:rPr>
      </w:pPr>
      <w:r/>
      <w:bookmarkStart w:id="12" w:name="_Toc16938548"/>
      <w:r/>
      <w:bookmarkStart w:id="13" w:name="_Toc513029232"/>
      <w:r/>
      <w:bookmarkStart w:id="14" w:name="_Toc20823304"/>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5" w:name="_Toc20823305"/>
      <w:r/>
      <w:bookmarkStart w:id="16" w:name="_Toc513029233"/>
      <w:r/>
      <w:bookmarkStart w:id="17"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24.2需要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发出“澄清要求函”，接到“澄清要求函”的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24.3接到评委会澄清、说明和补正要求的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的信用记录，以确定</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是否具备投标资格</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的身份共同参加政府采购活动的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25.1.3未通过资格审查或符合性审查的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的义务，纠正这些偏离或保留将会对其他实质性响应要求的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25.3如果投标文件实质上没有响应招标文件的要求，评委会将予以拒绝，</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调整后的价格应对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具有约束力。如果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8" w:name="_Toc20823306"/>
      <w:r/>
      <w:bookmarkStart w:id="19" w:name="_Toc513029234"/>
      <w:r/>
      <w:bookmarkStart w:id="20" w:name="_Toc16938550"/>
      <w:r>
        <w:rPr>
          <w:rFonts w:hint="eastAsia" w:ascii="仿宋" w:hAnsi="仿宋" w:eastAsia="仿宋"/>
          <w:color w:val="auto"/>
          <w:sz w:val="28"/>
          <w:szCs w:val="28"/>
          <w:highlight w:val="none"/>
        </w:rPr>
        <w:t xml:space="preserve">25.6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获得</w:t>
      </w:r>
      <w:r>
        <w:rPr>
          <w:rFonts w:hint="eastAsia" w:ascii="仿宋" w:hAnsi="仿宋" w:eastAsia="仿宋"/>
          <w:color w:val="auto"/>
          <w:sz w:val="28"/>
          <w:szCs w:val="28"/>
          <w:highlight w:val="none"/>
        </w:rPr>
        <w:t xml:space="preserve">中标</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并安排专人与代理公司及评标委员会联系。</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 异常低价投标审查</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1" w:name="_Toc20823307"/>
      <w:r/>
      <w:bookmarkStart w:id="22" w:name="_Toc16938551"/>
      <w:r/>
      <w:bookmarkStart w:id="23" w:name="_Toc513029235"/>
      <w:r>
        <w:rPr>
          <w:rFonts w:hint="eastAsia" w:ascii="仿宋" w:hAnsi="仿宋" w:eastAsia="仿宋"/>
          <w:color w:val="auto"/>
          <w:sz w:val="28"/>
          <w:szCs w:val="28"/>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w:t>
      </w:r>
      <w:r>
        <w:rPr>
          <w:rFonts w:hint="eastAsia" w:ascii="仿宋" w:hAnsi="仿宋" w:eastAsia="仿宋"/>
          <w:color w:val="auto"/>
          <w:sz w:val="28"/>
          <w:szCs w:val="28"/>
          <w:highlight w:val="none"/>
          <w:lang w:eastAsia="zh-CN"/>
        </w:rPr>
        <w:t xml:space="preserve">属于</w:t>
      </w:r>
      <w:r>
        <w:rPr>
          <w:rFonts w:hint="eastAsia" w:ascii="仿宋" w:hAnsi="仿宋" w:eastAsia="仿宋"/>
          <w:color w:val="auto"/>
          <w:sz w:val="28"/>
          <w:szCs w:val="28"/>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26.2.1符合专业条件的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26.2.5因苏采云</w:t>
      </w:r>
      <w:r>
        <w:rPr>
          <w:rFonts w:hint="eastAsia" w:ascii="仿宋" w:hAnsi="仿宋" w:eastAsia="仿宋"/>
          <w:color w:val="auto"/>
          <w:sz w:val="28"/>
          <w:szCs w:val="28"/>
          <w:highlight w:val="none"/>
          <w:lang w:eastAsia="zh-CN"/>
        </w:rPr>
        <w:t xml:space="preserve">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1"/>
      <w:r/>
      <w:bookmarkEnd w:id="22"/>
      <w:r/>
      <w:bookmarkEnd w:id="23"/>
      <w:r/>
      <w:r/>
    </w:p>
    <w:p>
      <w:pPr>
        <w:keepLines w:val="0"/>
        <w:keepNext w:val="0"/>
        <w:pageBreakBefore w:val="0"/>
        <w:spacing w:line="336" w:lineRule="auto"/>
        <w:rPr>
          <w:rFonts w:hint="eastAsia"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六、定标</w:t>
      </w:r>
      <w:bookmarkEnd w:id="24"/>
      <w:r/>
      <w:r/>
    </w:p>
    <w:p>
      <w:pPr>
        <w:keepLines w:val="0"/>
        <w:keepNext w:val="0"/>
        <w:pageBreakBefore w:val="0"/>
        <w:spacing w:line="336" w:lineRule="auto"/>
        <w:rPr>
          <w:rFonts w:hint="eastAsia" w:ascii="仿宋" w:hAnsi="仿宋" w:eastAsia="仿宋"/>
          <w:color w:val="auto"/>
          <w:sz w:val="28"/>
          <w:szCs w:val="28"/>
          <w:highlight w:val="none"/>
        </w:rPr>
      </w:pPr>
      <w:r/>
      <w:bookmarkStart w:id="25" w:name="_Toc513029238"/>
      <w:r/>
      <w:bookmarkStart w:id="26" w:name="_Toc16938554"/>
      <w:r/>
      <w:bookmarkStart w:id="27" w:name="_Toc20823310"/>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27.2采购人应根据评委会推荐的中标候选人确定中标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27.3代理公司将在“江苏省政府采购网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27.4若有充分证据证明，中标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27.4.4与采购人或者其他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27.4.5采取不正当手段诋毁、排挤其他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27.5.1不同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27.5.2不同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27.5.3不同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27.5.4不同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质疑处理</w:t>
      </w:r>
      <w:bookmarkEnd w:id="28"/>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 xml:space="preserve">形式</w:t>
      </w:r>
      <w:r>
        <w:rPr>
          <w:rFonts w:hint="eastAsia" w:ascii="仿宋" w:hAnsi="仿宋" w:eastAsia="仿宋"/>
          <w:color w:val="auto"/>
          <w:sz w:val="28"/>
          <w:szCs w:val="28"/>
          <w:highlight w:val="none"/>
        </w:rPr>
        <w:t xml:space="preserve">通过“苏采云平台”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&gt;“</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登录，从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28.2上述应知其权益受到损害之日是指</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28.3质疑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是指直接参加本次投标活动的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，未参加投标活动的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或在投标活动中自身权益未受到损害的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在法定质疑期内应当一次性针对同一采购环节提出质疑，若质疑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29.l中标结果确定后，采购代理机构将向中标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发出中标通知书。请中标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29.2中标通知书将是合同的一个组成部分。对采购人和中标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32"/>
          <w:szCs w:val="32"/>
          <w:highlight w:val="none"/>
        </w:rPr>
      </w:pPr>
      <w:r/>
      <w:bookmarkStart w:id="29" w:name="_Toc20823308"/>
      <w:r/>
      <w:bookmarkStart w:id="30" w:name="_Toc16938552"/>
      <w:r/>
      <w:bookmarkStart w:id="31" w:name="_Toc120614220"/>
      <w:r/>
      <w:bookmarkStart w:id="32" w:name="_Toc513029236"/>
      <w:r>
        <w:rPr>
          <w:rFonts w:hint="eastAsia" w:ascii="仿宋" w:hAnsi="仿宋" w:eastAsia="仿宋"/>
          <w:b/>
          <w:color w:val="auto"/>
          <w:sz w:val="32"/>
          <w:szCs w:val="32"/>
          <w:highlight w:val="none"/>
        </w:rPr>
        <w:t xml:space="preserve">七、授予合同</w:t>
      </w:r>
      <w:bookmarkEnd w:id="29"/>
      <w:r/>
      <w:bookmarkEnd w:id="30"/>
      <w:r/>
      <w:bookmarkEnd w:id="31"/>
      <w:r/>
      <w:bookmarkEnd w:id="32"/>
      <w:r/>
      <w:r/>
    </w:p>
    <w:p>
      <w:pPr>
        <w:keepLines w:val="0"/>
        <w:keepNext w:val="0"/>
        <w:pageBreakBefore w:val="0"/>
        <w:spacing w:line="336" w:lineRule="auto"/>
        <w:rPr>
          <w:rFonts w:hint="eastAsia" w:ascii="仿宋" w:hAnsi="仿宋" w:eastAsia="仿宋"/>
          <w:color w:val="auto"/>
          <w:sz w:val="28"/>
          <w:szCs w:val="28"/>
          <w:highlight w:val="none"/>
        </w:rPr>
      </w:pPr>
      <w:r/>
      <w:bookmarkStart w:id="33" w:name="_Toc513029237"/>
      <w:r/>
      <w:bookmarkStart w:id="34" w:name="_Toc16938553"/>
      <w:r/>
      <w:bookmarkStart w:id="35" w:name="_Toc20823309"/>
      <w:r>
        <w:rPr>
          <w:rFonts w:hint="eastAsia" w:ascii="仿宋" w:hAnsi="仿宋" w:eastAsia="仿宋"/>
          <w:color w:val="auto"/>
          <w:sz w:val="28"/>
          <w:szCs w:val="28"/>
          <w:highlight w:val="none"/>
        </w:rPr>
        <w:t xml:space="preserve">30.签订合同</w:t>
      </w:r>
      <w:r>
        <w:rPr>
          <w:rFonts w:hint="eastAsia" w:ascii="仿宋" w:hAnsi="仿宋" w:eastAsia="仿宋"/>
          <w:color w:val="auto"/>
          <w:sz w:val="28"/>
          <w:szCs w:val="28"/>
          <w:highlight w:val="none"/>
        </w:rPr>
        <w:tab/>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30.l中标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30.2招标文件、中标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30.3签订合同后，中标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不得将合同标的进行转包。未经采购人同意，中标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也不得采用分包的形式履行合同，否则采购人有权终止合同。转包或分包造成采购人损失的，中标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应承担相应赔偿责任。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协商签订补充合同，但所有补充合同的采购金额不超过原合同金额10%。</w:t>
      </w:r>
      <w:r/>
    </w:p>
    <w:p>
      <w:pPr>
        <w:pStyle w:val="914"/>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本项目不收取履约保证金。</w:t>
      </w:r>
      <w:bookmarkEnd w:id="33"/>
      <w:r/>
      <w:bookmarkEnd w:id="34"/>
      <w:r/>
      <w:bookmarkEnd w:id="35"/>
      <w:r/>
      <w:r/>
    </w:p>
    <w:p>
      <w:pPr>
        <w:keepLines w:val="0"/>
        <w:keepNext w:val="0"/>
        <w:pageBreakBefore w:val="0"/>
        <w:spacing w:line="336" w:lineRule="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33.1.1</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33.1.2在货物采购项目中，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34.4本项目中实行“强制采购”的，需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30"/>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930"/>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履约资金扶持政策</w:t>
      </w:r>
      <w:r/>
    </w:p>
    <w:p>
      <w:pPr>
        <w:pStyle w:val="930"/>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可凭政府采购合同办理融资贷款。该贷款无需抵押、担保，按照双方自愿的原则提供便捷、优惠的贷款服务。详情请见江苏政府采购网“政采贷”专栏。</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36.2有融资贷款需求的中标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8"/>
          <w:szCs w:val="28"/>
          <w:highlight w:val="none"/>
        </w:rPr>
        <w:t xml:space="preserve">“是”，同时完善收款账号信息和合同补充协议（融资账号）。</w:t>
      </w:r>
      <w:r/>
    </w:p>
    <w:p>
      <w:pPr>
        <w:pStyle w:val="930"/>
        <w:ind w:left="0" w:firstLine="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.采购本国产品的支持政策</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.2当采购项目或者采购包中含有多种产品，</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为该采购项目或者采购包提供的符合本国产品标准的产品成本之和占该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提供的全部产品成本之和的比例达到80%以上时（</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需在“第六章 投标文件格式”的“</w:t>
      </w:r>
      <w:r>
        <w:rPr>
          <w:rFonts w:hint="eastAsia" w:ascii="仿宋" w:hAnsi="仿宋" w:eastAsia="仿宋" w:cs="Times New Roman"/>
          <w:color w:val="auto"/>
          <w:sz w:val="28"/>
          <w:szCs w:val="28"/>
          <w:highlight w:val="none"/>
          <w:lang w:val="en-US" w:eastAsia="zh-CN"/>
        </w:rPr>
        <w:t xml:space="preserve">三</w:t>
      </w:r>
      <w:r>
        <w:rPr>
          <w:rFonts w:hint="eastAsia" w:ascii="仿宋" w:hAnsi="仿宋" w:eastAsia="仿宋" w:cs="Times New Roman"/>
          <w:color w:val="auto"/>
          <w:sz w:val="28"/>
          <w:szCs w:val="28"/>
          <w:highlight w:val="none"/>
        </w:rPr>
        <w:t xml:space="preserve">、投标报价明细表”中填写比例数值），依法对该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提供的全部产品给予价格评审优惠，即对该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提供的全部产品的总报价给予20%的价格扣除，用扣除后的价格参与评审。</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未填写比例数值，或比例数值未达到80%的，将不享受本国产品价格评审优惠。</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.3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需按照</w:t>
      </w:r>
      <w:r>
        <w:rPr>
          <w:rFonts w:hint="eastAsia" w:ascii="仿宋" w:hAnsi="仿宋" w:eastAsia="仿宋" w:cs="Times New Roman"/>
          <w:color w:val="auto"/>
          <w:sz w:val="28"/>
          <w:szCs w:val="28"/>
          <w:highlight w:val="none"/>
          <w:lang w:val="en-US" w:eastAsia="zh-CN"/>
        </w:rPr>
        <w:t xml:space="preserve">招标</w:t>
      </w:r>
      <w:r>
        <w:rPr>
          <w:rFonts w:hint="eastAsia" w:ascii="仿宋" w:hAnsi="仿宋" w:eastAsia="仿宋" w:cs="Times New Roman"/>
          <w:color w:val="auto"/>
          <w:sz w:val="28"/>
          <w:szCs w:val="28"/>
          <w:highlight w:val="none"/>
        </w:rPr>
        <w:t xml:space="preserve">文件的要求提供《关于符合本国产品标准的声明函》（以下简称《声明函》，详见第六章“示范格式</w:t>
      </w:r>
      <w:r>
        <w:rPr>
          <w:rFonts w:hint="eastAsia" w:ascii="仿宋" w:hAnsi="仿宋" w:eastAsia="仿宋" w:cs="Times New Roman"/>
          <w:color w:val="auto"/>
          <w:sz w:val="28"/>
          <w:szCs w:val="28"/>
          <w:highlight w:val="none"/>
          <w:lang w:val="en-US" w:eastAsia="zh-CN"/>
        </w:rPr>
        <w:t xml:space="preserve">六</w:t>
      </w:r>
      <w:r>
        <w:rPr>
          <w:rFonts w:hint="eastAsia" w:ascii="仿宋" w:hAnsi="仿宋" w:eastAsia="仿宋" w:cs="Times New Roman"/>
          <w:color w:val="auto"/>
          <w:sz w:val="28"/>
          <w:szCs w:val="28"/>
          <w:highlight w:val="none"/>
        </w:rPr>
        <w:t xml:space="preserve">”），如不提供将不享受本国产品价格评审优惠。</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.4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.5 评标过程中，如发现</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8"/>
          <w:szCs w:val="28"/>
          <w:highlight w:val="none"/>
          <w:lang w:val="en-US" w:eastAsia="zh-CN"/>
        </w:rPr>
        <w:t xml:space="preserve">采购</w:t>
      </w:r>
      <w:r>
        <w:rPr>
          <w:rFonts w:hint="eastAsia" w:ascii="仿宋" w:hAnsi="仿宋" w:eastAsia="仿宋" w:cs="Times New Roman"/>
          <w:color w:val="auto"/>
          <w:sz w:val="28"/>
          <w:szCs w:val="28"/>
          <w:highlight w:val="none"/>
        </w:rPr>
        <w:t xml:space="preserve">文件规定的，</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提供的相关产品视为不符合本国产品标准。</w:t>
      </w:r>
      <w:r/>
    </w:p>
    <w:p>
      <w:pPr>
        <w:pStyle w:val="930"/>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0"/>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336" w:lineRule="auto"/>
        <w:widowControl w:val="off"/>
        <w:rPr>
          <w:rFonts w:hint="eastAsia" w:ascii="仿宋" w:hAnsi="仿宋" w:eastAsia="仿宋"/>
          <w:color w:val="auto"/>
          <w:sz w:val="28"/>
          <w:highlight w:val="none"/>
        </w:rPr>
      </w:pPr>
      <w:r>
        <w:rPr>
          <w:rFonts w:hint="eastAsia" w:ascii="仿宋" w:hAnsi="仿宋" w:eastAsia="仿宋"/>
          <w:color w:val="auto"/>
          <w:sz w:val="28"/>
          <w:highlight w:val="none"/>
        </w:rPr>
        <w:t xml:space="preserve">三、具体标准</w:t>
      </w:r>
      <w:r>
        <w:rPr>
          <w:rFonts w:hint="eastAsia" w:ascii="仿宋" w:hAnsi="仿宋" w:eastAsia="仿宋"/>
          <w:color w:val="auto"/>
          <w:sz w:val="28"/>
          <w:highlight w:val="none"/>
          <w:lang w:eastAsia="zh-CN"/>
        </w:rPr>
        <w:t xml:space="preserve">：</w:t>
      </w:r>
      <w:r/>
    </w:p>
    <w:tbl>
      <w:tblPr>
        <w:tblStyle w:val="680"/>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1151"/>
        <w:gridCol w:w="6201"/>
        <w:gridCol w:w="788"/>
      </w:tblGrid>
      <w:tr>
        <w:trPr>
          <w:jc w:val="center"/>
          <w:trHeight w:val="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类别</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评审项</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价格部分（30分）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指标</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满足招标文件要求且报价最低的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价格为评标基准价，其价格分为满分。其他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的价格分按照下列公式计算（小数点保留两位）</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p>
        </w:tc>
      </w:tr>
      <w:tr>
        <w:trPr>
          <w:jc w:val="center"/>
          <w:trHeight w:val="4337"/>
        </w:trPr>
        <w:tc>
          <w:tcPr>
            <w:tcBorders>
              <w:top w:val="single" w:color="auto" w:sz="4" w:space="0"/>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技术部分（</w:t>
            </w:r>
            <w:r>
              <w:rPr>
                <w:rFonts w:hint="eastAsia" w:ascii="仿宋" w:hAnsi="仿宋" w:eastAsia="仿宋" w:cs="仿宋"/>
                <w:b/>
                <w:bCs/>
                <w:color w:val="auto"/>
                <w:sz w:val="28"/>
                <w:szCs w:val="28"/>
                <w:highlight w:val="none"/>
                <w:lang w:val="en-US" w:eastAsia="zh-CN"/>
              </w:rPr>
              <w:t xml:space="preserve">40</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技术</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参数</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firstLine="560"/>
              <w:jc w:val="left"/>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所投移动勾臂箱式垃圾压缩箱设备技术参数全部满足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中“二、技术要求，（1）技术参数要求”</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分；加</w:t>
            </w:r>
            <w:r>
              <w:rPr>
                <w:rFonts w:hint="eastAsia" w:ascii="仿宋" w:hAnsi="仿宋" w:eastAsia="仿宋" w:cs="仿宋"/>
                <w:color w:val="auto"/>
                <w:sz w:val="24"/>
                <w:highlight w:val="none"/>
              </w:rPr>
              <w:t xml:space="preserve">▲</w:t>
            </w:r>
            <w:r>
              <w:rPr>
                <w:rFonts w:hint="eastAsia" w:ascii="仿宋" w:hAnsi="仿宋" w:eastAsia="仿宋" w:cs="仿宋"/>
                <w:color w:val="auto"/>
                <w:sz w:val="28"/>
                <w:szCs w:val="28"/>
                <w:highlight w:val="none"/>
              </w:rPr>
              <w:t xml:space="preserve">的技术指标为重点指标，每</w:t>
            </w:r>
            <w:r>
              <w:rPr>
                <w:rFonts w:hint="eastAsia" w:ascii="仿宋" w:hAnsi="仿宋" w:eastAsia="仿宋" w:cs="仿宋"/>
                <w:color w:val="auto"/>
                <w:sz w:val="28"/>
                <w:szCs w:val="28"/>
                <w:highlight w:val="none"/>
                <w:lang w:val="en-US" w:eastAsia="zh-CN"/>
              </w:rPr>
              <w:t xml:space="preserve">满足一项得1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其他技术指标</w:t>
            </w:r>
            <w:r>
              <w:rPr>
                <w:rFonts w:hint="eastAsia" w:ascii="仿宋" w:hAnsi="仿宋" w:eastAsia="仿宋" w:cs="仿宋"/>
                <w:color w:val="auto"/>
                <w:sz w:val="28"/>
                <w:szCs w:val="28"/>
                <w:highlight w:val="none"/>
                <w:lang w:val="en-US" w:eastAsia="zh-CN"/>
              </w:rPr>
              <w:t xml:space="preserve">每满足一项得0.5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numPr>
                <w:ilvl w:val="0"/>
                <w:numId w:val="0"/>
              </w:numPr>
              <w:ind w:firstLine="562"/>
              <w:jc w:val="left"/>
              <w:keepLines w:val="0"/>
              <w:keepNext w:val="0"/>
              <w:pageBreakBefore w:val="0"/>
              <w:spacing w:line="240" w:lineRule="auto"/>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【投标人需提供根据招标文件中的技术参数制定的偏离情况表，加▲项技术参数需提供</w:t>
            </w:r>
            <w:r>
              <w:rPr>
                <w:rFonts w:hint="eastAsia" w:ascii="仿宋" w:hAnsi="仿宋" w:eastAsia="仿宋" w:cs="仿宋"/>
                <w:b/>
                <w:bCs/>
                <w:color w:val="auto"/>
                <w:sz w:val="28"/>
                <w:szCs w:val="28"/>
                <w:highlight w:val="none"/>
                <w:lang w:val="en-US" w:eastAsia="zh-CN"/>
              </w:rPr>
              <w:t xml:space="preserve">投标人或所投产品生产厂家送检的、由</w:t>
            </w:r>
            <w:r>
              <w:rPr>
                <w:rFonts w:hint="eastAsia" w:ascii="仿宋" w:hAnsi="仿宋" w:eastAsia="仿宋" w:cs="仿宋"/>
                <w:b/>
                <w:bCs/>
                <w:color w:val="auto"/>
                <w:sz w:val="28"/>
                <w:szCs w:val="28"/>
                <w:highlight w:val="none"/>
                <w:lang w:eastAsia="zh-CN"/>
              </w:rPr>
              <w:t xml:space="preserve">国家认证认可的(具有CMA或CNAS标志)检测机构出具的检测报告原件扫描件，</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lang w:eastAsia="zh-CN"/>
              </w:rPr>
              <w:t xml:space="preserve">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18</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性能配置要求</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firstLine="560"/>
              <w:jc w:val="left"/>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所投移动勾臂箱式垃圾压缩箱设备性能配置要求满足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中“二、技术要求，（2）性能配置要求”</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每满足一项得0.5分，未提供不得分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需提供根据招标文件中的技术参数制定的偏离情况表</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rPr>
              <w:t xml:space="preserve">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default"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 xml:space="preserve">14</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材质</w:t>
            </w:r>
            <w:r/>
          </w:p>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检测</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所用主要槽钢焊接试件材料抗拉强度≥</w:t>
            </w:r>
            <w:r>
              <w:rPr>
                <w:rFonts w:hint="eastAsia" w:ascii="仿宋" w:hAnsi="仿宋" w:eastAsia="仿宋" w:cs="仿宋"/>
                <w:color w:val="auto"/>
                <w:sz w:val="28"/>
                <w:szCs w:val="28"/>
                <w:highlight w:val="none"/>
                <w:lang w:val="en-US" w:eastAsia="zh-CN"/>
              </w:rPr>
              <w:t xml:space="preserve">370</w:t>
            </w:r>
            <w:r>
              <w:rPr>
                <w:rFonts w:hint="eastAsia" w:ascii="仿宋" w:hAnsi="仿宋" w:eastAsia="仿宋" w:cs="仿宋"/>
                <w:color w:val="auto"/>
                <w:sz w:val="28"/>
                <w:szCs w:val="28"/>
                <w:highlight w:val="none"/>
              </w:rPr>
              <w:t xml:space="preserve">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材料屈服强度≥235N/mm²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所用金属板材NM450抗拉强度≥1</w:t>
            </w:r>
            <w:r>
              <w:rPr>
                <w:rFonts w:hint="eastAsia" w:ascii="仿宋" w:hAnsi="仿宋" w:eastAsia="仿宋" w:cs="仿宋"/>
                <w:color w:val="auto"/>
                <w:sz w:val="28"/>
                <w:szCs w:val="28"/>
                <w:highlight w:val="none"/>
                <w:lang w:val="en-US" w:eastAsia="zh-CN"/>
              </w:rPr>
              <w:t xml:space="preserve">250</w:t>
            </w:r>
            <w:r>
              <w:rPr>
                <w:rFonts w:hint="eastAsia" w:ascii="仿宋" w:hAnsi="仿宋" w:eastAsia="仿宋" w:cs="仿宋"/>
                <w:color w:val="auto"/>
                <w:sz w:val="28"/>
                <w:szCs w:val="28"/>
                <w:highlight w:val="none"/>
              </w:rPr>
              <w:t xml:space="preserve">MPa</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断后伸长率≥7%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所用方管与钢板焊接试件屈服强度≥300N/mm²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抗拉强度≥370N/mm²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所用方管焊接试件抗拉强度≥</w:t>
            </w:r>
            <w:r>
              <w:rPr>
                <w:rFonts w:hint="eastAsia" w:ascii="仿宋" w:hAnsi="仿宋" w:eastAsia="仿宋" w:cs="仿宋"/>
                <w:color w:val="auto"/>
                <w:sz w:val="28"/>
                <w:szCs w:val="28"/>
                <w:highlight w:val="none"/>
                <w:lang w:val="en-US" w:eastAsia="zh-CN"/>
              </w:rPr>
              <w:t xml:space="preserve">375</w:t>
            </w:r>
            <w:r>
              <w:rPr>
                <w:rFonts w:hint="eastAsia" w:ascii="仿宋" w:hAnsi="仿宋" w:eastAsia="仿宋" w:cs="仿宋"/>
                <w:color w:val="auto"/>
                <w:sz w:val="28"/>
                <w:szCs w:val="28"/>
                <w:highlight w:val="none"/>
              </w:rPr>
              <w:t xml:space="preserve">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断后伸长率≥26%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.移动勾臂箱式垃圾压缩箱设备所用不锈钢金属钢材（不低于304级）与结构钢材（不低于Q355级）焊接试验渗透探伤合格，断后伸长率≥</w:t>
            </w: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lang w:eastAsia="zh-CN"/>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分，未提供不得分。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.移动勾臂箱式垃圾压缩箱设备所用不锈钢金属钢材（不低于304级）同材焊接试验渗透探伤合格，焊接接头抗拉强度≥455MPa。本项得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分，未提供不得分。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所用涂装采用水性环氧富锌底漆在Q355材质耐冲击合格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附着力合格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所用涂装采用水性聚氨酯面漆适用于金属材质NM450材质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适用于金属材质Q355材质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2"/>
              <w:jc w:val="left"/>
              <w:keepLines w:val="0"/>
              <w:keepNext w:val="0"/>
              <w:pageBreakBefore w:val="0"/>
              <w:spacing w:line="240" w:lineRule="auto"/>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【需提供</w:t>
            </w:r>
            <w:r>
              <w:rPr>
                <w:rFonts w:hint="eastAsia" w:ascii="仿宋" w:hAnsi="仿宋" w:eastAsia="仿宋" w:cs="仿宋"/>
                <w:b/>
                <w:bCs/>
                <w:color w:val="auto"/>
                <w:sz w:val="28"/>
                <w:szCs w:val="28"/>
                <w:highlight w:val="none"/>
                <w:lang w:val="en-US" w:eastAsia="zh-CN"/>
              </w:rPr>
              <w:t xml:space="preserve">投标人或所投产品生产厂家送检的、由</w:t>
            </w:r>
            <w:r>
              <w:rPr>
                <w:rFonts w:hint="eastAsia" w:ascii="仿宋" w:hAnsi="仿宋" w:eastAsia="仿宋" w:cs="仿宋"/>
                <w:b/>
                <w:bCs/>
                <w:color w:val="auto"/>
                <w:sz w:val="28"/>
                <w:szCs w:val="28"/>
                <w:highlight w:val="none"/>
                <w:lang w:eastAsia="zh-CN"/>
              </w:rPr>
              <w:t xml:space="preserve">国家认证认可的(具有CMA或CNAS标志)检测机构出具的检测报告原件扫描件，</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lang w:eastAsia="zh-CN"/>
              </w:rPr>
              <w:t xml:space="preserve">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8</w:t>
            </w:r>
            <w:r/>
          </w:p>
        </w:tc>
      </w:tr>
      <w:tr>
        <w:trPr>
          <w:jc w:val="center"/>
          <w:trHeight w:val="0"/>
        </w:trPr>
        <w:tc>
          <w:tcPr>
            <w:tcBorders>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实施</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提供的本项目实施方案（包括</w:t>
            </w:r>
            <w:r>
              <w:rPr>
                <w:rFonts w:hint="eastAsia" w:ascii="仿宋" w:hAnsi="仿宋" w:eastAsia="仿宋" w:cs="仿宋"/>
                <w:color w:val="auto"/>
                <w:sz w:val="28"/>
                <w:szCs w:val="28"/>
                <w:highlight w:val="none"/>
                <w:lang w:val="en-US" w:eastAsia="zh-CN"/>
              </w:rPr>
              <w:t xml:space="preserve">但不限于</w:t>
            </w:r>
            <w:r>
              <w:rPr>
                <w:rFonts w:hint="eastAsia" w:ascii="仿宋" w:hAnsi="仿宋" w:eastAsia="仿宋" w:cs="仿宋"/>
                <w:color w:val="auto"/>
                <w:sz w:val="28"/>
                <w:szCs w:val="28"/>
                <w:highlight w:val="none"/>
              </w:rPr>
              <w:t xml:space="preserve">系统项目实施、安装调试、新建方案计划，确保供货、运输、验收进度等情况）</w:t>
            </w:r>
            <w:r>
              <w:rPr>
                <w:rFonts w:hint="eastAsia" w:ascii="仿宋" w:hAnsi="仿宋" w:eastAsia="仿宋" w:cs="仿宋"/>
                <w:color w:val="auto"/>
                <w:sz w:val="28"/>
                <w:szCs w:val="28"/>
                <w:highlight w:val="none"/>
                <w:lang w:val="en-US" w:eastAsia="zh-CN"/>
              </w:rPr>
              <w:t xml:space="preserve">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实施方案完整，科学合理、措施齐全、进度安排可行</w:t>
            </w:r>
            <w:r>
              <w:rPr>
                <w:rFonts w:hint="eastAsia" w:ascii="仿宋" w:hAnsi="仿宋" w:eastAsia="仿宋" w:cs="仿宋"/>
                <w:color w:val="auto"/>
                <w:sz w:val="28"/>
                <w:szCs w:val="28"/>
                <w:highlight w:val="none"/>
                <w:lang w:val="en-US" w:eastAsia="zh-CN"/>
              </w:rPr>
              <w:t xml:space="preserve">的，得5分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实施方案较完整，主要方面均有涉及，措施较为齐全，进度安排较为合理，仅个别内容不够详细</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4分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实施方案基本完整，主要方面基本覆盖，措施基本齐全，进度安排基本合理，但部分内容较为简单</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3分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实施方案简单，仅列出部分方面，措施不全，进度安排不够明确</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2分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实施方案混乱，内容杂乱，逻辑不清，缺乏可行性</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1分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培训</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lang w:val="en-US" w:eastAsia="zh-CN"/>
              </w:rPr>
              <w:t xml:space="preserve">培训方案（</w:t>
            </w:r>
            <w:r>
              <w:rPr>
                <w:rFonts w:hint="eastAsia" w:ascii="仿宋" w:hAnsi="仿宋" w:eastAsia="仿宋" w:cs="仿宋"/>
                <w:color w:val="auto"/>
                <w:sz w:val="28"/>
                <w:szCs w:val="28"/>
                <w:highlight w:val="none"/>
              </w:rPr>
              <w:t xml:space="preserve">包括但不限于培训目的、培训方式及内容、培训计划</w:t>
            </w:r>
            <w:r>
              <w:rPr>
                <w:rFonts w:hint="eastAsia" w:ascii="仿宋" w:hAnsi="仿宋" w:eastAsia="仿宋" w:cs="仿宋"/>
                <w:color w:val="auto"/>
                <w:sz w:val="28"/>
                <w:szCs w:val="28"/>
                <w:highlight w:val="none"/>
                <w:lang w:val="en-US" w:eastAsia="zh-CN"/>
              </w:rPr>
              <w:t xml:space="preserve">等内容）进行评分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培训方案完整，目标明确、内容详实、计划合理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培训方案较完整，主要方面均有涉及，培训内容较为详实，计划较为合理，仅个别内容不够详细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培训方案基本完整，主要方面基本覆盖，培训内容基本明确，计划基本合理，但部分内容较为简单</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培训方案简单，仅列出部分方面，培训内容简略，计划不够明确</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售后</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服务</w:t>
            </w:r>
            <w:r/>
          </w:p>
          <w:p>
            <w:pPr>
              <w:jc w:val="center"/>
              <w:spacing w:line="240" w:lineRule="atLeas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lang w:val="en-US" w:eastAsia="zh-CN"/>
              </w:rPr>
              <w:t xml:space="preserve">售后服务方案（</w:t>
            </w:r>
            <w:r>
              <w:rPr>
                <w:rFonts w:hint="eastAsia" w:ascii="仿宋" w:hAnsi="仿宋" w:eastAsia="仿宋" w:cs="仿宋"/>
                <w:color w:val="auto"/>
                <w:sz w:val="28"/>
                <w:szCs w:val="28"/>
                <w:highlight w:val="none"/>
              </w:rPr>
              <w:t xml:space="preserve">包括但不限于服务方案、售后服务承诺、售后服务响应速度、备件供应方案、售后服务组织架构及人员配置，职责分工</w:t>
            </w:r>
            <w:r>
              <w:rPr>
                <w:rFonts w:hint="eastAsia" w:ascii="仿宋" w:hAnsi="仿宋" w:eastAsia="仿宋" w:cs="仿宋"/>
                <w:color w:val="auto"/>
                <w:sz w:val="28"/>
                <w:szCs w:val="28"/>
                <w:highlight w:val="none"/>
                <w:lang w:val="en-US" w:eastAsia="zh-CN"/>
              </w:rPr>
              <w:t xml:space="preserve">等内容）进行评分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售后服务方案完整，方案措施齐全、响应及时、保障有力</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7分；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售后服务方案较完整，主要方面均有涉及，措施较为齐全，响应速度较快，保障较为有力，仅个别内容不够详细</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6分；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售后服务方案较为完整，主要方面基本覆盖，措施基本齐全，响应速度较快，保障基本到位，但存在少量不足</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5分；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售后服务方案基本完整，主要方面基本覆盖，措施基本齐全，响应速度一般，保障基本到位，但部分内容较为简单</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4分；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售后服务方案一般，主要方面有涉及，但措施不够全面，响应速度一般，保障能力一般</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3分；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售后服务方案简单，仅列出部分方面，措施不全，响应速度较慢</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2分；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售后服务方案混乱，内容杂乱，逻辑不清，缺乏可操作性</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1分；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w:t>
            </w:r>
            <w:r/>
          </w:p>
        </w:tc>
      </w:tr>
      <w:tr>
        <w:trPr>
          <w:jc w:val="center"/>
          <w:trHeight w:val="0"/>
        </w:trPr>
        <w:tc>
          <w:tcPr>
            <w:tcBorders>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right w:val="single" w:color="auto" w:sz="4" w:space="0"/>
            </w:tcBorders>
            <w:tcW w:w="1151"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综合</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实力</w:t>
            </w:r>
            <w:r/>
          </w:p>
        </w:tc>
        <w:tc>
          <w:tcPr>
            <w:tcBorders>
              <w:top w:val="single" w:color="auto" w:sz="4" w:space="0"/>
              <w:left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投标人自202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w:t>
            </w:r>
            <w:r>
              <w:rPr>
                <w:rFonts w:hint="eastAsia" w:ascii="仿宋" w:hAnsi="仿宋" w:eastAsia="仿宋" w:cs="仿宋"/>
                <w:color w:val="auto"/>
                <w:sz w:val="28"/>
                <w:szCs w:val="28"/>
                <w:highlight w:val="none"/>
                <w:lang w:val="en-US" w:eastAsia="zh-CN"/>
              </w:rPr>
              <w:t xml:space="preserve">以来</w:t>
            </w:r>
            <w:r>
              <w:rPr>
                <w:rFonts w:hint="eastAsia" w:ascii="仿宋" w:hAnsi="仿宋" w:eastAsia="仿宋" w:cs="仿宋"/>
                <w:color w:val="auto"/>
                <w:sz w:val="28"/>
                <w:szCs w:val="28"/>
                <w:highlight w:val="none"/>
              </w:rPr>
              <w:t xml:space="preserve">承接过移动勾臂箱式垃圾压缩箱设备采购或销售业绩（以合同签订时间为准）的，每</w:t>
            </w:r>
            <w:r>
              <w:rPr>
                <w:rFonts w:hint="eastAsia" w:ascii="仿宋" w:hAnsi="仿宋" w:eastAsia="仿宋" w:cs="仿宋"/>
                <w:color w:val="auto"/>
                <w:sz w:val="28"/>
                <w:szCs w:val="28"/>
                <w:highlight w:val="none"/>
                <w:lang w:val="en-US" w:eastAsia="zh-CN"/>
              </w:rPr>
              <w:t xml:space="preserve">具有一项</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【提供业绩证明合同、中标通知书、验收报告（经业绩甲方或第三方服务机构验收）原件扫描件，并加盖投标人电子签章上传至电子投标文件】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6</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55"/>
              <w:ind w:left="0"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投标人具有质量管理体系、环境管理体系、职业健康安全管理体系、售后服务体系认证证书的，每</w:t>
            </w:r>
            <w:r>
              <w:rPr>
                <w:rFonts w:hint="eastAsia" w:ascii="仿宋" w:hAnsi="仿宋" w:eastAsia="仿宋" w:cs="仿宋"/>
                <w:color w:val="auto"/>
                <w:sz w:val="28"/>
                <w:szCs w:val="28"/>
                <w:highlight w:val="none"/>
                <w:lang w:val="en-US" w:eastAsia="zh-CN"/>
              </w:rPr>
              <w:t xml:space="preserve">提供一项</w:t>
            </w:r>
            <w:r>
              <w:rPr>
                <w:rFonts w:hint="eastAsia" w:ascii="仿宋" w:hAnsi="仿宋" w:eastAsia="仿宋" w:cs="仿宋"/>
                <w:color w:val="auto"/>
                <w:sz w:val="28"/>
                <w:szCs w:val="28"/>
                <w:highlight w:val="none"/>
              </w:rPr>
              <w:t xml:space="preserve">得1分，</w:t>
            </w:r>
            <w:r>
              <w:rPr>
                <w:rFonts w:hint="eastAsia" w:ascii="仿宋" w:hAnsi="仿宋" w:eastAsia="仿宋" w:cs="仿宋"/>
                <w:color w:val="auto"/>
                <w:sz w:val="28"/>
                <w:szCs w:val="28"/>
                <w:highlight w:val="none"/>
                <w:lang w:val="en-US" w:eastAsia="zh-CN"/>
              </w:rPr>
              <w:t xml:space="preserve">本项最高得4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pStyle w:val="755"/>
              <w:ind w:left="0" w:firstLine="562"/>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注：投标时需同时提供相关证书原件扫描件和全国认证认可信息公共服务平台官网（网址：http://cx.cnca.cn/）截图证明材料，加盖投标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right w:val="single" w:color="auto" w:sz="4" w:space="0"/>
            </w:tcBorders>
            <w:tcW w:w="6201" w:type="dxa"/>
            <w:vAlign w:val="center"/>
            <w:textDirection w:val="lrTb"/>
            <w:noWrap w:val="false"/>
          </w:tcPr>
          <w:p>
            <w:pPr>
              <w:pStyle w:val="755"/>
              <w:ind w:left="0" w:firstLine="560"/>
              <w:jc w:val="left"/>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3.投标人所投移动勾臂箱式垃圾压缩箱设备免费质保期为三年的基础上，免费质保期为四年的得2分；免费质保期为五年及以上的得5分。本项最高得5分，未提供不得分。</w:t>
            </w:r>
            <w:r>
              <w:rPr>
                <w:rFonts w:hint="eastAsia" w:ascii="仿宋" w:hAnsi="仿宋" w:eastAsia="仿宋" w:cs="仿宋"/>
                <w:b/>
                <w:bCs/>
                <w:color w:val="auto"/>
                <w:sz w:val="28"/>
                <w:szCs w:val="28"/>
                <w:highlight w:val="none"/>
                <w:lang w:val="en-US" w:eastAsia="zh-CN"/>
              </w:rPr>
              <w:t xml:space="preserve">（提供质保函原件扫描件，格式自拟，加盖投标人电子签章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val="en-US" w:eastAsia="zh-CN"/>
              </w:rPr>
              <w:t xml:space="preserve">）</w:t>
            </w:r>
            <w:r/>
          </w:p>
        </w:tc>
        <w:tc>
          <w:tcPr>
            <w:tcBorders>
              <w:top w:val="single" w:color="auto" w:sz="4" w:space="0"/>
              <w:left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r>
    </w:tbl>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keepLines w:val="0"/>
        <w:keepNext w:val="0"/>
        <w:pageBreakBefore w:val="0"/>
        <w:spacing w:line="336" w:lineRule="auto"/>
        <w:widowControl w:val="off"/>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注：以下为采购人提出中标后签订本项目合同的条款，</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必须实质性响应，中标</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不得提出实质性的修改，关于专用条款将由采购人与中标</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结合本项目具体情况协商后签订。</w:t>
      </w:r>
      <w:r/>
    </w:p>
    <w:p>
      <w:pPr>
        <w:pStyle w:val="688"/>
        <w:jc w:val="center"/>
        <w:keepLines w:val="0"/>
        <w:keepNext w:val="0"/>
        <w:pageBreakBefore w:val="0"/>
        <w:spacing w:line="336"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一、设备采购合同</w:t>
      </w:r>
      <w:r/>
    </w:p>
    <w:p>
      <w:pP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甲方：</w:t>
      </w:r>
      <w:r/>
    </w:p>
    <w:p>
      <w:pP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乙方： </w:t>
      </w:r>
      <w:r/>
    </w:p>
    <w:p>
      <w:pPr>
        <w:ind w:firstLine="560"/>
        <w:keepLines w:val="0"/>
        <w:keepNext w:val="0"/>
        <w:pageBreakBefore w:val="0"/>
        <w:spacing w:line="336" w:lineRule="auto"/>
        <w:widowControl w:val="off"/>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一、采购清单详见下表</w:t>
      </w:r>
      <w:r/>
    </w:p>
    <w:tbl>
      <w:tblPr>
        <w:tblStyle w:val="680"/>
        <w:tblW w:w="9921"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bookmarkStart w:id="36" w:name="_Hlk37262289"/>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Borders>
              <w:top w:val="single" w:color="auto" w:sz="4"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合计（元）</w:t>
            </w:r>
            <w:r/>
          </w:p>
        </w:tc>
        <w:tc>
          <w:tcPr>
            <w:tcBorders>
              <w:top w:val="single" w:color="auto" w:sz="4"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bookmarkEnd w:id="36"/>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二、付款方式</w:t>
      </w:r>
      <w:r/>
    </w:p>
    <w:p>
      <w:pPr>
        <w:pStyle w:val="688"/>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分批次完成设备安装验收，每批次验收合格后，依据合格台数一次性付清该批次货款。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三、交货时间及交货地点</w:t>
      </w:r>
      <w:r/>
    </w:p>
    <w:p>
      <w:pPr>
        <w:pStyle w:val="688"/>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交货时间：合同签订后，</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接到</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分批供货通知之日起7日内，完成该批次货物的供货、安装、调试并交付</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使用。具体批次及每批次供货数量以</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通知为准。乙方可在投标文件中就交货期限提出合理化建议，经甲方同意后可另行协商。</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交货地点：甲方指定地点。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四、乙方保证向甲方提供的设备满足中国国家标准及相关行业标准。</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六、设备安装后，乙方应配合甲方按厂方技术参数、国家标准等进行质量验收。若有歧义，甲方有权委托中国有资格的单位对该设备进行质量检测，费用由乙方承担。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七、乙方所供设备如验收不合格，根据甲方的要求，乙方必须无条件换货或退货，由此引起的一切损失由乙方承担。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、服务条款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1.乙方免费提前为甲方提供设备安装图纸，并充分协助甲方做好准备工作（如必要的话）。</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2.设备安装时，乙方负责设备的免费安装和调试，乙方必须事先与甲方联系，否则引起的一切责任由乙方承担。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4.上述设备免费保修</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年，保修期自设备验收合格</w:t>
      </w:r>
      <w:r>
        <w:rPr>
          <w:rFonts w:hint="eastAsia" w:ascii="仿宋" w:hAnsi="仿宋" w:eastAsia="仿宋" w:cs="仿宋"/>
          <w:color w:val="auto"/>
          <w:sz w:val="28"/>
          <w:szCs w:val="28"/>
          <w:highlight w:val="none"/>
          <w:lang w:eastAsia="zh-CN"/>
        </w:rPr>
        <w:t xml:space="preserve">之日</w:t>
      </w:r>
      <w:r>
        <w:rPr>
          <w:rFonts w:hint="eastAsia" w:ascii="仿宋" w:hAnsi="仿宋" w:eastAsia="仿宋" w:cs="仿宋"/>
          <w:color w:val="auto"/>
          <w:sz w:val="28"/>
          <w:szCs w:val="28"/>
          <w:highlight w:val="none"/>
        </w:rPr>
        <w:t xml:space="preserve">起计算，保修期外乙方对本设备终身负责维修。</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6.保修期内每年    次定期维护，并经甲方签字确认，留档备查。</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7.无论在保修期内还是保修期外，乙方必须上门维修，乙方工程师至甲方维修本设备，必须事先与甲方取得联系，并做相应登记，否则引起的一切责任由乙方负责。</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8.乙方需在交货后五个工作日内免费提供全套资料并加盖公章，含产品合格证、操作手册等，如技术资料不全，甲方有权不支付货款或退货，因此产生的损失由乙方自行承担。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、违约责任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1.自本协议生效之日起，双方应严格依约履行。若任何一方违反本协议规定，应赔偿由此给其他方造成的损失。</w:t>
      </w:r>
      <w:r/>
    </w:p>
    <w:p>
      <w:pPr>
        <w:ind w:firstLine="561"/>
        <w:keepLines w:val="0"/>
        <w:keepNext w:val="0"/>
        <w:pageBreakBefore w:val="0"/>
        <w:spacing w:line="520" w:lineRule="exact"/>
        <w:widowControl w:val="off"/>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乙方没有按照合同规定时间交货的，每逾期一日，保修期延长十天，人力不可抗力因素除外。乙方延期交货10日以上的，则视为乙方不能交货，甲方有权因此解除本合同，并要求乙方承担合同总金额10%的违约金。</w:t>
      </w:r>
      <w:r/>
    </w:p>
    <w:p>
      <w:pPr>
        <w:ind w:firstLine="561"/>
        <w:keepLines w:val="0"/>
        <w:keepNext w:val="0"/>
        <w:pageBreakBefore w:val="0"/>
        <w:spacing w:line="520" w:lineRule="exact"/>
        <w:widowControl w:val="off"/>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其他严重违约行为的（指违反本协议第八条（服务条款）、第九条第7款（知识产权侵权），或因乙方原因导致设备出现重大安全事故、或造成恶劣社会影响、或给甲方造成直接经济损失超过合同总金额5%的），在收到甲方书面通知后的15日内仍未纠正或拒不承担违约责任的，则甲方有权从尚未支付乙方的购货价款中扣除相当于实际损失的违约金，但最高不超过合同总金额的10%。如该违约金不足以补偿甲方全部损失的，甲方有权继续追偿。</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4.乙方若违反本协议第</w:t>
      </w: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和第十一条均视为对本协议的重大违约，甲方随时有权书面通知乙方立即终止本协议。</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5.因乙方的违约行为给甲方造成损失的（包括所有直接和间接损失），如果违约金不足以补偿该损失部分的，甲方有权继续要求乙方赔偿甲方所有实际损失。</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6.乙方对本合同所约定的设备价格负责，如果产生与设备价值、成本相关的任何法律纠纷，应根据双方过错程度依法确定各自应承担的法律责任。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7.乙方保证提供的商品、服务不存在任何法律纠纷，甲方在使用该商品或服务以及其中的任何一部分时，不侵犯</w:t>
      </w:r>
      <w:r>
        <w:rPr>
          <w:rFonts w:hint="eastAsia" w:ascii="仿宋" w:hAnsi="仿宋" w:eastAsia="仿宋" w:cs="仿宋"/>
          <w:color w:val="auto"/>
          <w:sz w:val="28"/>
          <w:szCs w:val="28"/>
          <w:highlight w:val="none"/>
          <w:lang w:eastAsia="zh-CN"/>
        </w:rPr>
        <w:t xml:space="preserve">任何</w:t>
      </w:r>
      <w:r>
        <w:rPr>
          <w:rFonts w:hint="eastAsia" w:ascii="仿宋" w:hAnsi="仿宋" w:eastAsia="仿宋" w:cs="仿宋"/>
          <w:color w:val="auto"/>
          <w:sz w:val="28"/>
          <w:szCs w:val="28"/>
          <w:highlight w:val="none"/>
        </w:rPr>
        <w:t xml:space="preserve">专利权、商标权、工业设计权或其他知识产权，如收到来自第三方的侵权诉讼或索赔，所有责任及由此造成的损失由乙方承担。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8.以上各项交付的违约金并不影响乙方继续履行本协议的其他各项义务。</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十、双方应本着友好协商的原则，解决与本合同有关的一切争议。如一方不愿协商或协商开始后30日内无法解决，应提交甲方所在地人民法院裁决。</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、其他</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1.本合同经甲、乙双方加盖电子签章后生效。如有变动，必须经甲方、乙方协商一致后，方可更改。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2.本合同未尽事宜，遵照</w:t>
      </w:r>
      <w:r>
        <w:rPr>
          <w:rFonts w:hint="eastAsia" w:ascii="仿宋" w:hAnsi="仿宋" w:eastAsia="仿宋" w:cs="仿宋"/>
          <w:color w:val="auto"/>
          <w:sz w:val="28"/>
          <w:szCs w:val="28"/>
          <w:highlight w:val="none"/>
          <w:lang w:eastAsia="zh-CN"/>
        </w:rPr>
        <w:t xml:space="preserve">《中华人民共和国民法典》</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《中华人民共和国政府采购法》</w:t>
      </w:r>
      <w:r>
        <w:rPr>
          <w:rFonts w:hint="eastAsia" w:ascii="仿宋" w:hAnsi="仿宋" w:eastAsia="仿宋" w:cs="仿宋"/>
          <w:color w:val="auto"/>
          <w:sz w:val="28"/>
          <w:szCs w:val="28"/>
          <w:highlight w:val="none"/>
        </w:rPr>
        <w:t xml:space="preserve">有关条文执行。</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、组成本合同的文件包括</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w:t>
      </w:r>
      <w:r>
        <w:rPr>
          <w:rFonts w:hint="eastAsia" w:ascii="仿宋" w:hAnsi="仿宋" w:eastAsia="仿宋" w:cs="仿宋"/>
          <w:color w:val="auto"/>
          <w:sz w:val="28"/>
          <w:szCs w:val="28"/>
          <w:highlight w:val="none"/>
        </w:rPr>
        <w:t xml:space="preserve">由甲乙双方协商确定；协商不成的按照本合同第十条约定的争议解决方式处理，</w:t>
      </w:r>
      <w:r>
        <w:rPr>
          <w:rFonts w:hint="eastAsia" w:ascii="仿宋" w:hAnsi="仿宋" w:eastAsia="仿宋" w:cs="仿宋"/>
          <w:color w:val="auto"/>
          <w:sz w:val="28"/>
          <w:szCs w:val="28"/>
          <w:highlight w:val="none"/>
          <w:lang w:eastAsia="zh-CN"/>
        </w:rPr>
        <w:t xml:space="preserve">未尽事宜</w:t>
      </w:r>
      <w:r>
        <w:rPr>
          <w:rFonts w:hint="eastAsia" w:ascii="仿宋" w:hAnsi="仿宋" w:eastAsia="仿宋" w:cs="仿宋"/>
          <w:color w:val="auto"/>
          <w:sz w:val="28"/>
          <w:szCs w:val="28"/>
          <w:highlight w:val="none"/>
        </w:rPr>
        <w:t xml:space="preserve">双方协商解决。</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、合同签署地点：淮安。</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    方</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              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二、合同通用条款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1.定义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本合同中下列术语应解释为</w:t>
      </w:r>
      <w:r>
        <w:rPr>
          <w:rFonts w:hint="eastAsia" w:ascii="仿宋" w:hAnsi="仿宋" w:eastAsia="仿宋"/>
          <w:color w:val="auto"/>
          <w:sz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（4）“服务”系指根据合同规定乙方承担与供货有关的所有辅助服务，如运输、保险以及</w:t>
      </w:r>
      <w:r>
        <w:rPr>
          <w:rFonts w:hint="eastAsia" w:ascii="仿宋" w:hAnsi="仿宋" w:eastAsia="仿宋"/>
          <w:color w:val="auto"/>
          <w:sz w:val="28"/>
          <w:highlight w:val="none"/>
          <w:lang w:eastAsia="zh-CN"/>
        </w:rPr>
        <w:t xml:space="preserve">其他</w:t>
      </w:r>
      <w:r>
        <w:rPr>
          <w:rFonts w:hint="eastAsia" w:ascii="仿宋" w:hAnsi="仿宋" w:eastAsia="仿宋"/>
          <w:color w:val="auto"/>
          <w:sz w:val="28"/>
          <w:highlight w:val="none"/>
        </w:rPr>
        <w:t xml:space="preserve">的服务，如安装、调试、提供技术援助、培训和其他类似的义务。</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（5）“甲方”系指购买货物（含软件及相关服务）的单位。</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（6）“乙方”系指根据合同规定提供货物（含软件及相关服务）和服务的</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2.技术规范</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3.专利权</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3.1乙方须保障甲方在使用该货物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或其任何一部分时不受到第三方关于侵犯专利权、商标权、版权、专有技术等权利的指控。如果任何第三方提出侵权指控，乙方须与第三方交涉并承担</w:t>
      </w:r>
      <w:r>
        <w:rPr>
          <w:rFonts w:hint="eastAsia" w:ascii="仿宋" w:hAnsi="仿宋" w:eastAsia="仿宋"/>
          <w:color w:val="auto"/>
          <w:sz w:val="28"/>
          <w:highlight w:val="none"/>
        </w:rPr>
        <w:t xml:space="preserve">因乙方原因导致的</w:t>
      </w:r>
      <w:r>
        <w:rPr>
          <w:rFonts w:hint="eastAsia" w:ascii="仿宋" w:hAnsi="仿宋" w:eastAsia="仿宋"/>
          <w:color w:val="auto"/>
          <w:sz w:val="28"/>
          <w:highlight w:val="none"/>
        </w:rPr>
        <w:t xml:space="preserve">一切损失和费用。</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4.包装要求</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4.1本项目中涉及商品的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4.2除合同另有规定外，乙方提供的全部货物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均应按相应的标准保护措施进行包装，使包装适应于远距离运输、防潮、防震、防锈和防粗暴装卸，确保货物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安全无损运</w:t>
      </w:r>
      <w:r>
        <w:rPr>
          <w:rFonts w:hint="eastAsia" w:ascii="仿宋" w:hAnsi="仿宋" w:eastAsia="仿宋"/>
          <w:color w:val="auto"/>
          <w:sz w:val="28"/>
          <w:highlight w:val="none"/>
          <w:lang w:eastAsia="zh-CN"/>
        </w:rPr>
        <w:t xml:space="preserve">抵</w:t>
      </w:r>
      <w:r>
        <w:rPr>
          <w:rFonts w:hint="eastAsia" w:ascii="仿宋" w:hAnsi="仿宋" w:eastAsia="仿宋"/>
          <w:color w:val="auto"/>
          <w:sz w:val="28"/>
          <w:highlight w:val="none"/>
        </w:rPr>
        <w:t xml:space="preserve">现场。由于包装不善所引起的货物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锈蚀、损坏和损失均由乙方承担。</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4.3每件包装箱内应附一份详细装箱单和质量合格证。</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5.装运标志</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 xml:space="preserve">乙方应在每一包装箱邻接的四侧用不褪色的油漆以醒目的中文字样做出下列标记</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（1）收货人</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）合同号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）装运标志</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）收货人代号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）目的地</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）货物（含软件及相关服务）名称、品目号和箱号</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）毛重／净重</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）尺寸（长</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宽</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高，以厘米计）</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重心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和</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吊装点</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，以便装卸和搬运。根据货物（含软件及相关服务）的特点和运输的不同要求，乙方应在包装箱上清楚地标有“小心轻放</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勿倒置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防潮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等字样和其他适当的标记。</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6.付款方式</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6.1本合同以人民币付款。</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6.2乙方应按照与甲方签订的合同规定交货。交货后乙方向甲方提供下列单据，甲方按合同规定审核后付款</w:t>
      </w:r>
      <w:r>
        <w:rPr>
          <w:rFonts w:hint="eastAsia" w:ascii="仿宋" w:hAnsi="仿宋" w:eastAsia="仿宋"/>
          <w:color w:val="auto"/>
          <w:sz w:val="28"/>
          <w:highlight w:val="none"/>
          <w:lang w:eastAsia="zh-CN"/>
        </w:rPr>
        <w:t xml:space="preserve">：</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（1）发票；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（2）制造厂家出具的质量检验证书等；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（3）装箱单；</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（4）验收合格证；</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（5）使用方加盖公章证明货物交付使用合格的验收表。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6.3甲方将按招标文件中规定的付款方式安排付款。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7.伴随服务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7.1乙方应按照国家有关规定和合同中所附的服务承诺提供服务。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7.2除第7.1条规定外，乙方还应提供下列服务</w:t>
      </w:r>
      <w:r>
        <w:rPr>
          <w:rFonts w:hint="eastAsia" w:ascii="仿宋" w:hAnsi="仿宋" w:eastAsia="仿宋"/>
          <w:color w:val="auto"/>
          <w:sz w:val="28"/>
          <w:highlight w:val="none"/>
          <w:lang w:eastAsia="zh-CN"/>
        </w:rPr>
        <w:t xml:space="preserve">：</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（1）货物的现场安装和启动监督；</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（2）提供货物组装和维修所需的工具；</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7.3伴随服务的费用应含在合同价中，不单独进行支付。</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8.质量保证</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乙方在收到通知后三十天内应免费维修或更换有缺陷的货物（含软件及相关服务）或部件。</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除合同专用条款规定外，合同项下货物（含软件及相关服务）的质量保证期为自货物（含软件及相关服务）通过最终验收起不低于三年。</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9.检验及安装</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 xml:space="preserve">90</w:t>
      </w:r>
      <w:r>
        <w:rPr>
          <w:rFonts w:hint="eastAsia" w:ascii="仿宋" w:hAnsi="仿宋" w:eastAsia="仿宋"/>
          <w:color w:val="auto"/>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如果货物（含软件及相关服务）的质量和规格与合同不符，或在第</w:t>
      </w:r>
      <w:r>
        <w:rPr>
          <w:rFonts w:ascii="仿宋" w:hAnsi="仿宋" w:eastAsia="仿宋"/>
          <w:color w:val="auto"/>
          <w:sz w:val="28"/>
          <w:szCs w:val="28"/>
          <w:highlight w:val="none"/>
        </w:rPr>
        <w:t xml:space="preserve">11</w:t>
      </w:r>
      <w:r>
        <w:rPr>
          <w:rFonts w:hint="eastAsia" w:ascii="仿宋" w:hAnsi="仿宋" w:eastAsia="仿宋"/>
          <w:color w:val="auto"/>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制造厂对所供货物（含软件及相关服务）进行机械运转试验和性能试验时，必须提前通知甲方。</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 xml:space="preserve">货物（含软件及相关服务）的安装按招标文件要求进行。</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10.索赔</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8"/>
          <w:szCs w:val="28"/>
          <w:highlight w:val="none"/>
          <w:lang w:eastAsia="zh-CN"/>
        </w:rPr>
        <w:t xml:space="preserve">其他</w:t>
      </w:r>
      <w:r>
        <w:rPr>
          <w:rFonts w:hint="eastAsia" w:ascii="仿宋" w:hAnsi="仿宋" w:eastAsia="仿宋"/>
          <w:color w:val="auto"/>
          <w:sz w:val="28"/>
          <w:szCs w:val="28"/>
          <w:highlight w:val="none"/>
        </w:rPr>
        <w:t xml:space="preserve">必要费用。</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如果在甲方发出索赔通知后</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0天内，乙方未能答复，</w:t>
      </w:r>
      <w:r>
        <w:rPr>
          <w:rFonts w:hint="eastAsia" w:ascii="仿宋" w:hAnsi="仿宋" w:eastAsia="仿宋"/>
          <w:color w:val="auto"/>
          <w:sz w:val="28"/>
          <w:szCs w:val="28"/>
          <w:highlight w:val="none"/>
          <w:lang w:eastAsia="zh-CN"/>
        </w:rPr>
        <w:t xml:space="preserve">上述</w:t>
      </w:r>
      <w:r>
        <w:rPr>
          <w:rFonts w:hint="eastAsia" w:ascii="仿宋" w:hAnsi="仿宋" w:eastAsia="仿宋"/>
          <w:color w:val="auto"/>
          <w:sz w:val="28"/>
          <w:szCs w:val="28"/>
          <w:highlight w:val="none"/>
        </w:rPr>
        <w:t xml:space="preserve">索赔应视为已被乙方接受。若乙方未能在甲方提出索赔通知后</w:t>
      </w:r>
      <w:r>
        <w:rPr>
          <w:rFonts w:ascii="仿宋" w:hAnsi="仿宋" w:eastAsia="仿宋"/>
          <w:color w:val="auto"/>
          <w:sz w:val="28"/>
          <w:szCs w:val="28"/>
          <w:highlight w:val="none"/>
        </w:rPr>
        <w:t xml:space="preserve">30</w:t>
      </w:r>
      <w:r>
        <w:rPr>
          <w:rFonts w:hint="eastAsia" w:ascii="仿宋" w:hAnsi="仿宋" w:eastAsia="仿宋"/>
          <w:color w:val="auto"/>
          <w:sz w:val="28"/>
          <w:szCs w:val="28"/>
          <w:highlight w:val="none"/>
        </w:rPr>
        <w:t xml:space="preserve">天内或甲方同意的更长时间内，按照第</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11.拖延交货</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乙方应按照合同专用条款中规定的交货期交货和提供服务。</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如果乙方毫无理由地拖延交货，将受到以下制裁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没收履约保证金，加收违约损失赔偿</w:t>
      </w:r>
      <w:r>
        <w:rPr>
          <w:rFonts w:hint="eastAsia" w:ascii="仿宋" w:hAnsi="仿宋" w:eastAsia="仿宋"/>
          <w:color w:val="auto"/>
          <w:sz w:val="28"/>
          <w:szCs w:val="28"/>
          <w:highlight w:val="none"/>
          <w:u w:val="single"/>
        </w:rPr>
        <w:t xml:space="preserve">和／或</w:t>
      </w:r>
      <w:r>
        <w:rPr>
          <w:rFonts w:hint="eastAsia" w:ascii="仿宋" w:hAnsi="仿宋" w:eastAsia="仿宋"/>
          <w:color w:val="auto"/>
          <w:sz w:val="28"/>
          <w:szCs w:val="28"/>
          <w:highlight w:val="none"/>
        </w:rPr>
        <w:t xml:space="preserve">终止合同。</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12.误期赔偿</w:t>
      </w:r>
      <w:r/>
    </w:p>
    <w:p>
      <w:pPr>
        <w:ind w:firstLine="567"/>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13.不可抗力</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受事故影响的一方应在不可抗力事故发生后尽快以电报、传真或电传通知另一方，并在事故发生后</w:t>
      </w:r>
      <w:r>
        <w:rPr>
          <w:rFonts w:ascii="仿宋" w:hAnsi="仿宋" w:eastAsia="仿宋"/>
          <w:color w:val="auto"/>
          <w:sz w:val="28"/>
          <w:szCs w:val="28"/>
          <w:highlight w:val="none"/>
        </w:rPr>
        <w:t xml:space="preserve">14</w:t>
      </w:r>
      <w:r>
        <w:rPr>
          <w:rFonts w:hint="eastAsia" w:ascii="仿宋" w:hAnsi="仿宋" w:eastAsia="仿宋"/>
          <w:color w:val="auto"/>
          <w:sz w:val="28"/>
          <w:szCs w:val="28"/>
          <w:highlight w:val="none"/>
        </w:rPr>
        <w:t xml:space="preserve">天内，将有关部门出具的证明文件用特快专递寄给或送给另一方。如果不可抗力影响时间延续</w:t>
      </w:r>
      <w:r>
        <w:rPr>
          <w:rFonts w:ascii="仿宋" w:hAnsi="仿宋" w:eastAsia="仿宋"/>
          <w:color w:val="auto"/>
          <w:sz w:val="28"/>
          <w:szCs w:val="28"/>
          <w:highlight w:val="none"/>
        </w:rPr>
        <w:t xml:space="preserve">120</w:t>
      </w:r>
      <w:r>
        <w:rPr>
          <w:rFonts w:hint="eastAsia" w:ascii="仿宋" w:hAnsi="仿宋" w:eastAsia="仿宋"/>
          <w:color w:val="auto"/>
          <w:sz w:val="28"/>
          <w:szCs w:val="28"/>
          <w:highlight w:val="none"/>
        </w:rPr>
        <w:t xml:space="preserve">天以上，双方应通过友好协商在合理的时间内达成进一步履行合同的协议。</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14.税费</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15.仲裁</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仲裁裁决应为终局裁决，对双方均具有约束力。</w:t>
      </w:r>
      <w:r>
        <w:rPr>
          <w:rFonts w:ascii="仿宋" w:hAnsi="仿宋" w:eastAsia="仿宋"/>
          <w:color w:val="auto"/>
          <w:sz w:val="28"/>
          <w:szCs w:val="28"/>
          <w:highlight w:val="none"/>
        </w:rPr>
        <w:t xml:space="preserve"> </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仲裁费除仲裁机构另有裁决外应由败诉方负担。</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在仲裁期间，除正在进行仲裁的部分外，合同</w:t>
      </w:r>
      <w:r>
        <w:rPr>
          <w:rFonts w:hint="eastAsia" w:ascii="仿宋" w:hAnsi="仿宋" w:eastAsia="仿宋"/>
          <w:color w:val="auto"/>
          <w:sz w:val="28"/>
          <w:szCs w:val="28"/>
          <w:highlight w:val="none"/>
          <w:lang w:eastAsia="zh-CN"/>
        </w:rPr>
        <w:t xml:space="preserve">其他部分</w:t>
      </w:r>
      <w:r>
        <w:rPr>
          <w:rFonts w:hint="eastAsia" w:ascii="仿宋" w:hAnsi="仿宋" w:eastAsia="仿宋"/>
          <w:color w:val="auto"/>
          <w:sz w:val="28"/>
          <w:szCs w:val="28"/>
          <w:highlight w:val="none"/>
        </w:rPr>
        <w:t xml:space="preserve">继续执行。</w:t>
      </w:r>
      <w:r>
        <w:rPr>
          <w:rFonts w:hint="eastAsia" w:ascii="仿宋" w:hAnsi="仿宋" w:eastAsia="仿宋"/>
          <w:b/>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16.违约终止合同</w:t>
      </w:r>
      <w:r/>
    </w:p>
    <w:p>
      <w:pPr>
        <w:pStyle w:val="958"/>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w:t>
      </w:r>
      <w:r>
        <w:rPr>
          <w:rFonts w:hint="eastAsia" w:hAnsi="仿宋"/>
          <w:color w:val="auto"/>
          <w:sz w:val="28"/>
          <w:szCs w:val="28"/>
          <w:highlight w:val="none"/>
        </w:rPr>
        <w:t xml:space="preserve">1</w:t>
      </w:r>
      <w:r>
        <w:rPr>
          <w:rFonts w:hAnsi="仿宋"/>
          <w:color w:val="auto"/>
          <w:sz w:val="28"/>
          <w:szCs w:val="28"/>
          <w:highlight w:val="none"/>
        </w:rPr>
        <w:t xml:space="preserve"> </w:t>
      </w:r>
      <w:r>
        <w:rPr>
          <w:rFonts w:hint="eastAsia" w:hAnsi="仿宋"/>
          <w:color w:val="auto"/>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r/>
    </w:p>
    <w:p>
      <w:pPr>
        <w:pStyle w:val="958"/>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w:t>
      </w:r>
      <w:r>
        <w:rPr>
          <w:rFonts w:hAnsi="仿宋"/>
          <w:color w:val="auto"/>
          <w:sz w:val="28"/>
          <w:szCs w:val="28"/>
          <w:highlight w:val="none"/>
        </w:rPr>
        <w:t xml:space="preserve"> </w:t>
      </w:r>
      <w:r/>
    </w:p>
    <w:p>
      <w:pPr>
        <w:pStyle w:val="958"/>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w:t>
      </w:r>
      <w:r>
        <w:rPr>
          <w:rFonts w:hAnsi="仿宋"/>
          <w:color w:val="auto"/>
          <w:sz w:val="28"/>
          <w:szCs w:val="28"/>
          <w:highlight w:val="none"/>
        </w:rPr>
        <w:t xml:space="preserve">2</w:t>
      </w:r>
      <w:r>
        <w:rPr>
          <w:rFonts w:hint="eastAsia" w:hAnsi="仿宋"/>
          <w:color w:val="auto"/>
          <w:sz w:val="28"/>
          <w:szCs w:val="28"/>
          <w:highlight w:val="none"/>
        </w:rPr>
        <w:t xml:space="preserve">）如果乙方未能履行合同规定的其它义务。</w:t>
      </w:r>
      <w:r>
        <w:rPr>
          <w:rFonts w:hAnsi="仿宋"/>
          <w:color w:val="auto"/>
          <w:sz w:val="28"/>
          <w:szCs w:val="28"/>
          <w:highlight w:val="none"/>
        </w:rPr>
        <w:t xml:space="preserve"> </w:t>
      </w:r>
      <w:r/>
    </w:p>
    <w:p>
      <w:pPr>
        <w:pStyle w:val="958"/>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.2 </w:t>
      </w:r>
      <w:r>
        <w:rPr>
          <w:rFonts w:hint="eastAsia" w:hAnsi="仿宋"/>
          <w:color w:val="auto"/>
          <w:sz w:val="28"/>
          <w:szCs w:val="28"/>
          <w:highlight w:val="none"/>
        </w:rPr>
        <w:t xml:space="preserve">在甲方根据第16</w:t>
      </w:r>
      <w:r>
        <w:rPr>
          <w:rFonts w:hAnsi="仿宋"/>
          <w:color w:val="auto"/>
          <w:sz w:val="28"/>
          <w:szCs w:val="28"/>
          <w:highlight w:val="none"/>
        </w:rPr>
        <w:t xml:space="preserve">.</w:t>
      </w:r>
      <w:r>
        <w:rPr>
          <w:rFonts w:hint="eastAsia" w:hAnsi="仿宋"/>
          <w:color w:val="auto"/>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14"/>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17.破产中止合同</w:t>
      </w:r>
      <w:r/>
    </w:p>
    <w:p>
      <w:pPr>
        <w:pStyle w:val="914"/>
        <w:spacing w:line="52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w:t>
      </w:r>
      <w:r>
        <w:rPr>
          <w:rFonts w:hint="eastAsia" w:ascii="仿宋" w:hAnsi="仿宋" w:eastAsia="仿宋"/>
          <w:color w:val="auto"/>
          <w:sz w:val="28"/>
          <w:szCs w:val="24"/>
          <w:highlight w:val="none"/>
          <w:lang w:eastAsia="zh-CN"/>
        </w:rPr>
        <w:t xml:space="preserve">终止合同</w:t>
      </w:r>
      <w:r>
        <w:rPr>
          <w:rFonts w:hint="eastAsia" w:ascii="仿宋" w:hAnsi="仿宋" w:eastAsia="仿宋"/>
          <w:color w:val="auto"/>
          <w:sz w:val="28"/>
          <w:szCs w:val="24"/>
          <w:highlight w:val="none"/>
        </w:rPr>
        <w:t xml:space="preserve">而不给乙方补偿。该中止合同将不损害或影响甲方和使用方已经采取或将要采取的任何行动或补救措施的权力。</w:t>
      </w:r>
      <w:r/>
    </w:p>
    <w:p>
      <w:pPr>
        <w:pStyle w:val="914"/>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18.转让</w:t>
      </w:r>
      <w:r/>
    </w:p>
    <w:p>
      <w:pPr>
        <w:pStyle w:val="914"/>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18.1 除甲方事先书面同意外，乙方不得部分转让或全部转让其应履行的合同义务。</w:t>
      </w:r>
      <w:r/>
    </w:p>
    <w:p>
      <w:pPr>
        <w:pStyle w:val="914"/>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19.合同生效及其它</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14"/>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19.2</w:t>
      </w:r>
      <w:r>
        <w:rPr>
          <w:rFonts w:hint="eastAsia" w:ascii="仿宋" w:hAnsi="仿宋" w:eastAsia="仿宋"/>
          <w:color w:val="auto"/>
          <w:sz w:val="28"/>
          <w:szCs w:val="28"/>
          <w:highlight w:val="none"/>
        </w:rPr>
        <w:t xml:space="preserve">本合同经甲、乙双方加盖电子签章后生效。</w:t>
      </w:r>
      <w:r>
        <w:rPr>
          <w:rFonts w:hint="eastAsia" w:ascii="仿宋" w:hAnsi="仿宋" w:eastAsia="仿宋"/>
          <w:color w:val="auto"/>
          <w:sz w:val="28"/>
          <w:szCs w:val="24"/>
          <w:highlight w:val="none"/>
        </w:rPr>
        <w:t xml:space="preserve">    </w:t>
      </w:r>
      <w:r/>
    </w:p>
    <w:p>
      <w:pPr>
        <w:pStyle w:val="914"/>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r/>
    </w:p>
    <w:p>
      <w:pPr>
        <w:pStyle w:val="914"/>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highlight w:val="none"/>
        </w:rPr>
        <w:t xml:space="preserve">19.5本合同应按照中华人民共和国的现行法律进行解释。</w:t>
      </w:r>
      <w:r/>
    </w:p>
    <w:p>
      <w:pPr>
        <w:pStyle w:val="914"/>
        <w:jc w:val="center"/>
        <w:spacing w:line="520" w:lineRule="exact"/>
        <w:rPr>
          <w:rFonts w:hint="eastAsia" w:ascii="仿宋" w:hAnsi="仿宋" w:eastAsia="仿宋" w:cs="仿宋"/>
          <w:b/>
          <w:bCs/>
          <w:color w:val="auto"/>
          <w:sz w:val="28"/>
          <w:szCs w:val="28"/>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675"/>
        <w:spacing w:before="26" w:after="32"/>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rPr>
        <w:t xml:space="preserve">★一、清单</w:t>
      </w:r>
      <w:r/>
    </w:p>
    <w:tbl>
      <w:tblPr>
        <w:tblStyle w:val="680"/>
        <w:tblW w:w="50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1"/>
        <w:gridCol w:w="3770"/>
        <w:gridCol w:w="1442"/>
        <w:gridCol w:w="1268"/>
        <w:gridCol w:w="2123"/>
      </w:tblGrid>
      <w:tr>
        <w:trPr>
          <w:trHeight w:val="754" w:hRule="exact"/>
        </w:trPr>
        <w:tc>
          <w:tcPr>
            <w:tcW w:w="630"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91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物品名称</w:t>
            </w:r>
            <w:r/>
          </w:p>
        </w:tc>
        <w:tc>
          <w:tcPr>
            <w:tcW w:w="732"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W w:w="64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W w:w="1078"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54" w:hRule="exact"/>
        </w:trPr>
        <w:tc>
          <w:tcPr>
            <w:tcW w:w="630"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914" w:type="pct"/>
            <w:vAlign w:val="center"/>
            <w:textDirection w:val="lrTb"/>
            <w:noWrap w:val="false"/>
          </w:tcPr>
          <w:p>
            <w:pPr>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移动勾臂箱式垃圾压缩箱设备</w:t>
            </w:r>
            <w:r/>
          </w:p>
        </w:tc>
        <w:tc>
          <w:tcPr>
            <w:tcW w:w="732"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w:t>
            </w:r>
            <w:r/>
          </w:p>
        </w:tc>
        <w:tc>
          <w:tcPr>
            <w:tcW w:w="64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c>
          <w:tcPr>
            <w:tcW w:w="1078" w:type="pct"/>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配置高压清洗枪</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17个</w:t>
            </w:r>
            <w:r>
              <w:rPr>
                <w:rFonts w:hint="eastAsia" w:ascii="仿宋" w:hAnsi="仿宋" w:eastAsia="仿宋" w:cs="仿宋"/>
                <w:color w:val="auto"/>
                <w:sz w:val="28"/>
                <w:szCs w:val="28"/>
                <w:highlight w:val="none"/>
                <w:lang w:eastAsia="zh-CN"/>
              </w:rPr>
              <w:t xml:space="preserve">）</w:t>
            </w:r>
            <w:r/>
          </w:p>
        </w:tc>
      </w:tr>
    </w:tbl>
    <w:p>
      <w:pPr>
        <w:pStyle w:val="675"/>
        <w:spacing w:before="0" w:after="0" w:line="360" w:lineRule="auto"/>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rPr>
        <w:t xml:space="preserve">二、技术要求</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（一）移动勾臂箱式垃圾压缩箱设备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（1）技术参数要求</w:t>
      </w:r>
      <w:r/>
    </w:p>
    <w:tbl>
      <w:tblPr>
        <w:tblStyle w:val="1003"/>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960"/>
        <w:gridCol w:w="3349"/>
        <w:gridCol w:w="2492"/>
      </w:tblGrid>
      <w:tr>
        <w:trPr>
          <w:trHeight w:val="561"/>
        </w:trPr>
        <w:tc>
          <w:tcPr>
            <w:tcW w:w="2020"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项目</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参 数</w:t>
            </w:r>
            <w:r/>
          </w:p>
        </w:tc>
        <w:tc>
          <w:tcPr>
            <w:tcW w:w="1271" w:type="pct"/>
            <w:vAlign w:val="center"/>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lang w:val="zh-CN"/>
              </w:rPr>
              <w:t xml:space="preserve">备</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pacing w:val="7"/>
                <w:sz w:val="24"/>
                <w:highlight w:val="none"/>
                <w:lang w:val="zh-CN"/>
              </w:rPr>
              <w:t xml:space="preserve">注</w:t>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外形尺寸</w:t>
            </w:r>
            <w:r>
              <w:rPr>
                <w:rFonts w:hint="eastAsia" w:ascii="仿宋" w:hAnsi="仿宋" w:eastAsia="仿宋" w:cs="仿宋"/>
                <w:color w:val="auto"/>
                <w:spacing w:val="7"/>
                <w:sz w:val="28"/>
                <w:szCs w:val="28"/>
                <w:highlight w:val="none"/>
              </w:rPr>
              <w:t xml:space="preserve">（长×宽×高）(mm)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≤5300</w:t>
            </w:r>
            <w:r>
              <w:rPr>
                <w:rFonts w:hint="eastAsia" w:ascii="仿宋" w:hAnsi="仿宋" w:eastAsia="仿宋" w:cs="仿宋"/>
                <w:color w:val="auto"/>
                <w:spacing w:val="7"/>
                <w:sz w:val="28"/>
                <w:szCs w:val="28"/>
                <w:highlight w:val="none"/>
              </w:rPr>
              <w:t xml:space="preserve">×</w:t>
            </w:r>
            <w:r>
              <w:rPr>
                <w:rFonts w:hint="eastAsia" w:ascii="仿宋" w:hAnsi="仿宋" w:eastAsia="仿宋" w:cs="仿宋"/>
                <w:color w:val="auto"/>
                <w:spacing w:val="3"/>
                <w:sz w:val="28"/>
                <w:szCs w:val="28"/>
                <w:highlight w:val="none"/>
              </w:rPr>
              <w:t xml:space="preserve">2550</w:t>
            </w:r>
            <w:r>
              <w:rPr>
                <w:rFonts w:hint="eastAsia" w:ascii="仿宋" w:hAnsi="仿宋" w:eastAsia="仿宋" w:cs="仿宋"/>
                <w:color w:val="auto"/>
                <w:spacing w:val="7"/>
                <w:sz w:val="28"/>
                <w:szCs w:val="28"/>
                <w:highlight w:val="none"/>
              </w:rPr>
              <w:t xml:space="preserve">×</w:t>
            </w:r>
            <w:r>
              <w:rPr>
                <w:rFonts w:hint="eastAsia" w:ascii="仿宋" w:hAnsi="仿宋" w:eastAsia="仿宋" w:cs="仿宋"/>
                <w:color w:val="auto"/>
                <w:spacing w:val="3"/>
                <w:sz w:val="28"/>
                <w:szCs w:val="28"/>
                <w:highlight w:val="none"/>
              </w:rPr>
              <w:t xml:space="preserve">2500</w:t>
            </w:r>
            <w:r/>
          </w:p>
        </w:tc>
        <w:tc>
          <w:tcPr>
            <w:tcW w:w="1271" w:type="pct"/>
            <w:vAlign w:val="center"/>
            <w:vMerge w:val="restart"/>
            <w:textDirection w:val="lrTb"/>
            <w:noWrap w:val="false"/>
          </w:tcPr>
          <w:p>
            <w:pPr>
              <w:keepLines w:val="0"/>
              <w:keepNext w:val="0"/>
              <w:pageBreakBefore w:val="0"/>
              <w:spacing w:before="25" w:line="360" w:lineRule="auto"/>
              <w:widowControl w:val="off"/>
              <w:rPr>
                <w:rFonts w:hint="eastAsia" w:ascii="仿宋" w:hAnsi="仿宋" w:eastAsia="仿宋" w:cs="仿宋"/>
                <w:color w:val="auto"/>
                <w:spacing w:val="7"/>
                <w:sz w:val="24"/>
                <w:highlight w:val="none"/>
                <w:lang w:eastAsia="zh-CN"/>
              </w:rPr>
            </w:pPr>
            <w:r>
              <w:rPr>
                <w:rFonts w:hint="eastAsia" w:ascii="仿宋" w:hAnsi="仿宋" w:eastAsia="仿宋" w:cs="仿宋"/>
                <w:color w:val="auto"/>
                <w:spacing w:val="7"/>
                <w:sz w:val="28"/>
                <w:szCs w:val="28"/>
                <w:highlight w:val="none"/>
              </w:rPr>
              <w:t xml:space="preserve">整机需提供投标人或所投产品生产厂家送检的、由国家认证认可的(具有CMA或CNAS标志)检测机构出具的检测报告原件扫描件，并加盖投标人电子签章上传至电子投标文件，以原件扫描件为准</w:t>
            </w:r>
            <w:r>
              <w:rPr>
                <w:rFonts w:hint="eastAsia" w:ascii="仿宋" w:hAnsi="仿宋" w:eastAsia="仿宋" w:cs="仿宋"/>
                <w:color w:val="auto"/>
                <w:spacing w:val="7"/>
                <w:sz w:val="28"/>
                <w:szCs w:val="28"/>
                <w:highlight w:val="none"/>
                <w:lang w:eastAsia="zh-CN"/>
              </w:rPr>
              <w:t xml:space="preserve">。</w:t>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压缩腔壁厚（mm）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压缩腔行程容积（m³）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≥1.3</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垃圾箱容积（m³）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≥12</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压缩后垃圾密度（kg/m³）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≥800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油缸的最大工作压力（MPa）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≥26</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最大压缩力（kN）</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≥3</w:t>
            </w:r>
            <w:r>
              <w:rPr>
                <w:rFonts w:hint="eastAsia" w:ascii="仿宋" w:hAnsi="仿宋" w:eastAsia="仿宋" w:cs="仿宋"/>
                <w:color w:val="auto"/>
                <w:spacing w:val="3"/>
                <w:sz w:val="28"/>
                <w:szCs w:val="28"/>
                <w:highlight w:val="none"/>
                <w:lang w:val="en-US" w:eastAsia="zh-CN"/>
              </w:rPr>
              <w:t xml:space="preserve">0</w:t>
            </w:r>
            <w:r>
              <w:rPr>
                <w:rFonts w:hint="eastAsia" w:ascii="仿宋" w:hAnsi="仿宋" w:eastAsia="仿宋" w:cs="仿宋"/>
                <w:color w:val="auto"/>
                <w:spacing w:val="3"/>
                <w:sz w:val="28"/>
                <w:szCs w:val="28"/>
                <w:highlight w:val="none"/>
              </w:rPr>
              <w:t xml:space="preserve">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空载下电机输入功率（kw）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≥2.8</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额定负载下电机输入功率（kw）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辐射噪声dB（A）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≤70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压缩循环时间（s）</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≤45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作业循环时间（min）</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≤45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压缩机生产率（t/h）</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≥24</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泵站额定功率（KW）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系统最大压力（MPa）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≥24</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推板总成侧板厚（mm）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5(±1)</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推板总成底板厚（mm）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w:t>
            </w:r>
            <w:r>
              <w:rPr>
                <w:rFonts w:hint="eastAsia" w:ascii="仿宋" w:hAnsi="仿宋" w:eastAsia="仿宋" w:cs="仿宋"/>
                <w:color w:val="auto"/>
                <w:spacing w:val="3"/>
                <w:sz w:val="28"/>
                <w:szCs w:val="28"/>
                <w:highlight w:val="none"/>
                <w:lang w:val="en-US" w:eastAsia="zh-CN"/>
              </w:rPr>
              <w:t xml:space="preserve">2</w:t>
            </w:r>
            <w:r>
              <w:rPr>
                <w:rFonts w:hint="eastAsia" w:ascii="仿宋" w:hAnsi="仿宋" w:eastAsia="仿宋" w:cs="仿宋"/>
                <w:color w:val="auto"/>
                <w:spacing w:val="3"/>
                <w:sz w:val="28"/>
                <w:szCs w:val="28"/>
                <w:highlight w:val="none"/>
              </w:rPr>
              <w:t xml:space="preserve">(±1)</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举升臂板厚（mm）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8</w:t>
            </w:r>
            <w:r>
              <w:rPr>
                <w:rFonts w:hint="eastAsia" w:ascii="仿宋" w:hAnsi="仿宋" w:eastAsia="仿宋" w:cs="仿宋"/>
                <w:color w:val="auto"/>
                <w:spacing w:val="3"/>
                <w:sz w:val="28"/>
                <w:szCs w:val="28"/>
                <w:highlight w:val="none"/>
              </w:rPr>
              <w:t xml:space="preserve">(±0.5)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高强度钢板压缩腔壁厚</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≥5mm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高强度钢板压缩推头侧板</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≥5mm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高强度钢板压缩腔底板</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≥8mm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整备质量（kg）</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 xml:space="preserve">≤5500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受料腔容积（m³）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 xml:space="preserve">3.3(±0.2)</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bl>
    <w:p>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（2）性能配置要求</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1.压缩机构可根据负载动态调整压缩力和压缩速度，实现空载快速运行，提升效率；负载时降低运行速度提升压缩力，对垃圾进行压缩，提升装载量；</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2.压缩机构可根据压缩进度、装载量、压缩力等参数智能选择压缩循环次数，在保障压缩质量的前提下，显著提升整体作业效率，降低设备整体能耗，实现节能降耗运行。</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3.轻量化材质料斗，降低料斗自重，料斗装载能力强，倒料方便，可对接多种前端收集车辆，如三轮车、小型拉臂勾、小吨位压缩车等，适应能力强；优化的料斗结构，保证整个上料过程垃圾不散落。</w:t>
      </w:r>
      <w:r>
        <w:rPr>
          <w:rFonts w:hint="eastAsia" w:ascii="仿宋" w:hAnsi="仿宋" w:eastAsia="仿宋" w:cs="仿宋"/>
          <w:b/>
          <w:bCs/>
          <w:color w:val="auto"/>
          <w:spacing w:val="7"/>
          <w:sz w:val="28"/>
          <w:szCs w:val="28"/>
          <w:highlight w:val="none"/>
        </w:rPr>
        <w:t xml:space="preserve">（提供设备的料斗反转示意图以及箱体装箱模拟示意图，投标时加盖公章）</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4.平压锁紧机构，从拉臂钩取力，自动操作，操作简单可靠；并且后门开启角度大，使垃圾倾倒更彻底干净。</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.连体斗举升机构，举升能力强，可举起净重1800kg的垃圾，投料效率高。 </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.箱体采用高强度钢板整体成型方形箱体，强度高、重量轻、装载量大。</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.钩心高度，后滚轮间距，导轨外宽与实际使用相匹配。</w:t>
      </w:r>
      <w:r/>
    </w:p>
    <w:p>
      <w:pPr>
        <w:ind w:firstLine="560"/>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.控制方式PLC控制可实现远程协助，控制部分电压（V）接触器AC220/阀组DC24。</w:t>
      </w:r>
      <w:r/>
    </w:p>
    <w:p>
      <w:pPr>
        <w:ind w:firstLine="588"/>
        <w:spacing w:line="336" w:lineRule="auto"/>
        <w:rPr>
          <w:rFonts w:hint="eastAsia" w:ascii="仿宋" w:hAnsi="仿宋" w:eastAsia="仿宋" w:cs="仿宋"/>
          <w:color w:val="auto"/>
          <w:spacing w:val="7"/>
          <w:sz w:val="28"/>
          <w:szCs w:val="28"/>
          <w:highlight w:val="none"/>
          <w:lang w:eastAsia="zh-CN"/>
        </w:rPr>
      </w:pPr>
      <w:r>
        <w:rPr>
          <w:rFonts w:hint="eastAsia" w:ascii="仿宋" w:hAnsi="仿宋" w:eastAsia="仿宋" w:cs="仿宋"/>
          <w:b w:val="0"/>
          <w:bCs w:val="0"/>
          <w:color w:val="auto"/>
          <w:spacing w:val="7"/>
          <w:sz w:val="28"/>
          <w:szCs w:val="28"/>
          <w:highlight w:val="none"/>
          <w:lang w:val="en-US" w:eastAsia="zh-CN"/>
        </w:rPr>
        <w:t xml:space="preserve">9</w:t>
      </w:r>
      <w:r>
        <w:rPr>
          <w:rFonts w:hint="eastAsia" w:ascii="仿宋" w:hAnsi="仿宋" w:eastAsia="仿宋" w:cs="仿宋"/>
          <w:b w:val="0"/>
          <w:bCs w:val="0"/>
          <w:color w:val="auto"/>
          <w:spacing w:val="7"/>
          <w:sz w:val="28"/>
          <w:szCs w:val="28"/>
          <w:highlight w:val="none"/>
        </w:rPr>
        <w:t xml:space="preserve">.动</w:t>
      </w:r>
      <w:r>
        <w:rPr>
          <w:rFonts w:hint="eastAsia" w:ascii="仿宋" w:hAnsi="仿宋" w:eastAsia="仿宋" w:cs="仿宋"/>
          <w:color w:val="auto"/>
          <w:spacing w:val="7"/>
          <w:sz w:val="28"/>
          <w:szCs w:val="28"/>
          <w:highlight w:val="none"/>
        </w:rPr>
        <w:t xml:space="preserve">力系统要求：采取抽拉式布置，故障维修方便，且抽屉两端设有导流风孔。压缩机头液压泵采用单泵工作形式</w:t>
      </w:r>
      <w:r>
        <w:rPr>
          <w:rFonts w:hint="eastAsia" w:ascii="仿宋" w:hAnsi="仿宋" w:eastAsia="仿宋" w:cs="仿宋"/>
          <w:color w:val="auto"/>
          <w:spacing w:val="7"/>
          <w:sz w:val="28"/>
          <w:szCs w:val="28"/>
          <w:highlight w:val="none"/>
          <w:lang w:eastAsia="zh-CN"/>
        </w:rPr>
        <w:t xml:space="preserve">。</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0</w:t>
      </w:r>
      <w:r>
        <w:rPr>
          <w:rFonts w:hint="eastAsia" w:ascii="仿宋" w:hAnsi="仿宋" w:eastAsia="仿宋" w:cs="仿宋"/>
          <w:color w:val="auto"/>
          <w:spacing w:val="7"/>
          <w:sz w:val="28"/>
          <w:szCs w:val="28"/>
          <w:highlight w:val="none"/>
        </w:rPr>
        <w:t xml:space="preserve">.液压系统有散热装置；</w:t>
      </w:r>
      <w:r/>
    </w:p>
    <w:p>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 xml:space="preserve">1</w:t>
      </w:r>
      <w:r>
        <w:rPr>
          <w:rFonts w:hint="eastAsia" w:ascii="仿宋" w:hAnsi="仿宋" w:eastAsia="仿宋" w:cs="仿宋"/>
          <w:color w:val="auto"/>
          <w:spacing w:val="7"/>
          <w:sz w:val="28"/>
          <w:szCs w:val="28"/>
          <w:highlight w:val="none"/>
        </w:rPr>
        <w:t xml:space="preserve">.电气系统要求：智能程序控制模块、液晶面板可视操作、故障显示报警、工作状态参数自动显示；具有负载自适应功能，节能效率高。实现装载量按10%步进分段指示（10%、20%、30%...90%）及满载警示功能；具有紧急停机功能；具有压缩头强制回退功能。</w:t>
      </w:r>
      <w:r>
        <w:rPr>
          <w:rFonts w:hint="eastAsia" w:ascii="仿宋" w:hAnsi="仿宋" w:eastAsia="仿宋" w:cs="仿宋"/>
          <w:color w:val="auto"/>
          <w:spacing w:val="7"/>
          <w:sz w:val="28"/>
          <w:szCs w:val="28"/>
          <w:highlight w:val="none"/>
        </w:rPr>
        <w:br/>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2</w:t>
      </w:r>
      <w:r>
        <w:rPr>
          <w:rFonts w:hint="eastAsia" w:ascii="仿宋" w:hAnsi="仿宋" w:eastAsia="仿宋" w:cs="仿宋"/>
          <w:color w:val="auto"/>
          <w:spacing w:val="7"/>
          <w:sz w:val="28"/>
          <w:szCs w:val="28"/>
          <w:highlight w:val="none"/>
        </w:rPr>
        <w:t xml:space="preserve">.垃圾集装箱压缩腔前部、箱体后部两侧各设1个排污口，前端设置清理口。</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.箱体采用方形箱体，利于垃圾在箱体内移动并充分填满箱体。后门采用双侧对称四点机构，可以保证后门的密封效果，避免污水从后门泄漏。</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4</w:t>
      </w:r>
      <w:r>
        <w:rPr>
          <w:rFonts w:hint="eastAsia" w:ascii="仿宋" w:hAnsi="仿宋" w:eastAsia="仿宋" w:cs="仿宋"/>
          <w:color w:val="auto"/>
          <w:spacing w:val="7"/>
          <w:sz w:val="28"/>
          <w:szCs w:val="28"/>
          <w:highlight w:val="none"/>
        </w:rPr>
        <w:t xml:space="preserve">.后门密封条，保证后门密封，防止在压缩过程中污水泄漏，造成二次污染。</w:t>
      </w:r>
      <w:r/>
    </w:p>
    <w:p>
      <w:pPr>
        <w:ind w:firstLine="294"/>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.推头盖板采用分层渐进式，多层盖板安装在导向滑块内，可随推头伸缩，有减少推头的安装空间，同时防止垃圾落入下部推头油缸上，影响推头运动。</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.推头压缩采用负载感应技术，根据负载变化动态调整推头压缩力，实现空载低压跑、负载高压慢跑，提升压缩效率及装载量。</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.后门要求：整体采用整板焊接，美观大方。</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.料斗举升装置：设备的料斗采用连体式结构，放下时用于收集车倒料，盖起时为压缩腔上盖子，料斗内衬板采用304不锈钢材质。</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19</w:t>
      </w:r>
      <w:r>
        <w:rPr>
          <w:rFonts w:hint="eastAsia" w:ascii="仿宋" w:hAnsi="仿宋" w:eastAsia="仿宋" w:cs="仿宋"/>
          <w:color w:val="auto"/>
          <w:spacing w:val="7"/>
          <w:sz w:val="28"/>
          <w:szCs w:val="28"/>
          <w:highlight w:val="none"/>
        </w:rPr>
        <w:t xml:space="preserve">.压缩腔要求：压缩腔侧板、底板，推头为关键零件，屈服强度≥455Mpa；</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0</w:t>
      </w:r>
      <w:r>
        <w:rPr>
          <w:rFonts w:hint="eastAsia" w:ascii="仿宋" w:hAnsi="仿宋" w:eastAsia="仿宋" w:cs="仿宋"/>
          <w:color w:val="auto"/>
          <w:spacing w:val="7"/>
          <w:sz w:val="28"/>
          <w:szCs w:val="28"/>
          <w:highlight w:val="none"/>
        </w:rPr>
        <w:t xml:space="preserve">.推头底板采用整体板材设计，免维护。</w:t>
      </w:r>
      <w:r/>
    </w:p>
    <w:p>
      <w:pPr>
        <w:ind w:firstLine="588"/>
        <w:jc w:val="left"/>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1</w:t>
      </w:r>
      <w:r>
        <w:rPr>
          <w:rFonts w:hint="eastAsia" w:ascii="仿宋" w:hAnsi="仿宋" w:eastAsia="仿宋" w:cs="仿宋"/>
          <w:color w:val="auto"/>
          <w:spacing w:val="7"/>
          <w:sz w:val="28"/>
          <w:szCs w:val="28"/>
          <w:highlight w:val="none"/>
        </w:rPr>
        <w:t xml:space="preserve">.设备制造工艺：设备采用先进的制造工艺，主要零件采用工装制造。</w:t>
      </w:r>
      <w:r/>
    </w:p>
    <w:p>
      <w:pPr>
        <w:ind w:firstLine="588"/>
        <w:jc w:val="left"/>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2</w:t>
      </w:r>
      <w:r>
        <w:rPr>
          <w:rFonts w:hint="eastAsia" w:ascii="仿宋" w:hAnsi="仿宋" w:eastAsia="仿宋" w:cs="仿宋"/>
          <w:color w:val="auto"/>
          <w:spacing w:val="7"/>
          <w:sz w:val="28"/>
          <w:szCs w:val="28"/>
          <w:highlight w:val="none"/>
        </w:rPr>
        <w:t xml:space="preserve">.压缩头、压缩腔等关键部位均使用高强度、耐磨、耐腐蚀钢板制造而成，压缩头与压缩腔采用无导轨设计，四周间隙小，可有效防止垃圾滞留在机体内。</w:t>
      </w:r>
      <w:bookmarkStart w:id="37" w:name="_Toc192766789"/>
      <w:r/>
      <w:bookmarkEnd w:id="37"/>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.后门锁紧采用液压油缸锁紧机构，从拉臂车取动力，自动操作，操作简单可靠。</w:t>
      </w:r>
      <w:r/>
    </w:p>
    <w:p>
      <w:pPr>
        <w:ind w:firstLine="280"/>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4</w:t>
      </w:r>
      <w:r>
        <w:rPr>
          <w:rFonts w:hint="eastAsia" w:ascii="仿宋" w:hAnsi="仿宋" w:eastAsia="仿宋" w:cs="仿宋"/>
          <w:color w:val="auto"/>
          <w:spacing w:val="7"/>
          <w:sz w:val="28"/>
          <w:szCs w:val="28"/>
          <w:highlight w:val="none"/>
        </w:rPr>
        <w:t xml:space="preserve">.控制箱面板上安装有4寸触摸屏、换相开关、遥控钥匙开关、启动按钮、强退旋钮、急停按钮等器件。触摸屏能够实时监控动力系统的工作状态，通过更改参数设置可以更改动力系统的运行状态。同时通过触摸屏上的按钮可以控制主机运行。</w:t>
      </w:r>
      <w:r>
        <w:rPr>
          <w:rFonts w:hint="eastAsia" w:ascii="仿宋" w:hAnsi="仿宋" w:eastAsia="仿宋" w:cs="仿宋"/>
          <w:b/>
          <w:bCs/>
          <w:color w:val="auto"/>
          <w:spacing w:val="7"/>
          <w:sz w:val="28"/>
          <w:szCs w:val="28"/>
          <w:highlight w:val="none"/>
        </w:rPr>
        <w:t xml:space="preserve">（提供控制箱面板的设计效果图或结构示意图，投标时加盖公章）</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.移动式压缩设备为了更好的对垃圾达到破坏性效果，使垃圾压缩密度更高，压缩机推头需采用W形式或其他等效形式。</w:t>
      </w:r>
      <w:r>
        <w:rPr>
          <w:rFonts w:hint="eastAsia" w:ascii="仿宋" w:hAnsi="仿宋" w:eastAsia="仿宋" w:cs="仿宋"/>
          <w:b/>
          <w:bCs/>
          <w:color w:val="auto"/>
          <w:spacing w:val="7"/>
          <w:sz w:val="28"/>
          <w:szCs w:val="28"/>
          <w:highlight w:val="none"/>
        </w:rPr>
        <w:t xml:space="preserve">（提供推头的结构示意图，投标时加盖公章）</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.移动式压缩机后门，锁紧钩需使用独立的液压锁紧机构，保障后门污水不渗漏，不形成二次污染。</w:t>
      </w:r>
      <w:r>
        <w:rPr>
          <w:rFonts w:hint="eastAsia" w:ascii="仿宋" w:hAnsi="仿宋" w:eastAsia="仿宋" w:cs="仿宋"/>
          <w:b/>
          <w:bCs/>
          <w:color w:val="auto"/>
          <w:spacing w:val="7"/>
          <w:sz w:val="28"/>
          <w:szCs w:val="28"/>
          <w:highlight w:val="none"/>
        </w:rPr>
        <w:t xml:space="preserve">（提供后门锁紧机构的结构示意图，投标时加盖公章）</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.压缩机推头采用多级可伸缩式结构，推头盖板两侧轨道对到采用尼龙材质，减少推头盖板与轨道磨损，延长使用寿命。</w:t>
      </w:r>
      <w:r>
        <w:rPr>
          <w:rFonts w:hint="eastAsia" w:ascii="仿宋" w:hAnsi="仿宋" w:eastAsia="仿宋" w:cs="仿宋"/>
          <w:b/>
          <w:bCs/>
          <w:color w:val="auto"/>
          <w:spacing w:val="7"/>
          <w:sz w:val="28"/>
          <w:szCs w:val="28"/>
          <w:highlight w:val="none"/>
        </w:rPr>
        <w:t xml:space="preserve">（提供推头的结构示意图，投标时加盖公章）</w:t>
      </w:r>
      <w:r/>
    </w:p>
    <w:p>
      <w:pPr>
        <w:pStyle w:val="688"/>
        <w:ind w:firstLine="588"/>
        <w:keepLines w:val="0"/>
        <w:keepNext w:val="0"/>
        <w:pageBreakBefore w:val="0"/>
        <w:spacing w:line="336" w:lineRule="auto"/>
        <w:widowControl w:val="off"/>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.垃圾箱体前侧设置检修门，检修门的锁紧方式需采用拧紧手轮式锁紧方式。</w:t>
      </w:r>
      <w:r/>
    </w:p>
    <w:p>
      <w:pPr>
        <w:keepLines w:val="0"/>
        <w:keepNext w:val="0"/>
        <w:pageBreakBefore w:val="0"/>
        <w:spacing w:line="336" w:lineRule="auto"/>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三、质保及售后服务要求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1</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质量保证期</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lang w:val="zh-TW"/>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提供的产品免费质保期不低于</w:t>
      </w:r>
      <w:r>
        <w:rPr>
          <w:rFonts w:hint="eastAsia" w:ascii="仿宋" w:hAnsi="仿宋" w:eastAsia="仿宋" w:cs="仿宋"/>
          <w:bCs/>
          <w:color w:val="auto"/>
          <w:sz w:val="28"/>
          <w:szCs w:val="28"/>
          <w:highlight w:val="none"/>
          <w:lang w:eastAsia="zh-CN"/>
        </w:rPr>
        <w:t xml:space="preserve">三</w:t>
      </w:r>
      <w:r>
        <w:rPr>
          <w:rFonts w:hint="eastAsia" w:ascii="仿宋" w:hAnsi="仿宋" w:eastAsia="仿宋" w:cs="仿宋"/>
          <w:bCs/>
          <w:color w:val="auto"/>
          <w:sz w:val="28"/>
          <w:szCs w:val="28"/>
          <w:highlight w:val="none"/>
        </w:rPr>
        <w:t xml:space="preserve">年（质量保质期开始时间为项目验收合格之日起计算），在非人为损坏的情况下，如发生质量问题，均由中标供应商承担。</w:t>
      </w:r>
      <w:r>
        <w:rPr>
          <w:rFonts w:hint="eastAsia" w:ascii="仿宋" w:hAnsi="仿宋" w:eastAsia="仿宋" w:cs="仿宋"/>
          <w:bCs/>
          <w:color w:val="auto"/>
          <w:sz w:val="28"/>
          <w:szCs w:val="28"/>
          <w:highlight w:val="none"/>
          <w:lang w:val="zh-TW"/>
        </w:rPr>
        <w:t xml:space="preserve">质保期内免费提供正常使用的易损件和备件。</w:t>
      </w:r>
      <w:r/>
    </w:p>
    <w:p>
      <w:pPr>
        <w:numPr>
          <w:ilvl w:val="0"/>
          <w:numId w:val="0"/>
        </w:numPr>
        <w:ind w:firstLine="560"/>
        <w:keepLines w:val="0"/>
        <w:keepNext w:val="0"/>
        <w:pageBreakBefore w:val="0"/>
        <w:spacing w:line="336" w:lineRule="auto"/>
        <w:widowControl w:val="off"/>
        <w:tabs>
          <w:tab w:val="left" w:pos="180" w:leader="none"/>
        </w:tabs>
        <w:rPr>
          <w:rFonts w:hint="eastAsia" w:ascii="仿宋" w:hAnsi="仿宋" w:eastAsia="仿宋" w:cs="仿宋"/>
          <w:b/>
          <w:bCs w:val="0"/>
          <w:color w:val="auto"/>
          <w:sz w:val="28"/>
          <w:szCs w:val="28"/>
          <w:highlight w:val="none"/>
          <w:lang w:eastAsia="zh-CN"/>
        </w:rPr>
      </w:pPr>
      <w:r>
        <w:rPr>
          <w:rFonts w:hint="eastAsia" w:ascii="仿宋" w:hAnsi="仿宋" w:eastAsia="仿宋" w:cs="仿宋"/>
          <w:bCs/>
          <w:color w:val="auto"/>
          <w:sz w:val="28"/>
          <w:szCs w:val="28"/>
          <w:highlight w:val="none"/>
          <w:lang w:val="en-US" w:eastAsia="zh-CN" w:bidi="ar-SA"/>
        </w:rPr>
        <w:t xml:space="preserve">★（2）</w:t>
      </w:r>
      <w:r>
        <w:rPr>
          <w:rFonts w:hint="eastAsia" w:ascii="仿宋" w:hAnsi="仿宋" w:eastAsia="仿宋" w:cs="仿宋"/>
          <w:bCs/>
          <w:color w:val="auto"/>
          <w:sz w:val="28"/>
          <w:szCs w:val="28"/>
          <w:highlight w:val="none"/>
        </w:rPr>
        <w:t xml:space="preserve">投标人所投产品须为全新未使用过的原装合格产品。</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投标人须提供书面承诺函</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格式自拟</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并</w:t>
      </w:r>
      <w:r>
        <w:rPr>
          <w:rFonts w:hint="default" w:ascii="仿宋" w:hAnsi="仿宋" w:eastAsia="仿宋" w:cs="仿宋"/>
          <w:b/>
          <w:bCs w:val="0"/>
          <w:color w:val="auto"/>
          <w:sz w:val="28"/>
          <w:szCs w:val="28"/>
          <w:highlight w:val="none"/>
        </w:rPr>
        <w:t xml:space="preserve">加盖投标人电子签章</w:t>
      </w:r>
      <w:r>
        <w:rPr>
          <w:rFonts w:hint="eastAsia" w:ascii="仿宋" w:hAnsi="仿宋" w:eastAsia="仿宋" w:cs="仿宋"/>
          <w:b/>
          <w:bCs w:val="0"/>
          <w:color w:val="auto"/>
          <w:sz w:val="28"/>
          <w:szCs w:val="28"/>
          <w:highlight w:val="none"/>
          <w:lang w:val="en-US" w:eastAsia="zh-CN"/>
        </w:rPr>
        <w:t xml:space="preserve">及法定代表人签字并盖章</w:t>
      </w:r>
      <w:r>
        <w:rPr>
          <w:rFonts w:hint="default" w:ascii="仿宋" w:hAnsi="仿宋" w:eastAsia="仿宋" w:cs="仿宋"/>
          <w:b/>
          <w:bCs w:val="0"/>
          <w:color w:val="auto"/>
          <w:sz w:val="28"/>
          <w:szCs w:val="28"/>
          <w:highlight w:val="none"/>
        </w:rPr>
        <w:t xml:space="preserve">上传至电子投标文件</w:t>
      </w:r>
      <w:r>
        <w:rPr>
          <w:rFonts w:hint="eastAsia" w:ascii="仿宋" w:hAnsi="仿宋" w:eastAsia="仿宋" w:cs="仿宋"/>
          <w:b/>
          <w:bCs w:val="0"/>
          <w:color w:val="auto"/>
          <w:sz w:val="28"/>
          <w:szCs w:val="28"/>
          <w:highlight w:val="none"/>
          <w:lang w:eastAsia="zh-CN"/>
        </w:rPr>
        <w:t xml:space="preserve">】</w:t>
      </w:r>
      <w:r/>
    </w:p>
    <w:p>
      <w:pPr>
        <w:numPr>
          <w:ilvl w:val="0"/>
          <w:numId w:val="0"/>
        </w:num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）投标产品属于国家规定“三包”范围的，其产品质量保证期不得低于“三包”规定。</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的质量保证期承诺优于国家“三包”规定的，按</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实际承诺执行。</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）投标产品由制造商（指产品生产制造商，或其负责销售、售后服务机构）负责标准售后服务的，应当在投标文件中予以明确说明</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并附制造商售后服务承诺。</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售后服务内容</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应具备完善的售后服务体系，有固定的维修人员并有能力及时处理所有可能发生的故障。</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在质量保证期内应当为采购人提供以下技术支持和服务：</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1）电话咨询</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应当为采购人提供技术支持电话，解答采购人在使用中遇到的问题，及时为采购人提出解决问题的建议。</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2）现场响应</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采购人遇到使用及技术问题，电话咨询不能解决的，中标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应按照投标文件中承诺时间到达现场后立即进行处理，免费予以排除故障、修复或更换零部件，确保产品正常工作；无法在到达现场24小时内解决的，应在72小时内提供备用产品，使采购人能够正常使用。</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3）其他服务要求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在质保期内中标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应向采购人免费提供配件、上门维修服务以及一年不低于两次的常规检查，同时参照产品包装内生产厂商保修承诺，且以对采购人最优承诺为准。</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（2）质保期过后服务要求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1）质量保证期过后，</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应同样提供免费电话咨询服务，并应承诺提供产品上门维护服务。</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（四）交付要求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负责将所有设备运到采购人指定地点，由</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负责办理运输、装卸、安装调试等，费用由</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负责，由采购人组织验收，检验不合格或不符合质量要求，</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除无条件退货、返工外，还应承担采购人的一切损失。</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（五）项目验收</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所供应的设备必须是原装出厂的、全新的、包装完好，外观无瑕疵、配件齐全、结构无松动，各项技术指标完全符合招标清单技术要求、符合国家有关质量检测、环保标准。根据投标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在投标文件中所制订的项目验收方案进行验收，确保货物设备及项目达到招标文件及投标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各项承诺要求并通过市场监督管理局等行业主管部门许可及验收。验收费用由中标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承担。因中标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交付的货物不符合标准导致重复支出的验收费用，由中标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承担。采购人有权委托第三方检测机构对设备质量进行抽检；抽检不合格的，中标人应无条件换货并承担由此造成的一切损失</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 </w:t>
      </w:r>
      <w:r/>
    </w:p>
    <w:p>
      <w:pPr>
        <w:keepLines w:val="0"/>
        <w:keepNext w:val="0"/>
        <w:pageBreakBefore w:val="0"/>
        <w:spacing w:line="336"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四、商务部分</w:t>
      </w:r>
      <w:r/>
    </w:p>
    <w:p>
      <w:pPr>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供货时间</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rPr>
        <w:t xml:space="preserve">合同签订后，中标人接到采购人分批供货通知之日起 7</w:t>
      </w:r>
      <w:r>
        <w:rPr>
          <w:rFonts w:hint="eastAsia" w:ascii="仿宋" w:hAnsi="仿宋" w:eastAsia="仿宋"/>
          <w:color w:val="auto"/>
          <w:sz w:val="28"/>
          <w:szCs w:val="28"/>
          <w:highlight w:val="none"/>
          <w:lang w:val="en-US" w:eastAsia="zh-CN"/>
        </w:rPr>
        <w:t xml:space="preserve">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内，完成该批次货物的供货、安装、调试并交付采购人使用。具体批次及每批次供货数量以采购人通知为准。中标人可在投标文件中就交货期限提出合理化建议，经采购人同意后可另行协商。</w:t>
      </w:r>
      <w:r/>
    </w:p>
    <w:p>
      <w:pPr>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供货地点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由采购人指定。</w:t>
      </w:r>
      <w:r/>
    </w:p>
    <w:p>
      <w:pPr>
        <w:pStyle w:val="688"/>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付款方式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分批次完成设备安装验收，每批次验收合格后，依据合格台数一次性付清该批次货款。</w:t>
      </w:r>
      <w:r/>
    </w:p>
    <w:p>
      <w:pPr>
        <w:pStyle w:val="688"/>
        <w:ind w:firstLine="560"/>
        <w:keepLines w:val="0"/>
        <w:keepNext w:val="0"/>
        <w:pageBreakBefore w:val="0"/>
        <w:spacing w:line="336" w:lineRule="auto"/>
        <w:widowControl w:val="off"/>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914"/>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91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91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14"/>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14"/>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14"/>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14"/>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14"/>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914"/>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965"/>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：JSZC-320812-JSFP-G2026-0008</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6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6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6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6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65"/>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65"/>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65"/>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65"/>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914"/>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38" w:name="_Toc136924766"/>
      <w:r/>
      <w:bookmarkEnd w:id="38"/>
      <w:r/>
      <w:bookmarkStart w:id="39" w:name="_Toc157775459"/>
      <w:r/>
      <w:bookmarkEnd w:id="39"/>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14"/>
        <w:ind w:firstLine="2875"/>
        <w:rPr>
          <w:rFonts w:hint="eastAsia" w:hAnsi="宋体"/>
          <w:b/>
          <w:color w:val="auto"/>
          <w:sz w:val="32"/>
          <w:szCs w:val="32"/>
          <w:highlight w:val="none"/>
        </w:rPr>
      </w:pPr>
      <w:r/>
      <w:bookmarkStart w:id="40" w:name="_Toc157775468"/>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ind w:firstLine="2875"/>
        <w:rPr>
          <w:rFonts w:hint="eastAsia" w:hAnsi="宋体"/>
          <w:b/>
          <w:color w:val="auto"/>
          <w:sz w:val="32"/>
          <w:szCs w:val="32"/>
          <w:highlight w:val="none"/>
        </w:rPr>
      </w:pPr>
      <w:r>
        <w:rPr>
          <w:rFonts w:hint="eastAsia" w:hAnsi="宋体"/>
          <w:b/>
          <w:color w:val="auto"/>
          <w:sz w:val="32"/>
          <w:szCs w:val="32"/>
          <w:highlight w:val="none"/>
        </w:rPr>
      </w:r>
      <w:r/>
    </w:p>
    <w:p>
      <w:pPr>
        <w:pStyle w:val="914"/>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914"/>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914"/>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8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914"/>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914"/>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bl>
    <w:p>
      <w:pPr>
        <w:pStyle w:val="914"/>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914"/>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14"/>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914"/>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914"/>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914"/>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914"/>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914"/>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912"/>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2"/>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2"/>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2"/>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0"/>
      <w:r/>
      <w:r/>
    </w:p>
    <w:p>
      <w:pPr>
        <w:pStyle w:val="914"/>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914"/>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914"/>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914"/>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left"/>
        <w:widowControl/>
        <w:rPr>
          <w:rFonts w:hint="eastAsia" w:ascii="宋体" w:hAnsi="宋体" w:cs="Arial"/>
          <w:b/>
          <w:bCs/>
          <w:color w:val="auto"/>
          <w:sz w:val="32"/>
          <w:highlight w:val="none"/>
        </w:rPr>
      </w:pPr>
      <w:r>
        <w:rPr>
          <w:rFonts w:hint="eastAsia" w:ascii="宋体" w:hAnsi="宋体" w:cs="Arial"/>
          <w:b/>
          <w:bCs/>
          <w:color w:val="auto"/>
          <w:sz w:val="32"/>
          <w:highlight w:val="none"/>
        </w:rPr>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1"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1"/>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65"/>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淮安市清江浦区环卫事业管理服务中心</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：JSZC-320812-JSFP-G2026-0008</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：JSZC-320812-JSFP-G2026-0008</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89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9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9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96"/>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9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9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6"/>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96"/>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96"/>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96"/>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96"/>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89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9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9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96"/>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96"/>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96"/>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96"/>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96"/>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9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9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9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9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96"/>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9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9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9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9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9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96"/>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华文行楷">
    <w:panose1 w:val="02010800040101010101"/>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7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6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7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0">
    <w:name w:val="Heading 1"/>
    <w:basedOn w:val="669"/>
    <w:next w:val="669"/>
    <w:link w:val="746"/>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link w:val="747"/>
    <w:uiPriority w:val="9"/>
    <w:unhideWhenUsed/>
    <w:qFormat/>
    <w:pPr>
      <w:keepLines/>
      <w:keepNext/>
      <w:spacing w:before="360" w:after="200"/>
      <w:outlineLvl w:val="1"/>
    </w:pPr>
    <w:rPr>
      <w:rFonts w:ascii="Arial" w:hAnsi="Arial" w:eastAsia="Arial" w:cs="Arial"/>
      <w:sz w:val="34"/>
    </w:rPr>
  </w:style>
  <w:style w:type="paragraph" w:styleId="672">
    <w:name w:val="Heading 3"/>
    <w:basedOn w:val="669"/>
    <w:next w:val="669"/>
    <w:link w:val="748"/>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link w:val="749"/>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link w:val="750"/>
    <w:uiPriority w:val="9"/>
    <w:unhideWhenUsed/>
    <w:qFormat/>
    <w:pPr>
      <w:keepLines/>
      <w:keepNext/>
      <w:spacing w:before="320" w:after="200"/>
      <w:outlineLvl w:val="4"/>
    </w:pPr>
    <w:rPr>
      <w:rFonts w:ascii="Arial" w:hAnsi="Arial" w:eastAsia="Arial" w:cs="Arial"/>
      <w:b/>
      <w:bCs/>
      <w:sz w:val="24"/>
    </w:rPr>
  </w:style>
  <w:style w:type="paragraph" w:styleId="675">
    <w:name w:val="Heading 6"/>
    <w:basedOn w:val="669"/>
    <w:next w:val="669"/>
    <w:link w:val="751"/>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753"/>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754"/>
    <w:uiPriority w:val="9"/>
    <w:unhideWhenUsed/>
    <w:qFormat/>
    <w:pPr>
      <w:keepLines/>
      <w:keepNext/>
      <w:spacing w:before="320" w:after="200"/>
      <w:outlineLvl w:val="8"/>
    </w:pPr>
    <w:rPr>
      <w:rFonts w:ascii="Arial" w:hAnsi="Arial" w:eastAsia="Arial" w:cs="Arial"/>
      <w:i/>
      <w:iCs/>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toc 7"/>
    <w:basedOn w:val="669"/>
    <w:next w:val="669"/>
    <w:uiPriority w:val="39"/>
    <w:unhideWhenUsed/>
    <w:qFormat/>
    <w:pPr>
      <w:ind w:left="1701"/>
      <w:spacing w:after="57"/>
    </w:pPr>
  </w:style>
  <w:style w:type="paragraph" w:styleId="682">
    <w:name w:val="Caption"/>
    <w:basedOn w:val="669"/>
    <w:next w:val="6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Body Text"/>
    <w:basedOn w:val="669"/>
    <w:next w:val="66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4">
    <w:name w:val="Body Text Indent"/>
    <w:basedOn w:val="669"/>
    <w:next w:val="685"/>
    <w:uiPriority w:val="0"/>
    <w:qFormat/>
    <w:pPr>
      <w:ind w:firstLine="352"/>
    </w:pPr>
    <w:rPr>
      <w:rFonts w:ascii="仿宋_GB2312" w:eastAsia="仿宋_GB2312"/>
      <w:sz w:val="32"/>
    </w:rPr>
  </w:style>
  <w:style w:type="paragraph" w:styleId="685">
    <w:name w:val="Body Text First Indent 2"/>
    <w:basedOn w:val="684"/>
    <w:next w:val="669"/>
    <w:uiPriority w:val="0"/>
    <w:qFormat/>
    <w:pPr>
      <w:jc w:val="left"/>
    </w:pPr>
  </w:style>
  <w:style w:type="paragraph" w:styleId="686">
    <w:name w:val="toc 5"/>
    <w:basedOn w:val="669"/>
    <w:next w:val="669"/>
    <w:uiPriority w:val="39"/>
    <w:unhideWhenUsed/>
    <w:qFormat/>
    <w:pPr>
      <w:ind w:left="1134"/>
      <w:spacing w:after="57"/>
    </w:pPr>
  </w:style>
  <w:style w:type="paragraph" w:styleId="687">
    <w:name w:val="toc 3"/>
    <w:basedOn w:val="669"/>
    <w:next w:val="669"/>
    <w:uiPriority w:val="39"/>
    <w:unhideWhenUsed/>
    <w:qFormat/>
    <w:pPr>
      <w:ind w:left="567"/>
      <w:spacing w:after="57"/>
    </w:pPr>
  </w:style>
  <w:style w:type="paragraph" w:styleId="688">
    <w:name w:val="Plain Text"/>
    <w:basedOn w:val="669"/>
    <w:uiPriority w:val="0"/>
    <w:qFormat/>
    <w:rPr>
      <w:rFonts w:ascii="宋体" w:hAnsi="Courier New"/>
      <w:szCs w:val="20"/>
    </w:rPr>
  </w:style>
  <w:style w:type="paragraph" w:styleId="689">
    <w:name w:val="toc 8"/>
    <w:basedOn w:val="669"/>
    <w:next w:val="669"/>
    <w:uiPriority w:val="39"/>
    <w:unhideWhenUsed/>
    <w:qFormat/>
    <w:pPr>
      <w:ind w:left="1984"/>
      <w:spacing w:after="57"/>
    </w:pPr>
  </w:style>
  <w:style w:type="paragraph" w:styleId="690">
    <w:name w:val="endnote text"/>
    <w:basedOn w:val="669"/>
    <w:link w:val="892"/>
    <w:uiPriority w:val="99"/>
    <w:semiHidden/>
    <w:unhideWhenUsed/>
    <w:qFormat/>
    <w:rPr>
      <w:sz w:val="20"/>
    </w:rPr>
  </w:style>
  <w:style w:type="paragraph" w:styleId="691">
    <w:name w:val="Footer"/>
    <w:basedOn w:val="669"/>
    <w:link w:val="765"/>
    <w:uiPriority w:val="99"/>
    <w:unhideWhenUsed/>
    <w:qFormat/>
    <w:pPr>
      <w:tabs>
        <w:tab w:val="center" w:pos="7143" w:leader="none"/>
        <w:tab w:val="right" w:pos="14287" w:leader="none"/>
      </w:tabs>
    </w:pPr>
  </w:style>
  <w:style w:type="paragraph" w:styleId="692">
    <w:name w:val="Header"/>
    <w:basedOn w:val="669"/>
    <w:link w:val="763"/>
    <w:uiPriority w:val="99"/>
    <w:unhideWhenUsed/>
    <w:qFormat/>
    <w:pPr>
      <w:tabs>
        <w:tab w:val="center" w:pos="7143" w:leader="none"/>
        <w:tab w:val="right" w:pos="14287" w:leader="none"/>
      </w:tabs>
    </w:pPr>
  </w:style>
  <w:style w:type="paragraph" w:styleId="693">
    <w:name w:val="toc 1"/>
    <w:basedOn w:val="669"/>
    <w:next w:val="669"/>
    <w:uiPriority w:val="39"/>
    <w:unhideWhenUsed/>
    <w:qFormat/>
    <w:pPr>
      <w:spacing w:after="57"/>
    </w:pPr>
  </w:style>
  <w:style w:type="paragraph" w:styleId="694">
    <w:name w:val="toc 4"/>
    <w:basedOn w:val="669"/>
    <w:next w:val="669"/>
    <w:uiPriority w:val="39"/>
    <w:unhideWhenUsed/>
    <w:qFormat/>
    <w:pPr>
      <w:ind w:left="850"/>
      <w:spacing w:after="57"/>
    </w:pPr>
  </w:style>
  <w:style w:type="paragraph" w:styleId="695">
    <w:name w:val="Subtitle"/>
    <w:basedOn w:val="669"/>
    <w:next w:val="669"/>
    <w:link w:val="758"/>
    <w:uiPriority w:val="11"/>
    <w:qFormat/>
    <w:pPr>
      <w:spacing w:before="200" w:after="200"/>
    </w:pPr>
    <w:rPr>
      <w:sz w:val="24"/>
    </w:rPr>
  </w:style>
  <w:style w:type="paragraph" w:styleId="696">
    <w:name w:val="footnote text"/>
    <w:basedOn w:val="669"/>
    <w:link w:val="891"/>
    <w:uiPriority w:val="99"/>
    <w:semiHidden/>
    <w:unhideWhenUsed/>
    <w:qFormat/>
    <w:pPr>
      <w:spacing w:after="40"/>
    </w:pPr>
    <w:rPr>
      <w:sz w:val="18"/>
    </w:rPr>
  </w:style>
  <w:style w:type="paragraph" w:styleId="697">
    <w:name w:val="toc 6"/>
    <w:basedOn w:val="669"/>
    <w:next w:val="669"/>
    <w:uiPriority w:val="39"/>
    <w:unhideWhenUsed/>
    <w:qFormat/>
    <w:pPr>
      <w:ind w:left="1417"/>
      <w:spacing w:after="57"/>
    </w:pPr>
  </w:style>
  <w:style w:type="paragraph" w:styleId="698">
    <w:name w:val="table of figures"/>
    <w:basedOn w:val="669"/>
    <w:next w:val="669"/>
    <w:uiPriority w:val="99"/>
    <w:unhideWhenUsed/>
    <w:qFormat/>
  </w:style>
  <w:style w:type="paragraph" w:styleId="699">
    <w:name w:val="toc 2"/>
    <w:basedOn w:val="669"/>
    <w:next w:val="669"/>
    <w:uiPriority w:val="39"/>
    <w:unhideWhenUsed/>
    <w:qFormat/>
    <w:pPr>
      <w:ind w:left="283"/>
      <w:spacing w:after="57"/>
    </w:pPr>
  </w:style>
  <w:style w:type="paragraph" w:styleId="700">
    <w:name w:val="toc 9"/>
    <w:basedOn w:val="669"/>
    <w:next w:val="669"/>
    <w:uiPriority w:val="39"/>
    <w:unhideWhenUsed/>
    <w:qFormat/>
    <w:pPr>
      <w:ind w:left="2268"/>
      <w:spacing w:after="57"/>
    </w:pPr>
  </w:style>
  <w:style w:type="paragraph" w:styleId="701">
    <w:name w:val="Normal (Web)"/>
    <w:basedOn w:val="669"/>
    <w:uiPriority w:val="0"/>
    <w:qFormat/>
    <w:pPr>
      <w:jc w:val="center"/>
      <w:spacing w:before="120" w:after="120" w:line="360" w:lineRule="auto"/>
    </w:pPr>
    <w:rPr>
      <w:rFonts w:ascii="仿宋" w:hAnsi="仿宋" w:eastAsia="仿宋" w:cs="Arial"/>
      <w:color w:val="000000"/>
      <w:sz w:val="28"/>
      <w:szCs w:val="28"/>
    </w:rPr>
  </w:style>
  <w:style w:type="paragraph" w:styleId="702">
    <w:name w:val="Title"/>
    <w:basedOn w:val="669"/>
    <w:next w:val="669"/>
    <w:link w:val="757"/>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79"/>
    <w:uiPriority w:val="22"/>
    <w:qFormat/>
    <w:rPr>
      <w:b/>
    </w:r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character" w:styleId="708" w:customStyle="1">
    <w:name w:val="Heading 1 Char"/>
    <w:basedOn w:val="679"/>
    <w:uiPriority w:val="9"/>
    <w:qFormat/>
    <w:rPr>
      <w:rFonts w:ascii="Arial" w:hAnsi="Arial" w:eastAsia="Arial" w:cs="Arial"/>
      <w:sz w:val="40"/>
      <w:szCs w:val="40"/>
    </w:rPr>
  </w:style>
  <w:style w:type="character" w:styleId="709" w:customStyle="1">
    <w:name w:val="Heading 2 Char"/>
    <w:basedOn w:val="679"/>
    <w:uiPriority w:val="9"/>
    <w:qFormat/>
    <w:rPr>
      <w:rFonts w:ascii="Arial" w:hAnsi="Arial" w:eastAsia="Arial" w:cs="Arial"/>
      <w:sz w:val="34"/>
    </w:rPr>
  </w:style>
  <w:style w:type="character" w:styleId="710" w:customStyle="1">
    <w:name w:val="Heading 3 Char"/>
    <w:basedOn w:val="679"/>
    <w:uiPriority w:val="9"/>
    <w:qFormat/>
    <w:rPr>
      <w:rFonts w:ascii="Arial" w:hAnsi="Arial" w:eastAsia="Arial" w:cs="Arial"/>
      <w:sz w:val="30"/>
      <w:szCs w:val="30"/>
    </w:rPr>
  </w:style>
  <w:style w:type="character" w:styleId="711" w:customStyle="1">
    <w:name w:val="Heading 4 Char"/>
    <w:basedOn w:val="679"/>
    <w:uiPriority w:val="9"/>
    <w:qFormat/>
    <w:rPr>
      <w:rFonts w:ascii="Arial" w:hAnsi="Arial" w:eastAsia="Arial" w:cs="Arial"/>
      <w:b/>
      <w:bCs/>
      <w:sz w:val="26"/>
      <w:szCs w:val="26"/>
    </w:rPr>
  </w:style>
  <w:style w:type="character" w:styleId="712" w:customStyle="1">
    <w:name w:val="Heading 5 Char"/>
    <w:basedOn w:val="679"/>
    <w:uiPriority w:val="9"/>
    <w:qFormat/>
    <w:rPr>
      <w:rFonts w:ascii="Arial" w:hAnsi="Arial" w:eastAsia="Arial" w:cs="Arial"/>
      <w:b/>
      <w:bCs/>
      <w:sz w:val="24"/>
      <w:szCs w:val="24"/>
    </w:rPr>
  </w:style>
  <w:style w:type="character" w:styleId="713" w:customStyle="1">
    <w:name w:val="Heading 6 Char"/>
    <w:basedOn w:val="679"/>
    <w:uiPriority w:val="9"/>
    <w:qFormat/>
    <w:rPr>
      <w:rFonts w:ascii="Arial" w:hAnsi="Arial" w:eastAsia="Arial" w:cs="Arial"/>
      <w:b/>
      <w:bCs/>
      <w:sz w:val="22"/>
      <w:szCs w:val="22"/>
    </w:rPr>
  </w:style>
  <w:style w:type="character" w:styleId="714" w:customStyle="1">
    <w:name w:val="Heading 7 Char"/>
    <w:basedOn w:val="679"/>
    <w:uiPriority w:val="9"/>
    <w:qFormat/>
    <w:rPr>
      <w:rFonts w:ascii="Arial" w:hAnsi="Arial" w:eastAsia="Arial" w:cs="Arial"/>
      <w:b/>
      <w:bCs/>
      <w:i/>
      <w:iCs/>
      <w:sz w:val="22"/>
      <w:szCs w:val="22"/>
    </w:rPr>
  </w:style>
  <w:style w:type="character" w:styleId="715" w:customStyle="1">
    <w:name w:val="Heading 8 Char"/>
    <w:basedOn w:val="679"/>
    <w:uiPriority w:val="9"/>
    <w:qFormat/>
    <w:rPr>
      <w:rFonts w:ascii="Arial" w:hAnsi="Arial" w:eastAsia="Arial" w:cs="Arial"/>
      <w:i/>
      <w:iCs/>
      <w:sz w:val="22"/>
      <w:szCs w:val="22"/>
    </w:rPr>
  </w:style>
  <w:style w:type="character" w:styleId="716" w:customStyle="1">
    <w:name w:val="Heading 9 Char"/>
    <w:basedOn w:val="679"/>
    <w:uiPriority w:val="9"/>
    <w:qFormat/>
    <w:rPr>
      <w:rFonts w:ascii="Arial" w:hAnsi="Arial" w:eastAsia="Arial" w:cs="Arial"/>
      <w:i/>
      <w:iCs/>
      <w:sz w:val="21"/>
      <w:szCs w:val="21"/>
    </w:rPr>
  </w:style>
  <w:style w:type="character" w:styleId="717" w:customStyle="1">
    <w:name w:val="Title Char"/>
    <w:basedOn w:val="679"/>
    <w:uiPriority w:val="10"/>
    <w:qFormat/>
    <w:rPr>
      <w:sz w:val="48"/>
      <w:szCs w:val="48"/>
    </w:rPr>
  </w:style>
  <w:style w:type="character" w:styleId="718" w:customStyle="1">
    <w:name w:val="Subtitle Char"/>
    <w:basedOn w:val="679"/>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Header Char"/>
    <w:basedOn w:val="679"/>
    <w:uiPriority w:val="99"/>
    <w:qFormat/>
  </w:style>
  <w:style w:type="character" w:styleId="722" w:customStyle="1">
    <w:name w:val="Caption Char"/>
    <w:uiPriority w:val="99"/>
    <w:qFormat/>
  </w:style>
  <w:style w:type="table" w:styleId="723" w:customStyle="1">
    <w:name w:val="Plain Table 1"/>
    <w:basedOn w:val="6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Char Char Char Char Char Char Char Char Char Char Char Char Char"/>
    <w:basedOn w:val="669"/>
    <w:uiPriority w:val="0"/>
    <w:qFormat/>
    <w:pPr>
      <w:jc w:val="left"/>
      <w:spacing w:after="160" w:line="240" w:lineRule="exact"/>
      <w:widowControl/>
    </w:pPr>
    <w:rPr>
      <w:rFonts w:ascii="Verdana" w:hAnsi="Verdana"/>
      <w:sz w:val="20"/>
      <w:szCs w:val="20"/>
      <w:lang w:eastAsia="en-US"/>
    </w:rPr>
  </w:style>
  <w:style w:type="character" w:styleId="746" w:customStyle="1">
    <w:name w:val="标题 1 字符"/>
    <w:link w:val="670"/>
    <w:uiPriority w:val="9"/>
    <w:qFormat/>
    <w:rPr>
      <w:rFonts w:ascii="Arial" w:hAnsi="Arial" w:eastAsia="Arial" w:cs="Arial"/>
      <w:sz w:val="40"/>
      <w:szCs w:val="40"/>
    </w:rPr>
  </w:style>
  <w:style w:type="character" w:styleId="747" w:customStyle="1">
    <w:name w:val="标题 2 字符"/>
    <w:link w:val="671"/>
    <w:uiPriority w:val="9"/>
    <w:qFormat/>
    <w:rPr>
      <w:rFonts w:ascii="Arial" w:hAnsi="Arial" w:eastAsia="Arial" w:cs="Arial"/>
      <w:sz w:val="34"/>
    </w:rPr>
  </w:style>
  <w:style w:type="character" w:styleId="748" w:customStyle="1">
    <w:name w:val="标题 3 字符"/>
    <w:link w:val="672"/>
    <w:uiPriority w:val="9"/>
    <w:qFormat/>
    <w:rPr>
      <w:rFonts w:ascii="Arial" w:hAnsi="Arial" w:eastAsia="Arial" w:cs="Arial"/>
      <w:sz w:val="30"/>
      <w:szCs w:val="30"/>
    </w:rPr>
  </w:style>
  <w:style w:type="character" w:styleId="749" w:customStyle="1">
    <w:name w:val="标题 4 字符"/>
    <w:link w:val="673"/>
    <w:uiPriority w:val="9"/>
    <w:qFormat/>
    <w:rPr>
      <w:rFonts w:ascii="Arial" w:hAnsi="Arial" w:eastAsia="Arial" w:cs="Arial"/>
      <w:b/>
      <w:bCs/>
      <w:sz w:val="26"/>
      <w:szCs w:val="26"/>
    </w:rPr>
  </w:style>
  <w:style w:type="character" w:styleId="750" w:customStyle="1">
    <w:name w:val="标题 5 字符"/>
    <w:link w:val="674"/>
    <w:uiPriority w:val="9"/>
    <w:qFormat/>
    <w:rPr>
      <w:rFonts w:ascii="Arial" w:hAnsi="Arial" w:eastAsia="Arial" w:cs="Arial"/>
      <w:b/>
      <w:bCs/>
      <w:sz w:val="24"/>
      <w:szCs w:val="24"/>
    </w:rPr>
  </w:style>
  <w:style w:type="character" w:styleId="751" w:customStyle="1">
    <w:name w:val="标题 6 字符"/>
    <w:link w:val="675"/>
    <w:uiPriority w:val="9"/>
    <w:qFormat/>
    <w:rPr>
      <w:rFonts w:ascii="Arial" w:hAnsi="Arial" w:eastAsia="Arial" w:cs="Arial"/>
      <w:b/>
      <w:bCs/>
      <w:sz w:val="22"/>
      <w:szCs w:val="22"/>
    </w:rPr>
  </w:style>
  <w:style w:type="character" w:styleId="752" w:customStyle="1">
    <w:name w:val="标题 7 字符"/>
    <w:link w:val="676"/>
    <w:uiPriority w:val="9"/>
    <w:qFormat/>
    <w:rPr>
      <w:rFonts w:ascii="Arial" w:hAnsi="Arial" w:eastAsia="Arial" w:cs="Arial"/>
      <w:b/>
      <w:bCs/>
      <w:i/>
      <w:iCs/>
      <w:sz w:val="22"/>
      <w:szCs w:val="22"/>
    </w:rPr>
  </w:style>
  <w:style w:type="character" w:styleId="753" w:customStyle="1">
    <w:name w:val="标题 8 字符"/>
    <w:link w:val="677"/>
    <w:uiPriority w:val="9"/>
    <w:qFormat/>
    <w:rPr>
      <w:rFonts w:ascii="Arial" w:hAnsi="Arial" w:eastAsia="Arial" w:cs="Arial"/>
      <w:i/>
      <w:iCs/>
      <w:sz w:val="22"/>
      <w:szCs w:val="22"/>
    </w:rPr>
  </w:style>
  <w:style w:type="character" w:styleId="754" w:customStyle="1">
    <w:name w:val="标题 9 字符"/>
    <w:link w:val="678"/>
    <w:uiPriority w:val="9"/>
    <w:qFormat/>
    <w:rPr>
      <w:rFonts w:ascii="Arial" w:hAnsi="Arial" w:eastAsia="Arial" w:cs="Arial"/>
      <w:i/>
      <w:iCs/>
      <w:sz w:val="21"/>
      <w:szCs w:val="21"/>
    </w:rPr>
  </w:style>
  <w:style w:type="paragraph" w:styleId="755">
    <w:name w:val="List Paragraph"/>
    <w:basedOn w:val="669"/>
    <w:uiPriority w:val="34"/>
    <w:qFormat/>
    <w:pPr>
      <w:contextualSpacing/>
      <w:ind w:left="720"/>
    </w:pPr>
  </w:style>
  <w:style w:type="paragraph" w:styleId="756">
    <w:name w:val="No Spacing"/>
    <w:uiPriority w:val="1"/>
    <w:qFormat/>
    <w:rPr>
      <w:rFonts w:hint="default" w:ascii="Times New Roman" w:hAnsi="Times New Roman" w:eastAsia="宋体" w:cs="Times New Roman"/>
      <w:lang w:val="en-US" w:eastAsia="zh-CN" w:bidi="ar-SA"/>
    </w:rPr>
  </w:style>
  <w:style w:type="character" w:styleId="757" w:customStyle="1">
    <w:name w:val="标题 字符"/>
    <w:link w:val="702"/>
    <w:uiPriority w:val="10"/>
    <w:qFormat/>
    <w:rPr>
      <w:sz w:val="48"/>
      <w:szCs w:val="48"/>
    </w:rPr>
  </w:style>
  <w:style w:type="character" w:styleId="758" w:customStyle="1">
    <w:name w:val="副标题 字符"/>
    <w:link w:val="695"/>
    <w:uiPriority w:val="11"/>
    <w:qFormat/>
    <w:rPr>
      <w:sz w:val="24"/>
      <w:szCs w:val="24"/>
    </w:rPr>
  </w:style>
  <w:style w:type="paragraph" w:styleId="759">
    <w:name w:val="Quote"/>
    <w:basedOn w:val="669"/>
    <w:next w:val="669"/>
    <w:link w:val="760"/>
    <w:uiPriority w:val="29"/>
    <w:qFormat/>
    <w:pPr>
      <w:ind w:left="720" w:right="720"/>
    </w:pPr>
    <w:rPr>
      <w:i/>
    </w:rPr>
  </w:style>
  <w:style w:type="character" w:styleId="760" w:customStyle="1">
    <w:name w:val="引用 字符"/>
    <w:link w:val="759"/>
    <w:uiPriority w:val="29"/>
    <w:qFormat/>
    <w:rPr>
      <w:i/>
    </w:rPr>
  </w:style>
  <w:style w:type="paragraph" w:styleId="761">
    <w:name w:val="Intense Quote"/>
    <w:basedOn w:val="669"/>
    <w:next w:val="669"/>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字符"/>
    <w:link w:val="761"/>
    <w:uiPriority w:val="30"/>
    <w:qFormat/>
    <w:rPr>
      <w:i/>
    </w:rPr>
  </w:style>
  <w:style w:type="character" w:styleId="763" w:customStyle="1">
    <w:name w:val="页眉 字符"/>
    <w:link w:val="692"/>
    <w:uiPriority w:val="99"/>
    <w:qFormat/>
  </w:style>
  <w:style w:type="character" w:styleId="764" w:customStyle="1">
    <w:name w:val="Footer Char"/>
    <w:uiPriority w:val="99"/>
    <w:qFormat/>
  </w:style>
  <w:style w:type="character" w:styleId="765" w:customStyle="1">
    <w:name w:val="页脚 字符"/>
    <w:link w:val="691"/>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字符"/>
    <w:link w:val="696"/>
    <w:uiPriority w:val="99"/>
    <w:qFormat/>
    <w:rPr>
      <w:sz w:val="18"/>
    </w:rPr>
  </w:style>
  <w:style w:type="character" w:styleId="892" w:customStyle="1">
    <w:name w:val="尾注文本 字符"/>
    <w:link w:val="690"/>
    <w:uiPriority w:val="99"/>
    <w:qFormat/>
    <w:rPr>
      <w:sz w:val="20"/>
    </w:rPr>
  </w:style>
  <w:style w:type="paragraph" w:styleId="893" w:customStyle="1">
    <w:name w:val="TOC 标题1"/>
    <w:uiPriority w:val="39"/>
    <w:unhideWhenUsed/>
    <w:qFormat/>
    <w:rPr>
      <w:rFonts w:hint="default" w:ascii="Times New Roman" w:hAnsi="Times New Roman" w:eastAsia="宋体" w:cs="Times New Roman"/>
      <w:lang w:val="en-US" w:eastAsia="zh-CN" w:bidi="ar-SA"/>
    </w:rPr>
  </w:style>
  <w:style w:type="paragraph" w:styleId="894" w:customStyle="1">
    <w:name w:val="标题 11"/>
    <w:basedOn w:val="669"/>
    <w:next w:val="669"/>
    <w:uiPriority w:val="9"/>
    <w:qFormat/>
    <w:pPr>
      <w:keepLines/>
      <w:keepNext/>
      <w:spacing w:before="340" w:after="330" w:line="578" w:lineRule="auto"/>
      <w:outlineLvl w:val="0"/>
    </w:pPr>
    <w:rPr>
      <w:b/>
      <w:bCs/>
      <w:sz w:val="44"/>
      <w:szCs w:val="44"/>
    </w:rPr>
  </w:style>
  <w:style w:type="paragraph" w:styleId="895" w:customStyle="1">
    <w:name w:val="标题 21"/>
    <w:basedOn w:val="669"/>
    <w:next w:val="896"/>
    <w:uiPriority w:val="9"/>
    <w:qFormat/>
    <w:pPr>
      <w:keepLines/>
      <w:keepNext/>
      <w:spacing w:before="260" w:after="260" w:line="413" w:lineRule="auto"/>
      <w:outlineLvl w:val="1"/>
    </w:pPr>
    <w:rPr>
      <w:rFonts w:ascii="Arial" w:hAnsi="Arial" w:eastAsia="黑体"/>
      <w:b/>
      <w:sz w:val="32"/>
      <w:szCs w:val="20"/>
    </w:rPr>
  </w:style>
  <w:style w:type="paragraph" w:styleId="896" w:customStyle="1">
    <w:name w:val="正文缩进1"/>
    <w:basedOn w:val="669"/>
    <w:link w:val="902"/>
    <w:uiPriority w:val="0"/>
    <w:qFormat/>
    <w:pPr>
      <w:ind w:firstLine="420"/>
    </w:pPr>
    <w:rPr>
      <w:szCs w:val="20"/>
    </w:rPr>
  </w:style>
  <w:style w:type="paragraph" w:styleId="897" w:customStyle="1">
    <w:name w:val="标题 31"/>
    <w:basedOn w:val="669"/>
    <w:next w:val="669"/>
    <w:uiPriority w:val="9"/>
    <w:qFormat/>
    <w:pPr>
      <w:keepLines/>
      <w:keepNext/>
      <w:spacing w:before="260" w:after="260" w:line="413" w:lineRule="auto"/>
      <w:outlineLvl w:val="2"/>
    </w:pPr>
    <w:rPr>
      <w:rFonts w:ascii="Arial" w:hAnsi="Arial"/>
      <w:b/>
      <w:sz w:val="32"/>
      <w:szCs w:val="20"/>
    </w:rPr>
  </w:style>
  <w:style w:type="paragraph" w:styleId="898" w:customStyle="1">
    <w:name w:val="标题 41"/>
    <w:basedOn w:val="669"/>
    <w:next w:val="669"/>
    <w:link w:val="903"/>
    <w:uiPriority w:val="9"/>
    <w:qFormat/>
    <w:pPr>
      <w:keepLines/>
      <w:keepNext/>
      <w:spacing w:before="280" w:after="290" w:line="376" w:lineRule="auto"/>
      <w:outlineLvl w:val="3"/>
    </w:pPr>
    <w:rPr>
      <w:rFonts w:ascii="Cambria" w:hAnsi="Cambria"/>
      <w:b/>
      <w:bCs/>
      <w:sz w:val="28"/>
      <w:szCs w:val="28"/>
    </w:rPr>
  </w:style>
  <w:style w:type="paragraph" w:styleId="899" w:customStyle="1">
    <w:name w:val="标题 51"/>
    <w:basedOn w:val="669"/>
    <w:next w:val="669"/>
    <w:link w:val="904"/>
    <w:uiPriority w:val="9"/>
    <w:qFormat/>
    <w:pPr>
      <w:keepLines/>
      <w:keepNext/>
      <w:spacing w:before="280" w:after="290" w:line="376" w:lineRule="auto"/>
      <w:outlineLvl w:val="4"/>
    </w:pPr>
    <w:rPr>
      <w:b/>
      <w:bCs/>
      <w:sz w:val="28"/>
      <w:szCs w:val="28"/>
    </w:rPr>
  </w:style>
  <w:style w:type="character" w:styleId="900" w:customStyle="1">
    <w:name w:val="默认段落字体1"/>
    <w:uiPriority w:val="0"/>
    <w:semiHidden/>
    <w:qFormat/>
  </w:style>
  <w:style w:type="table" w:styleId="90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02" w:customStyle="1">
    <w:name w:val="正文缩进 Char"/>
    <w:link w:val="896"/>
    <w:uiPriority w:val="0"/>
    <w:qFormat/>
    <w:rPr>
      <w:sz w:val="21"/>
    </w:rPr>
  </w:style>
  <w:style w:type="character" w:styleId="903" w:customStyle="1">
    <w:name w:val="标题 4 Char"/>
    <w:link w:val="898"/>
    <w:uiPriority w:val="9"/>
    <w:qFormat/>
    <w:rPr>
      <w:rFonts w:ascii="Cambria" w:hAnsi="Cambria"/>
      <w:b/>
      <w:bCs/>
      <w:sz w:val="28"/>
      <w:szCs w:val="28"/>
    </w:rPr>
  </w:style>
  <w:style w:type="character" w:styleId="904" w:customStyle="1">
    <w:name w:val="标题 5 Char"/>
    <w:link w:val="899"/>
    <w:uiPriority w:val="9"/>
    <w:qFormat/>
    <w:rPr>
      <w:b/>
      <w:bCs/>
      <w:sz w:val="28"/>
      <w:szCs w:val="28"/>
    </w:rPr>
  </w:style>
  <w:style w:type="paragraph" w:styleId="905" w:customStyle="1">
    <w:name w:val="题注1"/>
    <w:basedOn w:val="669"/>
    <w:next w:val="669"/>
    <w:uiPriority w:val="35"/>
    <w:qFormat/>
    <w:pPr>
      <w:jc w:val="center"/>
      <w:spacing w:before="156" w:after="156" w:line="360" w:lineRule="auto"/>
    </w:pPr>
    <w:rPr>
      <w:rFonts w:ascii="Arial" w:hAnsi="Arial" w:cs="Arial"/>
      <w:sz w:val="24"/>
      <w:szCs w:val="20"/>
    </w:rPr>
  </w:style>
  <w:style w:type="paragraph" w:styleId="906" w:customStyle="1">
    <w:name w:val="文档结构图1"/>
    <w:basedOn w:val="669"/>
    <w:uiPriority w:val="0"/>
    <w:semiHidden/>
    <w:qFormat/>
    <w:pPr>
      <w:shd w:val="clear" w:color="auto" w:fill="000080"/>
    </w:pPr>
  </w:style>
  <w:style w:type="paragraph" w:styleId="907" w:customStyle="1">
    <w:name w:val="批注文字1"/>
    <w:basedOn w:val="669"/>
    <w:link w:val="908"/>
    <w:uiPriority w:val="99"/>
    <w:unhideWhenUsed/>
    <w:qFormat/>
    <w:pPr>
      <w:jc w:val="left"/>
    </w:pPr>
  </w:style>
  <w:style w:type="character" w:styleId="908" w:customStyle="1">
    <w:name w:val="批注文字 Char"/>
    <w:link w:val="907"/>
    <w:uiPriority w:val="99"/>
    <w:qFormat/>
    <w:rPr>
      <w:sz w:val="21"/>
      <w:szCs w:val="24"/>
    </w:rPr>
  </w:style>
  <w:style w:type="paragraph" w:styleId="909" w:customStyle="1">
    <w:name w:val="正文文本 31"/>
    <w:basedOn w:val="669"/>
    <w:uiPriority w:val="0"/>
    <w:qFormat/>
    <w:rPr>
      <w:rFonts w:ascii="楷体_GB2312" w:hAnsi="Arial" w:eastAsia="楷体_GB2312" w:cs="Arial"/>
      <w:b/>
      <w:bCs/>
      <w:color w:val="000000"/>
      <w:sz w:val="24"/>
    </w:rPr>
  </w:style>
  <w:style w:type="paragraph" w:styleId="910" w:customStyle="1">
    <w:name w:val="正文文本11"/>
    <w:basedOn w:val="669"/>
    <w:next w:val="66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customStyle="1">
    <w:name w:val="正文文本缩进1"/>
    <w:basedOn w:val="669"/>
    <w:uiPriority w:val="0"/>
    <w:qFormat/>
    <w:pPr>
      <w:ind w:firstLine="630"/>
    </w:pPr>
    <w:rPr>
      <w:rFonts w:ascii="楷体_GB2312" w:eastAsia="楷体_GB2312"/>
      <w:sz w:val="32"/>
      <w:szCs w:val="20"/>
    </w:rPr>
  </w:style>
  <w:style w:type="paragraph" w:styleId="912" w:customStyle="1">
    <w:name w:val="文本块1"/>
    <w:basedOn w:val="669"/>
    <w:uiPriority w:val="0"/>
    <w:qFormat/>
    <w:pPr>
      <w:ind w:left="420" w:right="33"/>
      <w:jc w:val="left"/>
    </w:pPr>
    <w:rPr>
      <w:sz w:val="24"/>
      <w:szCs w:val="20"/>
    </w:rPr>
  </w:style>
  <w:style w:type="paragraph" w:styleId="913" w:customStyle="1">
    <w:name w:val="目录 31"/>
    <w:basedOn w:val="669"/>
    <w:next w:val="669"/>
    <w:uiPriority w:val="0"/>
    <w:semiHidden/>
    <w:qFormat/>
    <w:pPr>
      <w:ind w:left="840"/>
      <w:spacing w:line="300" w:lineRule="auto"/>
      <w:tabs>
        <w:tab w:val="right" w:pos="9344" w:leader="dot"/>
      </w:tabs>
    </w:pPr>
    <w:rPr>
      <w:rFonts w:ascii="Arial" w:hAnsi="Arial" w:cs="Arial"/>
      <w:szCs w:val="21"/>
    </w:rPr>
  </w:style>
  <w:style w:type="paragraph" w:styleId="914" w:customStyle="1">
    <w:name w:val="纯文本11"/>
    <w:basedOn w:val="669"/>
    <w:link w:val="915"/>
    <w:uiPriority w:val="0"/>
    <w:qFormat/>
    <w:rPr>
      <w:rFonts w:ascii="宋体" w:hAnsi="Courier New"/>
      <w:szCs w:val="20"/>
    </w:rPr>
  </w:style>
  <w:style w:type="character" w:styleId="915" w:customStyle="1">
    <w:name w:val="纯文本 Char"/>
    <w:link w:val="914"/>
    <w:uiPriority w:val="0"/>
    <w:qFormat/>
    <w:rPr>
      <w:rFonts w:ascii="宋体" w:hAnsi="Courier New" w:eastAsia="宋体"/>
      <w:sz w:val="21"/>
      <w:lang w:val="en-US" w:eastAsia="zh-CN" w:bidi="ar-SA"/>
    </w:rPr>
  </w:style>
  <w:style w:type="paragraph" w:styleId="916" w:customStyle="1">
    <w:name w:val="正文文本缩进 21"/>
    <w:basedOn w:val="669"/>
    <w:uiPriority w:val="0"/>
    <w:qFormat/>
    <w:pPr>
      <w:ind w:left="420"/>
      <w:spacing w:after="120" w:line="480" w:lineRule="auto"/>
    </w:pPr>
  </w:style>
  <w:style w:type="paragraph" w:styleId="917" w:customStyle="1">
    <w:name w:val="批注框文本1"/>
    <w:basedOn w:val="669"/>
    <w:link w:val="918"/>
    <w:uiPriority w:val="0"/>
    <w:qFormat/>
    <w:rPr>
      <w:sz w:val="18"/>
      <w:szCs w:val="18"/>
    </w:rPr>
  </w:style>
  <w:style w:type="character" w:styleId="918" w:customStyle="1">
    <w:name w:val="批注框文本 Char"/>
    <w:link w:val="917"/>
    <w:uiPriority w:val="0"/>
    <w:qFormat/>
    <w:rPr>
      <w:sz w:val="18"/>
      <w:szCs w:val="18"/>
    </w:rPr>
  </w:style>
  <w:style w:type="paragraph" w:styleId="919" w:customStyle="1">
    <w:name w:val="页脚1"/>
    <w:basedOn w:val="669"/>
    <w:link w:val="920"/>
    <w:uiPriority w:val="0"/>
    <w:qFormat/>
    <w:pPr>
      <w:jc w:val="left"/>
      <w:tabs>
        <w:tab w:val="center" w:pos="4153" w:leader="none"/>
        <w:tab w:val="right" w:pos="8306" w:leader="none"/>
      </w:tabs>
    </w:pPr>
    <w:rPr>
      <w:sz w:val="18"/>
      <w:szCs w:val="18"/>
    </w:rPr>
  </w:style>
  <w:style w:type="character" w:styleId="920" w:customStyle="1">
    <w:name w:val="页脚 Char"/>
    <w:link w:val="919"/>
    <w:uiPriority w:val="0"/>
    <w:qFormat/>
    <w:rPr>
      <w:sz w:val="18"/>
      <w:szCs w:val="18"/>
    </w:rPr>
  </w:style>
  <w:style w:type="paragraph" w:styleId="921" w:customStyle="1">
    <w:name w:val="页眉1"/>
    <w:basedOn w:val="669"/>
    <w:link w:val="922"/>
    <w:uiPriority w:val="0"/>
    <w:qFormat/>
    <w:pPr>
      <w:jc w:val="center"/>
      <w:tabs>
        <w:tab w:val="center" w:pos="4153" w:leader="none"/>
        <w:tab w:val="right" w:pos="8306" w:leader="none"/>
      </w:tabs>
      <w:pBdr>
        <w:bottom w:val="single" w:color="000000" w:sz="6" w:space="1"/>
      </w:pBdr>
    </w:pPr>
    <w:rPr>
      <w:sz w:val="18"/>
      <w:szCs w:val="18"/>
    </w:rPr>
  </w:style>
  <w:style w:type="character" w:styleId="922" w:customStyle="1">
    <w:name w:val="页眉 Char"/>
    <w:link w:val="921"/>
    <w:uiPriority w:val="0"/>
    <w:qFormat/>
    <w:rPr>
      <w:sz w:val="18"/>
      <w:szCs w:val="18"/>
    </w:rPr>
  </w:style>
  <w:style w:type="paragraph" w:styleId="923" w:customStyle="1">
    <w:name w:val="目录 11"/>
    <w:basedOn w:val="669"/>
    <w:next w:val="669"/>
    <w:uiPriority w:val="0"/>
    <w:semiHidden/>
    <w:qFormat/>
  </w:style>
  <w:style w:type="paragraph" w:styleId="924" w:customStyle="1">
    <w:name w:val="正文文本缩进 311"/>
    <w:basedOn w:val="669"/>
    <w:uiPriority w:val="99"/>
    <w:qFormat/>
    <w:pPr>
      <w:ind w:firstLine="420"/>
    </w:pPr>
    <w:rPr>
      <w:rFonts w:eastAsia="楷体_GB2312"/>
    </w:rPr>
  </w:style>
  <w:style w:type="paragraph" w:styleId="925" w:customStyle="1">
    <w:name w:val="目录 21"/>
    <w:basedOn w:val="669"/>
    <w:next w:val="669"/>
    <w:uiPriority w:val="0"/>
    <w:semiHidden/>
    <w:qFormat/>
    <w:pPr>
      <w:ind w:left="420"/>
    </w:pPr>
    <w:rPr>
      <w:szCs w:val="20"/>
    </w:rPr>
  </w:style>
  <w:style w:type="paragraph" w:styleId="926" w:customStyle="1">
    <w:name w:val="正文文本 21"/>
    <w:basedOn w:val="669"/>
    <w:link w:val="927"/>
    <w:uiPriority w:val="0"/>
    <w:qFormat/>
    <w:pPr>
      <w:spacing w:line="440" w:lineRule="exact"/>
    </w:pPr>
    <w:rPr>
      <w:rFonts w:ascii="楷体_GB2312" w:eastAsia="楷体_GB2312"/>
      <w:sz w:val="28"/>
    </w:rPr>
  </w:style>
  <w:style w:type="character" w:styleId="927" w:customStyle="1">
    <w:name w:val="正文文本 2 Char"/>
    <w:link w:val="926"/>
    <w:uiPriority w:val="0"/>
    <w:qFormat/>
    <w:rPr>
      <w:rFonts w:ascii="楷体_GB2312" w:eastAsia="楷体_GB2312"/>
      <w:sz w:val="28"/>
      <w:szCs w:val="24"/>
    </w:rPr>
  </w:style>
  <w:style w:type="paragraph" w:styleId="928" w:customStyle="1">
    <w:name w:val="批注主题1"/>
    <w:basedOn w:val="907"/>
    <w:next w:val="907"/>
    <w:link w:val="929"/>
    <w:uiPriority w:val="0"/>
    <w:qFormat/>
    <w:rPr>
      <w:b/>
      <w:bCs/>
    </w:rPr>
  </w:style>
  <w:style w:type="character" w:styleId="929" w:customStyle="1">
    <w:name w:val="批注主题 Char"/>
    <w:link w:val="928"/>
    <w:uiPriority w:val="0"/>
    <w:qFormat/>
    <w:rPr>
      <w:b/>
      <w:bCs/>
      <w:sz w:val="21"/>
      <w:szCs w:val="24"/>
    </w:rPr>
  </w:style>
  <w:style w:type="paragraph" w:styleId="930" w:customStyle="1">
    <w:name w:val="正文首行缩进 21"/>
    <w:basedOn w:val="911"/>
    <w:uiPriority w:val="0"/>
    <w:qFormat/>
    <w:pPr>
      <w:ind w:left="420" w:firstLine="420"/>
      <w:spacing w:after="120"/>
      <w:widowControl/>
    </w:pPr>
    <w:rPr>
      <w:rFonts w:ascii="仿宋_GB2312" w:eastAsia="仿宋_GB2312"/>
      <w:color w:val="ff6600"/>
      <w:sz w:val="21"/>
    </w:rPr>
  </w:style>
  <w:style w:type="table" w:styleId="931" w:customStyle="1">
    <w:name w:val="网格型1"/>
    <w:basedOn w:val="901"/>
    <w:uiPriority w:val="0"/>
    <w:qFormat/>
    <w:tblPr>
      <w:tblCellMar>
        <w:left w:w="0" w:type="dxa"/>
        <w:top w:w="0" w:type="dxa"/>
        <w:right w:w="0" w:type="dxa"/>
        <w:bottom w:w="0" w:type="dxa"/>
      </w:tblCellMar>
    </w:tblPr>
  </w:style>
  <w:style w:type="character" w:styleId="932" w:customStyle="1">
    <w:name w:val="要点1"/>
    <w:uiPriority w:val="0"/>
    <w:qFormat/>
  </w:style>
  <w:style w:type="character" w:styleId="933" w:customStyle="1">
    <w:name w:val="页码1"/>
    <w:uiPriority w:val="0"/>
    <w:qFormat/>
  </w:style>
  <w:style w:type="character" w:styleId="934" w:customStyle="1">
    <w:name w:val="已访问的超链接1"/>
    <w:uiPriority w:val="0"/>
    <w:qFormat/>
    <w:rPr>
      <w:color w:val="800080"/>
      <w:u w:val="none"/>
    </w:rPr>
  </w:style>
  <w:style w:type="character" w:styleId="935" w:customStyle="1">
    <w:name w:val="强调1"/>
    <w:uiPriority w:val="0"/>
    <w:qFormat/>
  </w:style>
  <w:style w:type="character" w:styleId="936" w:customStyle="1">
    <w:name w:val="HTML 定义1"/>
    <w:uiPriority w:val="0"/>
    <w:qFormat/>
  </w:style>
  <w:style w:type="character" w:styleId="937" w:customStyle="1">
    <w:name w:val="HTML 打字机1"/>
    <w:uiPriority w:val="0"/>
    <w:qFormat/>
    <w:rPr>
      <w:rFonts w:ascii="monospace" w:hAnsi="monospace" w:eastAsia="monospace" w:cs="monospace"/>
      <w:sz w:val="20"/>
    </w:rPr>
  </w:style>
  <w:style w:type="character" w:styleId="938" w:customStyle="1">
    <w:name w:val="HTML 缩写1"/>
    <w:uiPriority w:val="0"/>
    <w:qFormat/>
  </w:style>
  <w:style w:type="character" w:styleId="939" w:customStyle="1">
    <w:name w:val="HTML 变量1"/>
    <w:uiPriority w:val="0"/>
    <w:qFormat/>
  </w:style>
  <w:style w:type="character" w:styleId="940" w:customStyle="1">
    <w:name w:val="超链接1"/>
    <w:uiPriority w:val="0"/>
    <w:qFormat/>
    <w:rPr>
      <w:color w:val="0000ff"/>
      <w:u w:val="none"/>
    </w:rPr>
  </w:style>
  <w:style w:type="character" w:styleId="941" w:customStyle="1">
    <w:name w:val="HTML 代码1"/>
    <w:uiPriority w:val="0"/>
    <w:qFormat/>
    <w:rPr>
      <w:rFonts w:ascii="monospace" w:hAnsi="monospace" w:eastAsia="monospace" w:cs="monospace"/>
      <w:sz w:val="20"/>
    </w:rPr>
  </w:style>
  <w:style w:type="character" w:styleId="942" w:customStyle="1">
    <w:name w:val="批注引用1"/>
    <w:uiPriority w:val="0"/>
    <w:qFormat/>
    <w:rPr>
      <w:sz w:val="21"/>
      <w:szCs w:val="21"/>
    </w:rPr>
  </w:style>
  <w:style w:type="character" w:styleId="943" w:customStyle="1">
    <w:name w:val="HTML 引文1"/>
    <w:uiPriority w:val="0"/>
    <w:qFormat/>
  </w:style>
  <w:style w:type="character" w:styleId="944" w:customStyle="1">
    <w:name w:val="HTML 键盘1"/>
    <w:uiPriority w:val="0"/>
    <w:qFormat/>
    <w:rPr>
      <w:rFonts w:ascii="monospace" w:hAnsi="monospace" w:eastAsia="monospace" w:cs="monospace"/>
      <w:sz w:val="20"/>
    </w:rPr>
  </w:style>
  <w:style w:type="character" w:styleId="945" w:customStyle="1">
    <w:name w:val="HTML 样本1"/>
    <w:uiPriority w:val="0"/>
    <w:qFormat/>
    <w:rPr>
      <w:rFonts w:ascii="monospace" w:hAnsi="monospace" w:eastAsia="monospace" w:cs="monospace"/>
    </w:rPr>
  </w:style>
  <w:style w:type="character" w:styleId="946" w:customStyle="1">
    <w:name w:val="Font Style30"/>
    <w:uiPriority w:val="0"/>
    <w:qFormat/>
    <w:rPr>
      <w:rFonts w:ascii="宋体" w:eastAsia="宋体" w:cs="宋体"/>
      <w:sz w:val="14"/>
      <w:szCs w:val="14"/>
    </w:rPr>
  </w:style>
  <w:style w:type="character" w:styleId="947" w:customStyle="1">
    <w:name w:val="glyphicon"/>
    <w:uiPriority w:val="0"/>
    <w:qFormat/>
  </w:style>
  <w:style w:type="character" w:styleId="948" w:customStyle="1">
    <w:name w:val="Font Style36"/>
    <w:uiPriority w:val="0"/>
    <w:qFormat/>
    <w:rPr>
      <w:rFonts w:ascii="宋体" w:eastAsia="宋体" w:cs="宋体"/>
      <w:sz w:val="16"/>
      <w:szCs w:val="16"/>
    </w:rPr>
  </w:style>
  <w:style w:type="character" w:styleId="949" w:customStyle="1">
    <w:name w:val="hour_am"/>
    <w:uiPriority w:val="0"/>
    <w:qFormat/>
  </w:style>
  <w:style w:type="character" w:styleId="950" w:customStyle="1">
    <w:name w:val="old"/>
    <w:uiPriority w:val="0"/>
    <w:qFormat/>
    <w:rPr>
      <w:color w:val="999999"/>
    </w:rPr>
  </w:style>
  <w:style w:type="character" w:styleId="951" w:customStyle="1">
    <w:name w:val="标题 2 Char"/>
    <w:uiPriority w:val="0"/>
    <w:qFormat/>
    <w:rPr>
      <w:rFonts w:ascii="Arial" w:hAnsi="Arial" w:eastAsia="黑体"/>
      <w:b/>
      <w:sz w:val="32"/>
      <w:lang w:val="en-US" w:eastAsia="zh-CN"/>
    </w:rPr>
  </w:style>
  <w:style w:type="character" w:styleId="952" w:customStyle="1">
    <w:name w:val="hover"/>
    <w:uiPriority w:val="0"/>
    <w:qFormat/>
    <w:rPr>
      <w:shd w:val="clear" w:color="auto" w:fill="eeeeee"/>
    </w:rPr>
  </w:style>
  <w:style w:type="character" w:styleId="953" w:customStyle="1">
    <w:name w:val="hour_pm"/>
    <w:uiPriority w:val="0"/>
    <w:qFormat/>
  </w:style>
  <w:style w:type="character" w:styleId="954" w:customStyle="1">
    <w:name w:val="Font Style28"/>
    <w:uiPriority w:val="0"/>
    <w:qFormat/>
    <w:rPr>
      <w:rFonts w:ascii="Constantia" w:hAnsi="Constantia" w:cs="Constantia"/>
      <w:sz w:val="28"/>
      <w:szCs w:val="28"/>
    </w:rPr>
  </w:style>
  <w:style w:type="character" w:styleId="955" w:customStyle="1">
    <w:name w:val="Font Style29"/>
    <w:uiPriority w:val="0"/>
    <w:qFormat/>
    <w:rPr>
      <w:rFonts w:ascii="Arial" w:hAnsi="Arial" w:cs="Arial"/>
      <w:sz w:val="14"/>
      <w:szCs w:val="14"/>
    </w:rPr>
  </w:style>
  <w:style w:type="character" w:styleId="956" w:customStyle="1">
    <w:name w:val="Font Style37"/>
    <w:uiPriority w:val="0"/>
    <w:qFormat/>
    <w:rPr>
      <w:rFonts w:ascii="Arial" w:hAnsi="Arial" w:cs="Arial"/>
      <w:sz w:val="16"/>
      <w:szCs w:val="16"/>
    </w:rPr>
  </w:style>
  <w:style w:type="character" w:styleId="957" w:customStyle="1">
    <w:name w:val="Plain Text Char"/>
    <w:uiPriority w:val="0"/>
    <w:qFormat/>
    <w:rPr>
      <w:rFonts w:ascii="宋体" w:hAnsi="Courier New" w:eastAsia="宋体"/>
      <w:sz w:val="21"/>
      <w:lang w:val="en-US" w:eastAsia="zh-CN" w:bidi="ar-SA"/>
    </w:rPr>
  </w:style>
  <w:style w:type="paragraph" w:styleId="95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9" w:customStyle="1">
    <w:name w:val="默认段落字体 Para Char Char Char Char Char Char Char Char Char1 Char Char Char Char Char Char Char"/>
    <w:basedOn w:val="906"/>
    <w:uiPriority w:val="0"/>
    <w:qFormat/>
    <w:rPr>
      <w:rFonts w:ascii="Tahoma" w:hAnsi="Tahoma"/>
      <w:sz w:val="24"/>
    </w:rPr>
  </w:style>
  <w:style w:type="paragraph" w:styleId="960" w:customStyle="1">
    <w:name w:val="Style9"/>
    <w:basedOn w:val="669"/>
    <w:uiPriority w:val="0"/>
    <w:qFormat/>
    <w:pPr>
      <w:jc w:val="left"/>
    </w:pPr>
    <w:rPr>
      <w:rFonts w:ascii="宋体"/>
      <w:sz w:val="24"/>
    </w:rPr>
  </w:style>
  <w:style w:type="paragraph" w:styleId="961" w:customStyle="1">
    <w:name w:val="Char"/>
    <w:basedOn w:val="669"/>
    <w:uiPriority w:val="0"/>
    <w:qFormat/>
    <w:pPr>
      <w:tabs>
        <w:tab w:val="left" w:pos="360" w:leader="none"/>
      </w:tabs>
    </w:pPr>
    <w:rPr>
      <w:sz w:val="24"/>
    </w:rPr>
  </w:style>
  <w:style w:type="paragraph" w:styleId="962" w:customStyle="1">
    <w:name w:val="Char Char Char1 Char Char Char Char"/>
    <w:basedOn w:val="669"/>
    <w:uiPriority w:val="0"/>
    <w:qFormat/>
    <w:pPr>
      <w:jc w:val="left"/>
      <w:spacing w:after="160" w:line="240" w:lineRule="exact"/>
      <w:widowControl/>
    </w:pPr>
    <w:rPr>
      <w:rFonts w:ascii="宋体" w:hAnsi="宋体"/>
      <w:b/>
      <w:sz w:val="28"/>
      <w:szCs w:val="28"/>
    </w:rPr>
  </w:style>
  <w:style w:type="paragraph" w:styleId="963" w:customStyle="1">
    <w:name w:val="Style10"/>
    <w:basedOn w:val="669"/>
    <w:uiPriority w:val="0"/>
    <w:qFormat/>
    <w:pPr>
      <w:jc w:val="left"/>
    </w:pPr>
    <w:rPr>
      <w:rFonts w:ascii="宋体"/>
      <w:sz w:val="24"/>
    </w:rPr>
  </w:style>
  <w:style w:type="paragraph" w:styleId="964" w:customStyle="1">
    <w:name w:val="首行缩进"/>
    <w:basedOn w:val="669"/>
    <w:uiPriority w:val="0"/>
    <w:qFormat/>
    <w:pPr>
      <w:ind w:firstLine="420"/>
      <w:spacing w:line="360" w:lineRule="auto"/>
    </w:pPr>
    <w:rPr>
      <w:sz w:val="20"/>
    </w:rPr>
  </w:style>
  <w:style w:type="paragraph" w:styleId="965" w:customStyle="1">
    <w:name w:val="普通正文"/>
    <w:basedOn w:val="669"/>
    <w:uiPriority w:val="0"/>
    <w:qFormat/>
    <w:pPr>
      <w:ind w:firstLine="480"/>
      <w:jc w:val="left"/>
      <w:spacing w:before="120" w:after="120" w:line="360" w:lineRule="auto"/>
    </w:pPr>
    <w:rPr>
      <w:rFonts w:ascii="Arial" w:hAnsi="Arial"/>
      <w:sz w:val="24"/>
    </w:rPr>
  </w:style>
  <w:style w:type="paragraph" w:styleId="966" w:customStyle="1">
    <w:name w:val="要点标题"/>
    <w:basedOn w:val="669"/>
    <w:uiPriority w:val="0"/>
    <w:qFormat/>
    <w:pPr>
      <w:numPr>
        <w:ilvl w:val="0"/>
        <w:numId w:val="1"/>
      </w:numPr>
      <w:jc w:val="left"/>
    </w:pPr>
    <w:rPr>
      <w:rFonts w:ascii="宋体" w:hAnsi="宋体"/>
      <w:b/>
      <w:sz w:val="24"/>
    </w:rPr>
  </w:style>
  <w:style w:type="paragraph" w:styleId="967" w:customStyle="1">
    <w:name w:val="文档正文"/>
    <w:basedOn w:val="669"/>
    <w:uiPriority w:val="0"/>
    <w:qFormat/>
    <w:pPr>
      <w:ind w:firstLine="567"/>
      <w:spacing w:line="480" w:lineRule="atLeast"/>
    </w:pPr>
    <w:rPr>
      <w:rFonts w:ascii="仿宋_GB2312"/>
      <w:szCs w:val="20"/>
    </w:rPr>
  </w:style>
  <w:style w:type="paragraph" w:styleId="968" w:customStyle="1">
    <w:name w:val="Char Char Char Char"/>
    <w:basedOn w:val="906"/>
    <w:uiPriority w:val="0"/>
    <w:qFormat/>
    <w:pPr>
      <w:spacing w:line="360" w:lineRule="auto"/>
    </w:pPr>
    <w:rPr>
      <w:rFonts w:ascii="Tahoma" w:hAnsi="Tahoma"/>
      <w:sz w:val="24"/>
    </w:rPr>
  </w:style>
  <w:style w:type="paragraph" w:styleId="969" w:customStyle="1">
    <w:name w:val="Char11"/>
    <w:basedOn w:val="669"/>
    <w:uiPriority w:val="0"/>
    <w:qFormat/>
    <w:pPr>
      <w:ind w:left="420" w:hanging="420"/>
      <w:jc w:val="left"/>
      <w:tabs>
        <w:tab w:val="left" w:pos="420" w:leader="none"/>
      </w:tabs>
    </w:pPr>
    <w:rPr>
      <w:szCs w:val="20"/>
    </w:rPr>
  </w:style>
  <w:style w:type="paragraph" w:styleId="970" w:customStyle="1">
    <w:name w:val="正文（无缩进）"/>
    <w:basedOn w:val="669"/>
    <w:uiPriority w:val="0"/>
    <w:qFormat/>
    <w:pPr>
      <w:spacing w:line="360" w:lineRule="auto"/>
    </w:pPr>
    <w:rPr>
      <w:rFonts w:ascii="Calibri" w:hAnsi="Calibri"/>
      <w:sz w:val="24"/>
      <w:szCs w:val="21"/>
    </w:rPr>
  </w:style>
  <w:style w:type="paragraph" w:styleId="971" w:customStyle="1">
    <w:name w:val="Style11"/>
    <w:basedOn w:val="669"/>
    <w:uiPriority w:val="0"/>
    <w:qFormat/>
    <w:pPr>
      <w:jc w:val="left"/>
      <w:spacing w:line="446" w:lineRule="exact"/>
    </w:pPr>
    <w:rPr>
      <w:rFonts w:ascii="宋体"/>
      <w:sz w:val="24"/>
    </w:rPr>
  </w:style>
  <w:style w:type="paragraph" w:styleId="972" w:customStyle="1">
    <w:name w:val="样式1"/>
    <w:basedOn w:val="669"/>
    <w:uiPriority w:val="0"/>
    <w:qFormat/>
    <w:pPr>
      <w:ind w:left="432" w:firstLine="288"/>
      <w:tabs>
        <w:tab w:val="left" w:pos="1110" w:leader="none"/>
      </w:tabs>
    </w:pPr>
    <w:rPr>
      <w:rFonts w:ascii="宋体" w:hAnsi="宋体"/>
      <w:szCs w:val="21"/>
    </w:rPr>
  </w:style>
  <w:style w:type="paragraph" w:styleId="973" w:customStyle="1">
    <w:name w:val="_Style 56"/>
    <w:basedOn w:val="906"/>
    <w:uiPriority w:val="0"/>
    <w:qFormat/>
    <w:pPr>
      <w:spacing w:line="436" w:lineRule="exact"/>
    </w:pPr>
    <w:rPr>
      <w:szCs w:val="20"/>
    </w:rPr>
  </w:style>
  <w:style w:type="paragraph" w:styleId="974" w:customStyle="1">
    <w:name w:val="Char Char1 Char Char Char Char Char Char"/>
    <w:basedOn w:val="669"/>
    <w:uiPriority w:val="0"/>
    <w:qFormat/>
    <w:pPr>
      <w:jc w:val="center"/>
      <w:widowControl/>
    </w:pPr>
    <w:rPr>
      <w:rFonts w:ascii="宋体" w:hAnsi="宋体"/>
      <w:b/>
      <w:sz w:val="24"/>
      <w:lang w:eastAsia="en-US"/>
    </w:rPr>
  </w:style>
  <w:style w:type="paragraph" w:styleId="975" w:customStyle="1">
    <w:name w:val="Char1"/>
    <w:basedOn w:val="669"/>
    <w:uiPriority w:val="0"/>
    <w:qFormat/>
    <w:pPr>
      <w:ind w:left="840" w:hanging="420"/>
      <w:tabs>
        <w:tab w:val="left" w:pos="840" w:leader="none"/>
      </w:tabs>
    </w:pPr>
    <w:rPr>
      <w:sz w:val="24"/>
    </w:rPr>
  </w:style>
  <w:style w:type="paragraph" w:styleId="976" w:customStyle="1">
    <w:name w:val="我的样式"/>
    <w:basedOn w:val="894"/>
    <w:next w:val="669"/>
    <w:uiPriority w:val="0"/>
    <w:qFormat/>
    <w:pPr>
      <w:numPr>
        <w:ilvl w:val="0"/>
        <w:numId w:val="2"/>
      </w:numPr>
      <w:spacing w:line="360" w:lineRule="auto"/>
    </w:pPr>
    <w:rPr>
      <w:rFonts w:ascii="仿宋_GB2312" w:eastAsia="仿宋_GB2312"/>
      <w:sz w:val="32"/>
      <w:szCs w:val="30"/>
    </w:rPr>
  </w:style>
  <w:style w:type="paragraph" w:styleId="97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8" w:customStyle="1">
    <w:name w:val="Char Char Char Char Char Char Char Char Char Char Char Char Char1"/>
    <w:basedOn w:val="669"/>
    <w:uiPriority w:val="0"/>
    <w:qFormat/>
    <w:pPr>
      <w:jc w:val="left"/>
      <w:spacing w:after="160" w:line="240" w:lineRule="exact"/>
      <w:widowControl/>
    </w:pPr>
    <w:rPr>
      <w:rFonts w:ascii="Verdana" w:hAnsi="Verdana"/>
      <w:sz w:val="20"/>
      <w:szCs w:val="20"/>
      <w:lang w:eastAsia="en-US"/>
    </w:rPr>
  </w:style>
  <w:style w:type="paragraph" w:styleId="979" w:customStyle="1">
    <w:name w:val="标题1"/>
    <w:basedOn w:val="894"/>
    <w:next w:val="669"/>
    <w:uiPriority w:val="0"/>
    <w:qFormat/>
    <w:pPr>
      <w:numPr>
        <w:ilvl w:val="0"/>
        <w:numId w:val="3"/>
      </w:numPr>
      <w:jc w:val="left"/>
      <w:spacing w:line="578" w:lineRule="atLeast"/>
    </w:pPr>
  </w:style>
  <w:style w:type="paragraph" w:styleId="980" w:customStyle="1">
    <w:name w:val="正文（缩进） Char1"/>
    <w:basedOn w:val="669"/>
    <w:uiPriority w:val="0"/>
    <w:qFormat/>
    <w:pPr>
      <w:ind w:firstLine="480"/>
      <w:spacing w:before="156" w:after="156" w:line="360" w:lineRule="auto"/>
    </w:pPr>
    <w:rPr>
      <w:sz w:val="24"/>
    </w:rPr>
  </w:style>
  <w:style w:type="paragraph" w:styleId="98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82" w:customStyle="1">
    <w:name w:val="Style12"/>
    <w:basedOn w:val="669"/>
    <w:uiPriority w:val="0"/>
    <w:qFormat/>
    <w:pPr>
      <w:jc w:val="left"/>
    </w:pPr>
    <w:rPr>
      <w:rFonts w:ascii="宋体"/>
      <w:sz w:val="24"/>
    </w:rPr>
  </w:style>
  <w:style w:type="paragraph" w:styleId="983" w:customStyle="1">
    <w:name w:val="纯文本1"/>
    <w:basedOn w:val="669"/>
    <w:uiPriority w:val="0"/>
    <w:qFormat/>
    <w:rPr>
      <w:rFonts w:ascii="宋体" w:hAnsi="Courier New"/>
      <w:szCs w:val="20"/>
    </w:rPr>
  </w:style>
  <w:style w:type="paragraph" w:styleId="984" w:customStyle="1">
    <w:name w:val="正文1"/>
    <w:basedOn w:val="985"/>
    <w:uiPriority w:val="0"/>
    <w:qFormat/>
    <w:pPr>
      <w:contextualSpacing/>
      <w:ind w:firstLine="200"/>
      <w:spacing w:before="120" w:after="120" w:line="180" w:lineRule="auto"/>
    </w:pPr>
    <w:rPr>
      <w:rFonts w:ascii="Calibri" w:hAnsi="Calibri" w:eastAsia="Adobe 仿宋 Std R"/>
      <w:szCs w:val="21"/>
    </w:rPr>
  </w:style>
  <w:style w:type="paragraph" w:styleId="985" w:customStyle="1">
    <w:name w:val="正文111"/>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正文文本缩进11"/>
    <w:basedOn w:val="985"/>
    <w:uiPriority w:val="0"/>
    <w:qFormat/>
    <w:pPr>
      <w:ind w:firstLine="425"/>
      <w:spacing w:line="360" w:lineRule="auto"/>
    </w:pPr>
  </w:style>
  <w:style w:type="paragraph" w:styleId="987" w:customStyle="1">
    <w:name w:val="_Style 2"/>
    <w:basedOn w:val="669"/>
    <w:uiPriority w:val="34"/>
    <w:qFormat/>
    <w:pPr>
      <w:contextualSpacing/>
      <w:ind w:left="720"/>
      <w:jc w:val="left"/>
      <w:widowControl/>
    </w:pPr>
    <w:rPr>
      <w:rFonts w:ascii="Calibri" w:hAnsi="Calibri"/>
      <w:sz w:val="24"/>
      <w:lang w:eastAsia="en-US" w:bidi="en-US"/>
    </w:rPr>
  </w:style>
  <w:style w:type="paragraph" w:styleId="988" w:customStyle="1">
    <w:name w:val="_Style 3"/>
    <w:next w:val="98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89" w:customStyle="1">
    <w:name w:val="正文文本缩进 31"/>
    <w:basedOn w:val="669"/>
    <w:uiPriority w:val="99"/>
    <w:qFormat/>
    <w:pPr>
      <w:ind w:firstLine="420"/>
    </w:pPr>
    <w:rPr>
      <w:rFonts w:eastAsia="楷体_GB2312"/>
    </w:rPr>
  </w:style>
  <w:style w:type="paragraph" w:styleId="990" w:customStyle="1">
    <w:name w:val="正文首行缩进1"/>
    <w:basedOn w:val="991"/>
    <w:uiPriority w:val="99"/>
    <w:qFormat/>
    <w:pPr>
      <w:ind w:firstLine="420"/>
      <w:tabs>
        <w:tab w:val="left" w:pos="2020" w:leader="none"/>
        <w:tab w:val="center" w:pos="4535" w:leader="none"/>
      </w:tabs>
    </w:pPr>
  </w:style>
  <w:style w:type="paragraph" w:styleId="991" w:customStyle="1">
    <w:name w:val="正文文本1"/>
    <w:basedOn w:val="66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92" w:customStyle="1">
    <w:name w:val="font51"/>
    <w:basedOn w:val="679"/>
    <w:uiPriority w:val="0"/>
    <w:qFormat/>
    <w:rPr>
      <w:rFonts w:hint="eastAsia" w:ascii="宋体" w:hAnsi="宋体" w:eastAsia="宋体" w:cs="宋体"/>
      <w:color w:val="000000"/>
      <w:sz w:val="22"/>
      <w:szCs w:val="22"/>
      <w:u w:val="none"/>
    </w:rPr>
  </w:style>
  <w:style w:type="character" w:styleId="993" w:customStyle="1">
    <w:name w:val="font71"/>
    <w:basedOn w:val="679"/>
    <w:uiPriority w:val="0"/>
    <w:qFormat/>
    <w:rPr>
      <w:rFonts w:hint="default" w:ascii="Arial" w:hAnsi="Arial" w:cs="Arial"/>
      <w:color w:val="000000"/>
      <w:sz w:val="22"/>
      <w:szCs w:val="22"/>
      <w:u w:val="none"/>
    </w:rPr>
  </w:style>
  <w:style w:type="character" w:styleId="994" w:customStyle="1">
    <w:name w:val="font81"/>
    <w:basedOn w:val="679"/>
    <w:uiPriority w:val="0"/>
    <w:qFormat/>
    <w:rPr>
      <w:rFonts w:ascii="Symbol" w:hAnsi="Symbol" w:cs="Symbol"/>
      <w:color w:val="000000"/>
      <w:sz w:val="22"/>
      <w:szCs w:val="22"/>
      <w:u w:val="none"/>
    </w:rPr>
  </w:style>
  <w:style w:type="character" w:styleId="995" w:customStyle="1">
    <w:name w:val="font61"/>
    <w:basedOn w:val="679"/>
    <w:uiPriority w:val="0"/>
    <w:qFormat/>
    <w:rPr>
      <w:rFonts w:hint="default" w:ascii="Arial" w:hAnsi="Arial" w:cs="Arial"/>
      <w:color w:val="000000"/>
      <w:sz w:val="22"/>
      <w:szCs w:val="22"/>
      <w:u w:val="none"/>
    </w:rPr>
  </w:style>
  <w:style w:type="character" w:styleId="996" w:customStyle="1">
    <w:name w:val="font31"/>
    <w:basedOn w:val="679"/>
    <w:uiPriority w:val="0"/>
    <w:qFormat/>
    <w:rPr>
      <w:rFonts w:hint="eastAsia" w:ascii="微软雅黑" w:hAnsi="微软雅黑" w:eastAsia="微软雅黑" w:cs="微软雅黑"/>
      <w:color w:val="000000"/>
      <w:sz w:val="18"/>
      <w:szCs w:val="18"/>
      <w:u w:val="none"/>
    </w:rPr>
  </w:style>
  <w:style w:type="character" w:styleId="997" w:customStyle="1">
    <w:name w:val="font91"/>
    <w:basedOn w:val="679"/>
    <w:uiPriority w:val="0"/>
    <w:qFormat/>
    <w:rPr>
      <w:rFonts w:ascii="Symbol" w:hAnsi="Symbol" w:cs="Symbol"/>
      <w:color w:val="000000"/>
      <w:sz w:val="18"/>
      <w:szCs w:val="18"/>
      <w:u w:val="none"/>
    </w:rPr>
  </w:style>
  <w:style w:type="paragraph" w:styleId="998" w:customStyle="1">
    <w:name w:val="列出段落2"/>
    <w:basedOn w:val="669"/>
    <w:uiPriority w:val="0"/>
    <w:qFormat/>
    <w:pPr>
      <w:ind w:firstLine="420"/>
    </w:pPr>
    <w:rPr>
      <w:rFonts w:ascii="Calibri" w:hAnsi="Calibri" w:cs="Calibri"/>
    </w:rPr>
  </w:style>
  <w:style w:type="character" w:styleId="999" w:customStyle="1">
    <w:name w:val="font101"/>
    <w:basedOn w:val="679"/>
    <w:uiPriority w:val="0"/>
    <w:qFormat/>
    <w:rPr>
      <w:rFonts w:hint="default" w:ascii="Arial" w:hAnsi="Arial" w:cs="Arial"/>
      <w:color w:val="000000"/>
      <w:sz w:val="22"/>
      <w:szCs w:val="22"/>
      <w:u w:val="none"/>
    </w:rPr>
  </w:style>
  <w:style w:type="character" w:styleId="1000" w:customStyle="1">
    <w:name w:val="NormalCharacter"/>
    <w:uiPriority w:val="0"/>
    <w:qFormat/>
  </w:style>
  <w:style w:type="paragraph" w:styleId="1001"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1002"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1003" w:customStyle="1">
    <w:name w:val="Table Normal"/>
    <w:uiPriority w:val="0"/>
    <w:qFormat/>
    <w:tblPr>
      <w:tblCellMar>
        <w:left w:w="0" w:type="dxa"/>
        <w:top w:w="0" w:type="dxa"/>
        <w:right w:w="0" w:type="dxa"/>
        <w:bottom w:w="0" w:type="dxa"/>
      </w:tblCellMar>
    </w:tbl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c2fee56b-88b3-4f29-835f-e9209ec31977</errorID>
      <errorWord>日</errorWord>
      <group>L1_Word</group>
      <groupName>字词问题</groupName>
      <ability>L2_Typo</ability>
      <abilityName>字词错误</abilityName>
      <candidateList>
        <item>日内</item>
      </candidateList>
      <explain/>
      <paraID>  EAEF13</paraID>
      <start>17</start>
      <end>18</end>
      <status>ignored</status>
      <modifiedWord/>
      <trackRevisions>false</trackRevisions>
    </reviewItem>
    <reviewItem>
      <errorID>43839d95-a964-46a1-965a-c5f903c803cc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4B4CAE52</paraID>
      <start>9</start>
      <end>10</end>
      <status>ignored</status>
      <modifiedWord/>
      <trackRevisions>false</trackRevisions>
    </reviewItem>
    <reviewItem>
      <errorID>52796e79-a923-4060-83d3-3e8acf14a82b</errorID>
      <errorWord>[2022]002号</errorWord>
      <group>L1_Knowledge</group>
      <groupName>知识性问题</groupName>
      <ability>L2_Knowledge</ability>
      <abilityName>其他知识</abilityName>
      <candidateList>
        <item>〔2022〕2号</item>
      </candidateList>
      <explain>发文字号格式错误。</explain>
      <paraID>2BD09E26</paraID>
      <start>16</start>
      <end>26</end>
      <status>ignored</status>
      <modifiedWord/>
      <trackRevisions>false</trackRevisions>
    </reviewItem>
    <reviewItem>
      <errorID>6e53b3b7-43c0-4e31-a69c-5e444e7be932</errorID>
      <errorWord>无须</errorWord>
      <group>L1_Word</group>
      <groupName>字词问题</groupName>
      <ability>L2_Typo</ability>
      <abilityName>字词错误</abilityName>
      <candidateList>
        <item>无需</item>
      </candidateList>
      <explain>同“无须”。</explain>
      <paraID>2BD09E26</paraID>
      <start>48</start>
      <end>50</end>
      <status>ignored</status>
      <modifiedWord/>
      <trackRevisions>false</trackRevisions>
    </reviewItem>
    <reviewItem>
      <errorID>5c2e7956-5c47-4db0-81eb-b153eda27d38</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2CAAA59A</paraID>
      <start>73</start>
      <end>77</end>
      <status>ignored</status>
      <modifiedWord/>
      <trackRevisions>false</trackRevisions>
    </reviewItem>
    <reviewItem>
      <errorID>2ee31d61-c387-419b-812d-70d51f2b8952</errorID>
      <errorWord>涉及到</errorWord>
      <group>L1_Grammar</group>
      <groupName>语法问题</groupName>
      <ability>L2_Grammar</ability>
      <abilityName>语法错误</abilityName>
      <candidateList>
        <item>涉及</item>
      </candidateList>
      <explain>〈动〉牵涉到；关联到：案子～好几个人｜这个问题～面很广。</explain>
      <paraID>20BD125E</paraID>
      <start>13</start>
      <end>16</end>
      <status>ignored</status>
      <modifiedWord/>
      <trackRevisions>false</trackRevisions>
    </reviewItem>
    <reviewItem>
      <errorID>b73f0a28-e5ef-4514-bd63-ddc442eb9326</errorID>
      <errorWord>保持通讯畅通</errorWord>
      <group>L1_Word</group>
      <groupName>字词问题</groupName>
      <ability>L2_Typo</ability>
      <abilityName>字词错误</abilityName>
      <candidateList>
        <item>保持通信畅通</item>
      </candidateList>
      <explain/>
      <paraID> B85BAE8</paraID>
      <start>17</start>
      <end>23</end>
      <status>ignored</status>
      <modifiedWord/>
      <trackRevisions>false</trackRevisions>
    </reviewItem>
    <reviewItem>
      <errorID>49984217-9875-4a85-8ca2-85e2c653fcfb</errorID>
      <errorWord>（</errorWord>
      <group>L1_Punc</group>
      <groupName>标点问题</groupName>
      <ability>L2_Punc</ability>
      <abilityName>标点符号检查</abilityName>
      <candidateList/>
      <explain>同一形式括号套用。</explain>
      <paraID>7CEAB893</paraID>
      <start>47</start>
      <end>48</end>
      <status>ignored</status>
      <modifiedWord/>
      <trackRevisions>false</trackRevisions>
    </reviewItem>
    <reviewItem>
      <errorID>e5095d2d-945d-4ab5-be29-708badc9c0e1</errorID>
      <errorWord>）</errorWord>
      <group>L1_Punc</group>
      <groupName>标点问题</groupName>
      <ability>L2_Punc</ability>
      <abilityName>标点符号检查</abilityName>
      <candidateList/>
      <explain>同一形式括号套用。</explain>
      <paraID>7CEAB893</paraID>
      <start>51</start>
      <end>52</end>
      <status>ignored</status>
      <modifiedWord/>
      <trackRevisions>false</trackRevisions>
    </reviewItem>
    <reviewItem>
      <errorID>3d93c2b7-6c13-4d3f-b523-2da9237919a2</errorID>
      <errorWord>&lt;</errorWord>
      <group>L1_Format</group>
      <groupName>格式问题</groupName>
      <ability>L2_HalfPunc</ability>
      <abilityName>全半角检查</abilityName>
      <candidateList>
        <item>〈</item>
      </candidateList>
      <explain>文本全半角错误。</explain>
      <paraID>12C83059</paraID>
      <start>32</start>
      <end>33</end>
      <status>ignored</status>
      <modifiedWord/>
      <trackRevisions>false</trackRevisions>
    </reviewItem>
    <reviewItem>
      <errorID>f3e0ab18-ac86-4c76-ab1f-309bccc37156</errorID>
      <errorWord>&lt;</errorWord>
      <group>L1_Format</group>
      <groupName>格式问题</groupName>
      <ability>L2_HalfPunc</ability>
      <abilityName>全半角检查</abilityName>
      <candidateList>
        <item>〈</item>
      </candidateList>
      <explain>文本全半角错误。</explain>
      <paraID>3630DFFA</paraID>
      <start>34</start>
      <end>35</end>
      <status>ignored</status>
      <modifiedWord/>
      <trackRevisions>false</trackRevisions>
    </reviewItem>
    <reviewItem>
      <errorID>5a945d90-820d-487e-a9e5-207a3d2bf69f</errorID>
      <errorWord>&gt;</errorWord>
      <group>L1_Format</group>
      <groupName>格式问题</groupName>
      <ability>L2_HalfPunc</ability>
      <abilityName>全半角检查</abilityName>
      <candidateList>
        <item>〉</item>
      </candidateList>
      <explain>文本全半角错误。</explain>
      <paraID>1CC07E5C</paraID>
      <start>78</start>
      <end>79</end>
      <status>ignored</status>
      <modifiedWord/>
      <trackRevisions>false</trackRevisions>
    </reviewItem>
    <reviewItem>
      <errorID>608e3f02-c29d-46ca-85bc-7bcff6ae62d6</errorID>
      <errorWord>提出质疑</errorWord>
      <group>L1_Grammar</group>
      <groupName>语法问题</groupName>
      <ability>L2_Grammar</ability>
      <abilityName>语法错误</abilityName>
      <candidateList>
        <item>质疑</item>
      </candidateList>
      <explain>〈动〉提出疑问：～问难。</explain>
      <paraID>1CC07E5C</paraID>
      <start>98</start>
      <end>102</end>
      <status>unmodified</status>
      <modifiedWord/>
      <trackRevisions>false</trackRevisions>
    </reviewItem>
    <reviewItem>
      <errorID>dece4121-456e-41f5-81c1-3227f75e6e0f</errorID>
      <errorWord>提出质疑</errorWord>
      <group>L1_Grammar</group>
      <groupName>语法问题</groupName>
      <ability>L2_Grammar</ability>
      <abilityName>语法错误</abilityName>
      <candidateList>
        <item>质疑</item>
      </candidateList>
      <explain>〈动〉提出疑问：～问难。</explain>
      <paraID>350F0BE0</paraID>
      <start>29</start>
      <end>33</end>
      <status>unmodified</status>
      <modifiedWord/>
      <trackRevisions>false</trackRevisions>
    </reviewItem>
    <reviewItem>
      <errorID>b78a7f7e-a137-4675-82bc-fb44205ee9d8</errorID>
      <errorWord>（</errorWord>
      <group>L1_Word</group>
      <groupName>字词问题</groupName>
      <ability>L2_Typo</ability>
      <abilityName>字词错误</abilityName>
      <candidateList>
        <item>（在</item>
      </candidateList>
      <explain/>
      <paraID>343E2716</paraID>
      <start>61</start>
      <end>62</end>
      <status>unmodified</status>
      <modifiedWord/>
      <trackRevisions>false</trackRevisions>
    </reviewItem>
    <reviewItem>
      <errorID>bf6f4304-6bbf-4f21-858f-a230d0b34914</errorID>
      <errorWord>《</errorWord>
      <group>L1_Punc</group>
      <groupName>标点问题</groupName>
      <ability>L2_Punc</ability>
      <abilityName>标点符号检查</abilityName>
      <candidateList/>
      <explain>同一形式括号套用。</explain>
      <paraID>5A5D8518</paraID>
      <start>37</start>
      <end>38</end>
      <status>unmodified</status>
      <modifiedWord/>
      <trackRevisions>false</trackRevisions>
    </reviewItem>
    <reviewItem>
      <errorID>266f7ada-c1c8-461d-afde-3ce911b7ee3d</errorID>
      <errorWord>》</errorWord>
      <group>L1_Punc</group>
      <groupName>标点问题</groupName>
      <ability>L2_Punc</ability>
      <abilityName>标点符号检查</abilityName>
      <candidateList/>
      <explain>同一形式括号套用。</explain>
      <paraID>5A5D8518</paraID>
      <start>54</start>
      <end>55</end>
      <status>unmodified</status>
      <modifiedWord/>
      <trackRevisions>false</trackRevisions>
    </reviewItem>
    <reviewItem>
      <errorID>96e09f63-e49f-43c9-bd9a-3ece8ea4f99f</errorID>
      <errorWord>《</errorWord>
      <group>L1_Punc</group>
      <groupName>标点问题</groupName>
      <ability>L2_Punc</ability>
      <abilityName>标点符号检查</abilityName>
      <candidateList/>
      <explain>同一形式括号套用。</explain>
      <paraID>5A5D8518</paraID>
      <start>55</start>
      <end>56</end>
      <status>unmodified</status>
      <modifiedWord/>
      <trackRevisions>false</trackRevisions>
    </reviewItem>
    <reviewItem>
      <errorID>8c58eeee-4897-4507-863f-443ffe1df016</errorID>
      <errorWord>》</errorWord>
      <group>L1_Punc</group>
      <groupName>标点问题</groupName>
      <ability>L2_Punc</ability>
      <abilityName>标点符号检查</abilityName>
      <candidateList/>
      <explain>同一形式括号套用。</explain>
      <paraID>5A5D8518</paraID>
      <start>72</start>
      <end>73</end>
      <status>unmodified</status>
      <modifiedWord/>
      <trackRevisions>false</trackRevisions>
    </reviewItem>
    <reviewItem>
      <errorID>ca594578-d4c1-4a42-8aa4-dc3d44a885be</errorID>
      <errorWord>（</errorWord>
      <group>L1_Punc</group>
      <groupName>标点问题</groupName>
      <ability>L2_Punc</ability>
      <abilityName>标点符号检查</abilityName>
      <candidateList>
        <item/>
      </candidateList>
      <explain>同一形式括号套用。</explain>
      <paraID>4DBD7226</paraID>
      <start>100</start>
      <end>101</end>
      <status>unmodified</status>
      <modifiedWord/>
      <trackRevisions>false</trackRevisions>
    </reviewItem>
    <reviewItem>
      <errorID>3fe616ee-1200-486a-a7ae-910856e4f92e</errorID>
      <errorWord>(</errorWord>
      <group>L1_Punc</group>
      <groupName>标点问题</groupName>
      <ability>L2_Punc</ability>
      <abilityName>标点符号检查</abilityName>
      <candidateList/>
      <explain>同一形式括号套用。</explain>
      <paraID>4DBD7226</paraID>
      <start>145</start>
      <end>146</end>
      <status>unmodified</status>
      <modifiedWord/>
      <trackRevisions>false</trackRevisions>
    </reviewItem>
    <reviewItem>
      <errorID>858c2432-8cb4-444a-950b-3845e78afccd</errorID>
      <errorWord>)</errorWord>
      <group>L1_Punc</group>
      <groupName>标点问题</groupName>
      <ability>L2_Punc</ability>
      <abilityName>标点符号检查</abilityName>
      <candidateList/>
      <explain>同一形式括号套用。</explain>
      <paraID>4DBD7226</paraID>
      <start>158</start>
      <end>159</end>
      <status>unmodified</status>
      <modifiedWord/>
      <trackRevisions>false</trackRevisions>
    </reviewItem>
    <reviewItem>
      <errorID>a272e9e3-bd48-4137-b50a-3e3f1db2d2f8</errorID>
      <errorWord>）</errorWord>
      <group>L1_Punc</group>
      <groupName>标点问题</groupName>
      <ability>L2_Punc</ability>
      <abilityName>标点符号检查</abilityName>
      <candidateList/>
      <explain>同一形式括号套用。</explain>
      <paraID>4DBD7226</paraID>
      <start>218</start>
      <end>219</end>
      <status>unmodified</status>
      <modifiedWord/>
      <trackRevisions>false</trackRevisions>
    </reviewItem>
    <reviewItem>
      <errorID>bb4d5206-6285-4171-bd1c-7a5ff7b4fdfb</errorID>
      <errorWord>（</errorWord>
      <group>L1_Punc</group>
      <groupName>标点问题</groupName>
      <ability>L2_Punc</ability>
      <abilityName>标点符号检查</abilityName>
      <candidateList>
        <item/>
      </candidateList>
      <explain>同一形式括号套用。</explain>
      <paraID>1865E8A5</paraID>
      <start>71</start>
      <end>72</end>
      <status>unmodified</status>
      <modifiedWord/>
      <trackRevisions>false</trackRevisions>
    </reviewItem>
    <reviewItem>
      <errorID>51f54ec8-4cf0-4fce-bbb1-82de32f46c7e</errorID>
      <errorWord>(</errorWord>
      <group>L1_Punc</group>
      <groupName>标点问题</groupName>
      <ability>L2_Punc</ability>
      <abilityName>标点符号检查</abilityName>
      <candidateList/>
      <explain>同一形式括号套用。</explain>
      <paraID>1865E8A5</paraID>
      <start>116</start>
      <end>117</end>
      <status>unmodified</status>
      <modifiedWord/>
      <trackRevisions>false</trackRevisions>
    </reviewItem>
    <reviewItem>
      <errorID>7ee04c41-868a-4c30-a8d3-0e0e20d19148</errorID>
      <errorWord>)</errorWord>
      <group>L1_Punc</group>
      <groupName>标点问题</groupName>
      <ability>L2_Punc</ability>
      <abilityName>标点符号检查</abilityName>
      <candidateList/>
      <explain>同一形式括号套用。</explain>
      <paraID>1865E8A5</paraID>
      <start>129</start>
      <end>130</end>
      <status>unmodified</status>
      <modifiedWord/>
      <trackRevisions>false</trackRevisions>
    </reviewItem>
    <reviewItem>
      <errorID>60b4d681-f97d-4f48-be9d-e7671cb31b58</errorID>
      <errorWord>）</errorWord>
      <group>L1_Punc</group>
      <groupName>标点问题</groupName>
      <ability>L2_Punc</ability>
      <abilityName>标点符号检查</abilityName>
      <candidateList/>
      <explain>同一形式括号套用。</explain>
      <paraID>1865E8A5</paraID>
      <start>189</start>
      <end>190</end>
      <status>unmodified</status>
      <modifiedWord/>
      <trackRevisions>false</trackRevisions>
    </reviewItem>
    <reviewItem>
      <errorID>8a118dc6-98a4-4896-966e-40a5f9f9a2dc</errorID>
      <errorWord>聚氨醋</errorWord>
      <group>L1_Word</group>
      <groupName>字词问题</groupName>
      <ability>L2_Typo</ability>
      <abilityName>字词错误</abilityName>
      <candidateList>
        <item>聚氨酯</item>
      </candidateList>
      <explain/>
      <paraID>6A0C057A</paraID>
      <start>17</start>
      <end>20</end>
      <status>unmodified</status>
      <modifiedWord/>
      <trackRevisions>false</trackRevisions>
    </reviewItem>
    <reviewItem>
      <errorID>cc1613b1-70ba-4138-a5c5-be458fd05778</errorID>
      <errorWord>(</errorWord>
      <group>L1_Format</group>
      <groupName>格式问题</groupName>
      <ability>L2_HalfPunc</ability>
      <abilityName>全半角检查</abilityName>
      <candidateList>
        <item>（</item>
      </candidateList>
      <explain>文本全半角错误。</explain>
      <paraID>31E008CB</paraID>
      <start>10</start>
      <end>11</end>
      <status>modified</status>
      <modifiedWord>（</modifiedWord>
      <trackRevisions>false</trackRevisions>
    </reviewItem>
    <reviewItem>
      <errorID>cc94cfb8-4a44-4bf0-9041-5564d08df1f2</errorID>
      <errorWord>)</errorWord>
      <group>L1_Format</group>
      <groupName>格式问题</groupName>
      <ability>L2_HalfPunc</ability>
      <abilityName>全半角检查</abilityName>
      <candidateList>
        <item>）</item>
      </candidateList>
      <explain>文本全半角错误。</explain>
      <paraID>31E008CB</paraID>
      <start>23</start>
      <end>24</end>
      <status>modified</status>
      <modifiedWord>）</modifiedWord>
      <trackRevisions>false</trackRevisions>
    </reviewItem>
    <reviewItem>
      <errorID>7b855903-e114-4d6a-a786-09d1de03e495</errorID>
      <errorWord>详实</errorWord>
      <group>L1_Word</group>
      <groupName>字词问题</groupName>
      <ability>L2_Typo</ability>
      <abilityName>字词错误</abilityName>
      <candidateList>
        <item>翔实</item>
      </candidateList>
      <explain/>
      <paraID>724AF9C8</paraID>
      <start>14</start>
      <end>16</end>
      <status>unmodified</status>
      <modifiedWord/>
      <trackRevisions>false</trackRevisions>
    </reviewItem>
    <reviewItem>
      <errorID>b6885ffe-74c9-4f20-81f4-3d453d74bdfa</errorID>
      <errorWord>详实</errorWord>
      <group>L1_Word</group>
      <groupName>字词问题</groupName>
      <ability>L2_Typo</ability>
      <abilityName>字词错误</abilityName>
      <candidateList>
        <item>翔实</item>
      </candidateList>
      <explain/>
      <paraID>2D07ED1B</paraID>
      <start>23</start>
      <end>25</end>
      <status>unmodified</status>
      <modifiedWord/>
      <trackRevisions>false</trackRevisions>
    </reviewItem>
    <reviewItem>
      <errorID>d2c98225-106b-4f89-a61e-8fbff9a438b5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5B3BD73A</paraID>
      <start>23</start>
      <end>26</end>
      <status>unmodified</status>
      <modifiedWord/>
      <trackRevisions>false</trackRevisions>
    </reviewItem>
    <reviewItem>
      <errorID>5bfac220-e646-4164-ab53-46e1f191ec56</errorID>
      <errorWord>》</errorWord>
      <group>L1_Word</group>
      <groupName>字词问题</groupName>
      <ability>L2_Typo</ability>
      <abilityName>字词错误</abilityName>
      <candidateList>
        <item>》等</item>
      </candidateList>
      <explain/>
      <paraID>5B3BD73A</paraID>
      <start>38</start>
      <end>39</end>
      <status>unmodified</status>
      <modifiedWord/>
      <trackRevisions>false</trackRevisions>
    </reviewItem>
    <reviewItem>
      <errorID>df68586f-04de-430a-9876-004bfb77964e</errorID>
      <errorWord>须</errorWord>
      <group>L1_Word</group>
      <groupName>字词问题</groupName>
      <ability>L2_Typo</ability>
      <abilityName>字词错误</abilityName>
      <candidateList>
        <item>需</item>
      </candidateList>
      <explain>存在发音相同字词的误用。</explain>
      <paraID>29829A39</paraID>
      <start>27</start>
      <end>28</end>
      <status>unmodified</status>
      <modifiedWord/>
      <trackRevisions>false</trackRevisions>
    </reviewItem>
    <reviewItem>
      <errorID>bd07012d-87a6-4dbb-8d95-34c82a565418</errorID>
      <errorWord>《</errorWord>
      <group>L1_Punc</group>
      <groupName>标点问题</groupName>
      <ability>L2_Punc</ability>
      <abilityName>标点符号检查</abilityName>
      <candidateList/>
      <explain>同一形式括号套用。</explain>
      <paraID>15C0E9BC</paraID>
      <start>36</start>
      <end>37</end>
      <status>unmodified</status>
      <modifiedWord/>
      <trackRevisions>false</trackRevisions>
    </reviewItem>
    <reviewItem>
      <errorID>e3f3cb5c-9b5c-4089-880f-90284d8eccd1</errorID>
      <errorWord>》</errorWord>
      <group>L1_Punc</group>
      <groupName>标点问题</groupName>
      <ability>L2_Punc</ability>
      <abilityName>标点符号检查</abilityName>
      <candidateList/>
      <explain>同一形式括号套用。</explain>
      <paraID>15C0E9BC</paraID>
      <start>53</start>
      <end>54</end>
      <status>unmodified</status>
      <modifiedWord/>
      <trackRevisions>false</trackRevisions>
    </reviewItem>
    <reviewItem>
      <errorID>7c1e84ff-f4bc-4872-a526-ae43f56feaec</errorID>
      <errorWord>《</errorWord>
      <group>L1_Punc</group>
      <groupName>标点问题</groupName>
      <ability>L2_Punc</ability>
      <abilityName>标点符号检查</abilityName>
      <candidateList/>
      <explain>同一形式括号套用。</explain>
      <paraID>15C0E9BC</paraID>
      <start>54</start>
      <end>55</end>
      <status>unmodified</status>
      <modifiedWord/>
      <trackRevisions>false</trackRevisions>
    </reviewItem>
    <reviewItem>
      <errorID>96c8c8ec-4a98-475b-b476-e345174c0d14</errorID>
      <errorWord>》</errorWord>
      <group>L1_Punc</group>
      <groupName>标点问题</groupName>
      <ability>L2_Punc</ability>
      <abilityName>标点符号检查</abilityName>
      <candidateList/>
      <explain>同一形式括号套用。</explain>
      <paraID>15C0E9BC</paraID>
      <start>71</start>
      <end>72</end>
      <status>unmodified</status>
      <modifiedWord/>
      <trackRevisions>false</trackRevisions>
    </reviewItem>
    <reviewItem>
      <errorID>c4f11e65-c16c-4172-a733-7c6a077b3dd4</errorID>
      <errorWord>承担的</errorWord>
      <group>L1_Word</group>
      <groupName>字词问题</groupName>
      <ability>L2_Typo</ability>
      <abilityName>字词错误</abilityName>
      <candidateList>
        <item>承担</item>
      </candidateList>
      <explain>〈动〉担负；担当：～义务｜～责任。</explain>
      <paraID> 810CC67</paraID>
      <start>172</start>
      <end>175</end>
      <status>unmodified</status>
      <modifiedWord/>
      <trackRevisions>false</trackRevisions>
    </reviewItem>
    <reviewItem>
      <errorID>c400417e-180f-4ee4-8ef4-7fee2354ad76</errorID>
      <errorWord>承担的</errorWord>
      <group>L1_Word</group>
      <groupName>字词问题</groupName>
      <ability>L2_Typo</ability>
      <abilityName>字词错误</abilityName>
      <candidateList>
        <item>承担</item>
      </candidateList>
      <explain>〈动〉担负；担当：～义务｜～责任。</explain>
      <paraID>24FBC922</paraID>
      <start>19</start>
      <end>22</end>
      <status>unmodified</status>
      <modifiedWord/>
      <trackRevisions>false</trackRevisions>
    </reviewItem>
    <reviewItem>
      <errorID>4c99d357-9eaa-4508-a1b9-bf44b5b2439f</errorID>
      <errorWord>(</errorWord>
      <group>L1_Format</group>
      <groupName>格式问题</groupName>
      <ability>L2_HalfPunc</ability>
      <abilityName>全半角检查</abilityName>
      <candidateList>
        <item>（</item>
      </candidateList>
      <explain>文本全半角错误。</explain>
      <paraID>35D1B4CD</paraID>
      <start>14</start>
      <end>15</end>
      <status>modified</status>
      <modifiedWord>（</modifiedWord>
      <trackRevisions>false</trackRevisions>
    </reviewItem>
    <reviewItem>
      <errorID>829ffe32-3260-4e61-92ca-67c97e4f821e</errorID>
      <errorWord>)</errorWord>
      <group>L1_Format</group>
      <groupName>格式问题</groupName>
      <ability>L2_HalfPunc</ability>
      <abilityName>全半角检查</abilityName>
      <candidateList>
        <item>）</item>
      </candidateList>
      <explain>文本全半角错误。</explain>
      <paraID>35D1B4CD</paraID>
      <start>27</start>
      <end>28</end>
      <status>modified</status>
      <modifiedWord>）</modifiedWord>
      <trackRevisions>false</trackRevisions>
    </reviewItem>
    <reviewItem>
      <errorID>d98d51a0-f17b-48de-b208-9adf87fbe947</errorID>
      <errorWord>有</errorWord>
      <group>L1_Word</group>
      <groupName>字词问题</groupName>
      <ability>L2_Typo</ability>
      <abilityName>字词错误</abilityName>
      <candidateList>
        <item>有效</item>
      </candidateList>
      <explain/>
      <paraID>292266D7</paraID>
      <start>36</start>
      <end>37</end>
      <status>unmodified</status>
      <modifiedWord/>
      <trackRevisions>false</trackRevisions>
    </reviewItem>
    <reviewItem>
      <errorID>ffcffe6f-fb98-4fe5-a7c0-9ddb065a365b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F314CAF</paraID>
      <start>14</start>
      <end>15</end>
      <status>unmodified</status>
      <modifiedWord/>
      <trackRevisions>false</trackRevisions>
    </reviewItem>
    <reviewItem>
      <errorID>f0814a77-ab6e-44bb-84a3-e1e1189fcfe7</errorID>
      <errorWord>,</errorWord>
      <group>L1_Format</group>
      <groupName>格式问题</groupName>
      <ability>L2_HalfPunc</ability>
      <abilityName>全半角检查</abilityName>
      <candidateList>
        <item>，</item>
      </candidateList>
      <explain>文本全半角错误。</explain>
      <paraID> 144C638</paraID>
      <start>59</start>
      <end>60</end>
      <status>modified</status>
      <modifiedWord>，</modifiedWord>
      <trackRevisions>false</trackRevisions>
    </reviewItem>
    <reviewItem>
      <errorID>8e66f1c9-0986-44b9-8b6e-2b8863cc205a</errorID>
      <errorWord>:</errorWord>
      <group>L1_Format</group>
      <groupName>格式问题</groupName>
      <ability>L2_HalfPunc</ability>
      <abilityName>全半角检查</abilityName>
      <candidateList>
        <item>：</item>
      </candidateList>
      <explain>文本全半角错误。</explain>
      <paraID>350F0A35</paraID>
      <start>6</start>
      <end>7</end>
      <status>modified</status>
      <modifiedWord>：</modifiedWord>
      <trackRevisions>false</trackRevisions>
    </reviewItem>
    <reviewItem>
      <errorID>66870c6c-8cab-4f74-b4f9-94d7227192d2</errorID>
      <errorWord>:</errorWord>
      <group>L1_Format</group>
      <groupName>格式问题</groupName>
      <ability>L2_HalfPunc</ability>
      <abilityName>全半角检查</abilityName>
      <candidateList>
        <item>：</item>
      </candidateList>
      <explain>文本全半角错误。</explain>
      <paraID>4D0C0593</paraID>
      <start>6</start>
      <end>7</end>
      <status>modified</status>
      <modifiedWord>：</modifiedWord>
      <trackRevisions>false</trackRevisions>
    </reviewItem>
    <reviewItem>
      <errorID>7a13d147-d2f4-4ef7-8a27-53aefe67b5fc</errorID>
      <errorWord>:</errorWord>
      <group>L1_Format</group>
      <groupName>格式问题</groupName>
      <ability>L2_HalfPunc</ability>
      <abilityName>全半角检查</abilityName>
      <candidateList>
        <item>：</item>
      </candidateList>
      <explain>文本全半角错误。</explain>
      <paraID>7A818B82</paraID>
      <start>6</start>
      <end>7</end>
      <status>modified</status>
      <modifiedWord>：</modifiedWord>
      <trackRevisions>false</trackRevisions>
    </reviewItem>
    <reviewItem>
      <errorID>f1ed97c4-6f6a-4ced-a3db-9af28262a390</errorID>
      <errorWord>所有的</errorWord>
      <group>L1_Word</group>
      <groupName>字词问题</groupName>
      <ability>L2_Typo</ability>
      <abilityName>字词错误</abilityName>
      <candidateList>
        <item>所有</item>
      </candidateList>
      <explain/>
      <paraID>1DA22EC5</paraID>
      <start>11</start>
      <end>14</end>
      <status>unmodified</status>
      <modifiedWord/>
      <trackRevisions>false</trackRevisions>
    </reviewItem>
    <reviewItem>
      <errorID>0d76a876-aa47-426f-aed6-c78846107d79</errorID>
      <errorWord>之日期起</errorWord>
      <group>L1_Word</group>
      <groupName>字词问题</groupName>
      <ability>L2_Typo</ability>
      <abilityName>字词错误</abilityName>
      <candidateList>
        <item>之日起</item>
      </candidateList>
      <explain/>
      <paraID>60FEFD3F</paraID>
      <start>36</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75C8827-BB5A-4448-9391-74299D06E1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邵丽子</cp:lastModifiedBy>
  <cp:revision>9</cp:revision>
  <dcterms:created xsi:type="dcterms:W3CDTF">2024-01-08T08:47:00Z</dcterms:created>
  <dcterms:modified xsi:type="dcterms:W3CDTF">2026-08-03T01:39:26Z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eyJoZGlkIjoiNTc4ZmRjMDZhMTg5MGM1ZDJlMDYzYzM2MjU2NGM1NjkiLCJ1c2VySWQiOiI0NTIzMzIxMDEifQ==</vt:lpwstr>
  </property>
  <property fmtid="{D5CDD505-2E9C-101B-9397-08002B2CF9AE}" pid="3" name="KSOProductBuildVer">
    <vt:lpwstr>2052-12.1.0.26895</vt:lpwstr>
  </property>
  <property fmtid="{D5CDD505-2E9C-101B-9397-08002B2CF9AE}" pid="4" name="ICV">
    <vt:lpwstr>563F8BE66CE1461F9416C4673B7BA259_13</vt:lpwstr>
  </property>
</Properties>
</file>