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45B48">
      <w:pPr>
        <w:rPr>
          <w:rFonts w:hint="eastAsia" w:ascii="仿宋" w:hAnsi="仿宋" w:eastAsia="仿宋" w:cs="Arial"/>
          <w:sz w:val="36"/>
        </w:rPr>
      </w:pPr>
    </w:p>
    <w:p w14:paraId="488B9F12">
      <w:pPr>
        <w:jc w:val="center"/>
        <w:rPr>
          <w:rFonts w:hint="eastAsia" w:ascii="仿宋" w:hAnsi="仿宋" w:eastAsia="仿宋" w:cs="Arial"/>
        </w:rPr>
      </w:pPr>
    </w:p>
    <w:p w14:paraId="166DDA67">
      <w:pPr>
        <w:spacing w:line="1040" w:lineRule="exact"/>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政府采购</w:t>
      </w:r>
    </w:p>
    <w:p w14:paraId="61C4C3CB">
      <w:pPr>
        <w:spacing w:line="1040" w:lineRule="exact"/>
        <w:jc w:val="center"/>
        <w:rPr>
          <w:rFonts w:hint="eastAsia" w:ascii="仿宋" w:hAnsi="仿宋" w:eastAsia="仿宋" w:cs="仿宋"/>
          <w:b/>
          <w:bCs w:val="0"/>
          <w:spacing w:val="40"/>
          <w:sz w:val="72"/>
          <w:szCs w:val="72"/>
        </w:rPr>
      </w:pPr>
      <w:r>
        <w:rPr>
          <w:rFonts w:hint="eastAsia" w:ascii="仿宋" w:hAnsi="仿宋" w:eastAsia="仿宋" w:cs="仿宋"/>
          <w:b/>
          <w:color w:val="auto"/>
          <w:sz w:val="72"/>
          <w:szCs w:val="72"/>
          <w:highlight w:val="none"/>
        </w:rPr>
        <w:t>公开招标文件</w:t>
      </w:r>
    </w:p>
    <w:p w14:paraId="3A8211EF">
      <w:pPr>
        <w:spacing w:before="240" w:after="240" w:line="360" w:lineRule="auto"/>
        <w:rPr>
          <w:rFonts w:hint="eastAsia" w:ascii="仿宋" w:hAnsi="仿宋" w:eastAsia="仿宋" w:cs="仿宋"/>
          <w:b/>
          <w:spacing w:val="40"/>
          <w:sz w:val="90"/>
          <w:szCs w:val="96"/>
        </w:rPr>
      </w:pPr>
    </w:p>
    <w:p w14:paraId="390427FF">
      <w:pPr>
        <w:shd w:val="clear"/>
        <w:spacing w:before="240" w:after="240" w:line="360" w:lineRule="auto"/>
        <w:jc w:val="center"/>
        <w:rPr>
          <w:rFonts w:hint="eastAsia" w:ascii="仿宋" w:hAnsi="仿宋" w:eastAsia="仿宋" w:cs="仿宋"/>
          <w:b/>
          <w:color w:val="auto"/>
          <w:sz w:val="36"/>
          <w:szCs w:val="36"/>
        </w:rPr>
      </w:pPr>
      <w:r>
        <w:rPr>
          <w:rFonts w:hint="eastAsia" w:ascii="仿宋" w:hAnsi="仿宋" w:eastAsia="仿宋" w:cs="仿宋"/>
          <w:b/>
          <w:color w:val="auto"/>
          <w:sz w:val="36"/>
          <w:szCs w:val="36"/>
        </w:rPr>
        <w:t>项目名称：</w:t>
      </w:r>
      <w:r>
        <w:rPr>
          <w:rFonts w:hint="eastAsia" w:ascii="仿宋" w:hAnsi="仿宋" w:eastAsia="仿宋" w:cs="仿宋"/>
          <w:b/>
          <w:color w:val="auto"/>
          <w:sz w:val="36"/>
          <w:szCs w:val="36"/>
          <w:shd w:val="clear" w:color="auto"/>
        </w:rPr>
        <w:t>洪泽区紧密型区域医共体共享中心项目</w:t>
      </w:r>
    </w:p>
    <w:p w14:paraId="0936EDAD">
      <w:pPr>
        <w:shd w:val="clear"/>
        <w:spacing w:before="240" w:after="240" w:line="360" w:lineRule="auto"/>
        <w:ind w:firstLine="361" w:firstLineChars="100"/>
        <w:jc w:val="both"/>
        <w:rPr>
          <w:rFonts w:hint="eastAsia" w:ascii="仿宋" w:hAnsi="仿宋" w:eastAsia="仿宋"/>
          <w:sz w:val="28"/>
          <w:szCs w:val="28"/>
        </w:rPr>
      </w:pPr>
      <w:r>
        <w:rPr>
          <w:rFonts w:hint="eastAsia" w:ascii="仿宋" w:hAnsi="仿宋" w:eastAsia="仿宋" w:cs="仿宋"/>
          <w:b/>
          <w:color w:val="auto"/>
          <w:sz w:val="36"/>
          <w:szCs w:val="36"/>
        </w:rPr>
        <w:t>项目编号：</w:t>
      </w:r>
      <w:r>
        <w:rPr>
          <w:rFonts w:hint="eastAsia" w:ascii="仿宋" w:hAnsi="仿宋" w:eastAsia="仿宋" w:cs="仿宋"/>
          <w:b/>
          <w:color w:val="auto"/>
          <w:sz w:val="36"/>
          <w:szCs w:val="36"/>
          <w:shd w:val="clear" w:color="auto"/>
        </w:rPr>
        <w:t>JSZC-320813-SZZB-G2026-0002</w:t>
      </w:r>
    </w:p>
    <w:p w14:paraId="722EF2BF">
      <w:pPr>
        <w:shd w:val="clear"/>
        <w:jc w:val="center"/>
        <w:rPr>
          <w:rFonts w:hint="eastAsia" w:ascii="仿宋" w:hAnsi="仿宋" w:eastAsia="仿宋" w:cs="仿宋"/>
          <w:color w:val="auto"/>
          <w:sz w:val="36"/>
          <w:szCs w:val="36"/>
        </w:rPr>
      </w:pPr>
    </w:p>
    <w:p w14:paraId="40F93B43">
      <w:pPr>
        <w:shd w:val="clear"/>
        <w:jc w:val="center"/>
        <w:rPr>
          <w:rFonts w:hint="eastAsia" w:ascii="仿宋" w:hAnsi="仿宋" w:eastAsia="仿宋" w:cs="仿宋"/>
          <w:color w:val="auto"/>
          <w:sz w:val="36"/>
          <w:szCs w:val="36"/>
        </w:rPr>
      </w:pPr>
    </w:p>
    <w:p w14:paraId="7F84E3FC">
      <w:pPr>
        <w:shd w:val="clear"/>
        <w:jc w:val="center"/>
        <w:rPr>
          <w:rFonts w:hint="eastAsia" w:ascii="仿宋" w:hAnsi="仿宋" w:eastAsia="仿宋" w:cs="仿宋"/>
          <w:color w:val="auto"/>
          <w:sz w:val="36"/>
          <w:szCs w:val="36"/>
        </w:rPr>
      </w:pPr>
    </w:p>
    <w:p w14:paraId="67BF31E8">
      <w:pPr>
        <w:shd w:val="clear"/>
        <w:jc w:val="center"/>
        <w:rPr>
          <w:rFonts w:hint="eastAsia" w:ascii="仿宋" w:hAnsi="仿宋" w:eastAsia="仿宋" w:cs="仿宋"/>
          <w:color w:val="auto"/>
          <w:sz w:val="36"/>
          <w:szCs w:val="36"/>
        </w:rPr>
      </w:pPr>
    </w:p>
    <w:p w14:paraId="179617D6">
      <w:pPr>
        <w:shd w:val="clear"/>
        <w:jc w:val="center"/>
        <w:rPr>
          <w:rFonts w:hint="eastAsia" w:ascii="仿宋" w:hAnsi="仿宋" w:eastAsia="仿宋" w:cs="仿宋"/>
          <w:color w:val="auto"/>
          <w:sz w:val="36"/>
          <w:szCs w:val="36"/>
        </w:rPr>
      </w:pPr>
    </w:p>
    <w:p w14:paraId="51713C1E">
      <w:pPr>
        <w:shd w:val="clear"/>
        <w:jc w:val="center"/>
        <w:rPr>
          <w:rFonts w:hint="eastAsia" w:ascii="仿宋" w:hAnsi="仿宋" w:eastAsia="仿宋" w:cs="仿宋"/>
          <w:color w:val="auto"/>
          <w:sz w:val="36"/>
          <w:szCs w:val="36"/>
        </w:rPr>
      </w:pPr>
    </w:p>
    <w:p w14:paraId="22FE9419">
      <w:pPr>
        <w:shd w:val="clear"/>
        <w:jc w:val="center"/>
        <w:rPr>
          <w:rFonts w:hint="eastAsia" w:ascii="仿宋" w:hAnsi="仿宋" w:eastAsia="仿宋" w:cs="仿宋"/>
          <w:color w:val="auto"/>
          <w:sz w:val="36"/>
          <w:szCs w:val="36"/>
        </w:rPr>
      </w:pPr>
    </w:p>
    <w:p w14:paraId="28077233">
      <w:pPr>
        <w:shd w:val="clear"/>
        <w:spacing w:line="360" w:lineRule="auto"/>
        <w:ind w:firstLine="1084" w:firstLineChars="300"/>
        <w:rPr>
          <w:rFonts w:hint="eastAsia" w:ascii="仿宋" w:hAnsi="仿宋" w:eastAsia="仿宋" w:cs="仿宋"/>
          <w:b/>
          <w:color w:val="auto"/>
          <w:sz w:val="36"/>
          <w:szCs w:val="36"/>
        </w:rPr>
      </w:pPr>
    </w:p>
    <w:p w14:paraId="3501FCEC">
      <w:pPr>
        <w:shd w:val="clear"/>
        <w:spacing w:line="360" w:lineRule="auto"/>
        <w:ind w:firstLine="1446" w:firstLineChars="400"/>
        <w:rPr>
          <w:rFonts w:hint="eastAsia" w:ascii="仿宋" w:hAnsi="仿宋" w:eastAsia="仿宋" w:cs="仿宋"/>
          <w:b/>
          <w:color w:val="auto"/>
          <w:sz w:val="36"/>
          <w:szCs w:val="36"/>
        </w:rPr>
      </w:pPr>
      <w:r>
        <w:rPr>
          <w:rFonts w:hint="eastAsia" w:ascii="仿宋" w:hAnsi="仿宋" w:eastAsia="仿宋" w:cs="仿宋"/>
          <w:b/>
          <w:color w:val="auto"/>
          <w:sz w:val="36"/>
          <w:szCs w:val="36"/>
        </w:rPr>
        <w:t>采购人：淮安市洪泽区卫生健康委员会</w:t>
      </w:r>
    </w:p>
    <w:p w14:paraId="5213261F">
      <w:pPr>
        <w:shd w:val="clear"/>
        <w:spacing w:line="360" w:lineRule="auto"/>
        <w:ind w:firstLine="1084" w:firstLineChars="300"/>
        <w:rPr>
          <w:rFonts w:hint="eastAsia" w:ascii="仿宋" w:hAnsi="仿宋" w:eastAsia="仿宋" w:cs="仿宋"/>
          <w:b/>
          <w:color w:val="auto"/>
          <w:sz w:val="36"/>
          <w:szCs w:val="36"/>
        </w:rPr>
      </w:pPr>
      <w:r>
        <w:rPr>
          <w:rFonts w:hint="eastAsia" w:ascii="仿宋" w:hAnsi="仿宋" w:eastAsia="仿宋" w:cs="仿宋"/>
          <w:b/>
          <w:color w:val="auto"/>
          <w:sz w:val="36"/>
          <w:szCs w:val="36"/>
        </w:rPr>
        <w:t>代理机构：江苏神州项目管理有限公司</w:t>
      </w:r>
    </w:p>
    <w:p w14:paraId="5A24A34F">
      <w:pPr>
        <w:shd w:val="clear"/>
        <w:spacing w:line="360" w:lineRule="auto"/>
        <w:ind w:firstLine="1807" w:firstLineChars="500"/>
        <w:rPr>
          <w:rFonts w:hint="eastAsia" w:ascii="仿宋" w:hAnsi="仿宋" w:eastAsia="仿宋" w:cs="仿宋"/>
          <w:b/>
          <w:color w:val="auto"/>
          <w:sz w:val="36"/>
          <w:szCs w:val="36"/>
        </w:rPr>
        <w:sectPr>
          <w:footerReference r:id="rId3" w:type="first"/>
          <w:pgSz w:w="11906" w:h="16838"/>
          <w:pgMar w:top="1440" w:right="1800" w:bottom="1440" w:left="1800" w:header="1138" w:footer="994" w:gutter="0"/>
          <w:cols w:space="1701" w:num="1"/>
          <w:docGrid w:linePitch="360" w:charSpace="0"/>
        </w:sectPr>
      </w:pPr>
      <w:r>
        <w:rPr>
          <w:rFonts w:hint="eastAsia" w:ascii="仿宋" w:hAnsi="仿宋" w:eastAsia="仿宋" w:cs="仿宋"/>
          <w:b/>
          <w:color w:val="auto"/>
          <w:sz w:val="36"/>
          <w:szCs w:val="36"/>
        </w:rPr>
        <w:t>日期：</w:t>
      </w:r>
      <w:r>
        <w:rPr>
          <w:rFonts w:hint="eastAsia" w:ascii="仿宋" w:hAnsi="仿宋" w:eastAsia="仿宋" w:cs="仿宋"/>
          <w:b/>
          <w:color w:val="auto"/>
          <w:sz w:val="36"/>
          <w:szCs w:val="36"/>
          <w:lang w:eastAsia="zh-CN"/>
        </w:rPr>
        <w:t>二〇二六</w:t>
      </w:r>
      <w:r>
        <w:rPr>
          <w:rFonts w:hint="eastAsia" w:ascii="仿宋" w:hAnsi="仿宋" w:eastAsia="仿宋" w:cs="仿宋"/>
          <w:b/>
          <w:color w:val="auto"/>
          <w:sz w:val="36"/>
          <w:szCs w:val="36"/>
        </w:rPr>
        <w:t>年</w:t>
      </w:r>
      <w:r>
        <w:rPr>
          <w:rFonts w:hint="eastAsia" w:ascii="仿宋" w:hAnsi="仿宋" w:eastAsia="仿宋" w:cs="仿宋"/>
          <w:b/>
          <w:color w:val="auto"/>
          <w:sz w:val="36"/>
          <w:szCs w:val="36"/>
          <w:lang w:eastAsia="zh-CN"/>
        </w:rPr>
        <w:t>八</w:t>
      </w:r>
      <w:r>
        <w:rPr>
          <w:rFonts w:hint="eastAsia" w:ascii="仿宋" w:hAnsi="仿宋" w:eastAsia="仿宋" w:cs="仿宋"/>
          <w:b/>
          <w:color w:val="auto"/>
          <w:sz w:val="36"/>
          <w:szCs w:val="36"/>
        </w:rPr>
        <w:t>月</w:t>
      </w:r>
    </w:p>
    <w:p w14:paraId="0500E3A4">
      <w:pPr>
        <w:spacing w:line="520" w:lineRule="exact"/>
        <w:jc w:val="center"/>
        <w:rPr>
          <w:rFonts w:hint="eastAsia" w:ascii="仿宋" w:hAnsi="仿宋" w:eastAsia="仿宋"/>
          <w:b/>
          <w:sz w:val="36"/>
          <w:szCs w:val="36"/>
        </w:rPr>
      </w:pPr>
      <w:r>
        <w:rPr>
          <w:rFonts w:hint="eastAsia" w:ascii="仿宋" w:hAnsi="仿宋" w:eastAsia="仿宋"/>
          <w:b/>
          <w:sz w:val="36"/>
          <w:szCs w:val="36"/>
        </w:rPr>
        <w:t>第一章投标邀请</w:t>
      </w:r>
    </w:p>
    <w:p w14:paraId="44E90576">
      <w:pPr>
        <w:shd w:val="clear"/>
        <w:spacing w:line="500" w:lineRule="exact"/>
        <w:ind w:left="1" w:firstLine="537"/>
        <w:rPr>
          <w:rFonts w:hint="eastAsia" w:ascii="仿宋" w:hAnsi="仿宋" w:eastAsia="仿宋"/>
          <w:sz w:val="28"/>
          <w:szCs w:val="28"/>
        </w:rPr>
      </w:pPr>
      <w:r>
        <w:rPr>
          <w:rFonts w:hint="eastAsia" w:ascii="仿宋" w:hAnsi="仿宋" w:eastAsia="仿宋"/>
          <w:sz w:val="28"/>
        </w:rPr>
        <w:t>受淮安市洪泽区卫生健康委员会的委托，江苏神州项目管理有限公司就洪泽区紧密型区域医共体共享中心项目进行公开招标采购，现邀请</w:t>
      </w:r>
      <w:r>
        <w:rPr>
          <w:rFonts w:hint="eastAsia" w:ascii="仿宋" w:hAnsi="仿宋" w:eastAsia="仿宋"/>
          <w:sz w:val="28"/>
          <w:szCs w:val="28"/>
        </w:rPr>
        <w:t>符合条件的投标人参加投标</w:t>
      </w:r>
      <w:r>
        <w:rPr>
          <w:rFonts w:hint="eastAsia" w:ascii="仿宋" w:hAnsi="仿宋" w:eastAsia="仿宋"/>
          <w:sz w:val="28"/>
        </w:rPr>
        <w:t>。</w:t>
      </w:r>
    </w:p>
    <w:tbl>
      <w:tblPr>
        <w:tblStyle w:val="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4973C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dxa"/>
          </w:tcPr>
          <w:p w14:paraId="6A26FEFD">
            <w:pPr>
              <w:shd w:val="clea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lang w:eastAsia="zh-CN"/>
              </w:rPr>
              <w:t>：</w:t>
            </w:r>
            <w:r>
              <w:rPr>
                <w:rFonts w:hint="eastAsia" w:ascii="仿宋" w:hAnsi="仿宋" w:eastAsia="仿宋"/>
                <w:sz w:val="28"/>
                <w:szCs w:val="28"/>
              </w:rPr>
              <w:t>洪泽区紧密型区域医共体共享中心项目的潜在投标人应在</w:t>
            </w:r>
            <w:bookmarkStart w:id="0" w:name="OLE_LINK1"/>
            <w:r>
              <w:rPr>
                <w:rFonts w:hint="eastAsia" w:ascii="仿宋" w:hAnsi="仿宋" w:eastAsia="仿宋"/>
                <w:sz w:val="28"/>
                <w:szCs w:val="28"/>
              </w:rPr>
              <w:t>“江苏政府采购网”或者“淮安市政府采购网”</w:t>
            </w:r>
            <w:bookmarkEnd w:id="0"/>
            <w:r>
              <w:rPr>
                <w:rFonts w:hint="eastAsia" w:ascii="仿宋" w:hAnsi="仿宋" w:eastAsia="仿宋"/>
                <w:sz w:val="28"/>
                <w:szCs w:val="28"/>
              </w:rPr>
              <w:t>自行免费下载招标文件，并于</w:t>
            </w:r>
            <w:r>
              <w:rPr>
                <w:rFonts w:hint="eastAsia" w:ascii="仿宋" w:hAnsi="仿宋" w:eastAsia="仿宋"/>
                <w:sz w:val="28"/>
                <w:szCs w:val="28"/>
                <w:lang w:eastAsia="zh-CN"/>
              </w:rPr>
              <w:t>2026年</w:t>
            </w:r>
            <w:r>
              <w:rPr>
                <w:rFonts w:hint="eastAsia" w:ascii="仿宋" w:hAnsi="仿宋" w:eastAsia="仿宋"/>
                <w:sz w:val="28"/>
                <w:szCs w:val="28"/>
                <w:lang w:val="en-US" w:eastAsia="zh-CN"/>
              </w:rPr>
              <w:t>8</w:t>
            </w:r>
            <w:r>
              <w:rPr>
                <w:rFonts w:hint="eastAsia" w:ascii="仿宋" w:hAnsi="仿宋" w:eastAsia="仿宋"/>
                <w:sz w:val="28"/>
                <w:szCs w:val="28"/>
                <w:lang w:eastAsia="zh-CN"/>
              </w:rPr>
              <w:t>月</w:t>
            </w:r>
            <w:r>
              <w:rPr>
                <w:rFonts w:hint="eastAsia" w:ascii="仿宋" w:hAnsi="仿宋" w:eastAsia="仿宋"/>
                <w:sz w:val="28"/>
                <w:szCs w:val="28"/>
                <w:lang w:val="en-US" w:eastAsia="zh-CN"/>
              </w:rPr>
              <w:t>26</w:t>
            </w:r>
            <w:r>
              <w:rPr>
                <w:rFonts w:hint="eastAsia" w:ascii="仿宋" w:hAnsi="仿宋" w:eastAsia="仿宋"/>
                <w:sz w:val="28"/>
                <w:szCs w:val="28"/>
              </w:rPr>
              <w:t>日</w:t>
            </w:r>
            <w:r>
              <w:rPr>
                <w:rFonts w:hint="eastAsia" w:ascii="仿宋" w:hAnsi="仿宋" w:eastAsia="仿宋"/>
                <w:sz w:val="28"/>
                <w:szCs w:val="28"/>
                <w:lang w:val="en-US" w:eastAsia="zh-CN"/>
              </w:rPr>
              <w:t>9</w:t>
            </w:r>
            <w:r>
              <w:rPr>
                <w:rFonts w:hint="eastAsia" w:ascii="仿宋" w:hAnsi="仿宋" w:eastAsia="仿宋"/>
                <w:sz w:val="28"/>
                <w:szCs w:val="28"/>
              </w:rPr>
              <w:t>点</w:t>
            </w:r>
            <w:r>
              <w:rPr>
                <w:rFonts w:hint="eastAsia" w:ascii="仿宋" w:hAnsi="仿宋" w:eastAsia="仿宋"/>
                <w:sz w:val="28"/>
                <w:szCs w:val="28"/>
                <w:lang w:val="en-US" w:eastAsia="zh-CN"/>
              </w:rPr>
              <w:t>0</w:t>
            </w:r>
            <w:r>
              <w:rPr>
                <w:rFonts w:hint="eastAsia" w:ascii="仿宋" w:hAnsi="仿宋" w:eastAsia="仿宋"/>
                <w:sz w:val="28"/>
                <w:szCs w:val="28"/>
              </w:rPr>
              <w:t>0分（北京时间）前提交投标文件。</w:t>
            </w:r>
          </w:p>
        </w:tc>
      </w:tr>
    </w:tbl>
    <w:p w14:paraId="6BA3C10A">
      <w:pPr>
        <w:shd w:val="clear"/>
        <w:spacing w:line="520" w:lineRule="exact"/>
        <w:ind w:firstLine="568"/>
        <w:rPr>
          <w:rFonts w:hint="eastAsia" w:ascii="仿宋" w:hAnsi="仿宋" w:eastAsia="仿宋"/>
          <w:b/>
          <w:bCs/>
          <w:sz w:val="28"/>
          <w:szCs w:val="28"/>
        </w:rPr>
      </w:pPr>
      <w:r>
        <w:rPr>
          <w:rFonts w:hint="eastAsia" w:ascii="仿宋" w:hAnsi="仿宋" w:eastAsia="仿宋"/>
          <w:b/>
          <w:bCs/>
          <w:sz w:val="28"/>
          <w:szCs w:val="28"/>
        </w:rPr>
        <w:t>一、项目基本情况</w:t>
      </w:r>
    </w:p>
    <w:p w14:paraId="04FB515A">
      <w:pPr>
        <w:shd w:val="clear"/>
        <w:spacing w:line="520" w:lineRule="exact"/>
        <w:ind w:firstLine="565"/>
        <w:rPr>
          <w:rFonts w:hint="eastAsia" w:ascii="仿宋" w:hAnsi="仿宋" w:eastAsia="仿宋"/>
          <w:sz w:val="28"/>
          <w:szCs w:val="28"/>
        </w:rPr>
      </w:pPr>
      <w:r>
        <w:rPr>
          <w:rFonts w:hint="eastAsia" w:ascii="仿宋" w:hAnsi="仿宋" w:eastAsia="仿宋"/>
          <w:sz w:val="28"/>
          <w:szCs w:val="28"/>
        </w:rPr>
        <w:t>（一）项目编号</w:t>
      </w:r>
      <w:r>
        <w:rPr>
          <w:rFonts w:hint="eastAsia" w:ascii="仿宋" w:hAnsi="仿宋" w:eastAsia="仿宋"/>
          <w:sz w:val="28"/>
          <w:szCs w:val="28"/>
          <w:lang w:eastAsia="zh-CN"/>
        </w:rPr>
        <w:t>：</w:t>
      </w:r>
      <w:r>
        <w:rPr>
          <w:rFonts w:hint="eastAsia" w:ascii="仿宋" w:hAnsi="仿宋" w:eastAsia="仿宋"/>
          <w:sz w:val="28"/>
          <w:szCs w:val="28"/>
        </w:rPr>
        <w:t>JSZC-320813-SZZB-G2026-0002</w:t>
      </w:r>
    </w:p>
    <w:p w14:paraId="238A292A">
      <w:pPr>
        <w:shd w:val="clear"/>
        <w:spacing w:line="520" w:lineRule="exact"/>
        <w:ind w:firstLine="565"/>
        <w:rPr>
          <w:rFonts w:hint="eastAsia" w:ascii="仿宋" w:hAnsi="仿宋" w:eastAsia="仿宋"/>
          <w:sz w:val="28"/>
          <w:szCs w:val="28"/>
        </w:rPr>
      </w:pPr>
      <w:r>
        <w:rPr>
          <w:rFonts w:hint="eastAsia" w:ascii="仿宋" w:hAnsi="仿宋" w:eastAsia="仿宋"/>
          <w:sz w:val="28"/>
          <w:szCs w:val="28"/>
        </w:rPr>
        <w:t>（二）项目名称</w:t>
      </w:r>
      <w:r>
        <w:rPr>
          <w:rFonts w:hint="eastAsia" w:ascii="仿宋" w:hAnsi="仿宋" w:eastAsia="仿宋"/>
          <w:sz w:val="28"/>
          <w:szCs w:val="28"/>
          <w:lang w:eastAsia="zh-CN"/>
        </w:rPr>
        <w:t>：</w:t>
      </w:r>
      <w:r>
        <w:rPr>
          <w:rFonts w:hint="eastAsia" w:ascii="仿宋" w:hAnsi="仿宋" w:eastAsia="仿宋"/>
          <w:sz w:val="28"/>
          <w:szCs w:val="28"/>
        </w:rPr>
        <w:t>洪泽区紧密型区域医共体共享中心项目</w:t>
      </w:r>
    </w:p>
    <w:p w14:paraId="715CE432">
      <w:pPr>
        <w:shd w:val="clear"/>
        <w:tabs>
          <w:tab w:val="left" w:pos="6426"/>
        </w:tabs>
        <w:spacing w:line="520" w:lineRule="exact"/>
        <w:ind w:firstLine="565"/>
        <w:rPr>
          <w:rFonts w:hint="eastAsia" w:ascii="仿宋" w:hAnsi="仿宋" w:eastAsia="仿宋"/>
          <w:sz w:val="28"/>
          <w:szCs w:val="28"/>
        </w:rPr>
      </w:pPr>
      <w:r>
        <w:rPr>
          <w:rFonts w:hint="eastAsia" w:ascii="仿宋" w:hAnsi="仿宋" w:eastAsia="仿宋"/>
          <w:sz w:val="28"/>
          <w:szCs w:val="28"/>
        </w:rPr>
        <w:t>（三）采购方式</w:t>
      </w:r>
      <w:r>
        <w:rPr>
          <w:rFonts w:hint="eastAsia" w:ascii="仿宋" w:hAnsi="仿宋" w:eastAsia="仿宋"/>
          <w:sz w:val="28"/>
          <w:szCs w:val="28"/>
          <w:lang w:eastAsia="zh-CN"/>
        </w:rPr>
        <w:t>：</w:t>
      </w:r>
      <w:r>
        <w:rPr>
          <w:rFonts w:hint="eastAsia" w:ascii="仿宋" w:hAnsi="仿宋" w:eastAsia="仿宋"/>
          <w:sz w:val="28"/>
          <w:szCs w:val="28"/>
        </w:rPr>
        <w:t>公开招标</w:t>
      </w:r>
      <w:r>
        <w:rPr>
          <w:rFonts w:hint="eastAsia" w:ascii="仿宋" w:hAnsi="仿宋" w:eastAsia="仿宋"/>
          <w:sz w:val="28"/>
          <w:szCs w:val="28"/>
        </w:rPr>
        <w:tab/>
      </w:r>
    </w:p>
    <w:p w14:paraId="49CDD7D4">
      <w:pPr>
        <w:shd w:val="clear"/>
        <w:spacing w:line="520" w:lineRule="exact"/>
        <w:ind w:firstLine="565"/>
        <w:rPr>
          <w:rFonts w:hint="eastAsia" w:ascii="仿宋" w:hAnsi="仿宋" w:eastAsia="仿宋"/>
          <w:sz w:val="28"/>
          <w:szCs w:val="28"/>
        </w:rPr>
      </w:pPr>
      <w:r>
        <w:rPr>
          <w:rFonts w:hint="eastAsia" w:ascii="仿宋" w:hAnsi="仿宋" w:eastAsia="仿宋"/>
          <w:sz w:val="28"/>
          <w:szCs w:val="28"/>
        </w:rPr>
        <w:t>（四）预算金额</w:t>
      </w:r>
      <w:r>
        <w:rPr>
          <w:rFonts w:hint="eastAsia" w:ascii="仿宋" w:hAnsi="仿宋" w:eastAsia="仿宋"/>
          <w:sz w:val="28"/>
          <w:szCs w:val="28"/>
          <w:lang w:eastAsia="zh-CN"/>
        </w:rPr>
        <w:t>：</w:t>
      </w:r>
      <w:r>
        <w:rPr>
          <w:rFonts w:hint="eastAsia" w:ascii="仿宋" w:hAnsi="仿宋" w:eastAsia="仿宋" w:cs="仿宋"/>
          <w:sz w:val="28"/>
          <w:szCs w:val="28"/>
        </w:rPr>
        <w:t>489</w:t>
      </w:r>
      <w:r>
        <w:rPr>
          <w:rFonts w:hint="eastAsia" w:ascii="仿宋" w:hAnsi="仿宋" w:eastAsia="仿宋" w:cs="仿宋"/>
          <w:sz w:val="28"/>
          <w:szCs w:val="28"/>
          <w:lang w:eastAsia="zh-CN"/>
        </w:rPr>
        <w:t>万元</w:t>
      </w:r>
    </w:p>
    <w:p w14:paraId="7F1678BB">
      <w:pPr>
        <w:shd w:val="clear"/>
        <w:spacing w:line="520" w:lineRule="exact"/>
        <w:ind w:firstLine="565"/>
        <w:rPr>
          <w:rFonts w:hint="eastAsia" w:ascii="仿宋" w:hAnsi="仿宋" w:eastAsia="仿宋"/>
          <w:sz w:val="28"/>
          <w:szCs w:val="28"/>
        </w:rPr>
      </w:pPr>
      <w:r>
        <w:rPr>
          <w:rFonts w:hint="eastAsia" w:ascii="仿宋" w:hAnsi="仿宋" w:eastAsia="仿宋"/>
          <w:sz w:val="28"/>
          <w:szCs w:val="28"/>
        </w:rPr>
        <w:t>（五）最高限价</w:t>
      </w:r>
      <w:r>
        <w:rPr>
          <w:rFonts w:hint="eastAsia" w:ascii="仿宋" w:hAnsi="仿宋" w:eastAsia="仿宋"/>
          <w:sz w:val="28"/>
          <w:szCs w:val="28"/>
          <w:lang w:eastAsia="zh-CN"/>
        </w:rPr>
        <w:t>：</w:t>
      </w:r>
      <w:r>
        <w:rPr>
          <w:rFonts w:hint="eastAsia" w:ascii="仿宋" w:hAnsi="仿宋" w:eastAsia="仿宋" w:cs="仿宋"/>
          <w:sz w:val="28"/>
          <w:szCs w:val="28"/>
        </w:rPr>
        <w:t>489</w:t>
      </w:r>
      <w:r>
        <w:rPr>
          <w:rFonts w:hint="eastAsia" w:ascii="仿宋" w:hAnsi="仿宋" w:eastAsia="仿宋" w:cs="仿宋"/>
          <w:sz w:val="28"/>
          <w:szCs w:val="28"/>
          <w:lang w:eastAsia="zh-CN"/>
        </w:rPr>
        <w:t>万元</w:t>
      </w:r>
    </w:p>
    <w:p w14:paraId="7E74C0F5">
      <w:pPr>
        <w:shd w:val="clear"/>
        <w:spacing w:line="520" w:lineRule="exact"/>
        <w:ind w:firstLine="565"/>
        <w:rPr>
          <w:rFonts w:hint="eastAsia" w:ascii="仿宋" w:hAnsi="仿宋" w:eastAsia="仿宋"/>
          <w:sz w:val="28"/>
          <w:szCs w:val="28"/>
        </w:rPr>
      </w:pPr>
      <w:r>
        <w:rPr>
          <w:rFonts w:hint="eastAsia" w:ascii="仿宋" w:hAnsi="仿宋" w:eastAsia="仿宋"/>
          <w:sz w:val="28"/>
          <w:szCs w:val="28"/>
        </w:rPr>
        <w:t>（六）采购需求</w:t>
      </w:r>
      <w:r>
        <w:rPr>
          <w:rFonts w:hint="eastAsia" w:ascii="仿宋" w:hAnsi="仿宋" w:eastAsia="仿宋"/>
          <w:sz w:val="28"/>
          <w:szCs w:val="28"/>
          <w:lang w:eastAsia="zh-CN"/>
        </w:rPr>
        <w:t>：</w:t>
      </w:r>
      <w:r>
        <w:rPr>
          <w:rFonts w:hint="eastAsia" w:ascii="仿宋" w:hAnsi="仿宋" w:eastAsia="仿宋"/>
          <w:sz w:val="28"/>
          <w:szCs w:val="28"/>
        </w:rPr>
        <w:t>洪泽区紧密型区域医共体共享中心项目1项</w:t>
      </w:r>
      <w:r>
        <w:rPr>
          <w:rFonts w:hint="eastAsia" w:ascii="仿宋" w:hAnsi="仿宋" w:eastAsia="仿宋"/>
          <w:bCs/>
          <w:sz w:val="28"/>
        </w:rPr>
        <w:t>，</w:t>
      </w:r>
      <w:r>
        <w:rPr>
          <w:rFonts w:hint="eastAsia" w:ascii="仿宋" w:hAnsi="仿宋" w:eastAsia="仿宋" w:cs="仿宋"/>
          <w:sz w:val="28"/>
          <w:szCs w:val="28"/>
        </w:rPr>
        <w:t>详见招标文件第五章项目采购需求。</w:t>
      </w:r>
    </w:p>
    <w:p w14:paraId="2585D45A">
      <w:pPr>
        <w:shd w:val="clea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（七）合同履行期限</w:t>
      </w:r>
      <w:r>
        <w:rPr>
          <w:rFonts w:hint="eastAsia" w:ascii="仿宋" w:hAnsi="仿宋" w:eastAsia="仿宋"/>
          <w:sz w:val="28"/>
          <w:szCs w:val="28"/>
          <w:lang w:eastAsia="zh-CN"/>
        </w:rPr>
        <w:t>：</w:t>
      </w:r>
      <w:r>
        <w:rPr>
          <w:rFonts w:hint="eastAsia" w:ascii="仿宋" w:hAnsi="仿宋" w:eastAsia="仿宋"/>
          <w:sz w:val="28"/>
          <w:szCs w:val="28"/>
        </w:rPr>
        <w:t>一年</w:t>
      </w:r>
      <w:r>
        <w:rPr>
          <w:rFonts w:hint="eastAsia" w:ascii="仿宋" w:hAnsi="仿宋" w:eastAsia="仿宋"/>
          <w:sz w:val="28"/>
          <w:szCs w:val="28"/>
          <w:lang w:eastAsia="zh-CN"/>
        </w:rPr>
        <w:t>。</w:t>
      </w:r>
    </w:p>
    <w:p w14:paraId="11F4D655">
      <w:pPr>
        <w:shd w:val="clear"/>
        <w:spacing w:line="520" w:lineRule="exact"/>
        <w:ind w:firstLine="565"/>
        <w:rPr>
          <w:rFonts w:hint="eastAsia" w:ascii="仿宋" w:hAnsi="仿宋" w:eastAsia="仿宋"/>
          <w:sz w:val="28"/>
          <w:szCs w:val="28"/>
        </w:rPr>
      </w:pPr>
      <w:r>
        <w:rPr>
          <w:rFonts w:hint="eastAsia" w:ascii="仿宋" w:hAnsi="仿宋" w:eastAsia="仿宋"/>
          <w:sz w:val="28"/>
          <w:szCs w:val="28"/>
        </w:rPr>
        <w:t>（八）本项目（</w:t>
      </w:r>
      <w:r>
        <w:rPr>
          <w:rFonts w:hint="eastAsia" w:ascii="仿宋" w:hAnsi="仿宋" w:eastAsia="仿宋"/>
          <w:sz w:val="28"/>
          <w:szCs w:val="28"/>
          <w:lang w:eastAsia="zh-CN"/>
        </w:rPr>
        <w:t>□</w:t>
      </w:r>
      <w:r>
        <w:rPr>
          <w:rFonts w:hint="eastAsia" w:ascii="仿宋" w:hAnsi="仿宋" w:eastAsia="仿宋"/>
          <w:sz w:val="28"/>
          <w:szCs w:val="28"/>
        </w:rPr>
        <w:t>是☑否）接受联合体投标。</w:t>
      </w:r>
    </w:p>
    <w:p w14:paraId="2E38C7FA">
      <w:pPr>
        <w:shd w:val="clear"/>
        <w:spacing w:line="520" w:lineRule="exact"/>
        <w:ind w:firstLine="565"/>
        <w:rPr>
          <w:rFonts w:hint="eastAsia" w:ascii="仿宋" w:hAnsi="仿宋" w:eastAsia="仿宋"/>
          <w:sz w:val="28"/>
          <w:szCs w:val="28"/>
          <w:u w:val="single"/>
        </w:rPr>
      </w:pPr>
      <w:r>
        <w:rPr>
          <w:rFonts w:hint="eastAsia" w:ascii="仿宋" w:hAnsi="仿宋" w:eastAsia="仿宋"/>
          <w:sz w:val="28"/>
          <w:szCs w:val="28"/>
        </w:rPr>
        <w:t>（九）本项目采购标的对应的中小企业划分标准所属行业为</w:t>
      </w:r>
      <w:r>
        <w:rPr>
          <w:rFonts w:hint="eastAsia" w:ascii="仿宋" w:hAnsi="仿宋" w:eastAsia="仿宋" w:cs="仿宋"/>
          <w:b/>
          <w:bCs/>
          <w:sz w:val="28"/>
          <w:szCs w:val="28"/>
          <w:u w:val="single"/>
        </w:rPr>
        <w:t>其他未列明行业</w:t>
      </w:r>
      <w:r>
        <w:rPr>
          <w:rFonts w:hint="eastAsia" w:ascii="仿宋" w:hAnsi="仿宋" w:eastAsia="仿宋" w:cs="仿宋"/>
          <w:bCs/>
          <w:sz w:val="28"/>
          <w:szCs w:val="28"/>
        </w:rPr>
        <w:t>。</w:t>
      </w:r>
    </w:p>
    <w:p w14:paraId="76A8150D">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二、申请人的资格要求</w:t>
      </w:r>
      <w:r>
        <w:rPr>
          <w:rFonts w:hint="eastAsia" w:ascii="仿宋" w:hAnsi="仿宋" w:eastAsia="仿宋"/>
          <w:b/>
          <w:bCs/>
          <w:sz w:val="28"/>
          <w:szCs w:val="28"/>
          <w:lang w:eastAsia="zh-CN"/>
        </w:rPr>
        <w:t>：</w:t>
      </w:r>
    </w:p>
    <w:p w14:paraId="3AEC1D04">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（一）符合《中华人民共和国政府采购法》第二十二条规定；</w:t>
      </w:r>
    </w:p>
    <w:p w14:paraId="5E948620">
      <w:pPr>
        <w:spacing w:line="520" w:lineRule="exact"/>
        <w:ind w:firstLine="840"/>
        <w:rPr>
          <w:rFonts w:hint="eastAsia" w:ascii="仿宋" w:hAnsi="仿宋" w:eastAsia="仿宋" w:cs="仿宋"/>
          <w:sz w:val="28"/>
          <w:szCs w:val="28"/>
        </w:rPr>
      </w:pPr>
      <w:r>
        <w:rPr>
          <w:rFonts w:hint="eastAsia" w:ascii="仿宋" w:hAnsi="仿宋" w:eastAsia="仿宋" w:cs="仿宋"/>
          <w:sz w:val="28"/>
          <w:szCs w:val="28"/>
          <w:lang w:eastAsia="zh-CN"/>
        </w:rPr>
        <w:t>1.</w:t>
      </w:r>
      <w:r>
        <w:rPr>
          <w:rFonts w:hint="eastAsia" w:ascii="仿宋" w:hAnsi="仿宋" w:eastAsia="仿宋" w:cs="仿宋"/>
          <w:sz w:val="28"/>
          <w:szCs w:val="28"/>
        </w:rPr>
        <w:t>法人或者其他组织的营业执照等证明文件；</w:t>
      </w:r>
    </w:p>
    <w:p w14:paraId="5A194C30">
      <w:pPr>
        <w:spacing w:line="520" w:lineRule="exact"/>
        <w:ind w:firstLine="840"/>
        <w:rPr>
          <w:rFonts w:hint="eastAsia" w:ascii="仿宋" w:hAnsi="仿宋" w:eastAsia="仿宋" w:cs="仿宋"/>
          <w:sz w:val="28"/>
          <w:szCs w:val="28"/>
        </w:rPr>
      </w:pPr>
      <w:r>
        <w:rPr>
          <w:rFonts w:hint="eastAsia" w:ascii="仿宋" w:hAnsi="仿宋" w:eastAsia="仿宋" w:cs="仿宋"/>
          <w:sz w:val="28"/>
          <w:szCs w:val="28"/>
          <w:lang w:eastAsia="zh-CN"/>
        </w:rPr>
        <w:t>2.</w:t>
      </w:r>
      <w:r>
        <w:rPr>
          <w:rFonts w:hint="eastAsia" w:ascii="仿宋" w:hAnsi="仿宋" w:eastAsia="仿宋" w:cs="仿宋"/>
          <w:sz w:val="28"/>
          <w:szCs w:val="28"/>
        </w:rPr>
        <w:t>符合《中华人民共和国政府采购法》第二十二条规定（格式详见示范格式三）；</w:t>
      </w:r>
    </w:p>
    <w:p w14:paraId="04ACB01E">
      <w:pPr>
        <w:spacing w:line="520" w:lineRule="exact"/>
        <w:ind w:left="559"/>
        <w:rPr>
          <w:rFonts w:hint="eastAsia" w:ascii="仿宋" w:hAnsi="仿宋" w:eastAsia="仿宋"/>
          <w:b/>
          <w:bCs/>
          <w:sz w:val="28"/>
          <w:szCs w:val="28"/>
        </w:rPr>
      </w:pPr>
      <w:r>
        <w:rPr>
          <w:rFonts w:hint="eastAsia" w:ascii="仿宋" w:hAnsi="仿宋" w:eastAsia="仿宋"/>
          <w:b/>
          <w:bCs/>
          <w:sz w:val="28"/>
          <w:szCs w:val="28"/>
        </w:rPr>
        <w:t>（二）落实政府采购政策需满足的资格要求</w:t>
      </w:r>
      <w:r>
        <w:rPr>
          <w:rFonts w:hint="eastAsia" w:ascii="仿宋" w:hAnsi="仿宋" w:eastAsia="仿宋"/>
          <w:b/>
          <w:bCs/>
          <w:sz w:val="28"/>
          <w:szCs w:val="28"/>
          <w:lang w:eastAsia="zh-CN"/>
        </w:rPr>
        <w:t>：</w:t>
      </w:r>
    </w:p>
    <w:p w14:paraId="2DF02100">
      <w:pPr>
        <w:spacing w:line="520" w:lineRule="exact"/>
        <w:ind w:firstLine="562"/>
        <w:rPr>
          <w:rFonts w:hint="eastAsia" w:ascii="仿宋" w:hAnsi="仿宋" w:eastAsia="仿宋"/>
          <w:b/>
          <w:bCs/>
          <w:sz w:val="28"/>
          <w:szCs w:val="28"/>
          <w:lang w:val="zh-CN"/>
        </w:rPr>
      </w:pPr>
      <w:r>
        <w:rPr>
          <w:rFonts w:hint="eastAsia" w:ascii="仿宋" w:hAnsi="仿宋" w:eastAsia="仿宋"/>
          <w:b/>
          <w:bCs/>
          <w:sz w:val="28"/>
          <w:szCs w:val="28"/>
          <w:lang w:val="zh-CN"/>
        </w:rPr>
        <w:t>本项目</w:t>
      </w:r>
      <w:r>
        <w:rPr>
          <w:rFonts w:hint="eastAsia" w:ascii="仿宋" w:hAnsi="仿宋" w:eastAsia="仿宋"/>
          <w:b/>
          <w:bCs/>
          <w:sz w:val="28"/>
          <w:szCs w:val="28"/>
        </w:rPr>
        <w:t>按照</w:t>
      </w:r>
      <w:r>
        <w:rPr>
          <w:rFonts w:hint="eastAsia" w:ascii="仿宋" w:hAnsi="仿宋" w:eastAsia="仿宋"/>
          <w:b/>
          <w:bCs/>
          <w:sz w:val="28"/>
          <w:szCs w:val="28"/>
          <w:lang w:val="zh-CN"/>
        </w:rPr>
        <w:t>以下</w:t>
      </w:r>
      <w:r>
        <w:rPr>
          <w:rFonts w:hint="eastAsia" w:ascii="仿宋" w:hAnsi="仿宋" w:eastAsia="仿宋"/>
          <w:b/>
          <w:bCs/>
          <w:sz w:val="28"/>
          <w:szCs w:val="28"/>
          <w:highlight w:val="yellow"/>
          <w:lang w:val="zh-CN"/>
        </w:rPr>
        <w:t>第</w:t>
      </w:r>
      <w:r>
        <w:rPr>
          <w:rFonts w:hint="eastAsia" w:ascii="仿宋" w:hAnsi="仿宋" w:eastAsia="仿宋"/>
          <w:b/>
          <w:bCs/>
          <w:sz w:val="28"/>
          <w:szCs w:val="28"/>
          <w:highlight w:val="yellow"/>
          <w:u w:val="single"/>
          <w:shd w:val="clear" w:color="auto"/>
          <w:lang w:val="en-US" w:eastAsia="zh-CN"/>
        </w:rPr>
        <w:t>2</w:t>
      </w:r>
      <w:r>
        <w:rPr>
          <w:rFonts w:hint="eastAsia" w:ascii="仿宋" w:hAnsi="仿宋" w:eastAsia="仿宋"/>
          <w:b/>
          <w:bCs/>
          <w:sz w:val="28"/>
          <w:szCs w:val="28"/>
          <w:highlight w:val="yellow"/>
          <w:lang w:val="zh-CN"/>
        </w:rPr>
        <w:t>种</w:t>
      </w:r>
      <w:r>
        <w:rPr>
          <w:rFonts w:hint="eastAsia" w:ascii="仿宋" w:hAnsi="仿宋" w:eastAsia="仿宋"/>
          <w:b/>
          <w:bCs/>
          <w:sz w:val="28"/>
          <w:szCs w:val="28"/>
          <w:lang w:val="zh-CN"/>
        </w:rPr>
        <w:t>方式落实政府采购促进中小企业发展的要求：</w:t>
      </w:r>
    </w:p>
    <w:p w14:paraId="149860B7">
      <w:pPr>
        <w:spacing w:line="480" w:lineRule="exact"/>
        <w:ind w:firstLine="560"/>
        <w:rPr>
          <w:rFonts w:hint="eastAsia" w:ascii="仿宋" w:hAnsi="仿宋" w:eastAsia="仿宋" w:cs="仿宋"/>
          <w:sz w:val="28"/>
          <w:szCs w:val="28"/>
        </w:rPr>
      </w:pPr>
      <w:r>
        <w:rPr>
          <w:rFonts w:hint="eastAsia" w:ascii="仿宋" w:hAnsi="仿宋" w:eastAsia="仿宋" w:cs="仿宋"/>
          <w:sz w:val="28"/>
          <w:szCs w:val="28"/>
          <w:lang w:val="zh-CN"/>
        </w:rPr>
        <w:t>1.</w:t>
      </w:r>
      <w:r>
        <w:rPr>
          <w:rFonts w:hint="eastAsia" w:ascii="仿宋" w:hAnsi="仿宋" w:eastAsia="仿宋" w:cs="仿宋"/>
          <w:sz w:val="28"/>
          <w:szCs w:val="28"/>
        </w:rPr>
        <w:t>本项目为专门面向中小企业采购的项目</w:t>
      </w:r>
      <w:r>
        <w:rPr>
          <w:rFonts w:hint="eastAsia" w:ascii="仿宋" w:hAnsi="仿宋" w:eastAsia="仿宋" w:cs="仿宋"/>
          <w:sz w:val="28"/>
          <w:szCs w:val="28"/>
          <w:lang w:eastAsia="zh-CN"/>
        </w:rPr>
        <w:t>，</w:t>
      </w:r>
      <w:r>
        <w:rPr>
          <w:rFonts w:hint="eastAsia" w:ascii="仿宋" w:hAnsi="仿宋" w:eastAsia="仿宋" w:cs="仿宋"/>
          <w:sz w:val="28"/>
          <w:szCs w:val="28"/>
        </w:rPr>
        <w:t>投标人必须为中小微企业，不接受非中小微型企业参与本项目投标。</w:t>
      </w:r>
    </w:p>
    <w:p w14:paraId="70684DC0">
      <w:pPr>
        <w:spacing w:line="520" w:lineRule="exact"/>
        <w:ind w:firstLine="560"/>
        <w:rPr>
          <w:rFonts w:hint="eastAsia" w:ascii="仿宋" w:hAnsi="仿宋" w:eastAsia="仿宋"/>
          <w:sz w:val="28"/>
          <w:szCs w:val="28"/>
          <w:lang w:val="zh-CN"/>
        </w:rPr>
      </w:pPr>
      <w:r>
        <w:rPr>
          <w:rFonts w:hint="eastAsia" w:ascii="仿宋" w:hAnsi="仿宋" w:eastAsia="仿宋"/>
          <w:sz w:val="28"/>
          <w:szCs w:val="28"/>
          <w:lang w:eastAsia="zh-CN"/>
        </w:rPr>
        <w:t>2.</w:t>
      </w:r>
      <w:r>
        <w:rPr>
          <w:rFonts w:hint="eastAsia" w:ascii="仿宋" w:hAnsi="仿宋" w:eastAsia="仿宋"/>
          <w:sz w:val="28"/>
          <w:szCs w:val="28"/>
          <w:lang w:val="zh-CN"/>
        </w:rPr>
        <w:t>本项目通过以下第（</w:t>
      </w:r>
      <w:r>
        <w:rPr>
          <w:rFonts w:hint="eastAsia" w:ascii="仿宋" w:hAnsi="仿宋" w:eastAsia="仿宋"/>
          <w:sz w:val="28"/>
          <w:szCs w:val="28"/>
          <w:lang w:val="en-US" w:eastAsia="zh-CN"/>
        </w:rPr>
        <w:t>2</w:t>
      </w:r>
      <w:r>
        <w:rPr>
          <w:rFonts w:hint="eastAsia" w:ascii="仿宋" w:hAnsi="仿宋" w:eastAsia="仿宋"/>
          <w:sz w:val="28"/>
          <w:szCs w:val="28"/>
          <w:lang w:val="zh-CN"/>
        </w:rPr>
        <w:t>）种方式预留部分采购份额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591E6538">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（1）本项目要求投标人以联合体形式参加，中小企业合同金额应当达到的比例为</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w:t>
      </w:r>
      <w:r>
        <w:rPr>
          <w:rFonts w:hint="eastAsia" w:ascii="仿宋" w:hAnsi="仿宋" w:eastAsia="仿宋"/>
          <w:sz w:val="28"/>
          <w:szCs w:val="28"/>
          <w:lang w:val="zh-CN"/>
        </w:rPr>
        <w:t>（两项比例均应符合《政府采购促进中小企业发展管理办法》第八条规定）。</w:t>
      </w:r>
    </w:p>
    <w:p w14:paraId="187B1542">
      <w:pPr>
        <w:spacing w:line="520" w:lineRule="exact"/>
        <w:ind w:firstLine="560"/>
        <w:rPr>
          <w:rFonts w:hint="eastAsia" w:ascii="仿宋" w:hAnsi="仿宋" w:eastAsia="仿宋"/>
          <w:sz w:val="28"/>
          <w:szCs w:val="28"/>
          <w:lang w:val="zh-CN"/>
        </w:rPr>
      </w:pPr>
      <w:r>
        <w:rPr>
          <w:rFonts w:hint="eastAsia" w:ascii="仿宋" w:hAnsi="仿宋" w:eastAsia="仿宋"/>
          <w:sz w:val="28"/>
          <w:szCs w:val="28"/>
          <w:highlight w:val="yellow"/>
          <w:lang w:val="zh-CN"/>
        </w:rPr>
        <w:t>（2）本项目要求投标人进行合同分包，中小企业合同金额应当达到的比例为</w:t>
      </w:r>
      <w:r>
        <w:rPr>
          <w:rFonts w:hint="eastAsia" w:ascii="仿宋" w:hAnsi="仿宋" w:eastAsia="仿宋"/>
          <w:sz w:val="28"/>
          <w:szCs w:val="28"/>
          <w:highlight w:val="yellow"/>
          <w:u w:val="single"/>
          <w:lang w:val="en-US" w:eastAsia="zh-CN"/>
        </w:rPr>
        <w:t>40%</w:t>
      </w:r>
      <w:r>
        <w:rPr>
          <w:rFonts w:hint="eastAsia" w:ascii="仿宋" w:hAnsi="仿宋" w:eastAsia="仿宋"/>
          <w:sz w:val="28"/>
          <w:szCs w:val="28"/>
          <w:highlight w:val="yellow"/>
          <w:lang w:val="zh-CN"/>
        </w:rPr>
        <w:t>，其中小微企业所占比例应为</w:t>
      </w:r>
      <w:r>
        <w:rPr>
          <w:rFonts w:hint="eastAsia" w:ascii="仿宋" w:hAnsi="仿宋" w:eastAsia="仿宋"/>
          <w:sz w:val="28"/>
          <w:szCs w:val="28"/>
          <w:highlight w:val="yellow"/>
          <w:u w:val="single"/>
          <w:lang w:val="en-US" w:eastAsia="zh-CN"/>
        </w:rPr>
        <w:t>60</w:t>
      </w:r>
      <w:r>
        <w:rPr>
          <w:rFonts w:hint="eastAsia" w:ascii="仿宋" w:hAnsi="仿宋" w:eastAsia="仿宋"/>
          <w:sz w:val="28"/>
          <w:szCs w:val="28"/>
          <w:highlight w:val="yellow"/>
          <w:u w:val="single"/>
        </w:rPr>
        <w:t>%</w:t>
      </w:r>
      <w:r>
        <w:rPr>
          <w:rFonts w:hint="eastAsia" w:ascii="仿宋" w:hAnsi="仿宋" w:eastAsia="仿宋"/>
          <w:sz w:val="28"/>
          <w:szCs w:val="28"/>
          <w:highlight w:val="yellow"/>
          <w:lang w:val="zh-CN"/>
        </w:rPr>
        <w:t>（两项比例均应符合《政府采购促进中小企业发展管理办法》第八条规定）。</w:t>
      </w:r>
    </w:p>
    <w:p w14:paraId="7DCD7739">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对小微企业报价给予扣除，用扣除后的价格参加评审，具体详见第二章“投标人须知”第33.1项</w:t>
      </w:r>
      <w:r>
        <w:rPr>
          <w:rFonts w:hint="eastAsia" w:ascii="仿宋" w:hAnsi="仿宋" w:eastAsia="仿宋"/>
          <w:sz w:val="28"/>
          <w:szCs w:val="28"/>
          <w:lang w:val="zh-CN"/>
        </w:rPr>
        <w:t>。</w:t>
      </w:r>
    </w:p>
    <w:p w14:paraId="7639B03B">
      <w:pPr>
        <w:spacing w:line="520" w:lineRule="exact"/>
        <w:ind w:firstLine="560"/>
        <w:rPr>
          <w:rFonts w:hint="eastAsia" w:ascii="仿宋" w:hAnsi="仿宋" w:eastAsia="仿宋"/>
          <w:sz w:val="28"/>
          <w:szCs w:val="28"/>
        </w:rPr>
      </w:pPr>
      <w:bookmarkStart w:id="1" w:name="OLE_LINK2"/>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监狱企业、残疾人福利性单位视同小微企业</w:t>
      </w:r>
      <w:bookmarkEnd w:id="1"/>
      <w:r>
        <w:rPr>
          <w:rFonts w:hint="eastAsia" w:ascii="仿宋" w:hAnsi="仿宋" w:eastAsia="仿宋"/>
          <w:sz w:val="28"/>
          <w:szCs w:val="28"/>
        </w:rPr>
        <w:t>。</w:t>
      </w:r>
    </w:p>
    <w:p w14:paraId="4005ACE9">
      <w:pPr>
        <w:numPr>
          <w:ilvl w:val="0"/>
          <w:numId w:val="0"/>
        </w:numPr>
        <w:spacing w:line="520" w:lineRule="exact"/>
        <w:ind w:left="559" w:leftChars="0"/>
        <w:rPr>
          <w:rFonts w:hint="eastAsia" w:ascii="仿宋" w:hAnsi="仿宋" w:eastAsia="仿宋"/>
          <w:b/>
          <w:bCs/>
          <w:sz w:val="28"/>
          <w:szCs w:val="28"/>
          <w:lang w:eastAsia="zh-CN"/>
        </w:rPr>
      </w:pPr>
      <w:r>
        <w:rPr>
          <w:rFonts w:hint="eastAsia" w:ascii="仿宋" w:hAnsi="仿宋" w:eastAsia="仿宋" w:cs="Times New Roman"/>
          <w:b/>
          <w:bCs/>
          <w:sz w:val="28"/>
          <w:szCs w:val="28"/>
          <w:lang w:val="en-US" w:eastAsia="zh-CN" w:bidi="ar-SA"/>
        </w:rPr>
        <w:t>（三）</w:t>
      </w:r>
      <w:r>
        <w:rPr>
          <w:rFonts w:hint="eastAsia" w:ascii="仿宋" w:hAnsi="仿宋" w:eastAsia="仿宋"/>
          <w:b/>
          <w:bCs/>
          <w:sz w:val="28"/>
          <w:szCs w:val="28"/>
        </w:rPr>
        <w:t>本项目的特定资格要求</w:t>
      </w:r>
      <w:r>
        <w:rPr>
          <w:rFonts w:hint="eastAsia" w:ascii="仿宋" w:hAnsi="仿宋" w:eastAsia="仿宋"/>
          <w:b/>
          <w:bCs/>
          <w:sz w:val="28"/>
          <w:szCs w:val="28"/>
          <w:lang w:eastAsia="zh-CN"/>
        </w:rPr>
        <w:t>：</w:t>
      </w:r>
      <w:bookmarkStart w:id="2" w:name="_Hlk219734506"/>
    </w:p>
    <w:p w14:paraId="5F2083D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561" w:leftChars="0" w:firstLine="562" w:firstLineChars="200"/>
        <w:textAlignment w:val="auto"/>
        <w:rPr>
          <w:rFonts w:hint="eastAsia" w:ascii="仿宋" w:hAnsi="仿宋" w:eastAsia="仿宋"/>
          <w:b/>
          <w:bCs/>
          <w:sz w:val="28"/>
          <w:szCs w:val="28"/>
          <w:highlight w:val="yellow"/>
        </w:rPr>
      </w:pPr>
      <w:r>
        <w:rPr>
          <w:rFonts w:hint="eastAsia" w:ascii="仿宋" w:hAnsi="仿宋" w:eastAsia="仿宋"/>
          <w:b/>
          <w:bCs/>
          <w:sz w:val="28"/>
          <w:szCs w:val="28"/>
          <w:highlight w:val="yellow"/>
          <w:lang w:eastAsia="zh-CN"/>
        </w:rPr>
        <w:t>本项目为</w:t>
      </w:r>
      <w:r>
        <w:rPr>
          <w:rFonts w:hint="eastAsia" w:ascii="仿宋" w:hAnsi="仿宋" w:eastAsia="仿宋"/>
          <w:b/>
          <w:bCs/>
          <w:sz w:val="28"/>
          <w:szCs w:val="28"/>
          <w:highlight w:val="yellow"/>
          <w:lang w:val="zh-CN" w:eastAsia="zh-CN"/>
        </w:rPr>
        <w:t>预留部分采购份额</w:t>
      </w:r>
      <w:r>
        <w:rPr>
          <w:rFonts w:hint="eastAsia" w:ascii="仿宋" w:hAnsi="仿宋" w:eastAsia="仿宋"/>
          <w:b/>
          <w:bCs/>
          <w:sz w:val="28"/>
          <w:szCs w:val="28"/>
          <w:highlight w:val="yellow"/>
          <w:lang w:eastAsia="zh-CN"/>
        </w:rPr>
        <w:t>采购</w:t>
      </w:r>
      <w:r>
        <w:rPr>
          <w:rFonts w:hint="eastAsia" w:ascii="仿宋" w:hAnsi="仿宋" w:eastAsia="仿宋"/>
          <w:b/>
          <w:bCs/>
          <w:sz w:val="28"/>
          <w:szCs w:val="28"/>
          <w:highlight w:val="yellow"/>
          <w:lang w:val="zh-CN" w:eastAsia="zh-CN"/>
        </w:rPr>
        <w:t>中小企业</w:t>
      </w:r>
      <w:r>
        <w:rPr>
          <w:rFonts w:hint="eastAsia" w:ascii="仿宋" w:hAnsi="仿宋" w:eastAsia="仿宋"/>
          <w:b/>
          <w:bCs/>
          <w:sz w:val="28"/>
          <w:szCs w:val="28"/>
          <w:highlight w:val="yellow"/>
          <w:lang w:eastAsia="zh-CN"/>
        </w:rPr>
        <w:t>服务，</w:t>
      </w:r>
      <w:r>
        <w:rPr>
          <w:rFonts w:hint="eastAsia" w:ascii="仿宋" w:hAnsi="仿宋" w:eastAsia="仿宋"/>
          <w:b/>
          <w:bCs/>
          <w:sz w:val="28"/>
          <w:szCs w:val="28"/>
          <w:highlight w:val="yellow"/>
          <w:lang w:val="zh-CN" w:eastAsia="zh-CN"/>
        </w:rPr>
        <w:t>要求投标人进行合同分包，中小企业合同金额应当达到的比例为</w:t>
      </w:r>
      <w:r>
        <w:rPr>
          <w:rFonts w:hint="eastAsia" w:ascii="仿宋" w:hAnsi="仿宋" w:eastAsia="仿宋"/>
          <w:b/>
          <w:bCs/>
          <w:sz w:val="28"/>
          <w:szCs w:val="28"/>
          <w:highlight w:val="yellow"/>
          <w:lang w:val="en-US" w:eastAsia="zh-CN"/>
        </w:rPr>
        <w:t>40%</w:t>
      </w:r>
      <w:r>
        <w:rPr>
          <w:rFonts w:hint="eastAsia" w:ascii="仿宋" w:hAnsi="仿宋" w:eastAsia="仿宋"/>
          <w:b/>
          <w:bCs/>
          <w:sz w:val="28"/>
          <w:szCs w:val="28"/>
          <w:highlight w:val="yellow"/>
          <w:lang w:val="zh-CN" w:eastAsia="zh-CN"/>
        </w:rPr>
        <w:t>，其中小微企业所占比例应为</w:t>
      </w:r>
      <w:r>
        <w:rPr>
          <w:rFonts w:hint="eastAsia" w:ascii="仿宋" w:hAnsi="仿宋" w:eastAsia="仿宋"/>
          <w:b/>
          <w:bCs/>
          <w:sz w:val="28"/>
          <w:szCs w:val="28"/>
          <w:highlight w:val="yellow"/>
          <w:lang w:val="en-US" w:eastAsia="zh-CN"/>
        </w:rPr>
        <w:t>60</w:t>
      </w:r>
      <w:r>
        <w:rPr>
          <w:rFonts w:hint="eastAsia" w:ascii="仿宋" w:hAnsi="仿宋" w:eastAsia="仿宋"/>
          <w:b/>
          <w:bCs/>
          <w:sz w:val="28"/>
          <w:szCs w:val="28"/>
          <w:highlight w:val="yellow"/>
          <w:lang w:eastAsia="zh-CN"/>
        </w:rPr>
        <w:t>%，各分包单位须为中小企业，投标人须提供分包</w:t>
      </w:r>
      <w:r>
        <w:rPr>
          <w:rFonts w:hint="eastAsia" w:ascii="仿宋" w:hAnsi="仿宋" w:eastAsia="仿宋"/>
          <w:b/>
          <w:bCs/>
          <w:sz w:val="28"/>
          <w:szCs w:val="28"/>
          <w:highlight w:val="yellow"/>
          <w:lang w:val="en-US" w:eastAsia="zh-CN"/>
        </w:rPr>
        <w:t>意向</w:t>
      </w:r>
      <w:r>
        <w:rPr>
          <w:rFonts w:hint="eastAsia" w:ascii="仿宋" w:hAnsi="仿宋" w:eastAsia="仿宋"/>
          <w:b/>
          <w:bCs/>
          <w:sz w:val="28"/>
          <w:szCs w:val="28"/>
          <w:highlight w:val="yellow"/>
          <w:lang w:eastAsia="zh-CN"/>
        </w:rPr>
        <w:t>协议、分包单位中小企业声明函（详见分包</w:t>
      </w:r>
      <w:r>
        <w:rPr>
          <w:rFonts w:hint="eastAsia" w:ascii="仿宋" w:hAnsi="仿宋" w:eastAsia="仿宋"/>
          <w:b/>
          <w:bCs/>
          <w:sz w:val="28"/>
          <w:szCs w:val="28"/>
          <w:highlight w:val="yellow"/>
          <w:lang w:val="en-US" w:eastAsia="zh-CN"/>
        </w:rPr>
        <w:t>意向</w:t>
      </w:r>
      <w:r>
        <w:rPr>
          <w:rFonts w:hint="eastAsia" w:ascii="仿宋" w:hAnsi="仿宋" w:eastAsia="仿宋"/>
          <w:b/>
          <w:bCs/>
          <w:sz w:val="28"/>
          <w:szCs w:val="28"/>
          <w:highlight w:val="yellow"/>
          <w:lang w:eastAsia="zh-CN"/>
        </w:rPr>
        <w:t>协议）。</w:t>
      </w:r>
    </w:p>
    <w:bookmarkEnd w:id="2"/>
    <w:p w14:paraId="33EF2B64">
      <w:pPr>
        <w:spacing w:line="520" w:lineRule="exact"/>
        <w:ind w:left="559"/>
        <w:rPr>
          <w:rFonts w:hint="eastAsia" w:ascii="仿宋" w:hAnsi="仿宋" w:eastAsia="仿宋"/>
          <w:b/>
          <w:bCs/>
          <w:sz w:val="28"/>
          <w:szCs w:val="28"/>
        </w:rPr>
      </w:pPr>
      <w:r>
        <w:rPr>
          <w:rFonts w:hint="eastAsia" w:ascii="仿宋" w:hAnsi="仿宋" w:eastAsia="仿宋"/>
          <w:b/>
          <w:bCs/>
          <w:sz w:val="28"/>
          <w:szCs w:val="28"/>
        </w:rPr>
        <w:t>（四）拒绝下述条件的投标人参加本次采购活动</w:t>
      </w:r>
      <w:r>
        <w:rPr>
          <w:rFonts w:hint="eastAsia" w:ascii="仿宋" w:hAnsi="仿宋" w:eastAsia="仿宋"/>
          <w:b/>
          <w:bCs/>
          <w:sz w:val="28"/>
          <w:szCs w:val="28"/>
          <w:lang w:eastAsia="zh-CN"/>
        </w:rPr>
        <w:t>：</w:t>
      </w:r>
    </w:p>
    <w:p w14:paraId="64E9DBBC">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lang w:eastAsia="zh-CN"/>
        </w:rPr>
        <w:t>1.</w:t>
      </w:r>
      <w:r>
        <w:rPr>
          <w:rFonts w:hint="eastAsia" w:ascii="仿宋" w:hAnsi="仿宋" w:eastAsia="仿宋"/>
          <w:color w:val="000000"/>
          <w:sz w:val="28"/>
          <w:szCs w:val="28"/>
        </w:rPr>
        <w:t>投标人</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rPr>
        <w:t>投标人</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4DDA8621">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lang w:eastAsia="zh-CN"/>
        </w:rPr>
        <w:t>2.</w:t>
      </w:r>
      <w:r>
        <w:rPr>
          <w:rFonts w:hint="eastAsia" w:ascii="仿宋" w:hAnsi="仿宋" w:eastAsia="仿宋"/>
          <w:color w:val="000000"/>
          <w:sz w:val="28"/>
          <w:szCs w:val="28"/>
        </w:rPr>
        <w:t>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rPr>
        <w:t>投标人</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64B024E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lang w:eastAsia="zh-CN"/>
        </w:rPr>
        <w:t>3.</w:t>
      </w:r>
      <w:r>
        <w:rPr>
          <w:rFonts w:hint="eastAsia" w:ascii="仿宋" w:hAnsi="仿宋" w:eastAsia="仿宋"/>
          <w:color w:val="000000"/>
          <w:sz w:val="28"/>
          <w:szCs w:val="28"/>
        </w:rPr>
        <w:t>投标人</w:t>
      </w:r>
      <w:bookmarkStart w:id="3" w:name="_Hlk193118060"/>
      <w:r>
        <w:rPr>
          <w:rFonts w:hint="eastAsia" w:ascii="仿宋" w:hAnsi="仿宋" w:eastAsia="仿宋"/>
          <w:color w:val="000000"/>
          <w:sz w:val="28"/>
          <w:szCs w:val="28"/>
        </w:rPr>
        <w:t>被“信用中国”网站、“中国政府采购网”</w:t>
      </w:r>
      <w:bookmarkEnd w:id="3"/>
      <w:r>
        <w:rPr>
          <w:rFonts w:hint="eastAsia" w:ascii="仿宋" w:hAnsi="仿宋" w:eastAsia="仿宋"/>
          <w:color w:val="000000"/>
          <w:sz w:val="28"/>
          <w:szCs w:val="28"/>
        </w:rPr>
        <w:t>列入失信被执行人、重大税收违法案件当事人名单、政府采购严重违法失信行为记录名单。</w:t>
      </w:r>
    </w:p>
    <w:p w14:paraId="48E98C30">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三、获取招标文件</w:t>
      </w:r>
    </w:p>
    <w:p w14:paraId="555762B4">
      <w:pPr>
        <w:spacing w:line="520" w:lineRule="exact"/>
        <w:ind w:firstLine="56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1A8E9C26">
      <w:pPr>
        <w:spacing w:line="520" w:lineRule="exact"/>
        <w:ind w:firstLine="565"/>
        <w:rPr>
          <w:rFonts w:hint="eastAsia" w:ascii="仿宋" w:hAnsi="仿宋" w:eastAsia="仿宋"/>
          <w:sz w:val="28"/>
          <w:szCs w:val="28"/>
        </w:rPr>
      </w:pPr>
      <w:r>
        <w:rPr>
          <w:rFonts w:hint="eastAsia" w:ascii="仿宋" w:hAnsi="仿宋" w:eastAsia="仿宋"/>
          <w:sz w:val="28"/>
          <w:szCs w:val="28"/>
        </w:rPr>
        <w:t>（二）地点：“江苏政府采购网”或者“淮安市政府采购网”</w:t>
      </w:r>
    </w:p>
    <w:p w14:paraId="355297AA">
      <w:pP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三）方式：投标人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58E546F3">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四、提交投标文件截止时间、开标时间和地点</w:t>
      </w:r>
    </w:p>
    <w:p w14:paraId="1A0ED601">
      <w:pPr>
        <w:spacing w:line="520" w:lineRule="exact"/>
        <w:ind w:firstLine="420"/>
        <w:rPr>
          <w:rFonts w:hint="eastAsia" w:ascii="仿宋" w:hAnsi="仿宋" w:eastAsia="仿宋"/>
          <w:sz w:val="28"/>
          <w:szCs w:val="28"/>
        </w:rPr>
      </w:pPr>
      <w:r>
        <w:rPr>
          <w:rFonts w:hint="eastAsia" w:ascii="仿宋" w:hAnsi="仿宋" w:eastAsia="仿宋"/>
          <w:sz w:val="28"/>
          <w:szCs w:val="28"/>
        </w:rPr>
        <w:t>（一）投标文件提交截止时间及开标时间</w:t>
      </w:r>
      <w:r>
        <w:rPr>
          <w:rFonts w:hint="eastAsia" w:ascii="仿宋" w:hAnsi="仿宋" w:eastAsia="仿宋"/>
          <w:sz w:val="28"/>
          <w:szCs w:val="28"/>
          <w:lang w:eastAsia="zh-CN"/>
        </w:rPr>
        <w:t>：2026年</w:t>
      </w:r>
      <w:r>
        <w:rPr>
          <w:rFonts w:hint="eastAsia" w:ascii="仿宋" w:hAnsi="仿宋" w:eastAsia="仿宋"/>
          <w:sz w:val="28"/>
          <w:szCs w:val="28"/>
          <w:lang w:val="en-US" w:eastAsia="zh-CN"/>
        </w:rPr>
        <w:t>8</w:t>
      </w:r>
      <w:r>
        <w:rPr>
          <w:rFonts w:hint="eastAsia" w:ascii="仿宋" w:hAnsi="仿宋" w:eastAsia="仿宋"/>
          <w:sz w:val="28"/>
          <w:szCs w:val="28"/>
          <w:shd w:val="clear"/>
          <w:lang w:eastAsia="zh-CN"/>
        </w:rPr>
        <w:t>月</w:t>
      </w:r>
      <w:r>
        <w:rPr>
          <w:rFonts w:hint="eastAsia" w:ascii="仿宋" w:hAnsi="仿宋" w:eastAsia="仿宋"/>
          <w:sz w:val="28"/>
          <w:szCs w:val="28"/>
          <w:shd w:val="clear"/>
          <w:lang w:val="en-US" w:eastAsia="zh-CN"/>
        </w:rPr>
        <w:t>26</w:t>
      </w:r>
      <w:r>
        <w:rPr>
          <w:rFonts w:hint="eastAsia" w:ascii="仿宋" w:hAnsi="仿宋" w:eastAsia="仿宋"/>
          <w:color w:val="000000"/>
          <w:sz w:val="28"/>
          <w:szCs w:val="28"/>
          <w:shd w:val="clear"/>
        </w:rPr>
        <w:t>日</w:t>
      </w:r>
      <w:r>
        <w:rPr>
          <w:rFonts w:hint="eastAsia" w:ascii="仿宋" w:hAnsi="仿宋" w:eastAsia="仿宋"/>
          <w:color w:val="000000"/>
          <w:sz w:val="28"/>
          <w:szCs w:val="28"/>
          <w:lang w:val="en-US" w:eastAsia="zh-CN"/>
        </w:rPr>
        <w:t>9</w:t>
      </w:r>
      <w:r>
        <w:rPr>
          <w:rFonts w:hint="eastAsia" w:ascii="仿宋" w:hAnsi="仿宋" w:eastAsia="仿宋"/>
          <w:color w:val="000000"/>
          <w:sz w:val="28"/>
          <w:szCs w:val="28"/>
          <w:lang w:eastAsia="zh-CN"/>
        </w:rPr>
        <w:t>:</w:t>
      </w:r>
      <w:r>
        <w:rPr>
          <w:rFonts w:hint="eastAsia" w:ascii="仿宋" w:hAnsi="仿宋" w:eastAsia="仿宋"/>
          <w:color w:val="000000"/>
          <w:sz w:val="28"/>
          <w:szCs w:val="28"/>
          <w:lang w:val="en-US" w:eastAsia="zh-CN"/>
        </w:rPr>
        <w:t>0</w:t>
      </w:r>
      <w:r>
        <w:rPr>
          <w:rFonts w:hint="eastAsia" w:ascii="仿宋" w:hAnsi="仿宋" w:eastAsia="仿宋"/>
          <w:color w:val="000000"/>
          <w:sz w:val="28"/>
          <w:szCs w:val="28"/>
          <w:lang w:eastAsia="zh-CN"/>
        </w:rPr>
        <w:t>0</w:t>
      </w:r>
    </w:p>
    <w:p w14:paraId="2B1962CF">
      <w:pPr>
        <w:spacing w:line="520" w:lineRule="exact"/>
        <w:ind w:firstLine="420"/>
        <w:rPr>
          <w:rFonts w:hint="eastAsia" w:ascii="仿宋" w:hAnsi="仿宋" w:eastAsia="仿宋"/>
          <w:sz w:val="28"/>
          <w:szCs w:val="28"/>
        </w:rPr>
      </w:pPr>
      <w:r>
        <w:rPr>
          <w:rFonts w:hint="eastAsia" w:ascii="仿宋" w:hAnsi="仿宋" w:eastAsia="仿宋"/>
          <w:sz w:val="28"/>
          <w:szCs w:val="28"/>
        </w:rPr>
        <w:t>（二）投标文件上传地址：“苏采云”政府采购交易系统网上开标大厅。</w:t>
      </w:r>
    </w:p>
    <w:p w14:paraId="1989DAF0">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五、公告期限</w:t>
      </w:r>
    </w:p>
    <w:p w14:paraId="24483C78">
      <w:pPr>
        <w:spacing w:line="520" w:lineRule="exact"/>
        <w:ind w:firstLine="566"/>
        <w:rPr>
          <w:rFonts w:hint="eastAsia" w:ascii="仿宋" w:hAnsi="仿宋" w:eastAsia="仿宋"/>
          <w:sz w:val="28"/>
          <w:szCs w:val="28"/>
        </w:rPr>
      </w:pPr>
      <w:r>
        <w:rPr>
          <w:rFonts w:hint="eastAsia" w:ascii="仿宋" w:hAnsi="仿宋" w:eastAsia="仿宋"/>
          <w:sz w:val="28"/>
          <w:szCs w:val="28"/>
        </w:rPr>
        <w:t>自本公告发布之日起五个工作日。</w:t>
      </w:r>
    </w:p>
    <w:p w14:paraId="050BC6E1">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六、其他补充事宜</w:t>
      </w:r>
    </w:p>
    <w:p w14:paraId="416B2AEC">
      <w:pPr>
        <w:spacing w:line="520" w:lineRule="exact"/>
        <w:ind w:firstLine="565"/>
        <w:rPr>
          <w:rFonts w:hint="eastAsia"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本项目仅采购非进口产品（注</w:t>
      </w:r>
      <w:r>
        <w:rPr>
          <w:rFonts w:hint="eastAsia" w:ascii="仿宋" w:hAnsi="仿宋" w:eastAsia="仿宋"/>
          <w:sz w:val="28"/>
          <w:szCs w:val="28"/>
          <w:lang w:eastAsia="zh-CN"/>
        </w:rPr>
        <w:t>：</w:t>
      </w:r>
      <w:r>
        <w:rPr>
          <w:rFonts w:hint="eastAsia" w:ascii="仿宋" w:hAnsi="仿宋" w:eastAsia="仿宋"/>
          <w:sz w:val="28"/>
          <w:szCs w:val="28"/>
        </w:rPr>
        <w:t>本文件所称进口产品是指通过中国海关报关验放进入中国境内且产自关境外的产品）。</w:t>
      </w:r>
    </w:p>
    <w:p w14:paraId="6ABBB580">
      <w:pPr>
        <w:spacing w:line="520" w:lineRule="exact"/>
        <w:ind w:firstLine="565"/>
        <w:rPr>
          <w:rFonts w:hint="eastAsia" w:ascii="仿宋" w:hAnsi="仿宋" w:eastAsia="仿宋"/>
          <w:sz w:val="28"/>
          <w:szCs w:val="28"/>
        </w:rPr>
      </w:pPr>
      <w:r>
        <w:rPr>
          <w:rFonts w:hint="eastAsia" w:ascii="仿宋" w:hAnsi="仿宋" w:eastAsia="仿宋"/>
          <w:sz w:val="28"/>
          <w:szCs w:val="28"/>
          <w:lang w:val="en-US" w:eastAsia="zh-CN"/>
        </w:rPr>
        <w:t>2.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p>
    <w:p w14:paraId="5F1517B4">
      <w:pPr>
        <w:spacing w:line="520" w:lineRule="exact"/>
        <w:ind w:firstLine="568"/>
        <w:rPr>
          <w:rFonts w:hint="eastAsia" w:ascii="仿宋" w:hAnsi="仿宋" w:eastAsia="仿宋"/>
          <w:b/>
          <w:bCs/>
          <w:sz w:val="28"/>
          <w:szCs w:val="28"/>
        </w:rPr>
      </w:pPr>
      <w:r>
        <w:rPr>
          <w:rFonts w:hint="eastAsia" w:ascii="仿宋" w:hAnsi="仿宋" w:eastAsia="仿宋"/>
          <w:b/>
          <w:bCs/>
          <w:sz w:val="28"/>
          <w:szCs w:val="28"/>
        </w:rPr>
        <w:t>七、对本次采购提出询问，请按以下方式联系。</w:t>
      </w:r>
    </w:p>
    <w:p w14:paraId="074A9184">
      <w:pPr>
        <w:shd w:val="clear"/>
        <w:spacing w:line="520" w:lineRule="exact"/>
        <w:ind w:firstLine="560"/>
        <w:rPr>
          <w:rFonts w:hint="eastAsia" w:ascii="仿宋" w:hAnsi="仿宋" w:eastAsia="仿宋"/>
          <w:sz w:val="28"/>
          <w:szCs w:val="28"/>
        </w:rPr>
      </w:pPr>
      <w:r>
        <w:rPr>
          <w:rFonts w:hint="eastAsia" w:ascii="仿宋" w:hAnsi="仿宋" w:eastAsia="仿宋"/>
          <w:sz w:val="28"/>
          <w:szCs w:val="28"/>
        </w:rPr>
        <w:t>（一）采购人联系方式</w:t>
      </w:r>
    </w:p>
    <w:p w14:paraId="79833FD3">
      <w:pPr>
        <w:shd w:val="clear" w:color="auto"/>
        <w:spacing w:line="520" w:lineRule="exact"/>
        <w:ind w:firstLine="560"/>
        <w:rPr>
          <w:rFonts w:hint="eastAsia" w:ascii="仿宋" w:hAnsi="仿宋" w:eastAsia="仿宋"/>
          <w:sz w:val="28"/>
          <w:szCs w:val="28"/>
        </w:rPr>
      </w:pPr>
      <w:r>
        <w:rPr>
          <w:rFonts w:hint="eastAsia" w:ascii="仿宋" w:hAnsi="仿宋" w:eastAsia="仿宋"/>
          <w:sz w:val="28"/>
          <w:szCs w:val="28"/>
        </w:rPr>
        <w:t>名称：</w:t>
      </w:r>
      <w:r>
        <w:rPr>
          <w:rFonts w:hint="eastAsia" w:ascii="仿宋" w:hAnsi="仿宋" w:eastAsia="仿宋"/>
          <w:sz w:val="28"/>
          <w:shd w:val="clear" w:color="auto"/>
        </w:rPr>
        <w:t>淮安市洪泽区卫生健康委员会</w:t>
      </w:r>
    </w:p>
    <w:p w14:paraId="7A0C0A0C">
      <w:pPr>
        <w:shd w:val="clear" w:color="auto"/>
        <w:spacing w:line="520" w:lineRule="exact"/>
        <w:ind w:firstLine="565"/>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eastAsia="zh-CN"/>
        </w:rPr>
        <w:t>淮安市洪泽区人民北路6号公共卫生中心</w:t>
      </w:r>
    </w:p>
    <w:p w14:paraId="7965AA96">
      <w:pPr>
        <w:shd w:val="clear" w:color="auto"/>
        <w:spacing w:line="520" w:lineRule="exact"/>
        <w:ind w:firstLine="565"/>
        <w:rPr>
          <w:rFonts w:hint="eastAsia" w:ascii="仿宋" w:hAnsi="仿宋" w:eastAsia="仿宋"/>
          <w:sz w:val="28"/>
          <w:szCs w:val="28"/>
        </w:rPr>
      </w:pPr>
      <w:r>
        <w:rPr>
          <w:rFonts w:hint="eastAsia" w:ascii="仿宋" w:hAnsi="仿宋" w:eastAsia="仿宋"/>
          <w:sz w:val="28"/>
          <w:szCs w:val="28"/>
        </w:rPr>
        <w:t>联系人：</w:t>
      </w:r>
      <w:r>
        <w:rPr>
          <w:rFonts w:hint="eastAsia" w:ascii="仿宋" w:hAnsi="仿宋" w:eastAsia="仿宋"/>
          <w:sz w:val="28"/>
          <w:szCs w:val="28"/>
          <w:lang w:eastAsia="zh-CN"/>
        </w:rPr>
        <w:t>严</w:t>
      </w:r>
      <w:r>
        <w:rPr>
          <w:rFonts w:hint="eastAsia" w:ascii="仿宋" w:hAnsi="仿宋" w:eastAsia="仿宋"/>
          <w:sz w:val="28"/>
          <w:szCs w:val="28"/>
          <w:lang w:val="en-US" w:eastAsia="zh-CN"/>
        </w:rPr>
        <w:t xml:space="preserve">维臣 </w:t>
      </w:r>
      <w:r>
        <w:rPr>
          <w:rFonts w:hint="eastAsia" w:ascii="仿宋" w:hAnsi="仿宋" w:eastAsia="仿宋"/>
          <w:sz w:val="28"/>
          <w:szCs w:val="28"/>
        </w:rPr>
        <w:t>电话：</w:t>
      </w:r>
      <w:r>
        <w:rPr>
          <w:rFonts w:hint="eastAsia" w:ascii="仿宋" w:hAnsi="仿宋" w:eastAsia="仿宋"/>
          <w:sz w:val="28"/>
          <w:szCs w:val="28"/>
          <w:lang w:val="en-US" w:eastAsia="zh-CN"/>
        </w:rPr>
        <w:t>051780826395</w:t>
      </w:r>
    </w:p>
    <w:p w14:paraId="0B6131A2">
      <w:pPr>
        <w:shd w:val="clear" w:color="auto"/>
        <w:spacing w:line="520" w:lineRule="exact"/>
        <w:ind w:firstLine="565"/>
        <w:rPr>
          <w:rFonts w:hint="eastAsia" w:ascii="仿宋" w:hAnsi="仿宋" w:eastAsia="仿宋"/>
          <w:sz w:val="28"/>
          <w:szCs w:val="28"/>
        </w:rPr>
      </w:pPr>
      <w:r>
        <w:rPr>
          <w:rFonts w:hint="eastAsia" w:ascii="仿宋" w:hAnsi="仿宋" w:eastAsia="仿宋"/>
          <w:sz w:val="28"/>
          <w:szCs w:val="28"/>
        </w:rPr>
        <w:t>（二）采购代理机构信息</w:t>
      </w:r>
    </w:p>
    <w:p w14:paraId="299C8847">
      <w:pPr>
        <w:shd w:val="clear" w:color="auto"/>
        <w:spacing w:line="520" w:lineRule="exact"/>
        <w:ind w:firstLine="560"/>
        <w:rPr>
          <w:rFonts w:hint="eastAsia" w:ascii="仿宋" w:hAnsi="仿宋" w:eastAsia="仿宋"/>
          <w:sz w:val="28"/>
          <w:szCs w:val="28"/>
        </w:rPr>
      </w:pPr>
      <w:r>
        <w:rPr>
          <w:rFonts w:hint="eastAsia" w:ascii="仿宋" w:hAnsi="仿宋" w:eastAsia="仿宋"/>
          <w:sz w:val="28"/>
          <w:szCs w:val="28"/>
        </w:rPr>
        <w:t>名称：</w:t>
      </w:r>
      <w:r>
        <w:rPr>
          <w:rFonts w:hint="eastAsia" w:ascii="仿宋" w:hAnsi="仿宋" w:eastAsia="仿宋"/>
          <w:sz w:val="28"/>
          <w:shd w:val="clear" w:color="auto"/>
        </w:rPr>
        <w:t>江苏神州项目管理有限公司</w:t>
      </w:r>
    </w:p>
    <w:p w14:paraId="167214BD">
      <w:pPr>
        <w:shd w:val="clear" w:color="auto"/>
        <w:spacing w:line="520" w:lineRule="exact"/>
        <w:ind w:firstLine="560"/>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eastAsia="zh-CN"/>
        </w:rPr>
        <w:t>淮安市洪泽区武夷国际广场1号楼2108室</w:t>
      </w:r>
    </w:p>
    <w:p w14:paraId="59DA76BE">
      <w:pPr>
        <w:shd w:val="clear" w:color="auto"/>
        <w:spacing w:line="500" w:lineRule="exact"/>
        <w:ind w:firstLine="560"/>
        <w:rPr>
          <w:rFonts w:hint="eastAsia" w:ascii="仿宋" w:hAnsi="仿宋" w:eastAsia="仿宋"/>
          <w:sz w:val="28"/>
          <w:szCs w:val="28"/>
          <w:lang w:eastAsia="zh-CN"/>
        </w:rPr>
      </w:pPr>
      <w:r>
        <w:rPr>
          <w:rFonts w:hint="eastAsia" w:ascii="仿宋" w:hAnsi="仿宋" w:eastAsia="仿宋"/>
          <w:sz w:val="28"/>
          <w:szCs w:val="28"/>
        </w:rPr>
        <w:t>联系人：</w:t>
      </w:r>
      <w:r>
        <w:rPr>
          <w:rFonts w:hint="eastAsia" w:ascii="仿宋" w:hAnsi="仿宋" w:eastAsia="仿宋"/>
          <w:sz w:val="28"/>
          <w:szCs w:val="28"/>
          <w:lang w:eastAsia="zh-CN"/>
        </w:rPr>
        <w:t>冯磊</w:t>
      </w:r>
      <w:r>
        <w:rPr>
          <w:rFonts w:hint="eastAsia" w:ascii="仿宋" w:hAnsi="仿宋" w:eastAsia="仿宋"/>
          <w:sz w:val="28"/>
          <w:szCs w:val="28"/>
          <w:lang w:val="en-US" w:eastAsia="zh-CN"/>
        </w:rPr>
        <w:t xml:space="preserve"> </w:t>
      </w:r>
      <w:r>
        <w:rPr>
          <w:rFonts w:hint="eastAsia" w:ascii="仿宋" w:hAnsi="仿宋" w:eastAsia="仿宋"/>
          <w:sz w:val="28"/>
          <w:szCs w:val="28"/>
        </w:rPr>
        <w:t>联系电话：</w:t>
      </w:r>
      <w:r>
        <w:rPr>
          <w:rFonts w:hint="eastAsia" w:ascii="仿宋" w:hAnsi="仿宋" w:eastAsia="仿宋"/>
          <w:sz w:val="28"/>
          <w:szCs w:val="28"/>
          <w:lang w:eastAsia="zh-CN"/>
        </w:rPr>
        <w:t>15195306267</w:t>
      </w:r>
    </w:p>
    <w:p w14:paraId="545FDD45">
      <w:pPr>
        <w:spacing w:line="520" w:lineRule="exact"/>
        <w:ind w:firstLine="562"/>
        <w:rPr>
          <w:rFonts w:hint="eastAsia" w:ascii="仿宋" w:hAnsi="仿宋" w:eastAsia="仿宋"/>
          <w:b/>
          <w:bCs/>
          <w:sz w:val="28"/>
          <w:szCs w:val="28"/>
        </w:rPr>
      </w:pPr>
      <w:r>
        <w:rPr>
          <w:rFonts w:hint="eastAsia" w:ascii="仿宋" w:hAnsi="仿宋" w:eastAsia="仿宋"/>
          <w:b/>
          <w:bCs/>
          <w:sz w:val="28"/>
          <w:szCs w:val="28"/>
        </w:rPr>
        <w:t>八、其他</w:t>
      </w:r>
    </w:p>
    <w:p w14:paraId="21EA669D">
      <w:pPr>
        <w:spacing w:line="520" w:lineRule="exact"/>
        <w:ind w:firstLine="566"/>
        <w:rPr>
          <w:rFonts w:hint="eastAsia" w:ascii="仿宋" w:hAnsi="仿宋" w:eastAsia="仿宋"/>
          <w:spacing w:val="-6"/>
          <w:sz w:val="28"/>
          <w:szCs w:val="28"/>
        </w:rPr>
      </w:pPr>
      <w:r>
        <w:rPr>
          <w:rFonts w:hint="eastAsia" w:ascii="仿宋" w:hAnsi="仿宋" w:eastAsia="仿宋"/>
          <w:sz w:val="28"/>
          <w:szCs w:val="28"/>
        </w:rPr>
        <w:t>（一）</w:t>
      </w:r>
      <w:r>
        <w:rPr>
          <w:rFonts w:hint="eastAsia" w:ascii="仿宋" w:hAnsi="仿宋" w:eastAsia="仿宋"/>
          <w:spacing w:val="-6"/>
          <w:sz w:val="28"/>
          <w:szCs w:val="28"/>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290B9755">
      <w:pPr>
        <w:spacing w:line="520" w:lineRule="exact"/>
        <w:ind w:firstLine="566"/>
        <w:rPr>
          <w:rFonts w:hint="eastAsia"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bookmarkStart w:id="64" w:name="_GoBack"/>
      <w:bookmarkEnd w:id="64"/>
    </w:p>
    <w:p w14:paraId="7C47B102">
      <w:pPr>
        <w:spacing w:line="520" w:lineRule="exact"/>
        <w:ind w:firstLine="566"/>
        <w:rPr>
          <w:rFonts w:hint="eastAsia" w:ascii="仿宋" w:hAnsi="仿宋" w:eastAsia="仿宋"/>
          <w:sz w:val="28"/>
          <w:szCs w:val="28"/>
        </w:rPr>
      </w:pPr>
      <w:r>
        <w:rPr>
          <w:rFonts w:hint="eastAsia" w:ascii="仿宋" w:hAnsi="仿宋" w:eastAsia="仿宋"/>
          <w:sz w:val="28"/>
          <w:szCs w:val="28"/>
        </w:rPr>
        <w:t>（二）有关本次招标的事项若存在变动或修改，敬请及时关注“江苏政府采购网”或者“淮安市政府采购网”发布的更正公告。</w:t>
      </w:r>
    </w:p>
    <w:p w14:paraId="300285A5">
      <w:pPr>
        <w:spacing w:line="520" w:lineRule="exact"/>
        <w:ind w:firstLine="566"/>
        <w:rPr>
          <w:rFonts w:hint="eastAsia" w:ascii="仿宋" w:hAnsi="仿宋" w:eastAsia="仿宋"/>
          <w:sz w:val="28"/>
          <w:szCs w:val="28"/>
        </w:rPr>
      </w:pPr>
      <w:r>
        <w:rPr>
          <w:rFonts w:hint="eastAsia" w:ascii="仿宋" w:hAnsi="仿宋" w:eastAsia="仿宋"/>
          <w:sz w:val="28"/>
          <w:szCs w:val="28"/>
        </w:rPr>
        <w:t>（三）本次招标不收取投标保证金。</w:t>
      </w:r>
    </w:p>
    <w:p w14:paraId="339136CF">
      <w:pPr>
        <w:spacing w:line="520" w:lineRule="exact"/>
        <w:ind w:firstLine="2512"/>
        <w:rPr>
          <w:rFonts w:hint="eastAsia" w:ascii="仿宋" w:hAnsi="仿宋" w:eastAsia="仿宋"/>
          <w:b/>
          <w:sz w:val="36"/>
          <w:szCs w:val="36"/>
        </w:rPr>
      </w:pPr>
      <w:r>
        <w:rPr>
          <w:rFonts w:hint="eastAsia" w:ascii="仿宋" w:hAnsi="仿宋" w:eastAsia="仿宋"/>
          <w:b/>
          <w:sz w:val="36"/>
          <w:szCs w:val="36"/>
        </w:rPr>
        <w:t>第二章投标人须知</w:t>
      </w:r>
    </w:p>
    <w:p w14:paraId="6C434F9E">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62719C97">
      <w:pPr>
        <w:spacing w:line="520" w:lineRule="exact"/>
        <w:rPr>
          <w:rFonts w:hint="eastAsia" w:ascii="仿宋" w:hAnsi="仿宋" w:eastAsia="仿宋"/>
          <w:sz w:val="28"/>
          <w:szCs w:val="28"/>
        </w:rPr>
      </w:pPr>
      <w:r>
        <w:rPr>
          <w:rFonts w:hint="eastAsia" w:ascii="仿宋" w:hAnsi="仿宋" w:eastAsia="仿宋"/>
          <w:sz w:val="28"/>
          <w:szCs w:val="28"/>
        </w:rPr>
        <w:t>1.适用范围</w:t>
      </w:r>
    </w:p>
    <w:p w14:paraId="7A9062CF">
      <w:pPr>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43DB1F76">
      <w:pPr>
        <w:spacing w:line="520" w:lineRule="exact"/>
        <w:rPr>
          <w:rFonts w:hint="eastAsia" w:ascii="仿宋" w:hAnsi="仿宋" w:eastAsia="仿宋"/>
          <w:sz w:val="28"/>
          <w:szCs w:val="28"/>
        </w:rPr>
      </w:pPr>
      <w:r>
        <w:rPr>
          <w:rFonts w:hint="eastAsia" w:ascii="仿宋" w:hAnsi="仿宋" w:eastAsia="仿宋"/>
          <w:sz w:val="28"/>
          <w:szCs w:val="28"/>
        </w:rPr>
        <w:t>2.合格的投标人</w:t>
      </w:r>
    </w:p>
    <w:p w14:paraId="004C836B">
      <w:pPr>
        <w:spacing w:line="520" w:lineRule="exact"/>
        <w:ind w:firstLine="555"/>
        <w:rPr>
          <w:rFonts w:hint="eastAsia" w:ascii="仿宋" w:hAnsi="仿宋" w:eastAsia="仿宋"/>
          <w:sz w:val="28"/>
          <w:szCs w:val="28"/>
        </w:rPr>
      </w:pPr>
      <w:r>
        <w:rPr>
          <w:rFonts w:hint="eastAsia" w:ascii="仿宋" w:hAnsi="仿宋" w:eastAsia="仿宋"/>
          <w:sz w:val="28"/>
          <w:szCs w:val="28"/>
        </w:rPr>
        <w:t>2.1满足第一章投标邀请中投标人资格要求的规定。</w:t>
      </w:r>
    </w:p>
    <w:p w14:paraId="7A5600A3">
      <w:pPr>
        <w:spacing w:line="520" w:lineRule="exact"/>
        <w:ind w:firstLine="555"/>
        <w:rPr>
          <w:rFonts w:hint="eastAsia" w:ascii="仿宋" w:hAnsi="仿宋" w:eastAsia="仿宋"/>
          <w:sz w:val="28"/>
          <w:szCs w:val="28"/>
        </w:rPr>
      </w:pPr>
      <w:r>
        <w:rPr>
          <w:rFonts w:hint="eastAsia" w:ascii="仿宋" w:hAnsi="仿宋" w:eastAsia="仿宋"/>
          <w:sz w:val="28"/>
          <w:szCs w:val="28"/>
        </w:rPr>
        <w:t>2.2满足招标文件中实质性条款的规定。</w:t>
      </w:r>
    </w:p>
    <w:p w14:paraId="109535CC">
      <w:pPr>
        <w:spacing w:line="520" w:lineRule="exact"/>
        <w:rPr>
          <w:rFonts w:hint="eastAsia" w:ascii="仿宋" w:hAnsi="仿宋" w:eastAsia="仿宋"/>
          <w:sz w:val="28"/>
          <w:szCs w:val="28"/>
        </w:rPr>
      </w:pPr>
      <w:r>
        <w:rPr>
          <w:rFonts w:hint="eastAsia" w:ascii="仿宋" w:hAnsi="仿宋" w:eastAsia="仿宋"/>
          <w:sz w:val="28"/>
          <w:szCs w:val="28"/>
        </w:rPr>
        <w:t>3.适用法律</w:t>
      </w:r>
    </w:p>
    <w:p w14:paraId="4D0CF1EC">
      <w:pPr>
        <w:spacing w:line="520" w:lineRule="exact"/>
        <w:ind w:firstLine="560"/>
        <w:rPr>
          <w:rFonts w:hint="eastAsia" w:ascii="仿宋" w:hAnsi="仿宋" w:eastAsia="仿宋"/>
          <w:sz w:val="28"/>
          <w:szCs w:val="28"/>
        </w:rPr>
      </w:pPr>
      <w:r>
        <w:rPr>
          <w:rFonts w:hint="eastAsia" w:ascii="仿宋" w:hAnsi="仿宋" w:eastAsia="仿宋"/>
          <w:sz w:val="28"/>
          <w:szCs w:val="28"/>
        </w:rPr>
        <w:t>3.1《中华人民共和国政府采购法》、《中华人民共和国政府采购法实施条例》、《政府采购货物和服务招标投标管理办法》等有关法律、规章和规定等。</w:t>
      </w:r>
    </w:p>
    <w:p w14:paraId="1D4E8530">
      <w:pPr>
        <w:spacing w:line="520" w:lineRule="exact"/>
        <w:rPr>
          <w:rFonts w:hint="eastAsia" w:ascii="仿宋" w:hAnsi="仿宋" w:eastAsia="仿宋"/>
          <w:sz w:val="28"/>
          <w:szCs w:val="28"/>
        </w:rPr>
      </w:pPr>
      <w:r>
        <w:rPr>
          <w:rFonts w:hint="eastAsia" w:ascii="仿宋" w:hAnsi="仿宋" w:eastAsia="仿宋"/>
          <w:sz w:val="28"/>
          <w:szCs w:val="28"/>
        </w:rPr>
        <w:t>4.投标费用</w:t>
      </w:r>
    </w:p>
    <w:p w14:paraId="4DA9E7B6">
      <w:pPr>
        <w:spacing w:line="520" w:lineRule="exact"/>
        <w:ind w:firstLine="555"/>
        <w:rPr>
          <w:rFonts w:hint="eastAsia" w:ascii="仿宋" w:hAnsi="仿宋" w:eastAsia="仿宋" w:cs="仿宋"/>
          <w:sz w:val="28"/>
          <w:szCs w:val="28"/>
        </w:rPr>
      </w:pPr>
      <w:r>
        <w:rPr>
          <w:rFonts w:hint="eastAsia" w:ascii="仿宋" w:hAnsi="仿宋" w:eastAsia="仿宋"/>
          <w:sz w:val="28"/>
          <w:szCs w:val="28"/>
        </w:rPr>
        <w:t>4.1投标人应自行承担所有与参加投标有关的费用。不论投标的结果如何，江苏神州项目管理有限公司（以下简称采购代理机构）及</w:t>
      </w:r>
      <w:r>
        <w:rPr>
          <w:rFonts w:hint="eastAsia" w:ascii="仿宋" w:hAnsi="仿宋" w:eastAsia="仿宋" w:cs="仿宋"/>
          <w:sz w:val="28"/>
          <w:szCs w:val="28"/>
        </w:rPr>
        <w:t>淮安市洪泽区卫生健康委员会（以下简称采购人）在任何情况下均无义务和责任承担这些费用。</w:t>
      </w:r>
    </w:p>
    <w:p w14:paraId="0C97286E">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4.2招标代理服务费：</w:t>
      </w:r>
    </w:p>
    <w:p w14:paraId="783B8FFF">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4.2.1支付主体和报价要求：本项目采购代理服务费由中标供应商支付，供应商在报价时应将代理服务费全额包含在投标总价中，本项费用无需在投标报价表中单列。采购人不再另行支付。</w:t>
      </w:r>
    </w:p>
    <w:p w14:paraId="0C83338D">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4.2.2收取方式：中标供应商在领取中标通知书前，一次性向采购代理机构足额支付；支付方式为银行转账/电汇/现金。</w:t>
      </w:r>
    </w:p>
    <w:p w14:paraId="7DB71254">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4.2.3收费标准：按照《江苏省政府采购代理服务收费指导意见》苏政采协</w:t>
      </w:r>
      <w:r>
        <w:rPr>
          <w:rFonts w:hint="eastAsia" w:ascii="仿宋" w:hAnsi="仿宋" w:eastAsia="仿宋" w:cs="仿宋"/>
          <w:sz w:val="28"/>
          <w:szCs w:val="28"/>
          <w:lang w:eastAsia="zh-CN"/>
        </w:rPr>
        <w:t>〔2024〕20号</w:t>
      </w:r>
      <w:r>
        <w:rPr>
          <w:rFonts w:hint="eastAsia" w:ascii="仿宋" w:hAnsi="仿宋" w:eastAsia="仿宋" w:cs="仿宋"/>
          <w:sz w:val="28"/>
          <w:szCs w:val="28"/>
        </w:rPr>
        <w:t>文标准</w:t>
      </w:r>
      <w:r>
        <w:rPr>
          <w:rFonts w:hint="eastAsia" w:ascii="仿宋" w:hAnsi="仿宋" w:eastAsia="仿宋" w:cs="仿宋"/>
          <w:sz w:val="28"/>
          <w:szCs w:val="28"/>
          <w:lang w:eastAsia="zh-CN"/>
        </w:rPr>
        <w:t>收取壹万元</w:t>
      </w:r>
      <w:r>
        <w:rPr>
          <w:rFonts w:hint="eastAsia" w:ascii="仿宋" w:hAnsi="仿宋" w:eastAsia="仿宋" w:cs="仿宋"/>
          <w:sz w:val="28"/>
          <w:szCs w:val="28"/>
        </w:rPr>
        <w:t>。</w:t>
      </w:r>
    </w:p>
    <w:p w14:paraId="14C98B06">
      <w:pP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4.2.4确定标准的依据：按照《江苏省政府采购代理服务收费指导意见》苏政采协</w:t>
      </w:r>
      <w:r>
        <w:rPr>
          <w:rFonts w:hint="eastAsia" w:ascii="仿宋" w:hAnsi="仿宋" w:eastAsia="仿宋" w:cs="仿宋"/>
          <w:sz w:val="28"/>
          <w:szCs w:val="28"/>
          <w:lang w:eastAsia="zh-CN"/>
        </w:rPr>
        <w:t>〔2024〕20号</w:t>
      </w:r>
      <w:r>
        <w:rPr>
          <w:rFonts w:hint="eastAsia" w:ascii="仿宋" w:hAnsi="仿宋" w:eastAsia="仿宋" w:cs="仿宋"/>
          <w:sz w:val="28"/>
          <w:szCs w:val="28"/>
        </w:rPr>
        <w:t>文标准。</w:t>
      </w:r>
    </w:p>
    <w:p w14:paraId="1C8AF147">
      <w:pPr>
        <w:shd w:val="clear"/>
        <w:spacing w:line="520" w:lineRule="exact"/>
        <w:ind w:firstLine="555"/>
        <w:rPr>
          <w:rFonts w:hint="eastAsia" w:ascii="仿宋" w:hAnsi="仿宋" w:eastAsia="仿宋" w:cs="仿宋"/>
          <w:sz w:val="28"/>
          <w:szCs w:val="28"/>
        </w:rPr>
      </w:pPr>
      <w:r>
        <w:rPr>
          <w:rFonts w:hint="eastAsia" w:ascii="仿宋" w:hAnsi="仿宋" w:eastAsia="仿宋" w:cs="仿宋"/>
          <w:sz w:val="28"/>
          <w:szCs w:val="28"/>
        </w:rPr>
        <w:t>4.3本项目中标人在中标公告发布后，</w:t>
      </w:r>
      <w:r>
        <w:rPr>
          <w:rFonts w:hint="eastAsia" w:ascii="仿宋" w:hAnsi="仿宋" w:eastAsia="仿宋" w:cs="仿宋"/>
          <w:b/>
          <w:bCs/>
          <w:sz w:val="28"/>
          <w:szCs w:val="28"/>
        </w:rPr>
        <w:t>须向采购代理机构提供与线上内容一致的纸质投标文件三份（正本1份、副本2份）。</w:t>
      </w:r>
    </w:p>
    <w:p w14:paraId="66B8CFF2">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60B47B65">
      <w:pPr>
        <w:spacing w:line="520" w:lineRule="exact"/>
        <w:rPr>
          <w:rFonts w:hint="eastAsia" w:ascii="仿宋" w:hAnsi="仿宋" w:eastAsia="仿宋"/>
          <w:sz w:val="28"/>
          <w:szCs w:val="28"/>
        </w:rPr>
      </w:pPr>
      <w:r>
        <w:rPr>
          <w:rFonts w:hint="eastAsia" w:ascii="仿宋" w:hAnsi="仿宋" w:eastAsia="仿宋"/>
          <w:sz w:val="28"/>
          <w:szCs w:val="28"/>
        </w:rPr>
        <w:t>5.招标文件由以下部分组成</w:t>
      </w:r>
      <w:r>
        <w:rPr>
          <w:rFonts w:hint="eastAsia" w:ascii="仿宋" w:hAnsi="仿宋" w:eastAsia="仿宋"/>
          <w:sz w:val="28"/>
          <w:szCs w:val="28"/>
          <w:lang w:eastAsia="zh-CN"/>
        </w:rPr>
        <w:t>：</w:t>
      </w:r>
    </w:p>
    <w:p w14:paraId="6D8D3A36">
      <w:pPr>
        <w:spacing w:line="520" w:lineRule="exact"/>
        <w:ind w:firstLine="560"/>
        <w:rPr>
          <w:rFonts w:hint="eastAsia" w:ascii="仿宋" w:hAnsi="仿宋" w:eastAsia="仿宋"/>
          <w:sz w:val="28"/>
          <w:szCs w:val="28"/>
        </w:rPr>
      </w:pPr>
      <w:r>
        <w:rPr>
          <w:rFonts w:hint="eastAsia" w:ascii="仿宋" w:hAnsi="仿宋" w:eastAsia="仿宋"/>
          <w:sz w:val="28"/>
          <w:szCs w:val="28"/>
        </w:rPr>
        <w:t>5.1投标邀请</w:t>
      </w:r>
    </w:p>
    <w:p w14:paraId="67A320F3">
      <w:pPr>
        <w:spacing w:line="520" w:lineRule="exact"/>
        <w:ind w:firstLine="560"/>
        <w:rPr>
          <w:rFonts w:hint="eastAsia" w:ascii="仿宋" w:hAnsi="仿宋" w:eastAsia="仿宋"/>
          <w:sz w:val="28"/>
          <w:szCs w:val="28"/>
        </w:rPr>
      </w:pPr>
      <w:r>
        <w:rPr>
          <w:rFonts w:hint="eastAsia" w:ascii="仿宋" w:hAnsi="仿宋" w:eastAsia="仿宋"/>
          <w:sz w:val="28"/>
          <w:szCs w:val="28"/>
        </w:rPr>
        <w:t>5.2投标人须知</w:t>
      </w:r>
    </w:p>
    <w:p w14:paraId="20C53F53">
      <w:pPr>
        <w:spacing w:line="520" w:lineRule="exact"/>
        <w:ind w:firstLine="560"/>
        <w:rPr>
          <w:rFonts w:hint="eastAsia" w:ascii="仿宋" w:hAnsi="仿宋" w:eastAsia="仿宋"/>
          <w:sz w:val="28"/>
          <w:szCs w:val="28"/>
        </w:rPr>
      </w:pPr>
      <w:r>
        <w:rPr>
          <w:rFonts w:hint="eastAsia" w:ascii="仿宋" w:hAnsi="仿宋" w:eastAsia="仿宋"/>
          <w:sz w:val="28"/>
          <w:szCs w:val="28"/>
        </w:rPr>
        <w:t>5.3评标标准</w:t>
      </w:r>
    </w:p>
    <w:p w14:paraId="5500709C">
      <w:pPr>
        <w:spacing w:line="520" w:lineRule="exact"/>
        <w:ind w:firstLine="560"/>
        <w:rPr>
          <w:rFonts w:hint="eastAsia" w:ascii="仿宋" w:hAnsi="仿宋" w:eastAsia="仿宋"/>
          <w:sz w:val="28"/>
          <w:szCs w:val="28"/>
        </w:rPr>
      </w:pPr>
      <w:r>
        <w:rPr>
          <w:rFonts w:hint="eastAsia" w:ascii="仿宋" w:hAnsi="仿宋" w:eastAsia="仿宋"/>
          <w:sz w:val="28"/>
          <w:szCs w:val="28"/>
        </w:rPr>
        <w:t>5.4合同格式及条款</w:t>
      </w:r>
    </w:p>
    <w:p w14:paraId="031209F2">
      <w:pPr>
        <w:spacing w:line="520" w:lineRule="exact"/>
        <w:ind w:firstLine="560"/>
        <w:rPr>
          <w:rFonts w:hint="eastAsia" w:ascii="仿宋" w:hAnsi="仿宋" w:eastAsia="仿宋"/>
          <w:sz w:val="28"/>
          <w:szCs w:val="28"/>
        </w:rPr>
      </w:pPr>
      <w:r>
        <w:rPr>
          <w:rFonts w:hint="eastAsia" w:ascii="仿宋" w:hAnsi="仿宋" w:eastAsia="仿宋"/>
          <w:sz w:val="28"/>
          <w:szCs w:val="28"/>
        </w:rPr>
        <w:t>5.5项目采购需求</w:t>
      </w:r>
    </w:p>
    <w:p w14:paraId="4C10A6A0">
      <w:pPr>
        <w:spacing w:line="520" w:lineRule="exact"/>
        <w:ind w:firstLine="560"/>
        <w:rPr>
          <w:rFonts w:hint="eastAsia" w:ascii="仿宋" w:hAnsi="仿宋" w:eastAsia="仿宋"/>
          <w:sz w:val="28"/>
          <w:szCs w:val="28"/>
        </w:rPr>
      </w:pPr>
      <w:r>
        <w:rPr>
          <w:rFonts w:hint="eastAsia" w:ascii="仿宋" w:hAnsi="仿宋" w:eastAsia="仿宋"/>
          <w:sz w:val="28"/>
          <w:szCs w:val="28"/>
        </w:rPr>
        <w:t>5.6投标文件</w:t>
      </w:r>
    </w:p>
    <w:p w14:paraId="7C7B4C5F">
      <w:pPr>
        <w:spacing w:line="520" w:lineRule="exact"/>
        <w:rPr>
          <w:rFonts w:hint="eastAsia" w:ascii="仿宋" w:hAnsi="仿宋" w:eastAsia="仿宋"/>
          <w:sz w:val="28"/>
          <w:szCs w:val="28"/>
        </w:rPr>
      </w:pPr>
      <w:r>
        <w:rPr>
          <w:rFonts w:hint="eastAsia" w:ascii="仿宋" w:hAnsi="仿宋" w:eastAsia="仿宋"/>
          <w:sz w:val="28"/>
          <w:szCs w:val="28"/>
        </w:rPr>
        <w:t>6.招标文件的澄清</w:t>
      </w:r>
    </w:p>
    <w:p w14:paraId="01FB032E">
      <w:pPr>
        <w:spacing w:line="520" w:lineRule="exact"/>
        <w:ind w:firstLine="560"/>
        <w:rPr>
          <w:rFonts w:hint="eastAsia" w:ascii="仿宋" w:hAnsi="仿宋" w:eastAsia="仿宋"/>
          <w:sz w:val="28"/>
          <w:szCs w:val="28"/>
        </w:rPr>
      </w:pPr>
      <w:r>
        <w:rPr>
          <w:rFonts w:hint="eastAsia" w:ascii="仿宋" w:hAnsi="仿宋" w:eastAsia="仿宋"/>
          <w:sz w:val="28"/>
          <w:szCs w:val="28"/>
        </w:rPr>
        <w:t>6.1任何要求对招标文件进行澄清的投标人，均应在投标截止时间十日前通过以书面形式并加盖公章通知采购代理机构，采购代理机构对投标截止时间前十日收到的任何澄清要求将以书面形式予以答复。</w:t>
      </w:r>
    </w:p>
    <w:p w14:paraId="67DF2DA8">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3F78F9F6">
      <w:pPr>
        <w:spacing w:line="520" w:lineRule="exact"/>
        <w:ind w:firstLine="560"/>
        <w:rPr>
          <w:rFonts w:hint="eastAsia" w:ascii="仿宋" w:hAnsi="仿宋" w:eastAsia="仿宋"/>
          <w:sz w:val="28"/>
          <w:szCs w:val="28"/>
        </w:rPr>
      </w:pPr>
      <w:r>
        <w:rPr>
          <w:rFonts w:hint="eastAsia" w:ascii="仿宋" w:hAnsi="仿宋" w:eastAsia="仿宋"/>
          <w:sz w:val="28"/>
          <w:szCs w:val="28"/>
        </w:rPr>
        <w:t>7.1在投标截止时间十五日前，采购代理机构可主动或在解答投标人提出的澄清问题时对招标文件用更正公告的方式进行修正。</w:t>
      </w:r>
    </w:p>
    <w:p w14:paraId="3D1FC403">
      <w:pPr>
        <w:spacing w:line="520" w:lineRule="exact"/>
        <w:ind w:firstLine="560"/>
        <w:rPr>
          <w:rFonts w:hint="eastAsia" w:ascii="仿宋" w:hAnsi="仿宋" w:eastAsia="仿宋"/>
          <w:sz w:val="28"/>
          <w:szCs w:val="28"/>
        </w:rPr>
      </w:pPr>
      <w:r>
        <w:rPr>
          <w:rFonts w:hint="eastAsia" w:ascii="仿宋" w:hAnsi="仿宋" w:eastAsia="仿宋"/>
          <w:sz w:val="28"/>
          <w:szCs w:val="28"/>
        </w:rPr>
        <w:t>7</w:t>
      </w:r>
      <w:r>
        <w:rPr>
          <w:rFonts w:ascii="仿宋" w:hAnsi="仿宋" w:eastAsia="仿宋"/>
          <w:sz w:val="28"/>
          <w:szCs w:val="28"/>
        </w:rPr>
        <w:t>.</w:t>
      </w:r>
      <w:r>
        <w:rPr>
          <w:rFonts w:hint="eastAsia" w:ascii="仿宋" w:hAnsi="仿宋" w:eastAsia="仿宋"/>
          <w:sz w:val="28"/>
          <w:szCs w:val="28"/>
        </w:rPr>
        <w:t>2对招标文件的更正将在</w:t>
      </w:r>
      <w:bookmarkStart w:id="4" w:name="OLE_LINK9"/>
      <w:r>
        <w:rPr>
          <w:rFonts w:hint="eastAsia" w:ascii="仿宋" w:hAnsi="仿宋" w:eastAsia="仿宋"/>
          <w:sz w:val="28"/>
          <w:szCs w:val="28"/>
        </w:rPr>
        <w:t>“江苏政府采购网”或者“淮安市政府采购网”</w:t>
      </w:r>
      <w:bookmarkEnd w:id="4"/>
      <w:r>
        <w:rPr>
          <w:rFonts w:hint="eastAsia" w:ascii="仿宋" w:hAnsi="仿宋" w:eastAsia="仿宋"/>
          <w:sz w:val="28"/>
          <w:szCs w:val="28"/>
        </w:rPr>
        <w:t>进行公告，更正公告将作为招标文件的组成部分，对所有参加本次投标的投标人都具有约束力。</w:t>
      </w:r>
    </w:p>
    <w:p w14:paraId="4EE367F9">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7.3为使投标人有足够的时间按招标文件的更正要求修正投标文件，采购代理机构有权按照相关法定的要求推迟投标截止时间和开标日期。</w:t>
      </w:r>
    </w:p>
    <w:p w14:paraId="2B5BEC25">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54E41078">
      <w:pPr>
        <w:spacing w:line="520" w:lineRule="exact"/>
        <w:rPr>
          <w:rFonts w:hint="eastAsia" w:ascii="仿宋" w:hAnsi="仿宋" w:eastAsia="仿宋"/>
          <w:sz w:val="28"/>
          <w:szCs w:val="28"/>
        </w:rPr>
      </w:pPr>
      <w:bookmarkStart w:id="5" w:name="_Toc462564073"/>
      <w:bookmarkStart w:id="6" w:name="_Toc20823286"/>
      <w:bookmarkStart w:id="7" w:name="_Toc16938530"/>
      <w:bookmarkStart w:id="8" w:name="_Toc513029214"/>
      <w:r>
        <w:rPr>
          <w:rFonts w:hint="eastAsia" w:ascii="仿宋" w:hAnsi="仿宋" w:eastAsia="仿宋"/>
          <w:sz w:val="28"/>
          <w:szCs w:val="28"/>
        </w:rPr>
        <w:t>8.投标文件的语言及度量衡单位</w:t>
      </w:r>
      <w:bookmarkEnd w:id="5"/>
      <w:bookmarkEnd w:id="6"/>
      <w:bookmarkEnd w:id="7"/>
      <w:bookmarkEnd w:id="8"/>
    </w:p>
    <w:p w14:paraId="16527881">
      <w:pPr>
        <w:spacing w:line="520" w:lineRule="exact"/>
        <w:ind w:firstLine="560"/>
        <w:rPr>
          <w:rFonts w:hint="eastAsia" w:ascii="仿宋" w:hAnsi="仿宋" w:eastAsia="仿宋"/>
          <w:sz w:val="28"/>
          <w:szCs w:val="28"/>
        </w:rPr>
      </w:pPr>
      <w:r>
        <w:rPr>
          <w:rFonts w:hint="eastAsia" w:ascii="仿宋" w:hAnsi="仿宋" w:eastAsia="仿宋"/>
          <w:sz w:val="28"/>
          <w:szCs w:val="28"/>
        </w:rPr>
        <w:t>8.1投标人提交的投标文件以及投标人与采购代理机构就有关投标的所有来往通知、函件和文件均应使用简体中文。</w:t>
      </w:r>
    </w:p>
    <w:p w14:paraId="69DAF385">
      <w:pPr>
        <w:spacing w:line="520" w:lineRule="exact"/>
        <w:ind w:firstLine="560"/>
        <w:rPr>
          <w:rFonts w:hint="eastAsia" w:ascii="仿宋" w:hAnsi="仿宋" w:eastAsia="仿宋"/>
          <w:sz w:val="28"/>
          <w:szCs w:val="28"/>
        </w:rPr>
      </w:pPr>
      <w:r>
        <w:rPr>
          <w:rFonts w:hint="eastAsia" w:ascii="仿宋" w:hAnsi="仿宋" w:eastAsia="仿宋"/>
          <w:sz w:val="28"/>
          <w:szCs w:val="28"/>
        </w:rPr>
        <w:t>8.2除技术性能另有规定外，投标文件所使用的度量衡单位，均须采用国家法定计量单位。</w:t>
      </w:r>
    </w:p>
    <w:p w14:paraId="5C48FD33">
      <w:pPr>
        <w:spacing w:line="520" w:lineRule="exact"/>
        <w:rPr>
          <w:rFonts w:hint="eastAsia" w:ascii="仿宋" w:hAnsi="仿宋" w:eastAsia="仿宋"/>
          <w:sz w:val="28"/>
          <w:szCs w:val="28"/>
        </w:rPr>
      </w:pPr>
      <w:r>
        <w:rPr>
          <w:rFonts w:hint="eastAsia" w:ascii="仿宋" w:hAnsi="仿宋" w:eastAsia="仿宋"/>
          <w:sz w:val="28"/>
          <w:szCs w:val="28"/>
        </w:rPr>
        <w:t>9.投标文件构成</w:t>
      </w:r>
    </w:p>
    <w:p w14:paraId="7A848C4B">
      <w:pPr>
        <w:spacing w:line="520" w:lineRule="exact"/>
        <w:ind w:firstLine="560"/>
        <w:rPr>
          <w:rFonts w:hint="eastAsia" w:ascii="仿宋" w:hAnsi="仿宋" w:eastAsia="仿宋"/>
          <w:sz w:val="28"/>
          <w:szCs w:val="28"/>
        </w:rPr>
      </w:pPr>
      <w:r>
        <w:rPr>
          <w:rFonts w:hint="eastAsia" w:ascii="仿宋" w:hAnsi="仿宋" w:eastAsia="仿宋"/>
          <w:sz w:val="28"/>
          <w:szCs w:val="28"/>
        </w:rPr>
        <w:t>9.1投标人编写的投标文件应包括资格证明文件、符合性证明文件、投标分项报价表、技术要求响应及偏离表、商务要求响应及偏离表、其他证明文件、投标函、开标一览表等部分。</w:t>
      </w:r>
      <w:r>
        <w:rPr>
          <w:rFonts w:hint="eastAsia" w:ascii="仿宋" w:hAnsi="仿宋" w:eastAsia="仿宋"/>
          <w:sz w:val="28"/>
          <w:szCs w:val="28"/>
          <w:lang w:val="zh-CN"/>
        </w:rPr>
        <w:t>请投标人根据本招标文件的要求在指定模块中上传响应的投标材料，未按招标文件要求在指定模块上传响应的投标材料的，</w:t>
      </w:r>
      <w:r>
        <w:rPr>
          <w:rFonts w:hint="eastAsia" w:ascii="仿宋" w:hAnsi="仿宋" w:eastAsia="仿宋"/>
          <w:sz w:val="28"/>
          <w:szCs w:val="28"/>
        </w:rPr>
        <w:t>视同未提交该投标材料处理。</w:t>
      </w:r>
    </w:p>
    <w:p w14:paraId="788E87F9">
      <w:pPr>
        <w:spacing w:line="520" w:lineRule="exact"/>
        <w:ind w:firstLine="560"/>
        <w:rPr>
          <w:rFonts w:hint="eastAsia" w:ascii="仿宋" w:hAnsi="仿宋" w:eastAsia="仿宋"/>
          <w:sz w:val="28"/>
          <w:szCs w:val="28"/>
        </w:rPr>
      </w:pPr>
      <w:r>
        <w:rPr>
          <w:rFonts w:hint="eastAsia" w:ascii="仿宋" w:hAnsi="仿宋" w:eastAsia="仿宋"/>
          <w:sz w:val="28"/>
          <w:szCs w:val="28"/>
        </w:rPr>
        <w:t>9.2如标书制作工具中格式和内容与“江苏政府采购网”或者“淮安市政府采购网”发布的招标文件不一致，请以“江苏政府采购网”或者“淮安市政府采购网”发布的招标文件为准。</w:t>
      </w:r>
    </w:p>
    <w:p w14:paraId="5BB71BE3">
      <w:pPr>
        <w:spacing w:line="520" w:lineRule="exact"/>
        <w:rPr>
          <w:rFonts w:hint="eastAsia" w:ascii="仿宋" w:hAnsi="仿宋" w:eastAsia="仿宋"/>
          <w:sz w:val="28"/>
          <w:szCs w:val="28"/>
        </w:rPr>
      </w:pPr>
      <w:r>
        <w:rPr>
          <w:rFonts w:hint="eastAsia" w:ascii="仿宋" w:hAnsi="仿宋" w:eastAsia="仿宋"/>
          <w:sz w:val="28"/>
          <w:szCs w:val="28"/>
        </w:rPr>
        <w:t>10.证明投标人及投标标的符合招标文件规定的文件</w:t>
      </w:r>
    </w:p>
    <w:p w14:paraId="1C61F00D">
      <w:pPr>
        <w:spacing w:line="520" w:lineRule="exact"/>
        <w:ind w:firstLine="560"/>
        <w:rPr>
          <w:rFonts w:hint="eastAsia" w:ascii="仿宋" w:hAnsi="仿宋" w:eastAsia="仿宋"/>
          <w:sz w:val="28"/>
          <w:szCs w:val="28"/>
        </w:rPr>
      </w:pPr>
      <w:r>
        <w:rPr>
          <w:rFonts w:hint="eastAsia" w:ascii="仿宋" w:hAnsi="仿宋" w:eastAsia="仿宋"/>
          <w:sz w:val="28"/>
          <w:szCs w:val="28"/>
        </w:rPr>
        <w:t>10.1投标人应按照招标文件要求提交证明文件，证明其及投标标的符合招标文件规定。</w:t>
      </w:r>
    </w:p>
    <w:p w14:paraId="68FB740D">
      <w:pPr>
        <w:spacing w:line="520" w:lineRule="exact"/>
        <w:ind w:firstLine="560"/>
        <w:rPr>
          <w:rFonts w:hint="eastAsia"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1C3FC9DA">
      <w:pPr>
        <w:spacing w:line="520" w:lineRule="exact"/>
        <w:rPr>
          <w:rFonts w:hint="eastAsia" w:ascii="仿宋" w:hAnsi="仿宋" w:eastAsia="仿宋"/>
          <w:sz w:val="28"/>
          <w:szCs w:val="28"/>
        </w:rPr>
      </w:pPr>
      <w:r>
        <w:rPr>
          <w:rFonts w:hint="eastAsia" w:ascii="仿宋" w:hAnsi="仿宋" w:eastAsia="仿宋"/>
          <w:sz w:val="28"/>
          <w:szCs w:val="28"/>
        </w:rPr>
        <w:t>11.投标分项报价表</w:t>
      </w:r>
    </w:p>
    <w:p w14:paraId="4017647D">
      <w:pPr>
        <w:spacing w:line="520" w:lineRule="exact"/>
        <w:ind w:firstLine="560"/>
        <w:rPr>
          <w:rFonts w:hint="eastAsia" w:ascii="仿宋" w:hAnsi="仿宋" w:eastAsia="仿宋"/>
          <w:sz w:val="28"/>
          <w:szCs w:val="28"/>
        </w:rPr>
      </w:pPr>
      <w:r>
        <w:rPr>
          <w:rFonts w:hint="eastAsia" w:ascii="仿宋" w:hAnsi="仿宋" w:eastAsia="仿宋"/>
          <w:sz w:val="28"/>
          <w:szCs w:val="28"/>
        </w:rPr>
        <w:t>11.1投标人应按照招标文件规定格式填报投标分项报价表。</w:t>
      </w:r>
    </w:p>
    <w:p w14:paraId="2BEC7971">
      <w:pPr>
        <w:spacing w:line="520" w:lineRule="exact"/>
        <w:ind w:firstLine="560"/>
        <w:rPr>
          <w:rFonts w:hint="eastAsia" w:ascii="仿宋" w:hAnsi="仿宋" w:eastAsia="仿宋"/>
          <w:sz w:val="28"/>
          <w:szCs w:val="28"/>
        </w:rPr>
      </w:pPr>
      <w:r>
        <w:rPr>
          <w:rFonts w:hint="eastAsia" w:ascii="仿宋" w:hAnsi="仿宋" w:eastAsia="仿宋"/>
          <w:sz w:val="28"/>
          <w:szCs w:val="28"/>
        </w:rPr>
        <w:t>11.2投标货币。投标文件中的单价和总价无特殊规定的采用人民币报价，以元为单位标注。招标文件中另有规定的按规定执行。</w:t>
      </w:r>
    </w:p>
    <w:p w14:paraId="4AF6F9A0">
      <w:pPr>
        <w:spacing w:line="520" w:lineRule="exact"/>
        <w:rPr>
          <w:rFonts w:hint="eastAsia" w:ascii="仿宋" w:hAnsi="仿宋" w:eastAsia="仿宋"/>
          <w:sz w:val="28"/>
          <w:szCs w:val="28"/>
        </w:rPr>
      </w:pPr>
      <w:r>
        <w:rPr>
          <w:rFonts w:hint="eastAsia" w:ascii="仿宋" w:hAnsi="仿宋" w:eastAsia="仿宋"/>
          <w:sz w:val="28"/>
          <w:szCs w:val="28"/>
        </w:rPr>
        <w:t>12.技术要求响应及偏离表、商务要求响应及偏离表</w:t>
      </w:r>
    </w:p>
    <w:p w14:paraId="1DDFFBBB">
      <w:pPr>
        <w:spacing w:line="520" w:lineRule="exact"/>
        <w:ind w:firstLine="560"/>
        <w:rPr>
          <w:rFonts w:hint="eastAsia" w:ascii="仿宋" w:hAnsi="仿宋" w:eastAsia="仿宋"/>
          <w:sz w:val="28"/>
          <w:szCs w:val="28"/>
        </w:rPr>
      </w:pPr>
      <w:r>
        <w:rPr>
          <w:rFonts w:hint="eastAsia" w:ascii="仿宋" w:hAnsi="仿宋" w:eastAsia="仿宋"/>
          <w:sz w:val="28"/>
          <w:szCs w:val="28"/>
        </w:rPr>
        <w:t>12.1投标人需对招标文件中的技术要求与商务要求逐项作出响应或偏离，并说明原因。</w:t>
      </w:r>
    </w:p>
    <w:p w14:paraId="3FEB0BC3">
      <w:pPr>
        <w:spacing w:line="520" w:lineRule="exact"/>
        <w:ind w:firstLine="560"/>
        <w:rPr>
          <w:rFonts w:hint="eastAsia" w:ascii="仿宋" w:hAnsi="仿宋" w:eastAsia="仿宋"/>
          <w:sz w:val="28"/>
          <w:szCs w:val="28"/>
        </w:rPr>
      </w:pPr>
      <w:r>
        <w:rPr>
          <w:rFonts w:hint="eastAsia" w:ascii="仿宋" w:hAnsi="仿宋" w:eastAsia="仿宋"/>
          <w:sz w:val="28"/>
          <w:szCs w:val="28"/>
        </w:rPr>
        <w:t>12.2投标人可在投标文件中提供认为需要的其他技术文件或说明。</w:t>
      </w:r>
    </w:p>
    <w:p w14:paraId="4EC0B49D">
      <w:pPr>
        <w:spacing w:line="520" w:lineRule="exact"/>
        <w:rPr>
          <w:rFonts w:hint="eastAsia" w:ascii="仿宋" w:hAnsi="仿宋" w:eastAsia="仿宋"/>
          <w:sz w:val="28"/>
          <w:szCs w:val="28"/>
        </w:rPr>
      </w:pPr>
      <w:r>
        <w:rPr>
          <w:rFonts w:hint="eastAsia" w:ascii="仿宋" w:hAnsi="仿宋" w:eastAsia="仿宋"/>
          <w:sz w:val="28"/>
          <w:szCs w:val="28"/>
        </w:rPr>
        <w:t>13.服务方案</w:t>
      </w:r>
    </w:p>
    <w:p w14:paraId="5D7FDE23">
      <w:pPr>
        <w:spacing w:line="520" w:lineRule="exact"/>
        <w:ind w:firstLine="560"/>
        <w:rPr>
          <w:rFonts w:hint="eastAsia" w:ascii="仿宋" w:hAnsi="仿宋" w:eastAsia="仿宋"/>
          <w:sz w:val="28"/>
          <w:szCs w:val="28"/>
        </w:rPr>
      </w:pPr>
      <w:r>
        <w:rPr>
          <w:rFonts w:hint="eastAsia" w:ascii="仿宋" w:hAnsi="仿宋" w:eastAsia="仿宋"/>
          <w:sz w:val="28"/>
          <w:szCs w:val="28"/>
        </w:rPr>
        <w:t>13.1投标人需根据招标文件要求提供有关服务方案。</w:t>
      </w:r>
    </w:p>
    <w:p w14:paraId="532B7817">
      <w:pPr>
        <w:spacing w:line="520" w:lineRule="exact"/>
        <w:rPr>
          <w:rFonts w:hint="eastAsia" w:ascii="仿宋" w:hAnsi="仿宋" w:eastAsia="仿宋"/>
          <w:sz w:val="28"/>
          <w:szCs w:val="28"/>
        </w:rPr>
      </w:pPr>
      <w:bookmarkStart w:id="9" w:name="_Toc14577359"/>
      <w:bookmarkStart w:id="10" w:name="_Toc49090510"/>
      <w:r>
        <w:rPr>
          <w:rFonts w:hint="eastAsia" w:ascii="仿宋" w:hAnsi="仿宋" w:eastAsia="仿宋"/>
          <w:sz w:val="28"/>
          <w:szCs w:val="28"/>
        </w:rPr>
        <w:t>14.投标函和开标一览表</w:t>
      </w:r>
    </w:p>
    <w:p w14:paraId="74638C1A">
      <w:pPr>
        <w:spacing w:line="520" w:lineRule="exact"/>
        <w:ind w:firstLine="560"/>
        <w:rPr>
          <w:rFonts w:hint="eastAsia" w:ascii="仿宋" w:hAnsi="仿宋" w:eastAsia="仿宋"/>
          <w:sz w:val="28"/>
          <w:szCs w:val="28"/>
        </w:rPr>
      </w:pPr>
      <w:r>
        <w:rPr>
          <w:rFonts w:hint="eastAsia" w:ascii="仿宋" w:hAnsi="仿宋" w:eastAsia="仿宋"/>
          <w:sz w:val="28"/>
          <w:szCs w:val="28"/>
        </w:rPr>
        <w:t>14.1投标人应按照招标文件中提供的格式完整、正确填写投标函、开标一览表。</w:t>
      </w:r>
    </w:p>
    <w:p w14:paraId="0AB6EBE9">
      <w:pPr>
        <w:spacing w:line="520" w:lineRule="exact"/>
        <w:ind w:firstLine="560"/>
        <w:rPr>
          <w:rFonts w:hint="eastAsia" w:ascii="仿宋" w:hAnsi="仿宋" w:eastAsia="仿宋"/>
          <w:sz w:val="28"/>
          <w:szCs w:val="28"/>
        </w:rPr>
      </w:pPr>
      <w:r>
        <w:rPr>
          <w:rFonts w:hint="eastAsia" w:ascii="仿宋" w:hAnsi="仿宋" w:eastAsia="仿宋"/>
          <w:sz w:val="28"/>
          <w:szCs w:val="28"/>
        </w:rPr>
        <w:t>14.2对于采用货币报价的项目，开标一览表中的投标总报价应与投标分项报价表中的投标总报价一致，如不一致，不作为无效投标处理，但评标时按开标一览表中价格为准。</w:t>
      </w:r>
    </w:p>
    <w:bookmarkEnd w:id="9"/>
    <w:bookmarkEnd w:id="10"/>
    <w:p w14:paraId="2D87E80B">
      <w:pPr>
        <w:spacing w:line="520" w:lineRule="exact"/>
        <w:rPr>
          <w:rFonts w:hint="eastAsia" w:ascii="仿宋" w:hAnsi="仿宋" w:eastAsia="仿宋"/>
          <w:sz w:val="28"/>
          <w:szCs w:val="28"/>
        </w:rPr>
      </w:pPr>
      <w:bookmarkStart w:id="11" w:name="_Toc14577360"/>
      <w:bookmarkStart w:id="12" w:name="_Toc49090511"/>
      <w:r>
        <w:rPr>
          <w:rFonts w:hint="eastAsia" w:ascii="仿宋" w:hAnsi="仿宋" w:eastAsia="仿宋"/>
          <w:sz w:val="28"/>
          <w:szCs w:val="28"/>
        </w:rPr>
        <w:t>15.投标有效期</w:t>
      </w:r>
      <w:bookmarkEnd w:id="11"/>
      <w:bookmarkEnd w:id="12"/>
    </w:p>
    <w:p w14:paraId="5B35061A">
      <w:pPr>
        <w:spacing w:line="520" w:lineRule="exact"/>
        <w:ind w:firstLine="560"/>
        <w:rPr>
          <w:rFonts w:hint="eastAsia" w:ascii="仿宋" w:hAnsi="仿宋" w:eastAsia="仿宋"/>
          <w:sz w:val="28"/>
          <w:szCs w:val="28"/>
        </w:rPr>
      </w:pPr>
      <w:r>
        <w:rPr>
          <w:rFonts w:hint="eastAsia" w:ascii="仿宋" w:hAnsi="仿宋" w:eastAsia="仿宋"/>
          <w:sz w:val="28"/>
          <w:szCs w:val="28"/>
        </w:rPr>
        <w:t>15.1投标有效期为采购代理机构规定的开标之日后九十（90）天。投标有效期比规定短的将被视为未实质性响应招标文件而予以拒绝。</w:t>
      </w:r>
    </w:p>
    <w:p w14:paraId="7FF0E007">
      <w:pPr>
        <w:spacing w:line="520" w:lineRule="exact"/>
        <w:rPr>
          <w:rFonts w:hint="eastAsia" w:ascii="仿宋" w:hAnsi="仿宋" w:eastAsia="仿宋"/>
          <w:sz w:val="28"/>
          <w:szCs w:val="28"/>
        </w:rPr>
      </w:pPr>
      <w:r>
        <w:rPr>
          <w:rFonts w:hint="eastAsia" w:ascii="仿宋" w:hAnsi="仿宋" w:eastAsia="仿宋"/>
          <w:sz w:val="28"/>
          <w:szCs w:val="28"/>
        </w:rPr>
        <w:t>16.投标有效期的延长</w:t>
      </w:r>
    </w:p>
    <w:p w14:paraId="6A64D115">
      <w:pPr>
        <w:spacing w:line="520" w:lineRule="exact"/>
        <w:ind w:firstLine="560"/>
        <w:rPr>
          <w:rFonts w:hint="eastAsia" w:ascii="仿宋" w:hAnsi="仿宋" w:eastAsia="仿宋"/>
          <w:sz w:val="28"/>
          <w:szCs w:val="28"/>
        </w:rPr>
      </w:pPr>
      <w:r>
        <w:rPr>
          <w:rFonts w:hint="eastAsia" w:ascii="仿宋" w:hAnsi="仿宋" w:eastAsia="仿宋"/>
          <w:sz w:val="28"/>
          <w:szCs w:val="28"/>
        </w:rPr>
        <w:t>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1D659D5">
      <w:pPr>
        <w:spacing w:line="520" w:lineRule="exact"/>
        <w:rPr>
          <w:rFonts w:hint="eastAsia" w:ascii="仿宋" w:hAnsi="仿宋" w:eastAsia="仿宋"/>
          <w:bCs/>
          <w:sz w:val="28"/>
          <w:szCs w:val="28"/>
        </w:rPr>
      </w:pPr>
      <w:r>
        <w:rPr>
          <w:rFonts w:hint="eastAsia" w:ascii="仿宋" w:hAnsi="仿宋" w:eastAsia="仿宋"/>
          <w:bCs/>
          <w:sz w:val="28"/>
          <w:szCs w:val="28"/>
        </w:rPr>
        <w:t>17.方案部分</w:t>
      </w:r>
    </w:p>
    <w:p w14:paraId="05618BF5">
      <w:pPr>
        <w:spacing w:line="520" w:lineRule="exact"/>
        <w:ind w:firstLine="560"/>
        <w:rPr>
          <w:rFonts w:hint="eastAsia" w:ascii="仿宋" w:hAnsi="仿宋" w:eastAsia="仿宋"/>
          <w:bCs/>
          <w:sz w:val="28"/>
          <w:szCs w:val="28"/>
        </w:rPr>
      </w:pPr>
      <w:r>
        <w:rPr>
          <w:rFonts w:hint="eastAsia" w:ascii="仿宋" w:hAnsi="仿宋" w:eastAsia="仿宋"/>
          <w:bCs/>
          <w:sz w:val="28"/>
          <w:szCs w:val="28"/>
        </w:rPr>
        <w:t>17.1本项目评标标准中的方案部分</w:t>
      </w:r>
      <w:r>
        <w:rPr>
          <w:rFonts w:hint="eastAsia" w:ascii="仿宋" w:hAnsi="仿宋" w:eastAsia="仿宋"/>
          <w:b/>
          <w:sz w:val="28"/>
          <w:szCs w:val="28"/>
        </w:rPr>
        <w:t>不采用暗标方式</w:t>
      </w:r>
      <w:r>
        <w:rPr>
          <w:rFonts w:hint="eastAsia" w:ascii="仿宋" w:hAnsi="仿宋" w:eastAsia="仿宋"/>
          <w:bCs/>
          <w:sz w:val="28"/>
          <w:szCs w:val="28"/>
        </w:rPr>
        <w:t>进行评审。</w:t>
      </w:r>
    </w:p>
    <w:p w14:paraId="6BB33523">
      <w:pPr>
        <w:spacing w:line="520" w:lineRule="exact"/>
        <w:ind w:firstLine="560"/>
        <w:rPr>
          <w:rFonts w:hint="eastAsia" w:ascii="仿宋" w:hAnsi="仿宋" w:eastAsia="仿宋" w:cs="Times New Roman"/>
          <w:bCs/>
          <w:sz w:val="28"/>
          <w:szCs w:val="28"/>
        </w:rPr>
      </w:pPr>
      <w:r>
        <w:rPr>
          <w:rFonts w:hint="eastAsia" w:ascii="仿宋" w:hAnsi="仿宋" w:eastAsia="仿宋" w:cs="Times New Roman"/>
          <w:bCs/>
          <w:sz w:val="28"/>
          <w:szCs w:val="28"/>
        </w:rPr>
        <w:t>17.2方案部分采用暗标方式进行评审的编制要求：</w:t>
      </w:r>
    </w:p>
    <w:p w14:paraId="0946FEF5">
      <w:pPr>
        <w:spacing w:line="520" w:lineRule="exact"/>
        <w:ind w:firstLine="560"/>
        <w:rPr>
          <w:rFonts w:hint="eastAsia" w:ascii="仿宋" w:hAnsi="仿宋" w:eastAsia="仿宋" w:cs="Times New Roman"/>
          <w:bCs/>
          <w:sz w:val="28"/>
          <w:szCs w:val="28"/>
        </w:rPr>
      </w:pPr>
      <w:r>
        <w:rPr>
          <w:rFonts w:hint="eastAsia" w:ascii="仿宋" w:hAnsi="仿宋" w:eastAsia="仿宋" w:cs="Times New Roman"/>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Times New Roman"/>
          <w:bCs/>
          <w:sz w:val="28"/>
          <w:szCs w:val="28"/>
          <w:lang w:val="en-US" w:eastAsia="zh-CN"/>
        </w:rPr>
        <w:t>投标人</w:t>
      </w:r>
      <w:r>
        <w:rPr>
          <w:rFonts w:hint="eastAsia" w:ascii="仿宋" w:hAnsi="仿宋" w:eastAsia="仿宋" w:cs="Times New Roman"/>
          <w:bCs/>
          <w:sz w:val="28"/>
          <w:szCs w:val="28"/>
        </w:rPr>
        <w:t>方案部分能够正常显示的，即视为“苏采云”系统方案部分暗标功能运行无故障。</w:t>
      </w:r>
    </w:p>
    <w:p w14:paraId="088BD9D2">
      <w:pPr>
        <w:spacing w:line="520" w:lineRule="exact"/>
        <w:ind w:firstLine="560"/>
        <w:rPr>
          <w:rFonts w:hint="eastAsia" w:ascii="仿宋" w:hAnsi="仿宋" w:eastAsia="仿宋"/>
          <w:b/>
          <w:sz w:val="32"/>
          <w:szCs w:val="32"/>
        </w:rPr>
      </w:pPr>
      <w:r>
        <w:rPr>
          <w:rFonts w:hint="eastAsia" w:ascii="仿宋" w:hAnsi="仿宋" w:eastAsia="仿宋" w:cs="Times New Roman"/>
          <w:bCs/>
          <w:sz w:val="28"/>
          <w:szCs w:val="28"/>
        </w:rPr>
        <w:t>17.3</w:t>
      </w:r>
      <w:r>
        <w:rPr>
          <w:rFonts w:hint="eastAsia" w:ascii="仿宋" w:hAnsi="仿宋" w:eastAsia="仿宋" w:cs="Times New Roman"/>
          <w:bCs/>
          <w:sz w:val="28"/>
          <w:szCs w:val="28"/>
          <w:lang w:val="en-US" w:eastAsia="zh-CN"/>
        </w:rPr>
        <w:t>投标人</w:t>
      </w:r>
      <w:r>
        <w:rPr>
          <w:rFonts w:hint="eastAsia" w:ascii="仿宋" w:hAnsi="仿宋" w:eastAsia="仿宋" w:cs="Times New Roman"/>
          <w:bCs/>
          <w:sz w:val="28"/>
          <w:szCs w:val="28"/>
        </w:rPr>
        <w:t>应按第17.2的要求编制方案，经三分之二评委认定，</w:t>
      </w:r>
      <w:r>
        <w:rPr>
          <w:rFonts w:hint="eastAsia" w:ascii="仿宋" w:hAnsi="仿宋" w:eastAsia="仿宋" w:cs="Times New Roman"/>
          <w:bCs/>
          <w:sz w:val="28"/>
          <w:szCs w:val="28"/>
          <w:lang w:val="en-US" w:eastAsia="zh-CN"/>
        </w:rPr>
        <w:t>投标人</w:t>
      </w:r>
      <w:r>
        <w:rPr>
          <w:rFonts w:hint="eastAsia" w:ascii="仿宋" w:hAnsi="仿宋" w:eastAsia="仿宋" w:cs="Times New Roman"/>
          <w:bCs/>
          <w:sz w:val="28"/>
          <w:szCs w:val="28"/>
        </w:rPr>
        <w:t>未按第17.2的要求编制方案的，按未提供方案处理。</w:t>
      </w:r>
    </w:p>
    <w:p w14:paraId="7CF6AE44">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66516166">
      <w:pPr>
        <w:spacing w:line="520" w:lineRule="exact"/>
        <w:rPr>
          <w:rFonts w:hint="eastAsia" w:ascii="仿宋" w:hAnsi="仿宋" w:eastAsia="仿宋"/>
          <w:sz w:val="28"/>
          <w:szCs w:val="28"/>
        </w:rPr>
      </w:pPr>
      <w:bookmarkStart w:id="13" w:name="_Toc162083530"/>
      <w:r>
        <w:rPr>
          <w:rFonts w:hint="eastAsia" w:ascii="仿宋" w:hAnsi="仿宋" w:eastAsia="仿宋"/>
          <w:sz w:val="28"/>
          <w:szCs w:val="28"/>
        </w:rPr>
        <w:t>18.投标文件的上传</w:t>
      </w:r>
    </w:p>
    <w:p w14:paraId="721CF42B">
      <w:pPr>
        <w:spacing w:line="520" w:lineRule="exact"/>
        <w:ind w:firstLine="560"/>
        <w:rPr>
          <w:rFonts w:hint="eastAsia" w:ascii="仿宋" w:hAnsi="仿宋" w:eastAsia="仿宋"/>
          <w:sz w:val="28"/>
          <w:szCs w:val="28"/>
        </w:rPr>
      </w:pPr>
      <w:r>
        <w:rPr>
          <w:rFonts w:hint="eastAsia" w:ascii="仿宋" w:hAnsi="仿宋" w:eastAsia="仿宋"/>
          <w:sz w:val="28"/>
          <w:szCs w:val="28"/>
        </w:rPr>
        <w:t>18.1投标人应当按照《操作手册》规定，在投标截止时间前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33BCDB9F">
      <w:pPr>
        <w:spacing w:line="520" w:lineRule="exact"/>
        <w:ind w:firstLine="560"/>
        <w:rPr>
          <w:rFonts w:hint="eastAsia" w:ascii="仿宋" w:hAnsi="仿宋" w:eastAsia="仿宋" w:cs="宋体"/>
          <w:bCs/>
          <w:sz w:val="28"/>
          <w:szCs w:val="28"/>
          <w:lang w:val="zh-CN"/>
        </w:rPr>
      </w:pPr>
      <w:r>
        <w:rPr>
          <w:rFonts w:hint="eastAsia" w:ascii="仿宋" w:hAnsi="仿宋" w:eastAsia="仿宋"/>
          <w:sz w:val="28"/>
          <w:szCs w:val="28"/>
        </w:rPr>
        <w:t>18.2投标人上传的电子投标文件内容不清楚或不清晰的（含扫描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79F63F48">
      <w:pPr>
        <w:spacing w:line="520" w:lineRule="exact"/>
        <w:ind w:firstLine="560"/>
        <w:rPr>
          <w:rFonts w:hint="eastAsia" w:ascii="仿宋" w:hAnsi="仿宋" w:eastAsia="仿宋"/>
          <w:sz w:val="28"/>
          <w:szCs w:val="28"/>
        </w:rPr>
      </w:pPr>
      <w:r>
        <w:rPr>
          <w:rFonts w:hint="eastAsia" w:ascii="仿宋" w:hAnsi="仿宋" w:eastAsia="仿宋"/>
          <w:sz w:val="28"/>
          <w:szCs w:val="28"/>
        </w:rPr>
        <w:t>18.3投标人上传电子投标文件的时间不得迟于投标邀请中规定的截止时间。</w:t>
      </w:r>
    </w:p>
    <w:p w14:paraId="09A216E0">
      <w:pPr>
        <w:spacing w:line="520" w:lineRule="exact"/>
        <w:ind w:firstLine="560"/>
        <w:rPr>
          <w:rFonts w:hint="eastAsia" w:ascii="仿宋" w:hAnsi="仿宋" w:eastAsia="仿宋"/>
          <w:sz w:val="28"/>
          <w:szCs w:val="28"/>
        </w:rPr>
      </w:pPr>
      <w:r>
        <w:rPr>
          <w:rFonts w:hint="eastAsia" w:ascii="仿宋" w:hAnsi="仿宋" w:eastAsia="仿宋"/>
          <w:sz w:val="28"/>
          <w:szCs w:val="28"/>
        </w:rPr>
        <w:t>18.4采购代理机构可以按第7条规定，通过修改招标文件有权酌情延长投标文件接收截止时间。在此情况下，投标人的所有权利和义务以及投标人受制约的截止日期均应以延长后新的截止日期为准。</w:t>
      </w:r>
    </w:p>
    <w:p w14:paraId="44804012">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069C0CBD">
      <w:pPr>
        <w:spacing w:line="520" w:lineRule="exact"/>
        <w:ind w:firstLine="560"/>
        <w:rPr>
          <w:rFonts w:hint="eastAsia" w:ascii="仿宋" w:hAnsi="仿宋" w:eastAsia="仿宋"/>
          <w:sz w:val="28"/>
          <w:szCs w:val="28"/>
        </w:rPr>
      </w:pPr>
      <w:r>
        <w:rPr>
          <w:rFonts w:hint="eastAsia" w:ascii="仿宋" w:hAnsi="仿宋" w:eastAsia="仿宋"/>
          <w:sz w:val="28"/>
          <w:szCs w:val="28"/>
        </w:rPr>
        <w:t>19.1在招标文件规定的提交投标文件截止时间后上传的电子投标文件。</w:t>
      </w:r>
    </w:p>
    <w:p w14:paraId="02C010E9">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1DDEC594">
      <w:pPr>
        <w:spacing w:line="520" w:lineRule="exact"/>
        <w:ind w:firstLine="560"/>
        <w:rPr>
          <w:rFonts w:hint="eastAsia" w:ascii="仿宋" w:hAnsi="仿宋" w:eastAsia="仿宋"/>
          <w:sz w:val="28"/>
          <w:szCs w:val="28"/>
        </w:rPr>
      </w:pPr>
      <w:r>
        <w:rPr>
          <w:rFonts w:hint="eastAsia" w:ascii="仿宋" w:hAnsi="仿宋" w:eastAsia="仿宋"/>
          <w:sz w:val="28"/>
          <w:szCs w:val="28"/>
        </w:rPr>
        <w:t>20.1投标人在上传电子投标文件后可以对其修改或撤回，但这种修改和撤回，必须在规定的开标时间之前，具体操作方法见《操作手册》。</w:t>
      </w:r>
    </w:p>
    <w:p w14:paraId="7B233280">
      <w:pPr>
        <w:spacing w:line="520" w:lineRule="exact"/>
        <w:ind w:firstLine="560"/>
        <w:rPr>
          <w:rFonts w:hint="eastAsia" w:ascii="仿宋" w:hAnsi="仿宋" w:eastAsia="仿宋"/>
          <w:sz w:val="28"/>
          <w:szCs w:val="28"/>
        </w:rPr>
      </w:pPr>
      <w:r>
        <w:rPr>
          <w:rFonts w:hint="eastAsia" w:ascii="仿宋" w:hAnsi="仿宋" w:eastAsia="仿宋"/>
          <w:sz w:val="28"/>
          <w:szCs w:val="28"/>
        </w:rPr>
        <w:t>20.2投标人不得在开标时间以后修改电子投标文件。</w:t>
      </w:r>
    </w:p>
    <w:p w14:paraId="2B9A27BA">
      <w:pPr>
        <w:spacing w:line="520" w:lineRule="exact"/>
        <w:ind w:firstLine="560"/>
        <w:rPr>
          <w:rFonts w:hint="eastAsia" w:ascii="仿宋" w:hAnsi="仿宋" w:eastAsia="仿宋"/>
          <w:sz w:val="28"/>
          <w:szCs w:val="28"/>
        </w:rPr>
      </w:pPr>
      <w:r>
        <w:rPr>
          <w:rFonts w:hint="eastAsia" w:ascii="仿宋" w:hAnsi="仿宋" w:eastAsia="仿宋"/>
          <w:sz w:val="28"/>
          <w:szCs w:val="28"/>
        </w:rPr>
        <w:t>20.3投标人不得在提交电子投标文件截止时间起至投标有效期满前撤回电子投标文件。</w:t>
      </w:r>
    </w:p>
    <w:p w14:paraId="529A400A">
      <w:pPr>
        <w:spacing w:line="520" w:lineRule="exact"/>
        <w:rPr>
          <w:rFonts w:hint="eastAsia" w:ascii="仿宋" w:hAnsi="仿宋" w:eastAsia="仿宋"/>
          <w:b/>
          <w:sz w:val="32"/>
          <w:szCs w:val="32"/>
        </w:rPr>
      </w:pPr>
      <w:r>
        <w:rPr>
          <w:rFonts w:hint="eastAsia" w:ascii="仿宋" w:hAnsi="仿宋" w:eastAsia="仿宋"/>
          <w:b/>
          <w:sz w:val="32"/>
          <w:szCs w:val="32"/>
        </w:rPr>
        <w:t>五、开标及评标</w:t>
      </w:r>
    </w:p>
    <w:bookmarkEnd w:id="13"/>
    <w:p w14:paraId="4BABA502">
      <w:pPr>
        <w:spacing w:line="520" w:lineRule="exact"/>
        <w:rPr>
          <w:rFonts w:hint="eastAsia" w:ascii="仿宋" w:hAnsi="仿宋" w:eastAsia="仿宋"/>
          <w:sz w:val="28"/>
          <w:szCs w:val="28"/>
        </w:rPr>
      </w:pPr>
      <w:bookmarkStart w:id="14" w:name="_Toc513029230"/>
      <w:bookmarkStart w:id="15" w:name="_Toc20823302"/>
      <w:bookmarkStart w:id="16" w:name="_Toc16938546"/>
      <w:r>
        <w:rPr>
          <w:rFonts w:hint="eastAsia" w:ascii="仿宋" w:hAnsi="仿宋" w:eastAsia="仿宋"/>
          <w:sz w:val="28"/>
          <w:szCs w:val="28"/>
        </w:rPr>
        <w:t>21.开标</w:t>
      </w:r>
      <w:bookmarkEnd w:id="14"/>
      <w:bookmarkEnd w:id="15"/>
      <w:bookmarkEnd w:id="16"/>
    </w:p>
    <w:p w14:paraId="45F368E4">
      <w:pPr>
        <w:spacing w:line="520" w:lineRule="exact"/>
        <w:ind w:firstLine="560"/>
        <w:rPr>
          <w:rFonts w:hint="eastAsia" w:ascii="仿宋" w:hAnsi="仿宋" w:eastAsia="仿宋"/>
          <w:sz w:val="28"/>
          <w:szCs w:val="28"/>
        </w:rPr>
      </w:pPr>
      <w:r>
        <w:rPr>
          <w:rFonts w:hint="eastAsia" w:ascii="仿宋" w:hAnsi="仿宋" w:eastAsia="仿宋"/>
          <w:sz w:val="28"/>
          <w:szCs w:val="28"/>
        </w:rPr>
        <w:t>21.1采购代理机构将在招标公告中规定的时间和地点组织公开开标。投标人应当按照《操作手册》规定，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0CF78BB5">
      <w:pPr>
        <w:spacing w:line="520" w:lineRule="exact"/>
        <w:ind w:firstLine="560"/>
        <w:rPr>
          <w:rFonts w:hint="eastAsia" w:ascii="仿宋" w:hAnsi="仿宋" w:eastAsia="仿宋"/>
          <w:sz w:val="28"/>
          <w:szCs w:val="28"/>
        </w:rPr>
      </w:pPr>
      <w:r>
        <w:rPr>
          <w:rFonts w:hint="eastAsia" w:ascii="仿宋" w:hAnsi="仿宋" w:eastAsia="仿宋"/>
          <w:sz w:val="28"/>
          <w:szCs w:val="28"/>
        </w:rPr>
        <w:t>21.2开标仪式由采购人委托的采购代理机构组织。苏采云系统将自动对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1FD43DD1">
      <w:pPr>
        <w:spacing w:line="520" w:lineRule="exact"/>
        <w:ind w:firstLine="560"/>
        <w:rPr>
          <w:rFonts w:hint="eastAsia" w:ascii="仿宋" w:hAnsi="仿宋" w:eastAsia="仿宋"/>
          <w:sz w:val="28"/>
          <w:szCs w:val="28"/>
        </w:rPr>
      </w:pPr>
      <w:r>
        <w:rPr>
          <w:rFonts w:hint="eastAsia" w:ascii="仿宋" w:hAnsi="仿宋" w:eastAsia="仿宋"/>
          <w:sz w:val="28"/>
          <w:szCs w:val="28"/>
        </w:rPr>
        <w:t>21.3投标人在开标过程中</w:t>
      </w:r>
      <w:r>
        <w:rPr>
          <w:rFonts w:hint="eastAsia" w:ascii="仿宋" w:hAnsi="仿宋" w:eastAsia="仿宋"/>
          <w:sz w:val="28"/>
          <w:szCs w:val="28"/>
          <w:lang w:eastAsia="zh-CN"/>
        </w:rPr>
        <w:t>涉及</w:t>
      </w:r>
      <w:r>
        <w:rPr>
          <w:rFonts w:hint="eastAsia" w:ascii="仿宋" w:hAnsi="仿宋" w:eastAsia="仿宋"/>
          <w:sz w:val="28"/>
          <w:szCs w:val="28"/>
        </w:rPr>
        <w:t>的投标文件解密、开标结果确认等工作，应按照《操作手册》规定执行。</w:t>
      </w:r>
    </w:p>
    <w:p w14:paraId="5F9FA7EB">
      <w:pPr>
        <w:spacing w:line="520" w:lineRule="exact"/>
        <w:ind w:firstLine="560"/>
        <w:rPr>
          <w:rFonts w:hint="eastAsia" w:ascii="仿宋" w:hAnsi="仿宋" w:eastAsia="仿宋"/>
          <w:sz w:val="28"/>
          <w:szCs w:val="28"/>
        </w:rPr>
      </w:pPr>
      <w:r>
        <w:rPr>
          <w:rFonts w:hint="eastAsia" w:ascii="仿宋" w:hAnsi="仿宋" w:eastAsia="仿宋"/>
          <w:sz w:val="28"/>
          <w:szCs w:val="28"/>
        </w:rPr>
        <w:t>21.4投标人如果对开标过程和开标记录有疑义，应当根据《操作手册》规定提出，如苏采云系统中《开标记录表》宣布后</w:t>
      </w:r>
      <w:r>
        <w:rPr>
          <w:rFonts w:hint="eastAsia" w:ascii="仿宋" w:hAnsi="仿宋" w:eastAsia="仿宋"/>
          <w:b/>
          <w:bCs/>
          <w:sz w:val="28"/>
          <w:szCs w:val="28"/>
        </w:rPr>
        <w:t>5分钟</w:t>
      </w:r>
      <w:r>
        <w:rPr>
          <w:rFonts w:hint="eastAsia" w:ascii="仿宋" w:hAnsi="仿宋" w:eastAsia="仿宋"/>
          <w:sz w:val="28"/>
          <w:szCs w:val="28"/>
        </w:rPr>
        <w:t>内未提出的，视同认可开标结果。</w:t>
      </w:r>
    </w:p>
    <w:p w14:paraId="6CCBF8BB">
      <w:pPr>
        <w:spacing w:line="520" w:lineRule="exact"/>
        <w:rPr>
          <w:rFonts w:hint="eastAsia" w:ascii="仿宋" w:hAnsi="仿宋" w:eastAsia="仿宋"/>
          <w:sz w:val="28"/>
          <w:szCs w:val="28"/>
        </w:rPr>
      </w:pPr>
      <w:bookmarkStart w:id="17" w:name="_Toc16938547"/>
      <w:bookmarkStart w:id="18" w:name="_Toc20823303"/>
      <w:bookmarkStart w:id="19" w:name="_Toc513029231"/>
      <w:r>
        <w:rPr>
          <w:rFonts w:hint="eastAsia" w:ascii="仿宋" w:hAnsi="仿宋" w:eastAsia="仿宋"/>
          <w:sz w:val="28"/>
          <w:szCs w:val="28"/>
        </w:rPr>
        <w:t>22.评标委员会</w:t>
      </w:r>
    </w:p>
    <w:p w14:paraId="5CB9FCAC">
      <w:pPr>
        <w:spacing w:line="520" w:lineRule="exact"/>
        <w:ind w:firstLine="560"/>
        <w:rPr>
          <w:rFonts w:hint="eastAsia" w:ascii="仿宋" w:hAnsi="仿宋" w:eastAsia="仿宋"/>
          <w:sz w:val="28"/>
          <w:szCs w:val="28"/>
        </w:rPr>
      </w:pPr>
      <w:r>
        <w:rPr>
          <w:rFonts w:hint="eastAsia" w:ascii="仿宋" w:hAnsi="仿宋" w:eastAsia="仿宋"/>
          <w:sz w:val="28"/>
          <w:szCs w:val="28"/>
        </w:rPr>
        <w:t>22.1开标后，采购代理机构将立即组织评标委员会（以下简称评委会）进行评标。</w:t>
      </w:r>
    </w:p>
    <w:p w14:paraId="6686503D">
      <w:pPr>
        <w:spacing w:line="520" w:lineRule="exact"/>
        <w:rPr>
          <w:rFonts w:hint="eastAsia" w:ascii="仿宋" w:hAnsi="仿宋" w:eastAsia="仿宋"/>
          <w:sz w:val="28"/>
          <w:szCs w:val="28"/>
        </w:rPr>
      </w:pPr>
      <w:r>
        <w:rPr>
          <w:rFonts w:hint="eastAsia" w:ascii="仿宋" w:hAnsi="仿宋" w:eastAsia="仿宋"/>
          <w:sz w:val="28"/>
          <w:szCs w:val="28"/>
        </w:rPr>
        <w:t>22.2评委会由采购人代表和有关技术、经济等方面的专家组成，且人员构成符合政府采购有关规定。</w:t>
      </w:r>
    </w:p>
    <w:p w14:paraId="6121F0CF">
      <w:pPr>
        <w:spacing w:line="520" w:lineRule="exact"/>
        <w:ind w:firstLine="280"/>
        <w:rPr>
          <w:rFonts w:hint="eastAsia" w:ascii="仿宋" w:hAnsi="仿宋" w:eastAsia="仿宋"/>
          <w:sz w:val="28"/>
          <w:szCs w:val="28"/>
        </w:rPr>
      </w:pPr>
      <w:r>
        <w:rPr>
          <w:rFonts w:hint="eastAsia" w:ascii="仿宋" w:hAnsi="仿宋" w:eastAsia="仿宋"/>
          <w:sz w:val="28"/>
          <w:szCs w:val="28"/>
        </w:rPr>
        <w:t>22.3评委会独立工作，负责评审所有投标文件并确定中标候选人。</w:t>
      </w:r>
    </w:p>
    <w:p w14:paraId="600EDBBD">
      <w:pPr>
        <w:spacing w:line="520" w:lineRule="exact"/>
        <w:rPr>
          <w:rFonts w:hint="eastAsia" w:ascii="仿宋" w:hAnsi="仿宋" w:eastAsia="仿宋"/>
          <w:sz w:val="28"/>
          <w:szCs w:val="28"/>
        </w:rPr>
      </w:pPr>
      <w:r>
        <w:rPr>
          <w:rFonts w:hint="eastAsia" w:ascii="仿宋" w:hAnsi="仿宋" w:eastAsia="仿宋"/>
          <w:sz w:val="28"/>
          <w:szCs w:val="28"/>
          <w:lang w:eastAsia="zh-CN"/>
        </w:rPr>
        <w:t>23.</w:t>
      </w:r>
      <w:r>
        <w:rPr>
          <w:rFonts w:hint="eastAsia" w:ascii="仿宋" w:hAnsi="仿宋" w:eastAsia="仿宋"/>
          <w:sz w:val="28"/>
          <w:szCs w:val="28"/>
        </w:rPr>
        <w:t>评标过程的保密与公正</w:t>
      </w:r>
      <w:bookmarkEnd w:id="17"/>
      <w:bookmarkEnd w:id="18"/>
      <w:bookmarkEnd w:id="19"/>
    </w:p>
    <w:p w14:paraId="31F02B84">
      <w:pPr>
        <w:spacing w:line="520" w:lineRule="exact"/>
        <w:ind w:firstLine="560"/>
        <w:rPr>
          <w:rFonts w:hint="eastAsia" w:ascii="仿宋" w:hAnsi="仿宋" w:eastAsia="仿宋"/>
          <w:sz w:val="28"/>
          <w:szCs w:val="28"/>
        </w:rPr>
      </w:pPr>
      <w:r>
        <w:rPr>
          <w:rFonts w:hint="eastAsia" w:ascii="仿宋" w:hAnsi="仿宋" w:eastAsia="仿宋"/>
          <w:sz w:val="28"/>
          <w:szCs w:val="28"/>
        </w:rPr>
        <w:t>23.1凡是与审查、澄清、评价和比较投标的有关资料以及授标建议等，采购人、评委、采购代理机构均不得向投标人或与评标无关的其他人员透露。</w:t>
      </w:r>
    </w:p>
    <w:p w14:paraId="2A860D8B">
      <w:pPr>
        <w:spacing w:line="520" w:lineRule="exact"/>
        <w:ind w:firstLine="560"/>
        <w:rPr>
          <w:rFonts w:hint="eastAsia" w:ascii="仿宋" w:hAnsi="仿宋" w:eastAsia="仿宋"/>
          <w:sz w:val="28"/>
          <w:szCs w:val="28"/>
        </w:rPr>
      </w:pPr>
      <w:r>
        <w:rPr>
          <w:rFonts w:hint="eastAsia" w:ascii="仿宋" w:hAnsi="仿宋" w:eastAsia="仿宋"/>
          <w:sz w:val="28"/>
          <w:szCs w:val="28"/>
        </w:rPr>
        <w:t>23.2在评标过程中，投标人不得以任何行为影响评标过程，否则其投标文件将被作为无效投标文件。</w:t>
      </w:r>
    </w:p>
    <w:p w14:paraId="5EB24B8C">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采购人或其委托的采购代理机构和评标委员会不向未中标的投标人解释未中标原因，也不公布评标过程中的相关细节。</w:t>
      </w:r>
    </w:p>
    <w:p w14:paraId="36FB8386">
      <w:pPr>
        <w:spacing w:line="520" w:lineRule="exact"/>
        <w:ind w:firstLine="560"/>
        <w:rPr>
          <w:rFonts w:hint="eastAsia"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采用综合评分法的项目，未中标的投标人可于中标结果公告期限届满之日起通过苏采云系统查看自己的评审得分及排序情况。</w:t>
      </w:r>
    </w:p>
    <w:p w14:paraId="3C05CBB3">
      <w:pPr>
        <w:spacing w:line="520" w:lineRule="exact"/>
        <w:rPr>
          <w:rFonts w:hint="eastAsia" w:ascii="仿宋" w:hAnsi="仿宋" w:eastAsia="仿宋"/>
          <w:sz w:val="28"/>
          <w:szCs w:val="28"/>
        </w:rPr>
      </w:pPr>
      <w:bookmarkStart w:id="20" w:name="_Toc20823304"/>
      <w:bookmarkStart w:id="21" w:name="_Toc16938548"/>
      <w:bookmarkStart w:id="22" w:name="_Toc513029232"/>
      <w:r>
        <w:rPr>
          <w:rFonts w:hint="eastAsia" w:ascii="仿宋" w:hAnsi="仿宋" w:eastAsia="仿宋"/>
          <w:sz w:val="28"/>
          <w:szCs w:val="28"/>
          <w:lang w:eastAsia="zh-CN"/>
        </w:rPr>
        <w:t>24.</w:t>
      </w:r>
      <w:r>
        <w:rPr>
          <w:rFonts w:hint="eastAsia" w:ascii="仿宋" w:hAnsi="仿宋" w:eastAsia="仿宋"/>
          <w:sz w:val="28"/>
          <w:szCs w:val="28"/>
        </w:rPr>
        <w:t>投标文件的澄清</w:t>
      </w:r>
      <w:bookmarkEnd w:id="20"/>
      <w:bookmarkEnd w:id="21"/>
      <w:bookmarkEnd w:id="22"/>
    </w:p>
    <w:p w14:paraId="5E62586C">
      <w:pPr>
        <w:spacing w:line="520" w:lineRule="exact"/>
        <w:ind w:firstLine="560"/>
        <w:rPr>
          <w:rFonts w:hint="eastAsia" w:ascii="仿宋" w:hAnsi="仿宋" w:eastAsia="仿宋"/>
          <w:sz w:val="28"/>
          <w:szCs w:val="28"/>
        </w:rPr>
      </w:pPr>
      <w:bookmarkStart w:id="23" w:name="_Toc20823305"/>
      <w:bookmarkStart w:id="24" w:name="_Toc513029233"/>
      <w:bookmarkStart w:id="25" w:name="_Toc16938549"/>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评标期间，评委会对投标文件中含义不明确、同类问题表述不一致或者有明显文字和计算错误的内容，有权要求投标人作出必要的澄清、说明或者补正。</w:t>
      </w:r>
    </w:p>
    <w:p w14:paraId="1914CE33">
      <w:pPr>
        <w:spacing w:line="520" w:lineRule="exact"/>
        <w:ind w:firstLine="560"/>
        <w:rPr>
          <w:rFonts w:hint="eastAsia"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07EEDB64">
      <w:pPr>
        <w:spacing w:line="520" w:lineRule="exact"/>
        <w:ind w:firstLine="560"/>
        <w:rPr>
          <w:rFonts w:hint="eastAsia" w:ascii="仿宋" w:hAnsi="仿宋" w:eastAsia="仿宋"/>
          <w:sz w:val="28"/>
          <w:szCs w:val="28"/>
        </w:rPr>
      </w:pPr>
      <w:r>
        <w:rPr>
          <w:rFonts w:hint="eastAsia" w:ascii="仿宋" w:hAnsi="仿宋" w:eastAsia="仿宋"/>
          <w:sz w:val="28"/>
          <w:szCs w:val="28"/>
        </w:rPr>
        <w:t>评标</w:t>
      </w:r>
      <w:r>
        <w:rPr>
          <w:rFonts w:ascii="仿宋" w:hAnsi="仿宋" w:eastAsia="仿宋"/>
          <w:sz w:val="28"/>
          <w:szCs w:val="28"/>
        </w:rPr>
        <w:t>委员会并非对每个投标人都做澄清要求</w:t>
      </w:r>
      <w:r>
        <w:rPr>
          <w:rFonts w:hint="eastAsia" w:ascii="仿宋" w:hAnsi="仿宋" w:eastAsia="仿宋"/>
          <w:sz w:val="28"/>
          <w:szCs w:val="28"/>
        </w:rPr>
        <w:t>。</w:t>
      </w:r>
    </w:p>
    <w:p w14:paraId="283A273B">
      <w:pPr>
        <w:spacing w:line="520" w:lineRule="exact"/>
        <w:ind w:firstLine="560"/>
        <w:rPr>
          <w:rFonts w:hint="eastAsia" w:ascii="仿宋" w:hAnsi="仿宋" w:eastAsia="仿宋"/>
          <w:sz w:val="28"/>
          <w:szCs w:val="28"/>
        </w:rPr>
      </w:pPr>
      <w:r>
        <w:rPr>
          <w:rFonts w:hint="eastAsia" w:ascii="仿宋" w:hAnsi="仿宋" w:eastAsia="仿宋"/>
          <w:sz w:val="28"/>
          <w:szCs w:val="28"/>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22E9B264">
      <w:pPr>
        <w:spacing w:line="520" w:lineRule="exact"/>
        <w:ind w:firstLine="560"/>
        <w:rPr>
          <w:rFonts w:hint="eastAsia" w:ascii="仿宋" w:hAnsi="仿宋" w:eastAsia="仿宋"/>
          <w:sz w:val="28"/>
          <w:szCs w:val="28"/>
        </w:rPr>
      </w:pPr>
      <w:r>
        <w:rPr>
          <w:rFonts w:hint="eastAsia" w:ascii="仿宋" w:hAnsi="仿宋" w:eastAsia="仿宋"/>
          <w:sz w:val="28"/>
          <w:szCs w:val="28"/>
        </w:rPr>
        <w:t>24.3接到评委会澄清、说明和补正要求的投标人如未按规定</w:t>
      </w:r>
      <w:r>
        <w:rPr>
          <w:rFonts w:hint="eastAsia" w:ascii="仿宋" w:hAnsi="仿宋" w:eastAsia="仿宋"/>
          <w:sz w:val="28"/>
          <w:szCs w:val="28"/>
          <w:lang w:eastAsia="zh-CN"/>
        </w:rPr>
        <w:t>作出</w:t>
      </w:r>
      <w:r>
        <w:rPr>
          <w:rFonts w:hint="eastAsia" w:ascii="仿宋" w:hAnsi="仿宋" w:eastAsia="仿宋"/>
          <w:sz w:val="28"/>
          <w:szCs w:val="28"/>
        </w:rPr>
        <w:t>澄清、说明和补正，其风险由投标人自行承担。</w:t>
      </w:r>
    </w:p>
    <w:p w14:paraId="44111B91">
      <w:pPr>
        <w:spacing w:line="520" w:lineRule="exact"/>
        <w:rPr>
          <w:rFonts w:hint="eastAsia" w:ascii="仿宋" w:hAnsi="仿宋" w:eastAsia="仿宋"/>
          <w:sz w:val="28"/>
          <w:szCs w:val="28"/>
        </w:rPr>
      </w:pPr>
      <w:r>
        <w:rPr>
          <w:rFonts w:hint="eastAsia" w:ascii="仿宋" w:hAnsi="仿宋" w:eastAsia="仿宋"/>
          <w:sz w:val="28"/>
          <w:szCs w:val="28"/>
        </w:rPr>
        <w:t>25.对投标文件的初审</w:t>
      </w:r>
      <w:bookmarkEnd w:id="23"/>
      <w:bookmarkEnd w:id="24"/>
      <w:bookmarkEnd w:id="25"/>
    </w:p>
    <w:p w14:paraId="6E1C6007">
      <w:pPr>
        <w:spacing w:line="520" w:lineRule="exact"/>
        <w:ind w:firstLine="560"/>
        <w:rPr>
          <w:rFonts w:hint="eastAsia" w:ascii="仿宋" w:hAnsi="仿宋" w:eastAsia="仿宋"/>
          <w:sz w:val="28"/>
          <w:szCs w:val="28"/>
        </w:rPr>
      </w:pPr>
      <w:r>
        <w:rPr>
          <w:rFonts w:hint="eastAsia" w:ascii="仿宋" w:hAnsi="仿宋" w:eastAsia="仿宋"/>
          <w:sz w:val="28"/>
          <w:szCs w:val="28"/>
        </w:rPr>
        <w:t>25.1投标文件初审分为资格审查和符合性审查。</w:t>
      </w:r>
    </w:p>
    <w:p w14:paraId="56F3FF95">
      <w:pPr>
        <w:spacing w:line="520" w:lineRule="exact"/>
        <w:ind w:firstLine="560"/>
        <w:rPr>
          <w:rFonts w:hint="eastAsia" w:ascii="仿宋" w:hAnsi="仿宋" w:eastAsia="仿宋"/>
          <w:sz w:val="28"/>
          <w:szCs w:val="28"/>
        </w:rPr>
      </w:pPr>
      <w:r>
        <w:rPr>
          <w:rFonts w:hint="eastAsia" w:ascii="仿宋" w:hAnsi="仿宋" w:eastAsia="仿宋"/>
          <w:sz w:val="28"/>
          <w:szCs w:val="28"/>
        </w:rPr>
        <w:t>25.1.1资格审查：依据法律法规和招标文件的规定，由采购人对投标文件中的资格证明文件进行审查。资格审查的结论，采购人以书面形式向评委会进行反馈。</w:t>
      </w:r>
    </w:p>
    <w:p w14:paraId="3685F6AC">
      <w:pPr>
        <w:spacing w:line="520" w:lineRule="exact"/>
        <w:ind w:firstLine="560"/>
        <w:rPr>
          <w:rFonts w:hint="eastAsia"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w:t>
      </w:r>
      <w:r>
        <w:rPr>
          <w:rFonts w:hint="eastAsia" w:ascii="仿宋" w:hAnsi="仿宋" w:eastAsia="仿宋"/>
          <w:sz w:val="28"/>
          <w:szCs w:val="28"/>
        </w:rPr>
        <w:t>查询结果留存并归档。</w:t>
      </w:r>
    </w:p>
    <w:p w14:paraId="14FD4DA2">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接受联合体的项目，两个以上的自然人、法人或者其他组织组成一个联合体，以一个投标人的身份共同参加政府采购活动的</w:t>
      </w:r>
      <w:r>
        <w:rPr>
          <w:rFonts w:hint="eastAsia" w:ascii="仿宋" w:hAnsi="仿宋" w:eastAsia="仿宋"/>
          <w:sz w:val="28"/>
          <w:szCs w:val="28"/>
          <w:lang w:eastAsia="zh-CN"/>
        </w:rPr>
        <w:t>，</w:t>
      </w:r>
      <w:r>
        <w:rPr>
          <w:rFonts w:hint="eastAsia" w:ascii="仿宋" w:hAnsi="仿宋" w:eastAsia="仿宋"/>
          <w:sz w:val="28"/>
          <w:szCs w:val="28"/>
        </w:rPr>
        <w:t>联合体成员中任何一方存在不良信用记录的，视同联合体存在</w:t>
      </w:r>
      <w:r>
        <w:rPr>
          <w:rFonts w:hint="eastAsia" w:ascii="仿宋" w:hAnsi="仿宋" w:eastAsia="仿宋"/>
          <w:sz w:val="28"/>
          <w:szCs w:val="28"/>
          <w:lang w:eastAsia="zh-CN"/>
        </w:rPr>
        <w:t>不良信用记录</w:t>
      </w:r>
      <w:r>
        <w:rPr>
          <w:rFonts w:hint="eastAsia" w:ascii="仿宋" w:hAnsi="仿宋" w:eastAsia="仿宋"/>
          <w:sz w:val="28"/>
          <w:szCs w:val="28"/>
        </w:rPr>
        <w:t>。</w:t>
      </w:r>
    </w:p>
    <w:p w14:paraId="121201E2">
      <w:pPr>
        <w:spacing w:line="520" w:lineRule="exact"/>
        <w:ind w:firstLine="560"/>
        <w:rPr>
          <w:rFonts w:hint="eastAsia" w:ascii="仿宋" w:hAnsi="仿宋" w:eastAsia="仿宋"/>
          <w:sz w:val="28"/>
          <w:szCs w:val="28"/>
        </w:rPr>
      </w:pPr>
      <w:r>
        <w:rPr>
          <w:rFonts w:hint="eastAsia" w:ascii="仿宋" w:hAnsi="仿宋" w:eastAsia="仿宋"/>
          <w:sz w:val="28"/>
          <w:szCs w:val="28"/>
        </w:rPr>
        <w:t>25.1.2符合性审查：依据招标文件的规定，由评委会从投标文件的有效性、完整性和对招标文件的响应程度进行审查，以确定是否对招标文件的实质性要求作出响应。</w:t>
      </w:r>
    </w:p>
    <w:p w14:paraId="6F085A5E">
      <w:pPr>
        <w:spacing w:line="520" w:lineRule="exact"/>
        <w:ind w:firstLine="560"/>
        <w:rPr>
          <w:rFonts w:hint="eastAsia" w:ascii="仿宋" w:hAnsi="仿宋" w:eastAsia="仿宋"/>
          <w:sz w:val="28"/>
          <w:szCs w:val="28"/>
        </w:rPr>
      </w:pPr>
      <w:r>
        <w:rPr>
          <w:rFonts w:hint="eastAsia" w:ascii="仿宋" w:hAnsi="仿宋" w:eastAsia="仿宋"/>
          <w:sz w:val="28"/>
          <w:szCs w:val="28"/>
        </w:rPr>
        <w:t>25.1.3未通过资格审查或符合性审查的投标人，采购代理机构将在苏采云系统中告知未通过资格审查或符合性审查的原因，评审结束后，采购代理机构将不再告知未通过资格审查或符合性审查的原因。</w:t>
      </w:r>
    </w:p>
    <w:p w14:paraId="2FD5B405">
      <w:pPr>
        <w:spacing w:line="520" w:lineRule="exact"/>
        <w:ind w:firstLine="560"/>
        <w:rPr>
          <w:rFonts w:hint="eastAsia" w:ascii="仿宋" w:hAnsi="仿宋" w:eastAsia="仿宋"/>
          <w:sz w:val="28"/>
          <w:szCs w:val="28"/>
        </w:rPr>
      </w:pPr>
      <w:r>
        <w:rPr>
          <w:rFonts w:hint="eastAsia" w:ascii="仿宋" w:hAnsi="仿宋" w:eastAsia="仿宋"/>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14:paraId="55654427">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F544106">
      <w:pPr>
        <w:spacing w:line="520" w:lineRule="exact"/>
        <w:ind w:firstLine="560"/>
        <w:rPr>
          <w:rFonts w:hint="eastAsia" w:ascii="仿宋" w:hAnsi="仿宋" w:eastAsia="仿宋"/>
          <w:sz w:val="28"/>
          <w:szCs w:val="28"/>
        </w:rPr>
      </w:pPr>
      <w:r>
        <w:rPr>
          <w:rFonts w:hint="eastAsia" w:ascii="仿宋" w:hAnsi="仿宋" w:eastAsia="仿宋"/>
          <w:sz w:val="28"/>
          <w:szCs w:val="28"/>
        </w:rPr>
        <w:t>25.3如果投标文件实质上没有响应招标文件的要求，评委会将予以拒绝，投标人不得通过修改或撤销不合要求的偏离或保留而使其投标成为实质性响应的投标。</w:t>
      </w:r>
    </w:p>
    <w:p w14:paraId="439E6078">
      <w:pPr>
        <w:spacing w:line="520" w:lineRule="exact"/>
        <w:ind w:firstLine="560"/>
        <w:rPr>
          <w:rFonts w:hint="eastAsia" w:ascii="仿宋" w:hAnsi="仿宋" w:eastAsia="仿宋"/>
          <w:sz w:val="28"/>
          <w:szCs w:val="28"/>
        </w:rPr>
      </w:pPr>
      <w:r>
        <w:rPr>
          <w:rFonts w:hint="eastAsia" w:ascii="仿宋" w:hAnsi="仿宋" w:eastAsia="仿宋"/>
          <w:sz w:val="28"/>
          <w:szCs w:val="28"/>
        </w:rPr>
        <w:t>25.4评委会将对确定为实质性响应的投标进行进一步审核，看其是否有计算上或累加上的算术错误，修正错误的原则如下：</w:t>
      </w:r>
    </w:p>
    <w:p w14:paraId="75D7EFBF">
      <w:pPr>
        <w:spacing w:line="520" w:lineRule="exact"/>
        <w:ind w:firstLine="560"/>
        <w:rPr>
          <w:rFonts w:hint="eastAsia"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002CB0F3">
      <w:pPr>
        <w:spacing w:line="520" w:lineRule="exact"/>
        <w:ind w:firstLine="560"/>
        <w:rPr>
          <w:rFonts w:hint="eastAsia" w:ascii="仿宋" w:hAnsi="仿宋" w:eastAsia="仿宋"/>
          <w:sz w:val="28"/>
          <w:szCs w:val="28"/>
        </w:rPr>
      </w:pPr>
      <w:r>
        <w:rPr>
          <w:rFonts w:hint="eastAsia" w:ascii="仿宋" w:hAnsi="仿宋" w:eastAsia="仿宋"/>
          <w:sz w:val="28"/>
          <w:szCs w:val="28"/>
        </w:rPr>
        <w:t>（2）大写金额和小写金额不一致的，以大写金额为准。</w:t>
      </w:r>
    </w:p>
    <w:p w14:paraId="40083F19">
      <w:pPr>
        <w:spacing w:line="520" w:lineRule="exact"/>
        <w:ind w:firstLine="560"/>
        <w:rPr>
          <w:rFonts w:hint="eastAsia"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107FA4D">
      <w:pPr>
        <w:spacing w:line="520" w:lineRule="exact"/>
        <w:ind w:firstLine="560"/>
        <w:rPr>
          <w:rFonts w:hint="eastAsia"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59DDBF4B">
      <w:pPr>
        <w:spacing w:line="520" w:lineRule="exact"/>
        <w:rPr>
          <w:rFonts w:hint="eastAsia" w:ascii="仿宋" w:hAnsi="仿宋" w:eastAsia="仿宋"/>
          <w:sz w:val="28"/>
          <w:szCs w:val="28"/>
        </w:rPr>
      </w:pPr>
      <w:r>
        <w:rPr>
          <w:rFonts w:hint="eastAsia" w:ascii="仿宋" w:hAnsi="仿宋" w:eastAsia="仿宋"/>
          <w:sz w:val="28"/>
          <w:szCs w:val="28"/>
        </w:rPr>
        <w:t>同时出现两种以上错误的，按照前款规定的顺序修正。</w:t>
      </w:r>
    </w:p>
    <w:p w14:paraId="18475F92">
      <w:pPr>
        <w:spacing w:line="520" w:lineRule="exact"/>
        <w:ind w:firstLine="560"/>
        <w:rPr>
          <w:rFonts w:hint="eastAsia" w:ascii="仿宋" w:hAnsi="仿宋" w:eastAsia="仿宋"/>
          <w:sz w:val="28"/>
          <w:szCs w:val="28"/>
        </w:rPr>
      </w:pPr>
      <w:r>
        <w:rPr>
          <w:rFonts w:hint="eastAsia" w:ascii="仿宋" w:hAnsi="仿宋" w:eastAsia="仿宋"/>
          <w:sz w:val="28"/>
          <w:szCs w:val="28"/>
        </w:rPr>
        <w:t>25.5评委会将按上述修正错误的方法调整投标文件中的投标报价，并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3EA05FF8">
      <w:pPr>
        <w:spacing w:line="520" w:lineRule="exact"/>
        <w:ind w:firstLine="560"/>
        <w:rPr>
          <w:rFonts w:hint="eastAsia" w:ascii="仿宋" w:hAnsi="仿宋" w:eastAsia="仿宋"/>
          <w:sz w:val="28"/>
          <w:szCs w:val="28"/>
        </w:rPr>
      </w:pPr>
      <w:bookmarkStart w:id="26" w:name="_Toc513029234"/>
      <w:bookmarkStart w:id="27" w:name="_Toc16938550"/>
      <w:bookmarkStart w:id="28" w:name="_Toc20823306"/>
      <w:r>
        <w:rPr>
          <w:rFonts w:hint="eastAsia" w:ascii="仿宋" w:hAnsi="仿宋" w:eastAsia="仿宋"/>
          <w:sz w:val="28"/>
          <w:szCs w:val="28"/>
        </w:rPr>
        <w:t>25.6</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2CC1F3C2">
      <w:pPr>
        <w:spacing w:line="520" w:lineRule="exact"/>
        <w:ind w:firstLine="560"/>
        <w:rPr>
          <w:rFonts w:hint="eastAsia"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20740A88">
      <w:pPr>
        <w:spacing w:line="520" w:lineRule="exact"/>
        <w:ind w:firstLine="560"/>
        <w:rPr>
          <w:rFonts w:hint="eastAsia" w:ascii="仿宋" w:hAnsi="仿宋" w:eastAsia="仿宋"/>
          <w:sz w:val="28"/>
          <w:szCs w:val="28"/>
        </w:rPr>
      </w:pPr>
      <w:r>
        <w:rPr>
          <w:rFonts w:hint="eastAsia" w:ascii="仿宋" w:hAnsi="仿宋" w:eastAsia="仿宋"/>
          <w:sz w:val="28"/>
          <w:szCs w:val="28"/>
        </w:rPr>
        <w:t>25.7投标人在开、评标全过程中应</w:t>
      </w:r>
      <w:r>
        <w:rPr>
          <w:rFonts w:hint="eastAsia" w:ascii="仿宋" w:hAnsi="仿宋" w:eastAsia="仿宋"/>
          <w:sz w:val="28"/>
          <w:szCs w:val="28"/>
          <w:lang w:eastAsia="zh-CN"/>
        </w:rPr>
        <w:t>保持通信畅通</w:t>
      </w:r>
      <w:r>
        <w:rPr>
          <w:rFonts w:hint="eastAsia" w:ascii="仿宋" w:hAnsi="仿宋" w:eastAsia="仿宋"/>
          <w:sz w:val="28"/>
          <w:szCs w:val="28"/>
        </w:rPr>
        <w:t>，及时登录苏采云系统查阅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并安排专人与采购代理机构及评标委员会联系。</w:t>
      </w:r>
    </w:p>
    <w:p w14:paraId="1DADEBE7">
      <w:pPr>
        <w:spacing w:line="520" w:lineRule="exact"/>
        <w:rPr>
          <w:rFonts w:hint="eastAsia" w:ascii="仿宋" w:hAnsi="仿宋" w:eastAsia="仿宋"/>
          <w:sz w:val="28"/>
          <w:szCs w:val="28"/>
        </w:rPr>
      </w:pPr>
      <w:r>
        <w:rPr>
          <w:rFonts w:hint="eastAsia" w:ascii="仿宋" w:hAnsi="仿宋" w:eastAsia="仿宋"/>
          <w:sz w:val="28"/>
          <w:szCs w:val="28"/>
        </w:rPr>
        <w:t>2</w:t>
      </w:r>
      <w:bookmarkEnd w:id="26"/>
      <w:bookmarkEnd w:id="27"/>
      <w:bookmarkEnd w:id="28"/>
      <w:r>
        <w:rPr>
          <w:rFonts w:hint="eastAsia" w:ascii="仿宋" w:hAnsi="仿宋" w:eastAsia="仿宋"/>
          <w:sz w:val="28"/>
          <w:szCs w:val="28"/>
        </w:rPr>
        <w:t>6.无效投标条款和废标条款</w:t>
      </w:r>
    </w:p>
    <w:p w14:paraId="1CE69CA6">
      <w:pPr>
        <w:spacing w:line="520" w:lineRule="exact"/>
        <w:ind w:firstLine="560"/>
        <w:rPr>
          <w:rFonts w:hint="eastAsia" w:ascii="仿宋" w:hAnsi="仿宋" w:eastAsia="仿宋"/>
          <w:sz w:val="28"/>
          <w:szCs w:val="28"/>
        </w:rPr>
      </w:pPr>
      <w:bookmarkStart w:id="29" w:name="_Toc20823307"/>
      <w:bookmarkStart w:id="30" w:name="_Toc513029235"/>
      <w:bookmarkStart w:id="31" w:name="_Toc16938551"/>
      <w:r>
        <w:rPr>
          <w:rFonts w:hint="eastAsia" w:ascii="仿宋" w:hAnsi="仿宋" w:eastAsia="仿宋"/>
          <w:sz w:val="28"/>
          <w:szCs w:val="28"/>
        </w:rPr>
        <w:t>26.1无效投标条款</w:t>
      </w:r>
    </w:p>
    <w:p w14:paraId="1B51CF98">
      <w:pPr>
        <w:spacing w:line="520" w:lineRule="exact"/>
        <w:ind w:firstLine="560"/>
        <w:rPr>
          <w:rFonts w:hint="eastAsia" w:ascii="仿宋" w:hAnsi="仿宋" w:eastAsia="仿宋"/>
          <w:sz w:val="28"/>
          <w:szCs w:val="28"/>
        </w:rPr>
      </w:pPr>
      <w:r>
        <w:rPr>
          <w:rFonts w:hint="eastAsia" w:ascii="仿宋" w:hAnsi="仿宋" w:eastAsia="仿宋"/>
          <w:sz w:val="28"/>
          <w:szCs w:val="28"/>
        </w:rPr>
        <w:t>26.1.1投标人在苏采云系统规定的时间内未成功解密电子投标文件的。</w:t>
      </w:r>
    </w:p>
    <w:p w14:paraId="69BFE02B">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投标人未按照招标文件要求上传电子投标文件的。</w:t>
      </w:r>
    </w:p>
    <w:p w14:paraId="06AC145E">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5C37A830">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投标人不具备招标文件中规定资格要求的。</w:t>
      </w:r>
    </w:p>
    <w:p w14:paraId="7D718C29">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投标人的报价超过了采购预算或最高限价的。</w:t>
      </w:r>
    </w:p>
    <w:p w14:paraId="66D32BEE">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未通过符合性审查的。</w:t>
      </w:r>
    </w:p>
    <w:p w14:paraId="4222CEBF">
      <w:pPr>
        <w:spacing w:line="520" w:lineRule="exact"/>
        <w:ind w:firstLine="560"/>
        <w:rPr>
          <w:rFonts w:hint="eastAsia" w:ascii="仿宋" w:hAnsi="仿宋" w:eastAsia="仿宋"/>
          <w:b/>
          <w:bCs/>
          <w:sz w:val="28"/>
          <w:szCs w:val="28"/>
          <w:highlight w:val="yellow"/>
        </w:rPr>
      </w:pPr>
      <w:r>
        <w:rPr>
          <w:rFonts w:hint="eastAsia" w:ascii="仿宋" w:hAnsi="仿宋" w:eastAsia="仿宋"/>
          <w:b/>
          <w:bCs/>
          <w:sz w:val="28"/>
          <w:szCs w:val="28"/>
          <w:highlight w:val="yellow"/>
        </w:rPr>
        <w:t>26.1.</w:t>
      </w:r>
      <w:r>
        <w:rPr>
          <w:rFonts w:ascii="仿宋" w:hAnsi="仿宋" w:eastAsia="仿宋"/>
          <w:b/>
          <w:bCs/>
          <w:sz w:val="28"/>
          <w:szCs w:val="28"/>
          <w:highlight w:val="yellow"/>
        </w:rPr>
        <w:t>7</w:t>
      </w:r>
      <w:r>
        <w:rPr>
          <w:rFonts w:hint="eastAsia" w:ascii="仿宋" w:hAnsi="仿宋" w:eastAsia="仿宋"/>
          <w:b/>
          <w:bCs/>
          <w:sz w:val="28"/>
          <w:szCs w:val="28"/>
          <w:highlight w:val="yellow"/>
        </w:rPr>
        <w:t>不符合招标文件中规定的实质性要求和条件的（实质性要求和条件是指本招标文件中用带星号（“★”）的商务</w:t>
      </w:r>
      <w:r>
        <w:rPr>
          <w:rFonts w:hint="eastAsia" w:ascii="仿宋" w:hAnsi="仿宋" w:eastAsia="仿宋"/>
          <w:b/>
          <w:bCs/>
          <w:sz w:val="28"/>
          <w:szCs w:val="28"/>
          <w:highlight w:val="yellow"/>
          <w:lang w:eastAsia="zh-CN"/>
        </w:rPr>
        <w:t>或</w:t>
      </w:r>
      <w:r>
        <w:rPr>
          <w:rFonts w:hint="eastAsia" w:ascii="仿宋" w:hAnsi="仿宋" w:eastAsia="仿宋"/>
          <w:b/>
          <w:bCs/>
          <w:sz w:val="28"/>
          <w:szCs w:val="28"/>
          <w:highlight w:val="yellow"/>
        </w:rPr>
        <w:t>技术要求）。</w:t>
      </w:r>
    </w:p>
    <w:p w14:paraId="058C4F51">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C0EF49">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投标文件含有采购人不能接受的附加条件的。</w:t>
      </w:r>
    </w:p>
    <w:p w14:paraId="0AA69C84">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B62EC88">
      <w:pPr>
        <w:spacing w:line="520" w:lineRule="exact"/>
        <w:ind w:firstLine="560"/>
        <w:rPr>
          <w:rFonts w:hint="eastAsia" w:ascii="仿宋" w:hAnsi="仿宋" w:eastAsia="仿宋"/>
          <w:sz w:val="28"/>
          <w:szCs w:val="28"/>
        </w:rPr>
      </w:pPr>
      <w:r>
        <w:rPr>
          <w:rFonts w:hint="eastAsia" w:ascii="仿宋" w:hAnsi="仿宋" w:eastAsia="仿宋"/>
          <w:sz w:val="28"/>
          <w:szCs w:val="28"/>
        </w:rPr>
        <w:t>评标委员会认为投标人的报价属于《财政部关于推动解决政府采购异常低价问题的通知</w:t>
      </w:r>
      <w:r>
        <w:rPr>
          <w:rFonts w:hint="eastAsia" w:ascii="仿宋" w:hAnsi="仿宋" w:eastAsia="仿宋"/>
          <w:sz w:val="28"/>
          <w:szCs w:val="28"/>
          <w:lang w:eastAsia="zh-CN"/>
        </w:rPr>
        <w:t>（</w:t>
      </w:r>
      <w:r>
        <w:rPr>
          <w:rFonts w:hint="eastAsia" w:ascii="仿宋" w:hAnsi="仿宋" w:eastAsia="仿宋"/>
          <w:sz w:val="28"/>
          <w:szCs w:val="28"/>
        </w:rPr>
        <w:t>财库</w:t>
      </w:r>
      <w:r>
        <w:rPr>
          <w:rFonts w:hint="eastAsia" w:ascii="仿宋" w:hAnsi="仿宋" w:eastAsia="仿宋"/>
          <w:sz w:val="28"/>
          <w:szCs w:val="28"/>
          <w:lang w:eastAsia="zh-CN"/>
        </w:rPr>
        <w:t>〔2026〕2号）</w:t>
      </w:r>
      <w:r>
        <w:rPr>
          <w:rFonts w:hint="eastAsia" w:ascii="仿宋" w:hAnsi="仿宋" w:eastAsia="仿宋"/>
          <w:sz w:val="28"/>
          <w:szCs w:val="28"/>
        </w:rPr>
        <w:t>》异常低价情形的，将通过苏采云系统，按照</w:t>
      </w:r>
      <w:r>
        <w:rPr>
          <w:rFonts w:hint="eastAsia" w:ascii="仿宋" w:hAnsi="仿宋" w:eastAsia="仿宋"/>
          <w:sz w:val="28"/>
          <w:szCs w:val="28"/>
          <w:lang w:eastAsia="zh-CN"/>
        </w:rPr>
        <w:t>（</w:t>
      </w:r>
      <w:r>
        <w:rPr>
          <w:rFonts w:hint="eastAsia" w:ascii="仿宋" w:hAnsi="仿宋" w:eastAsia="仿宋"/>
          <w:sz w:val="28"/>
          <w:szCs w:val="28"/>
        </w:rPr>
        <w:t>财库</w:t>
      </w:r>
      <w:r>
        <w:rPr>
          <w:rFonts w:hint="eastAsia" w:ascii="仿宋" w:hAnsi="仿宋" w:eastAsia="仿宋"/>
          <w:sz w:val="28"/>
          <w:szCs w:val="28"/>
          <w:lang w:eastAsia="zh-CN"/>
        </w:rPr>
        <w:t>〔2026〕2号）</w:t>
      </w:r>
      <w:r>
        <w:rPr>
          <w:rFonts w:hint="eastAsia" w:ascii="仿宋" w:hAnsi="仿宋" w:eastAsia="仿宋"/>
          <w:sz w:val="28"/>
          <w:szCs w:val="28"/>
        </w:rPr>
        <w:t>文件要求启动异常低价投标审查程序，要求其在合理的时间内提供说明，必要时提交相关证明材料</w:t>
      </w:r>
      <w:r>
        <w:rPr>
          <w:rFonts w:hint="eastAsia" w:ascii="仿宋" w:hAnsi="仿宋" w:eastAsia="仿宋"/>
          <w:sz w:val="28"/>
          <w:szCs w:val="28"/>
          <w:lang w:eastAsia="zh-CN"/>
        </w:rPr>
        <w:t>；</w:t>
      </w:r>
      <w:r>
        <w:rPr>
          <w:rFonts w:hint="eastAsia" w:ascii="仿宋" w:hAnsi="仿宋" w:eastAsia="仿宋"/>
          <w:sz w:val="28"/>
          <w:szCs w:val="28"/>
        </w:rPr>
        <w:t>投标人不能证明其报价合理性的，评标委员会应当将其作为无效投标处理。</w:t>
      </w:r>
    </w:p>
    <w:p w14:paraId="52A7618A">
      <w:pPr>
        <w:spacing w:line="520" w:lineRule="exact"/>
        <w:ind w:firstLine="560"/>
        <w:rPr>
          <w:rFonts w:hint="eastAsia" w:ascii="仿宋" w:hAnsi="仿宋" w:eastAsia="仿宋"/>
          <w:sz w:val="28"/>
          <w:szCs w:val="28"/>
        </w:rPr>
      </w:pPr>
      <w:r>
        <w:rPr>
          <w:rFonts w:hint="eastAsia" w:ascii="仿宋" w:hAnsi="仿宋" w:eastAsia="仿宋"/>
          <w:sz w:val="28"/>
          <w:szCs w:val="28"/>
        </w:rPr>
        <w:t>政府采购评审中出现下列情形之一的，评审委员会应当启动异常低价投标审查程序</w:t>
      </w:r>
      <w:r>
        <w:rPr>
          <w:rFonts w:hint="eastAsia" w:ascii="仿宋" w:hAnsi="仿宋" w:eastAsia="仿宋"/>
          <w:sz w:val="28"/>
          <w:szCs w:val="28"/>
          <w:lang w:eastAsia="zh-CN"/>
        </w:rPr>
        <w:t>：</w:t>
      </w:r>
    </w:p>
    <w:p w14:paraId="19D831B4">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（1）投标（响应）报价低于全部通过符合性审查投标人投标（响应）报价平均值50%的，即投标（响应）报价〈全部通过符合性审查投标人投标（响应）报价平均值×50%；</w:t>
      </w:r>
    </w:p>
    <w:p w14:paraId="1B92C4B6">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（2）投标（响应）报价低于通过符合性审查的次低报价投标人投标（响应）报价50%的，即投标（响应）报价〈通过符合性审查的次低报价投标人投标（响应）报价×50%； </w:t>
      </w:r>
    </w:p>
    <w:p w14:paraId="2D00D79C">
      <w:pPr>
        <w:spacing w:line="520" w:lineRule="exact"/>
        <w:ind w:firstLine="560"/>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（3）投标（响应）报价低于采购项目最高限价45%的，即投标（响应）报价〈采购项目最高限价×45%； </w:t>
      </w:r>
    </w:p>
    <w:p w14:paraId="089FB7AD">
      <w:pPr>
        <w:spacing w:line="520" w:lineRule="exact"/>
        <w:ind w:firstLine="560"/>
        <w:rPr>
          <w:rFonts w:hint="eastAsia" w:ascii="仿宋" w:hAnsi="仿宋" w:eastAsia="仿宋"/>
          <w:sz w:val="28"/>
          <w:szCs w:val="28"/>
        </w:rPr>
      </w:pPr>
      <w:r>
        <w:rPr>
          <w:rFonts w:hint="eastAsia" w:ascii="仿宋" w:hAnsi="仿宋" w:eastAsia="仿宋"/>
          <w:sz w:val="28"/>
          <w:szCs w:val="28"/>
          <w:lang w:val="en-US" w:eastAsia="zh-CN"/>
        </w:rPr>
        <w:t>（4）评审委员会基于专业判断，认为投标人报价过低，有可能影响产品质量或者不能诚信履约的其他情形。</w:t>
      </w:r>
    </w:p>
    <w:p w14:paraId="690043D8">
      <w:pPr>
        <w:spacing w:line="520" w:lineRule="exact"/>
        <w:ind w:firstLine="560"/>
        <w:rPr>
          <w:rFonts w:hint="eastAsia" w:ascii="仿宋" w:hAnsi="仿宋" w:eastAsia="仿宋"/>
          <w:sz w:val="28"/>
          <w:szCs w:val="28"/>
        </w:rPr>
      </w:pPr>
      <w:r>
        <w:rPr>
          <w:rFonts w:hint="eastAsia" w:ascii="仿宋" w:hAnsi="仿宋" w:eastAsia="仿宋"/>
          <w:sz w:val="28"/>
          <w:szCs w:val="28"/>
        </w:rPr>
        <w:t>评审委员会启动异常低价投标审查后</w:t>
      </w:r>
      <w:r>
        <w:rPr>
          <w:rFonts w:hint="eastAsia" w:ascii="仿宋" w:hAnsi="仿宋" w:eastAsia="仿宋"/>
          <w:sz w:val="28"/>
          <w:szCs w:val="28"/>
          <w:lang w:eastAsia="zh-CN"/>
        </w:rPr>
        <w:t>，</w:t>
      </w:r>
      <w:r>
        <w:rPr>
          <w:rFonts w:hint="eastAsia" w:ascii="仿宋" w:hAnsi="仿宋" w:eastAsia="仿宋"/>
          <w:sz w:val="28"/>
          <w:szCs w:val="28"/>
        </w:rPr>
        <w:t>属于前述第</w:t>
      </w:r>
      <w:r>
        <w:rPr>
          <w:rFonts w:hint="eastAsia" w:ascii="仿宋" w:hAnsi="仿宋" w:eastAsia="仿宋"/>
          <w:sz w:val="28"/>
          <w:szCs w:val="28"/>
          <w:lang w:eastAsia="zh-CN"/>
        </w:rPr>
        <w:t>（</w:t>
      </w:r>
      <w:r>
        <w:rPr>
          <w:rFonts w:hint="eastAsia" w:ascii="仿宋" w:hAnsi="仿宋" w:eastAsia="仿宋"/>
          <w:sz w:val="28"/>
          <w:szCs w:val="28"/>
        </w:rPr>
        <w:t>1</w:t>
      </w:r>
      <w:r>
        <w:rPr>
          <w:rFonts w:hint="eastAsia" w:ascii="仿宋" w:hAnsi="仿宋" w:eastAsia="仿宋"/>
          <w:sz w:val="28"/>
          <w:szCs w:val="28"/>
          <w:lang w:eastAsia="zh-CN"/>
        </w:rPr>
        <w:t>）</w:t>
      </w:r>
      <w:r>
        <w:rPr>
          <w:rFonts w:hint="eastAsia" w:ascii="仿宋" w:hAnsi="仿宋" w:eastAsia="仿宋"/>
          <w:sz w:val="28"/>
          <w:szCs w:val="28"/>
        </w:rPr>
        <w:t>项至第</w:t>
      </w:r>
      <w:r>
        <w:rPr>
          <w:rFonts w:hint="eastAsia" w:ascii="仿宋" w:hAnsi="仿宋" w:eastAsia="仿宋"/>
          <w:sz w:val="28"/>
          <w:szCs w:val="28"/>
          <w:lang w:eastAsia="zh-CN"/>
        </w:rPr>
        <w:t>（</w:t>
      </w:r>
      <w:r>
        <w:rPr>
          <w:rFonts w:hint="eastAsia" w:ascii="仿宋" w:hAnsi="仿宋" w:eastAsia="仿宋"/>
          <w:sz w:val="28"/>
          <w:szCs w:val="28"/>
        </w:rPr>
        <w:t>4</w:t>
      </w:r>
      <w:r>
        <w:rPr>
          <w:rFonts w:hint="eastAsia" w:ascii="仿宋" w:hAnsi="仿宋" w:eastAsia="仿宋"/>
          <w:sz w:val="28"/>
          <w:szCs w:val="28"/>
          <w:lang w:eastAsia="zh-CN"/>
        </w:rPr>
        <w:t>）</w:t>
      </w:r>
      <w:r>
        <w:rPr>
          <w:rFonts w:hint="eastAsia" w:ascii="仿宋" w:hAnsi="仿宋" w:eastAsia="仿宋"/>
          <w:sz w:val="28"/>
          <w:szCs w:val="28"/>
        </w:rPr>
        <w:t>项情形的，应当要求相关供应商在评审现场合理的时间内对投标价格作出解释</w:t>
      </w:r>
      <w:r>
        <w:rPr>
          <w:rFonts w:hint="eastAsia" w:ascii="仿宋" w:hAnsi="仿宋" w:eastAsia="仿宋"/>
          <w:sz w:val="28"/>
          <w:szCs w:val="28"/>
          <w:lang w:eastAsia="zh-CN"/>
        </w:rPr>
        <w:t>，并</w:t>
      </w:r>
      <w:r>
        <w:rPr>
          <w:rFonts w:hint="eastAsia" w:ascii="仿宋" w:hAnsi="仿宋" w:eastAsia="仿宋"/>
          <w:sz w:val="28"/>
          <w:szCs w:val="28"/>
        </w:rPr>
        <w:t>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77E00D29">
      <w:pPr>
        <w:spacing w:line="520" w:lineRule="exact"/>
        <w:ind w:firstLine="560"/>
        <w:rPr>
          <w:rFonts w:hint="eastAsia" w:ascii="仿宋" w:hAnsi="仿宋" w:eastAsia="仿宋"/>
          <w:sz w:val="28"/>
          <w:szCs w:val="28"/>
        </w:rPr>
      </w:pPr>
      <w:r>
        <w:rPr>
          <w:rFonts w:hint="eastAsia" w:ascii="仿宋" w:hAnsi="仿宋" w:eastAsia="仿宋"/>
          <w:sz w:val="28"/>
          <w:szCs w:val="28"/>
        </w:rPr>
        <w:t>评审委员会依据专业经验，参考同类项目中标价格、类似产品市场价格水平、行业人工费用标准、国家有关部门指导行业协会发布的行业平均成本等情况，对报价合理性进行判断。投标</w:t>
      </w:r>
      <w:r>
        <w:rPr>
          <w:rFonts w:hint="eastAsia" w:ascii="仿宋" w:hAnsi="仿宋" w:eastAsia="仿宋"/>
          <w:sz w:val="28"/>
          <w:szCs w:val="28"/>
          <w:lang w:val="en-US" w:eastAsia="zh-CN"/>
        </w:rPr>
        <w:t>人</w:t>
      </w:r>
      <w:r>
        <w:rPr>
          <w:rFonts w:hint="eastAsia" w:ascii="仿宋" w:hAnsi="仿宋" w:eastAsia="仿宋"/>
          <w:sz w:val="28"/>
          <w:szCs w:val="28"/>
        </w:rPr>
        <w:t>不能提供书面说明、证明材料，或者提供的书面说明、证明材料不能证明其报价合理性的，评审委员会应当将其作为无效投标处理。</w:t>
      </w:r>
    </w:p>
    <w:p w14:paraId="16860AAA">
      <w:pPr>
        <w:spacing w:line="520" w:lineRule="exact"/>
        <w:ind w:firstLine="560"/>
        <w:rPr>
          <w:rFonts w:hint="eastAsia" w:ascii="仿宋" w:hAnsi="仿宋" w:eastAsia="仿宋"/>
          <w:sz w:val="28"/>
          <w:szCs w:val="28"/>
        </w:rPr>
      </w:pPr>
      <w:r>
        <w:rPr>
          <w:rFonts w:hint="eastAsia" w:ascii="仿宋" w:hAnsi="仿宋" w:eastAsia="仿宋"/>
          <w:sz w:val="28"/>
          <w:szCs w:val="28"/>
        </w:rPr>
        <w:t>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E87C1E">
      <w:pPr>
        <w:spacing w:line="520" w:lineRule="exact"/>
        <w:ind w:firstLine="560"/>
        <w:rPr>
          <w:rFonts w:hint="eastAsia" w:ascii="仿宋" w:hAnsi="仿宋" w:eastAsia="仿宋"/>
          <w:sz w:val="28"/>
          <w:szCs w:val="28"/>
        </w:rPr>
      </w:pPr>
      <w:r>
        <w:rPr>
          <w:rFonts w:hint="eastAsia" w:ascii="仿宋" w:hAnsi="仿宋" w:eastAsia="仿宋"/>
          <w:sz w:val="28"/>
          <w:szCs w:val="28"/>
        </w:rPr>
        <w:t>异常低价投标审查的启动原因、审查意见和审查结果应当在评审报告中记录。</w:t>
      </w:r>
    </w:p>
    <w:p w14:paraId="139C4350">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.1.11按照第34.4的要求本项目中具有“强制采购”产品，但未提供经国家确定的认证机构出具的、处于有效期之内该节能产品认证证书图片的；</w:t>
      </w:r>
    </w:p>
    <w:p w14:paraId="50DC42B4">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投标文件未按照招标文件要求加盖CA电子公章的。</w:t>
      </w:r>
    </w:p>
    <w:p w14:paraId="273DD199">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3</w:t>
      </w:r>
      <w:r>
        <w:rPr>
          <w:rFonts w:hint="eastAsia" w:ascii="仿宋" w:hAnsi="仿宋" w:eastAsia="仿宋"/>
          <w:sz w:val="28"/>
          <w:szCs w:val="28"/>
        </w:rPr>
        <w:t>其他</w:t>
      </w:r>
      <w:r>
        <w:rPr>
          <w:rFonts w:hint="eastAsia" w:ascii="仿宋" w:hAnsi="仿宋" w:eastAsia="仿宋"/>
          <w:sz w:val="28"/>
          <w:szCs w:val="28"/>
          <w:lang w:eastAsia="zh-CN"/>
        </w:rPr>
        <w:t>法律法规</w:t>
      </w:r>
      <w:r>
        <w:rPr>
          <w:rFonts w:hint="eastAsia" w:ascii="仿宋" w:hAnsi="仿宋" w:eastAsia="仿宋"/>
          <w:sz w:val="28"/>
          <w:szCs w:val="28"/>
        </w:rPr>
        <w:t>及本招标文件规定的</w:t>
      </w:r>
      <w:r>
        <w:rPr>
          <w:rFonts w:hint="eastAsia" w:ascii="仿宋" w:hAnsi="仿宋" w:eastAsia="仿宋"/>
          <w:sz w:val="28"/>
          <w:szCs w:val="28"/>
          <w:lang w:eastAsia="zh-CN"/>
        </w:rPr>
        <w:t>属于</w:t>
      </w:r>
      <w:r>
        <w:rPr>
          <w:rFonts w:hint="eastAsia" w:ascii="仿宋" w:hAnsi="仿宋" w:eastAsia="仿宋"/>
          <w:sz w:val="28"/>
          <w:szCs w:val="28"/>
        </w:rPr>
        <w:t>无效投标的情形。</w:t>
      </w:r>
    </w:p>
    <w:p w14:paraId="28B2AFCB">
      <w:pPr>
        <w:spacing w:line="520" w:lineRule="exact"/>
        <w:ind w:firstLine="560"/>
        <w:rPr>
          <w:rFonts w:hint="eastAsia" w:ascii="仿宋" w:hAnsi="仿宋" w:eastAsia="仿宋"/>
          <w:sz w:val="28"/>
          <w:szCs w:val="28"/>
        </w:rPr>
      </w:pPr>
      <w:r>
        <w:rPr>
          <w:rFonts w:hint="eastAsia" w:ascii="仿宋" w:hAnsi="仿宋" w:eastAsia="仿宋"/>
          <w:sz w:val="28"/>
          <w:szCs w:val="28"/>
        </w:rPr>
        <w:t>26.2废标条款</w:t>
      </w:r>
    </w:p>
    <w:p w14:paraId="22C102B2">
      <w:pPr>
        <w:tabs>
          <w:tab w:val="left" w:pos="5103"/>
        </w:tabs>
        <w:spacing w:line="520" w:lineRule="exact"/>
        <w:ind w:firstLine="560"/>
        <w:rPr>
          <w:rFonts w:hint="eastAsia" w:ascii="仿宋" w:hAnsi="仿宋" w:eastAsia="仿宋"/>
          <w:sz w:val="28"/>
          <w:szCs w:val="28"/>
        </w:rPr>
      </w:pPr>
      <w:r>
        <w:rPr>
          <w:rFonts w:hint="eastAsia" w:ascii="仿宋" w:hAnsi="仿宋" w:eastAsia="仿宋"/>
          <w:sz w:val="28"/>
          <w:szCs w:val="28"/>
        </w:rPr>
        <w:t>26.2.1符合专业条件的投标人或者对招标文件作实质响应的投标人不足三家的。</w:t>
      </w:r>
    </w:p>
    <w:p w14:paraId="61197B35">
      <w:pPr>
        <w:spacing w:line="520" w:lineRule="exact"/>
        <w:ind w:firstLine="560"/>
        <w:rPr>
          <w:rFonts w:hint="eastAsia" w:ascii="仿宋" w:hAnsi="仿宋" w:eastAsia="仿宋"/>
          <w:sz w:val="28"/>
          <w:szCs w:val="28"/>
        </w:rPr>
      </w:pPr>
      <w:r>
        <w:rPr>
          <w:rFonts w:hint="eastAsia" w:ascii="仿宋" w:hAnsi="仿宋" w:eastAsia="仿宋"/>
          <w:sz w:val="28"/>
          <w:szCs w:val="28"/>
        </w:rPr>
        <w:t>26.2.2出现影响采购公正的违法、违规行为的。</w:t>
      </w:r>
    </w:p>
    <w:p w14:paraId="567D1955">
      <w:pPr>
        <w:spacing w:line="520" w:lineRule="exact"/>
        <w:ind w:firstLine="560"/>
        <w:rPr>
          <w:rFonts w:hint="eastAsia" w:ascii="仿宋" w:hAnsi="仿宋" w:eastAsia="仿宋"/>
          <w:sz w:val="28"/>
          <w:szCs w:val="28"/>
        </w:rPr>
      </w:pPr>
      <w:r>
        <w:rPr>
          <w:rFonts w:hint="eastAsia" w:ascii="仿宋" w:hAnsi="仿宋" w:eastAsia="仿宋"/>
          <w:sz w:val="28"/>
          <w:szCs w:val="28"/>
        </w:rPr>
        <w:t>26.2.3因重大变故，采购任务取消的。</w:t>
      </w:r>
    </w:p>
    <w:p w14:paraId="5535DE37">
      <w:pPr>
        <w:spacing w:line="520" w:lineRule="exact"/>
        <w:ind w:firstLine="560"/>
        <w:rPr>
          <w:rFonts w:hint="eastAsia" w:ascii="仿宋" w:hAnsi="仿宋" w:eastAsia="仿宋"/>
          <w:sz w:val="28"/>
          <w:szCs w:val="28"/>
        </w:rPr>
      </w:pPr>
      <w:r>
        <w:rPr>
          <w:rFonts w:hint="eastAsia" w:ascii="仿宋" w:hAnsi="仿宋" w:eastAsia="仿宋"/>
          <w:sz w:val="28"/>
          <w:szCs w:val="28"/>
        </w:rPr>
        <w:t>26.2.4评标委员会认定招标文件存在歧义、重大缺陷导致评审工作无法进行。</w:t>
      </w:r>
    </w:p>
    <w:p w14:paraId="255402D4">
      <w:pPr>
        <w:spacing w:line="520" w:lineRule="exact"/>
        <w:ind w:firstLine="560"/>
        <w:rPr>
          <w:rFonts w:hint="eastAsia" w:ascii="仿宋" w:hAnsi="仿宋" w:eastAsia="仿宋"/>
          <w:sz w:val="28"/>
          <w:szCs w:val="28"/>
        </w:rPr>
      </w:pPr>
      <w:r>
        <w:rPr>
          <w:rFonts w:hint="eastAsia" w:ascii="仿宋" w:hAnsi="仿宋" w:eastAsia="仿宋"/>
          <w:sz w:val="28"/>
          <w:szCs w:val="28"/>
        </w:rPr>
        <w:t>26.2.5因苏采云</w:t>
      </w:r>
      <w:r>
        <w:rPr>
          <w:rFonts w:hint="eastAsia" w:ascii="仿宋" w:hAnsi="仿宋" w:eastAsia="仿宋"/>
          <w:sz w:val="28"/>
          <w:szCs w:val="28"/>
          <w:lang w:eastAsia="zh-CN"/>
        </w:rPr>
        <w:t>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14B9501D">
      <w:pPr>
        <w:spacing w:line="520" w:lineRule="exact"/>
        <w:ind w:firstLine="560"/>
        <w:rPr>
          <w:rFonts w:hint="eastAsia" w:ascii="仿宋" w:hAnsi="仿宋" w:eastAsia="仿宋"/>
          <w:sz w:val="28"/>
          <w:szCs w:val="28"/>
        </w:rPr>
      </w:pPr>
      <w:r>
        <w:rPr>
          <w:rFonts w:hint="eastAsia" w:ascii="仿宋" w:hAnsi="仿宋" w:eastAsia="仿宋"/>
          <w:sz w:val="28"/>
          <w:szCs w:val="28"/>
        </w:rPr>
        <w:t>26.3投标截止时间结束后参加投标的投标人不足三家的处理：</w:t>
      </w:r>
    </w:p>
    <w:p w14:paraId="3510D220">
      <w:pPr>
        <w:spacing w:line="520" w:lineRule="exact"/>
        <w:ind w:firstLine="560"/>
        <w:rPr>
          <w:rFonts w:hint="eastAsia" w:ascii="仿宋" w:hAnsi="仿宋" w:eastAsia="仿宋"/>
          <w:sz w:val="28"/>
          <w:szCs w:val="28"/>
        </w:rPr>
      </w:pPr>
      <w:r>
        <w:rPr>
          <w:rFonts w:hint="eastAsia" w:ascii="仿宋" w:hAnsi="仿宋" w:eastAsia="仿宋"/>
          <w:sz w:val="28"/>
          <w:szCs w:val="28"/>
        </w:rPr>
        <w:t>26.3.1如出现投标截止时间结束后参加投标的投标人或者在评标期间对招标文件做出实质响应的投标人不足三家情况，按政府采购相关规定执行。</w:t>
      </w:r>
    </w:p>
    <w:bookmarkEnd w:id="29"/>
    <w:bookmarkEnd w:id="30"/>
    <w:bookmarkEnd w:id="31"/>
    <w:p w14:paraId="4F15F63C">
      <w:pPr>
        <w:numPr>
          <w:ilvl w:val="0"/>
          <w:numId w:val="0"/>
        </w:numPr>
        <w:spacing w:line="520" w:lineRule="exact"/>
        <w:ind w:firstLine="482" w:firstLineChars="0"/>
        <w:rPr>
          <w:rFonts w:hint="eastAsia" w:ascii="仿宋" w:hAnsi="仿宋" w:eastAsia="仿宋" w:cs="Times New Roman"/>
          <w:b/>
          <w:sz w:val="32"/>
          <w:szCs w:val="32"/>
          <w:lang w:eastAsia="zh-CN"/>
        </w:rPr>
      </w:pPr>
      <w:bookmarkStart w:id="32" w:name="_Toc513029238"/>
      <w:bookmarkStart w:id="33" w:name="_Toc16938554"/>
      <w:bookmarkStart w:id="34" w:name="_Toc20823310"/>
      <w:r>
        <w:rPr>
          <w:rFonts w:hint="eastAsia" w:ascii="仿宋" w:hAnsi="仿宋" w:eastAsia="仿宋" w:cs="Times New Roman"/>
          <w:b/>
          <w:sz w:val="32"/>
          <w:szCs w:val="32"/>
          <w:lang w:eastAsia="zh-CN"/>
        </w:rPr>
        <w:t>六、定标</w:t>
      </w:r>
    </w:p>
    <w:p w14:paraId="1000D7EB">
      <w:pPr>
        <w:spacing w:line="520" w:lineRule="exact"/>
        <w:ind w:firstLine="560"/>
        <w:rPr>
          <w:rFonts w:hint="eastAsia" w:ascii="仿宋" w:hAnsi="仿宋" w:eastAsia="仿宋"/>
          <w:sz w:val="28"/>
          <w:szCs w:val="28"/>
        </w:rPr>
      </w:pPr>
      <w:r>
        <w:rPr>
          <w:rFonts w:hint="eastAsia" w:ascii="仿宋" w:hAnsi="仿宋" w:eastAsia="仿宋"/>
          <w:sz w:val="28"/>
          <w:szCs w:val="28"/>
        </w:rPr>
        <w:t>2</w:t>
      </w:r>
      <w:bookmarkEnd w:id="32"/>
      <w:r>
        <w:rPr>
          <w:rFonts w:hint="eastAsia" w:ascii="仿宋" w:hAnsi="仿宋" w:eastAsia="仿宋"/>
          <w:sz w:val="28"/>
          <w:szCs w:val="28"/>
        </w:rPr>
        <w:t>7.确定</w:t>
      </w:r>
      <w:bookmarkEnd w:id="33"/>
      <w:bookmarkEnd w:id="34"/>
      <w:r>
        <w:rPr>
          <w:rFonts w:hint="eastAsia" w:ascii="仿宋" w:hAnsi="仿宋" w:eastAsia="仿宋"/>
          <w:sz w:val="28"/>
          <w:szCs w:val="28"/>
        </w:rPr>
        <w:t>中标单位</w:t>
      </w:r>
    </w:p>
    <w:p w14:paraId="4B50F4AE">
      <w:pPr>
        <w:spacing w:line="520" w:lineRule="exact"/>
        <w:ind w:firstLine="560"/>
        <w:rPr>
          <w:rFonts w:hint="eastAsia" w:ascii="仿宋" w:hAnsi="仿宋" w:eastAsia="仿宋"/>
          <w:sz w:val="28"/>
          <w:szCs w:val="28"/>
          <w:lang w:eastAsia="zh-CN"/>
        </w:rPr>
      </w:pPr>
      <w:r>
        <w:rPr>
          <w:rFonts w:hint="eastAsia" w:ascii="仿宋" w:hAnsi="仿宋" w:eastAsia="仿宋"/>
          <w:sz w:val="28"/>
          <w:szCs w:val="28"/>
        </w:rPr>
        <w:t>27.1中标候选人的选取原则和数量见招标文件第三章规定。</w:t>
      </w:r>
    </w:p>
    <w:p w14:paraId="2CD733BE">
      <w:pPr>
        <w:spacing w:line="520" w:lineRule="exact"/>
        <w:ind w:firstLine="560"/>
        <w:rPr>
          <w:rFonts w:hint="eastAsia" w:ascii="仿宋" w:hAnsi="仿宋" w:eastAsia="仿宋"/>
          <w:sz w:val="28"/>
          <w:szCs w:val="28"/>
        </w:rPr>
      </w:pPr>
      <w:r>
        <w:rPr>
          <w:rFonts w:hint="eastAsia" w:ascii="仿宋" w:hAnsi="仿宋" w:eastAsia="仿宋"/>
          <w:sz w:val="28"/>
          <w:szCs w:val="28"/>
        </w:rPr>
        <w:t>27.2采购人应根据评委会推荐的中标候选人确定中标人。</w:t>
      </w:r>
    </w:p>
    <w:p w14:paraId="51A1CDB6">
      <w:pPr>
        <w:spacing w:line="520" w:lineRule="exact"/>
        <w:ind w:firstLine="560"/>
        <w:rPr>
          <w:rFonts w:hint="eastAsia" w:ascii="仿宋" w:hAnsi="仿宋" w:eastAsia="仿宋"/>
          <w:sz w:val="28"/>
          <w:szCs w:val="28"/>
        </w:rPr>
      </w:pPr>
      <w:r>
        <w:rPr>
          <w:rFonts w:hint="eastAsia" w:ascii="仿宋" w:hAnsi="仿宋" w:eastAsia="仿宋"/>
          <w:sz w:val="28"/>
          <w:szCs w:val="28"/>
        </w:rPr>
        <w:t>27.3采购代理机构将在“江苏政府采购网”或者“淮安市政府采购网”发布中标公告，公告期限为1个工作日。</w:t>
      </w:r>
    </w:p>
    <w:p w14:paraId="292E1832">
      <w:pPr>
        <w:spacing w:line="520" w:lineRule="exact"/>
        <w:ind w:firstLine="560"/>
        <w:rPr>
          <w:rFonts w:hint="eastAsia" w:ascii="仿宋" w:hAnsi="仿宋" w:eastAsia="仿宋"/>
          <w:sz w:val="28"/>
          <w:szCs w:val="28"/>
        </w:rPr>
      </w:pPr>
      <w:r>
        <w:rPr>
          <w:rFonts w:hint="eastAsia" w:ascii="仿宋" w:hAnsi="仿宋" w:eastAsia="仿宋"/>
          <w:sz w:val="28"/>
          <w:szCs w:val="28"/>
        </w:rPr>
        <w:t>27.4若有充分证据证明，中标人出现下列情况之一的，一经查实，将被取消中标资格：</w:t>
      </w:r>
    </w:p>
    <w:p w14:paraId="68282E00">
      <w:pPr>
        <w:spacing w:line="520" w:lineRule="exact"/>
        <w:ind w:firstLine="560"/>
        <w:rPr>
          <w:rFonts w:hint="eastAsia" w:ascii="仿宋" w:hAnsi="仿宋" w:eastAsia="仿宋"/>
          <w:sz w:val="28"/>
          <w:szCs w:val="28"/>
        </w:rPr>
      </w:pPr>
      <w:r>
        <w:rPr>
          <w:rFonts w:hint="eastAsia" w:ascii="仿宋" w:hAnsi="仿宋" w:eastAsia="仿宋"/>
          <w:sz w:val="28"/>
          <w:szCs w:val="28"/>
        </w:rPr>
        <w:t>27.4.1提供虚假材料谋取中标的。</w:t>
      </w:r>
    </w:p>
    <w:p w14:paraId="47AAD88D">
      <w:pPr>
        <w:spacing w:line="520" w:lineRule="exact"/>
        <w:ind w:firstLine="560"/>
        <w:rPr>
          <w:rFonts w:hint="eastAsia" w:ascii="仿宋" w:hAnsi="仿宋" w:eastAsia="仿宋"/>
          <w:sz w:val="28"/>
          <w:szCs w:val="28"/>
        </w:rPr>
      </w:pPr>
      <w:r>
        <w:rPr>
          <w:rFonts w:hint="eastAsia" w:ascii="仿宋" w:hAnsi="仿宋" w:eastAsia="仿宋"/>
          <w:sz w:val="28"/>
          <w:szCs w:val="28"/>
        </w:rPr>
        <w:t>27.4.2向采购人、采购代理机构行贿或者提供其他不正当利益的。</w:t>
      </w:r>
    </w:p>
    <w:p w14:paraId="762B6765">
      <w:pPr>
        <w:spacing w:line="520" w:lineRule="exact"/>
        <w:ind w:firstLine="560"/>
        <w:rPr>
          <w:rFonts w:hint="eastAsia" w:ascii="仿宋" w:hAnsi="仿宋" w:eastAsia="仿宋"/>
          <w:sz w:val="28"/>
          <w:szCs w:val="28"/>
        </w:rPr>
      </w:pPr>
      <w:r>
        <w:rPr>
          <w:rFonts w:hint="eastAsia" w:ascii="仿宋" w:hAnsi="仿宋" w:eastAsia="仿宋"/>
          <w:sz w:val="28"/>
          <w:szCs w:val="28"/>
        </w:rPr>
        <w:t>27.4.3属于本文件规定的无效条件，但在评标过程中又未被评委会发现的。</w:t>
      </w:r>
    </w:p>
    <w:p w14:paraId="777F1D63">
      <w:pPr>
        <w:spacing w:line="520" w:lineRule="exact"/>
        <w:ind w:firstLine="560"/>
        <w:rPr>
          <w:rFonts w:hint="eastAsia" w:ascii="仿宋" w:hAnsi="仿宋" w:eastAsia="仿宋"/>
          <w:sz w:val="28"/>
          <w:szCs w:val="28"/>
        </w:rPr>
      </w:pPr>
      <w:r>
        <w:rPr>
          <w:rFonts w:hint="eastAsia" w:ascii="仿宋" w:hAnsi="仿宋" w:eastAsia="仿宋"/>
          <w:sz w:val="28"/>
          <w:szCs w:val="28"/>
        </w:rPr>
        <w:t>27.4.4与采购人或者其他投标人恶意串通的。</w:t>
      </w:r>
    </w:p>
    <w:p w14:paraId="03EB65A5">
      <w:pPr>
        <w:spacing w:line="520" w:lineRule="exact"/>
        <w:ind w:firstLine="560"/>
        <w:rPr>
          <w:rFonts w:hint="eastAsia" w:ascii="仿宋" w:hAnsi="仿宋" w:eastAsia="仿宋"/>
          <w:sz w:val="28"/>
          <w:szCs w:val="28"/>
        </w:rPr>
      </w:pPr>
      <w:r>
        <w:rPr>
          <w:rFonts w:hint="eastAsia" w:ascii="仿宋" w:hAnsi="仿宋" w:eastAsia="仿宋"/>
          <w:sz w:val="28"/>
          <w:szCs w:val="28"/>
        </w:rPr>
        <w:t>27.4.5采取不正当手段诋毁、排挤其他投标人的。</w:t>
      </w:r>
    </w:p>
    <w:p w14:paraId="6A51A01B">
      <w:pPr>
        <w:spacing w:line="520" w:lineRule="exact"/>
        <w:ind w:firstLine="560"/>
        <w:rPr>
          <w:rFonts w:hint="eastAsia" w:ascii="仿宋" w:hAnsi="仿宋" w:eastAsia="仿宋"/>
          <w:sz w:val="28"/>
          <w:szCs w:val="28"/>
        </w:rPr>
      </w:pPr>
      <w:bookmarkStart w:id="35"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79B59A5A">
      <w:pPr>
        <w:spacing w:line="520" w:lineRule="exact"/>
        <w:ind w:firstLine="560"/>
        <w:rPr>
          <w:rFonts w:hint="eastAsia" w:ascii="仿宋" w:hAnsi="仿宋" w:eastAsia="仿宋"/>
          <w:sz w:val="28"/>
          <w:szCs w:val="28"/>
        </w:rPr>
      </w:pPr>
      <w:r>
        <w:rPr>
          <w:rFonts w:hint="eastAsia" w:ascii="仿宋" w:hAnsi="仿宋" w:eastAsia="仿宋"/>
          <w:sz w:val="28"/>
          <w:szCs w:val="28"/>
        </w:rPr>
        <w:t>27.5.1不同投标人的投标文件由同一单位或者个人编制；</w:t>
      </w:r>
    </w:p>
    <w:p w14:paraId="27174C0B">
      <w:pPr>
        <w:spacing w:line="520" w:lineRule="exact"/>
        <w:ind w:firstLine="560"/>
        <w:rPr>
          <w:rFonts w:hint="eastAsia" w:ascii="仿宋" w:hAnsi="仿宋" w:eastAsia="仿宋"/>
          <w:sz w:val="28"/>
          <w:szCs w:val="28"/>
        </w:rPr>
      </w:pPr>
      <w:r>
        <w:rPr>
          <w:rFonts w:hint="eastAsia" w:ascii="仿宋" w:hAnsi="仿宋" w:eastAsia="仿宋"/>
          <w:sz w:val="28"/>
          <w:szCs w:val="28"/>
        </w:rPr>
        <w:t>27.5.2不同投标人委托同一单位或者个人办理投标事宜；</w:t>
      </w:r>
    </w:p>
    <w:p w14:paraId="7A4DBCCB">
      <w:pPr>
        <w:spacing w:line="520" w:lineRule="exact"/>
        <w:ind w:firstLine="560"/>
        <w:rPr>
          <w:rFonts w:hint="eastAsia" w:ascii="仿宋" w:hAnsi="仿宋" w:eastAsia="仿宋"/>
          <w:sz w:val="28"/>
          <w:szCs w:val="28"/>
        </w:rPr>
      </w:pPr>
      <w:r>
        <w:rPr>
          <w:rFonts w:hint="eastAsia" w:ascii="仿宋" w:hAnsi="仿宋" w:eastAsia="仿宋"/>
          <w:sz w:val="28"/>
          <w:szCs w:val="28"/>
        </w:rPr>
        <w:t>27.5.3不同投标人的投标文件载明的项目管理成员或者联系人员为同一人；</w:t>
      </w:r>
    </w:p>
    <w:p w14:paraId="28589F16">
      <w:pPr>
        <w:spacing w:line="520" w:lineRule="exact"/>
        <w:ind w:firstLine="560"/>
        <w:rPr>
          <w:rFonts w:hint="eastAsia" w:ascii="仿宋" w:hAnsi="仿宋" w:eastAsia="仿宋"/>
          <w:sz w:val="28"/>
          <w:szCs w:val="28"/>
        </w:rPr>
      </w:pPr>
      <w:r>
        <w:rPr>
          <w:rFonts w:hint="eastAsia" w:ascii="仿宋" w:hAnsi="仿宋" w:eastAsia="仿宋"/>
          <w:sz w:val="28"/>
          <w:szCs w:val="28"/>
        </w:rPr>
        <w:t>27.5.4不同投标人的投标文件异常一致或者投标报价呈规律性差异。</w:t>
      </w:r>
    </w:p>
    <w:p w14:paraId="08C6DF10">
      <w:pPr>
        <w:spacing w:line="520" w:lineRule="exact"/>
        <w:rPr>
          <w:rFonts w:hint="eastAsia" w:ascii="仿宋" w:hAnsi="仿宋" w:eastAsia="仿宋"/>
          <w:sz w:val="28"/>
          <w:szCs w:val="28"/>
        </w:rPr>
      </w:pPr>
      <w:r>
        <w:rPr>
          <w:rFonts w:hint="eastAsia" w:ascii="仿宋" w:hAnsi="仿宋" w:eastAsia="仿宋"/>
          <w:sz w:val="28"/>
          <w:szCs w:val="28"/>
          <w:lang w:eastAsia="zh-CN"/>
        </w:rPr>
        <w:t>28.</w:t>
      </w:r>
      <w:r>
        <w:rPr>
          <w:rFonts w:hint="eastAsia" w:ascii="仿宋" w:hAnsi="仿宋" w:eastAsia="仿宋"/>
          <w:sz w:val="28"/>
          <w:szCs w:val="28"/>
        </w:rPr>
        <w:t>质疑处理</w:t>
      </w:r>
      <w:bookmarkEnd w:id="35"/>
    </w:p>
    <w:p w14:paraId="100351C1">
      <w:pPr>
        <w:spacing w:line="520" w:lineRule="exact"/>
        <w:ind w:firstLine="560"/>
        <w:rPr>
          <w:rFonts w:hint="eastAsia" w:ascii="仿宋" w:hAnsi="仿宋" w:eastAsia="仿宋"/>
          <w:sz w:val="28"/>
          <w:szCs w:val="28"/>
        </w:rPr>
      </w:pPr>
      <w:r>
        <w:rPr>
          <w:rFonts w:hint="eastAsia" w:ascii="仿宋" w:hAnsi="仿宋" w:eastAsia="仿宋"/>
          <w:sz w:val="28"/>
          <w:szCs w:val="28"/>
        </w:rPr>
        <w:t>28.1投标人认为采购文件、采购过程和中标结果使自己的权益受到损害的，可以在知道或者应知其权益受到损害之日起七个工作日内，以电子文件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形式</w:t>
      </w:r>
      <w:r>
        <w:rPr>
          <w:rFonts w:hint="eastAsia" w:ascii="仿宋" w:hAnsi="仿宋" w:eastAsia="仿宋"/>
          <w:sz w:val="28"/>
          <w:szCs w:val="28"/>
        </w:rPr>
        <w:t>通过“苏采云平台”</w:t>
      </w:r>
      <w:r>
        <w:rPr>
          <w:rFonts w:hint="eastAsia" w:ascii="仿宋" w:hAnsi="仿宋" w:eastAsia="仿宋"/>
          <w:sz w:val="28"/>
          <w:szCs w:val="28"/>
          <w:lang w:eastAsia="zh-CN"/>
        </w:rPr>
        <w:t>－〉</w:t>
      </w:r>
      <w:r>
        <w:rPr>
          <w:rFonts w:hint="eastAsia" w:ascii="仿宋" w:hAnsi="仿宋" w:eastAsia="仿宋"/>
          <w:sz w:val="28"/>
          <w:szCs w:val="28"/>
        </w:rPr>
        <w:t>“投标人”登录，从“项目质疑申请”模块</w:t>
      </w:r>
      <w:r>
        <w:rPr>
          <w:rFonts w:hint="eastAsia" w:ascii="仿宋" w:hAnsi="仿宋" w:eastAsia="仿宋"/>
          <w:sz w:val="28"/>
          <w:szCs w:val="28"/>
          <w:lang w:eastAsia="zh-CN"/>
        </w:rPr>
        <w:t>质疑</w:t>
      </w:r>
      <w:r>
        <w:rPr>
          <w:rFonts w:hint="eastAsia" w:ascii="仿宋" w:hAnsi="仿宋" w:eastAsia="仿宋"/>
          <w:sz w:val="28"/>
          <w:szCs w:val="28"/>
        </w:rPr>
        <w:t>。未通过交易平台提交的、七个工作日之外以及未按28.5条的要求提供质疑的均不予受理。</w:t>
      </w:r>
    </w:p>
    <w:p w14:paraId="3E1C24F5">
      <w:pPr>
        <w:spacing w:line="520" w:lineRule="exact"/>
        <w:ind w:firstLine="560"/>
        <w:rPr>
          <w:rFonts w:hint="eastAsia" w:ascii="仿宋" w:hAnsi="仿宋" w:eastAsia="仿宋"/>
          <w:sz w:val="28"/>
          <w:szCs w:val="28"/>
        </w:rPr>
      </w:pPr>
      <w:r>
        <w:rPr>
          <w:rFonts w:hint="eastAsia" w:ascii="仿宋" w:hAnsi="仿宋" w:eastAsia="仿宋"/>
          <w:sz w:val="28"/>
          <w:szCs w:val="28"/>
        </w:rPr>
        <w:t>28.2上述应知其权益受到损害之日是指</w:t>
      </w:r>
      <w:r>
        <w:rPr>
          <w:rFonts w:hint="eastAsia" w:ascii="仿宋" w:hAnsi="仿宋" w:eastAsia="仿宋"/>
          <w:sz w:val="28"/>
          <w:szCs w:val="28"/>
          <w:lang w:eastAsia="zh-CN"/>
        </w:rPr>
        <w:t>：</w:t>
      </w:r>
    </w:p>
    <w:p w14:paraId="3E93C54F">
      <w:pPr>
        <w:spacing w:line="520" w:lineRule="exact"/>
        <w:ind w:firstLine="560"/>
        <w:rPr>
          <w:rFonts w:hint="eastAsia" w:ascii="仿宋" w:hAnsi="仿宋" w:eastAsia="仿宋"/>
          <w:sz w:val="28"/>
          <w:szCs w:val="28"/>
        </w:rPr>
      </w:pPr>
      <w:r>
        <w:rPr>
          <w:rFonts w:hint="eastAsia" w:ascii="仿宋" w:hAnsi="仿宋" w:eastAsia="仿宋"/>
          <w:sz w:val="28"/>
          <w:szCs w:val="28"/>
        </w:rPr>
        <w:t>（1）对招标文件提出质疑的，为采购文件公告期限届满之日起计算；</w:t>
      </w:r>
    </w:p>
    <w:p w14:paraId="6465ACB8">
      <w:pPr>
        <w:spacing w:line="520" w:lineRule="exact"/>
        <w:ind w:firstLine="560"/>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eastAsia="zh-CN"/>
        </w:rPr>
        <w:t>）</w:t>
      </w:r>
      <w:r>
        <w:rPr>
          <w:rFonts w:hint="eastAsia" w:ascii="仿宋" w:hAnsi="仿宋" w:eastAsia="仿宋"/>
          <w:sz w:val="28"/>
          <w:szCs w:val="28"/>
        </w:rPr>
        <w:t>对采购过程提出质疑的，为各采购程序环节结束之日起计算；</w:t>
      </w:r>
    </w:p>
    <w:p w14:paraId="6EC1436A">
      <w:pPr>
        <w:spacing w:line="520" w:lineRule="exact"/>
        <w:ind w:firstLine="560"/>
        <w:rPr>
          <w:rFonts w:hint="eastAsia" w:ascii="仿宋" w:hAnsi="仿宋" w:eastAsia="仿宋"/>
          <w:sz w:val="28"/>
          <w:szCs w:val="28"/>
        </w:rPr>
      </w:pPr>
      <w:r>
        <w:rPr>
          <w:rFonts w:hint="eastAsia" w:ascii="仿宋" w:hAnsi="仿宋" w:eastAsia="仿宋"/>
          <w:sz w:val="28"/>
          <w:szCs w:val="28"/>
        </w:rPr>
        <w:t>（3）对中标结果提出质疑的，为中标结果公告期限届满之日起计算。</w:t>
      </w:r>
    </w:p>
    <w:p w14:paraId="6A6CE551">
      <w:pPr>
        <w:spacing w:line="520" w:lineRule="exact"/>
        <w:ind w:firstLine="560"/>
        <w:rPr>
          <w:rFonts w:hint="eastAsia" w:ascii="仿宋" w:hAnsi="仿宋" w:eastAsia="仿宋"/>
          <w:sz w:val="28"/>
          <w:szCs w:val="28"/>
        </w:rPr>
      </w:pPr>
      <w:r>
        <w:rPr>
          <w:rFonts w:hint="eastAsia" w:ascii="仿宋" w:hAnsi="仿宋" w:eastAsia="仿宋"/>
          <w:sz w:val="28"/>
          <w:szCs w:val="28"/>
        </w:rPr>
        <w:t>28.3质疑投标人是指直接参加本次投标活动的投标人，未参加投标活动的投标人或在投标活动中自身权益未受到损害的投标人所提出的质疑不予受理。</w:t>
      </w:r>
    </w:p>
    <w:p w14:paraId="243036F2">
      <w:pPr>
        <w:spacing w:line="520" w:lineRule="exact"/>
        <w:ind w:firstLine="560"/>
        <w:rPr>
          <w:rFonts w:hint="eastAsia" w:ascii="仿宋" w:hAnsi="仿宋" w:eastAsia="仿宋"/>
          <w:sz w:val="28"/>
          <w:szCs w:val="28"/>
        </w:rPr>
      </w:pPr>
      <w:r>
        <w:rPr>
          <w:rFonts w:hint="eastAsia" w:ascii="仿宋" w:hAnsi="仿宋" w:eastAsia="仿宋"/>
          <w:sz w:val="28"/>
          <w:szCs w:val="28"/>
        </w:rPr>
        <w:t>28.4质疑投标人在法定质疑期内应当一次性针对同一采购环节</w:t>
      </w:r>
      <w:r>
        <w:rPr>
          <w:rFonts w:hint="eastAsia" w:ascii="仿宋" w:hAnsi="仿宋" w:eastAsia="仿宋"/>
          <w:sz w:val="28"/>
          <w:szCs w:val="28"/>
          <w:lang w:eastAsia="zh-CN"/>
        </w:rPr>
        <w:t>质疑</w:t>
      </w:r>
      <w:r>
        <w:rPr>
          <w:rFonts w:hint="eastAsia" w:ascii="仿宋" w:hAnsi="仿宋" w:eastAsia="仿宋"/>
          <w:sz w:val="28"/>
          <w:szCs w:val="28"/>
        </w:rPr>
        <w:t>。</w:t>
      </w:r>
    </w:p>
    <w:p w14:paraId="3FFF48BC">
      <w:pPr>
        <w:spacing w:line="520" w:lineRule="exact"/>
        <w:ind w:firstLine="560"/>
        <w:rPr>
          <w:rFonts w:hint="eastAsia" w:ascii="仿宋" w:hAnsi="仿宋" w:eastAsia="仿宋"/>
          <w:sz w:val="28"/>
          <w:szCs w:val="28"/>
        </w:rPr>
      </w:pPr>
      <w:r>
        <w:rPr>
          <w:rFonts w:hint="eastAsia" w:ascii="仿宋" w:hAnsi="仿宋" w:eastAsia="仿宋"/>
          <w:sz w:val="28"/>
          <w:szCs w:val="28"/>
        </w:rPr>
        <w:t>28.5质疑函应当包括以下主要内容，附上相关证明材料。否则，采购代理机构不予受理。</w:t>
      </w:r>
    </w:p>
    <w:p w14:paraId="6FE7E411">
      <w:pPr>
        <w:spacing w:line="520" w:lineRule="exact"/>
        <w:ind w:firstLine="560"/>
        <w:rPr>
          <w:rFonts w:hint="eastAsia" w:ascii="仿宋" w:hAnsi="仿宋" w:eastAsia="仿宋"/>
          <w:sz w:val="28"/>
          <w:szCs w:val="28"/>
        </w:rPr>
      </w:pPr>
      <w:r>
        <w:rPr>
          <w:rFonts w:hint="eastAsia" w:ascii="仿宋" w:hAnsi="仿宋" w:eastAsia="仿宋"/>
          <w:sz w:val="28"/>
          <w:szCs w:val="28"/>
        </w:rPr>
        <w:t>（1）质疑投标人的名称、地址、邮编、联系人及联系电话；</w:t>
      </w:r>
    </w:p>
    <w:p w14:paraId="1EEC1A42">
      <w:pPr>
        <w:spacing w:line="520" w:lineRule="exact"/>
        <w:ind w:firstLine="560"/>
        <w:rPr>
          <w:rFonts w:hint="eastAsia" w:ascii="仿宋" w:hAnsi="仿宋" w:eastAsia="仿宋"/>
          <w:sz w:val="28"/>
          <w:szCs w:val="28"/>
        </w:rPr>
      </w:pPr>
      <w:r>
        <w:rPr>
          <w:rFonts w:hint="eastAsia" w:ascii="仿宋" w:hAnsi="仿宋" w:eastAsia="仿宋"/>
          <w:sz w:val="28"/>
          <w:szCs w:val="28"/>
        </w:rPr>
        <w:t>（2）质疑项目的名称、编号；</w:t>
      </w:r>
    </w:p>
    <w:p w14:paraId="5FF7326E">
      <w:pPr>
        <w:spacing w:line="520" w:lineRule="exact"/>
        <w:ind w:firstLine="560"/>
        <w:rPr>
          <w:rFonts w:hint="eastAsia" w:ascii="仿宋" w:hAnsi="仿宋" w:eastAsia="仿宋"/>
          <w:sz w:val="28"/>
          <w:szCs w:val="28"/>
        </w:rPr>
      </w:pPr>
      <w:r>
        <w:rPr>
          <w:rFonts w:hint="eastAsia" w:ascii="仿宋" w:hAnsi="仿宋" w:eastAsia="仿宋"/>
          <w:sz w:val="28"/>
          <w:szCs w:val="28"/>
        </w:rPr>
        <w:t>（3）具体、明确的质疑事项和与质疑事实相关的请求；</w:t>
      </w:r>
    </w:p>
    <w:p w14:paraId="0E6317D9">
      <w:pPr>
        <w:spacing w:line="520" w:lineRule="exact"/>
        <w:ind w:firstLine="560"/>
        <w:rPr>
          <w:rFonts w:hint="eastAsia" w:ascii="仿宋" w:hAnsi="仿宋" w:eastAsia="仿宋"/>
          <w:sz w:val="28"/>
          <w:szCs w:val="28"/>
        </w:rPr>
      </w:pPr>
      <w:r>
        <w:rPr>
          <w:rFonts w:hint="eastAsia" w:ascii="仿宋" w:hAnsi="仿宋" w:eastAsia="仿宋"/>
          <w:sz w:val="28"/>
          <w:szCs w:val="28"/>
        </w:rPr>
        <w:t>（4）事实依据；</w:t>
      </w:r>
    </w:p>
    <w:p w14:paraId="37862F8C">
      <w:pPr>
        <w:spacing w:line="520" w:lineRule="exact"/>
        <w:ind w:firstLine="560"/>
        <w:rPr>
          <w:rFonts w:hint="eastAsia" w:ascii="仿宋" w:hAnsi="仿宋" w:eastAsia="仿宋"/>
          <w:sz w:val="28"/>
          <w:szCs w:val="28"/>
        </w:rPr>
      </w:pPr>
      <w:r>
        <w:rPr>
          <w:rFonts w:hint="eastAsia" w:ascii="仿宋" w:hAnsi="仿宋" w:eastAsia="仿宋"/>
          <w:sz w:val="28"/>
          <w:szCs w:val="28"/>
        </w:rPr>
        <w:t>（5）必要的法律依据；</w:t>
      </w:r>
    </w:p>
    <w:p w14:paraId="5B8D5544">
      <w:pPr>
        <w:spacing w:line="520" w:lineRule="exact"/>
        <w:ind w:firstLine="560"/>
        <w:rPr>
          <w:rFonts w:hint="eastAsia" w:ascii="仿宋" w:hAnsi="仿宋" w:eastAsia="仿宋"/>
          <w:sz w:val="28"/>
          <w:szCs w:val="28"/>
        </w:rPr>
      </w:pPr>
      <w:r>
        <w:rPr>
          <w:rFonts w:hint="eastAsia" w:ascii="仿宋" w:hAnsi="仿宋" w:eastAsia="仿宋"/>
          <w:sz w:val="28"/>
          <w:szCs w:val="28"/>
        </w:rPr>
        <w:t>（6）提起质疑的日期。</w:t>
      </w:r>
    </w:p>
    <w:p w14:paraId="2C0DADCA">
      <w:pPr>
        <w:spacing w:line="520" w:lineRule="exact"/>
        <w:ind w:firstLine="560"/>
        <w:rPr>
          <w:rFonts w:hint="eastAsia"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w:t>
      </w:r>
    </w:p>
    <w:p w14:paraId="116F773E">
      <w:pPr>
        <w:spacing w:line="520" w:lineRule="exact"/>
        <w:ind w:firstLine="560"/>
        <w:rPr>
          <w:rFonts w:hint="eastAsia" w:ascii="仿宋" w:hAnsi="仿宋" w:eastAsia="仿宋"/>
          <w:sz w:val="28"/>
          <w:szCs w:val="28"/>
        </w:rPr>
      </w:pPr>
      <w:r>
        <w:rPr>
          <w:rFonts w:hint="eastAsia" w:ascii="仿宋" w:hAnsi="仿宋" w:eastAsia="仿宋"/>
          <w:sz w:val="28"/>
          <w:szCs w:val="28"/>
        </w:rPr>
        <w:t>28.6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p>
    <w:p w14:paraId="04E10DB6">
      <w:pPr>
        <w:spacing w:line="520" w:lineRule="exact"/>
        <w:ind w:firstLine="560"/>
        <w:rPr>
          <w:rFonts w:hint="eastAsia" w:ascii="仿宋" w:hAnsi="仿宋" w:eastAsia="仿宋"/>
          <w:sz w:val="28"/>
          <w:szCs w:val="28"/>
        </w:rPr>
      </w:pPr>
      <w:r>
        <w:rPr>
          <w:rFonts w:hint="eastAsia" w:ascii="仿宋" w:hAnsi="仿宋" w:eastAsia="仿宋"/>
          <w:sz w:val="28"/>
          <w:szCs w:val="28"/>
        </w:rPr>
        <w:t>28.7对于内容、格式符合规定的质疑函，采购代理机构将在七个工作日内以电子文件的形式作出答复，但质疑答复的内容不涉及商业秘密。如果质疑投标人还需要纸质形式回复函的，需主动与采购代理机构联系索取，或者在质疑函中明确提出该要求。</w:t>
      </w:r>
    </w:p>
    <w:p w14:paraId="4726C3E8">
      <w:pPr>
        <w:spacing w:line="520" w:lineRule="exact"/>
        <w:ind w:firstLine="560"/>
        <w:rPr>
          <w:rFonts w:hint="eastAsia" w:ascii="仿宋" w:hAnsi="仿宋" w:eastAsia="仿宋"/>
          <w:sz w:val="28"/>
          <w:szCs w:val="28"/>
        </w:rPr>
      </w:pPr>
      <w:r>
        <w:rPr>
          <w:rFonts w:hint="eastAsia" w:ascii="仿宋" w:hAnsi="仿宋" w:eastAsia="仿宋"/>
          <w:sz w:val="28"/>
          <w:szCs w:val="28"/>
        </w:rPr>
        <w:t>28.8投标人提出的质疑必须有理、有据，不得恶意质疑或提交虚假质疑。否则，一经查实，采购代理机构有权依据政府采购的有关规定，报请淮安市洪泽区财政局政府采购管理科对该投标人列入失信行为或不良行为记录名单，进行相应的行政处罚。</w:t>
      </w:r>
    </w:p>
    <w:p w14:paraId="06BB46EC">
      <w:pPr>
        <w:spacing w:line="520" w:lineRule="exact"/>
        <w:rPr>
          <w:rFonts w:hint="eastAsia" w:ascii="仿宋" w:hAnsi="仿宋" w:eastAsia="仿宋"/>
          <w:sz w:val="28"/>
          <w:szCs w:val="28"/>
        </w:rPr>
      </w:pPr>
      <w:r>
        <w:rPr>
          <w:rFonts w:hint="eastAsia" w:ascii="仿宋" w:hAnsi="仿宋" w:eastAsia="仿宋"/>
          <w:sz w:val="28"/>
          <w:szCs w:val="28"/>
        </w:rPr>
        <w:t>29.中标通知书</w:t>
      </w:r>
    </w:p>
    <w:p w14:paraId="1551FF11">
      <w:pPr>
        <w:spacing w:line="520" w:lineRule="exact"/>
        <w:ind w:firstLine="560"/>
        <w:rPr>
          <w:rFonts w:hint="eastAsia" w:ascii="仿宋" w:hAnsi="仿宋" w:eastAsia="仿宋"/>
          <w:sz w:val="28"/>
          <w:szCs w:val="28"/>
        </w:rPr>
      </w:pPr>
      <w:r>
        <w:rPr>
          <w:rFonts w:hint="eastAsia" w:ascii="仿宋" w:hAnsi="仿宋" w:eastAsia="仿宋"/>
          <w:sz w:val="28"/>
          <w:szCs w:val="28"/>
        </w:rPr>
        <w:t>29.l中标结果</w:t>
      </w:r>
      <w:r>
        <w:rPr>
          <w:rFonts w:hint="eastAsia" w:ascii="仿宋" w:hAnsi="仿宋" w:eastAsia="仿宋"/>
          <w:sz w:val="28"/>
          <w:szCs w:val="28"/>
          <w:highlight w:val="none"/>
        </w:rPr>
        <w:t>确定后，采购代理机</w:t>
      </w:r>
      <w:r>
        <w:rPr>
          <w:rFonts w:hint="eastAsia" w:ascii="仿宋" w:hAnsi="仿宋" w:eastAsia="仿宋"/>
          <w:sz w:val="28"/>
          <w:szCs w:val="28"/>
          <w:highlight w:val="none"/>
          <w:lang w:eastAsia="zh-CN"/>
        </w:rPr>
        <w:t>构在</w:t>
      </w:r>
      <w:r>
        <w:rPr>
          <w:rFonts w:hint="eastAsia" w:ascii="仿宋" w:hAnsi="仿宋" w:eastAsia="仿宋"/>
          <w:sz w:val="28"/>
          <w:szCs w:val="28"/>
          <w:highlight w:val="none"/>
        </w:rPr>
        <w:t>2个工作日内向中标人发出中标通知书</w:t>
      </w:r>
      <w:r>
        <w:rPr>
          <w:rFonts w:hint="eastAsia" w:ascii="仿宋" w:hAnsi="仿宋" w:eastAsia="仿宋"/>
          <w:sz w:val="28"/>
          <w:szCs w:val="28"/>
          <w:highlight w:val="none"/>
          <w:lang w:eastAsia="zh-CN"/>
        </w:rPr>
        <w:t>并同时发布中标公告</w:t>
      </w:r>
      <w:r>
        <w:rPr>
          <w:rFonts w:hint="eastAsia" w:ascii="仿宋" w:hAnsi="仿宋" w:eastAsia="仿宋"/>
          <w:sz w:val="28"/>
          <w:szCs w:val="28"/>
          <w:highlight w:val="none"/>
        </w:rPr>
        <w:t>。请中标</w:t>
      </w:r>
      <w:r>
        <w:rPr>
          <w:rFonts w:hint="eastAsia" w:ascii="仿宋" w:hAnsi="仿宋" w:eastAsia="仿宋"/>
          <w:sz w:val="28"/>
          <w:szCs w:val="28"/>
        </w:rPr>
        <w:t>人在中标结果公告届满之日起30日内</w:t>
      </w:r>
      <w:r>
        <w:rPr>
          <w:rFonts w:hint="eastAsia" w:ascii="仿宋" w:hAnsi="仿宋" w:eastAsia="仿宋"/>
          <w:sz w:val="28"/>
          <w:szCs w:val="28"/>
          <w:lang w:eastAsia="zh-CN"/>
        </w:rPr>
        <w:t>，</w:t>
      </w:r>
      <w:r>
        <w:rPr>
          <w:rFonts w:hint="eastAsia" w:ascii="仿宋" w:hAnsi="仿宋" w:eastAsia="仿宋"/>
          <w:sz w:val="28"/>
          <w:szCs w:val="28"/>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w:t>
      </w:r>
      <w:r>
        <w:rPr>
          <w:rFonts w:hint="eastAsia" w:ascii="仿宋" w:hAnsi="仿宋" w:eastAsia="仿宋"/>
          <w:sz w:val="28"/>
          <w:szCs w:val="28"/>
        </w:rPr>
        <w:t>因未及时下载而造成的不利后果由中标人自行承担。</w:t>
      </w:r>
    </w:p>
    <w:p w14:paraId="0F2D009D">
      <w:pPr>
        <w:spacing w:line="520" w:lineRule="exact"/>
        <w:ind w:firstLine="560"/>
        <w:rPr>
          <w:rFonts w:hint="eastAsia" w:ascii="仿宋" w:hAnsi="仿宋" w:eastAsia="仿宋"/>
          <w:sz w:val="28"/>
          <w:szCs w:val="28"/>
        </w:rPr>
      </w:pPr>
      <w:r>
        <w:rPr>
          <w:rFonts w:hint="eastAsia" w:ascii="仿宋" w:hAnsi="仿宋" w:eastAsia="仿宋"/>
          <w:sz w:val="28"/>
          <w:szCs w:val="28"/>
        </w:rPr>
        <w:t>29.2中标通知书将是合同的一个组成部分。对采购人和中标人均具有法律效力。中标通知书发出后，采购人改变中标结果的，或者中标人放弃中标项目的，应当依法承担法律责任。</w:t>
      </w:r>
    </w:p>
    <w:p w14:paraId="523BDC17">
      <w:pPr>
        <w:numPr>
          <w:ilvl w:val="0"/>
          <w:numId w:val="0"/>
        </w:numPr>
        <w:spacing w:line="520" w:lineRule="exact"/>
        <w:ind w:firstLine="482" w:firstLineChars="0"/>
        <w:rPr>
          <w:rFonts w:hint="eastAsia" w:ascii="仿宋" w:hAnsi="仿宋" w:eastAsia="仿宋"/>
          <w:b/>
          <w:sz w:val="32"/>
          <w:szCs w:val="32"/>
        </w:rPr>
      </w:pPr>
      <w:bookmarkStart w:id="36" w:name="_Toc120614220"/>
      <w:bookmarkStart w:id="37" w:name="_Toc513029236"/>
      <w:bookmarkStart w:id="38" w:name="_Toc20823308"/>
      <w:bookmarkStart w:id="39" w:name="_Toc16938552"/>
      <w:r>
        <w:rPr>
          <w:rFonts w:hint="eastAsia" w:ascii="仿宋" w:hAnsi="仿宋" w:eastAsia="仿宋" w:cs="Times New Roman"/>
          <w:b/>
          <w:sz w:val="32"/>
          <w:szCs w:val="32"/>
          <w:lang w:val="en-US" w:eastAsia="zh-CN" w:bidi="ar-SA"/>
        </w:rPr>
        <w:t>七、</w:t>
      </w:r>
      <w:r>
        <w:rPr>
          <w:rFonts w:hint="eastAsia" w:ascii="仿宋" w:hAnsi="仿宋" w:eastAsia="仿宋"/>
          <w:b/>
          <w:sz w:val="32"/>
          <w:szCs w:val="32"/>
        </w:rPr>
        <w:t>授予合同</w:t>
      </w:r>
      <w:bookmarkEnd w:id="36"/>
    </w:p>
    <w:bookmarkEnd w:id="37"/>
    <w:bookmarkEnd w:id="38"/>
    <w:bookmarkEnd w:id="39"/>
    <w:p w14:paraId="6AE3C8C2">
      <w:pPr>
        <w:spacing w:line="520" w:lineRule="exact"/>
        <w:rPr>
          <w:rFonts w:hint="eastAsia" w:ascii="仿宋" w:hAnsi="仿宋" w:eastAsia="仿宋"/>
          <w:sz w:val="28"/>
          <w:szCs w:val="28"/>
        </w:rPr>
      </w:pPr>
      <w:bookmarkStart w:id="40" w:name="_Toc20823309"/>
      <w:bookmarkStart w:id="41" w:name="_Toc16938553"/>
      <w:bookmarkStart w:id="42" w:name="_Toc513029237"/>
      <w:r>
        <w:rPr>
          <w:rFonts w:hint="eastAsia" w:ascii="仿宋" w:hAnsi="仿宋" w:eastAsia="仿宋"/>
          <w:sz w:val="28"/>
          <w:szCs w:val="28"/>
        </w:rPr>
        <w:t>30.签订合同</w:t>
      </w:r>
      <w:r>
        <w:rPr>
          <w:rFonts w:hint="eastAsia" w:ascii="仿宋" w:hAnsi="仿宋" w:eastAsia="仿宋"/>
          <w:sz w:val="28"/>
          <w:szCs w:val="28"/>
        </w:rPr>
        <w:tab/>
      </w:r>
    </w:p>
    <w:p w14:paraId="0413E78A">
      <w:pPr>
        <w:spacing w:line="520" w:lineRule="exact"/>
        <w:ind w:firstLine="560"/>
        <w:rPr>
          <w:rFonts w:hint="eastAsia" w:ascii="仿宋" w:hAnsi="仿宋" w:eastAsia="仿宋"/>
          <w:sz w:val="28"/>
          <w:szCs w:val="28"/>
        </w:rPr>
      </w:pPr>
      <w:r>
        <w:rPr>
          <w:rFonts w:hint="eastAsia" w:ascii="仿宋" w:hAnsi="仿宋" w:eastAsia="仿宋"/>
          <w:sz w:val="28"/>
          <w:szCs w:val="28"/>
        </w:rPr>
        <w:t>30.l中标人应当在中标通知书发出之日起三十日内，按照招标文件确定的事项与采购人签订政府采购合同。</w:t>
      </w:r>
    </w:p>
    <w:p w14:paraId="0F6F1CF4">
      <w:pPr>
        <w:spacing w:line="520" w:lineRule="exact"/>
        <w:ind w:firstLine="560"/>
        <w:rPr>
          <w:rFonts w:hint="eastAsia" w:ascii="仿宋" w:hAnsi="仿宋" w:eastAsia="仿宋"/>
          <w:sz w:val="28"/>
          <w:szCs w:val="28"/>
        </w:rPr>
      </w:pPr>
      <w:r>
        <w:rPr>
          <w:rFonts w:hint="eastAsia" w:ascii="仿宋" w:hAnsi="仿宋" w:eastAsia="仿宋"/>
          <w:sz w:val="28"/>
          <w:szCs w:val="28"/>
        </w:rPr>
        <w:t>30.2招标文件、中标人的投标文件及招标过程中有关澄清、承诺文件均应作为合同附件。</w:t>
      </w:r>
    </w:p>
    <w:p w14:paraId="7356A492">
      <w:pPr>
        <w:spacing w:line="520" w:lineRule="exact"/>
        <w:ind w:firstLine="560"/>
        <w:rPr>
          <w:rFonts w:hint="eastAsia" w:ascii="仿宋" w:hAnsi="仿宋" w:eastAsia="仿宋"/>
          <w:sz w:val="28"/>
          <w:szCs w:val="28"/>
        </w:rPr>
      </w:pPr>
      <w:r>
        <w:rPr>
          <w:rFonts w:hint="eastAsia" w:ascii="仿宋" w:hAnsi="仿宋" w:eastAsia="仿宋"/>
          <w:sz w:val="28"/>
          <w:szCs w:val="28"/>
        </w:rPr>
        <w:t>30.3签订合同后，中标人不得将合同标的进行转包。未经采购人同意，中标人也不得采用分包的形式履行合同，否则采购人有权终止合同。转包或分包造成采购人损失的，中标人应承担相应赔偿责任。</w:t>
      </w:r>
    </w:p>
    <w:p w14:paraId="1948F894">
      <w:pPr>
        <w:spacing w:line="520" w:lineRule="exact"/>
        <w:rPr>
          <w:rFonts w:hint="eastAsia" w:ascii="仿宋" w:hAnsi="仿宋" w:eastAsia="仿宋"/>
          <w:sz w:val="28"/>
          <w:szCs w:val="28"/>
        </w:rPr>
      </w:pPr>
      <w:r>
        <w:rPr>
          <w:rFonts w:hint="eastAsia" w:ascii="仿宋" w:hAnsi="仿宋" w:eastAsia="仿宋"/>
          <w:sz w:val="28"/>
          <w:szCs w:val="28"/>
        </w:rPr>
        <w:t>31.货物（包含与货物相关的服务）的追加</w:t>
      </w:r>
    </w:p>
    <w:p w14:paraId="1378F6FA">
      <w:pPr>
        <w:spacing w:line="520" w:lineRule="exact"/>
        <w:ind w:firstLine="560"/>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40"/>
    <w:bookmarkEnd w:id="41"/>
    <w:bookmarkEnd w:id="42"/>
    <w:p w14:paraId="629DEAF8">
      <w:pPr>
        <w:spacing w:line="520" w:lineRule="exact"/>
        <w:rPr>
          <w:rFonts w:hint="eastAsia" w:ascii="仿宋" w:hAnsi="仿宋" w:eastAsia="仿宋"/>
          <w:sz w:val="28"/>
          <w:szCs w:val="28"/>
        </w:rPr>
      </w:pPr>
      <w:r>
        <w:rPr>
          <w:rFonts w:hint="eastAsia" w:ascii="仿宋" w:hAnsi="仿宋" w:eastAsia="仿宋"/>
          <w:sz w:val="28"/>
          <w:szCs w:val="28"/>
        </w:rPr>
        <w:t>32.政府采购履约资金扶持政策</w:t>
      </w:r>
    </w:p>
    <w:p w14:paraId="3F487A8E">
      <w:pPr>
        <w:spacing w:line="520" w:lineRule="exact"/>
        <w:ind w:firstLine="560"/>
        <w:rPr>
          <w:rFonts w:hint="eastAsia" w:ascii="仿宋" w:hAnsi="仿宋" w:eastAsia="仿宋"/>
          <w:sz w:val="28"/>
          <w:szCs w:val="28"/>
        </w:rPr>
      </w:pPr>
      <w:r>
        <w:rPr>
          <w:rFonts w:hint="eastAsia" w:ascii="仿宋" w:hAnsi="仿宋" w:eastAsia="仿宋"/>
          <w:sz w:val="28"/>
          <w:szCs w:val="28"/>
        </w:rPr>
        <w:t>中标人可凭政府采购合同办理融资贷款，详情请见江苏政府采购网“政采贷”专栏。</w:t>
      </w:r>
    </w:p>
    <w:p w14:paraId="0C691EF3">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3A2C57ED">
      <w:pPr>
        <w:spacing w:line="520" w:lineRule="exact"/>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7C4BFAA2">
      <w:pPr>
        <w:spacing w:line="520" w:lineRule="exact"/>
        <w:ind w:firstLine="560"/>
        <w:rPr>
          <w:rFonts w:hint="eastAsia" w:ascii="仿宋" w:hAnsi="仿宋" w:eastAsia="仿宋"/>
          <w:sz w:val="28"/>
          <w:szCs w:val="28"/>
        </w:rPr>
      </w:pPr>
      <w:r>
        <w:rPr>
          <w:rFonts w:hint="eastAsia" w:ascii="仿宋" w:hAnsi="仿宋" w:eastAsia="仿宋"/>
          <w:sz w:val="28"/>
          <w:szCs w:val="28"/>
        </w:rPr>
        <w:t>33.1小微型企业价格扣除</w:t>
      </w:r>
    </w:p>
    <w:p w14:paraId="2C6DB122">
      <w:pPr>
        <w:spacing w:line="520" w:lineRule="exact"/>
        <w:ind w:firstLine="560"/>
        <w:rPr>
          <w:rFonts w:hint="eastAsia" w:ascii="仿宋" w:hAnsi="仿宋" w:eastAsia="仿宋"/>
          <w:sz w:val="28"/>
          <w:szCs w:val="28"/>
        </w:rPr>
      </w:pPr>
      <w:r>
        <w:rPr>
          <w:rFonts w:hint="eastAsia" w:ascii="仿宋" w:hAnsi="仿宋" w:eastAsia="仿宋"/>
          <w:sz w:val="28"/>
          <w:szCs w:val="28"/>
        </w:rPr>
        <w:t>33.1.1</w:t>
      </w:r>
      <w:r>
        <w:rPr>
          <w:rFonts w:hint="eastAsia" w:ascii="仿宋" w:hAnsi="仿宋" w:eastAsia="仿宋"/>
          <w:sz w:val="28"/>
          <w:szCs w:val="28"/>
          <w:lang w:val="zh-CN" w:eastAsia="zh-CN"/>
        </w:rPr>
        <w:t>对于</w:t>
      </w:r>
      <w:r>
        <w:rPr>
          <w:rFonts w:hint="eastAsia" w:ascii="仿宋" w:hAnsi="仿宋" w:eastAsia="仿宋"/>
          <w:sz w:val="28"/>
          <w:szCs w:val="28"/>
          <w:lang w:val="zh-CN"/>
        </w:rPr>
        <w:t>未专门面向中小企业或者未预留份额专门面向中小企业采购的采购项目，</w:t>
      </w:r>
      <w:r>
        <w:rPr>
          <w:rFonts w:hint="eastAsia" w:ascii="仿宋" w:hAnsi="仿宋" w:eastAsia="仿宋"/>
          <w:sz w:val="28"/>
          <w:szCs w:val="28"/>
          <w:lang w:val="zh-CN" w:eastAsia="zh-CN"/>
        </w:rPr>
        <w:t>投标人</w:t>
      </w:r>
      <w:r>
        <w:rPr>
          <w:rFonts w:hint="eastAsia" w:ascii="仿宋" w:hAnsi="仿宋" w:eastAsia="仿宋"/>
          <w:sz w:val="28"/>
          <w:szCs w:val="28"/>
          <w:lang w:val="zh-CN"/>
        </w:rPr>
        <w:t>提供的货物或者服务符合下列情形的，享受本办法规定的中小企业扶持政策</w:t>
      </w:r>
      <w:r>
        <w:rPr>
          <w:rFonts w:hint="eastAsia" w:ascii="仿宋" w:hAnsi="仿宋" w:eastAsia="仿宋"/>
          <w:sz w:val="28"/>
          <w:szCs w:val="28"/>
          <w:lang w:val="zh-CN" w:eastAsia="zh-CN"/>
        </w:rPr>
        <w:t>，给予</w:t>
      </w:r>
      <w:r>
        <w:rPr>
          <w:rFonts w:hint="eastAsia" w:ascii="仿宋" w:hAnsi="仿宋" w:eastAsia="仿宋"/>
          <w:sz w:val="28"/>
          <w:szCs w:val="28"/>
          <w:lang w:val="zh-CN"/>
        </w:rPr>
        <w:t>小微企业报价20%的扣除，用扣除后的价格参与评审</w:t>
      </w:r>
      <w:r>
        <w:rPr>
          <w:rFonts w:hint="eastAsia" w:ascii="仿宋" w:hAnsi="仿宋" w:eastAsia="仿宋"/>
          <w:sz w:val="28"/>
          <w:szCs w:val="28"/>
        </w:rPr>
        <w:t>：</w:t>
      </w:r>
    </w:p>
    <w:p w14:paraId="461D919B">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6576A1A1">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7D6D0F6C">
      <w:pPr>
        <w:spacing w:line="520" w:lineRule="exact"/>
        <w:ind w:firstLine="560"/>
        <w:rPr>
          <w:rFonts w:hint="eastAsia" w:ascii="仿宋" w:hAnsi="仿宋" w:eastAsia="仿宋"/>
          <w:sz w:val="28"/>
          <w:szCs w:val="28"/>
        </w:rPr>
      </w:pPr>
      <w:r>
        <w:rPr>
          <w:rFonts w:hint="eastAsia" w:ascii="仿宋" w:hAnsi="仿宋" w:eastAsia="仿宋"/>
          <w:sz w:val="28"/>
          <w:szCs w:val="28"/>
        </w:rPr>
        <w:t>33.1.2在货物采购项目中，投标人提供的货物既有中小企业制造货物，也有大型企业制造货物的，不享受本办法规定的中小企业扶持政策。</w:t>
      </w:r>
    </w:p>
    <w:p w14:paraId="112469D7">
      <w:pPr>
        <w:spacing w:line="520" w:lineRule="exact"/>
        <w:ind w:firstLine="560"/>
        <w:rPr>
          <w:rFonts w:hint="eastAsia" w:ascii="仿宋" w:hAnsi="仿宋" w:eastAsia="仿宋"/>
          <w:sz w:val="28"/>
          <w:szCs w:val="28"/>
        </w:rPr>
      </w:pPr>
      <w:r>
        <w:rPr>
          <w:rFonts w:hint="eastAsia" w:ascii="仿宋" w:hAnsi="仿宋" w:eastAsia="仿宋"/>
          <w:sz w:val="28"/>
          <w:szCs w:val="28"/>
        </w:rPr>
        <w:t>33.2联合体及分包</w:t>
      </w:r>
    </w:p>
    <w:p w14:paraId="0CC3A1F0">
      <w:pPr>
        <w:spacing w:line="520" w:lineRule="exact"/>
        <w:ind w:firstLine="560"/>
        <w:rPr>
          <w:rFonts w:hint="eastAsia" w:ascii="仿宋" w:hAnsi="仿宋" w:eastAsia="仿宋"/>
          <w:sz w:val="28"/>
          <w:szCs w:val="28"/>
        </w:rPr>
      </w:pPr>
      <w:r>
        <w:rPr>
          <w:rFonts w:hint="eastAsia" w:ascii="仿宋" w:hAnsi="仿宋" w:eastAsia="仿宋"/>
          <w:sz w:val="28"/>
          <w:szCs w:val="28"/>
        </w:rPr>
        <w:t>33.2.1以联合体形式参加政府采购活动，联合体各方均为中小企业的，联合体视同中小企业。其中，联合体各方均为小微企业的，联合体视同小微企业。</w:t>
      </w:r>
    </w:p>
    <w:p w14:paraId="6FD8D801">
      <w:pPr>
        <w:spacing w:line="520" w:lineRule="exact"/>
        <w:ind w:firstLine="560"/>
        <w:rPr>
          <w:rFonts w:hint="eastAsia"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42B3AE92">
      <w:pPr>
        <w:spacing w:line="520" w:lineRule="exact"/>
        <w:ind w:firstLine="560"/>
        <w:rPr>
          <w:rFonts w:hint="eastAsia"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w:t>
      </w:r>
      <w:r>
        <w:rPr>
          <w:rFonts w:hint="eastAsia" w:ascii="仿宋" w:hAnsi="仿宋" w:eastAsia="仿宋"/>
          <w:sz w:val="28"/>
          <w:szCs w:val="28"/>
          <w:lang w:eastAsia="zh-CN"/>
        </w:rPr>
        <w:t>40%</w:t>
      </w:r>
      <w:r>
        <w:rPr>
          <w:rFonts w:hint="eastAsia" w:ascii="仿宋" w:hAnsi="仿宋" w:eastAsia="仿宋"/>
          <w:sz w:val="28"/>
          <w:szCs w:val="28"/>
        </w:rPr>
        <w:t>以上的，采购人应当对联合体或者大中型企业的报价给予5%的扣除，用扣除后的价格参加评审。</w:t>
      </w:r>
    </w:p>
    <w:p w14:paraId="1C266B1A">
      <w:pPr>
        <w:spacing w:line="520" w:lineRule="exact"/>
        <w:ind w:firstLine="560"/>
        <w:rPr>
          <w:rFonts w:hint="eastAsia"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E512E81">
      <w:pPr>
        <w:spacing w:line="520" w:lineRule="exact"/>
        <w:ind w:firstLine="560"/>
        <w:rPr>
          <w:rFonts w:hint="eastAsia" w:ascii="仿宋" w:hAnsi="仿宋" w:eastAsia="仿宋"/>
          <w:sz w:val="28"/>
          <w:szCs w:val="28"/>
        </w:rPr>
      </w:pPr>
      <w:r>
        <w:rPr>
          <w:rFonts w:hint="eastAsia" w:ascii="仿宋" w:hAnsi="仿宋" w:eastAsia="仿宋"/>
          <w:sz w:val="28"/>
          <w:szCs w:val="28"/>
        </w:rPr>
        <w:t>33.3小微型企业</w:t>
      </w:r>
    </w:p>
    <w:p w14:paraId="4D4327BE">
      <w:pPr>
        <w:spacing w:line="520" w:lineRule="exact"/>
        <w:ind w:firstLine="560"/>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1CC03DED">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w:t>
      </w:r>
      <w:r>
        <w:rPr>
          <w:rFonts w:hint="eastAsia" w:ascii="仿宋" w:hAnsi="仿宋" w:eastAsia="仿宋"/>
          <w:sz w:val="28"/>
          <w:szCs w:val="28"/>
          <w:lang w:eastAsia="zh-CN"/>
        </w:rPr>
        <w:t>〔2020〕46号</w:t>
      </w:r>
      <w:r>
        <w:rPr>
          <w:rFonts w:hint="eastAsia" w:ascii="仿宋" w:hAnsi="仿宋" w:eastAsia="仿宋"/>
          <w:sz w:val="28"/>
          <w:szCs w:val="28"/>
        </w:rPr>
        <w:t>）文件规定自行填写。</w:t>
      </w:r>
    </w:p>
    <w:p w14:paraId="6EDF8CE4">
      <w:pPr>
        <w:spacing w:line="520" w:lineRule="exact"/>
        <w:ind w:firstLine="560"/>
        <w:rPr>
          <w:rFonts w:hint="eastAsia" w:ascii="仿宋" w:hAnsi="仿宋" w:eastAsia="仿宋"/>
          <w:sz w:val="28"/>
          <w:szCs w:val="28"/>
        </w:rPr>
      </w:pPr>
      <w:r>
        <w:rPr>
          <w:rFonts w:hint="eastAsia" w:ascii="仿宋" w:hAnsi="仿宋" w:eastAsia="仿宋"/>
          <w:sz w:val="28"/>
          <w:szCs w:val="28"/>
        </w:rPr>
        <w:t>33.4残疾人福利单位</w:t>
      </w:r>
    </w:p>
    <w:p w14:paraId="5D19A739">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180BAEF5">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0C001B31">
      <w:pPr>
        <w:spacing w:line="520" w:lineRule="exact"/>
        <w:ind w:firstLine="560"/>
        <w:rPr>
          <w:rFonts w:hint="eastAsia" w:ascii="仿宋" w:hAnsi="仿宋" w:eastAsia="仿宋"/>
          <w:sz w:val="28"/>
          <w:szCs w:val="28"/>
        </w:rPr>
      </w:pPr>
      <w:r>
        <w:rPr>
          <w:rFonts w:hint="eastAsia" w:ascii="仿宋" w:hAnsi="仿宋" w:eastAsia="仿宋"/>
          <w:sz w:val="28"/>
          <w:szCs w:val="28"/>
        </w:rPr>
        <w:t>33.5监狱和戒毒企业</w:t>
      </w:r>
    </w:p>
    <w:p w14:paraId="10FFE288">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1E14519A">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w:t>
      </w:r>
      <w:r>
        <w:rPr>
          <w:rFonts w:hint="eastAsia" w:ascii="仿宋" w:hAnsi="仿宋" w:eastAsia="仿宋"/>
          <w:sz w:val="28"/>
          <w:szCs w:val="28"/>
          <w:lang w:eastAsia="zh-CN"/>
        </w:rPr>
        <w:t>〔2014〕68号</w:t>
      </w:r>
      <w:r>
        <w:rPr>
          <w:rFonts w:hint="eastAsia" w:ascii="仿宋" w:hAnsi="仿宋" w:eastAsia="仿宋"/>
          <w:sz w:val="28"/>
          <w:szCs w:val="28"/>
        </w:rPr>
        <w:t>）。</w:t>
      </w:r>
    </w:p>
    <w:p w14:paraId="5E279A4D">
      <w:pPr>
        <w:spacing w:line="520" w:lineRule="exact"/>
        <w:ind w:firstLine="560"/>
        <w:rPr>
          <w:rFonts w:hint="eastAsia" w:ascii="仿宋" w:hAnsi="仿宋" w:eastAsia="仿宋"/>
          <w:sz w:val="28"/>
          <w:szCs w:val="28"/>
        </w:rPr>
      </w:pPr>
      <w:r>
        <w:rPr>
          <w:rFonts w:hint="eastAsia" w:ascii="仿宋" w:hAnsi="仿宋" w:eastAsia="仿宋"/>
          <w:sz w:val="28"/>
          <w:szCs w:val="28"/>
        </w:rPr>
        <w:t>34.节能、环保政策</w:t>
      </w:r>
    </w:p>
    <w:p w14:paraId="3448E7C8">
      <w:pPr>
        <w:spacing w:line="520" w:lineRule="exact"/>
        <w:ind w:firstLine="560"/>
        <w:rPr>
          <w:rFonts w:hint="eastAsia" w:ascii="仿宋" w:hAnsi="仿宋" w:eastAsia="仿宋"/>
          <w:sz w:val="28"/>
          <w:szCs w:val="28"/>
        </w:rPr>
      </w:pPr>
      <w:r>
        <w:rPr>
          <w:rFonts w:hint="eastAsia" w:ascii="仿宋" w:hAnsi="仿宋" w:eastAsia="仿宋"/>
          <w:sz w:val="28"/>
          <w:szCs w:val="28"/>
        </w:rPr>
        <w:t>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4704C6BA">
      <w:pPr>
        <w:spacing w:line="520" w:lineRule="exact"/>
        <w:ind w:firstLine="560"/>
        <w:rPr>
          <w:rFonts w:hint="eastAsia" w:ascii="仿宋" w:hAnsi="仿宋" w:eastAsia="仿宋"/>
          <w:sz w:val="28"/>
          <w:szCs w:val="28"/>
        </w:rPr>
      </w:pPr>
      <w:r>
        <w:rPr>
          <w:rFonts w:hint="eastAsia" w:ascii="仿宋" w:hAnsi="仿宋" w:eastAsia="仿宋"/>
          <w:sz w:val="28"/>
          <w:szCs w:val="28"/>
        </w:rPr>
        <w:t>34.2节能产品（本项目不涉及）</w:t>
      </w:r>
    </w:p>
    <w:p w14:paraId="1E6439EE">
      <w:pPr>
        <w:spacing w:line="520" w:lineRule="exact"/>
        <w:ind w:firstLine="560"/>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lang w:eastAsia="zh-CN"/>
        </w:rPr>
        <w:t>（</w:t>
      </w:r>
      <w:r>
        <w:rPr>
          <w:rFonts w:hint="eastAsia" w:ascii="仿宋" w:hAnsi="仿宋" w:eastAsia="仿宋"/>
          <w:sz w:val="28"/>
          <w:szCs w:val="28"/>
          <w:u w:val="single"/>
        </w:rPr>
        <w:t>采购产品</w:t>
      </w:r>
      <w:r>
        <w:rPr>
          <w:rFonts w:hint="eastAsia" w:ascii="仿宋" w:hAnsi="仿宋" w:eastAsia="仿宋"/>
          <w:sz w:val="28"/>
          <w:szCs w:val="28"/>
          <w:u w:val="single"/>
          <w:lang w:eastAsia="zh-CN"/>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（优先采购/强制采购）</w:t>
      </w:r>
      <w:r>
        <w:rPr>
          <w:rFonts w:hint="eastAsia" w:ascii="仿宋" w:hAnsi="仿宋" w:eastAsia="仿宋"/>
          <w:sz w:val="28"/>
          <w:szCs w:val="28"/>
        </w:rPr>
        <w:t>。</w:t>
      </w:r>
    </w:p>
    <w:p w14:paraId="584DDC25">
      <w:pPr>
        <w:spacing w:line="520" w:lineRule="exact"/>
        <w:ind w:firstLine="560"/>
        <w:rPr>
          <w:rFonts w:hint="eastAsia" w:ascii="仿宋" w:hAnsi="仿宋" w:eastAsia="仿宋"/>
          <w:sz w:val="28"/>
          <w:szCs w:val="28"/>
        </w:rPr>
      </w:pPr>
      <w:r>
        <w:rPr>
          <w:rFonts w:hint="eastAsia" w:ascii="仿宋" w:hAnsi="仿宋" w:eastAsia="仿宋"/>
          <w:sz w:val="28"/>
          <w:szCs w:val="28"/>
        </w:rPr>
        <w:t>34.3环保产品（本项目不涉及）</w:t>
      </w:r>
    </w:p>
    <w:p w14:paraId="5A2F92F1">
      <w:pPr>
        <w:spacing w:line="520" w:lineRule="exact"/>
        <w:ind w:firstLine="560"/>
        <w:rPr>
          <w:rFonts w:hint="eastAsia"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lang w:eastAsia="zh-CN"/>
        </w:rPr>
        <w:t>（</w:t>
      </w:r>
      <w:r>
        <w:rPr>
          <w:rFonts w:hint="eastAsia" w:ascii="仿宋" w:hAnsi="仿宋" w:eastAsia="仿宋"/>
          <w:sz w:val="28"/>
          <w:szCs w:val="28"/>
          <w:u w:val="single"/>
        </w:rPr>
        <w:t>采购产品</w:t>
      </w:r>
      <w:r>
        <w:rPr>
          <w:rFonts w:hint="eastAsia" w:ascii="仿宋" w:hAnsi="仿宋" w:eastAsia="仿宋"/>
          <w:sz w:val="28"/>
          <w:szCs w:val="28"/>
          <w:u w:val="single"/>
          <w:lang w:eastAsia="zh-CN"/>
        </w:rPr>
        <w:t>）</w:t>
      </w:r>
      <w:r>
        <w:rPr>
          <w:rFonts w:hint="eastAsia" w:ascii="仿宋" w:hAnsi="仿宋" w:eastAsia="仿宋"/>
          <w:sz w:val="28"/>
          <w:szCs w:val="28"/>
        </w:rPr>
        <w:t>被列入“环境标志产品品目清单”的，实行优先采购。</w:t>
      </w:r>
    </w:p>
    <w:p w14:paraId="259919EE">
      <w:pPr>
        <w:spacing w:line="520" w:lineRule="exact"/>
        <w:ind w:firstLine="560"/>
        <w:rPr>
          <w:rFonts w:hint="eastAsia" w:ascii="仿宋" w:hAnsi="仿宋" w:eastAsia="仿宋"/>
          <w:sz w:val="28"/>
          <w:szCs w:val="28"/>
        </w:rPr>
      </w:pPr>
      <w:r>
        <w:rPr>
          <w:rFonts w:hint="eastAsia" w:ascii="仿宋" w:hAnsi="仿宋" w:eastAsia="仿宋"/>
          <w:sz w:val="28"/>
          <w:szCs w:val="28"/>
        </w:rPr>
        <w:t>34.4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价格分给予1%的扣除，用扣除后的价格参与评标。</w:t>
      </w:r>
    </w:p>
    <w:p w14:paraId="0E4472C6">
      <w:pPr>
        <w:spacing w:line="520" w:lineRule="exact"/>
        <w:ind w:firstLine="560"/>
        <w:rPr>
          <w:rFonts w:hint="eastAsia" w:ascii="仿宋" w:hAnsi="仿宋" w:eastAsia="仿宋"/>
          <w:bCs/>
          <w:sz w:val="28"/>
          <w:szCs w:val="28"/>
        </w:rPr>
      </w:pPr>
      <w:r>
        <w:rPr>
          <w:rFonts w:hint="eastAsia" w:ascii="仿宋" w:hAnsi="仿宋" w:eastAsia="仿宋"/>
          <w:sz w:val="28"/>
          <w:szCs w:val="28"/>
        </w:rPr>
        <w:t>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通知》（财库〔2019〕19号）执行。国家对品目清单进行调整的，按照最新调整的品目清单执行。</w:t>
      </w:r>
    </w:p>
    <w:p w14:paraId="588D44E6">
      <w:pPr>
        <w:spacing w:line="520" w:lineRule="exact"/>
        <w:ind w:firstLine="560"/>
        <w:rPr>
          <w:rFonts w:hint="eastAsia" w:ascii="仿宋" w:hAnsi="仿宋" w:eastAsia="仿宋"/>
          <w:bCs/>
          <w:sz w:val="28"/>
          <w:szCs w:val="28"/>
        </w:rPr>
      </w:pPr>
      <w:r>
        <w:rPr>
          <w:rFonts w:hint="eastAsia" w:ascii="仿宋" w:hAnsi="仿宋" w:eastAsia="仿宋"/>
          <w:bCs/>
          <w:sz w:val="28"/>
          <w:szCs w:val="28"/>
        </w:rPr>
        <w:t>35.对本国产品支持政策</w:t>
      </w:r>
    </w:p>
    <w:p w14:paraId="5E54F9E2">
      <w:pPr>
        <w:spacing w:line="520" w:lineRule="exact"/>
        <w:ind w:firstLine="560"/>
        <w:rPr>
          <w:rFonts w:hint="eastAsia" w:ascii="仿宋" w:hAnsi="仿宋" w:eastAsia="仿宋"/>
          <w:bCs/>
          <w:sz w:val="28"/>
          <w:szCs w:val="28"/>
        </w:rPr>
      </w:pPr>
      <w:r>
        <w:rPr>
          <w:rFonts w:hint="eastAsia" w:ascii="仿宋" w:hAnsi="仿宋" w:eastAsia="仿宋"/>
          <w:bCs/>
          <w:sz w:val="28"/>
          <w:szCs w:val="28"/>
        </w:rPr>
        <w:t>本项目政府采购活动中既有本国产品又有非本国产品参与竞争的，依法对本国产品给予价格评审优惠，对本国产品的报价给予20%的价格扣除，用扣除后的价格参与评审。</w:t>
      </w:r>
    </w:p>
    <w:p w14:paraId="6128BA85">
      <w:pPr>
        <w:spacing w:line="520" w:lineRule="exact"/>
        <w:ind w:firstLine="560"/>
        <w:rPr>
          <w:rFonts w:hint="eastAsia" w:ascii="仿宋" w:hAnsi="仿宋" w:eastAsia="仿宋"/>
          <w:bCs/>
          <w:sz w:val="28"/>
          <w:szCs w:val="28"/>
        </w:rPr>
      </w:pPr>
      <w:r>
        <w:rPr>
          <w:rFonts w:hint="eastAsia" w:ascii="仿宋" w:hAnsi="仿宋" w:eastAsia="仿宋"/>
          <w:bCs/>
          <w:sz w:val="28"/>
          <w:szCs w:val="28"/>
        </w:rPr>
        <w:t>采购项目或者采购包中含有多种产品，投标人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17B2DB3">
      <w:pPr>
        <w:spacing w:line="520" w:lineRule="exact"/>
        <w:ind w:firstLine="560"/>
        <w:rPr>
          <w:rFonts w:hint="eastAsia" w:ascii="仿宋" w:hAnsi="仿宋" w:eastAsia="仿宋"/>
          <w:bCs/>
          <w:sz w:val="28"/>
          <w:szCs w:val="28"/>
        </w:rPr>
      </w:pPr>
      <w:r>
        <w:rPr>
          <w:rFonts w:hint="eastAsia" w:ascii="仿宋" w:hAnsi="仿宋" w:eastAsia="仿宋"/>
          <w:bCs/>
          <w:sz w:val="28"/>
          <w:szCs w:val="28"/>
        </w:rPr>
        <w:t>投标人需按照招标文件的要求提供《关于符合本国产品标准的声明函》（以下简称《声明函》），如不提供将不享受本国产品价格评审优惠。</w:t>
      </w:r>
    </w:p>
    <w:p w14:paraId="7E7688FF">
      <w:pPr>
        <w:spacing w:line="520" w:lineRule="exact"/>
        <w:ind w:firstLine="560"/>
        <w:rPr>
          <w:rFonts w:hint="eastAsia" w:ascii="仿宋" w:hAnsi="仿宋" w:eastAsia="仿宋"/>
          <w:bCs/>
          <w:sz w:val="28"/>
          <w:szCs w:val="28"/>
        </w:rPr>
      </w:pPr>
      <w:r>
        <w:rPr>
          <w:rFonts w:hint="eastAsia" w:ascii="仿宋" w:hAnsi="仿宋" w:eastAsia="仿宋"/>
          <w:bCs/>
          <w:sz w:val="28"/>
          <w:szCs w:val="28"/>
          <w:lang w:eastAsia="zh-CN"/>
        </w:rPr>
        <w:t>36.</w:t>
      </w:r>
      <w:r>
        <w:rPr>
          <w:rFonts w:hint="eastAsia" w:ascii="仿宋" w:hAnsi="仿宋" w:eastAsia="仿宋"/>
          <w:bCs/>
          <w:sz w:val="28"/>
          <w:szCs w:val="28"/>
        </w:rPr>
        <w:t>政府绿色采购</w:t>
      </w:r>
    </w:p>
    <w:p w14:paraId="4C638B77">
      <w:pPr>
        <w:spacing w:line="520" w:lineRule="exact"/>
        <w:ind w:firstLine="560"/>
        <w:rPr>
          <w:rFonts w:hint="eastAsia" w:ascii="仿宋" w:hAnsi="仿宋" w:eastAsia="仿宋"/>
          <w:bCs/>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13427D3C">
      <w:pPr>
        <w:spacing w:line="520" w:lineRule="exact"/>
        <w:ind w:firstLine="560"/>
        <w:rPr>
          <w:rFonts w:hint="eastAsia" w:ascii="仿宋" w:hAnsi="仿宋" w:eastAsia="仿宋"/>
          <w:sz w:val="28"/>
          <w:szCs w:val="28"/>
        </w:rPr>
      </w:pPr>
      <w:r>
        <w:rPr>
          <w:rFonts w:hint="eastAsia" w:ascii="仿宋" w:hAnsi="仿宋" w:eastAsia="仿宋"/>
          <w:sz w:val="28"/>
          <w:szCs w:val="28"/>
        </w:rPr>
        <w:t>36.1本项目为货物类采购项目的，所提供的产品需综合考虑节能环保、节水、循环再生、低碳、有机等因素；本项目为物业、合同能源管理等服务类采购项目的，应在服务中加强绿色低碳管理。</w:t>
      </w:r>
    </w:p>
    <w:p w14:paraId="12116F93">
      <w:pPr>
        <w:spacing w:line="520" w:lineRule="exact"/>
        <w:ind w:firstLine="560"/>
        <w:rPr>
          <w:rFonts w:hint="eastAsia" w:ascii="仿宋" w:hAnsi="仿宋" w:eastAsia="仿宋"/>
          <w:sz w:val="28"/>
          <w:szCs w:val="28"/>
        </w:rPr>
      </w:pPr>
      <w:r>
        <w:rPr>
          <w:rFonts w:hint="eastAsia" w:ascii="仿宋" w:hAnsi="仿宋" w:eastAsia="仿宋"/>
          <w:sz w:val="28"/>
          <w:szCs w:val="28"/>
        </w:rPr>
        <w:t>36.2本项目中涉及商品的包装应按照“财办库〔2020〕123号《关于印发《商品包装政府采购需求标准（试行）》、《快递包装政府采购需求标准（试行）》的通知》”执行</w:t>
      </w:r>
      <w:r>
        <w:rPr>
          <w:rFonts w:hint="eastAsia" w:ascii="仿宋" w:hAnsi="仿宋" w:eastAsia="仿宋"/>
          <w:sz w:val="28"/>
          <w:szCs w:val="28"/>
          <w:lang w:eastAsia="zh-CN"/>
        </w:rPr>
        <w:t>，</w:t>
      </w:r>
      <w:r>
        <w:rPr>
          <w:rFonts w:hint="eastAsia" w:ascii="仿宋" w:hAnsi="仿宋" w:eastAsia="仿宋"/>
          <w:sz w:val="28"/>
          <w:szCs w:val="28"/>
        </w:rPr>
        <w:t>在供货、安装过程中</w:t>
      </w:r>
      <w:r>
        <w:rPr>
          <w:rFonts w:hint="eastAsia" w:ascii="仿宋" w:hAnsi="仿宋" w:eastAsia="仿宋"/>
          <w:sz w:val="28"/>
          <w:szCs w:val="28"/>
          <w:lang w:eastAsia="zh-CN"/>
        </w:rPr>
        <w:t>能</w:t>
      </w:r>
      <w:r>
        <w:rPr>
          <w:rFonts w:hint="eastAsia" w:ascii="仿宋" w:hAnsi="仿宋" w:eastAsia="仿宋"/>
          <w:sz w:val="28"/>
          <w:szCs w:val="28"/>
        </w:rPr>
        <w:t>做到低碳物流、环保节约、提高资源利用率；涉及设备运维参考《绿色数据中心政府采购需求标准（试行）》（财库</w:t>
      </w:r>
      <w:r>
        <w:rPr>
          <w:rFonts w:hint="eastAsia" w:ascii="仿宋" w:hAnsi="仿宋" w:eastAsia="仿宋"/>
          <w:sz w:val="28"/>
          <w:szCs w:val="28"/>
          <w:lang w:eastAsia="zh-CN"/>
        </w:rPr>
        <w:t>〔2023〕7号</w:t>
      </w:r>
      <w:r>
        <w:rPr>
          <w:rFonts w:hint="eastAsia" w:ascii="仿宋" w:hAnsi="仿宋" w:eastAsia="仿宋"/>
          <w:sz w:val="28"/>
          <w:szCs w:val="28"/>
        </w:rPr>
        <w:t>文）执行。</w:t>
      </w:r>
    </w:p>
    <w:p w14:paraId="5FF02DF1">
      <w:pPr>
        <w:spacing w:line="520" w:lineRule="exact"/>
        <w:ind w:firstLine="560"/>
        <w:rPr>
          <w:rFonts w:hint="eastAsia" w:ascii="仿宋" w:hAnsi="仿宋" w:eastAsia="仿宋"/>
          <w:sz w:val="28"/>
          <w:szCs w:val="28"/>
        </w:rPr>
      </w:pPr>
      <w:r>
        <w:rPr>
          <w:rFonts w:hint="eastAsia" w:ascii="仿宋" w:hAnsi="仿宋" w:eastAsia="仿宋"/>
          <w:sz w:val="28"/>
          <w:szCs w:val="28"/>
        </w:rPr>
        <w:t>36.3本项目中涉及涂料、胶黏剂、油墨、清洗剂等挥发性有机物产品的，要执行国家和江苏省VOCs含量限制标准，优先使用低挥发性原辅材料，使用低VOCs含量的涂料、胶黏剂等。</w:t>
      </w:r>
    </w:p>
    <w:p w14:paraId="3F9A0F37">
      <w:pPr>
        <w:spacing w:line="480" w:lineRule="exact"/>
        <w:ind w:firstLine="561"/>
        <w:rPr>
          <w:rFonts w:hint="eastAsia" w:ascii="仿宋" w:hAnsi="仿宋" w:eastAsia="仿宋"/>
          <w:sz w:val="28"/>
          <w:szCs w:val="28"/>
        </w:rPr>
      </w:pPr>
      <w:r>
        <w:rPr>
          <w:rFonts w:hint="eastAsia" w:ascii="仿宋" w:hAnsi="仿宋" w:eastAsia="仿宋"/>
          <w:sz w:val="28"/>
          <w:szCs w:val="28"/>
        </w:rPr>
        <w:t>37.履约资金扶持政策</w:t>
      </w:r>
    </w:p>
    <w:p w14:paraId="34EA3F8E">
      <w:pPr>
        <w:spacing w:line="480" w:lineRule="exact"/>
        <w:ind w:firstLine="561"/>
        <w:rPr>
          <w:rFonts w:hint="eastAsia" w:ascii="仿宋" w:hAnsi="仿宋" w:eastAsia="仿宋"/>
          <w:sz w:val="28"/>
          <w:szCs w:val="28"/>
        </w:rPr>
      </w:pPr>
      <w:r>
        <w:rPr>
          <w:rFonts w:hint="eastAsia" w:ascii="仿宋" w:hAnsi="仿宋" w:eastAsia="仿宋"/>
          <w:sz w:val="28"/>
          <w:szCs w:val="28"/>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6C2BD99">
      <w:pPr>
        <w:spacing w:line="480" w:lineRule="exact"/>
        <w:ind w:firstLine="561"/>
        <w:rPr>
          <w:rFonts w:hint="eastAsia" w:ascii="仿宋" w:hAnsi="仿宋" w:eastAsia="仿宋"/>
          <w:sz w:val="28"/>
          <w:szCs w:val="28"/>
        </w:rPr>
      </w:pPr>
      <w:r>
        <w:rPr>
          <w:rFonts w:hint="eastAsia" w:ascii="仿宋" w:hAnsi="仿宋" w:eastAsia="仿宋"/>
          <w:sz w:val="28"/>
          <w:szCs w:val="28"/>
        </w:rPr>
        <w:t>37.2有融资贷款需求的中标人，与采购人在苏采云【合同在线签订】模块中进行合同在线签订时，【账户信息完善】的“是否融资”一栏中需选择“是”，同时完善收款账号信息和合同补充协议（融资账号）。</w:t>
      </w:r>
    </w:p>
    <w:p w14:paraId="43C03D65">
      <w:pPr>
        <w:widowControl/>
        <w:spacing w:line="360" w:lineRule="auto"/>
        <w:ind w:firstLine="560"/>
        <w:rPr>
          <w:rFonts w:hint="eastAsia" w:ascii="仿宋" w:hAnsi="仿宋" w:eastAsia="仿宋"/>
          <w:sz w:val="28"/>
          <w:szCs w:val="28"/>
        </w:rPr>
      </w:pPr>
    </w:p>
    <w:p w14:paraId="4EF73718">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w:t>
      </w:r>
      <w:r>
        <w:rPr>
          <w:rFonts w:hint="eastAsia" w:ascii="仿宋" w:hAnsi="仿宋" w:eastAsia="仿宋"/>
          <w:b/>
          <w:sz w:val="36"/>
          <w:szCs w:val="36"/>
          <w:lang w:val="en-US" w:eastAsia="zh-CN"/>
        </w:rPr>
        <w:t xml:space="preserve"> </w:t>
      </w:r>
      <w:r>
        <w:rPr>
          <w:rFonts w:hint="eastAsia" w:ascii="仿宋" w:hAnsi="仿宋" w:eastAsia="仿宋"/>
          <w:b/>
          <w:sz w:val="36"/>
          <w:szCs w:val="36"/>
        </w:rPr>
        <w:t>评标标准</w:t>
      </w:r>
    </w:p>
    <w:p w14:paraId="1E7168CD">
      <w:pPr>
        <w:spacing w:line="440" w:lineRule="exact"/>
        <w:ind w:firstLine="560"/>
        <w:jc w:val="left"/>
        <w:rPr>
          <w:rFonts w:hint="eastAsia" w:ascii="仿宋" w:hAnsi="仿宋" w:eastAsia="仿宋"/>
          <w:bCs/>
          <w:sz w:val="28"/>
          <w:szCs w:val="28"/>
        </w:rPr>
      </w:pPr>
      <w:r>
        <w:rPr>
          <w:rFonts w:hint="eastAsia" w:ascii="仿宋" w:hAnsi="仿宋" w:eastAsia="仿宋"/>
          <w:bCs/>
          <w:sz w:val="28"/>
          <w:szCs w:val="28"/>
        </w:rPr>
        <w:t>一、评委会根据招标文件中规定的评标标准对投标人进行综合评审，最终按综合评审得分由高到低的顺序推荐出中标候选人。</w:t>
      </w:r>
    </w:p>
    <w:p w14:paraId="411A4D93">
      <w:pPr>
        <w:spacing w:line="440" w:lineRule="exact"/>
        <w:ind w:firstLine="560"/>
        <w:rPr>
          <w:rFonts w:hint="eastAsia" w:ascii="仿宋" w:hAnsi="仿宋" w:eastAsia="仿宋"/>
          <w:bCs/>
          <w:sz w:val="28"/>
          <w:szCs w:val="28"/>
        </w:rPr>
      </w:pPr>
      <w:r>
        <w:rPr>
          <w:rFonts w:hint="eastAsia" w:ascii="仿宋" w:hAnsi="仿宋" w:eastAsia="仿宋"/>
          <w:bCs/>
          <w:sz w:val="28"/>
          <w:szCs w:val="28"/>
        </w:rPr>
        <w:t>二、本项目采用综合评分法。评委会仅对确定为实质上响应招标文件要求的投标文件进行评价和比较。综合评分法，是指投标文件满足招标文件全部实质性要求</w:t>
      </w:r>
      <w:r>
        <w:rPr>
          <w:rFonts w:hint="eastAsia" w:ascii="仿宋" w:hAnsi="仿宋" w:eastAsia="仿宋"/>
          <w:bCs/>
          <w:sz w:val="28"/>
          <w:szCs w:val="28"/>
          <w:lang w:eastAsia="zh-CN"/>
        </w:rPr>
        <w:t>，</w:t>
      </w:r>
      <w:r>
        <w:rPr>
          <w:rFonts w:hint="eastAsia" w:ascii="仿宋" w:hAnsi="仿宋" w:eastAsia="仿宋"/>
          <w:bCs/>
          <w:sz w:val="28"/>
          <w:szCs w:val="28"/>
        </w:rPr>
        <w:t>且按照评审因素的量化指标评审得分最高的供应商为中标候选人的评标方法。</w:t>
      </w:r>
    </w:p>
    <w:p w14:paraId="3C67E0DE">
      <w:pPr>
        <w:spacing w:line="440" w:lineRule="exact"/>
        <w:ind w:firstLine="560"/>
        <w:rPr>
          <w:rFonts w:hint="eastAsia" w:ascii="仿宋" w:hAnsi="仿宋" w:eastAsia="仿宋"/>
          <w:bCs/>
          <w:color w:val="FF0000"/>
          <w:sz w:val="28"/>
          <w:szCs w:val="28"/>
        </w:rPr>
      </w:pPr>
      <w:r>
        <w:rPr>
          <w:rFonts w:hint="eastAsia" w:ascii="仿宋" w:hAnsi="仿宋" w:eastAsia="仿宋"/>
          <w:bCs/>
          <w:sz w:val="28"/>
          <w:szCs w:val="28"/>
        </w:rPr>
        <w:t>三、评委会将依据下列评标标准进行评标，本评标标准的总分为100分。按评审后得分由高到低顺序排列</w:t>
      </w:r>
      <w:r>
        <w:rPr>
          <w:rFonts w:hint="eastAsia" w:ascii="仿宋" w:hAnsi="仿宋" w:eastAsia="仿宋"/>
          <w:bCs/>
          <w:sz w:val="28"/>
          <w:szCs w:val="28"/>
          <w:lang w:eastAsia="zh-CN"/>
        </w:rPr>
        <w:t>，</w:t>
      </w:r>
      <w:r>
        <w:rPr>
          <w:rFonts w:hint="eastAsia" w:ascii="仿宋" w:hAnsi="仿宋" w:eastAsia="仿宋"/>
          <w:bCs/>
          <w:sz w:val="28"/>
          <w:szCs w:val="28"/>
        </w:rPr>
        <w:t>评审得分最高的投标人为排名第一的中标候选人。得分相同的，按投标报价由低到高顺序排列。得分且投标报价相同的</w:t>
      </w:r>
      <w:r>
        <w:rPr>
          <w:rFonts w:hint="eastAsia" w:ascii="仿宋" w:hAnsi="仿宋" w:eastAsia="仿宋"/>
          <w:bCs/>
          <w:sz w:val="28"/>
          <w:szCs w:val="28"/>
          <w:lang w:eastAsia="zh-CN"/>
        </w:rPr>
        <w:t>，</w:t>
      </w:r>
      <w:r>
        <w:rPr>
          <w:rFonts w:hint="eastAsia" w:ascii="仿宋" w:hAnsi="仿宋" w:eastAsia="仿宋"/>
          <w:bCs/>
          <w:sz w:val="28"/>
          <w:szCs w:val="28"/>
        </w:rPr>
        <w:t>按技术部分得分高低由高到低排列。</w:t>
      </w:r>
    </w:p>
    <w:tbl>
      <w:tblPr>
        <w:tblStyle w:val="35"/>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05"/>
        <w:gridCol w:w="807"/>
        <w:gridCol w:w="673"/>
        <w:gridCol w:w="7636"/>
      </w:tblGrid>
      <w:tr w14:paraId="16D8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jc w:val="center"/>
        </w:trPr>
        <w:tc>
          <w:tcPr>
            <w:tcW w:w="1612" w:type="dxa"/>
            <w:gridSpan w:val="2"/>
            <w:shd w:val="clear" w:color="auto" w:fill="auto"/>
            <w:vAlign w:val="center"/>
          </w:tcPr>
          <w:p w14:paraId="49CF17E7">
            <w:pPr>
              <w:widowControl/>
              <w:spacing w:line="360" w:lineRule="auto"/>
              <w:jc w:val="center"/>
              <w:textAlignment w:val="center"/>
              <w:rPr>
                <w:rFonts w:ascii="仿宋" w:hAnsi="仿宋" w:eastAsia="仿宋" w:cs="仿宋"/>
                <w:color w:val="auto"/>
                <w:sz w:val="24"/>
                <w:highlight w:val="none"/>
              </w:rPr>
            </w:pPr>
            <w:r>
              <w:rPr>
                <w:rFonts w:hint="eastAsia" w:ascii="仿宋" w:hAnsi="仿宋" w:eastAsia="仿宋" w:cs="仿宋"/>
                <w:b/>
                <w:bCs/>
                <w:color w:val="auto"/>
                <w:sz w:val="24"/>
                <w:highlight w:val="none"/>
                <w:lang w:bidi="ar"/>
              </w:rPr>
              <w:t>评审因素</w:t>
            </w:r>
          </w:p>
        </w:tc>
        <w:tc>
          <w:tcPr>
            <w:tcW w:w="673" w:type="dxa"/>
            <w:shd w:val="clear" w:color="auto" w:fill="auto"/>
            <w:vAlign w:val="center"/>
          </w:tcPr>
          <w:p w14:paraId="1FD3C94C">
            <w:pPr>
              <w:widowControl/>
              <w:spacing w:line="360" w:lineRule="auto"/>
              <w:jc w:val="center"/>
              <w:textAlignment w:val="center"/>
              <w:rPr>
                <w:rFonts w:ascii="仿宋" w:hAnsi="仿宋" w:eastAsia="仿宋" w:cs="仿宋"/>
                <w:color w:val="auto"/>
                <w:sz w:val="24"/>
                <w:highlight w:val="none"/>
              </w:rPr>
            </w:pPr>
            <w:r>
              <w:rPr>
                <w:rFonts w:hint="eastAsia" w:ascii="仿宋" w:hAnsi="仿宋" w:eastAsia="仿宋" w:cs="仿宋"/>
                <w:b/>
                <w:bCs/>
                <w:color w:val="auto"/>
                <w:sz w:val="24"/>
                <w:highlight w:val="none"/>
                <w:lang w:bidi="ar"/>
              </w:rPr>
              <w:t>分值</w:t>
            </w:r>
          </w:p>
        </w:tc>
        <w:tc>
          <w:tcPr>
            <w:tcW w:w="7636" w:type="dxa"/>
            <w:shd w:val="clear" w:color="auto" w:fill="auto"/>
            <w:vAlign w:val="center"/>
          </w:tcPr>
          <w:p w14:paraId="028F1E92">
            <w:pPr>
              <w:widowControl/>
              <w:spacing w:line="360" w:lineRule="auto"/>
              <w:jc w:val="center"/>
              <w:textAlignment w:val="center"/>
              <w:rPr>
                <w:rFonts w:ascii="仿宋" w:hAnsi="仿宋" w:eastAsia="仿宋" w:cs="仿宋"/>
                <w:color w:val="auto"/>
                <w:sz w:val="24"/>
                <w:highlight w:val="none"/>
              </w:rPr>
            </w:pPr>
            <w:r>
              <w:rPr>
                <w:rFonts w:hint="eastAsia" w:ascii="仿宋" w:hAnsi="仿宋" w:eastAsia="仿宋" w:cs="仿宋"/>
                <w:b/>
                <w:bCs/>
                <w:color w:val="auto"/>
                <w:sz w:val="24"/>
                <w:highlight w:val="none"/>
                <w:lang w:bidi="ar"/>
              </w:rPr>
              <w:t>评审标准</w:t>
            </w:r>
          </w:p>
        </w:tc>
      </w:tr>
      <w:tr w14:paraId="630E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612" w:type="dxa"/>
            <w:gridSpan w:val="2"/>
            <w:shd w:val="clear" w:color="auto" w:fill="auto"/>
            <w:vAlign w:val="center"/>
          </w:tcPr>
          <w:p w14:paraId="4F6D57DA">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bidi="ar"/>
              </w:rPr>
              <w:t>投标报价（</w:t>
            </w:r>
            <w:r>
              <w:rPr>
                <w:rFonts w:hint="eastAsia" w:ascii="仿宋" w:hAnsi="仿宋" w:eastAsia="仿宋" w:cs="仿宋"/>
                <w:color w:val="auto"/>
                <w:sz w:val="24"/>
                <w:highlight w:val="none"/>
                <w:lang w:val="en-US" w:eastAsia="zh-CN" w:bidi="ar"/>
              </w:rPr>
              <w:t>20</w:t>
            </w:r>
            <w:r>
              <w:rPr>
                <w:rFonts w:hint="eastAsia" w:ascii="仿宋" w:hAnsi="仿宋" w:eastAsia="仿宋" w:cs="仿宋"/>
                <w:color w:val="auto"/>
                <w:sz w:val="24"/>
                <w:highlight w:val="none"/>
                <w:lang w:bidi="ar"/>
              </w:rPr>
              <w:t>分）</w:t>
            </w:r>
          </w:p>
        </w:tc>
        <w:tc>
          <w:tcPr>
            <w:tcW w:w="673" w:type="dxa"/>
            <w:shd w:val="clear" w:color="auto" w:fill="auto"/>
            <w:vAlign w:val="center"/>
          </w:tcPr>
          <w:p w14:paraId="695D66F0">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0</w:t>
            </w:r>
          </w:p>
        </w:tc>
        <w:tc>
          <w:tcPr>
            <w:tcW w:w="7636" w:type="dxa"/>
            <w:shd w:val="clear" w:color="auto" w:fill="auto"/>
            <w:vAlign w:val="center"/>
          </w:tcPr>
          <w:p w14:paraId="05D4E13C">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评标基准价指的是满足招标文件要求且最低的参与评审的价格。</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参与评审的价格为评标基准价的其价格得分得满分</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0分。</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其他投标人价格得分按照下列公式计算：</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价格得分=（评标基准价/各投标人参与评审的价格）×</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0％×100。</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注：价格得分小数点后保留2位小数，第3位小数四舍五入。</w:t>
            </w:r>
          </w:p>
        </w:tc>
      </w:tr>
      <w:tr w14:paraId="2A6A5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612" w:type="dxa"/>
            <w:gridSpan w:val="2"/>
            <w:shd w:val="clear" w:color="auto" w:fill="auto"/>
            <w:vAlign w:val="center"/>
          </w:tcPr>
          <w:p w14:paraId="50053B2C">
            <w:pPr>
              <w:spacing w:line="360" w:lineRule="auto"/>
              <w:jc w:val="center"/>
              <w:rPr>
                <w:rFonts w:ascii="仿宋" w:hAnsi="仿宋" w:eastAsia="仿宋" w:cs="仿宋"/>
                <w:color w:val="auto"/>
                <w:sz w:val="24"/>
                <w:highlight w:val="none"/>
                <w:lang w:bidi="ar"/>
              </w:rPr>
            </w:pPr>
            <w:r>
              <w:rPr>
                <w:rFonts w:hint="eastAsia" w:ascii="仿宋" w:hAnsi="仿宋" w:eastAsia="仿宋" w:cs="仿宋"/>
                <w:color w:val="auto"/>
                <w:sz w:val="24"/>
                <w:highlight w:val="none"/>
              </w:rPr>
              <w:t>技术参数响应（</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分）</w:t>
            </w:r>
          </w:p>
        </w:tc>
        <w:tc>
          <w:tcPr>
            <w:tcW w:w="673" w:type="dxa"/>
            <w:shd w:val="clear" w:color="auto" w:fill="auto"/>
            <w:vAlign w:val="center"/>
          </w:tcPr>
          <w:p w14:paraId="060F84B1">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30</w:t>
            </w:r>
          </w:p>
        </w:tc>
        <w:tc>
          <w:tcPr>
            <w:tcW w:w="7636" w:type="dxa"/>
            <w:shd w:val="clear" w:color="auto" w:fill="auto"/>
            <w:vAlign w:val="center"/>
          </w:tcPr>
          <w:p w14:paraId="65DCA062">
            <w:pPr>
              <w:pStyle w:val="15"/>
              <w:spacing w:line="360" w:lineRule="auto"/>
              <w:ind w:firstLine="0" w:firstLineChars="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投标人所投产品技术参数完全满足或优于招标文件技术参数要求的得</w:t>
            </w:r>
            <w:r>
              <w:rPr>
                <w:rFonts w:hint="eastAsia" w:ascii="仿宋" w:hAnsi="仿宋" w:eastAsia="仿宋" w:cs="仿宋"/>
                <w:color w:val="auto"/>
                <w:sz w:val="24"/>
                <w:highlight w:val="none"/>
                <w:lang w:val="en-US" w:eastAsia="zh-CN" w:bidi="ar"/>
              </w:rPr>
              <w:t>30</w:t>
            </w:r>
            <w:r>
              <w:rPr>
                <w:rFonts w:hint="eastAsia" w:ascii="仿宋" w:hAnsi="仿宋" w:eastAsia="仿宋" w:cs="仿宋"/>
                <w:color w:val="auto"/>
                <w:sz w:val="24"/>
                <w:highlight w:val="none"/>
                <w:lang w:bidi="ar"/>
              </w:rPr>
              <w:t>分：</w:t>
            </w:r>
            <w:r>
              <w:rPr>
                <w:rFonts w:hint="eastAsia" w:ascii="仿宋" w:hAnsi="仿宋" w:eastAsia="仿宋" w:cs="仿宋"/>
                <w:color w:val="auto"/>
                <w:sz w:val="24"/>
                <w:highlight w:val="none"/>
                <w:lang w:bidi="ar"/>
              </w:rPr>
              <w:br w:type="textWrapping"/>
            </w:r>
            <w:r>
              <w:rPr>
                <w:rFonts w:hint="eastAsia" w:ascii="仿宋" w:hAnsi="仿宋" w:eastAsia="仿宋" w:cs="仿宋"/>
                <w:color w:val="auto"/>
                <w:sz w:val="24"/>
                <w:highlight w:val="none"/>
                <w:lang w:bidi="ar"/>
              </w:rPr>
              <w:t>采购清单中技术要求前标有“▲”部分（共</w:t>
            </w:r>
            <w:r>
              <w:rPr>
                <w:rFonts w:hint="eastAsia" w:ascii="仿宋" w:hAnsi="仿宋" w:eastAsia="仿宋" w:cs="仿宋"/>
                <w:color w:val="auto"/>
                <w:sz w:val="24"/>
                <w:highlight w:val="none"/>
                <w:lang w:val="en-US" w:eastAsia="zh-CN" w:bidi="ar"/>
              </w:rPr>
              <w:t>15</w:t>
            </w:r>
            <w:r>
              <w:rPr>
                <w:rFonts w:hint="eastAsia" w:ascii="仿宋" w:hAnsi="仿宋" w:eastAsia="仿宋" w:cs="仿宋"/>
                <w:color w:val="auto"/>
                <w:sz w:val="24"/>
                <w:highlight w:val="none"/>
                <w:lang w:bidi="ar"/>
              </w:rPr>
              <w:t>条），为重要技术参数，每有一项负偏离扣</w:t>
            </w:r>
            <w:r>
              <w:rPr>
                <w:rFonts w:hint="eastAsia" w:ascii="仿宋" w:hAnsi="仿宋" w:eastAsia="仿宋" w:cs="仿宋"/>
                <w:color w:val="auto"/>
                <w:sz w:val="24"/>
                <w:highlight w:val="none"/>
                <w:lang w:val="en-US" w:eastAsia="zh-CN" w:bidi="ar"/>
              </w:rPr>
              <w:t>2</w:t>
            </w:r>
            <w:r>
              <w:rPr>
                <w:rFonts w:hint="eastAsia" w:ascii="仿宋" w:hAnsi="仿宋" w:eastAsia="仿宋" w:cs="仿宋"/>
                <w:color w:val="auto"/>
                <w:sz w:val="24"/>
                <w:highlight w:val="none"/>
                <w:lang w:bidi="ar"/>
              </w:rPr>
              <w:t>分，</w:t>
            </w:r>
            <w:r>
              <w:rPr>
                <w:rFonts w:hint="eastAsia" w:ascii="仿宋" w:hAnsi="仿宋" w:eastAsia="仿宋" w:cs="仿宋"/>
                <w:color w:val="auto"/>
                <w:sz w:val="24"/>
                <w:highlight w:val="none"/>
                <w:lang w:eastAsia="zh-CN" w:bidi="ar"/>
              </w:rPr>
              <w:t>本项</w:t>
            </w:r>
            <w:r>
              <w:rPr>
                <w:rFonts w:hint="eastAsia" w:ascii="仿宋" w:hAnsi="仿宋" w:eastAsia="仿宋" w:cs="仿宋"/>
                <w:color w:val="auto"/>
                <w:sz w:val="24"/>
                <w:highlight w:val="none"/>
                <w:lang w:val="en-US" w:eastAsia="zh-CN" w:bidi="ar"/>
              </w:rPr>
              <w:t>30分，</w:t>
            </w:r>
            <w:r>
              <w:rPr>
                <w:rFonts w:hint="eastAsia" w:ascii="仿宋" w:hAnsi="仿宋" w:eastAsia="仿宋" w:cs="仿宋"/>
                <w:color w:val="auto"/>
                <w:sz w:val="24"/>
                <w:highlight w:val="none"/>
                <w:lang w:bidi="ar"/>
              </w:rPr>
              <w:t>扣完为止。</w:t>
            </w:r>
            <w:r>
              <w:rPr>
                <w:rFonts w:hint="eastAsia" w:ascii="仿宋" w:hAnsi="仿宋" w:eastAsia="仿宋" w:cs="仿宋"/>
                <w:color w:val="auto"/>
                <w:sz w:val="24"/>
                <w:highlight w:val="none"/>
                <w:lang w:bidi="ar"/>
              </w:rPr>
              <w:br w:type="textWrapping"/>
            </w:r>
            <w:r>
              <w:rPr>
                <w:rFonts w:hint="eastAsia" w:ascii="仿宋" w:hAnsi="仿宋" w:eastAsia="仿宋" w:cs="仿宋"/>
                <w:color w:val="auto"/>
                <w:sz w:val="24"/>
                <w:highlight w:val="none"/>
                <w:lang w:bidi="ar"/>
              </w:rPr>
              <w:t>注：①以上参数，投标人需详尽真实的在《技术要求响应及偏离表》内逐条响应，且均需在《技术要求响应及偏离表》内详尽真实地列明“超出、符合或偏离”情况，否则将视为负偏离；</w:t>
            </w:r>
          </w:p>
          <w:p w14:paraId="5261F4BB">
            <w:pPr>
              <w:pStyle w:val="15"/>
              <w:spacing w:line="360" w:lineRule="auto"/>
              <w:ind w:firstLine="0" w:firstLineChars="0"/>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②标注“▲”号标记的技术参数均须</w:t>
            </w:r>
            <w:r>
              <w:rPr>
                <w:rFonts w:hint="eastAsia" w:ascii="仿宋" w:hAnsi="仿宋" w:eastAsia="仿宋" w:cs="仿宋"/>
                <w:color w:val="auto"/>
                <w:sz w:val="24"/>
                <w:highlight w:val="none"/>
                <w:lang w:eastAsia="zh-CN" w:bidi="ar"/>
              </w:rPr>
              <w:t>按</w:t>
            </w:r>
            <w:r>
              <w:rPr>
                <w:rFonts w:hint="eastAsia" w:ascii="仿宋" w:hAnsi="仿宋" w:eastAsia="仿宋" w:cs="仿宋"/>
                <w:color w:val="auto"/>
                <w:sz w:val="24"/>
                <w:highlight w:val="none"/>
                <w:lang w:bidi="ar"/>
              </w:rPr>
              <w:t>第五章</w:t>
            </w:r>
            <w:r>
              <w:rPr>
                <w:rFonts w:hint="eastAsia" w:ascii="仿宋" w:hAnsi="仿宋" w:eastAsia="仿宋" w:cs="仿宋"/>
                <w:color w:val="auto"/>
                <w:sz w:val="24"/>
                <w:highlight w:val="none"/>
                <w:lang w:val="en-US" w:eastAsia="zh-CN" w:bidi="ar"/>
              </w:rPr>
              <w:t xml:space="preserve"> </w:t>
            </w:r>
            <w:r>
              <w:rPr>
                <w:rFonts w:hint="eastAsia" w:ascii="仿宋" w:hAnsi="仿宋" w:eastAsia="仿宋" w:cs="仿宋"/>
                <w:color w:val="auto"/>
                <w:sz w:val="24"/>
                <w:highlight w:val="none"/>
                <w:lang w:bidi="ar"/>
              </w:rPr>
              <w:t>项目采购需求</w:t>
            </w:r>
            <w:r>
              <w:rPr>
                <w:rFonts w:hint="eastAsia" w:ascii="仿宋" w:hAnsi="仿宋" w:eastAsia="仿宋" w:cs="仿宋"/>
                <w:color w:val="auto"/>
                <w:sz w:val="24"/>
                <w:highlight w:val="none"/>
                <w:lang w:eastAsia="zh-CN" w:bidi="ar"/>
              </w:rPr>
              <w:t>中相应的要求</w:t>
            </w:r>
            <w:r>
              <w:rPr>
                <w:rFonts w:hint="eastAsia" w:ascii="仿宋" w:hAnsi="仿宋" w:eastAsia="仿宋" w:cs="仿宋"/>
                <w:color w:val="auto"/>
                <w:sz w:val="24"/>
                <w:highlight w:val="none"/>
                <w:lang w:bidi="ar"/>
              </w:rPr>
              <w:t>提供证明材料；</w:t>
            </w:r>
          </w:p>
          <w:p w14:paraId="0041D7E3">
            <w:pPr>
              <w:pStyle w:val="15"/>
              <w:spacing w:line="360" w:lineRule="auto"/>
              <w:ind w:firstLine="0" w:firstLineChars="0"/>
              <w:rPr>
                <w:rFonts w:ascii="仿宋" w:hAnsi="仿宋" w:eastAsia="仿宋" w:cs="仿宋"/>
                <w:color w:val="auto"/>
                <w:sz w:val="24"/>
                <w:highlight w:val="none"/>
              </w:rPr>
            </w:pPr>
            <w:r>
              <w:rPr>
                <w:rFonts w:hint="eastAsia" w:ascii="仿宋" w:hAnsi="仿宋" w:eastAsia="仿宋" w:cs="仿宋"/>
                <w:color w:val="auto"/>
                <w:sz w:val="24"/>
                <w:highlight w:val="none"/>
                <w:lang w:bidi="ar"/>
              </w:rPr>
              <w:t>③未提供证明材料的或者证明材料不满足技术参数要求的，将视为负偏离。</w:t>
            </w:r>
          </w:p>
        </w:tc>
      </w:tr>
      <w:tr w14:paraId="1CD4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05" w:type="dxa"/>
            <w:vMerge w:val="restart"/>
            <w:shd w:val="clear" w:color="auto" w:fill="auto"/>
            <w:vAlign w:val="center"/>
          </w:tcPr>
          <w:p w14:paraId="378CF55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项目实施方案（</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c>
          <w:tcPr>
            <w:tcW w:w="807" w:type="dxa"/>
            <w:shd w:val="clear" w:color="auto" w:fill="auto"/>
            <w:vAlign w:val="center"/>
          </w:tcPr>
          <w:p w14:paraId="3CECAE94">
            <w:pPr>
              <w:spacing w:line="360" w:lineRule="auto"/>
              <w:jc w:val="center"/>
              <w:rPr>
                <w:rFonts w:ascii="仿宋" w:hAnsi="仿宋" w:eastAsia="仿宋" w:cs="仿宋"/>
                <w:strike w:val="0"/>
                <w:dstrike w:val="0"/>
                <w:color w:val="000000"/>
                <w:sz w:val="24"/>
                <w:szCs w:val="24"/>
                <w:highlight w:val="none"/>
                <w:lang w:val="en-US" w:eastAsia="zh-CN" w:bidi="ar-SA"/>
              </w:rPr>
            </w:pPr>
            <w:r>
              <w:rPr>
                <w:rFonts w:hint="eastAsia" w:ascii="仿宋" w:hAnsi="仿宋" w:eastAsia="仿宋" w:cs="仿宋"/>
                <w:strike w:val="0"/>
                <w:dstrike w:val="0"/>
                <w:color w:val="000000"/>
                <w:sz w:val="24"/>
                <w:highlight w:val="none"/>
              </w:rPr>
              <w:t>总体设计方案</w:t>
            </w:r>
          </w:p>
        </w:tc>
        <w:tc>
          <w:tcPr>
            <w:tcW w:w="673" w:type="dxa"/>
            <w:shd w:val="clear" w:color="auto" w:fill="auto"/>
            <w:vAlign w:val="center"/>
          </w:tcPr>
          <w:p w14:paraId="617FEE37">
            <w:pPr>
              <w:spacing w:line="360" w:lineRule="auto"/>
              <w:jc w:val="center"/>
              <w:rPr>
                <w:rFonts w:hint="eastAsia" w:ascii="仿宋" w:hAnsi="仿宋" w:eastAsia="仿宋" w:cs="仿宋"/>
                <w:strike w:val="0"/>
                <w:dstrike w:val="0"/>
                <w:color w:val="000000"/>
                <w:sz w:val="24"/>
                <w:szCs w:val="24"/>
                <w:highlight w:val="none"/>
                <w:lang w:val="en-US" w:eastAsia="zh-CN" w:bidi="ar-SA"/>
              </w:rPr>
            </w:pPr>
            <w:r>
              <w:rPr>
                <w:rFonts w:hint="eastAsia" w:ascii="仿宋" w:hAnsi="仿宋" w:eastAsia="仿宋" w:cs="仿宋"/>
                <w:strike w:val="0"/>
                <w:dstrike w:val="0"/>
                <w:color w:val="000000"/>
                <w:sz w:val="24"/>
                <w:highlight w:val="none"/>
                <w:lang w:val="en-US" w:eastAsia="zh-CN"/>
              </w:rPr>
              <w:t>3</w:t>
            </w:r>
          </w:p>
        </w:tc>
        <w:tc>
          <w:tcPr>
            <w:tcW w:w="7636" w:type="dxa"/>
            <w:shd w:val="clear" w:color="auto" w:fill="auto"/>
            <w:vAlign w:val="center"/>
          </w:tcPr>
          <w:p w14:paraId="3E06AD52">
            <w:pPr>
              <w:spacing w:line="360" w:lineRule="auto"/>
              <w:rPr>
                <w:rFonts w:hint="eastAsia" w:ascii="仿宋" w:hAnsi="仿宋" w:eastAsia="仿宋" w:cs="仿宋"/>
                <w:strike w:val="0"/>
                <w:dstrike w:val="0"/>
                <w:color w:val="000000"/>
                <w:sz w:val="24"/>
                <w:highlight w:val="none"/>
                <w:lang w:val="en-US" w:eastAsia="zh-CN"/>
              </w:rPr>
            </w:pPr>
            <w:r>
              <w:rPr>
                <w:rFonts w:hint="eastAsia" w:ascii="仿宋" w:hAnsi="仿宋" w:eastAsia="仿宋" w:cs="仿宋"/>
                <w:strike w:val="0"/>
                <w:dstrike w:val="0"/>
                <w:color w:val="000000"/>
                <w:sz w:val="24"/>
                <w:highlight w:val="none"/>
              </w:rPr>
              <w:t>根据招标文件</w:t>
            </w:r>
            <w:r>
              <w:rPr>
                <w:rFonts w:hint="eastAsia" w:ascii="仿宋" w:hAnsi="仿宋" w:eastAsia="仿宋" w:cs="仿宋"/>
                <w:strike w:val="0"/>
                <w:dstrike w:val="0"/>
                <w:color w:val="000000"/>
                <w:sz w:val="24"/>
                <w:highlight w:val="none"/>
                <w:lang w:val="en-US" w:eastAsia="zh-CN"/>
              </w:rPr>
              <w:t>第五章《采购需求》</w:t>
            </w:r>
            <w:r>
              <w:rPr>
                <w:rFonts w:hint="eastAsia" w:ascii="仿宋" w:hAnsi="仿宋" w:eastAsia="仿宋" w:cs="仿宋"/>
                <w:strike w:val="0"/>
                <w:dstrike w:val="0"/>
                <w:color w:val="000000"/>
                <w:sz w:val="24"/>
                <w:highlight w:val="none"/>
              </w:rPr>
              <w:t>中</w:t>
            </w:r>
            <w:r>
              <w:rPr>
                <w:rFonts w:hint="eastAsia" w:ascii="仿宋" w:hAnsi="仿宋" w:eastAsia="仿宋" w:cs="仿宋"/>
                <w:strike w:val="0"/>
                <w:dstrike w:val="0"/>
                <w:color w:val="000000"/>
                <w:sz w:val="24"/>
                <w:highlight w:val="none"/>
                <w:lang w:eastAsia="zh-CN"/>
              </w:rPr>
              <w:t>“建设内容清单及技术参数要求”</w:t>
            </w:r>
            <w:r>
              <w:rPr>
                <w:rFonts w:hint="eastAsia" w:ascii="仿宋" w:hAnsi="仿宋" w:eastAsia="仿宋" w:cs="仿宋"/>
                <w:strike w:val="0"/>
                <w:dstrike w:val="0"/>
                <w:color w:val="000000"/>
                <w:sz w:val="24"/>
                <w:highlight w:val="none"/>
                <w:lang w:val="en-US" w:eastAsia="zh-CN"/>
              </w:rPr>
              <w:t>中“（1）建设内容清单”等要求基于洪泽医共体建设背景进行具体方案的完善及编制，提供相应的方案，包括：</w:t>
            </w:r>
          </w:p>
          <w:p w14:paraId="40D9BF82">
            <w:pPr>
              <w:spacing w:line="360" w:lineRule="auto"/>
              <w:rPr>
                <w:rFonts w:ascii="仿宋" w:hAnsi="仿宋" w:eastAsia="仿宋" w:cs="仿宋"/>
                <w:strike w:val="0"/>
                <w:dstrike w:val="0"/>
                <w:color w:val="000000"/>
                <w:sz w:val="24"/>
                <w:highlight w:val="none"/>
              </w:rPr>
            </w:pPr>
            <w:r>
              <w:rPr>
                <w:rFonts w:hint="eastAsia" w:ascii="仿宋" w:hAnsi="仿宋" w:eastAsia="仿宋" w:cs="仿宋"/>
                <w:strike w:val="0"/>
                <w:dstrike w:val="0"/>
                <w:color w:val="000000"/>
                <w:sz w:val="24"/>
                <w:highlight w:val="none"/>
              </w:rPr>
              <w:t>1.</w:t>
            </w:r>
            <w:r>
              <w:rPr>
                <w:rFonts w:hint="eastAsia" w:ascii="仿宋" w:hAnsi="仿宋" w:eastAsia="仿宋" w:cs="仿宋"/>
                <w:strike w:val="0"/>
                <w:dstrike w:val="0"/>
                <w:color w:val="000000"/>
                <w:sz w:val="24"/>
                <w:highlight w:val="none"/>
                <w:lang w:val="en-US" w:eastAsia="zh-CN"/>
              </w:rPr>
              <w:t>项目综述：</w:t>
            </w:r>
            <w:r>
              <w:rPr>
                <w:rFonts w:hint="eastAsia" w:ascii="仿宋" w:hAnsi="仿宋" w:eastAsia="仿宋" w:cs="仿宋"/>
                <w:strike w:val="0"/>
                <w:dstrike w:val="0"/>
                <w:color w:val="000000"/>
                <w:sz w:val="24"/>
                <w:highlight w:val="none"/>
              </w:rPr>
              <w:t>包含项目建设原则、建设目标</w:t>
            </w:r>
            <w:r>
              <w:rPr>
                <w:rFonts w:hint="eastAsia" w:ascii="仿宋" w:hAnsi="仿宋" w:eastAsia="仿宋" w:cs="仿宋"/>
                <w:strike w:val="0"/>
                <w:dstrike w:val="0"/>
                <w:color w:val="000000"/>
                <w:sz w:val="24"/>
                <w:highlight w:val="none"/>
                <w:lang w:eastAsia="zh-CN"/>
              </w:rPr>
              <w:t>、</w:t>
            </w:r>
            <w:r>
              <w:rPr>
                <w:rFonts w:hint="eastAsia" w:ascii="仿宋" w:hAnsi="仿宋" w:eastAsia="仿宋" w:cs="仿宋"/>
                <w:color w:val="000000"/>
                <w:sz w:val="24"/>
                <w:szCs w:val="24"/>
                <w:highlight w:val="none"/>
                <w:lang w:val="en-US" w:eastAsia="zh-CN"/>
              </w:rPr>
              <w:t>对应的卫健行业政策、地方信息化建设标准、实施技术路线、部署规划</w:t>
            </w:r>
            <w:r>
              <w:rPr>
                <w:rFonts w:hint="eastAsia" w:ascii="仿宋" w:hAnsi="仿宋" w:eastAsia="仿宋" w:cs="仿宋"/>
                <w:strike w:val="0"/>
                <w:dstrike w:val="0"/>
                <w:color w:val="000000"/>
                <w:sz w:val="24"/>
                <w:highlight w:val="none"/>
              </w:rPr>
              <w:t>等</w:t>
            </w:r>
            <w:r>
              <w:rPr>
                <w:rFonts w:hint="eastAsia" w:ascii="仿宋" w:hAnsi="仿宋" w:eastAsia="仿宋" w:cs="仿宋"/>
                <w:strike w:val="0"/>
                <w:dstrike w:val="0"/>
                <w:color w:val="000000"/>
                <w:sz w:val="24"/>
                <w:highlight w:val="none"/>
                <w:lang w:eastAsia="zh-CN"/>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1F9E50FD">
            <w:pP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strike w:val="0"/>
                <w:dstrike w:val="0"/>
                <w:color w:val="000000"/>
                <w:sz w:val="24"/>
                <w:highlight w:val="none"/>
              </w:rPr>
              <w:t>2.</w:t>
            </w:r>
            <w:r>
              <w:rPr>
                <w:rFonts w:hint="eastAsia" w:ascii="仿宋" w:hAnsi="仿宋" w:eastAsia="仿宋" w:cs="仿宋"/>
                <w:strike w:val="0"/>
                <w:dstrike w:val="0"/>
                <w:color w:val="000000"/>
                <w:sz w:val="24"/>
                <w:highlight w:val="none"/>
                <w:lang w:val="en-US" w:eastAsia="zh-CN"/>
              </w:rPr>
              <w:t>项目调研报告：完整梳理</w:t>
            </w:r>
            <w:r>
              <w:rPr>
                <w:rFonts w:hint="eastAsia" w:ascii="仿宋" w:hAnsi="仿宋" w:eastAsia="仿宋" w:cs="仿宋"/>
                <w:color w:val="000000"/>
                <w:sz w:val="24"/>
                <w:highlight w:val="none"/>
              </w:rPr>
              <w:t>洪泽区现有医疗信息化现状、本项目六大中心、基层云系统建设业务</w:t>
            </w:r>
            <w:r>
              <w:rPr>
                <w:rFonts w:hint="eastAsia" w:ascii="仿宋" w:hAnsi="仿宋" w:eastAsia="仿宋" w:cs="仿宋"/>
                <w:color w:val="000000"/>
                <w:sz w:val="24"/>
                <w:highlight w:val="none"/>
                <w:lang w:val="en-US" w:eastAsia="zh-CN"/>
              </w:rPr>
              <w:t>需求等；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1BFDB26A">
            <w:pPr>
              <w:spacing w:line="360" w:lineRule="auto"/>
              <w:rPr>
                <w:rFonts w:hint="eastAsia" w:ascii="仿宋" w:hAnsi="仿宋" w:eastAsia="仿宋" w:cs="仿宋"/>
                <w:strike w:val="0"/>
                <w:dstrike w:val="0"/>
                <w:color w:val="000000"/>
                <w:sz w:val="24"/>
                <w:highlight w:val="none"/>
              </w:rPr>
            </w:pPr>
            <w:r>
              <w:rPr>
                <w:rFonts w:hint="eastAsia" w:ascii="仿宋" w:hAnsi="仿宋" w:eastAsia="仿宋" w:cs="仿宋"/>
                <w:color w:val="000000"/>
                <w:sz w:val="24"/>
                <w:highlight w:val="none"/>
                <w:lang w:val="en-US" w:eastAsia="zh-CN"/>
              </w:rPr>
              <w:t>3.项目架构：</w:t>
            </w:r>
            <w:r>
              <w:rPr>
                <w:rFonts w:hint="eastAsia" w:ascii="仿宋" w:hAnsi="仿宋" w:eastAsia="仿宋" w:cs="仿宋"/>
                <w:strike w:val="0"/>
                <w:dstrike w:val="0"/>
                <w:color w:val="000000"/>
                <w:sz w:val="24"/>
                <w:highlight w:val="none"/>
              </w:rPr>
              <w:t>提供系统整体架构图</w:t>
            </w:r>
            <w:r>
              <w:rPr>
                <w:rFonts w:hint="eastAsia" w:ascii="仿宋" w:hAnsi="仿宋" w:eastAsia="仿宋" w:cs="仿宋"/>
                <w:strike w:val="0"/>
                <w:dstrike w:val="0"/>
                <w:color w:val="000000"/>
                <w:sz w:val="24"/>
                <w:highlight w:val="none"/>
                <w:lang w:eastAsia="zh-CN"/>
              </w:rPr>
              <w:t>，</w:t>
            </w:r>
            <w:r>
              <w:rPr>
                <w:rFonts w:hint="eastAsia" w:ascii="仿宋" w:hAnsi="仿宋" w:eastAsia="仿宋" w:cs="仿宋"/>
                <w:strike w:val="0"/>
                <w:dstrike w:val="0"/>
                <w:color w:val="000000"/>
                <w:sz w:val="24"/>
                <w:highlight w:val="none"/>
              </w:rPr>
              <w:t>完整标注</w:t>
            </w:r>
            <w:r>
              <w:rPr>
                <w:rFonts w:hint="eastAsia" w:ascii="仿宋" w:hAnsi="仿宋" w:eastAsia="仿宋" w:cs="仿宋"/>
                <w:strike w:val="0"/>
                <w:dstrike w:val="0"/>
                <w:color w:val="000000"/>
                <w:sz w:val="24"/>
                <w:highlight w:val="none"/>
                <w:lang w:val="en-US" w:eastAsia="zh-CN"/>
              </w:rPr>
              <w:t>医共体</w:t>
            </w:r>
            <w:r>
              <w:rPr>
                <w:rFonts w:hint="eastAsia" w:ascii="仿宋" w:hAnsi="仿宋" w:eastAsia="仿宋" w:cs="仿宋"/>
                <w:strike w:val="0"/>
                <w:dstrike w:val="0"/>
                <w:color w:val="000000"/>
                <w:sz w:val="24"/>
                <w:highlight w:val="none"/>
              </w:rPr>
              <w:t>六大中心、基层云HIS、第三方平台关系</w:t>
            </w:r>
            <w:r>
              <w:rPr>
                <w:rFonts w:hint="eastAsia" w:ascii="仿宋" w:hAnsi="仿宋" w:eastAsia="仿宋" w:cs="仿宋"/>
                <w:strike w:val="0"/>
                <w:dstrike w:val="0"/>
                <w:color w:val="000000"/>
                <w:sz w:val="24"/>
                <w:highlight w:val="none"/>
                <w:lang w:val="en-US" w:eastAsia="zh-CN"/>
              </w:rPr>
              <w:t>等</w:t>
            </w:r>
            <w:r>
              <w:rPr>
                <w:rFonts w:hint="eastAsia" w:ascii="仿宋" w:hAnsi="仿宋" w:eastAsia="仿宋" w:cs="仿宋"/>
                <w:strike w:val="0"/>
                <w:dstrike w:val="0"/>
                <w:color w:val="000000"/>
                <w:sz w:val="24"/>
                <w:highlight w:val="none"/>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5A8F184F">
            <w:pPr>
              <w:spacing w:line="360" w:lineRule="auto"/>
              <w:rPr>
                <w:rFonts w:ascii="仿宋" w:hAnsi="仿宋" w:eastAsia="仿宋" w:cs="仿宋"/>
                <w:strike w:val="0"/>
                <w:dstrike w:val="0"/>
                <w:color w:val="000000"/>
                <w:sz w:val="24"/>
                <w:szCs w:val="24"/>
                <w:highlight w:val="none"/>
                <w:lang w:val="en-US" w:eastAsia="zh-CN" w:bidi="ar-SA"/>
              </w:rPr>
            </w:pPr>
            <w:r>
              <w:rPr>
                <w:rFonts w:hint="eastAsia" w:ascii="仿宋" w:hAnsi="仿宋" w:eastAsia="仿宋" w:cs="仿宋"/>
                <w:color w:val="000000"/>
                <w:sz w:val="24"/>
                <w:highlight w:val="none"/>
                <w:lang w:val="en-US" w:eastAsia="zh-CN"/>
              </w:rPr>
              <w:t>上述内容需齐全，如存在内容与项目无关、逻辑错误、表述错误、不符合本项目涉及的相关规范或标准要求的任意一种情形的，内容每存在一处扣1分，扣完为止。未提供的得0分，最高得3分，最低得0分。</w:t>
            </w:r>
          </w:p>
        </w:tc>
      </w:tr>
      <w:tr w14:paraId="393E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05" w:type="dxa"/>
            <w:vMerge w:val="continue"/>
            <w:shd w:val="clear" w:color="auto" w:fill="auto"/>
            <w:vAlign w:val="center"/>
          </w:tcPr>
          <w:p w14:paraId="4BCCF623">
            <w:pPr>
              <w:spacing w:line="360" w:lineRule="auto"/>
              <w:jc w:val="center"/>
              <w:rPr>
                <w:rFonts w:ascii="仿宋" w:hAnsi="仿宋" w:eastAsia="仿宋" w:cs="仿宋"/>
                <w:color w:val="auto"/>
                <w:sz w:val="24"/>
                <w:highlight w:val="none"/>
              </w:rPr>
            </w:pPr>
          </w:p>
        </w:tc>
        <w:tc>
          <w:tcPr>
            <w:tcW w:w="807" w:type="dxa"/>
            <w:shd w:val="clear" w:color="auto" w:fill="auto"/>
            <w:vAlign w:val="center"/>
          </w:tcPr>
          <w:p w14:paraId="3C7E111E">
            <w:pPr>
              <w:spacing w:line="360" w:lineRule="auto"/>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项目重难点</w:t>
            </w:r>
            <w:r>
              <w:rPr>
                <w:rFonts w:hint="eastAsia" w:ascii="仿宋" w:hAnsi="仿宋" w:eastAsia="仿宋" w:cs="仿宋"/>
                <w:color w:val="000000"/>
                <w:sz w:val="24"/>
                <w:highlight w:val="none"/>
                <w:lang w:val="en-US" w:eastAsia="zh-CN"/>
              </w:rPr>
              <w:t>解决</w:t>
            </w:r>
            <w:r>
              <w:rPr>
                <w:rFonts w:hint="eastAsia" w:ascii="仿宋" w:hAnsi="仿宋" w:eastAsia="仿宋" w:cs="仿宋"/>
                <w:color w:val="000000"/>
                <w:sz w:val="24"/>
                <w:highlight w:val="none"/>
              </w:rPr>
              <w:t>方案</w:t>
            </w:r>
          </w:p>
        </w:tc>
        <w:tc>
          <w:tcPr>
            <w:tcW w:w="673" w:type="dxa"/>
            <w:shd w:val="clear" w:color="auto" w:fill="auto"/>
            <w:vAlign w:val="center"/>
          </w:tcPr>
          <w:p w14:paraId="3420C71D">
            <w:pPr>
              <w:spacing w:line="360" w:lineRule="auto"/>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lang w:val="en-US" w:eastAsia="zh-CN"/>
              </w:rPr>
              <w:t>2</w:t>
            </w:r>
          </w:p>
        </w:tc>
        <w:tc>
          <w:tcPr>
            <w:tcW w:w="7636" w:type="dxa"/>
            <w:shd w:val="clear" w:color="auto" w:fill="auto"/>
            <w:vAlign w:val="center"/>
          </w:tcPr>
          <w:p w14:paraId="3C34A0AD">
            <w:pPr>
              <w:spacing w:line="360" w:lineRule="auto"/>
              <w:rPr>
                <w:rFonts w:ascii="仿宋" w:hAnsi="仿宋" w:eastAsia="仿宋" w:cs="仿宋"/>
                <w:color w:val="000000"/>
                <w:sz w:val="24"/>
                <w:highlight w:val="none"/>
              </w:rPr>
            </w:pPr>
            <w:r>
              <w:rPr>
                <w:rFonts w:hint="eastAsia" w:ascii="仿宋" w:hAnsi="仿宋" w:eastAsia="仿宋" w:cs="仿宋"/>
                <w:strike w:val="0"/>
                <w:dstrike w:val="0"/>
                <w:color w:val="000000"/>
                <w:sz w:val="24"/>
                <w:highlight w:val="none"/>
              </w:rPr>
              <w:t>根据招标文件</w:t>
            </w:r>
            <w:r>
              <w:rPr>
                <w:rFonts w:hint="eastAsia" w:ascii="仿宋" w:hAnsi="仿宋" w:eastAsia="仿宋" w:cs="仿宋"/>
                <w:strike w:val="0"/>
                <w:dstrike w:val="0"/>
                <w:color w:val="000000"/>
                <w:sz w:val="24"/>
                <w:highlight w:val="none"/>
                <w:lang w:val="en-US" w:eastAsia="zh-CN"/>
              </w:rPr>
              <w:t>第五章《采购需求》</w:t>
            </w:r>
            <w:r>
              <w:rPr>
                <w:rFonts w:hint="eastAsia" w:ascii="仿宋" w:hAnsi="仿宋" w:eastAsia="仿宋" w:cs="仿宋"/>
                <w:strike w:val="0"/>
                <w:dstrike w:val="0"/>
                <w:color w:val="000000"/>
                <w:sz w:val="24"/>
                <w:highlight w:val="none"/>
              </w:rPr>
              <w:t>中</w:t>
            </w:r>
            <w:r>
              <w:rPr>
                <w:rFonts w:hint="eastAsia" w:ascii="仿宋" w:hAnsi="仿宋" w:eastAsia="仿宋" w:cs="仿宋"/>
                <w:strike w:val="0"/>
                <w:dstrike w:val="0"/>
                <w:color w:val="000000"/>
                <w:sz w:val="24"/>
                <w:highlight w:val="none"/>
                <w:lang w:eastAsia="zh-CN"/>
              </w:rPr>
              <w:t>“建设内容清单及技术参数要求”</w:t>
            </w:r>
            <w:r>
              <w:rPr>
                <w:rFonts w:hint="eastAsia" w:ascii="仿宋" w:hAnsi="仿宋" w:eastAsia="仿宋" w:cs="仿宋"/>
                <w:strike w:val="0"/>
                <w:dstrike w:val="0"/>
                <w:color w:val="000000"/>
                <w:sz w:val="24"/>
                <w:highlight w:val="none"/>
                <w:lang w:val="en-US" w:eastAsia="zh-CN"/>
              </w:rPr>
              <w:t>中“（2）详细技术要求”等基于本次紧密型医共体共享中心系统架构的基础上，进行具体完善并提供具体方案措施，提供相应的方案，包括</w:t>
            </w:r>
            <w:r>
              <w:rPr>
                <w:rFonts w:hint="eastAsia" w:ascii="仿宋" w:hAnsi="仿宋" w:eastAsia="仿宋" w:cs="仿宋"/>
                <w:color w:val="000000"/>
                <w:sz w:val="24"/>
                <w:highlight w:val="none"/>
              </w:rPr>
              <w:t>：</w:t>
            </w:r>
          </w:p>
          <w:p w14:paraId="664A6859">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重难点梳理：</w:t>
            </w:r>
            <w:r>
              <w:rPr>
                <w:rFonts w:hint="eastAsia" w:ascii="仿宋" w:hAnsi="仿宋" w:eastAsia="仿宋" w:cs="仿宋"/>
                <w:color w:val="000000"/>
                <w:sz w:val="24"/>
                <w:highlight w:val="none"/>
              </w:rPr>
              <w:t>梳理本项目实施重点工作清单，逐条列明项目实施、对接、数据迁移、运维全流程难点等</w:t>
            </w:r>
            <w:r>
              <w:rPr>
                <w:rFonts w:hint="eastAsia" w:ascii="仿宋" w:hAnsi="仿宋" w:eastAsia="仿宋" w:cs="仿宋"/>
                <w:color w:val="000000"/>
                <w:sz w:val="24"/>
                <w:highlight w:val="none"/>
                <w:lang w:eastAsia="zh-CN"/>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24C9C7C9">
            <w:pPr>
              <w:spacing w:line="360" w:lineRule="auto"/>
              <w:rPr>
                <w:rFonts w:hint="eastAsia" w:ascii="仿宋" w:hAnsi="仿宋" w:eastAsia="仿宋" w:cs="仿宋"/>
                <w:color w:val="auto"/>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解决方案描述：</w:t>
            </w:r>
            <w:r>
              <w:rPr>
                <w:rFonts w:hint="eastAsia" w:ascii="仿宋" w:hAnsi="仿宋" w:eastAsia="仿宋" w:cs="仿宋"/>
                <w:color w:val="000000"/>
                <w:sz w:val="24"/>
                <w:highlight w:val="none"/>
              </w:rPr>
              <w:t>针对每一项重点工作配套对应落地实施措施，针对每一项难点配套可落地、可执行的解决处置方案</w:t>
            </w:r>
            <w:r>
              <w:rPr>
                <w:rFonts w:hint="eastAsia" w:ascii="仿宋" w:hAnsi="仿宋" w:eastAsia="仿宋" w:cs="仿宋"/>
                <w:color w:val="000000"/>
                <w:sz w:val="24"/>
                <w:highlight w:val="none"/>
                <w:lang w:eastAsia="zh-CN"/>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32F9E364">
            <w:pPr>
              <w:spacing w:line="360" w:lineRule="auto"/>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lang w:val="en-US" w:eastAsia="zh-CN"/>
              </w:rPr>
              <w:t>上述内容需齐全，如存在内容与项目无关、逻辑错误、表述错误、不符合本项目涉及的相关规范或标准要求的任意一种情形的，内容每存在一处扣1分，扣完为止。未提供的得0分，最高得2分，最低得0分。</w:t>
            </w:r>
          </w:p>
        </w:tc>
      </w:tr>
      <w:tr w14:paraId="1F2F7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05" w:type="dxa"/>
            <w:vMerge w:val="continue"/>
            <w:shd w:val="clear" w:color="auto" w:fill="auto"/>
            <w:vAlign w:val="center"/>
          </w:tcPr>
          <w:p w14:paraId="2F4576F6">
            <w:pPr>
              <w:spacing w:line="360" w:lineRule="auto"/>
              <w:jc w:val="center"/>
              <w:rPr>
                <w:rFonts w:ascii="仿宋" w:hAnsi="仿宋" w:eastAsia="仿宋" w:cs="仿宋"/>
                <w:color w:val="auto"/>
                <w:sz w:val="24"/>
                <w:highlight w:val="none"/>
              </w:rPr>
            </w:pPr>
          </w:p>
        </w:tc>
        <w:tc>
          <w:tcPr>
            <w:tcW w:w="807" w:type="dxa"/>
            <w:shd w:val="clear" w:color="auto" w:fill="auto"/>
            <w:vAlign w:val="center"/>
          </w:tcPr>
          <w:p w14:paraId="6474B988">
            <w:pPr>
              <w:spacing w:line="360" w:lineRule="auto"/>
              <w:jc w:val="center"/>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数据迁移</w:t>
            </w:r>
            <w:r>
              <w:rPr>
                <w:rFonts w:hint="eastAsia" w:ascii="仿宋" w:hAnsi="仿宋" w:eastAsia="仿宋" w:cs="仿宋"/>
                <w:color w:val="000000"/>
                <w:sz w:val="24"/>
                <w:highlight w:val="none"/>
                <w:lang w:val="en-US" w:eastAsia="zh-CN"/>
              </w:rPr>
              <w:t>保障</w:t>
            </w:r>
            <w:r>
              <w:rPr>
                <w:rFonts w:hint="eastAsia" w:ascii="仿宋" w:hAnsi="仿宋" w:eastAsia="仿宋" w:cs="仿宋"/>
                <w:color w:val="000000"/>
                <w:sz w:val="24"/>
                <w:highlight w:val="none"/>
              </w:rPr>
              <w:t>方案</w:t>
            </w:r>
          </w:p>
        </w:tc>
        <w:tc>
          <w:tcPr>
            <w:tcW w:w="673" w:type="dxa"/>
            <w:shd w:val="clear" w:color="auto" w:fill="auto"/>
            <w:vAlign w:val="center"/>
          </w:tcPr>
          <w:p w14:paraId="389D560B">
            <w:pPr>
              <w:spacing w:line="360" w:lineRule="auto"/>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lang w:val="en-US" w:eastAsia="zh-CN"/>
              </w:rPr>
              <w:t>4</w:t>
            </w:r>
          </w:p>
        </w:tc>
        <w:tc>
          <w:tcPr>
            <w:tcW w:w="7636" w:type="dxa"/>
            <w:shd w:val="clear" w:color="auto" w:fill="auto"/>
            <w:vAlign w:val="center"/>
          </w:tcPr>
          <w:p w14:paraId="76C17429">
            <w:pPr>
              <w:spacing w:line="360" w:lineRule="auto"/>
              <w:rPr>
                <w:rFonts w:ascii="仿宋" w:hAnsi="仿宋" w:eastAsia="仿宋" w:cs="仿宋"/>
                <w:color w:val="000000"/>
                <w:sz w:val="24"/>
                <w:highlight w:val="none"/>
              </w:rPr>
            </w:pPr>
            <w:r>
              <w:rPr>
                <w:rFonts w:hint="eastAsia" w:ascii="仿宋" w:hAnsi="仿宋" w:eastAsia="仿宋" w:cs="仿宋"/>
                <w:strike w:val="0"/>
                <w:dstrike w:val="0"/>
                <w:color w:val="000000"/>
                <w:sz w:val="24"/>
                <w:highlight w:val="none"/>
              </w:rPr>
              <w:t>根据招标文件</w:t>
            </w:r>
            <w:r>
              <w:rPr>
                <w:rFonts w:hint="eastAsia" w:ascii="仿宋" w:hAnsi="仿宋" w:eastAsia="仿宋" w:cs="仿宋"/>
                <w:strike w:val="0"/>
                <w:dstrike w:val="0"/>
                <w:color w:val="000000"/>
                <w:sz w:val="24"/>
                <w:highlight w:val="none"/>
                <w:lang w:val="en-US" w:eastAsia="zh-CN"/>
              </w:rPr>
              <w:t>第五章《采购需求》</w:t>
            </w:r>
            <w:r>
              <w:rPr>
                <w:rFonts w:hint="eastAsia" w:ascii="仿宋" w:hAnsi="仿宋" w:eastAsia="仿宋" w:cs="仿宋"/>
                <w:strike w:val="0"/>
                <w:dstrike w:val="0"/>
                <w:color w:val="000000"/>
                <w:sz w:val="24"/>
                <w:highlight w:val="none"/>
              </w:rPr>
              <w:t>中</w:t>
            </w:r>
            <w:r>
              <w:rPr>
                <w:rFonts w:hint="eastAsia" w:ascii="仿宋" w:hAnsi="仿宋" w:eastAsia="仿宋" w:cs="仿宋"/>
                <w:strike w:val="0"/>
                <w:dstrike w:val="0"/>
                <w:color w:val="000000"/>
                <w:sz w:val="24"/>
                <w:highlight w:val="none"/>
                <w:lang w:eastAsia="zh-CN"/>
              </w:rPr>
              <w:t>“建设内容清单及技术参数要求”</w:t>
            </w:r>
            <w:r>
              <w:rPr>
                <w:rFonts w:hint="eastAsia" w:ascii="仿宋" w:hAnsi="仿宋" w:eastAsia="仿宋" w:cs="仿宋"/>
                <w:strike w:val="0"/>
                <w:dstrike w:val="0"/>
                <w:color w:val="000000"/>
                <w:sz w:val="24"/>
                <w:highlight w:val="none"/>
                <w:lang w:val="en-US" w:eastAsia="zh-CN"/>
              </w:rPr>
              <w:t>中“2.2基层云HIS建设”等基于洪泽现有医疗数据进行迁移保障，提供具体方案措施，提供相应的方案，包括</w:t>
            </w:r>
            <w:r>
              <w:rPr>
                <w:rFonts w:hint="eastAsia" w:ascii="仿宋" w:hAnsi="仿宋" w:eastAsia="仿宋" w:cs="仿宋"/>
                <w:color w:val="000000"/>
                <w:sz w:val="24"/>
                <w:highlight w:val="none"/>
              </w:rPr>
              <w:t>：</w:t>
            </w:r>
          </w:p>
          <w:p w14:paraId="709BE9A2">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现有数据整理：</w:t>
            </w:r>
            <w:r>
              <w:rPr>
                <w:rFonts w:hint="eastAsia" w:ascii="仿宋" w:hAnsi="仿宋" w:eastAsia="仿宋" w:cs="仿宋"/>
                <w:color w:val="000000"/>
                <w:sz w:val="24"/>
                <w:highlight w:val="none"/>
              </w:rPr>
              <w:t>完成基层现有系统数据现状梳理、明确数据迁移、系统整合整体目标等；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359A8EC9">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数据迁移过程保障：</w:t>
            </w:r>
            <w:r>
              <w:rPr>
                <w:rFonts w:hint="eastAsia" w:ascii="仿宋" w:hAnsi="仿宋" w:eastAsia="仿宋" w:cs="仿宋"/>
                <w:color w:val="000000"/>
                <w:sz w:val="24"/>
                <w:highlight w:val="none"/>
              </w:rPr>
              <w:t>列明完整数据迁移全流程步骤、分阶段工作内容、配套数据清洗、校验、备份、回滚全流程质量保障措施等；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7D6954BB">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3.</w:t>
            </w:r>
            <w:r>
              <w:rPr>
                <w:rFonts w:hint="eastAsia" w:ascii="仿宋" w:hAnsi="仿宋" w:eastAsia="仿宋" w:cs="仿宋"/>
                <w:color w:val="000000"/>
                <w:sz w:val="24"/>
                <w:highlight w:val="none"/>
                <w:lang w:val="en-US" w:eastAsia="zh-CN"/>
              </w:rPr>
              <w:t>提供数据迁移经验支持：</w:t>
            </w:r>
            <w:r>
              <w:rPr>
                <w:rFonts w:hint="eastAsia" w:ascii="仿宋" w:hAnsi="仿宋" w:eastAsia="仿宋" w:cs="仿宋"/>
                <w:color w:val="000000"/>
                <w:sz w:val="24"/>
                <w:highlight w:val="none"/>
              </w:rPr>
              <w:t>列明同类医疗信息化项目数据迁移过往实施案例经验</w:t>
            </w:r>
            <w:r>
              <w:rPr>
                <w:rFonts w:hint="eastAsia" w:ascii="仿宋" w:hAnsi="仿宋" w:eastAsia="仿宋" w:cs="仿宋"/>
                <w:color w:val="000000"/>
                <w:sz w:val="24"/>
                <w:highlight w:val="none"/>
                <w:lang w:val="en-US" w:eastAsia="zh-CN"/>
              </w:rPr>
              <w:t>并提供佐证材料（如合同原件扫描件等）</w:t>
            </w:r>
            <w:r>
              <w:rPr>
                <w:rFonts w:hint="eastAsia" w:ascii="仿宋" w:hAnsi="仿宋" w:eastAsia="仿宋" w:cs="仿宋"/>
                <w:color w:val="000000"/>
                <w:sz w:val="24"/>
                <w:highlight w:val="none"/>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76C555CC">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000000"/>
                <w:sz w:val="24"/>
                <w:highlight w:val="none"/>
              </w:rPr>
              <w:t>4.</w:t>
            </w:r>
            <w:r>
              <w:rPr>
                <w:rFonts w:hint="eastAsia" w:ascii="仿宋" w:hAnsi="仿宋" w:eastAsia="仿宋" w:cs="仿宋"/>
                <w:color w:val="000000"/>
                <w:sz w:val="24"/>
                <w:highlight w:val="none"/>
                <w:lang w:val="en-US" w:eastAsia="zh-CN"/>
              </w:rPr>
              <w:t>数据</w:t>
            </w:r>
            <w:r>
              <w:rPr>
                <w:rFonts w:hint="eastAsia" w:ascii="仿宋" w:hAnsi="仿宋" w:eastAsia="仿宋" w:cs="仿宋"/>
                <w:color w:val="000000"/>
                <w:sz w:val="24"/>
                <w:highlight w:val="none"/>
              </w:rPr>
              <w:t>迁移</w:t>
            </w:r>
            <w:r>
              <w:rPr>
                <w:rFonts w:hint="eastAsia" w:ascii="仿宋" w:hAnsi="仿宋" w:eastAsia="仿宋" w:cs="仿宋"/>
                <w:color w:val="auto"/>
                <w:sz w:val="24"/>
                <w:highlight w:val="none"/>
              </w:rPr>
              <w:t>方案</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为本项目专属编制，</w:t>
            </w:r>
            <w:r>
              <w:rPr>
                <w:rFonts w:hint="eastAsia" w:ascii="仿宋" w:hAnsi="仿宋" w:eastAsia="仿宋" w:cs="仿宋"/>
                <w:color w:val="auto"/>
                <w:sz w:val="24"/>
                <w:highlight w:val="none"/>
              </w:rPr>
              <w:t>须匹配本</w:t>
            </w:r>
            <w:r>
              <w:rPr>
                <w:rFonts w:hint="eastAsia" w:ascii="仿宋" w:hAnsi="仿宋" w:eastAsia="仿宋" w:cs="仿宋"/>
                <w:color w:val="000000"/>
                <w:sz w:val="24"/>
                <w:highlight w:val="none"/>
              </w:rPr>
              <w:t>项目基层医疗机构业务类型</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1分</w:t>
            </w:r>
            <w:r>
              <w:rPr>
                <w:rFonts w:hint="eastAsia" w:ascii="仿宋" w:hAnsi="仿宋" w:eastAsia="仿宋" w:cs="仿宋"/>
                <w:color w:val="auto"/>
                <w:sz w:val="24"/>
                <w:highlight w:val="none"/>
                <w:lang w:eastAsia="zh-CN"/>
              </w:rPr>
              <w:t>）</w:t>
            </w:r>
          </w:p>
          <w:p w14:paraId="1834D4F6">
            <w:pP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highlight w:val="none"/>
                <w:lang w:val="en-US" w:eastAsia="zh-CN"/>
              </w:rPr>
              <w:t>上述内容需齐全，如存在内容与项目无关、逻辑错误、表述错误、不符合本项目涉及的相关规范或标准要求的任意一种情形的，内容每存在一处扣1分，扣完为止。未提供的得0分，最高得4分，最低得0分。</w:t>
            </w:r>
          </w:p>
        </w:tc>
      </w:tr>
      <w:tr w14:paraId="51DE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805" w:type="dxa"/>
            <w:vMerge w:val="continue"/>
            <w:shd w:val="clear" w:color="auto" w:fill="auto"/>
            <w:vAlign w:val="center"/>
          </w:tcPr>
          <w:p w14:paraId="293BA7E4">
            <w:pPr>
              <w:spacing w:line="360" w:lineRule="auto"/>
              <w:jc w:val="center"/>
              <w:rPr>
                <w:rFonts w:ascii="仿宋" w:hAnsi="仿宋" w:eastAsia="仿宋" w:cs="仿宋"/>
                <w:color w:val="auto"/>
                <w:sz w:val="24"/>
                <w:highlight w:val="none"/>
              </w:rPr>
            </w:pPr>
          </w:p>
        </w:tc>
        <w:tc>
          <w:tcPr>
            <w:tcW w:w="807" w:type="dxa"/>
            <w:shd w:val="clear" w:color="auto" w:fill="auto"/>
            <w:vAlign w:val="center"/>
          </w:tcPr>
          <w:p w14:paraId="02C55CF4">
            <w:pPr>
              <w:spacing w:line="360" w:lineRule="auto"/>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rPr>
              <w:t>对接集成方案</w:t>
            </w:r>
          </w:p>
        </w:tc>
        <w:tc>
          <w:tcPr>
            <w:tcW w:w="673" w:type="dxa"/>
            <w:shd w:val="clear" w:color="auto" w:fill="auto"/>
            <w:vAlign w:val="center"/>
          </w:tcPr>
          <w:p w14:paraId="763E6B3F">
            <w:pPr>
              <w:spacing w:line="360" w:lineRule="auto"/>
              <w:jc w:val="center"/>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lang w:val="en-US" w:eastAsia="zh-CN"/>
              </w:rPr>
              <w:t>6</w:t>
            </w:r>
          </w:p>
        </w:tc>
        <w:tc>
          <w:tcPr>
            <w:tcW w:w="7636" w:type="dxa"/>
            <w:shd w:val="clear" w:color="auto" w:fill="auto"/>
            <w:vAlign w:val="center"/>
          </w:tcPr>
          <w:p w14:paraId="73636D10">
            <w:pPr>
              <w:spacing w:line="360" w:lineRule="auto"/>
              <w:rPr>
                <w:rFonts w:ascii="仿宋" w:hAnsi="仿宋" w:eastAsia="仿宋" w:cs="仿宋"/>
                <w:color w:val="000000"/>
                <w:sz w:val="24"/>
                <w:highlight w:val="none"/>
              </w:rPr>
            </w:pPr>
            <w:r>
              <w:rPr>
                <w:rFonts w:hint="eastAsia" w:ascii="仿宋" w:hAnsi="仿宋" w:eastAsia="仿宋" w:cs="仿宋"/>
                <w:strike w:val="0"/>
                <w:dstrike w:val="0"/>
                <w:color w:val="000000"/>
                <w:sz w:val="24"/>
                <w:highlight w:val="none"/>
              </w:rPr>
              <w:t>根据招标文件</w:t>
            </w:r>
            <w:r>
              <w:rPr>
                <w:rFonts w:hint="eastAsia" w:ascii="仿宋" w:hAnsi="仿宋" w:eastAsia="仿宋" w:cs="仿宋"/>
                <w:strike w:val="0"/>
                <w:dstrike w:val="0"/>
                <w:color w:val="000000"/>
                <w:sz w:val="24"/>
                <w:highlight w:val="none"/>
                <w:lang w:val="en-US" w:eastAsia="zh-CN"/>
              </w:rPr>
              <w:t>第五章《采购需求》</w:t>
            </w:r>
            <w:r>
              <w:rPr>
                <w:rFonts w:hint="eastAsia" w:ascii="仿宋" w:hAnsi="仿宋" w:eastAsia="仿宋" w:cs="仿宋"/>
                <w:strike w:val="0"/>
                <w:dstrike w:val="0"/>
                <w:color w:val="000000"/>
                <w:sz w:val="24"/>
                <w:highlight w:val="none"/>
              </w:rPr>
              <w:t>中</w:t>
            </w:r>
            <w:r>
              <w:rPr>
                <w:rFonts w:hint="eastAsia" w:ascii="仿宋" w:hAnsi="仿宋" w:eastAsia="仿宋" w:cs="仿宋"/>
                <w:strike w:val="0"/>
                <w:dstrike w:val="0"/>
                <w:color w:val="000000"/>
                <w:sz w:val="24"/>
                <w:highlight w:val="none"/>
                <w:lang w:eastAsia="zh-CN"/>
              </w:rPr>
              <w:t>“建设内容清单及技术参数要求”</w:t>
            </w:r>
            <w:r>
              <w:rPr>
                <w:rFonts w:hint="eastAsia" w:ascii="仿宋" w:hAnsi="仿宋" w:eastAsia="仿宋" w:cs="仿宋"/>
                <w:strike w:val="0"/>
                <w:dstrike w:val="0"/>
                <w:color w:val="000000"/>
                <w:sz w:val="24"/>
                <w:highlight w:val="none"/>
                <w:lang w:val="en-US" w:eastAsia="zh-CN"/>
              </w:rPr>
              <w:t>中“2.2基层云HIS建设”“2.6运维服务”等，对“健康淮安”、基层云HIS与市级平台、医共体中心与市级平台的对接等，提供具体方案措施，提供相应的方案，包括</w:t>
            </w:r>
            <w:r>
              <w:rPr>
                <w:rFonts w:hint="eastAsia" w:ascii="仿宋" w:hAnsi="仿宋" w:eastAsia="仿宋" w:cs="仿宋"/>
                <w:color w:val="000000"/>
                <w:sz w:val="24"/>
                <w:highlight w:val="none"/>
              </w:rPr>
              <w:t>：</w:t>
            </w:r>
          </w:p>
          <w:p w14:paraId="0ABF8608">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健康淮安</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平台对接：</w:t>
            </w:r>
            <w:r>
              <w:rPr>
                <w:rFonts w:hint="eastAsia" w:ascii="仿宋" w:hAnsi="仿宋" w:eastAsia="仿宋" w:cs="仿宋"/>
                <w:color w:val="000000"/>
                <w:sz w:val="24"/>
                <w:highlight w:val="none"/>
              </w:rPr>
              <w:t>完整说明对“健康淮安”基层医疗云平台、市级全民健康信息的掌握情况</w:t>
            </w:r>
            <w:r>
              <w:rPr>
                <w:rFonts w:hint="eastAsia" w:ascii="仿宋" w:hAnsi="仿宋" w:eastAsia="仿宋" w:cs="仿宋"/>
                <w:color w:val="000000"/>
                <w:sz w:val="24"/>
                <w:highlight w:val="none"/>
                <w:lang w:val="en-US" w:eastAsia="zh-CN"/>
              </w:rPr>
              <w:t>和对接方案</w:t>
            </w:r>
            <w:r>
              <w:rPr>
                <w:rFonts w:hint="eastAsia" w:ascii="仿宋" w:hAnsi="仿宋" w:eastAsia="仿宋" w:cs="仿宋"/>
                <w:color w:val="000000"/>
                <w:sz w:val="24"/>
                <w:highlight w:val="none"/>
              </w:rPr>
              <w:t>等</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2分</w:t>
            </w:r>
            <w:r>
              <w:rPr>
                <w:rFonts w:hint="eastAsia" w:ascii="仿宋" w:hAnsi="仿宋" w:eastAsia="仿宋" w:cs="仿宋"/>
                <w:color w:val="000000"/>
                <w:sz w:val="24"/>
                <w:highlight w:val="none"/>
                <w:lang w:eastAsia="zh-CN"/>
              </w:rPr>
              <w:t>）</w:t>
            </w:r>
          </w:p>
          <w:p w14:paraId="3235898A">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市级平台对接：</w:t>
            </w:r>
            <w:r>
              <w:rPr>
                <w:rFonts w:hint="eastAsia" w:ascii="仿宋" w:hAnsi="仿宋" w:eastAsia="仿宋" w:cs="仿宋"/>
                <w:color w:val="000000"/>
                <w:sz w:val="24"/>
                <w:highlight w:val="none"/>
              </w:rPr>
              <w:t>基层云HIS对接市级平台完整技术实现方案、医共体六大中心对接市级平台完整技术实现方案</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2分</w:t>
            </w:r>
            <w:r>
              <w:rPr>
                <w:rFonts w:hint="eastAsia" w:ascii="仿宋" w:hAnsi="仿宋" w:eastAsia="仿宋" w:cs="仿宋"/>
                <w:color w:val="000000"/>
                <w:sz w:val="24"/>
                <w:highlight w:val="none"/>
                <w:lang w:eastAsia="zh-CN"/>
              </w:rPr>
              <w:t>）</w:t>
            </w:r>
          </w:p>
          <w:p w14:paraId="287401C9">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3.</w:t>
            </w:r>
            <w:r>
              <w:rPr>
                <w:rFonts w:hint="eastAsia" w:ascii="仿宋" w:hAnsi="仿宋" w:eastAsia="仿宋" w:cs="仿宋"/>
                <w:color w:val="000000"/>
                <w:sz w:val="24"/>
                <w:highlight w:val="none"/>
                <w:lang w:val="en-US" w:eastAsia="zh-CN"/>
              </w:rPr>
              <w:t>业务数据对接：</w:t>
            </w:r>
            <w:r>
              <w:rPr>
                <w:rFonts w:hint="eastAsia" w:ascii="仿宋" w:hAnsi="仿宋" w:eastAsia="仿宋" w:cs="仿宋"/>
                <w:color w:val="000000"/>
                <w:sz w:val="24"/>
                <w:highlight w:val="none"/>
              </w:rPr>
              <w:t>提供双向交互业务完整数据清单，列明对接实施分阶段计划、联调测试安排</w:t>
            </w:r>
            <w:r>
              <w:rPr>
                <w:rFonts w:hint="eastAsia" w:ascii="仿宋" w:hAnsi="仿宋" w:eastAsia="仿宋" w:cs="仿宋"/>
                <w:color w:val="000000"/>
                <w:sz w:val="24"/>
                <w:highlight w:val="none"/>
                <w:lang w:val="en-US" w:eastAsia="zh-CN"/>
              </w:rPr>
              <w:t>等；（2分）</w:t>
            </w:r>
          </w:p>
          <w:p w14:paraId="68AFD284">
            <w:pPr>
              <w:spacing w:line="360" w:lineRule="auto"/>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lang w:val="en-US" w:eastAsia="zh-CN"/>
              </w:rPr>
              <w:t>上述内容需齐全，如存在内容与项目无关、逻辑错误、表述错误、不符合本项目涉及的相关规范或标准要求的任意一种情形的，内容每存在一处扣2分，扣完为止。未提供的得0分，最高得6分，最低得0分。</w:t>
            </w:r>
          </w:p>
        </w:tc>
      </w:tr>
      <w:tr w14:paraId="0C20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612" w:type="dxa"/>
            <w:gridSpan w:val="2"/>
            <w:shd w:val="clear" w:color="auto" w:fill="auto"/>
            <w:vAlign w:val="center"/>
          </w:tcPr>
          <w:p w14:paraId="7B92D38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项目组实施人员配置情况（8分）</w:t>
            </w:r>
          </w:p>
        </w:tc>
        <w:tc>
          <w:tcPr>
            <w:tcW w:w="673" w:type="dxa"/>
            <w:shd w:val="clear" w:color="auto" w:fill="auto"/>
            <w:vAlign w:val="center"/>
          </w:tcPr>
          <w:p w14:paraId="60F9F1DC">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7636" w:type="dxa"/>
            <w:shd w:val="clear" w:color="auto" w:fill="auto"/>
            <w:vAlign w:val="center"/>
          </w:tcPr>
          <w:p w14:paraId="4078A350">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拟投入本项目的实施团队人员情况：</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（1）拟派项目经理具有工信部、人社部门统一颁发的信息系统项目管理师、系统规划与管理师证书，每提供一个得1分，本项最多得2分。</w:t>
            </w:r>
          </w:p>
          <w:p w14:paraId="08E2C45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（2）拟派项目技术负责人具有工信部、人社部门统一颁发的系统分析师、软件设计师证书，每提供一个得1分，本项最多得2分。</w:t>
            </w:r>
          </w:p>
          <w:p w14:paraId="6247322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3）项目团队成员（除项目经理和技术负责人外）具有工信部、人社部门统一颁发的系统架构设计师、软件设计师、数据库系统工程师、程序员证书，每提供一种证书得1分，本项最高得4分。（以上要求中提供多个同类证件只计1次；同一个人具备以上要求的多个资质证书的只计1次）</w:t>
            </w:r>
            <w:r>
              <w:rPr>
                <w:rFonts w:hint="eastAsia" w:ascii="仿宋" w:hAnsi="仿宋" w:eastAsia="仿宋" w:cs="仿宋"/>
                <w:color w:val="auto"/>
                <w:sz w:val="24"/>
                <w:highlight w:val="none"/>
              </w:rPr>
              <w:br w:type="textWrapping"/>
            </w:r>
            <w:r>
              <w:rPr>
                <w:rFonts w:hint="eastAsia" w:ascii="仿宋" w:hAnsi="仿宋" w:eastAsia="仿宋" w:cs="仿宋"/>
                <w:color w:val="auto"/>
                <w:sz w:val="24"/>
                <w:highlight w:val="none"/>
              </w:rPr>
              <w:t>注：在投标文件中须提供有效期内的证书扫描件、近6个月任意一个月在投标人单位的社保缴纳记录扫描件，以上均须加盖投标人公章。</w:t>
            </w:r>
          </w:p>
        </w:tc>
      </w:tr>
      <w:tr w14:paraId="10829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612" w:type="dxa"/>
            <w:gridSpan w:val="2"/>
            <w:shd w:val="clear" w:color="auto" w:fill="auto"/>
            <w:vAlign w:val="center"/>
          </w:tcPr>
          <w:p w14:paraId="1951A3F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业绩案例（3分）</w:t>
            </w:r>
          </w:p>
        </w:tc>
        <w:tc>
          <w:tcPr>
            <w:tcW w:w="673" w:type="dxa"/>
            <w:shd w:val="clear" w:color="auto" w:fill="auto"/>
            <w:vAlign w:val="center"/>
          </w:tcPr>
          <w:p w14:paraId="2EEC8EC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7636" w:type="dxa"/>
            <w:shd w:val="clear" w:color="auto" w:fill="auto"/>
            <w:vAlign w:val="center"/>
          </w:tcPr>
          <w:p w14:paraId="09BFEBD5">
            <w:pPr>
              <w:widowControl/>
              <w:spacing w:line="360" w:lineRule="auto"/>
              <w:jc w:val="left"/>
              <w:textAlignment w:val="center"/>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投标人自2023年1月1日以来（以合同签订时间为准）承接过类似医疗信息化业绩的，每提供一个得1分，本项最高得3分。</w:t>
            </w:r>
            <w:r>
              <w:rPr>
                <w:rFonts w:hint="eastAsia" w:ascii="仿宋" w:hAnsi="仿宋" w:eastAsia="仿宋" w:cs="仿宋"/>
                <w:color w:val="auto"/>
                <w:sz w:val="24"/>
                <w:highlight w:val="none"/>
                <w:lang w:bidi="ar"/>
              </w:rPr>
              <w:br w:type="textWrapping"/>
            </w:r>
            <w:r>
              <w:rPr>
                <w:rFonts w:hint="eastAsia" w:ascii="仿宋" w:hAnsi="仿宋" w:eastAsia="仿宋" w:cs="仿宋"/>
                <w:color w:val="auto"/>
                <w:sz w:val="24"/>
                <w:highlight w:val="none"/>
                <w:lang w:bidi="ar"/>
              </w:rPr>
              <w:t>注：（1）投标人需提供业绩证明材料至投标文件，证明材料电子扫描件需包含中标（或成交）通知书、合同（或者合同协议书）、采购人履约评价（或者验收合格报告或者验收合格证明），三者缺一不可，未提供或提供不全或模糊不清无法辨认均不予计分。</w:t>
            </w:r>
            <w:r>
              <w:rPr>
                <w:rFonts w:hint="eastAsia" w:ascii="仿宋" w:hAnsi="仿宋" w:eastAsia="仿宋" w:cs="仿宋"/>
                <w:color w:val="auto"/>
                <w:sz w:val="24"/>
                <w:highlight w:val="none"/>
                <w:lang w:bidi="ar"/>
              </w:rPr>
              <w:br w:type="textWrapping"/>
            </w:r>
            <w:r>
              <w:rPr>
                <w:rFonts w:hint="eastAsia" w:ascii="仿宋" w:hAnsi="仿宋" w:eastAsia="仿宋" w:cs="仿宋"/>
                <w:color w:val="auto"/>
                <w:sz w:val="24"/>
                <w:highlight w:val="none"/>
                <w:lang w:bidi="ar"/>
              </w:rPr>
              <w:t>（2）合同甲方履约评价中出现“不满意”或“差”或“不合格”或同等意思表达的，该业绩不得分。</w:t>
            </w:r>
          </w:p>
          <w:p w14:paraId="31C9B734">
            <w:pPr>
              <w:widowControl/>
              <w:spacing w:line="360" w:lineRule="auto"/>
              <w:jc w:val="left"/>
              <w:textAlignment w:val="center"/>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（3）业绩证明材料应能够明确反映投标人名称、项目内容、合同签订时间等主要信息，否则不得分。</w:t>
            </w:r>
          </w:p>
          <w:p w14:paraId="42483A5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bidi="ar"/>
              </w:rPr>
              <w:t>（4）对中标供应商的业绩信息随成交（中标）结果公告同步予以公示。</w:t>
            </w:r>
          </w:p>
        </w:tc>
      </w:tr>
      <w:tr w14:paraId="3B45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612" w:type="dxa"/>
            <w:gridSpan w:val="2"/>
            <w:shd w:val="clear" w:color="auto" w:fill="auto"/>
            <w:vAlign w:val="center"/>
          </w:tcPr>
          <w:p w14:paraId="0223A23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系统演示（</w:t>
            </w:r>
            <w:r>
              <w:rPr>
                <w:rFonts w:hint="eastAsia" w:ascii="仿宋" w:hAnsi="仿宋" w:eastAsia="仿宋" w:cs="仿宋"/>
                <w:color w:val="auto"/>
                <w:sz w:val="24"/>
                <w:highlight w:val="none"/>
                <w:lang w:val="en-US" w:eastAsia="zh-CN"/>
              </w:rPr>
              <w:t>14</w:t>
            </w:r>
            <w:r>
              <w:rPr>
                <w:rFonts w:hint="eastAsia" w:ascii="仿宋" w:hAnsi="仿宋" w:eastAsia="仿宋" w:cs="仿宋"/>
                <w:color w:val="auto"/>
                <w:sz w:val="24"/>
                <w:highlight w:val="none"/>
              </w:rPr>
              <w:t>分）</w:t>
            </w:r>
          </w:p>
        </w:tc>
        <w:tc>
          <w:tcPr>
            <w:tcW w:w="673" w:type="dxa"/>
            <w:shd w:val="clear" w:color="auto" w:fill="auto"/>
            <w:vAlign w:val="center"/>
          </w:tcPr>
          <w:p w14:paraId="5C3FF85E">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w:t>
            </w:r>
          </w:p>
        </w:tc>
        <w:tc>
          <w:tcPr>
            <w:tcW w:w="7636" w:type="dxa"/>
            <w:shd w:val="clear" w:color="auto" w:fill="auto"/>
            <w:vAlign w:val="center"/>
          </w:tcPr>
          <w:p w14:paraId="398914C2">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投标人须提供基于实际软件环境的系统演示视频，演示内容时间总体时长不超过15分钟，演示内容：</w:t>
            </w:r>
          </w:p>
          <w:p w14:paraId="42EC0B4E">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1.演示区域心电中心远程诊断流程，演示要点（</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分）：</w:t>
            </w:r>
            <w:r>
              <w:rPr>
                <w:rFonts w:hint="eastAsia" w:ascii="仿宋" w:hAnsi="仿宋" w:eastAsia="仿宋" w:cs="仿宋"/>
                <w:color w:val="000000"/>
                <w:sz w:val="24"/>
                <w:highlight w:val="none"/>
              </w:rPr>
              <w:br w:type="textWrapping"/>
            </w:r>
            <w:r>
              <w:rPr>
                <w:rFonts w:hint="eastAsia" w:ascii="仿宋" w:hAnsi="仿宋" w:eastAsia="仿宋" w:cs="仿宋"/>
                <w:color w:val="000000"/>
                <w:sz w:val="24"/>
                <w:highlight w:val="none"/>
              </w:rPr>
              <w:t>（1）演示申请医院可通过移动端智能算法捕捉关键词进行波形分析，自动识别紧急状况，标识“加急”标签</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申请医院通过移动端进行波形浏览；</w:t>
            </w:r>
            <w:r>
              <w:rPr>
                <w:rFonts w:hint="eastAsia" w:ascii="仿宋" w:hAnsi="仿宋" w:eastAsia="仿宋" w:cs="仿宋"/>
                <w:color w:val="000000"/>
                <w:sz w:val="24"/>
                <w:highlight w:val="none"/>
              </w:rPr>
              <w:br w:type="textWrapping"/>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）演示诊断医院可通过移动端接收加急患者诊断申请通知</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报告审核，支持波形放大、对比、测量等操作，支持将AI诊断结果/设备诊断结果追加覆盖报告；演示质控功能，支持在报告编辑时对波形、报告进行评分并查看质控结果。</w:t>
            </w:r>
          </w:p>
          <w:p w14:paraId="3040C872">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注：以上演示内容需功能齐全且清晰完整，演示要点单项</w:t>
            </w:r>
            <w:r>
              <w:rPr>
                <w:rFonts w:hint="eastAsia" w:ascii="仿宋" w:hAnsi="仿宋" w:eastAsia="仿宋" w:cs="仿宋"/>
                <w:color w:val="000000"/>
                <w:sz w:val="24"/>
                <w:highlight w:val="none"/>
                <w:lang w:val="en-US" w:eastAsia="zh-CN"/>
              </w:rPr>
              <w:t>每条</w:t>
            </w:r>
            <w:r>
              <w:rPr>
                <w:rFonts w:hint="eastAsia" w:ascii="仿宋" w:hAnsi="仿宋" w:eastAsia="仿宋" w:cs="仿宋"/>
                <w:color w:val="000000"/>
                <w:sz w:val="24"/>
                <w:highlight w:val="none"/>
              </w:rPr>
              <w:t>每缺少1条扣</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分，扣完为止，最高得</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分，最低得0分，以PPT或截图等静态演示等其他形式进行演示的不得分。</w:t>
            </w:r>
          </w:p>
          <w:p w14:paraId="592FA287">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2.演示区域检验中心系统功能，演示要点（</w:t>
            </w: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分）：</w:t>
            </w:r>
            <w:r>
              <w:rPr>
                <w:rFonts w:hint="eastAsia" w:ascii="仿宋" w:hAnsi="仿宋" w:eastAsia="仿宋" w:cs="仿宋"/>
                <w:color w:val="000000"/>
                <w:sz w:val="24"/>
                <w:highlight w:val="none"/>
              </w:rPr>
              <w:br w:type="textWrapping"/>
            </w:r>
            <w:r>
              <w:rPr>
                <w:rFonts w:hint="eastAsia" w:ascii="仿宋" w:hAnsi="仿宋" w:eastAsia="仿宋" w:cs="仿宋"/>
                <w:color w:val="000000"/>
                <w:sz w:val="24"/>
                <w:highlight w:val="none"/>
              </w:rPr>
              <w:t>（1）演示样本发送功能，能够实现点击未发送列表一键获取机构的未发送样本，支持选择外送样本列表进行发送操作，支持单个发送，也支持多个打包发送；发送后系统会自动生成打包码。</w:t>
            </w:r>
            <w:r>
              <w:rPr>
                <w:rFonts w:hint="eastAsia" w:ascii="仿宋" w:hAnsi="仿宋" w:eastAsia="仿宋" w:cs="仿宋"/>
                <w:color w:val="000000"/>
                <w:sz w:val="24"/>
                <w:highlight w:val="none"/>
              </w:rPr>
              <w:br w:type="textWrapping"/>
            </w:r>
            <w:r>
              <w:rPr>
                <w:rFonts w:hint="eastAsia" w:ascii="仿宋" w:hAnsi="仿宋" w:eastAsia="仿宋" w:cs="仿宋"/>
                <w:color w:val="000000"/>
                <w:sz w:val="24"/>
                <w:highlight w:val="none"/>
              </w:rPr>
              <w:t>（2）演示样本流转查询功能，能够实现输入条码号后查看样本的全流程节点，支持通过列表展示外送样本的明细信息，包括节点类型、操作内容、操作人工号、操作人姓名、操作时间，并支持以时间轴形式呈现各个节点类型，供操作人员查看。</w:t>
            </w:r>
            <w:r>
              <w:rPr>
                <w:rFonts w:hint="eastAsia" w:ascii="仿宋" w:hAnsi="仿宋" w:eastAsia="仿宋" w:cs="仿宋"/>
                <w:color w:val="000000"/>
                <w:sz w:val="24"/>
                <w:highlight w:val="none"/>
              </w:rPr>
              <w:br w:type="textWrapping"/>
            </w:r>
            <w:r>
              <w:rPr>
                <w:rFonts w:hint="eastAsia" w:ascii="仿宋" w:hAnsi="仿宋" w:eastAsia="仿宋" w:cs="仿宋"/>
                <w:color w:val="000000"/>
                <w:sz w:val="24"/>
                <w:highlight w:val="none"/>
              </w:rPr>
              <w:t>（3）演示危急值处理状态查询功能，能够实现区域检验中心上传的所有危急值项目的处理明细，支持查看上级处理状态、发生时间、处理时间、处理时长、处理人、送检机构等信息，帮助快速了解危急值发生及处理情况。</w:t>
            </w:r>
          </w:p>
          <w:p w14:paraId="1B430C5B">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注：以上演示内容需功能齐全且清晰完整，演示要点单项</w:t>
            </w:r>
            <w:r>
              <w:rPr>
                <w:rFonts w:hint="eastAsia" w:ascii="仿宋" w:hAnsi="仿宋" w:eastAsia="仿宋" w:cs="仿宋"/>
                <w:color w:val="000000"/>
                <w:sz w:val="24"/>
                <w:highlight w:val="none"/>
                <w:lang w:val="en-US" w:eastAsia="zh-CN"/>
              </w:rPr>
              <w:t>每条</w:t>
            </w:r>
            <w:r>
              <w:rPr>
                <w:rFonts w:hint="eastAsia" w:ascii="仿宋" w:hAnsi="仿宋" w:eastAsia="仿宋" w:cs="仿宋"/>
                <w:color w:val="000000"/>
                <w:sz w:val="24"/>
                <w:highlight w:val="none"/>
              </w:rPr>
              <w:t>每缺少1条扣</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分，扣完为止，最高得</w:t>
            </w: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分，最低得0分，以PPT或截图等静态演示等其他形式进行演示的不得分。</w:t>
            </w:r>
          </w:p>
          <w:p w14:paraId="024504BE">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3.演示区域审方中心系统功能，演示要点（</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分）：</w:t>
            </w:r>
          </w:p>
          <w:p w14:paraId="49B9ED5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（1）演示首页可统计门诊处方数量、住院审核数量、门诊警示数量、住院警示数量及不合理处方趋势图、今日问题汇总按触发规则统计</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演示药师审方功能的开始审方、结束审方的具体操作</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审方结果查询可以按照姓名、时间、审方状态等筛选项筛选系统预审不合理的处方和Excel导出功能。</w:t>
            </w:r>
          </w:p>
          <w:p w14:paraId="7DC5CAB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）演示电子药历可以根据患者信息模板填写内容建立药历档案，和查询已建档药历的功能</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根据已建药品不良反应模板填报药品不良反应内容操作和查询已报不良反应信息的功能。</w:t>
            </w:r>
          </w:p>
          <w:p w14:paraId="4DBB4095">
            <w:pPr>
              <w:spacing w:line="360" w:lineRule="auto"/>
              <w:rPr>
                <w:rFonts w:ascii="仿宋" w:hAnsi="仿宋" w:eastAsia="仿宋" w:cs="仿宋"/>
                <w:color w:val="auto"/>
                <w:sz w:val="24"/>
                <w:highlight w:val="none"/>
              </w:rPr>
            </w:pPr>
            <w:r>
              <w:rPr>
                <w:rFonts w:hint="eastAsia" w:ascii="仿宋" w:hAnsi="仿宋" w:eastAsia="仿宋" w:cs="仿宋"/>
                <w:color w:val="000000"/>
                <w:sz w:val="24"/>
                <w:highlight w:val="none"/>
              </w:rPr>
              <w:t>注：以上演示内容需功能齐全且清晰完整，演示要点单项</w:t>
            </w:r>
            <w:r>
              <w:rPr>
                <w:rFonts w:hint="eastAsia" w:ascii="仿宋" w:hAnsi="仿宋" w:eastAsia="仿宋" w:cs="仿宋"/>
                <w:color w:val="000000"/>
                <w:sz w:val="24"/>
                <w:highlight w:val="none"/>
                <w:lang w:val="en-US" w:eastAsia="zh-CN"/>
              </w:rPr>
              <w:t>每条</w:t>
            </w:r>
            <w:r>
              <w:rPr>
                <w:rFonts w:hint="eastAsia" w:ascii="仿宋" w:hAnsi="仿宋" w:eastAsia="仿宋" w:cs="仿宋"/>
                <w:color w:val="000000"/>
                <w:sz w:val="24"/>
                <w:highlight w:val="none"/>
              </w:rPr>
              <w:t>每缺少1条扣</w:t>
            </w: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分，扣完为止，最高得</w:t>
            </w:r>
            <w:r>
              <w:rPr>
                <w:rFonts w:hint="eastAsia" w:ascii="仿宋" w:hAnsi="仿宋" w:eastAsia="仿宋" w:cs="仿宋"/>
                <w:color w:val="000000"/>
                <w:sz w:val="24"/>
                <w:highlight w:val="none"/>
                <w:lang w:val="en-US" w:eastAsia="zh-CN"/>
              </w:rPr>
              <w:t>4</w:t>
            </w:r>
            <w:r>
              <w:rPr>
                <w:rFonts w:hint="eastAsia" w:ascii="仿宋" w:hAnsi="仿宋" w:eastAsia="仿宋" w:cs="仿宋"/>
                <w:color w:val="000000"/>
                <w:sz w:val="24"/>
                <w:highlight w:val="none"/>
              </w:rPr>
              <w:t>分，最低得0分，以PPT或截图等静态演示等其他形式进行演示的不得分。</w:t>
            </w:r>
          </w:p>
        </w:tc>
      </w:tr>
      <w:tr w14:paraId="4A8D0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jc w:val="center"/>
        </w:trPr>
        <w:tc>
          <w:tcPr>
            <w:tcW w:w="1612" w:type="dxa"/>
            <w:gridSpan w:val="2"/>
            <w:shd w:val="clear" w:color="auto" w:fill="auto"/>
            <w:vAlign w:val="center"/>
          </w:tcPr>
          <w:p w14:paraId="2287B3F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售后服务（</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673" w:type="dxa"/>
            <w:shd w:val="clear" w:color="auto" w:fill="auto"/>
            <w:vAlign w:val="center"/>
          </w:tcPr>
          <w:p w14:paraId="5F5C54D4">
            <w:pPr>
              <w:spacing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7636" w:type="dxa"/>
            <w:shd w:val="clear" w:color="auto" w:fill="auto"/>
            <w:vAlign w:val="center"/>
          </w:tcPr>
          <w:p w14:paraId="047CCC1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1.售后服务响应时间：投标人承诺在接到系统故障通知后，投标人必须在20分钟内响应。对于影响系统正常运行的严重故障，投标人的相关技术人员必须在接到故障通知后2小时内赶到现场</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现场</w:t>
            </w:r>
            <w:r>
              <w:rPr>
                <w:rFonts w:hint="eastAsia" w:ascii="仿宋" w:hAnsi="仿宋" w:eastAsia="仿宋" w:cs="仿宋"/>
                <w:color w:val="auto"/>
                <w:sz w:val="24"/>
                <w:highlight w:val="none"/>
              </w:rPr>
              <w:t>查找原因，提出解决方案，并工作直至故障修妥完全恢复正常工作为止，一般要求保证系统在24小时之内修复。投标人提供承诺书的得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分，未提供不得分。（提供承诺书原件扫描件上传至投标文件中，格式自拟）</w:t>
            </w:r>
          </w:p>
          <w:p w14:paraId="71756B61">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2.技术培训方案：包括培训基本方案、培训内容方案及具体培训方案共3项内容每项1分，满分3分。未提供得0分，本项最高得3分，最低得0分。</w:t>
            </w:r>
          </w:p>
          <w:p w14:paraId="47853BEE">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.驻场人员：投标人承诺项目验收合格后派驻具有计算机相关专业本科及以上学历、3年以上相关工作经验的专业技术人员进行运维工作，派驻期1年。投标人</w:t>
            </w:r>
            <w:r>
              <w:rPr>
                <w:rFonts w:hint="eastAsia" w:ascii="仿宋" w:hAnsi="仿宋" w:eastAsia="仿宋" w:cs="仿宋"/>
                <w:color w:val="auto"/>
                <w:sz w:val="24"/>
                <w:highlight w:val="none"/>
                <w:lang w:val="en-US" w:eastAsia="zh-CN"/>
              </w:rPr>
              <w:t>提供承诺书，承诺派驻1人得4分，未承诺不得分。</w:t>
            </w:r>
            <w:r>
              <w:rPr>
                <w:rFonts w:hint="eastAsia" w:ascii="仿宋" w:hAnsi="仿宋" w:eastAsia="仿宋" w:cs="仿宋"/>
                <w:color w:val="auto"/>
                <w:sz w:val="24"/>
                <w:highlight w:val="none"/>
              </w:rPr>
              <w:t>（提供承诺书原件扫描件上传至投标文件中，格式自拟）</w:t>
            </w:r>
          </w:p>
        </w:tc>
      </w:tr>
    </w:tbl>
    <w:p w14:paraId="344F5F2E">
      <w:pPr>
        <w:spacing w:line="440" w:lineRule="exact"/>
        <w:jc w:val="center"/>
        <w:rPr>
          <w:rFonts w:hint="eastAsia" w:ascii="仿宋" w:hAnsi="仿宋" w:eastAsia="仿宋"/>
          <w:bCs/>
          <w:color w:val="FF0000"/>
          <w:sz w:val="28"/>
          <w:szCs w:val="28"/>
        </w:rPr>
      </w:pPr>
      <w:r>
        <w:rPr>
          <w:rFonts w:hint="eastAsia" w:ascii="仿宋" w:hAnsi="仿宋" w:eastAsia="仿宋"/>
          <w:bCs/>
          <w:color w:val="FF0000"/>
          <w:sz w:val="28"/>
          <w:szCs w:val="28"/>
        </w:rPr>
        <w:br w:type="page" w:clear="all"/>
      </w:r>
      <w:r>
        <w:rPr>
          <w:rFonts w:hint="eastAsia" w:ascii="仿宋" w:hAnsi="仿宋" w:eastAsia="仿宋"/>
          <w:b/>
          <w:sz w:val="36"/>
          <w:szCs w:val="36"/>
        </w:rPr>
        <w:t>第四章合同格式及条款</w:t>
      </w:r>
    </w:p>
    <w:p w14:paraId="7F560AD1">
      <w:pPr>
        <w:tabs>
          <w:tab w:val="left" w:pos="180"/>
        </w:tabs>
        <w:spacing w:line="520" w:lineRule="exact"/>
        <w:ind w:firstLine="640"/>
        <w:rPr>
          <w:rFonts w:hint="eastAsia" w:ascii="仿宋" w:hAnsi="仿宋" w:eastAsia="仿宋"/>
          <w:sz w:val="32"/>
        </w:rPr>
      </w:pPr>
    </w:p>
    <w:p w14:paraId="56121577">
      <w:pPr>
        <w:spacing w:line="500" w:lineRule="exact"/>
        <w:jc w:val="center"/>
        <w:rPr>
          <w:rFonts w:hint="eastAsia" w:ascii="仿宋" w:hAnsi="仿宋" w:eastAsia="仿宋" w:cs="仿宋"/>
          <w:b/>
          <w:bCs/>
          <w:color w:val="000000"/>
          <w:kern w:val="0"/>
          <w:sz w:val="32"/>
          <w:szCs w:val="32"/>
        </w:rPr>
      </w:pPr>
      <w:bookmarkStart w:id="43" w:name="OLE_LINK4"/>
      <w:r>
        <w:rPr>
          <w:rFonts w:hint="eastAsia" w:ascii="仿宋" w:hAnsi="仿宋" w:eastAsia="仿宋" w:cs="仿宋"/>
          <w:b/>
          <w:bCs/>
          <w:color w:val="000000"/>
          <w:kern w:val="0"/>
          <w:sz w:val="32"/>
          <w:szCs w:val="32"/>
        </w:rPr>
        <w:t>合同格式可调整</w:t>
      </w:r>
    </w:p>
    <w:p w14:paraId="2E76851D">
      <w:pPr>
        <w:pBdr>
          <w:top w:val="none" w:color="000000" w:sz="0" w:space="0"/>
          <w:left w:val="none" w:color="000000" w:sz="0" w:space="0"/>
          <w:bottom w:val="none" w:color="000000" w:sz="0" w:space="0"/>
          <w:right w:val="none" w:color="000000" w:sz="0" w:space="0"/>
        </w:pBdr>
        <w:spacing w:line="360" w:lineRule="auto"/>
        <w:rPr>
          <w:sz w:val="28"/>
          <w:szCs w:val="28"/>
          <w:highlight w:val="none"/>
        </w:rPr>
      </w:pPr>
      <w:r>
        <w:rPr>
          <w:rFonts w:ascii="仿宋" w:hAnsi="仿宋" w:eastAsia="仿宋" w:cs="仿宋"/>
          <w:color w:val="000000"/>
          <w:sz w:val="28"/>
          <w:szCs w:val="28"/>
          <w:highlight w:val="none"/>
        </w:rPr>
        <w:t>甲方：</w:t>
      </w:r>
    </w:p>
    <w:p w14:paraId="534EBF88">
      <w:pPr>
        <w:pBdr>
          <w:top w:val="none" w:color="000000" w:sz="0" w:space="0"/>
          <w:left w:val="none" w:color="000000" w:sz="0" w:space="0"/>
          <w:bottom w:val="none" w:color="000000" w:sz="0" w:space="0"/>
          <w:right w:val="none" w:color="000000" w:sz="0" w:space="0"/>
        </w:pBdr>
        <w:spacing w:line="360" w:lineRule="auto"/>
        <w:rPr>
          <w:sz w:val="28"/>
          <w:szCs w:val="28"/>
          <w:highlight w:val="none"/>
        </w:rPr>
      </w:pPr>
      <w:r>
        <w:rPr>
          <w:rFonts w:ascii="仿宋" w:hAnsi="仿宋" w:eastAsia="仿宋" w:cs="仿宋"/>
          <w:color w:val="000000"/>
          <w:sz w:val="28"/>
          <w:szCs w:val="28"/>
          <w:highlight w:val="none"/>
        </w:rPr>
        <w:t>乙方：</w:t>
      </w:r>
    </w:p>
    <w:p w14:paraId="7A207292">
      <w:pPr>
        <w:pBdr>
          <w:top w:val="none" w:color="000000" w:sz="0" w:space="0"/>
          <w:left w:val="none" w:color="000000" w:sz="0" w:space="0"/>
          <w:bottom w:val="none" w:color="000000" w:sz="0" w:space="0"/>
          <w:right w:val="none" w:color="000000" w:sz="0" w:space="0"/>
        </w:pBdr>
        <w:spacing w:line="360" w:lineRule="auto"/>
        <w:ind w:firstLine="480"/>
        <w:jc w:val="left"/>
        <w:rPr>
          <w:sz w:val="28"/>
          <w:szCs w:val="28"/>
          <w:highlight w:val="none"/>
        </w:rPr>
      </w:pPr>
      <w:r>
        <w:rPr>
          <w:rFonts w:ascii="仿宋" w:hAnsi="仿宋" w:eastAsia="仿宋" w:cs="仿宋"/>
          <w:color w:val="000000"/>
          <w:sz w:val="28"/>
          <w:szCs w:val="28"/>
          <w:highlight w:val="none"/>
        </w:rPr>
        <w:t>甲、乙双方根据项目编号</w:t>
      </w:r>
      <w:r>
        <w:rPr>
          <w:rFonts w:ascii="仿宋" w:hAnsi="仿宋" w:eastAsia="仿宋" w:cs="仿宋"/>
          <w:color w:val="333333"/>
          <w:sz w:val="28"/>
          <w:szCs w:val="28"/>
          <w:highlight w:val="none"/>
          <w:u w:val="single"/>
        </w:rPr>
        <w:t>          </w:t>
      </w:r>
      <w:r>
        <w:rPr>
          <w:rFonts w:ascii="仿宋" w:hAnsi="仿宋" w:eastAsia="仿宋" w:cs="仿宋"/>
          <w:color w:val="000000"/>
          <w:sz w:val="28"/>
          <w:szCs w:val="28"/>
          <w:highlight w:val="none"/>
        </w:rPr>
        <w:t>的</w:t>
      </w:r>
      <w:r>
        <w:rPr>
          <w:rFonts w:ascii="仿宋" w:hAnsi="仿宋" w:eastAsia="仿宋" w:cs="仿宋"/>
          <w:color w:val="000000"/>
          <w:sz w:val="28"/>
          <w:szCs w:val="28"/>
          <w:highlight w:val="none"/>
          <w:u w:val="single"/>
        </w:rPr>
        <w:t>            </w:t>
      </w:r>
      <w:r>
        <w:rPr>
          <w:rFonts w:ascii="仿宋" w:hAnsi="仿宋" w:eastAsia="仿宋" w:cs="仿宋"/>
          <w:color w:val="000000"/>
          <w:sz w:val="28"/>
          <w:szCs w:val="28"/>
          <w:highlight w:val="none"/>
        </w:rPr>
        <w:t>采购项目公开采购结果及</w:t>
      </w:r>
      <w:r>
        <w:rPr>
          <w:rFonts w:hint="eastAsia" w:ascii="仿宋" w:hAnsi="仿宋" w:eastAsia="仿宋" w:cs="仿宋"/>
          <w:color w:val="000000"/>
          <w:sz w:val="28"/>
          <w:szCs w:val="28"/>
          <w:highlight w:val="none"/>
        </w:rPr>
        <w:t>采购</w:t>
      </w:r>
      <w:r>
        <w:rPr>
          <w:rFonts w:ascii="仿宋" w:hAnsi="仿宋" w:eastAsia="仿宋" w:cs="仿宋"/>
          <w:color w:val="000000"/>
          <w:sz w:val="28"/>
          <w:szCs w:val="28"/>
          <w:highlight w:val="none"/>
        </w:rPr>
        <w:t>文件的要求，经协商一致，达成如下合同：</w:t>
      </w:r>
    </w:p>
    <w:p w14:paraId="4266E8A4">
      <w:pPr>
        <w:pBdr>
          <w:top w:val="none" w:color="000000" w:sz="0" w:space="0"/>
          <w:left w:val="none" w:color="000000" w:sz="0" w:space="0"/>
          <w:bottom w:val="none" w:color="000000" w:sz="0" w:space="0"/>
          <w:right w:val="none" w:color="000000" w:sz="0" w:space="0"/>
        </w:pBdr>
        <w:spacing w:line="360" w:lineRule="auto"/>
        <w:ind w:firstLine="720"/>
        <w:rPr>
          <w:rFonts w:eastAsia="仿宋"/>
          <w:b/>
          <w:bCs/>
          <w:sz w:val="28"/>
          <w:szCs w:val="28"/>
          <w:highlight w:val="none"/>
        </w:rPr>
      </w:pPr>
      <w:r>
        <w:rPr>
          <w:rFonts w:hint="eastAsia" w:ascii="仿宋" w:hAnsi="仿宋" w:eastAsia="仿宋" w:cs="仿宋"/>
          <w:b/>
          <w:bCs/>
          <w:color w:val="000000"/>
          <w:sz w:val="28"/>
          <w:szCs w:val="28"/>
          <w:highlight w:val="none"/>
        </w:rPr>
        <w:t>第一条，服务内容及要求</w:t>
      </w:r>
    </w:p>
    <w:p w14:paraId="0FDA32BC">
      <w:pPr>
        <w:pBdr>
          <w:top w:val="none" w:color="000000" w:sz="0" w:space="0"/>
          <w:left w:val="none" w:color="000000" w:sz="0" w:space="0"/>
          <w:bottom w:val="none" w:color="000000" w:sz="0" w:space="0"/>
          <w:right w:val="none" w:color="000000" w:sz="0" w:space="0"/>
        </w:pBdr>
        <w:spacing w:line="360" w:lineRule="auto"/>
        <w:ind w:firstLine="6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本合同所提供的服务及要求详见“项目采购需求”。</w:t>
      </w:r>
    </w:p>
    <w:p w14:paraId="172E11FF">
      <w:pPr>
        <w:pBdr>
          <w:top w:val="none" w:color="000000" w:sz="0" w:space="0"/>
          <w:left w:val="none" w:color="000000" w:sz="0" w:space="0"/>
          <w:bottom w:val="none" w:color="000000" w:sz="0" w:space="0"/>
          <w:right w:val="none" w:color="000000" w:sz="0" w:space="0"/>
        </w:pBdr>
        <w:spacing w:line="360" w:lineRule="auto"/>
        <w:ind w:firstLine="720"/>
        <w:rPr>
          <w:b/>
          <w:bCs/>
          <w:sz w:val="28"/>
          <w:szCs w:val="28"/>
          <w:highlight w:val="none"/>
        </w:rPr>
      </w:pPr>
      <w:r>
        <w:rPr>
          <w:rFonts w:hint="eastAsia" w:ascii="仿宋" w:hAnsi="仿宋" w:eastAsia="仿宋" w:cs="仿宋"/>
          <w:b/>
          <w:bCs/>
          <w:color w:val="000000"/>
          <w:sz w:val="28"/>
          <w:szCs w:val="28"/>
          <w:highlight w:val="none"/>
        </w:rPr>
        <w:t>第二条，</w:t>
      </w:r>
      <w:r>
        <w:rPr>
          <w:rFonts w:ascii="仿宋" w:hAnsi="仿宋" w:eastAsia="仿宋" w:cs="仿宋"/>
          <w:b/>
          <w:bCs/>
          <w:color w:val="000000"/>
          <w:sz w:val="28"/>
          <w:szCs w:val="28"/>
          <w:highlight w:val="none"/>
        </w:rPr>
        <w:t>合同金额</w:t>
      </w:r>
    </w:p>
    <w:p w14:paraId="47E77BCC">
      <w:pPr>
        <w:pBdr>
          <w:top w:val="none" w:color="000000" w:sz="0" w:space="0"/>
          <w:left w:val="none" w:color="000000" w:sz="0" w:space="0"/>
          <w:bottom w:val="none" w:color="000000" w:sz="0" w:space="0"/>
          <w:right w:val="none" w:color="000000" w:sz="0" w:space="0"/>
        </w:pBdr>
        <w:spacing w:line="360" w:lineRule="auto"/>
        <w:ind w:firstLine="660"/>
        <w:rPr>
          <w:sz w:val="28"/>
          <w:szCs w:val="28"/>
          <w:highlight w:val="none"/>
        </w:rPr>
      </w:pPr>
      <w:r>
        <w:rPr>
          <w:rFonts w:ascii="仿宋" w:hAnsi="仿宋" w:eastAsia="仿宋" w:cs="仿宋"/>
          <w:color w:val="000000"/>
          <w:sz w:val="28"/>
          <w:szCs w:val="28"/>
          <w:highlight w:val="none"/>
        </w:rPr>
        <w:t>本合同的总金额（大写）为</w:t>
      </w:r>
      <w:r>
        <w:rPr>
          <w:rFonts w:ascii="仿宋" w:hAnsi="仿宋" w:eastAsia="仿宋" w:cs="仿宋"/>
          <w:color w:val="000000"/>
          <w:sz w:val="28"/>
          <w:szCs w:val="28"/>
          <w:highlight w:val="none"/>
          <w:u w:val="single"/>
        </w:rPr>
        <w:t>                          </w:t>
      </w:r>
      <w:r>
        <w:rPr>
          <w:rFonts w:ascii="仿宋" w:hAnsi="仿宋" w:eastAsia="仿宋" w:cs="仿宋"/>
          <w:color w:val="000000"/>
          <w:sz w:val="28"/>
          <w:szCs w:val="28"/>
          <w:highlight w:val="none"/>
        </w:rPr>
        <w:t>元人民币。</w:t>
      </w:r>
    </w:p>
    <w:p w14:paraId="29BAA6F6">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第三条，</w:t>
      </w:r>
      <w:r>
        <w:rPr>
          <w:rFonts w:ascii="仿宋" w:hAnsi="仿宋" w:eastAsia="仿宋" w:cs="仿宋"/>
          <w:b/>
          <w:bCs/>
          <w:color w:val="000000"/>
          <w:sz w:val="28"/>
          <w:szCs w:val="28"/>
          <w:highlight w:val="none"/>
        </w:rPr>
        <w:t>服务时间和地点</w:t>
      </w:r>
    </w:p>
    <w:p w14:paraId="22681FD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服务时间：</w:t>
      </w:r>
      <w:r>
        <w:rPr>
          <w:rFonts w:hint="eastAsia" w:ascii="仿宋" w:hAnsi="仿宋" w:eastAsia="仿宋" w:cs="仿宋"/>
          <w:color w:val="000000"/>
          <w:sz w:val="28"/>
          <w:szCs w:val="28"/>
          <w:highlight w:val="none"/>
          <w:lang w:eastAsia="zh-CN"/>
        </w:rPr>
        <w:t>一年</w:t>
      </w:r>
      <w:r>
        <w:rPr>
          <w:rFonts w:hint="eastAsia" w:ascii="仿宋" w:hAnsi="仿宋" w:eastAsia="仿宋" w:cs="仿宋"/>
          <w:color w:val="000000"/>
          <w:sz w:val="28"/>
          <w:szCs w:val="28"/>
          <w:highlight w:val="none"/>
        </w:rPr>
        <w:t>。</w:t>
      </w:r>
    </w:p>
    <w:p w14:paraId="65B6BA37">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第四条，</w:t>
      </w:r>
      <w:r>
        <w:rPr>
          <w:rFonts w:ascii="仿宋" w:hAnsi="仿宋" w:eastAsia="仿宋" w:cs="仿宋"/>
          <w:b/>
          <w:bCs/>
          <w:color w:val="000000"/>
          <w:sz w:val="28"/>
          <w:szCs w:val="28"/>
          <w:highlight w:val="none"/>
        </w:rPr>
        <w:t>付款方式：</w:t>
      </w:r>
    </w:p>
    <w:p w14:paraId="667F9290">
      <w:pPr>
        <w:pBdr>
          <w:top w:val="none" w:color="000000" w:sz="0" w:space="0"/>
          <w:left w:val="none" w:color="000000" w:sz="0" w:space="0"/>
          <w:bottom w:val="none" w:color="000000" w:sz="0" w:space="0"/>
          <w:right w:val="none" w:color="000000" w:sz="0" w:space="0"/>
        </w:pBdr>
        <w:spacing w:line="360" w:lineRule="auto"/>
        <w:ind w:firstLine="660"/>
        <w:rPr>
          <w:rFonts w:hint="eastAsia" w:ascii="仿宋" w:hAnsi="仿宋" w:eastAsia="仿宋" w:cs="仿宋"/>
          <w:color w:val="000000"/>
          <w:sz w:val="28"/>
          <w:szCs w:val="28"/>
          <w:highlight w:val="none"/>
          <w:lang w:eastAsia="zh-CN"/>
        </w:rPr>
      </w:pPr>
      <w:r>
        <w:rPr>
          <w:rFonts w:ascii="仿宋" w:hAnsi="仿宋" w:eastAsia="仿宋" w:cs="仿宋"/>
          <w:color w:val="000000"/>
          <w:sz w:val="28"/>
          <w:szCs w:val="28"/>
          <w:highlight w:val="none"/>
        </w:rPr>
        <w:t>1</w:t>
      </w:r>
      <w:r>
        <w:rPr>
          <w:rFonts w:hint="eastAsia" w:ascii="仿宋" w:hAnsi="仿宋" w:eastAsia="仿宋" w:cs="仿宋"/>
          <w:color w:val="000000"/>
          <w:sz w:val="28"/>
          <w:szCs w:val="28"/>
          <w:highlight w:val="none"/>
          <w:lang w:val="en-US" w:eastAsia="zh-CN"/>
        </w:rPr>
        <w:t>.依据苏财购〔2020〕52号文和淮审批发〔2022〕23号文的相关规定，合同签订后15日内预付合同款项的40%，项目试运行一个月后方可组织项目验收，验收合格后再支付合同价款的55%，运行一年后采购人支付合同剩余款项。</w:t>
      </w:r>
    </w:p>
    <w:p w14:paraId="7862A6ED">
      <w:pPr>
        <w:pBdr>
          <w:top w:val="none" w:color="000000" w:sz="0" w:space="0"/>
          <w:left w:val="none" w:color="000000" w:sz="0" w:space="0"/>
          <w:bottom w:val="none" w:color="000000" w:sz="0" w:space="0"/>
          <w:right w:val="none" w:color="000000" w:sz="0" w:space="0"/>
        </w:pBdr>
        <w:spacing w:line="360" w:lineRule="auto"/>
        <w:ind w:firstLine="6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注：付款时成交供应商须提供正规发票（因发票问题而导致无法正常付款的，责任由供应商自己承担）。</w:t>
      </w:r>
    </w:p>
    <w:p w14:paraId="5C585539">
      <w:pPr>
        <w:pBdr>
          <w:top w:val="none" w:color="000000" w:sz="0" w:space="0"/>
          <w:left w:val="none" w:color="000000" w:sz="0" w:space="0"/>
          <w:bottom w:val="none" w:color="000000" w:sz="0" w:space="0"/>
          <w:right w:val="none" w:color="000000" w:sz="0" w:space="0"/>
        </w:pBdr>
        <w:spacing w:line="360" w:lineRule="auto"/>
        <w:ind w:firstLine="66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第五条，</w:t>
      </w:r>
      <w:r>
        <w:rPr>
          <w:rFonts w:hint="eastAsia" w:ascii="仿宋" w:hAnsi="仿宋" w:eastAsia="仿宋" w:cs="仿宋"/>
          <w:b/>
          <w:bCs/>
          <w:color w:val="000000"/>
          <w:sz w:val="28"/>
          <w:szCs w:val="28"/>
          <w:highlight w:val="none"/>
          <w:lang w:val="en-US" w:eastAsia="zh-CN"/>
        </w:rPr>
        <w:t>验收</w:t>
      </w:r>
    </w:p>
    <w:p w14:paraId="264765BA">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lang w:eastAsia="zh-CN"/>
        </w:rPr>
      </w:pPr>
      <w:r>
        <w:rPr>
          <w:rFonts w:ascii="仿宋" w:hAnsi="仿宋" w:eastAsia="仿宋" w:cs="仿宋"/>
          <w:color w:val="000000"/>
          <w:sz w:val="28"/>
          <w:szCs w:val="28"/>
          <w:highlight w:val="none"/>
        </w:rPr>
        <w:t>验收主体：</w:t>
      </w:r>
      <w:r>
        <w:rPr>
          <w:rFonts w:hint="eastAsia" w:ascii="仿宋" w:hAnsi="仿宋" w:eastAsia="仿宋" w:cs="仿宋"/>
          <w:color w:val="000000"/>
          <w:sz w:val="28"/>
          <w:szCs w:val="28"/>
          <w:highlight w:val="none"/>
          <w:lang w:val="en-US" w:eastAsia="zh-CN"/>
        </w:rPr>
        <w:t>淮安市洪泽区卫生健康委员会</w:t>
      </w:r>
    </w:p>
    <w:p w14:paraId="1A855E0F">
      <w:pPr>
        <w:pBdr>
          <w:top w:val="none" w:color="000000" w:sz="0" w:space="0"/>
          <w:left w:val="none" w:color="000000" w:sz="0" w:space="0"/>
          <w:bottom w:val="none" w:color="000000" w:sz="0" w:space="0"/>
          <w:right w:val="none" w:color="000000" w:sz="0" w:space="0"/>
        </w:pBdr>
        <w:spacing w:line="360" w:lineRule="auto"/>
        <w:ind w:firstLine="600"/>
        <w:rPr>
          <w:rFonts w:ascii="仿宋" w:hAnsi="仿宋" w:eastAsia="仿宋" w:cs="仿宋"/>
          <w:color w:val="000000"/>
          <w:sz w:val="28"/>
          <w:szCs w:val="28"/>
          <w:highlight w:val="none"/>
        </w:rPr>
      </w:pPr>
      <w:r>
        <w:rPr>
          <w:rFonts w:ascii="仿宋" w:hAnsi="仿宋" w:eastAsia="仿宋" w:cs="仿宋"/>
          <w:color w:val="000000"/>
          <w:sz w:val="28"/>
          <w:szCs w:val="28"/>
          <w:highlight w:val="none"/>
        </w:rPr>
        <w:t>验收人员：</w:t>
      </w:r>
      <w:r>
        <w:rPr>
          <w:rFonts w:hint="eastAsia" w:ascii="仿宋" w:hAnsi="仿宋" w:eastAsia="仿宋" w:cs="仿宋"/>
          <w:color w:val="000000"/>
          <w:sz w:val="28"/>
          <w:szCs w:val="28"/>
          <w:highlight w:val="none"/>
        </w:rPr>
        <w:t>根据采购项目专业性的特点和实际需求，将邀请相关领域专业技术人员不少于3名（含）组成的验收小组，参与验收。</w:t>
      </w:r>
    </w:p>
    <w:p w14:paraId="60E804ED">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lang w:eastAsia="zh-CN"/>
        </w:rPr>
      </w:pPr>
      <w:r>
        <w:rPr>
          <w:rFonts w:ascii="仿宋" w:hAnsi="仿宋" w:eastAsia="仿宋" w:cs="仿宋"/>
          <w:color w:val="000000"/>
          <w:sz w:val="28"/>
          <w:szCs w:val="28"/>
          <w:highlight w:val="none"/>
        </w:rPr>
        <w:t>验收时间：</w:t>
      </w:r>
      <w:r>
        <w:rPr>
          <w:rFonts w:hint="eastAsia" w:ascii="仿宋" w:hAnsi="仿宋" w:eastAsia="仿宋" w:cs="仿宋"/>
          <w:color w:val="000000"/>
          <w:sz w:val="28"/>
          <w:szCs w:val="28"/>
          <w:highlight w:val="none"/>
          <w:lang w:eastAsia="zh-CN"/>
        </w:rPr>
        <w:t>服务期一年。</w:t>
      </w:r>
    </w:p>
    <w:p w14:paraId="07684CAD">
      <w:pPr>
        <w:pBdr>
          <w:top w:val="none" w:color="000000" w:sz="0" w:space="0"/>
          <w:left w:val="none" w:color="000000" w:sz="0" w:space="0"/>
          <w:bottom w:val="none" w:color="000000" w:sz="0" w:space="0"/>
          <w:right w:val="none" w:color="000000" w:sz="0" w:space="0"/>
        </w:pBdr>
        <w:spacing w:line="360" w:lineRule="auto"/>
        <w:ind w:firstLine="600"/>
        <w:rPr>
          <w:rFonts w:ascii="仿宋" w:hAnsi="仿宋" w:eastAsia="仿宋" w:cs="仿宋"/>
          <w:color w:val="000000"/>
          <w:sz w:val="28"/>
          <w:szCs w:val="28"/>
          <w:highlight w:val="none"/>
        </w:rPr>
      </w:pPr>
      <w:r>
        <w:rPr>
          <w:rFonts w:ascii="仿宋" w:hAnsi="仿宋" w:eastAsia="仿宋" w:cs="仿宋"/>
          <w:color w:val="000000"/>
          <w:sz w:val="28"/>
          <w:szCs w:val="28"/>
          <w:highlight w:val="none"/>
        </w:rPr>
        <w:t>验收地点：淮安市洪泽区</w:t>
      </w:r>
    </w:p>
    <w:p w14:paraId="26A88122">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验收内容及标准：</w:t>
      </w:r>
      <w:r>
        <w:rPr>
          <w:rFonts w:hint="eastAsia" w:ascii="仿宋" w:hAnsi="仿宋" w:eastAsia="仿宋" w:cs="仿宋"/>
          <w:color w:val="000000"/>
          <w:sz w:val="28"/>
          <w:szCs w:val="28"/>
          <w:highlight w:val="none"/>
          <w:lang w:val="en-US" w:eastAsia="zh-CN"/>
        </w:rPr>
        <w:t>自合同签订之日起30日内，中标人具备初次交付能力后，并书面向采购人申请初步验收，并按以下要求验收。初步验收合格后，按相关规定进行考核终验。</w:t>
      </w:r>
    </w:p>
    <w:p w14:paraId="2D68208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1.验收总则</w:t>
      </w:r>
    </w:p>
    <w:p w14:paraId="6331FA5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1.1 验收目标：全面验证洪泽区紧密型区域医共体共享中心建设是否符合设计规范、合同要求及业务需求，确保医共体信息平台六大中心稳定、安全、高效运行，完成基层云HIS建设及对接。</w:t>
      </w:r>
    </w:p>
    <w:p w14:paraId="4658C3D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1.2验收依据：以项目合同、招投标文件、国家及行业相关标准（如《国务院办公厅关于推进医疗联合体建设和发展的指导意见》、《国家卫生健康委关于推进紧密型县域医共体信息化建设的通知》）、设计方案及变更文件为核心验收依据。</w:t>
      </w:r>
    </w:p>
    <w:p w14:paraId="59A6C8F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1.3验收范围：医共体信息平台六大中心建设（区域心电中心、区域影像中心、区域检验中心、双向转诊中心、远程会诊中心、区域审方中心）、基层云HIS建设（基层云HIS系统、云公共卫生系统、云EMR系统、家庭医生签约系统、云LIS系统、云PACS系统、基层云体检系统）、基层系统与六大中心对接、全民健康信息平台虚拟子平台、数据传输性能及相关服务（如培训、质保）等全环节。</w:t>
      </w:r>
    </w:p>
    <w:p w14:paraId="14F8C957">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2.验收人员</w:t>
      </w:r>
    </w:p>
    <w:p w14:paraId="7417280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2.1验收小组构成：由采购人（牵头）邀请相关领域专业技术人员不少于3名（含）组成的验收小组，参与验收。</w:t>
      </w:r>
    </w:p>
    <w:p w14:paraId="1037AC4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3.验收核心内容与标准</w:t>
      </w:r>
    </w:p>
    <w:p w14:paraId="14CACC7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（一）医共体信息平台六大中心验收</w:t>
      </w:r>
    </w:p>
    <w:p w14:paraId="3553FB2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 中心建设完整性：完整建成医共体平台六大中心，各中心模块齐全、功能无缺失，完全贴合医共体一体化建设规范及招标文件需求。</w:t>
      </w:r>
    </w:p>
    <w:p w14:paraId="0D2FDB1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 中心功能合规性：各中心业务功能符合省县域医共体一体化管理要求，可实现医共体牵头单位与基层分院业务协同、资源统筹等核心功能。</w:t>
      </w:r>
    </w:p>
    <w:p w14:paraId="7F4BB7A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（二）基层云HIS建设验收</w:t>
      </w:r>
    </w:p>
    <w:p w14:paraId="6B7A801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 系统部署标准：完成辖区内所有基层医疗机构（乡镇卫生院、社区卫生服务中心、村卫生室）云HIS系统云端部署、环境调试、参数初始化、机构及人员账号配置，实现全域基层机构全覆盖上线。</w:t>
      </w:r>
    </w:p>
    <w:p w14:paraId="12A845C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 核心业务完整性：云HIS系统具备门诊挂号、收费、医生工作站、药房药库、诊疗项目管理、医保结算、住院管理（按需）、公共卫生对接、基础报表统计等全套基层医疗必备功能，适配基层诊疗服务场景。</w:t>
      </w:r>
    </w:p>
    <w:p w14:paraId="65E0A29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3. 基层业务适配性：系统操作简洁、流程简化，贴合基层医务人员工作习惯，支持基层常见病、多发病诊疗、简易处方开具、公卫随访关联、药品进销存管理等基础业务，满足基层常态化诊疗服务需求。</w:t>
      </w:r>
    </w:p>
    <w:p w14:paraId="0827C85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4.云端运行稳定性：采用云架构部署，支持多基层机构同时在线使用，云端运行稳定，无批量卡顿、掉线、数据异常问题。</w:t>
      </w:r>
    </w:p>
    <w:p w14:paraId="2169BD2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（三）基层系统与六大中心对接验收</w:t>
      </w:r>
    </w:p>
    <w:p w14:paraId="097E564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 对接全覆盖性：辖区内所有基层云HIS系统、基层公卫系统全部完成与医共体六大中心的标准化对接，无机构遗漏、无模块缺失，实现全域业务、数据互联互通。</w:t>
      </w:r>
    </w:p>
    <w:p w14:paraId="40E46F1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 对接标准合规性：所有对接接口严格遵循国家、省市医疗互联互通标准及医共体平台对接规范，接口稳定可靠，支持批量数据同步、增量数据更新，具备异常重连、数据纠错机制。</w:t>
      </w:r>
    </w:p>
    <w:p w14:paraId="1904E4D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3.数据统一归集：基层所有业务数据统一归集至医共体六大中心数据库，实现全域数据统一存储、统一管理、统一统计、统一上报，满足医共体一体化数据管控要求。</w:t>
      </w:r>
    </w:p>
    <w:p w14:paraId="3F99525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（四）全民健康信息平台虚拟子平台验收</w:t>
      </w:r>
    </w:p>
    <w:p w14:paraId="65CB7A2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虚拟子平台建设规范性：按“健康淮安”全民健康信息平台建设标准，完成虚拟子平台搭建，平台架构、数据结构、编码标准、字段规范完全匹配“健康淮安”全民健康信息平台统一要求，架构合规、部署规范。</w:t>
      </w:r>
    </w:p>
    <w:p w14:paraId="388BFD3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2.数据汇聚能力：虚拟子平台可全面汇聚辖区内总院、所有基层医疗机构的诊疗、公卫、慢性病、医技、药品、运营、人员等全域医疗健康数据，数据汇聚完整、分类规范、归集准确。</w:t>
      </w:r>
    </w:p>
    <w:p w14:paraId="389E424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3.资源共享服务能力：具备居民健康档案调阅、个人健康信息查询、医疗资源统筹、健康数据共享等基础服务能力，支持跨机构、跨业务、跨层级数据共享与业务协同。</w:t>
      </w:r>
    </w:p>
    <w:p w14:paraId="3A50C17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（五）服务与培训验收</w:t>
      </w:r>
    </w:p>
    <w:p w14:paraId="6F5CC50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1. 质保服务验收：核查承建单位提供的服务响应机制（如7×24小时技术支持）是否达标。</w:t>
      </w:r>
    </w:p>
    <w:p w14:paraId="558B34D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4.验收流程</w:t>
      </w:r>
    </w:p>
    <w:p w14:paraId="4E4E37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4.1申请阶段：承建单位完成自检后，向采购人提交《验收申请表》及全套验收资料。</w:t>
      </w:r>
    </w:p>
    <w:p w14:paraId="58DD135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4.2资料审核阶段：采购人联合验收小组审核资料，资料合格则启动现场验收；不合格则要求承建单位限期补正。</w:t>
      </w:r>
    </w:p>
    <w:p w14:paraId="4867362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4.3.现场测试阶段：验收小组依据验收标准，对平台功能、系统对接等主要内容进行现场测试，记录测试数据及结果。</w:t>
      </w:r>
    </w:p>
    <w:p w14:paraId="3607653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4.4.问题整改阶段：对验收中发现的问题，承建单位需在规定期限内完成整改，并提交整改报告，由验收小组复核。</w:t>
      </w:r>
    </w:p>
    <w:p w14:paraId="1A7A2FE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bidi="ar-SA"/>
        </w:rPr>
        <w:t>4.5.结果确认阶段：若所有验收项均达标，验收小组签署《验收合格报告》；若未达标，明确整改期限及重新验收时间。</w:t>
      </w:r>
    </w:p>
    <w:p w14:paraId="129F66E3">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六</w:t>
      </w:r>
      <w:r>
        <w:rPr>
          <w:rFonts w:hint="eastAsia" w:ascii="仿宋" w:hAnsi="仿宋" w:eastAsia="仿宋" w:cs="仿宋"/>
          <w:b/>
          <w:bCs/>
          <w:color w:val="000000"/>
          <w:sz w:val="28"/>
          <w:szCs w:val="28"/>
          <w:highlight w:val="none"/>
        </w:rPr>
        <w:t>条，</w:t>
      </w:r>
      <w:r>
        <w:rPr>
          <w:rFonts w:hint="eastAsia" w:ascii="仿宋" w:hAnsi="仿宋" w:eastAsia="仿宋" w:cs="仿宋"/>
          <w:b/>
          <w:bCs/>
          <w:color w:val="000000"/>
          <w:sz w:val="28"/>
          <w:szCs w:val="28"/>
          <w:highlight w:val="none"/>
          <w:lang w:eastAsia="zh-CN"/>
        </w:rPr>
        <w:t>履约保证金</w:t>
      </w:r>
    </w:p>
    <w:p w14:paraId="2B5ADA44">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乙方应向采购单位交纳中标总价1%的履约保证金，以保函形式缴纳</w:t>
      </w:r>
      <w:r>
        <w:rPr>
          <w:rFonts w:hint="eastAsia" w:ascii="仿宋" w:hAnsi="仿宋" w:eastAsia="仿宋" w:cs="仿宋"/>
          <w:color w:val="000000"/>
          <w:sz w:val="28"/>
          <w:szCs w:val="28"/>
          <w:highlight w:val="none"/>
        </w:rPr>
        <w:t>。</w:t>
      </w:r>
    </w:p>
    <w:p w14:paraId="127B115E">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七</w:t>
      </w:r>
      <w:r>
        <w:rPr>
          <w:rFonts w:hint="eastAsia" w:ascii="仿宋" w:hAnsi="仿宋" w:eastAsia="仿宋" w:cs="仿宋"/>
          <w:b/>
          <w:bCs/>
          <w:color w:val="000000"/>
          <w:sz w:val="28"/>
          <w:szCs w:val="28"/>
          <w:highlight w:val="none"/>
        </w:rPr>
        <w:t>条，侵权处理</w:t>
      </w:r>
    </w:p>
    <w:p w14:paraId="4AFF2D7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乙方应当保证，其</w:t>
      </w:r>
      <w:r>
        <w:rPr>
          <w:rFonts w:hint="eastAsia" w:ascii="仿宋" w:hAnsi="仿宋" w:eastAsia="仿宋" w:cs="仿宋"/>
          <w:color w:val="000000"/>
          <w:sz w:val="28"/>
          <w:szCs w:val="28"/>
          <w:highlight w:val="none"/>
          <w:lang w:eastAsia="zh-CN"/>
        </w:rPr>
        <w:t>依据</w:t>
      </w:r>
      <w:r>
        <w:rPr>
          <w:rFonts w:hint="eastAsia" w:ascii="仿宋" w:hAnsi="仿宋" w:eastAsia="仿宋" w:cs="仿宋"/>
          <w:color w:val="000000"/>
          <w:sz w:val="28"/>
          <w:szCs w:val="28"/>
          <w:highlight w:val="none"/>
        </w:rPr>
        <w:t>本合同为甲方提供的技术开发过程中和/或其为甲方提供的技术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14:paraId="05DF2FE9">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八</w:t>
      </w:r>
      <w:r>
        <w:rPr>
          <w:rFonts w:hint="eastAsia" w:ascii="仿宋" w:hAnsi="仿宋" w:eastAsia="仿宋" w:cs="仿宋"/>
          <w:b/>
          <w:bCs/>
          <w:color w:val="000000"/>
          <w:sz w:val="28"/>
          <w:szCs w:val="28"/>
          <w:highlight w:val="none"/>
        </w:rPr>
        <w:t>条，违约责任</w:t>
      </w:r>
    </w:p>
    <w:p w14:paraId="5B16985D">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rPr>
        <w:t>双方确定，任何一方未履行或未完全履行本合同项下的义务，均构成违约。违约方应赔偿因违约给对方造成的一切损失。</w:t>
      </w:r>
    </w:p>
    <w:p w14:paraId="239B9C8D">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乙方未能按本合同约定按期提供技术</w:t>
      </w:r>
      <w:r>
        <w:rPr>
          <w:rFonts w:hint="eastAsia" w:ascii="仿宋" w:hAnsi="仿宋" w:eastAsia="仿宋" w:cs="仿宋"/>
          <w:color w:val="000000"/>
          <w:sz w:val="28"/>
          <w:szCs w:val="28"/>
          <w:highlight w:val="none"/>
          <w:lang w:eastAsia="zh-CN"/>
        </w:rPr>
        <w:t>服务</w:t>
      </w:r>
      <w:r>
        <w:rPr>
          <w:rFonts w:hint="eastAsia" w:ascii="仿宋" w:hAnsi="仿宋" w:eastAsia="仿宋" w:cs="仿宋"/>
          <w:color w:val="000000"/>
          <w:sz w:val="28"/>
          <w:szCs w:val="28"/>
          <w:highlight w:val="none"/>
        </w:rPr>
        <w:t>，每逾期1日，乙方应当按照本合同费用总额的1%向甲方支付违约金。如违约金数额累计达到本合同费用总额的30%时，甲方有权终止本合同，乙方仍应支付上述违约金、退还甲方已支付款项并按照同期中国人民银行贷款利率计付利息，同时赔偿甲方的相应损失。</w:t>
      </w:r>
    </w:p>
    <w:p w14:paraId="30BF7AD3">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w:t>
      </w:r>
      <w:r>
        <w:rPr>
          <w:rFonts w:hint="eastAsia" w:ascii="仿宋" w:hAnsi="仿宋" w:eastAsia="仿宋" w:cs="仿宋"/>
          <w:b/>
          <w:bCs/>
          <w:color w:val="000000"/>
          <w:sz w:val="28"/>
          <w:szCs w:val="28"/>
          <w:highlight w:val="none"/>
          <w:lang w:eastAsia="zh-CN"/>
        </w:rPr>
        <w:t>九</w:t>
      </w:r>
      <w:r>
        <w:rPr>
          <w:rFonts w:hint="eastAsia" w:ascii="仿宋" w:hAnsi="仿宋" w:eastAsia="仿宋" w:cs="仿宋"/>
          <w:b/>
          <w:bCs/>
          <w:color w:val="000000"/>
          <w:sz w:val="28"/>
          <w:szCs w:val="28"/>
          <w:highlight w:val="none"/>
        </w:rPr>
        <w:t>条</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合同纠纷处理</w:t>
      </w:r>
    </w:p>
    <w:p w14:paraId="72247769">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本合同执行过程中发生纠纷，由甲乙双方协商解决，若协商不成，作如下</w:t>
      </w:r>
      <w:r>
        <w:rPr>
          <w:rFonts w:hint="eastAsia" w:ascii="仿宋" w:hAnsi="仿宋" w:eastAsia="仿宋" w:cs="仿宋"/>
          <w:color w:val="000000"/>
          <w:sz w:val="28"/>
          <w:szCs w:val="28"/>
          <w:highlight w:val="none"/>
          <w:u w:val="single"/>
        </w:rPr>
        <w:t> 2 </w:t>
      </w:r>
      <w:r>
        <w:rPr>
          <w:rFonts w:hint="eastAsia" w:ascii="仿宋" w:hAnsi="仿宋" w:eastAsia="仿宋" w:cs="仿宋"/>
          <w:color w:val="000000"/>
          <w:sz w:val="28"/>
          <w:szCs w:val="28"/>
          <w:highlight w:val="none"/>
        </w:rPr>
        <w:t>处理：</w:t>
      </w:r>
    </w:p>
    <w:p w14:paraId="609BFD7A">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rPr>
        <w:t>申请仲裁。选定仲裁机构为淮安市仲裁委员会。</w:t>
      </w:r>
    </w:p>
    <w:p w14:paraId="28646714">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提起诉讼。约定由采购人所在地法院管辖。</w:t>
      </w:r>
    </w:p>
    <w:p w14:paraId="55D449B6">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第十条</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双方约定本合同其他相关事项</w:t>
      </w:r>
    </w:p>
    <w:p w14:paraId="7810D6FE">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1.</w:t>
      </w:r>
      <w:r>
        <w:rPr>
          <w:rFonts w:hint="eastAsia" w:ascii="仿宋" w:hAnsi="仿宋" w:eastAsia="仿宋" w:cs="仿宋"/>
          <w:color w:val="000000"/>
          <w:sz w:val="28"/>
          <w:szCs w:val="28"/>
          <w:highlight w:val="none"/>
        </w:rPr>
        <w:t>任何一方未经另一方同意，不得向任何第三方透露本合同的签订及其内容。甲方向其关联公司透露的，不在此限。</w:t>
      </w:r>
    </w:p>
    <w:p w14:paraId="1893EFF0">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14:paraId="688D494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3.</w:t>
      </w:r>
      <w:r>
        <w:rPr>
          <w:rFonts w:hint="eastAsia" w:ascii="仿宋" w:hAnsi="仿宋" w:eastAsia="仿宋" w:cs="仿宋"/>
          <w:color w:val="000000"/>
          <w:sz w:val="28"/>
          <w:szCs w:val="28"/>
          <w:highlight w:val="none"/>
        </w:rPr>
        <w:t>双方约定，乙方在向甲方提供技术成果过程中，根据甲方要求，为甲方指定的人员提供技术指导和培训，并保证培训人员能够熟练操作为止。</w:t>
      </w:r>
    </w:p>
    <w:p w14:paraId="588AFF52">
      <w:pPr>
        <w:pBdr>
          <w:top w:val="none" w:color="000000" w:sz="0" w:space="0"/>
          <w:left w:val="none" w:color="000000" w:sz="0" w:space="0"/>
          <w:bottom w:val="none" w:color="000000" w:sz="0" w:space="0"/>
          <w:right w:val="none" w:color="000000" w:sz="0" w:space="0"/>
        </w:pBdr>
        <w:spacing w:line="360" w:lineRule="auto"/>
        <w:ind w:firstLine="720"/>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第十</w:t>
      </w:r>
      <w:r>
        <w:rPr>
          <w:rFonts w:hint="eastAsia" w:ascii="仿宋" w:hAnsi="仿宋" w:eastAsia="仿宋" w:cs="仿宋"/>
          <w:b/>
          <w:bCs/>
          <w:color w:val="000000"/>
          <w:sz w:val="28"/>
          <w:szCs w:val="28"/>
          <w:highlight w:val="none"/>
          <w:lang w:eastAsia="zh-CN"/>
        </w:rPr>
        <w:t>一</w:t>
      </w:r>
      <w:r>
        <w:rPr>
          <w:rFonts w:hint="eastAsia" w:ascii="仿宋" w:hAnsi="仿宋" w:eastAsia="仿宋" w:cs="仿宋"/>
          <w:b/>
          <w:bCs/>
          <w:color w:val="000000"/>
          <w:sz w:val="28"/>
          <w:szCs w:val="28"/>
          <w:highlight w:val="none"/>
        </w:rPr>
        <w:t>条，组成本合同的文件包括</w:t>
      </w:r>
    </w:p>
    <w:p w14:paraId="7F293A1D">
      <w:pPr>
        <w:pBdr>
          <w:top w:val="none" w:color="000000" w:sz="0" w:space="0"/>
          <w:left w:val="none" w:color="000000" w:sz="0" w:space="0"/>
          <w:bottom w:val="none" w:color="000000" w:sz="0" w:space="0"/>
          <w:right w:val="none" w:color="000000" w:sz="0" w:space="0"/>
        </w:pBdr>
        <w:spacing w:line="360" w:lineRule="auto"/>
        <w:ind w:firstLine="484"/>
        <w:rPr>
          <w:sz w:val="28"/>
          <w:szCs w:val="28"/>
          <w:highlight w:val="none"/>
        </w:rPr>
      </w:pPr>
      <w:r>
        <w:rPr>
          <w:rFonts w:hint="eastAsia" w:ascii="仿宋" w:hAnsi="仿宋" w:eastAsia="仿宋" w:cs="仿宋"/>
          <w:color w:val="000000"/>
          <w:sz w:val="28"/>
          <w:szCs w:val="28"/>
          <w:highlight w:val="none"/>
          <w:lang w:eastAsia="zh-CN"/>
        </w:rPr>
        <w:t>1.</w:t>
      </w:r>
      <w:r>
        <w:rPr>
          <w:rFonts w:ascii="仿宋" w:hAnsi="仿宋" w:eastAsia="仿宋" w:cs="仿宋"/>
          <w:color w:val="000000"/>
          <w:sz w:val="28"/>
          <w:szCs w:val="28"/>
          <w:highlight w:val="none"/>
        </w:rPr>
        <w:t>合同主要条款；</w:t>
      </w:r>
    </w:p>
    <w:p w14:paraId="5249ECCC">
      <w:pPr>
        <w:pBdr>
          <w:top w:val="none" w:color="000000" w:sz="0" w:space="0"/>
          <w:left w:val="none" w:color="000000" w:sz="0" w:space="0"/>
          <w:bottom w:val="none" w:color="000000" w:sz="0" w:space="0"/>
          <w:right w:val="none" w:color="000000" w:sz="0" w:space="0"/>
        </w:pBdr>
        <w:spacing w:line="360" w:lineRule="auto"/>
        <w:ind w:firstLine="480"/>
        <w:rPr>
          <w:sz w:val="28"/>
          <w:szCs w:val="28"/>
          <w:highlight w:val="none"/>
        </w:rPr>
      </w:pPr>
      <w:r>
        <w:rPr>
          <w:rFonts w:hint="eastAsia" w:ascii="仿宋" w:hAnsi="仿宋" w:eastAsia="仿宋" w:cs="仿宋"/>
          <w:color w:val="000000"/>
          <w:sz w:val="28"/>
          <w:szCs w:val="28"/>
          <w:highlight w:val="none"/>
          <w:lang w:eastAsia="zh-CN"/>
        </w:rPr>
        <w:t>2.</w:t>
      </w:r>
      <w:r>
        <w:rPr>
          <w:rFonts w:hint="eastAsia" w:ascii="仿宋" w:hAnsi="仿宋" w:eastAsia="仿宋" w:cs="仿宋"/>
          <w:color w:val="000000"/>
          <w:sz w:val="28"/>
          <w:szCs w:val="28"/>
          <w:highlight w:val="none"/>
        </w:rPr>
        <w:t>采购</w:t>
      </w:r>
      <w:r>
        <w:rPr>
          <w:rFonts w:ascii="仿宋" w:hAnsi="仿宋" w:eastAsia="仿宋" w:cs="仿宋"/>
          <w:color w:val="000000"/>
          <w:sz w:val="28"/>
          <w:szCs w:val="28"/>
          <w:highlight w:val="none"/>
        </w:rPr>
        <w:t>文件和乙方的投标文件；</w:t>
      </w:r>
    </w:p>
    <w:p w14:paraId="76960301">
      <w:pPr>
        <w:pBdr>
          <w:top w:val="none" w:color="000000" w:sz="0" w:space="0"/>
          <w:left w:val="none" w:color="000000" w:sz="0" w:space="0"/>
          <w:bottom w:val="none" w:color="000000" w:sz="0" w:space="0"/>
          <w:right w:val="none" w:color="000000" w:sz="0" w:space="0"/>
        </w:pBdr>
        <w:spacing w:line="360" w:lineRule="auto"/>
        <w:ind w:firstLine="480"/>
        <w:rPr>
          <w:sz w:val="28"/>
          <w:szCs w:val="28"/>
          <w:highlight w:val="none"/>
        </w:rPr>
      </w:pPr>
      <w:r>
        <w:rPr>
          <w:rFonts w:hint="eastAsia" w:ascii="仿宋" w:hAnsi="仿宋" w:eastAsia="仿宋" w:cs="仿宋"/>
          <w:color w:val="000000"/>
          <w:sz w:val="28"/>
          <w:szCs w:val="28"/>
          <w:highlight w:val="none"/>
          <w:lang w:eastAsia="zh-CN"/>
        </w:rPr>
        <w:t>3.</w:t>
      </w:r>
      <w:r>
        <w:rPr>
          <w:rFonts w:ascii="仿宋" w:hAnsi="仿宋" w:eastAsia="仿宋" w:cs="仿宋"/>
          <w:color w:val="000000"/>
          <w:sz w:val="28"/>
          <w:szCs w:val="28"/>
          <w:highlight w:val="none"/>
        </w:rPr>
        <w:t>中标通知书；</w:t>
      </w:r>
    </w:p>
    <w:p w14:paraId="19F70C6D">
      <w:pPr>
        <w:pBdr>
          <w:top w:val="none" w:color="000000" w:sz="0" w:space="0"/>
          <w:left w:val="none" w:color="000000" w:sz="0" w:space="0"/>
          <w:bottom w:val="none" w:color="000000" w:sz="0" w:space="0"/>
          <w:right w:val="none" w:color="000000" w:sz="0" w:space="0"/>
        </w:pBdr>
        <w:spacing w:line="360" w:lineRule="auto"/>
        <w:ind w:firstLine="480"/>
        <w:rPr>
          <w:sz w:val="28"/>
          <w:szCs w:val="28"/>
          <w:highlight w:val="none"/>
        </w:rPr>
      </w:pPr>
      <w:r>
        <w:rPr>
          <w:rFonts w:hint="eastAsia" w:ascii="仿宋" w:hAnsi="仿宋" w:eastAsia="仿宋" w:cs="仿宋"/>
          <w:color w:val="000000"/>
          <w:sz w:val="28"/>
          <w:szCs w:val="28"/>
          <w:highlight w:val="none"/>
          <w:lang w:eastAsia="zh-CN"/>
        </w:rPr>
        <w:t>4.</w:t>
      </w:r>
      <w:r>
        <w:rPr>
          <w:rFonts w:ascii="仿宋" w:hAnsi="仿宋" w:eastAsia="仿宋" w:cs="仿宋"/>
          <w:color w:val="000000"/>
          <w:sz w:val="28"/>
          <w:szCs w:val="28"/>
          <w:highlight w:val="none"/>
        </w:rPr>
        <w:t>甲乙双方商定的其他必要文件。上述合同文件内容互为补充，如有不明确，解释顺序以形成时间在后的为准。</w:t>
      </w:r>
    </w:p>
    <w:p w14:paraId="297C16A6">
      <w:pPr>
        <w:pBdr>
          <w:top w:val="none" w:color="000000" w:sz="0" w:space="0"/>
          <w:left w:val="none" w:color="000000" w:sz="0" w:space="0"/>
          <w:bottom w:val="none" w:color="000000" w:sz="0" w:space="0"/>
          <w:right w:val="none" w:color="000000" w:sz="0" w:space="0"/>
        </w:pBdr>
        <w:spacing w:line="519" w:lineRule="atLeast"/>
        <w:ind w:firstLine="480"/>
        <w:rPr>
          <w:rFonts w:ascii="仿宋" w:hAnsi="仿宋" w:eastAsia="仿宋" w:cs="仿宋"/>
          <w:color w:val="000000"/>
          <w:sz w:val="28"/>
          <w:szCs w:val="28"/>
          <w:highlight w:val="none"/>
        </w:rPr>
      </w:pPr>
    </w:p>
    <w:p w14:paraId="2E97C6A7">
      <w:pPr>
        <w:pBdr>
          <w:top w:val="none" w:color="000000" w:sz="0" w:space="0"/>
          <w:left w:val="none" w:color="000000" w:sz="0" w:space="0"/>
          <w:bottom w:val="none" w:color="000000" w:sz="0" w:space="0"/>
          <w:right w:val="none" w:color="000000" w:sz="0" w:space="0"/>
        </w:pBdr>
        <w:spacing w:line="519" w:lineRule="atLeast"/>
        <w:ind w:firstLine="480"/>
        <w:rPr>
          <w:sz w:val="28"/>
          <w:szCs w:val="28"/>
          <w:highlight w:val="none"/>
        </w:rPr>
      </w:pPr>
      <w:r>
        <w:rPr>
          <w:rFonts w:ascii="仿宋" w:hAnsi="仿宋" w:eastAsia="仿宋" w:cs="仿宋"/>
          <w:color w:val="000000"/>
          <w:sz w:val="28"/>
          <w:szCs w:val="28"/>
          <w:highlight w:val="none"/>
        </w:rPr>
        <w:t> 甲方：                          </w:t>
      </w:r>
      <w:r>
        <w:rPr>
          <w:rFonts w:hint="eastAsia" w:ascii="仿宋" w:hAnsi="仿宋" w:eastAsia="仿宋" w:cs="仿宋"/>
          <w:color w:val="000000"/>
          <w:sz w:val="28"/>
          <w:szCs w:val="28"/>
          <w:highlight w:val="none"/>
          <w:lang w:val="en-US" w:eastAsia="zh-CN"/>
        </w:rPr>
        <w:t xml:space="preserve">    </w:t>
      </w:r>
      <w:r>
        <w:rPr>
          <w:rFonts w:ascii="仿宋" w:hAnsi="仿宋" w:eastAsia="仿宋" w:cs="仿宋"/>
          <w:color w:val="000000"/>
          <w:sz w:val="28"/>
          <w:szCs w:val="28"/>
          <w:highlight w:val="none"/>
        </w:rPr>
        <w:t> 乙方：             </w:t>
      </w:r>
    </w:p>
    <w:p w14:paraId="06EA6151">
      <w:pPr>
        <w:pBdr>
          <w:top w:val="none" w:color="000000" w:sz="0" w:space="0"/>
          <w:left w:val="none" w:color="000000" w:sz="0" w:space="0"/>
          <w:bottom w:val="none" w:color="000000" w:sz="0" w:space="0"/>
          <w:right w:val="none" w:color="000000" w:sz="0" w:space="0"/>
        </w:pBdr>
        <w:spacing w:line="519" w:lineRule="atLeast"/>
        <w:ind w:firstLine="480"/>
        <w:rPr>
          <w:sz w:val="28"/>
          <w:szCs w:val="28"/>
          <w:highlight w:val="none"/>
        </w:rPr>
      </w:pPr>
      <w:r>
        <w:rPr>
          <w:rFonts w:ascii="仿宋" w:hAnsi="仿宋" w:eastAsia="仿宋" w:cs="仿宋"/>
          <w:color w:val="000000"/>
          <w:sz w:val="28"/>
          <w:szCs w:val="28"/>
          <w:highlight w:val="none"/>
        </w:rPr>
        <w:t>单位盖章：                           单位盖章：             </w:t>
      </w:r>
    </w:p>
    <w:p w14:paraId="14B96575">
      <w:pPr>
        <w:pBdr>
          <w:top w:val="none" w:color="000000" w:sz="0" w:space="0"/>
          <w:left w:val="none" w:color="000000" w:sz="0" w:space="0"/>
          <w:bottom w:val="none" w:color="000000" w:sz="0" w:space="0"/>
          <w:right w:val="none" w:color="000000" w:sz="0" w:space="0"/>
        </w:pBdr>
        <w:spacing w:line="519" w:lineRule="atLeast"/>
        <w:ind w:firstLine="480"/>
        <w:rPr>
          <w:sz w:val="28"/>
          <w:szCs w:val="28"/>
          <w:highlight w:val="none"/>
        </w:rPr>
      </w:pPr>
      <w:r>
        <w:rPr>
          <w:rFonts w:ascii="仿宋" w:hAnsi="仿宋" w:eastAsia="仿宋" w:cs="仿宋"/>
          <w:color w:val="000000"/>
          <w:sz w:val="28"/>
          <w:szCs w:val="28"/>
          <w:highlight w:val="none"/>
        </w:rPr>
        <w:t>代表签字：                           代表签字：             </w:t>
      </w:r>
    </w:p>
    <w:p w14:paraId="21EFB3FE">
      <w:pPr>
        <w:pStyle w:val="16"/>
        <w:pageBreakBefore w:val="0"/>
        <w:kinsoku/>
        <w:wordWrap/>
        <w:overflowPunct/>
        <w:topLinePunct w:val="0"/>
        <w:bidi w:val="0"/>
        <w:adjustRightInd w:val="0"/>
        <w:snapToGrid w:val="0"/>
        <w:spacing w:before="0" w:beforeLines="0" w:after="0" w:line="500" w:lineRule="exact"/>
        <w:ind w:left="0" w:leftChars="0" w:firstLine="560" w:firstLineChars="200"/>
        <w:textAlignment w:val="auto"/>
        <w:rPr>
          <w:rFonts w:hint="eastAsia" w:ascii="仿宋" w:hAnsi="仿宋" w:eastAsia="仿宋" w:cs="仿宋"/>
          <w:kern w:val="0"/>
          <w:sz w:val="28"/>
          <w:szCs w:val="28"/>
          <w:lang w:val="en-US" w:eastAsia="zh-CN"/>
        </w:rPr>
      </w:pPr>
      <w:r>
        <w:rPr>
          <w:rFonts w:hint="eastAsia" w:ascii="仿宋" w:hAnsi="仿宋" w:eastAsia="仿宋" w:cs="仿宋"/>
          <w:color w:val="000000"/>
          <w:sz w:val="28"/>
          <w:szCs w:val="28"/>
          <w:highlight w:val="none"/>
        </w:rPr>
        <w:t>签订</w:t>
      </w:r>
      <w:r>
        <w:rPr>
          <w:rFonts w:ascii="仿宋" w:hAnsi="仿宋" w:eastAsia="仿宋" w:cs="仿宋"/>
          <w:color w:val="000000"/>
          <w:sz w:val="28"/>
          <w:szCs w:val="28"/>
          <w:highlight w:val="none"/>
        </w:rPr>
        <w:t>日期：                           </w:t>
      </w:r>
      <w:r>
        <w:rPr>
          <w:rFonts w:hint="eastAsia" w:ascii="仿宋" w:hAnsi="仿宋" w:eastAsia="仿宋" w:cs="仿宋"/>
          <w:color w:val="000000"/>
          <w:sz w:val="28"/>
          <w:szCs w:val="28"/>
          <w:highlight w:val="none"/>
        </w:rPr>
        <w:t>签订</w:t>
      </w:r>
      <w:r>
        <w:rPr>
          <w:rFonts w:ascii="仿宋" w:hAnsi="仿宋" w:eastAsia="仿宋" w:cs="仿宋"/>
          <w:color w:val="000000"/>
          <w:sz w:val="28"/>
          <w:szCs w:val="28"/>
          <w:highlight w:val="none"/>
        </w:rPr>
        <w:t>日期：</w:t>
      </w:r>
    </w:p>
    <w:p w14:paraId="7AFD7CC4">
      <w:pPr>
        <w:spacing w:line="520" w:lineRule="exact"/>
        <w:ind w:firstLine="560"/>
        <w:rPr>
          <w:rFonts w:hint="eastAsia" w:ascii="仿宋" w:hAnsi="仿宋" w:eastAsia="仿宋" w:cs="仿宋"/>
          <w:sz w:val="28"/>
          <w:szCs w:val="28"/>
        </w:rPr>
      </w:pPr>
      <w:r>
        <w:rPr>
          <w:rFonts w:hint="eastAsia" w:ascii="仿宋" w:hAnsi="仿宋" w:eastAsia="仿宋" w:cs="仿宋"/>
          <w:sz w:val="28"/>
          <w:szCs w:val="28"/>
          <w:highlight w:val="yellow"/>
        </w:rPr>
        <w:br w:type="page" w:clear="all"/>
      </w:r>
      <w:bookmarkEnd w:id="43"/>
      <w:bookmarkStart w:id="44" w:name="_Hlk198717625"/>
      <w:r>
        <w:rPr>
          <w:rFonts w:hint="eastAsia" w:ascii="宋体" w:hAnsi="宋体"/>
          <w:sz w:val="28"/>
          <w:szCs w:val="28"/>
        </w:rPr>
        <w:t>附件一：</w:t>
      </w:r>
    </w:p>
    <w:tbl>
      <w:tblPr>
        <w:tblStyle w:val="35"/>
        <w:tblpPr w:leftFromText="180" w:rightFromText="180" w:vertAnchor="text" w:horzAnchor="page" w:tblpX="1795" w:tblpY="521"/>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2848"/>
        <w:gridCol w:w="2262"/>
        <w:gridCol w:w="2348"/>
        <w:gridCol w:w="1093"/>
      </w:tblGrid>
      <w:tr w14:paraId="7706C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0" w:hRule="atLeast"/>
        </w:trPr>
        <w:tc>
          <w:tcPr>
            <w:tcW w:w="8551" w:type="dxa"/>
            <w:gridSpan w:val="4"/>
            <w:shd w:val="clear" w:color="auto" w:fill="auto"/>
          </w:tcPr>
          <w:p w14:paraId="65384643">
            <w:pPr>
              <w:widowControl/>
              <w:ind w:firstLine="1807"/>
              <w:jc w:val="left"/>
              <w:rPr>
                <w:rFonts w:hint="eastAsia" w:ascii="仿宋" w:hAnsi="仿宋" w:eastAsia="仿宋" w:cs="仿宋"/>
                <w:b/>
                <w:bCs/>
                <w:color w:val="000000"/>
                <w:sz w:val="36"/>
                <w:szCs w:val="36"/>
                <w:lang w:bidi="ar"/>
              </w:rPr>
            </w:pPr>
            <w:r>
              <w:rPr>
                <w:rFonts w:hint="eastAsia" w:ascii="仿宋" w:hAnsi="仿宋" w:eastAsia="仿宋" w:cs="仿宋"/>
                <w:b/>
                <w:bCs/>
                <w:color w:val="000000"/>
                <w:sz w:val="36"/>
                <w:szCs w:val="36"/>
                <w:lang w:bidi="ar"/>
              </w:rPr>
              <w:t>政府采购履约验收通知单</w:t>
            </w:r>
            <w:r>
              <w:rPr>
                <w:rFonts w:hint="eastAsia" w:ascii="仿宋" w:hAnsi="仿宋" w:eastAsia="仿宋" w:cs="仿宋"/>
                <w:b/>
                <w:bCs/>
                <w:color w:val="000000"/>
                <w:sz w:val="36"/>
                <w:szCs w:val="36"/>
                <w:lang w:eastAsia="zh-CN" w:bidi="ar"/>
              </w:rPr>
              <w:t>（</w:t>
            </w:r>
            <w:r>
              <w:rPr>
                <w:rFonts w:hint="eastAsia" w:ascii="仿宋" w:hAnsi="仿宋" w:eastAsia="仿宋" w:cs="仿宋"/>
                <w:b/>
                <w:bCs/>
                <w:color w:val="000000"/>
                <w:sz w:val="36"/>
                <w:szCs w:val="36"/>
                <w:lang w:bidi="ar"/>
              </w:rPr>
              <w:t>参考样本</w:t>
            </w:r>
            <w:r>
              <w:rPr>
                <w:rFonts w:hint="eastAsia" w:ascii="仿宋" w:hAnsi="仿宋" w:eastAsia="仿宋" w:cs="仿宋"/>
                <w:b/>
                <w:bCs/>
                <w:color w:val="000000"/>
                <w:sz w:val="36"/>
                <w:szCs w:val="36"/>
                <w:lang w:eastAsia="zh-CN" w:bidi="ar"/>
              </w:rPr>
              <w:t>）</w:t>
            </w:r>
          </w:p>
        </w:tc>
      </w:tr>
      <w:tr w14:paraId="37DFA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8551" w:type="dxa"/>
            <w:gridSpan w:val="4"/>
            <w:shd w:val="clear" w:color="auto" w:fill="auto"/>
          </w:tcPr>
          <w:p w14:paraId="7650792B">
            <w:pPr>
              <w:widowControl/>
              <w:jc w:val="left"/>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供应商：</w:t>
            </w:r>
          </w:p>
        </w:tc>
      </w:tr>
      <w:tr w14:paraId="4519B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2848" w:type="dxa"/>
            <w:shd w:val="clear" w:color="auto" w:fill="auto"/>
          </w:tcPr>
          <w:p w14:paraId="195B3F17">
            <w:pPr>
              <w:widowControl/>
              <w:jc w:val="center"/>
              <w:rPr>
                <w:rStyle w:val="301"/>
                <w:rFonts w:hint="eastAsia" w:ascii="仿宋" w:hAnsi="仿宋" w:eastAsia="仿宋" w:cs="仿宋"/>
                <w:lang w:bidi="ar"/>
              </w:rPr>
            </w:pPr>
            <w:r>
              <w:rPr>
                <w:rStyle w:val="301"/>
                <w:rFonts w:hint="eastAsia" w:ascii="仿宋" w:hAnsi="仿宋" w:eastAsia="仿宋" w:cs="仿宋"/>
                <w:lang w:bidi="ar"/>
              </w:rPr>
              <w:br w:type="textWrapping" w:clear="all"/>
            </w:r>
            <w:r>
              <w:rPr>
                <w:rStyle w:val="302"/>
                <w:rFonts w:hint="eastAsia" w:ascii="仿宋" w:hAnsi="仿宋" w:eastAsia="仿宋" w:cs="仿宋"/>
                <w:lang w:bidi="ar"/>
              </w:rPr>
              <w:t>采购人</w:t>
            </w:r>
          </w:p>
        </w:tc>
        <w:tc>
          <w:tcPr>
            <w:tcW w:w="5703" w:type="dxa"/>
            <w:gridSpan w:val="3"/>
            <w:shd w:val="clear" w:color="auto" w:fill="auto"/>
          </w:tcPr>
          <w:p w14:paraId="15AB20B5">
            <w:pPr>
              <w:jc w:val="left"/>
              <w:rPr>
                <w:rFonts w:hint="eastAsia" w:ascii="仿宋" w:hAnsi="仿宋" w:eastAsia="仿宋" w:cs="仿宋"/>
                <w:color w:val="000000"/>
                <w:sz w:val="22"/>
                <w:szCs w:val="22"/>
              </w:rPr>
            </w:pPr>
          </w:p>
        </w:tc>
      </w:tr>
      <w:tr w14:paraId="45D41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shd w:val="clear" w:color="auto" w:fill="auto"/>
            <w:vAlign w:val="bottom"/>
          </w:tcPr>
          <w:p w14:paraId="377B979A">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项目名称</w:t>
            </w:r>
          </w:p>
        </w:tc>
        <w:tc>
          <w:tcPr>
            <w:tcW w:w="5703" w:type="dxa"/>
            <w:gridSpan w:val="3"/>
            <w:shd w:val="clear" w:color="auto" w:fill="auto"/>
          </w:tcPr>
          <w:p w14:paraId="3AFCA551">
            <w:pPr>
              <w:jc w:val="left"/>
              <w:rPr>
                <w:rFonts w:hint="eastAsia" w:ascii="仿宋" w:hAnsi="仿宋" w:eastAsia="仿宋" w:cs="仿宋"/>
                <w:color w:val="000000"/>
                <w:sz w:val="22"/>
                <w:szCs w:val="22"/>
              </w:rPr>
            </w:pPr>
          </w:p>
        </w:tc>
      </w:tr>
      <w:tr w14:paraId="08DEC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shd w:val="clear" w:color="auto" w:fill="auto"/>
            <w:vAlign w:val="bottom"/>
          </w:tcPr>
          <w:p w14:paraId="3710AC96">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合同名称</w:t>
            </w:r>
          </w:p>
        </w:tc>
        <w:tc>
          <w:tcPr>
            <w:tcW w:w="5703" w:type="dxa"/>
            <w:gridSpan w:val="3"/>
            <w:shd w:val="clear" w:color="auto" w:fill="auto"/>
          </w:tcPr>
          <w:p w14:paraId="39987C2D">
            <w:pPr>
              <w:jc w:val="left"/>
              <w:rPr>
                <w:rFonts w:hint="eastAsia" w:ascii="仿宋" w:hAnsi="仿宋" w:eastAsia="仿宋" w:cs="仿宋"/>
                <w:color w:val="000000"/>
                <w:sz w:val="22"/>
                <w:szCs w:val="22"/>
              </w:rPr>
            </w:pPr>
          </w:p>
        </w:tc>
      </w:tr>
      <w:tr w14:paraId="05895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shd w:val="clear" w:color="auto" w:fill="auto"/>
            <w:vAlign w:val="bottom"/>
          </w:tcPr>
          <w:p w14:paraId="042AA92C">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合同编号</w:t>
            </w:r>
          </w:p>
        </w:tc>
        <w:tc>
          <w:tcPr>
            <w:tcW w:w="2262" w:type="dxa"/>
            <w:shd w:val="clear" w:color="auto" w:fill="auto"/>
          </w:tcPr>
          <w:p w14:paraId="2F15E18C">
            <w:pPr>
              <w:jc w:val="left"/>
              <w:rPr>
                <w:rFonts w:hint="eastAsia" w:ascii="仿宋" w:hAnsi="仿宋" w:eastAsia="仿宋" w:cs="仿宋"/>
                <w:color w:val="000000"/>
                <w:sz w:val="22"/>
                <w:szCs w:val="22"/>
              </w:rPr>
            </w:pPr>
          </w:p>
        </w:tc>
        <w:tc>
          <w:tcPr>
            <w:tcW w:w="2348" w:type="dxa"/>
            <w:shd w:val="clear" w:color="auto" w:fill="auto"/>
            <w:vAlign w:val="bottom"/>
          </w:tcPr>
          <w:p w14:paraId="39E89442">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合同金额</w:t>
            </w:r>
          </w:p>
        </w:tc>
        <w:tc>
          <w:tcPr>
            <w:tcW w:w="1093" w:type="dxa"/>
            <w:shd w:val="clear" w:color="auto" w:fill="auto"/>
          </w:tcPr>
          <w:p w14:paraId="0B3AB7CB">
            <w:pPr>
              <w:jc w:val="left"/>
              <w:rPr>
                <w:rFonts w:hint="eastAsia" w:ascii="仿宋" w:hAnsi="仿宋" w:eastAsia="仿宋" w:cs="仿宋"/>
                <w:color w:val="000000"/>
                <w:sz w:val="22"/>
                <w:szCs w:val="22"/>
              </w:rPr>
            </w:pPr>
          </w:p>
        </w:tc>
      </w:tr>
      <w:tr w14:paraId="027F5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shd w:val="clear" w:color="auto" w:fill="auto"/>
            <w:vAlign w:val="bottom"/>
          </w:tcPr>
          <w:p w14:paraId="05AE47D4">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验收时间</w:t>
            </w:r>
          </w:p>
        </w:tc>
        <w:tc>
          <w:tcPr>
            <w:tcW w:w="2262" w:type="dxa"/>
            <w:shd w:val="clear" w:color="auto" w:fill="auto"/>
          </w:tcPr>
          <w:p w14:paraId="72D29938">
            <w:pPr>
              <w:jc w:val="left"/>
              <w:rPr>
                <w:rFonts w:hint="eastAsia" w:ascii="仿宋" w:hAnsi="仿宋" w:eastAsia="仿宋" w:cs="仿宋"/>
                <w:color w:val="000000"/>
                <w:sz w:val="22"/>
                <w:szCs w:val="22"/>
              </w:rPr>
            </w:pPr>
          </w:p>
        </w:tc>
        <w:tc>
          <w:tcPr>
            <w:tcW w:w="2348" w:type="dxa"/>
            <w:shd w:val="clear" w:color="auto" w:fill="auto"/>
            <w:vAlign w:val="bottom"/>
          </w:tcPr>
          <w:p w14:paraId="29DC27EC">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验收地点</w:t>
            </w:r>
          </w:p>
        </w:tc>
        <w:tc>
          <w:tcPr>
            <w:tcW w:w="1093" w:type="dxa"/>
            <w:shd w:val="clear" w:color="auto" w:fill="auto"/>
          </w:tcPr>
          <w:p w14:paraId="5025FDF6">
            <w:pPr>
              <w:jc w:val="left"/>
              <w:rPr>
                <w:rFonts w:hint="eastAsia" w:ascii="仿宋" w:hAnsi="仿宋" w:eastAsia="仿宋" w:cs="仿宋"/>
                <w:color w:val="000000"/>
                <w:sz w:val="22"/>
                <w:szCs w:val="22"/>
              </w:rPr>
            </w:pPr>
          </w:p>
        </w:tc>
      </w:tr>
      <w:tr w14:paraId="0EF56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shd w:val="clear" w:color="auto" w:fill="auto"/>
            <w:vAlign w:val="bottom"/>
          </w:tcPr>
          <w:p w14:paraId="2B481504">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联系人</w:t>
            </w:r>
          </w:p>
        </w:tc>
        <w:tc>
          <w:tcPr>
            <w:tcW w:w="2262" w:type="dxa"/>
            <w:shd w:val="clear" w:color="auto" w:fill="auto"/>
          </w:tcPr>
          <w:p w14:paraId="0ECF153D">
            <w:pPr>
              <w:jc w:val="left"/>
              <w:rPr>
                <w:rFonts w:hint="eastAsia" w:ascii="仿宋" w:hAnsi="仿宋" w:eastAsia="仿宋" w:cs="仿宋"/>
                <w:color w:val="000000"/>
                <w:sz w:val="22"/>
                <w:szCs w:val="22"/>
              </w:rPr>
            </w:pPr>
          </w:p>
        </w:tc>
        <w:tc>
          <w:tcPr>
            <w:tcW w:w="2348" w:type="dxa"/>
            <w:shd w:val="clear" w:color="auto" w:fill="auto"/>
            <w:vAlign w:val="bottom"/>
          </w:tcPr>
          <w:p w14:paraId="38397436">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联系电话</w:t>
            </w:r>
          </w:p>
        </w:tc>
        <w:tc>
          <w:tcPr>
            <w:tcW w:w="1093" w:type="dxa"/>
            <w:shd w:val="clear" w:color="auto" w:fill="auto"/>
          </w:tcPr>
          <w:p w14:paraId="3DD422BE">
            <w:pPr>
              <w:jc w:val="left"/>
              <w:rPr>
                <w:rFonts w:hint="eastAsia" w:ascii="仿宋" w:hAnsi="仿宋" w:eastAsia="仿宋" w:cs="仿宋"/>
                <w:color w:val="000000"/>
                <w:sz w:val="22"/>
                <w:szCs w:val="22"/>
              </w:rPr>
            </w:pPr>
          </w:p>
        </w:tc>
      </w:tr>
      <w:tr w14:paraId="3ABED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551" w:type="dxa"/>
            <w:gridSpan w:val="4"/>
            <w:shd w:val="clear" w:color="auto" w:fill="auto"/>
            <w:vAlign w:val="bottom"/>
          </w:tcPr>
          <w:p w14:paraId="1D9178E1">
            <w:pPr>
              <w:widowControl/>
              <w:jc w:val="center"/>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履约验收方案及工作要求</w:t>
            </w:r>
          </w:p>
        </w:tc>
      </w:tr>
      <w:tr w14:paraId="48C47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0" w:hRule="atLeast"/>
        </w:trPr>
        <w:tc>
          <w:tcPr>
            <w:tcW w:w="8551" w:type="dxa"/>
            <w:gridSpan w:val="4"/>
            <w:shd w:val="clear" w:color="auto" w:fill="auto"/>
            <w:vAlign w:val="center"/>
          </w:tcPr>
          <w:p w14:paraId="63D50DBD">
            <w:pPr>
              <w:widowControl/>
              <w:jc w:val="center"/>
              <w:rPr>
                <w:rStyle w:val="302"/>
                <w:rFonts w:hint="eastAsia" w:ascii="仿宋" w:hAnsi="仿宋" w:eastAsia="仿宋" w:cs="仿宋"/>
                <w:lang w:bidi="ar"/>
              </w:rPr>
            </w:pPr>
          </w:p>
          <w:p w14:paraId="5372FF95">
            <w:pPr>
              <w:widowControl/>
              <w:jc w:val="center"/>
              <w:rPr>
                <w:rStyle w:val="302"/>
                <w:rFonts w:hint="eastAsia" w:ascii="仿宋" w:hAnsi="仿宋" w:eastAsia="仿宋" w:cs="仿宋"/>
                <w:lang w:bidi="ar"/>
              </w:rPr>
            </w:pPr>
          </w:p>
          <w:p w14:paraId="5CA74954">
            <w:pPr>
              <w:widowControl/>
              <w:jc w:val="center"/>
              <w:rPr>
                <w:rStyle w:val="302"/>
                <w:rFonts w:hint="eastAsia" w:ascii="仿宋" w:hAnsi="仿宋" w:eastAsia="仿宋" w:cs="仿宋"/>
                <w:lang w:bidi="ar"/>
              </w:rPr>
            </w:pPr>
          </w:p>
          <w:p w14:paraId="45BEBA58">
            <w:pPr>
              <w:widowControl/>
              <w:jc w:val="center"/>
              <w:rPr>
                <w:rStyle w:val="302"/>
                <w:rFonts w:hint="eastAsia" w:ascii="仿宋" w:hAnsi="仿宋" w:eastAsia="仿宋" w:cs="仿宋"/>
                <w:lang w:bidi="ar"/>
              </w:rPr>
            </w:pPr>
          </w:p>
          <w:p w14:paraId="430ECD6F">
            <w:pPr>
              <w:widowControl/>
              <w:jc w:val="center"/>
              <w:rPr>
                <w:rStyle w:val="302"/>
                <w:rFonts w:hint="eastAsia" w:ascii="仿宋" w:hAnsi="仿宋" w:eastAsia="仿宋" w:cs="仿宋"/>
                <w:lang w:bidi="ar"/>
              </w:rPr>
            </w:pPr>
          </w:p>
          <w:p w14:paraId="0A85B4D6">
            <w:pPr>
              <w:widowControl/>
              <w:jc w:val="center"/>
              <w:rPr>
                <w:rStyle w:val="302"/>
                <w:rFonts w:hint="eastAsia" w:ascii="仿宋" w:hAnsi="仿宋" w:eastAsia="仿宋" w:cs="仿宋"/>
                <w:lang w:bidi="ar"/>
              </w:rPr>
            </w:pPr>
          </w:p>
          <w:p w14:paraId="52C5F7F7">
            <w:pPr>
              <w:widowControl/>
              <w:jc w:val="center"/>
              <w:rPr>
                <w:rStyle w:val="302"/>
                <w:rFonts w:hint="eastAsia" w:ascii="仿宋" w:hAnsi="仿宋" w:eastAsia="仿宋" w:cs="仿宋"/>
                <w:lang w:bidi="ar"/>
              </w:rPr>
            </w:pPr>
          </w:p>
          <w:p w14:paraId="39F65531">
            <w:pPr>
              <w:widowControl/>
              <w:jc w:val="center"/>
              <w:rPr>
                <w:rStyle w:val="302"/>
                <w:rFonts w:hint="eastAsia" w:ascii="仿宋" w:hAnsi="仿宋" w:eastAsia="仿宋" w:cs="仿宋"/>
                <w:lang w:bidi="ar"/>
              </w:rPr>
            </w:pPr>
          </w:p>
          <w:p w14:paraId="720A4063">
            <w:pPr>
              <w:widowControl/>
              <w:jc w:val="center"/>
              <w:rPr>
                <w:rStyle w:val="302"/>
                <w:rFonts w:hint="eastAsia" w:ascii="仿宋" w:hAnsi="仿宋" w:eastAsia="仿宋" w:cs="仿宋"/>
                <w:lang w:bidi="ar"/>
              </w:rPr>
            </w:pPr>
            <w:r>
              <w:rPr>
                <w:rStyle w:val="302"/>
                <w:rFonts w:hint="eastAsia" w:ascii="仿宋" w:hAnsi="仿宋" w:eastAsia="仿宋" w:cs="仿宋"/>
                <w:lang w:bidi="ar"/>
              </w:rPr>
              <w:t>单位公章</w:t>
            </w:r>
            <w:r>
              <w:rPr>
                <w:rStyle w:val="302"/>
                <w:rFonts w:hint="eastAsia" w:ascii="仿宋" w:hAnsi="仿宋" w:eastAsia="仿宋" w:cs="仿宋"/>
                <w:lang w:bidi="ar"/>
              </w:rPr>
              <w:br w:type="textWrapping" w:clear="all"/>
            </w:r>
            <w:r>
              <w:rPr>
                <w:rStyle w:val="300"/>
                <w:rFonts w:hint="eastAsia" w:ascii="仿宋" w:hAnsi="仿宋" w:eastAsia="仿宋" w:cs="仿宋"/>
                <w:lang w:bidi="ar"/>
              </w:rPr>
              <w:br w:type="textWrapping" w:clear="all"/>
            </w:r>
            <w:r>
              <w:rPr>
                <w:rStyle w:val="302"/>
                <w:rFonts w:hint="eastAsia" w:ascii="仿宋" w:hAnsi="仿宋" w:eastAsia="仿宋" w:cs="仿宋"/>
                <w:lang w:bidi="ar"/>
              </w:rPr>
              <w:t>年月日</w:t>
            </w:r>
          </w:p>
        </w:tc>
      </w:tr>
    </w:tbl>
    <w:p w14:paraId="6DA603C6">
      <w:pPr>
        <w:tabs>
          <w:tab w:val="left" w:pos="180"/>
        </w:tabs>
        <w:spacing w:line="520" w:lineRule="exact"/>
        <w:rPr>
          <w:rFonts w:hint="eastAsia" w:ascii="宋体" w:hAnsi="宋体"/>
          <w:sz w:val="28"/>
          <w:szCs w:val="28"/>
        </w:rPr>
      </w:pPr>
    </w:p>
    <w:bookmarkEnd w:id="44"/>
    <w:p w14:paraId="3CC6F6D0">
      <w:pPr>
        <w:tabs>
          <w:tab w:val="left" w:pos="180"/>
        </w:tabs>
        <w:spacing w:line="520" w:lineRule="exact"/>
        <w:rPr>
          <w:rFonts w:hint="eastAsia" w:ascii="宋体" w:hAnsi="宋体"/>
          <w:sz w:val="28"/>
          <w:szCs w:val="28"/>
        </w:rPr>
        <w:sectPr>
          <w:headerReference r:id="rId4" w:type="default"/>
          <w:footerReference r:id="rId5" w:type="default"/>
          <w:footerReference r:id="rId6" w:type="even"/>
          <w:pgSz w:w="11906" w:h="16838"/>
          <w:pgMar w:top="1440" w:right="1800" w:bottom="1440" w:left="1800" w:header="851" w:footer="992" w:gutter="0"/>
          <w:pgNumType w:start="1"/>
          <w:cols w:space="1701" w:num="1"/>
          <w:docGrid w:linePitch="360" w:charSpace="0"/>
        </w:sectPr>
      </w:pPr>
    </w:p>
    <w:p w14:paraId="06150C9F">
      <w:pPr>
        <w:tabs>
          <w:tab w:val="left" w:pos="180"/>
        </w:tabs>
        <w:spacing w:line="520" w:lineRule="exact"/>
        <w:rPr>
          <w:rFonts w:hint="eastAsia" w:ascii="宋体" w:hAnsi="宋体"/>
          <w:sz w:val="28"/>
          <w:szCs w:val="28"/>
        </w:rPr>
      </w:pPr>
      <w:bookmarkStart w:id="45" w:name="_Hlk198717673"/>
      <w:r>
        <w:rPr>
          <w:rFonts w:hint="eastAsia" w:ascii="宋体" w:hAnsi="宋体"/>
          <w:sz w:val="28"/>
          <w:szCs w:val="28"/>
        </w:rPr>
        <w:t>附件二：</w:t>
      </w:r>
    </w:p>
    <w:bookmarkEnd w:id="45"/>
    <w:tbl>
      <w:tblPr>
        <w:tblStyle w:val="35"/>
        <w:tblW w:w="5000" w:type="pct"/>
        <w:tblInd w:w="-216" w:type="dxa"/>
        <w:tblLayout w:type="autofit"/>
        <w:tblCellMar>
          <w:top w:w="0" w:type="dxa"/>
          <w:left w:w="108" w:type="dxa"/>
          <w:bottom w:w="0" w:type="dxa"/>
          <w:right w:w="108" w:type="dxa"/>
        </w:tblCellMar>
      </w:tblPr>
      <w:tblGrid>
        <w:gridCol w:w="846"/>
        <w:gridCol w:w="636"/>
        <w:gridCol w:w="846"/>
        <w:gridCol w:w="3811"/>
        <w:gridCol w:w="636"/>
        <w:gridCol w:w="2094"/>
        <w:gridCol w:w="4585"/>
      </w:tblGrid>
      <w:tr w14:paraId="046CB1CB">
        <w:tblPrEx>
          <w:tblCellMar>
            <w:top w:w="0" w:type="dxa"/>
            <w:left w:w="108" w:type="dxa"/>
            <w:bottom w:w="0" w:type="dxa"/>
            <w:right w:w="108" w:type="dxa"/>
          </w:tblCellMar>
        </w:tblPrEx>
        <w:trPr>
          <w:trHeight w:val="435" w:hRule="atLeast"/>
        </w:trPr>
        <w:tc>
          <w:tcPr>
            <w:tcW w:w="13454" w:type="dxa"/>
            <w:gridSpan w:val="7"/>
            <w:tcBorders>
              <w:top w:val="nil"/>
              <w:left w:val="nil"/>
              <w:bottom w:val="nil"/>
              <w:right w:val="nil"/>
            </w:tcBorders>
          </w:tcPr>
          <w:p w14:paraId="234C5C0D">
            <w:pPr>
              <w:widowControl/>
              <w:jc w:val="center"/>
              <w:rPr>
                <w:rFonts w:hint="eastAsia" w:ascii="仿宋" w:hAnsi="仿宋" w:eastAsia="仿宋" w:cs="仿宋"/>
                <w:b/>
                <w:bCs/>
                <w:sz w:val="34"/>
                <w:szCs w:val="34"/>
              </w:rPr>
            </w:pPr>
            <w:r>
              <w:rPr>
                <w:rFonts w:hint="eastAsia" w:ascii="仿宋" w:hAnsi="仿宋" w:eastAsia="仿宋" w:cs="仿宋"/>
                <w:b/>
                <w:bCs/>
                <w:sz w:val="34"/>
                <w:szCs w:val="34"/>
                <w:lang w:bidi="ar"/>
              </w:rPr>
              <w:t>政府采购履约验收书参考样本（服务类）</w:t>
            </w:r>
          </w:p>
        </w:tc>
      </w:tr>
      <w:tr w14:paraId="3FAFBC0E">
        <w:tblPrEx>
          <w:tblCellMar>
            <w:top w:w="0" w:type="dxa"/>
            <w:left w:w="108" w:type="dxa"/>
            <w:bottom w:w="0" w:type="dxa"/>
            <w:right w:w="108" w:type="dxa"/>
          </w:tblCellMar>
        </w:tblPrEx>
        <w:trPr>
          <w:trHeight w:val="535"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2E7C54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采购人</w:t>
            </w:r>
          </w:p>
        </w:tc>
        <w:tc>
          <w:tcPr>
            <w:tcW w:w="582" w:type="dxa"/>
            <w:tcBorders>
              <w:top w:val="single" w:color="000000" w:sz="4" w:space="0"/>
              <w:left w:val="single" w:color="000000" w:sz="4" w:space="0"/>
              <w:bottom w:val="single" w:color="000000" w:sz="4" w:space="0"/>
              <w:right w:val="single" w:color="000000" w:sz="4" w:space="0"/>
            </w:tcBorders>
            <w:vAlign w:val="center"/>
          </w:tcPr>
          <w:p w14:paraId="52FF01A2">
            <w:pPr>
              <w:jc w:val="center"/>
              <w:rPr>
                <w:rFonts w:hint="eastAsia" w:ascii="仿宋" w:hAnsi="仿宋" w:eastAsia="仿宋" w:cs="仿宋"/>
                <w:color w:val="000000"/>
                <w:szCs w:val="21"/>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56592D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项目名称</w:t>
            </w:r>
          </w:p>
        </w:tc>
        <w:tc>
          <w:tcPr>
            <w:tcW w:w="3831" w:type="dxa"/>
            <w:tcBorders>
              <w:top w:val="single" w:color="000000" w:sz="4" w:space="0"/>
              <w:left w:val="single" w:color="000000" w:sz="4" w:space="0"/>
              <w:bottom w:val="single" w:color="000000" w:sz="4" w:space="0"/>
              <w:right w:val="single" w:color="000000" w:sz="4" w:space="0"/>
            </w:tcBorders>
            <w:vAlign w:val="center"/>
          </w:tcPr>
          <w:p w14:paraId="27E0C701">
            <w:pPr>
              <w:jc w:val="center"/>
              <w:rPr>
                <w:rFonts w:hint="eastAsia" w:ascii="仿宋" w:hAnsi="仿宋" w:eastAsia="仿宋" w:cs="仿宋"/>
                <w:color w:val="000000"/>
                <w:szCs w:val="21"/>
              </w:rPr>
            </w:pPr>
          </w:p>
        </w:tc>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2B28F75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合同名称</w:t>
            </w:r>
          </w:p>
        </w:tc>
        <w:tc>
          <w:tcPr>
            <w:tcW w:w="4610" w:type="dxa"/>
            <w:tcBorders>
              <w:top w:val="single" w:color="000000" w:sz="4" w:space="0"/>
              <w:left w:val="single" w:color="000000" w:sz="4" w:space="0"/>
              <w:bottom w:val="single" w:color="000000" w:sz="4" w:space="0"/>
              <w:right w:val="single" w:color="000000" w:sz="4" w:space="0"/>
            </w:tcBorders>
          </w:tcPr>
          <w:p w14:paraId="6E6B6BD8">
            <w:pPr>
              <w:jc w:val="left"/>
              <w:rPr>
                <w:rFonts w:hint="eastAsia" w:ascii="仿宋" w:hAnsi="仿宋" w:eastAsia="仿宋" w:cs="仿宋"/>
                <w:color w:val="000000"/>
                <w:szCs w:val="21"/>
              </w:rPr>
            </w:pPr>
          </w:p>
        </w:tc>
      </w:tr>
      <w:tr w14:paraId="59861564">
        <w:tblPrEx>
          <w:tblCellMar>
            <w:top w:w="0" w:type="dxa"/>
            <w:left w:w="108" w:type="dxa"/>
            <w:bottom w:w="0" w:type="dxa"/>
            <w:right w:w="108" w:type="dxa"/>
          </w:tblCellMar>
        </w:tblPrEx>
        <w:trPr>
          <w:trHeight w:val="55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35C3EAB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供应商</w:t>
            </w:r>
          </w:p>
        </w:tc>
        <w:tc>
          <w:tcPr>
            <w:tcW w:w="582" w:type="dxa"/>
            <w:tcBorders>
              <w:top w:val="single" w:color="000000" w:sz="4" w:space="0"/>
              <w:left w:val="single" w:color="000000" w:sz="4" w:space="0"/>
              <w:bottom w:val="single" w:color="000000" w:sz="4" w:space="0"/>
              <w:right w:val="single" w:color="000000" w:sz="4" w:space="0"/>
            </w:tcBorders>
            <w:vAlign w:val="center"/>
          </w:tcPr>
          <w:p w14:paraId="7E64D3EF">
            <w:pPr>
              <w:jc w:val="center"/>
              <w:rPr>
                <w:rFonts w:hint="eastAsia" w:ascii="仿宋" w:hAnsi="仿宋" w:eastAsia="仿宋" w:cs="仿宋"/>
                <w:color w:val="000000"/>
                <w:szCs w:val="21"/>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2E67495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项目及合同编号</w:t>
            </w:r>
          </w:p>
        </w:tc>
        <w:tc>
          <w:tcPr>
            <w:tcW w:w="3831" w:type="dxa"/>
            <w:tcBorders>
              <w:top w:val="single" w:color="000000" w:sz="4" w:space="0"/>
              <w:left w:val="single" w:color="000000" w:sz="4" w:space="0"/>
              <w:bottom w:val="single" w:color="000000" w:sz="4" w:space="0"/>
              <w:right w:val="single" w:color="000000" w:sz="4" w:space="0"/>
            </w:tcBorders>
            <w:vAlign w:val="center"/>
          </w:tcPr>
          <w:p w14:paraId="0E32F8EB">
            <w:pPr>
              <w:jc w:val="center"/>
              <w:rPr>
                <w:rFonts w:hint="eastAsia" w:ascii="仿宋" w:hAnsi="仿宋" w:eastAsia="仿宋" w:cs="仿宋"/>
                <w:color w:val="000000"/>
                <w:szCs w:val="21"/>
              </w:rPr>
            </w:pPr>
          </w:p>
        </w:tc>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10F7EAEF">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合同金额</w:t>
            </w:r>
          </w:p>
        </w:tc>
        <w:tc>
          <w:tcPr>
            <w:tcW w:w="4610" w:type="dxa"/>
            <w:tcBorders>
              <w:top w:val="single" w:color="000000" w:sz="4" w:space="0"/>
              <w:left w:val="single" w:color="000000" w:sz="4" w:space="0"/>
              <w:bottom w:val="single" w:color="000000" w:sz="4" w:space="0"/>
              <w:right w:val="single" w:color="000000" w:sz="4" w:space="0"/>
            </w:tcBorders>
          </w:tcPr>
          <w:p w14:paraId="353C8BB5">
            <w:pPr>
              <w:jc w:val="left"/>
              <w:rPr>
                <w:rFonts w:hint="eastAsia" w:ascii="仿宋" w:hAnsi="仿宋" w:eastAsia="仿宋" w:cs="仿宋"/>
                <w:color w:val="000000"/>
                <w:szCs w:val="21"/>
              </w:rPr>
            </w:pPr>
          </w:p>
        </w:tc>
      </w:tr>
      <w:tr w14:paraId="247E2184">
        <w:tblPrEx>
          <w:tblCellMar>
            <w:top w:w="0" w:type="dxa"/>
            <w:left w:w="108" w:type="dxa"/>
            <w:bottom w:w="0" w:type="dxa"/>
            <w:right w:w="108" w:type="dxa"/>
          </w:tblCellMar>
        </w:tblPrEx>
        <w:trPr>
          <w:trHeight w:val="530" w:hRule="atLeast"/>
        </w:trPr>
        <w:tc>
          <w:tcPr>
            <w:tcW w:w="846" w:type="dxa"/>
            <w:tcBorders>
              <w:top w:val="single" w:color="000000" w:sz="4" w:space="0"/>
              <w:left w:val="single" w:color="000000" w:sz="4" w:space="0"/>
              <w:bottom w:val="single" w:color="000000" w:sz="4" w:space="0"/>
              <w:right w:val="single" w:color="000000" w:sz="4" w:space="0"/>
            </w:tcBorders>
            <w:vAlign w:val="bottom"/>
          </w:tcPr>
          <w:p w14:paraId="7E12C4F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分期（段）验收</w:t>
            </w:r>
          </w:p>
        </w:tc>
        <w:tc>
          <w:tcPr>
            <w:tcW w:w="582" w:type="dxa"/>
            <w:tcBorders>
              <w:top w:val="single" w:color="000000" w:sz="4" w:space="0"/>
              <w:left w:val="single" w:color="000000" w:sz="4" w:space="0"/>
              <w:bottom w:val="single" w:color="000000" w:sz="4" w:space="0"/>
              <w:right w:val="single" w:color="000000" w:sz="4" w:space="0"/>
            </w:tcBorders>
            <w:vAlign w:val="center"/>
          </w:tcPr>
          <w:p w14:paraId="334982C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是口否□</w:t>
            </w:r>
          </w:p>
        </w:tc>
        <w:tc>
          <w:tcPr>
            <w:tcW w:w="846" w:type="dxa"/>
            <w:tcBorders>
              <w:top w:val="single" w:color="000000" w:sz="4" w:space="0"/>
              <w:left w:val="single" w:color="000000" w:sz="4" w:space="0"/>
              <w:bottom w:val="single" w:color="000000" w:sz="4" w:space="0"/>
              <w:right w:val="single" w:color="000000" w:sz="4" w:space="0"/>
            </w:tcBorders>
            <w:vAlign w:val="center"/>
          </w:tcPr>
          <w:p w14:paraId="7B9A28ED">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分期（段）情况</w:t>
            </w:r>
          </w:p>
        </w:tc>
        <w:tc>
          <w:tcPr>
            <w:tcW w:w="11180" w:type="dxa"/>
            <w:gridSpan w:val="4"/>
            <w:tcBorders>
              <w:top w:val="single" w:color="000000" w:sz="4" w:space="0"/>
              <w:left w:val="single" w:color="000000" w:sz="4" w:space="0"/>
              <w:bottom w:val="single" w:color="000000" w:sz="4" w:space="0"/>
              <w:right w:val="single" w:color="000000" w:sz="4" w:space="0"/>
            </w:tcBorders>
            <w:vAlign w:val="center"/>
          </w:tcPr>
          <w:p w14:paraId="11D6BA5A">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共分期（段）</w:t>
            </w:r>
            <w:r>
              <w:rPr>
                <w:rFonts w:hint="eastAsia" w:ascii="仿宋" w:hAnsi="仿宋" w:eastAsia="仿宋" w:cs="仿宋"/>
                <w:color w:val="000000"/>
                <w:szCs w:val="21"/>
                <w:lang w:eastAsia="zh-CN" w:bidi="ar"/>
              </w:rPr>
              <w:t>，</w:t>
            </w:r>
            <w:r>
              <w:rPr>
                <w:rFonts w:hint="eastAsia" w:ascii="仿宋" w:hAnsi="仿宋" w:eastAsia="仿宋" w:cs="仿宋"/>
                <w:color w:val="000000"/>
                <w:szCs w:val="21"/>
                <w:lang w:bidi="ar"/>
              </w:rPr>
              <w:t>此为第一期</w:t>
            </w:r>
            <w:r>
              <w:rPr>
                <w:rFonts w:hint="eastAsia" w:ascii="仿宋" w:hAnsi="仿宋" w:eastAsia="仿宋" w:cs="仿宋"/>
                <w:color w:val="000000"/>
                <w:szCs w:val="21"/>
                <w:lang w:eastAsia="zh-CN" w:bidi="ar"/>
              </w:rPr>
              <w:t>（</w:t>
            </w:r>
            <w:r>
              <w:rPr>
                <w:rFonts w:hint="eastAsia" w:ascii="仿宋" w:hAnsi="仿宋" w:eastAsia="仿宋" w:cs="仿宋"/>
                <w:color w:val="000000"/>
                <w:szCs w:val="21"/>
                <w:lang w:bidi="ar"/>
              </w:rPr>
              <w:t>段</w:t>
            </w:r>
            <w:r>
              <w:rPr>
                <w:rFonts w:hint="eastAsia" w:ascii="仿宋" w:hAnsi="仿宋" w:eastAsia="仿宋" w:cs="仿宋"/>
                <w:color w:val="000000"/>
                <w:szCs w:val="21"/>
                <w:lang w:eastAsia="zh-CN" w:bidi="ar"/>
              </w:rPr>
              <w:t>）</w:t>
            </w:r>
            <w:r>
              <w:rPr>
                <w:rFonts w:hint="eastAsia" w:ascii="仿宋" w:hAnsi="仿宋" w:eastAsia="仿宋" w:cs="仿宋"/>
                <w:color w:val="000000"/>
                <w:szCs w:val="21"/>
                <w:lang w:bidi="ar"/>
              </w:rPr>
              <w:t>验收</w:t>
            </w:r>
          </w:p>
        </w:tc>
      </w:tr>
      <w:tr w14:paraId="760793ED">
        <w:tblPrEx>
          <w:tblCellMar>
            <w:top w:w="0" w:type="dxa"/>
            <w:left w:w="108" w:type="dxa"/>
            <w:bottom w:w="0" w:type="dxa"/>
            <w:right w:w="108" w:type="dxa"/>
          </w:tblCellMar>
        </w:tblPrEx>
        <w:trPr>
          <w:trHeight w:val="1620" w:hRule="atLeast"/>
        </w:trPr>
        <w:tc>
          <w:tcPr>
            <w:tcW w:w="846" w:type="dxa"/>
            <w:tcBorders>
              <w:top w:val="single" w:color="000000" w:sz="4" w:space="0"/>
              <w:left w:val="single" w:color="000000" w:sz="4" w:space="0"/>
              <w:bottom w:val="single" w:color="000000" w:sz="4" w:space="0"/>
              <w:right w:val="single" w:color="000000" w:sz="4" w:space="0"/>
            </w:tcBorders>
            <w:vAlign w:val="center"/>
          </w:tcPr>
          <w:p w14:paraId="67CAC12C">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验收时间</w:t>
            </w:r>
          </w:p>
        </w:tc>
        <w:tc>
          <w:tcPr>
            <w:tcW w:w="582" w:type="dxa"/>
            <w:tcBorders>
              <w:top w:val="single" w:color="000000" w:sz="4" w:space="0"/>
              <w:left w:val="single" w:color="000000" w:sz="4" w:space="0"/>
              <w:bottom w:val="single" w:color="000000" w:sz="4" w:space="0"/>
              <w:right w:val="single" w:color="000000" w:sz="4" w:space="0"/>
            </w:tcBorders>
          </w:tcPr>
          <w:p w14:paraId="39E6E1E0">
            <w:pPr>
              <w:jc w:val="left"/>
              <w:rPr>
                <w:rFonts w:hint="eastAsia" w:ascii="仿宋" w:hAnsi="仿宋" w:eastAsia="仿宋" w:cs="仿宋"/>
                <w:color w:val="000000"/>
                <w:szCs w:val="21"/>
              </w:rPr>
            </w:pPr>
          </w:p>
        </w:tc>
        <w:tc>
          <w:tcPr>
            <w:tcW w:w="846" w:type="dxa"/>
            <w:tcBorders>
              <w:top w:val="single" w:color="000000" w:sz="4" w:space="0"/>
              <w:left w:val="single" w:color="000000" w:sz="4" w:space="0"/>
              <w:bottom w:val="single" w:color="000000" w:sz="4" w:space="0"/>
              <w:right w:val="single" w:color="000000" w:sz="4" w:space="0"/>
            </w:tcBorders>
            <w:vAlign w:val="center"/>
          </w:tcPr>
          <w:p w14:paraId="52AEC04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验收地点</w:t>
            </w:r>
          </w:p>
        </w:tc>
        <w:tc>
          <w:tcPr>
            <w:tcW w:w="3831" w:type="dxa"/>
            <w:tcBorders>
              <w:top w:val="single" w:color="000000" w:sz="4" w:space="0"/>
              <w:left w:val="single" w:color="000000" w:sz="4" w:space="0"/>
              <w:bottom w:val="single" w:color="000000" w:sz="4" w:space="0"/>
              <w:right w:val="single" w:color="000000" w:sz="4" w:space="0"/>
            </w:tcBorders>
          </w:tcPr>
          <w:p w14:paraId="33CE4CBF">
            <w:pPr>
              <w:jc w:val="left"/>
              <w:rPr>
                <w:rFonts w:hint="eastAsia" w:ascii="仿宋" w:hAnsi="仿宋" w:eastAsia="仿宋" w:cs="仿宋"/>
                <w:color w:val="000000"/>
                <w:szCs w:val="21"/>
              </w:rPr>
            </w:pPr>
          </w:p>
        </w:tc>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2B8D6DA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验收组织形式</w:t>
            </w:r>
          </w:p>
        </w:tc>
        <w:tc>
          <w:tcPr>
            <w:tcW w:w="4610" w:type="dxa"/>
            <w:tcBorders>
              <w:top w:val="single" w:color="000000" w:sz="4" w:space="0"/>
              <w:left w:val="single" w:color="000000" w:sz="4" w:space="0"/>
              <w:bottom w:val="single" w:color="000000" w:sz="4" w:space="0"/>
              <w:right w:val="single" w:color="000000" w:sz="4" w:space="0"/>
            </w:tcBorders>
            <w:vAlign w:val="center"/>
          </w:tcPr>
          <w:p w14:paraId="60B961C0">
            <w:pPr>
              <w:widowControl/>
              <w:jc w:val="left"/>
              <w:rPr>
                <w:rFonts w:hint="eastAsia" w:ascii="仿宋" w:hAnsi="仿宋" w:eastAsia="仿宋" w:cs="仿宋"/>
                <w:color w:val="000000"/>
                <w:szCs w:val="21"/>
              </w:rPr>
            </w:pPr>
            <w:r>
              <w:rPr>
                <w:rStyle w:val="305"/>
                <w:rFonts w:hint="eastAsia" w:ascii="仿宋" w:hAnsi="仿宋" w:eastAsia="仿宋" w:cs="仿宋"/>
                <w:sz w:val="21"/>
                <w:szCs w:val="21"/>
                <w:lang w:bidi="ar"/>
              </w:rPr>
              <w:t>□自行简易验收</w:t>
            </w:r>
            <w:r>
              <w:rPr>
                <w:rStyle w:val="305"/>
                <w:rFonts w:hint="eastAsia" w:ascii="仿宋" w:hAnsi="仿宋" w:eastAsia="仿宋" w:cs="仿宋"/>
                <w:sz w:val="21"/>
                <w:szCs w:val="21"/>
                <w:lang w:bidi="ar"/>
              </w:rPr>
              <w:br w:type="textWrapping" w:clear="all"/>
            </w:r>
            <w:r>
              <w:rPr>
                <w:rStyle w:val="311"/>
                <w:rFonts w:hint="eastAsia" w:ascii="仿宋" w:hAnsi="仿宋" w:eastAsia="仿宋" w:cs="仿宋"/>
                <w:lang w:bidi="ar"/>
              </w:rPr>
              <w:br w:type="textWrapping" w:clear="all"/>
            </w:r>
            <w:r>
              <w:rPr>
                <w:rStyle w:val="305"/>
                <w:rFonts w:hint="eastAsia" w:ascii="仿宋" w:hAnsi="仿宋" w:eastAsia="仿宋" w:cs="仿宋"/>
                <w:sz w:val="21"/>
                <w:szCs w:val="21"/>
                <w:lang w:bidi="ar"/>
              </w:rPr>
              <w:t>口验收小组验收</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□洪泽分中心验收</w:t>
            </w:r>
          </w:p>
        </w:tc>
      </w:tr>
      <w:tr w14:paraId="01F1CE91">
        <w:tblPrEx>
          <w:tblCellMar>
            <w:top w:w="0" w:type="dxa"/>
            <w:left w:w="108" w:type="dxa"/>
            <w:bottom w:w="0" w:type="dxa"/>
            <w:right w:w="108" w:type="dxa"/>
          </w:tblCellMar>
        </w:tblPrEx>
        <w:trPr>
          <w:trHeight w:val="530" w:hRule="atLeast"/>
        </w:trPr>
        <w:tc>
          <w:tcPr>
            <w:tcW w:w="846" w:type="dxa"/>
            <w:vMerge w:val="restart"/>
            <w:tcBorders>
              <w:top w:val="single" w:color="000000" w:sz="4" w:space="0"/>
              <w:left w:val="single" w:color="000000" w:sz="4" w:space="0"/>
              <w:bottom w:val="single" w:color="000000" w:sz="4" w:space="0"/>
              <w:right w:val="single" w:color="000000" w:sz="4" w:space="0"/>
            </w:tcBorders>
            <w:vAlign w:val="center"/>
          </w:tcPr>
          <w:p w14:paraId="1ED73BF4">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验收内容</w:t>
            </w:r>
          </w:p>
        </w:tc>
        <w:tc>
          <w:tcPr>
            <w:tcW w:w="582" w:type="dxa"/>
            <w:tcBorders>
              <w:top w:val="single" w:color="000000" w:sz="4" w:space="0"/>
              <w:left w:val="single" w:color="000000" w:sz="4" w:space="0"/>
              <w:bottom w:val="single" w:color="000000" w:sz="4" w:space="0"/>
              <w:right w:val="single" w:color="000000" w:sz="4" w:space="0"/>
            </w:tcBorders>
            <w:vAlign w:val="center"/>
          </w:tcPr>
          <w:p w14:paraId="2083FA8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服务质量</w:t>
            </w:r>
          </w:p>
        </w:tc>
        <w:tc>
          <w:tcPr>
            <w:tcW w:w="846" w:type="dxa"/>
            <w:tcBorders>
              <w:top w:val="single" w:color="000000" w:sz="4" w:space="0"/>
              <w:left w:val="single" w:color="000000" w:sz="4" w:space="0"/>
              <w:bottom w:val="single" w:color="000000" w:sz="4" w:space="0"/>
              <w:right w:val="single" w:color="000000" w:sz="4" w:space="0"/>
            </w:tcBorders>
            <w:vAlign w:val="center"/>
          </w:tcPr>
          <w:p w14:paraId="62203B03">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服务进度</w:t>
            </w:r>
          </w:p>
        </w:tc>
        <w:tc>
          <w:tcPr>
            <w:tcW w:w="3831" w:type="dxa"/>
            <w:tcBorders>
              <w:top w:val="single" w:color="000000" w:sz="4" w:space="0"/>
              <w:left w:val="single" w:color="000000" w:sz="4" w:space="0"/>
              <w:bottom w:val="single" w:color="000000" w:sz="4" w:space="0"/>
              <w:right w:val="single" w:color="000000" w:sz="4" w:space="0"/>
            </w:tcBorders>
            <w:vAlign w:val="center"/>
          </w:tcPr>
          <w:p w14:paraId="7539BE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人员、设备配备情况</w:t>
            </w:r>
          </w:p>
        </w:tc>
        <w:tc>
          <w:tcPr>
            <w:tcW w:w="636" w:type="dxa"/>
            <w:tcBorders>
              <w:top w:val="single" w:color="000000" w:sz="4" w:space="0"/>
              <w:left w:val="single" w:color="000000" w:sz="4" w:space="0"/>
              <w:bottom w:val="single" w:color="000000" w:sz="4" w:space="0"/>
              <w:right w:val="single" w:color="000000" w:sz="4" w:space="0"/>
            </w:tcBorders>
            <w:vAlign w:val="center"/>
          </w:tcPr>
          <w:p w14:paraId="3E79692B">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行业、安全标准</w:t>
            </w:r>
          </w:p>
        </w:tc>
        <w:tc>
          <w:tcPr>
            <w:tcW w:w="2103" w:type="dxa"/>
            <w:tcBorders>
              <w:top w:val="single" w:color="000000" w:sz="4" w:space="0"/>
              <w:left w:val="single" w:color="000000" w:sz="4" w:space="0"/>
              <w:bottom w:val="single" w:color="000000" w:sz="4" w:space="0"/>
              <w:right w:val="single" w:color="000000" w:sz="4" w:space="0"/>
            </w:tcBorders>
            <w:vAlign w:val="center"/>
          </w:tcPr>
          <w:p w14:paraId="7247DCA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项目需求、服务承诺</w:t>
            </w:r>
          </w:p>
        </w:tc>
        <w:tc>
          <w:tcPr>
            <w:tcW w:w="4610" w:type="dxa"/>
            <w:tcBorders>
              <w:top w:val="single" w:color="000000" w:sz="4" w:space="0"/>
              <w:left w:val="single" w:color="000000" w:sz="4" w:space="0"/>
              <w:bottom w:val="single" w:color="000000" w:sz="4" w:space="0"/>
              <w:right w:val="single" w:color="000000" w:sz="4" w:space="0"/>
            </w:tcBorders>
            <w:vAlign w:val="center"/>
          </w:tcPr>
          <w:p w14:paraId="2DF9C68E">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合同履约时间、地点、方式</w:t>
            </w:r>
          </w:p>
        </w:tc>
      </w:tr>
      <w:tr w14:paraId="2A83DF73">
        <w:tblPrEx>
          <w:tblCellMar>
            <w:top w:w="0" w:type="dxa"/>
            <w:left w:w="108" w:type="dxa"/>
            <w:bottom w:w="0" w:type="dxa"/>
            <w:right w:w="108" w:type="dxa"/>
          </w:tblCellMar>
        </w:tblPrEx>
        <w:trPr>
          <w:trHeight w:val="1110" w:hRule="atLeast"/>
        </w:trPr>
        <w:tc>
          <w:tcPr>
            <w:tcW w:w="846" w:type="dxa"/>
            <w:vMerge w:val="continue"/>
            <w:tcBorders>
              <w:top w:val="single" w:color="000000" w:sz="4" w:space="0"/>
              <w:left w:val="single" w:color="000000" w:sz="4" w:space="0"/>
              <w:bottom w:val="single" w:color="000000" w:sz="4" w:space="0"/>
              <w:right w:val="single" w:color="000000" w:sz="4" w:space="0"/>
            </w:tcBorders>
            <w:vAlign w:val="center"/>
          </w:tcPr>
          <w:p w14:paraId="2045B813">
            <w:pPr>
              <w:jc w:val="center"/>
              <w:rPr>
                <w:rFonts w:hint="eastAsia" w:ascii="仿宋" w:hAnsi="仿宋" w:eastAsia="仿宋" w:cs="仿宋"/>
                <w:color w:val="000000"/>
                <w:szCs w:val="21"/>
              </w:rPr>
            </w:pPr>
          </w:p>
        </w:tc>
        <w:tc>
          <w:tcPr>
            <w:tcW w:w="582" w:type="dxa"/>
            <w:tcBorders>
              <w:top w:val="single" w:color="000000" w:sz="4" w:space="0"/>
              <w:left w:val="single" w:color="000000" w:sz="4" w:space="0"/>
              <w:bottom w:val="single" w:color="000000" w:sz="4" w:space="0"/>
              <w:right w:val="single" w:color="000000" w:sz="4" w:space="0"/>
            </w:tcBorders>
          </w:tcPr>
          <w:p w14:paraId="11D275D2">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不合格口</w:t>
            </w:r>
          </w:p>
        </w:tc>
        <w:tc>
          <w:tcPr>
            <w:tcW w:w="846" w:type="dxa"/>
            <w:tcBorders>
              <w:top w:val="single" w:color="000000" w:sz="4" w:space="0"/>
              <w:left w:val="single" w:color="000000" w:sz="4" w:space="0"/>
              <w:bottom w:val="single" w:color="000000" w:sz="4" w:space="0"/>
              <w:right w:val="single" w:color="000000" w:sz="4" w:space="0"/>
            </w:tcBorders>
          </w:tcPr>
          <w:p w14:paraId="0978A42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br w:type="textWrapping" w:clear="all"/>
            </w:r>
            <w:r>
              <w:rPr>
                <w:rStyle w:val="305"/>
                <w:rFonts w:hint="eastAsia" w:ascii="仿宋" w:hAnsi="仿宋" w:eastAsia="仿宋" w:cs="仿宋"/>
                <w:sz w:val="21"/>
                <w:szCs w:val="21"/>
                <w:lang w:bidi="ar"/>
              </w:rPr>
              <w:t>按时口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不按时口</w:t>
            </w:r>
          </w:p>
        </w:tc>
        <w:tc>
          <w:tcPr>
            <w:tcW w:w="3831" w:type="dxa"/>
            <w:tcBorders>
              <w:top w:val="single" w:color="000000" w:sz="4" w:space="0"/>
              <w:left w:val="single" w:color="000000" w:sz="4" w:space="0"/>
              <w:bottom w:val="single" w:color="000000" w:sz="4" w:space="0"/>
              <w:right w:val="single" w:color="000000" w:sz="4" w:space="0"/>
            </w:tcBorders>
          </w:tcPr>
          <w:p w14:paraId="5894C017">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w:t>
            </w:r>
          </w:p>
        </w:tc>
        <w:tc>
          <w:tcPr>
            <w:tcW w:w="636" w:type="dxa"/>
            <w:tcBorders>
              <w:top w:val="single" w:color="000000" w:sz="4" w:space="0"/>
              <w:left w:val="single" w:color="000000" w:sz="4" w:space="0"/>
              <w:bottom w:val="single" w:color="000000" w:sz="4" w:space="0"/>
              <w:right w:val="single" w:color="000000" w:sz="4" w:space="0"/>
            </w:tcBorders>
          </w:tcPr>
          <w:p w14:paraId="11656038">
            <w:pPr>
              <w:widowControl/>
              <w:jc w:val="center"/>
              <w:rPr>
                <w:rFonts w:hint="eastAsia" w:ascii="仿宋" w:hAnsi="仿宋" w:eastAsia="仿宋" w:cs="仿宋"/>
                <w:color w:val="000000"/>
                <w:szCs w:val="21"/>
              </w:rPr>
            </w:pPr>
            <w:r>
              <w:rPr>
                <w:rStyle w:val="308"/>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w:t>
            </w:r>
          </w:p>
        </w:tc>
        <w:tc>
          <w:tcPr>
            <w:tcW w:w="2103" w:type="dxa"/>
            <w:tcBorders>
              <w:top w:val="single" w:color="000000" w:sz="4" w:space="0"/>
              <w:left w:val="single" w:color="000000" w:sz="4" w:space="0"/>
              <w:bottom w:val="single" w:color="000000" w:sz="4" w:space="0"/>
              <w:right w:val="single" w:color="000000" w:sz="4" w:space="0"/>
            </w:tcBorders>
          </w:tcPr>
          <w:p w14:paraId="22176E97">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不合格口</w:t>
            </w:r>
          </w:p>
        </w:tc>
        <w:tc>
          <w:tcPr>
            <w:tcW w:w="4610" w:type="dxa"/>
            <w:tcBorders>
              <w:top w:val="single" w:color="000000" w:sz="4" w:space="0"/>
              <w:left w:val="single" w:color="000000" w:sz="4" w:space="0"/>
              <w:bottom w:val="single" w:color="000000" w:sz="4" w:space="0"/>
              <w:right w:val="single" w:color="000000" w:sz="4" w:space="0"/>
            </w:tcBorders>
          </w:tcPr>
          <w:p w14:paraId="2DEC76D1">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合格口</w:t>
            </w:r>
            <w:r>
              <w:rPr>
                <w:rStyle w:val="305"/>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不合格口</w:t>
            </w:r>
          </w:p>
        </w:tc>
      </w:tr>
      <w:tr w14:paraId="6B06EE20">
        <w:tblPrEx>
          <w:tblCellMar>
            <w:top w:w="0" w:type="dxa"/>
            <w:left w:w="108" w:type="dxa"/>
            <w:bottom w:w="0" w:type="dxa"/>
            <w:right w:w="108" w:type="dxa"/>
          </w:tblCellMar>
        </w:tblPrEx>
        <w:trPr>
          <w:trHeight w:val="1080" w:hRule="atLeast"/>
        </w:trPr>
        <w:tc>
          <w:tcPr>
            <w:tcW w:w="846" w:type="dxa"/>
            <w:tcBorders>
              <w:top w:val="single" w:color="000000" w:sz="4" w:space="0"/>
              <w:left w:val="single" w:color="000000" w:sz="4" w:space="0"/>
              <w:bottom w:val="single" w:color="000000" w:sz="4" w:space="0"/>
              <w:right w:val="single" w:color="000000" w:sz="4" w:space="0"/>
            </w:tcBorders>
          </w:tcPr>
          <w:p w14:paraId="52A2DE99">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br w:type="textWrapping" w:clear="all"/>
            </w:r>
            <w:r>
              <w:rPr>
                <w:rStyle w:val="305"/>
                <w:rFonts w:hint="eastAsia" w:ascii="仿宋" w:hAnsi="仿宋" w:eastAsia="仿宋" w:cs="仿宋"/>
                <w:sz w:val="21"/>
                <w:szCs w:val="21"/>
                <w:lang w:bidi="ar"/>
              </w:rPr>
              <w:t>专业检测机构情况说明</w:t>
            </w:r>
          </w:p>
        </w:tc>
        <w:tc>
          <w:tcPr>
            <w:tcW w:w="12608" w:type="dxa"/>
            <w:gridSpan w:val="6"/>
            <w:tcBorders>
              <w:top w:val="single" w:color="000000" w:sz="4" w:space="0"/>
              <w:left w:val="single" w:color="000000" w:sz="4" w:space="0"/>
              <w:bottom w:val="single" w:color="000000" w:sz="4" w:space="0"/>
              <w:right w:val="single" w:color="000000" w:sz="4" w:space="0"/>
            </w:tcBorders>
          </w:tcPr>
          <w:p w14:paraId="15B67A52">
            <w:pPr>
              <w:jc w:val="left"/>
              <w:rPr>
                <w:rFonts w:hint="eastAsia" w:ascii="仿宋" w:hAnsi="仿宋" w:eastAsia="仿宋" w:cs="仿宋"/>
                <w:color w:val="000000"/>
                <w:szCs w:val="21"/>
              </w:rPr>
            </w:pPr>
          </w:p>
        </w:tc>
      </w:tr>
      <w:tr w14:paraId="77DEE431">
        <w:tblPrEx>
          <w:tblCellMar>
            <w:top w:w="0" w:type="dxa"/>
            <w:left w:w="108" w:type="dxa"/>
            <w:bottom w:w="0" w:type="dxa"/>
            <w:right w:w="108" w:type="dxa"/>
          </w:tblCellMar>
        </w:tblPrEx>
        <w:trPr>
          <w:trHeight w:val="1085" w:hRule="atLeast"/>
        </w:trPr>
        <w:tc>
          <w:tcPr>
            <w:tcW w:w="846" w:type="dxa"/>
            <w:tcBorders>
              <w:top w:val="single" w:color="000000" w:sz="4" w:space="0"/>
              <w:left w:val="single" w:color="000000" w:sz="4" w:space="0"/>
              <w:bottom w:val="single" w:color="000000" w:sz="4" w:space="0"/>
              <w:right w:val="single" w:color="000000" w:sz="4" w:space="0"/>
            </w:tcBorders>
          </w:tcPr>
          <w:p w14:paraId="222446FF">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Style w:val="305"/>
                <w:rFonts w:hint="eastAsia" w:ascii="仿宋" w:hAnsi="仿宋" w:eastAsia="仿宋" w:cs="仿宋"/>
                <w:sz w:val="21"/>
                <w:szCs w:val="21"/>
                <w:lang w:bidi="ar"/>
              </w:rPr>
              <w:t>存在问题和改进意见</w:t>
            </w:r>
          </w:p>
        </w:tc>
        <w:tc>
          <w:tcPr>
            <w:tcW w:w="12608" w:type="dxa"/>
            <w:gridSpan w:val="6"/>
            <w:tcBorders>
              <w:top w:val="single" w:color="000000" w:sz="4" w:space="0"/>
              <w:left w:val="single" w:color="000000" w:sz="4" w:space="0"/>
              <w:bottom w:val="single" w:color="000000" w:sz="4" w:space="0"/>
              <w:right w:val="single" w:color="000000" w:sz="4" w:space="0"/>
            </w:tcBorders>
          </w:tcPr>
          <w:p w14:paraId="327E478D">
            <w:pPr>
              <w:jc w:val="left"/>
              <w:rPr>
                <w:rFonts w:hint="eastAsia" w:ascii="仿宋" w:hAnsi="仿宋" w:eastAsia="仿宋" w:cs="仿宋"/>
                <w:color w:val="000000"/>
                <w:szCs w:val="21"/>
              </w:rPr>
            </w:pPr>
          </w:p>
        </w:tc>
      </w:tr>
      <w:tr w14:paraId="0F623370">
        <w:tblPrEx>
          <w:tblCellMar>
            <w:top w:w="0" w:type="dxa"/>
            <w:left w:w="108" w:type="dxa"/>
            <w:bottom w:w="0" w:type="dxa"/>
            <w:right w:w="108" w:type="dxa"/>
          </w:tblCellMar>
        </w:tblPrEx>
        <w:trPr>
          <w:trHeight w:val="675" w:hRule="atLeast"/>
        </w:trPr>
        <w:tc>
          <w:tcPr>
            <w:tcW w:w="846" w:type="dxa"/>
            <w:tcBorders>
              <w:top w:val="single" w:color="000000" w:sz="4" w:space="0"/>
              <w:left w:val="single" w:color="000000" w:sz="4" w:space="0"/>
              <w:bottom w:val="single" w:color="000000" w:sz="4" w:space="0"/>
              <w:right w:val="single" w:color="000000" w:sz="4" w:space="0"/>
            </w:tcBorders>
            <w:vAlign w:val="bottom"/>
          </w:tcPr>
          <w:p w14:paraId="4759B0A8">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最终结论</w:t>
            </w:r>
          </w:p>
        </w:tc>
        <w:tc>
          <w:tcPr>
            <w:tcW w:w="12608" w:type="dxa"/>
            <w:gridSpan w:val="6"/>
            <w:tcBorders>
              <w:top w:val="single" w:color="000000" w:sz="4" w:space="0"/>
              <w:left w:val="single" w:color="000000" w:sz="4" w:space="0"/>
              <w:bottom w:val="single" w:color="000000" w:sz="4" w:space="0"/>
              <w:right w:val="single" w:color="000000" w:sz="4" w:space="0"/>
            </w:tcBorders>
            <w:vAlign w:val="bottom"/>
          </w:tcPr>
          <w:p w14:paraId="5876F055">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合格口不合格口</w:t>
            </w:r>
          </w:p>
        </w:tc>
      </w:tr>
      <w:tr w14:paraId="24B43173">
        <w:tblPrEx>
          <w:tblCellMar>
            <w:top w:w="0" w:type="dxa"/>
            <w:left w:w="108" w:type="dxa"/>
            <w:bottom w:w="0" w:type="dxa"/>
            <w:right w:w="108" w:type="dxa"/>
          </w:tblCellMar>
        </w:tblPrEx>
        <w:trPr>
          <w:trHeight w:val="1060" w:hRule="atLeast"/>
        </w:trPr>
        <w:tc>
          <w:tcPr>
            <w:tcW w:w="846" w:type="dxa"/>
            <w:tcBorders>
              <w:top w:val="single" w:color="000000" w:sz="4" w:space="0"/>
              <w:left w:val="single" w:color="000000" w:sz="4" w:space="0"/>
              <w:bottom w:val="single" w:color="000000" w:sz="4" w:space="0"/>
              <w:right w:val="single" w:color="000000" w:sz="4" w:space="0"/>
            </w:tcBorders>
          </w:tcPr>
          <w:p w14:paraId="4374F487">
            <w:pPr>
              <w:widowControl/>
              <w:jc w:val="center"/>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Fonts w:hint="eastAsia" w:ascii="仿宋" w:hAnsi="仿宋" w:eastAsia="仿宋" w:cs="仿宋"/>
                <w:color w:val="000000"/>
                <w:szCs w:val="21"/>
                <w:lang w:bidi="ar"/>
              </w:rPr>
              <w:t>验收小组成员签字</w:t>
            </w:r>
          </w:p>
        </w:tc>
        <w:tc>
          <w:tcPr>
            <w:tcW w:w="12608" w:type="dxa"/>
            <w:gridSpan w:val="6"/>
            <w:tcBorders>
              <w:top w:val="single" w:color="000000" w:sz="4" w:space="0"/>
              <w:left w:val="single" w:color="000000" w:sz="4" w:space="0"/>
              <w:bottom w:val="single" w:color="000000" w:sz="4" w:space="0"/>
              <w:right w:val="single" w:color="000000" w:sz="4" w:space="0"/>
            </w:tcBorders>
          </w:tcPr>
          <w:p w14:paraId="172343D6">
            <w:pPr>
              <w:jc w:val="left"/>
              <w:rPr>
                <w:rFonts w:hint="eastAsia" w:ascii="仿宋" w:hAnsi="仿宋" w:eastAsia="仿宋" w:cs="仿宋"/>
                <w:color w:val="000000"/>
                <w:szCs w:val="21"/>
              </w:rPr>
            </w:pPr>
          </w:p>
        </w:tc>
      </w:tr>
      <w:tr w14:paraId="500C8909">
        <w:tblPrEx>
          <w:tblCellMar>
            <w:top w:w="0" w:type="dxa"/>
            <w:left w:w="108" w:type="dxa"/>
            <w:bottom w:w="0" w:type="dxa"/>
            <w:right w:w="108" w:type="dxa"/>
          </w:tblCellMar>
        </w:tblPrEx>
        <w:trPr>
          <w:trHeight w:val="540" w:hRule="atLeast"/>
        </w:trPr>
        <w:tc>
          <w:tcPr>
            <w:tcW w:w="13454" w:type="dxa"/>
            <w:gridSpan w:val="7"/>
            <w:tcBorders>
              <w:top w:val="single" w:color="000000" w:sz="4" w:space="0"/>
              <w:left w:val="single" w:color="000000" w:sz="4" w:space="0"/>
              <w:bottom w:val="single" w:color="000000" w:sz="4" w:space="0"/>
              <w:right w:val="single" w:color="000000" w:sz="4" w:space="0"/>
            </w:tcBorders>
            <w:vAlign w:val="center"/>
          </w:tcPr>
          <w:p w14:paraId="77AE0490">
            <w:pPr>
              <w:widowControl/>
              <w:jc w:val="center"/>
              <w:rPr>
                <w:rFonts w:hint="eastAsia" w:ascii="仿宋" w:hAnsi="仿宋" w:eastAsia="仿宋" w:cs="仿宋"/>
                <w:color w:val="000000"/>
                <w:szCs w:val="21"/>
              </w:rPr>
            </w:pPr>
            <w:r>
              <w:rPr>
                <w:rFonts w:hint="eastAsia" w:ascii="仿宋" w:hAnsi="仿宋" w:eastAsia="仿宋" w:cs="仿宋"/>
                <w:color w:val="000000"/>
                <w:szCs w:val="21"/>
                <w:lang w:bidi="ar"/>
              </w:rPr>
              <w:t>采购人意见</w:t>
            </w:r>
          </w:p>
        </w:tc>
      </w:tr>
      <w:tr w14:paraId="45DA05EB">
        <w:tblPrEx>
          <w:tblCellMar>
            <w:top w:w="0" w:type="dxa"/>
            <w:left w:w="108" w:type="dxa"/>
            <w:bottom w:w="0" w:type="dxa"/>
            <w:right w:w="108" w:type="dxa"/>
          </w:tblCellMar>
        </w:tblPrEx>
        <w:trPr>
          <w:trHeight w:val="1224" w:hRule="atLeast"/>
        </w:trPr>
        <w:tc>
          <w:tcPr>
            <w:tcW w:w="13454" w:type="dxa"/>
            <w:gridSpan w:val="7"/>
            <w:tcBorders>
              <w:top w:val="single" w:color="000000" w:sz="4" w:space="0"/>
              <w:left w:val="single" w:color="000000" w:sz="4" w:space="0"/>
              <w:bottom w:val="single" w:color="000000" w:sz="4" w:space="0"/>
              <w:right w:val="single" w:color="000000" w:sz="4" w:space="0"/>
            </w:tcBorders>
            <w:vAlign w:val="bottom"/>
          </w:tcPr>
          <w:p w14:paraId="506BA4D3">
            <w:pPr>
              <w:widowControl/>
              <w:jc w:val="left"/>
              <w:rPr>
                <w:rFonts w:hint="eastAsia" w:ascii="仿宋" w:hAnsi="仿宋" w:eastAsia="仿宋" w:cs="仿宋"/>
                <w:color w:val="000000"/>
                <w:szCs w:val="21"/>
              </w:rPr>
            </w:pPr>
            <w:r>
              <w:rPr>
                <w:rFonts w:hint="eastAsia" w:ascii="仿宋" w:hAnsi="仿宋" w:eastAsia="仿宋" w:cs="仿宋"/>
                <w:color w:val="000000"/>
                <w:szCs w:val="21"/>
                <w:lang w:bidi="ar"/>
              </w:rPr>
              <w:t>经办人：负责人：（采购人公章）</w:t>
            </w:r>
          </w:p>
        </w:tc>
      </w:tr>
      <w:tr w14:paraId="6B7B24DA">
        <w:tblPrEx>
          <w:tblCellMar>
            <w:top w:w="0" w:type="dxa"/>
            <w:left w:w="108" w:type="dxa"/>
            <w:bottom w:w="0" w:type="dxa"/>
            <w:right w:w="108" w:type="dxa"/>
          </w:tblCellMar>
        </w:tblPrEx>
        <w:trPr>
          <w:trHeight w:val="1615" w:hRule="atLeast"/>
        </w:trPr>
        <w:tc>
          <w:tcPr>
            <w:tcW w:w="13454" w:type="dxa"/>
            <w:gridSpan w:val="7"/>
            <w:tcBorders>
              <w:top w:val="single" w:color="000000" w:sz="4" w:space="0"/>
              <w:left w:val="single" w:color="000000" w:sz="4" w:space="0"/>
              <w:bottom w:val="single" w:color="000000" w:sz="4" w:space="0"/>
              <w:right w:val="single" w:color="000000" w:sz="4" w:space="0"/>
            </w:tcBorders>
          </w:tcPr>
          <w:p w14:paraId="75F5A825">
            <w:pPr>
              <w:widowControl/>
              <w:jc w:val="left"/>
              <w:rPr>
                <w:rFonts w:hint="eastAsia" w:ascii="仿宋" w:hAnsi="仿宋" w:eastAsia="仿宋" w:cs="仿宋"/>
                <w:color w:val="000000"/>
                <w:szCs w:val="21"/>
              </w:rPr>
            </w:pPr>
            <w:r>
              <w:rPr>
                <w:rStyle w:val="305"/>
                <w:rFonts w:hint="eastAsia" w:ascii="仿宋" w:hAnsi="仿宋" w:eastAsia="仿宋" w:cs="仿宋"/>
                <w:sz w:val="21"/>
                <w:szCs w:val="21"/>
                <w:lang w:bidi="ar"/>
              </w:rPr>
              <w:br w:type="textWrapping" w:clear="all"/>
            </w:r>
            <w:r>
              <w:rPr>
                <w:rFonts w:hint="eastAsia" w:ascii="仿宋" w:hAnsi="仿宋" w:eastAsia="仿宋" w:cs="仿宋"/>
                <w:color w:val="000000"/>
                <w:szCs w:val="21"/>
                <w:lang w:bidi="ar"/>
              </w:rPr>
              <w:t>供应商确认：</w:t>
            </w:r>
            <w:r>
              <w:rPr>
                <w:rFonts w:hint="eastAsia" w:ascii="仿宋" w:hAnsi="仿宋" w:eastAsia="仿宋" w:cs="仿宋"/>
                <w:color w:val="000000"/>
                <w:szCs w:val="21"/>
                <w:lang w:bidi="ar"/>
              </w:rPr>
              <w:br w:type="textWrapping" w:clear="all"/>
            </w:r>
            <w:r>
              <w:rPr>
                <w:rStyle w:val="307"/>
                <w:rFonts w:hint="eastAsia" w:ascii="仿宋" w:hAnsi="仿宋" w:eastAsia="仿宋" w:cs="仿宋"/>
                <w:sz w:val="21"/>
                <w:szCs w:val="21"/>
                <w:lang w:bidi="ar"/>
              </w:rPr>
              <w:br w:type="textWrapping" w:clear="all"/>
            </w:r>
            <w:r>
              <w:rPr>
                <w:rStyle w:val="307"/>
                <w:rFonts w:hint="eastAsia" w:ascii="仿宋" w:hAnsi="仿宋" w:eastAsia="仿宋" w:cs="仿宋"/>
                <w:sz w:val="21"/>
                <w:szCs w:val="21"/>
                <w:lang w:bidi="ar"/>
              </w:rPr>
              <w:br w:type="textWrapping" w:clear="all"/>
            </w:r>
            <w:r>
              <w:rPr>
                <w:rStyle w:val="308"/>
                <w:rFonts w:hint="eastAsia" w:ascii="仿宋" w:hAnsi="仿宋" w:eastAsia="仿宋" w:cs="仿宋"/>
                <w:sz w:val="21"/>
                <w:szCs w:val="21"/>
                <w:lang w:bidi="ar"/>
              </w:rPr>
              <w:br w:type="textWrapping" w:clear="all"/>
            </w:r>
            <w:r>
              <w:rPr>
                <w:rStyle w:val="308"/>
                <w:rFonts w:hint="eastAsia" w:ascii="仿宋" w:hAnsi="仿宋" w:eastAsia="仿宋" w:cs="仿宋"/>
                <w:sz w:val="21"/>
                <w:szCs w:val="21"/>
                <w:lang w:bidi="ar"/>
              </w:rPr>
              <w:t>（</w:t>
            </w:r>
            <w:r>
              <w:rPr>
                <w:rFonts w:hint="eastAsia" w:ascii="仿宋" w:hAnsi="仿宋" w:eastAsia="仿宋" w:cs="仿宋"/>
                <w:color w:val="000000"/>
                <w:szCs w:val="21"/>
                <w:lang w:bidi="ar"/>
              </w:rPr>
              <w:t>单位公章或授权代表签字）</w:t>
            </w:r>
          </w:p>
        </w:tc>
      </w:tr>
      <w:tr w14:paraId="7FF26504">
        <w:tblPrEx>
          <w:tblCellMar>
            <w:top w:w="0" w:type="dxa"/>
            <w:left w:w="108" w:type="dxa"/>
            <w:bottom w:w="0" w:type="dxa"/>
            <w:right w:w="108" w:type="dxa"/>
          </w:tblCellMar>
        </w:tblPrEx>
        <w:trPr>
          <w:trHeight w:val="210" w:hRule="atLeast"/>
        </w:trPr>
        <w:tc>
          <w:tcPr>
            <w:tcW w:w="13454" w:type="dxa"/>
            <w:gridSpan w:val="7"/>
            <w:tcBorders>
              <w:top w:val="nil"/>
              <w:left w:val="nil"/>
              <w:bottom w:val="nil"/>
              <w:right w:val="nil"/>
            </w:tcBorders>
            <w:vAlign w:val="center"/>
          </w:tcPr>
          <w:p w14:paraId="5DD35C92">
            <w:pPr>
              <w:widowControl/>
              <w:jc w:val="left"/>
              <w:rPr>
                <w:rFonts w:hint="eastAsia" w:ascii="仿宋" w:hAnsi="仿宋" w:eastAsia="仿宋" w:cs="仿宋"/>
                <w:color w:val="000000"/>
                <w:szCs w:val="21"/>
              </w:rPr>
            </w:pPr>
            <w:r>
              <w:rPr>
                <w:rFonts w:hint="eastAsia" w:ascii="仿宋" w:hAnsi="仿宋" w:eastAsia="仿宋" w:cs="仿宋"/>
                <w:color w:val="000000"/>
                <w:szCs w:val="21"/>
                <w:lang w:bidi="ar"/>
              </w:rPr>
              <w:t>说明：1.该表为服务类项目履约验收的参考样表，采购人或洪泽分中心可以根据工作实际进行调整。</w:t>
            </w:r>
          </w:p>
        </w:tc>
      </w:tr>
      <w:tr w14:paraId="6AFC71D1">
        <w:tblPrEx>
          <w:tblCellMar>
            <w:top w:w="0" w:type="dxa"/>
            <w:left w:w="108" w:type="dxa"/>
            <w:bottom w:w="0" w:type="dxa"/>
            <w:right w:w="108" w:type="dxa"/>
          </w:tblCellMar>
        </w:tblPrEx>
        <w:trPr>
          <w:trHeight w:val="210" w:hRule="atLeast"/>
        </w:trPr>
        <w:tc>
          <w:tcPr>
            <w:tcW w:w="13454" w:type="dxa"/>
            <w:gridSpan w:val="7"/>
            <w:tcBorders>
              <w:top w:val="nil"/>
              <w:left w:val="nil"/>
              <w:bottom w:val="nil"/>
              <w:right w:val="nil"/>
            </w:tcBorders>
          </w:tcPr>
          <w:p w14:paraId="5AB54CBE">
            <w:pPr>
              <w:widowControl/>
              <w:jc w:val="left"/>
              <w:rPr>
                <w:rFonts w:hint="eastAsia" w:ascii="仿宋" w:hAnsi="仿宋" w:eastAsia="仿宋" w:cs="仿宋"/>
                <w:color w:val="000000"/>
                <w:szCs w:val="21"/>
              </w:rPr>
            </w:pPr>
            <w:r>
              <w:rPr>
                <w:rFonts w:hint="eastAsia" w:ascii="仿宋" w:hAnsi="仿宋" w:eastAsia="仿宋" w:cs="仿宋"/>
                <w:color w:val="000000"/>
                <w:szCs w:val="21"/>
                <w:lang w:bidi="ar"/>
              </w:rPr>
              <w:t>2.未委托洪泽分中心开展履约验收工作的，无需填写“洪泽分中心意见”。</w:t>
            </w:r>
          </w:p>
        </w:tc>
      </w:tr>
    </w:tbl>
    <w:p w14:paraId="676DF1BB">
      <w:pPr>
        <w:tabs>
          <w:tab w:val="left" w:pos="180"/>
        </w:tabs>
        <w:spacing w:line="520" w:lineRule="exact"/>
        <w:jc w:val="center"/>
        <w:rPr>
          <w:rFonts w:hint="eastAsia" w:ascii="宋体" w:hAnsi="宋体"/>
          <w:sz w:val="28"/>
          <w:szCs w:val="28"/>
        </w:rPr>
        <w:sectPr>
          <w:pgSz w:w="16838" w:h="11906" w:orient="landscape"/>
          <w:pgMar w:top="1440" w:right="1800" w:bottom="1440" w:left="1800" w:header="851" w:footer="992" w:gutter="0"/>
          <w:cols w:space="1701" w:num="1"/>
          <w:docGrid w:linePitch="360" w:charSpace="0"/>
        </w:sectPr>
      </w:pPr>
    </w:p>
    <w:p w14:paraId="3BA2E321">
      <w:pPr>
        <w:tabs>
          <w:tab w:val="left" w:pos="180"/>
        </w:tabs>
        <w:spacing w:line="520" w:lineRule="exact"/>
        <w:jc w:val="center"/>
        <w:rPr>
          <w:rFonts w:eastAsia="方正小标宋_GBK"/>
          <w:sz w:val="44"/>
          <w:szCs w:val="44"/>
        </w:rPr>
      </w:pPr>
      <w:r>
        <w:rPr>
          <w:rFonts w:ascii="仿宋" w:hAnsi="仿宋" w:eastAsia="仿宋"/>
          <w:b/>
          <w:sz w:val="36"/>
          <w:szCs w:val="36"/>
        </w:rPr>
        <w:t>政府采购廉政监督承诺书</w:t>
      </w:r>
    </w:p>
    <w:p w14:paraId="59BC7648">
      <w:pPr>
        <w:pStyle w:val="230"/>
        <w:shd w:val="clear" w:color="auto" w:fill="FFFFFF"/>
        <w:spacing w:beforeAutospacing="0" w:afterAutospacing="0" w:line="560" w:lineRule="exact"/>
        <w:jc w:val="center"/>
        <w:rPr>
          <w:rFonts w:hint="eastAsia" w:ascii="仿宋" w:hAnsi="仿宋" w:eastAsia="仿宋" w:cs="Times New Roman"/>
          <w:sz w:val="32"/>
          <w:szCs w:val="32"/>
          <w:shd w:val="clear" w:color="auto" w:fill="FFFFFF"/>
        </w:rPr>
      </w:pPr>
      <w:r>
        <w:rPr>
          <w:rFonts w:ascii="仿宋" w:hAnsi="仿宋" w:eastAsia="仿宋" w:cs="Times New Roman"/>
          <w:sz w:val="32"/>
          <w:szCs w:val="32"/>
          <w:shd w:val="clear" w:color="auto" w:fill="FFFFFF"/>
        </w:rPr>
        <w:t>（采购人与中标、成交供应商版）</w:t>
      </w:r>
    </w:p>
    <w:p w14:paraId="45A2A2D8">
      <w:pPr>
        <w:pStyle w:val="214"/>
        <w:tabs>
          <w:tab w:val="left" w:pos="1960"/>
        </w:tabs>
        <w:spacing w:line="540" w:lineRule="exact"/>
        <w:rPr>
          <w:rFonts w:hint="eastAsia" w:ascii="仿宋" w:hAnsi="仿宋" w:eastAsia="仿宋"/>
          <w:sz w:val="28"/>
          <w:szCs w:val="28"/>
        </w:rPr>
      </w:pPr>
      <w:r>
        <w:rPr>
          <w:rFonts w:ascii="仿宋" w:hAnsi="仿宋" w:eastAsia="仿宋"/>
          <w:sz w:val="28"/>
          <w:szCs w:val="28"/>
        </w:rPr>
        <w:t>一、采购人承诺</w:t>
      </w:r>
    </w:p>
    <w:p w14:paraId="4730F88A">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1.坚持“谁采购、谁负责”原则，认真落实政府采购主体责任，履行“三重一大”集体研究程序，完善政府采购内控制度，加强政府采购廉政警示和廉政教育。</w:t>
      </w:r>
    </w:p>
    <w:p w14:paraId="74B457B4">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2.细化政府采购预算编制，严格预算执行，科学合理确定采购需求，不擅自提高采购标准，严禁超需要、无预算或超预算采购。</w:t>
      </w:r>
    </w:p>
    <w:p w14:paraId="32594E5A">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3.</w:t>
      </w:r>
      <w:bookmarkStart w:id="46" w:name="_Hlk174982092"/>
      <w:r>
        <w:rPr>
          <w:rFonts w:ascii="仿宋" w:hAnsi="仿宋" w:eastAsia="仿宋"/>
          <w:sz w:val="28"/>
          <w:szCs w:val="28"/>
        </w:rPr>
        <w:t>不非法干预、影响政府采购评审活动，不对供应商实行差别待遇和歧视待遇。不在开标前泄露政府采购项目相关情况影响公平竞争。</w:t>
      </w:r>
    </w:p>
    <w:p w14:paraId="2544AA95">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shd w:val="clear" w:color="auto" w:fill="FFFFFF"/>
        </w:rPr>
        <w:t>4.不索取、不收受供应商赠送的礼品、现金</w:t>
      </w:r>
      <w:r>
        <w:rPr>
          <w:rFonts w:ascii="仿宋" w:hAnsi="仿宋" w:eastAsia="仿宋"/>
          <w:sz w:val="28"/>
          <w:szCs w:val="28"/>
        </w:rPr>
        <w:t>、有价证券和贵重物品。不参加供应商组织的宴请、旅游、娱乐。不得向</w:t>
      </w:r>
      <w:r>
        <w:rPr>
          <w:rFonts w:ascii="仿宋" w:hAnsi="仿宋" w:eastAsia="仿宋"/>
          <w:sz w:val="28"/>
          <w:szCs w:val="28"/>
          <w:shd w:val="clear" w:color="auto" w:fill="FFFFFF"/>
        </w:rPr>
        <w:t>供应商</w:t>
      </w:r>
      <w:r>
        <w:rPr>
          <w:rFonts w:ascii="仿宋" w:hAnsi="仿宋" w:eastAsia="仿宋"/>
          <w:sz w:val="28"/>
          <w:szCs w:val="28"/>
        </w:rPr>
        <w:t>报销应当由个人承担的费用。</w:t>
      </w:r>
    </w:p>
    <w:p w14:paraId="3A5B0092">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5.不恶意串通操纵政府采购活动。</w:t>
      </w:r>
    </w:p>
    <w:p w14:paraId="3ED7EBE6">
      <w:pPr>
        <w:pStyle w:val="214"/>
        <w:tabs>
          <w:tab w:val="left" w:pos="1960"/>
        </w:tabs>
        <w:spacing w:line="540" w:lineRule="exact"/>
        <w:ind w:firstLine="560"/>
        <w:rPr>
          <w:rFonts w:hint="eastAsia" w:ascii="仿宋" w:hAnsi="仿宋" w:eastAsia="仿宋"/>
          <w:sz w:val="28"/>
          <w:szCs w:val="28"/>
          <w:shd w:val="clear" w:color="auto" w:fill="FFFFFF"/>
        </w:rPr>
      </w:pPr>
      <w:r>
        <w:rPr>
          <w:rFonts w:ascii="仿宋" w:hAnsi="仿宋" w:eastAsia="仿宋"/>
          <w:sz w:val="28"/>
          <w:szCs w:val="28"/>
        </w:rPr>
        <w:t>6.认真执行双方签订的政府采购合同文件，自觉按合同办事。根据合同履行情况，及时开展履约验收，及时支付采购资金。</w:t>
      </w:r>
    </w:p>
    <w:p w14:paraId="5D784FC8">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7.坚持公开透明，及时准确做好政府采购全流程信息公开，采购活动全程留痕，采购资料记录全面完整。</w:t>
      </w:r>
    </w:p>
    <w:p w14:paraId="21A7C481">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8.依法依规处理政府采购质疑和投诉。</w:t>
      </w:r>
    </w:p>
    <w:p w14:paraId="5845A3DF">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9.不发生其他有悖于政府采购公开、公平、公正和诚实原则的行为，自觉接受财政、监察、审计等有关单位的监督。</w:t>
      </w:r>
    </w:p>
    <w:p w14:paraId="31843078">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10.如违反以上承诺</w:t>
      </w:r>
      <w:r>
        <w:rPr>
          <w:rFonts w:hint="eastAsia" w:ascii="仿宋" w:hAnsi="仿宋" w:eastAsia="仿宋"/>
          <w:sz w:val="28"/>
          <w:szCs w:val="28"/>
          <w:lang w:eastAsia="zh-CN"/>
        </w:rPr>
        <w:t>，自</w:t>
      </w:r>
      <w:r>
        <w:rPr>
          <w:rFonts w:ascii="仿宋" w:hAnsi="仿宋" w:eastAsia="仿宋"/>
          <w:sz w:val="28"/>
          <w:szCs w:val="28"/>
        </w:rPr>
        <w:t>愿接受监管部门依照相关法律法规处理并承担相应的法律责任。</w:t>
      </w:r>
    </w:p>
    <w:bookmarkEnd w:id="46"/>
    <w:p w14:paraId="79E78CD8">
      <w:pPr>
        <w:pStyle w:val="214"/>
        <w:tabs>
          <w:tab w:val="left" w:pos="1960"/>
        </w:tabs>
        <w:spacing w:line="540" w:lineRule="exact"/>
        <w:rPr>
          <w:rFonts w:hint="eastAsia" w:ascii="仿宋" w:hAnsi="仿宋" w:eastAsia="仿宋"/>
          <w:sz w:val="28"/>
          <w:szCs w:val="28"/>
        </w:rPr>
      </w:pPr>
      <w:r>
        <w:rPr>
          <w:rFonts w:ascii="仿宋" w:hAnsi="仿宋" w:eastAsia="仿宋"/>
          <w:sz w:val="28"/>
          <w:szCs w:val="28"/>
        </w:rPr>
        <w:t>二、</w:t>
      </w:r>
      <w:r>
        <w:rPr>
          <w:rFonts w:ascii="仿宋" w:hAnsi="仿宋" w:eastAsia="仿宋"/>
          <w:sz w:val="28"/>
          <w:szCs w:val="28"/>
          <w:shd w:val="clear" w:color="auto" w:fill="FFFFFF"/>
        </w:rPr>
        <w:t>供应商承诺</w:t>
      </w:r>
    </w:p>
    <w:p w14:paraId="4CA653AC">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1.自觉遵守国家和省、市关于政府采购管理以及廉洁从业的各项规定。</w:t>
      </w:r>
    </w:p>
    <w:p w14:paraId="0347480C">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2.坚持公平竞争、诚实守信，不与采购人、其他供应商或者代理机构恶意串通，不非法干预、影响评审过程和结果，不提供虚假材料谋取中标、成交。</w:t>
      </w:r>
    </w:p>
    <w:p w14:paraId="440649EF">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3.不向</w:t>
      </w:r>
      <w:r>
        <w:rPr>
          <w:rFonts w:ascii="仿宋" w:hAnsi="仿宋" w:eastAsia="仿宋"/>
          <w:sz w:val="28"/>
          <w:szCs w:val="28"/>
          <w:shd w:val="clear" w:color="auto" w:fill="FFFFFF"/>
        </w:rPr>
        <w:t>采购人、采购代理机构赠送礼品、现金</w:t>
      </w:r>
      <w:r>
        <w:rPr>
          <w:rFonts w:ascii="仿宋" w:hAnsi="仿宋" w:eastAsia="仿宋"/>
          <w:sz w:val="28"/>
          <w:szCs w:val="28"/>
        </w:rPr>
        <w:t>、有价证券和贵重物品或提供其他不正当利益。不邀请</w:t>
      </w:r>
      <w:r>
        <w:rPr>
          <w:rFonts w:ascii="仿宋" w:hAnsi="仿宋" w:eastAsia="仿宋"/>
          <w:sz w:val="28"/>
          <w:szCs w:val="28"/>
          <w:shd w:val="clear" w:color="auto" w:fill="FFFFFF"/>
        </w:rPr>
        <w:t>采购人、采购代理机构参加</w:t>
      </w:r>
      <w:r>
        <w:rPr>
          <w:rFonts w:ascii="仿宋" w:hAnsi="仿宋" w:eastAsia="仿宋"/>
          <w:sz w:val="28"/>
          <w:szCs w:val="28"/>
        </w:rPr>
        <w:t>宴请、旅游、娱乐。不为</w:t>
      </w:r>
      <w:r>
        <w:rPr>
          <w:rFonts w:ascii="仿宋" w:hAnsi="仿宋" w:eastAsia="仿宋"/>
          <w:sz w:val="28"/>
          <w:szCs w:val="28"/>
          <w:shd w:val="clear" w:color="auto" w:fill="FFFFFF"/>
        </w:rPr>
        <w:t>采购人、采购代理机构</w:t>
      </w:r>
      <w:r>
        <w:rPr>
          <w:rFonts w:ascii="仿宋" w:hAnsi="仿宋" w:eastAsia="仿宋"/>
          <w:sz w:val="28"/>
          <w:szCs w:val="28"/>
        </w:rPr>
        <w:t>报销应当由个人承担的费用。</w:t>
      </w:r>
    </w:p>
    <w:p w14:paraId="1D3D9D85">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4.认真执行双方签订的政府采购合同文件，自觉按合同办事。不违规将政府采购合同转包。诚信、确实、全面履行自身合同义务，不擅自变更、中止或者终止政府采购合同。</w:t>
      </w:r>
    </w:p>
    <w:p w14:paraId="62E0E0AD">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5.不提供假冒伪劣产品。</w:t>
      </w:r>
    </w:p>
    <w:p w14:paraId="105882D5">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6.依法依规、有凭有据开展政府采购质疑和投诉。</w:t>
      </w:r>
    </w:p>
    <w:p w14:paraId="116CEE63">
      <w:pPr>
        <w:pStyle w:val="214"/>
        <w:tabs>
          <w:tab w:val="left" w:pos="1960"/>
        </w:tabs>
        <w:spacing w:line="540" w:lineRule="exact"/>
        <w:ind w:firstLine="560"/>
        <w:rPr>
          <w:rFonts w:hint="eastAsia" w:ascii="仿宋" w:hAnsi="仿宋" w:eastAsia="仿宋"/>
          <w:sz w:val="28"/>
          <w:szCs w:val="28"/>
        </w:rPr>
      </w:pPr>
      <w:r>
        <w:rPr>
          <w:rFonts w:ascii="仿宋" w:hAnsi="仿宋" w:eastAsia="仿宋"/>
          <w:sz w:val="28"/>
          <w:szCs w:val="28"/>
        </w:rPr>
        <w:t>7.如违反《中华人民共和国政府采购法》及相关法律法规，自觉接受政府采购监管部门依法依规处理。</w:t>
      </w:r>
    </w:p>
    <w:p w14:paraId="752998A3">
      <w:pPr>
        <w:pStyle w:val="214"/>
        <w:tabs>
          <w:tab w:val="left" w:pos="1960"/>
        </w:tabs>
        <w:spacing w:line="540" w:lineRule="exact"/>
        <w:rPr>
          <w:rFonts w:hint="eastAsia" w:ascii="仿宋" w:hAnsi="仿宋" w:eastAsia="仿宋"/>
          <w:sz w:val="28"/>
          <w:szCs w:val="28"/>
        </w:rPr>
      </w:pPr>
    </w:p>
    <w:p w14:paraId="2FC59A0E">
      <w:pPr>
        <w:pStyle w:val="214"/>
        <w:tabs>
          <w:tab w:val="left" w:pos="1960"/>
        </w:tabs>
        <w:spacing w:line="540" w:lineRule="exact"/>
        <w:rPr>
          <w:rFonts w:hint="eastAsia" w:ascii="仿宋" w:hAnsi="仿宋" w:eastAsia="仿宋"/>
          <w:sz w:val="28"/>
          <w:szCs w:val="28"/>
        </w:rPr>
      </w:pPr>
      <w:r>
        <w:rPr>
          <w:rFonts w:ascii="仿宋" w:hAnsi="仿宋" w:eastAsia="仿宋"/>
          <w:sz w:val="28"/>
          <w:szCs w:val="28"/>
        </w:rPr>
        <w:t>采购人</w:t>
      </w:r>
      <w:r>
        <w:rPr>
          <w:rFonts w:hint="eastAsia" w:ascii="仿宋" w:hAnsi="仿宋" w:eastAsia="仿宋"/>
          <w:sz w:val="28"/>
          <w:szCs w:val="28"/>
        </w:rPr>
        <w:t>（盖章）</w:t>
      </w:r>
      <w:r>
        <w:rPr>
          <w:rFonts w:ascii="仿宋" w:hAnsi="仿宋" w:eastAsia="仿宋"/>
          <w:sz w:val="28"/>
          <w:szCs w:val="28"/>
        </w:rPr>
        <w:t>：</w:t>
      </w:r>
      <w:r>
        <w:rPr>
          <w:rFonts w:hint="eastAsia" w:ascii="仿宋" w:hAnsi="仿宋" w:eastAsia="仿宋"/>
          <w:sz w:val="28"/>
          <w:szCs w:val="28"/>
        </w:rPr>
        <w:t>中标、成交供应商（盖章）</w:t>
      </w:r>
      <w:r>
        <w:rPr>
          <w:rFonts w:ascii="仿宋" w:hAnsi="仿宋" w:eastAsia="仿宋"/>
          <w:sz w:val="28"/>
          <w:szCs w:val="28"/>
        </w:rPr>
        <w:t>：</w:t>
      </w:r>
    </w:p>
    <w:p w14:paraId="541A727D">
      <w:pPr>
        <w:spacing w:line="680" w:lineRule="exact"/>
        <w:ind w:left="-288"/>
        <w:rPr>
          <w:rFonts w:hint="eastAsia" w:ascii="仿宋" w:hAnsi="仿宋" w:eastAsia="仿宋"/>
          <w:sz w:val="28"/>
          <w:szCs w:val="28"/>
        </w:rPr>
      </w:pPr>
      <w:r>
        <w:rPr>
          <w:rFonts w:hint="eastAsia" w:ascii="仿宋" w:hAnsi="仿宋" w:eastAsia="仿宋"/>
          <w:sz w:val="28"/>
          <w:szCs w:val="28"/>
        </w:rPr>
        <w:t>单位负责人或授权代表（签字）：单位负责人或授权代表（签字）：</w:t>
      </w:r>
    </w:p>
    <w:p w14:paraId="7AB0156A">
      <w:pPr>
        <w:spacing w:line="680" w:lineRule="exact"/>
        <w:ind w:left="-288"/>
        <w:rPr>
          <w:rFonts w:hint="eastAsia" w:ascii="仿宋" w:hAnsi="仿宋" w:eastAsia="仿宋"/>
          <w:sz w:val="28"/>
          <w:szCs w:val="28"/>
          <w:lang w:eastAsia="zh-CN"/>
        </w:rPr>
      </w:pPr>
      <w:r>
        <w:rPr>
          <w:rFonts w:ascii="仿宋" w:hAnsi="仿宋" w:eastAsia="仿宋"/>
          <w:sz w:val="28"/>
          <w:szCs w:val="28"/>
        </w:rPr>
        <w:t>日期：</w:t>
      </w:r>
      <w:r>
        <w:rPr>
          <w:rFonts w:hint="eastAsia" w:ascii="仿宋" w:hAnsi="仿宋" w:eastAsia="仿宋"/>
          <w:sz w:val="28"/>
          <w:szCs w:val="28"/>
        </w:rPr>
        <w:t>年月日</w:t>
      </w:r>
      <w:r>
        <w:rPr>
          <w:rFonts w:ascii="仿宋" w:hAnsi="仿宋" w:eastAsia="仿宋"/>
          <w:sz w:val="28"/>
          <w:szCs w:val="28"/>
        </w:rPr>
        <w:t>日期：</w:t>
      </w:r>
      <w:r>
        <w:rPr>
          <w:rFonts w:hint="eastAsia" w:ascii="仿宋" w:hAnsi="仿宋" w:eastAsia="仿宋"/>
          <w:sz w:val="28"/>
          <w:szCs w:val="28"/>
        </w:rPr>
        <w:t>年月日</w:t>
      </w:r>
    </w:p>
    <w:p w14:paraId="023451B9">
      <w:pPr>
        <w:spacing w:line="520" w:lineRule="exact"/>
        <w:ind w:firstLine="420"/>
        <w:jc w:val="center"/>
      </w:pPr>
    </w:p>
    <w:p w14:paraId="2481B8D7">
      <w:pPr>
        <w:pStyle w:val="214"/>
        <w:spacing w:line="360" w:lineRule="auto"/>
        <w:ind w:firstLine="2331"/>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第五章</w:t>
      </w:r>
      <w:r>
        <w:rPr>
          <w:rFonts w:hint="eastAsia" w:ascii="仿宋" w:hAnsi="仿宋" w:eastAsia="仿宋"/>
          <w:b/>
          <w:bCs/>
          <w:sz w:val="36"/>
          <w:szCs w:val="36"/>
          <w:lang w:val="en-US" w:eastAsia="zh-CN"/>
        </w:rPr>
        <w:t xml:space="preserve"> </w:t>
      </w:r>
      <w:r>
        <w:rPr>
          <w:rFonts w:hint="eastAsia" w:ascii="仿宋" w:hAnsi="仿宋" w:eastAsia="仿宋"/>
          <w:b/>
          <w:bCs/>
          <w:sz w:val="36"/>
          <w:szCs w:val="36"/>
        </w:rPr>
        <w:t>项目采购需求</w:t>
      </w:r>
    </w:p>
    <w:p w14:paraId="6648A775">
      <w:pPr>
        <w:pStyle w:val="3"/>
        <w:rPr>
          <w:rFonts w:ascii="仿宋" w:hAnsi="仿宋" w:eastAsia="仿宋" w:cs="仿宋"/>
          <w:b/>
          <w:bCs/>
          <w:sz w:val="28"/>
          <w:szCs w:val="28"/>
          <w:highlight w:val="none"/>
        </w:rPr>
      </w:pPr>
      <w:bookmarkStart w:id="47" w:name="OLE_LINK3"/>
      <w:r>
        <w:rPr>
          <w:rFonts w:hint="eastAsia" w:ascii="仿宋" w:hAnsi="仿宋" w:eastAsia="仿宋" w:cs="仿宋"/>
          <w:b/>
          <w:bCs/>
          <w:sz w:val="28"/>
          <w:szCs w:val="28"/>
          <w:highlight w:val="none"/>
        </w:rPr>
        <w:t>一、建设内容清单及技术参数要求</w:t>
      </w:r>
    </w:p>
    <w:p w14:paraId="5456968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（1）建设内容清单</w:t>
      </w:r>
    </w:p>
    <w:tbl>
      <w:tblPr>
        <w:tblStyle w:val="313"/>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96"/>
        <w:gridCol w:w="2044"/>
        <w:gridCol w:w="4489"/>
        <w:gridCol w:w="1093"/>
      </w:tblGrid>
      <w:tr w14:paraId="1111B0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4" w:hRule="atLeast"/>
          <w:jc w:val="center"/>
        </w:trPr>
        <w:tc>
          <w:tcPr>
            <w:tcW w:w="526" w:type="pct"/>
            <w:shd w:val="clear" w:color="auto" w:fill="D7D7D7" w:themeFill="background1" w:themeFillShade="D8"/>
            <w:vAlign w:val="center"/>
          </w:tcPr>
          <w:p w14:paraId="7B7F6D96">
            <w:pPr>
              <w:spacing w:line="360" w:lineRule="auto"/>
              <w:contextualSpacing/>
              <w:jc w:val="center"/>
              <w:rPr>
                <w:rFonts w:ascii="仿宋" w:hAnsi="仿宋" w:eastAsia="仿宋" w:cs="仿宋"/>
                <w:b/>
                <w:bCs/>
                <w:sz w:val="24"/>
                <w:highlight w:val="none"/>
              </w:rPr>
            </w:pPr>
            <w:r>
              <w:rPr>
                <w:rFonts w:hint="eastAsia" w:ascii="仿宋" w:hAnsi="仿宋" w:eastAsia="仿宋" w:cs="仿宋"/>
                <w:b/>
                <w:bCs/>
                <w:sz w:val="24"/>
                <w:highlight w:val="none"/>
              </w:rPr>
              <w:t>序号</w:t>
            </w:r>
          </w:p>
        </w:tc>
        <w:tc>
          <w:tcPr>
            <w:tcW w:w="1199" w:type="pct"/>
            <w:shd w:val="clear" w:color="auto" w:fill="D7D7D7" w:themeFill="background1" w:themeFillShade="D8"/>
            <w:vAlign w:val="center"/>
          </w:tcPr>
          <w:p w14:paraId="73ED5084">
            <w:pPr>
              <w:spacing w:line="360" w:lineRule="auto"/>
              <w:contextualSpacing/>
              <w:jc w:val="center"/>
              <w:rPr>
                <w:rFonts w:ascii="仿宋" w:hAnsi="仿宋" w:eastAsia="仿宋" w:cs="仿宋"/>
                <w:b/>
                <w:bCs/>
                <w:sz w:val="24"/>
                <w:highlight w:val="none"/>
              </w:rPr>
            </w:pPr>
            <w:r>
              <w:rPr>
                <w:rFonts w:hint="eastAsia" w:ascii="仿宋" w:hAnsi="仿宋" w:eastAsia="仿宋" w:cs="仿宋"/>
                <w:b/>
                <w:bCs/>
                <w:sz w:val="24"/>
                <w:highlight w:val="none"/>
              </w:rPr>
              <w:t>模块名称</w:t>
            </w:r>
          </w:p>
        </w:tc>
        <w:tc>
          <w:tcPr>
            <w:tcW w:w="2633" w:type="pct"/>
            <w:shd w:val="clear" w:color="auto" w:fill="D7D7D7" w:themeFill="background1" w:themeFillShade="D8"/>
            <w:vAlign w:val="center"/>
          </w:tcPr>
          <w:p w14:paraId="06063B0F">
            <w:pPr>
              <w:spacing w:line="360" w:lineRule="auto"/>
              <w:contextualSpacing/>
              <w:jc w:val="center"/>
              <w:rPr>
                <w:rFonts w:ascii="仿宋" w:hAnsi="仿宋" w:eastAsia="仿宋" w:cs="仿宋"/>
                <w:b/>
                <w:bCs/>
                <w:sz w:val="24"/>
                <w:highlight w:val="none"/>
              </w:rPr>
            </w:pPr>
          </w:p>
        </w:tc>
        <w:tc>
          <w:tcPr>
            <w:tcW w:w="641" w:type="pct"/>
            <w:shd w:val="clear" w:color="auto" w:fill="D7D7D7" w:themeFill="background1" w:themeFillShade="D8"/>
            <w:vAlign w:val="center"/>
          </w:tcPr>
          <w:p w14:paraId="7CB1CBE5">
            <w:pPr>
              <w:spacing w:line="360" w:lineRule="auto"/>
              <w:contextualSpacing/>
              <w:jc w:val="center"/>
              <w:rPr>
                <w:rFonts w:ascii="仿宋" w:hAnsi="仿宋" w:eastAsia="仿宋" w:cs="仿宋"/>
                <w:b/>
                <w:bCs/>
                <w:sz w:val="24"/>
                <w:highlight w:val="none"/>
              </w:rPr>
            </w:pPr>
            <w:r>
              <w:rPr>
                <w:rFonts w:hint="eastAsia" w:ascii="仿宋" w:hAnsi="仿宋" w:eastAsia="仿宋" w:cs="仿宋"/>
                <w:b/>
                <w:bCs/>
                <w:sz w:val="24"/>
                <w:highlight w:val="none"/>
              </w:rPr>
              <w:t>数量</w:t>
            </w:r>
          </w:p>
        </w:tc>
      </w:tr>
      <w:tr w14:paraId="2787AE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05F97C61">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w:t>
            </w:r>
          </w:p>
        </w:tc>
        <w:tc>
          <w:tcPr>
            <w:tcW w:w="1199" w:type="pct"/>
            <w:vMerge w:val="restart"/>
            <w:vAlign w:val="center"/>
          </w:tcPr>
          <w:p w14:paraId="67A8D2F4">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医共体信息平台六大中心建设</w:t>
            </w:r>
          </w:p>
        </w:tc>
        <w:tc>
          <w:tcPr>
            <w:tcW w:w="2633" w:type="pct"/>
            <w:vAlign w:val="center"/>
          </w:tcPr>
          <w:p w14:paraId="1EA0215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区域心电中心</w:t>
            </w:r>
          </w:p>
        </w:tc>
        <w:tc>
          <w:tcPr>
            <w:tcW w:w="641" w:type="pct"/>
            <w:vAlign w:val="center"/>
          </w:tcPr>
          <w:p w14:paraId="0408ED43">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16C122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2753021F">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w:t>
            </w:r>
          </w:p>
        </w:tc>
        <w:tc>
          <w:tcPr>
            <w:tcW w:w="1199" w:type="pct"/>
            <w:vMerge w:val="continue"/>
            <w:vAlign w:val="center"/>
          </w:tcPr>
          <w:p w14:paraId="5F55CA81">
            <w:pPr>
              <w:spacing w:line="360" w:lineRule="auto"/>
              <w:contextualSpacing/>
              <w:jc w:val="center"/>
              <w:rPr>
                <w:rFonts w:ascii="仿宋" w:hAnsi="仿宋" w:eastAsia="仿宋" w:cs="仿宋"/>
                <w:sz w:val="24"/>
                <w:highlight w:val="none"/>
              </w:rPr>
            </w:pPr>
          </w:p>
        </w:tc>
        <w:tc>
          <w:tcPr>
            <w:tcW w:w="2633" w:type="pct"/>
            <w:vAlign w:val="center"/>
          </w:tcPr>
          <w:p w14:paraId="641AB9B2">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区域影像中心</w:t>
            </w:r>
          </w:p>
        </w:tc>
        <w:tc>
          <w:tcPr>
            <w:tcW w:w="641" w:type="pct"/>
            <w:vAlign w:val="center"/>
          </w:tcPr>
          <w:p w14:paraId="2A53D41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25452E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2F534A8E">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3</w:t>
            </w:r>
          </w:p>
        </w:tc>
        <w:tc>
          <w:tcPr>
            <w:tcW w:w="1199" w:type="pct"/>
            <w:vMerge w:val="continue"/>
            <w:vAlign w:val="center"/>
          </w:tcPr>
          <w:p w14:paraId="42680569">
            <w:pPr>
              <w:spacing w:line="360" w:lineRule="auto"/>
              <w:contextualSpacing/>
              <w:jc w:val="center"/>
              <w:rPr>
                <w:rFonts w:ascii="仿宋" w:hAnsi="仿宋" w:eastAsia="仿宋" w:cs="仿宋"/>
                <w:sz w:val="24"/>
                <w:highlight w:val="none"/>
              </w:rPr>
            </w:pPr>
          </w:p>
        </w:tc>
        <w:tc>
          <w:tcPr>
            <w:tcW w:w="2633" w:type="pct"/>
            <w:vAlign w:val="center"/>
          </w:tcPr>
          <w:p w14:paraId="71ACA3DD">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区域检验中心</w:t>
            </w:r>
          </w:p>
        </w:tc>
        <w:tc>
          <w:tcPr>
            <w:tcW w:w="641" w:type="pct"/>
            <w:vAlign w:val="center"/>
          </w:tcPr>
          <w:p w14:paraId="58E0C0B4">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7B8C82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565E61CF">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4</w:t>
            </w:r>
          </w:p>
        </w:tc>
        <w:tc>
          <w:tcPr>
            <w:tcW w:w="1199" w:type="pct"/>
            <w:vMerge w:val="continue"/>
            <w:vAlign w:val="center"/>
          </w:tcPr>
          <w:p w14:paraId="466C7E38">
            <w:pPr>
              <w:spacing w:line="360" w:lineRule="auto"/>
              <w:contextualSpacing/>
              <w:jc w:val="center"/>
              <w:rPr>
                <w:rFonts w:ascii="仿宋" w:hAnsi="仿宋" w:eastAsia="仿宋" w:cs="仿宋"/>
                <w:sz w:val="24"/>
                <w:highlight w:val="none"/>
              </w:rPr>
            </w:pPr>
          </w:p>
        </w:tc>
        <w:tc>
          <w:tcPr>
            <w:tcW w:w="2633" w:type="pct"/>
            <w:vAlign w:val="center"/>
          </w:tcPr>
          <w:p w14:paraId="73A398F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双向转诊中心</w:t>
            </w:r>
          </w:p>
        </w:tc>
        <w:tc>
          <w:tcPr>
            <w:tcW w:w="641" w:type="pct"/>
            <w:vAlign w:val="center"/>
          </w:tcPr>
          <w:p w14:paraId="1C448141">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66549C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743EF952">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5</w:t>
            </w:r>
          </w:p>
        </w:tc>
        <w:tc>
          <w:tcPr>
            <w:tcW w:w="1199" w:type="pct"/>
            <w:vMerge w:val="continue"/>
            <w:vAlign w:val="center"/>
          </w:tcPr>
          <w:p w14:paraId="072BADA8">
            <w:pPr>
              <w:spacing w:line="360" w:lineRule="auto"/>
              <w:contextualSpacing/>
              <w:jc w:val="center"/>
              <w:rPr>
                <w:rFonts w:ascii="仿宋" w:hAnsi="仿宋" w:eastAsia="仿宋" w:cs="仿宋"/>
                <w:sz w:val="24"/>
                <w:highlight w:val="none"/>
              </w:rPr>
            </w:pPr>
          </w:p>
        </w:tc>
        <w:tc>
          <w:tcPr>
            <w:tcW w:w="2633" w:type="pct"/>
            <w:vAlign w:val="center"/>
          </w:tcPr>
          <w:p w14:paraId="009D260A">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远程会诊中心</w:t>
            </w:r>
          </w:p>
        </w:tc>
        <w:tc>
          <w:tcPr>
            <w:tcW w:w="641" w:type="pct"/>
            <w:vAlign w:val="center"/>
          </w:tcPr>
          <w:p w14:paraId="2AAC1D2C">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4729279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6ED13AAA">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6</w:t>
            </w:r>
          </w:p>
        </w:tc>
        <w:tc>
          <w:tcPr>
            <w:tcW w:w="1199" w:type="pct"/>
            <w:vMerge w:val="continue"/>
            <w:vAlign w:val="center"/>
          </w:tcPr>
          <w:p w14:paraId="7B770D85">
            <w:pPr>
              <w:spacing w:line="360" w:lineRule="auto"/>
              <w:contextualSpacing/>
              <w:jc w:val="center"/>
              <w:rPr>
                <w:rFonts w:ascii="仿宋" w:hAnsi="仿宋" w:eastAsia="仿宋" w:cs="仿宋"/>
                <w:sz w:val="24"/>
                <w:highlight w:val="none"/>
              </w:rPr>
            </w:pPr>
          </w:p>
        </w:tc>
        <w:tc>
          <w:tcPr>
            <w:tcW w:w="2633" w:type="pct"/>
            <w:vAlign w:val="center"/>
          </w:tcPr>
          <w:p w14:paraId="10483E9E">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区域审方中心</w:t>
            </w:r>
          </w:p>
        </w:tc>
        <w:tc>
          <w:tcPr>
            <w:tcW w:w="641" w:type="pct"/>
            <w:vAlign w:val="center"/>
          </w:tcPr>
          <w:p w14:paraId="4CCED6E6">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26D1BE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7069A0AD">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7</w:t>
            </w:r>
          </w:p>
        </w:tc>
        <w:tc>
          <w:tcPr>
            <w:tcW w:w="1199" w:type="pct"/>
            <w:vMerge w:val="restart"/>
            <w:vAlign w:val="center"/>
          </w:tcPr>
          <w:p w14:paraId="36D02822">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基层云HIS建设</w:t>
            </w:r>
          </w:p>
        </w:tc>
        <w:tc>
          <w:tcPr>
            <w:tcW w:w="2633" w:type="pct"/>
            <w:vAlign w:val="center"/>
          </w:tcPr>
          <w:p w14:paraId="02539F76">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基层云HIS系统</w:t>
            </w:r>
          </w:p>
        </w:tc>
        <w:tc>
          <w:tcPr>
            <w:tcW w:w="641" w:type="pct"/>
            <w:vAlign w:val="center"/>
          </w:tcPr>
          <w:p w14:paraId="151C4307">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306787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6B55FEAC">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8</w:t>
            </w:r>
          </w:p>
        </w:tc>
        <w:tc>
          <w:tcPr>
            <w:tcW w:w="1199" w:type="pct"/>
            <w:vMerge w:val="continue"/>
            <w:vAlign w:val="center"/>
          </w:tcPr>
          <w:p w14:paraId="62B5DE1F">
            <w:pPr>
              <w:spacing w:line="360" w:lineRule="auto"/>
              <w:contextualSpacing/>
              <w:jc w:val="center"/>
              <w:rPr>
                <w:rFonts w:ascii="仿宋" w:hAnsi="仿宋" w:eastAsia="仿宋" w:cs="仿宋"/>
                <w:sz w:val="24"/>
                <w:highlight w:val="none"/>
              </w:rPr>
            </w:pPr>
          </w:p>
        </w:tc>
        <w:tc>
          <w:tcPr>
            <w:tcW w:w="2633" w:type="pct"/>
            <w:vAlign w:val="center"/>
          </w:tcPr>
          <w:p w14:paraId="0BADE85C">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云公共卫生系统</w:t>
            </w:r>
          </w:p>
        </w:tc>
        <w:tc>
          <w:tcPr>
            <w:tcW w:w="641" w:type="pct"/>
            <w:vAlign w:val="center"/>
          </w:tcPr>
          <w:p w14:paraId="18D24A9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03DB0F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619C19C4">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9</w:t>
            </w:r>
          </w:p>
        </w:tc>
        <w:tc>
          <w:tcPr>
            <w:tcW w:w="1199" w:type="pct"/>
            <w:vMerge w:val="continue"/>
            <w:vAlign w:val="center"/>
          </w:tcPr>
          <w:p w14:paraId="75C684EB">
            <w:pPr>
              <w:spacing w:line="360" w:lineRule="auto"/>
              <w:contextualSpacing/>
              <w:jc w:val="center"/>
              <w:rPr>
                <w:rFonts w:ascii="仿宋" w:hAnsi="仿宋" w:eastAsia="仿宋" w:cs="仿宋"/>
                <w:sz w:val="24"/>
                <w:highlight w:val="none"/>
              </w:rPr>
            </w:pPr>
          </w:p>
        </w:tc>
        <w:tc>
          <w:tcPr>
            <w:tcW w:w="2633" w:type="pct"/>
            <w:vAlign w:val="center"/>
          </w:tcPr>
          <w:p w14:paraId="132F528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云EMR系统</w:t>
            </w:r>
          </w:p>
        </w:tc>
        <w:tc>
          <w:tcPr>
            <w:tcW w:w="641" w:type="pct"/>
            <w:vAlign w:val="center"/>
          </w:tcPr>
          <w:p w14:paraId="31CE682A">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30DE0E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3407A006">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10</w:t>
            </w:r>
          </w:p>
        </w:tc>
        <w:tc>
          <w:tcPr>
            <w:tcW w:w="1199" w:type="pct"/>
            <w:vMerge w:val="continue"/>
            <w:vAlign w:val="center"/>
          </w:tcPr>
          <w:p w14:paraId="40F3911B">
            <w:pPr>
              <w:spacing w:line="360" w:lineRule="auto"/>
              <w:contextualSpacing/>
              <w:jc w:val="center"/>
              <w:rPr>
                <w:rFonts w:ascii="仿宋" w:hAnsi="仿宋" w:eastAsia="仿宋" w:cs="仿宋"/>
                <w:sz w:val="24"/>
                <w:highlight w:val="none"/>
              </w:rPr>
            </w:pPr>
          </w:p>
        </w:tc>
        <w:tc>
          <w:tcPr>
            <w:tcW w:w="2633" w:type="pct"/>
            <w:vAlign w:val="center"/>
          </w:tcPr>
          <w:p w14:paraId="1C084B4F">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家庭医生签约系统</w:t>
            </w:r>
          </w:p>
        </w:tc>
        <w:tc>
          <w:tcPr>
            <w:tcW w:w="641" w:type="pct"/>
            <w:vAlign w:val="center"/>
          </w:tcPr>
          <w:p w14:paraId="650A8C85">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75F54E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23892C68">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11</w:t>
            </w:r>
          </w:p>
        </w:tc>
        <w:tc>
          <w:tcPr>
            <w:tcW w:w="1199" w:type="pct"/>
            <w:vMerge w:val="continue"/>
            <w:vAlign w:val="center"/>
          </w:tcPr>
          <w:p w14:paraId="3DB6BB3F">
            <w:pPr>
              <w:spacing w:line="360" w:lineRule="auto"/>
              <w:contextualSpacing/>
              <w:jc w:val="center"/>
              <w:rPr>
                <w:rFonts w:ascii="仿宋" w:hAnsi="仿宋" w:eastAsia="仿宋" w:cs="仿宋"/>
                <w:sz w:val="24"/>
                <w:highlight w:val="none"/>
              </w:rPr>
            </w:pPr>
          </w:p>
        </w:tc>
        <w:tc>
          <w:tcPr>
            <w:tcW w:w="2633" w:type="pct"/>
            <w:vAlign w:val="center"/>
          </w:tcPr>
          <w:p w14:paraId="605EB08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云LIS系统</w:t>
            </w:r>
          </w:p>
        </w:tc>
        <w:tc>
          <w:tcPr>
            <w:tcW w:w="641" w:type="pct"/>
            <w:vAlign w:val="center"/>
          </w:tcPr>
          <w:p w14:paraId="1553F434">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6BEBE9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419FD13D">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12</w:t>
            </w:r>
          </w:p>
        </w:tc>
        <w:tc>
          <w:tcPr>
            <w:tcW w:w="1199" w:type="pct"/>
            <w:vMerge w:val="continue"/>
            <w:vAlign w:val="center"/>
          </w:tcPr>
          <w:p w14:paraId="5D56FBA1">
            <w:pPr>
              <w:spacing w:line="360" w:lineRule="auto"/>
              <w:contextualSpacing/>
              <w:jc w:val="center"/>
              <w:rPr>
                <w:rFonts w:ascii="仿宋" w:hAnsi="仿宋" w:eastAsia="仿宋" w:cs="仿宋"/>
                <w:sz w:val="24"/>
                <w:highlight w:val="none"/>
              </w:rPr>
            </w:pPr>
          </w:p>
        </w:tc>
        <w:tc>
          <w:tcPr>
            <w:tcW w:w="2633" w:type="pct"/>
            <w:vAlign w:val="center"/>
          </w:tcPr>
          <w:p w14:paraId="2AB3D721">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云PACS系统</w:t>
            </w:r>
          </w:p>
        </w:tc>
        <w:tc>
          <w:tcPr>
            <w:tcW w:w="641" w:type="pct"/>
            <w:vAlign w:val="center"/>
          </w:tcPr>
          <w:p w14:paraId="5DBF31E6">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4BBA62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079CE24B">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13</w:t>
            </w:r>
          </w:p>
        </w:tc>
        <w:tc>
          <w:tcPr>
            <w:tcW w:w="1199" w:type="pct"/>
            <w:vMerge w:val="continue"/>
            <w:vAlign w:val="center"/>
          </w:tcPr>
          <w:p w14:paraId="115DDF3B">
            <w:pPr>
              <w:spacing w:line="360" w:lineRule="auto"/>
              <w:contextualSpacing/>
              <w:jc w:val="center"/>
              <w:rPr>
                <w:rFonts w:ascii="仿宋" w:hAnsi="仿宋" w:eastAsia="仿宋" w:cs="仿宋"/>
                <w:sz w:val="24"/>
                <w:highlight w:val="none"/>
              </w:rPr>
            </w:pPr>
          </w:p>
        </w:tc>
        <w:tc>
          <w:tcPr>
            <w:tcW w:w="2633" w:type="pct"/>
            <w:vAlign w:val="center"/>
          </w:tcPr>
          <w:p w14:paraId="5D4C2A31">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基层云体检系统</w:t>
            </w:r>
          </w:p>
        </w:tc>
        <w:tc>
          <w:tcPr>
            <w:tcW w:w="641" w:type="pct"/>
            <w:vAlign w:val="center"/>
          </w:tcPr>
          <w:p w14:paraId="7E5E6A1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44EBA58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05C511ED">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14</w:t>
            </w:r>
          </w:p>
        </w:tc>
        <w:tc>
          <w:tcPr>
            <w:tcW w:w="1199" w:type="pct"/>
            <w:vAlign w:val="center"/>
          </w:tcPr>
          <w:p w14:paraId="4E484FC8">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基层系统对接改造</w:t>
            </w:r>
          </w:p>
        </w:tc>
        <w:tc>
          <w:tcPr>
            <w:tcW w:w="2633" w:type="pct"/>
            <w:vAlign w:val="center"/>
          </w:tcPr>
          <w:p w14:paraId="6B8DC437">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基层系统与六大中心对接</w:t>
            </w:r>
          </w:p>
        </w:tc>
        <w:tc>
          <w:tcPr>
            <w:tcW w:w="641" w:type="pct"/>
            <w:vAlign w:val="center"/>
          </w:tcPr>
          <w:p w14:paraId="701EE79C">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043245B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2DF34A5F">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15</w:t>
            </w:r>
          </w:p>
        </w:tc>
        <w:tc>
          <w:tcPr>
            <w:tcW w:w="1199" w:type="pct"/>
            <w:vMerge w:val="restart"/>
            <w:vAlign w:val="center"/>
          </w:tcPr>
          <w:p w14:paraId="3B0B5636">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基础硬件</w:t>
            </w:r>
          </w:p>
        </w:tc>
        <w:tc>
          <w:tcPr>
            <w:tcW w:w="2633" w:type="pct"/>
            <w:vAlign w:val="center"/>
          </w:tcPr>
          <w:p w14:paraId="7D98A32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核心交换机</w:t>
            </w:r>
          </w:p>
        </w:tc>
        <w:tc>
          <w:tcPr>
            <w:tcW w:w="641" w:type="pct"/>
            <w:vAlign w:val="center"/>
          </w:tcPr>
          <w:p w14:paraId="0A70F7CA">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1台</w:t>
            </w:r>
          </w:p>
        </w:tc>
      </w:tr>
      <w:tr w14:paraId="525189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4E568C3E">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16</w:t>
            </w:r>
          </w:p>
        </w:tc>
        <w:tc>
          <w:tcPr>
            <w:tcW w:w="1199" w:type="pct"/>
            <w:vMerge w:val="continue"/>
            <w:vAlign w:val="center"/>
          </w:tcPr>
          <w:p w14:paraId="3F932616">
            <w:pPr>
              <w:spacing w:line="360" w:lineRule="auto"/>
              <w:contextualSpacing/>
              <w:jc w:val="center"/>
              <w:rPr>
                <w:rFonts w:ascii="仿宋" w:hAnsi="仿宋" w:eastAsia="仿宋" w:cs="仿宋"/>
                <w:sz w:val="24"/>
                <w:highlight w:val="none"/>
              </w:rPr>
            </w:pPr>
          </w:p>
        </w:tc>
        <w:tc>
          <w:tcPr>
            <w:tcW w:w="2633" w:type="pct"/>
            <w:vAlign w:val="center"/>
          </w:tcPr>
          <w:p w14:paraId="22AD03DB">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远程会诊一体机</w:t>
            </w:r>
          </w:p>
        </w:tc>
        <w:tc>
          <w:tcPr>
            <w:tcW w:w="641" w:type="pct"/>
            <w:vAlign w:val="center"/>
          </w:tcPr>
          <w:p w14:paraId="36BBC782">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10台</w:t>
            </w:r>
          </w:p>
        </w:tc>
      </w:tr>
      <w:tr w14:paraId="6EE682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3B624E66">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17</w:t>
            </w:r>
          </w:p>
        </w:tc>
        <w:tc>
          <w:tcPr>
            <w:tcW w:w="1199" w:type="pct"/>
            <w:vMerge w:val="restart"/>
            <w:vAlign w:val="center"/>
          </w:tcPr>
          <w:p w14:paraId="47811A04">
            <w:pPr>
              <w:pStyle w:val="5"/>
              <w:spacing w:line="360" w:lineRule="auto"/>
              <w:contextualSpacing/>
              <w:jc w:val="center"/>
              <w:outlineLvl w:val="3"/>
              <w:rPr>
                <w:rFonts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网络安全建设服务</w:t>
            </w:r>
          </w:p>
        </w:tc>
        <w:tc>
          <w:tcPr>
            <w:tcW w:w="2633" w:type="pct"/>
            <w:vAlign w:val="center"/>
          </w:tcPr>
          <w:p w14:paraId="151956C8">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防火墙</w:t>
            </w:r>
          </w:p>
        </w:tc>
        <w:tc>
          <w:tcPr>
            <w:tcW w:w="641" w:type="pct"/>
            <w:vAlign w:val="center"/>
          </w:tcPr>
          <w:p w14:paraId="3A5ABB1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1台</w:t>
            </w:r>
          </w:p>
        </w:tc>
      </w:tr>
      <w:tr w14:paraId="148A27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1CA1B86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18</w:t>
            </w:r>
          </w:p>
        </w:tc>
        <w:tc>
          <w:tcPr>
            <w:tcW w:w="1199" w:type="pct"/>
            <w:vMerge w:val="continue"/>
            <w:vAlign w:val="center"/>
          </w:tcPr>
          <w:p w14:paraId="44E5E2CD">
            <w:pPr>
              <w:spacing w:line="360" w:lineRule="auto"/>
              <w:contextualSpacing/>
              <w:jc w:val="center"/>
              <w:rPr>
                <w:rFonts w:ascii="仿宋" w:hAnsi="仿宋" w:eastAsia="仿宋" w:cs="仿宋"/>
                <w:sz w:val="24"/>
                <w:highlight w:val="none"/>
              </w:rPr>
            </w:pPr>
          </w:p>
        </w:tc>
        <w:tc>
          <w:tcPr>
            <w:tcW w:w="2633" w:type="pct"/>
            <w:vAlign w:val="center"/>
          </w:tcPr>
          <w:p w14:paraId="23882B12">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安全审查</w:t>
            </w:r>
          </w:p>
        </w:tc>
        <w:tc>
          <w:tcPr>
            <w:tcW w:w="641" w:type="pct"/>
            <w:vAlign w:val="center"/>
          </w:tcPr>
          <w:p w14:paraId="42EBA752">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4D8E53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526" w:type="pct"/>
            <w:vAlign w:val="center"/>
          </w:tcPr>
          <w:p w14:paraId="67A884B4">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19</w:t>
            </w:r>
          </w:p>
        </w:tc>
        <w:tc>
          <w:tcPr>
            <w:tcW w:w="1199" w:type="pct"/>
            <w:vMerge w:val="continue"/>
            <w:vAlign w:val="center"/>
          </w:tcPr>
          <w:p w14:paraId="2D87ACCE">
            <w:pPr>
              <w:spacing w:line="360" w:lineRule="auto"/>
              <w:contextualSpacing/>
              <w:jc w:val="center"/>
              <w:rPr>
                <w:rFonts w:ascii="仿宋" w:hAnsi="仿宋" w:eastAsia="仿宋" w:cs="仿宋"/>
                <w:sz w:val="24"/>
                <w:highlight w:val="none"/>
              </w:rPr>
            </w:pPr>
          </w:p>
        </w:tc>
        <w:tc>
          <w:tcPr>
            <w:tcW w:w="2633" w:type="pct"/>
            <w:vAlign w:val="center"/>
          </w:tcPr>
          <w:p w14:paraId="78C55DFD">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等保测评</w:t>
            </w:r>
          </w:p>
        </w:tc>
        <w:tc>
          <w:tcPr>
            <w:tcW w:w="641" w:type="pct"/>
            <w:vAlign w:val="center"/>
          </w:tcPr>
          <w:p w14:paraId="06796B44">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72A292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896" w:type="dxa"/>
            <w:vAlign w:val="center"/>
          </w:tcPr>
          <w:p w14:paraId="2A45D1FD">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20</w:t>
            </w:r>
          </w:p>
        </w:tc>
        <w:tc>
          <w:tcPr>
            <w:tcW w:w="1199" w:type="pct"/>
            <w:vMerge w:val="continue"/>
            <w:vAlign w:val="center"/>
          </w:tcPr>
          <w:p w14:paraId="214BBB40">
            <w:pPr>
              <w:spacing w:line="360" w:lineRule="auto"/>
              <w:contextualSpacing/>
              <w:jc w:val="center"/>
              <w:rPr>
                <w:rFonts w:ascii="仿宋" w:hAnsi="仿宋" w:eastAsia="仿宋" w:cs="仿宋"/>
                <w:sz w:val="24"/>
                <w:highlight w:val="none"/>
              </w:rPr>
            </w:pPr>
          </w:p>
        </w:tc>
        <w:tc>
          <w:tcPr>
            <w:tcW w:w="2633" w:type="pct"/>
            <w:vAlign w:val="center"/>
          </w:tcPr>
          <w:p w14:paraId="7DE98927">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安全服务</w:t>
            </w:r>
          </w:p>
        </w:tc>
        <w:tc>
          <w:tcPr>
            <w:tcW w:w="641" w:type="pct"/>
            <w:vAlign w:val="center"/>
          </w:tcPr>
          <w:p w14:paraId="5A96B71B">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68ADBE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896" w:type="dxa"/>
            <w:vAlign w:val="center"/>
          </w:tcPr>
          <w:p w14:paraId="582E8DBE">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21</w:t>
            </w:r>
          </w:p>
        </w:tc>
        <w:tc>
          <w:tcPr>
            <w:tcW w:w="1199" w:type="pct"/>
            <w:vMerge w:val="continue"/>
            <w:vAlign w:val="center"/>
          </w:tcPr>
          <w:p w14:paraId="3B0F199B">
            <w:pPr>
              <w:spacing w:line="360" w:lineRule="auto"/>
              <w:contextualSpacing/>
              <w:jc w:val="center"/>
              <w:rPr>
                <w:rFonts w:ascii="仿宋" w:hAnsi="仿宋" w:eastAsia="仿宋" w:cs="仿宋"/>
                <w:sz w:val="24"/>
                <w:highlight w:val="none"/>
              </w:rPr>
            </w:pPr>
          </w:p>
        </w:tc>
        <w:tc>
          <w:tcPr>
            <w:tcW w:w="2633" w:type="pct"/>
            <w:vAlign w:val="center"/>
          </w:tcPr>
          <w:p w14:paraId="0981AE64">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终端杀毒</w:t>
            </w:r>
          </w:p>
        </w:tc>
        <w:tc>
          <w:tcPr>
            <w:tcW w:w="641" w:type="pct"/>
            <w:vAlign w:val="center"/>
          </w:tcPr>
          <w:p w14:paraId="228F4B7B">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1项</w:t>
            </w:r>
          </w:p>
        </w:tc>
      </w:tr>
      <w:tr w14:paraId="6148EE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896" w:type="dxa"/>
            <w:vAlign w:val="center"/>
          </w:tcPr>
          <w:p w14:paraId="598000E8">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22</w:t>
            </w:r>
          </w:p>
        </w:tc>
        <w:tc>
          <w:tcPr>
            <w:tcW w:w="1199" w:type="pct"/>
            <w:vMerge w:val="restart"/>
            <w:vAlign w:val="center"/>
          </w:tcPr>
          <w:p w14:paraId="0565F8D5">
            <w:pPr>
              <w:pStyle w:val="5"/>
              <w:spacing w:line="360" w:lineRule="auto"/>
              <w:contextualSpacing/>
              <w:jc w:val="center"/>
              <w:outlineLvl w:val="3"/>
              <w:rPr>
                <w:rFonts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运维服务</w:t>
            </w:r>
          </w:p>
        </w:tc>
        <w:tc>
          <w:tcPr>
            <w:tcW w:w="2633" w:type="pct"/>
            <w:vAlign w:val="center"/>
          </w:tcPr>
          <w:p w14:paraId="59A2BF7D">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全民健康信息平台虚拟子平台运维服务费</w:t>
            </w:r>
          </w:p>
        </w:tc>
        <w:tc>
          <w:tcPr>
            <w:tcW w:w="641" w:type="pct"/>
            <w:vAlign w:val="center"/>
          </w:tcPr>
          <w:p w14:paraId="71A59E81">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1年</w:t>
            </w:r>
          </w:p>
        </w:tc>
      </w:tr>
      <w:tr w14:paraId="19127F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896" w:type="dxa"/>
            <w:vAlign w:val="center"/>
          </w:tcPr>
          <w:p w14:paraId="250E0E0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23</w:t>
            </w:r>
          </w:p>
        </w:tc>
        <w:tc>
          <w:tcPr>
            <w:tcW w:w="1199" w:type="pct"/>
            <w:vMerge w:val="continue"/>
            <w:vAlign w:val="center"/>
          </w:tcPr>
          <w:p w14:paraId="3CD92B6F">
            <w:pPr>
              <w:pStyle w:val="5"/>
              <w:spacing w:line="360" w:lineRule="auto"/>
              <w:contextualSpacing/>
              <w:jc w:val="center"/>
              <w:outlineLvl w:val="3"/>
              <w:rPr>
                <w:rFonts w:ascii="仿宋" w:hAnsi="仿宋" w:eastAsia="仿宋" w:cs="仿宋"/>
                <w:b w:val="0"/>
                <w:bCs w:val="0"/>
                <w:sz w:val="24"/>
                <w:szCs w:val="24"/>
                <w:highlight w:val="none"/>
              </w:rPr>
            </w:pPr>
          </w:p>
        </w:tc>
        <w:tc>
          <w:tcPr>
            <w:tcW w:w="2633" w:type="pct"/>
            <w:vAlign w:val="center"/>
          </w:tcPr>
          <w:p w14:paraId="4CC8CA6D">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医共体中心运维服务费</w:t>
            </w:r>
          </w:p>
        </w:tc>
        <w:tc>
          <w:tcPr>
            <w:tcW w:w="641" w:type="pct"/>
            <w:vAlign w:val="center"/>
          </w:tcPr>
          <w:p w14:paraId="36FD115A">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1年</w:t>
            </w:r>
          </w:p>
        </w:tc>
      </w:tr>
      <w:tr w14:paraId="309100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896" w:type="dxa"/>
            <w:vAlign w:val="center"/>
          </w:tcPr>
          <w:p w14:paraId="634EBA3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24</w:t>
            </w:r>
          </w:p>
        </w:tc>
        <w:tc>
          <w:tcPr>
            <w:tcW w:w="1199" w:type="pct"/>
            <w:vMerge w:val="restart"/>
            <w:vAlign w:val="center"/>
          </w:tcPr>
          <w:p w14:paraId="053A033C">
            <w:pPr>
              <w:pStyle w:val="5"/>
              <w:contextualSpacing/>
              <w:jc w:val="center"/>
              <w:outlineLvl w:val="3"/>
              <w:rPr>
                <w:rFonts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网络租赁服务</w:t>
            </w:r>
          </w:p>
        </w:tc>
        <w:tc>
          <w:tcPr>
            <w:tcW w:w="2633" w:type="pct"/>
            <w:vAlign w:val="center"/>
          </w:tcPr>
          <w:p w14:paraId="5FC8A52F">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网络服务费（含健康小屋75个点位线路接入）</w:t>
            </w:r>
          </w:p>
        </w:tc>
        <w:tc>
          <w:tcPr>
            <w:tcW w:w="641" w:type="pct"/>
            <w:vAlign w:val="center"/>
          </w:tcPr>
          <w:p w14:paraId="7F52EEF9">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1年</w:t>
            </w:r>
          </w:p>
        </w:tc>
      </w:tr>
      <w:tr w14:paraId="184274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896" w:type="dxa"/>
            <w:vAlign w:val="center"/>
          </w:tcPr>
          <w:p w14:paraId="5BD444F0">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25</w:t>
            </w:r>
          </w:p>
        </w:tc>
        <w:tc>
          <w:tcPr>
            <w:tcW w:w="1199" w:type="pct"/>
            <w:vMerge w:val="continue"/>
            <w:vAlign w:val="center"/>
          </w:tcPr>
          <w:p w14:paraId="09F50382">
            <w:pPr>
              <w:pStyle w:val="5"/>
              <w:contextualSpacing/>
              <w:jc w:val="center"/>
              <w:outlineLvl w:val="3"/>
              <w:rPr>
                <w:rFonts w:ascii="仿宋" w:hAnsi="仿宋" w:eastAsia="仿宋" w:cs="仿宋"/>
                <w:b w:val="0"/>
                <w:bCs w:val="0"/>
                <w:sz w:val="24"/>
                <w:szCs w:val="24"/>
                <w:highlight w:val="none"/>
              </w:rPr>
            </w:pPr>
          </w:p>
        </w:tc>
        <w:tc>
          <w:tcPr>
            <w:tcW w:w="2633" w:type="pct"/>
            <w:vAlign w:val="center"/>
          </w:tcPr>
          <w:p w14:paraId="7FDF9331">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车载CT线路费用</w:t>
            </w:r>
          </w:p>
        </w:tc>
        <w:tc>
          <w:tcPr>
            <w:tcW w:w="641" w:type="pct"/>
            <w:vAlign w:val="center"/>
          </w:tcPr>
          <w:p w14:paraId="6BB9A2CA">
            <w:pPr>
              <w:spacing w:line="360" w:lineRule="auto"/>
              <w:contextualSpacing/>
              <w:jc w:val="center"/>
              <w:rPr>
                <w:rFonts w:ascii="仿宋" w:hAnsi="仿宋" w:eastAsia="仿宋" w:cs="仿宋"/>
                <w:sz w:val="24"/>
                <w:highlight w:val="none"/>
              </w:rPr>
            </w:pPr>
            <w:r>
              <w:rPr>
                <w:rFonts w:hint="eastAsia" w:ascii="仿宋" w:hAnsi="仿宋" w:eastAsia="仿宋" w:cs="仿宋"/>
                <w:sz w:val="24"/>
                <w:highlight w:val="none"/>
              </w:rPr>
              <w:t>1年</w:t>
            </w:r>
          </w:p>
        </w:tc>
      </w:tr>
    </w:tbl>
    <w:p w14:paraId="4CC20755">
      <w:pPr>
        <w:pStyle w:val="15"/>
        <w:rPr>
          <w:rFonts w:ascii="仿宋" w:hAnsi="仿宋" w:eastAsia="仿宋" w:cs="仿宋"/>
          <w:sz w:val="24"/>
          <w:highlight w:val="none"/>
        </w:rPr>
      </w:pPr>
    </w:p>
    <w:p w14:paraId="490C9DDF">
      <w:pPr>
        <w:pStyle w:val="15"/>
        <w:ind w:firstLine="0" w:firstLineChars="0"/>
        <w:rPr>
          <w:rFonts w:ascii="仿宋" w:hAnsi="仿宋" w:eastAsia="仿宋" w:cs="仿宋"/>
          <w:sz w:val="28"/>
          <w:szCs w:val="28"/>
          <w:highlight w:val="none"/>
        </w:rPr>
      </w:pPr>
      <w:r>
        <w:rPr>
          <w:rFonts w:hint="eastAsia" w:ascii="仿宋" w:hAnsi="仿宋" w:eastAsia="仿宋" w:cs="仿宋"/>
          <w:b/>
          <w:bCs/>
          <w:spacing w:val="7"/>
          <w:sz w:val="28"/>
          <w:szCs w:val="28"/>
          <w:highlight w:val="none"/>
        </w:rPr>
        <w:t>（2）详细技术要求</w:t>
      </w:r>
    </w:p>
    <w:p w14:paraId="29ECFAF2">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2.1医共体信息平台六大中心建设</w:t>
      </w:r>
    </w:p>
    <w:p w14:paraId="1D60EFB6">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2.1.1区域心电中心</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784"/>
        <w:gridCol w:w="1416"/>
        <w:gridCol w:w="5626"/>
      </w:tblGrid>
      <w:tr w14:paraId="67D0D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421" w:type="pct"/>
            <w:noWrap/>
            <w:vAlign w:val="center"/>
          </w:tcPr>
          <w:p w14:paraId="1E35FEB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序号</w:t>
            </w:r>
          </w:p>
        </w:tc>
        <w:tc>
          <w:tcPr>
            <w:tcW w:w="1202" w:type="pct"/>
            <w:gridSpan w:val="2"/>
            <w:vAlign w:val="center"/>
          </w:tcPr>
          <w:p w14:paraId="611F624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功能模块</w:t>
            </w:r>
          </w:p>
        </w:tc>
        <w:tc>
          <w:tcPr>
            <w:tcW w:w="3378" w:type="pct"/>
            <w:vAlign w:val="center"/>
          </w:tcPr>
          <w:p w14:paraId="2A05A0EE">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详细技术参数</w:t>
            </w:r>
          </w:p>
        </w:tc>
      </w:tr>
      <w:tr w14:paraId="393A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421" w:type="pct"/>
            <w:noWrap/>
            <w:vAlign w:val="center"/>
          </w:tcPr>
          <w:p w14:paraId="3DFA082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w:t>
            </w:r>
          </w:p>
        </w:tc>
        <w:tc>
          <w:tcPr>
            <w:tcW w:w="1202" w:type="pct"/>
            <w:gridSpan w:val="2"/>
            <w:vAlign w:val="center"/>
          </w:tcPr>
          <w:p w14:paraId="4DDA9BB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报告浏览</w:t>
            </w:r>
          </w:p>
        </w:tc>
        <w:tc>
          <w:tcPr>
            <w:tcW w:w="3378" w:type="pct"/>
            <w:vAlign w:val="center"/>
          </w:tcPr>
          <w:p w14:paraId="4659B8BD">
            <w:pPr>
              <w:spacing w:line="360" w:lineRule="auto"/>
              <w:rPr>
                <w:rFonts w:ascii="仿宋" w:hAnsi="仿宋" w:eastAsia="仿宋" w:cs="仿宋"/>
                <w:sz w:val="24"/>
                <w:highlight w:val="none"/>
              </w:rPr>
            </w:pPr>
            <w:r>
              <w:rPr>
                <w:rFonts w:hint="eastAsia" w:ascii="仿宋" w:hAnsi="仿宋" w:eastAsia="仿宋" w:cs="仿宋"/>
                <w:sz w:val="24"/>
                <w:highlight w:val="none"/>
              </w:rPr>
              <w:t>支持集成患者临床信息浏览。</w:t>
            </w:r>
          </w:p>
          <w:p w14:paraId="0FA3FAE2">
            <w:pPr>
              <w:spacing w:line="360" w:lineRule="auto"/>
              <w:rPr>
                <w:rFonts w:ascii="仿宋" w:hAnsi="仿宋" w:eastAsia="仿宋" w:cs="仿宋"/>
                <w:sz w:val="24"/>
                <w:highlight w:val="none"/>
              </w:rPr>
            </w:pPr>
            <w:r>
              <w:rPr>
                <w:rFonts w:hint="eastAsia" w:ascii="仿宋" w:hAnsi="仿宋" w:eastAsia="仿宋" w:cs="仿宋"/>
                <w:sz w:val="24"/>
                <w:highlight w:val="none"/>
              </w:rPr>
              <w:t>支持多种波形分析工具，包括布局、增益、走速、滤波、测量、放大镜、比例、重分析、导联纠错、重命名等，常用功能自定义。</w:t>
            </w:r>
          </w:p>
          <w:p w14:paraId="2184AF41">
            <w:pPr>
              <w:spacing w:line="360" w:lineRule="auto"/>
              <w:rPr>
                <w:rFonts w:ascii="仿宋" w:hAnsi="仿宋" w:eastAsia="仿宋" w:cs="仿宋"/>
                <w:sz w:val="24"/>
                <w:highlight w:val="none"/>
              </w:rPr>
            </w:pPr>
            <w:r>
              <w:rPr>
                <w:rFonts w:hint="eastAsia" w:ascii="仿宋" w:hAnsi="仿宋" w:eastAsia="仿宋" w:cs="仿宋"/>
                <w:sz w:val="24"/>
                <w:highlight w:val="none"/>
              </w:rPr>
              <w:t>支持分规、振幅、平行尺功能，右键发送值P波、P-R间期、QRS、Q-T间期，双击默认放大波形，R波重定位，调整测量线，可叠加波显示。</w:t>
            </w:r>
          </w:p>
          <w:p w14:paraId="11E1CF23">
            <w:pPr>
              <w:spacing w:line="360" w:lineRule="auto"/>
              <w:rPr>
                <w:rFonts w:ascii="仿宋" w:hAnsi="仿宋" w:eastAsia="仿宋" w:cs="仿宋"/>
                <w:sz w:val="24"/>
                <w:highlight w:val="none"/>
              </w:rPr>
            </w:pPr>
            <w:r>
              <w:rPr>
                <w:rFonts w:hint="eastAsia" w:ascii="仿宋" w:hAnsi="仿宋" w:eastAsia="仿宋" w:cs="仿宋"/>
                <w:sz w:val="24"/>
                <w:highlight w:val="none"/>
              </w:rPr>
              <w:t>支持自研心电滤波算法、测值重分析、心律失常识别、自动诊断；支持心电测量值异常标红显示，心电轴异常显示，支持查看心电轴图像。</w:t>
            </w:r>
          </w:p>
        </w:tc>
      </w:tr>
      <w:tr w14:paraId="67C0B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trPr>
        <w:tc>
          <w:tcPr>
            <w:tcW w:w="421" w:type="pct"/>
            <w:noWrap/>
            <w:vAlign w:val="center"/>
          </w:tcPr>
          <w:p w14:paraId="239BB1D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2</w:t>
            </w:r>
          </w:p>
        </w:tc>
        <w:tc>
          <w:tcPr>
            <w:tcW w:w="601" w:type="pct"/>
            <w:vMerge w:val="restart"/>
            <w:vAlign w:val="center"/>
          </w:tcPr>
          <w:p w14:paraId="61112A6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报告编写</w:t>
            </w:r>
          </w:p>
        </w:tc>
        <w:tc>
          <w:tcPr>
            <w:tcW w:w="600" w:type="pct"/>
            <w:vAlign w:val="center"/>
          </w:tcPr>
          <w:p w14:paraId="3697B22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报告编辑</w:t>
            </w:r>
          </w:p>
        </w:tc>
        <w:tc>
          <w:tcPr>
            <w:tcW w:w="3378" w:type="pct"/>
            <w:vAlign w:val="center"/>
          </w:tcPr>
          <w:p w14:paraId="139D3634">
            <w:pPr>
              <w:spacing w:line="360" w:lineRule="auto"/>
              <w:rPr>
                <w:rFonts w:ascii="仿宋" w:hAnsi="仿宋" w:eastAsia="仿宋" w:cs="仿宋"/>
                <w:sz w:val="24"/>
                <w:highlight w:val="none"/>
              </w:rPr>
            </w:pPr>
            <w:r>
              <w:rPr>
                <w:rFonts w:hint="eastAsia" w:ascii="仿宋" w:hAnsi="仿宋" w:eastAsia="仿宋" w:cs="仿宋"/>
                <w:sz w:val="24"/>
                <w:highlight w:val="none"/>
              </w:rPr>
              <w:t>支持多种报告布局（左右/上下波形诊断）一键切换；</w:t>
            </w:r>
          </w:p>
          <w:p w14:paraId="1AECA306">
            <w:pPr>
              <w:spacing w:line="360" w:lineRule="auto"/>
              <w:rPr>
                <w:rFonts w:ascii="仿宋" w:hAnsi="仿宋" w:eastAsia="仿宋" w:cs="仿宋"/>
                <w:sz w:val="24"/>
                <w:highlight w:val="none"/>
              </w:rPr>
            </w:pPr>
            <w:r>
              <w:rPr>
                <w:rFonts w:hint="eastAsia" w:ascii="仿宋" w:hAnsi="仿宋" w:eastAsia="仿宋" w:cs="仿宋"/>
                <w:sz w:val="24"/>
                <w:highlight w:val="none"/>
              </w:rPr>
              <w:t>支持一键波形对比，查看该患者在本院的所有历史心电图，并可进行同屏切换时间两个/三个波形对比（同步滚动、缩放），辅助病程分析；</w:t>
            </w:r>
          </w:p>
          <w:p w14:paraId="77C1BBEE">
            <w:pPr>
              <w:spacing w:line="360" w:lineRule="auto"/>
              <w:rPr>
                <w:rFonts w:ascii="仿宋" w:hAnsi="仿宋" w:eastAsia="仿宋" w:cs="仿宋"/>
                <w:sz w:val="24"/>
                <w:highlight w:val="none"/>
              </w:rPr>
            </w:pPr>
            <w:r>
              <w:rPr>
                <w:rFonts w:hint="eastAsia" w:ascii="仿宋" w:hAnsi="仿宋" w:eastAsia="仿宋" w:cs="仿宋"/>
                <w:sz w:val="24"/>
                <w:highlight w:val="none"/>
              </w:rPr>
              <w:t>测量值超出正常范围时，系统自动标红并添加“↑/↓”箭头标识，可查看具体参考范围，自动识别“心房颤动”或“房颤”诊断，并联动将测量值中无意义的“P波时限”“P-R间期”等参数自动显示为“”，确保报告逻辑一致性。</w:t>
            </w:r>
          </w:p>
        </w:tc>
      </w:tr>
      <w:tr w14:paraId="2654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23DE7D6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3</w:t>
            </w:r>
          </w:p>
        </w:tc>
        <w:tc>
          <w:tcPr>
            <w:tcW w:w="601" w:type="pct"/>
            <w:vMerge w:val="continue"/>
            <w:vAlign w:val="center"/>
          </w:tcPr>
          <w:p w14:paraId="33673E9C">
            <w:pPr>
              <w:spacing w:line="360" w:lineRule="auto"/>
              <w:jc w:val="center"/>
              <w:rPr>
                <w:rFonts w:ascii="仿宋" w:hAnsi="仿宋" w:eastAsia="仿宋" w:cs="仿宋"/>
                <w:sz w:val="24"/>
                <w:highlight w:val="none"/>
              </w:rPr>
            </w:pPr>
          </w:p>
        </w:tc>
        <w:tc>
          <w:tcPr>
            <w:tcW w:w="600" w:type="pct"/>
            <w:vAlign w:val="center"/>
          </w:tcPr>
          <w:p w14:paraId="567C3BF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报告打印</w:t>
            </w:r>
          </w:p>
        </w:tc>
        <w:tc>
          <w:tcPr>
            <w:tcW w:w="3378" w:type="pct"/>
            <w:vAlign w:val="center"/>
          </w:tcPr>
          <w:p w14:paraId="1DFE8FBB">
            <w:pPr>
              <w:spacing w:line="360" w:lineRule="auto"/>
              <w:rPr>
                <w:rFonts w:ascii="仿宋" w:hAnsi="仿宋" w:eastAsia="仿宋" w:cs="仿宋"/>
                <w:sz w:val="24"/>
                <w:highlight w:val="none"/>
              </w:rPr>
            </w:pPr>
            <w:r>
              <w:rPr>
                <w:rFonts w:hint="eastAsia" w:ascii="仿宋" w:hAnsi="仿宋" w:eastAsia="仿宋" w:cs="仿宋"/>
                <w:sz w:val="24"/>
                <w:highlight w:val="none"/>
              </w:rPr>
              <w:t>支持打印预览及直接打印图文一体化报告或仅打印心电图；提供独立报告打印配置模块，允许科室统一自定义波形图的打印布局、节律导联、网格线属性（粗细、颜色）。</w:t>
            </w:r>
          </w:p>
        </w:tc>
      </w:tr>
      <w:tr w14:paraId="3F48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56C4529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4</w:t>
            </w:r>
          </w:p>
        </w:tc>
        <w:tc>
          <w:tcPr>
            <w:tcW w:w="601" w:type="pct"/>
            <w:vMerge w:val="continue"/>
            <w:vAlign w:val="center"/>
          </w:tcPr>
          <w:p w14:paraId="7FA6C869">
            <w:pPr>
              <w:spacing w:line="360" w:lineRule="auto"/>
              <w:jc w:val="center"/>
              <w:rPr>
                <w:rFonts w:ascii="仿宋" w:hAnsi="仿宋" w:eastAsia="仿宋" w:cs="仿宋"/>
                <w:sz w:val="24"/>
                <w:highlight w:val="none"/>
              </w:rPr>
            </w:pPr>
          </w:p>
        </w:tc>
        <w:tc>
          <w:tcPr>
            <w:tcW w:w="600" w:type="pct"/>
            <w:vAlign w:val="center"/>
          </w:tcPr>
          <w:p w14:paraId="2F7BCFB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诊断报告发布</w:t>
            </w:r>
          </w:p>
        </w:tc>
        <w:tc>
          <w:tcPr>
            <w:tcW w:w="3378" w:type="pct"/>
            <w:vAlign w:val="center"/>
          </w:tcPr>
          <w:p w14:paraId="270D4711">
            <w:pPr>
              <w:spacing w:line="360" w:lineRule="auto"/>
              <w:rPr>
                <w:rFonts w:ascii="仿宋" w:hAnsi="仿宋" w:eastAsia="仿宋" w:cs="仿宋"/>
                <w:sz w:val="24"/>
                <w:highlight w:val="none"/>
              </w:rPr>
            </w:pPr>
            <w:r>
              <w:rPr>
                <w:rFonts w:hint="eastAsia" w:ascii="仿宋" w:hAnsi="仿宋" w:eastAsia="仿宋" w:cs="仿宋"/>
                <w:sz w:val="24"/>
                <w:highlight w:val="none"/>
              </w:rPr>
              <w:t>支持报告暂存、CA电子签名、多格式导出（PDF/JPG图片）；支持执业医生使用UKey进行CA数字签名，确保法律效力。同时为规培生、进修生提供经流程控制的院内电子签名功能。</w:t>
            </w:r>
          </w:p>
        </w:tc>
      </w:tr>
      <w:tr w14:paraId="4E165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 w:hRule="atLeast"/>
        </w:trPr>
        <w:tc>
          <w:tcPr>
            <w:tcW w:w="421" w:type="pct"/>
            <w:noWrap/>
            <w:vAlign w:val="center"/>
          </w:tcPr>
          <w:p w14:paraId="563C28C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5</w:t>
            </w:r>
          </w:p>
        </w:tc>
        <w:tc>
          <w:tcPr>
            <w:tcW w:w="601" w:type="pct"/>
            <w:vMerge w:val="restart"/>
            <w:vAlign w:val="center"/>
          </w:tcPr>
          <w:p w14:paraId="5BD7B4A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质控管理</w:t>
            </w:r>
          </w:p>
        </w:tc>
        <w:tc>
          <w:tcPr>
            <w:tcW w:w="600" w:type="pct"/>
            <w:vAlign w:val="center"/>
          </w:tcPr>
          <w:p w14:paraId="1D00E63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危急值管理</w:t>
            </w:r>
          </w:p>
        </w:tc>
        <w:tc>
          <w:tcPr>
            <w:tcW w:w="3378" w:type="pct"/>
            <w:vAlign w:val="center"/>
          </w:tcPr>
          <w:p w14:paraId="58D5E5DA">
            <w:pPr>
              <w:spacing w:line="360" w:lineRule="auto"/>
              <w:rPr>
                <w:rFonts w:ascii="仿宋" w:hAnsi="仿宋" w:eastAsia="仿宋" w:cs="仿宋"/>
                <w:sz w:val="24"/>
                <w:highlight w:val="none"/>
              </w:rPr>
            </w:pPr>
            <w:r>
              <w:rPr>
                <w:rFonts w:hint="eastAsia" w:ascii="仿宋" w:hAnsi="仿宋" w:eastAsia="仿宋" w:cs="仿宋"/>
                <w:sz w:val="24"/>
                <w:highlight w:val="none"/>
              </w:rPr>
              <w:t>提供闭环式危急值管理：支持一键上报、临床接收反馈跟踪。若误报，可在规定时间内取消并重新上报，形成完整的管理闭环。</w:t>
            </w:r>
          </w:p>
          <w:p w14:paraId="494B9641">
            <w:pPr>
              <w:spacing w:line="360" w:lineRule="auto"/>
              <w:rPr>
                <w:rFonts w:ascii="仿宋" w:hAnsi="仿宋" w:eastAsia="仿宋" w:cs="仿宋"/>
                <w:sz w:val="24"/>
                <w:highlight w:val="none"/>
              </w:rPr>
            </w:pPr>
            <w:r>
              <w:rPr>
                <w:rFonts w:hint="eastAsia" w:ascii="仿宋" w:hAnsi="仿宋" w:eastAsia="仿宋" w:cs="仿宋"/>
                <w:sz w:val="24"/>
                <w:highlight w:val="none"/>
              </w:rPr>
              <w:t>建立完善的危急值分级（Ⅰ-Ⅳ级）管理体系，不同级别对应不同的上报时限与处理流程，提供独立的处理过程追踪与监控界面。</w:t>
            </w:r>
          </w:p>
          <w:p w14:paraId="0A14BC14">
            <w:pPr>
              <w:spacing w:line="360" w:lineRule="auto"/>
              <w:rPr>
                <w:rFonts w:ascii="仿宋" w:hAnsi="仿宋" w:eastAsia="仿宋" w:cs="仿宋"/>
                <w:sz w:val="24"/>
                <w:highlight w:val="none"/>
              </w:rPr>
            </w:pPr>
            <w:r>
              <w:rPr>
                <w:rFonts w:hint="eastAsia" w:ascii="仿宋" w:hAnsi="仿宋" w:eastAsia="仿宋" w:cs="仿宋"/>
                <w:sz w:val="24"/>
                <w:highlight w:val="none"/>
              </w:rPr>
              <w:t>提供危急值专项管理模块，可按时间、科室、级别等多维度查询分析所有危急值事件，支持导出详细处理记录，用于不良事件分析与质量改进。</w:t>
            </w:r>
          </w:p>
        </w:tc>
      </w:tr>
      <w:tr w14:paraId="636D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 w:hRule="atLeast"/>
        </w:trPr>
        <w:tc>
          <w:tcPr>
            <w:tcW w:w="421" w:type="pct"/>
            <w:noWrap/>
            <w:vAlign w:val="center"/>
          </w:tcPr>
          <w:p w14:paraId="610464D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6</w:t>
            </w:r>
          </w:p>
        </w:tc>
        <w:tc>
          <w:tcPr>
            <w:tcW w:w="601" w:type="pct"/>
            <w:vMerge w:val="continue"/>
            <w:vAlign w:val="center"/>
          </w:tcPr>
          <w:p w14:paraId="661F6CDC">
            <w:pPr>
              <w:spacing w:line="360" w:lineRule="auto"/>
              <w:jc w:val="center"/>
              <w:rPr>
                <w:rFonts w:ascii="仿宋" w:hAnsi="仿宋" w:eastAsia="仿宋" w:cs="仿宋"/>
                <w:sz w:val="24"/>
                <w:highlight w:val="none"/>
              </w:rPr>
            </w:pPr>
          </w:p>
        </w:tc>
        <w:tc>
          <w:tcPr>
            <w:tcW w:w="600" w:type="pct"/>
            <w:vAlign w:val="center"/>
          </w:tcPr>
          <w:p w14:paraId="43AF433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疾病管理</w:t>
            </w:r>
          </w:p>
        </w:tc>
        <w:tc>
          <w:tcPr>
            <w:tcW w:w="3378" w:type="pct"/>
            <w:vAlign w:val="center"/>
          </w:tcPr>
          <w:p w14:paraId="3F9D0171">
            <w:pPr>
              <w:spacing w:line="360" w:lineRule="auto"/>
              <w:rPr>
                <w:rFonts w:ascii="仿宋" w:hAnsi="仿宋" w:eastAsia="仿宋" w:cs="仿宋"/>
                <w:sz w:val="24"/>
                <w:highlight w:val="none"/>
              </w:rPr>
            </w:pPr>
            <w:r>
              <w:rPr>
                <w:rFonts w:hint="eastAsia" w:ascii="仿宋" w:hAnsi="仿宋" w:eastAsia="仿宋" w:cs="仿宋"/>
                <w:sz w:val="24"/>
                <w:highlight w:val="none"/>
              </w:rPr>
              <w:t>支持为阳性病例打分类标签，便于教学、科研与患者管理。医生可将典型、疑难或有教学价值的病例收藏至个人或科室收藏夹，支持创建多层级文件夹结构，并可标注ICD-11疾病分类代码，便于按病种归类和检索。</w:t>
            </w:r>
          </w:p>
          <w:p w14:paraId="41451BB9">
            <w:pPr>
              <w:spacing w:line="360" w:lineRule="auto"/>
              <w:rPr>
                <w:rFonts w:ascii="仿宋" w:hAnsi="仿宋" w:eastAsia="仿宋" w:cs="仿宋"/>
                <w:sz w:val="24"/>
                <w:highlight w:val="none"/>
              </w:rPr>
            </w:pPr>
            <w:r>
              <w:rPr>
                <w:rFonts w:hint="eastAsia" w:ascii="仿宋" w:hAnsi="仿宋" w:eastAsia="仿宋" w:cs="仿宋"/>
                <w:sz w:val="24"/>
                <w:highlight w:val="none"/>
              </w:rPr>
              <w:t>支持为每例检查生成不可篡改的完整操作日志时间轴，详细记录从登记到发布各环节的操作人、时间、IP地址及具体动作，满足高级别审计要求。</w:t>
            </w:r>
          </w:p>
          <w:p w14:paraId="0EC813A1">
            <w:pPr>
              <w:spacing w:line="360" w:lineRule="auto"/>
              <w:rPr>
                <w:rFonts w:ascii="仿宋" w:hAnsi="仿宋" w:eastAsia="仿宋" w:cs="仿宋"/>
                <w:sz w:val="24"/>
                <w:highlight w:val="none"/>
              </w:rPr>
            </w:pPr>
            <w:r>
              <w:rPr>
                <w:rFonts w:hint="eastAsia" w:ascii="仿宋" w:hAnsi="仿宋" w:eastAsia="仿宋" w:cs="仿宋"/>
                <w:sz w:val="24"/>
                <w:highlight w:val="none"/>
              </w:rPr>
              <w:t>系统完整保存报告每一次修改的历史版本，支持任意版本对比，并高亮显示内容的增、删、改变化。</w:t>
            </w:r>
          </w:p>
          <w:p w14:paraId="5FCE7831">
            <w:pPr>
              <w:spacing w:line="360" w:lineRule="auto"/>
              <w:rPr>
                <w:rFonts w:ascii="仿宋" w:hAnsi="仿宋" w:eastAsia="仿宋" w:cs="仿宋"/>
                <w:sz w:val="24"/>
                <w:highlight w:val="none"/>
              </w:rPr>
            </w:pPr>
            <w:r>
              <w:rPr>
                <w:rFonts w:hint="eastAsia" w:ascii="仿宋" w:hAnsi="仿宋" w:eastAsia="仿宋" w:cs="仿宋"/>
                <w:sz w:val="24"/>
                <w:highlight w:val="none"/>
              </w:rPr>
              <w:t>支持对存疑检查进行紧急锁定（禁止所有后续操作）并添加内部备注，问题核实后由授权用户解锁。</w:t>
            </w:r>
          </w:p>
        </w:tc>
      </w:tr>
      <w:tr w14:paraId="30B1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 w:hRule="atLeast"/>
        </w:trPr>
        <w:tc>
          <w:tcPr>
            <w:tcW w:w="421" w:type="pct"/>
            <w:noWrap/>
            <w:vAlign w:val="center"/>
          </w:tcPr>
          <w:p w14:paraId="7C12F15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7</w:t>
            </w:r>
          </w:p>
        </w:tc>
        <w:tc>
          <w:tcPr>
            <w:tcW w:w="601" w:type="pct"/>
            <w:vMerge w:val="continue"/>
            <w:vAlign w:val="center"/>
          </w:tcPr>
          <w:p w14:paraId="48C80F29">
            <w:pPr>
              <w:spacing w:line="360" w:lineRule="auto"/>
              <w:jc w:val="center"/>
              <w:rPr>
                <w:rFonts w:ascii="仿宋" w:hAnsi="仿宋" w:eastAsia="仿宋" w:cs="仿宋"/>
                <w:sz w:val="24"/>
                <w:highlight w:val="none"/>
              </w:rPr>
            </w:pPr>
          </w:p>
        </w:tc>
        <w:tc>
          <w:tcPr>
            <w:tcW w:w="600" w:type="pct"/>
            <w:vAlign w:val="center"/>
          </w:tcPr>
          <w:p w14:paraId="10B2FC8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质控管理</w:t>
            </w:r>
          </w:p>
        </w:tc>
        <w:tc>
          <w:tcPr>
            <w:tcW w:w="3378" w:type="pct"/>
            <w:vAlign w:val="center"/>
          </w:tcPr>
          <w:p w14:paraId="1E05BB90">
            <w:pPr>
              <w:spacing w:line="360" w:lineRule="auto"/>
              <w:rPr>
                <w:rFonts w:ascii="仿宋" w:hAnsi="仿宋" w:eastAsia="仿宋" w:cs="仿宋"/>
                <w:sz w:val="24"/>
                <w:highlight w:val="none"/>
              </w:rPr>
            </w:pPr>
            <w:r>
              <w:rPr>
                <w:rFonts w:hint="eastAsia" w:ascii="仿宋" w:hAnsi="仿宋" w:eastAsia="仿宋" w:cs="仿宋"/>
                <w:sz w:val="24"/>
                <w:highlight w:val="none"/>
              </w:rPr>
              <w:t>支持审核医生对图像质量、诊断报告质量二者进行独立质控评分。每项采用“优、良、合格、不合格”等级制，默认推荐等级可配置。当评分低于“优”时，系统强制要求从预设的、可分类的缺陷库中选择具体扣分项，并可补充文字说明。</w:t>
            </w:r>
          </w:p>
          <w:p w14:paraId="33C9836A">
            <w:pPr>
              <w:spacing w:line="360" w:lineRule="auto"/>
              <w:rPr>
                <w:rFonts w:ascii="仿宋" w:hAnsi="仿宋" w:eastAsia="仿宋" w:cs="仿宋"/>
                <w:sz w:val="24"/>
                <w:highlight w:val="none"/>
              </w:rPr>
            </w:pPr>
            <w:r>
              <w:rPr>
                <w:rFonts w:hint="eastAsia" w:ascii="仿宋" w:hAnsi="仿宋" w:eastAsia="仿宋" w:cs="仿宋"/>
                <w:sz w:val="24"/>
                <w:highlight w:val="none"/>
              </w:rPr>
              <w:t>质控评分可配置为报告审核流程的必要环节，确保关键病例的质控覆盖率达到管理要求。科室管理员可对评分等级定义、各等级对应的分数段进行灵活配置。</w:t>
            </w:r>
          </w:p>
        </w:tc>
      </w:tr>
      <w:tr w14:paraId="1EAC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421" w:type="pct"/>
            <w:noWrap/>
            <w:vAlign w:val="center"/>
          </w:tcPr>
          <w:p w14:paraId="6E752C4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8</w:t>
            </w:r>
          </w:p>
        </w:tc>
        <w:tc>
          <w:tcPr>
            <w:tcW w:w="601" w:type="pct"/>
            <w:vMerge w:val="restart"/>
            <w:vAlign w:val="center"/>
          </w:tcPr>
          <w:p w14:paraId="4C125D0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监管统计</w:t>
            </w:r>
          </w:p>
        </w:tc>
        <w:tc>
          <w:tcPr>
            <w:tcW w:w="600" w:type="pct"/>
            <w:vAlign w:val="center"/>
          </w:tcPr>
          <w:p w14:paraId="36F29518">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远程诊断统计</w:t>
            </w:r>
          </w:p>
        </w:tc>
        <w:tc>
          <w:tcPr>
            <w:tcW w:w="3378" w:type="pct"/>
            <w:vAlign w:val="center"/>
          </w:tcPr>
          <w:p w14:paraId="2BC5A66A">
            <w:pPr>
              <w:spacing w:line="360" w:lineRule="auto"/>
              <w:rPr>
                <w:rFonts w:ascii="仿宋" w:hAnsi="仿宋" w:eastAsia="仿宋" w:cs="仿宋"/>
                <w:sz w:val="24"/>
                <w:highlight w:val="none"/>
              </w:rPr>
            </w:pPr>
            <w:r>
              <w:rPr>
                <w:rFonts w:hint="eastAsia" w:ascii="仿宋" w:hAnsi="仿宋" w:eastAsia="仿宋" w:cs="仿宋"/>
                <w:sz w:val="24"/>
                <w:highlight w:val="none"/>
              </w:rPr>
              <w:t>支持工作量统计，含申请量/书写量/审核量/修订量；时间默认今年，可快速筛选最近一周、最近一个月、最近三个月、最近半年、最近一年、今年。</w:t>
            </w:r>
          </w:p>
          <w:p w14:paraId="49A5C3B4">
            <w:pPr>
              <w:spacing w:line="360" w:lineRule="auto"/>
              <w:rPr>
                <w:rFonts w:ascii="仿宋" w:hAnsi="仿宋" w:eastAsia="仿宋" w:cs="仿宋"/>
                <w:sz w:val="24"/>
                <w:highlight w:val="none"/>
              </w:rPr>
            </w:pPr>
            <w:r>
              <w:rPr>
                <w:rFonts w:hint="eastAsia" w:ascii="仿宋" w:hAnsi="仿宋" w:eastAsia="仿宋" w:cs="仿宋"/>
                <w:sz w:val="24"/>
                <w:highlight w:val="none"/>
              </w:rPr>
              <w:t>支持按申请时间/书写时间/审核时间/修订时间查询。支持按检查类型、申请医院、就诊类别查询，统计列支持工作量、项目数、增强人次、增强项目数，是否显示支持自定义配置。</w:t>
            </w:r>
          </w:p>
          <w:p w14:paraId="6792F37F">
            <w:pPr>
              <w:spacing w:line="360" w:lineRule="auto"/>
              <w:rPr>
                <w:rFonts w:ascii="仿宋" w:hAnsi="仿宋" w:eastAsia="仿宋" w:cs="仿宋"/>
                <w:sz w:val="24"/>
                <w:highlight w:val="none"/>
              </w:rPr>
            </w:pPr>
            <w:r>
              <w:rPr>
                <w:rFonts w:hint="eastAsia" w:ascii="仿宋" w:hAnsi="仿宋" w:eastAsia="仿宋" w:cs="仿宋"/>
                <w:sz w:val="24"/>
                <w:highlight w:val="none"/>
              </w:rPr>
              <w:t>支持远程诊断中心诊断量统计，统计诊断中心在一段时间内，给各个申请机构诊断的各个不同检查类型的诊断工作量。</w:t>
            </w:r>
          </w:p>
          <w:p w14:paraId="3FFE3BD6">
            <w:pPr>
              <w:spacing w:line="360" w:lineRule="auto"/>
              <w:rPr>
                <w:rFonts w:ascii="仿宋" w:hAnsi="仿宋" w:eastAsia="仿宋" w:cs="仿宋"/>
                <w:sz w:val="24"/>
                <w:highlight w:val="none"/>
              </w:rPr>
            </w:pPr>
            <w:r>
              <w:rPr>
                <w:rFonts w:hint="eastAsia" w:ascii="仿宋" w:hAnsi="仿宋" w:eastAsia="仿宋" w:cs="仿宋"/>
                <w:sz w:val="24"/>
                <w:highlight w:val="none"/>
              </w:rPr>
              <w:t>支持按时间类型（申请时间/书写时间/审核时间/修订时间）、时间范围、检查类型、申请医院的条件进行筛选性统计。</w:t>
            </w:r>
          </w:p>
          <w:p w14:paraId="6A64C63E">
            <w:pPr>
              <w:spacing w:line="360" w:lineRule="auto"/>
              <w:rPr>
                <w:rFonts w:ascii="仿宋" w:hAnsi="仿宋" w:eastAsia="仿宋" w:cs="仿宋"/>
                <w:sz w:val="24"/>
                <w:highlight w:val="none"/>
              </w:rPr>
            </w:pPr>
            <w:r>
              <w:rPr>
                <w:rFonts w:hint="eastAsia" w:ascii="仿宋" w:hAnsi="仿宋" w:eastAsia="仿宋" w:cs="仿宋"/>
                <w:sz w:val="24"/>
                <w:highlight w:val="none"/>
              </w:rPr>
              <w:t>支持按检查类型、按天/月/季，查看一段时间内的中心诊断量趋势图。</w:t>
            </w:r>
          </w:p>
        </w:tc>
      </w:tr>
      <w:tr w14:paraId="074B5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5F7ADF0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9</w:t>
            </w:r>
          </w:p>
        </w:tc>
        <w:tc>
          <w:tcPr>
            <w:tcW w:w="601" w:type="pct"/>
            <w:vMerge w:val="continue"/>
            <w:vAlign w:val="center"/>
          </w:tcPr>
          <w:p w14:paraId="2A6CB03A">
            <w:pPr>
              <w:spacing w:line="360" w:lineRule="auto"/>
              <w:jc w:val="center"/>
              <w:rPr>
                <w:rFonts w:ascii="仿宋" w:hAnsi="仿宋" w:eastAsia="仿宋" w:cs="仿宋"/>
                <w:sz w:val="24"/>
                <w:highlight w:val="none"/>
              </w:rPr>
            </w:pPr>
          </w:p>
        </w:tc>
        <w:tc>
          <w:tcPr>
            <w:tcW w:w="600" w:type="pct"/>
            <w:vAlign w:val="center"/>
          </w:tcPr>
          <w:p w14:paraId="73C4741E">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诊断耗时</w:t>
            </w:r>
          </w:p>
        </w:tc>
        <w:tc>
          <w:tcPr>
            <w:tcW w:w="3378" w:type="pct"/>
            <w:vAlign w:val="center"/>
          </w:tcPr>
          <w:p w14:paraId="69C797F7">
            <w:pPr>
              <w:spacing w:line="360" w:lineRule="auto"/>
              <w:rPr>
                <w:rFonts w:ascii="仿宋" w:hAnsi="仿宋" w:eastAsia="仿宋" w:cs="仿宋"/>
                <w:sz w:val="24"/>
                <w:highlight w:val="none"/>
              </w:rPr>
            </w:pPr>
            <w:r>
              <w:rPr>
                <w:rFonts w:hint="eastAsia" w:ascii="仿宋" w:hAnsi="仿宋" w:eastAsia="仿宋" w:cs="仿宋"/>
                <w:sz w:val="24"/>
                <w:highlight w:val="none"/>
              </w:rPr>
              <w:t>支持按检查类型提供不同检查类型、不同就诊类型的耗时情况，报告平均耗时﹑最大耗时﹑最小耗时以及各个环节的耗时情况。</w:t>
            </w:r>
          </w:p>
          <w:p w14:paraId="3D8A58F4">
            <w:pPr>
              <w:spacing w:line="360" w:lineRule="auto"/>
              <w:rPr>
                <w:rFonts w:ascii="仿宋" w:hAnsi="仿宋" w:eastAsia="仿宋" w:cs="仿宋"/>
                <w:sz w:val="24"/>
                <w:highlight w:val="none"/>
              </w:rPr>
            </w:pPr>
            <w:r>
              <w:rPr>
                <w:rFonts w:hint="eastAsia" w:ascii="仿宋" w:hAnsi="仿宋" w:eastAsia="仿宋" w:cs="仿宋"/>
                <w:sz w:val="24"/>
                <w:highlight w:val="none"/>
              </w:rPr>
              <w:t>支持对某一个检查类型，按每天/月/季/年，统计不同就诊类型的耗时情况。</w:t>
            </w:r>
          </w:p>
          <w:p w14:paraId="16B0099E">
            <w:pPr>
              <w:spacing w:line="360" w:lineRule="auto"/>
              <w:rPr>
                <w:rFonts w:ascii="仿宋" w:hAnsi="仿宋" w:eastAsia="仿宋" w:cs="仿宋"/>
                <w:sz w:val="24"/>
                <w:highlight w:val="none"/>
              </w:rPr>
            </w:pPr>
            <w:r>
              <w:rPr>
                <w:rFonts w:hint="eastAsia" w:ascii="仿宋" w:hAnsi="仿宋" w:eastAsia="仿宋" w:cs="仿宋"/>
                <w:sz w:val="24"/>
                <w:highlight w:val="none"/>
              </w:rPr>
              <w:t>支持对某一时段进行钻取，查看检查记录的耗时明细记录。支持按检查类型统计每天/每月/每季/每年耗时概览情况。支持显示同期/上期的数据。</w:t>
            </w:r>
          </w:p>
          <w:p w14:paraId="0370111B">
            <w:pPr>
              <w:spacing w:line="360" w:lineRule="auto"/>
              <w:rPr>
                <w:rFonts w:ascii="仿宋" w:hAnsi="仿宋" w:eastAsia="仿宋" w:cs="仿宋"/>
                <w:sz w:val="24"/>
                <w:highlight w:val="none"/>
              </w:rPr>
            </w:pPr>
            <w:r>
              <w:rPr>
                <w:rFonts w:hint="eastAsia" w:ascii="仿宋" w:hAnsi="仿宋" w:eastAsia="仿宋" w:cs="仿宋"/>
                <w:sz w:val="24"/>
                <w:highlight w:val="none"/>
              </w:rPr>
              <w:t>支持对全部耗时、书写耗时、审核耗时分别统计。</w:t>
            </w:r>
          </w:p>
          <w:p w14:paraId="2C0B2D62">
            <w:pPr>
              <w:spacing w:line="360" w:lineRule="auto"/>
              <w:rPr>
                <w:rFonts w:ascii="仿宋" w:hAnsi="仿宋" w:eastAsia="仿宋" w:cs="仿宋"/>
                <w:sz w:val="24"/>
                <w:highlight w:val="none"/>
              </w:rPr>
            </w:pPr>
            <w:r>
              <w:rPr>
                <w:rFonts w:hint="eastAsia" w:ascii="仿宋" w:hAnsi="仿宋" w:eastAsia="仿宋" w:cs="仿宋"/>
                <w:sz w:val="24"/>
                <w:highlight w:val="none"/>
              </w:rPr>
              <w:t>支持选择某一个时间段，对该时间段内的耗时进行对比分析。</w:t>
            </w:r>
          </w:p>
          <w:p w14:paraId="3C5BA23F">
            <w:pPr>
              <w:spacing w:line="360" w:lineRule="auto"/>
              <w:rPr>
                <w:rFonts w:ascii="仿宋" w:hAnsi="仿宋" w:eastAsia="仿宋" w:cs="仿宋"/>
                <w:sz w:val="24"/>
                <w:highlight w:val="none"/>
              </w:rPr>
            </w:pPr>
            <w:r>
              <w:rPr>
                <w:rFonts w:hint="eastAsia" w:ascii="仿宋" w:hAnsi="仿宋" w:eastAsia="仿宋" w:cs="仿宋"/>
                <w:sz w:val="24"/>
                <w:highlight w:val="none"/>
              </w:rPr>
              <w:t>支持查看就诊类型对比，针对超时的类型进行醒目标记。</w:t>
            </w:r>
          </w:p>
          <w:p w14:paraId="23C88887">
            <w:pPr>
              <w:spacing w:line="360" w:lineRule="auto"/>
              <w:rPr>
                <w:rFonts w:ascii="仿宋" w:hAnsi="仿宋" w:eastAsia="仿宋" w:cs="仿宋"/>
                <w:sz w:val="24"/>
                <w:highlight w:val="none"/>
              </w:rPr>
            </w:pPr>
            <w:r>
              <w:rPr>
                <w:rFonts w:hint="eastAsia" w:ascii="仿宋" w:hAnsi="仿宋" w:eastAsia="仿宋" w:cs="仿宋"/>
                <w:sz w:val="24"/>
                <w:highlight w:val="none"/>
              </w:rPr>
              <w:t>支持提供饼图，展现书写耗时、书写等待耗时、审核耗时、审核等待耗时的耗时占比情况。</w:t>
            </w:r>
          </w:p>
          <w:p w14:paraId="3938448B">
            <w:pPr>
              <w:spacing w:line="360" w:lineRule="auto"/>
              <w:rPr>
                <w:rFonts w:ascii="仿宋" w:hAnsi="仿宋" w:eastAsia="仿宋" w:cs="仿宋"/>
                <w:sz w:val="24"/>
                <w:highlight w:val="none"/>
              </w:rPr>
            </w:pPr>
            <w:r>
              <w:rPr>
                <w:rFonts w:hint="eastAsia" w:ascii="仿宋" w:hAnsi="仿宋" w:eastAsia="仿宋" w:cs="仿宋"/>
                <w:sz w:val="24"/>
                <w:highlight w:val="none"/>
              </w:rPr>
              <w:t>支持按职称过滤，查看同职称医生之间排行情况。</w:t>
            </w:r>
          </w:p>
        </w:tc>
      </w:tr>
      <w:tr w14:paraId="27EA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4C202EF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10</w:t>
            </w:r>
          </w:p>
        </w:tc>
        <w:tc>
          <w:tcPr>
            <w:tcW w:w="601" w:type="pct"/>
            <w:vMerge w:val="continue"/>
            <w:vAlign w:val="center"/>
          </w:tcPr>
          <w:p w14:paraId="0AEDF0E7">
            <w:pPr>
              <w:spacing w:line="360" w:lineRule="auto"/>
              <w:jc w:val="center"/>
              <w:rPr>
                <w:rFonts w:ascii="仿宋" w:hAnsi="仿宋" w:eastAsia="仿宋" w:cs="仿宋"/>
                <w:sz w:val="24"/>
                <w:highlight w:val="none"/>
              </w:rPr>
            </w:pPr>
          </w:p>
        </w:tc>
        <w:tc>
          <w:tcPr>
            <w:tcW w:w="600" w:type="pct"/>
            <w:noWrap/>
            <w:vAlign w:val="center"/>
          </w:tcPr>
          <w:p w14:paraId="71E6134D">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诊断及时率</w:t>
            </w:r>
          </w:p>
        </w:tc>
        <w:tc>
          <w:tcPr>
            <w:tcW w:w="3378" w:type="pct"/>
            <w:vAlign w:val="center"/>
          </w:tcPr>
          <w:p w14:paraId="217C25D8">
            <w:pPr>
              <w:spacing w:line="360" w:lineRule="auto"/>
              <w:rPr>
                <w:rFonts w:ascii="仿宋" w:hAnsi="仿宋" w:eastAsia="仿宋" w:cs="仿宋"/>
                <w:sz w:val="24"/>
                <w:highlight w:val="none"/>
              </w:rPr>
            </w:pPr>
            <w:r>
              <w:rPr>
                <w:rFonts w:hint="eastAsia" w:ascii="仿宋" w:hAnsi="仿宋" w:eastAsia="仿宋" w:cs="仿宋"/>
                <w:sz w:val="24"/>
                <w:highlight w:val="none"/>
              </w:rPr>
              <w:t>支持按时间统计，当天的诊断及时率，超时率，并支持查看明细。</w:t>
            </w:r>
          </w:p>
          <w:p w14:paraId="33C26338">
            <w:pPr>
              <w:spacing w:line="360" w:lineRule="auto"/>
              <w:rPr>
                <w:rFonts w:ascii="仿宋" w:hAnsi="仿宋" w:eastAsia="仿宋" w:cs="仿宋"/>
                <w:sz w:val="24"/>
                <w:highlight w:val="none"/>
              </w:rPr>
            </w:pPr>
            <w:r>
              <w:rPr>
                <w:rFonts w:hint="eastAsia" w:ascii="仿宋" w:hAnsi="仿宋" w:eastAsia="仿宋" w:cs="仿宋"/>
                <w:sz w:val="24"/>
                <w:highlight w:val="none"/>
              </w:rPr>
              <w:t>支持按审核医生统计，医生的诊断及时率，超时率，并支持查看明细。</w:t>
            </w:r>
          </w:p>
          <w:p w14:paraId="0D2A55F2">
            <w:pPr>
              <w:spacing w:line="360" w:lineRule="auto"/>
              <w:rPr>
                <w:rFonts w:ascii="仿宋" w:hAnsi="仿宋" w:eastAsia="仿宋" w:cs="仿宋"/>
                <w:sz w:val="24"/>
                <w:highlight w:val="none"/>
              </w:rPr>
            </w:pPr>
            <w:r>
              <w:rPr>
                <w:rFonts w:hint="eastAsia" w:ascii="仿宋" w:hAnsi="仿宋" w:eastAsia="仿宋" w:cs="仿宋"/>
                <w:sz w:val="24"/>
                <w:highlight w:val="none"/>
              </w:rPr>
              <w:t>支持超过报告时限的进行醒目标记。</w:t>
            </w:r>
          </w:p>
        </w:tc>
      </w:tr>
      <w:tr w14:paraId="3D2A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73DDF39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11</w:t>
            </w:r>
          </w:p>
        </w:tc>
        <w:tc>
          <w:tcPr>
            <w:tcW w:w="601" w:type="pct"/>
            <w:vMerge w:val="continue"/>
            <w:vAlign w:val="center"/>
          </w:tcPr>
          <w:p w14:paraId="7C5B2242">
            <w:pPr>
              <w:spacing w:line="360" w:lineRule="auto"/>
              <w:jc w:val="center"/>
              <w:rPr>
                <w:rFonts w:ascii="仿宋" w:hAnsi="仿宋" w:eastAsia="仿宋" w:cs="仿宋"/>
                <w:sz w:val="24"/>
                <w:highlight w:val="none"/>
              </w:rPr>
            </w:pPr>
          </w:p>
        </w:tc>
        <w:tc>
          <w:tcPr>
            <w:tcW w:w="600" w:type="pct"/>
            <w:noWrap/>
            <w:vAlign w:val="center"/>
          </w:tcPr>
          <w:p w14:paraId="4D9C2D6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病例管理</w:t>
            </w:r>
          </w:p>
        </w:tc>
        <w:tc>
          <w:tcPr>
            <w:tcW w:w="3378" w:type="pct"/>
            <w:vAlign w:val="center"/>
          </w:tcPr>
          <w:p w14:paraId="748B3A8A">
            <w:pPr>
              <w:spacing w:line="360" w:lineRule="auto"/>
              <w:rPr>
                <w:rFonts w:ascii="仿宋" w:hAnsi="仿宋" w:eastAsia="仿宋" w:cs="仿宋"/>
                <w:sz w:val="24"/>
                <w:highlight w:val="none"/>
              </w:rPr>
            </w:pPr>
            <w:r>
              <w:rPr>
                <w:rFonts w:hint="eastAsia" w:ascii="仿宋" w:hAnsi="仿宋" w:eastAsia="仿宋" w:cs="仿宋"/>
                <w:sz w:val="24"/>
                <w:highlight w:val="none"/>
              </w:rPr>
              <w:t>支持报告对比功能，特殊标识修改内容，学员可快速定位。</w:t>
            </w:r>
          </w:p>
          <w:p w14:paraId="7F38066B">
            <w:pPr>
              <w:spacing w:line="360" w:lineRule="auto"/>
              <w:rPr>
                <w:rFonts w:ascii="仿宋" w:hAnsi="仿宋" w:eastAsia="仿宋" w:cs="仿宋"/>
                <w:sz w:val="24"/>
                <w:highlight w:val="none"/>
              </w:rPr>
            </w:pPr>
            <w:r>
              <w:rPr>
                <w:rFonts w:hint="eastAsia" w:ascii="仿宋" w:hAnsi="仿宋" w:eastAsia="仿宋" w:cs="仿宋"/>
                <w:sz w:val="24"/>
                <w:highlight w:val="none"/>
              </w:rPr>
              <w:t>支持病例收藏，支持按ICD-11进行疾病分类管理，支持分目录收藏，该项配置随账号走。</w:t>
            </w:r>
          </w:p>
          <w:p w14:paraId="3A300480">
            <w:pPr>
              <w:spacing w:line="360" w:lineRule="auto"/>
              <w:rPr>
                <w:rFonts w:ascii="仿宋" w:hAnsi="仿宋" w:eastAsia="仿宋" w:cs="仿宋"/>
                <w:sz w:val="24"/>
                <w:highlight w:val="none"/>
              </w:rPr>
            </w:pPr>
            <w:r>
              <w:rPr>
                <w:rFonts w:hint="eastAsia" w:ascii="仿宋" w:hAnsi="仿宋" w:eastAsia="仿宋" w:cs="仿宋"/>
                <w:sz w:val="24"/>
                <w:highlight w:val="none"/>
              </w:rPr>
              <w:t>支持病例随访，一键添加病例为随访任务、制定随访计划，支持自定义随访表单，支持随访前智能提醒、逾期未随访提醒，支持根据随访状态分状态栏展示患者列表。</w:t>
            </w:r>
          </w:p>
        </w:tc>
      </w:tr>
      <w:tr w14:paraId="0621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421" w:type="pct"/>
            <w:noWrap/>
            <w:vAlign w:val="center"/>
          </w:tcPr>
          <w:p w14:paraId="476D834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12</w:t>
            </w:r>
          </w:p>
        </w:tc>
        <w:tc>
          <w:tcPr>
            <w:tcW w:w="601" w:type="pct"/>
            <w:vMerge w:val="restart"/>
            <w:vAlign w:val="center"/>
          </w:tcPr>
          <w:p w14:paraId="2C729B6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诊断管理</w:t>
            </w:r>
          </w:p>
        </w:tc>
        <w:tc>
          <w:tcPr>
            <w:tcW w:w="600" w:type="pct"/>
            <w:noWrap/>
            <w:vAlign w:val="center"/>
          </w:tcPr>
          <w:p w14:paraId="6F012C3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波形采集</w:t>
            </w:r>
          </w:p>
        </w:tc>
        <w:tc>
          <w:tcPr>
            <w:tcW w:w="3378" w:type="pct"/>
            <w:vAlign w:val="center"/>
          </w:tcPr>
          <w:p w14:paraId="6758AD2A">
            <w:pPr>
              <w:spacing w:line="360" w:lineRule="auto"/>
              <w:rPr>
                <w:rFonts w:ascii="仿宋" w:hAnsi="仿宋" w:eastAsia="仿宋" w:cs="仿宋"/>
                <w:sz w:val="24"/>
                <w:highlight w:val="none"/>
              </w:rPr>
            </w:pPr>
            <w:r>
              <w:rPr>
                <w:rFonts w:hint="eastAsia" w:ascii="仿宋" w:hAnsi="仿宋" w:eastAsia="仿宋" w:cs="仿宋"/>
                <w:sz w:val="24"/>
                <w:highlight w:val="none"/>
              </w:rPr>
              <w:t>工作列表自动以醒目图标或颜色标识各类异常状态，如：检查占用、检查超时、需重新检查、数据删除、报告退回、危急值、紧急锁定、检查备注等，便于快速定位处理。</w:t>
            </w:r>
          </w:p>
          <w:p w14:paraId="6CE39C1D">
            <w:pPr>
              <w:spacing w:line="360" w:lineRule="auto"/>
              <w:rPr>
                <w:rFonts w:ascii="仿宋" w:hAnsi="仿宋" w:eastAsia="仿宋" w:cs="仿宋"/>
                <w:sz w:val="24"/>
                <w:highlight w:val="none"/>
              </w:rPr>
            </w:pPr>
            <w:r>
              <w:rPr>
                <w:rFonts w:hint="eastAsia" w:ascii="仿宋" w:hAnsi="仿宋" w:eastAsia="仿宋" w:cs="仿宋"/>
                <w:sz w:val="24"/>
                <w:highlight w:val="none"/>
              </w:rPr>
              <w:t>单击列表记录可快速预览报告摘要，涵盖患者信息、申请信息、心电测值、诊断、报告状态及打印状态。</w:t>
            </w:r>
          </w:p>
          <w:p w14:paraId="585E9617">
            <w:pPr>
              <w:spacing w:line="360" w:lineRule="auto"/>
              <w:rPr>
                <w:rFonts w:ascii="仿宋" w:hAnsi="仿宋" w:eastAsia="仿宋" w:cs="仿宋"/>
                <w:sz w:val="24"/>
                <w:highlight w:val="none"/>
              </w:rPr>
            </w:pPr>
            <w:r>
              <w:rPr>
                <w:rFonts w:hint="eastAsia" w:ascii="仿宋" w:hAnsi="仿宋" w:eastAsia="仿宋" w:cs="仿宋"/>
                <w:sz w:val="24"/>
                <w:highlight w:val="none"/>
              </w:rPr>
              <w:t>支持医生根据岗位切换工作模式：检查模式（专注采集）、报告模式（专注书写）、检查+报告混合模式。</w:t>
            </w:r>
          </w:p>
          <w:p w14:paraId="460074E3">
            <w:pPr>
              <w:spacing w:line="360" w:lineRule="auto"/>
              <w:rPr>
                <w:rFonts w:ascii="仿宋" w:hAnsi="仿宋" w:eastAsia="仿宋" w:cs="仿宋"/>
                <w:sz w:val="24"/>
                <w:highlight w:val="none"/>
              </w:rPr>
            </w:pPr>
            <w:r>
              <w:rPr>
                <w:rFonts w:hint="eastAsia" w:ascii="仿宋" w:hAnsi="仿宋" w:eastAsia="仿宋" w:cs="仿宋"/>
                <w:sz w:val="24"/>
                <w:highlight w:val="none"/>
              </w:rPr>
              <w:t>支持接入常规与床边心电设备，支持标准化及厂商专用协议。</w:t>
            </w:r>
          </w:p>
          <w:p w14:paraId="32E2085B">
            <w:pPr>
              <w:spacing w:line="360" w:lineRule="auto"/>
              <w:rPr>
                <w:rFonts w:ascii="仿宋" w:hAnsi="仿宋" w:eastAsia="仿宋" w:cs="仿宋"/>
                <w:sz w:val="24"/>
                <w:highlight w:val="none"/>
              </w:rPr>
            </w:pPr>
            <w:r>
              <w:rPr>
                <w:rFonts w:hint="eastAsia" w:ascii="仿宋" w:hAnsi="仿宋" w:eastAsia="仿宋" w:cs="仿宋"/>
                <w:sz w:val="24"/>
                <w:highlight w:val="none"/>
              </w:rPr>
              <w:t>检查时自动对屏幕显示的敏感患者信息进行脱敏处理，并可设置检查前隐私保护提醒，符合信息安全规范。</w:t>
            </w:r>
          </w:p>
          <w:p w14:paraId="0BED8AFC">
            <w:pPr>
              <w:spacing w:line="360" w:lineRule="auto"/>
              <w:rPr>
                <w:rFonts w:ascii="仿宋" w:hAnsi="仿宋" w:eastAsia="仿宋" w:cs="仿宋"/>
                <w:sz w:val="24"/>
                <w:highlight w:val="none"/>
              </w:rPr>
            </w:pPr>
            <w:r>
              <w:rPr>
                <w:rFonts w:hint="eastAsia" w:ascii="仿宋" w:hAnsi="仿宋" w:eastAsia="仿宋" w:cs="仿宋"/>
                <w:sz w:val="24"/>
                <w:highlight w:val="none"/>
              </w:rPr>
              <w:t>支持床边、急诊等场景下“先检查后登记”的灵活流程，系统可根据检查时录入的信息，智能匹配并关联近期电子申请单。</w:t>
            </w:r>
          </w:p>
          <w:p w14:paraId="2BF8DA52">
            <w:pPr>
              <w:spacing w:line="360" w:lineRule="auto"/>
              <w:rPr>
                <w:rFonts w:ascii="仿宋" w:hAnsi="仿宋" w:eastAsia="仿宋" w:cs="仿宋"/>
                <w:sz w:val="24"/>
                <w:highlight w:val="none"/>
              </w:rPr>
            </w:pPr>
            <w:r>
              <w:rPr>
                <w:rFonts w:hint="eastAsia" w:ascii="仿宋" w:hAnsi="仿宋" w:eastAsia="仿宋" w:cs="仿宋"/>
                <w:sz w:val="24"/>
                <w:highlight w:val="none"/>
              </w:rPr>
              <w:t>支持手动触发采集、关联离线波形文件、手动/自动延时确认波形、删除不满意波形并触发重新检查。</w:t>
            </w:r>
          </w:p>
          <w:p w14:paraId="38EAF732">
            <w:pPr>
              <w:spacing w:line="360" w:lineRule="auto"/>
              <w:rPr>
                <w:rFonts w:ascii="仿宋" w:hAnsi="仿宋" w:eastAsia="仿宋" w:cs="仿宋"/>
                <w:sz w:val="24"/>
                <w:highlight w:val="none"/>
              </w:rPr>
            </w:pPr>
            <w:r>
              <w:rPr>
                <w:rFonts w:hint="eastAsia" w:ascii="仿宋" w:hAnsi="仿宋" w:eastAsia="仿宋" w:cs="仿宋"/>
                <w:sz w:val="24"/>
                <w:highlight w:val="none"/>
              </w:rPr>
              <w:t>采集结束后波形自动加载显示，医生确认后即完成检查，支持临时打印心电图用于床旁会诊。</w:t>
            </w:r>
          </w:p>
          <w:p w14:paraId="36267466">
            <w:pPr>
              <w:spacing w:line="360" w:lineRule="auto"/>
              <w:rPr>
                <w:rFonts w:ascii="仿宋" w:hAnsi="仿宋" w:eastAsia="仿宋" w:cs="仿宋"/>
                <w:sz w:val="24"/>
                <w:highlight w:val="none"/>
              </w:rPr>
            </w:pPr>
            <w:r>
              <w:rPr>
                <w:rFonts w:hint="eastAsia" w:ascii="仿宋" w:hAnsi="仿宋" w:eastAsia="仿宋" w:cs="仿宋"/>
                <w:sz w:val="24"/>
                <w:highlight w:val="none"/>
              </w:rPr>
              <w:t>允许医生个性化配置检查完成后的自动跳转动作，如：停留在当前界面、返回工作列表、跳转至下一患者或打开快捷登记，匹配个人工作流。</w:t>
            </w:r>
          </w:p>
          <w:p w14:paraId="1662670B">
            <w:pPr>
              <w:spacing w:line="360" w:lineRule="auto"/>
              <w:rPr>
                <w:rFonts w:ascii="仿宋" w:hAnsi="仿宋" w:eastAsia="仿宋" w:cs="仿宋"/>
                <w:sz w:val="24"/>
                <w:highlight w:val="none"/>
              </w:rPr>
            </w:pPr>
            <w:r>
              <w:rPr>
                <w:rFonts w:hint="eastAsia" w:ascii="仿宋" w:hAnsi="仿宋" w:eastAsia="仿宋" w:cs="仿宋"/>
                <w:sz w:val="24"/>
                <w:highlight w:val="none"/>
              </w:rPr>
              <w:t>支持将心电波形数据在患者间进行安全转移，用于纠正因登记错误导致的数据归属问题。</w:t>
            </w:r>
          </w:p>
        </w:tc>
      </w:tr>
      <w:tr w14:paraId="3D94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 w:hRule="atLeast"/>
        </w:trPr>
        <w:tc>
          <w:tcPr>
            <w:tcW w:w="421" w:type="pct"/>
            <w:noWrap/>
            <w:vAlign w:val="center"/>
          </w:tcPr>
          <w:p w14:paraId="129F7DDB">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13</w:t>
            </w:r>
          </w:p>
        </w:tc>
        <w:tc>
          <w:tcPr>
            <w:tcW w:w="601" w:type="pct"/>
            <w:vMerge w:val="continue"/>
            <w:vAlign w:val="center"/>
          </w:tcPr>
          <w:p w14:paraId="7CF5A81C">
            <w:pPr>
              <w:spacing w:line="360" w:lineRule="auto"/>
              <w:jc w:val="center"/>
              <w:rPr>
                <w:rFonts w:ascii="仿宋" w:hAnsi="仿宋" w:eastAsia="仿宋" w:cs="仿宋"/>
                <w:sz w:val="24"/>
                <w:highlight w:val="none"/>
              </w:rPr>
            </w:pPr>
          </w:p>
        </w:tc>
        <w:tc>
          <w:tcPr>
            <w:tcW w:w="600" w:type="pct"/>
            <w:vAlign w:val="center"/>
          </w:tcPr>
          <w:p w14:paraId="7DDDCE2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诊断申请</w:t>
            </w:r>
          </w:p>
        </w:tc>
        <w:tc>
          <w:tcPr>
            <w:tcW w:w="3378" w:type="pct"/>
            <w:vAlign w:val="center"/>
          </w:tcPr>
          <w:p w14:paraId="5EAEF00C">
            <w:pPr>
              <w:spacing w:line="360" w:lineRule="auto"/>
              <w:rPr>
                <w:rFonts w:ascii="仿宋" w:hAnsi="仿宋" w:eastAsia="仿宋" w:cs="仿宋"/>
                <w:sz w:val="24"/>
                <w:highlight w:val="none"/>
              </w:rPr>
            </w:pPr>
            <w:r>
              <w:rPr>
                <w:rFonts w:hint="eastAsia" w:ascii="仿宋" w:hAnsi="仿宋" w:eastAsia="仿宋" w:cs="仿宋"/>
                <w:sz w:val="24"/>
                <w:highlight w:val="none"/>
              </w:rPr>
              <w:t>支持手工申请诊断、申请审核，支持批量手工申请诊断、批量申请审核。</w:t>
            </w:r>
          </w:p>
          <w:p w14:paraId="75C21CD9">
            <w:pPr>
              <w:spacing w:line="360" w:lineRule="auto"/>
              <w:rPr>
                <w:rFonts w:ascii="仿宋" w:hAnsi="仿宋" w:eastAsia="仿宋" w:cs="仿宋"/>
                <w:sz w:val="24"/>
                <w:highlight w:val="none"/>
              </w:rPr>
            </w:pPr>
            <w:r>
              <w:rPr>
                <w:rFonts w:hint="eastAsia" w:ascii="仿宋" w:hAnsi="仿宋" w:eastAsia="仿宋" w:cs="仿宋"/>
                <w:sz w:val="24"/>
                <w:highlight w:val="none"/>
              </w:rPr>
              <w:t>申请诊断/申请审核后支持取消，取消后可重新申请；检查被锁定，申请机构的医生不可进行书写/审核操作。</w:t>
            </w:r>
          </w:p>
          <w:p w14:paraId="02FDECEF">
            <w:pPr>
              <w:spacing w:line="360" w:lineRule="auto"/>
              <w:rPr>
                <w:rFonts w:ascii="仿宋" w:hAnsi="仿宋" w:eastAsia="仿宋" w:cs="仿宋"/>
                <w:sz w:val="24"/>
                <w:highlight w:val="none"/>
              </w:rPr>
            </w:pPr>
            <w:r>
              <w:rPr>
                <w:rFonts w:hint="eastAsia" w:ascii="仿宋" w:hAnsi="仿宋" w:eastAsia="仿宋" w:cs="仿宋"/>
                <w:sz w:val="24"/>
                <w:highlight w:val="none"/>
              </w:rPr>
              <w:t>支持设置检查完成自动上传图像，并提交诊断申请。</w:t>
            </w:r>
          </w:p>
          <w:p w14:paraId="1843F6C8">
            <w:pPr>
              <w:spacing w:line="360" w:lineRule="auto"/>
              <w:rPr>
                <w:rFonts w:ascii="仿宋" w:hAnsi="仿宋" w:eastAsia="仿宋" w:cs="仿宋"/>
                <w:sz w:val="24"/>
                <w:highlight w:val="none"/>
              </w:rPr>
            </w:pPr>
            <w:r>
              <w:rPr>
                <w:rFonts w:hint="eastAsia" w:ascii="仿宋" w:hAnsi="仿宋" w:eastAsia="仿宋" w:cs="仿宋"/>
                <w:sz w:val="24"/>
                <w:highlight w:val="none"/>
              </w:rPr>
              <w:t>支持设置初步报告完成后自动上传影像，并提交审核申请。</w:t>
            </w:r>
          </w:p>
          <w:p w14:paraId="5F71FA36">
            <w:pPr>
              <w:spacing w:line="360" w:lineRule="auto"/>
              <w:rPr>
                <w:rFonts w:ascii="仿宋" w:hAnsi="仿宋" w:eastAsia="仿宋" w:cs="仿宋"/>
                <w:sz w:val="24"/>
                <w:highlight w:val="none"/>
              </w:rPr>
            </w:pPr>
            <w:r>
              <w:rPr>
                <w:rFonts w:hint="eastAsia" w:ascii="仿宋" w:hAnsi="仿宋" w:eastAsia="仿宋" w:cs="仿宋"/>
                <w:sz w:val="24"/>
                <w:highlight w:val="none"/>
              </w:rPr>
              <w:t>支持在平台输入患者信息、患者资料后申请诊断，提供服务的诊断类型支持配置。</w:t>
            </w:r>
          </w:p>
          <w:p w14:paraId="1CE129D4">
            <w:pPr>
              <w:spacing w:line="360" w:lineRule="auto"/>
              <w:rPr>
                <w:rFonts w:ascii="仿宋" w:hAnsi="仿宋" w:eastAsia="仿宋" w:cs="仿宋"/>
                <w:sz w:val="24"/>
                <w:highlight w:val="none"/>
              </w:rPr>
            </w:pPr>
            <w:r>
              <w:rPr>
                <w:rFonts w:hint="eastAsia" w:ascii="仿宋" w:hAnsi="仿宋" w:eastAsia="仿宋" w:cs="仿宋"/>
                <w:sz w:val="24"/>
                <w:highlight w:val="none"/>
              </w:rPr>
              <w:t>支持诊断申请列表标签页（全部、待诊断、已诊断）方式展示，支持显示除全部外各任务数量。</w:t>
            </w:r>
          </w:p>
          <w:p w14:paraId="546D5472">
            <w:pPr>
              <w:spacing w:line="360" w:lineRule="auto"/>
              <w:rPr>
                <w:rFonts w:ascii="仿宋" w:hAnsi="仿宋" w:eastAsia="仿宋" w:cs="仿宋"/>
                <w:sz w:val="24"/>
                <w:highlight w:val="none"/>
              </w:rPr>
            </w:pPr>
            <w:r>
              <w:rPr>
                <w:rFonts w:hint="eastAsia" w:ascii="仿宋" w:hAnsi="仿宋" w:eastAsia="仿宋" w:cs="仿宋"/>
                <w:sz w:val="24"/>
                <w:highlight w:val="none"/>
              </w:rPr>
              <w:t>支持申请列表显示“即将超时报告”和“超时报告”，针对超时报告支持加急操作。</w:t>
            </w:r>
          </w:p>
          <w:p w14:paraId="3297F44C">
            <w:pPr>
              <w:spacing w:line="360" w:lineRule="auto"/>
              <w:rPr>
                <w:rFonts w:ascii="仿宋" w:hAnsi="仿宋" w:eastAsia="仿宋" w:cs="仿宋"/>
                <w:sz w:val="24"/>
                <w:highlight w:val="none"/>
              </w:rPr>
            </w:pPr>
            <w:r>
              <w:rPr>
                <w:rFonts w:hint="eastAsia" w:ascii="仿宋" w:hAnsi="仿宋" w:eastAsia="仿宋" w:cs="仿宋"/>
                <w:sz w:val="24"/>
                <w:highlight w:val="none"/>
              </w:rPr>
              <w:t>支持列表按检查状态、就诊列表、性别、服务中心、书写时间、初审时间、审核时间、修订时间、登记时间、申请时间正序、倒序排序。</w:t>
            </w:r>
          </w:p>
          <w:p w14:paraId="12AB868F">
            <w:pPr>
              <w:spacing w:line="360" w:lineRule="auto"/>
              <w:rPr>
                <w:rFonts w:ascii="仿宋" w:hAnsi="仿宋" w:eastAsia="仿宋" w:cs="仿宋"/>
                <w:sz w:val="24"/>
                <w:highlight w:val="none"/>
              </w:rPr>
            </w:pPr>
            <w:r>
              <w:rPr>
                <w:rFonts w:hint="eastAsia" w:ascii="仿宋" w:hAnsi="仿宋" w:eastAsia="仿宋" w:cs="仿宋"/>
                <w:sz w:val="24"/>
                <w:highlight w:val="none"/>
              </w:rPr>
              <w:t>支持通过申请时间、书写时间、审核时间、修订时间、患者姓名、患者编号、病历号、检查编号、诊断中心条件查询检查记录。</w:t>
            </w:r>
          </w:p>
          <w:p w14:paraId="41B91BF1">
            <w:pPr>
              <w:spacing w:line="360" w:lineRule="auto"/>
              <w:rPr>
                <w:rFonts w:ascii="仿宋" w:hAnsi="仿宋" w:eastAsia="仿宋" w:cs="仿宋"/>
                <w:sz w:val="24"/>
                <w:highlight w:val="none"/>
              </w:rPr>
            </w:pPr>
            <w:r>
              <w:rPr>
                <w:rFonts w:hint="eastAsia" w:ascii="仿宋" w:hAnsi="仿宋" w:eastAsia="仿宋" w:cs="仿宋"/>
                <w:sz w:val="24"/>
                <w:highlight w:val="none"/>
              </w:rPr>
              <w:t>支持高级搜索条件，包括书写机构/审核机构、检查类型、就诊类别、患者年龄、检查医生/申请医生/书写医生/审核医生/修订医生、诊断类型、所见/诊断关键字、患者性别。</w:t>
            </w:r>
          </w:p>
          <w:p w14:paraId="1D721601">
            <w:pPr>
              <w:spacing w:line="360" w:lineRule="auto"/>
              <w:rPr>
                <w:rFonts w:ascii="仿宋" w:hAnsi="仿宋" w:eastAsia="仿宋" w:cs="仿宋"/>
                <w:sz w:val="24"/>
                <w:highlight w:val="none"/>
              </w:rPr>
            </w:pPr>
            <w:r>
              <w:rPr>
                <w:rFonts w:hint="eastAsia" w:ascii="仿宋" w:hAnsi="仿宋" w:eastAsia="仿宋" w:cs="仿宋"/>
                <w:sz w:val="24"/>
                <w:highlight w:val="none"/>
              </w:rPr>
              <w:t>支持报告修订后通过短信、站内信、移动端消息，发送修订通知给申请医生。</w:t>
            </w:r>
          </w:p>
        </w:tc>
      </w:tr>
      <w:tr w14:paraId="038E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 w:hRule="atLeast"/>
        </w:trPr>
        <w:tc>
          <w:tcPr>
            <w:tcW w:w="421" w:type="pct"/>
            <w:noWrap/>
            <w:vAlign w:val="center"/>
          </w:tcPr>
          <w:p w14:paraId="041D377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14</w:t>
            </w:r>
          </w:p>
        </w:tc>
        <w:tc>
          <w:tcPr>
            <w:tcW w:w="601" w:type="pct"/>
            <w:vMerge w:val="continue"/>
            <w:vAlign w:val="center"/>
          </w:tcPr>
          <w:p w14:paraId="65F3CF09">
            <w:pPr>
              <w:spacing w:line="360" w:lineRule="auto"/>
              <w:jc w:val="center"/>
              <w:rPr>
                <w:rFonts w:ascii="仿宋" w:hAnsi="仿宋" w:eastAsia="仿宋" w:cs="仿宋"/>
                <w:sz w:val="24"/>
                <w:highlight w:val="none"/>
              </w:rPr>
            </w:pPr>
          </w:p>
        </w:tc>
        <w:tc>
          <w:tcPr>
            <w:tcW w:w="600" w:type="pct"/>
            <w:vAlign w:val="center"/>
          </w:tcPr>
          <w:p w14:paraId="095053F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诊断任务</w:t>
            </w:r>
          </w:p>
        </w:tc>
        <w:tc>
          <w:tcPr>
            <w:tcW w:w="3378" w:type="pct"/>
            <w:vAlign w:val="center"/>
          </w:tcPr>
          <w:p w14:paraId="55E0186C">
            <w:pPr>
              <w:spacing w:line="360" w:lineRule="auto"/>
              <w:rPr>
                <w:rFonts w:ascii="仿宋" w:hAnsi="仿宋" w:eastAsia="仿宋" w:cs="仿宋"/>
                <w:sz w:val="24"/>
                <w:highlight w:val="none"/>
              </w:rPr>
            </w:pPr>
            <w:r>
              <w:rPr>
                <w:rFonts w:hint="eastAsia" w:ascii="仿宋" w:hAnsi="仿宋" w:eastAsia="仿宋" w:cs="仿宋"/>
                <w:sz w:val="24"/>
                <w:highlight w:val="none"/>
              </w:rPr>
              <w:t>支持诊断任务通过标签页（全部、待书写、待审核、已完成、报告回退、超时、我的报告）方式展示，支持显示待处理任务数量。</w:t>
            </w:r>
          </w:p>
          <w:p w14:paraId="07A21C18">
            <w:pPr>
              <w:spacing w:line="360" w:lineRule="auto"/>
              <w:rPr>
                <w:rFonts w:ascii="仿宋" w:hAnsi="仿宋" w:eastAsia="仿宋" w:cs="仿宋"/>
                <w:sz w:val="24"/>
                <w:highlight w:val="none"/>
              </w:rPr>
            </w:pPr>
            <w:r>
              <w:rPr>
                <w:rFonts w:hint="eastAsia" w:ascii="仿宋" w:hAnsi="仿宋" w:eastAsia="仿宋" w:cs="仿宋"/>
                <w:sz w:val="24"/>
                <w:highlight w:val="none"/>
              </w:rPr>
              <w:t>支持超时报告支持红色警示提醒。</w:t>
            </w:r>
          </w:p>
          <w:p w14:paraId="362ADADA">
            <w:pPr>
              <w:spacing w:line="360" w:lineRule="auto"/>
              <w:rPr>
                <w:rFonts w:ascii="仿宋" w:hAnsi="仿宋" w:eastAsia="仿宋" w:cs="仿宋"/>
                <w:sz w:val="24"/>
                <w:highlight w:val="none"/>
              </w:rPr>
            </w:pPr>
            <w:r>
              <w:rPr>
                <w:rFonts w:hint="eastAsia" w:ascii="仿宋" w:hAnsi="仿宋" w:eastAsia="仿宋" w:cs="仿宋"/>
                <w:sz w:val="24"/>
                <w:highlight w:val="none"/>
              </w:rPr>
              <w:t>支持查看所有/本人所选时间内的待书写/待审核/已完成的病例数和项目数，支持按机构查看。</w:t>
            </w:r>
          </w:p>
          <w:p w14:paraId="54621486">
            <w:pPr>
              <w:spacing w:line="360" w:lineRule="auto"/>
              <w:rPr>
                <w:rFonts w:ascii="仿宋" w:hAnsi="仿宋" w:eastAsia="仿宋" w:cs="仿宋"/>
                <w:sz w:val="24"/>
                <w:highlight w:val="none"/>
              </w:rPr>
            </w:pPr>
            <w:r>
              <w:rPr>
                <w:rFonts w:hint="eastAsia" w:ascii="仿宋" w:hAnsi="仿宋" w:eastAsia="仿宋" w:cs="仿宋"/>
                <w:sz w:val="24"/>
                <w:highlight w:val="none"/>
              </w:rPr>
              <w:t>支持通过申请时间/书写时间/审核时间/修订时间、患者姓名/患者编号/病历号/检查编号、锁定医生条件查询检查记录。</w:t>
            </w:r>
          </w:p>
          <w:p w14:paraId="3DE5BE9A">
            <w:pPr>
              <w:spacing w:line="360" w:lineRule="auto"/>
              <w:rPr>
                <w:rFonts w:ascii="仿宋" w:hAnsi="仿宋" w:eastAsia="仿宋" w:cs="仿宋"/>
                <w:sz w:val="24"/>
                <w:highlight w:val="none"/>
              </w:rPr>
            </w:pPr>
            <w:r>
              <w:rPr>
                <w:rFonts w:hint="eastAsia" w:ascii="仿宋" w:hAnsi="仿宋" w:eastAsia="仿宋" w:cs="仿宋"/>
                <w:sz w:val="24"/>
                <w:highlight w:val="none"/>
              </w:rPr>
              <w:t>支持高级搜索，包括申请机构/书写机构/审核机构、检查类型、就诊类别、患者年龄、检查医生/申请医生/书写医生/审核医生/修订医生、诊断类型、患者关键字、检查状态、报告关键字、患者性别。</w:t>
            </w:r>
          </w:p>
          <w:p w14:paraId="48ED09CC">
            <w:pPr>
              <w:spacing w:line="360" w:lineRule="auto"/>
              <w:rPr>
                <w:rFonts w:ascii="仿宋" w:hAnsi="仿宋" w:eastAsia="仿宋" w:cs="仿宋"/>
                <w:sz w:val="24"/>
                <w:highlight w:val="none"/>
              </w:rPr>
            </w:pPr>
            <w:r>
              <w:rPr>
                <w:rFonts w:hint="eastAsia" w:ascii="仿宋" w:hAnsi="仿宋" w:eastAsia="仿宋" w:cs="仿宋"/>
                <w:sz w:val="24"/>
                <w:highlight w:val="none"/>
              </w:rPr>
              <w:t>支持通过列表查看诊断任务，并可报告信息/申请信息、影像浏览、报告领取、报告释放、报告书写、报告审核、报告修改、报告修改（他人）、报告修订、紧急锁定、疾病报卡、检查备注、检查跟踪、病例收藏操作。</w:t>
            </w:r>
          </w:p>
        </w:tc>
      </w:tr>
      <w:tr w14:paraId="487C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21" w:type="pct"/>
            <w:noWrap/>
            <w:vAlign w:val="center"/>
          </w:tcPr>
          <w:p w14:paraId="2DC8D48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15</w:t>
            </w:r>
          </w:p>
        </w:tc>
        <w:tc>
          <w:tcPr>
            <w:tcW w:w="601" w:type="pct"/>
            <w:vMerge w:val="restart"/>
            <w:vAlign w:val="center"/>
          </w:tcPr>
          <w:p w14:paraId="753F2E7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综合管理</w:t>
            </w:r>
          </w:p>
        </w:tc>
        <w:tc>
          <w:tcPr>
            <w:tcW w:w="600" w:type="pct"/>
            <w:vAlign w:val="center"/>
          </w:tcPr>
          <w:p w14:paraId="1461DE0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中心管理</w:t>
            </w:r>
          </w:p>
        </w:tc>
        <w:tc>
          <w:tcPr>
            <w:tcW w:w="3378" w:type="pct"/>
            <w:vAlign w:val="center"/>
          </w:tcPr>
          <w:p w14:paraId="081C6FA0">
            <w:pPr>
              <w:spacing w:line="360" w:lineRule="auto"/>
              <w:rPr>
                <w:rFonts w:ascii="仿宋" w:hAnsi="仿宋" w:eastAsia="仿宋" w:cs="仿宋"/>
                <w:sz w:val="24"/>
                <w:highlight w:val="none"/>
              </w:rPr>
            </w:pPr>
            <w:r>
              <w:rPr>
                <w:rFonts w:hint="eastAsia" w:ascii="仿宋" w:hAnsi="仿宋" w:eastAsia="仿宋" w:cs="仿宋"/>
                <w:sz w:val="24"/>
                <w:highlight w:val="none"/>
              </w:rPr>
              <w:t>支持服务中心管理员了解本服务中心的服务概况，包括今日业务进度、业务趋势变化、用户动态、存储容量等信息。</w:t>
            </w:r>
          </w:p>
          <w:p w14:paraId="3E4F2F52">
            <w:pPr>
              <w:spacing w:line="360" w:lineRule="auto"/>
              <w:rPr>
                <w:rFonts w:ascii="仿宋" w:hAnsi="仿宋" w:eastAsia="仿宋" w:cs="仿宋"/>
                <w:sz w:val="24"/>
                <w:highlight w:val="none"/>
              </w:rPr>
            </w:pPr>
            <w:r>
              <w:rPr>
                <w:rFonts w:hint="eastAsia" w:ascii="仿宋" w:hAnsi="仿宋" w:eastAsia="仿宋" w:cs="仿宋"/>
                <w:sz w:val="24"/>
                <w:highlight w:val="none"/>
              </w:rPr>
              <w:t>支持服务中心对资料进行自定义设置（包括资料名称、支持格式、备注、是否必填、排序号），方便针对远程医疗不同业务针对性上传所需资料。</w:t>
            </w:r>
          </w:p>
          <w:p w14:paraId="60714EA7">
            <w:pPr>
              <w:spacing w:line="360" w:lineRule="auto"/>
              <w:rPr>
                <w:rFonts w:ascii="仿宋" w:hAnsi="仿宋" w:eastAsia="仿宋" w:cs="仿宋"/>
                <w:sz w:val="24"/>
                <w:highlight w:val="none"/>
              </w:rPr>
            </w:pPr>
            <w:r>
              <w:rPr>
                <w:rFonts w:hint="eastAsia" w:ascii="仿宋" w:hAnsi="仿宋" w:eastAsia="仿宋" w:cs="仿宋"/>
                <w:sz w:val="24"/>
                <w:highlight w:val="none"/>
              </w:rPr>
              <w:t>支持服务中心对申请信息进行自定义配置，包括显示与否，是否必填等，用户可根据实际需求进行设置。</w:t>
            </w:r>
          </w:p>
          <w:p w14:paraId="4EE30815">
            <w:pPr>
              <w:spacing w:line="360" w:lineRule="auto"/>
              <w:rPr>
                <w:rFonts w:ascii="仿宋" w:hAnsi="仿宋" w:eastAsia="仿宋" w:cs="仿宋"/>
                <w:sz w:val="24"/>
                <w:highlight w:val="none"/>
              </w:rPr>
            </w:pPr>
            <w:r>
              <w:rPr>
                <w:rFonts w:hint="eastAsia" w:ascii="仿宋" w:hAnsi="仿宋" w:eastAsia="仿宋" w:cs="仿宋"/>
                <w:sz w:val="24"/>
                <w:highlight w:val="none"/>
              </w:rPr>
              <w:t>支持数据字典的编辑，支持按照字典分类代码、字典代码、字典值筛选。</w:t>
            </w:r>
          </w:p>
          <w:p w14:paraId="316F86D3">
            <w:pPr>
              <w:spacing w:line="360" w:lineRule="auto"/>
              <w:rPr>
                <w:rFonts w:ascii="仿宋" w:hAnsi="仿宋" w:eastAsia="仿宋" w:cs="仿宋"/>
                <w:sz w:val="24"/>
                <w:highlight w:val="none"/>
              </w:rPr>
            </w:pPr>
            <w:r>
              <w:rPr>
                <w:rFonts w:hint="eastAsia" w:ascii="仿宋" w:hAnsi="仿宋" w:eastAsia="仿宋" w:cs="仿宋"/>
                <w:sz w:val="24"/>
                <w:highlight w:val="none"/>
              </w:rPr>
              <w:t>支持诊断任务排班，可按检查类型、申请医院、工作时间、诊断分工进行排班岗位的设置。</w:t>
            </w:r>
          </w:p>
          <w:p w14:paraId="4CCA2196">
            <w:pPr>
              <w:spacing w:line="360" w:lineRule="auto"/>
              <w:rPr>
                <w:rFonts w:ascii="仿宋" w:hAnsi="仿宋" w:eastAsia="仿宋" w:cs="仿宋"/>
                <w:sz w:val="24"/>
                <w:highlight w:val="none"/>
              </w:rPr>
            </w:pPr>
            <w:r>
              <w:rPr>
                <w:rFonts w:hint="eastAsia" w:ascii="仿宋" w:hAnsi="仿宋" w:eastAsia="仿宋" w:cs="仿宋"/>
                <w:sz w:val="24"/>
                <w:highlight w:val="none"/>
              </w:rPr>
              <w:t>支持对诊断任务的分工进行配置，基层提交审核的，分配给审核医生，基层提交诊断（书写+审核），先分配给书写医生。</w:t>
            </w:r>
          </w:p>
        </w:tc>
      </w:tr>
      <w:tr w14:paraId="7BEF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21" w:type="pct"/>
            <w:noWrap/>
            <w:vAlign w:val="center"/>
          </w:tcPr>
          <w:p w14:paraId="42B7B66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16</w:t>
            </w:r>
          </w:p>
        </w:tc>
        <w:tc>
          <w:tcPr>
            <w:tcW w:w="601" w:type="pct"/>
            <w:vMerge w:val="continue"/>
            <w:vAlign w:val="center"/>
          </w:tcPr>
          <w:p w14:paraId="3D978ABC">
            <w:pPr>
              <w:spacing w:line="360" w:lineRule="auto"/>
              <w:jc w:val="center"/>
              <w:rPr>
                <w:rFonts w:ascii="仿宋" w:hAnsi="仿宋" w:eastAsia="仿宋" w:cs="仿宋"/>
                <w:sz w:val="24"/>
                <w:highlight w:val="none"/>
              </w:rPr>
            </w:pPr>
          </w:p>
        </w:tc>
        <w:tc>
          <w:tcPr>
            <w:tcW w:w="600" w:type="pct"/>
            <w:vAlign w:val="center"/>
          </w:tcPr>
          <w:p w14:paraId="37231EA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合作医院管理</w:t>
            </w:r>
          </w:p>
        </w:tc>
        <w:tc>
          <w:tcPr>
            <w:tcW w:w="3378" w:type="pct"/>
            <w:vAlign w:val="center"/>
          </w:tcPr>
          <w:p w14:paraId="42426F82">
            <w:pPr>
              <w:spacing w:line="360" w:lineRule="auto"/>
              <w:rPr>
                <w:rFonts w:ascii="仿宋" w:hAnsi="仿宋" w:eastAsia="仿宋" w:cs="仿宋"/>
                <w:sz w:val="24"/>
                <w:highlight w:val="none"/>
              </w:rPr>
            </w:pPr>
            <w:r>
              <w:rPr>
                <w:rFonts w:hint="eastAsia" w:ascii="仿宋" w:hAnsi="仿宋" w:eastAsia="仿宋" w:cs="仿宋"/>
                <w:sz w:val="24"/>
                <w:highlight w:val="none"/>
              </w:rPr>
              <w:t>支持签约、解约合作医院，开通或关闭为医疗机构提供的服务项目。</w:t>
            </w:r>
          </w:p>
          <w:p w14:paraId="0C9E7673">
            <w:pPr>
              <w:spacing w:line="360" w:lineRule="auto"/>
              <w:rPr>
                <w:rFonts w:ascii="仿宋" w:hAnsi="仿宋" w:eastAsia="仿宋" w:cs="仿宋"/>
                <w:sz w:val="24"/>
                <w:highlight w:val="none"/>
              </w:rPr>
            </w:pPr>
            <w:r>
              <w:rPr>
                <w:rFonts w:hint="eastAsia" w:ascii="仿宋" w:hAnsi="仿宋" w:eastAsia="仿宋" w:cs="仿宋"/>
                <w:sz w:val="24"/>
                <w:highlight w:val="none"/>
              </w:rPr>
              <w:t>支持上传签约合同电子版。</w:t>
            </w:r>
          </w:p>
          <w:p w14:paraId="7824D6D8">
            <w:pPr>
              <w:spacing w:line="360" w:lineRule="auto"/>
              <w:rPr>
                <w:rFonts w:ascii="仿宋" w:hAnsi="仿宋" w:eastAsia="仿宋" w:cs="仿宋"/>
                <w:sz w:val="24"/>
                <w:highlight w:val="none"/>
              </w:rPr>
            </w:pPr>
            <w:r>
              <w:rPr>
                <w:rFonts w:hint="eastAsia" w:ascii="仿宋" w:hAnsi="仿宋" w:eastAsia="仿宋" w:cs="仿宋"/>
                <w:sz w:val="24"/>
                <w:highlight w:val="none"/>
              </w:rPr>
              <w:t>支持根据开通服务项目筛选签约医院。</w:t>
            </w:r>
          </w:p>
          <w:p w14:paraId="7CF8ECBB">
            <w:pPr>
              <w:spacing w:line="360" w:lineRule="auto"/>
              <w:rPr>
                <w:rFonts w:ascii="仿宋" w:hAnsi="仿宋" w:eastAsia="仿宋" w:cs="仿宋"/>
                <w:sz w:val="24"/>
                <w:highlight w:val="none"/>
              </w:rPr>
            </w:pPr>
            <w:r>
              <w:rPr>
                <w:rFonts w:hint="eastAsia" w:ascii="仿宋" w:hAnsi="仿宋" w:eastAsia="仿宋" w:cs="仿宋"/>
                <w:sz w:val="24"/>
                <w:highlight w:val="none"/>
              </w:rPr>
              <w:t>支持签约、解约服务医生，可签约本客户下所有机构的医生。</w:t>
            </w:r>
          </w:p>
          <w:p w14:paraId="3B48D7D4">
            <w:pPr>
              <w:spacing w:line="360" w:lineRule="auto"/>
              <w:rPr>
                <w:rFonts w:ascii="仿宋" w:hAnsi="仿宋" w:eastAsia="仿宋" w:cs="仿宋"/>
                <w:sz w:val="24"/>
                <w:highlight w:val="none"/>
              </w:rPr>
            </w:pPr>
            <w:r>
              <w:rPr>
                <w:rFonts w:hint="eastAsia" w:ascii="仿宋" w:hAnsi="仿宋" w:eastAsia="仿宋" w:cs="仿宋"/>
                <w:sz w:val="24"/>
                <w:highlight w:val="none"/>
              </w:rPr>
              <w:t>支持分管管理员，为其进行账号授权。</w:t>
            </w:r>
          </w:p>
        </w:tc>
      </w:tr>
      <w:tr w14:paraId="2ED0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0AC918A8">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17</w:t>
            </w:r>
          </w:p>
        </w:tc>
        <w:tc>
          <w:tcPr>
            <w:tcW w:w="601" w:type="pct"/>
            <w:vMerge w:val="continue"/>
            <w:vAlign w:val="center"/>
          </w:tcPr>
          <w:p w14:paraId="67414CD3">
            <w:pPr>
              <w:spacing w:line="360" w:lineRule="auto"/>
              <w:jc w:val="center"/>
              <w:rPr>
                <w:rFonts w:ascii="仿宋" w:hAnsi="仿宋" w:eastAsia="仿宋" w:cs="仿宋"/>
                <w:sz w:val="24"/>
                <w:highlight w:val="none"/>
              </w:rPr>
            </w:pPr>
          </w:p>
        </w:tc>
        <w:tc>
          <w:tcPr>
            <w:tcW w:w="600" w:type="pct"/>
            <w:vAlign w:val="center"/>
          </w:tcPr>
          <w:p w14:paraId="5E88129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签约医生管理</w:t>
            </w:r>
          </w:p>
        </w:tc>
        <w:tc>
          <w:tcPr>
            <w:tcW w:w="3378" w:type="pct"/>
            <w:vAlign w:val="center"/>
          </w:tcPr>
          <w:p w14:paraId="469B7BDA">
            <w:pPr>
              <w:spacing w:line="360" w:lineRule="auto"/>
              <w:rPr>
                <w:rFonts w:ascii="仿宋" w:hAnsi="仿宋" w:eastAsia="仿宋" w:cs="仿宋"/>
                <w:sz w:val="24"/>
                <w:highlight w:val="none"/>
              </w:rPr>
            </w:pPr>
            <w:r>
              <w:rPr>
                <w:rFonts w:hint="eastAsia" w:ascii="仿宋" w:hAnsi="仿宋" w:eastAsia="仿宋" w:cs="仿宋"/>
                <w:sz w:val="24"/>
                <w:highlight w:val="none"/>
              </w:rPr>
              <w:t>支持展示服务中心所有签约专家。</w:t>
            </w:r>
          </w:p>
          <w:p w14:paraId="013F98D4">
            <w:pPr>
              <w:spacing w:line="360" w:lineRule="auto"/>
              <w:rPr>
                <w:rFonts w:ascii="仿宋" w:hAnsi="仿宋" w:eastAsia="仿宋" w:cs="仿宋"/>
                <w:sz w:val="24"/>
                <w:highlight w:val="none"/>
              </w:rPr>
            </w:pPr>
            <w:r>
              <w:rPr>
                <w:rFonts w:hint="eastAsia" w:ascii="仿宋" w:hAnsi="仿宋" w:eastAsia="仿宋" w:cs="仿宋"/>
                <w:sz w:val="24"/>
                <w:highlight w:val="none"/>
              </w:rPr>
              <w:t>支持签约、解约服务医生，开通或关闭不同为服务以上授权的服务项目。</w:t>
            </w:r>
          </w:p>
          <w:p w14:paraId="3F05A853">
            <w:pPr>
              <w:spacing w:line="360" w:lineRule="auto"/>
              <w:rPr>
                <w:rFonts w:ascii="仿宋" w:hAnsi="仿宋" w:eastAsia="仿宋" w:cs="仿宋"/>
                <w:sz w:val="24"/>
                <w:highlight w:val="none"/>
              </w:rPr>
            </w:pPr>
            <w:r>
              <w:rPr>
                <w:rFonts w:hint="eastAsia" w:ascii="仿宋" w:hAnsi="仿宋" w:eastAsia="仿宋" w:cs="仿宋"/>
                <w:sz w:val="24"/>
                <w:highlight w:val="none"/>
              </w:rPr>
              <w:t>支持维护专家信息，支持专家团队维护。</w:t>
            </w:r>
          </w:p>
          <w:p w14:paraId="43BD8FA3">
            <w:pPr>
              <w:spacing w:line="360" w:lineRule="auto"/>
              <w:rPr>
                <w:rFonts w:ascii="仿宋" w:hAnsi="仿宋" w:eastAsia="仿宋" w:cs="仿宋"/>
                <w:sz w:val="24"/>
                <w:highlight w:val="none"/>
              </w:rPr>
            </w:pPr>
            <w:r>
              <w:rPr>
                <w:rFonts w:hint="eastAsia" w:ascii="仿宋" w:hAnsi="仿宋" w:eastAsia="仿宋" w:cs="仿宋"/>
                <w:sz w:val="24"/>
                <w:highlight w:val="none"/>
              </w:rPr>
              <w:t>支持根据所属机构、开通服务项目筛选签约医生。</w:t>
            </w:r>
          </w:p>
          <w:p w14:paraId="19814AC3">
            <w:pPr>
              <w:spacing w:line="360" w:lineRule="auto"/>
              <w:rPr>
                <w:rFonts w:ascii="仿宋" w:hAnsi="仿宋" w:eastAsia="仿宋" w:cs="仿宋"/>
                <w:sz w:val="24"/>
                <w:highlight w:val="none"/>
              </w:rPr>
            </w:pPr>
            <w:r>
              <w:rPr>
                <w:rFonts w:hint="eastAsia" w:ascii="仿宋" w:hAnsi="仿宋" w:eastAsia="仿宋" w:cs="仿宋"/>
                <w:sz w:val="24"/>
                <w:highlight w:val="none"/>
              </w:rPr>
              <w:t>支持服务中心管理当前服务中心的所有用户，包括申请医生和服务医生。</w:t>
            </w:r>
          </w:p>
          <w:p w14:paraId="14DD78C9">
            <w:pPr>
              <w:spacing w:line="360" w:lineRule="auto"/>
              <w:rPr>
                <w:rFonts w:ascii="仿宋" w:hAnsi="仿宋" w:eastAsia="仿宋" w:cs="仿宋"/>
                <w:sz w:val="24"/>
                <w:highlight w:val="none"/>
              </w:rPr>
            </w:pPr>
            <w:r>
              <w:rPr>
                <w:rFonts w:hint="eastAsia" w:ascii="仿宋" w:hAnsi="仿宋" w:eastAsia="仿宋" w:cs="仿宋"/>
                <w:sz w:val="24"/>
                <w:highlight w:val="none"/>
              </w:rPr>
              <w:t>支持专家团队的增、删、改、查。</w:t>
            </w:r>
          </w:p>
          <w:p w14:paraId="55C38453">
            <w:pPr>
              <w:spacing w:line="360" w:lineRule="auto"/>
              <w:rPr>
                <w:rFonts w:ascii="仿宋" w:hAnsi="仿宋" w:eastAsia="仿宋" w:cs="仿宋"/>
                <w:sz w:val="24"/>
                <w:highlight w:val="none"/>
              </w:rPr>
            </w:pPr>
            <w:r>
              <w:rPr>
                <w:rFonts w:hint="eastAsia" w:ascii="仿宋" w:hAnsi="仿宋" w:eastAsia="仿宋" w:cs="仿宋"/>
                <w:sz w:val="24"/>
                <w:highlight w:val="none"/>
              </w:rPr>
              <w:t>支持专家团队增加联系人，负责联系及协调调度。</w:t>
            </w:r>
          </w:p>
        </w:tc>
      </w:tr>
      <w:tr w14:paraId="0713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1EFD2E9F">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18</w:t>
            </w:r>
          </w:p>
        </w:tc>
        <w:tc>
          <w:tcPr>
            <w:tcW w:w="601" w:type="pct"/>
            <w:vMerge w:val="continue"/>
            <w:vAlign w:val="center"/>
          </w:tcPr>
          <w:p w14:paraId="28BCE3B7">
            <w:pPr>
              <w:spacing w:line="360" w:lineRule="auto"/>
              <w:jc w:val="center"/>
              <w:rPr>
                <w:rFonts w:ascii="仿宋" w:hAnsi="仿宋" w:eastAsia="仿宋" w:cs="仿宋"/>
                <w:sz w:val="24"/>
                <w:highlight w:val="none"/>
              </w:rPr>
            </w:pPr>
          </w:p>
        </w:tc>
        <w:tc>
          <w:tcPr>
            <w:tcW w:w="600" w:type="pct"/>
            <w:vAlign w:val="center"/>
          </w:tcPr>
          <w:p w14:paraId="21A7625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参数配置</w:t>
            </w:r>
          </w:p>
        </w:tc>
        <w:tc>
          <w:tcPr>
            <w:tcW w:w="3378" w:type="pct"/>
            <w:vAlign w:val="center"/>
          </w:tcPr>
          <w:p w14:paraId="508CE8D5">
            <w:pPr>
              <w:spacing w:line="360" w:lineRule="auto"/>
              <w:rPr>
                <w:rFonts w:ascii="仿宋" w:hAnsi="仿宋" w:eastAsia="仿宋" w:cs="仿宋"/>
                <w:sz w:val="24"/>
                <w:highlight w:val="none"/>
              </w:rPr>
            </w:pPr>
            <w:r>
              <w:rPr>
                <w:rFonts w:hint="eastAsia" w:ascii="仿宋" w:hAnsi="仿宋" w:eastAsia="仿宋" w:cs="仿宋"/>
                <w:sz w:val="24"/>
                <w:highlight w:val="none"/>
              </w:rPr>
              <w:t>支持数据字典、心电轴、心电测量值的定义和维护。</w:t>
            </w:r>
          </w:p>
          <w:p w14:paraId="6DDAC223">
            <w:pPr>
              <w:spacing w:line="360" w:lineRule="auto"/>
              <w:rPr>
                <w:rFonts w:ascii="仿宋" w:hAnsi="仿宋" w:eastAsia="仿宋" w:cs="仿宋"/>
                <w:sz w:val="24"/>
                <w:highlight w:val="none"/>
              </w:rPr>
            </w:pPr>
            <w:r>
              <w:rPr>
                <w:rFonts w:hint="eastAsia" w:ascii="仿宋" w:hAnsi="仿宋" w:eastAsia="仿宋" w:cs="仿宋"/>
                <w:sz w:val="24"/>
                <w:highlight w:val="none"/>
              </w:rPr>
              <w:t>支持报告分发－岗位维护，岗位支持区分诊断分发和会诊分发，实现分发到岗位；开启参数“报告任务自动分发”“报告任务列表的岗位过滤”后生效。</w:t>
            </w:r>
          </w:p>
          <w:p w14:paraId="0DF85552">
            <w:pPr>
              <w:spacing w:line="360" w:lineRule="auto"/>
              <w:rPr>
                <w:rFonts w:ascii="仿宋" w:hAnsi="仿宋" w:eastAsia="仿宋" w:cs="仿宋"/>
                <w:sz w:val="24"/>
                <w:highlight w:val="none"/>
              </w:rPr>
            </w:pPr>
            <w:r>
              <w:rPr>
                <w:rFonts w:hint="eastAsia" w:ascii="仿宋" w:hAnsi="仿宋" w:eastAsia="仿宋" w:cs="仿宋"/>
                <w:sz w:val="24"/>
                <w:highlight w:val="none"/>
              </w:rPr>
              <w:t>支持排班安排，开启报告分发后可分发到人；可用于诊断报告分发；开启参数“报告任务自动分发”“报告任务列表的岗位过滤”后生效。</w:t>
            </w:r>
          </w:p>
          <w:p w14:paraId="5FF54E01">
            <w:pPr>
              <w:spacing w:line="360" w:lineRule="auto"/>
              <w:rPr>
                <w:rFonts w:ascii="仿宋" w:hAnsi="仿宋" w:eastAsia="仿宋" w:cs="仿宋"/>
                <w:sz w:val="24"/>
                <w:highlight w:val="none"/>
              </w:rPr>
            </w:pPr>
            <w:r>
              <w:rPr>
                <w:rFonts w:hint="eastAsia" w:ascii="仿宋" w:hAnsi="仿宋" w:eastAsia="仿宋" w:cs="仿宋"/>
                <w:sz w:val="24"/>
                <w:highlight w:val="none"/>
              </w:rPr>
              <w:t>支持诊断任务排班，可以按检查类型、申请医院、工作时间、诊断分工进行排班岗位的设置；参数“诊断任务分配方式”选中“排班分发”后生效。</w:t>
            </w:r>
          </w:p>
        </w:tc>
      </w:tr>
      <w:tr w14:paraId="2E4F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21" w:type="pct"/>
            <w:noWrap/>
            <w:vAlign w:val="center"/>
          </w:tcPr>
          <w:p w14:paraId="0EAF540E">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19</w:t>
            </w:r>
          </w:p>
        </w:tc>
        <w:tc>
          <w:tcPr>
            <w:tcW w:w="601" w:type="pct"/>
            <w:vMerge w:val="continue"/>
            <w:vAlign w:val="center"/>
          </w:tcPr>
          <w:p w14:paraId="3ABA65F2">
            <w:pPr>
              <w:spacing w:line="360" w:lineRule="auto"/>
              <w:jc w:val="center"/>
              <w:rPr>
                <w:rFonts w:ascii="仿宋" w:hAnsi="仿宋" w:eastAsia="仿宋" w:cs="仿宋"/>
                <w:sz w:val="24"/>
                <w:highlight w:val="none"/>
              </w:rPr>
            </w:pPr>
          </w:p>
        </w:tc>
        <w:tc>
          <w:tcPr>
            <w:tcW w:w="600" w:type="pct"/>
            <w:vAlign w:val="center"/>
          </w:tcPr>
          <w:p w14:paraId="29D5A70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模板配置</w:t>
            </w:r>
          </w:p>
        </w:tc>
        <w:tc>
          <w:tcPr>
            <w:tcW w:w="3378" w:type="pct"/>
            <w:vAlign w:val="center"/>
          </w:tcPr>
          <w:p w14:paraId="0F994136">
            <w:pPr>
              <w:spacing w:line="360" w:lineRule="auto"/>
              <w:rPr>
                <w:rFonts w:ascii="仿宋" w:hAnsi="仿宋" w:eastAsia="仿宋" w:cs="仿宋"/>
                <w:sz w:val="24"/>
                <w:highlight w:val="none"/>
              </w:rPr>
            </w:pPr>
            <w:r>
              <w:rPr>
                <w:rFonts w:hint="eastAsia" w:ascii="仿宋" w:hAnsi="仿宋" w:eastAsia="仿宋" w:cs="仿宋"/>
                <w:sz w:val="24"/>
                <w:highlight w:val="none"/>
              </w:rPr>
              <w:t>支持不同检查类型的诊断书写模板编辑。</w:t>
            </w:r>
          </w:p>
          <w:p w14:paraId="40F40613">
            <w:pPr>
              <w:spacing w:line="360" w:lineRule="auto"/>
              <w:rPr>
                <w:rFonts w:ascii="仿宋" w:hAnsi="仿宋" w:eastAsia="仿宋" w:cs="仿宋"/>
                <w:sz w:val="24"/>
                <w:highlight w:val="none"/>
              </w:rPr>
            </w:pPr>
            <w:r>
              <w:rPr>
                <w:rFonts w:hint="eastAsia" w:ascii="仿宋" w:hAnsi="仿宋" w:eastAsia="仿宋" w:cs="仿宋"/>
                <w:sz w:val="24"/>
                <w:highlight w:val="none"/>
              </w:rPr>
              <w:t>支持书写模板维护，书写模板支持批量移动、排序。</w:t>
            </w:r>
          </w:p>
          <w:p w14:paraId="51647189">
            <w:pPr>
              <w:spacing w:line="360" w:lineRule="auto"/>
              <w:rPr>
                <w:rFonts w:ascii="仿宋" w:hAnsi="仿宋" w:eastAsia="仿宋" w:cs="仿宋"/>
                <w:sz w:val="24"/>
                <w:highlight w:val="none"/>
              </w:rPr>
            </w:pPr>
            <w:r>
              <w:rPr>
                <w:rFonts w:hint="eastAsia" w:ascii="仿宋" w:hAnsi="仿宋" w:eastAsia="仿宋" w:cs="仿宋"/>
                <w:sz w:val="24"/>
                <w:highlight w:val="none"/>
              </w:rPr>
              <w:t>支持自定义配置随访表单，可为不同专科、不同病种等单独设置特殊表单。</w:t>
            </w:r>
          </w:p>
          <w:p w14:paraId="567950B5">
            <w:pPr>
              <w:spacing w:line="360" w:lineRule="auto"/>
              <w:rPr>
                <w:rFonts w:ascii="仿宋" w:hAnsi="仿宋" w:eastAsia="仿宋" w:cs="仿宋"/>
                <w:sz w:val="24"/>
                <w:highlight w:val="none"/>
              </w:rPr>
            </w:pPr>
            <w:r>
              <w:rPr>
                <w:rFonts w:hint="eastAsia" w:ascii="仿宋" w:hAnsi="仿宋" w:eastAsia="仿宋" w:cs="仿宋"/>
                <w:sz w:val="24"/>
                <w:highlight w:val="none"/>
              </w:rPr>
              <w:t>支持质控模板维护（申请单质控、影像质控、报告质控）。</w:t>
            </w:r>
          </w:p>
        </w:tc>
      </w:tr>
      <w:tr w14:paraId="65A3D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21" w:type="pct"/>
            <w:noWrap/>
            <w:vAlign w:val="center"/>
          </w:tcPr>
          <w:p w14:paraId="1E2C2E1E">
            <w:pPr>
              <w:spacing w:line="360" w:lineRule="auto"/>
              <w:jc w:val="center"/>
              <w:rPr>
                <w:rFonts w:ascii="仿宋" w:hAnsi="仿宋" w:eastAsia="仿宋" w:cs="仿宋"/>
                <w:sz w:val="24"/>
                <w:highlight w:val="none"/>
              </w:rPr>
            </w:pPr>
            <w:r>
              <w:rPr>
                <w:rFonts w:hint="eastAsia" w:ascii="仿宋" w:hAnsi="仿宋" w:eastAsia="仿宋" w:cs="仿宋"/>
                <w:sz w:val="24"/>
                <w:highlight w:val="none"/>
              </w:rPr>
              <w:t>20</w:t>
            </w:r>
          </w:p>
        </w:tc>
        <w:tc>
          <w:tcPr>
            <w:tcW w:w="1202" w:type="pct"/>
            <w:gridSpan w:val="2"/>
            <w:vAlign w:val="center"/>
          </w:tcPr>
          <w:p w14:paraId="220413A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AI辅助诊断</w:t>
            </w:r>
          </w:p>
        </w:tc>
        <w:tc>
          <w:tcPr>
            <w:tcW w:w="3378" w:type="pct"/>
            <w:vAlign w:val="center"/>
          </w:tcPr>
          <w:p w14:paraId="78876D47">
            <w:pPr>
              <w:spacing w:line="360" w:lineRule="auto"/>
              <w:rPr>
                <w:rFonts w:ascii="仿宋" w:hAnsi="仿宋" w:eastAsia="仿宋" w:cs="仿宋"/>
                <w:sz w:val="24"/>
                <w:highlight w:val="none"/>
              </w:rPr>
            </w:pPr>
            <w:r>
              <w:rPr>
                <w:rFonts w:hint="eastAsia" w:ascii="仿宋" w:hAnsi="仿宋" w:eastAsia="仿宋" w:cs="仿宋"/>
                <w:sz w:val="24"/>
                <w:highlight w:val="none"/>
              </w:rPr>
              <w:t>支持与AI智能辅助诊断功能对接集成服务，支持AI智能辅助诊断结果提醒、查看、复制AI报告的功能。</w:t>
            </w:r>
          </w:p>
          <w:p w14:paraId="312E2425">
            <w:pPr>
              <w:spacing w:line="360" w:lineRule="auto"/>
              <w:rPr>
                <w:rFonts w:ascii="仿宋" w:hAnsi="仿宋" w:eastAsia="仿宋" w:cs="仿宋"/>
                <w:sz w:val="24"/>
                <w:highlight w:val="none"/>
              </w:rPr>
            </w:pPr>
            <w:r>
              <w:rPr>
                <w:rFonts w:hint="eastAsia" w:ascii="仿宋" w:hAnsi="仿宋" w:eastAsia="仿宋" w:cs="仿宋"/>
                <w:sz w:val="24"/>
                <w:highlight w:val="none"/>
              </w:rPr>
              <w:t>支持AI诊断标识及状态在诊断任务列表的显示和提醒，方便医生一目了然当前AI诊断状态。</w:t>
            </w:r>
          </w:p>
        </w:tc>
      </w:tr>
    </w:tbl>
    <w:p w14:paraId="26702394">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2.1.2区域影像中心</w:t>
      </w:r>
    </w:p>
    <w:tbl>
      <w:tblPr>
        <w:tblStyle w:val="35"/>
        <w:tblW w:w="5000"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868"/>
        <w:gridCol w:w="1464"/>
        <w:gridCol w:w="6190"/>
      </w:tblGrid>
      <w:tr w14:paraId="3C8AFC7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509" w:type="pct"/>
            <w:tcBorders>
              <w:bottom w:val="single" w:color="000000" w:sz="4" w:space="0"/>
              <w:right w:val="single" w:color="000000" w:sz="4" w:space="0"/>
            </w:tcBorders>
            <w:noWrap/>
            <w:vAlign w:val="center"/>
          </w:tcPr>
          <w:p w14:paraId="790A0B21">
            <w:pPr>
              <w:pStyle w:val="314"/>
              <w:ind w:firstLine="0" w:firstLineChars="0"/>
              <w:jc w:val="center"/>
              <w:rPr>
                <w:rFonts w:ascii="仿宋" w:hAnsi="仿宋" w:eastAsia="仿宋" w:cs="仿宋"/>
                <w:highlight w:val="none"/>
              </w:rPr>
            </w:pPr>
            <w:r>
              <w:rPr>
                <w:rFonts w:hint="eastAsia" w:ascii="仿宋" w:hAnsi="仿宋" w:eastAsia="仿宋" w:cs="仿宋"/>
                <w:highlight w:val="none"/>
              </w:rPr>
              <w:t>序号</w:t>
            </w:r>
          </w:p>
        </w:tc>
        <w:tc>
          <w:tcPr>
            <w:tcW w:w="859" w:type="pct"/>
            <w:tcBorders>
              <w:left w:val="single" w:color="000000" w:sz="4" w:space="0"/>
              <w:bottom w:val="single" w:color="auto" w:sz="4" w:space="0"/>
              <w:right w:val="single" w:color="000000" w:sz="4" w:space="0"/>
            </w:tcBorders>
            <w:vAlign w:val="center"/>
          </w:tcPr>
          <w:p w14:paraId="117E041B">
            <w:pPr>
              <w:pStyle w:val="314"/>
              <w:ind w:firstLine="0" w:firstLineChars="0"/>
              <w:jc w:val="center"/>
              <w:rPr>
                <w:rFonts w:ascii="仿宋" w:hAnsi="仿宋" w:eastAsia="仿宋" w:cs="仿宋"/>
                <w:highlight w:val="none"/>
              </w:rPr>
            </w:pPr>
            <w:r>
              <w:rPr>
                <w:rFonts w:hint="eastAsia" w:ascii="仿宋" w:hAnsi="仿宋" w:eastAsia="仿宋" w:cs="仿宋"/>
                <w:highlight w:val="none"/>
              </w:rPr>
              <w:t>功能要求</w:t>
            </w:r>
          </w:p>
        </w:tc>
        <w:tc>
          <w:tcPr>
            <w:tcW w:w="3631" w:type="pct"/>
            <w:tcBorders>
              <w:left w:val="single" w:color="000000" w:sz="4" w:space="0"/>
              <w:bottom w:val="single" w:color="000000" w:sz="4" w:space="0"/>
            </w:tcBorders>
            <w:vAlign w:val="center"/>
          </w:tcPr>
          <w:p w14:paraId="42CD327C">
            <w:pPr>
              <w:pStyle w:val="314"/>
              <w:ind w:firstLine="0" w:firstLineChars="0"/>
              <w:jc w:val="center"/>
              <w:rPr>
                <w:rFonts w:ascii="仿宋" w:hAnsi="仿宋" w:eastAsia="仿宋" w:cs="仿宋"/>
                <w:highlight w:val="none"/>
              </w:rPr>
            </w:pPr>
            <w:r>
              <w:rPr>
                <w:rFonts w:hint="eastAsia" w:ascii="仿宋" w:hAnsi="仿宋" w:eastAsia="仿宋" w:cs="仿宋"/>
                <w:highlight w:val="none"/>
              </w:rPr>
              <w:t>详细技术参数</w:t>
            </w:r>
          </w:p>
        </w:tc>
      </w:tr>
      <w:tr w14:paraId="30C0788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509" w:type="pct"/>
            <w:tcBorders>
              <w:top w:val="single" w:color="000000" w:sz="4" w:space="0"/>
              <w:bottom w:val="single" w:color="000000" w:sz="4" w:space="0"/>
              <w:right w:val="single" w:color="auto" w:sz="4" w:space="0"/>
            </w:tcBorders>
            <w:noWrap/>
            <w:vAlign w:val="center"/>
          </w:tcPr>
          <w:p w14:paraId="5DC1AD55">
            <w:pPr>
              <w:pStyle w:val="314"/>
              <w:ind w:firstLine="0" w:firstLineChars="0"/>
              <w:jc w:val="center"/>
              <w:rPr>
                <w:rFonts w:ascii="仿宋" w:hAnsi="仿宋" w:eastAsia="仿宋" w:cs="仿宋"/>
                <w:highlight w:val="none"/>
              </w:rPr>
            </w:pPr>
            <w:r>
              <w:rPr>
                <w:rFonts w:hint="eastAsia" w:ascii="仿宋" w:hAnsi="仿宋" w:eastAsia="仿宋" w:cs="仿宋"/>
                <w:highlight w:val="none"/>
              </w:rPr>
              <w:t>1</w:t>
            </w:r>
          </w:p>
        </w:tc>
        <w:tc>
          <w:tcPr>
            <w:tcW w:w="859" w:type="pct"/>
            <w:tcBorders>
              <w:top w:val="single" w:color="auto" w:sz="4" w:space="0"/>
              <w:left w:val="single" w:color="auto" w:sz="4" w:space="0"/>
              <w:bottom w:val="single" w:color="auto" w:sz="4" w:space="0"/>
              <w:right w:val="single" w:color="auto" w:sz="4" w:space="0"/>
            </w:tcBorders>
            <w:vAlign w:val="center"/>
          </w:tcPr>
          <w:p w14:paraId="682F1F02">
            <w:pPr>
              <w:pStyle w:val="314"/>
              <w:ind w:firstLine="0" w:firstLineChars="0"/>
              <w:jc w:val="center"/>
              <w:rPr>
                <w:rFonts w:ascii="仿宋" w:hAnsi="仿宋" w:eastAsia="仿宋" w:cs="仿宋"/>
                <w:highlight w:val="none"/>
              </w:rPr>
            </w:pPr>
            <w:r>
              <w:rPr>
                <w:rFonts w:hint="eastAsia" w:ascii="仿宋" w:hAnsi="仿宋" w:eastAsia="仿宋" w:cs="仿宋"/>
                <w:highlight w:val="none"/>
              </w:rPr>
              <w:t>报告撰写与签章</w:t>
            </w:r>
          </w:p>
        </w:tc>
        <w:tc>
          <w:tcPr>
            <w:tcW w:w="3631" w:type="pct"/>
            <w:tcBorders>
              <w:top w:val="single" w:color="000000" w:sz="4" w:space="0"/>
              <w:left w:val="single" w:color="auto" w:sz="4" w:space="0"/>
              <w:bottom w:val="single" w:color="000000" w:sz="4" w:space="0"/>
            </w:tcBorders>
            <w:vAlign w:val="center"/>
          </w:tcPr>
          <w:p w14:paraId="4ABFE872">
            <w:pPr>
              <w:pStyle w:val="314"/>
              <w:ind w:firstLine="0" w:firstLineChars="0"/>
              <w:rPr>
                <w:rFonts w:ascii="仿宋" w:hAnsi="仿宋" w:eastAsia="仿宋" w:cs="仿宋"/>
                <w:highlight w:val="none"/>
              </w:rPr>
            </w:pPr>
            <w:r>
              <w:rPr>
                <w:rFonts w:hint="eastAsia" w:ascii="仿宋" w:hAnsi="仿宋" w:eastAsia="仿宋" w:cs="仿宋"/>
                <w:highlight w:val="none"/>
              </w:rPr>
              <w:t>1.支持医师完成影像的审阅分析（阅片）工作后，会针对基层医疗机构的需求，撰写一份详尽的影像报告。</w:t>
            </w:r>
          </w:p>
          <w:p w14:paraId="036DD046">
            <w:pPr>
              <w:pStyle w:val="314"/>
              <w:ind w:firstLine="0" w:firstLineChars="0"/>
              <w:rPr>
                <w:rFonts w:ascii="仿宋" w:hAnsi="仿宋" w:eastAsia="仿宋" w:cs="仿宋"/>
                <w:highlight w:val="none"/>
              </w:rPr>
            </w:pPr>
            <w:r>
              <w:rPr>
                <w:rFonts w:hint="eastAsia" w:ascii="仿宋" w:hAnsi="仿宋" w:eastAsia="仿宋" w:cs="仿宋"/>
                <w:highlight w:val="none"/>
              </w:rPr>
              <w:t>2.支持在撰写这份报告时，中心具备调用功能，可获取患者在江苏省卫生健康云影像平台上的过往影像报告以及其历次就医的记录信息，以此为医师提供全方位的参考依据。</w:t>
            </w:r>
          </w:p>
          <w:p w14:paraId="713331D2">
            <w:pPr>
              <w:pStyle w:val="314"/>
              <w:ind w:firstLine="0" w:firstLineChars="0"/>
              <w:rPr>
                <w:rFonts w:ascii="仿宋" w:hAnsi="仿宋" w:eastAsia="仿宋" w:cs="仿宋"/>
                <w:highlight w:val="none"/>
              </w:rPr>
            </w:pPr>
            <w:r>
              <w:rPr>
                <w:rFonts w:hint="eastAsia" w:ascii="仿宋" w:hAnsi="仿宋" w:eastAsia="仿宋" w:cs="仿宋"/>
                <w:highlight w:val="none"/>
              </w:rPr>
              <w:t>3.支持报告撰写完毕，医师能够借助</w:t>
            </w:r>
            <w:r>
              <w:rPr>
                <w:rFonts w:hint="eastAsia" w:ascii="仿宋" w:hAnsi="仿宋" w:eastAsia="仿宋" w:cs="仿宋"/>
                <w:highlight w:val="none"/>
                <w:lang w:eastAsia="zh-CN"/>
              </w:rPr>
              <w:t>电子公章</w:t>
            </w:r>
            <w:r>
              <w:rPr>
                <w:rFonts w:hint="eastAsia" w:ascii="仿宋" w:hAnsi="仿宋" w:eastAsia="仿宋" w:cs="仿宋"/>
                <w:highlight w:val="none"/>
              </w:rPr>
              <w:t>功能进行签名操作，以此保障报告具备正式的法律效力与合法性。</w:t>
            </w:r>
          </w:p>
        </w:tc>
      </w:tr>
      <w:tr w14:paraId="7A1FC84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509" w:type="pct"/>
            <w:tcBorders>
              <w:top w:val="single" w:color="000000" w:sz="4" w:space="0"/>
              <w:bottom w:val="single" w:color="000000" w:sz="4" w:space="0"/>
              <w:right w:val="single" w:color="auto" w:sz="4" w:space="0"/>
            </w:tcBorders>
            <w:noWrap/>
            <w:vAlign w:val="center"/>
          </w:tcPr>
          <w:p w14:paraId="2A99B4E8">
            <w:pPr>
              <w:pStyle w:val="314"/>
              <w:ind w:firstLine="0" w:firstLineChars="0"/>
              <w:jc w:val="center"/>
              <w:rPr>
                <w:rFonts w:ascii="仿宋" w:hAnsi="仿宋" w:eastAsia="仿宋" w:cs="仿宋"/>
                <w:highlight w:val="none"/>
              </w:rPr>
            </w:pPr>
            <w:r>
              <w:rPr>
                <w:rFonts w:hint="eastAsia" w:ascii="仿宋" w:hAnsi="仿宋" w:eastAsia="仿宋" w:cs="仿宋"/>
                <w:highlight w:val="none"/>
              </w:rPr>
              <w:t>2</w:t>
            </w:r>
          </w:p>
        </w:tc>
        <w:tc>
          <w:tcPr>
            <w:tcW w:w="859" w:type="pct"/>
            <w:tcBorders>
              <w:top w:val="single" w:color="auto" w:sz="4" w:space="0"/>
              <w:left w:val="single" w:color="auto" w:sz="4" w:space="0"/>
              <w:bottom w:val="single" w:color="auto" w:sz="4" w:space="0"/>
              <w:right w:val="single" w:color="auto" w:sz="4" w:space="0"/>
            </w:tcBorders>
            <w:vAlign w:val="center"/>
          </w:tcPr>
          <w:p w14:paraId="55B98BB3">
            <w:pPr>
              <w:pStyle w:val="314"/>
              <w:ind w:firstLine="0" w:firstLineChars="0"/>
              <w:jc w:val="center"/>
              <w:rPr>
                <w:rFonts w:ascii="仿宋" w:hAnsi="仿宋" w:eastAsia="仿宋" w:cs="仿宋"/>
                <w:highlight w:val="none"/>
              </w:rPr>
            </w:pPr>
            <w:r>
              <w:rPr>
                <w:rFonts w:hint="eastAsia" w:ascii="仿宋" w:hAnsi="仿宋" w:eastAsia="仿宋" w:cs="仿宋"/>
                <w:highlight w:val="none"/>
              </w:rPr>
              <w:t>影像会诊机制</w:t>
            </w:r>
          </w:p>
        </w:tc>
        <w:tc>
          <w:tcPr>
            <w:tcW w:w="3631" w:type="pct"/>
            <w:tcBorders>
              <w:top w:val="single" w:color="000000" w:sz="4" w:space="0"/>
              <w:left w:val="single" w:color="auto" w:sz="4" w:space="0"/>
              <w:bottom w:val="single" w:color="000000" w:sz="4" w:space="0"/>
            </w:tcBorders>
            <w:vAlign w:val="center"/>
          </w:tcPr>
          <w:p w14:paraId="108B960A">
            <w:pPr>
              <w:pStyle w:val="314"/>
              <w:widowControl/>
              <w:numPr>
                <w:ilvl w:val="0"/>
                <w:numId w:val="4"/>
              </w:numPr>
              <w:ind w:firstLine="0" w:firstLineChars="0"/>
              <w:jc w:val="left"/>
              <w:rPr>
                <w:rFonts w:ascii="仿宋" w:hAnsi="仿宋" w:eastAsia="仿宋" w:cs="仿宋"/>
                <w:highlight w:val="none"/>
              </w:rPr>
            </w:pPr>
            <w:r>
              <w:rPr>
                <w:rFonts w:hint="eastAsia" w:ascii="仿宋" w:hAnsi="仿宋" w:eastAsia="仿宋" w:cs="仿宋"/>
                <w:highlight w:val="none"/>
              </w:rPr>
              <w:t>系统支持与上级部门的会诊平台对接，允许基层医疗机构选择上级会诊医院并提交会诊申请。</w:t>
            </w:r>
          </w:p>
          <w:p w14:paraId="0F1C7FE4">
            <w:pPr>
              <w:pStyle w:val="314"/>
              <w:widowControl/>
              <w:numPr>
                <w:ilvl w:val="0"/>
                <w:numId w:val="4"/>
              </w:numPr>
              <w:ind w:firstLine="0" w:firstLineChars="0"/>
              <w:jc w:val="left"/>
              <w:rPr>
                <w:rFonts w:ascii="仿宋" w:hAnsi="仿宋" w:eastAsia="仿宋" w:cs="仿宋"/>
                <w:highlight w:val="none"/>
              </w:rPr>
            </w:pPr>
            <w:r>
              <w:rPr>
                <w:rFonts w:hint="eastAsia" w:ascii="仿宋" w:hAnsi="仿宋" w:eastAsia="仿宋" w:cs="仿宋"/>
                <w:highlight w:val="none"/>
              </w:rPr>
              <w:t>中心依据上级医院专家的排班情况，预约合适的会诊时间。</w:t>
            </w:r>
          </w:p>
          <w:p w14:paraId="2C6D1815">
            <w:pPr>
              <w:pStyle w:val="314"/>
              <w:widowControl/>
              <w:numPr>
                <w:ilvl w:val="0"/>
                <w:numId w:val="4"/>
              </w:numPr>
              <w:ind w:firstLine="0" w:firstLineChars="0"/>
              <w:jc w:val="left"/>
              <w:rPr>
                <w:rFonts w:ascii="仿宋" w:hAnsi="仿宋" w:eastAsia="仿宋" w:cs="仿宋"/>
                <w:highlight w:val="none"/>
              </w:rPr>
            </w:pPr>
            <w:r>
              <w:rPr>
                <w:rFonts w:hint="eastAsia" w:ascii="仿宋" w:hAnsi="仿宋" w:eastAsia="仿宋" w:cs="仿宋"/>
                <w:highlight w:val="none"/>
              </w:rPr>
              <w:t>支持通过基层HIS系统获取患者的基本信息和相关诊疗信息，为会诊提供必要的背景资料。</w:t>
            </w:r>
          </w:p>
        </w:tc>
      </w:tr>
      <w:tr w14:paraId="7CC7FE3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 w:hRule="atLeast"/>
        </w:trPr>
        <w:tc>
          <w:tcPr>
            <w:tcW w:w="509" w:type="pct"/>
            <w:tcBorders>
              <w:top w:val="single" w:color="000000" w:sz="4" w:space="0"/>
              <w:bottom w:val="single" w:color="000000" w:sz="4" w:space="0"/>
              <w:right w:val="single" w:color="auto" w:sz="4" w:space="0"/>
            </w:tcBorders>
            <w:noWrap/>
            <w:vAlign w:val="center"/>
          </w:tcPr>
          <w:p w14:paraId="0FF4A589">
            <w:pPr>
              <w:pStyle w:val="314"/>
              <w:ind w:firstLine="0" w:firstLineChars="0"/>
              <w:jc w:val="center"/>
              <w:rPr>
                <w:rFonts w:ascii="仿宋" w:hAnsi="仿宋" w:eastAsia="仿宋" w:cs="仿宋"/>
                <w:highlight w:val="none"/>
              </w:rPr>
            </w:pPr>
            <w:r>
              <w:rPr>
                <w:rFonts w:hint="eastAsia" w:ascii="仿宋" w:hAnsi="仿宋" w:eastAsia="仿宋" w:cs="仿宋"/>
                <w:highlight w:val="none"/>
              </w:rPr>
              <w:t>3</w:t>
            </w:r>
          </w:p>
        </w:tc>
        <w:tc>
          <w:tcPr>
            <w:tcW w:w="859" w:type="pct"/>
            <w:tcBorders>
              <w:top w:val="single" w:color="auto" w:sz="4" w:space="0"/>
              <w:left w:val="single" w:color="auto" w:sz="4" w:space="0"/>
              <w:bottom w:val="single" w:color="auto" w:sz="4" w:space="0"/>
              <w:right w:val="single" w:color="auto" w:sz="4" w:space="0"/>
            </w:tcBorders>
            <w:vAlign w:val="center"/>
          </w:tcPr>
          <w:p w14:paraId="2DA6ADE7">
            <w:pPr>
              <w:pStyle w:val="314"/>
              <w:ind w:firstLine="0" w:firstLineChars="0"/>
              <w:jc w:val="center"/>
              <w:rPr>
                <w:rFonts w:ascii="仿宋" w:hAnsi="仿宋" w:eastAsia="仿宋" w:cs="仿宋"/>
                <w:highlight w:val="none"/>
              </w:rPr>
            </w:pPr>
            <w:r>
              <w:rPr>
                <w:rFonts w:hint="eastAsia" w:ascii="仿宋" w:hAnsi="仿宋" w:eastAsia="仿宋" w:cs="仿宋"/>
                <w:highlight w:val="none"/>
              </w:rPr>
              <w:t>会诊报告的接收与反馈</w:t>
            </w:r>
          </w:p>
        </w:tc>
        <w:tc>
          <w:tcPr>
            <w:tcW w:w="3631" w:type="pct"/>
            <w:tcBorders>
              <w:top w:val="single" w:color="000000" w:sz="4" w:space="0"/>
              <w:left w:val="single" w:color="auto" w:sz="4" w:space="0"/>
              <w:bottom w:val="single" w:color="000000" w:sz="4" w:space="0"/>
            </w:tcBorders>
            <w:vAlign w:val="center"/>
          </w:tcPr>
          <w:p w14:paraId="2B34AE90">
            <w:pPr>
              <w:pStyle w:val="314"/>
              <w:widowControl/>
              <w:numPr>
                <w:ilvl w:val="0"/>
                <w:numId w:val="5"/>
              </w:numPr>
              <w:ind w:firstLine="0" w:firstLineChars="0"/>
              <w:jc w:val="left"/>
              <w:rPr>
                <w:rFonts w:ascii="仿宋" w:hAnsi="仿宋" w:eastAsia="仿宋" w:cs="仿宋"/>
                <w:highlight w:val="none"/>
              </w:rPr>
            </w:pPr>
            <w:r>
              <w:rPr>
                <w:rFonts w:hint="eastAsia" w:ascii="仿宋" w:hAnsi="仿宋" w:eastAsia="仿宋" w:cs="仿宋"/>
                <w:highlight w:val="none"/>
              </w:rPr>
              <w:t>支持发起会诊申请的功能，与上级部门的会诊平台实现对接，接收上级单位所出具的会诊报告。</w:t>
            </w:r>
          </w:p>
          <w:p w14:paraId="089D6ACA">
            <w:pPr>
              <w:pStyle w:val="314"/>
              <w:widowControl/>
              <w:numPr>
                <w:ilvl w:val="0"/>
                <w:numId w:val="5"/>
              </w:numPr>
              <w:ind w:firstLine="0" w:firstLineChars="0"/>
              <w:jc w:val="left"/>
              <w:rPr>
                <w:rFonts w:ascii="仿宋" w:hAnsi="仿宋" w:eastAsia="仿宋" w:cs="仿宋"/>
                <w:highlight w:val="none"/>
              </w:rPr>
            </w:pPr>
            <w:r>
              <w:rPr>
                <w:rFonts w:hint="eastAsia" w:ascii="仿宋" w:hAnsi="仿宋" w:eastAsia="仿宋" w:cs="仿宋"/>
                <w:highlight w:val="none"/>
              </w:rPr>
              <w:t>支持影像中心的医师在接收到会诊报告之后，将其反馈至基层PACS系统，保障患者能够在最短时间内获取权威专家的诊断建议。</w:t>
            </w:r>
          </w:p>
        </w:tc>
      </w:tr>
    </w:tbl>
    <w:p w14:paraId="2B04361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2.1.3区域检验中心</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729"/>
        <w:gridCol w:w="728"/>
        <w:gridCol w:w="1456"/>
        <w:gridCol w:w="4887"/>
      </w:tblGrid>
      <w:tr w14:paraId="06EA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24" w:type="pct"/>
            <w:tcBorders>
              <w:top w:val="single" w:color="auto" w:sz="4" w:space="0"/>
              <w:left w:val="single" w:color="auto" w:sz="4" w:space="0"/>
              <w:bottom w:val="single" w:color="auto" w:sz="4" w:space="0"/>
              <w:right w:val="single" w:color="auto" w:sz="4" w:space="0"/>
            </w:tcBorders>
            <w:vAlign w:val="center"/>
          </w:tcPr>
          <w:p w14:paraId="120FF68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序号</w:t>
            </w:r>
          </w:p>
        </w:tc>
        <w:tc>
          <w:tcPr>
            <w:tcW w:w="1709" w:type="pct"/>
            <w:gridSpan w:val="3"/>
            <w:tcBorders>
              <w:top w:val="single" w:color="auto" w:sz="4" w:space="0"/>
              <w:left w:val="single" w:color="auto" w:sz="4" w:space="0"/>
              <w:bottom w:val="single" w:color="auto" w:sz="4" w:space="0"/>
              <w:right w:val="single" w:color="auto" w:sz="4" w:space="0"/>
            </w:tcBorders>
            <w:vAlign w:val="center"/>
          </w:tcPr>
          <w:p w14:paraId="3EE4A388">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功能模块</w:t>
            </w:r>
          </w:p>
        </w:tc>
        <w:tc>
          <w:tcPr>
            <w:tcW w:w="2867" w:type="pct"/>
            <w:tcBorders>
              <w:top w:val="single" w:color="auto" w:sz="4" w:space="0"/>
              <w:left w:val="single" w:color="auto" w:sz="4" w:space="0"/>
              <w:bottom w:val="single" w:color="auto" w:sz="4" w:space="0"/>
              <w:right w:val="single" w:color="auto" w:sz="4" w:space="0"/>
            </w:tcBorders>
            <w:vAlign w:val="center"/>
          </w:tcPr>
          <w:p w14:paraId="2A73392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技术参数</w:t>
            </w:r>
          </w:p>
        </w:tc>
      </w:tr>
      <w:tr w14:paraId="0729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5D6DDCE1">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restart"/>
            <w:tcBorders>
              <w:top w:val="single" w:color="auto" w:sz="4" w:space="0"/>
              <w:left w:val="single" w:color="auto" w:sz="4" w:space="0"/>
              <w:bottom w:val="single" w:color="auto" w:sz="4" w:space="0"/>
              <w:right w:val="single" w:color="auto" w:sz="4" w:space="0"/>
            </w:tcBorders>
            <w:vAlign w:val="center"/>
          </w:tcPr>
          <w:p w14:paraId="514DBD3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区域检验中心</w:t>
            </w:r>
          </w:p>
        </w:tc>
        <w:tc>
          <w:tcPr>
            <w:tcW w:w="854" w:type="pct"/>
            <w:tcBorders>
              <w:top w:val="single" w:color="auto" w:sz="4" w:space="0"/>
              <w:left w:val="single" w:color="auto" w:sz="4" w:space="0"/>
              <w:bottom w:val="single" w:color="auto" w:sz="4" w:space="0"/>
              <w:right w:val="single" w:color="auto" w:sz="4" w:space="0"/>
            </w:tcBorders>
            <w:vAlign w:val="center"/>
          </w:tcPr>
          <w:p w14:paraId="213F2B6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区域字典统一管理</w:t>
            </w:r>
          </w:p>
        </w:tc>
        <w:tc>
          <w:tcPr>
            <w:tcW w:w="2867" w:type="pct"/>
            <w:tcBorders>
              <w:top w:val="single" w:color="auto" w:sz="4" w:space="0"/>
              <w:left w:val="single" w:color="auto" w:sz="4" w:space="0"/>
              <w:bottom w:val="single" w:color="auto" w:sz="4" w:space="0"/>
              <w:right w:val="single" w:color="auto" w:sz="4" w:space="0"/>
            </w:tcBorders>
          </w:tcPr>
          <w:p w14:paraId="435736A0">
            <w:pPr>
              <w:spacing w:line="360" w:lineRule="auto"/>
              <w:rPr>
                <w:rFonts w:ascii="仿宋" w:hAnsi="仿宋" w:eastAsia="仿宋" w:cs="仿宋"/>
                <w:sz w:val="24"/>
                <w:highlight w:val="none"/>
              </w:rPr>
            </w:pPr>
            <w:r>
              <w:rPr>
                <w:rFonts w:hint="eastAsia" w:ascii="仿宋" w:hAnsi="仿宋" w:eastAsia="仿宋" w:cs="仿宋"/>
                <w:sz w:val="24"/>
                <w:highlight w:val="none"/>
              </w:rPr>
              <w:t>1.基础标准字典</w:t>
            </w:r>
          </w:p>
          <w:p w14:paraId="7A563858">
            <w:pPr>
              <w:spacing w:line="360" w:lineRule="auto"/>
              <w:rPr>
                <w:rFonts w:ascii="仿宋" w:hAnsi="仿宋" w:eastAsia="仿宋" w:cs="仿宋"/>
                <w:sz w:val="24"/>
                <w:highlight w:val="none"/>
              </w:rPr>
            </w:pPr>
            <w:r>
              <w:rPr>
                <w:rFonts w:hint="eastAsia" w:ascii="仿宋" w:hAnsi="仿宋" w:eastAsia="仿宋" w:cs="仿宋"/>
                <w:sz w:val="24"/>
                <w:highlight w:val="none"/>
              </w:rPr>
              <w:t>系统开展的基础标准字典库包括但不限于：</w:t>
            </w:r>
          </w:p>
          <w:p w14:paraId="50B286FF">
            <w:pPr>
              <w:spacing w:line="360" w:lineRule="auto"/>
              <w:rPr>
                <w:rFonts w:ascii="仿宋" w:hAnsi="仿宋" w:eastAsia="仿宋" w:cs="仿宋"/>
                <w:sz w:val="24"/>
                <w:highlight w:val="none"/>
              </w:rPr>
            </w:pPr>
            <w:r>
              <w:rPr>
                <w:rFonts w:hint="eastAsia" w:ascii="仿宋" w:hAnsi="仿宋" w:eastAsia="仿宋" w:cs="仿宋"/>
                <w:sz w:val="24"/>
                <w:highlight w:val="none"/>
              </w:rPr>
              <w:t>1）标准科室</w:t>
            </w:r>
          </w:p>
          <w:p w14:paraId="2E857F83">
            <w:pPr>
              <w:spacing w:line="360" w:lineRule="auto"/>
              <w:rPr>
                <w:rFonts w:ascii="仿宋" w:hAnsi="仿宋" w:eastAsia="仿宋" w:cs="仿宋"/>
                <w:sz w:val="24"/>
                <w:highlight w:val="none"/>
              </w:rPr>
            </w:pPr>
            <w:r>
              <w:rPr>
                <w:rFonts w:hint="eastAsia" w:ascii="仿宋" w:hAnsi="仿宋" w:eastAsia="仿宋" w:cs="仿宋"/>
                <w:sz w:val="24"/>
                <w:highlight w:val="none"/>
              </w:rPr>
              <w:t>2）职工类型</w:t>
            </w:r>
          </w:p>
          <w:p w14:paraId="23CAC842">
            <w:pPr>
              <w:spacing w:line="360" w:lineRule="auto"/>
              <w:rPr>
                <w:rFonts w:ascii="仿宋" w:hAnsi="仿宋" w:eastAsia="仿宋" w:cs="仿宋"/>
                <w:sz w:val="24"/>
                <w:highlight w:val="none"/>
              </w:rPr>
            </w:pPr>
            <w:r>
              <w:rPr>
                <w:rFonts w:hint="eastAsia" w:ascii="仿宋" w:hAnsi="仿宋" w:eastAsia="仿宋" w:cs="仿宋"/>
                <w:sz w:val="24"/>
                <w:highlight w:val="none"/>
              </w:rPr>
              <w:t>3）性别</w:t>
            </w:r>
          </w:p>
          <w:p w14:paraId="5F95A0F9">
            <w:pPr>
              <w:spacing w:line="360" w:lineRule="auto"/>
              <w:rPr>
                <w:rFonts w:ascii="仿宋" w:hAnsi="仿宋" w:eastAsia="仿宋" w:cs="仿宋"/>
                <w:sz w:val="24"/>
                <w:highlight w:val="none"/>
              </w:rPr>
            </w:pPr>
            <w:r>
              <w:rPr>
                <w:rFonts w:hint="eastAsia" w:ascii="仿宋" w:hAnsi="仿宋" w:eastAsia="仿宋" w:cs="仿宋"/>
                <w:sz w:val="24"/>
                <w:highlight w:val="none"/>
              </w:rPr>
              <w:t>4）民族</w:t>
            </w:r>
          </w:p>
          <w:p w14:paraId="096BED64">
            <w:pPr>
              <w:spacing w:line="360" w:lineRule="auto"/>
              <w:rPr>
                <w:rFonts w:ascii="仿宋" w:hAnsi="仿宋" w:eastAsia="仿宋" w:cs="仿宋"/>
                <w:sz w:val="24"/>
                <w:highlight w:val="none"/>
              </w:rPr>
            </w:pPr>
            <w:r>
              <w:rPr>
                <w:rFonts w:hint="eastAsia" w:ascii="仿宋" w:hAnsi="仿宋" w:eastAsia="仿宋" w:cs="仿宋"/>
                <w:sz w:val="24"/>
                <w:highlight w:val="none"/>
              </w:rPr>
              <w:t>5）婚姻情况</w:t>
            </w:r>
          </w:p>
          <w:p w14:paraId="4A95BCBE">
            <w:pPr>
              <w:spacing w:line="360" w:lineRule="auto"/>
              <w:rPr>
                <w:rFonts w:ascii="仿宋" w:hAnsi="仿宋" w:eastAsia="仿宋" w:cs="仿宋"/>
                <w:sz w:val="24"/>
                <w:highlight w:val="none"/>
              </w:rPr>
            </w:pPr>
            <w:r>
              <w:rPr>
                <w:rFonts w:hint="eastAsia" w:ascii="仿宋" w:hAnsi="仿宋" w:eastAsia="仿宋" w:cs="仿宋"/>
                <w:sz w:val="24"/>
                <w:highlight w:val="none"/>
              </w:rPr>
              <w:t>6）亲属关系</w:t>
            </w:r>
          </w:p>
          <w:p w14:paraId="7003A6B7">
            <w:pPr>
              <w:spacing w:line="360" w:lineRule="auto"/>
              <w:rPr>
                <w:rFonts w:ascii="仿宋" w:hAnsi="仿宋" w:eastAsia="仿宋" w:cs="仿宋"/>
                <w:sz w:val="24"/>
                <w:highlight w:val="none"/>
              </w:rPr>
            </w:pPr>
            <w:r>
              <w:rPr>
                <w:rFonts w:hint="eastAsia" w:ascii="仿宋" w:hAnsi="仿宋" w:eastAsia="仿宋" w:cs="仿宋"/>
                <w:sz w:val="24"/>
                <w:highlight w:val="none"/>
              </w:rPr>
              <w:t>7）文化程度</w:t>
            </w:r>
          </w:p>
          <w:p w14:paraId="27175CD3">
            <w:pPr>
              <w:spacing w:line="360" w:lineRule="auto"/>
              <w:rPr>
                <w:rFonts w:ascii="仿宋" w:hAnsi="仿宋" w:eastAsia="仿宋" w:cs="仿宋"/>
                <w:sz w:val="24"/>
                <w:highlight w:val="none"/>
              </w:rPr>
            </w:pPr>
            <w:r>
              <w:rPr>
                <w:rFonts w:hint="eastAsia" w:ascii="仿宋" w:hAnsi="仿宋" w:eastAsia="仿宋" w:cs="仿宋"/>
                <w:sz w:val="24"/>
                <w:highlight w:val="none"/>
              </w:rPr>
              <w:t>8）政治面貌</w:t>
            </w:r>
          </w:p>
          <w:p w14:paraId="095DE2CF">
            <w:pPr>
              <w:spacing w:line="360" w:lineRule="auto"/>
              <w:rPr>
                <w:rFonts w:ascii="仿宋" w:hAnsi="仿宋" w:eastAsia="仿宋" w:cs="仿宋"/>
                <w:sz w:val="24"/>
                <w:highlight w:val="none"/>
              </w:rPr>
            </w:pPr>
            <w:r>
              <w:rPr>
                <w:rFonts w:hint="eastAsia" w:ascii="仿宋" w:hAnsi="仿宋" w:eastAsia="仿宋" w:cs="仿宋"/>
                <w:sz w:val="24"/>
                <w:highlight w:val="none"/>
              </w:rPr>
              <w:t>9）样本类型</w:t>
            </w:r>
          </w:p>
          <w:p w14:paraId="031C0F32">
            <w:pPr>
              <w:spacing w:line="360" w:lineRule="auto"/>
              <w:rPr>
                <w:rFonts w:ascii="仿宋" w:hAnsi="仿宋" w:eastAsia="仿宋" w:cs="仿宋"/>
                <w:sz w:val="24"/>
                <w:highlight w:val="none"/>
              </w:rPr>
            </w:pPr>
            <w:r>
              <w:rPr>
                <w:rFonts w:hint="eastAsia" w:ascii="仿宋" w:hAnsi="仿宋" w:eastAsia="仿宋" w:cs="仿宋"/>
                <w:sz w:val="24"/>
                <w:highlight w:val="none"/>
              </w:rPr>
              <w:t>10）标本性状</w:t>
            </w:r>
          </w:p>
          <w:p w14:paraId="128803F1">
            <w:pPr>
              <w:spacing w:line="360" w:lineRule="auto"/>
              <w:rPr>
                <w:rFonts w:ascii="仿宋" w:hAnsi="仿宋" w:eastAsia="仿宋" w:cs="仿宋"/>
                <w:sz w:val="24"/>
                <w:highlight w:val="none"/>
              </w:rPr>
            </w:pPr>
            <w:r>
              <w:rPr>
                <w:rFonts w:hint="eastAsia" w:ascii="仿宋" w:hAnsi="仿宋" w:eastAsia="仿宋" w:cs="仿宋"/>
                <w:sz w:val="24"/>
                <w:highlight w:val="none"/>
              </w:rPr>
              <w:t>11）检验项目类型</w:t>
            </w:r>
          </w:p>
          <w:p w14:paraId="19622D0D">
            <w:pPr>
              <w:spacing w:line="360" w:lineRule="auto"/>
              <w:rPr>
                <w:rFonts w:ascii="仿宋" w:hAnsi="仿宋" w:eastAsia="仿宋" w:cs="仿宋"/>
                <w:sz w:val="24"/>
                <w:highlight w:val="none"/>
              </w:rPr>
            </w:pPr>
            <w:r>
              <w:rPr>
                <w:rFonts w:hint="eastAsia" w:ascii="仿宋" w:hAnsi="仿宋" w:eastAsia="仿宋" w:cs="仿宋"/>
                <w:sz w:val="24"/>
                <w:highlight w:val="none"/>
              </w:rPr>
              <w:t>2.业务标准字典</w:t>
            </w:r>
          </w:p>
          <w:p w14:paraId="4552A3AF">
            <w:pPr>
              <w:spacing w:line="360" w:lineRule="auto"/>
              <w:rPr>
                <w:rFonts w:ascii="仿宋" w:hAnsi="仿宋" w:eastAsia="仿宋" w:cs="仿宋"/>
                <w:sz w:val="24"/>
                <w:highlight w:val="none"/>
              </w:rPr>
            </w:pPr>
            <w:r>
              <w:rPr>
                <w:rFonts w:hint="eastAsia" w:ascii="仿宋" w:hAnsi="仿宋" w:eastAsia="仿宋" w:cs="仿宋"/>
                <w:sz w:val="24"/>
                <w:highlight w:val="none"/>
              </w:rPr>
              <w:t>系统上需要处理的业务标准字典包括：</w:t>
            </w:r>
          </w:p>
          <w:p w14:paraId="5F86D7D9">
            <w:pPr>
              <w:spacing w:line="360" w:lineRule="auto"/>
              <w:rPr>
                <w:rFonts w:ascii="仿宋" w:hAnsi="仿宋" w:eastAsia="仿宋" w:cs="仿宋"/>
                <w:sz w:val="24"/>
                <w:highlight w:val="none"/>
              </w:rPr>
            </w:pPr>
            <w:r>
              <w:rPr>
                <w:rFonts w:hint="eastAsia" w:ascii="仿宋" w:hAnsi="仿宋" w:eastAsia="仿宋" w:cs="仿宋"/>
                <w:sz w:val="24"/>
                <w:highlight w:val="none"/>
              </w:rPr>
              <w:t>1）检验项目</w:t>
            </w:r>
          </w:p>
          <w:p w14:paraId="27C33D47">
            <w:pPr>
              <w:spacing w:line="360" w:lineRule="auto"/>
              <w:rPr>
                <w:rFonts w:ascii="仿宋" w:hAnsi="仿宋" w:eastAsia="仿宋" w:cs="仿宋"/>
                <w:sz w:val="24"/>
                <w:highlight w:val="none"/>
              </w:rPr>
            </w:pPr>
            <w:r>
              <w:rPr>
                <w:rFonts w:hint="eastAsia" w:ascii="仿宋" w:hAnsi="仿宋" w:eastAsia="仿宋" w:cs="仿宋"/>
                <w:sz w:val="24"/>
                <w:highlight w:val="none"/>
              </w:rPr>
              <w:t>2）检验医嘱</w:t>
            </w:r>
          </w:p>
          <w:p w14:paraId="5B0C4F5F">
            <w:pPr>
              <w:spacing w:line="360" w:lineRule="auto"/>
              <w:rPr>
                <w:rFonts w:ascii="仿宋" w:hAnsi="仿宋" w:eastAsia="仿宋" w:cs="仿宋"/>
                <w:sz w:val="24"/>
                <w:highlight w:val="none"/>
              </w:rPr>
            </w:pPr>
            <w:r>
              <w:rPr>
                <w:rFonts w:hint="eastAsia" w:ascii="仿宋" w:hAnsi="仿宋" w:eastAsia="仿宋" w:cs="仿宋"/>
                <w:sz w:val="24"/>
                <w:highlight w:val="none"/>
              </w:rPr>
              <w:t>3）检验仪器</w:t>
            </w:r>
          </w:p>
          <w:p w14:paraId="4DAC0962">
            <w:pPr>
              <w:spacing w:line="360" w:lineRule="auto"/>
              <w:rPr>
                <w:rFonts w:ascii="仿宋" w:hAnsi="仿宋" w:eastAsia="仿宋" w:cs="仿宋"/>
                <w:sz w:val="24"/>
                <w:highlight w:val="none"/>
              </w:rPr>
            </w:pPr>
            <w:r>
              <w:rPr>
                <w:rFonts w:hint="eastAsia" w:ascii="仿宋" w:hAnsi="仿宋" w:eastAsia="仿宋" w:cs="仿宋"/>
                <w:sz w:val="24"/>
                <w:highlight w:val="none"/>
              </w:rPr>
              <w:t>4）标本种类</w:t>
            </w:r>
          </w:p>
          <w:p w14:paraId="0FF1A6A7">
            <w:pPr>
              <w:spacing w:line="360" w:lineRule="auto"/>
              <w:rPr>
                <w:rFonts w:ascii="仿宋" w:hAnsi="仿宋" w:eastAsia="仿宋" w:cs="仿宋"/>
                <w:sz w:val="24"/>
                <w:highlight w:val="none"/>
              </w:rPr>
            </w:pPr>
            <w:r>
              <w:rPr>
                <w:rFonts w:hint="eastAsia" w:ascii="仿宋" w:hAnsi="仿宋" w:eastAsia="仿宋" w:cs="仿宋"/>
                <w:sz w:val="24"/>
                <w:highlight w:val="none"/>
              </w:rPr>
              <w:t>3.字典对照维护</w:t>
            </w:r>
          </w:p>
          <w:p w14:paraId="4DB0240A">
            <w:pPr>
              <w:spacing w:line="360" w:lineRule="auto"/>
              <w:rPr>
                <w:rFonts w:ascii="仿宋" w:hAnsi="仿宋" w:eastAsia="仿宋" w:cs="仿宋"/>
                <w:sz w:val="24"/>
                <w:highlight w:val="none"/>
              </w:rPr>
            </w:pPr>
            <w:r>
              <w:rPr>
                <w:rFonts w:hint="eastAsia" w:ascii="仿宋" w:hAnsi="仿宋" w:eastAsia="仿宋" w:cs="仿宋"/>
                <w:sz w:val="24"/>
                <w:highlight w:val="none"/>
              </w:rPr>
              <w:t>支持各机构下载字典模板、导入字典内容，平台可根据字典名称一键匹配，并且支持手动维护修改</w:t>
            </w:r>
          </w:p>
          <w:p w14:paraId="607C4A20">
            <w:pPr>
              <w:spacing w:line="360" w:lineRule="auto"/>
              <w:rPr>
                <w:rFonts w:ascii="仿宋" w:hAnsi="仿宋" w:eastAsia="仿宋" w:cs="仿宋"/>
                <w:sz w:val="24"/>
                <w:highlight w:val="none"/>
              </w:rPr>
            </w:pPr>
            <w:r>
              <w:rPr>
                <w:rFonts w:hint="eastAsia" w:ascii="仿宋" w:hAnsi="仿宋" w:eastAsia="仿宋" w:cs="仿宋"/>
                <w:sz w:val="24"/>
                <w:highlight w:val="none"/>
              </w:rPr>
              <w:t>4.仪器项目设置</w:t>
            </w:r>
          </w:p>
          <w:p w14:paraId="1B9F2A7C">
            <w:pPr>
              <w:spacing w:line="360" w:lineRule="auto"/>
              <w:rPr>
                <w:rFonts w:ascii="仿宋" w:hAnsi="仿宋" w:eastAsia="仿宋" w:cs="仿宋"/>
                <w:sz w:val="24"/>
                <w:highlight w:val="none"/>
              </w:rPr>
            </w:pPr>
            <w:r>
              <w:rPr>
                <w:rFonts w:hint="eastAsia" w:ascii="仿宋" w:hAnsi="仿宋" w:eastAsia="仿宋" w:cs="仿宋"/>
                <w:sz w:val="24"/>
                <w:highlight w:val="none"/>
              </w:rPr>
              <w:t>支持仪器与检验项目关联</w:t>
            </w:r>
          </w:p>
        </w:tc>
      </w:tr>
      <w:tr w14:paraId="1D450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36C1E14B">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continue"/>
            <w:tcBorders>
              <w:top w:val="single" w:color="auto" w:sz="4" w:space="0"/>
              <w:left w:val="single" w:color="auto" w:sz="4" w:space="0"/>
              <w:bottom w:val="single" w:color="auto" w:sz="4" w:space="0"/>
              <w:right w:val="single" w:color="auto" w:sz="4" w:space="0"/>
            </w:tcBorders>
          </w:tcPr>
          <w:p w14:paraId="6D33408A">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1D43A38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区域条码统一管理</w:t>
            </w:r>
          </w:p>
        </w:tc>
        <w:tc>
          <w:tcPr>
            <w:tcW w:w="2867" w:type="pct"/>
            <w:tcBorders>
              <w:top w:val="single" w:color="auto" w:sz="4" w:space="0"/>
              <w:left w:val="single" w:color="auto" w:sz="4" w:space="0"/>
              <w:bottom w:val="single" w:color="auto" w:sz="4" w:space="0"/>
              <w:right w:val="single" w:color="auto" w:sz="4" w:space="0"/>
            </w:tcBorders>
          </w:tcPr>
          <w:p w14:paraId="583B0E76">
            <w:pPr>
              <w:spacing w:line="360" w:lineRule="auto"/>
              <w:rPr>
                <w:rFonts w:ascii="仿宋" w:hAnsi="仿宋" w:eastAsia="仿宋" w:cs="仿宋"/>
                <w:sz w:val="24"/>
                <w:highlight w:val="none"/>
              </w:rPr>
            </w:pPr>
            <w:r>
              <w:rPr>
                <w:rFonts w:hint="eastAsia" w:ascii="仿宋" w:hAnsi="仿宋" w:eastAsia="仿宋" w:cs="仿宋"/>
                <w:sz w:val="24"/>
                <w:highlight w:val="none"/>
              </w:rPr>
              <w:t>编码格式规则统一管理：支持编码格式、规则统一管理，支持实现区域检验数据的共享、条码统一</w:t>
            </w:r>
          </w:p>
          <w:p w14:paraId="16F9C644">
            <w:pPr>
              <w:spacing w:line="360" w:lineRule="auto"/>
              <w:rPr>
                <w:rFonts w:ascii="仿宋" w:hAnsi="仿宋" w:eastAsia="仿宋" w:cs="仿宋"/>
                <w:sz w:val="24"/>
                <w:highlight w:val="none"/>
              </w:rPr>
            </w:pPr>
            <w:r>
              <w:rPr>
                <w:rFonts w:hint="eastAsia" w:ascii="仿宋" w:hAnsi="仿宋" w:eastAsia="仿宋" w:cs="仿宋"/>
                <w:sz w:val="24"/>
                <w:highlight w:val="none"/>
              </w:rPr>
              <w:t>1）支持机构编码规则一</w:t>
            </w:r>
          </w:p>
          <w:p w14:paraId="3B8F548D">
            <w:pPr>
              <w:spacing w:line="360" w:lineRule="auto"/>
              <w:rPr>
                <w:rFonts w:ascii="仿宋" w:hAnsi="仿宋" w:eastAsia="仿宋" w:cs="仿宋"/>
                <w:sz w:val="24"/>
                <w:highlight w:val="none"/>
              </w:rPr>
            </w:pPr>
            <w:r>
              <w:rPr>
                <w:rFonts w:hint="eastAsia" w:ascii="仿宋" w:hAnsi="仿宋" w:eastAsia="仿宋" w:cs="仿宋"/>
                <w:sz w:val="24"/>
                <w:highlight w:val="none"/>
              </w:rPr>
              <w:t>2）支持编码长度统一</w:t>
            </w:r>
          </w:p>
          <w:p w14:paraId="146B17DB">
            <w:pPr>
              <w:spacing w:line="360" w:lineRule="auto"/>
              <w:rPr>
                <w:rFonts w:ascii="仿宋" w:hAnsi="仿宋" w:eastAsia="仿宋" w:cs="仿宋"/>
                <w:sz w:val="24"/>
                <w:highlight w:val="none"/>
              </w:rPr>
            </w:pPr>
            <w:r>
              <w:rPr>
                <w:rFonts w:hint="eastAsia" w:ascii="仿宋" w:hAnsi="仿宋" w:eastAsia="仿宋" w:cs="仿宋"/>
                <w:sz w:val="24"/>
                <w:highlight w:val="none"/>
              </w:rPr>
              <w:t>3）支持编码唯一度管理</w:t>
            </w:r>
          </w:p>
          <w:p w14:paraId="0AB8F54E">
            <w:pPr>
              <w:spacing w:line="360" w:lineRule="auto"/>
              <w:rPr>
                <w:rFonts w:ascii="仿宋" w:hAnsi="仿宋" w:eastAsia="仿宋" w:cs="仿宋"/>
                <w:sz w:val="24"/>
                <w:highlight w:val="none"/>
              </w:rPr>
            </w:pPr>
            <w:r>
              <w:rPr>
                <w:rFonts w:hint="eastAsia" w:ascii="仿宋" w:hAnsi="仿宋" w:eastAsia="仿宋" w:cs="仿宋"/>
                <w:sz w:val="24"/>
                <w:highlight w:val="none"/>
              </w:rPr>
              <w:t>条码样式统一管理：支持对区域内使用外送平台所用条码样式进行统一管理</w:t>
            </w:r>
          </w:p>
          <w:p w14:paraId="713CE4A0">
            <w:pPr>
              <w:spacing w:line="360" w:lineRule="auto"/>
              <w:rPr>
                <w:rFonts w:ascii="仿宋" w:hAnsi="仿宋" w:eastAsia="仿宋" w:cs="仿宋"/>
                <w:sz w:val="24"/>
                <w:highlight w:val="none"/>
              </w:rPr>
            </w:pPr>
            <w:r>
              <w:rPr>
                <w:rFonts w:hint="eastAsia" w:ascii="仿宋" w:hAnsi="仿宋" w:eastAsia="仿宋" w:cs="仿宋"/>
                <w:sz w:val="24"/>
                <w:highlight w:val="none"/>
              </w:rPr>
              <w:t>条码采集统一管理：支持对外送平台所用条码采集标准进行统一管理</w:t>
            </w:r>
          </w:p>
          <w:p w14:paraId="5566E6D1">
            <w:pPr>
              <w:spacing w:line="360" w:lineRule="auto"/>
              <w:rPr>
                <w:rFonts w:ascii="仿宋" w:hAnsi="仿宋" w:eastAsia="仿宋" w:cs="仿宋"/>
                <w:sz w:val="24"/>
                <w:highlight w:val="none"/>
              </w:rPr>
            </w:pPr>
            <w:r>
              <w:rPr>
                <w:rFonts w:hint="eastAsia" w:ascii="仿宋" w:hAnsi="仿宋" w:eastAsia="仿宋" w:cs="仿宋"/>
                <w:sz w:val="24"/>
                <w:highlight w:val="none"/>
              </w:rPr>
              <w:t>条码跟踪管理：支持扫描条码实现样本跟踪管理</w:t>
            </w:r>
          </w:p>
        </w:tc>
      </w:tr>
      <w:tr w14:paraId="1C949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08D3A917">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continue"/>
            <w:tcBorders>
              <w:top w:val="single" w:color="auto" w:sz="4" w:space="0"/>
              <w:left w:val="single" w:color="auto" w:sz="4" w:space="0"/>
              <w:bottom w:val="single" w:color="auto" w:sz="4" w:space="0"/>
              <w:right w:val="single" w:color="auto" w:sz="4" w:space="0"/>
            </w:tcBorders>
          </w:tcPr>
          <w:p w14:paraId="7E7842DF">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7E30567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区域检验数据采集</w:t>
            </w:r>
          </w:p>
        </w:tc>
        <w:tc>
          <w:tcPr>
            <w:tcW w:w="2867" w:type="pct"/>
            <w:tcBorders>
              <w:top w:val="single" w:color="auto" w:sz="4" w:space="0"/>
              <w:left w:val="single" w:color="auto" w:sz="4" w:space="0"/>
              <w:bottom w:val="single" w:color="auto" w:sz="4" w:space="0"/>
              <w:right w:val="single" w:color="auto" w:sz="4" w:space="0"/>
            </w:tcBorders>
          </w:tcPr>
          <w:p w14:paraId="070BCFE6">
            <w:pPr>
              <w:spacing w:line="360" w:lineRule="auto"/>
              <w:rPr>
                <w:rFonts w:ascii="仿宋" w:hAnsi="仿宋" w:eastAsia="仿宋" w:cs="仿宋"/>
                <w:sz w:val="24"/>
                <w:highlight w:val="none"/>
              </w:rPr>
            </w:pPr>
            <w:r>
              <w:rPr>
                <w:rFonts w:hint="eastAsia" w:ascii="仿宋" w:hAnsi="仿宋" w:eastAsia="仿宋" w:cs="仿宋"/>
                <w:sz w:val="24"/>
                <w:highlight w:val="none"/>
              </w:rPr>
              <w:t>平台可实现与各接入系统之间的检验设备、患者信息、检验项目信息、报告信息等数据同步，对医疗机构上传的不同类别和格式的检查和检验数据及报告进行归档，实现与接入平台、系统的医疗机构进行检验数据的共享交换。</w:t>
            </w:r>
          </w:p>
        </w:tc>
      </w:tr>
      <w:tr w14:paraId="4B83C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1879FC9D">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continue"/>
            <w:tcBorders>
              <w:top w:val="single" w:color="auto" w:sz="4" w:space="0"/>
              <w:left w:val="single" w:color="auto" w:sz="4" w:space="0"/>
              <w:bottom w:val="single" w:color="auto" w:sz="4" w:space="0"/>
              <w:right w:val="single" w:color="auto" w:sz="4" w:space="0"/>
            </w:tcBorders>
          </w:tcPr>
          <w:p w14:paraId="496607EE">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3ACB217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区域检验数据治理</w:t>
            </w:r>
          </w:p>
        </w:tc>
        <w:tc>
          <w:tcPr>
            <w:tcW w:w="2867" w:type="pct"/>
            <w:tcBorders>
              <w:top w:val="single" w:color="auto" w:sz="4" w:space="0"/>
              <w:left w:val="single" w:color="auto" w:sz="4" w:space="0"/>
              <w:bottom w:val="single" w:color="auto" w:sz="4" w:space="0"/>
              <w:right w:val="single" w:color="auto" w:sz="4" w:space="0"/>
            </w:tcBorders>
          </w:tcPr>
          <w:p w14:paraId="6FD4FC8C">
            <w:pPr>
              <w:spacing w:line="360" w:lineRule="auto"/>
              <w:rPr>
                <w:rFonts w:ascii="仿宋" w:hAnsi="仿宋" w:eastAsia="仿宋" w:cs="仿宋"/>
                <w:sz w:val="24"/>
                <w:highlight w:val="none"/>
              </w:rPr>
            </w:pPr>
            <w:r>
              <w:rPr>
                <w:rFonts w:hint="eastAsia" w:ascii="仿宋" w:hAnsi="仿宋" w:eastAsia="仿宋" w:cs="仿宋"/>
                <w:sz w:val="24"/>
                <w:highlight w:val="none"/>
              </w:rPr>
              <w:t>基于标准字典库，可与不同医疗机构提交上来的字典数据进行映射，对采集到的检验项目、仪器等检验信息进行转换清洗，并且可以对采集的数据字段进行校验</w:t>
            </w:r>
          </w:p>
        </w:tc>
      </w:tr>
      <w:tr w14:paraId="7031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77B1FA8D">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continue"/>
            <w:tcBorders>
              <w:top w:val="single" w:color="auto" w:sz="4" w:space="0"/>
              <w:left w:val="single" w:color="auto" w:sz="4" w:space="0"/>
              <w:bottom w:val="single" w:color="auto" w:sz="4" w:space="0"/>
              <w:right w:val="single" w:color="auto" w:sz="4" w:space="0"/>
            </w:tcBorders>
          </w:tcPr>
          <w:p w14:paraId="76AC1693">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6C2A4938">
            <w:pPr>
              <w:spacing w:line="360" w:lineRule="auto"/>
              <w:jc w:val="center"/>
              <w:rPr>
                <w:rFonts w:ascii="仿宋" w:hAnsi="仿宋" w:eastAsia="仿宋" w:cs="仿宋"/>
                <w:sz w:val="24"/>
                <w:highlight w:val="none"/>
              </w:rPr>
            </w:pPr>
            <w:bookmarkStart w:id="48" w:name="_Toc195715027"/>
            <w:r>
              <w:rPr>
                <w:rFonts w:hint="eastAsia" w:ascii="仿宋" w:hAnsi="仿宋" w:eastAsia="仿宋" w:cs="仿宋"/>
                <w:sz w:val="24"/>
                <w:highlight w:val="none"/>
              </w:rPr>
              <w:t>区域检验数据安全管理</w:t>
            </w:r>
            <w:bookmarkEnd w:id="48"/>
          </w:p>
        </w:tc>
        <w:tc>
          <w:tcPr>
            <w:tcW w:w="2867" w:type="pct"/>
            <w:tcBorders>
              <w:top w:val="single" w:color="auto" w:sz="4" w:space="0"/>
              <w:left w:val="single" w:color="auto" w:sz="4" w:space="0"/>
              <w:bottom w:val="single" w:color="auto" w:sz="4" w:space="0"/>
              <w:right w:val="single" w:color="auto" w:sz="4" w:space="0"/>
            </w:tcBorders>
          </w:tcPr>
          <w:p w14:paraId="33681225">
            <w:pPr>
              <w:spacing w:line="360" w:lineRule="auto"/>
              <w:rPr>
                <w:rFonts w:ascii="仿宋" w:hAnsi="仿宋" w:eastAsia="仿宋" w:cs="仿宋"/>
                <w:sz w:val="24"/>
                <w:highlight w:val="none"/>
              </w:rPr>
            </w:pPr>
            <w:r>
              <w:rPr>
                <w:rFonts w:hint="eastAsia" w:ascii="仿宋" w:hAnsi="仿宋" w:eastAsia="仿宋" w:cs="仿宋"/>
                <w:sz w:val="24"/>
                <w:highlight w:val="none"/>
              </w:rPr>
              <w:t>对检验样本、患者信息、检验结果等方面的数据进行对称加密/非对称加密处理，在数据传输过程中采用加密网络传输协议https，在端到端之间保证数据安全。</w:t>
            </w:r>
          </w:p>
        </w:tc>
      </w:tr>
      <w:tr w14:paraId="653CB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41E3EA7C">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restart"/>
            <w:tcBorders>
              <w:top w:val="single" w:color="auto" w:sz="4" w:space="0"/>
              <w:left w:val="single" w:color="auto" w:sz="4" w:space="0"/>
              <w:bottom w:val="single" w:color="auto" w:sz="4" w:space="0"/>
              <w:right w:val="single" w:color="auto" w:sz="4" w:space="0"/>
            </w:tcBorders>
            <w:vAlign w:val="center"/>
          </w:tcPr>
          <w:p w14:paraId="2089E01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区域检验交互中心</w:t>
            </w:r>
          </w:p>
        </w:tc>
        <w:tc>
          <w:tcPr>
            <w:tcW w:w="854" w:type="pct"/>
            <w:tcBorders>
              <w:top w:val="single" w:color="auto" w:sz="4" w:space="0"/>
              <w:left w:val="single" w:color="auto" w:sz="4" w:space="0"/>
              <w:bottom w:val="single" w:color="auto" w:sz="4" w:space="0"/>
              <w:right w:val="single" w:color="auto" w:sz="4" w:space="0"/>
            </w:tcBorders>
            <w:vAlign w:val="center"/>
          </w:tcPr>
          <w:p w14:paraId="589B6F0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区域检验数据交换服务</w:t>
            </w:r>
          </w:p>
        </w:tc>
        <w:tc>
          <w:tcPr>
            <w:tcW w:w="2867" w:type="pct"/>
            <w:tcBorders>
              <w:top w:val="single" w:color="auto" w:sz="4" w:space="0"/>
              <w:left w:val="single" w:color="auto" w:sz="4" w:space="0"/>
              <w:bottom w:val="single" w:color="auto" w:sz="4" w:space="0"/>
              <w:right w:val="single" w:color="auto" w:sz="4" w:space="0"/>
            </w:tcBorders>
          </w:tcPr>
          <w:p w14:paraId="03F6E039">
            <w:pPr>
              <w:numPr>
                <w:ilvl w:val="0"/>
                <w:numId w:val="7"/>
              </w:numPr>
              <w:spacing w:line="360" w:lineRule="auto"/>
              <w:rPr>
                <w:rFonts w:ascii="仿宋" w:hAnsi="仿宋" w:eastAsia="仿宋" w:cs="仿宋"/>
                <w:sz w:val="24"/>
                <w:highlight w:val="none"/>
              </w:rPr>
            </w:pPr>
            <w:r>
              <w:rPr>
                <w:rFonts w:hint="eastAsia" w:ascii="仿宋" w:hAnsi="仿宋" w:eastAsia="仿宋" w:cs="仿宋"/>
                <w:sz w:val="24"/>
                <w:highlight w:val="none"/>
              </w:rPr>
              <w:t>送检机构接口服务</w:t>
            </w:r>
          </w:p>
          <w:p w14:paraId="07EB4592">
            <w:pPr>
              <w:spacing w:line="360" w:lineRule="auto"/>
              <w:rPr>
                <w:rFonts w:ascii="仿宋" w:hAnsi="仿宋" w:eastAsia="仿宋" w:cs="仿宋"/>
                <w:sz w:val="24"/>
                <w:highlight w:val="none"/>
              </w:rPr>
            </w:pPr>
            <w:r>
              <w:rPr>
                <w:rFonts w:hint="eastAsia" w:ascii="仿宋" w:hAnsi="仿宋" w:eastAsia="仿宋" w:cs="仿宋"/>
                <w:sz w:val="24"/>
                <w:highlight w:val="none"/>
              </w:rPr>
              <w:t>包含外送样本上传接口服务、外送样本撤销接口服务、获取待下载报告列表接口服务、外送报告下载接口服务、外送报告PDF下载接口服务等。</w:t>
            </w:r>
          </w:p>
          <w:p w14:paraId="07061348">
            <w:pPr>
              <w:numPr>
                <w:ilvl w:val="0"/>
                <w:numId w:val="7"/>
              </w:numPr>
              <w:spacing w:line="360" w:lineRule="auto"/>
              <w:rPr>
                <w:rFonts w:ascii="仿宋" w:hAnsi="仿宋" w:eastAsia="仿宋" w:cs="仿宋"/>
                <w:sz w:val="24"/>
                <w:highlight w:val="none"/>
              </w:rPr>
            </w:pPr>
            <w:r>
              <w:rPr>
                <w:rFonts w:hint="eastAsia" w:ascii="仿宋" w:hAnsi="仿宋" w:eastAsia="仿宋" w:cs="仿宋"/>
                <w:sz w:val="24"/>
                <w:highlight w:val="none"/>
              </w:rPr>
              <w:t>检验机构接口服务</w:t>
            </w:r>
          </w:p>
          <w:p w14:paraId="64AAFE6D">
            <w:pPr>
              <w:spacing w:line="360" w:lineRule="auto"/>
              <w:rPr>
                <w:rFonts w:ascii="仿宋" w:hAnsi="仿宋" w:eastAsia="仿宋" w:cs="仿宋"/>
                <w:sz w:val="24"/>
                <w:highlight w:val="none"/>
              </w:rPr>
            </w:pPr>
            <w:r>
              <w:rPr>
                <w:rFonts w:hint="eastAsia" w:ascii="仿宋" w:hAnsi="仿宋" w:eastAsia="仿宋" w:cs="仿宋"/>
                <w:sz w:val="24"/>
                <w:highlight w:val="none"/>
              </w:rPr>
              <w:t>包含获取单个样本信息接口服务、获取未接收样本列表接口服务、样本接收确认接口服务、报告数据上传接口服务、报告PDF上传接口服务等。</w:t>
            </w:r>
          </w:p>
          <w:p w14:paraId="25A2A978">
            <w:pPr>
              <w:numPr>
                <w:ilvl w:val="0"/>
                <w:numId w:val="7"/>
              </w:numPr>
              <w:spacing w:line="360" w:lineRule="auto"/>
              <w:rPr>
                <w:rFonts w:ascii="仿宋" w:hAnsi="仿宋" w:eastAsia="仿宋" w:cs="仿宋"/>
                <w:sz w:val="24"/>
                <w:highlight w:val="none"/>
              </w:rPr>
            </w:pPr>
            <w:r>
              <w:rPr>
                <w:rFonts w:hint="eastAsia" w:ascii="仿宋" w:hAnsi="仿宋" w:eastAsia="仿宋" w:cs="仿宋"/>
                <w:sz w:val="24"/>
                <w:highlight w:val="none"/>
              </w:rPr>
              <w:t>公共接口服务</w:t>
            </w:r>
          </w:p>
          <w:p w14:paraId="6679C5AA">
            <w:pPr>
              <w:spacing w:line="360" w:lineRule="auto"/>
              <w:rPr>
                <w:rFonts w:ascii="仿宋" w:hAnsi="仿宋" w:eastAsia="仿宋" w:cs="仿宋"/>
                <w:sz w:val="24"/>
                <w:highlight w:val="none"/>
              </w:rPr>
            </w:pPr>
            <w:r>
              <w:rPr>
                <w:rFonts w:hint="eastAsia" w:ascii="仿宋" w:hAnsi="仿宋" w:eastAsia="仿宋" w:cs="仿宋"/>
                <w:sz w:val="24"/>
                <w:highlight w:val="none"/>
              </w:rPr>
              <w:t>包含获取平台机构列表接口服务、上传机构字典接口服务等。</w:t>
            </w:r>
          </w:p>
          <w:p w14:paraId="68964895">
            <w:pPr>
              <w:numPr>
                <w:ilvl w:val="0"/>
                <w:numId w:val="7"/>
              </w:numPr>
              <w:spacing w:line="360" w:lineRule="auto"/>
              <w:rPr>
                <w:rFonts w:ascii="仿宋" w:hAnsi="仿宋" w:eastAsia="仿宋" w:cs="仿宋"/>
                <w:sz w:val="24"/>
                <w:highlight w:val="none"/>
              </w:rPr>
            </w:pPr>
            <w:r>
              <w:rPr>
                <w:rFonts w:hint="eastAsia" w:ascii="仿宋" w:hAnsi="仿宋" w:eastAsia="仿宋" w:cs="仿宋"/>
                <w:sz w:val="24"/>
                <w:highlight w:val="none"/>
              </w:rPr>
              <w:t>接口配置管理</w:t>
            </w:r>
          </w:p>
          <w:p w14:paraId="48773D80">
            <w:pPr>
              <w:spacing w:line="360" w:lineRule="auto"/>
              <w:rPr>
                <w:rFonts w:ascii="仿宋" w:hAnsi="仿宋" w:eastAsia="仿宋" w:cs="仿宋"/>
                <w:sz w:val="24"/>
                <w:highlight w:val="none"/>
              </w:rPr>
            </w:pPr>
            <w:r>
              <w:rPr>
                <w:rFonts w:hint="eastAsia" w:ascii="仿宋" w:hAnsi="仿宋" w:eastAsia="仿宋" w:cs="仿宋"/>
                <w:sz w:val="24"/>
                <w:highlight w:val="none"/>
              </w:rPr>
              <w:t>1）接口账户列表：支持展示接口账户列表，管理不同接入基层医疗卫生机构的接口账户</w:t>
            </w:r>
          </w:p>
          <w:p w14:paraId="143ADD7A">
            <w:pPr>
              <w:spacing w:line="360" w:lineRule="auto"/>
              <w:rPr>
                <w:rFonts w:ascii="仿宋" w:hAnsi="仿宋" w:eastAsia="仿宋" w:cs="仿宋"/>
                <w:sz w:val="24"/>
                <w:highlight w:val="none"/>
              </w:rPr>
            </w:pPr>
            <w:r>
              <w:rPr>
                <w:rFonts w:hint="eastAsia" w:ascii="仿宋" w:hAnsi="仿宋" w:eastAsia="仿宋" w:cs="仿宋"/>
                <w:sz w:val="24"/>
                <w:highlight w:val="none"/>
              </w:rPr>
              <w:t>2）机构基础信息配置：支持对机构的基础信息进行管理</w:t>
            </w:r>
          </w:p>
          <w:p w14:paraId="5DC602F3">
            <w:pPr>
              <w:spacing w:line="360" w:lineRule="auto"/>
              <w:rPr>
                <w:rFonts w:ascii="仿宋" w:hAnsi="仿宋" w:eastAsia="仿宋" w:cs="仿宋"/>
                <w:sz w:val="24"/>
                <w:highlight w:val="none"/>
              </w:rPr>
            </w:pPr>
            <w:r>
              <w:rPr>
                <w:rFonts w:hint="eastAsia" w:ascii="仿宋" w:hAnsi="仿宋" w:eastAsia="仿宋" w:cs="仿宋"/>
                <w:sz w:val="24"/>
                <w:highlight w:val="none"/>
              </w:rPr>
              <w:t>3）机构代码列表：支持对机构代码列表进行管理平台接口设置：</w:t>
            </w:r>
          </w:p>
          <w:p w14:paraId="63FAF5ED">
            <w:pPr>
              <w:spacing w:line="360" w:lineRule="auto"/>
              <w:rPr>
                <w:rFonts w:ascii="仿宋" w:hAnsi="仿宋" w:eastAsia="仿宋" w:cs="仿宋"/>
                <w:sz w:val="24"/>
                <w:highlight w:val="none"/>
              </w:rPr>
            </w:pPr>
            <w:r>
              <w:rPr>
                <w:rFonts w:hint="eastAsia" w:ascii="仿宋" w:hAnsi="仿宋" w:eastAsia="仿宋" w:cs="仿宋"/>
                <w:sz w:val="24"/>
                <w:highlight w:val="none"/>
              </w:rPr>
              <w:t>4）配置接口列表：支持展示接口列表，管理平台外送上级医疗机构、第三方检验机构的接口</w:t>
            </w:r>
          </w:p>
        </w:tc>
      </w:tr>
      <w:tr w14:paraId="7C89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1AF52841">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continue"/>
            <w:tcBorders>
              <w:top w:val="single" w:color="auto" w:sz="4" w:space="0"/>
              <w:left w:val="single" w:color="auto" w:sz="4" w:space="0"/>
              <w:bottom w:val="single" w:color="auto" w:sz="4" w:space="0"/>
              <w:right w:val="single" w:color="auto" w:sz="4" w:space="0"/>
            </w:tcBorders>
          </w:tcPr>
          <w:p w14:paraId="67E61B02">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31B9D4F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区域检验数据接口监控</w:t>
            </w:r>
          </w:p>
        </w:tc>
        <w:tc>
          <w:tcPr>
            <w:tcW w:w="2867" w:type="pct"/>
            <w:tcBorders>
              <w:top w:val="single" w:color="auto" w:sz="4" w:space="0"/>
              <w:left w:val="single" w:color="auto" w:sz="4" w:space="0"/>
              <w:bottom w:val="single" w:color="auto" w:sz="4" w:space="0"/>
              <w:right w:val="single" w:color="auto" w:sz="4" w:space="0"/>
            </w:tcBorders>
          </w:tcPr>
          <w:p w14:paraId="23F1B62E">
            <w:pPr>
              <w:spacing w:line="360" w:lineRule="auto"/>
              <w:rPr>
                <w:rFonts w:ascii="仿宋" w:hAnsi="仿宋" w:eastAsia="仿宋" w:cs="仿宋"/>
                <w:sz w:val="24"/>
                <w:highlight w:val="none"/>
              </w:rPr>
            </w:pPr>
            <w:r>
              <w:rPr>
                <w:rFonts w:hint="eastAsia" w:ascii="仿宋" w:hAnsi="仿宋" w:eastAsia="仿宋" w:cs="仿宋"/>
                <w:sz w:val="24"/>
                <w:highlight w:val="none"/>
              </w:rPr>
              <w:t>区域检验数据接口监控功能，可实现实时跟踪接口运行状态，详细记录接口调用的时间、请求参数、响应结果及状态等。</w:t>
            </w:r>
          </w:p>
        </w:tc>
      </w:tr>
      <w:tr w14:paraId="3425B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427BFEF4">
            <w:pPr>
              <w:numPr>
                <w:ilvl w:val="0"/>
                <w:numId w:val="6"/>
              </w:numPr>
              <w:spacing w:line="360" w:lineRule="auto"/>
              <w:ind w:left="0" w:firstLine="0"/>
              <w:jc w:val="center"/>
              <w:rPr>
                <w:rFonts w:ascii="仿宋" w:hAnsi="仿宋" w:eastAsia="仿宋" w:cs="仿宋"/>
                <w:sz w:val="24"/>
                <w:highlight w:val="none"/>
              </w:rPr>
            </w:pPr>
          </w:p>
        </w:tc>
        <w:tc>
          <w:tcPr>
            <w:tcW w:w="855" w:type="pct"/>
            <w:gridSpan w:val="2"/>
            <w:vMerge w:val="continue"/>
            <w:tcBorders>
              <w:top w:val="single" w:color="auto" w:sz="4" w:space="0"/>
              <w:left w:val="single" w:color="auto" w:sz="4" w:space="0"/>
              <w:bottom w:val="single" w:color="auto" w:sz="4" w:space="0"/>
              <w:right w:val="single" w:color="auto" w:sz="4" w:space="0"/>
            </w:tcBorders>
          </w:tcPr>
          <w:p w14:paraId="5EDDBEA7">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54BDF77E">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区域检验平台日志管理</w:t>
            </w:r>
          </w:p>
        </w:tc>
        <w:tc>
          <w:tcPr>
            <w:tcW w:w="2867" w:type="pct"/>
            <w:tcBorders>
              <w:top w:val="single" w:color="auto" w:sz="4" w:space="0"/>
              <w:left w:val="single" w:color="auto" w:sz="4" w:space="0"/>
              <w:bottom w:val="single" w:color="auto" w:sz="4" w:space="0"/>
              <w:right w:val="single" w:color="auto" w:sz="4" w:space="0"/>
            </w:tcBorders>
          </w:tcPr>
          <w:p w14:paraId="5061DDA6">
            <w:pPr>
              <w:spacing w:line="360" w:lineRule="auto"/>
              <w:rPr>
                <w:rFonts w:ascii="仿宋" w:hAnsi="仿宋" w:eastAsia="仿宋" w:cs="仿宋"/>
                <w:sz w:val="24"/>
                <w:highlight w:val="none"/>
              </w:rPr>
            </w:pPr>
            <w:r>
              <w:rPr>
                <w:rFonts w:hint="eastAsia" w:ascii="仿宋" w:hAnsi="仿宋" w:eastAsia="仿宋" w:cs="仿宋"/>
                <w:sz w:val="24"/>
                <w:highlight w:val="none"/>
              </w:rPr>
              <w:t>平台提供操作日志管理功能，支持区域检验数据的日常操作记录管理，例如：操作内容、URL、操作时间、参数等日志。</w:t>
            </w:r>
          </w:p>
        </w:tc>
      </w:tr>
      <w:tr w14:paraId="385A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283877DD">
            <w:pPr>
              <w:numPr>
                <w:ilvl w:val="0"/>
                <w:numId w:val="6"/>
              </w:numPr>
              <w:spacing w:line="360" w:lineRule="auto"/>
              <w:ind w:left="0" w:firstLine="0"/>
              <w:jc w:val="center"/>
              <w:rPr>
                <w:rFonts w:ascii="仿宋" w:hAnsi="仿宋" w:eastAsia="仿宋" w:cs="仿宋"/>
                <w:sz w:val="24"/>
                <w:highlight w:val="none"/>
              </w:rPr>
            </w:pPr>
          </w:p>
        </w:tc>
        <w:tc>
          <w:tcPr>
            <w:tcW w:w="428" w:type="pct"/>
            <w:vMerge w:val="restart"/>
            <w:tcBorders>
              <w:top w:val="single" w:color="auto" w:sz="4" w:space="0"/>
              <w:left w:val="single" w:color="auto" w:sz="4" w:space="0"/>
              <w:bottom w:val="single" w:color="auto" w:sz="4" w:space="0"/>
              <w:right w:val="single" w:color="auto" w:sz="4" w:space="0"/>
            </w:tcBorders>
            <w:vAlign w:val="center"/>
          </w:tcPr>
          <w:p w14:paraId="6019584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区域检验业务协同平台</w:t>
            </w:r>
          </w:p>
        </w:tc>
        <w:tc>
          <w:tcPr>
            <w:tcW w:w="427" w:type="pct"/>
            <w:vMerge w:val="restart"/>
            <w:tcBorders>
              <w:top w:val="single" w:color="auto" w:sz="4" w:space="0"/>
              <w:left w:val="single" w:color="auto" w:sz="4" w:space="0"/>
              <w:bottom w:val="single" w:color="auto" w:sz="4" w:space="0"/>
              <w:right w:val="single" w:color="auto" w:sz="4" w:space="0"/>
            </w:tcBorders>
            <w:vAlign w:val="center"/>
          </w:tcPr>
          <w:p w14:paraId="1FE6757C">
            <w:pPr>
              <w:spacing w:line="360" w:lineRule="auto"/>
              <w:rPr>
                <w:rFonts w:ascii="仿宋" w:hAnsi="仿宋" w:eastAsia="仿宋" w:cs="仿宋"/>
                <w:sz w:val="24"/>
                <w:highlight w:val="none"/>
              </w:rPr>
            </w:pPr>
            <w:r>
              <w:rPr>
                <w:rFonts w:hint="eastAsia" w:ascii="仿宋" w:hAnsi="仿宋" w:eastAsia="仿宋" w:cs="仿宋"/>
                <w:sz w:val="24"/>
                <w:highlight w:val="none"/>
              </w:rPr>
              <w:t>区域标本外送系统</w:t>
            </w:r>
          </w:p>
        </w:tc>
        <w:tc>
          <w:tcPr>
            <w:tcW w:w="854" w:type="pct"/>
            <w:tcBorders>
              <w:top w:val="single" w:color="auto" w:sz="4" w:space="0"/>
              <w:left w:val="single" w:color="auto" w:sz="4" w:space="0"/>
              <w:bottom w:val="single" w:color="auto" w:sz="4" w:space="0"/>
              <w:right w:val="single" w:color="auto" w:sz="4" w:space="0"/>
            </w:tcBorders>
            <w:vAlign w:val="center"/>
          </w:tcPr>
          <w:p w14:paraId="02ACED9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外送</w:t>
            </w:r>
          </w:p>
          <w:p w14:paraId="18AB8608">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一览表</w:t>
            </w:r>
          </w:p>
        </w:tc>
        <w:tc>
          <w:tcPr>
            <w:tcW w:w="2867" w:type="pct"/>
            <w:tcBorders>
              <w:top w:val="single" w:color="auto" w:sz="4" w:space="0"/>
              <w:left w:val="single" w:color="auto" w:sz="4" w:space="0"/>
              <w:bottom w:val="single" w:color="auto" w:sz="4" w:space="0"/>
              <w:right w:val="single" w:color="auto" w:sz="4" w:space="0"/>
            </w:tcBorders>
          </w:tcPr>
          <w:p w14:paraId="37221152">
            <w:pPr>
              <w:spacing w:line="360" w:lineRule="auto"/>
              <w:rPr>
                <w:rFonts w:ascii="仿宋" w:hAnsi="仿宋" w:eastAsia="仿宋" w:cs="仿宋"/>
                <w:sz w:val="24"/>
                <w:highlight w:val="none"/>
              </w:rPr>
            </w:pPr>
            <w:r>
              <w:rPr>
                <w:rFonts w:hint="eastAsia" w:ascii="仿宋" w:hAnsi="仿宋" w:eastAsia="仿宋" w:cs="仿宋"/>
                <w:sz w:val="24"/>
                <w:highlight w:val="none"/>
              </w:rPr>
              <w:t>系统支持外送数据一览表展示功能，可同屏展示今日外送一览（外送标本总数、危急值总数）、按机构查询标本数据统计（送检标本数量、未出报告数量）、近三天危急值样本列表，支持同界面历史外送数据一览表便捷查询。</w:t>
            </w:r>
          </w:p>
        </w:tc>
      </w:tr>
      <w:tr w14:paraId="2FE4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05AB9013">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73CABBF5">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55AB1D5A">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0B68ADA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样本发送</w:t>
            </w:r>
          </w:p>
        </w:tc>
        <w:tc>
          <w:tcPr>
            <w:tcW w:w="2867" w:type="pct"/>
            <w:tcBorders>
              <w:top w:val="single" w:color="auto" w:sz="4" w:space="0"/>
              <w:left w:val="single" w:color="auto" w:sz="4" w:space="0"/>
              <w:bottom w:val="single" w:color="auto" w:sz="4" w:space="0"/>
              <w:right w:val="single" w:color="auto" w:sz="4" w:space="0"/>
            </w:tcBorders>
          </w:tcPr>
          <w:p w14:paraId="0F98186B">
            <w:pPr>
              <w:spacing w:line="360" w:lineRule="auto"/>
              <w:rPr>
                <w:rFonts w:ascii="仿宋" w:hAnsi="仿宋" w:eastAsia="仿宋" w:cs="仿宋"/>
                <w:sz w:val="24"/>
                <w:highlight w:val="none"/>
              </w:rPr>
            </w:pPr>
            <w:r>
              <w:rPr>
                <w:rFonts w:hint="eastAsia" w:ascii="仿宋" w:hAnsi="仿宋" w:eastAsia="仿宋" w:cs="仿宋"/>
                <w:sz w:val="24"/>
                <w:highlight w:val="none"/>
              </w:rPr>
              <w:t>扫码添加样本：支持通过扫码将样本快速添加至外送列表</w:t>
            </w:r>
          </w:p>
          <w:p w14:paraId="7BFF4A70">
            <w:pPr>
              <w:spacing w:line="360" w:lineRule="auto"/>
              <w:rPr>
                <w:rFonts w:ascii="仿宋" w:hAnsi="仿宋" w:eastAsia="仿宋" w:cs="仿宋"/>
                <w:sz w:val="24"/>
                <w:highlight w:val="none"/>
              </w:rPr>
            </w:pPr>
            <w:r>
              <w:rPr>
                <w:rFonts w:hint="eastAsia" w:ascii="仿宋" w:hAnsi="仿宋" w:eastAsia="仿宋" w:cs="仿宋"/>
                <w:sz w:val="24"/>
                <w:highlight w:val="none"/>
              </w:rPr>
              <w:t>未发送列表：支持一键获取机构的未发送样本，便捷快速查询出未发送样本信息列表</w:t>
            </w:r>
          </w:p>
          <w:p w14:paraId="51219746">
            <w:pPr>
              <w:spacing w:line="360" w:lineRule="auto"/>
              <w:rPr>
                <w:rFonts w:ascii="仿宋" w:hAnsi="仿宋" w:eastAsia="仿宋" w:cs="仿宋"/>
                <w:sz w:val="24"/>
                <w:highlight w:val="none"/>
              </w:rPr>
            </w:pPr>
            <w:r>
              <w:rPr>
                <w:rFonts w:hint="eastAsia" w:ascii="仿宋" w:hAnsi="仿宋" w:eastAsia="仿宋" w:cs="仿宋"/>
                <w:sz w:val="24"/>
                <w:highlight w:val="none"/>
              </w:rPr>
              <w:t>外送样本列表：支持通过列表展示所有外送样本</w:t>
            </w:r>
          </w:p>
          <w:p w14:paraId="75E4207D">
            <w:pPr>
              <w:spacing w:line="360" w:lineRule="auto"/>
              <w:rPr>
                <w:rFonts w:ascii="仿宋" w:hAnsi="仿宋" w:eastAsia="仿宋" w:cs="仿宋"/>
                <w:sz w:val="24"/>
                <w:highlight w:val="none"/>
              </w:rPr>
            </w:pPr>
            <w:r>
              <w:rPr>
                <w:rFonts w:hint="eastAsia" w:ascii="仿宋" w:hAnsi="仿宋" w:eastAsia="仿宋" w:cs="仿宋"/>
                <w:sz w:val="24"/>
                <w:highlight w:val="none"/>
              </w:rPr>
              <w:t>外送样本发送：支持选择外送样本列表进行发送操作，支持单个发送，也支持多个打包发送；发送后系统会自动生成打包码，可通过打包码快速查询打包码内所有样本信息</w:t>
            </w:r>
          </w:p>
          <w:p w14:paraId="6F5E47AD">
            <w:pPr>
              <w:spacing w:line="360" w:lineRule="auto"/>
              <w:rPr>
                <w:rFonts w:ascii="仿宋" w:hAnsi="仿宋" w:eastAsia="仿宋" w:cs="仿宋"/>
                <w:sz w:val="24"/>
                <w:highlight w:val="none"/>
              </w:rPr>
            </w:pPr>
            <w:r>
              <w:rPr>
                <w:rFonts w:hint="eastAsia" w:ascii="仿宋" w:hAnsi="仿宋" w:eastAsia="仿宋" w:cs="仿宋"/>
                <w:sz w:val="24"/>
                <w:highlight w:val="none"/>
              </w:rPr>
              <w:t>未发送样本查询：支持未发送成功的样本信息自动筛选，可直接跳至未发送清单直接查看相关样本信息</w:t>
            </w:r>
          </w:p>
          <w:p w14:paraId="4E36B7D7">
            <w:pPr>
              <w:spacing w:line="360" w:lineRule="auto"/>
              <w:rPr>
                <w:rFonts w:ascii="仿宋" w:hAnsi="仿宋" w:eastAsia="仿宋" w:cs="仿宋"/>
                <w:sz w:val="24"/>
                <w:highlight w:val="none"/>
              </w:rPr>
            </w:pPr>
            <w:r>
              <w:rPr>
                <w:rFonts w:hint="eastAsia" w:ascii="仿宋" w:hAnsi="仿宋" w:eastAsia="仿宋" w:cs="仿宋"/>
                <w:sz w:val="24"/>
                <w:highlight w:val="none"/>
              </w:rPr>
              <w:t>样本清单打印：支持根据发送的样本信息生成样本清单，支持清单打印功能</w:t>
            </w:r>
          </w:p>
        </w:tc>
      </w:tr>
      <w:tr w14:paraId="59B7C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31B07799">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19140B98">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571275D2">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0BD32EC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样本接收</w:t>
            </w:r>
          </w:p>
        </w:tc>
        <w:tc>
          <w:tcPr>
            <w:tcW w:w="2867" w:type="pct"/>
            <w:tcBorders>
              <w:top w:val="single" w:color="auto" w:sz="4" w:space="0"/>
              <w:left w:val="single" w:color="auto" w:sz="4" w:space="0"/>
              <w:bottom w:val="single" w:color="auto" w:sz="4" w:space="0"/>
              <w:right w:val="single" w:color="auto" w:sz="4" w:space="0"/>
            </w:tcBorders>
          </w:tcPr>
          <w:p w14:paraId="11989DE8">
            <w:pPr>
              <w:spacing w:line="360" w:lineRule="auto"/>
              <w:rPr>
                <w:rFonts w:ascii="仿宋" w:hAnsi="仿宋" w:eastAsia="仿宋" w:cs="仿宋"/>
                <w:sz w:val="24"/>
                <w:highlight w:val="none"/>
              </w:rPr>
            </w:pPr>
            <w:r>
              <w:rPr>
                <w:rFonts w:hint="eastAsia" w:ascii="仿宋" w:hAnsi="仿宋" w:eastAsia="仿宋" w:cs="仿宋"/>
                <w:sz w:val="24"/>
                <w:highlight w:val="none"/>
              </w:rPr>
              <w:t>扫码接收样本：支持通过扫码将送检样本添加至接收清单，一键完成所有样本接收；支持扫描打包码批量接收样本</w:t>
            </w:r>
          </w:p>
          <w:p w14:paraId="4597F989">
            <w:pPr>
              <w:spacing w:line="360" w:lineRule="auto"/>
              <w:rPr>
                <w:rFonts w:ascii="仿宋" w:hAnsi="仿宋" w:eastAsia="仿宋" w:cs="仿宋"/>
                <w:sz w:val="24"/>
                <w:highlight w:val="none"/>
              </w:rPr>
            </w:pPr>
            <w:r>
              <w:rPr>
                <w:rFonts w:hint="eastAsia" w:ascii="仿宋" w:hAnsi="仿宋" w:eastAsia="仿宋" w:cs="仿宋"/>
                <w:sz w:val="24"/>
                <w:highlight w:val="none"/>
              </w:rPr>
              <w:t>接收样本列表：支持通过列表展示所有接收样本；支持不能接收样本可自动过滤显示在接收界面</w:t>
            </w:r>
          </w:p>
          <w:p w14:paraId="308145BA">
            <w:pPr>
              <w:spacing w:line="360" w:lineRule="auto"/>
              <w:rPr>
                <w:rFonts w:ascii="仿宋" w:hAnsi="仿宋" w:eastAsia="仿宋" w:cs="仿宋"/>
                <w:sz w:val="24"/>
                <w:highlight w:val="none"/>
              </w:rPr>
            </w:pPr>
            <w:r>
              <w:rPr>
                <w:rFonts w:hint="eastAsia" w:ascii="仿宋" w:hAnsi="仿宋" w:eastAsia="仿宋" w:cs="仿宋"/>
                <w:sz w:val="24"/>
                <w:highlight w:val="none"/>
              </w:rPr>
              <w:t>未接收列表：支持一键获取机构的未接收样本，便捷快速查询未接收样本信息列表</w:t>
            </w:r>
          </w:p>
          <w:p w14:paraId="5725A333">
            <w:pPr>
              <w:spacing w:line="360" w:lineRule="auto"/>
              <w:rPr>
                <w:rFonts w:ascii="仿宋" w:hAnsi="仿宋" w:eastAsia="仿宋" w:cs="仿宋"/>
                <w:sz w:val="24"/>
                <w:highlight w:val="none"/>
              </w:rPr>
            </w:pPr>
            <w:r>
              <w:rPr>
                <w:rFonts w:hint="eastAsia" w:ascii="仿宋" w:hAnsi="仿宋" w:eastAsia="仿宋" w:cs="仿宋"/>
                <w:sz w:val="24"/>
                <w:highlight w:val="none"/>
              </w:rPr>
              <w:t>撤销接收：支持通过条码号查询已接收样本，进行撤销接收操作</w:t>
            </w:r>
          </w:p>
        </w:tc>
      </w:tr>
      <w:tr w14:paraId="330FE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00F50F04">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2CDA3E89">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748A8B14">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00CFF75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样本查询</w:t>
            </w:r>
          </w:p>
        </w:tc>
        <w:tc>
          <w:tcPr>
            <w:tcW w:w="2867" w:type="pct"/>
            <w:tcBorders>
              <w:top w:val="single" w:color="auto" w:sz="4" w:space="0"/>
              <w:left w:val="single" w:color="auto" w:sz="4" w:space="0"/>
              <w:bottom w:val="single" w:color="auto" w:sz="4" w:space="0"/>
              <w:right w:val="single" w:color="auto" w:sz="4" w:space="0"/>
            </w:tcBorders>
          </w:tcPr>
          <w:p w14:paraId="44DF933A">
            <w:pPr>
              <w:spacing w:line="360" w:lineRule="auto"/>
              <w:rPr>
                <w:rFonts w:ascii="仿宋" w:hAnsi="仿宋" w:eastAsia="仿宋" w:cs="仿宋"/>
                <w:sz w:val="24"/>
                <w:highlight w:val="none"/>
              </w:rPr>
            </w:pPr>
            <w:r>
              <w:rPr>
                <w:rFonts w:hint="eastAsia" w:ascii="仿宋" w:hAnsi="仿宋" w:eastAsia="仿宋" w:cs="仿宋"/>
                <w:sz w:val="24"/>
                <w:highlight w:val="none"/>
              </w:rPr>
              <w:t>扫码查询样本：支持扫描条码查询样本记录；支持可通过送检机构、条码号、打包码筛选送检样本信息，查看送检样本状态</w:t>
            </w:r>
          </w:p>
          <w:p w14:paraId="3B4B1AC6">
            <w:pPr>
              <w:spacing w:line="360" w:lineRule="auto"/>
              <w:rPr>
                <w:rFonts w:ascii="仿宋" w:hAnsi="仿宋" w:eastAsia="仿宋" w:cs="仿宋"/>
                <w:sz w:val="24"/>
                <w:highlight w:val="none"/>
              </w:rPr>
            </w:pPr>
            <w:r>
              <w:rPr>
                <w:rFonts w:hint="eastAsia" w:ascii="仿宋" w:hAnsi="仿宋" w:eastAsia="仿宋" w:cs="仿宋"/>
                <w:sz w:val="24"/>
                <w:highlight w:val="none"/>
              </w:rPr>
              <w:t>样本明细列表：支持通过列表展示查询样本的明细信息</w:t>
            </w:r>
          </w:p>
          <w:p w14:paraId="6C7382F2">
            <w:pPr>
              <w:spacing w:line="360" w:lineRule="auto"/>
              <w:rPr>
                <w:rFonts w:ascii="仿宋" w:hAnsi="仿宋" w:eastAsia="仿宋" w:cs="仿宋"/>
                <w:sz w:val="24"/>
                <w:highlight w:val="none"/>
              </w:rPr>
            </w:pPr>
            <w:r>
              <w:rPr>
                <w:rFonts w:hint="eastAsia" w:ascii="仿宋" w:hAnsi="仿宋" w:eastAsia="仿宋" w:cs="仿宋"/>
                <w:sz w:val="24"/>
                <w:highlight w:val="none"/>
              </w:rPr>
              <w:t>样本检验结果列表：支持已审核的样本可在线查看相关检验结果并获取结果</w:t>
            </w:r>
          </w:p>
          <w:p w14:paraId="10E57857">
            <w:pPr>
              <w:spacing w:line="360" w:lineRule="auto"/>
              <w:rPr>
                <w:rFonts w:ascii="仿宋" w:hAnsi="仿宋" w:eastAsia="仿宋" w:cs="仿宋"/>
                <w:sz w:val="24"/>
                <w:highlight w:val="none"/>
              </w:rPr>
            </w:pPr>
            <w:r>
              <w:rPr>
                <w:rFonts w:hint="eastAsia" w:ascii="仿宋" w:hAnsi="仿宋" w:eastAsia="仿宋" w:cs="仿宋"/>
                <w:sz w:val="24"/>
                <w:highlight w:val="none"/>
              </w:rPr>
              <w:t>样本获取方式：支持接口自动获取样本信息，同时支持手动获取第三方实验室返回的样本信息，并可根据日期范围、选中样本、批量单个三种方式获取</w:t>
            </w:r>
          </w:p>
        </w:tc>
      </w:tr>
      <w:tr w14:paraId="18F4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7143CCBC">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0B2EF4F6">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32D34CE6">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4628172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标本流转跟踪</w:t>
            </w:r>
          </w:p>
        </w:tc>
        <w:tc>
          <w:tcPr>
            <w:tcW w:w="2867" w:type="pct"/>
            <w:tcBorders>
              <w:top w:val="single" w:color="auto" w:sz="4" w:space="0"/>
              <w:left w:val="single" w:color="auto" w:sz="4" w:space="0"/>
              <w:bottom w:val="single" w:color="auto" w:sz="4" w:space="0"/>
              <w:right w:val="single" w:color="auto" w:sz="4" w:space="0"/>
            </w:tcBorders>
          </w:tcPr>
          <w:p w14:paraId="5503449F">
            <w:pPr>
              <w:spacing w:line="360" w:lineRule="auto"/>
              <w:rPr>
                <w:rFonts w:ascii="仿宋" w:hAnsi="仿宋" w:eastAsia="仿宋" w:cs="仿宋"/>
                <w:sz w:val="24"/>
                <w:highlight w:val="none"/>
              </w:rPr>
            </w:pPr>
            <w:r>
              <w:rPr>
                <w:rFonts w:hint="eastAsia" w:ascii="仿宋" w:hAnsi="仿宋" w:eastAsia="仿宋" w:cs="仿宋"/>
                <w:sz w:val="24"/>
                <w:highlight w:val="none"/>
              </w:rPr>
              <w:t>人员信息跟踪：支持记录各时间节点的操作人员信息、操作时间等信息</w:t>
            </w:r>
          </w:p>
          <w:p w14:paraId="237DDAB6">
            <w:pPr>
              <w:spacing w:line="360" w:lineRule="auto"/>
              <w:rPr>
                <w:rFonts w:ascii="仿宋" w:hAnsi="仿宋" w:eastAsia="仿宋" w:cs="仿宋"/>
                <w:sz w:val="24"/>
                <w:highlight w:val="none"/>
              </w:rPr>
            </w:pPr>
            <w:r>
              <w:rPr>
                <w:rFonts w:hint="eastAsia" w:ascii="仿宋" w:hAnsi="仿宋" w:eastAsia="仿宋" w:cs="仿宋"/>
                <w:sz w:val="24"/>
                <w:highlight w:val="none"/>
              </w:rPr>
              <w:t>时间信息跟踪：支持除列表显示样本状态时间信息外还有时间节点的流程图，供操作人员查看</w:t>
            </w:r>
          </w:p>
          <w:p w14:paraId="690C6DB7">
            <w:pPr>
              <w:spacing w:line="360" w:lineRule="auto"/>
              <w:rPr>
                <w:rFonts w:ascii="仿宋" w:hAnsi="仿宋" w:eastAsia="仿宋" w:cs="仿宋"/>
                <w:sz w:val="24"/>
                <w:highlight w:val="none"/>
              </w:rPr>
            </w:pPr>
            <w:r>
              <w:rPr>
                <w:rFonts w:hint="eastAsia" w:ascii="仿宋" w:hAnsi="仿宋" w:eastAsia="仿宋" w:cs="仿宋"/>
                <w:sz w:val="24"/>
                <w:highlight w:val="none"/>
              </w:rPr>
              <w:t>样本信息跟踪：支持记录送检样本的全生命流程的时间节点，支持通过列表展示外送样本的明细信息、节点类型、操作内容等，全面准确地查询到样本流转状态</w:t>
            </w:r>
          </w:p>
        </w:tc>
      </w:tr>
      <w:tr w14:paraId="62F2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0DD91AF1">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35C122B2">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2575D853">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19B38FC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外送统计报表</w:t>
            </w:r>
          </w:p>
        </w:tc>
        <w:tc>
          <w:tcPr>
            <w:tcW w:w="2867" w:type="pct"/>
            <w:tcBorders>
              <w:top w:val="single" w:color="auto" w:sz="4" w:space="0"/>
              <w:left w:val="single" w:color="auto" w:sz="4" w:space="0"/>
              <w:bottom w:val="single" w:color="auto" w:sz="4" w:space="0"/>
              <w:right w:val="single" w:color="auto" w:sz="4" w:space="0"/>
            </w:tcBorders>
          </w:tcPr>
          <w:p w14:paraId="75D3512E">
            <w:pPr>
              <w:spacing w:line="360" w:lineRule="auto"/>
              <w:rPr>
                <w:rFonts w:ascii="仿宋" w:hAnsi="仿宋" w:eastAsia="仿宋" w:cs="仿宋"/>
                <w:sz w:val="24"/>
                <w:highlight w:val="none"/>
              </w:rPr>
            </w:pPr>
            <w:r>
              <w:rPr>
                <w:rFonts w:hint="eastAsia" w:ascii="仿宋" w:hAnsi="仿宋" w:eastAsia="仿宋" w:cs="仿宋"/>
                <w:sz w:val="24"/>
                <w:highlight w:val="none"/>
              </w:rPr>
              <w:t>统计列表：支持查看一段时间内区域各机构的外送相关医嘱、费用、样本数量等统计数据</w:t>
            </w:r>
          </w:p>
          <w:p w14:paraId="4A0F92F1">
            <w:pPr>
              <w:spacing w:line="360" w:lineRule="auto"/>
              <w:rPr>
                <w:rFonts w:ascii="仿宋" w:hAnsi="仿宋" w:eastAsia="仿宋" w:cs="仿宋"/>
                <w:sz w:val="24"/>
                <w:highlight w:val="none"/>
              </w:rPr>
            </w:pPr>
            <w:r>
              <w:rPr>
                <w:rFonts w:hint="eastAsia" w:ascii="仿宋" w:hAnsi="仿宋" w:eastAsia="仿宋" w:cs="仿宋"/>
                <w:sz w:val="24"/>
                <w:highlight w:val="none"/>
              </w:rPr>
              <w:t>信息检索：支持通过检索送检时间、送检机构、检验机构等检索条件对列表内容进行检索</w:t>
            </w:r>
          </w:p>
          <w:p w14:paraId="218330E6">
            <w:pPr>
              <w:spacing w:line="360" w:lineRule="auto"/>
              <w:rPr>
                <w:rFonts w:ascii="仿宋" w:hAnsi="仿宋" w:eastAsia="仿宋" w:cs="仿宋"/>
                <w:sz w:val="24"/>
                <w:highlight w:val="none"/>
              </w:rPr>
            </w:pPr>
            <w:r>
              <w:rPr>
                <w:rFonts w:hint="eastAsia" w:ascii="仿宋" w:hAnsi="仿宋" w:eastAsia="仿宋" w:cs="仿宋"/>
                <w:sz w:val="24"/>
                <w:highlight w:val="none"/>
              </w:rPr>
              <w:t>统计分组：支持通过勾选送检机构、医嘱、样本类型、费用等条件对检索到的列表数据进行分组统计，可根据统计结果生成数据报表，便于对数据信息进行有效挖掘分析</w:t>
            </w:r>
          </w:p>
          <w:p w14:paraId="4628F3FE">
            <w:pPr>
              <w:spacing w:line="360" w:lineRule="auto"/>
              <w:rPr>
                <w:rFonts w:ascii="仿宋" w:hAnsi="仿宋" w:eastAsia="仿宋" w:cs="仿宋"/>
                <w:sz w:val="24"/>
                <w:highlight w:val="none"/>
              </w:rPr>
            </w:pPr>
            <w:r>
              <w:rPr>
                <w:rFonts w:hint="eastAsia" w:ascii="仿宋" w:hAnsi="仿宋" w:eastAsia="仿宋" w:cs="仿宋"/>
                <w:sz w:val="24"/>
                <w:highlight w:val="none"/>
              </w:rPr>
              <w:t>个性化条件组合：支持自定义勾选多种组合方式统计报表数据，实现个性化需求</w:t>
            </w:r>
          </w:p>
        </w:tc>
      </w:tr>
      <w:tr w14:paraId="6D71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66503700">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269AA6F0">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68C0EF1B">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2F7A85A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检验报告返回查询</w:t>
            </w:r>
          </w:p>
        </w:tc>
        <w:tc>
          <w:tcPr>
            <w:tcW w:w="2867" w:type="pct"/>
            <w:tcBorders>
              <w:top w:val="single" w:color="auto" w:sz="4" w:space="0"/>
              <w:left w:val="single" w:color="auto" w:sz="4" w:space="0"/>
              <w:bottom w:val="single" w:color="auto" w:sz="4" w:space="0"/>
              <w:right w:val="single" w:color="auto" w:sz="4" w:space="0"/>
            </w:tcBorders>
          </w:tcPr>
          <w:p w14:paraId="45A8488F">
            <w:pPr>
              <w:spacing w:line="360" w:lineRule="auto"/>
              <w:rPr>
                <w:rFonts w:ascii="仿宋" w:hAnsi="仿宋" w:eastAsia="仿宋" w:cs="仿宋"/>
                <w:sz w:val="24"/>
                <w:highlight w:val="none"/>
              </w:rPr>
            </w:pPr>
            <w:r>
              <w:rPr>
                <w:rFonts w:hint="eastAsia" w:ascii="仿宋" w:hAnsi="仿宋" w:eastAsia="仿宋" w:cs="仿宋"/>
                <w:sz w:val="24"/>
                <w:highlight w:val="none"/>
              </w:rPr>
              <w:t>支持检验报告通过服务器定时发布到区域检验平台，委托实验室可以从区域检验平台中下载检验报告单数据，其他授权医院也可以从网上直接访问查询、打印检验报告单。</w:t>
            </w:r>
          </w:p>
        </w:tc>
      </w:tr>
      <w:tr w14:paraId="3BAC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7FD53354">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39A1522D">
            <w:pPr>
              <w:spacing w:line="360" w:lineRule="auto"/>
              <w:rPr>
                <w:rFonts w:ascii="仿宋" w:hAnsi="仿宋" w:eastAsia="仿宋" w:cs="仿宋"/>
                <w:sz w:val="24"/>
                <w:highlight w:val="none"/>
              </w:rPr>
            </w:pPr>
          </w:p>
        </w:tc>
        <w:tc>
          <w:tcPr>
            <w:tcW w:w="427" w:type="pct"/>
            <w:vMerge w:val="restart"/>
            <w:tcBorders>
              <w:top w:val="single" w:color="auto" w:sz="4" w:space="0"/>
              <w:left w:val="single" w:color="auto" w:sz="4" w:space="0"/>
              <w:bottom w:val="single" w:color="auto" w:sz="4" w:space="0"/>
              <w:right w:val="single" w:color="auto" w:sz="4" w:space="0"/>
            </w:tcBorders>
            <w:vAlign w:val="center"/>
          </w:tcPr>
          <w:p w14:paraId="45F8598D">
            <w:pPr>
              <w:spacing w:line="360" w:lineRule="auto"/>
              <w:rPr>
                <w:rFonts w:ascii="仿宋" w:hAnsi="仿宋" w:eastAsia="仿宋" w:cs="仿宋"/>
                <w:sz w:val="24"/>
                <w:highlight w:val="none"/>
              </w:rPr>
            </w:pPr>
            <w:r>
              <w:rPr>
                <w:rFonts w:hint="eastAsia" w:ascii="仿宋" w:hAnsi="仿宋" w:eastAsia="仿宋" w:cs="仿宋"/>
                <w:sz w:val="24"/>
                <w:highlight w:val="none"/>
              </w:rPr>
              <w:t>区域临床危急值管理系统</w:t>
            </w:r>
          </w:p>
        </w:tc>
        <w:tc>
          <w:tcPr>
            <w:tcW w:w="854" w:type="pct"/>
            <w:tcBorders>
              <w:top w:val="single" w:color="auto" w:sz="4" w:space="0"/>
              <w:left w:val="single" w:color="auto" w:sz="4" w:space="0"/>
              <w:bottom w:val="single" w:color="auto" w:sz="4" w:space="0"/>
              <w:right w:val="single" w:color="auto" w:sz="4" w:space="0"/>
            </w:tcBorders>
            <w:vAlign w:val="center"/>
          </w:tcPr>
          <w:p w14:paraId="31C7972F">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外送样本危急值</w:t>
            </w:r>
          </w:p>
          <w:p w14:paraId="598F4CC6">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管理</w:t>
            </w:r>
          </w:p>
        </w:tc>
        <w:tc>
          <w:tcPr>
            <w:tcW w:w="2867" w:type="pct"/>
            <w:tcBorders>
              <w:top w:val="single" w:color="auto" w:sz="4" w:space="0"/>
              <w:left w:val="single" w:color="auto" w:sz="4" w:space="0"/>
              <w:bottom w:val="single" w:color="auto" w:sz="4" w:space="0"/>
              <w:right w:val="single" w:color="auto" w:sz="4" w:space="0"/>
            </w:tcBorders>
          </w:tcPr>
          <w:p w14:paraId="7DAF1D79">
            <w:pPr>
              <w:spacing w:line="360" w:lineRule="auto"/>
              <w:rPr>
                <w:rFonts w:ascii="仿宋" w:hAnsi="仿宋" w:eastAsia="仿宋" w:cs="仿宋"/>
                <w:sz w:val="24"/>
                <w:highlight w:val="none"/>
              </w:rPr>
            </w:pPr>
            <w:r>
              <w:rPr>
                <w:rFonts w:hint="eastAsia" w:ascii="仿宋" w:hAnsi="仿宋" w:eastAsia="仿宋" w:cs="仿宋"/>
                <w:sz w:val="24"/>
                <w:highlight w:val="none"/>
              </w:rPr>
              <w:t>支持定义接口规范，支持多种不同的“危急值”消息接入，将多个不同来源的“危急值”通知提醒给临床医务人员</w:t>
            </w:r>
          </w:p>
        </w:tc>
      </w:tr>
      <w:tr w14:paraId="349D8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0930482D">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24439D0D">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65AA2C36">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7C21477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危急值</w:t>
            </w:r>
          </w:p>
          <w:p w14:paraId="539B99B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处理状态查询</w:t>
            </w:r>
          </w:p>
        </w:tc>
        <w:tc>
          <w:tcPr>
            <w:tcW w:w="2867" w:type="pct"/>
            <w:tcBorders>
              <w:top w:val="single" w:color="auto" w:sz="4" w:space="0"/>
              <w:left w:val="single" w:color="auto" w:sz="4" w:space="0"/>
              <w:bottom w:val="single" w:color="auto" w:sz="4" w:space="0"/>
              <w:right w:val="single" w:color="auto" w:sz="4" w:space="0"/>
            </w:tcBorders>
          </w:tcPr>
          <w:p w14:paraId="0BD3B8C3">
            <w:pPr>
              <w:spacing w:line="360" w:lineRule="auto"/>
              <w:rPr>
                <w:rFonts w:ascii="仿宋" w:hAnsi="仿宋" w:eastAsia="仿宋" w:cs="仿宋"/>
                <w:sz w:val="24"/>
                <w:highlight w:val="none"/>
              </w:rPr>
            </w:pPr>
            <w:r>
              <w:rPr>
                <w:rFonts w:hint="eastAsia" w:ascii="仿宋" w:hAnsi="仿宋" w:eastAsia="仿宋" w:cs="仿宋"/>
                <w:sz w:val="24"/>
                <w:highlight w:val="none"/>
              </w:rPr>
              <w:t>危急值明细查询：支持根据系统汇总数据，统计区域临床危急值明细相关的数据，支持查看发生时间、处理时间、处理时长、处理人、送检机构等信息，帮助快速了解危急值发生及处理情况。</w:t>
            </w:r>
          </w:p>
          <w:p w14:paraId="54F87DA4">
            <w:pPr>
              <w:spacing w:line="360" w:lineRule="auto"/>
              <w:rPr>
                <w:rFonts w:ascii="仿宋" w:hAnsi="仿宋" w:eastAsia="仿宋" w:cs="仿宋"/>
                <w:sz w:val="24"/>
                <w:highlight w:val="none"/>
              </w:rPr>
            </w:pPr>
            <w:r>
              <w:rPr>
                <w:rFonts w:hint="eastAsia" w:ascii="仿宋" w:hAnsi="仿宋" w:eastAsia="仿宋" w:cs="仿宋"/>
                <w:sz w:val="24"/>
                <w:highlight w:val="none"/>
              </w:rPr>
              <w:t>危急值消息发送记录查询：支持根据系统汇总数据，统计区域临床危急值消息发送记录相关的数据。</w:t>
            </w:r>
          </w:p>
          <w:p w14:paraId="6C48D874">
            <w:pPr>
              <w:spacing w:line="360" w:lineRule="auto"/>
              <w:rPr>
                <w:rFonts w:ascii="仿宋" w:hAnsi="仿宋" w:eastAsia="仿宋" w:cs="仿宋"/>
                <w:sz w:val="24"/>
                <w:highlight w:val="none"/>
              </w:rPr>
            </w:pPr>
            <w:r>
              <w:rPr>
                <w:rFonts w:hint="eastAsia" w:ascii="仿宋" w:hAnsi="仿宋" w:eastAsia="仿宋" w:cs="仿宋"/>
                <w:sz w:val="24"/>
                <w:highlight w:val="none"/>
              </w:rPr>
              <w:t>危急值处理状态查询：支持根据筛选时间段、送检机构等查询危急值上级处理状态等相关数据</w:t>
            </w:r>
          </w:p>
        </w:tc>
      </w:tr>
      <w:tr w14:paraId="667B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tcBorders>
              <w:top w:val="single" w:color="auto" w:sz="4" w:space="0"/>
              <w:left w:val="single" w:color="auto" w:sz="4" w:space="0"/>
              <w:bottom w:val="single" w:color="auto" w:sz="4" w:space="0"/>
              <w:right w:val="single" w:color="auto" w:sz="4" w:space="0"/>
            </w:tcBorders>
            <w:vAlign w:val="center"/>
          </w:tcPr>
          <w:p w14:paraId="133C3DEF">
            <w:pPr>
              <w:numPr>
                <w:ilvl w:val="0"/>
                <w:numId w:val="6"/>
              </w:numPr>
              <w:spacing w:line="360" w:lineRule="auto"/>
              <w:ind w:left="0" w:firstLine="0"/>
              <w:jc w:val="center"/>
              <w:rPr>
                <w:rFonts w:ascii="仿宋" w:hAnsi="仿宋" w:eastAsia="仿宋" w:cs="仿宋"/>
                <w:sz w:val="24"/>
                <w:highlight w:val="none"/>
              </w:rPr>
            </w:pPr>
          </w:p>
        </w:tc>
        <w:tc>
          <w:tcPr>
            <w:tcW w:w="428" w:type="pct"/>
            <w:vMerge w:val="continue"/>
            <w:tcBorders>
              <w:top w:val="single" w:color="auto" w:sz="4" w:space="0"/>
              <w:left w:val="single" w:color="auto" w:sz="4" w:space="0"/>
              <w:bottom w:val="single" w:color="auto" w:sz="4" w:space="0"/>
              <w:right w:val="single" w:color="auto" w:sz="4" w:space="0"/>
            </w:tcBorders>
          </w:tcPr>
          <w:p w14:paraId="64DCBABA">
            <w:pPr>
              <w:spacing w:line="360" w:lineRule="auto"/>
              <w:rPr>
                <w:rFonts w:ascii="仿宋" w:hAnsi="仿宋" w:eastAsia="仿宋" w:cs="仿宋"/>
                <w:sz w:val="24"/>
                <w:highlight w:val="none"/>
              </w:rPr>
            </w:pPr>
          </w:p>
        </w:tc>
        <w:tc>
          <w:tcPr>
            <w:tcW w:w="427" w:type="pct"/>
            <w:vMerge w:val="continue"/>
            <w:tcBorders>
              <w:top w:val="single" w:color="auto" w:sz="4" w:space="0"/>
              <w:left w:val="single" w:color="auto" w:sz="4" w:space="0"/>
              <w:bottom w:val="single" w:color="auto" w:sz="4" w:space="0"/>
              <w:right w:val="single" w:color="auto" w:sz="4" w:space="0"/>
            </w:tcBorders>
            <w:vAlign w:val="center"/>
          </w:tcPr>
          <w:p w14:paraId="2DA87BD4">
            <w:pPr>
              <w:spacing w:line="360" w:lineRule="auto"/>
              <w:rPr>
                <w:rFonts w:ascii="仿宋" w:hAnsi="仿宋" w:eastAsia="仿宋" w:cs="仿宋"/>
                <w:sz w:val="24"/>
                <w:highlight w:val="none"/>
              </w:rPr>
            </w:pPr>
          </w:p>
        </w:tc>
        <w:tc>
          <w:tcPr>
            <w:tcW w:w="854" w:type="pct"/>
            <w:tcBorders>
              <w:top w:val="single" w:color="auto" w:sz="4" w:space="0"/>
              <w:left w:val="single" w:color="auto" w:sz="4" w:space="0"/>
              <w:bottom w:val="single" w:color="auto" w:sz="4" w:space="0"/>
              <w:right w:val="single" w:color="auto" w:sz="4" w:space="0"/>
            </w:tcBorders>
            <w:vAlign w:val="center"/>
          </w:tcPr>
          <w:p w14:paraId="22F9EBC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危急值</w:t>
            </w:r>
          </w:p>
          <w:p w14:paraId="7387CE8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统计分析</w:t>
            </w:r>
          </w:p>
        </w:tc>
        <w:tc>
          <w:tcPr>
            <w:tcW w:w="2867" w:type="pct"/>
            <w:tcBorders>
              <w:top w:val="single" w:color="auto" w:sz="4" w:space="0"/>
              <w:left w:val="single" w:color="auto" w:sz="4" w:space="0"/>
              <w:bottom w:val="single" w:color="auto" w:sz="4" w:space="0"/>
              <w:right w:val="single" w:color="auto" w:sz="4" w:space="0"/>
            </w:tcBorders>
          </w:tcPr>
          <w:p w14:paraId="75A7C51C">
            <w:pPr>
              <w:spacing w:line="360" w:lineRule="auto"/>
              <w:rPr>
                <w:rFonts w:ascii="仿宋" w:hAnsi="仿宋" w:eastAsia="仿宋" w:cs="仿宋"/>
                <w:sz w:val="24"/>
                <w:highlight w:val="none"/>
              </w:rPr>
            </w:pPr>
            <w:r>
              <w:rPr>
                <w:rFonts w:hint="eastAsia" w:ascii="仿宋" w:hAnsi="仿宋" w:eastAsia="仿宋" w:cs="仿宋"/>
                <w:sz w:val="24"/>
                <w:highlight w:val="none"/>
              </w:rPr>
              <w:t>危急值发送项目构成比：支持根据系统汇总数据，统计区域临床危急值发送项目构成比相关的数据。</w:t>
            </w:r>
          </w:p>
          <w:p w14:paraId="4160832D">
            <w:pPr>
              <w:spacing w:line="360" w:lineRule="auto"/>
              <w:rPr>
                <w:rFonts w:ascii="仿宋" w:hAnsi="仿宋" w:eastAsia="仿宋" w:cs="仿宋"/>
                <w:sz w:val="24"/>
                <w:highlight w:val="none"/>
              </w:rPr>
            </w:pPr>
            <w:r>
              <w:rPr>
                <w:rFonts w:hint="eastAsia" w:ascii="仿宋" w:hAnsi="仿宋" w:eastAsia="仿宋" w:cs="仿宋"/>
                <w:sz w:val="24"/>
                <w:highlight w:val="none"/>
              </w:rPr>
              <w:t>危急值发送机构构成比：支持根据系统汇总数据，统计区域临床危急值发送机构构成比相关的数据。</w:t>
            </w:r>
          </w:p>
          <w:p w14:paraId="53A01253">
            <w:pPr>
              <w:spacing w:line="360" w:lineRule="auto"/>
              <w:rPr>
                <w:rFonts w:ascii="仿宋" w:hAnsi="仿宋" w:eastAsia="仿宋" w:cs="仿宋"/>
                <w:sz w:val="24"/>
                <w:highlight w:val="none"/>
              </w:rPr>
            </w:pPr>
            <w:r>
              <w:rPr>
                <w:rFonts w:hint="eastAsia" w:ascii="仿宋" w:hAnsi="仿宋" w:eastAsia="仿宋" w:cs="仿宋"/>
                <w:sz w:val="24"/>
                <w:highlight w:val="none"/>
              </w:rPr>
              <w:t>危急值统计：支持查看各机构危急值统计报表，总样本数、危急值总数等相关数据</w:t>
            </w:r>
          </w:p>
        </w:tc>
      </w:tr>
    </w:tbl>
    <w:p w14:paraId="7D71183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2.1.4双向转诊中心</w:t>
      </w:r>
    </w:p>
    <w:tbl>
      <w:tblPr>
        <w:tblStyle w:val="35"/>
        <w:tblW w:w="4998" w:type="pct"/>
        <w:tblInd w:w="0" w:type="dxa"/>
        <w:tblLayout w:type="autofit"/>
        <w:tblCellMar>
          <w:top w:w="0" w:type="dxa"/>
          <w:left w:w="108" w:type="dxa"/>
          <w:bottom w:w="0" w:type="dxa"/>
          <w:right w:w="108" w:type="dxa"/>
        </w:tblCellMar>
      </w:tblPr>
      <w:tblGrid>
        <w:gridCol w:w="722"/>
        <w:gridCol w:w="1603"/>
        <w:gridCol w:w="6194"/>
      </w:tblGrid>
      <w:tr w14:paraId="53F83291">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58B14A6F">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序号</w:t>
            </w:r>
          </w:p>
        </w:tc>
        <w:tc>
          <w:tcPr>
            <w:tcW w:w="941" w:type="pct"/>
            <w:tcBorders>
              <w:top w:val="single" w:color="000000" w:sz="4" w:space="0"/>
              <w:left w:val="single" w:color="000000" w:sz="4" w:space="0"/>
              <w:bottom w:val="single" w:color="000000" w:sz="4" w:space="0"/>
              <w:right w:val="single" w:color="000000" w:sz="4" w:space="0"/>
            </w:tcBorders>
            <w:vAlign w:val="center"/>
          </w:tcPr>
          <w:p w14:paraId="614E1E77">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功能模块</w:t>
            </w:r>
          </w:p>
        </w:tc>
        <w:tc>
          <w:tcPr>
            <w:tcW w:w="3636" w:type="pct"/>
            <w:tcBorders>
              <w:top w:val="single" w:color="000000" w:sz="4" w:space="0"/>
              <w:left w:val="single" w:color="000000" w:sz="4" w:space="0"/>
              <w:bottom w:val="single" w:color="000000" w:sz="4" w:space="0"/>
              <w:right w:val="single" w:color="000000" w:sz="4" w:space="0"/>
            </w:tcBorders>
            <w:vAlign w:val="center"/>
          </w:tcPr>
          <w:p w14:paraId="1AD2F1BC">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技术参数</w:t>
            </w:r>
          </w:p>
        </w:tc>
      </w:tr>
      <w:tr w14:paraId="55D3D9AF">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37AD73F9">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1</w:t>
            </w:r>
          </w:p>
        </w:tc>
        <w:tc>
          <w:tcPr>
            <w:tcW w:w="941" w:type="pct"/>
            <w:tcBorders>
              <w:top w:val="single" w:color="000000" w:sz="4" w:space="0"/>
              <w:left w:val="single" w:color="000000" w:sz="4" w:space="0"/>
              <w:bottom w:val="single" w:color="000000" w:sz="4" w:space="0"/>
              <w:right w:val="single" w:color="000000" w:sz="4" w:space="0"/>
            </w:tcBorders>
            <w:vAlign w:val="center"/>
          </w:tcPr>
          <w:p w14:paraId="552536F9">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总体要求</w:t>
            </w:r>
          </w:p>
        </w:tc>
        <w:tc>
          <w:tcPr>
            <w:tcW w:w="3636" w:type="pct"/>
            <w:tcBorders>
              <w:top w:val="single" w:color="000000" w:sz="4" w:space="0"/>
              <w:left w:val="single" w:color="000000" w:sz="4" w:space="0"/>
              <w:bottom w:val="single" w:color="000000" w:sz="4" w:space="0"/>
              <w:right w:val="single" w:color="000000" w:sz="4" w:space="0"/>
            </w:tcBorders>
            <w:vAlign w:val="center"/>
          </w:tcPr>
          <w:p w14:paraId="49451B75">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实现洪泽区接入市双向转诊中心。支持门诊转诊。支持检查转诊。支持住院转诊。支持出院随访，包括随访管理和统计分析功能。</w:t>
            </w:r>
          </w:p>
        </w:tc>
      </w:tr>
      <w:tr w14:paraId="49C82415">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4EA7DC46">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2</w:t>
            </w:r>
          </w:p>
        </w:tc>
        <w:tc>
          <w:tcPr>
            <w:tcW w:w="941" w:type="pct"/>
            <w:tcBorders>
              <w:top w:val="single" w:color="000000" w:sz="4" w:space="0"/>
              <w:left w:val="single" w:color="000000" w:sz="4" w:space="0"/>
              <w:bottom w:val="single" w:color="000000" w:sz="4" w:space="0"/>
              <w:right w:val="single" w:color="000000" w:sz="4" w:space="0"/>
            </w:tcBorders>
            <w:vAlign w:val="center"/>
          </w:tcPr>
          <w:p w14:paraId="4679E7A8">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资源中心</w:t>
            </w:r>
          </w:p>
        </w:tc>
        <w:tc>
          <w:tcPr>
            <w:tcW w:w="3636" w:type="pct"/>
            <w:tcBorders>
              <w:top w:val="single" w:color="000000" w:sz="4" w:space="0"/>
              <w:left w:val="single" w:color="000000" w:sz="4" w:space="0"/>
              <w:bottom w:val="single" w:color="000000" w:sz="4" w:space="0"/>
              <w:right w:val="single" w:color="000000" w:sz="4" w:space="0"/>
            </w:tcBorders>
            <w:vAlign w:val="center"/>
          </w:tcPr>
          <w:p w14:paraId="78359418">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对医共体内所有医院医疗资源进行集中化管理，与各医院HIS、PACS等系统进行医疗资源的对接，通过数据交换平台与医院信息系统进行实时数据信息交换。建立预约资源池，集成医疗机构、医院科室、专家资源、检查资源、床位资源的调度与管理，实现分级诊疗业务系统运行以及业务共享协同开展。</w:t>
            </w:r>
          </w:p>
          <w:p w14:paraId="069879F3">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支持基础管理、门诊资源管理、住院资源管理、协同资源管理、资源池统计。</w:t>
            </w:r>
          </w:p>
        </w:tc>
      </w:tr>
      <w:tr w14:paraId="2FB578E3">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03B93C96">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3</w:t>
            </w:r>
          </w:p>
        </w:tc>
        <w:tc>
          <w:tcPr>
            <w:tcW w:w="941" w:type="pct"/>
            <w:tcBorders>
              <w:top w:val="single" w:color="000000" w:sz="4" w:space="0"/>
              <w:left w:val="single" w:color="000000" w:sz="4" w:space="0"/>
              <w:bottom w:val="single" w:color="000000" w:sz="4" w:space="0"/>
              <w:right w:val="single" w:color="000000" w:sz="4" w:space="0"/>
            </w:tcBorders>
            <w:vAlign w:val="center"/>
          </w:tcPr>
          <w:p w14:paraId="55DB84C5">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门诊转诊</w:t>
            </w:r>
          </w:p>
        </w:tc>
        <w:tc>
          <w:tcPr>
            <w:tcW w:w="3636" w:type="pct"/>
            <w:tcBorders>
              <w:top w:val="single" w:color="000000" w:sz="4" w:space="0"/>
              <w:left w:val="single" w:color="000000" w:sz="4" w:space="0"/>
              <w:bottom w:val="single" w:color="000000" w:sz="4" w:space="0"/>
              <w:right w:val="single" w:color="000000" w:sz="4" w:space="0"/>
            </w:tcBorders>
            <w:vAlign w:val="center"/>
          </w:tcPr>
          <w:p w14:paraId="474F303C">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通过双向转诊中心，实现对医共体合作医院范围内各级医疗机构的接入，在医共体合作医院范围内，基层医疗机构社区医生可根据患者病情需要在诊间发起预约转诊申请，通过双向转诊中心预约上级医院的门诊资源实现诊间预约挂号。同时，转出医院系统需及时上传电子病历至全民健康平台，以便转入医院接诊时可通过双向转诊中心调阅患者的电子健康档案及历次就诊信息。</w:t>
            </w:r>
          </w:p>
          <w:p w14:paraId="5905C2BA">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支持预约门诊、黑白名单管理、转诊查询、统计分析。</w:t>
            </w:r>
          </w:p>
        </w:tc>
      </w:tr>
      <w:tr w14:paraId="07D6EE9B">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D49D65F">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4</w:t>
            </w:r>
          </w:p>
        </w:tc>
        <w:tc>
          <w:tcPr>
            <w:tcW w:w="941" w:type="pct"/>
            <w:tcBorders>
              <w:top w:val="single" w:color="000000" w:sz="4" w:space="0"/>
              <w:left w:val="single" w:color="000000" w:sz="4" w:space="0"/>
              <w:bottom w:val="single" w:color="000000" w:sz="4" w:space="0"/>
              <w:right w:val="single" w:color="000000" w:sz="4" w:space="0"/>
            </w:tcBorders>
            <w:vAlign w:val="center"/>
          </w:tcPr>
          <w:p w14:paraId="7B29F70D">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住院转诊</w:t>
            </w:r>
          </w:p>
        </w:tc>
        <w:tc>
          <w:tcPr>
            <w:tcW w:w="3636" w:type="pct"/>
            <w:tcBorders>
              <w:top w:val="single" w:color="000000" w:sz="4" w:space="0"/>
              <w:left w:val="single" w:color="000000" w:sz="4" w:space="0"/>
              <w:bottom w:val="single" w:color="000000" w:sz="4" w:space="0"/>
              <w:right w:val="single" w:color="000000" w:sz="4" w:space="0"/>
            </w:tcBorders>
            <w:vAlign w:val="center"/>
          </w:tcPr>
          <w:p w14:paraId="4D9D3155">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通过双向转诊中心，建立住院转诊的上转、下转的转诊流程管理，形成基层医疗卫生机构与综合医院间的双向转诊。社区医生通过双向转诊中心可直接查看到上级医院的住院病区、床位情况，提交转诊申请，上级医院病区医生和护士工作站能及时收到提醒并对患者的电子病历进行分析和判断，按规定时间给予转诊答复；上级医院诊治完毕，经医生批准转诊，向双向转诊中心发起申请，医生可以通过双向转诊中心查看社区医院及康复医院的住院病区、床位情况并提出康复转诊申请，社区医生及时接收信息并进行处理。</w:t>
            </w:r>
          </w:p>
          <w:p w14:paraId="01D19CA6">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支持预约住院管理、转诊查询、统计分析。</w:t>
            </w:r>
          </w:p>
        </w:tc>
      </w:tr>
      <w:tr w14:paraId="5B9048BB">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2A55F959">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5</w:t>
            </w:r>
          </w:p>
        </w:tc>
        <w:tc>
          <w:tcPr>
            <w:tcW w:w="941" w:type="pct"/>
            <w:tcBorders>
              <w:top w:val="single" w:color="000000" w:sz="4" w:space="0"/>
              <w:left w:val="single" w:color="000000" w:sz="4" w:space="0"/>
              <w:bottom w:val="single" w:color="000000" w:sz="4" w:space="0"/>
              <w:right w:val="single" w:color="000000" w:sz="4" w:space="0"/>
            </w:tcBorders>
            <w:vAlign w:val="center"/>
          </w:tcPr>
          <w:p w14:paraId="49BA66FA">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检查协同</w:t>
            </w:r>
          </w:p>
        </w:tc>
        <w:tc>
          <w:tcPr>
            <w:tcW w:w="3636" w:type="pct"/>
            <w:tcBorders>
              <w:top w:val="single" w:color="000000" w:sz="4" w:space="0"/>
              <w:left w:val="single" w:color="000000" w:sz="4" w:space="0"/>
              <w:bottom w:val="single" w:color="000000" w:sz="4" w:space="0"/>
              <w:right w:val="single" w:color="000000" w:sz="4" w:space="0"/>
            </w:tcBorders>
            <w:vAlign w:val="center"/>
          </w:tcPr>
          <w:p w14:paraId="22740A7E">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通过双向转诊中心，实现基层医疗机构向综合医院的检查协同。基层医疗机构医生通过双向转诊中心可直接查看到上级医院的检查资源，根据实际情况可直接预约上级医院检查，预约成功后检查协同信息发送到患者手机上。患者到上级医院进行预约确认和收费后即可进行相应的检查。</w:t>
            </w:r>
          </w:p>
          <w:p w14:paraId="6252B852">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支持系统管理、预约检查管理、统计分析。</w:t>
            </w:r>
          </w:p>
        </w:tc>
      </w:tr>
      <w:tr w14:paraId="5A2B4CB7">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7C3ECBAD">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6</w:t>
            </w:r>
          </w:p>
        </w:tc>
        <w:tc>
          <w:tcPr>
            <w:tcW w:w="941" w:type="pct"/>
            <w:tcBorders>
              <w:top w:val="single" w:color="000000" w:sz="4" w:space="0"/>
              <w:left w:val="single" w:color="000000" w:sz="4" w:space="0"/>
              <w:bottom w:val="single" w:color="000000" w:sz="4" w:space="0"/>
              <w:right w:val="single" w:color="000000" w:sz="4" w:space="0"/>
            </w:tcBorders>
            <w:vAlign w:val="center"/>
          </w:tcPr>
          <w:p w14:paraId="4C52026F">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出院随访</w:t>
            </w:r>
          </w:p>
        </w:tc>
        <w:tc>
          <w:tcPr>
            <w:tcW w:w="3636" w:type="pct"/>
            <w:tcBorders>
              <w:top w:val="single" w:color="000000" w:sz="4" w:space="0"/>
              <w:left w:val="single" w:color="000000" w:sz="4" w:space="0"/>
              <w:bottom w:val="single" w:color="000000" w:sz="4" w:space="0"/>
              <w:right w:val="single" w:color="000000" w:sz="4" w:space="0"/>
            </w:tcBorders>
            <w:vAlign w:val="center"/>
          </w:tcPr>
          <w:p w14:paraId="3C441071">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双向转诊中心自动获取上级医院出院病人信息，住院医生可通过平台制定随访方案，平台根据患者情况自动将随访方案下发至基层签约医生或者档案管理医生，基层医生从平台获取随访方案推送后按计划执行随访，并及时将随访结果提交到平台，以便于上级医院医生及时掌握患者出院后的恢复情况。</w:t>
            </w:r>
          </w:p>
          <w:p w14:paraId="3DAC75B7">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支持出院随访，包括随访管理和统计分析功能。</w:t>
            </w:r>
          </w:p>
        </w:tc>
      </w:tr>
    </w:tbl>
    <w:p w14:paraId="1AE3A7F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2.1.5远程会诊中心</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919"/>
        <w:gridCol w:w="1854"/>
        <w:gridCol w:w="5035"/>
      </w:tblGrid>
      <w:tr w14:paraId="60E8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419" w:type="pct"/>
            <w:noWrap/>
            <w:vAlign w:val="center"/>
          </w:tcPr>
          <w:p w14:paraId="7F36276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序号</w:t>
            </w:r>
          </w:p>
        </w:tc>
        <w:tc>
          <w:tcPr>
            <w:tcW w:w="1627" w:type="pct"/>
            <w:gridSpan w:val="2"/>
            <w:vAlign w:val="center"/>
          </w:tcPr>
          <w:p w14:paraId="1F457BC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功能模块</w:t>
            </w:r>
          </w:p>
        </w:tc>
        <w:tc>
          <w:tcPr>
            <w:tcW w:w="2954" w:type="pct"/>
            <w:vAlign w:val="center"/>
          </w:tcPr>
          <w:p w14:paraId="0CD1A921">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详细技术参数</w:t>
            </w:r>
          </w:p>
        </w:tc>
      </w:tr>
      <w:tr w14:paraId="31A67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419" w:type="pct"/>
            <w:noWrap/>
            <w:vAlign w:val="center"/>
          </w:tcPr>
          <w:p w14:paraId="7B79BEB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w:t>
            </w:r>
          </w:p>
        </w:tc>
        <w:tc>
          <w:tcPr>
            <w:tcW w:w="1627" w:type="pct"/>
            <w:gridSpan w:val="2"/>
            <w:vAlign w:val="center"/>
          </w:tcPr>
          <w:p w14:paraId="5317983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远程会诊设置</w:t>
            </w:r>
          </w:p>
        </w:tc>
        <w:tc>
          <w:tcPr>
            <w:tcW w:w="2954" w:type="pct"/>
            <w:vAlign w:val="center"/>
          </w:tcPr>
          <w:p w14:paraId="7305B753">
            <w:pPr>
              <w:spacing w:line="360" w:lineRule="auto"/>
              <w:rPr>
                <w:rFonts w:ascii="仿宋" w:hAnsi="仿宋" w:eastAsia="仿宋" w:cs="仿宋"/>
                <w:sz w:val="24"/>
                <w:highlight w:val="none"/>
              </w:rPr>
            </w:pPr>
            <w:r>
              <w:rPr>
                <w:rFonts w:hint="eastAsia" w:ascii="仿宋" w:hAnsi="仿宋" w:eastAsia="仿宋" w:cs="仿宋"/>
                <w:sz w:val="24"/>
                <w:highlight w:val="none"/>
              </w:rPr>
              <w:t>支持服务中心管理员了解本服务中心的服务概况，包括今日业务进度、业务趋势变化、用户动态、存储容量等信息。</w:t>
            </w:r>
          </w:p>
          <w:p w14:paraId="55F5B7B8">
            <w:pPr>
              <w:spacing w:line="360" w:lineRule="auto"/>
              <w:rPr>
                <w:rFonts w:ascii="仿宋" w:hAnsi="仿宋" w:eastAsia="仿宋" w:cs="仿宋"/>
                <w:sz w:val="24"/>
                <w:highlight w:val="none"/>
              </w:rPr>
            </w:pPr>
            <w:r>
              <w:rPr>
                <w:rFonts w:hint="eastAsia" w:ascii="仿宋" w:hAnsi="仿宋" w:eastAsia="仿宋" w:cs="仿宋"/>
                <w:sz w:val="24"/>
                <w:highlight w:val="none"/>
              </w:rPr>
              <w:t>支持会诊中心的编辑，包括基本信息、管理员信息、开通服务等。</w:t>
            </w:r>
          </w:p>
          <w:p w14:paraId="219C26C2">
            <w:pPr>
              <w:spacing w:line="360" w:lineRule="auto"/>
              <w:rPr>
                <w:rFonts w:ascii="仿宋" w:hAnsi="仿宋" w:eastAsia="仿宋" w:cs="仿宋"/>
                <w:sz w:val="24"/>
                <w:highlight w:val="none"/>
              </w:rPr>
            </w:pPr>
            <w:r>
              <w:rPr>
                <w:rFonts w:hint="eastAsia" w:ascii="仿宋" w:hAnsi="仿宋" w:eastAsia="仿宋" w:cs="仿宋"/>
                <w:sz w:val="24"/>
                <w:highlight w:val="none"/>
              </w:rPr>
              <w:t>支持会诊中心参数的设置，支持按参数模块、参数名称进行筛选参数列表。</w:t>
            </w:r>
          </w:p>
          <w:p w14:paraId="2BB9DDAF">
            <w:pPr>
              <w:spacing w:line="360" w:lineRule="auto"/>
              <w:rPr>
                <w:rFonts w:ascii="仿宋" w:hAnsi="仿宋" w:eastAsia="仿宋" w:cs="仿宋"/>
                <w:sz w:val="24"/>
                <w:highlight w:val="none"/>
              </w:rPr>
            </w:pPr>
            <w:r>
              <w:rPr>
                <w:rFonts w:hint="eastAsia" w:ascii="仿宋" w:hAnsi="仿宋" w:eastAsia="仿宋" w:cs="仿宋"/>
                <w:sz w:val="24"/>
                <w:highlight w:val="none"/>
              </w:rPr>
              <w:t>支持不同类型会诊报告打印模板的编辑。</w:t>
            </w:r>
          </w:p>
        </w:tc>
      </w:tr>
      <w:tr w14:paraId="11E1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19" w:type="pct"/>
            <w:noWrap/>
            <w:vAlign w:val="center"/>
          </w:tcPr>
          <w:p w14:paraId="0E35078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2</w:t>
            </w:r>
          </w:p>
        </w:tc>
        <w:tc>
          <w:tcPr>
            <w:tcW w:w="1627" w:type="pct"/>
            <w:gridSpan w:val="2"/>
            <w:vAlign w:val="center"/>
          </w:tcPr>
          <w:p w14:paraId="3711D7E9">
            <w:pPr>
              <w:spacing w:line="360" w:lineRule="auto"/>
              <w:jc w:val="center"/>
              <w:rPr>
                <w:rFonts w:ascii="仿宋" w:hAnsi="仿宋" w:eastAsia="仿宋" w:cs="仿宋"/>
                <w:sz w:val="24"/>
                <w:highlight w:val="none"/>
              </w:rPr>
            </w:pPr>
            <w:r>
              <w:rPr>
                <w:rFonts w:hint="eastAsia" w:ascii="仿宋" w:hAnsi="仿宋" w:eastAsia="仿宋" w:cs="仿宋"/>
                <w:sz w:val="24"/>
                <w:highlight w:val="none"/>
              </w:rPr>
              <w:t>会诊机构对照</w:t>
            </w:r>
          </w:p>
        </w:tc>
        <w:tc>
          <w:tcPr>
            <w:tcW w:w="2954" w:type="pct"/>
            <w:vAlign w:val="center"/>
          </w:tcPr>
          <w:p w14:paraId="4720A019">
            <w:pPr>
              <w:spacing w:line="360" w:lineRule="auto"/>
              <w:rPr>
                <w:rFonts w:ascii="仿宋" w:hAnsi="仿宋" w:eastAsia="仿宋" w:cs="仿宋"/>
                <w:sz w:val="24"/>
                <w:highlight w:val="none"/>
              </w:rPr>
            </w:pPr>
            <w:r>
              <w:rPr>
                <w:rFonts w:hint="eastAsia" w:ascii="仿宋" w:hAnsi="仿宋" w:eastAsia="仿宋" w:cs="仿宋"/>
                <w:sz w:val="24"/>
                <w:highlight w:val="none"/>
              </w:rPr>
              <w:t>支持对不同会诊机构进行管理。</w:t>
            </w:r>
          </w:p>
          <w:p w14:paraId="06F09EFF">
            <w:pPr>
              <w:spacing w:line="360" w:lineRule="auto"/>
              <w:rPr>
                <w:rFonts w:ascii="仿宋" w:hAnsi="仿宋" w:eastAsia="仿宋" w:cs="仿宋"/>
                <w:sz w:val="24"/>
                <w:highlight w:val="none"/>
              </w:rPr>
            </w:pPr>
            <w:r>
              <w:rPr>
                <w:rFonts w:hint="eastAsia" w:ascii="仿宋" w:hAnsi="仿宋" w:eastAsia="仿宋" w:cs="仿宋"/>
                <w:sz w:val="24"/>
                <w:highlight w:val="none"/>
              </w:rPr>
              <w:t>支持为每家接入机构分配唯一编码，避免“一机构多账号”或“多机构同账号”混乱。</w:t>
            </w:r>
          </w:p>
          <w:p w14:paraId="7A2A1826">
            <w:pPr>
              <w:spacing w:line="360" w:lineRule="auto"/>
              <w:rPr>
                <w:rFonts w:ascii="仿宋" w:hAnsi="仿宋" w:eastAsia="仿宋" w:cs="仿宋"/>
                <w:sz w:val="24"/>
                <w:highlight w:val="none"/>
              </w:rPr>
            </w:pPr>
            <w:r>
              <w:rPr>
                <w:rFonts w:hint="eastAsia" w:ascii="仿宋" w:hAnsi="仿宋" w:eastAsia="仿宋" w:cs="仿宋"/>
                <w:sz w:val="24"/>
                <w:highlight w:val="none"/>
              </w:rPr>
              <w:t>支持统一患者身份，自动匹配不同机构的就诊号、医保卡、身份证，确保跨机构查看完整病历、检查检验、影像。</w:t>
            </w:r>
          </w:p>
        </w:tc>
      </w:tr>
      <w:tr w14:paraId="12949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19" w:type="pct"/>
            <w:noWrap/>
            <w:vAlign w:val="center"/>
          </w:tcPr>
          <w:p w14:paraId="27F295E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3</w:t>
            </w:r>
          </w:p>
        </w:tc>
        <w:tc>
          <w:tcPr>
            <w:tcW w:w="539" w:type="pct"/>
            <w:vMerge w:val="restart"/>
            <w:vAlign w:val="center"/>
          </w:tcPr>
          <w:p w14:paraId="19E357EE">
            <w:pPr>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rPr>
              <w:t>远程会诊管理</w:t>
            </w:r>
          </w:p>
        </w:tc>
        <w:tc>
          <w:tcPr>
            <w:tcW w:w="1088" w:type="pct"/>
            <w:vAlign w:val="center"/>
          </w:tcPr>
          <w:p w14:paraId="4CE61C97">
            <w:pPr>
              <w:pStyle w:val="314"/>
              <w:ind w:firstLine="0" w:firstLineChars="0"/>
              <w:jc w:val="center"/>
              <w:rPr>
                <w:rFonts w:ascii="仿宋" w:hAnsi="仿宋" w:eastAsia="仿宋" w:cs="仿宋"/>
                <w:highlight w:val="none"/>
              </w:rPr>
            </w:pPr>
            <w:r>
              <w:rPr>
                <w:rFonts w:hint="eastAsia" w:ascii="仿宋" w:hAnsi="仿宋" w:eastAsia="仿宋" w:cs="仿宋"/>
                <w:color w:val="000000"/>
                <w:kern w:val="0"/>
                <w:highlight w:val="none"/>
              </w:rPr>
              <w:t>会诊申请与取消</w:t>
            </w:r>
          </w:p>
        </w:tc>
        <w:tc>
          <w:tcPr>
            <w:tcW w:w="2954" w:type="pct"/>
            <w:vAlign w:val="center"/>
          </w:tcPr>
          <w:p w14:paraId="3B4357AF">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支持即时会诊与预约交互式会诊。</w:t>
            </w:r>
          </w:p>
          <w:p w14:paraId="7CE27E65">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支持会诊申请列表标签页（全部、待处理、已会诊）方式展示，支持显示各任务数量。</w:t>
            </w:r>
          </w:p>
          <w:p w14:paraId="4DF2DE2B">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支持申请列表中单个会诊记录的查看、编辑、取消、参与会诊、会诊结果查看。</w:t>
            </w:r>
          </w:p>
          <w:p w14:paraId="602C0AD3">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支持同一患者不同会诊方式申请与历史会诊的查看。</w:t>
            </w:r>
          </w:p>
          <w:p w14:paraId="51FD652A">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支持已申请会诊记录的资料编辑与再提交。</w:t>
            </w:r>
          </w:p>
          <w:p w14:paraId="363C179B">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支持会诊取消功能，提供取消原因的手工录入。</w:t>
            </w:r>
          </w:p>
          <w:p w14:paraId="766A76C4">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支持交互式会诊时间的预约与会诊专家的点名申请。</w:t>
            </w:r>
          </w:p>
          <w:p w14:paraId="3E01FFA5">
            <w:pPr>
              <w:spacing w:line="360" w:lineRule="auto"/>
              <w:rPr>
                <w:rFonts w:ascii="仿宋" w:hAnsi="仿宋" w:eastAsia="仿宋" w:cs="仿宋"/>
                <w:sz w:val="24"/>
                <w:highlight w:val="none"/>
              </w:rPr>
            </w:pPr>
            <w:r>
              <w:rPr>
                <w:rFonts w:hint="eastAsia" w:ascii="仿宋" w:hAnsi="仿宋" w:eastAsia="仿宋" w:cs="仿宋"/>
                <w:color w:val="000000"/>
                <w:sz w:val="24"/>
                <w:highlight w:val="none"/>
              </w:rPr>
              <w:t>支持会诊申请对交互式与非交互式会诊方式的选择；对服务中心与会诊专家的筛选与搜索；病例资料的录入，包括患者信息、会诊目的、病史、检查信息等；针对会诊特殊要求，填写相关信息至会诊备注中；临床辅助资料与附件的上传，支持DICOM影像、图像、视频、PDF、WORD、TXT等。</w:t>
            </w:r>
          </w:p>
        </w:tc>
      </w:tr>
      <w:tr w14:paraId="2B8E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19" w:type="pct"/>
            <w:noWrap/>
            <w:vAlign w:val="center"/>
          </w:tcPr>
          <w:p w14:paraId="4127D62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4</w:t>
            </w:r>
          </w:p>
        </w:tc>
        <w:tc>
          <w:tcPr>
            <w:tcW w:w="539" w:type="pct"/>
            <w:vMerge w:val="continue"/>
            <w:vAlign w:val="center"/>
          </w:tcPr>
          <w:p w14:paraId="06C60FBD">
            <w:pPr>
              <w:spacing w:line="360" w:lineRule="auto"/>
              <w:jc w:val="center"/>
              <w:rPr>
                <w:rFonts w:ascii="仿宋" w:hAnsi="仿宋" w:eastAsia="仿宋" w:cs="仿宋"/>
                <w:sz w:val="24"/>
                <w:highlight w:val="none"/>
              </w:rPr>
            </w:pPr>
          </w:p>
        </w:tc>
        <w:tc>
          <w:tcPr>
            <w:tcW w:w="1088" w:type="pct"/>
            <w:vAlign w:val="center"/>
          </w:tcPr>
          <w:p w14:paraId="11A0936F">
            <w:pPr>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rPr>
              <w:t>居民EHR调阅</w:t>
            </w:r>
          </w:p>
        </w:tc>
        <w:tc>
          <w:tcPr>
            <w:tcW w:w="2954" w:type="pct"/>
            <w:vAlign w:val="center"/>
          </w:tcPr>
          <w:p w14:paraId="29536791">
            <w:pPr>
              <w:spacing w:line="360" w:lineRule="auto"/>
              <w:rPr>
                <w:rFonts w:ascii="仿宋" w:hAnsi="仿宋" w:eastAsia="仿宋" w:cs="仿宋"/>
                <w:sz w:val="24"/>
                <w:highlight w:val="none"/>
              </w:rPr>
            </w:pPr>
            <w:r>
              <w:rPr>
                <w:rFonts w:hint="eastAsia" w:ascii="仿宋" w:hAnsi="仿宋" w:eastAsia="仿宋" w:cs="仿宋"/>
                <w:color w:val="000000"/>
                <w:sz w:val="24"/>
                <w:highlight w:val="none"/>
              </w:rPr>
              <w:t>支持与居民电子健康档案对接，调阅相关数据</w:t>
            </w:r>
          </w:p>
        </w:tc>
      </w:tr>
      <w:tr w14:paraId="4ACF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19" w:type="pct"/>
            <w:noWrap/>
            <w:vAlign w:val="center"/>
          </w:tcPr>
          <w:p w14:paraId="3817228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5</w:t>
            </w:r>
          </w:p>
        </w:tc>
        <w:tc>
          <w:tcPr>
            <w:tcW w:w="539" w:type="pct"/>
            <w:vMerge w:val="continue"/>
            <w:vAlign w:val="center"/>
          </w:tcPr>
          <w:p w14:paraId="47A0534C">
            <w:pPr>
              <w:spacing w:line="360" w:lineRule="auto"/>
              <w:jc w:val="center"/>
              <w:rPr>
                <w:rFonts w:ascii="仿宋" w:hAnsi="仿宋" w:eastAsia="仿宋" w:cs="仿宋"/>
                <w:sz w:val="24"/>
                <w:highlight w:val="none"/>
              </w:rPr>
            </w:pPr>
          </w:p>
        </w:tc>
        <w:tc>
          <w:tcPr>
            <w:tcW w:w="1088" w:type="pct"/>
            <w:vAlign w:val="center"/>
          </w:tcPr>
          <w:p w14:paraId="196F03FC">
            <w:pPr>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rPr>
              <w:t>会诊信息查询</w:t>
            </w:r>
          </w:p>
        </w:tc>
        <w:tc>
          <w:tcPr>
            <w:tcW w:w="2954" w:type="pct"/>
            <w:vAlign w:val="center"/>
          </w:tcPr>
          <w:p w14:paraId="0CFDCE42">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支持通过会诊时间、申请时间、患者关键字查询会诊任务；支持通过高级条件查询。</w:t>
            </w:r>
          </w:p>
          <w:p w14:paraId="7A694024">
            <w:pPr>
              <w:spacing w:line="360" w:lineRule="auto"/>
              <w:rPr>
                <w:rFonts w:ascii="仿宋" w:hAnsi="仿宋" w:eastAsia="仿宋" w:cs="仿宋"/>
                <w:sz w:val="24"/>
                <w:highlight w:val="none"/>
              </w:rPr>
            </w:pPr>
            <w:r>
              <w:rPr>
                <w:rFonts w:hint="eastAsia" w:ascii="仿宋" w:hAnsi="仿宋" w:eastAsia="仿宋" w:cs="仿宋"/>
                <w:color w:val="000000"/>
                <w:sz w:val="24"/>
                <w:highlight w:val="none"/>
              </w:rPr>
              <w:t>支持会诊查询列表的自定义设置，包括列显示、列顺序、列宽度。</w:t>
            </w:r>
          </w:p>
        </w:tc>
      </w:tr>
      <w:tr w14:paraId="120D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19" w:type="pct"/>
            <w:noWrap/>
            <w:vAlign w:val="center"/>
          </w:tcPr>
          <w:p w14:paraId="5465424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6</w:t>
            </w:r>
          </w:p>
        </w:tc>
        <w:tc>
          <w:tcPr>
            <w:tcW w:w="539" w:type="pct"/>
            <w:vMerge w:val="continue"/>
            <w:vAlign w:val="center"/>
          </w:tcPr>
          <w:p w14:paraId="071E2BE8">
            <w:pPr>
              <w:spacing w:line="360" w:lineRule="auto"/>
              <w:jc w:val="center"/>
              <w:rPr>
                <w:rFonts w:ascii="仿宋" w:hAnsi="仿宋" w:eastAsia="仿宋" w:cs="仿宋"/>
                <w:sz w:val="24"/>
                <w:highlight w:val="none"/>
              </w:rPr>
            </w:pPr>
          </w:p>
        </w:tc>
        <w:tc>
          <w:tcPr>
            <w:tcW w:w="1088" w:type="pct"/>
            <w:vAlign w:val="center"/>
          </w:tcPr>
          <w:p w14:paraId="3775E479">
            <w:pPr>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rPr>
              <w:t>远程会诊安排</w:t>
            </w:r>
          </w:p>
        </w:tc>
        <w:tc>
          <w:tcPr>
            <w:tcW w:w="2954" w:type="pct"/>
            <w:vAlign w:val="center"/>
          </w:tcPr>
          <w:p w14:paraId="77F210A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支持会诊调度列表标签页（全部、待调度、已调度）方式展示，支持显示各任务数量。</w:t>
            </w:r>
          </w:p>
          <w:p w14:paraId="243D3C3D">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支持会诊申请调度，由调度人员预约专家，安排会诊时间和诊室。</w:t>
            </w:r>
          </w:p>
          <w:p w14:paraId="1C29BF6C">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支持会诊申请驳回，支持驳回原因的手工录入和对申请医生的通知；支持驳回记录的再调度功能。</w:t>
            </w:r>
          </w:p>
          <w:p w14:paraId="548FEE97">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会诊任务分配方式支持个人领取、调度指派、排班分发模式。</w:t>
            </w:r>
          </w:p>
          <w:p w14:paraId="4F513550">
            <w:pPr>
              <w:spacing w:line="360" w:lineRule="auto"/>
              <w:rPr>
                <w:rFonts w:ascii="仿宋" w:hAnsi="仿宋" w:eastAsia="仿宋" w:cs="仿宋"/>
                <w:sz w:val="24"/>
                <w:highlight w:val="none"/>
              </w:rPr>
            </w:pPr>
            <w:r>
              <w:rPr>
                <w:rFonts w:hint="eastAsia" w:ascii="仿宋" w:hAnsi="仿宋" w:eastAsia="仿宋" w:cs="仿宋"/>
                <w:color w:val="000000"/>
                <w:sz w:val="24"/>
                <w:highlight w:val="none"/>
              </w:rPr>
              <w:t>支持对会诊记录进行导出，方便医务处统计会诊开展情况。</w:t>
            </w:r>
          </w:p>
        </w:tc>
      </w:tr>
      <w:tr w14:paraId="1316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19" w:type="pct"/>
            <w:noWrap/>
            <w:vAlign w:val="center"/>
          </w:tcPr>
          <w:p w14:paraId="6A8697D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7</w:t>
            </w:r>
          </w:p>
        </w:tc>
        <w:tc>
          <w:tcPr>
            <w:tcW w:w="539" w:type="pct"/>
            <w:vMerge w:val="continue"/>
            <w:vAlign w:val="center"/>
          </w:tcPr>
          <w:p w14:paraId="076C1C18">
            <w:pPr>
              <w:spacing w:line="360" w:lineRule="auto"/>
              <w:jc w:val="center"/>
              <w:rPr>
                <w:rFonts w:ascii="仿宋" w:hAnsi="仿宋" w:eastAsia="仿宋" w:cs="仿宋"/>
                <w:sz w:val="24"/>
                <w:highlight w:val="none"/>
              </w:rPr>
            </w:pPr>
          </w:p>
        </w:tc>
        <w:tc>
          <w:tcPr>
            <w:tcW w:w="1088" w:type="pct"/>
            <w:vAlign w:val="center"/>
          </w:tcPr>
          <w:p w14:paraId="5C2B2701">
            <w:pPr>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rPr>
              <w:t>我的会诊安排</w:t>
            </w:r>
          </w:p>
        </w:tc>
        <w:tc>
          <w:tcPr>
            <w:tcW w:w="2954" w:type="pct"/>
            <w:vAlign w:val="center"/>
          </w:tcPr>
          <w:p w14:paraId="41C6A86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支持通过列表查看会诊任务，支持通过标签页分类待会诊、已会诊、全部。</w:t>
            </w:r>
          </w:p>
          <w:p w14:paraId="360FA39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支持报告编辑时查看患者信息、会诊资料、历史会诊。</w:t>
            </w:r>
          </w:p>
          <w:p w14:paraId="5EFF7E84">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支持会诊患者敏感信息的脱敏处理。</w:t>
            </w:r>
          </w:p>
          <w:p w14:paraId="7B369BCD">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公共和私有诊断模板，选择模板时可复制或替换所见或诊断意见；支持报告编辑录入所见、诊断意见等；一键清除所见内容、诊断内容；支持报告模板编辑，根据权限控制编辑公共模板、个人模板、常用词库；支持报告编辑时暂存、签名、预览、打印。</w:t>
            </w:r>
          </w:p>
          <w:p w14:paraId="29618635">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支持签数字签名。</w:t>
            </w:r>
          </w:p>
          <w:p w14:paraId="7D0348E1">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支持查看历史会诊，包括历次会诊的申请信息、会诊结论、会诊资料等；支持时间轴方式呈现历史会诊。</w:t>
            </w:r>
          </w:p>
          <w:p w14:paraId="5B49BFD1">
            <w:pPr>
              <w:spacing w:line="360" w:lineRule="auto"/>
              <w:rPr>
                <w:rFonts w:ascii="仿宋" w:hAnsi="仿宋" w:eastAsia="仿宋" w:cs="仿宋"/>
                <w:sz w:val="24"/>
                <w:highlight w:val="none"/>
              </w:rPr>
            </w:pPr>
            <w:r>
              <w:rPr>
                <w:rFonts w:hint="eastAsia" w:ascii="仿宋" w:hAnsi="仿宋" w:eastAsia="仿宋" w:cs="仿宋"/>
                <w:color w:val="000000"/>
                <w:sz w:val="24"/>
                <w:highlight w:val="none"/>
              </w:rPr>
              <w:t>支持会诊跟踪，查看会诊过程中重要状态变更的时间、人物、事件。</w:t>
            </w:r>
          </w:p>
        </w:tc>
      </w:tr>
      <w:tr w14:paraId="7E00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19" w:type="pct"/>
            <w:noWrap/>
            <w:vAlign w:val="center"/>
          </w:tcPr>
          <w:p w14:paraId="24D5EAA0">
            <w:pPr>
              <w:spacing w:line="360" w:lineRule="auto"/>
              <w:jc w:val="center"/>
              <w:rPr>
                <w:rFonts w:ascii="仿宋" w:hAnsi="仿宋" w:eastAsia="仿宋" w:cs="仿宋"/>
                <w:sz w:val="24"/>
                <w:highlight w:val="none"/>
              </w:rPr>
            </w:pPr>
            <w:r>
              <w:rPr>
                <w:rFonts w:hint="eastAsia" w:ascii="仿宋" w:hAnsi="仿宋" w:eastAsia="仿宋" w:cs="仿宋"/>
                <w:sz w:val="24"/>
                <w:highlight w:val="none"/>
              </w:rPr>
              <w:t>8</w:t>
            </w:r>
          </w:p>
        </w:tc>
        <w:tc>
          <w:tcPr>
            <w:tcW w:w="539" w:type="pct"/>
            <w:vMerge w:val="continue"/>
            <w:vAlign w:val="center"/>
          </w:tcPr>
          <w:p w14:paraId="511502B0">
            <w:pPr>
              <w:spacing w:line="360" w:lineRule="auto"/>
              <w:jc w:val="center"/>
              <w:rPr>
                <w:rFonts w:ascii="仿宋" w:hAnsi="仿宋" w:eastAsia="仿宋" w:cs="仿宋"/>
                <w:sz w:val="24"/>
                <w:highlight w:val="none"/>
              </w:rPr>
            </w:pPr>
          </w:p>
        </w:tc>
        <w:tc>
          <w:tcPr>
            <w:tcW w:w="1088" w:type="pct"/>
            <w:vAlign w:val="center"/>
          </w:tcPr>
          <w:p w14:paraId="5DA12E14">
            <w:pPr>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rPr>
              <w:t>远程会诊机构</w:t>
            </w:r>
          </w:p>
        </w:tc>
        <w:tc>
          <w:tcPr>
            <w:tcW w:w="2954" w:type="pct"/>
            <w:vAlign w:val="center"/>
          </w:tcPr>
          <w:p w14:paraId="7DF1357C">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支持对远程会诊机构资质信息及人员信息进行管理。</w:t>
            </w:r>
          </w:p>
          <w:p w14:paraId="3CDABC10">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支持分管管理员，为其进行账号授权。</w:t>
            </w:r>
          </w:p>
          <w:p w14:paraId="6F6DD0EB">
            <w:pP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支持根据不同权限进行对应的用户参数设置。</w:t>
            </w:r>
          </w:p>
          <w:p w14:paraId="01E512B4">
            <w:pPr>
              <w:spacing w:line="360" w:lineRule="auto"/>
              <w:rPr>
                <w:rFonts w:ascii="仿宋" w:hAnsi="仿宋" w:eastAsia="仿宋" w:cs="仿宋"/>
                <w:sz w:val="24"/>
                <w:highlight w:val="none"/>
              </w:rPr>
            </w:pPr>
            <w:r>
              <w:rPr>
                <w:rFonts w:hint="eastAsia" w:ascii="仿宋" w:hAnsi="仿宋" w:eastAsia="仿宋" w:cs="仿宋"/>
                <w:sz w:val="24"/>
                <w:highlight w:val="none"/>
              </w:rPr>
              <w:t>支持维护机构名称、等级、地址、联系方式、执业资质、执业范围、专科信息、LOGO等，支持资质上传。</w:t>
            </w:r>
          </w:p>
          <w:p w14:paraId="57257D21">
            <w:pPr>
              <w:spacing w:line="360" w:lineRule="auto"/>
              <w:rPr>
                <w:rFonts w:ascii="仿宋" w:hAnsi="仿宋" w:eastAsia="仿宋" w:cs="仿宋"/>
                <w:sz w:val="24"/>
                <w:highlight w:val="none"/>
              </w:rPr>
            </w:pPr>
            <w:r>
              <w:rPr>
                <w:rFonts w:hint="eastAsia" w:ascii="仿宋" w:hAnsi="仿宋" w:eastAsia="仿宋" w:cs="仿宋"/>
                <w:sz w:val="24"/>
                <w:highlight w:val="none"/>
              </w:rPr>
              <w:t>支持医师、护士、管理员等账号新增/禁用/角色分配、权限配置、执业证件绑定。</w:t>
            </w:r>
          </w:p>
        </w:tc>
      </w:tr>
    </w:tbl>
    <w:p w14:paraId="0B0BA5C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2.1.6区域审方中心</w:t>
      </w:r>
    </w:p>
    <w:tbl>
      <w:tblPr>
        <w:tblStyle w:val="35"/>
        <w:tblW w:w="5000" w:type="pct"/>
        <w:tblInd w:w="0" w:type="dxa"/>
        <w:tblLayout w:type="autofit"/>
        <w:tblCellMar>
          <w:top w:w="0" w:type="dxa"/>
          <w:left w:w="108" w:type="dxa"/>
          <w:bottom w:w="0" w:type="dxa"/>
          <w:right w:w="108" w:type="dxa"/>
        </w:tblCellMar>
      </w:tblPr>
      <w:tblGrid>
        <w:gridCol w:w="869"/>
        <w:gridCol w:w="1466"/>
        <w:gridCol w:w="6187"/>
      </w:tblGrid>
      <w:tr w14:paraId="781F0DDD">
        <w:tblPrEx>
          <w:tblCellMar>
            <w:top w:w="0" w:type="dxa"/>
            <w:left w:w="108" w:type="dxa"/>
            <w:bottom w:w="0" w:type="dxa"/>
            <w:right w:w="108" w:type="dxa"/>
          </w:tblCellMar>
        </w:tblPrEx>
        <w:trPr>
          <w:trHeight w:val="2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02BCC145">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序号</w:t>
            </w:r>
          </w:p>
        </w:tc>
        <w:tc>
          <w:tcPr>
            <w:tcW w:w="860" w:type="pct"/>
            <w:tcBorders>
              <w:top w:val="single" w:color="000000" w:sz="4" w:space="0"/>
              <w:left w:val="nil"/>
              <w:bottom w:val="single" w:color="000000" w:sz="4" w:space="0"/>
              <w:right w:val="single" w:color="000000" w:sz="4" w:space="0"/>
            </w:tcBorders>
            <w:vAlign w:val="center"/>
          </w:tcPr>
          <w:p w14:paraId="4241AF44">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功能要求</w:t>
            </w:r>
          </w:p>
        </w:tc>
        <w:tc>
          <w:tcPr>
            <w:tcW w:w="3630" w:type="pct"/>
            <w:tcBorders>
              <w:top w:val="single" w:color="000000" w:sz="4" w:space="0"/>
              <w:left w:val="nil"/>
              <w:bottom w:val="single" w:color="000000" w:sz="4" w:space="0"/>
              <w:right w:val="single" w:color="000000" w:sz="4" w:space="0"/>
            </w:tcBorders>
            <w:vAlign w:val="center"/>
          </w:tcPr>
          <w:p w14:paraId="22E9D8AA">
            <w:pPr>
              <w:spacing w:line="360" w:lineRule="auto"/>
              <w:jc w:val="center"/>
              <w:rPr>
                <w:rFonts w:ascii="仿宋" w:hAnsi="仿宋" w:eastAsia="仿宋" w:cs="仿宋"/>
                <w:sz w:val="24"/>
                <w:highlight w:val="none"/>
              </w:rPr>
            </w:pPr>
            <w:r>
              <w:rPr>
                <w:rFonts w:hint="eastAsia" w:ascii="仿宋" w:hAnsi="仿宋" w:eastAsia="仿宋" w:cs="仿宋"/>
                <w:sz w:val="24"/>
                <w:highlight w:val="none"/>
              </w:rPr>
              <w:t>详细技术参数</w:t>
            </w:r>
          </w:p>
        </w:tc>
      </w:tr>
      <w:tr w14:paraId="721B08EB">
        <w:tblPrEx>
          <w:tblCellMar>
            <w:top w:w="0" w:type="dxa"/>
            <w:left w:w="108" w:type="dxa"/>
            <w:bottom w:w="0" w:type="dxa"/>
            <w:right w:w="108" w:type="dxa"/>
          </w:tblCellMar>
        </w:tblPrEx>
        <w:trPr>
          <w:trHeight w:val="2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47E7188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1</w:t>
            </w:r>
          </w:p>
        </w:tc>
        <w:tc>
          <w:tcPr>
            <w:tcW w:w="860" w:type="pct"/>
            <w:tcBorders>
              <w:top w:val="single" w:color="000000" w:sz="4" w:space="0"/>
              <w:left w:val="nil"/>
              <w:bottom w:val="single" w:color="000000" w:sz="4" w:space="0"/>
              <w:right w:val="single" w:color="000000" w:sz="4" w:space="0"/>
            </w:tcBorders>
            <w:vAlign w:val="center"/>
          </w:tcPr>
          <w:p w14:paraId="7AC7D822">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前置审方系统</w:t>
            </w:r>
          </w:p>
        </w:tc>
        <w:tc>
          <w:tcPr>
            <w:tcW w:w="3630" w:type="pct"/>
            <w:tcBorders>
              <w:top w:val="single" w:color="000000" w:sz="4" w:space="0"/>
              <w:left w:val="nil"/>
              <w:bottom w:val="single" w:color="000000" w:sz="4" w:space="0"/>
              <w:right w:val="single" w:color="000000" w:sz="4" w:space="0"/>
            </w:tcBorders>
            <w:shd w:val="clear" w:color="auto" w:fill="auto"/>
            <w:vAlign w:val="center"/>
          </w:tcPr>
          <w:p w14:paraId="3A3C46BF">
            <w:pPr>
              <w:spacing w:line="360" w:lineRule="auto"/>
              <w:rPr>
                <w:rFonts w:ascii="仿宋" w:hAnsi="仿宋" w:eastAsia="仿宋" w:cs="仿宋"/>
                <w:sz w:val="24"/>
                <w:highlight w:val="none"/>
              </w:rPr>
            </w:pPr>
            <w:r>
              <w:rPr>
                <w:rFonts w:hint="eastAsia" w:ascii="仿宋" w:hAnsi="仿宋" w:eastAsia="仿宋" w:cs="仿宋"/>
                <w:sz w:val="24"/>
                <w:highlight w:val="none"/>
              </w:rPr>
              <w:t>（1）门诊和住院合理用药智能审方：按照药品诊疗知识库相关的审核规则对处方或医嘱进行实时审核，用药监测强制拦截或监测提醒。</w:t>
            </w:r>
          </w:p>
          <w:p w14:paraId="400C8F52">
            <w:pPr>
              <w:spacing w:line="360" w:lineRule="auto"/>
              <w:rPr>
                <w:rFonts w:ascii="仿宋" w:hAnsi="仿宋" w:eastAsia="仿宋" w:cs="仿宋"/>
                <w:sz w:val="24"/>
                <w:highlight w:val="none"/>
              </w:rPr>
            </w:pPr>
            <w:r>
              <w:rPr>
                <w:rFonts w:hint="eastAsia" w:ascii="仿宋" w:hAnsi="仿宋" w:eastAsia="仿宋" w:cs="仿宋"/>
                <w:sz w:val="24"/>
                <w:highlight w:val="none"/>
              </w:rPr>
              <w:t>（2）门诊和住院合理用药人工审方：实时接收医师端的不合理处方，药师干预处方期间医师端等待，等待时间可后台配置。当不合理处方发送到药师端之后，药师端出现消息提醒此张处方，显示处方详情。同时与医师端同步等待信息。提供在用所有药品的完整说明书，点击药品名称可以显示对应的说明书，系统记录药师的审核意见以及常用意见模板功能的添加，审核结果的医师端反馈。医师可以针对不合理处方跟药师进行在线申诉互动，针对不合理处方具备强制拦截功能。按照知识库相关的审核规则对医嘱进行实时审核，用药监测提醒。</w:t>
            </w:r>
          </w:p>
          <w:p w14:paraId="7AF1B33C">
            <w:pPr>
              <w:spacing w:line="360" w:lineRule="auto"/>
              <w:rPr>
                <w:rFonts w:ascii="仿宋" w:hAnsi="仿宋" w:eastAsia="仿宋" w:cs="仿宋"/>
                <w:sz w:val="24"/>
                <w:highlight w:val="none"/>
              </w:rPr>
            </w:pPr>
            <w:r>
              <w:rPr>
                <w:rFonts w:hint="eastAsia" w:ascii="仿宋" w:hAnsi="仿宋" w:eastAsia="仿宋" w:cs="仿宋"/>
                <w:sz w:val="24"/>
                <w:highlight w:val="none"/>
              </w:rPr>
              <w:t>（3）处方和医嘱实时智能审查（审方）的内容：体外配伍审查、溶媒浓度审查、相互作用审查、剂量范围审查、肝损害用药审查、肾损害用药审查、超适应症审查、越权用药审查、溶媒审查、给药途径审查、慎用症审查、药物禁忌审查、重复用药审查、老人用药审查、儿童用药审查、妊娠用药审查、哺乳用药审查、性别用药审查、中药饮片用法用量审查、中药饮片脚注审查、普通药品门七急三审查、中药饮片十八反十九畏、毒麻精药品权限审查等相关内容。</w:t>
            </w:r>
          </w:p>
          <w:p w14:paraId="23A85464">
            <w:pPr>
              <w:spacing w:line="360" w:lineRule="auto"/>
              <w:rPr>
                <w:rFonts w:ascii="仿宋" w:hAnsi="仿宋" w:eastAsia="仿宋" w:cs="仿宋"/>
                <w:sz w:val="24"/>
                <w:highlight w:val="none"/>
              </w:rPr>
            </w:pPr>
            <w:r>
              <w:rPr>
                <w:rFonts w:hint="eastAsia" w:ascii="仿宋" w:hAnsi="仿宋" w:eastAsia="仿宋" w:cs="仿宋"/>
                <w:sz w:val="24"/>
                <w:highlight w:val="none"/>
              </w:rPr>
              <w:t>（4）审方干预场景配置：可对审方干预的条件进行配置，可以按照干预科室、医师、药品、问题类型等条件，单一条件或者多重条件进行选择干预，灵活配置各条件之间并且，或者的关系，可以自由选择审方时间。</w:t>
            </w:r>
          </w:p>
          <w:p w14:paraId="4FB658AF">
            <w:pPr>
              <w:spacing w:line="360" w:lineRule="auto"/>
              <w:rPr>
                <w:rFonts w:ascii="仿宋" w:hAnsi="仿宋" w:eastAsia="仿宋" w:cs="仿宋"/>
                <w:sz w:val="24"/>
                <w:highlight w:val="none"/>
              </w:rPr>
            </w:pPr>
            <w:r>
              <w:rPr>
                <w:rFonts w:hint="eastAsia" w:ascii="仿宋" w:hAnsi="仿宋" w:eastAsia="仿宋" w:cs="仿宋"/>
                <w:sz w:val="24"/>
                <w:highlight w:val="none"/>
              </w:rPr>
              <w:t>（5）自定义审查：包含的自定义审查内容有：体外配伍审查、溶媒浓度审查、相互作用审查、剂量范围审查、肝损害用药审查、肾损害用药审查、超适应症审查、抗菌药物越权用药审查、溶媒审查、给药途径审查、慎用症审查、药物禁忌审查、重复用药审查、老人用药审查、儿童用药审查、妊娠用药审查、哺乳用药审查、性别用药审查、中药饮片用法用量审查、中药饮片脚注审查、普通药品门七急三审查、中药饮片十八反十九畏、毒麻精药品权限审查、基于年龄、体重、体表面积、肝肾功能、身高、肌酐清除率、肾小球滤过率、孕周、疾病等精准审查每次剂量、日剂量、疗程等。</w:t>
            </w:r>
          </w:p>
          <w:p w14:paraId="0A064D46">
            <w:pPr>
              <w:spacing w:line="360" w:lineRule="auto"/>
              <w:rPr>
                <w:rFonts w:ascii="仿宋" w:hAnsi="仿宋" w:eastAsia="仿宋" w:cs="仿宋"/>
                <w:sz w:val="24"/>
                <w:highlight w:val="none"/>
              </w:rPr>
            </w:pPr>
            <w:r>
              <w:rPr>
                <w:rFonts w:hint="eastAsia" w:ascii="仿宋" w:hAnsi="仿宋" w:eastAsia="仿宋" w:cs="仿宋"/>
                <w:sz w:val="24"/>
                <w:highlight w:val="none"/>
              </w:rPr>
              <w:t>（6）审方结果查询：可以按照不合理处方，已审核，已干预，超时自动通过，初审审核通过等相关条件进行查询，可以查询针对该处方药师和医师的申诉互动信息。</w:t>
            </w:r>
          </w:p>
          <w:p w14:paraId="2B38BC75">
            <w:pPr>
              <w:spacing w:line="360" w:lineRule="auto"/>
              <w:rPr>
                <w:rFonts w:ascii="仿宋" w:hAnsi="仿宋" w:eastAsia="仿宋" w:cs="仿宋"/>
                <w:sz w:val="24"/>
                <w:highlight w:val="none"/>
              </w:rPr>
            </w:pPr>
            <w:r>
              <w:rPr>
                <w:rFonts w:hint="eastAsia" w:ascii="仿宋" w:hAnsi="仿宋" w:eastAsia="仿宋" w:cs="仿宋"/>
                <w:sz w:val="24"/>
                <w:highlight w:val="none"/>
              </w:rPr>
              <w:t>（7）审方药师工作量统计：可以按审方医师、审方时间等相关条件灵活查询审方药师的工作量。</w:t>
            </w:r>
          </w:p>
          <w:p w14:paraId="2093F5DD">
            <w:pPr>
              <w:shd w:val="clear" w:color="auto"/>
              <w:spacing w:line="360" w:lineRule="auto"/>
              <w:rPr>
                <w:rFonts w:ascii="仿宋" w:hAnsi="仿宋" w:eastAsia="仿宋" w:cs="仿宋"/>
                <w:sz w:val="24"/>
                <w:highlight w:val="none"/>
              </w:rPr>
            </w:pPr>
            <w:r>
              <w:rPr>
                <w:rFonts w:hint="eastAsia" w:ascii="仿宋" w:hAnsi="仿宋" w:eastAsia="仿宋" w:cs="仿宋"/>
                <w:sz w:val="24"/>
                <w:highlight w:val="none"/>
                <w:lang w:bidi="ar"/>
              </w:rPr>
              <w:t>▲</w:t>
            </w:r>
            <w:r>
              <w:rPr>
                <w:rFonts w:hint="eastAsia" w:ascii="仿宋" w:hAnsi="仿宋" w:eastAsia="仿宋" w:cs="仿宋"/>
                <w:sz w:val="24"/>
                <w:highlight w:val="none"/>
              </w:rPr>
              <w:t>（8）今日详情：可以按照门诊或者住院查询系统总审核工作量，处方（医嘱）总数，未保存处方（医嘱）数，警示处方（医嘱）数，强制未通过处方（医嘱）数，报警修改的处方（医嘱）数，提交药师审核数，药师审核通过数量，药师审核不通过数量，药师干预成功数量，在线审方药师数量，系统预审合理率，药师审核合理率，最终审核合理率。</w:t>
            </w:r>
            <w:r>
              <w:rPr>
                <w:rFonts w:hint="eastAsia" w:ascii="仿宋" w:hAnsi="仿宋" w:eastAsia="仿宋" w:cs="仿宋"/>
                <w:color w:val="000000"/>
                <w:sz w:val="24"/>
                <w:highlight w:val="none"/>
                <w:lang w:bidi="ar"/>
              </w:rPr>
              <w:t>（需在投标书中提供软件功能截图）</w:t>
            </w:r>
          </w:p>
          <w:p w14:paraId="0995A91F">
            <w:pPr>
              <w:spacing w:line="360" w:lineRule="auto"/>
              <w:rPr>
                <w:rFonts w:ascii="仿宋" w:hAnsi="仿宋" w:eastAsia="仿宋" w:cs="仿宋"/>
                <w:sz w:val="24"/>
                <w:highlight w:val="none"/>
              </w:rPr>
            </w:pPr>
            <w:r>
              <w:rPr>
                <w:rFonts w:hint="eastAsia" w:ascii="仿宋" w:hAnsi="仿宋" w:eastAsia="仿宋" w:cs="仿宋"/>
                <w:sz w:val="24"/>
                <w:highlight w:val="none"/>
              </w:rPr>
              <w:t>（9）历史监测查询：按审方药师、开立医师、审方时间、干预类型、处方号、审核结果、科室、问题类型、处方状态、患者姓名等，灵活查询医师的不合理处方，以及药师干预处方全流程记录的查看；可以将审核结果用EXCEL，导出生成统计报表，审核结果包括处方号、处方时间、患者姓名、处方内容、诊断、问题类型、问题详情、科室和医师。</w:t>
            </w:r>
          </w:p>
          <w:p w14:paraId="38BC4718">
            <w:pPr>
              <w:spacing w:line="360" w:lineRule="auto"/>
              <w:rPr>
                <w:rFonts w:ascii="仿宋" w:hAnsi="仿宋" w:eastAsia="仿宋" w:cs="仿宋"/>
                <w:sz w:val="24"/>
                <w:highlight w:val="none"/>
              </w:rPr>
            </w:pPr>
            <w:r>
              <w:rPr>
                <w:rFonts w:hint="eastAsia" w:ascii="仿宋" w:hAnsi="仿宋" w:eastAsia="仿宋" w:cs="仿宋"/>
                <w:sz w:val="24"/>
                <w:highlight w:val="none"/>
              </w:rPr>
              <w:t>（10）用药监管：可以自定义添加监管医师，监管科室，监管患者的药品。</w:t>
            </w:r>
          </w:p>
          <w:p w14:paraId="19E2FFBC">
            <w:pPr>
              <w:spacing w:line="360" w:lineRule="auto"/>
              <w:rPr>
                <w:rFonts w:ascii="仿宋" w:hAnsi="仿宋" w:eastAsia="仿宋" w:cs="仿宋"/>
                <w:sz w:val="24"/>
                <w:highlight w:val="none"/>
              </w:rPr>
            </w:pPr>
            <w:r>
              <w:rPr>
                <w:rFonts w:hint="eastAsia" w:ascii="仿宋" w:hAnsi="仿宋" w:eastAsia="仿宋" w:cs="仿宋"/>
                <w:sz w:val="24"/>
                <w:highlight w:val="none"/>
              </w:rPr>
              <w:t>（11）医师用药管理：可以自定义医师抗微生物药物，毒麻精药物的权限，以及权限日期，规则修改可以立即生效。</w:t>
            </w:r>
          </w:p>
          <w:p w14:paraId="5D7A2A84">
            <w:pPr>
              <w:spacing w:line="360" w:lineRule="auto"/>
              <w:rPr>
                <w:rFonts w:ascii="仿宋" w:hAnsi="仿宋" w:eastAsia="仿宋" w:cs="仿宋"/>
                <w:sz w:val="24"/>
                <w:highlight w:val="none"/>
              </w:rPr>
            </w:pPr>
            <w:r>
              <w:rPr>
                <w:rFonts w:hint="eastAsia" w:ascii="仿宋" w:hAnsi="仿宋" w:eastAsia="仿宋" w:cs="仿宋"/>
                <w:sz w:val="24"/>
                <w:highlight w:val="none"/>
              </w:rPr>
              <w:t>（12）监管药品按照医生授权：针对监管药品，可以按照医师进行授权，以及医师的用药权限日期的设定。</w:t>
            </w:r>
          </w:p>
          <w:p w14:paraId="7D560FCB">
            <w:pPr>
              <w:spacing w:line="360" w:lineRule="auto"/>
              <w:rPr>
                <w:rFonts w:ascii="仿宋" w:hAnsi="仿宋" w:eastAsia="仿宋" w:cs="仿宋"/>
                <w:sz w:val="24"/>
                <w:highlight w:val="none"/>
              </w:rPr>
            </w:pPr>
            <w:r>
              <w:rPr>
                <w:rFonts w:hint="eastAsia" w:ascii="仿宋" w:hAnsi="仿宋" w:eastAsia="仿宋" w:cs="仿宋"/>
                <w:sz w:val="24"/>
                <w:highlight w:val="none"/>
              </w:rPr>
              <w:t>（13）监管药品按照药品授权：针对监管药品，可以按照药品进行授权，以及医师的用药权限日期的设定。</w:t>
            </w:r>
          </w:p>
          <w:p w14:paraId="69CE4104">
            <w:pPr>
              <w:shd w:val="clear" w:color="auto"/>
              <w:spacing w:line="360" w:lineRule="auto"/>
              <w:rPr>
                <w:rFonts w:ascii="仿宋" w:hAnsi="仿宋" w:eastAsia="仿宋" w:cs="仿宋"/>
                <w:sz w:val="24"/>
                <w:highlight w:val="none"/>
              </w:rPr>
            </w:pPr>
            <w:r>
              <w:rPr>
                <w:rFonts w:hint="eastAsia" w:ascii="仿宋" w:hAnsi="仿宋" w:eastAsia="仿宋" w:cs="仿宋"/>
                <w:sz w:val="24"/>
                <w:highlight w:val="none"/>
                <w:lang w:bidi="ar"/>
              </w:rPr>
              <w:t>▲</w:t>
            </w:r>
            <w:r>
              <w:rPr>
                <w:rFonts w:hint="eastAsia" w:ascii="仿宋" w:hAnsi="仿宋" w:eastAsia="仿宋" w:cs="仿宋"/>
                <w:sz w:val="24"/>
                <w:highlight w:val="none"/>
              </w:rPr>
              <w:t>（14）今日监测指标：可以实时动态监测查询合理用药总审核工作量，门诊处方数，未保存处方数，警示处方数，强制未通过处方数，报警修改的处方数，住院医嘱数，未保存医嘱数，警示医嘱数，强制未通过医嘱数，报警修改的医嘱数。</w:t>
            </w:r>
            <w:r>
              <w:rPr>
                <w:rFonts w:hint="eastAsia" w:ascii="仿宋" w:hAnsi="仿宋" w:eastAsia="仿宋" w:cs="仿宋"/>
                <w:color w:val="000000"/>
                <w:sz w:val="24"/>
                <w:highlight w:val="none"/>
                <w:lang w:bidi="ar"/>
              </w:rPr>
              <w:t>（需在投标书中提供软件功能截图）</w:t>
            </w:r>
          </w:p>
          <w:p w14:paraId="2153F7DD">
            <w:pPr>
              <w:spacing w:line="360" w:lineRule="auto"/>
              <w:rPr>
                <w:rFonts w:ascii="仿宋" w:hAnsi="仿宋" w:eastAsia="仿宋" w:cs="仿宋"/>
                <w:sz w:val="24"/>
                <w:highlight w:val="none"/>
              </w:rPr>
            </w:pPr>
            <w:r>
              <w:rPr>
                <w:rFonts w:hint="eastAsia" w:ascii="仿宋" w:hAnsi="仿宋" w:eastAsia="仿宋" w:cs="仿宋"/>
                <w:sz w:val="24"/>
                <w:highlight w:val="none"/>
              </w:rPr>
              <w:t>（15）门诊合理用药监测：按照问题，药品，科室，医师进行不合理处方的统计，可以统计问题数，问题总数，问题占比，问题处方数，问题处方总数，问题处方占比，可以查看对应的处方列表，查看处方详情以及处方的导出。</w:t>
            </w:r>
          </w:p>
          <w:p w14:paraId="7AA730BE">
            <w:pPr>
              <w:spacing w:line="360" w:lineRule="auto"/>
              <w:rPr>
                <w:rFonts w:ascii="仿宋" w:hAnsi="仿宋" w:eastAsia="仿宋" w:cs="仿宋"/>
                <w:sz w:val="24"/>
                <w:highlight w:val="none"/>
              </w:rPr>
            </w:pPr>
            <w:r>
              <w:rPr>
                <w:rFonts w:hint="eastAsia" w:ascii="仿宋" w:hAnsi="仿宋" w:eastAsia="仿宋" w:cs="仿宋"/>
                <w:sz w:val="24"/>
                <w:highlight w:val="none"/>
              </w:rPr>
              <w:t>（16）住院合理用药监测：按照问题，药品，科室，医师进行不合理医嘱的统计，可以统计问题数，问题总数，问题占比，问题医嘱数，问题医嘱总数，问题医嘱占比，可以查看对应的医嘱列表，查看医嘱详情以及不合理医嘱的导出。</w:t>
            </w:r>
          </w:p>
          <w:p w14:paraId="11E26102">
            <w:pPr>
              <w:shd w:val="clear" w:color="auto"/>
              <w:spacing w:line="360" w:lineRule="auto"/>
              <w:rPr>
                <w:rFonts w:ascii="仿宋" w:hAnsi="仿宋" w:eastAsia="仿宋" w:cs="仿宋"/>
                <w:sz w:val="24"/>
                <w:highlight w:val="none"/>
              </w:rPr>
            </w:pPr>
            <w:r>
              <w:rPr>
                <w:rFonts w:hint="eastAsia" w:ascii="仿宋" w:hAnsi="仿宋" w:eastAsia="仿宋" w:cs="仿宋"/>
                <w:sz w:val="24"/>
                <w:highlight w:val="none"/>
              </w:rPr>
              <w:t>（17）规则操作日志查询还原：记录规则的修改记录，可以将修改后的规则进行还原。</w:t>
            </w:r>
          </w:p>
          <w:p w14:paraId="78083E04">
            <w:pPr>
              <w:shd w:val="clear" w:color="auto"/>
              <w:spacing w:line="360" w:lineRule="auto"/>
              <w:rPr>
                <w:rFonts w:ascii="仿宋" w:hAnsi="仿宋" w:eastAsia="仿宋" w:cs="仿宋"/>
                <w:sz w:val="24"/>
                <w:highlight w:val="none"/>
              </w:rPr>
            </w:pPr>
            <w:r>
              <w:rPr>
                <w:rFonts w:hint="eastAsia" w:ascii="仿宋" w:hAnsi="仿宋" w:eastAsia="仿宋" w:cs="仿宋"/>
                <w:sz w:val="24"/>
                <w:highlight w:val="none"/>
                <w:lang w:bidi="ar"/>
              </w:rPr>
              <w:t>▲</w:t>
            </w:r>
            <w:r>
              <w:rPr>
                <w:rFonts w:hint="eastAsia" w:ascii="仿宋" w:hAnsi="仿宋" w:eastAsia="仿宋" w:cs="仿宋"/>
                <w:sz w:val="24"/>
                <w:highlight w:val="none"/>
              </w:rPr>
              <w:t>（18）智慧大屏：可以查看整个区域各个机构当日不合理用药情况，医院不合理处方数量，系统审核处方数量，药师审核处方数量，药师审方不通过数量，警示处方趋势统计，不合理用药单位情况，医师不合理处方排名，药品不合理问题排名，机构数量以及对应的占比。</w:t>
            </w:r>
            <w:r>
              <w:rPr>
                <w:rFonts w:hint="eastAsia" w:ascii="仿宋" w:hAnsi="仿宋" w:eastAsia="仿宋" w:cs="仿宋"/>
                <w:color w:val="000000"/>
                <w:sz w:val="24"/>
                <w:highlight w:val="none"/>
                <w:lang w:bidi="ar"/>
              </w:rPr>
              <w:t>（需在投标书中提供软件功能截图）</w:t>
            </w:r>
          </w:p>
        </w:tc>
      </w:tr>
      <w:tr w14:paraId="32FB4C10">
        <w:tblPrEx>
          <w:tblCellMar>
            <w:top w:w="0" w:type="dxa"/>
            <w:left w:w="108" w:type="dxa"/>
            <w:bottom w:w="0" w:type="dxa"/>
            <w:right w:w="108" w:type="dxa"/>
          </w:tblCellMar>
        </w:tblPrEx>
        <w:trPr>
          <w:trHeight w:val="2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22EEAE2C">
            <w:pPr>
              <w:spacing w:line="360" w:lineRule="auto"/>
              <w:jc w:val="center"/>
              <w:rPr>
                <w:rFonts w:ascii="仿宋" w:hAnsi="仿宋" w:eastAsia="仿宋" w:cs="仿宋"/>
                <w:sz w:val="24"/>
                <w:highlight w:val="none"/>
              </w:rPr>
            </w:pPr>
            <w:r>
              <w:rPr>
                <w:rFonts w:hint="eastAsia" w:ascii="仿宋" w:hAnsi="仿宋" w:eastAsia="仿宋" w:cs="仿宋"/>
                <w:sz w:val="24"/>
                <w:highlight w:val="none"/>
              </w:rPr>
              <w:t>2</w:t>
            </w:r>
          </w:p>
        </w:tc>
        <w:tc>
          <w:tcPr>
            <w:tcW w:w="860" w:type="pct"/>
            <w:tcBorders>
              <w:top w:val="single" w:color="000000" w:sz="4" w:space="0"/>
              <w:left w:val="nil"/>
              <w:bottom w:val="single" w:color="000000" w:sz="4" w:space="0"/>
              <w:right w:val="single" w:color="000000" w:sz="4" w:space="0"/>
            </w:tcBorders>
            <w:vAlign w:val="center"/>
          </w:tcPr>
          <w:p w14:paraId="1E2C0B07">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合理用药系统</w:t>
            </w:r>
          </w:p>
        </w:tc>
        <w:tc>
          <w:tcPr>
            <w:tcW w:w="3630" w:type="pct"/>
            <w:tcBorders>
              <w:top w:val="single" w:color="000000" w:sz="4" w:space="0"/>
              <w:left w:val="nil"/>
              <w:bottom w:val="single" w:color="000000" w:sz="4" w:space="0"/>
              <w:right w:val="single" w:color="000000" w:sz="4" w:space="0"/>
            </w:tcBorders>
            <w:shd w:val="clear" w:color="auto" w:fill="auto"/>
            <w:vAlign w:val="center"/>
          </w:tcPr>
          <w:p w14:paraId="547D90A4">
            <w:pPr>
              <w:spacing w:line="360" w:lineRule="auto"/>
              <w:rPr>
                <w:rFonts w:ascii="仿宋" w:hAnsi="仿宋" w:eastAsia="仿宋" w:cs="仿宋"/>
                <w:sz w:val="24"/>
                <w:highlight w:val="none"/>
              </w:rPr>
            </w:pPr>
            <w:r>
              <w:rPr>
                <w:rFonts w:hint="eastAsia" w:ascii="仿宋" w:hAnsi="仿宋" w:eastAsia="仿宋" w:cs="仿宋"/>
                <w:sz w:val="24"/>
                <w:highlight w:val="none"/>
              </w:rPr>
              <w:t>（1）开放药品说明书等知识库并可由医院灵活维护配置</w:t>
            </w:r>
          </w:p>
          <w:p w14:paraId="74F78AEF">
            <w:pPr>
              <w:spacing w:line="360" w:lineRule="auto"/>
              <w:rPr>
                <w:rFonts w:ascii="仿宋" w:hAnsi="仿宋" w:eastAsia="仿宋" w:cs="仿宋"/>
                <w:sz w:val="24"/>
                <w:highlight w:val="none"/>
              </w:rPr>
            </w:pPr>
            <w:r>
              <w:rPr>
                <w:rFonts w:hint="eastAsia" w:ascii="仿宋" w:hAnsi="仿宋" w:eastAsia="仿宋" w:cs="仿宋"/>
                <w:sz w:val="24"/>
                <w:highlight w:val="none"/>
              </w:rPr>
              <w:t>（2）可以对中药饮片十八反十九畏进行审查</w:t>
            </w:r>
          </w:p>
          <w:p w14:paraId="3FA387D1">
            <w:pPr>
              <w:spacing w:line="360" w:lineRule="auto"/>
              <w:rPr>
                <w:rFonts w:ascii="仿宋" w:hAnsi="仿宋" w:eastAsia="仿宋" w:cs="仿宋"/>
                <w:sz w:val="24"/>
                <w:highlight w:val="none"/>
              </w:rPr>
            </w:pPr>
            <w:r>
              <w:rPr>
                <w:rFonts w:hint="eastAsia" w:ascii="仿宋" w:hAnsi="仿宋" w:eastAsia="仿宋" w:cs="仿宋"/>
                <w:sz w:val="24"/>
                <w:highlight w:val="none"/>
              </w:rPr>
              <w:t>（3）能对药物相互作用审查</w:t>
            </w:r>
          </w:p>
          <w:p w14:paraId="40B76675">
            <w:pPr>
              <w:spacing w:line="360" w:lineRule="auto"/>
              <w:rPr>
                <w:rFonts w:ascii="仿宋" w:hAnsi="仿宋" w:eastAsia="仿宋" w:cs="仿宋"/>
                <w:sz w:val="24"/>
                <w:highlight w:val="none"/>
              </w:rPr>
            </w:pPr>
            <w:r>
              <w:rPr>
                <w:rFonts w:hint="eastAsia" w:ascii="仿宋" w:hAnsi="仿宋" w:eastAsia="仿宋" w:cs="仿宋"/>
                <w:sz w:val="24"/>
                <w:highlight w:val="none"/>
              </w:rPr>
              <w:t>（4）能对注射药物配伍审查</w:t>
            </w:r>
          </w:p>
          <w:p w14:paraId="3643521B">
            <w:pPr>
              <w:spacing w:line="360" w:lineRule="auto"/>
              <w:rPr>
                <w:rFonts w:ascii="仿宋" w:hAnsi="仿宋" w:eastAsia="仿宋" w:cs="仿宋"/>
                <w:sz w:val="24"/>
                <w:highlight w:val="none"/>
              </w:rPr>
            </w:pPr>
            <w:r>
              <w:rPr>
                <w:rFonts w:hint="eastAsia" w:ascii="仿宋" w:hAnsi="仿宋" w:eastAsia="仿宋" w:cs="仿宋"/>
                <w:sz w:val="24"/>
                <w:highlight w:val="none"/>
              </w:rPr>
              <w:t>（5）能对药物过敏史审查</w:t>
            </w:r>
          </w:p>
          <w:p w14:paraId="43E29F4F">
            <w:pPr>
              <w:spacing w:line="360" w:lineRule="auto"/>
              <w:rPr>
                <w:rFonts w:ascii="仿宋" w:hAnsi="仿宋" w:eastAsia="仿宋" w:cs="仿宋"/>
                <w:sz w:val="24"/>
                <w:highlight w:val="none"/>
              </w:rPr>
            </w:pPr>
            <w:r>
              <w:rPr>
                <w:rFonts w:hint="eastAsia" w:ascii="仿宋" w:hAnsi="仿宋" w:eastAsia="仿宋" w:cs="仿宋"/>
                <w:sz w:val="24"/>
                <w:highlight w:val="none"/>
              </w:rPr>
              <w:t>（6）能对老年人用药审查</w:t>
            </w:r>
          </w:p>
          <w:p w14:paraId="2164B81B">
            <w:pPr>
              <w:spacing w:line="360" w:lineRule="auto"/>
              <w:rPr>
                <w:rFonts w:ascii="仿宋" w:hAnsi="仿宋" w:eastAsia="仿宋" w:cs="仿宋"/>
                <w:sz w:val="24"/>
                <w:highlight w:val="none"/>
              </w:rPr>
            </w:pPr>
            <w:r>
              <w:rPr>
                <w:rFonts w:hint="eastAsia" w:ascii="仿宋" w:hAnsi="仿宋" w:eastAsia="仿宋" w:cs="仿宋"/>
                <w:sz w:val="24"/>
                <w:highlight w:val="none"/>
              </w:rPr>
              <w:t>（7）能对儿童用药审查</w:t>
            </w:r>
          </w:p>
          <w:p w14:paraId="31344883">
            <w:pPr>
              <w:spacing w:line="360" w:lineRule="auto"/>
              <w:rPr>
                <w:rFonts w:ascii="仿宋" w:hAnsi="仿宋" w:eastAsia="仿宋" w:cs="仿宋"/>
                <w:sz w:val="24"/>
                <w:highlight w:val="none"/>
              </w:rPr>
            </w:pPr>
            <w:r>
              <w:rPr>
                <w:rFonts w:hint="eastAsia" w:ascii="仿宋" w:hAnsi="仿宋" w:eastAsia="仿宋" w:cs="仿宋"/>
                <w:sz w:val="24"/>
                <w:highlight w:val="none"/>
              </w:rPr>
              <w:t>（8）能对妊娠期妇女用药审查</w:t>
            </w:r>
          </w:p>
          <w:p w14:paraId="71978674">
            <w:pPr>
              <w:spacing w:line="360" w:lineRule="auto"/>
              <w:rPr>
                <w:rFonts w:ascii="仿宋" w:hAnsi="仿宋" w:eastAsia="仿宋" w:cs="仿宋"/>
                <w:sz w:val="24"/>
                <w:highlight w:val="none"/>
              </w:rPr>
            </w:pPr>
            <w:r>
              <w:rPr>
                <w:rFonts w:hint="eastAsia" w:ascii="仿宋" w:hAnsi="仿宋" w:eastAsia="仿宋" w:cs="仿宋"/>
                <w:sz w:val="24"/>
                <w:highlight w:val="none"/>
              </w:rPr>
              <w:t>（9）能对哺乳期妇女用药审查</w:t>
            </w:r>
          </w:p>
          <w:p w14:paraId="1F614AD0">
            <w:pPr>
              <w:spacing w:line="360" w:lineRule="auto"/>
              <w:rPr>
                <w:rFonts w:ascii="仿宋" w:hAnsi="仿宋" w:eastAsia="仿宋" w:cs="仿宋"/>
                <w:sz w:val="24"/>
                <w:highlight w:val="none"/>
              </w:rPr>
            </w:pPr>
            <w:r>
              <w:rPr>
                <w:rFonts w:hint="eastAsia" w:ascii="仿宋" w:hAnsi="仿宋" w:eastAsia="仿宋" w:cs="仿宋"/>
                <w:sz w:val="24"/>
                <w:highlight w:val="none"/>
              </w:rPr>
              <w:t>（10）能对肝、肾功能不全患者的用药审查</w:t>
            </w:r>
          </w:p>
          <w:p w14:paraId="3F079901">
            <w:pPr>
              <w:spacing w:line="360" w:lineRule="auto"/>
              <w:rPr>
                <w:rFonts w:ascii="仿宋" w:hAnsi="仿宋" w:eastAsia="仿宋" w:cs="仿宋"/>
                <w:sz w:val="24"/>
                <w:highlight w:val="none"/>
              </w:rPr>
            </w:pPr>
            <w:r>
              <w:rPr>
                <w:rFonts w:hint="eastAsia" w:ascii="仿宋" w:hAnsi="仿宋" w:eastAsia="仿宋" w:cs="仿宋"/>
                <w:sz w:val="24"/>
                <w:highlight w:val="none"/>
              </w:rPr>
              <w:t>（11）能对给药途径审查</w:t>
            </w:r>
          </w:p>
          <w:p w14:paraId="4651634B">
            <w:pPr>
              <w:spacing w:line="360" w:lineRule="auto"/>
              <w:rPr>
                <w:rFonts w:ascii="仿宋" w:hAnsi="仿宋" w:eastAsia="仿宋" w:cs="仿宋"/>
                <w:sz w:val="24"/>
                <w:highlight w:val="none"/>
              </w:rPr>
            </w:pPr>
            <w:r>
              <w:rPr>
                <w:rFonts w:hint="eastAsia" w:ascii="仿宋" w:hAnsi="仿宋" w:eastAsia="仿宋" w:cs="仿宋"/>
                <w:sz w:val="24"/>
                <w:highlight w:val="none"/>
              </w:rPr>
              <w:t>（12）能对药品用量审查</w:t>
            </w:r>
          </w:p>
          <w:p w14:paraId="6C03B0EB">
            <w:pPr>
              <w:spacing w:line="360" w:lineRule="auto"/>
              <w:rPr>
                <w:rFonts w:ascii="仿宋" w:hAnsi="仿宋" w:eastAsia="仿宋" w:cs="仿宋"/>
                <w:sz w:val="24"/>
                <w:highlight w:val="none"/>
              </w:rPr>
            </w:pPr>
            <w:r>
              <w:rPr>
                <w:rFonts w:hint="eastAsia" w:ascii="仿宋" w:hAnsi="仿宋" w:eastAsia="仿宋" w:cs="仿宋"/>
                <w:sz w:val="24"/>
                <w:highlight w:val="none"/>
              </w:rPr>
              <w:t>（13）可以对同种、同类药品进行审查</w:t>
            </w:r>
          </w:p>
          <w:p w14:paraId="6145D2C4">
            <w:pPr>
              <w:spacing w:line="360" w:lineRule="auto"/>
              <w:rPr>
                <w:rFonts w:ascii="仿宋" w:hAnsi="仿宋" w:eastAsia="仿宋" w:cs="仿宋"/>
                <w:sz w:val="24"/>
                <w:highlight w:val="none"/>
              </w:rPr>
            </w:pPr>
            <w:r>
              <w:rPr>
                <w:rFonts w:hint="eastAsia" w:ascii="仿宋" w:hAnsi="仿宋" w:eastAsia="仿宋" w:cs="仿宋"/>
                <w:sz w:val="24"/>
                <w:highlight w:val="none"/>
              </w:rPr>
              <w:t>（14）可以对抗菌药品三级管理规则实时审查</w:t>
            </w:r>
          </w:p>
          <w:p w14:paraId="4B1D5340">
            <w:pPr>
              <w:spacing w:line="360" w:lineRule="auto"/>
              <w:rPr>
                <w:rFonts w:ascii="仿宋" w:hAnsi="仿宋" w:eastAsia="仿宋" w:cs="仿宋"/>
                <w:sz w:val="24"/>
                <w:highlight w:val="none"/>
              </w:rPr>
            </w:pPr>
            <w:r>
              <w:rPr>
                <w:rFonts w:hint="eastAsia" w:ascii="仿宋" w:hAnsi="仿宋" w:eastAsia="仿宋" w:cs="仿宋"/>
                <w:sz w:val="24"/>
                <w:highlight w:val="none"/>
              </w:rPr>
              <w:t>（16）能对慎用症审查</w:t>
            </w:r>
          </w:p>
          <w:p w14:paraId="17088EB2">
            <w:pPr>
              <w:spacing w:line="360" w:lineRule="auto"/>
              <w:rPr>
                <w:rFonts w:ascii="仿宋" w:hAnsi="仿宋" w:eastAsia="仿宋" w:cs="仿宋"/>
                <w:sz w:val="24"/>
                <w:highlight w:val="none"/>
              </w:rPr>
            </w:pPr>
            <w:r>
              <w:rPr>
                <w:rFonts w:hint="eastAsia" w:ascii="仿宋" w:hAnsi="仿宋" w:eastAsia="仿宋" w:cs="仿宋"/>
                <w:sz w:val="24"/>
                <w:highlight w:val="none"/>
              </w:rPr>
              <w:t>（17）能对适应症审查</w:t>
            </w:r>
          </w:p>
          <w:p w14:paraId="22438554">
            <w:pPr>
              <w:spacing w:line="360" w:lineRule="auto"/>
              <w:rPr>
                <w:rFonts w:ascii="仿宋" w:hAnsi="仿宋" w:eastAsia="仿宋" w:cs="仿宋"/>
                <w:sz w:val="24"/>
                <w:highlight w:val="none"/>
              </w:rPr>
            </w:pPr>
            <w:r>
              <w:rPr>
                <w:rFonts w:hint="eastAsia" w:ascii="仿宋" w:hAnsi="仿宋" w:eastAsia="仿宋" w:cs="仿宋"/>
                <w:sz w:val="24"/>
                <w:highlight w:val="none"/>
              </w:rPr>
              <w:t>（18）能对禁忌症审查</w:t>
            </w:r>
          </w:p>
          <w:p w14:paraId="30FD1D50">
            <w:pPr>
              <w:spacing w:line="360" w:lineRule="auto"/>
              <w:rPr>
                <w:rFonts w:ascii="仿宋" w:hAnsi="仿宋" w:eastAsia="仿宋" w:cs="仿宋"/>
                <w:sz w:val="24"/>
                <w:highlight w:val="none"/>
              </w:rPr>
            </w:pPr>
            <w:r>
              <w:rPr>
                <w:rFonts w:hint="eastAsia" w:ascii="仿宋" w:hAnsi="仿宋" w:eastAsia="仿宋" w:cs="仿宋"/>
                <w:sz w:val="24"/>
                <w:highlight w:val="none"/>
              </w:rPr>
              <w:t>（19）能对性别用药审查</w:t>
            </w:r>
          </w:p>
          <w:p w14:paraId="6AA95698">
            <w:pPr>
              <w:spacing w:line="360" w:lineRule="auto"/>
              <w:rPr>
                <w:rFonts w:ascii="仿宋" w:hAnsi="仿宋" w:eastAsia="仿宋" w:cs="仿宋"/>
                <w:sz w:val="24"/>
                <w:highlight w:val="none"/>
              </w:rPr>
            </w:pPr>
            <w:r>
              <w:rPr>
                <w:rFonts w:hint="eastAsia" w:ascii="仿宋" w:hAnsi="仿宋" w:eastAsia="仿宋" w:cs="仿宋"/>
                <w:sz w:val="24"/>
                <w:highlight w:val="none"/>
              </w:rPr>
              <w:t>（20）能对中药饮片用法用量审查</w:t>
            </w:r>
          </w:p>
          <w:p w14:paraId="5BBCC53C">
            <w:pPr>
              <w:spacing w:line="360" w:lineRule="auto"/>
              <w:rPr>
                <w:rFonts w:ascii="仿宋" w:hAnsi="仿宋" w:eastAsia="仿宋" w:cs="仿宋"/>
                <w:sz w:val="24"/>
                <w:highlight w:val="none"/>
              </w:rPr>
            </w:pPr>
            <w:r>
              <w:rPr>
                <w:rFonts w:hint="eastAsia" w:ascii="仿宋" w:hAnsi="仿宋" w:eastAsia="仿宋" w:cs="仿宋"/>
                <w:sz w:val="24"/>
                <w:highlight w:val="none"/>
              </w:rPr>
              <w:t>（21）能对中药饮片脚注审查</w:t>
            </w:r>
          </w:p>
          <w:p w14:paraId="121EF6D6">
            <w:pPr>
              <w:spacing w:line="360" w:lineRule="auto"/>
              <w:rPr>
                <w:rFonts w:ascii="仿宋" w:hAnsi="仿宋" w:eastAsia="仿宋" w:cs="仿宋"/>
                <w:sz w:val="24"/>
                <w:highlight w:val="none"/>
              </w:rPr>
            </w:pPr>
            <w:r>
              <w:rPr>
                <w:rFonts w:hint="eastAsia" w:ascii="仿宋" w:hAnsi="仿宋" w:eastAsia="仿宋" w:cs="仿宋"/>
                <w:sz w:val="24"/>
                <w:highlight w:val="none"/>
              </w:rPr>
              <w:t>（22）能对普通药品门七急三审查</w:t>
            </w:r>
          </w:p>
          <w:p w14:paraId="3A148A0B">
            <w:pPr>
              <w:spacing w:line="360" w:lineRule="auto"/>
              <w:rPr>
                <w:rFonts w:ascii="仿宋" w:hAnsi="仿宋" w:eastAsia="仿宋" w:cs="仿宋"/>
                <w:sz w:val="24"/>
                <w:highlight w:val="none"/>
              </w:rPr>
            </w:pPr>
            <w:r>
              <w:rPr>
                <w:rFonts w:hint="eastAsia" w:ascii="仿宋" w:hAnsi="仿宋" w:eastAsia="仿宋" w:cs="仿宋"/>
                <w:sz w:val="24"/>
                <w:highlight w:val="none"/>
              </w:rPr>
              <w:t>（23）能对毒麻精药品权限审查</w:t>
            </w:r>
          </w:p>
          <w:p w14:paraId="06CF91C1">
            <w:pPr>
              <w:spacing w:line="360" w:lineRule="auto"/>
              <w:rPr>
                <w:rFonts w:ascii="仿宋" w:hAnsi="仿宋" w:eastAsia="仿宋" w:cs="仿宋"/>
                <w:sz w:val="24"/>
                <w:highlight w:val="none"/>
              </w:rPr>
            </w:pPr>
            <w:r>
              <w:rPr>
                <w:rFonts w:hint="eastAsia" w:ascii="仿宋" w:hAnsi="仿宋" w:eastAsia="仿宋" w:cs="仿宋"/>
                <w:sz w:val="24"/>
                <w:highlight w:val="none"/>
              </w:rPr>
              <w:t>（24）基于年龄、体重、体表面积、肝肾功能、身高、肌酐清除率、肾小球滤过率、孕周、疾病等精准审查每次剂量、日剂量、疗程审查</w:t>
            </w:r>
          </w:p>
          <w:p w14:paraId="1439B9C5">
            <w:pPr>
              <w:spacing w:line="360" w:lineRule="auto"/>
              <w:rPr>
                <w:rFonts w:ascii="仿宋" w:hAnsi="仿宋" w:eastAsia="仿宋" w:cs="仿宋"/>
                <w:sz w:val="24"/>
                <w:highlight w:val="none"/>
              </w:rPr>
            </w:pPr>
            <w:r>
              <w:rPr>
                <w:rFonts w:hint="eastAsia" w:ascii="仿宋" w:hAnsi="仿宋" w:eastAsia="仿宋" w:cs="仿宋"/>
                <w:sz w:val="24"/>
                <w:highlight w:val="none"/>
              </w:rPr>
              <w:t>（25）可以对药品说明书查询</w:t>
            </w:r>
          </w:p>
          <w:p w14:paraId="21D7E15B">
            <w:pPr>
              <w:spacing w:line="360" w:lineRule="auto"/>
              <w:rPr>
                <w:rFonts w:ascii="仿宋" w:hAnsi="仿宋" w:eastAsia="仿宋" w:cs="仿宋"/>
                <w:sz w:val="24"/>
                <w:highlight w:val="none"/>
              </w:rPr>
            </w:pPr>
            <w:r>
              <w:rPr>
                <w:rFonts w:hint="eastAsia" w:ascii="仿宋" w:hAnsi="仿宋" w:eastAsia="仿宋" w:cs="仿宋"/>
                <w:sz w:val="24"/>
                <w:highlight w:val="none"/>
              </w:rPr>
              <w:t>（26）可以按照日期统计某时间段内的不合理处方</w:t>
            </w:r>
          </w:p>
          <w:p w14:paraId="3223532A">
            <w:pPr>
              <w:spacing w:line="360" w:lineRule="auto"/>
              <w:rPr>
                <w:rFonts w:ascii="仿宋" w:hAnsi="仿宋" w:eastAsia="仿宋" w:cs="仿宋"/>
                <w:sz w:val="24"/>
                <w:highlight w:val="none"/>
              </w:rPr>
            </w:pPr>
            <w:r>
              <w:rPr>
                <w:rFonts w:hint="eastAsia" w:ascii="仿宋" w:hAnsi="仿宋" w:eastAsia="仿宋" w:cs="仿宋"/>
                <w:sz w:val="24"/>
                <w:highlight w:val="none"/>
              </w:rPr>
              <w:t>（27）可以生成监测结果明细表</w:t>
            </w:r>
          </w:p>
          <w:p w14:paraId="46AFC395">
            <w:pPr>
              <w:spacing w:line="360" w:lineRule="auto"/>
              <w:rPr>
                <w:rFonts w:ascii="仿宋" w:hAnsi="仿宋" w:eastAsia="仿宋" w:cs="仿宋"/>
                <w:sz w:val="24"/>
                <w:highlight w:val="none"/>
              </w:rPr>
            </w:pPr>
            <w:r>
              <w:rPr>
                <w:rFonts w:hint="eastAsia" w:ascii="仿宋" w:hAnsi="仿宋" w:eastAsia="仿宋" w:cs="仿宋"/>
                <w:sz w:val="24"/>
                <w:highlight w:val="none"/>
              </w:rPr>
              <w:t>（28）按照问题，药品，科室，医师进行不合理处方的统计，可以统计问题数，问题总数，问题占比，问题处方数，问题处方总数，问题处方占比，可以查看对应的处方列表，查看处方详情以及处方的导出。</w:t>
            </w:r>
          </w:p>
          <w:p w14:paraId="58B0E56B">
            <w:pPr>
              <w:spacing w:line="360" w:lineRule="auto"/>
              <w:rPr>
                <w:rFonts w:ascii="仿宋" w:hAnsi="仿宋" w:eastAsia="仿宋" w:cs="仿宋"/>
                <w:sz w:val="24"/>
                <w:highlight w:val="none"/>
              </w:rPr>
            </w:pPr>
            <w:r>
              <w:rPr>
                <w:rFonts w:hint="eastAsia" w:ascii="仿宋" w:hAnsi="仿宋" w:eastAsia="仿宋" w:cs="仿宋"/>
                <w:sz w:val="24"/>
                <w:highlight w:val="none"/>
              </w:rPr>
              <w:t>（29）按照问题，药品，科室，医师进行不合理医嘱的统计，可以统计问题数，问题总数，问题占比，问题医嘱数，问题医嘱总数，问题医嘱占比，可以查看对应的医嘱列表，查看医嘱详情以及不合理医嘱的导出。</w:t>
            </w:r>
          </w:p>
          <w:p w14:paraId="62B160AC">
            <w:pPr>
              <w:spacing w:line="360" w:lineRule="auto"/>
              <w:rPr>
                <w:rFonts w:ascii="仿宋" w:hAnsi="仿宋" w:eastAsia="仿宋" w:cs="仿宋"/>
                <w:sz w:val="24"/>
                <w:highlight w:val="none"/>
              </w:rPr>
            </w:pPr>
            <w:r>
              <w:rPr>
                <w:rFonts w:hint="eastAsia" w:ascii="仿宋" w:hAnsi="仿宋" w:eastAsia="仿宋" w:cs="仿宋"/>
                <w:sz w:val="24"/>
                <w:highlight w:val="none"/>
              </w:rPr>
              <w:t>（30）可以实时动态监测查询合理用药总审核工作量，门诊处方数，未保存处方数，警示处方数，强制未通过处方数，报警修改的处方数，住院医嘱数，未保存医嘱数，警示医嘱数，强制未通过医嘱数，报警修改的医嘱数。</w:t>
            </w:r>
          </w:p>
          <w:p w14:paraId="738785F7">
            <w:pPr>
              <w:spacing w:line="360" w:lineRule="auto"/>
              <w:rPr>
                <w:rFonts w:ascii="仿宋" w:hAnsi="仿宋" w:eastAsia="仿宋" w:cs="仿宋"/>
                <w:sz w:val="24"/>
                <w:highlight w:val="none"/>
              </w:rPr>
            </w:pPr>
            <w:r>
              <w:rPr>
                <w:rFonts w:hint="eastAsia" w:ascii="仿宋" w:hAnsi="仿宋" w:eastAsia="仿宋" w:cs="仿宋"/>
                <w:sz w:val="24"/>
                <w:highlight w:val="none"/>
              </w:rPr>
              <w:t>（31）可以自定义添加监管医师，监管科室，监管患者的药品，针对监管药品，可以按照医师进行授权，以及医师的用药权限日期的设定，针对监管药品，可以按照药品进行授权，以及医师的用药权限日期的设定。</w:t>
            </w:r>
          </w:p>
          <w:p w14:paraId="054A3BFE">
            <w:pPr>
              <w:spacing w:line="360" w:lineRule="auto"/>
              <w:rPr>
                <w:rFonts w:ascii="仿宋" w:hAnsi="仿宋" w:eastAsia="仿宋" w:cs="仿宋"/>
                <w:sz w:val="24"/>
                <w:highlight w:val="none"/>
              </w:rPr>
            </w:pPr>
            <w:r>
              <w:rPr>
                <w:rFonts w:hint="eastAsia" w:ascii="仿宋" w:hAnsi="仿宋" w:eastAsia="仿宋" w:cs="仿宋"/>
                <w:sz w:val="24"/>
                <w:highlight w:val="none"/>
              </w:rPr>
              <w:t>（32）可以自定义医师抗微生物药物，毒麻精药物的权限，以及权限日期，保存之后规则立即生效。</w:t>
            </w:r>
          </w:p>
          <w:p w14:paraId="72B21C61">
            <w:pPr>
              <w:spacing w:line="360" w:lineRule="auto"/>
              <w:rPr>
                <w:rFonts w:ascii="仿宋" w:hAnsi="仿宋" w:eastAsia="仿宋" w:cs="仿宋"/>
                <w:sz w:val="24"/>
                <w:highlight w:val="none"/>
              </w:rPr>
            </w:pPr>
            <w:r>
              <w:rPr>
                <w:rFonts w:hint="eastAsia" w:ascii="仿宋" w:hAnsi="仿宋" w:eastAsia="仿宋" w:cs="仿宋"/>
                <w:sz w:val="24"/>
                <w:highlight w:val="none"/>
              </w:rPr>
              <w:t>（33）可以查询某个药品对应的所有规则以及规则数量，点击某一个规则可以修改药品对应的规则。</w:t>
            </w:r>
          </w:p>
          <w:p w14:paraId="24D39422">
            <w:pPr>
              <w:shd w:val="clear" w:color="auto"/>
              <w:spacing w:line="360" w:lineRule="auto"/>
              <w:rPr>
                <w:rFonts w:ascii="仿宋" w:hAnsi="仿宋" w:eastAsia="仿宋" w:cs="仿宋"/>
                <w:sz w:val="24"/>
                <w:highlight w:val="none"/>
              </w:rPr>
            </w:pPr>
            <w:r>
              <w:rPr>
                <w:rFonts w:hint="eastAsia" w:ascii="仿宋" w:hAnsi="仿宋" w:eastAsia="仿宋" w:cs="仿宋"/>
                <w:sz w:val="24"/>
                <w:highlight w:val="none"/>
                <w:lang w:bidi="ar"/>
              </w:rPr>
              <w:t>▲</w:t>
            </w:r>
            <w:r>
              <w:rPr>
                <w:rFonts w:hint="eastAsia" w:ascii="仿宋" w:hAnsi="仿宋" w:eastAsia="仿宋" w:cs="仿宋"/>
                <w:sz w:val="24"/>
                <w:highlight w:val="none"/>
              </w:rPr>
              <w:t>（34）支持按照医保相关要求审核药品的余量，余量时间可以自行调整。</w:t>
            </w:r>
            <w:r>
              <w:rPr>
                <w:rFonts w:hint="eastAsia" w:ascii="仿宋" w:hAnsi="仿宋" w:eastAsia="仿宋" w:cs="仿宋"/>
                <w:color w:val="000000"/>
                <w:sz w:val="24"/>
                <w:highlight w:val="none"/>
                <w:lang w:bidi="ar"/>
              </w:rPr>
              <w:t>（需在投标书中提供软件功能截图）</w:t>
            </w:r>
          </w:p>
          <w:p w14:paraId="3643D2DF">
            <w:pPr>
              <w:spacing w:line="360" w:lineRule="auto"/>
              <w:rPr>
                <w:rFonts w:ascii="仿宋" w:hAnsi="仿宋" w:eastAsia="仿宋" w:cs="仿宋"/>
                <w:sz w:val="24"/>
                <w:highlight w:val="none"/>
              </w:rPr>
            </w:pPr>
            <w:r>
              <w:rPr>
                <w:rFonts w:hint="eastAsia" w:ascii="仿宋" w:hAnsi="仿宋" w:eastAsia="仿宋" w:cs="仿宋"/>
                <w:sz w:val="24"/>
                <w:highlight w:val="none"/>
              </w:rPr>
              <w:t>（35）可以对抗菌药物联用进行审查。</w:t>
            </w:r>
          </w:p>
          <w:p w14:paraId="1ACD6F7E">
            <w:pPr>
              <w:spacing w:line="360" w:lineRule="auto"/>
              <w:rPr>
                <w:rFonts w:ascii="仿宋" w:hAnsi="仿宋" w:eastAsia="仿宋" w:cs="仿宋"/>
                <w:sz w:val="24"/>
                <w:highlight w:val="none"/>
              </w:rPr>
            </w:pPr>
            <w:r>
              <w:rPr>
                <w:rFonts w:hint="eastAsia" w:ascii="仿宋" w:hAnsi="仿宋" w:eastAsia="仿宋" w:cs="仿宋"/>
                <w:sz w:val="24"/>
                <w:highlight w:val="none"/>
              </w:rPr>
              <w:t>（36）可以进行跨科室，跨处方进行相互作用，重复用药的审核。</w:t>
            </w:r>
          </w:p>
          <w:p w14:paraId="7A3C0A3E">
            <w:pPr>
              <w:spacing w:line="360" w:lineRule="auto"/>
              <w:rPr>
                <w:rFonts w:ascii="仿宋" w:hAnsi="仿宋" w:eastAsia="仿宋" w:cs="仿宋"/>
                <w:sz w:val="24"/>
                <w:highlight w:val="none"/>
              </w:rPr>
            </w:pPr>
            <w:r>
              <w:rPr>
                <w:rFonts w:hint="eastAsia" w:ascii="仿宋" w:hAnsi="仿宋" w:eastAsia="仿宋" w:cs="仿宋"/>
                <w:sz w:val="24"/>
                <w:highlight w:val="none"/>
              </w:rPr>
              <w:t>（37）可以对溶媒以及溶媒浓度的审查。</w:t>
            </w:r>
          </w:p>
        </w:tc>
      </w:tr>
      <w:tr w14:paraId="3FB960F3">
        <w:tblPrEx>
          <w:tblCellMar>
            <w:top w:w="0" w:type="dxa"/>
            <w:left w:w="108" w:type="dxa"/>
            <w:bottom w:w="0" w:type="dxa"/>
            <w:right w:w="108" w:type="dxa"/>
          </w:tblCellMar>
        </w:tblPrEx>
        <w:trPr>
          <w:trHeight w:val="20" w:hRule="atLeast"/>
        </w:trPr>
        <w:tc>
          <w:tcPr>
            <w:tcW w:w="510" w:type="pct"/>
            <w:tcBorders>
              <w:top w:val="single" w:color="000000" w:sz="4" w:space="0"/>
              <w:left w:val="single" w:color="000000" w:sz="4" w:space="0"/>
              <w:bottom w:val="single" w:color="000000" w:sz="4" w:space="0"/>
              <w:right w:val="single" w:color="000000" w:sz="4" w:space="0"/>
            </w:tcBorders>
            <w:noWrap/>
            <w:vAlign w:val="center"/>
          </w:tcPr>
          <w:p w14:paraId="284606E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3</w:t>
            </w:r>
          </w:p>
        </w:tc>
        <w:tc>
          <w:tcPr>
            <w:tcW w:w="860" w:type="pct"/>
            <w:tcBorders>
              <w:top w:val="single" w:color="000000" w:sz="4" w:space="0"/>
              <w:left w:val="nil"/>
              <w:bottom w:val="single" w:color="000000" w:sz="4" w:space="0"/>
              <w:right w:val="single" w:color="000000" w:sz="4" w:space="0"/>
            </w:tcBorders>
            <w:vAlign w:val="center"/>
          </w:tcPr>
          <w:p w14:paraId="1D7EA043">
            <w:pPr>
              <w:spacing w:line="360" w:lineRule="auto"/>
              <w:jc w:val="center"/>
              <w:rPr>
                <w:rFonts w:ascii="仿宋" w:hAnsi="仿宋" w:eastAsia="仿宋" w:cs="仿宋"/>
                <w:sz w:val="24"/>
                <w:highlight w:val="none"/>
              </w:rPr>
            </w:pPr>
            <w:r>
              <w:rPr>
                <w:rFonts w:hint="eastAsia" w:ascii="仿宋" w:hAnsi="仿宋" w:eastAsia="仿宋" w:cs="仿宋"/>
                <w:sz w:val="24"/>
                <w:highlight w:val="none"/>
              </w:rPr>
              <w:t>处方点评及抗菌药物管理系统</w:t>
            </w:r>
          </w:p>
        </w:tc>
        <w:tc>
          <w:tcPr>
            <w:tcW w:w="3630" w:type="pct"/>
            <w:tcBorders>
              <w:top w:val="single" w:color="000000" w:sz="4" w:space="0"/>
              <w:left w:val="nil"/>
              <w:bottom w:val="single" w:color="000000" w:sz="4" w:space="0"/>
              <w:right w:val="single" w:color="000000" w:sz="4" w:space="0"/>
            </w:tcBorders>
            <w:shd w:val="clear" w:color="auto" w:fill="auto"/>
            <w:vAlign w:val="center"/>
          </w:tcPr>
          <w:p w14:paraId="5D0B7A0A">
            <w:pPr>
              <w:spacing w:line="360" w:lineRule="auto"/>
              <w:rPr>
                <w:rFonts w:ascii="仿宋" w:hAnsi="仿宋" w:eastAsia="仿宋" w:cs="仿宋"/>
                <w:sz w:val="24"/>
                <w:highlight w:val="none"/>
              </w:rPr>
            </w:pPr>
            <w:r>
              <w:rPr>
                <w:rFonts w:hint="eastAsia" w:ascii="仿宋" w:hAnsi="仿宋" w:eastAsia="仿宋" w:cs="仿宋"/>
                <w:sz w:val="24"/>
                <w:highlight w:val="none"/>
              </w:rPr>
              <w:t>（1）门急诊处方点评：可以进行处方的全量查询点评，抽样点评，专项点评，以及自定义分类药品的点评，抽样可以按照医生数量，医生百分比，处方数量，处方百分比，处方等距，医生等距，定义起始位，间隔数进行抽取。可以查看处方详情，以及患者的检查，检验信息，点击药品名称可以查看药品说明书，药师可以按照3大项28小项进行人工点评以及可以进行人工手动添加不合理药品，填写点评意见的功能，不合理处方的汇总反馈功能。</w:t>
            </w:r>
          </w:p>
          <w:p w14:paraId="63050CB0">
            <w:pPr>
              <w:spacing w:line="360" w:lineRule="auto"/>
              <w:rPr>
                <w:rFonts w:ascii="仿宋" w:hAnsi="仿宋" w:eastAsia="仿宋" w:cs="仿宋"/>
                <w:sz w:val="24"/>
                <w:highlight w:val="none"/>
              </w:rPr>
            </w:pPr>
            <w:r>
              <w:rPr>
                <w:rFonts w:hint="eastAsia" w:ascii="仿宋" w:hAnsi="仿宋" w:eastAsia="仿宋" w:cs="仿宋"/>
                <w:sz w:val="24"/>
                <w:highlight w:val="none"/>
              </w:rPr>
              <w:t>（2）住院病历点评：可以进行病历的全量查询点评，抽样点评，专项点评，以及自定义分类药品的点评，抽样可以按照医生数量，医生百分比，处方数量，处方百分比，处方等距，医生等距，定义起始位，间隔数进行抽取。可以查看处方详情，以及患者的检查，检验信息，点击药品名称可以查看药品说明书，药师可以按照3大项28小项进行人工点评，填写点评意见的功能，不合理病历的汇总反馈功能。</w:t>
            </w:r>
          </w:p>
          <w:p w14:paraId="0F30D0C3">
            <w:pPr>
              <w:spacing w:line="360" w:lineRule="auto"/>
              <w:rPr>
                <w:rFonts w:ascii="仿宋" w:hAnsi="仿宋" w:eastAsia="仿宋" w:cs="仿宋"/>
                <w:sz w:val="24"/>
                <w:highlight w:val="none"/>
              </w:rPr>
            </w:pPr>
            <w:r>
              <w:rPr>
                <w:rFonts w:hint="eastAsia" w:ascii="仿宋" w:hAnsi="仿宋" w:eastAsia="仿宋" w:cs="仿宋"/>
                <w:sz w:val="24"/>
                <w:highlight w:val="none"/>
              </w:rPr>
              <w:t>（3）手术切口抗菌药物点评：可以进行病历的全量查询点评，抽样点评，抽样可以按照医生数量，医生百分比，处方数量，处方百分比，处方等距，医生等距，定义起始位，间隔数进行抽取。可以按照是否使用抗菌药物，手术切口类别进行查询，可以查看患者的病历详情，手术信息，使用的抗菌药物信息，可以按照无预防用药适应症，品种选择不合理，给药时机不合理等相关项目进行点评。</w:t>
            </w:r>
          </w:p>
          <w:p w14:paraId="5554A30F">
            <w:pPr>
              <w:spacing w:line="360" w:lineRule="auto"/>
              <w:rPr>
                <w:rFonts w:ascii="仿宋" w:hAnsi="仿宋" w:eastAsia="仿宋" w:cs="仿宋"/>
                <w:sz w:val="24"/>
                <w:highlight w:val="none"/>
              </w:rPr>
            </w:pPr>
            <w:r>
              <w:rPr>
                <w:rFonts w:hint="eastAsia" w:ascii="仿宋" w:hAnsi="仿宋" w:eastAsia="仿宋" w:cs="仿宋"/>
                <w:sz w:val="24"/>
                <w:highlight w:val="none"/>
              </w:rPr>
              <w:t>（4）抗肿瘤药物点评汇总：按照智能点评、人工点评进行抗肿瘤药物的点评统计汇总。</w:t>
            </w:r>
          </w:p>
          <w:p w14:paraId="23306110">
            <w:pPr>
              <w:spacing w:line="360" w:lineRule="auto"/>
              <w:rPr>
                <w:rFonts w:ascii="仿宋" w:hAnsi="仿宋" w:eastAsia="仿宋" w:cs="仿宋"/>
                <w:sz w:val="24"/>
                <w:highlight w:val="none"/>
              </w:rPr>
            </w:pPr>
            <w:r>
              <w:rPr>
                <w:rFonts w:hint="eastAsia" w:ascii="仿宋" w:hAnsi="仿宋" w:eastAsia="仿宋" w:cs="仿宋"/>
                <w:sz w:val="24"/>
                <w:highlight w:val="none"/>
              </w:rPr>
              <w:t>（5）门急诊点评查询－医师：医师可以查询药师针对医师本人的门急诊点评结果以及点评结果的导出。</w:t>
            </w:r>
          </w:p>
          <w:p w14:paraId="78B4B0B7">
            <w:pPr>
              <w:spacing w:line="360" w:lineRule="auto"/>
              <w:rPr>
                <w:rFonts w:ascii="仿宋" w:hAnsi="仿宋" w:eastAsia="仿宋" w:cs="仿宋"/>
                <w:sz w:val="24"/>
                <w:highlight w:val="none"/>
              </w:rPr>
            </w:pPr>
            <w:r>
              <w:rPr>
                <w:rFonts w:hint="eastAsia" w:ascii="仿宋" w:hAnsi="仿宋" w:eastAsia="仿宋" w:cs="仿宋"/>
                <w:sz w:val="24"/>
                <w:highlight w:val="none"/>
              </w:rPr>
              <w:t>（6）住院点评查询－医师：医生可以查询药师针对医师本人的点评结果以及结果的导出。</w:t>
            </w:r>
          </w:p>
          <w:p w14:paraId="3AE72152">
            <w:pPr>
              <w:spacing w:line="360" w:lineRule="auto"/>
              <w:rPr>
                <w:rFonts w:ascii="仿宋" w:hAnsi="仿宋" w:eastAsia="仿宋" w:cs="仿宋"/>
                <w:sz w:val="24"/>
                <w:highlight w:val="none"/>
              </w:rPr>
            </w:pPr>
            <w:r>
              <w:rPr>
                <w:rFonts w:hint="eastAsia" w:ascii="仿宋" w:hAnsi="仿宋" w:eastAsia="仿宋" w:cs="仿宋"/>
                <w:sz w:val="24"/>
                <w:highlight w:val="none"/>
              </w:rPr>
              <w:t>（7）门急诊处方点评汇总：可以按照科室，医师进行处方点评汇总，包括处方数，合理数，不合理数，点评数的汇总，以及对应的分布图显示。</w:t>
            </w:r>
          </w:p>
          <w:p w14:paraId="64E227A5">
            <w:pPr>
              <w:spacing w:line="360" w:lineRule="auto"/>
              <w:rPr>
                <w:rFonts w:ascii="仿宋" w:hAnsi="仿宋" w:eastAsia="仿宋" w:cs="仿宋"/>
                <w:sz w:val="24"/>
                <w:highlight w:val="none"/>
              </w:rPr>
            </w:pPr>
            <w:r>
              <w:rPr>
                <w:rFonts w:hint="eastAsia" w:ascii="仿宋" w:hAnsi="仿宋" w:eastAsia="仿宋" w:cs="仿宋"/>
                <w:sz w:val="24"/>
                <w:highlight w:val="none"/>
              </w:rPr>
              <w:t>（8）住院病历点评统计汇总：可以按照科室，医师进行病历的点评汇总，包括病历数，合理数，不合理数，点评数的汇总，以及对应的分布图显示。</w:t>
            </w:r>
          </w:p>
          <w:p w14:paraId="2E5AFA67">
            <w:pPr>
              <w:spacing w:line="360" w:lineRule="auto"/>
              <w:rPr>
                <w:rFonts w:ascii="仿宋" w:hAnsi="仿宋" w:eastAsia="仿宋" w:cs="仿宋"/>
                <w:sz w:val="24"/>
                <w:highlight w:val="none"/>
              </w:rPr>
            </w:pPr>
            <w:r>
              <w:rPr>
                <w:rFonts w:hint="eastAsia" w:ascii="仿宋" w:hAnsi="仿宋" w:eastAsia="仿宋" w:cs="仿宋"/>
                <w:sz w:val="24"/>
                <w:highlight w:val="none"/>
              </w:rPr>
              <w:t>（9）抗菌药物金额占比、统计汇总，同比，环比统计，统计报表包含柱状图显示。</w:t>
            </w:r>
          </w:p>
          <w:p w14:paraId="7FDB9690">
            <w:pPr>
              <w:spacing w:line="360" w:lineRule="auto"/>
              <w:rPr>
                <w:rFonts w:ascii="仿宋" w:hAnsi="仿宋" w:eastAsia="仿宋" w:cs="仿宋"/>
                <w:sz w:val="24"/>
                <w:highlight w:val="none"/>
              </w:rPr>
            </w:pPr>
            <w:r>
              <w:rPr>
                <w:rFonts w:hint="eastAsia" w:ascii="仿宋" w:hAnsi="仿宋" w:eastAsia="仿宋" w:cs="仿宋"/>
                <w:sz w:val="24"/>
                <w:highlight w:val="none"/>
              </w:rPr>
              <w:t>（10）抗菌药物使用率统计汇总，同比，环比统计，统计报表包含柱状图显示，统计报表包含柱状图显示。</w:t>
            </w:r>
          </w:p>
          <w:p w14:paraId="15951E13">
            <w:pPr>
              <w:spacing w:line="360" w:lineRule="auto"/>
              <w:rPr>
                <w:rFonts w:ascii="仿宋" w:hAnsi="仿宋" w:eastAsia="仿宋" w:cs="仿宋"/>
                <w:sz w:val="24"/>
                <w:highlight w:val="none"/>
              </w:rPr>
            </w:pPr>
            <w:r>
              <w:rPr>
                <w:rFonts w:hint="eastAsia" w:ascii="仿宋" w:hAnsi="仿宋" w:eastAsia="仿宋" w:cs="仿宋"/>
                <w:sz w:val="24"/>
                <w:highlight w:val="none"/>
              </w:rPr>
              <w:t>（11）抗菌药物处方占比统计汇总，同比，环比统计，统计报表包含柱状图显示，统计报表包含柱状图显示。</w:t>
            </w:r>
          </w:p>
          <w:p w14:paraId="4778D23B">
            <w:pPr>
              <w:spacing w:line="360" w:lineRule="auto"/>
              <w:rPr>
                <w:rFonts w:ascii="仿宋" w:hAnsi="仿宋" w:eastAsia="仿宋" w:cs="仿宋"/>
                <w:sz w:val="24"/>
                <w:highlight w:val="none"/>
              </w:rPr>
            </w:pPr>
            <w:r>
              <w:rPr>
                <w:rFonts w:hint="eastAsia" w:ascii="仿宋" w:hAnsi="仿宋" w:eastAsia="仿宋" w:cs="仿宋"/>
                <w:sz w:val="24"/>
                <w:highlight w:val="none"/>
              </w:rPr>
              <w:t>（12）特殊级抗菌药物使用量统计汇总，同比，环比统计，统计报表包含柱状图显示。</w:t>
            </w:r>
          </w:p>
          <w:p w14:paraId="026C7E84">
            <w:pPr>
              <w:spacing w:line="360" w:lineRule="auto"/>
              <w:rPr>
                <w:rFonts w:ascii="仿宋" w:hAnsi="仿宋" w:eastAsia="仿宋" w:cs="仿宋"/>
                <w:sz w:val="24"/>
                <w:highlight w:val="none"/>
              </w:rPr>
            </w:pPr>
            <w:r>
              <w:rPr>
                <w:rFonts w:hint="eastAsia" w:ascii="仿宋" w:hAnsi="仿宋" w:eastAsia="仿宋" w:cs="仿宋"/>
                <w:sz w:val="24"/>
                <w:highlight w:val="none"/>
              </w:rPr>
              <w:t>（13）微生物送检率统计汇总，同比，环比统计，统计报表包含柱状图显示。</w:t>
            </w:r>
          </w:p>
          <w:p w14:paraId="4CD5B6DC">
            <w:pPr>
              <w:spacing w:line="360" w:lineRule="auto"/>
              <w:rPr>
                <w:rFonts w:ascii="仿宋" w:hAnsi="仿宋" w:eastAsia="仿宋" w:cs="仿宋"/>
                <w:sz w:val="24"/>
                <w:highlight w:val="none"/>
              </w:rPr>
            </w:pPr>
            <w:r>
              <w:rPr>
                <w:rFonts w:hint="eastAsia" w:ascii="仿宋" w:hAnsi="仿宋" w:eastAsia="仿宋" w:cs="仿宋"/>
                <w:sz w:val="24"/>
                <w:highlight w:val="none"/>
              </w:rPr>
              <w:t>（14）抗菌药物静脉输液占比，统计汇总，同比，环比统计，统计报表包含柱状图显示。</w:t>
            </w:r>
          </w:p>
          <w:p w14:paraId="5748839C">
            <w:pPr>
              <w:spacing w:line="360" w:lineRule="auto"/>
              <w:rPr>
                <w:rFonts w:ascii="仿宋" w:hAnsi="仿宋" w:eastAsia="仿宋" w:cs="仿宋"/>
                <w:sz w:val="24"/>
                <w:highlight w:val="none"/>
              </w:rPr>
            </w:pPr>
            <w:r>
              <w:rPr>
                <w:rFonts w:hint="eastAsia" w:ascii="仿宋" w:hAnsi="仿宋" w:eastAsia="仿宋" w:cs="仿宋"/>
                <w:sz w:val="24"/>
                <w:highlight w:val="none"/>
              </w:rPr>
              <w:t>（15）抗菌药物使用强度统计汇总，同比，环比统计，统计报表包含柱状图显示。</w:t>
            </w:r>
          </w:p>
          <w:p w14:paraId="4DEDCBF0">
            <w:pPr>
              <w:spacing w:line="360" w:lineRule="auto"/>
              <w:rPr>
                <w:rFonts w:ascii="仿宋" w:hAnsi="仿宋" w:eastAsia="仿宋" w:cs="仿宋"/>
                <w:sz w:val="24"/>
                <w:highlight w:val="none"/>
              </w:rPr>
            </w:pPr>
            <w:r>
              <w:rPr>
                <w:rFonts w:hint="eastAsia" w:ascii="仿宋" w:hAnsi="仿宋" w:eastAsia="仿宋" w:cs="仿宋"/>
                <w:sz w:val="24"/>
                <w:highlight w:val="none"/>
              </w:rPr>
              <w:t>（16）手术预防使用抗菌药物比例统计汇总，同比，环比统计，统计报表包含柱状图显示。</w:t>
            </w:r>
          </w:p>
          <w:p w14:paraId="3F8820B5">
            <w:pPr>
              <w:spacing w:line="360" w:lineRule="auto"/>
              <w:rPr>
                <w:rFonts w:ascii="仿宋" w:hAnsi="仿宋" w:eastAsia="仿宋" w:cs="仿宋"/>
                <w:sz w:val="24"/>
                <w:highlight w:val="none"/>
              </w:rPr>
            </w:pPr>
            <w:r>
              <w:rPr>
                <w:rFonts w:hint="eastAsia" w:ascii="仿宋" w:hAnsi="仿宋" w:eastAsia="仿宋" w:cs="仿宋"/>
                <w:sz w:val="24"/>
                <w:highlight w:val="none"/>
              </w:rPr>
              <w:t>（17）切口手术预防用抗菌药物疗程≤24小时的百分率统计汇总，同比，环比统计，统计报表包含柱状图显示。</w:t>
            </w:r>
          </w:p>
          <w:p w14:paraId="29581DFC">
            <w:pPr>
              <w:spacing w:line="360" w:lineRule="auto"/>
              <w:rPr>
                <w:rFonts w:ascii="仿宋" w:hAnsi="仿宋" w:eastAsia="仿宋" w:cs="仿宋"/>
                <w:sz w:val="24"/>
                <w:highlight w:val="none"/>
              </w:rPr>
            </w:pPr>
            <w:r>
              <w:rPr>
                <w:rFonts w:hint="eastAsia" w:ascii="仿宋" w:hAnsi="仿宋" w:eastAsia="仿宋" w:cs="仿宋"/>
                <w:sz w:val="24"/>
                <w:highlight w:val="none"/>
              </w:rPr>
              <w:t>（18）切口手术预防用抗菌药物时机合理率统计汇总，同比，环比统计，所有统计报表包含柱状图显示，统计报表包含柱状图显示。</w:t>
            </w:r>
          </w:p>
        </w:tc>
      </w:tr>
    </w:tbl>
    <w:p w14:paraId="6FEAEF62">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2.2基层云HIS建设</w:t>
      </w:r>
    </w:p>
    <w:tbl>
      <w:tblPr>
        <w:tblStyle w:val="35"/>
        <w:tblW w:w="4998" w:type="pct"/>
        <w:tblInd w:w="0" w:type="dxa"/>
        <w:tblLayout w:type="autofit"/>
        <w:tblCellMar>
          <w:top w:w="0" w:type="dxa"/>
          <w:left w:w="108" w:type="dxa"/>
          <w:bottom w:w="0" w:type="dxa"/>
          <w:right w:w="108" w:type="dxa"/>
        </w:tblCellMar>
      </w:tblPr>
      <w:tblGrid>
        <w:gridCol w:w="722"/>
        <w:gridCol w:w="765"/>
        <w:gridCol w:w="1048"/>
        <w:gridCol w:w="1101"/>
        <w:gridCol w:w="4883"/>
      </w:tblGrid>
      <w:tr w14:paraId="6F1FF64B">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F382BDA">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序号</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2F634C6C">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功能模块</w:t>
            </w:r>
          </w:p>
        </w:tc>
        <w:tc>
          <w:tcPr>
            <w:tcW w:w="2866" w:type="pct"/>
            <w:tcBorders>
              <w:top w:val="single" w:color="000000" w:sz="4" w:space="0"/>
              <w:left w:val="single" w:color="000000" w:sz="4" w:space="0"/>
              <w:bottom w:val="single" w:color="000000" w:sz="4" w:space="0"/>
              <w:right w:val="single" w:color="000000" w:sz="4" w:space="0"/>
            </w:tcBorders>
            <w:vAlign w:val="center"/>
          </w:tcPr>
          <w:p w14:paraId="6FFA0A60">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技术参数</w:t>
            </w:r>
          </w:p>
        </w:tc>
      </w:tr>
      <w:tr w14:paraId="24AF2955">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2074795F">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1</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0FD09466">
            <w:pPr>
              <w:spacing w:line="360" w:lineRule="auto"/>
              <w:jc w:val="center"/>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总体要求</w:t>
            </w:r>
          </w:p>
        </w:tc>
        <w:tc>
          <w:tcPr>
            <w:tcW w:w="2866" w:type="pct"/>
            <w:tcBorders>
              <w:top w:val="single" w:color="000000" w:sz="4" w:space="0"/>
              <w:left w:val="single" w:color="000000" w:sz="4" w:space="0"/>
              <w:bottom w:val="single" w:color="000000" w:sz="4" w:space="0"/>
              <w:right w:val="single" w:color="000000" w:sz="4" w:space="0"/>
            </w:tcBorders>
            <w:vAlign w:val="center"/>
          </w:tcPr>
          <w:p w14:paraId="7DB98D9E">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实现淮安市洪泽区卫健委下辖的9家公立基层医疗卫生机构及洪泽区妇幼保健院一体化接入淮安市统建基层云HIS。</w:t>
            </w:r>
          </w:p>
        </w:tc>
      </w:tr>
      <w:tr w14:paraId="166C2E29">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70F495D7">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w:t>
            </w:r>
          </w:p>
        </w:tc>
        <w:tc>
          <w:tcPr>
            <w:tcW w:w="449" w:type="pct"/>
            <w:vMerge w:val="restart"/>
            <w:tcBorders>
              <w:top w:val="single" w:color="000000" w:sz="4" w:space="0"/>
              <w:left w:val="single" w:color="000000" w:sz="4" w:space="0"/>
              <w:bottom w:val="single" w:color="000000" w:sz="4" w:space="0"/>
              <w:right w:val="single" w:color="000000" w:sz="4" w:space="0"/>
            </w:tcBorders>
            <w:vAlign w:val="center"/>
          </w:tcPr>
          <w:p w14:paraId="70958284">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基层云HIS系统</w:t>
            </w:r>
          </w:p>
        </w:tc>
        <w:tc>
          <w:tcPr>
            <w:tcW w:w="615" w:type="pct"/>
            <w:vMerge w:val="restart"/>
            <w:tcBorders>
              <w:top w:val="single" w:color="000000" w:sz="4" w:space="0"/>
              <w:left w:val="single" w:color="000000" w:sz="4" w:space="0"/>
              <w:bottom w:val="single" w:color="000000" w:sz="4" w:space="0"/>
              <w:right w:val="single" w:color="000000" w:sz="4" w:space="0"/>
            </w:tcBorders>
            <w:vAlign w:val="center"/>
          </w:tcPr>
          <w:p w14:paraId="67E47DC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基础数据维护</w:t>
            </w:r>
          </w:p>
        </w:tc>
        <w:tc>
          <w:tcPr>
            <w:tcW w:w="646" w:type="pct"/>
            <w:tcBorders>
              <w:top w:val="single" w:color="000000" w:sz="4" w:space="0"/>
              <w:left w:val="single" w:color="000000" w:sz="4" w:space="0"/>
              <w:bottom w:val="single" w:color="000000" w:sz="4" w:space="0"/>
              <w:right w:val="single" w:color="000000" w:sz="4" w:space="0"/>
            </w:tcBorders>
            <w:vAlign w:val="center"/>
          </w:tcPr>
          <w:p w14:paraId="50E107AE">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机构人员相关</w:t>
            </w:r>
          </w:p>
        </w:tc>
        <w:tc>
          <w:tcPr>
            <w:tcW w:w="2866" w:type="pct"/>
            <w:tcBorders>
              <w:top w:val="single" w:color="000000" w:sz="4" w:space="0"/>
              <w:left w:val="single" w:color="000000" w:sz="4" w:space="0"/>
              <w:bottom w:val="single" w:color="000000" w:sz="4" w:space="0"/>
              <w:right w:val="single" w:color="000000" w:sz="4" w:space="0"/>
            </w:tcBorders>
            <w:vAlign w:val="center"/>
          </w:tcPr>
          <w:p w14:paraId="7AE182BE">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支持机构人员的统一管理，包括医生、护士、药师、技师和管理者。支持对人员分配角色、行为权限和系统权限。</w:t>
            </w:r>
          </w:p>
        </w:tc>
      </w:tr>
      <w:tr w14:paraId="0CFDC0AA">
        <w:tblPrEx>
          <w:tblCellMar>
            <w:top w:w="0" w:type="dxa"/>
            <w:left w:w="108" w:type="dxa"/>
            <w:bottom w:w="0" w:type="dxa"/>
            <w:right w:w="108" w:type="dxa"/>
          </w:tblCellMar>
        </w:tblPrEx>
        <w:trPr>
          <w:trHeight w:val="84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6694A9D0">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3</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21DB6FDD">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4267C2D">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36BB3655">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基础数据管理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738BEA87">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支持标准药品字典、标准医院服务字典、标准材料字典、通用数据字典管理。支持数据统计分析。支持机构端接入，通过下载方式使用同一套标准目录。</w:t>
            </w:r>
          </w:p>
        </w:tc>
      </w:tr>
      <w:tr w14:paraId="164D6225">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2CE137AE">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4</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420D0887">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372A498F">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08C2C83E">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代码表管理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6D14F6E6">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支持代码表管理。支持精确查询。支持模糊查询。</w:t>
            </w:r>
          </w:p>
        </w:tc>
      </w:tr>
      <w:tr w14:paraId="297C2CA1">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6A788C1A">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5</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6C2E6729">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5DB08223">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7AF2492E">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系统参数管理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190D2A92">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支持系统参数管理，包括参数的查看与修改。</w:t>
            </w:r>
          </w:p>
        </w:tc>
      </w:tr>
      <w:tr w14:paraId="71FFA4BB">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2EE72B37">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6</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06538A53">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0A1E4BE1">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7FBFCCE0">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药品支撑管理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54771996">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支持药品目录统一管理，包含通用名目录、商品名目录（规格产地）、药理、价格管理。</w:t>
            </w:r>
          </w:p>
        </w:tc>
      </w:tr>
      <w:tr w14:paraId="2E652419">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5DEBB8F2">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7</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7A40F292">
            <w:pPr>
              <w:spacing w:line="360" w:lineRule="auto"/>
              <w:jc w:val="center"/>
              <w:rPr>
                <w:rFonts w:ascii="仿宋" w:hAnsi="仿宋" w:eastAsia="仿宋" w:cs="仿宋"/>
                <w:color w:val="000000"/>
                <w:sz w:val="24"/>
                <w:highlight w:val="none"/>
              </w:rPr>
            </w:pPr>
          </w:p>
        </w:tc>
        <w:tc>
          <w:tcPr>
            <w:tcW w:w="615" w:type="pct"/>
            <w:vMerge w:val="restart"/>
            <w:tcBorders>
              <w:top w:val="single" w:color="000000" w:sz="4" w:space="0"/>
              <w:left w:val="single" w:color="000000" w:sz="4" w:space="0"/>
              <w:bottom w:val="single" w:color="000000" w:sz="4" w:space="0"/>
              <w:right w:val="single" w:color="000000" w:sz="4" w:space="0"/>
            </w:tcBorders>
            <w:vAlign w:val="center"/>
          </w:tcPr>
          <w:p w14:paraId="762BF286">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患者基本信息管理</w:t>
            </w:r>
          </w:p>
        </w:tc>
        <w:tc>
          <w:tcPr>
            <w:tcW w:w="646" w:type="pct"/>
            <w:tcBorders>
              <w:top w:val="single" w:color="000000" w:sz="4" w:space="0"/>
              <w:left w:val="single" w:color="000000" w:sz="4" w:space="0"/>
              <w:bottom w:val="single" w:color="000000" w:sz="4" w:space="0"/>
              <w:right w:val="single" w:color="000000" w:sz="4" w:space="0"/>
            </w:tcBorders>
            <w:vAlign w:val="center"/>
          </w:tcPr>
          <w:p w14:paraId="1D1EDE0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患者基本信息管理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1A9EAF2F">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支持患者基本信息管理。</w:t>
            </w:r>
          </w:p>
        </w:tc>
      </w:tr>
      <w:tr w14:paraId="68E34F42">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30924E53">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8</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2274BF68">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6D29B9E3">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61D4B78F">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患者信息扩展管理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5EDB8C8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支持扩展患者信息。</w:t>
            </w:r>
          </w:p>
        </w:tc>
      </w:tr>
      <w:tr w14:paraId="209571F1">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56851ADA">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9</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5FD151FA">
            <w:pPr>
              <w:spacing w:line="360" w:lineRule="auto"/>
              <w:jc w:val="center"/>
              <w:rPr>
                <w:rFonts w:ascii="仿宋" w:hAnsi="仿宋" w:eastAsia="仿宋" w:cs="仿宋"/>
                <w:color w:val="000000"/>
                <w:sz w:val="24"/>
                <w:highlight w:val="none"/>
              </w:rPr>
            </w:pPr>
          </w:p>
        </w:tc>
        <w:tc>
          <w:tcPr>
            <w:tcW w:w="615" w:type="pct"/>
            <w:vMerge w:val="restart"/>
            <w:tcBorders>
              <w:top w:val="single" w:color="000000" w:sz="4" w:space="0"/>
              <w:left w:val="single" w:color="000000" w:sz="4" w:space="0"/>
              <w:bottom w:val="single" w:color="000000" w:sz="4" w:space="0"/>
              <w:right w:val="single" w:color="000000" w:sz="4" w:space="0"/>
            </w:tcBorders>
            <w:vAlign w:val="center"/>
          </w:tcPr>
          <w:p w14:paraId="26B1D771">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村医工作站</w:t>
            </w:r>
          </w:p>
        </w:tc>
        <w:tc>
          <w:tcPr>
            <w:tcW w:w="646" w:type="pct"/>
            <w:tcBorders>
              <w:top w:val="single" w:color="000000" w:sz="4" w:space="0"/>
              <w:left w:val="single" w:color="000000" w:sz="4" w:space="0"/>
              <w:bottom w:val="single" w:color="000000" w:sz="4" w:space="0"/>
              <w:right w:val="single" w:color="000000" w:sz="4" w:space="0"/>
            </w:tcBorders>
            <w:vAlign w:val="center"/>
          </w:tcPr>
          <w:p w14:paraId="3843EA2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挂号业务</w:t>
            </w:r>
          </w:p>
        </w:tc>
        <w:tc>
          <w:tcPr>
            <w:tcW w:w="2866" w:type="pct"/>
            <w:tcBorders>
              <w:top w:val="single" w:color="000000" w:sz="4" w:space="0"/>
              <w:left w:val="single" w:color="000000" w:sz="4" w:space="0"/>
              <w:bottom w:val="single" w:color="000000" w:sz="4" w:space="0"/>
              <w:right w:val="single" w:color="000000" w:sz="4" w:space="0"/>
            </w:tcBorders>
            <w:vAlign w:val="center"/>
          </w:tcPr>
          <w:p w14:paraId="7D6AAEE0">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支持网络预约挂号、诊间预约、电话预约、窗口挂号、处理号表、门诊病历处理、门急诊划价。</w:t>
            </w:r>
          </w:p>
        </w:tc>
      </w:tr>
      <w:tr w14:paraId="17ABC25A">
        <w:tblPrEx>
          <w:tblCellMar>
            <w:top w:w="0" w:type="dxa"/>
            <w:left w:w="108" w:type="dxa"/>
            <w:bottom w:w="0" w:type="dxa"/>
            <w:right w:w="108" w:type="dxa"/>
          </w:tblCellMar>
        </w:tblPrEx>
        <w:trPr>
          <w:trHeight w:val="699"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3CEF3703">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10</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6BA208B9">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247EC993">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5F013A71">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医生看诊</w:t>
            </w:r>
          </w:p>
        </w:tc>
        <w:tc>
          <w:tcPr>
            <w:tcW w:w="2866" w:type="pct"/>
            <w:tcBorders>
              <w:top w:val="single" w:color="000000" w:sz="4" w:space="0"/>
              <w:left w:val="single" w:color="000000" w:sz="4" w:space="0"/>
              <w:bottom w:val="single" w:color="000000" w:sz="4" w:space="0"/>
              <w:right w:val="single" w:color="000000" w:sz="4" w:space="0"/>
            </w:tcBorders>
            <w:vAlign w:val="center"/>
          </w:tcPr>
          <w:p w14:paraId="54F76618">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支持处理门诊记录、诊断、处方、检查、检验、治疗处置、手术和卫生材料等信息。</w:t>
            </w:r>
            <w:r>
              <w:rPr>
                <w:rFonts w:hint="eastAsia" w:ascii="仿宋" w:hAnsi="仿宋" w:eastAsia="仿宋" w:cs="仿宋"/>
                <w:color w:val="000000"/>
                <w:sz w:val="24"/>
                <w:highlight w:val="none"/>
                <w:lang w:bidi="ar"/>
              </w:rPr>
              <w:br w:type="textWrapping"/>
            </w:r>
            <w:r>
              <w:rPr>
                <w:rFonts w:hint="eastAsia" w:ascii="仿宋" w:hAnsi="仿宋" w:eastAsia="仿宋" w:cs="仿宋"/>
                <w:color w:val="000000"/>
                <w:sz w:val="24"/>
                <w:highlight w:val="none"/>
                <w:lang w:bidi="ar"/>
              </w:rPr>
              <w:t>支持诊毕时确定传染病同时报卡，允许传染病报卡的补报。</w:t>
            </w:r>
            <w:r>
              <w:rPr>
                <w:rFonts w:hint="eastAsia" w:ascii="仿宋" w:hAnsi="仿宋" w:eastAsia="仿宋" w:cs="仿宋"/>
                <w:color w:val="000000"/>
                <w:sz w:val="24"/>
                <w:highlight w:val="none"/>
                <w:lang w:bidi="ar"/>
              </w:rPr>
              <w:br w:type="textWrapping"/>
            </w:r>
            <w:r>
              <w:rPr>
                <w:rFonts w:hint="eastAsia" w:ascii="仿宋" w:hAnsi="仿宋" w:eastAsia="仿宋" w:cs="仿宋"/>
                <w:color w:val="000000"/>
                <w:sz w:val="24"/>
                <w:highlight w:val="none"/>
                <w:lang w:bidi="ar"/>
              </w:rPr>
              <w:t>支持诊毕时确定慢性病病人同时报卡。</w:t>
            </w:r>
          </w:p>
        </w:tc>
      </w:tr>
      <w:tr w14:paraId="23933107">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5574E5BC">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11</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41C97C0E">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57363364">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52CB8C70">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费用管理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6174B920">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支持收费、退费、打印报销凭证、结账、统计。</w:t>
            </w:r>
          </w:p>
        </w:tc>
      </w:tr>
      <w:tr w14:paraId="55DB52A5">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3871068D">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12</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4C48564E">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0134075E">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07708708">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查询统计</w:t>
            </w:r>
          </w:p>
        </w:tc>
        <w:tc>
          <w:tcPr>
            <w:tcW w:w="2866" w:type="pct"/>
            <w:tcBorders>
              <w:top w:val="single" w:color="000000" w:sz="4" w:space="0"/>
              <w:left w:val="single" w:color="000000" w:sz="4" w:space="0"/>
              <w:bottom w:val="single" w:color="000000" w:sz="4" w:space="0"/>
              <w:right w:val="single" w:color="000000" w:sz="4" w:space="0"/>
            </w:tcBorders>
            <w:vAlign w:val="center"/>
          </w:tcPr>
          <w:p w14:paraId="2D1A5E13">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支持查询分析、统计报表。</w:t>
            </w:r>
          </w:p>
        </w:tc>
      </w:tr>
      <w:tr w14:paraId="494A77BA">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7E3311B0">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13</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65DAFA06">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9FF3B26">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02D57DDB">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药品管理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2F112D1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支持管理药库、门诊药房、中药房等信息。</w:t>
            </w:r>
          </w:p>
        </w:tc>
      </w:tr>
      <w:tr w14:paraId="04DE39A1">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3B7F6A61">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14</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1AD94917">
            <w:pPr>
              <w:spacing w:line="360" w:lineRule="auto"/>
              <w:jc w:val="center"/>
              <w:rPr>
                <w:rFonts w:ascii="仿宋" w:hAnsi="仿宋" w:eastAsia="仿宋" w:cs="仿宋"/>
                <w:color w:val="000000"/>
                <w:sz w:val="24"/>
                <w:highlight w:val="none"/>
              </w:rPr>
            </w:pPr>
          </w:p>
        </w:tc>
        <w:tc>
          <w:tcPr>
            <w:tcW w:w="615" w:type="pct"/>
            <w:vMerge w:val="restart"/>
            <w:tcBorders>
              <w:top w:val="single" w:color="000000" w:sz="4" w:space="0"/>
              <w:left w:val="single" w:color="000000" w:sz="4" w:space="0"/>
              <w:bottom w:val="single" w:color="000000" w:sz="4" w:space="0"/>
              <w:right w:val="single" w:color="000000" w:sz="4" w:space="0"/>
            </w:tcBorders>
            <w:vAlign w:val="center"/>
          </w:tcPr>
          <w:p w14:paraId="2E74A8B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住院业务相关</w:t>
            </w:r>
          </w:p>
        </w:tc>
        <w:tc>
          <w:tcPr>
            <w:tcW w:w="646" w:type="pct"/>
            <w:tcBorders>
              <w:top w:val="single" w:color="000000" w:sz="4" w:space="0"/>
              <w:left w:val="single" w:color="000000" w:sz="4" w:space="0"/>
              <w:bottom w:val="single" w:color="000000" w:sz="4" w:space="0"/>
              <w:right w:val="single" w:color="000000" w:sz="4" w:space="0"/>
            </w:tcBorders>
            <w:vAlign w:val="center"/>
          </w:tcPr>
          <w:p w14:paraId="2B3C18C8">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入出院管理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61AB5F33">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支持病人入院登记、预交款缴纳、欠费催缴、出院结算。支持病人费用补记、住院撤销、中途结账。</w:t>
            </w:r>
          </w:p>
        </w:tc>
      </w:tr>
      <w:tr w14:paraId="2E57C860">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701FE64A">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15</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188688C9">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A921AAE">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6066D421">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住院护士工作站</w:t>
            </w:r>
          </w:p>
        </w:tc>
        <w:tc>
          <w:tcPr>
            <w:tcW w:w="2866" w:type="pct"/>
            <w:tcBorders>
              <w:top w:val="single" w:color="000000" w:sz="4" w:space="0"/>
              <w:left w:val="single" w:color="000000" w:sz="4" w:space="0"/>
              <w:bottom w:val="single" w:color="000000" w:sz="4" w:space="0"/>
              <w:right w:val="single" w:color="000000" w:sz="4" w:space="0"/>
            </w:tcBorders>
            <w:vAlign w:val="center"/>
          </w:tcPr>
          <w:p w14:paraId="5EC1D082">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支持医嘱执行、护理相关、围手术期管理、病人管理、费用管理。</w:t>
            </w:r>
          </w:p>
        </w:tc>
      </w:tr>
      <w:tr w14:paraId="65CDF763">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5F7B3550">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16</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74E3B0E7">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403259C7">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0D50ECB8">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住院医生站</w:t>
            </w:r>
          </w:p>
        </w:tc>
        <w:tc>
          <w:tcPr>
            <w:tcW w:w="2866" w:type="pct"/>
            <w:tcBorders>
              <w:top w:val="single" w:color="000000" w:sz="4" w:space="0"/>
              <w:left w:val="single" w:color="000000" w:sz="4" w:space="0"/>
              <w:bottom w:val="single" w:color="000000" w:sz="4" w:space="0"/>
              <w:right w:val="single" w:color="000000" w:sz="4" w:space="0"/>
            </w:tcBorders>
            <w:vAlign w:val="center"/>
          </w:tcPr>
          <w:p w14:paraId="7C28EBE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支持处理诊断、处方、检查、检验、治疗处置、手术、护理、卫生材料以及会诊、转科、出院等信息。</w:t>
            </w:r>
          </w:p>
        </w:tc>
      </w:tr>
      <w:tr w14:paraId="63FED34C">
        <w:tblPrEx>
          <w:tblCellMar>
            <w:top w:w="0" w:type="dxa"/>
            <w:left w:w="108" w:type="dxa"/>
            <w:bottom w:w="0" w:type="dxa"/>
            <w:right w:w="108" w:type="dxa"/>
          </w:tblCellMar>
        </w:tblPrEx>
        <w:trPr>
          <w:trHeight w:val="84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4546196">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17</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30F46531">
            <w:pPr>
              <w:spacing w:line="360" w:lineRule="auto"/>
              <w:jc w:val="center"/>
              <w:rPr>
                <w:rFonts w:ascii="仿宋" w:hAnsi="仿宋" w:eastAsia="仿宋" w:cs="仿宋"/>
                <w:color w:val="000000"/>
                <w:sz w:val="24"/>
                <w:highlight w:val="none"/>
              </w:rPr>
            </w:pPr>
          </w:p>
        </w:tc>
        <w:tc>
          <w:tcPr>
            <w:tcW w:w="615" w:type="pct"/>
            <w:vMerge w:val="restart"/>
            <w:tcBorders>
              <w:top w:val="single" w:color="000000" w:sz="4" w:space="0"/>
              <w:left w:val="single" w:color="000000" w:sz="4" w:space="0"/>
              <w:bottom w:val="single" w:color="000000" w:sz="4" w:space="0"/>
              <w:right w:val="single" w:color="000000" w:sz="4" w:space="0"/>
            </w:tcBorders>
            <w:vAlign w:val="center"/>
          </w:tcPr>
          <w:p w14:paraId="112DFDDE">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运营管理</w:t>
            </w:r>
          </w:p>
        </w:tc>
        <w:tc>
          <w:tcPr>
            <w:tcW w:w="646" w:type="pct"/>
            <w:tcBorders>
              <w:top w:val="single" w:color="000000" w:sz="4" w:space="0"/>
              <w:left w:val="single" w:color="000000" w:sz="4" w:space="0"/>
              <w:bottom w:val="single" w:color="000000" w:sz="4" w:space="0"/>
              <w:right w:val="single" w:color="000000" w:sz="4" w:space="0"/>
            </w:tcBorders>
            <w:vAlign w:val="center"/>
          </w:tcPr>
          <w:p w14:paraId="23940B1A">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药库管理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0C721DA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支持药品（耗材）目录管理、采购计划管理、药品账册管理、药品单据管理、药品质量管理、药品（耗材）库存管理、材料（耗材）管理、疫苗房管理。</w:t>
            </w:r>
          </w:p>
        </w:tc>
      </w:tr>
      <w:tr w14:paraId="4EBD5CB0">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0DC377A">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18</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31C36388">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1AF8C89">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194D542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药房管理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1426A56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支持门诊/住院发药管理。</w:t>
            </w:r>
          </w:p>
        </w:tc>
      </w:tr>
      <w:tr w14:paraId="20B2A367">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5FEE5137">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19</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243D2458">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12884E2A">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211DFFDB">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物资管理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10BB856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支持新物资申购、日常耗材的领用、相关信息的查询。</w:t>
            </w:r>
          </w:p>
        </w:tc>
      </w:tr>
      <w:tr w14:paraId="4649A5B8">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4D1A1002">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20</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14B8F818">
            <w:pPr>
              <w:spacing w:line="360" w:lineRule="auto"/>
              <w:jc w:val="center"/>
              <w:rPr>
                <w:rFonts w:ascii="仿宋" w:hAnsi="仿宋" w:eastAsia="仿宋" w:cs="仿宋"/>
                <w:color w:val="000000"/>
                <w:sz w:val="24"/>
                <w:highlight w:val="none"/>
              </w:rPr>
            </w:pPr>
          </w:p>
        </w:tc>
        <w:tc>
          <w:tcPr>
            <w:tcW w:w="615" w:type="pct"/>
            <w:vMerge w:val="continue"/>
            <w:tcBorders>
              <w:top w:val="single" w:color="000000" w:sz="4" w:space="0"/>
              <w:left w:val="single" w:color="000000" w:sz="4" w:space="0"/>
              <w:bottom w:val="single" w:color="000000" w:sz="4" w:space="0"/>
              <w:right w:val="single" w:color="000000" w:sz="4" w:space="0"/>
            </w:tcBorders>
            <w:vAlign w:val="center"/>
          </w:tcPr>
          <w:p w14:paraId="7F73C77B">
            <w:pPr>
              <w:spacing w:line="360" w:lineRule="auto"/>
              <w:rPr>
                <w:rFonts w:ascii="仿宋" w:hAnsi="仿宋" w:eastAsia="仿宋" w:cs="仿宋"/>
                <w:color w:val="000000"/>
                <w:sz w:val="24"/>
                <w:highlight w:val="none"/>
              </w:rPr>
            </w:pPr>
          </w:p>
        </w:tc>
        <w:tc>
          <w:tcPr>
            <w:tcW w:w="646" w:type="pct"/>
            <w:tcBorders>
              <w:top w:val="single" w:color="000000" w:sz="4" w:space="0"/>
              <w:left w:val="single" w:color="000000" w:sz="4" w:space="0"/>
              <w:bottom w:val="single" w:color="000000" w:sz="4" w:space="0"/>
              <w:right w:val="single" w:color="000000" w:sz="4" w:space="0"/>
            </w:tcBorders>
            <w:vAlign w:val="center"/>
          </w:tcPr>
          <w:p w14:paraId="70CA3C1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财务管理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35BE8FCC">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支持汇总生成门诊、住院、病区、财务、人事、药剂等统计数据。</w:t>
            </w:r>
          </w:p>
        </w:tc>
      </w:tr>
      <w:tr w14:paraId="592CAE40">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14EB3BD">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21</w:t>
            </w:r>
          </w:p>
        </w:tc>
        <w:tc>
          <w:tcPr>
            <w:tcW w:w="449" w:type="pct"/>
            <w:vMerge w:val="restart"/>
            <w:tcBorders>
              <w:top w:val="single" w:color="000000" w:sz="4" w:space="0"/>
              <w:left w:val="single" w:color="000000" w:sz="4" w:space="0"/>
              <w:bottom w:val="single" w:color="000000" w:sz="4" w:space="0"/>
              <w:right w:val="single" w:color="000000" w:sz="4" w:space="0"/>
            </w:tcBorders>
            <w:vAlign w:val="center"/>
          </w:tcPr>
          <w:p w14:paraId="593AB591">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云公共卫生系统</w:t>
            </w:r>
          </w:p>
        </w:tc>
        <w:tc>
          <w:tcPr>
            <w:tcW w:w="1261" w:type="pct"/>
            <w:gridSpan w:val="2"/>
            <w:tcBorders>
              <w:top w:val="single" w:color="000000" w:sz="4" w:space="0"/>
              <w:left w:val="single" w:color="000000" w:sz="4" w:space="0"/>
              <w:bottom w:val="single" w:color="000000" w:sz="4" w:space="0"/>
              <w:right w:val="single" w:color="000000" w:sz="4" w:space="0"/>
            </w:tcBorders>
            <w:vAlign w:val="center"/>
          </w:tcPr>
          <w:p w14:paraId="2FAFC42C">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健康档案管理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3FBC3140">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支持居民健康档案管理、居民档案迁移、档案信息变更、档案委托管理、死亡登记。</w:t>
            </w:r>
          </w:p>
        </w:tc>
      </w:tr>
      <w:tr w14:paraId="5D1A33D2">
        <w:tblPrEx>
          <w:tblCellMar>
            <w:top w:w="0" w:type="dxa"/>
            <w:left w:w="108" w:type="dxa"/>
            <w:bottom w:w="0" w:type="dxa"/>
            <w:right w:w="108" w:type="dxa"/>
          </w:tblCellMar>
        </w:tblPrEx>
        <w:trPr>
          <w:trHeight w:val="28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09BBCCC2">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22</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3F49C2BE">
            <w:pPr>
              <w:spacing w:line="360" w:lineRule="auto"/>
              <w:jc w:val="center"/>
              <w:rPr>
                <w:rFonts w:ascii="仿宋" w:hAnsi="仿宋" w:eastAsia="仿宋" w:cs="仿宋"/>
                <w:color w:val="000000"/>
                <w:sz w:val="24"/>
                <w:highlight w:val="none"/>
              </w:rPr>
            </w:pPr>
          </w:p>
        </w:tc>
        <w:tc>
          <w:tcPr>
            <w:tcW w:w="1261" w:type="pct"/>
            <w:gridSpan w:val="2"/>
            <w:tcBorders>
              <w:top w:val="single" w:color="000000" w:sz="4" w:space="0"/>
              <w:left w:val="single" w:color="000000" w:sz="4" w:space="0"/>
              <w:bottom w:val="single" w:color="000000" w:sz="4" w:space="0"/>
              <w:right w:val="single" w:color="000000" w:sz="4" w:space="0"/>
            </w:tcBorders>
            <w:vAlign w:val="center"/>
          </w:tcPr>
          <w:p w14:paraId="359D3A88">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健康教育</w:t>
            </w:r>
          </w:p>
        </w:tc>
        <w:tc>
          <w:tcPr>
            <w:tcW w:w="2866" w:type="pct"/>
            <w:tcBorders>
              <w:top w:val="single" w:color="000000" w:sz="4" w:space="0"/>
              <w:left w:val="single" w:color="000000" w:sz="4" w:space="0"/>
              <w:bottom w:val="single" w:color="000000" w:sz="4" w:space="0"/>
              <w:right w:val="single" w:color="000000" w:sz="4" w:space="0"/>
            </w:tcBorders>
            <w:vAlign w:val="center"/>
          </w:tcPr>
          <w:p w14:paraId="714543D7">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支持健康宣教、健康活动管理。</w:t>
            </w:r>
          </w:p>
        </w:tc>
      </w:tr>
      <w:tr w14:paraId="740186CA">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8636EC6">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23</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46F8223C">
            <w:pPr>
              <w:spacing w:line="360" w:lineRule="auto"/>
              <w:jc w:val="center"/>
              <w:rPr>
                <w:rFonts w:ascii="仿宋" w:hAnsi="仿宋" w:eastAsia="仿宋" w:cs="仿宋"/>
                <w:color w:val="000000"/>
                <w:sz w:val="24"/>
                <w:highlight w:val="none"/>
              </w:rPr>
            </w:pPr>
          </w:p>
        </w:tc>
        <w:tc>
          <w:tcPr>
            <w:tcW w:w="1261" w:type="pct"/>
            <w:gridSpan w:val="2"/>
            <w:tcBorders>
              <w:top w:val="single" w:color="000000" w:sz="4" w:space="0"/>
              <w:left w:val="single" w:color="000000" w:sz="4" w:space="0"/>
              <w:bottom w:val="single" w:color="000000" w:sz="4" w:space="0"/>
              <w:right w:val="single" w:color="000000" w:sz="4" w:space="0"/>
            </w:tcBorders>
            <w:vAlign w:val="center"/>
          </w:tcPr>
          <w:p w14:paraId="015DFAA8">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老年人管理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0AA52017">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支持老年人健康管理服务，包括生活方式和健康状况评估、体格检查、辅助检查和健康指导。</w:t>
            </w:r>
          </w:p>
        </w:tc>
      </w:tr>
      <w:tr w14:paraId="545407CC">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066F6713">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24</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6526284A">
            <w:pPr>
              <w:spacing w:line="360" w:lineRule="auto"/>
              <w:jc w:val="center"/>
              <w:rPr>
                <w:rFonts w:ascii="仿宋" w:hAnsi="仿宋" w:eastAsia="仿宋" w:cs="仿宋"/>
                <w:color w:val="000000"/>
                <w:sz w:val="24"/>
                <w:highlight w:val="none"/>
              </w:rPr>
            </w:pPr>
          </w:p>
        </w:tc>
        <w:tc>
          <w:tcPr>
            <w:tcW w:w="1261" w:type="pct"/>
            <w:gridSpan w:val="2"/>
            <w:tcBorders>
              <w:top w:val="single" w:color="000000" w:sz="4" w:space="0"/>
              <w:left w:val="single" w:color="000000" w:sz="4" w:space="0"/>
              <w:bottom w:val="single" w:color="000000" w:sz="4" w:space="0"/>
              <w:right w:val="single" w:color="000000" w:sz="4" w:space="0"/>
            </w:tcBorders>
            <w:vAlign w:val="center"/>
          </w:tcPr>
          <w:p w14:paraId="45A0EF76">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高血压</w:t>
            </w:r>
          </w:p>
        </w:tc>
        <w:tc>
          <w:tcPr>
            <w:tcW w:w="2866" w:type="pct"/>
            <w:tcBorders>
              <w:top w:val="single" w:color="000000" w:sz="4" w:space="0"/>
              <w:left w:val="single" w:color="000000" w:sz="4" w:space="0"/>
              <w:bottom w:val="single" w:color="000000" w:sz="4" w:space="0"/>
              <w:right w:val="single" w:color="000000" w:sz="4" w:space="0"/>
            </w:tcBorders>
            <w:vAlign w:val="center"/>
          </w:tcPr>
          <w:p w14:paraId="2B1E03B4">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支持对社区内患高血压的特殊居民建立管理档案，进行动态跟踪服务。</w:t>
            </w:r>
          </w:p>
        </w:tc>
      </w:tr>
      <w:tr w14:paraId="4C81B512">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20982B92">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25</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3145E866">
            <w:pPr>
              <w:spacing w:line="360" w:lineRule="auto"/>
              <w:jc w:val="center"/>
              <w:rPr>
                <w:rFonts w:ascii="仿宋" w:hAnsi="仿宋" w:eastAsia="仿宋" w:cs="仿宋"/>
                <w:color w:val="000000"/>
                <w:sz w:val="24"/>
                <w:highlight w:val="none"/>
              </w:rPr>
            </w:pPr>
          </w:p>
        </w:tc>
        <w:tc>
          <w:tcPr>
            <w:tcW w:w="1261" w:type="pct"/>
            <w:gridSpan w:val="2"/>
            <w:tcBorders>
              <w:top w:val="single" w:color="000000" w:sz="4" w:space="0"/>
              <w:left w:val="single" w:color="000000" w:sz="4" w:space="0"/>
              <w:bottom w:val="single" w:color="000000" w:sz="4" w:space="0"/>
              <w:right w:val="single" w:color="000000" w:sz="4" w:space="0"/>
            </w:tcBorders>
            <w:vAlign w:val="center"/>
          </w:tcPr>
          <w:p w14:paraId="74FC534C">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2型糖尿病</w:t>
            </w:r>
          </w:p>
        </w:tc>
        <w:tc>
          <w:tcPr>
            <w:tcW w:w="2866" w:type="pct"/>
            <w:tcBorders>
              <w:top w:val="single" w:color="000000" w:sz="4" w:space="0"/>
              <w:left w:val="single" w:color="000000" w:sz="4" w:space="0"/>
              <w:bottom w:val="single" w:color="000000" w:sz="4" w:space="0"/>
              <w:right w:val="single" w:color="000000" w:sz="4" w:space="0"/>
            </w:tcBorders>
            <w:vAlign w:val="center"/>
          </w:tcPr>
          <w:p w14:paraId="7FDDEC09">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支持对社区内患糖尿病的特殊居民建立管理档案，进行动态跟踪服务。</w:t>
            </w:r>
          </w:p>
        </w:tc>
      </w:tr>
      <w:tr w14:paraId="3E77D23F">
        <w:tblPrEx>
          <w:tblCellMar>
            <w:top w:w="0" w:type="dxa"/>
            <w:left w:w="108" w:type="dxa"/>
            <w:bottom w:w="0" w:type="dxa"/>
            <w:right w:w="108" w:type="dxa"/>
          </w:tblCellMar>
        </w:tblPrEx>
        <w:trPr>
          <w:trHeight w:val="84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231CDFC2">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26</w:t>
            </w:r>
          </w:p>
        </w:tc>
        <w:tc>
          <w:tcPr>
            <w:tcW w:w="449" w:type="pct"/>
            <w:vMerge w:val="continue"/>
            <w:tcBorders>
              <w:top w:val="single" w:color="000000" w:sz="4" w:space="0"/>
              <w:left w:val="single" w:color="000000" w:sz="4" w:space="0"/>
              <w:bottom w:val="single" w:color="000000" w:sz="4" w:space="0"/>
              <w:right w:val="single" w:color="000000" w:sz="4" w:space="0"/>
            </w:tcBorders>
            <w:vAlign w:val="center"/>
          </w:tcPr>
          <w:p w14:paraId="4B9371A8">
            <w:pPr>
              <w:spacing w:line="360" w:lineRule="auto"/>
              <w:jc w:val="center"/>
              <w:rPr>
                <w:rFonts w:ascii="仿宋" w:hAnsi="仿宋" w:eastAsia="仿宋" w:cs="仿宋"/>
                <w:color w:val="000000"/>
                <w:sz w:val="24"/>
                <w:highlight w:val="none"/>
              </w:rPr>
            </w:pPr>
          </w:p>
        </w:tc>
        <w:tc>
          <w:tcPr>
            <w:tcW w:w="1261" w:type="pct"/>
            <w:gridSpan w:val="2"/>
            <w:tcBorders>
              <w:top w:val="single" w:color="000000" w:sz="4" w:space="0"/>
              <w:left w:val="single" w:color="000000" w:sz="4" w:space="0"/>
              <w:bottom w:val="single" w:color="000000" w:sz="4" w:space="0"/>
              <w:right w:val="single" w:color="000000" w:sz="4" w:space="0"/>
            </w:tcBorders>
            <w:vAlign w:val="center"/>
          </w:tcPr>
          <w:p w14:paraId="70341396">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其他慢病管理</w:t>
            </w:r>
          </w:p>
        </w:tc>
        <w:tc>
          <w:tcPr>
            <w:tcW w:w="2866" w:type="pct"/>
            <w:tcBorders>
              <w:top w:val="single" w:color="000000" w:sz="4" w:space="0"/>
              <w:left w:val="single" w:color="000000" w:sz="4" w:space="0"/>
              <w:bottom w:val="single" w:color="000000" w:sz="4" w:space="0"/>
              <w:right w:val="single" w:color="000000" w:sz="4" w:space="0"/>
            </w:tcBorders>
            <w:vAlign w:val="center"/>
          </w:tcPr>
          <w:p w14:paraId="6E7F41BB">
            <w:pPr>
              <w:spacing w:line="360" w:lineRule="auto"/>
              <w:textAlignment w:val="center"/>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支持慢病管理、疾病工作台、报卡上报、漏报检测。</w:t>
            </w:r>
          </w:p>
          <w:p w14:paraId="2CA405C7">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支持报告卡审核管理、随访管理和下发复核。</w:t>
            </w:r>
          </w:p>
        </w:tc>
      </w:tr>
      <w:tr w14:paraId="6A9F8327">
        <w:tblPrEx>
          <w:tblCellMar>
            <w:top w:w="0" w:type="dxa"/>
            <w:left w:w="108" w:type="dxa"/>
            <w:bottom w:w="0" w:type="dxa"/>
            <w:right w:w="108" w:type="dxa"/>
          </w:tblCellMar>
        </w:tblPrEx>
        <w:trPr>
          <w:trHeight w:val="84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1F6CB2AD">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27</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7840B9C9">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云EMR系统</w:t>
            </w:r>
          </w:p>
        </w:tc>
        <w:tc>
          <w:tcPr>
            <w:tcW w:w="2866" w:type="pct"/>
            <w:tcBorders>
              <w:top w:val="single" w:color="000000" w:sz="4" w:space="0"/>
              <w:left w:val="single" w:color="000000" w:sz="4" w:space="0"/>
              <w:bottom w:val="single" w:color="000000" w:sz="4" w:space="0"/>
              <w:right w:val="single" w:color="000000" w:sz="4" w:space="0"/>
            </w:tcBorders>
            <w:vAlign w:val="center"/>
          </w:tcPr>
          <w:p w14:paraId="3A870DED">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支持病历系统维护、全局模板管理、医院模板管理、病历书写、病历一览、体温单、电子病历质控管理、病历权限管理、电子病历集成视图、病案管理。</w:t>
            </w:r>
          </w:p>
        </w:tc>
      </w:tr>
      <w:tr w14:paraId="60E82B43">
        <w:tblPrEx>
          <w:tblCellMar>
            <w:top w:w="0" w:type="dxa"/>
            <w:left w:w="108" w:type="dxa"/>
            <w:bottom w:w="0" w:type="dxa"/>
            <w:right w:w="108" w:type="dxa"/>
          </w:tblCellMar>
        </w:tblPrEx>
        <w:trPr>
          <w:trHeight w:val="84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7F22E35F">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28</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42340A23">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家庭医生签约系统</w:t>
            </w:r>
          </w:p>
        </w:tc>
        <w:tc>
          <w:tcPr>
            <w:tcW w:w="2866" w:type="pct"/>
            <w:tcBorders>
              <w:top w:val="single" w:color="000000" w:sz="4" w:space="0"/>
              <w:left w:val="single" w:color="000000" w:sz="4" w:space="0"/>
              <w:bottom w:val="single" w:color="000000" w:sz="4" w:space="0"/>
              <w:right w:val="single" w:color="000000" w:sz="4" w:space="0"/>
            </w:tcBorders>
            <w:vAlign w:val="center"/>
          </w:tcPr>
          <w:p w14:paraId="3C79E3E5">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支持签约模板维护、团队维护、服务包维护、家庭医生签约、家庭医生履约、履约查询、家庭医生续约、慢性病随访系统、统计分析。</w:t>
            </w:r>
          </w:p>
        </w:tc>
      </w:tr>
      <w:tr w14:paraId="45E97FBF">
        <w:tblPrEx>
          <w:tblCellMar>
            <w:top w:w="0" w:type="dxa"/>
            <w:left w:w="108" w:type="dxa"/>
            <w:bottom w:w="0" w:type="dxa"/>
            <w:right w:w="108" w:type="dxa"/>
          </w:tblCellMar>
        </w:tblPrEx>
        <w:trPr>
          <w:trHeight w:val="112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78149C81">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29</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2ECFADB9">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云LIS系统</w:t>
            </w:r>
          </w:p>
        </w:tc>
        <w:tc>
          <w:tcPr>
            <w:tcW w:w="2866" w:type="pct"/>
            <w:tcBorders>
              <w:top w:val="single" w:color="000000" w:sz="4" w:space="0"/>
              <w:left w:val="single" w:color="000000" w:sz="4" w:space="0"/>
              <w:bottom w:val="single" w:color="000000" w:sz="4" w:space="0"/>
              <w:right w:val="single" w:color="000000" w:sz="4" w:space="0"/>
            </w:tcBorders>
            <w:vAlign w:val="center"/>
          </w:tcPr>
          <w:p w14:paraId="26F132E5">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设备对接、检验标本登记及收费管理、检验结果处理模块、查询及统计管理、报告发布回收及临床调阅、检验条码管理、检验设备条码双工通讯、标本外送管理、检验质控管理、危急值管理。协助相关业务科室完成日常业务操作。</w:t>
            </w:r>
          </w:p>
        </w:tc>
      </w:tr>
      <w:tr w14:paraId="3BD09791">
        <w:tblPrEx>
          <w:tblCellMar>
            <w:top w:w="0" w:type="dxa"/>
            <w:left w:w="108" w:type="dxa"/>
            <w:bottom w:w="0" w:type="dxa"/>
            <w:right w:w="108" w:type="dxa"/>
          </w:tblCellMar>
        </w:tblPrEx>
        <w:trPr>
          <w:trHeight w:val="56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0919DC0A">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30</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61EA71E9">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云PACS系统</w:t>
            </w:r>
          </w:p>
        </w:tc>
        <w:tc>
          <w:tcPr>
            <w:tcW w:w="2866" w:type="pct"/>
            <w:tcBorders>
              <w:top w:val="single" w:color="000000" w:sz="4" w:space="0"/>
              <w:left w:val="single" w:color="000000" w:sz="4" w:space="0"/>
              <w:bottom w:val="single" w:color="000000" w:sz="4" w:space="0"/>
              <w:right w:val="single" w:color="000000" w:sz="4" w:space="0"/>
            </w:tcBorders>
            <w:vAlign w:val="center"/>
          </w:tcPr>
          <w:p w14:paraId="35EC92B3">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支持基层PACS、放射信息系统、超声信息系统、心电信息系统、医技预约平台。协助相关业务科室完成日常业务操作。</w:t>
            </w:r>
          </w:p>
        </w:tc>
      </w:tr>
      <w:tr w14:paraId="44F0BC50">
        <w:tblPrEx>
          <w:tblCellMar>
            <w:top w:w="0" w:type="dxa"/>
            <w:left w:w="108" w:type="dxa"/>
            <w:bottom w:w="0" w:type="dxa"/>
            <w:right w:w="108" w:type="dxa"/>
          </w:tblCellMar>
        </w:tblPrEx>
        <w:trPr>
          <w:trHeight w:val="840" w:hRule="atLeast"/>
        </w:trPr>
        <w:tc>
          <w:tcPr>
            <w:tcW w:w="424" w:type="pct"/>
            <w:tcBorders>
              <w:top w:val="single" w:color="000000" w:sz="4" w:space="0"/>
              <w:left w:val="single" w:color="000000" w:sz="4" w:space="0"/>
              <w:bottom w:val="single" w:color="000000" w:sz="4" w:space="0"/>
              <w:right w:val="single" w:color="000000" w:sz="4" w:space="0"/>
            </w:tcBorders>
            <w:vAlign w:val="center"/>
          </w:tcPr>
          <w:p w14:paraId="6EC02637">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rPr>
              <w:t>31</w:t>
            </w:r>
          </w:p>
        </w:tc>
        <w:tc>
          <w:tcPr>
            <w:tcW w:w="1709" w:type="pct"/>
            <w:gridSpan w:val="3"/>
            <w:tcBorders>
              <w:top w:val="single" w:color="000000" w:sz="4" w:space="0"/>
              <w:left w:val="single" w:color="000000" w:sz="4" w:space="0"/>
              <w:bottom w:val="single" w:color="000000" w:sz="4" w:space="0"/>
              <w:right w:val="single" w:color="000000" w:sz="4" w:space="0"/>
            </w:tcBorders>
            <w:vAlign w:val="center"/>
          </w:tcPr>
          <w:p w14:paraId="5C58AE34">
            <w:pPr>
              <w:spacing w:line="360" w:lineRule="auto"/>
              <w:jc w:val="center"/>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基层云体检系统</w:t>
            </w:r>
          </w:p>
        </w:tc>
        <w:tc>
          <w:tcPr>
            <w:tcW w:w="2866" w:type="pct"/>
            <w:tcBorders>
              <w:top w:val="single" w:color="000000" w:sz="4" w:space="0"/>
              <w:left w:val="single" w:color="000000" w:sz="4" w:space="0"/>
              <w:bottom w:val="single" w:color="000000" w:sz="4" w:space="0"/>
              <w:right w:val="single" w:color="000000" w:sz="4" w:space="0"/>
            </w:tcBorders>
            <w:vAlign w:val="center"/>
          </w:tcPr>
          <w:p w14:paraId="484C8B32">
            <w:pPr>
              <w:spacing w:line="360" w:lineRule="auto"/>
              <w:textAlignment w:val="center"/>
              <w:rPr>
                <w:rFonts w:ascii="仿宋" w:hAnsi="仿宋" w:eastAsia="仿宋" w:cs="仿宋"/>
                <w:color w:val="000000"/>
                <w:sz w:val="24"/>
                <w:highlight w:val="none"/>
              </w:rPr>
            </w:pPr>
            <w:r>
              <w:rPr>
                <w:rFonts w:hint="eastAsia" w:ascii="仿宋" w:hAnsi="仿宋" w:eastAsia="仿宋" w:cs="仿宋"/>
                <w:color w:val="000000"/>
                <w:sz w:val="24"/>
                <w:highlight w:val="none"/>
                <w:lang w:bidi="ar"/>
              </w:rPr>
              <w:t>支持体检预约、前台管理、财务收费、信息录入、基础信息设置、知识库管理、体检分析、检后服务。协助相关业务科室完成日常业务操作。</w:t>
            </w:r>
          </w:p>
        </w:tc>
      </w:tr>
    </w:tbl>
    <w:p w14:paraId="0B90F9C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2.3基层系统对接改造</w:t>
      </w:r>
    </w:p>
    <w:tbl>
      <w:tblPr>
        <w:tblStyle w:val="3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3054"/>
        <w:gridCol w:w="4289"/>
      </w:tblGrid>
      <w:tr w14:paraId="21EB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689" w:type="pct"/>
            <w:noWrap/>
            <w:vAlign w:val="center"/>
          </w:tcPr>
          <w:p w14:paraId="7B9AD754">
            <w:pPr>
              <w:pStyle w:val="52"/>
              <w:spacing w:line="360" w:lineRule="auto"/>
              <w:ind w:left="0"/>
              <w:jc w:val="center"/>
              <w:rPr>
                <w:rFonts w:ascii="仿宋" w:hAnsi="仿宋" w:eastAsia="仿宋" w:cs="仿宋"/>
                <w:sz w:val="24"/>
                <w:highlight w:val="none"/>
              </w:rPr>
            </w:pPr>
            <w:r>
              <w:rPr>
                <w:rFonts w:hint="eastAsia" w:ascii="仿宋" w:hAnsi="仿宋" w:eastAsia="仿宋" w:cs="仿宋"/>
                <w:color w:val="000000"/>
                <w:sz w:val="24"/>
                <w:highlight w:val="none"/>
                <w:lang w:bidi="ar"/>
              </w:rPr>
              <w:t>序号</w:t>
            </w:r>
          </w:p>
        </w:tc>
        <w:tc>
          <w:tcPr>
            <w:tcW w:w="1793" w:type="pct"/>
            <w:vAlign w:val="center"/>
          </w:tcPr>
          <w:p w14:paraId="6319234B">
            <w:pPr>
              <w:pStyle w:val="52"/>
              <w:spacing w:line="360" w:lineRule="auto"/>
              <w:jc w:val="center"/>
              <w:rPr>
                <w:rFonts w:ascii="仿宋" w:hAnsi="仿宋" w:eastAsia="仿宋" w:cs="仿宋"/>
                <w:sz w:val="24"/>
                <w:highlight w:val="none"/>
              </w:rPr>
            </w:pPr>
            <w:r>
              <w:rPr>
                <w:rFonts w:hint="eastAsia" w:ascii="仿宋" w:hAnsi="仿宋" w:eastAsia="仿宋" w:cs="仿宋"/>
                <w:color w:val="000000"/>
                <w:sz w:val="24"/>
                <w:highlight w:val="none"/>
                <w:lang w:bidi="ar"/>
              </w:rPr>
              <w:t>功能模块</w:t>
            </w:r>
          </w:p>
        </w:tc>
        <w:tc>
          <w:tcPr>
            <w:tcW w:w="2518" w:type="pct"/>
            <w:vAlign w:val="center"/>
          </w:tcPr>
          <w:p w14:paraId="2061AC73">
            <w:pPr>
              <w:pStyle w:val="52"/>
              <w:spacing w:line="360" w:lineRule="auto"/>
              <w:ind w:left="0"/>
              <w:jc w:val="center"/>
              <w:rPr>
                <w:rFonts w:ascii="仿宋" w:hAnsi="仿宋" w:eastAsia="仿宋" w:cs="仿宋"/>
                <w:sz w:val="24"/>
                <w:highlight w:val="none"/>
              </w:rPr>
            </w:pPr>
            <w:r>
              <w:rPr>
                <w:rFonts w:hint="eastAsia" w:ascii="仿宋" w:hAnsi="仿宋" w:eastAsia="仿宋" w:cs="仿宋"/>
                <w:color w:val="000000"/>
                <w:sz w:val="24"/>
                <w:highlight w:val="none"/>
                <w:lang w:bidi="ar"/>
              </w:rPr>
              <w:t>技术参数</w:t>
            </w:r>
          </w:p>
        </w:tc>
      </w:tr>
      <w:tr w14:paraId="0C84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9" w:type="pct"/>
            <w:vAlign w:val="center"/>
          </w:tcPr>
          <w:p w14:paraId="7E39C9B2">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1</w:t>
            </w:r>
          </w:p>
        </w:tc>
        <w:tc>
          <w:tcPr>
            <w:tcW w:w="1793" w:type="pct"/>
            <w:vMerge w:val="restart"/>
            <w:vAlign w:val="center"/>
          </w:tcPr>
          <w:p w14:paraId="5AFE19A8">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基层系统与六大中心对接</w:t>
            </w:r>
          </w:p>
        </w:tc>
        <w:tc>
          <w:tcPr>
            <w:tcW w:w="2518" w:type="pct"/>
            <w:vAlign w:val="center"/>
          </w:tcPr>
          <w:p w14:paraId="7E40A4CC">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支持实现双向转诊中心接入</w:t>
            </w:r>
          </w:p>
        </w:tc>
      </w:tr>
      <w:tr w14:paraId="0BD7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9" w:type="pct"/>
            <w:vAlign w:val="center"/>
          </w:tcPr>
          <w:p w14:paraId="072F9772">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2</w:t>
            </w:r>
          </w:p>
        </w:tc>
        <w:tc>
          <w:tcPr>
            <w:tcW w:w="1793" w:type="pct"/>
            <w:vMerge w:val="continue"/>
            <w:vAlign w:val="center"/>
          </w:tcPr>
          <w:p w14:paraId="17955627">
            <w:pPr>
              <w:pStyle w:val="52"/>
              <w:spacing w:line="360" w:lineRule="auto"/>
              <w:jc w:val="center"/>
              <w:rPr>
                <w:rFonts w:ascii="仿宋" w:hAnsi="仿宋" w:eastAsia="仿宋" w:cs="仿宋"/>
                <w:sz w:val="24"/>
                <w:highlight w:val="none"/>
              </w:rPr>
            </w:pPr>
          </w:p>
        </w:tc>
        <w:tc>
          <w:tcPr>
            <w:tcW w:w="2518" w:type="pct"/>
            <w:vAlign w:val="center"/>
          </w:tcPr>
          <w:p w14:paraId="69A3AD6C">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支持实现远程会诊中心接入</w:t>
            </w:r>
          </w:p>
        </w:tc>
      </w:tr>
      <w:tr w14:paraId="328F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9" w:type="pct"/>
            <w:vAlign w:val="center"/>
          </w:tcPr>
          <w:p w14:paraId="5EF3D112">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3</w:t>
            </w:r>
          </w:p>
        </w:tc>
        <w:tc>
          <w:tcPr>
            <w:tcW w:w="1793" w:type="pct"/>
            <w:vMerge w:val="continue"/>
            <w:vAlign w:val="center"/>
          </w:tcPr>
          <w:p w14:paraId="1F212941">
            <w:pPr>
              <w:pStyle w:val="52"/>
              <w:spacing w:line="360" w:lineRule="auto"/>
              <w:jc w:val="center"/>
              <w:rPr>
                <w:rFonts w:ascii="仿宋" w:hAnsi="仿宋" w:eastAsia="仿宋" w:cs="仿宋"/>
                <w:sz w:val="24"/>
                <w:highlight w:val="none"/>
              </w:rPr>
            </w:pPr>
          </w:p>
        </w:tc>
        <w:tc>
          <w:tcPr>
            <w:tcW w:w="2518" w:type="pct"/>
            <w:vAlign w:val="center"/>
          </w:tcPr>
          <w:p w14:paraId="2D70CDA6">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支持实现区域影像中心接入</w:t>
            </w:r>
          </w:p>
        </w:tc>
      </w:tr>
      <w:tr w14:paraId="00EA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9" w:type="pct"/>
            <w:vAlign w:val="center"/>
          </w:tcPr>
          <w:p w14:paraId="013A82A0">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4</w:t>
            </w:r>
          </w:p>
        </w:tc>
        <w:tc>
          <w:tcPr>
            <w:tcW w:w="1793" w:type="pct"/>
            <w:vMerge w:val="continue"/>
            <w:vAlign w:val="center"/>
          </w:tcPr>
          <w:p w14:paraId="09666F9C">
            <w:pPr>
              <w:pStyle w:val="52"/>
              <w:spacing w:line="360" w:lineRule="auto"/>
              <w:jc w:val="center"/>
              <w:rPr>
                <w:rFonts w:ascii="仿宋" w:hAnsi="仿宋" w:eastAsia="仿宋" w:cs="仿宋"/>
                <w:sz w:val="24"/>
                <w:highlight w:val="none"/>
              </w:rPr>
            </w:pPr>
          </w:p>
        </w:tc>
        <w:tc>
          <w:tcPr>
            <w:tcW w:w="2518" w:type="pct"/>
            <w:vAlign w:val="center"/>
          </w:tcPr>
          <w:p w14:paraId="10F06738">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支持实现区域心电中心接入</w:t>
            </w:r>
          </w:p>
        </w:tc>
      </w:tr>
      <w:tr w14:paraId="71B36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9" w:type="pct"/>
            <w:vAlign w:val="center"/>
          </w:tcPr>
          <w:p w14:paraId="73DC5EE2">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5</w:t>
            </w:r>
          </w:p>
        </w:tc>
        <w:tc>
          <w:tcPr>
            <w:tcW w:w="1793" w:type="pct"/>
            <w:vMerge w:val="continue"/>
            <w:vAlign w:val="center"/>
          </w:tcPr>
          <w:p w14:paraId="51C7F838">
            <w:pPr>
              <w:pStyle w:val="52"/>
              <w:spacing w:line="360" w:lineRule="auto"/>
              <w:jc w:val="center"/>
              <w:rPr>
                <w:rFonts w:ascii="仿宋" w:hAnsi="仿宋" w:eastAsia="仿宋" w:cs="仿宋"/>
                <w:sz w:val="24"/>
                <w:highlight w:val="none"/>
              </w:rPr>
            </w:pPr>
          </w:p>
        </w:tc>
        <w:tc>
          <w:tcPr>
            <w:tcW w:w="2518" w:type="pct"/>
            <w:vAlign w:val="center"/>
          </w:tcPr>
          <w:p w14:paraId="4EF66138">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支持实现区域检验中心接入</w:t>
            </w:r>
          </w:p>
        </w:tc>
      </w:tr>
      <w:tr w14:paraId="7BB5E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89" w:type="pct"/>
            <w:vAlign w:val="center"/>
          </w:tcPr>
          <w:p w14:paraId="6A78D26E">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6</w:t>
            </w:r>
          </w:p>
        </w:tc>
        <w:tc>
          <w:tcPr>
            <w:tcW w:w="1793" w:type="pct"/>
            <w:vMerge w:val="continue"/>
            <w:vAlign w:val="center"/>
          </w:tcPr>
          <w:p w14:paraId="01726877">
            <w:pPr>
              <w:pStyle w:val="52"/>
              <w:spacing w:line="360" w:lineRule="auto"/>
              <w:jc w:val="center"/>
              <w:rPr>
                <w:rFonts w:ascii="仿宋" w:hAnsi="仿宋" w:eastAsia="仿宋" w:cs="仿宋"/>
                <w:sz w:val="24"/>
                <w:highlight w:val="none"/>
              </w:rPr>
            </w:pPr>
          </w:p>
        </w:tc>
        <w:tc>
          <w:tcPr>
            <w:tcW w:w="2518" w:type="pct"/>
            <w:vAlign w:val="center"/>
          </w:tcPr>
          <w:p w14:paraId="07B389A4">
            <w:pPr>
              <w:pStyle w:val="52"/>
              <w:spacing w:line="360" w:lineRule="auto"/>
              <w:ind w:left="0"/>
              <w:jc w:val="center"/>
              <w:rPr>
                <w:rFonts w:ascii="仿宋" w:hAnsi="仿宋" w:eastAsia="仿宋" w:cs="仿宋"/>
                <w:sz w:val="24"/>
                <w:highlight w:val="none"/>
              </w:rPr>
            </w:pPr>
            <w:r>
              <w:rPr>
                <w:rFonts w:hint="eastAsia" w:ascii="仿宋" w:hAnsi="仿宋" w:eastAsia="仿宋" w:cs="仿宋"/>
                <w:sz w:val="24"/>
                <w:highlight w:val="none"/>
              </w:rPr>
              <w:t>支持实现区域审方中心接入</w:t>
            </w:r>
          </w:p>
        </w:tc>
      </w:tr>
    </w:tbl>
    <w:p w14:paraId="5CE94A4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2.4基础硬件</w:t>
      </w:r>
    </w:p>
    <w:p w14:paraId="4C3AB16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2.4.1核心交换机</w:t>
      </w:r>
    </w:p>
    <w:p w14:paraId="209192C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★1、交换容量≥160Tbps，包转发率≥36000Mpps，（投标时提供官网证明截图，若官网参数有大小值，取小值）；</w:t>
      </w:r>
    </w:p>
    <w:p w14:paraId="46F494C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▲2、交换机采用国产CPU，符合自主创新要求（投标时提供封面具有CMA或CNAS的第三方检测报告佐证，未提供或不满足均作负偏离处理）；</w:t>
      </w:r>
    </w:p>
    <w:p w14:paraId="24756CB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▲3、交换机支持IPV4/IPV6双栈；支持ERPS环网保护；支持SAVI、动态ARP检测（DAI）、IP源防护（IPSG）功能和安全保护功能（投标时提供封面具有CMA或CNAS的第三方检测报告佐证，未提供或不满足均作负偏离处理）；</w:t>
      </w:r>
    </w:p>
    <w:p w14:paraId="3D61B5F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★4、单台配置：主控板≥2，电源模块≥2，10G光接口≥48，千兆光接口≥48，3年原厂质保。</w:t>
      </w:r>
    </w:p>
    <w:p w14:paraId="4090291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▲5、投标时提供产品进网许可证证书扫描件，并加盖投标人公章，未提供或不满足均作负偏离处理。</w:t>
      </w:r>
    </w:p>
    <w:p w14:paraId="42EA913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2.4.2远程会诊一体机</w:t>
      </w:r>
    </w:p>
    <w:p w14:paraId="5AAC687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1.显示尺寸：≥75英寸4KUHD商用液晶大屏，适配医院会诊室强光环境；</w:t>
      </w:r>
    </w:p>
    <w:p w14:paraId="6DF48DE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2.摄像头：≥4800万像素，120°超广角，AI智能取景、人脸追踪、自动框选参会人员；</w:t>
      </w:r>
    </w:p>
    <w:p w14:paraId="04263DA4">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3.音频拾音：全向阵列麦克风，支持声源定位、自动增益控制（AGC）、AI降噪/回声消除；</w:t>
      </w:r>
    </w:p>
    <w:p w14:paraId="692E058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医疗图像增强：支持医疗会诊专用图形增强技术，支持DICOM模拟显示、影像细节增强、边缘锐化、降噪优化，满足病历/影像远程会诊查看需求（投标时提供封面具有CMA或CNAS的第三方检测报告佐证，未提供或不满足均作负偏离处理）；</w:t>
      </w:r>
    </w:p>
    <w:p w14:paraId="43106F8D">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5.▲医疗影像适配：支持CT/MRI/DR/X光等医疗影像高清显示，色彩还原准确，无偏色、无拖影（投标时提供封面具有CMA或CNAS的第三方检测报告佐证，未提供或不满足均作负偏离处理）。</w:t>
      </w:r>
    </w:p>
    <w:p w14:paraId="5C32134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2.5安全服务</w:t>
      </w:r>
    </w:p>
    <w:p w14:paraId="60D13B4B">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2.5.1防火墙</w:t>
      </w:r>
    </w:p>
    <w:p w14:paraId="746EFF23">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1.★国产品牌，国产化硬件平台、国产化安全操作系统及功能软件组成。</w:t>
      </w:r>
    </w:p>
    <w:p w14:paraId="21B7F5A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2.配置≥8个千兆电口，≥4个千兆光口（含2对Bypass接口），≥2个接口扩展槽；提供RJ45串口≥1个、USB3.0口≥2个、MGT口≥1个、HA口≥1个。</w:t>
      </w:r>
    </w:p>
    <w:p w14:paraId="6DBE68A3">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3.★网络吞吐量≥10Gbps，最大并发连接数≥450万，新建并发连接≥8万/S；IPSec隧道数≥10000个，IPsecVPN吞吐量≥600Mbps，零信任用户≥8个，可支持付费扩展到8000个。</w:t>
      </w:r>
    </w:p>
    <w:p w14:paraId="20CE98AC">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支持微型策略，采用源/目的地址、协议、目的端口、源/目的安全域作为流量的过滤条件、允许（Permit）或拒绝（Deny）作为处理行为的精简化的策略规则，支持配置大规模数量的微型策略，满足更多的策略存储需求（投标时提供产品功能截图及封面具有CMA或CNAS的第三方检测报告佐证，未提供或不满足均作负偏离处理）。</w:t>
      </w:r>
    </w:p>
    <w:p w14:paraId="6EE76312">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支持策略自学习功能，策略助手能够提取命中指定策略ID的流量作为流量数据分析源，生成服务并且根据管理员设置的替换规则、聚合规则优化流量数据，最后自动生成符合管理员期望的安全策略规则；支持对策略助手中统计到的流量信息记录上下行报文数和上下行字节数等信息（投标时提供产品功能截图及封面具有CMA或CNAS的第三方检测报告佐证，未提供或不满足均作负偏离处理）；</w:t>
      </w:r>
    </w:p>
    <w:p w14:paraId="2DEF407F">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6.▲可扩展支持第三方Docker镜像版本的导入和更新，支持第方Docker运行信息查看，支持第三方Docker的停止重启操作（投标时提供产品功能截图及封面具有CMA或CNAS的第三方检测报告佐证，未提供或不满足均作负偏离处理）。</w:t>
      </w:r>
    </w:p>
    <w:p w14:paraId="2989D3B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7.支持主备模式，主主模式，支持同步配置、会话，HA切换不丢包。</w:t>
      </w:r>
    </w:p>
    <w:p w14:paraId="17C1AA1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8.▲支持主备数据中心、双活数据中心组网场景，每个数据中心防火墙HA同步、会话同步、跨数模式部署，同时能实现跨数据中心防火墙的配置据中心异步流量加密传输和转发处理（投标时提供产品功能截图及封面具有CMA或CNAS的第三方检测报告佐证，未提供或不满足均作负偏离处理）。</w:t>
      </w:r>
    </w:p>
    <w:p w14:paraId="561D7046">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2.5.2安全审查</w:t>
      </w:r>
    </w:p>
    <w:p w14:paraId="3030F52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1.服务范围：覆盖系统上线前全流程安全审查，包括源代码安全审计、接口安全审查、数据存储与传输安全审查</w:t>
      </w:r>
    </w:p>
    <w:p w14:paraId="650A5FB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2.代码审计深度：对系统全量源代码进行静态扫描及人工复核，代码覆盖率不低于90%，识别OWASPTop10类漏洞</w:t>
      </w:r>
    </w:p>
    <w:p w14:paraId="3BDB204B">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3.数据安全审查：梳理个人信息、敏感业务数据的采集、存储、流转路径，给出脱敏/加密合规建议</w:t>
      </w:r>
    </w:p>
    <w:p w14:paraId="1242058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4.配置安全检查：对服务器、中间件、数据库等组件进行安全基线核查，输出配置加固清单</w:t>
      </w:r>
    </w:p>
    <w:p w14:paraId="76E533B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5.漏洞风险分级：按高/中/低三级输出漏洞清单，高危漏洞须给出修复方案及复测验证</w:t>
      </w:r>
    </w:p>
    <w:p w14:paraId="45F13B0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6.交付物要求：提交《安全审查报告》《漏洞修复建议书》及整改复测报告</w:t>
      </w:r>
    </w:p>
    <w:p w14:paraId="3EA3621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7.服务周期：自合同签订起15个工作日内完成审查并提交报告；整改复测不超过5个工作日</w:t>
      </w:r>
    </w:p>
    <w:p w14:paraId="6A288BD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8.保密要求：签署保密协议，审查过程中获取的源码、数据不得外泄；服务结束后销毁相关副本</w:t>
      </w:r>
    </w:p>
    <w:p w14:paraId="5979CA26">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9.验收标准：报告内容完整、漏洞分级准确，高危漏洞整改闭环后方可上线；甲方确认签收后验收</w:t>
      </w:r>
    </w:p>
    <w:p w14:paraId="6A3CF284">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2.5.3等保测评</w:t>
      </w:r>
    </w:p>
    <w:p w14:paraId="66A72093">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测评依据：依据等保测评技术标准（《GB/T22239-2019信息安全技术网络安全等级保护基本要求》、《GB/T28448-2019信息安全技术网络安全等级保护测评要求》），对测评对象开展等级保护测评，在对单位网络和信息系统调研的基础上，编制针对性的等级保护测评整体实施方案，包括项目概述等保测评范围和内容、项目实施流程、测评计划、阶段性文档提交和验收标准等完成差距分析，对于不符合标准的测评对象依据整改清单，协助进行相关的系统升级和网络信息安全加固咨询，完善网络安全相关的制度和人员管理方法等。</w:t>
      </w:r>
    </w:p>
    <w:p w14:paraId="083A871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定级备案：提供定级咨询服务，通过对现场的网络和信息系统环境进行调研，明确定级对象、确定等级、输出定级报告。通过组织测评专家进行内外部评审，协助进行备案，提供备案信息表以及其他定级备案材料。</w:t>
      </w:r>
    </w:p>
    <w:p w14:paraId="23A8C2E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3.测评等级：针对已定级备案系统开展等级保护三级测评</w:t>
      </w:r>
    </w:p>
    <w:p w14:paraId="1BDDE1C4">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4.测评范围：涵盖安全物理环境、安全通信网络、安全区域边界、安全计算环境、安全管理中心五个技术层面及管理体系</w:t>
      </w:r>
    </w:p>
    <w:p w14:paraId="486F52C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5.测评方式：包括文档审查、人员访谈、技术核查、工具测试四类方式综合开展</w:t>
      </w:r>
    </w:p>
    <w:p w14:paraId="1006DF0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6.问题整改建议：测评报告须包含差距分析与整改优先级建议，协助理解不符合项及整改路径</w:t>
      </w:r>
    </w:p>
    <w:p w14:paraId="2862DC1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7.交付物：提交加盖测评机构公章的《信息系统安全等级保护测评报告》，符合公安备案要求</w:t>
      </w:r>
    </w:p>
    <w:p w14:paraId="3481317A">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8.服务周期：自现场启动起30个工作日内完成测评并出具报告</w:t>
      </w:r>
    </w:p>
    <w:p w14:paraId="780913B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9.验收标准：测评报告通过公安机关审核备案，整改复测（如需）一次含在报价内</w:t>
      </w:r>
    </w:p>
    <w:p w14:paraId="68823EA6">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2.5.4安全服务</w:t>
      </w:r>
    </w:p>
    <w:p w14:paraId="6F68211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1.日常巡检：每月不少于2次系统安全巡检，输出巡检报告，涵盖主机、网络设备、安全设备运行状态</w:t>
      </w:r>
    </w:p>
    <w:p w14:paraId="54824422">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2.安全监测：提供7×24小时安全事件监测，异常事件30分钟内响应通知，重大事件2小时内启动处置</w:t>
      </w:r>
    </w:p>
    <w:p w14:paraId="0392E76A">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3.重大节点保障：配合重大活动、节假日等敏感时间节点开展专项安全值守，每年不少于4次，每次不少于3天</w:t>
      </w:r>
    </w:p>
    <w:p w14:paraId="20C220EF">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4.应急响应：合同期内提供不少于2次安全事件应急响应服务，包含事件溯源、处置、加固和报告</w:t>
      </w:r>
    </w:p>
    <w:p w14:paraId="144ADE6B">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5.交付物清单：月度/季度/年度安全服务报告、应急响应报告，年底提交年度安全总结</w:t>
      </w:r>
    </w:p>
    <w:p w14:paraId="144E71DF">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2.5.5终端杀毒</w:t>
      </w:r>
    </w:p>
    <w:p w14:paraId="714C183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1.授权数量：提供不少于400个终端的正版杀毒软件授权，支持1年授权</w:t>
      </w:r>
    </w:p>
    <w:p w14:paraId="29E388E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2.病毒扫描：支持全盘扫描、快速扫描、自定义扫描、右键扫描、拖动扫描等多种扫描方式</w:t>
      </w:r>
    </w:p>
    <w:p w14:paraId="509EBBE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3.▲多引擎：具备本地多引擎查杀能力，且引擎可自定义配置（投标时提供截图证明佐证，未体现完全满足或未提供均作负偏离处理）</w:t>
      </w:r>
    </w:p>
    <w:p w14:paraId="5A7E268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4.实时监控：支持活动文件、内存中活跃进程和模块、网络访问的进程实时监控</w:t>
      </w:r>
    </w:p>
    <w:p w14:paraId="703310B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5.网页监控：支持网页监控，确保用户在浏览网页时不被恶意网页病毒干扰和破坏</w:t>
      </w:r>
    </w:p>
    <w:p w14:paraId="31CB552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6.病毒巡检：支持以任务的形式对终端下发病毒扫描和结果上报的命令</w:t>
      </w:r>
    </w:p>
    <w:p w14:paraId="657455A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7.漏洞巡检：支持以任务的形式对终端下发漏洞扫描和结果上报的命令</w:t>
      </w:r>
    </w:p>
    <w:p w14:paraId="206AD1CF">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8.人工智能引擎兼容性：人工智能引擎支持Windows/Linux/国产操作系统</w:t>
      </w:r>
    </w:p>
    <w:p w14:paraId="3237E51D">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9.支持勒索防御、勒索诱捕，显示勒索软件告警信息。</w:t>
      </w:r>
    </w:p>
    <w:p w14:paraId="7331F1C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10.动态切换扫描速度：支持扫描过程中动态切换扫描速度，支持多核极速、多核高速、单核节能三种工作模式</w:t>
      </w:r>
    </w:p>
    <w:p w14:paraId="75A91091">
      <w:pPr>
        <w:pStyle w:val="214"/>
        <w:tabs>
          <w:tab w:val="left" w:pos="1960"/>
        </w:tabs>
        <w:spacing w:line="5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11.客户端UI多操作系统支持：Windows/Linux/国产操作系统提供相同的杀毒UI界面</w:t>
      </w:r>
      <w:r>
        <w:rPr>
          <w:rFonts w:hint="eastAsia" w:ascii="仿宋" w:hAnsi="仿宋" w:eastAsia="仿宋"/>
          <w:sz w:val="28"/>
          <w:szCs w:val="28"/>
          <w:highlight w:val="none"/>
          <w:lang w:eastAsia="zh-CN"/>
        </w:rPr>
        <w:t>。</w:t>
      </w:r>
    </w:p>
    <w:p w14:paraId="5791A7C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12.漏洞修复：Windows提供漏洞扫描功能，系统补丁修复功能</w:t>
      </w:r>
    </w:p>
    <w:p w14:paraId="53A2C57F">
      <w:pPr>
        <w:pStyle w:val="214"/>
        <w:tabs>
          <w:tab w:val="left" w:pos="1960"/>
        </w:tabs>
        <w:spacing w:line="5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13.外设管控：具备外设管控能力，支持对终端各种外设（USB存储、光驱、USB外置网卡、无线网卡、蓝牙、手机、平板等）、接口（USB接口、串口、并口、1394、PCMIA）设置使用权限，支持添加外设和端口黑白名单例外</w:t>
      </w:r>
      <w:r>
        <w:rPr>
          <w:rFonts w:hint="eastAsia" w:ascii="仿宋" w:hAnsi="仿宋" w:eastAsia="仿宋"/>
          <w:sz w:val="28"/>
          <w:szCs w:val="28"/>
          <w:highlight w:val="none"/>
          <w:lang w:eastAsia="zh-CN"/>
        </w:rPr>
        <w:t>。</w:t>
      </w:r>
    </w:p>
    <w:p w14:paraId="1FC91F28">
      <w:pPr>
        <w:pStyle w:val="214"/>
        <w:tabs>
          <w:tab w:val="left" w:pos="1960"/>
        </w:tabs>
        <w:spacing w:line="5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14.Wi-Fi外联检测：提供Wi-Fi外联检测机制，发现Wi-Fi能够设置告警、断网等违规处理手段</w:t>
      </w:r>
      <w:r>
        <w:rPr>
          <w:rFonts w:hint="eastAsia" w:ascii="仿宋" w:hAnsi="仿宋" w:eastAsia="仿宋"/>
          <w:sz w:val="28"/>
          <w:szCs w:val="28"/>
          <w:highlight w:val="none"/>
          <w:lang w:eastAsia="zh-CN"/>
        </w:rPr>
        <w:t>。</w:t>
      </w:r>
    </w:p>
    <w:p w14:paraId="60499D1A">
      <w:pPr>
        <w:pStyle w:val="214"/>
        <w:tabs>
          <w:tab w:val="left" w:pos="1960"/>
        </w:tabs>
        <w:spacing w:line="54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15.远程协助：针对Windows和Linux提供远程协助功能</w:t>
      </w:r>
      <w:r>
        <w:rPr>
          <w:rFonts w:hint="eastAsia" w:ascii="仿宋" w:hAnsi="仿宋" w:eastAsia="仿宋"/>
          <w:sz w:val="28"/>
          <w:szCs w:val="28"/>
          <w:highlight w:val="none"/>
          <w:lang w:eastAsia="zh-CN"/>
        </w:rPr>
        <w:t>。</w:t>
      </w:r>
    </w:p>
    <w:p w14:paraId="7D135F5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16.基础信息采集：支持采集终端基础信息，包括终端名称、IP地址（私有）、IP地址（公网）、MAC地址、健康状态、硬件架构、操作系统、组件等信息</w:t>
      </w:r>
    </w:p>
    <w:p w14:paraId="20F14A1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17.HTTP/HTTPS行为采集：HTTP/HTTPS行为采集：具有持续采集浏览器HTTP/HTTPS访问记录的机制，支持Chrome、Edge、Maxthon、FireFox、QQ、UC、2345等常见浏览器。</w:t>
      </w:r>
    </w:p>
    <w:p w14:paraId="72216CB7">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18.暴力破解检测：提供RDP、SMB协议暴力破解监测与自动阻断功能，支持自定义爆破阈值和封停时间</w:t>
      </w:r>
    </w:p>
    <w:p w14:paraId="3663149A">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19.安全概览展示：管理平台具备整体安全概览展示，包括威胁趋势、安全概况、防护概况、安全合规、高危终端TOP10、高危病毒TOP10、待办事项等</w:t>
      </w:r>
    </w:p>
    <w:p w14:paraId="3AD33ACD">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20.零信任评分：支持对终端网络环境变化风险、恶意代码风险、漏洞风险、系统安全配置风险、应用环境风险、其他健康项进行实时和轮询安全评分</w:t>
      </w:r>
    </w:p>
    <w:p w14:paraId="003BB08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21.▲集中管理：支持信创终端与非信创终端统一集中管理（投标时提供截图证明佐证，未体现完全满足或未提供均作负偏离处理）</w:t>
      </w:r>
    </w:p>
    <w:p w14:paraId="540CB531">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22.安全管理终端资源配置：核数：4内存：16G存储：500g操作系统：Ubuntu22、麒麟V10、统信V20</w:t>
      </w:r>
    </w:p>
    <w:p w14:paraId="6EBB55FA">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2.6运维服务</w:t>
      </w:r>
    </w:p>
    <w:p w14:paraId="4F64CA63">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2.6.1全民健康信息平台虚拟子平台运维服务</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426"/>
        <w:gridCol w:w="6173"/>
      </w:tblGrid>
      <w:tr w14:paraId="103B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19E2211">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142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B1AA426">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功能要求</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5E06BFE">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参数要求</w:t>
            </w:r>
          </w:p>
        </w:tc>
      </w:tr>
      <w:tr w14:paraId="79C6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6" w:type="dxa"/>
            <w:tcBorders>
              <w:top w:val="single" w:color="auto" w:sz="4" w:space="0"/>
              <w:left w:val="single" w:color="auto" w:sz="4" w:space="0"/>
              <w:right w:val="single" w:color="auto" w:sz="4" w:space="0"/>
            </w:tcBorders>
            <w:tcMar>
              <w:top w:w="15" w:type="dxa"/>
              <w:left w:w="15" w:type="dxa"/>
              <w:bottom w:w="15" w:type="dxa"/>
              <w:right w:w="15" w:type="dxa"/>
            </w:tcMar>
            <w:vAlign w:val="center"/>
          </w:tcPr>
          <w:p w14:paraId="5EBC08A5">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1426" w:type="dxa"/>
            <w:tcBorders>
              <w:top w:val="single" w:color="auto" w:sz="4" w:space="0"/>
              <w:left w:val="single" w:color="auto" w:sz="4" w:space="0"/>
              <w:right w:val="single" w:color="auto" w:sz="4" w:space="0"/>
            </w:tcBorders>
            <w:tcMar>
              <w:top w:w="15" w:type="dxa"/>
              <w:left w:w="15" w:type="dxa"/>
              <w:bottom w:w="15" w:type="dxa"/>
              <w:right w:w="15" w:type="dxa"/>
            </w:tcMar>
            <w:vAlign w:val="center"/>
          </w:tcPr>
          <w:p w14:paraId="636ECE8C">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信息化解决方案</w:t>
            </w:r>
          </w:p>
          <w:p w14:paraId="37BCE3D2">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（讨论、参考、提供）</w:t>
            </w:r>
          </w:p>
        </w:tc>
        <w:tc>
          <w:tcPr>
            <w:tcW w:w="6173" w:type="dxa"/>
            <w:tcBorders>
              <w:top w:val="single" w:color="auto" w:sz="4" w:space="0"/>
              <w:left w:val="single" w:color="auto" w:sz="4" w:space="0"/>
              <w:right w:val="single" w:color="auto" w:sz="4" w:space="0"/>
            </w:tcBorders>
            <w:tcMar>
              <w:top w:w="15" w:type="dxa"/>
              <w:left w:w="15" w:type="dxa"/>
              <w:bottom w:w="15" w:type="dxa"/>
              <w:right w:w="15" w:type="dxa"/>
            </w:tcMar>
            <w:vAlign w:val="center"/>
          </w:tcPr>
          <w:p w14:paraId="3922ABA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1.基于用户需求的信息化解决方案，包括可行性方案、实现方案、执行方案等。</w:t>
            </w:r>
          </w:p>
          <w:p w14:paraId="59ECC91D">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2.流程再造、业务流程优化、管理模式调整、管理模式创新、政策调整引起的软件系统调整。</w:t>
            </w:r>
          </w:p>
          <w:p w14:paraId="4BE58D4D">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3.基于投标人产品的基础上进行前期的沟通、讨论；解决方案的讨论与书写，给用户提供决策支持。</w:t>
            </w:r>
          </w:p>
        </w:tc>
      </w:tr>
      <w:tr w14:paraId="42BD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487B9A25">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45E34FC4">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咨询服务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65032A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软件使用问题解答、软件使用指导、软件功能介绍、技术咨询。</w:t>
            </w:r>
          </w:p>
          <w:p w14:paraId="6DB097B9">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2.其他用户成功经验介绍、沟通。</w:t>
            </w:r>
          </w:p>
          <w:p w14:paraId="08AA6757">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3.第三方系统数据交换、系统集成等方面的专业咨询服务，咨询服务后续一般会涉及信息化解决方案的提供。</w:t>
            </w:r>
          </w:p>
        </w:tc>
      </w:tr>
      <w:tr w14:paraId="6183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Merge w:val="restart"/>
            <w:tcBorders>
              <w:left w:val="single" w:color="auto" w:sz="4" w:space="0"/>
              <w:right w:val="single" w:color="auto" w:sz="4" w:space="0"/>
            </w:tcBorders>
            <w:tcMar>
              <w:top w:w="15" w:type="dxa"/>
              <w:left w:w="15" w:type="dxa"/>
              <w:bottom w:w="15" w:type="dxa"/>
              <w:right w:w="15" w:type="dxa"/>
            </w:tcMar>
            <w:vAlign w:val="center"/>
          </w:tcPr>
          <w:p w14:paraId="0E796EBA">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3</w:t>
            </w:r>
          </w:p>
        </w:tc>
        <w:tc>
          <w:tcPr>
            <w:tcW w:w="1426" w:type="dxa"/>
            <w:vMerge w:val="restart"/>
            <w:tcBorders>
              <w:left w:val="single" w:color="auto" w:sz="4" w:space="0"/>
              <w:right w:val="single" w:color="auto" w:sz="4" w:space="0"/>
            </w:tcBorders>
            <w:tcMar>
              <w:top w:w="15" w:type="dxa"/>
              <w:left w:w="15" w:type="dxa"/>
              <w:bottom w:w="15" w:type="dxa"/>
              <w:right w:w="15" w:type="dxa"/>
            </w:tcMar>
            <w:vAlign w:val="center"/>
          </w:tcPr>
          <w:p w14:paraId="57217E41">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电话与网络服务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B9B2D45">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1.7*8小时常规电话与网络服务（400电话支持服务、企业营销QQ服务）。</w:t>
            </w:r>
          </w:p>
          <w:p w14:paraId="701FC46B">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2.服务内容：软件使用问题解答或处理，主要包括软件问题排查、各类医保接口问题处理、第三方系统接口问题处理、在用户允许的情况下的后台数据查询服务、软件使用指导、指导版本升级等。</w:t>
            </w:r>
          </w:p>
        </w:tc>
      </w:tr>
      <w:tr w14:paraId="63C12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Merge w:val="continue"/>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45959E18">
            <w:pPr>
              <w:pStyle w:val="315"/>
              <w:spacing w:line="360" w:lineRule="auto"/>
              <w:jc w:val="center"/>
              <w:rPr>
                <w:rFonts w:ascii="仿宋" w:hAnsi="仿宋" w:eastAsia="仿宋" w:cs="仿宋"/>
                <w:sz w:val="24"/>
                <w:szCs w:val="24"/>
                <w:highlight w:val="none"/>
              </w:rPr>
            </w:pPr>
          </w:p>
        </w:tc>
        <w:tc>
          <w:tcPr>
            <w:tcW w:w="1426" w:type="dxa"/>
            <w:vMerge w:val="continue"/>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56EE21FE">
            <w:pPr>
              <w:pStyle w:val="315"/>
              <w:spacing w:line="360" w:lineRule="auto"/>
              <w:jc w:val="center"/>
              <w:rPr>
                <w:rFonts w:ascii="仿宋" w:hAnsi="仿宋" w:eastAsia="仿宋" w:cs="仿宋"/>
                <w:sz w:val="24"/>
                <w:szCs w:val="24"/>
                <w:highlight w:val="none"/>
              </w:rPr>
            </w:pP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114233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1.7*24小时紧急电话与网络服务，区域经理等的紧急电话与网络服务。</w:t>
            </w:r>
          </w:p>
          <w:p w14:paraId="601B8D07">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2.服务内容：非工作时间内系统严重损坏影响日常经营，或者系统数据出现严重错误等紧急服务请求的处理。</w:t>
            </w:r>
          </w:p>
        </w:tc>
      </w:tr>
      <w:tr w14:paraId="6414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6B32D99D">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4</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2FF06EE8">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二次开发</w:t>
            </w:r>
          </w:p>
          <w:p w14:paraId="660A5189">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BE0F44F">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软件自身缺陷修复、常规性版本升级。</w:t>
            </w:r>
          </w:p>
        </w:tc>
      </w:tr>
      <w:tr w14:paraId="24D6C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5A50D99E">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5</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410DA94E">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资讯服务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158BE6EF">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软件使用培训、电话支持。</w:t>
            </w:r>
          </w:p>
          <w:p w14:paraId="27AAF79C">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2.视频、文档等培训材料提供。</w:t>
            </w:r>
          </w:p>
          <w:p w14:paraId="05B18BB3">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3.定时发布软件问题处理FAQ。</w:t>
            </w:r>
          </w:p>
        </w:tc>
      </w:tr>
      <w:tr w14:paraId="5C04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109C69B">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6</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36868E6E">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现场服务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B01A36C">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软件重大版本升级。</w:t>
            </w:r>
          </w:p>
          <w:p w14:paraId="68587185">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2.远程难以处理的疑难问题。</w:t>
            </w:r>
          </w:p>
          <w:p w14:paraId="54EF3C4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3.重大需求讨论、交付。</w:t>
            </w:r>
          </w:p>
          <w:p w14:paraId="0C7180E2">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4.重大实施类项目的前期调研。</w:t>
            </w:r>
          </w:p>
        </w:tc>
      </w:tr>
      <w:tr w14:paraId="0095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070D99A3">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7</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57464823">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需求服务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F04DE89">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1.</w:t>
            </w:r>
            <w:r>
              <w:rPr>
                <w:rFonts w:hint="eastAsia" w:ascii="仿宋" w:hAnsi="仿宋" w:eastAsia="仿宋" w:cs="仿宋"/>
                <w:sz w:val="24"/>
                <w:szCs w:val="24"/>
                <w:highlight w:val="none"/>
              </w:rPr>
              <w:t>需求调研、采集、分析、解决方案的提供。</w:t>
            </w:r>
          </w:p>
          <w:p w14:paraId="5054660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2.需求进度跟踪、反馈。</w:t>
            </w:r>
          </w:p>
          <w:p w14:paraId="0A0FA3AB">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3.以远程为主的需求测试、交付。</w:t>
            </w:r>
          </w:p>
          <w:p w14:paraId="4EA42C17">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4.允许用户接入的需求平台，接入的用户可以通过平台管理需求。</w:t>
            </w:r>
          </w:p>
        </w:tc>
      </w:tr>
      <w:tr w14:paraId="75E4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672848F7">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8</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2572B1E2">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巡检服务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744DE68">
            <w:pPr>
              <w:pStyle w:val="315"/>
              <w:spacing w:line="360" w:lineRule="auto"/>
              <w:rPr>
                <w:rFonts w:ascii="仿宋" w:hAnsi="仿宋" w:eastAsia="仿宋" w:cs="仿宋"/>
                <w:sz w:val="24"/>
                <w:szCs w:val="24"/>
                <w:highlight w:val="none"/>
              </w:rPr>
            </w:pPr>
            <w:r>
              <w:rPr>
                <w:rFonts w:ascii="仿宋" w:hAnsi="仿宋" w:eastAsia="仿宋" w:cs="仿宋"/>
                <w:sz w:val="24"/>
                <w:szCs w:val="24"/>
                <w:highlight w:val="none"/>
              </w:rPr>
              <w:t>1</w:t>
            </w:r>
            <w:r>
              <w:rPr>
                <w:rFonts w:hint="eastAsia" w:ascii="仿宋" w:hAnsi="仿宋" w:eastAsia="仿宋" w:cs="仿宋"/>
                <w:sz w:val="24"/>
                <w:szCs w:val="24"/>
                <w:highlight w:val="none"/>
              </w:rPr>
              <w:t>.客户基本信息登记表、首次巡检或者客户信息有变动时需要填写。</w:t>
            </w:r>
          </w:p>
          <w:p w14:paraId="3ACFEBC6">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2.主要服务器情况登记表，首次巡检时做一次全面登记，后续如果有变更补充即可。</w:t>
            </w:r>
          </w:p>
          <w:p w14:paraId="015B5CF9">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3.数据备份情况，需要逐步引导用户完成。</w:t>
            </w:r>
          </w:p>
          <w:p w14:paraId="545CE51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（1）逻辑备份情况：需要告知客户定期检查备份情况，例如：每天查看一次</w:t>
            </w:r>
          </w:p>
          <w:p w14:paraId="71E6533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（2）灾难备份程序运行情况</w:t>
            </w:r>
          </w:p>
          <w:p w14:paraId="37AACC98">
            <w:pPr>
              <w:pStyle w:val="315"/>
              <w:spacing w:line="360" w:lineRule="auto"/>
              <w:rPr>
                <w:rFonts w:ascii="仿宋" w:hAnsi="仿宋" w:eastAsia="仿宋" w:cs="仿宋"/>
                <w:sz w:val="24"/>
                <w:szCs w:val="24"/>
                <w:highlight w:val="none"/>
              </w:rPr>
            </w:pPr>
            <w:r>
              <w:rPr>
                <w:rFonts w:ascii="仿宋" w:hAnsi="仿宋" w:eastAsia="仿宋" w:cs="仿宋"/>
                <w:sz w:val="24"/>
                <w:szCs w:val="24"/>
                <w:highlight w:val="none"/>
              </w:rPr>
              <w:t>4</w:t>
            </w:r>
            <w:r>
              <w:rPr>
                <w:rFonts w:hint="eastAsia" w:ascii="仿宋" w:hAnsi="仿宋" w:eastAsia="仿宋" w:cs="仿宋"/>
                <w:sz w:val="24"/>
                <w:szCs w:val="24"/>
                <w:highlight w:val="none"/>
              </w:rPr>
              <w:t>.数据库运行情况登记表。</w:t>
            </w:r>
          </w:p>
          <w:p w14:paraId="7859B613">
            <w:pPr>
              <w:pStyle w:val="315"/>
              <w:spacing w:line="360" w:lineRule="auto"/>
              <w:rPr>
                <w:rFonts w:ascii="仿宋" w:hAnsi="仿宋" w:eastAsia="仿宋" w:cs="仿宋"/>
                <w:sz w:val="24"/>
                <w:szCs w:val="24"/>
                <w:highlight w:val="none"/>
              </w:rPr>
            </w:pPr>
            <w:r>
              <w:rPr>
                <w:rFonts w:ascii="仿宋" w:hAnsi="仿宋" w:eastAsia="仿宋" w:cs="仿宋"/>
                <w:sz w:val="24"/>
                <w:szCs w:val="24"/>
                <w:highlight w:val="none"/>
              </w:rPr>
              <w:t>5</w:t>
            </w:r>
            <w:r>
              <w:rPr>
                <w:rFonts w:hint="eastAsia" w:ascii="仿宋" w:hAnsi="仿宋" w:eastAsia="仿宋" w:cs="仿宋"/>
                <w:sz w:val="24"/>
                <w:szCs w:val="24"/>
                <w:highlight w:val="none"/>
              </w:rPr>
              <w:t>.软件运行情况反馈表。</w:t>
            </w:r>
          </w:p>
          <w:p w14:paraId="23F20696">
            <w:pPr>
              <w:pStyle w:val="315"/>
              <w:spacing w:line="360" w:lineRule="auto"/>
              <w:rPr>
                <w:rFonts w:ascii="仿宋" w:hAnsi="仿宋" w:eastAsia="仿宋" w:cs="仿宋"/>
                <w:sz w:val="24"/>
                <w:szCs w:val="24"/>
                <w:highlight w:val="none"/>
              </w:rPr>
            </w:pPr>
            <w:r>
              <w:rPr>
                <w:rFonts w:ascii="仿宋" w:hAnsi="仿宋" w:eastAsia="仿宋" w:cs="仿宋"/>
                <w:sz w:val="24"/>
                <w:szCs w:val="24"/>
                <w:highlight w:val="none"/>
              </w:rPr>
              <w:t>6</w:t>
            </w:r>
            <w:r>
              <w:rPr>
                <w:rFonts w:hint="eastAsia" w:ascii="仿宋" w:hAnsi="仿宋" w:eastAsia="仿宋" w:cs="仿宋"/>
                <w:sz w:val="24"/>
                <w:szCs w:val="24"/>
                <w:highlight w:val="none"/>
              </w:rPr>
              <w:t>.软件处理FAQ定期提交给信息中心。</w:t>
            </w:r>
          </w:p>
          <w:p w14:paraId="287DA086">
            <w:pPr>
              <w:pStyle w:val="315"/>
              <w:spacing w:line="360" w:lineRule="auto"/>
              <w:rPr>
                <w:rFonts w:ascii="仿宋" w:hAnsi="仿宋" w:eastAsia="仿宋" w:cs="仿宋"/>
                <w:sz w:val="24"/>
                <w:szCs w:val="24"/>
                <w:highlight w:val="none"/>
              </w:rPr>
            </w:pPr>
            <w:r>
              <w:rPr>
                <w:rFonts w:ascii="仿宋" w:hAnsi="仿宋" w:eastAsia="仿宋" w:cs="仿宋"/>
                <w:sz w:val="24"/>
                <w:szCs w:val="24"/>
                <w:highlight w:val="none"/>
              </w:rPr>
              <w:t>7</w:t>
            </w:r>
            <w:r>
              <w:rPr>
                <w:rFonts w:hint="eastAsia" w:ascii="仿宋" w:hAnsi="仿宋" w:eastAsia="仿宋" w:cs="仿宋"/>
                <w:sz w:val="24"/>
                <w:szCs w:val="24"/>
                <w:highlight w:val="none"/>
              </w:rPr>
              <w:t>.数据库巡检：维保软件产品对应表空间使用情况、数据备份、数据库基本运行情况等基本情况查看。</w:t>
            </w:r>
          </w:p>
          <w:p w14:paraId="58B3E602">
            <w:pPr>
              <w:pStyle w:val="315"/>
              <w:spacing w:line="360" w:lineRule="auto"/>
              <w:rPr>
                <w:rFonts w:ascii="仿宋" w:hAnsi="仿宋" w:eastAsia="仿宋" w:cs="仿宋"/>
                <w:sz w:val="24"/>
                <w:szCs w:val="24"/>
                <w:highlight w:val="none"/>
              </w:rPr>
            </w:pPr>
            <w:r>
              <w:rPr>
                <w:rFonts w:ascii="仿宋" w:hAnsi="仿宋" w:eastAsia="仿宋" w:cs="仿宋"/>
                <w:sz w:val="24"/>
                <w:szCs w:val="24"/>
                <w:highlight w:val="none"/>
              </w:rPr>
              <w:t>8</w:t>
            </w:r>
            <w:r>
              <w:rPr>
                <w:rFonts w:hint="eastAsia" w:ascii="仿宋" w:hAnsi="仿宋" w:eastAsia="仿宋" w:cs="仿宋"/>
                <w:sz w:val="24"/>
                <w:szCs w:val="24"/>
                <w:highlight w:val="none"/>
              </w:rPr>
              <w:t>.维保软件产品对应的SQL调优，包括SQL语法调整、索引调优等。</w:t>
            </w:r>
          </w:p>
        </w:tc>
      </w:tr>
      <w:tr w14:paraId="2CA5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73E3CDA4">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9</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59E956C6">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上门服务</w:t>
            </w:r>
          </w:p>
          <w:p w14:paraId="02DEA8BB">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响应时间</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A0A961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1.一级故障：当软件故障使甲方无法正常营业时，乙方在收到甲方服务通知后2小时内到达故障现场。</w:t>
            </w:r>
          </w:p>
          <w:p w14:paraId="160E680A">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2.二级故障：当软件故障不影响甲方正常营业时，乙方将在与甲方协商同意的基础上，视具体情况安排软件工程师适时上门现场解决问题。</w:t>
            </w:r>
          </w:p>
        </w:tc>
      </w:tr>
      <w:tr w14:paraId="56A6B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0A5F270">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42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18AC93C">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现场支持</w:t>
            </w:r>
          </w:p>
          <w:p w14:paraId="7DD8DAE1">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568D16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定期一年四次常规巡检，巡检内容主要包括：系统运行状态检查、问题和需求汇总、现场技术沟通和相关应用培训等，并向采购人提供一份巡检报告。</w:t>
            </w:r>
          </w:p>
        </w:tc>
      </w:tr>
      <w:tr w14:paraId="3D5E4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529BE1A">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7599" w:type="dxa"/>
            <w:gridSpan w:val="2"/>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B2CC73A">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实现基层系统接入“健康淮安”全民健康信息平台虚拟子平台</w:t>
            </w:r>
          </w:p>
        </w:tc>
      </w:tr>
    </w:tbl>
    <w:p w14:paraId="35686E84">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2.6.2医共体中心运维服务</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426"/>
        <w:gridCol w:w="6173"/>
      </w:tblGrid>
      <w:tr w14:paraId="09E8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E7227EA">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142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E565F99">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功能要求</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4345114">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参数要求</w:t>
            </w:r>
          </w:p>
        </w:tc>
      </w:tr>
      <w:tr w14:paraId="0879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6" w:type="dxa"/>
            <w:tcBorders>
              <w:top w:val="single" w:color="auto" w:sz="4" w:space="0"/>
              <w:left w:val="single" w:color="auto" w:sz="4" w:space="0"/>
              <w:right w:val="single" w:color="auto" w:sz="4" w:space="0"/>
            </w:tcBorders>
            <w:tcMar>
              <w:top w:w="15" w:type="dxa"/>
              <w:left w:w="15" w:type="dxa"/>
              <w:bottom w:w="15" w:type="dxa"/>
              <w:right w:w="15" w:type="dxa"/>
            </w:tcMar>
            <w:vAlign w:val="center"/>
          </w:tcPr>
          <w:p w14:paraId="0B227B77">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1426" w:type="dxa"/>
            <w:tcBorders>
              <w:top w:val="single" w:color="auto" w:sz="4" w:space="0"/>
              <w:left w:val="single" w:color="auto" w:sz="4" w:space="0"/>
              <w:right w:val="single" w:color="auto" w:sz="4" w:space="0"/>
            </w:tcBorders>
            <w:tcMar>
              <w:top w:w="15" w:type="dxa"/>
              <w:left w:w="15" w:type="dxa"/>
              <w:bottom w:w="15" w:type="dxa"/>
              <w:right w:w="15" w:type="dxa"/>
            </w:tcMar>
            <w:vAlign w:val="center"/>
          </w:tcPr>
          <w:p w14:paraId="7266D23B">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信息化解决方案</w:t>
            </w:r>
          </w:p>
          <w:p w14:paraId="0C4BA704">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（讨论、参考、提供）</w:t>
            </w:r>
          </w:p>
        </w:tc>
        <w:tc>
          <w:tcPr>
            <w:tcW w:w="6173" w:type="dxa"/>
            <w:tcBorders>
              <w:top w:val="single" w:color="auto" w:sz="4" w:space="0"/>
              <w:left w:val="single" w:color="auto" w:sz="4" w:space="0"/>
              <w:right w:val="single" w:color="auto" w:sz="4" w:space="0"/>
            </w:tcBorders>
            <w:tcMar>
              <w:top w:w="15" w:type="dxa"/>
              <w:left w:w="15" w:type="dxa"/>
              <w:bottom w:w="15" w:type="dxa"/>
              <w:right w:w="15" w:type="dxa"/>
            </w:tcMar>
            <w:vAlign w:val="center"/>
          </w:tcPr>
          <w:p w14:paraId="7032006F">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1.基于用户需求的信息化解决方案，包括可行性方案、实现方案、执行方案等。</w:t>
            </w:r>
          </w:p>
          <w:p w14:paraId="3B7EE48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2.流程再造、业务流程优化、管理模式调整、管理模式创新、政策调整引起的软件系统调整。</w:t>
            </w:r>
          </w:p>
          <w:p w14:paraId="3A899B29">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3.基于投标人产品的基础上进行前期的沟通、讨论；解决方案的讨论与书写，给用户提供决策支持。</w:t>
            </w:r>
          </w:p>
        </w:tc>
      </w:tr>
      <w:tr w14:paraId="69224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1FBFC37">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EC13E61">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咨询服务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66292BEF">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1.软件使用问题解答、软件使用指导、软件功能介绍、技术咨询。</w:t>
            </w:r>
          </w:p>
          <w:p w14:paraId="71FDABDB">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2.其他用户成功经验介绍、沟通。</w:t>
            </w:r>
          </w:p>
          <w:p w14:paraId="560D0417">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3.第三方系统数据交换、系统集成等方面的专业咨询服务，咨询服务后续一般会涉及信息化解决方案的提供。</w:t>
            </w:r>
          </w:p>
        </w:tc>
      </w:tr>
      <w:tr w14:paraId="5A445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6" w:hRule="atLeast"/>
        </w:trPr>
        <w:tc>
          <w:tcPr>
            <w:tcW w:w="696" w:type="dxa"/>
            <w:vMerge w:val="restart"/>
            <w:tcBorders>
              <w:left w:val="single" w:color="auto" w:sz="4" w:space="0"/>
              <w:right w:val="single" w:color="auto" w:sz="4" w:space="0"/>
            </w:tcBorders>
            <w:tcMar>
              <w:top w:w="15" w:type="dxa"/>
              <w:left w:w="15" w:type="dxa"/>
              <w:bottom w:w="15" w:type="dxa"/>
              <w:right w:w="15" w:type="dxa"/>
            </w:tcMar>
            <w:vAlign w:val="center"/>
          </w:tcPr>
          <w:p w14:paraId="0E780D40">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3</w:t>
            </w:r>
          </w:p>
        </w:tc>
        <w:tc>
          <w:tcPr>
            <w:tcW w:w="1426" w:type="dxa"/>
            <w:vMerge w:val="restart"/>
            <w:tcBorders>
              <w:left w:val="single" w:color="auto" w:sz="4" w:space="0"/>
              <w:right w:val="single" w:color="auto" w:sz="4" w:space="0"/>
            </w:tcBorders>
            <w:tcMar>
              <w:top w:w="15" w:type="dxa"/>
              <w:left w:w="15" w:type="dxa"/>
              <w:bottom w:w="15" w:type="dxa"/>
              <w:right w:w="15" w:type="dxa"/>
            </w:tcMar>
            <w:vAlign w:val="center"/>
          </w:tcPr>
          <w:p w14:paraId="3B55118D">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电话与网络服务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5835DBF5">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1.7*8小时常规电话与网络服务（400电话支持服务、企业营销QQ服务）。</w:t>
            </w:r>
          </w:p>
          <w:p w14:paraId="0B1B006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2.服务内容：软件使用问题解答或处理，主要包括软件问题排查、各类医保接口问题处理、第三方系统接口问题处理、在用户允许的情况下的后台数据查询服务、软件使用指导、指导版本升级等。</w:t>
            </w:r>
          </w:p>
        </w:tc>
      </w:tr>
      <w:tr w14:paraId="74BF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Merge w:val="continue"/>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C4B008A">
            <w:pPr>
              <w:pStyle w:val="315"/>
              <w:spacing w:line="360" w:lineRule="auto"/>
              <w:jc w:val="center"/>
              <w:rPr>
                <w:rFonts w:ascii="仿宋" w:hAnsi="仿宋" w:eastAsia="仿宋" w:cs="仿宋"/>
                <w:sz w:val="24"/>
                <w:szCs w:val="24"/>
                <w:highlight w:val="none"/>
              </w:rPr>
            </w:pPr>
          </w:p>
        </w:tc>
        <w:tc>
          <w:tcPr>
            <w:tcW w:w="1426" w:type="dxa"/>
            <w:vMerge w:val="continue"/>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78248D23">
            <w:pPr>
              <w:pStyle w:val="315"/>
              <w:spacing w:line="360" w:lineRule="auto"/>
              <w:jc w:val="center"/>
              <w:rPr>
                <w:rFonts w:ascii="仿宋" w:hAnsi="仿宋" w:eastAsia="仿宋" w:cs="仿宋"/>
                <w:sz w:val="24"/>
                <w:szCs w:val="24"/>
                <w:highlight w:val="none"/>
              </w:rPr>
            </w:pP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EE3CB36">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1.7*24小时紧急电话与网络服务，区域经理等的紧急电话与网络服务。</w:t>
            </w:r>
          </w:p>
          <w:p w14:paraId="1218DFF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2.服务内容：非工作时间内系统严重损坏影响日常经营，或者系统数据出现严重错误等紧急服务请求的处理。</w:t>
            </w:r>
          </w:p>
        </w:tc>
      </w:tr>
      <w:tr w14:paraId="6AFE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069ADF05">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4</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2CB67BEF">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二次开发</w:t>
            </w:r>
          </w:p>
          <w:p w14:paraId="7CECE486">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B6BF20B">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软件自身缺陷修复、常规性版本升级。</w:t>
            </w:r>
          </w:p>
        </w:tc>
      </w:tr>
      <w:tr w14:paraId="10FF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9F3565C">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5</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221C9EDE">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资讯服务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B41E87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1.软件使用培训、电话支持。</w:t>
            </w:r>
          </w:p>
          <w:p w14:paraId="5A479946">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2.视频、文档等培训材料提供。</w:t>
            </w:r>
          </w:p>
          <w:p w14:paraId="1176218A">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3.定时发布软件问题处理FAQ。</w:t>
            </w:r>
          </w:p>
        </w:tc>
      </w:tr>
      <w:tr w14:paraId="0966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C1CA8E8">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6</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5E0E313">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现场服务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4D81C8B0">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1.软件重大版本升级。</w:t>
            </w:r>
          </w:p>
          <w:p w14:paraId="6AE9ADB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2.远程难以处理的疑难问题。</w:t>
            </w:r>
          </w:p>
          <w:p w14:paraId="39B50C86">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3.重大需求讨论、交付。</w:t>
            </w:r>
          </w:p>
          <w:p w14:paraId="3D6870AD">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4.重大实施类项目的前期调研。</w:t>
            </w:r>
          </w:p>
        </w:tc>
      </w:tr>
      <w:tr w14:paraId="062DF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25DAD65F">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7</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032EDFA2">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需求服务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B9BAF8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1.需求调研、采集、分析、解决方案的提供。</w:t>
            </w:r>
          </w:p>
          <w:p w14:paraId="2B9A7BDF">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2.需求进度跟踪、反馈。</w:t>
            </w:r>
          </w:p>
          <w:p w14:paraId="5E64576D">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3.以远程为主的需求测试、交付。</w:t>
            </w:r>
          </w:p>
          <w:p w14:paraId="2058B60F">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4.允许用户接入的需求平台，接入的用户可以通过平台管理需求。</w:t>
            </w:r>
          </w:p>
        </w:tc>
      </w:tr>
      <w:tr w14:paraId="21E37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539C48B1">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8</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0DCB523C">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巡检服务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DB2EBF9">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1.客户基本信息登记表、首次巡检或者客户信息有变动时需要填写。</w:t>
            </w:r>
          </w:p>
          <w:p w14:paraId="44C59415">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2.主要服务器情况登记表，首次巡检时做一次全面登记，后续如果有变更补充即可。</w:t>
            </w:r>
          </w:p>
          <w:p w14:paraId="4E1A0B4C">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3.数据备份情况，需要逐步引导用户自己完成。</w:t>
            </w:r>
          </w:p>
          <w:p w14:paraId="343D6DC3">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（1）逻辑备份情况：需要告知客户定期检查备份情况，例如：每天查看一次</w:t>
            </w:r>
          </w:p>
          <w:p w14:paraId="7C8CE01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（2）灾难备份程序运行情况</w:t>
            </w:r>
          </w:p>
          <w:p w14:paraId="4CADC513">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4.数据库运行情况登记表。</w:t>
            </w:r>
          </w:p>
          <w:p w14:paraId="1082EB12">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5.软件运行情况反馈表。</w:t>
            </w:r>
          </w:p>
          <w:p w14:paraId="4F417D1E">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6.软件处理FAQ定期提交给信息中心。</w:t>
            </w:r>
          </w:p>
          <w:p w14:paraId="3D696B9E">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7.数据库巡检：维保软件产品对应表空间使用情况、数据备份、数据库基本运行情况等基本情况查看。</w:t>
            </w:r>
          </w:p>
          <w:p w14:paraId="7276304E">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8.维保软件产品对应的SQL调优，包括SQL语法调整、索引调优等。</w:t>
            </w:r>
          </w:p>
        </w:tc>
      </w:tr>
      <w:tr w14:paraId="324E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5528DC2F">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9</w:t>
            </w:r>
          </w:p>
        </w:tc>
        <w:tc>
          <w:tcPr>
            <w:tcW w:w="1426" w:type="dxa"/>
            <w:tcBorders>
              <w:left w:val="single" w:color="auto" w:sz="4" w:space="0"/>
              <w:bottom w:val="single" w:color="auto" w:sz="4" w:space="0"/>
              <w:right w:val="single" w:color="auto" w:sz="4" w:space="0"/>
            </w:tcBorders>
            <w:tcMar>
              <w:top w:w="15" w:type="dxa"/>
              <w:left w:w="15" w:type="dxa"/>
              <w:bottom w:w="15" w:type="dxa"/>
              <w:right w:w="15" w:type="dxa"/>
            </w:tcMar>
            <w:vAlign w:val="center"/>
          </w:tcPr>
          <w:p w14:paraId="194D37F8">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上门服务</w:t>
            </w:r>
          </w:p>
          <w:p w14:paraId="175A4E2B">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响应时间</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27E901A1">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1.一级故障：当软件故障使甲方无法正常营业时，乙方在收到甲方服务通知后2小时内到达故障现场。</w:t>
            </w:r>
          </w:p>
          <w:p w14:paraId="5A81F704">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2.二级故障：当软件故障不影响甲方正常营业时，乙方将在与甲方协商同意的基础上，视具体情况安排软件工程师适时上门现场解决问题。</w:t>
            </w:r>
          </w:p>
        </w:tc>
      </w:tr>
      <w:tr w14:paraId="3914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0EC3F1B8">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426"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75D2576D">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现场支持</w:t>
            </w:r>
          </w:p>
          <w:p w14:paraId="0ADAC872">
            <w:pPr>
              <w:pStyle w:val="315"/>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服务</w:t>
            </w:r>
          </w:p>
        </w:tc>
        <w:tc>
          <w:tcPr>
            <w:tcW w:w="6173" w:type="dxa"/>
            <w:tcBorders>
              <w:top w:val="single" w:color="auto" w:sz="4" w:space="0"/>
              <w:left w:val="single" w:color="auto" w:sz="4" w:space="0"/>
              <w:bottom w:val="single" w:color="auto" w:sz="4" w:space="0"/>
              <w:right w:val="single" w:color="auto" w:sz="4" w:space="0"/>
            </w:tcBorders>
            <w:tcMar>
              <w:top w:w="15" w:type="dxa"/>
              <w:left w:w="15" w:type="dxa"/>
              <w:bottom w:w="15" w:type="dxa"/>
              <w:right w:w="15" w:type="dxa"/>
            </w:tcMar>
            <w:vAlign w:val="center"/>
          </w:tcPr>
          <w:p w14:paraId="36B474E8">
            <w:pPr>
              <w:pStyle w:val="31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定期一年四次常规巡检，巡检内容主要包括：系统运行状态检查、问题和需求汇总、现场技术沟通和相关应用培训等，并向采购人提供一份巡检报告。</w:t>
            </w:r>
          </w:p>
        </w:tc>
      </w:tr>
    </w:tbl>
    <w:p w14:paraId="6795F85C">
      <w:pPr>
        <w:pStyle w:val="214"/>
        <w:tabs>
          <w:tab w:val="left" w:pos="1960"/>
        </w:tabs>
        <w:spacing w:line="5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2.7网络租赁服务</w:t>
      </w:r>
    </w:p>
    <w:p w14:paraId="253FA325">
      <w:pPr>
        <w:pStyle w:val="214"/>
        <w:tabs>
          <w:tab w:val="left" w:pos="1960"/>
        </w:tabs>
        <w:spacing w:line="5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根据项目建设需要，完成各级医疗机构的网络通讯能力建设。</w:t>
      </w:r>
    </w:p>
    <w:p w14:paraId="0274DEC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二、项目实施要求</w:t>
      </w:r>
    </w:p>
    <w:p w14:paraId="302F356F">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1.投标人有责任检查安装现场是否符合产品安装条件。</w:t>
      </w:r>
    </w:p>
    <w:p w14:paraId="100A71B8">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2.投标人应承担投标软件的安装、测试和有关配置工作，进行实际的测试。</w:t>
      </w:r>
    </w:p>
    <w:p w14:paraId="288AFB30">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3.投标人应全力与采购人、集成商及其他供应商配合，根据采购人的详细需求，提交实施方案得到采购人及集成商确认后实施，保证系统按时、正常地投入运行。</w:t>
      </w:r>
    </w:p>
    <w:p w14:paraId="29E19D3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4.产品实施过程中，如果牵涉与第三方产品集成工作，投标人应与集成商及其他供应商通力合作，并提供必要的技术支持。</w:t>
      </w:r>
    </w:p>
    <w:p w14:paraId="2F7CDAB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5.投标人应在投标书中提供本次项目实施的实施人员名单，以及整个软件实施工期的具体计划安排表。</w:t>
      </w:r>
    </w:p>
    <w:p w14:paraId="046050EE">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6.工期：一年。</w:t>
      </w:r>
    </w:p>
    <w:p w14:paraId="344F31B4">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三、项目培训要求</w:t>
      </w:r>
    </w:p>
    <w:p w14:paraId="6688F643">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1.投标人应在投标文件中提出培训计划，计划包括培训项目、人数、日程、资料、其他等详细内容。</w:t>
      </w:r>
    </w:p>
    <w:p w14:paraId="4E24ABC9">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2.技术培训的内容必须包含软件的日常操作和管理维护，以及基本的故障诊断与排错。</w:t>
      </w:r>
    </w:p>
    <w:p w14:paraId="49FEB551">
      <w:pPr>
        <w:pStyle w:val="214"/>
        <w:tabs>
          <w:tab w:val="left" w:pos="1960"/>
        </w:tabs>
        <w:spacing w:line="540" w:lineRule="exact"/>
        <w:ind w:firstLine="560"/>
        <w:rPr>
          <w:rFonts w:ascii="仿宋" w:hAnsi="仿宋" w:eastAsia="仿宋"/>
          <w:color w:val="auto"/>
          <w:sz w:val="28"/>
          <w:szCs w:val="28"/>
          <w:highlight w:val="yellow"/>
        </w:rPr>
      </w:pPr>
      <w:r>
        <w:rPr>
          <w:rFonts w:hint="eastAsia" w:ascii="仿宋" w:hAnsi="仿宋" w:eastAsia="仿宋"/>
          <w:color w:val="auto"/>
          <w:sz w:val="28"/>
          <w:szCs w:val="28"/>
          <w:highlight w:val="yellow"/>
        </w:rPr>
        <w:t>3.培训人员必须</w:t>
      </w:r>
      <w:r>
        <w:rPr>
          <w:rFonts w:hint="eastAsia" w:ascii="仿宋" w:hAnsi="仿宋" w:eastAsia="仿宋"/>
          <w:color w:val="auto"/>
          <w:sz w:val="28"/>
          <w:szCs w:val="28"/>
          <w:highlight w:val="yellow"/>
          <w:lang w:eastAsia="zh-CN"/>
        </w:rPr>
        <w:t>具有信息系统高级</w:t>
      </w:r>
      <w:r>
        <w:rPr>
          <w:rFonts w:hint="eastAsia" w:ascii="仿宋" w:hAnsi="仿宋" w:eastAsia="仿宋"/>
          <w:color w:val="auto"/>
          <w:sz w:val="28"/>
          <w:szCs w:val="28"/>
          <w:highlight w:val="yellow"/>
        </w:rPr>
        <w:t>工程师</w:t>
      </w:r>
      <w:r>
        <w:rPr>
          <w:rFonts w:hint="eastAsia" w:ascii="仿宋" w:hAnsi="仿宋" w:eastAsia="仿宋"/>
          <w:color w:val="auto"/>
          <w:sz w:val="28"/>
          <w:szCs w:val="28"/>
          <w:highlight w:val="yellow"/>
          <w:lang w:eastAsia="zh-CN"/>
        </w:rPr>
        <w:t>职称</w:t>
      </w:r>
      <w:r>
        <w:rPr>
          <w:rFonts w:hint="eastAsia" w:ascii="仿宋" w:hAnsi="仿宋" w:eastAsia="仿宋"/>
          <w:color w:val="auto"/>
          <w:sz w:val="28"/>
          <w:szCs w:val="28"/>
          <w:highlight w:val="yellow"/>
        </w:rPr>
        <w:t>。</w:t>
      </w:r>
    </w:p>
    <w:p w14:paraId="13F3D35F">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四、售后服务要求</w:t>
      </w:r>
    </w:p>
    <w:p w14:paraId="2F99764C">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1.投标人必须为本项目内所供应和安装的产品提供一年的免费质保服务。</w:t>
      </w:r>
    </w:p>
    <w:p w14:paraId="184D8123">
      <w:pPr>
        <w:pStyle w:val="214"/>
        <w:tabs>
          <w:tab w:val="left" w:pos="1960"/>
        </w:tabs>
        <w:spacing w:line="540" w:lineRule="exact"/>
        <w:ind w:firstLine="560"/>
        <w:rPr>
          <w:rFonts w:ascii="仿宋" w:hAnsi="仿宋" w:eastAsia="仿宋"/>
          <w:sz w:val="28"/>
          <w:szCs w:val="28"/>
          <w:highlight w:val="yellow"/>
        </w:rPr>
      </w:pPr>
      <w:r>
        <w:rPr>
          <w:rFonts w:hint="eastAsia" w:ascii="仿宋" w:hAnsi="仿宋" w:eastAsia="仿宋"/>
          <w:sz w:val="28"/>
          <w:szCs w:val="28"/>
          <w:highlight w:val="yellow"/>
        </w:rPr>
        <w:t>2.投标人必须配有</w:t>
      </w:r>
      <w:r>
        <w:rPr>
          <w:rFonts w:hint="eastAsia" w:ascii="仿宋" w:hAnsi="仿宋" w:eastAsia="仿宋"/>
          <w:sz w:val="28"/>
          <w:szCs w:val="28"/>
          <w:highlight w:val="yellow"/>
          <w:lang w:eastAsia="zh-CN"/>
        </w:rPr>
        <w:t>不少于</w:t>
      </w:r>
      <w:r>
        <w:rPr>
          <w:rFonts w:hint="eastAsia" w:ascii="仿宋" w:hAnsi="仿宋" w:eastAsia="仿宋"/>
          <w:sz w:val="28"/>
          <w:szCs w:val="28"/>
          <w:highlight w:val="yellow"/>
          <w:lang w:val="en-US" w:eastAsia="zh-CN"/>
        </w:rPr>
        <w:t>6人技术团队</w:t>
      </w:r>
      <w:r>
        <w:rPr>
          <w:rFonts w:hint="eastAsia" w:ascii="仿宋" w:hAnsi="仿宋" w:eastAsia="仿宋"/>
          <w:sz w:val="28"/>
          <w:szCs w:val="28"/>
          <w:highlight w:val="yellow"/>
        </w:rPr>
        <w:t>，能确保现场实施和售后现场服务响应。</w:t>
      </w:r>
    </w:p>
    <w:p w14:paraId="557CDDF5">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3.由于医疗卫生信息系统的特殊性。因此，在接到系统故障通知后，投标人必须在20分钟内响应。对于影响系统正常运行的严重故障，投标人的相关技术人员必须在接到故障通知后2小时内赶到现场，查找原因，提出解决方案，并工作直至故障修妥完全恢复正常工作为止，一般要求保证系统在24小时之内修复，并需要提供确保承诺实现的措施。</w:t>
      </w:r>
    </w:p>
    <w:p w14:paraId="0DA1EB2D">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yellow"/>
        </w:rPr>
        <w:t>4.软件实施期间需</w:t>
      </w:r>
      <w:r>
        <w:rPr>
          <w:rFonts w:hint="eastAsia" w:ascii="仿宋" w:hAnsi="仿宋" w:eastAsia="仿宋"/>
          <w:sz w:val="28"/>
          <w:szCs w:val="28"/>
          <w:highlight w:val="yellow"/>
          <w:lang w:eastAsia="zh-CN"/>
        </w:rPr>
        <w:t>项目负责人</w:t>
      </w:r>
      <w:r>
        <w:rPr>
          <w:rFonts w:hint="eastAsia" w:ascii="仿宋" w:hAnsi="仿宋" w:eastAsia="仿宋"/>
          <w:sz w:val="28"/>
          <w:szCs w:val="28"/>
          <w:highlight w:val="yellow"/>
        </w:rPr>
        <w:t>定点实施。质保期间内也需</w:t>
      </w:r>
      <w:r>
        <w:rPr>
          <w:rFonts w:hint="eastAsia" w:ascii="仿宋" w:hAnsi="仿宋" w:eastAsia="仿宋"/>
          <w:sz w:val="28"/>
          <w:szCs w:val="28"/>
          <w:highlight w:val="yellow"/>
          <w:lang w:eastAsia="zh-CN"/>
        </w:rPr>
        <w:t>项目负责人</w:t>
      </w:r>
      <w:r>
        <w:rPr>
          <w:rFonts w:hint="eastAsia" w:ascii="仿宋" w:hAnsi="仿宋" w:eastAsia="仿宋"/>
          <w:sz w:val="28"/>
          <w:szCs w:val="28"/>
          <w:highlight w:val="yellow"/>
        </w:rPr>
        <w:t>定期参加日常维护工作。</w:t>
      </w:r>
    </w:p>
    <w:p w14:paraId="51D20306">
      <w:pPr>
        <w:pStyle w:val="214"/>
        <w:tabs>
          <w:tab w:val="left" w:pos="1960"/>
        </w:tabs>
        <w:spacing w:line="540" w:lineRule="exact"/>
        <w:ind w:firstLine="560"/>
        <w:rPr>
          <w:rFonts w:hint="default" w:ascii="仿宋" w:hAnsi="仿宋" w:eastAsia="仿宋"/>
          <w:sz w:val="28"/>
          <w:szCs w:val="28"/>
          <w:highlight w:val="yellow"/>
          <w:lang w:val="en-US" w:eastAsia="zh-CN"/>
        </w:rPr>
      </w:pPr>
      <w:r>
        <w:rPr>
          <w:rFonts w:hint="eastAsia" w:ascii="仿宋" w:hAnsi="仿宋" w:eastAsia="仿宋"/>
          <w:sz w:val="28"/>
          <w:szCs w:val="28"/>
          <w:highlight w:val="yellow"/>
          <w:lang w:val="en-US" w:eastAsia="zh-CN"/>
        </w:rPr>
        <w:t>5.驻场人员要求：项目验收合格后，派驻不少于一名具有计算机相关专业本科及以上学历、3年以上相关工作经验的技术人员进行驻场运维工作，派驻期1年。</w:t>
      </w:r>
    </w:p>
    <w:p w14:paraId="2BBF4DFA">
      <w:pPr>
        <w:pStyle w:val="214"/>
        <w:tabs>
          <w:tab w:val="left" w:pos="1960"/>
        </w:tabs>
        <w:spacing w:line="540" w:lineRule="exact"/>
        <w:ind w:firstLine="560"/>
        <w:rPr>
          <w:rFonts w:ascii="仿宋" w:hAnsi="仿宋" w:eastAsia="仿宋"/>
          <w:sz w:val="28"/>
          <w:szCs w:val="28"/>
          <w:highlight w:val="none"/>
        </w:rPr>
      </w:pPr>
      <w:r>
        <w:rPr>
          <w:rFonts w:hint="eastAsia" w:ascii="仿宋" w:hAnsi="仿宋" w:eastAsia="仿宋"/>
          <w:sz w:val="28"/>
          <w:szCs w:val="28"/>
          <w:highlight w:val="none"/>
        </w:rPr>
        <w:t>五、付款方式</w:t>
      </w:r>
    </w:p>
    <w:bookmarkEnd w:id="47"/>
    <w:p w14:paraId="4B9D069F">
      <w:pPr>
        <w:pStyle w:val="214"/>
        <w:tabs>
          <w:tab w:val="left" w:pos="1960"/>
        </w:tabs>
        <w:spacing w:line="5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eastAsia="zh-CN"/>
        </w:rPr>
        <w:t>依据苏财购〔2020〕52号文和淮审批发〔2022〕23号文的相关规定，合同签订后15日内预付合同款项的40%，项目试运行一个月后方可组织项目验收，验收合格后再支付合同价款的55%，运行一年后采购人支付合同剩余款项</w:t>
      </w:r>
      <w:r>
        <w:rPr>
          <w:rFonts w:hint="eastAsia" w:ascii="仿宋" w:hAnsi="仿宋" w:eastAsia="仿宋"/>
          <w:sz w:val="28"/>
          <w:szCs w:val="28"/>
          <w:highlight w:val="none"/>
        </w:rPr>
        <w:t>。</w:t>
      </w:r>
    </w:p>
    <w:p w14:paraId="62A3B7A1">
      <w:pPr>
        <w:pStyle w:val="214"/>
        <w:tabs>
          <w:tab w:val="left" w:pos="1960"/>
        </w:tabs>
        <w:spacing w:line="540" w:lineRule="exact"/>
        <w:ind w:firstLine="560"/>
        <w:rPr>
          <w:rFonts w:hint="eastAsia" w:ascii="仿宋" w:hAnsi="仿宋" w:eastAsia="仿宋" w:cs="仿宋"/>
          <w:sz w:val="28"/>
          <w:szCs w:val="28"/>
        </w:rPr>
      </w:pPr>
      <w:r>
        <w:rPr>
          <w:rFonts w:hint="eastAsia" w:ascii="仿宋" w:hAnsi="仿宋" w:eastAsia="仿宋" w:cs="仿宋"/>
          <w:sz w:val="28"/>
          <w:szCs w:val="28"/>
        </w:rPr>
        <w:br w:type="page" w:clear="all"/>
      </w:r>
    </w:p>
    <w:p w14:paraId="3538BCE8">
      <w:pPr>
        <w:pStyle w:val="250"/>
        <w:rPr>
          <w:rFonts w:hint="eastAsia" w:ascii="仿宋" w:hAnsi="仿宋" w:eastAsia="仿宋" w:cs="仿宋"/>
          <w:sz w:val="28"/>
          <w:szCs w:val="28"/>
          <w:lang w:eastAsia="zh-CN"/>
        </w:rPr>
      </w:pPr>
    </w:p>
    <w:p w14:paraId="7876BAF4">
      <w:pPr>
        <w:pStyle w:val="214"/>
        <w:ind w:firstLine="2103"/>
        <w:rPr>
          <w:rFonts w:hint="eastAsia" w:ascii="仿宋" w:hAnsi="仿宋" w:eastAsia="仿宋"/>
          <w:b/>
          <w:sz w:val="36"/>
          <w:szCs w:val="24"/>
          <w:lang w:eastAsia="zh-CN"/>
        </w:rPr>
      </w:pPr>
      <w:r>
        <w:rPr>
          <w:rFonts w:hint="eastAsia" w:ascii="仿宋" w:hAnsi="仿宋" w:eastAsia="仿宋"/>
          <w:b/>
          <w:sz w:val="36"/>
          <w:szCs w:val="24"/>
          <w:lang w:eastAsia="zh-CN"/>
        </w:rPr>
        <w:t>第六章投标文件</w:t>
      </w:r>
    </w:p>
    <w:p w14:paraId="108709C6">
      <w:pPr>
        <w:pStyle w:val="214"/>
        <w:rPr>
          <w:rFonts w:hint="eastAsia" w:ascii="仿宋" w:hAnsi="仿宋" w:eastAsia="仿宋"/>
          <w:sz w:val="44"/>
          <w:szCs w:val="44"/>
        </w:rPr>
      </w:pPr>
    </w:p>
    <w:p w14:paraId="49F063F4">
      <w:pPr>
        <w:pStyle w:val="214"/>
        <w:rPr>
          <w:rFonts w:hint="eastAsia" w:ascii="仿宋" w:hAnsi="仿宋" w:eastAsia="仿宋"/>
          <w:sz w:val="32"/>
        </w:rPr>
      </w:pPr>
    </w:p>
    <w:p w14:paraId="673D4C18">
      <w:pPr>
        <w:pStyle w:val="214"/>
        <w:rPr>
          <w:rFonts w:hint="eastAsia" w:ascii="仿宋" w:hAnsi="仿宋" w:eastAsia="仿宋"/>
          <w:sz w:val="32"/>
        </w:rPr>
      </w:pPr>
    </w:p>
    <w:p w14:paraId="261F7D9F">
      <w:pPr>
        <w:pStyle w:val="214"/>
        <w:rPr>
          <w:rFonts w:hint="eastAsia" w:ascii="仿宋" w:hAnsi="仿宋" w:eastAsia="仿宋"/>
          <w:sz w:val="32"/>
        </w:rPr>
      </w:pPr>
    </w:p>
    <w:p w14:paraId="77342C2A">
      <w:pPr>
        <w:pStyle w:val="214"/>
        <w:rPr>
          <w:rFonts w:hint="eastAsia" w:ascii="仿宋" w:hAnsi="仿宋" w:eastAsia="仿宋"/>
          <w:sz w:val="32"/>
        </w:rPr>
      </w:pPr>
    </w:p>
    <w:p w14:paraId="0344AD1F">
      <w:pPr>
        <w:spacing w:line="400" w:lineRule="exact"/>
        <w:ind w:firstLine="1084"/>
        <w:rPr>
          <w:rFonts w:hint="eastAsia" w:ascii="仿宋" w:hAnsi="仿宋" w:eastAsia="仿宋"/>
          <w:b/>
          <w:bCs/>
          <w:sz w:val="36"/>
        </w:rPr>
      </w:pPr>
      <w:r>
        <w:rPr>
          <w:rFonts w:hint="eastAsia" w:ascii="仿宋" w:hAnsi="仿宋" w:eastAsia="仿宋"/>
          <w:b/>
          <w:bCs/>
          <w:sz w:val="36"/>
        </w:rPr>
        <w:t>项目名称</w:t>
      </w:r>
      <w:r>
        <w:rPr>
          <w:rFonts w:hint="eastAsia" w:ascii="仿宋" w:hAnsi="仿宋" w:eastAsia="仿宋"/>
          <w:b/>
          <w:bCs/>
          <w:sz w:val="36"/>
          <w:lang w:eastAsia="zh-CN"/>
        </w:rPr>
        <w:t>：</w:t>
      </w:r>
    </w:p>
    <w:p w14:paraId="6663CCA9">
      <w:pPr>
        <w:pStyle w:val="214"/>
        <w:rPr>
          <w:rFonts w:hint="eastAsia" w:ascii="仿宋" w:hAnsi="仿宋" w:eastAsia="仿宋"/>
          <w:sz w:val="32"/>
        </w:rPr>
      </w:pPr>
    </w:p>
    <w:p w14:paraId="06CFDEA0">
      <w:pPr>
        <w:pStyle w:val="214"/>
        <w:ind w:firstLine="1066"/>
        <w:rPr>
          <w:rFonts w:hint="eastAsia" w:ascii="仿宋" w:hAnsi="仿宋" w:eastAsia="仿宋"/>
          <w:b/>
          <w:sz w:val="36"/>
          <w:szCs w:val="24"/>
        </w:rPr>
      </w:pPr>
    </w:p>
    <w:p w14:paraId="4FA20D3D">
      <w:pPr>
        <w:pStyle w:val="214"/>
        <w:ind w:firstLine="1066"/>
        <w:rPr>
          <w:rFonts w:hint="eastAsia" w:ascii="仿宋" w:hAnsi="仿宋" w:eastAsia="仿宋"/>
          <w:b/>
          <w:sz w:val="36"/>
          <w:szCs w:val="24"/>
        </w:rPr>
      </w:pPr>
    </w:p>
    <w:p w14:paraId="1BA7884B">
      <w:pPr>
        <w:pStyle w:val="214"/>
        <w:ind w:firstLine="1066"/>
        <w:rPr>
          <w:rFonts w:hint="eastAsia" w:ascii="仿宋" w:hAnsi="仿宋" w:eastAsia="仿宋"/>
          <w:b/>
          <w:sz w:val="36"/>
          <w:szCs w:val="24"/>
        </w:rPr>
      </w:pPr>
    </w:p>
    <w:p w14:paraId="2E7BD8F1">
      <w:pPr>
        <w:pStyle w:val="214"/>
        <w:ind w:firstLine="1066"/>
        <w:rPr>
          <w:rFonts w:hint="eastAsia" w:ascii="仿宋" w:hAnsi="仿宋" w:eastAsia="仿宋"/>
          <w:b/>
          <w:sz w:val="36"/>
          <w:szCs w:val="24"/>
        </w:rPr>
      </w:pPr>
    </w:p>
    <w:p w14:paraId="441E262D">
      <w:pPr>
        <w:pStyle w:val="214"/>
        <w:ind w:firstLine="1066"/>
        <w:rPr>
          <w:rFonts w:hint="eastAsia" w:ascii="仿宋" w:hAnsi="仿宋" w:eastAsia="仿宋"/>
          <w:b/>
          <w:sz w:val="36"/>
          <w:szCs w:val="24"/>
        </w:rPr>
      </w:pPr>
      <w:r>
        <w:rPr>
          <w:rFonts w:hint="eastAsia" w:ascii="仿宋" w:hAnsi="仿宋" w:eastAsia="仿宋"/>
          <w:b/>
          <w:sz w:val="36"/>
          <w:szCs w:val="24"/>
        </w:rPr>
        <w:t>项目编号</w:t>
      </w:r>
      <w:r>
        <w:rPr>
          <w:rFonts w:hint="eastAsia" w:ascii="仿宋" w:hAnsi="仿宋" w:eastAsia="仿宋"/>
          <w:b/>
          <w:sz w:val="36"/>
          <w:szCs w:val="24"/>
          <w:lang w:eastAsia="zh-CN"/>
        </w:rPr>
        <w:t>：</w:t>
      </w:r>
    </w:p>
    <w:p w14:paraId="4600ED1F">
      <w:pPr>
        <w:spacing w:line="400" w:lineRule="exact"/>
        <w:rPr>
          <w:rFonts w:hint="eastAsia" w:ascii="仿宋" w:hAnsi="仿宋" w:eastAsia="仿宋"/>
          <w:sz w:val="32"/>
          <w:szCs w:val="20"/>
        </w:rPr>
      </w:pPr>
    </w:p>
    <w:p w14:paraId="30B4EE60">
      <w:pPr>
        <w:spacing w:line="400" w:lineRule="exact"/>
        <w:rPr>
          <w:rFonts w:hint="eastAsia" w:ascii="仿宋" w:hAnsi="仿宋" w:eastAsia="仿宋"/>
          <w:sz w:val="32"/>
          <w:szCs w:val="20"/>
        </w:rPr>
      </w:pPr>
    </w:p>
    <w:p w14:paraId="3F32356C">
      <w:pPr>
        <w:spacing w:line="400" w:lineRule="exact"/>
        <w:rPr>
          <w:rFonts w:hint="eastAsia" w:ascii="仿宋" w:hAnsi="仿宋" w:eastAsia="仿宋"/>
          <w:sz w:val="32"/>
          <w:szCs w:val="20"/>
        </w:rPr>
      </w:pPr>
    </w:p>
    <w:p w14:paraId="50E6BBCC">
      <w:pPr>
        <w:spacing w:line="400" w:lineRule="exact"/>
        <w:rPr>
          <w:rFonts w:hint="eastAsia" w:ascii="仿宋" w:hAnsi="仿宋" w:eastAsia="仿宋"/>
          <w:sz w:val="32"/>
          <w:szCs w:val="20"/>
        </w:rPr>
      </w:pPr>
    </w:p>
    <w:p w14:paraId="10AB72C6">
      <w:pPr>
        <w:spacing w:line="400" w:lineRule="exact"/>
        <w:rPr>
          <w:rFonts w:hint="eastAsia" w:ascii="仿宋" w:hAnsi="仿宋" w:eastAsia="仿宋"/>
          <w:sz w:val="32"/>
          <w:szCs w:val="20"/>
        </w:rPr>
      </w:pPr>
    </w:p>
    <w:p w14:paraId="0F34CEA1">
      <w:pPr>
        <w:spacing w:line="400" w:lineRule="exact"/>
        <w:rPr>
          <w:rFonts w:hint="eastAsia" w:ascii="仿宋" w:hAnsi="仿宋" w:eastAsia="仿宋"/>
          <w:sz w:val="32"/>
          <w:szCs w:val="20"/>
        </w:rPr>
      </w:pPr>
    </w:p>
    <w:p w14:paraId="75414CDA">
      <w:pPr>
        <w:spacing w:line="400" w:lineRule="exact"/>
        <w:ind w:firstLine="1066"/>
        <w:rPr>
          <w:rFonts w:hint="eastAsia" w:ascii="仿宋" w:hAnsi="仿宋" w:eastAsia="仿宋"/>
          <w:b/>
          <w:bCs/>
          <w:sz w:val="32"/>
        </w:rPr>
      </w:pPr>
      <w:r>
        <w:rPr>
          <w:rFonts w:hint="eastAsia" w:ascii="仿宋" w:hAnsi="仿宋" w:eastAsia="仿宋"/>
          <w:b/>
          <w:bCs/>
          <w:sz w:val="36"/>
        </w:rPr>
        <w:t>投标人</w:t>
      </w:r>
      <w:r>
        <w:rPr>
          <w:rFonts w:hint="eastAsia" w:ascii="仿宋" w:hAnsi="仿宋" w:eastAsia="仿宋"/>
          <w:b/>
          <w:bCs/>
          <w:sz w:val="36"/>
          <w:lang w:eastAsia="zh-CN"/>
        </w:rPr>
        <w:t>：</w:t>
      </w:r>
    </w:p>
    <w:p w14:paraId="48EF1B20">
      <w:pPr>
        <w:pStyle w:val="214"/>
        <w:ind w:firstLine="1904"/>
        <w:rPr>
          <w:rFonts w:hint="eastAsia" w:ascii="仿宋" w:hAnsi="仿宋" w:eastAsia="仿宋"/>
          <w:sz w:val="32"/>
        </w:rPr>
      </w:pPr>
    </w:p>
    <w:p w14:paraId="3BBF6165">
      <w:pPr>
        <w:pStyle w:val="214"/>
        <w:ind w:firstLine="1904"/>
        <w:rPr>
          <w:rFonts w:hint="eastAsia" w:ascii="仿宋" w:hAnsi="仿宋" w:eastAsia="仿宋"/>
          <w:sz w:val="32"/>
        </w:rPr>
      </w:pPr>
    </w:p>
    <w:p w14:paraId="7E67F341">
      <w:pPr>
        <w:pStyle w:val="214"/>
        <w:ind w:firstLine="1904"/>
        <w:rPr>
          <w:rFonts w:hint="eastAsia" w:ascii="仿宋" w:hAnsi="仿宋" w:eastAsia="仿宋"/>
          <w:sz w:val="32"/>
        </w:rPr>
      </w:pPr>
    </w:p>
    <w:p w14:paraId="7E46212C">
      <w:pPr>
        <w:pStyle w:val="214"/>
        <w:ind w:firstLine="1904"/>
        <w:rPr>
          <w:rFonts w:hint="eastAsia" w:ascii="仿宋" w:hAnsi="仿宋" w:eastAsia="仿宋"/>
          <w:sz w:val="32"/>
        </w:rPr>
      </w:pPr>
    </w:p>
    <w:p w14:paraId="295502F7">
      <w:pPr>
        <w:pStyle w:val="214"/>
        <w:ind w:firstLine="1904"/>
        <w:rPr>
          <w:rFonts w:hint="eastAsia" w:ascii="仿宋" w:hAnsi="仿宋" w:eastAsia="仿宋"/>
          <w:sz w:val="32"/>
        </w:rPr>
      </w:pPr>
    </w:p>
    <w:p w14:paraId="240C6E53">
      <w:pPr>
        <w:pStyle w:val="214"/>
        <w:ind w:firstLine="1904"/>
        <w:rPr>
          <w:rFonts w:hint="eastAsia" w:ascii="仿宋" w:hAnsi="仿宋" w:eastAsia="仿宋"/>
          <w:sz w:val="32"/>
        </w:rPr>
      </w:pPr>
    </w:p>
    <w:p w14:paraId="5C73712F">
      <w:pPr>
        <w:pStyle w:val="214"/>
        <w:ind w:firstLine="1904"/>
        <w:rPr>
          <w:rFonts w:hint="eastAsia" w:ascii="仿宋" w:hAnsi="仿宋" w:eastAsia="仿宋"/>
          <w:sz w:val="32"/>
          <w:lang w:val="en-US" w:eastAsia="zh-CN"/>
        </w:rPr>
      </w:pPr>
      <w:r>
        <w:rPr>
          <w:rFonts w:hint="eastAsia" w:ascii="仿宋" w:hAnsi="仿宋" w:eastAsia="仿宋"/>
          <w:sz w:val="32"/>
          <w:lang w:val="en-US" w:eastAsia="zh-CN"/>
        </w:rPr>
        <w:t xml:space="preserve"> </w:t>
      </w:r>
    </w:p>
    <w:p w14:paraId="4DE821E0">
      <w:pPr>
        <w:pStyle w:val="214"/>
        <w:ind w:firstLine="2103"/>
        <w:rPr>
          <w:rFonts w:hint="eastAsia" w:ascii="仿宋" w:hAnsi="仿宋" w:eastAsia="仿宋"/>
          <w:b/>
          <w:sz w:val="32"/>
        </w:rPr>
      </w:pPr>
      <w:r>
        <w:rPr>
          <w:rFonts w:hint="eastAsia" w:ascii="仿宋" w:hAnsi="仿宋" w:eastAsia="仿宋"/>
          <w:b/>
          <w:sz w:val="36"/>
          <w:szCs w:val="24"/>
          <w:lang w:eastAsia="zh-CN"/>
        </w:rPr>
        <w:t>二〇二六</w:t>
      </w:r>
      <w:r>
        <w:rPr>
          <w:rFonts w:hint="eastAsia" w:ascii="仿宋" w:hAnsi="仿宋" w:eastAsia="仿宋"/>
          <w:b/>
          <w:sz w:val="36"/>
          <w:szCs w:val="24"/>
        </w:rPr>
        <w:t>年</w:t>
      </w:r>
      <w:r>
        <w:rPr>
          <w:rFonts w:hint="eastAsia" w:ascii="仿宋" w:hAnsi="仿宋" w:eastAsia="仿宋"/>
          <w:b/>
          <w:sz w:val="36"/>
          <w:szCs w:val="24"/>
          <w:lang w:val="en-US" w:eastAsia="zh-CN"/>
        </w:rPr>
        <w:t xml:space="preserve"> </w:t>
      </w:r>
      <w:r>
        <w:rPr>
          <w:rFonts w:hint="eastAsia" w:ascii="仿宋" w:hAnsi="仿宋" w:eastAsia="仿宋"/>
          <w:b/>
          <w:sz w:val="36"/>
          <w:szCs w:val="24"/>
        </w:rPr>
        <w:t>月</w:t>
      </w:r>
      <w:r>
        <w:rPr>
          <w:rFonts w:hint="eastAsia" w:ascii="仿宋" w:hAnsi="仿宋" w:eastAsia="仿宋"/>
          <w:b/>
          <w:sz w:val="36"/>
          <w:szCs w:val="24"/>
          <w:lang w:val="en-US" w:eastAsia="zh-CN"/>
        </w:rPr>
        <w:t xml:space="preserve"> </w:t>
      </w:r>
      <w:r>
        <w:rPr>
          <w:rFonts w:hint="eastAsia" w:ascii="仿宋" w:hAnsi="仿宋" w:eastAsia="仿宋"/>
          <w:b/>
          <w:sz w:val="36"/>
          <w:szCs w:val="24"/>
        </w:rPr>
        <w:t>日</w:t>
      </w:r>
    </w:p>
    <w:p w14:paraId="5156350D">
      <w:pPr>
        <w:spacing w:line="600" w:lineRule="exact"/>
        <w:rPr>
          <w:rFonts w:hint="eastAsia" w:ascii="仿宋" w:hAnsi="仿宋" w:eastAsia="仿宋"/>
          <w:b/>
          <w:bCs/>
          <w:sz w:val="28"/>
          <w:szCs w:val="28"/>
          <w:lang w:val="zh-CN"/>
        </w:rPr>
      </w:pPr>
    </w:p>
    <w:p w14:paraId="64972AC9">
      <w:pPr>
        <w:pStyle w:val="214"/>
        <w:spacing w:line="640" w:lineRule="exact"/>
        <w:jc w:val="center"/>
        <w:rPr>
          <w:rFonts w:hint="eastAsia" w:ascii="仿宋" w:hAnsi="仿宋" w:eastAsia="仿宋"/>
          <w:b/>
          <w:sz w:val="32"/>
          <w:szCs w:val="32"/>
        </w:rPr>
      </w:pPr>
    </w:p>
    <w:p w14:paraId="54CE9035">
      <w:pPr>
        <w:pStyle w:val="214"/>
        <w:spacing w:line="640" w:lineRule="exact"/>
        <w:jc w:val="center"/>
        <w:rPr>
          <w:rFonts w:hint="eastAsia" w:ascii="仿宋" w:hAnsi="仿宋" w:eastAsia="仿宋"/>
          <w:b/>
          <w:sz w:val="32"/>
          <w:szCs w:val="32"/>
        </w:rPr>
      </w:pPr>
      <w:r>
        <w:rPr>
          <w:rFonts w:hint="eastAsia" w:ascii="仿宋" w:hAnsi="仿宋" w:eastAsia="仿宋"/>
          <w:b/>
          <w:sz w:val="32"/>
          <w:szCs w:val="32"/>
        </w:rPr>
        <w:t>一、投标函</w:t>
      </w:r>
    </w:p>
    <w:p w14:paraId="472ED6BF">
      <w:pPr>
        <w:pStyle w:val="214"/>
        <w:spacing w:line="560" w:lineRule="exact"/>
        <w:rPr>
          <w:rFonts w:hint="eastAsia" w:ascii="仿宋" w:hAnsi="仿宋" w:eastAsia="仿宋"/>
          <w:sz w:val="28"/>
          <w:szCs w:val="24"/>
        </w:rPr>
      </w:pPr>
      <w:r>
        <w:rPr>
          <w:rFonts w:hint="eastAsia" w:ascii="仿宋" w:hAnsi="仿宋" w:eastAsia="仿宋" w:cs="仿宋"/>
          <w:sz w:val="28"/>
        </w:rPr>
        <w:t>淮安市洪泽区卫生健康委员会</w:t>
      </w:r>
      <w:r>
        <w:rPr>
          <w:rFonts w:hint="eastAsia" w:ascii="仿宋" w:hAnsi="仿宋" w:eastAsia="仿宋" w:cs="仿宋"/>
          <w:sz w:val="28"/>
          <w:lang w:eastAsia="zh-CN"/>
        </w:rPr>
        <w:t>：</w:t>
      </w:r>
    </w:p>
    <w:p w14:paraId="32D0F94F">
      <w:pPr>
        <w:pStyle w:val="277"/>
        <w:spacing w:before="0" w:after="0" w:line="560" w:lineRule="exact"/>
        <w:ind w:firstLine="560"/>
        <w:rPr>
          <w:rFonts w:hint="eastAsia" w:ascii="仿宋" w:hAnsi="仿宋" w:eastAsia="仿宋"/>
          <w:sz w:val="28"/>
          <w:szCs w:val="28"/>
        </w:rPr>
      </w:pPr>
      <w:r>
        <w:rPr>
          <w:rFonts w:hint="eastAsia" w:ascii="仿宋" w:hAnsi="仿宋" w:eastAsia="仿宋"/>
          <w:sz w:val="28"/>
          <w:szCs w:val="28"/>
        </w:rPr>
        <w:t>关于采购项目（项目编号</w:t>
      </w:r>
      <w:r>
        <w:rPr>
          <w:rFonts w:hint="eastAsia" w:ascii="仿宋" w:hAnsi="仿宋" w:eastAsia="仿宋"/>
          <w:sz w:val="28"/>
          <w:szCs w:val="28"/>
          <w:lang w:eastAsia="zh-CN"/>
        </w:rPr>
        <w:t>）</w:t>
      </w:r>
      <w:r>
        <w:rPr>
          <w:rFonts w:hint="eastAsia" w:ascii="仿宋" w:hAnsi="仿宋" w:eastAsia="仿宋"/>
          <w:sz w:val="28"/>
          <w:szCs w:val="28"/>
        </w:rPr>
        <w:t>招标文件（包括更正公告、如果有）收悉，我们经详细审阅和研究，现决定参加投标。同时，正式授权下述签字人（姓名和职务）代表（投标人单位名称），全权处理本次项目投标的有关事宜。</w:t>
      </w:r>
    </w:p>
    <w:p w14:paraId="2185C57F">
      <w:pPr>
        <w:pStyle w:val="277"/>
        <w:spacing w:before="0" w:after="0" w:line="560" w:lineRule="exact"/>
        <w:ind w:firstLine="560"/>
        <w:rPr>
          <w:rFonts w:hint="eastAsia" w:ascii="仿宋" w:hAnsi="仿宋" w:eastAsia="仿宋" w:cs="仿宋"/>
          <w:sz w:val="28"/>
          <w:szCs w:val="28"/>
          <w:u w:val="single"/>
          <w:lang w:eastAsia="zh-CN"/>
        </w:rPr>
      </w:pPr>
      <w:r>
        <w:rPr>
          <w:rFonts w:hint="eastAsia" w:ascii="仿宋" w:hAnsi="仿宋" w:eastAsia="仿宋" w:cs="仿宋"/>
          <w:sz w:val="28"/>
          <w:szCs w:val="28"/>
        </w:rPr>
        <w:t>1.按招标文件规定的各项要求，我方愿以投标报价为大写</w:t>
      </w:r>
      <w:r>
        <w:rPr>
          <w:rFonts w:hint="eastAsia" w:ascii="仿宋" w:hAnsi="仿宋" w:eastAsia="仿宋" w:cs="仿宋"/>
          <w:sz w:val="28"/>
          <w:szCs w:val="28"/>
          <w:lang w:eastAsia="zh-CN"/>
        </w:rPr>
        <w:t>：</w:t>
      </w:r>
      <w:r>
        <w:rPr>
          <w:rFonts w:hint="eastAsia" w:ascii="仿宋" w:hAnsi="仿宋" w:eastAsia="仿宋" w:cs="仿宋"/>
          <w:sz w:val="28"/>
          <w:szCs w:val="28"/>
        </w:rPr>
        <w:t>人民币</w:t>
      </w:r>
    </w:p>
    <w:p w14:paraId="232B2AD2">
      <w:pPr>
        <w:pStyle w:val="277"/>
        <w:spacing w:before="0" w:after="0" w:line="560" w:lineRule="exact"/>
        <w:ind w:firstLine="0"/>
        <w:rPr>
          <w:rFonts w:hint="eastAsia" w:ascii="仿宋" w:hAnsi="仿宋" w:eastAsia="仿宋" w:cs="仿宋"/>
          <w:sz w:val="28"/>
          <w:szCs w:val="28"/>
        </w:rPr>
      </w:pPr>
      <w:r>
        <w:rPr>
          <w:rFonts w:hint="eastAsia" w:ascii="仿宋" w:hAnsi="仿宋" w:eastAsia="仿宋" w:cs="仿宋"/>
          <w:sz w:val="28"/>
          <w:szCs w:val="28"/>
        </w:rPr>
        <w:t>元（</w:t>
      </w:r>
      <w:r>
        <w:rPr>
          <w:rFonts w:hint="eastAsia" w:ascii="仿宋" w:hAnsi="仿宋" w:eastAsia="仿宋" w:cs="仿宋"/>
          <w:sz w:val="28"/>
          <w:szCs w:val="28"/>
          <w:u w:val="single"/>
        </w:rPr>
        <w:t>¥</w:t>
      </w:r>
      <w:r>
        <w:rPr>
          <w:rFonts w:hint="eastAsia" w:ascii="仿宋" w:hAnsi="仿宋" w:eastAsia="仿宋" w:cs="仿宋"/>
          <w:sz w:val="28"/>
          <w:szCs w:val="28"/>
        </w:rPr>
        <w:t>元）的投标总报价并按招标文件的规定要求提供所需服务。</w:t>
      </w:r>
    </w:p>
    <w:p w14:paraId="4B9129BA">
      <w:pPr>
        <w:spacing w:line="560" w:lineRule="exact"/>
        <w:ind w:firstLine="560"/>
        <w:rPr>
          <w:rFonts w:hint="eastAsia" w:ascii="仿宋" w:hAnsi="仿宋" w:eastAsia="仿宋"/>
          <w:color w:val="000000"/>
          <w:sz w:val="28"/>
          <w:szCs w:val="28"/>
        </w:rPr>
      </w:pPr>
      <w:r>
        <w:rPr>
          <w:rFonts w:hint="eastAsia" w:ascii="仿宋" w:hAnsi="仿宋" w:eastAsia="仿宋"/>
          <w:sz w:val="28"/>
        </w:rPr>
        <w:t>2.</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0A5882A6">
      <w:pPr>
        <w:pStyle w:val="277"/>
        <w:spacing w:before="0" w:after="0" w:line="520" w:lineRule="exact"/>
        <w:ind w:firstLine="560"/>
        <w:jc w:val="both"/>
        <w:rPr>
          <w:rFonts w:hint="eastAsia" w:ascii="仿宋" w:hAnsi="仿宋" w:eastAsia="仿宋" w:cs="仿宋"/>
          <w:sz w:val="28"/>
          <w:szCs w:val="28"/>
        </w:rPr>
      </w:pPr>
      <w:r>
        <w:rPr>
          <w:rFonts w:hint="eastAsia" w:ascii="仿宋" w:hAnsi="仿宋" w:eastAsia="仿宋" w:cs="仿宋"/>
          <w:sz w:val="28"/>
          <w:szCs w:val="28"/>
        </w:rPr>
        <w:t>3.我公司不存在“负责人为同一人或者存在直接控股、管理关系的不同投标人，同时参加同一合同项下的政府采购活动”的情况。</w:t>
      </w:r>
    </w:p>
    <w:p w14:paraId="41A52CD3">
      <w:pPr>
        <w:spacing w:line="560" w:lineRule="exact"/>
        <w:ind w:firstLine="560"/>
        <w:rPr>
          <w:rFonts w:hint="eastAsia" w:ascii="仿宋" w:hAnsi="仿宋" w:eastAsia="仿宋"/>
          <w:sz w:val="28"/>
        </w:rPr>
      </w:pPr>
      <w:r>
        <w:rPr>
          <w:rFonts w:hint="eastAsia" w:ascii="仿宋" w:hAnsi="仿宋" w:eastAsia="仿宋"/>
          <w:sz w:val="28"/>
        </w:rPr>
        <w:t>4.参加本次采购活动前，我方没有被“信用中国”网站、“中国政府采购网”列入失信被执行人名单、重大税收违法案件当事人名单、政府采购严重违法失信行为记录名单。</w:t>
      </w:r>
    </w:p>
    <w:p w14:paraId="22CB1699">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color w:val="000000"/>
          <w:sz w:val="28"/>
          <w:szCs w:val="28"/>
        </w:rPr>
        <w:t>5.我们接受招标文件的所有的条款和规定。</w:t>
      </w:r>
    </w:p>
    <w:p w14:paraId="00D6054F">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szCs w:val="28"/>
        </w:rPr>
        <w:t>6.我们同意按照招标文件第二章第15条的规定，本投标文件的有效期为从开标</w:t>
      </w:r>
      <w:r>
        <w:rPr>
          <w:rFonts w:hint="eastAsia" w:ascii="仿宋" w:hAnsi="仿宋" w:eastAsia="仿宋"/>
          <w:sz w:val="28"/>
          <w:szCs w:val="28"/>
          <w:lang w:eastAsia="zh-CN"/>
        </w:rPr>
        <w:t>之日起</w:t>
      </w:r>
      <w:r>
        <w:rPr>
          <w:rFonts w:hint="eastAsia" w:ascii="仿宋" w:hAnsi="仿宋" w:eastAsia="仿宋"/>
          <w:sz w:val="28"/>
          <w:szCs w:val="28"/>
        </w:rPr>
        <w:t>计算的九十天，在此期间，本投标文件将始终对我们具有约束力，并可随时被接受。如果我们中标，本投标文件在此期间之后将继续保持有效。</w:t>
      </w:r>
    </w:p>
    <w:p w14:paraId="2A2426B8">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szCs w:val="28"/>
        </w:rPr>
        <w:t>7.我们理解，你们无义务必须接受投标价最低的投标。同时也理解你们不承担我们本次投标的费用。</w:t>
      </w:r>
    </w:p>
    <w:p w14:paraId="294D1796">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rPr>
        <w:t>8.我们同意向贵方提供贵方可能要求的与投标有关的任何证据或资料，并保证所提供的都是真实的、准确的。</w:t>
      </w:r>
    </w:p>
    <w:p w14:paraId="5F02D65C">
      <w:pPr>
        <w:pStyle w:val="277"/>
        <w:spacing w:before="0" w:after="0" w:line="560" w:lineRule="exact"/>
        <w:ind w:firstLine="560"/>
        <w:jc w:val="both"/>
        <w:rPr>
          <w:rFonts w:hint="eastAsia" w:ascii="仿宋" w:hAnsi="仿宋" w:eastAsia="仿宋"/>
          <w:sz w:val="28"/>
          <w:szCs w:val="28"/>
        </w:rPr>
      </w:pPr>
      <w:r>
        <w:rPr>
          <w:rFonts w:hint="eastAsia" w:ascii="仿宋" w:hAnsi="仿宋" w:eastAsia="仿宋"/>
          <w:sz w:val="28"/>
          <w:szCs w:val="28"/>
        </w:rPr>
        <w:t>9.一旦我方中标，我方将根据招标文件的规定，严格履行合同的责任和义务，并保证在按招标文件中规定的时间内提供服务。</w:t>
      </w:r>
    </w:p>
    <w:p w14:paraId="35C2E8DA">
      <w:pPr>
        <w:pStyle w:val="277"/>
        <w:spacing w:before="0" w:after="0" w:line="640" w:lineRule="exact"/>
        <w:ind w:right="560" w:firstLine="2940"/>
        <w:rPr>
          <w:rFonts w:hint="eastAsia" w:ascii="仿宋" w:hAnsi="仿宋" w:eastAsia="仿宋"/>
          <w:sz w:val="28"/>
        </w:rPr>
      </w:pPr>
    </w:p>
    <w:p w14:paraId="3BFB48A0">
      <w:pPr>
        <w:pStyle w:val="277"/>
        <w:spacing w:before="0" w:after="0" w:line="640" w:lineRule="exact"/>
        <w:ind w:right="560" w:firstLine="2940"/>
        <w:rPr>
          <w:rFonts w:hint="eastAsia" w:ascii="仿宋" w:hAnsi="仿宋" w:eastAsia="仿宋"/>
          <w:sz w:val="28"/>
          <w:u w:val="single"/>
          <w:lang w:eastAsia="zh-CN"/>
        </w:rPr>
      </w:pPr>
      <w:r>
        <w:rPr>
          <w:rFonts w:hint="eastAsia" w:ascii="仿宋" w:hAnsi="仿宋" w:eastAsia="仿宋"/>
          <w:sz w:val="28"/>
        </w:rPr>
        <w:t>投标人名称（</w:t>
      </w:r>
      <w:r>
        <w:rPr>
          <w:rFonts w:hint="eastAsia" w:ascii="仿宋" w:hAnsi="仿宋" w:eastAsia="仿宋"/>
          <w:sz w:val="28"/>
          <w:lang w:eastAsia="zh-CN"/>
        </w:rPr>
        <w:t>电子公章</w:t>
      </w:r>
      <w:r>
        <w:rPr>
          <w:rFonts w:hint="eastAsia" w:ascii="仿宋" w:hAnsi="仿宋" w:eastAsia="仿宋"/>
          <w:sz w:val="28"/>
        </w:rPr>
        <w:t>）</w:t>
      </w:r>
      <w:r>
        <w:rPr>
          <w:rFonts w:hint="eastAsia" w:ascii="仿宋" w:hAnsi="仿宋" w:eastAsia="仿宋"/>
          <w:sz w:val="28"/>
          <w:lang w:eastAsia="zh-CN"/>
        </w:rPr>
        <w:t>：</w:t>
      </w:r>
    </w:p>
    <w:p w14:paraId="501768CB">
      <w:pPr>
        <w:pStyle w:val="277"/>
        <w:spacing w:before="0" w:after="0" w:line="640" w:lineRule="exact"/>
        <w:ind w:right="560" w:firstLine="2940"/>
        <w:rPr>
          <w:rFonts w:hint="eastAsia" w:ascii="仿宋" w:hAnsi="仿宋" w:eastAsia="仿宋"/>
          <w:color w:val="000000"/>
          <w:sz w:val="28"/>
          <w:szCs w:val="28"/>
          <w:u w:val="single"/>
          <w:lang w:eastAsia="zh-CN"/>
        </w:rPr>
      </w:pP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r>
        <w:rPr>
          <w:rFonts w:hint="eastAsia" w:ascii="仿宋" w:hAnsi="仿宋" w:eastAsia="仿宋"/>
          <w:color w:val="000000"/>
          <w:sz w:val="28"/>
          <w:szCs w:val="28"/>
        </w:rPr>
        <w:t>邮编</w:t>
      </w:r>
      <w:r>
        <w:rPr>
          <w:rFonts w:hint="eastAsia" w:ascii="仿宋" w:hAnsi="仿宋" w:eastAsia="仿宋"/>
          <w:color w:val="000000"/>
          <w:sz w:val="28"/>
          <w:szCs w:val="28"/>
          <w:lang w:eastAsia="zh-CN"/>
        </w:rPr>
        <w:t>：</w:t>
      </w:r>
    </w:p>
    <w:p w14:paraId="1BA9CF45">
      <w:pPr>
        <w:pStyle w:val="277"/>
        <w:spacing w:before="0" w:after="0" w:line="640" w:lineRule="exact"/>
        <w:ind w:right="560" w:firstLine="2940"/>
        <w:rPr>
          <w:rFonts w:hint="eastAsia" w:ascii="仿宋" w:hAnsi="仿宋" w:eastAsia="仿宋"/>
          <w:color w:val="000000"/>
          <w:sz w:val="28"/>
          <w:szCs w:val="28"/>
          <w:u w:val="single"/>
          <w:lang w:eastAsia="zh-CN"/>
        </w:rPr>
      </w:pPr>
      <w:r>
        <w:rPr>
          <w:rFonts w:hint="eastAsia" w:ascii="仿宋" w:hAnsi="仿宋" w:eastAsia="仿宋"/>
          <w:sz w:val="28"/>
          <w:szCs w:val="28"/>
        </w:rPr>
        <w:t>电话</w:t>
      </w:r>
      <w:r>
        <w:rPr>
          <w:rFonts w:hint="eastAsia" w:ascii="仿宋" w:hAnsi="仿宋" w:eastAsia="仿宋"/>
          <w:sz w:val="28"/>
          <w:szCs w:val="28"/>
          <w:lang w:eastAsia="zh-CN"/>
        </w:rPr>
        <w:t>：</w:t>
      </w:r>
      <w:r>
        <w:rPr>
          <w:rFonts w:hint="eastAsia" w:ascii="仿宋" w:hAnsi="仿宋" w:eastAsia="仿宋"/>
          <w:sz w:val="28"/>
          <w:szCs w:val="28"/>
        </w:rPr>
        <w:t>传真</w:t>
      </w:r>
      <w:r>
        <w:rPr>
          <w:rFonts w:hint="eastAsia" w:ascii="仿宋" w:hAnsi="仿宋" w:eastAsia="仿宋"/>
          <w:sz w:val="28"/>
          <w:szCs w:val="28"/>
          <w:lang w:eastAsia="zh-CN"/>
        </w:rPr>
        <w:t>：</w:t>
      </w:r>
    </w:p>
    <w:p w14:paraId="2E94F317">
      <w:pPr>
        <w:pStyle w:val="214"/>
        <w:spacing w:line="640" w:lineRule="exact"/>
        <w:ind w:right="560" w:firstLine="2940"/>
        <w:rPr>
          <w:rFonts w:hint="eastAsia" w:ascii="仿宋" w:hAnsi="仿宋" w:eastAsia="仿宋"/>
          <w:sz w:val="28"/>
          <w:u w:val="single"/>
          <w:lang w:eastAsia="zh-CN"/>
        </w:rPr>
      </w:pPr>
      <w:r>
        <w:rPr>
          <w:rFonts w:hint="eastAsia" w:ascii="仿宋" w:hAnsi="仿宋" w:eastAsia="仿宋"/>
          <w:sz w:val="28"/>
          <w:szCs w:val="24"/>
        </w:rPr>
        <w:t>法定代表人（</w:t>
      </w:r>
      <w:r>
        <w:rPr>
          <w:rFonts w:hint="eastAsia" w:ascii="仿宋" w:hAnsi="仿宋" w:eastAsia="仿宋"/>
          <w:sz w:val="28"/>
          <w:lang w:eastAsia="zh-CN"/>
        </w:rPr>
        <w:t>电子公章</w:t>
      </w:r>
      <w:r>
        <w:rPr>
          <w:rFonts w:hint="eastAsia" w:ascii="仿宋" w:hAnsi="仿宋" w:eastAsia="仿宋"/>
          <w:sz w:val="28"/>
        </w:rPr>
        <w:t>或</w:t>
      </w:r>
      <w:r>
        <w:rPr>
          <w:rFonts w:hint="eastAsia" w:ascii="仿宋" w:hAnsi="仿宋" w:eastAsia="仿宋"/>
          <w:sz w:val="28"/>
          <w:szCs w:val="24"/>
        </w:rPr>
        <w:t>电子签字）</w:t>
      </w:r>
      <w:r>
        <w:rPr>
          <w:rFonts w:hint="eastAsia" w:ascii="仿宋" w:hAnsi="仿宋" w:eastAsia="仿宋"/>
          <w:sz w:val="28"/>
          <w:szCs w:val="24"/>
          <w:lang w:eastAsia="zh-CN"/>
        </w:rPr>
        <w:t>：</w:t>
      </w:r>
    </w:p>
    <w:p w14:paraId="3EDF4DDE">
      <w:pPr>
        <w:pStyle w:val="214"/>
        <w:spacing w:line="640" w:lineRule="exact"/>
        <w:ind w:right="560" w:firstLine="2940"/>
        <w:rPr>
          <w:rFonts w:hint="eastAsia" w:ascii="仿宋" w:hAnsi="仿宋" w:eastAsia="仿宋"/>
          <w:sz w:val="28"/>
          <w:szCs w:val="24"/>
          <w:u w:val="single"/>
          <w:lang w:eastAsia="zh-CN"/>
        </w:rPr>
      </w:pPr>
      <w:r>
        <w:rPr>
          <w:rFonts w:hint="eastAsia" w:ascii="仿宋" w:hAnsi="仿宋" w:eastAsia="仿宋"/>
          <w:sz w:val="28"/>
          <w:szCs w:val="24"/>
        </w:rPr>
        <w:t>职务</w:t>
      </w:r>
      <w:r>
        <w:rPr>
          <w:rFonts w:hint="eastAsia" w:ascii="仿宋" w:hAnsi="仿宋" w:eastAsia="仿宋"/>
          <w:sz w:val="28"/>
          <w:szCs w:val="24"/>
          <w:lang w:eastAsia="zh-CN"/>
        </w:rPr>
        <w:t>：</w:t>
      </w:r>
    </w:p>
    <w:p w14:paraId="5632EFA9">
      <w:pPr>
        <w:pStyle w:val="214"/>
        <w:spacing w:line="640" w:lineRule="exact"/>
        <w:ind w:right="560" w:firstLine="2940"/>
        <w:rPr>
          <w:rFonts w:hint="eastAsia" w:ascii="仿宋" w:hAnsi="仿宋" w:eastAsia="仿宋"/>
          <w:sz w:val="28"/>
          <w:szCs w:val="24"/>
        </w:rPr>
      </w:pPr>
      <w:r>
        <w:rPr>
          <w:rFonts w:hint="eastAsia" w:ascii="仿宋" w:hAnsi="仿宋" w:eastAsia="仿宋"/>
          <w:sz w:val="28"/>
          <w:szCs w:val="24"/>
        </w:rPr>
        <w:t>日期</w:t>
      </w:r>
      <w:r>
        <w:rPr>
          <w:rFonts w:hint="eastAsia" w:ascii="仿宋" w:hAnsi="仿宋" w:eastAsia="仿宋"/>
          <w:sz w:val="28"/>
          <w:szCs w:val="24"/>
          <w:lang w:eastAsia="zh-CN"/>
        </w:rPr>
        <w:t>：</w:t>
      </w:r>
      <w:r>
        <w:rPr>
          <w:rFonts w:hint="eastAsia" w:ascii="仿宋" w:hAnsi="仿宋" w:eastAsia="仿宋"/>
          <w:sz w:val="28"/>
          <w:szCs w:val="24"/>
        </w:rPr>
        <w:t>年月日</w:t>
      </w:r>
    </w:p>
    <w:p w14:paraId="4C7930E6">
      <w:pPr>
        <w:widowControl/>
        <w:spacing w:before="19" w:line="440" w:lineRule="exact"/>
        <w:ind w:firstLine="3036"/>
        <w:rPr>
          <w:rFonts w:hint="eastAsia" w:ascii="仿宋" w:hAnsi="仿宋" w:eastAsia="仿宋"/>
          <w:b/>
          <w:sz w:val="32"/>
          <w:szCs w:val="32"/>
        </w:rPr>
      </w:pPr>
    </w:p>
    <w:p w14:paraId="730C31A8">
      <w:pPr>
        <w:widowControl/>
        <w:spacing w:before="19" w:line="440" w:lineRule="exact"/>
        <w:ind w:firstLine="3036"/>
        <w:rPr>
          <w:rFonts w:hint="eastAsia" w:ascii="仿宋" w:hAnsi="仿宋" w:eastAsia="仿宋"/>
          <w:b/>
          <w:sz w:val="32"/>
          <w:szCs w:val="32"/>
        </w:rPr>
      </w:pPr>
    </w:p>
    <w:p w14:paraId="631997EE">
      <w:pPr>
        <w:widowControl/>
        <w:spacing w:before="19" w:line="440" w:lineRule="exact"/>
        <w:rPr>
          <w:rFonts w:hint="eastAsia" w:ascii="仿宋" w:hAnsi="仿宋" w:eastAsia="仿宋"/>
          <w:b/>
          <w:sz w:val="32"/>
          <w:szCs w:val="32"/>
        </w:rPr>
      </w:pPr>
    </w:p>
    <w:p w14:paraId="51B4AD2F">
      <w:pPr>
        <w:widowControl/>
        <w:spacing w:before="19" w:line="440" w:lineRule="exact"/>
        <w:rPr>
          <w:rFonts w:hint="eastAsia" w:ascii="仿宋" w:hAnsi="仿宋" w:eastAsia="仿宋"/>
          <w:b/>
          <w:sz w:val="32"/>
          <w:szCs w:val="32"/>
        </w:rPr>
      </w:pPr>
    </w:p>
    <w:p w14:paraId="251329E3">
      <w:pPr>
        <w:widowControl/>
        <w:spacing w:before="19" w:line="440" w:lineRule="exact"/>
        <w:rPr>
          <w:rFonts w:hint="eastAsia" w:ascii="仿宋" w:hAnsi="仿宋" w:eastAsia="仿宋"/>
          <w:bCs/>
          <w:sz w:val="32"/>
          <w:szCs w:val="32"/>
        </w:rPr>
      </w:pPr>
    </w:p>
    <w:p w14:paraId="64905D57">
      <w:pPr>
        <w:widowControl/>
        <w:spacing w:before="19" w:line="440" w:lineRule="exact"/>
        <w:rPr>
          <w:rFonts w:hint="eastAsia" w:ascii="仿宋" w:hAnsi="仿宋" w:eastAsia="仿宋"/>
          <w:bCs/>
          <w:sz w:val="32"/>
          <w:szCs w:val="32"/>
        </w:rPr>
      </w:pPr>
    </w:p>
    <w:p w14:paraId="358B91FD">
      <w:pPr>
        <w:widowControl/>
        <w:spacing w:before="19" w:line="440" w:lineRule="exact"/>
        <w:rPr>
          <w:rFonts w:hint="eastAsia" w:ascii="仿宋" w:hAnsi="仿宋" w:eastAsia="仿宋"/>
          <w:bCs/>
          <w:sz w:val="32"/>
          <w:szCs w:val="32"/>
        </w:rPr>
      </w:pPr>
    </w:p>
    <w:p w14:paraId="308075D9">
      <w:pPr>
        <w:widowControl/>
        <w:spacing w:before="19" w:line="440" w:lineRule="exact"/>
        <w:rPr>
          <w:rFonts w:hint="eastAsia" w:ascii="仿宋" w:hAnsi="仿宋" w:eastAsia="仿宋"/>
          <w:bCs/>
          <w:sz w:val="32"/>
          <w:szCs w:val="32"/>
        </w:rPr>
      </w:pPr>
    </w:p>
    <w:p w14:paraId="71BB436A">
      <w:pPr>
        <w:widowControl/>
        <w:spacing w:before="19" w:line="440" w:lineRule="exact"/>
        <w:rPr>
          <w:rFonts w:hint="eastAsia" w:ascii="仿宋" w:hAnsi="仿宋" w:eastAsia="仿宋"/>
          <w:bCs/>
          <w:sz w:val="32"/>
          <w:szCs w:val="32"/>
        </w:rPr>
      </w:pPr>
    </w:p>
    <w:p w14:paraId="17E2F627">
      <w:pPr>
        <w:widowControl/>
        <w:spacing w:before="19" w:line="440" w:lineRule="exact"/>
        <w:rPr>
          <w:rFonts w:hint="eastAsia" w:ascii="仿宋" w:hAnsi="仿宋" w:eastAsia="仿宋"/>
          <w:bCs/>
          <w:sz w:val="32"/>
          <w:szCs w:val="32"/>
        </w:rPr>
      </w:pPr>
    </w:p>
    <w:p w14:paraId="78AC3F48">
      <w:pPr>
        <w:widowControl/>
        <w:spacing w:before="19" w:line="440" w:lineRule="exact"/>
        <w:rPr>
          <w:rFonts w:hint="eastAsia" w:ascii="仿宋" w:hAnsi="仿宋" w:eastAsia="仿宋"/>
          <w:bCs/>
          <w:sz w:val="32"/>
          <w:szCs w:val="32"/>
        </w:rPr>
      </w:pPr>
    </w:p>
    <w:p w14:paraId="0B6166F8">
      <w:pPr>
        <w:widowControl/>
        <w:spacing w:before="19" w:line="440" w:lineRule="exact"/>
        <w:rPr>
          <w:rFonts w:hint="eastAsia" w:ascii="仿宋" w:hAnsi="仿宋" w:eastAsia="仿宋"/>
          <w:bCs/>
          <w:sz w:val="32"/>
          <w:szCs w:val="32"/>
        </w:rPr>
      </w:pPr>
    </w:p>
    <w:p w14:paraId="2964DB33">
      <w:pPr>
        <w:widowControl/>
        <w:spacing w:before="19" w:line="440" w:lineRule="exact"/>
        <w:rPr>
          <w:rFonts w:hint="eastAsia" w:ascii="仿宋" w:hAnsi="仿宋" w:eastAsia="仿宋"/>
          <w:bCs/>
          <w:sz w:val="32"/>
          <w:szCs w:val="32"/>
        </w:rPr>
      </w:pPr>
    </w:p>
    <w:p w14:paraId="3CEF3BBC">
      <w:pPr>
        <w:widowControl/>
        <w:spacing w:before="19" w:line="440" w:lineRule="exact"/>
        <w:rPr>
          <w:rFonts w:hint="eastAsia" w:ascii="仿宋" w:hAnsi="仿宋" w:eastAsia="仿宋"/>
          <w:b/>
          <w:sz w:val="32"/>
          <w:szCs w:val="32"/>
        </w:rPr>
      </w:pPr>
    </w:p>
    <w:p w14:paraId="5EA319E8">
      <w:pPr>
        <w:widowControl/>
        <w:spacing w:before="19" w:line="440" w:lineRule="exact"/>
        <w:rPr>
          <w:rFonts w:hint="eastAsia" w:ascii="仿宋" w:hAnsi="仿宋" w:eastAsia="仿宋"/>
          <w:b/>
          <w:sz w:val="32"/>
          <w:szCs w:val="32"/>
        </w:rPr>
      </w:pPr>
    </w:p>
    <w:p w14:paraId="5BA5300B">
      <w:pPr>
        <w:widowControl/>
        <w:spacing w:before="19" w:line="440" w:lineRule="exact"/>
        <w:rPr>
          <w:rFonts w:hint="eastAsia" w:ascii="仿宋" w:hAnsi="仿宋" w:eastAsia="仿宋"/>
          <w:b/>
          <w:sz w:val="32"/>
          <w:szCs w:val="32"/>
        </w:rPr>
      </w:pPr>
    </w:p>
    <w:p w14:paraId="57949F93">
      <w:pPr>
        <w:widowControl/>
        <w:spacing w:before="19" w:line="440" w:lineRule="exact"/>
        <w:rPr>
          <w:rFonts w:hint="eastAsia" w:ascii="仿宋" w:hAnsi="仿宋" w:eastAsia="仿宋"/>
          <w:b/>
          <w:sz w:val="32"/>
          <w:szCs w:val="32"/>
        </w:rPr>
      </w:pPr>
    </w:p>
    <w:p w14:paraId="410AEA8C">
      <w:pPr>
        <w:widowControl/>
        <w:spacing w:before="19" w:line="440" w:lineRule="exact"/>
        <w:rPr>
          <w:rFonts w:hint="eastAsia" w:ascii="仿宋" w:hAnsi="仿宋" w:eastAsia="仿宋"/>
          <w:b/>
          <w:sz w:val="32"/>
          <w:szCs w:val="32"/>
        </w:rPr>
      </w:pPr>
    </w:p>
    <w:p w14:paraId="22BCCABD">
      <w:pPr>
        <w:widowControl/>
        <w:spacing w:before="19" w:line="440" w:lineRule="exact"/>
        <w:ind w:firstLine="3036"/>
        <w:rPr>
          <w:rFonts w:hint="eastAsia" w:ascii="仿宋" w:hAnsi="仿宋" w:eastAsia="仿宋"/>
          <w:b/>
          <w:sz w:val="32"/>
          <w:szCs w:val="32"/>
        </w:rPr>
      </w:pPr>
      <w:r>
        <w:rPr>
          <w:rFonts w:hint="eastAsia" w:ascii="仿宋" w:hAnsi="仿宋" w:eastAsia="仿宋"/>
          <w:b/>
          <w:sz w:val="32"/>
          <w:szCs w:val="32"/>
        </w:rPr>
        <w:t>二、开标一览表</w:t>
      </w:r>
    </w:p>
    <w:p w14:paraId="0DAA13FD">
      <w:pPr>
        <w:widowControl/>
        <w:spacing w:before="19" w:line="440" w:lineRule="exact"/>
        <w:ind w:firstLine="3036"/>
        <w:rPr>
          <w:rFonts w:hint="eastAsia" w:ascii="仿宋" w:hAnsi="仿宋" w:eastAsia="仿宋"/>
          <w:b/>
          <w:sz w:val="32"/>
          <w:szCs w:val="32"/>
        </w:rPr>
      </w:pPr>
    </w:p>
    <w:tbl>
      <w:tblPr>
        <w:tblStyle w:val="35"/>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724D6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21502C49">
            <w:pPr>
              <w:jc w:val="center"/>
              <w:rPr>
                <w:rFonts w:hint="eastAsia" w:ascii="仿宋" w:hAnsi="仿宋" w:eastAsia="仿宋"/>
                <w:sz w:val="28"/>
                <w:szCs w:val="28"/>
              </w:rPr>
            </w:pPr>
            <w:bookmarkStart w:id="49" w:name="_Hlk219737199"/>
            <w:r>
              <w:rPr>
                <w:rFonts w:hint="eastAsia" w:ascii="仿宋" w:hAnsi="仿宋" w:eastAsia="仿宋"/>
                <w:sz w:val="28"/>
                <w:szCs w:val="28"/>
              </w:rPr>
              <w:t>项目名称</w:t>
            </w:r>
          </w:p>
        </w:tc>
        <w:tc>
          <w:tcPr>
            <w:tcW w:w="6759" w:type="dxa"/>
            <w:vAlign w:val="center"/>
          </w:tcPr>
          <w:p w14:paraId="3E5F1E2E">
            <w:pPr>
              <w:jc w:val="center"/>
              <w:rPr>
                <w:rFonts w:hint="eastAsia" w:ascii="仿宋" w:hAnsi="仿宋" w:eastAsia="仿宋"/>
                <w:sz w:val="28"/>
                <w:szCs w:val="28"/>
              </w:rPr>
            </w:pPr>
            <w:r>
              <w:rPr>
                <w:rFonts w:hint="eastAsia" w:ascii="仿宋" w:hAnsi="仿宋" w:eastAsia="仿宋"/>
                <w:sz w:val="28"/>
                <w:szCs w:val="28"/>
              </w:rPr>
              <w:t>洪泽区紧密型区域医共体共享中心项目</w:t>
            </w:r>
          </w:p>
        </w:tc>
      </w:tr>
      <w:tr w14:paraId="530CC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7C6F3FD5">
            <w:pPr>
              <w:spacing w:line="720" w:lineRule="exact"/>
              <w:jc w:val="center"/>
              <w:rPr>
                <w:rFonts w:hint="eastAsia" w:ascii="仿宋" w:hAnsi="仿宋" w:eastAsia="仿宋"/>
                <w:sz w:val="28"/>
                <w:szCs w:val="28"/>
              </w:rPr>
            </w:pPr>
            <w:r>
              <w:rPr>
                <w:rFonts w:hint="eastAsia" w:ascii="仿宋" w:hAnsi="仿宋" w:eastAsia="仿宋"/>
                <w:sz w:val="28"/>
                <w:szCs w:val="28"/>
              </w:rPr>
              <w:t>投标报价</w:t>
            </w:r>
          </w:p>
        </w:tc>
        <w:tc>
          <w:tcPr>
            <w:tcW w:w="6759" w:type="dxa"/>
            <w:vAlign w:val="center"/>
          </w:tcPr>
          <w:p w14:paraId="1D298333">
            <w:pPr>
              <w:spacing w:line="720" w:lineRule="exact"/>
              <w:ind w:firstLine="2240"/>
              <w:rPr>
                <w:rFonts w:hint="eastAsia" w:ascii="仿宋" w:hAnsi="仿宋" w:eastAsia="仿宋"/>
                <w:sz w:val="28"/>
                <w:szCs w:val="28"/>
              </w:rPr>
            </w:pPr>
          </w:p>
        </w:tc>
      </w:tr>
      <w:tr w14:paraId="1F458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40" w:hRule="atLeast"/>
        </w:trPr>
        <w:tc>
          <w:tcPr>
            <w:tcW w:w="1701" w:type="dxa"/>
            <w:vAlign w:val="center"/>
          </w:tcPr>
          <w:p w14:paraId="30A21D35">
            <w:pPr>
              <w:spacing w:line="720" w:lineRule="exact"/>
              <w:jc w:val="center"/>
              <w:rPr>
                <w:rFonts w:hint="eastAsia" w:ascii="仿宋" w:hAnsi="仿宋" w:eastAsia="仿宋"/>
                <w:sz w:val="28"/>
                <w:szCs w:val="28"/>
              </w:rPr>
            </w:pPr>
            <w:r>
              <w:rPr>
                <w:rFonts w:hint="eastAsia" w:ascii="仿宋" w:hAnsi="仿宋" w:eastAsia="仿宋"/>
                <w:sz w:val="28"/>
                <w:szCs w:val="28"/>
              </w:rPr>
              <w:t>服务期限</w:t>
            </w:r>
          </w:p>
        </w:tc>
        <w:tc>
          <w:tcPr>
            <w:tcW w:w="6759" w:type="dxa"/>
            <w:vAlign w:val="center"/>
          </w:tcPr>
          <w:p w14:paraId="6B168770">
            <w:pPr>
              <w:spacing w:line="720" w:lineRule="exact"/>
              <w:jc w:val="center"/>
              <w:rPr>
                <w:rFonts w:hint="eastAsia" w:ascii="仿宋" w:hAnsi="仿宋" w:eastAsia="仿宋"/>
                <w:sz w:val="28"/>
                <w:szCs w:val="28"/>
              </w:rPr>
            </w:pPr>
          </w:p>
        </w:tc>
      </w:tr>
      <w:tr w14:paraId="45658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241AE680">
            <w:pPr>
              <w:ind w:firstLine="140"/>
              <w:jc w:val="center"/>
              <w:rPr>
                <w:rFonts w:hint="eastAsia" w:ascii="仿宋" w:hAnsi="仿宋" w:eastAsia="仿宋"/>
                <w:sz w:val="28"/>
                <w:szCs w:val="28"/>
              </w:rPr>
            </w:pPr>
            <w:r>
              <w:rPr>
                <w:rFonts w:hint="eastAsia" w:ascii="仿宋" w:hAnsi="仿宋" w:eastAsia="仿宋"/>
                <w:sz w:val="28"/>
                <w:szCs w:val="28"/>
              </w:rPr>
              <w:t>备注</w:t>
            </w:r>
          </w:p>
        </w:tc>
        <w:tc>
          <w:tcPr>
            <w:tcW w:w="6759" w:type="dxa"/>
            <w:vAlign w:val="center"/>
          </w:tcPr>
          <w:p w14:paraId="7B93CD48">
            <w:pPr>
              <w:rPr>
                <w:rFonts w:hint="eastAsia" w:ascii="仿宋" w:hAnsi="仿宋" w:eastAsia="仿宋"/>
                <w:sz w:val="28"/>
                <w:szCs w:val="28"/>
              </w:rPr>
            </w:pPr>
          </w:p>
        </w:tc>
      </w:tr>
      <w:bookmarkEnd w:id="49"/>
    </w:tbl>
    <w:p w14:paraId="0492A5DC">
      <w:pPr>
        <w:spacing w:line="520" w:lineRule="exact"/>
        <w:rPr>
          <w:rFonts w:hint="eastAsia" w:ascii="仿宋" w:hAnsi="仿宋" w:eastAsia="仿宋"/>
          <w:sz w:val="28"/>
          <w:szCs w:val="28"/>
        </w:rPr>
      </w:pPr>
    </w:p>
    <w:p w14:paraId="40C7C450">
      <w:pPr>
        <w:spacing w:line="520" w:lineRule="exact"/>
        <w:rPr>
          <w:rFonts w:hint="eastAsia" w:ascii="仿宋" w:hAnsi="仿宋" w:eastAsia="仿宋"/>
          <w:sz w:val="28"/>
          <w:szCs w:val="28"/>
          <w:u w:val="single"/>
          <w:lang w:eastAsia="zh-CN"/>
        </w:rPr>
      </w:pPr>
      <w:r>
        <w:rPr>
          <w:rFonts w:hint="eastAsia" w:ascii="仿宋" w:hAnsi="仿宋" w:eastAsia="仿宋"/>
          <w:sz w:val="28"/>
          <w:szCs w:val="28"/>
        </w:rPr>
        <w:t>投标人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12D77D4E">
      <w:pPr>
        <w:spacing w:line="520" w:lineRule="exact"/>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264E925D">
      <w:pPr>
        <w:pStyle w:val="214"/>
        <w:ind w:firstLine="2506"/>
        <w:rPr>
          <w:rFonts w:hint="eastAsia" w:ascii="仿宋" w:hAnsi="仿宋" w:eastAsia="仿宋"/>
          <w:b/>
          <w:sz w:val="32"/>
          <w:szCs w:val="32"/>
        </w:rPr>
      </w:pPr>
      <w:bookmarkStart w:id="50" w:name="_Toc157775459"/>
      <w:bookmarkStart w:id="51" w:name="_Toc136924766"/>
      <w:r>
        <w:rPr>
          <w:rFonts w:hint="eastAsia" w:ascii="仿宋" w:hAnsi="仿宋" w:eastAsia="仿宋"/>
          <w:sz w:val="28"/>
          <w:szCs w:val="28"/>
        </w:rPr>
        <w:br w:type="page" w:clear="all"/>
      </w:r>
      <w:bookmarkEnd w:id="50"/>
      <w:bookmarkEnd w:id="51"/>
      <w:bookmarkStart w:id="52" w:name="_Toc157775468"/>
      <w:r>
        <w:rPr>
          <w:rFonts w:hint="eastAsia" w:ascii="仿宋" w:hAnsi="仿宋" w:eastAsia="仿宋"/>
          <w:b/>
          <w:sz w:val="32"/>
          <w:szCs w:val="32"/>
        </w:rPr>
        <w:t>三、投标报价明细表</w:t>
      </w:r>
    </w:p>
    <w:tbl>
      <w:tblPr>
        <w:tblStyle w:val="313"/>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15"/>
        <w:gridCol w:w="1522"/>
        <w:gridCol w:w="2769"/>
        <w:gridCol w:w="1137"/>
        <w:gridCol w:w="1137"/>
        <w:gridCol w:w="1137"/>
      </w:tblGrid>
      <w:tr w14:paraId="6F69D0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44" w:hRule="atLeast"/>
          <w:jc w:val="center"/>
        </w:trPr>
        <w:tc>
          <w:tcPr>
            <w:tcW w:w="478" w:type="pct"/>
            <w:shd w:val="clear" w:color="auto" w:fill="D7D7D7" w:themeFill="background1" w:themeFillShade="D8"/>
            <w:vAlign w:val="center"/>
          </w:tcPr>
          <w:p w14:paraId="34534066">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序号</w:t>
            </w:r>
          </w:p>
        </w:tc>
        <w:tc>
          <w:tcPr>
            <w:tcW w:w="893" w:type="pct"/>
            <w:shd w:val="clear" w:color="auto" w:fill="D7D7D7" w:themeFill="background1" w:themeFillShade="D8"/>
            <w:vAlign w:val="center"/>
          </w:tcPr>
          <w:p w14:paraId="2764FD05">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模块名称</w:t>
            </w:r>
          </w:p>
        </w:tc>
        <w:tc>
          <w:tcPr>
            <w:tcW w:w="1624" w:type="pct"/>
            <w:shd w:val="clear" w:color="auto" w:fill="D7D7D7" w:themeFill="background1" w:themeFillShade="D8"/>
            <w:vAlign w:val="center"/>
          </w:tcPr>
          <w:p w14:paraId="1923A073">
            <w:pPr>
              <w:spacing w:line="360" w:lineRule="auto"/>
              <w:contextualSpacing/>
              <w:jc w:val="center"/>
              <w:rPr>
                <w:rFonts w:hint="eastAsia" w:ascii="仿宋" w:hAnsi="仿宋" w:eastAsia="仿宋" w:cs="仿宋"/>
                <w:sz w:val="24"/>
                <w:szCs w:val="24"/>
              </w:rPr>
            </w:pPr>
          </w:p>
        </w:tc>
        <w:tc>
          <w:tcPr>
            <w:tcW w:w="667" w:type="pct"/>
            <w:shd w:val="clear" w:color="auto" w:fill="D7D7D7" w:themeFill="background1" w:themeFillShade="D8"/>
            <w:vAlign w:val="center"/>
          </w:tcPr>
          <w:p w14:paraId="0037A75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数量</w:t>
            </w:r>
          </w:p>
        </w:tc>
        <w:tc>
          <w:tcPr>
            <w:tcW w:w="667" w:type="pct"/>
            <w:shd w:val="clear" w:color="auto" w:fill="D7D7D7" w:themeFill="background1" w:themeFillShade="D8"/>
            <w:vAlign w:val="center"/>
          </w:tcPr>
          <w:p w14:paraId="276CB335">
            <w:pPr>
              <w:spacing w:line="360" w:lineRule="auto"/>
              <w:contextualSpacing/>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单价（元）</w:t>
            </w:r>
          </w:p>
        </w:tc>
        <w:tc>
          <w:tcPr>
            <w:tcW w:w="667" w:type="pct"/>
            <w:shd w:val="clear" w:color="auto" w:fill="D7D7D7" w:themeFill="background1" w:themeFillShade="D8"/>
            <w:vAlign w:val="center"/>
          </w:tcPr>
          <w:p w14:paraId="790BE986">
            <w:pPr>
              <w:spacing w:line="360" w:lineRule="auto"/>
              <w:contextualSpacing/>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合计（元）</w:t>
            </w:r>
          </w:p>
        </w:tc>
      </w:tr>
      <w:tr w14:paraId="182D2E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17C3B3AE">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w:t>
            </w:r>
          </w:p>
        </w:tc>
        <w:tc>
          <w:tcPr>
            <w:tcW w:w="893" w:type="pct"/>
            <w:vMerge w:val="restart"/>
            <w:vAlign w:val="center"/>
          </w:tcPr>
          <w:p w14:paraId="19BB629E">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医共体信息平台六大中心建设</w:t>
            </w:r>
          </w:p>
        </w:tc>
        <w:tc>
          <w:tcPr>
            <w:tcW w:w="1624" w:type="pct"/>
            <w:vAlign w:val="center"/>
          </w:tcPr>
          <w:p w14:paraId="199D5817">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区域心电中心</w:t>
            </w:r>
          </w:p>
        </w:tc>
        <w:tc>
          <w:tcPr>
            <w:tcW w:w="667" w:type="pct"/>
            <w:vAlign w:val="center"/>
          </w:tcPr>
          <w:p w14:paraId="7754E8D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3B61F81E">
            <w:pPr>
              <w:spacing w:line="360" w:lineRule="auto"/>
              <w:contextualSpacing/>
              <w:jc w:val="center"/>
              <w:rPr>
                <w:rFonts w:hint="eastAsia" w:ascii="仿宋" w:hAnsi="仿宋" w:eastAsia="仿宋" w:cs="仿宋"/>
                <w:sz w:val="24"/>
                <w:szCs w:val="24"/>
              </w:rPr>
            </w:pPr>
          </w:p>
        </w:tc>
        <w:tc>
          <w:tcPr>
            <w:tcW w:w="667" w:type="pct"/>
            <w:vAlign w:val="center"/>
          </w:tcPr>
          <w:p w14:paraId="3C8697CF">
            <w:pPr>
              <w:spacing w:line="360" w:lineRule="auto"/>
              <w:contextualSpacing/>
              <w:jc w:val="center"/>
              <w:rPr>
                <w:rFonts w:hint="eastAsia" w:ascii="仿宋" w:hAnsi="仿宋" w:eastAsia="仿宋" w:cs="仿宋"/>
                <w:sz w:val="24"/>
                <w:szCs w:val="24"/>
              </w:rPr>
            </w:pPr>
          </w:p>
        </w:tc>
      </w:tr>
      <w:tr w14:paraId="59EC4A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3862DE0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w:t>
            </w:r>
          </w:p>
        </w:tc>
        <w:tc>
          <w:tcPr>
            <w:tcW w:w="893" w:type="pct"/>
            <w:vMerge w:val="continue"/>
            <w:vAlign w:val="center"/>
          </w:tcPr>
          <w:p w14:paraId="1DD288A6">
            <w:pPr>
              <w:spacing w:line="360" w:lineRule="auto"/>
              <w:contextualSpacing/>
              <w:jc w:val="center"/>
              <w:rPr>
                <w:rFonts w:hint="eastAsia" w:ascii="仿宋" w:hAnsi="仿宋" w:eastAsia="仿宋" w:cs="仿宋"/>
                <w:sz w:val="24"/>
                <w:szCs w:val="24"/>
              </w:rPr>
            </w:pPr>
          </w:p>
        </w:tc>
        <w:tc>
          <w:tcPr>
            <w:tcW w:w="1624" w:type="pct"/>
            <w:vAlign w:val="center"/>
          </w:tcPr>
          <w:p w14:paraId="277FCD22">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区域影像中心</w:t>
            </w:r>
          </w:p>
        </w:tc>
        <w:tc>
          <w:tcPr>
            <w:tcW w:w="667" w:type="pct"/>
            <w:vAlign w:val="center"/>
          </w:tcPr>
          <w:p w14:paraId="336B17EA">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0045F307">
            <w:pPr>
              <w:spacing w:line="360" w:lineRule="auto"/>
              <w:contextualSpacing/>
              <w:jc w:val="center"/>
              <w:rPr>
                <w:rFonts w:hint="eastAsia" w:ascii="仿宋" w:hAnsi="仿宋" w:eastAsia="仿宋" w:cs="仿宋"/>
                <w:sz w:val="24"/>
                <w:szCs w:val="24"/>
              </w:rPr>
            </w:pPr>
          </w:p>
        </w:tc>
        <w:tc>
          <w:tcPr>
            <w:tcW w:w="667" w:type="pct"/>
            <w:vAlign w:val="center"/>
          </w:tcPr>
          <w:p w14:paraId="6912D154">
            <w:pPr>
              <w:spacing w:line="360" w:lineRule="auto"/>
              <w:contextualSpacing/>
              <w:jc w:val="center"/>
              <w:rPr>
                <w:rFonts w:hint="eastAsia" w:ascii="仿宋" w:hAnsi="仿宋" w:eastAsia="仿宋" w:cs="仿宋"/>
                <w:sz w:val="24"/>
                <w:szCs w:val="24"/>
              </w:rPr>
            </w:pPr>
          </w:p>
        </w:tc>
      </w:tr>
      <w:tr w14:paraId="25E585E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CDDAD90">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3</w:t>
            </w:r>
          </w:p>
        </w:tc>
        <w:tc>
          <w:tcPr>
            <w:tcW w:w="893" w:type="pct"/>
            <w:vMerge w:val="continue"/>
            <w:vAlign w:val="center"/>
          </w:tcPr>
          <w:p w14:paraId="0233BC7D">
            <w:pPr>
              <w:spacing w:line="360" w:lineRule="auto"/>
              <w:contextualSpacing/>
              <w:jc w:val="center"/>
              <w:rPr>
                <w:rFonts w:hint="eastAsia" w:ascii="仿宋" w:hAnsi="仿宋" w:eastAsia="仿宋" w:cs="仿宋"/>
                <w:sz w:val="24"/>
                <w:szCs w:val="24"/>
              </w:rPr>
            </w:pPr>
          </w:p>
        </w:tc>
        <w:tc>
          <w:tcPr>
            <w:tcW w:w="1624" w:type="pct"/>
            <w:vAlign w:val="center"/>
          </w:tcPr>
          <w:p w14:paraId="74FB305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区域检验中心</w:t>
            </w:r>
          </w:p>
        </w:tc>
        <w:tc>
          <w:tcPr>
            <w:tcW w:w="667" w:type="pct"/>
            <w:vAlign w:val="center"/>
          </w:tcPr>
          <w:p w14:paraId="4E00B746">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04B57893">
            <w:pPr>
              <w:spacing w:line="360" w:lineRule="auto"/>
              <w:contextualSpacing/>
              <w:jc w:val="center"/>
              <w:rPr>
                <w:rFonts w:hint="eastAsia" w:ascii="仿宋" w:hAnsi="仿宋" w:eastAsia="仿宋" w:cs="仿宋"/>
                <w:sz w:val="24"/>
                <w:szCs w:val="24"/>
              </w:rPr>
            </w:pPr>
          </w:p>
        </w:tc>
        <w:tc>
          <w:tcPr>
            <w:tcW w:w="667" w:type="pct"/>
            <w:vAlign w:val="center"/>
          </w:tcPr>
          <w:p w14:paraId="296650C7">
            <w:pPr>
              <w:spacing w:line="360" w:lineRule="auto"/>
              <w:contextualSpacing/>
              <w:jc w:val="center"/>
              <w:rPr>
                <w:rFonts w:hint="eastAsia" w:ascii="仿宋" w:hAnsi="仿宋" w:eastAsia="仿宋" w:cs="仿宋"/>
                <w:sz w:val="24"/>
                <w:szCs w:val="24"/>
              </w:rPr>
            </w:pPr>
          </w:p>
        </w:tc>
      </w:tr>
      <w:tr w14:paraId="3BB7F46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C3DC525">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4</w:t>
            </w:r>
          </w:p>
        </w:tc>
        <w:tc>
          <w:tcPr>
            <w:tcW w:w="893" w:type="pct"/>
            <w:vMerge w:val="continue"/>
            <w:vAlign w:val="center"/>
          </w:tcPr>
          <w:p w14:paraId="737279E7">
            <w:pPr>
              <w:spacing w:line="360" w:lineRule="auto"/>
              <w:contextualSpacing/>
              <w:jc w:val="center"/>
              <w:rPr>
                <w:rFonts w:hint="eastAsia" w:ascii="仿宋" w:hAnsi="仿宋" w:eastAsia="仿宋" w:cs="仿宋"/>
                <w:sz w:val="24"/>
                <w:szCs w:val="24"/>
              </w:rPr>
            </w:pPr>
          </w:p>
        </w:tc>
        <w:tc>
          <w:tcPr>
            <w:tcW w:w="1624" w:type="pct"/>
            <w:vAlign w:val="center"/>
          </w:tcPr>
          <w:p w14:paraId="626EE22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双向转诊中心</w:t>
            </w:r>
          </w:p>
        </w:tc>
        <w:tc>
          <w:tcPr>
            <w:tcW w:w="667" w:type="pct"/>
            <w:vAlign w:val="center"/>
          </w:tcPr>
          <w:p w14:paraId="0E68013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53CB5875">
            <w:pPr>
              <w:spacing w:line="360" w:lineRule="auto"/>
              <w:contextualSpacing/>
              <w:jc w:val="center"/>
              <w:rPr>
                <w:rFonts w:hint="eastAsia" w:ascii="仿宋" w:hAnsi="仿宋" w:eastAsia="仿宋" w:cs="仿宋"/>
                <w:sz w:val="24"/>
                <w:szCs w:val="24"/>
              </w:rPr>
            </w:pPr>
          </w:p>
        </w:tc>
        <w:tc>
          <w:tcPr>
            <w:tcW w:w="667" w:type="pct"/>
            <w:vAlign w:val="center"/>
          </w:tcPr>
          <w:p w14:paraId="7EE23DD2">
            <w:pPr>
              <w:spacing w:line="360" w:lineRule="auto"/>
              <w:contextualSpacing/>
              <w:jc w:val="center"/>
              <w:rPr>
                <w:rFonts w:hint="eastAsia" w:ascii="仿宋" w:hAnsi="仿宋" w:eastAsia="仿宋" w:cs="仿宋"/>
                <w:sz w:val="24"/>
                <w:szCs w:val="24"/>
              </w:rPr>
            </w:pPr>
          </w:p>
        </w:tc>
      </w:tr>
      <w:tr w14:paraId="766C0D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1B12A28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5</w:t>
            </w:r>
          </w:p>
        </w:tc>
        <w:tc>
          <w:tcPr>
            <w:tcW w:w="893" w:type="pct"/>
            <w:vMerge w:val="continue"/>
            <w:vAlign w:val="center"/>
          </w:tcPr>
          <w:p w14:paraId="0A3ACB8F">
            <w:pPr>
              <w:spacing w:line="360" w:lineRule="auto"/>
              <w:contextualSpacing/>
              <w:jc w:val="center"/>
              <w:rPr>
                <w:rFonts w:hint="eastAsia" w:ascii="仿宋" w:hAnsi="仿宋" w:eastAsia="仿宋" w:cs="仿宋"/>
                <w:sz w:val="24"/>
                <w:szCs w:val="24"/>
              </w:rPr>
            </w:pPr>
          </w:p>
        </w:tc>
        <w:tc>
          <w:tcPr>
            <w:tcW w:w="1624" w:type="pct"/>
            <w:vAlign w:val="center"/>
          </w:tcPr>
          <w:p w14:paraId="43A20C46">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远程会诊中心</w:t>
            </w:r>
          </w:p>
        </w:tc>
        <w:tc>
          <w:tcPr>
            <w:tcW w:w="667" w:type="pct"/>
            <w:vAlign w:val="center"/>
          </w:tcPr>
          <w:p w14:paraId="1BE74D3F">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3079BCE0">
            <w:pPr>
              <w:spacing w:line="360" w:lineRule="auto"/>
              <w:contextualSpacing/>
              <w:jc w:val="center"/>
              <w:rPr>
                <w:rFonts w:hint="eastAsia" w:ascii="仿宋" w:hAnsi="仿宋" w:eastAsia="仿宋" w:cs="仿宋"/>
                <w:sz w:val="24"/>
                <w:szCs w:val="24"/>
              </w:rPr>
            </w:pPr>
          </w:p>
        </w:tc>
        <w:tc>
          <w:tcPr>
            <w:tcW w:w="667" w:type="pct"/>
            <w:vAlign w:val="center"/>
          </w:tcPr>
          <w:p w14:paraId="7AD657F8">
            <w:pPr>
              <w:spacing w:line="360" w:lineRule="auto"/>
              <w:contextualSpacing/>
              <w:jc w:val="center"/>
              <w:rPr>
                <w:rFonts w:hint="eastAsia" w:ascii="仿宋" w:hAnsi="仿宋" w:eastAsia="仿宋" w:cs="仿宋"/>
                <w:sz w:val="24"/>
                <w:szCs w:val="24"/>
              </w:rPr>
            </w:pPr>
          </w:p>
        </w:tc>
      </w:tr>
      <w:tr w14:paraId="6FF42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35652D4C">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6</w:t>
            </w:r>
          </w:p>
        </w:tc>
        <w:tc>
          <w:tcPr>
            <w:tcW w:w="893" w:type="pct"/>
            <w:vMerge w:val="continue"/>
            <w:vAlign w:val="center"/>
          </w:tcPr>
          <w:p w14:paraId="36E3D8BD">
            <w:pPr>
              <w:spacing w:line="360" w:lineRule="auto"/>
              <w:contextualSpacing/>
              <w:jc w:val="center"/>
              <w:rPr>
                <w:rFonts w:hint="eastAsia" w:ascii="仿宋" w:hAnsi="仿宋" w:eastAsia="仿宋" w:cs="仿宋"/>
                <w:sz w:val="24"/>
                <w:szCs w:val="24"/>
              </w:rPr>
            </w:pPr>
          </w:p>
        </w:tc>
        <w:tc>
          <w:tcPr>
            <w:tcW w:w="1624" w:type="pct"/>
            <w:vAlign w:val="center"/>
          </w:tcPr>
          <w:p w14:paraId="204EC862">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区域审方中心</w:t>
            </w:r>
          </w:p>
        </w:tc>
        <w:tc>
          <w:tcPr>
            <w:tcW w:w="667" w:type="pct"/>
            <w:vAlign w:val="center"/>
          </w:tcPr>
          <w:p w14:paraId="5926296C">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658B7F95">
            <w:pPr>
              <w:spacing w:line="360" w:lineRule="auto"/>
              <w:contextualSpacing/>
              <w:jc w:val="center"/>
              <w:rPr>
                <w:rFonts w:hint="eastAsia" w:ascii="仿宋" w:hAnsi="仿宋" w:eastAsia="仿宋" w:cs="仿宋"/>
                <w:sz w:val="24"/>
                <w:szCs w:val="24"/>
              </w:rPr>
            </w:pPr>
          </w:p>
        </w:tc>
        <w:tc>
          <w:tcPr>
            <w:tcW w:w="667" w:type="pct"/>
            <w:vAlign w:val="center"/>
          </w:tcPr>
          <w:p w14:paraId="7EE005A2">
            <w:pPr>
              <w:spacing w:line="360" w:lineRule="auto"/>
              <w:contextualSpacing/>
              <w:jc w:val="center"/>
              <w:rPr>
                <w:rFonts w:hint="eastAsia" w:ascii="仿宋" w:hAnsi="仿宋" w:eastAsia="仿宋" w:cs="仿宋"/>
                <w:sz w:val="24"/>
                <w:szCs w:val="24"/>
              </w:rPr>
            </w:pPr>
          </w:p>
        </w:tc>
      </w:tr>
      <w:tr w14:paraId="7D586B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52A33953">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7</w:t>
            </w:r>
          </w:p>
        </w:tc>
        <w:tc>
          <w:tcPr>
            <w:tcW w:w="893" w:type="pct"/>
            <w:vMerge w:val="restart"/>
            <w:vAlign w:val="center"/>
          </w:tcPr>
          <w:p w14:paraId="59FCBD3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基层云HIS建设</w:t>
            </w:r>
          </w:p>
        </w:tc>
        <w:tc>
          <w:tcPr>
            <w:tcW w:w="1624" w:type="pct"/>
            <w:vAlign w:val="center"/>
          </w:tcPr>
          <w:p w14:paraId="2DB4C394">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基层云HIS系统</w:t>
            </w:r>
          </w:p>
        </w:tc>
        <w:tc>
          <w:tcPr>
            <w:tcW w:w="667" w:type="pct"/>
            <w:vAlign w:val="center"/>
          </w:tcPr>
          <w:p w14:paraId="4E548DD6">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59517FC9">
            <w:pPr>
              <w:spacing w:line="360" w:lineRule="auto"/>
              <w:contextualSpacing/>
              <w:jc w:val="center"/>
              <w:rPr>
                <w:rFonts w:hint="eastAsia" w:ascii="仿宋" w:hAnsi="仿宋" w:eastAsia="仿宋" w:cs="仿宋"/>
                <w:sz w:val="24"/>
                <w:szCs w:val="24"/>
              </w:rPr>
            </w:pPr>
          </w:p>
        </w:tc>
        <w:tc>
          <w:tcPr>
            <w:tcW w:w="667" w:type="pct"/>
            <w:vAlign w:val="center"/>
          </w:tcPr>
          <w:p w14:paraId="30736633">
            <w:pPr>
              <w:spacing w:line="360" w:lineRule="auto"/>
              <w:contextualSpacing/>
              <w:jc w:val="center"/>
              <w:rPr>
                <w:rFonts w:hint="eastAsia" w:ascii="仿宋" w:hAnsi="仿宋" w:eastAsia="仿宋" w:cs="仿宋"/>
                <w:sz w:val="24"/>
                <w:szCs w:val="24"/>
              </w:rPr>
            </w:pPr>
          </w:p>
        </w:tc>
      </w:tr>
      <w:tr w14:paraId="43298E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4503A44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8</w:t>
            </w:r>
          </w:p>
        </w:tc>
        <w:tc>
          <w:tcPr>
            <w:tcW w:w="893" w:type="pct"/>
            <w:vMerge w:val="continue"/>
            <w:vAlign w:val="center"/>
          </w:tcPr>
          <w:p w14:paraId="03187FB3">
            <w:pPr>
              <w:spacing w:line="360" w:lineRule="auto"/>
              <w:contextualSpacing/>
              <w:jc w:val="center"/>
              <w:rPr>
                <w:rFonts w:hint="eastAsia" w:ascii="仿宋" w:hAnsi="仿宋" w:eastAsia="仿宋" w:cs="仿宋"/>
                <w:sz w:val="24"/>
                <w:szCs w:val="24"/>
              </w:rPr>
            </w:pPr>
          </w:p>
        </w:tc>
        <w:tc>
          <w:tcPr>
            <w:tcW w:w="1624" w:type="pct"/>
            <w:vAlign w:val="center"/>
          </w:tcPr>
          <w:p w14:paraId="39FAA10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云公共卫生系统</w:t>
            </w:r>
          </w:p>
        </w:tc>
        <w:tc>
          <w:tcPr>
            <w:tcW w:w="667" w:type="pct"/>
            <w:vAlign w:val="center"/>
          </w:tcPr>
          <w:p w14:paraId="154FF56A">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1D654955">
            <w:pPr>
              <w:spacing w:line="360" w:lineRule="auto"/>
              <w:contextualSpacing/>
              <w:jc w:val="center"/>
              <w:rPr>
                <w:rFonts w:hint="eastAsia" w:ascii="仿宋" w:hAnsi="仿宋" w:eastAsia="仿宋" w:cs="仿宋"/>
                <w:sz w:val="24"/>
                <w:szCs w:val="24"/>
              </w:rPr>
            </w:pPr>
          </w:p>
        </w:tc>
        <w:tc>
          <w:tcPr>
            <w:tcW w:w="667" w:type="pct"/>
            <w:vAlign w:val="center"/>
          </w:tcPr>
          <w:p w14:paraId="4D27E63B">
            <w:pPr>
              <w:spacing w:line="360" w:lineRule="auto"/>
              <w:contextualSpacing/>
              <w:jc w:val="center"/>
              <w:rPr>
                <w:rFonts w:hint="eastAsia" w:ascii="仿宋" w:hAnsi="仿宋" w:eastAsia="仿宋" w:cs="仿宋"/>
                <w:sz w:val="24"/>
                <w:szCs w:val="24"/>
              </w:rPr>
            </w:pPr>
          </w:p>
        </w:tc>
      </w:tr>
      <w:tr w14:paraId="7BABAE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44A66778">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9</w:t>
            </w:r>
          </w:p>
        </w:tc>
        <w:tc>
          <w:tcPr>
            <w:tcW w:w="893" w:type="pct"/>
            <w:vMerge w:val="continue"/>
            <w:vAlign w:val="center"/>
          </w:tcPr>
          <w:p w14:paraId="75D02F74">
            <w:pPr>
              <w:spacing w:line="360" w:lineRule="auto"/>
              <w:contextualSpacing/>
              <w:jc w:val="center"/>
              <w:rPr>
                <w:rFonts w:hint="eastAsia" w:ascii="仿宋" w:hAnsi="仿宋" w:eastAsia="仿宋" w:cs="仿宋"/>
                <w:sz w:val="24"/>
                <w:szCs w:val="24"/>
              </w:rPr>
            </w:pPr>
          </w:p>
        </w:tc>
        <w:tc>
          <w:tcPr>
            <w:tcW w:w="1624" w:type="pct"/>
            <w:vAlign w:val="center"/>
          </w:tcPr>
          <w:p w14:paraId="3340EBFA">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云EMR系统</w:t>
            </w:r>
          </w:p>
        </w:tc>
        <w:tc>
          <w:tcPr>
            <w:tcW w:w="667" w:type="pct"/>
            <w:vAlign w:val="center"/>
          </w:tcPr>
          <w:p w14:paraId="29E7433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78745576">
            <w:pPr>
              <w:spacing w:line="360" w:lineRule="auto"/>
              <w:contextualSpacing/>
              <w:jc w:val="center"/>
              <w:rPr>
                <w:rFonts w:hint="eastAsia" w:ascii="仿宋" w:hAnsi="仿宋" w:eastAsia="仿宋" w:cs="仿宋"/>
                <w:sz w:val="24"/>
                <w:szCs w:val="24"/>
              </w:rPr>
            </w:pPr>
          </w:p>
        </w:tc>
        <w:tc>
          <w:tcPr>
            <w:tcW w:w="667" w:type="pct"/>
            <w:vAlign w:val="center"/>
          </w:tcPr>
          <w:p w14:paraId="1A9B19AC">
            <w:pPr>
              <w:spacing w:line="360" w:lineRule="auto"/>
              <w:contextualSpacing/>
              <w:jc w:val="center"/>
              <w:rPr>
                <w:rFonts w:hint="eastAsia" w:ascii="仿宋" w:hAnsi="仿宋" w:eastAsia="仿宋" w:cs="仿宋"/>
                <w:sz w:val="24"/>
                <w:szCs w:val="24"/>
              </w:rPr>
            </w:pPr>
          </w:p>
        </w:tc>
      </w:tr>
      <w:tr w14:paraId="26D0B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7FAD5BE5">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10</w:t>
            </w:r>
          </w:p>
        </w:tc>
        <w:tc>
          <w:tcPr>
            <w:tcW w:w="893" w:type="pct"/>
            <w:vMerge w:val="continue"/>
            <w:vAlign w:val="center"/>
          </w:tcPr>
          <w:p w14:paraId="5DD0896B">
            <w:pPr>
              <w:spacing w:line="360" w:lineRule="auto"/>
              <w:contextualSpacing/>
              <w:jc w:val="center"/>
              <w:rPr>
                <w:rFonts w:hint="eastAsia" w:ascii="仿宋" w:hAnsi="仿宋" w:eastAsia="仿宋" w:cs="仿宋"/>
                <w:sz w:val="24"/>
                <w:szCs w:val="24"/>
              </w:rPr>
            </w:pPr>
          </w:p>
        </w:tc>
        <w:tc>
          <w:tcPr>
            <w:tcW w:w="1624" w:type="pct"/>
            <w:vAlign w:val="center"/>
          </w:tcPr>
          <w:p w14:paraId="4D1E01E8">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家庭医生签约系统</w:t>
            </w:r>
          </w:p>
        </w:tc>
        <w:tc>
          <w:tcPr>
            <w:tcW w:w="667" w:type="pct"/>
            <w:vAlign w:val="center"/>
          </w:tcPr>
          <w:p w14:paraId="20B27554">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1D6BA472">
            <w:pPr>
              <w:spacing w:line="360" w:lineRule="auto"/>
              <w:contextualSpacing/>
              <w:jc w:val="center"/>
              <w:rPr>
                <w:rFonts w:hint="eastAsia" w:ascii="仿宋" w:hAnsi="仿宋" w:eastAsia="仿宋" w:cs="仿宋"/>
                <w:sz w:val="24"/>
                <w:szCs w:val="24"/>
              </w:rPr>
            </w:pPr>
          </w:p>
        </w:tc>
        <w:tc>
          <w:tcPr>
            <w:tcW w:w="667" w:type="pct"/>
            <w:vAlign w:val="center"/>
          </w:tcPr>
          <w:p w14:paraId="6BEF1C29">
            <w:pPr>
              <w:spacing w:line="360" w:lineRule="auto"/>
              <w:contextualSpacing/>
              <w:jc w:val="center"/>
              <w:rPr>
                <w:rFonts w:hint="eastAsia" w:ascii="仿宋" w:hAnsi="仿宋" w:eastAsia="仿宋" w:cs="仿宋"/>
                <w:sz w:val="24"/>
                <w:szCs w:val="24"/>
              </w:rPr>
            </w:pPr>
          </w:p>
        </w:tc>
      </w:tr>
      <w:tr w14:paraId="059729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DF16486">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11</w:t>
            </w:r>
          </w:p>
        </w:tc>
        <w:tc>
          <w:tcPr>
            <w:tcW w:w="893" w:type="pct"/>
            <w:vMerge w:val="continue"/>
            <w:vAlign w:val="center"/>
          </w:tcPr>
          <w:p w14:paraId="26630740">
            <w:pPr>
              <w:spacing w:line="360" w:lineRule="auto"/>
              <w:contextualSpacing/>
              <w:jc w:val="center"/>
              <w:rPr>
                <w:rFonts w:hint="eastAsia" w:ascii="仿宋" w:hAnsi="仿宋" w:eastAsia="仿宋" w:cs="仿宋"/>
                <w:sz w:val="24"/>
                <w:szCs w:val="24"/>
              </w:rPr>
            </w:pPr>
          </w:p>
        </w:tc>
        <w:tc>
          <w:tcPr>
            <w:tcW w:w="1624" w:type="pct"/>
            <w:vAlign w:val="center"/>
          </w:tcPr>
          <w:p w14:paraId="0CDE79D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云LIS系统</w:t>
            </w:r>
          </w:p>
        </w:tc>
        <w:tc>
          <w:tcPr>
            <w:tcW w:w="667" w:type="pct"/>
            <w:vAlign w:val="center"/>
          </w:tcPr>
          <w:p w14:paraId="499F6E34">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40AA7B80">
            <w:pPr>
              <w:spacing w:line="360" w:lineRule="auto"/>
              <w:contextualSpacing/>
              <w:jc w:val="center"/>
              <w:rPr>
                <w:rFonts w:hint="eastAsia" w:ascii="仿宋" w:hAnsi="仿宋" w:eastAsia="仿宋" w:cs="仿宋"/>
                <w:sz w:val="24"/>
                <w:szCs w:val="24"/>
              </w:rPr>
            </w:pPr>
          </w:p>
        </w:tc>
        <w:tc>
          <w:tcPr>
            <w:tcW w:w="667" w:type="pct"/>
            <w:vAlign w:val="center"/>
          </w:tcPr>
          <w:p w14:paraId="09F5C5DA">
            <w:pPr>
              <w:spacing w:line="360" w:lineRule="auto"/>
              <w:contextualSpacing/>
              <w:jc w:val="center"/>
              <w:rPr>
                <w:rFonts w:hint="eastAsia" w:ascii="仿宋" w:hAnsi="仿宋" w:eastAsia="仿宋" w:cs="仿宋"/>
                <w:sz w:val="24"/>
                <w:szCs w:val="24"/>
              </w:rPr>
            </w:pPr>
          </w:p>
        </w:tc>
      </w:tr>
      <w:tr w14:paraId="069CABF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5A2F3A5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12</w:t>
            </w:r>
          </w:p>
        </w:tc>
        <w:tc>
          <w:tcPr>
            <w:tcW w:w="893" w:type="pct"/>
            <w:vMerge w:val="continue"/>
            <w:vAlign w:val="center"/>
          </w:tcPr>
          <w:p w14:paraId="7B189BD0">
            <w:pPr>
              <w:spacing w:line="360" w:lineRule="auto"/>
              <w:contextualSpacing/>
              <w:jc w:val="center"/>
              <w:rPr>
                <w:rFonts w:hint="eastAsia" w:ascii="仿宋" w:hAnsi="仿宋" w:eastAsia="仿宋" w:cs="仿宋"/>
                <w:sz w:val="24"/>
                <w:szCs w:val="24"/>
              </w:rPr>
            </w:pPr>
          </w:p>
        </w:tc>
        <w:tc>
          <w:tcPr>
            <w:tcW w:w="1624" w:type="pct"/>
            <w:vAlign w:val="center"/>
          </w:tcPr>
          <w:p w14:paraId="0360018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云PACS系统</w:t>
            </w:r>
          </w:p>
        </w:tc>
        <w:tc>
          <w:tcPr>
            <w:tcW w:w="667" w:type="pct"/>
            <w:vAlign w:val="center"/>
          </w:tcPr>
          <w:p w14:paraId="73346AB0">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16F4E4A5">
            <w:pPr>
              <w:spacing w:line="360" w:lineRule="auto"/>
              <w:contextualSpacing/>
              <w:jc w:val="center"/>
              <w:rPr>
                <w:rFonts w:hint="eastAsia" w:ascii="仿宋" w:hAnsi="仿宋" w:eastAsia="仿宋" w:cs="仿宋"/>
                <w:sz w:val="24"/>
                <w:szCs w:val="24"/>
              </w:rPr>
            </w:pPr>
          </w:p>
        </w:tc>
        <w:tc>
          <w:tcPr>
            <w:tcW w:w="667" w:type="pct"/>
            <w:vAlign w:val="center"/>
          </w:tcPr>
          <w:p w14:paraId="6EFE55EE">
            <w:pPr>
              <w:spacing w:line="360" w:lineRule="auto"/>
              <w:contextualSpacing/>
              <w:jc w:val="center"/>
              <w:rPr>
                <w:rFonts w:hint="eastAsia" w:ascii="仿宋" w:hAnsi="仿宋" w:eastAsia="仿宋" w:cs="仿宋"/>
                <w:sz w:val="24"/>
                <w:szCs w:val="24"/>
              </w:rPr>
            </w:pPr>
          </w:p>
        </w:tc>
      </w:tr>
      <w:tr w14:paraId="57D6B6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5DA4A835">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13</w:t>
            </w:r>
          </w:p>
        </w:tc>
        <w:tc>
          <w:tcPr>
            <w:tcW w:w="893" w:type="pct"/>
            <w:vMerge w:val="continue"/>
            <w:vAlign w:val="center"/>
          </w:tcPr>
          <w:p w14:paraId="501732D2">
            <w:pPr>
              <w:spacing w:line="360" w:lineRule="auto"/>
              <w:contextualSpacing/>
              <w:jc w:val="center"/>
              <w:rPr>
                <w:rFonts w:hint="eastAsia" w:ascii="仿宋" w:hAnsi="仿宋" w:eastAsia="仿宋" w:cs="仿宋"/>
                <w:sz w:val="24"/>
                <w:szCs w:val="24"/>
              </w:rPr>
            </w:pPr>
          </w:p>
        </w:tc>
        <w:tc>
          <w:tcPr>
            <w:tcW w:w="1624" w:type="pct"/>
            <w:vAlign w:val="center"/>
          </w:tcPr>
          <w:p w14:paraId="5F00FBD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基层云体检系统</w:t>
            </w:r>
          </w:p>
        </w:tc>
        <w:tc>
          <w:tcPr>
            <w:tcW w:w="667" w:type="pct"/>
            <w:vAlign w:val="center"/>
          </w:tcPr>
          <w:p w14:paraId="61B1FA2A">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6140AF6E">
            <w:pPr>
              <w:spacing w:line="360" w:lineRule="auto"/>
              <w:contextualSpacing/>
              <w:jc w:val="center"/>
              <w:rPr>
                <w:rFonts w:hint="eastAsia" w:ascii="仿宋" w:hAnsi="仿宋" w:eastAsia="仿宋" w:cs="仿宋"/>
                <w:sz w:val="24"/>
                <w:szCs w:val="24"/>
              </w:rPr>
            </w:pPr>
          </w:p>
        </w:tc>
        <w:tc>
          <w:tcPr>
            <w:tcW w:w="667" w:type="pct"/>
            <w:vAlign w:val="center"/>
          </w:tcPr>
          <w:p w14:paraId="7AA7714E">
            <w:pPr>
              <w:spacing w:line="360" w:lineRule="auto"/>
              <w:contextualSpacing/>
              <w:jc w:val="center"/>
              <w:rPr>
                <w:rFonts w:hint="eastAsia" w:ascii="仿宋" w:hAnsi="仿宋" w:eastAsia="仿宋" w:cs="仿宋"/>
                <w:sz w:val="24"/>
                <w:szCs w:val="24"/>
              </w:rPr>
            </w:pPr>
          </w:p>
        </w:tc>
      </w:tr>
      <w:tr w14:paraId="7C49FD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787DF87C">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14</w:t>
            </w:r>
          </w:p>
        </w:tc>
        <w:tc>
          <w:tcPr>
            <w:tcW w:w="893" w:type="pct"/>
            <w:vAlign w:val="center"/>
          </w:tcPr>
          <w:p w14:paraId="3ABFE1D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基层系统对接改造</w:t>
            </w:r>
          </w:p>
        </w:tc>
        <w:tc>
          <w:tcPr>
            <w:tcW w:w="1624" w:type="pct"/>
            <w:vAlign w:val="center"/>
          </w:tcPr>
          <w:p w14:paraId="77D4631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基层系统与六大中心对接</w:t>
            </w:r>
          </w:p>
        </w:tc>
        <w:tc>
          <w:tcPr>
            <w:tcW w:w="667" w:type="pct"/>
            <w:vAlign w:val="center"/>
          </w:tcPr>
          <w:p w14:paraId="3172EF5F">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70CC4BA6">
            <w:pPr>
              <w:spacing w:line="360" w:lineRule="auto"/>
              <w:contextualSpacing/>
              <w:jc w:val="center"/>
              <w:rPr>
                <w:rFonts w:hint="eastAsia" w:ascii="仿宋" w:hAnsi="仿宋" w:eastAsia="仿宋" w:cs="仿宋"/>
                <w:sz w:val="24"/>
                <w:szCs w:val="24"/>
              </w:rPr>
            </w:pPr>
          </w:p>
        </w:tc>
        <w:tc>
          <w:tcPr>
            <w:tcW w:w="667" w:type="pct"/>
            <w:vAlign w:val="center"/>
          </w:tcPr>
          <w:p w14:paraId="2943D96E">
            <w:pPr>
              <w:spacing w:line="360" w:lineRule="auto"/>
              <w:contextualSpacing/>
              <w:jc w:val="center"/>
              <w:rPr>
                <w:rFonts w:hint="eastAsia" w:ascii="仿宋" w:hAnsi="仿宋" w:eastAsia="仿宋" w:cs="仿宋"/>
                <w:sz w:val="24"/>
                <w:szCs w:val="24"/>
              </w:rPr>
            </w:pPr>
          </w:p>
        </w:tc>
      </w:tr>
      <w:tr w14:paraId="18F39E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A75CCA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15</w:t>
            </w:r>
          </w:p>
        </w:tc>
        <w:tc>
          <w:tcPr>
            <w:tcW w:w="893" w:type="pct"/>
            <w:vMerge w:val="restart"/>
            <w:vAlign w:val="center"/>
          </w:tcPr>
          <w:p w14:paraId="15BC836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基础硬件</w:t>
            </w:r>
          </w:p>
        </w:tc>
        <w:tc>
          <w:tcPr>
            <w:tcW w:w="1624" w:type="pct"/>
            <w:vAlign w:val="center"/>
          </w:tcPr>
          <w:p w14:paraId="0B90DE1F">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核心交换机</w:t>
            </w:r>
          </w:p>
        </w:tc>
        <w:tc>
          <w:tcPr>
            <w:tcW w:w="667" w:type="pct"/>
            <w:vAlign w:val="center"/>
          </w:tcPr>
          <w:p w14:paraId="22C9B7C9">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1台</w:t>
            </w:r>
          </w:p>
        </w:tc>
        <w:tc>
          <w:tcPr>
            <w:tcW w:w="667" w:type="pct"/>
            <w:vAlign w:val="center"/>
          </w:tcPr>
          <w:p w14:paraId="7FD670BA">
            <w:pPr>
              <w:pStyle w:val="52"/>
              <w:spacing w:line="360" w:lineRule="auto"/>
              <w:ind w:left="0"/>
              <w:jc w:val="center"/>
              <w:rPr>
                <w:rFonts w:hint="eastAsia" w:ascii="仿宋" w:hAnsi="仿宋" w:eastAsia="仿宋" w:cs="仿宋"/>
                <w:sz w:val="24"/>
                <w:szCs w:val="24"/>
              </w:rPr>
            </w:pPr>
          </w:p>
        </w:tc>
        <w:tc>
          <w:tcPr>
            <w:tcW w:w="667" w:type="pct"/>
            <w:vAlign w:val="center"/>
          </w:tcPr>
          <w:p w14:paraId="27AD5992">
            <w:pPr>
              <w:pStyle w:val="52"/>
              <w:spacing w:line="360" w:lineRule="auto"/>
              <w:ind w:left="0"/>
              <w:jc w:val="center"/>
              <w:rPr>
                <w:rFonts w:hint="eastAsia" w:ascii="仿宋" w:hAnsi="仿宋" w:eastAsia="仿宋" w:cs="仿宋"/>
                <w:sz w:val="24"/>
                <w:szCs w:val="24"/>
              </w:rPr>
            </w:pPr>
          </w:p>
        </w:tc>
      </w:tr>
      <w:tr w14:paraId="129C56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1521621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16</w:t>
            </w:r>
          </w:p>
        </w:tc>
        <w:tc>
          <w:tcPr>
            <w:tcW w:w="893" w:type="pct"/>
            <w:vMerge w:val="continue"/>
            <w:vAlign w:val="center"/>
          </w:tcPr>
          <w:p w14:paraId="06F88775">
            <w:pPr>
              <w:spacing w:line="360" w:lineRule="auto"/>
              <w:contextualSpacing/>
              <w:jc w:val="center"/>
              <w:rPr>
                <w:rFonts w:hint="eastAsia" w:ascii="仿宋" w:hAnsi="仿宋" w:eastAsia="仿宋" w:cs="仿宋"/>
                <w:sz w:val="24"/>
                <w:szCs w:val="24"/>
              </w:rPr>
            </w:pPr>
          </w:p>
        </w:tc>
        <w:tc>
          <w:tcPr>
            <w:tcW w:w="1624" w:type="pct"/>
            <w:vAlign w:val="center"/>
          </w:tcPr>
          <w:p w14:paraId="4E3776DF">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远程会诊一体机</w:t>
            </w:r>
          </w:p>
        </w:tc>
        <w:tc>
          <w:tcPr>
            <w:tcW w:w="667" w:type="pct"/>
            <w:vAlign w:val="center"/>
          </w:tcPr>
          <w:p w14:paraId="69B6CE18">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10台</w:t>
            </w:r>
          </w:p>
        </w:tc>
        <w:tc>
          <w:tcPr>
            <w:tcW w:w="667" w:type="pct"/>
            <w:vAlign w:val="center"/>
          </w:tcPr>
          <w:p w14:paraId="64FFA1D7">
            <w:pPr>
              <w:pStyle w:val="52"/>
              <w:spacing w:line="360" w:lineRule="auto"/>
              <w:ind w:left="0"/>
              <w:jc w:val="center"/>
              <w:rPr>
                <w:rFonts w:hint="eastAsia" w:ascii="仿宋" w:hAnsi="仿宋" w:eastAsia="仿宋" w:cs="仿宋"/>
                <w:sz w:val="24"/>
                <w:szCs w:val="24"/>
              </w:rPr>
            </w:pPr>
          </w:p>
        </w:tc>
        <w:tc>
          <w:tcPr>
            <w:tcW w:w="667" w:type="pct"/>
            <w:vAlign w:val="center"/>
          </w:tcPr>
          <w:p w14:paraId="2C3F0FC7">
            <w:pPr>
              <w:pStyle w:val="52"/>
              <w:spacing w:line="360" w:lineRule="auto"/>
              <w:ind w:left="0"/>
              <w:jc w:val="center"/>
              <w:rPr>
                <w:rFonts w:hint="eastAsia" w:ascii="仿宋" w:hAnsi="仿宋" w:eastAsia="仿宋" w:cs="仿宋"/>
                <w:sz w:val="24"/>
                <w:szCs w:val="24"/>
              </w:rPr>
            </w:pPr>
          </w:p>
        </w:tc>
      </w:tr>
      <w:tr w14:paraId="3579B9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D012E7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17</w:t>
            </w:r>
          </w:p>
        </w:tc>
        <w:tc>
          <w:tcPr>
            <w:tcW w:w="893" w:type="pct"/>
            <w:vMerge w:val="restart"/>
            <w:vAlign w:val="center"/>
          </w:tcPr>
          <w:p w14:paraId="08E958E5">
            <w:pPr>
              <w:pStyle w:val="5"/>
              <w:spacing w:line="360" w:lineRule="auto"/>
              <w:contextualSpacing/>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网络安全建设服务</w:t>
            </w:r>
          </w:p>
        </w:tc>
        <w:tc>
          <w:tcPr>
            <w:tcW w:w="1624" w:type="pct"/>
            <w:vAlign w:val="center"/>
          </w:tcPr>
          <w:p w14:paraId="38FE5270">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防火墙</w:t>
            </w:r>
          </w:p>
        </w:tc>
        <w:tc>
          <w:tcPr>
            <w:tcW w:w="667" w:type="pct"/>
            <w:vAlign w:val="center"/>
          </w:tcPr>
          <w:p w14:paraId="1CE0CAA7">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1台</w:t>
            </w:r>
          </w:p>
        </w:tc>
        <w:tc>
          <w:tcPr>
            <w:tcW w:w="667" w:type="pct"/>
            <w:vAlign w:val="center"/>
          </w:tcPr>
          <w:p w14:paraId="79C7AD65">
            <w:pPr>
              <w:spacing w:line="360" w:lineRule="auto"/>
              <w:contextualSpacing/>
              <w:jc w:val="center"/>
              <w:rPr>
                <w:rFonts w:hint="eastAsia" w:ascii="仿宋" w:hAnsi="仿宋" w:eastAsia="仿宋" w:cs="仿宋"/>
                <w:sz w:val="24"/>
                <w:szCs w:val="24"/>
              </w:rPr>
            </w:pPr>
          </w:p>
        </w:tc>
        <w:tc>
          <w:tcPr>
            <w:tcW w:w="667" w:type="pct"/>
            <w:vAlign w:val="center"/>
          </w:tcPr>
          <w:p w14:paraId="6819CFE9">
            <w:pPr>
              <w:spacing w:line="360" w:lineRule="auto"/>
              <w:contextualSpacing/>
              <w:jc w:val="center"/>
              <w:rPr>
                <w:rFonts w:hint="eastAsia" w:ascii="仿宋" w:hAnsi="仿宋" w:eastAsia="仿宋" w:cs="仿宋"/>
                <w:sz w:val="24"/>
                <w:szCs w:val="24"/>
              </w:rPr>
            </w:pPr>
          </w:p>
        </w:tc>
      </w:tr>
      <w:tr w14:paraId="7D40A8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0C7E64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18</w:t>
            </w:r>
          </w:p>
        </w:tc>
        <w:tc>
          <w:tcPr>
            <w:tcW w:w="893" w:type="pct"/>
            <w:vMerge w:val="continue"/>
            <w:vAlign w:val="center"/>
          </w:tcPr>
          <w:p w14:paraId="69006A3D">
            <w:pPr>
              <w:spacing w:line="360" w:lineRule="auto"/>
              <w:contextualSpacing/>
              <w:jc w:val="center"/>
              <w:rPr>
                <w:rFonts w:hint="eastAsia" w:ascii="仿宋" w:hAnsi="仿宋" w:eastAsia="仿宋" w:cs="仿宋"/>
                <w:sz w:val="24"/>
                <w:szCs w:val="24"/>
              </w:rPr>
            </w:pPr>
          </w:p>
        </w:tc>
        <w:tc>
          <w:tcPr>
            <w:tcW w:w="1624" w:type="pct"/>
            <w:vAlign w:val="center"/>
          </w:tcPr>
          <w:p w14:paraId="72469B60">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安全审查</w:t>
            </w:r>
          </w:p>
        </w:tc>
        <w:tc>
          <w:tcPr>
            <w:tcW w:w="667" w:type="pct"/>
            <w:vAlign w:val="center"/>
          </w:tcPr>
          <w:p w14:paraId="12A6B010">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1D3C9A27">
            <w:pPr>
              <w:spacing w:line="360" w:lineRule="auto"/>
              <w:contextualSpacing/>
              <w:jc w:val="center"/>
              <w:rPr>
                <w:rFonts w:hint="eastAsia" w:ascii="仿宋" w:hAnsi="仿宋" w:eastAsia="仿宋" w:cs="仿宋"/>
                <w:sz w:val="24"/>
                <w:szCs w:val="24"/>
              </w:rPr>
            </w:pPr>
          </w:p>
        </w:tc>
        <w:tc>
          <w:tcPr>
            <w:tcW w:w="667" w:type="pct"/>
            <w:vAlign w:val="center"/>
          </w:tcPr>
          <w:p w14:paraId="36ACF670">
            <w:pPr>
              <w:spacing w:line="360" w:lineRule="auto"/>
              <w:contextualSpacing/>
              <w:jc w:val="center"/>
              <w:rPr>
                <w:rFonts w:hint="eastAsia" w:ascii="仿宋" w:hAnsi="仿宋" w:eastAsia="仿宋" w:cs="仿宋"/>
                <w:sz w:val="24"/>
                <w:szCs w:val="24"/>
              </w:rPr>
            </w:pPr>
          </w:p>
        </w:tc>
      </w:tr>
      <w:tr w14:paraId="6BFAEF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14F7B6CA">
            <w:pPr>
              <w:spacing w:line="360" w:lineRule="auto"/>
              <w:contextualSpacing/>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w:t>
            </w:r>
          </w:p>
        </w:tc>
        <w:tc>
          <w:tcPr>
            <w:tcW w:w="893" w:type="pct"/>
            <w:vMerge w:val="continue"/>
            <w:vAlign w:val="center"/>
          </w:tcPr>
          <w:p w14:paraId="55FE5167">
            <w:pPr>
              <w:spacing w:line="360" w:lineRule="auto"/>
              <w:contextualSpacing/>
              <w:jc w:val="center"/>
              <w:rPr>
                <w:rFonts w:hint="eastAsia" w:ascii="仿宋" w:hAnsi="仿宋" w:eastAsia="仿宋" w:cs="仿宋"/>
                <w:sz w:val="24"/>
                <w:szCs w:val="24"/>
              </w:rPr>
            </w:pPr>
          </w:p>
        </w:tc>
        <w:tc>
          <w:tcPr>
            <w:tcW w:w="1624" w:type="pct"/>
            <w:vAlign w:val="center"/>
          </w:tcPr>
          <w:p w14:paraId="6780D664">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等保测评</w:t>
            </w:r>
          </w:p>
        </w:tc>
        <w:tc>
          <w:tcPr>
            <w:tcW w:w="667" w:type="pct"/>
            <w:vAlign w:val="center"/>
          </w:tcPr>
          <w:p w14:paraId="6B01BF9A">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4FFE266E">
            <w:pPr>
              <w:spacing w:line="360" w:lineRule="auto"/>
              <w:contextualSpacing/>
              <w:jc w:val="center"/>
              <w:rPr>
                <w:rFonts w:hint="eastAsia" w:ascii="仿宋" w:hAnsi="仿宋" w:eastAsia="仿宋" w:cs="仿宋"/>
                <w:sz w:val="24"/>
                <w:szCs w:val="24"/>
              </w:rPr>
            </w:pPr>
          </w:p>
        </w:tc>
        <w:tc>
          <w:tcPr>
            <w:tcW w:w="667" w:type="pct"/>
            <w:vAlign w:val="center"/>
          </w:tcPr>
          <w:p w14:paraId="2A9774D2">
            <w:pPr>
              <w:spacing w:line="360" w:lineRule="auto"/>
              <w:contextualSpacing/>
              <w:jc w:val="center"/>
              <w:rPr>
                <w:rFonts w:hint="eastAsia" w:ascii="仿宋" w:hAnsi="仿宋" w:eastAsia="仿宋" w:cs="仿宋"/>
                <w:sz w:val="24"/>
                <w:szCs w:val="24"/>
              </w:rPr>
            </w:pPr>
          </w:p>
        </w:tc>
      </w:tr>
      <w:tr w14:paraId="4E6E31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8A89252">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20</w:t>
            </w:r>
          </w:p>
        </w:tc>
        <w:tc>
          <w:tcPr>
            <w:tcW w:w="893" w:type="pct"/>
            <w:vMerge w:val="continue"/>
            <w:vAlign w:val="center"/>
          </w:tcPr>
          <w:p w14:paraId="45263876">
            <w:pPr>
              <w:spacing w:line="360" w:lineRule="auto"/>
              <w:contextualSpacing/>
              <w:jc w:val="center"/>
              <w:rPr>
                <w:rFonts w:hint="eastAsia" w:ascii="仿宋" w:hAnsi="仿宋" w:eastAsia="仿宋" w:cs="仿宋"/>
                <w:sz w:val="24"/>
                <w:szCs w:val="24"/>
              </w:rPr>
            </w:pPr>
          </w:p>
        </w:tc>
        <w:tc>
          <w:tcPr>
            <w:tcW w:w="1624" w:type="pct"/>
            <w:vAlign w:val="center"/>
          </w:tcPr>
          <w:p w14:paraId="6AFCFB92">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安全服务</w:t>
            </w:r>
          </w:p>
        </w:tc>
        <w:tc>
          <w:tcPr>
            <w:tcW w:w="667" w:type="pct"/>
            <w:vAlign w:val="center"/>
          </w:tcPr>
          <w:p w14:paraId="2BF07A92">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5177B955">
            <w:pPr>
              <w:spacing w:line="360" w:lineRule="auto"/>
              <w:contextualSpacing/>
              <w:jc w:val="center"/>
              <w:rPr>
                <w:rFonts w:hint="eastAsia" w:ascii="仿宋" w:hAnsi="仿宋" w:eastAsia="仿宋" w:cs="仿宋"/>
                <w:sz w:val="24"/>
                <w:szCs w:val="24"/>
              </w:rPr>
            </w:pPr>
          </w:p>
        </w:tc>
        <w:tc>
          <w:tcPr>
            <w:tcW w:w="667" w:type="pct"/>
            <w:vAlign w:val="center"/>
          </w:tcPr>
          <w:p w14:paraId="74AF8EA6">
            <w:pPr>
              <w:spacing w:line="360" w:lineRule="auto"/>
              <w:contextualSpacing/>
              <w:jc w:val="center"/>
              <w:rPr>
                <w:rFonts w:hint="eastAsia" w:ascii="仿宋" w:hAnsi="仿宋" w:eastAsia="仿宋" w:cs="仿宋"/>
                <w:sz w:val="24"/>
                <w:szCs w:val="24"/>
              </w:rPr>
            </w:pPr>
          </w:p>
        </w:tc>
      </w:tr>
      <w:tr w14:paraId="0472C3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2DAFB34D">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21</w:t>
            </w:r>
          </w:p>
        </w:tc>
        <w:tc>
          <w:tcPr>
            <w:tcW w:w="893" w:type="pct"/>
            <w:vMerge w:val="continue"/>
            <w:vAlign w:val="center"/>
          </w:tcPr>
          <w:p w14:paraId="65C6AE1E">
            <w:pPr>
              <w:spacing w:line="360" w:lineRule="auto"/>
              <w:contextualSpacing/>
              <w:jc w:val="center"/>
              <w:rPr>
                <w:rFonts w:hint="eastAsia" w:ascii="仿宋" w:hAnsi="仿宋" w:eastAsia="仿宋" w:cs="仿宋"/>
                <w:sz w:val="24"/>
                <w:szCs w:val="24"/>
              </w:rPr>
            </w:pPr>
          </w:p>
        </w:tc>
        <w:tc>
          <w:tcPr>
            <w:tcW w:w="1624" w:type="pct"/>
            <w:vAlign w:val="center"/>
          </w:tcPr>
          <w:p w14:paraId="14EAD9F4">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终端杀毒</w:t>
            </w:r>
          </w:p>
        </w:tc>
        <w:tc>
          <w:tcPr>
            <w:tcW w:w="667" w:type="pct"/>
            <w:vAlign w:val="center"/>
          </w:tcPr>
          <w:p w14:paraId="1220F7A9">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1项</w:t>
            </w:r>
          </w:p>
        </w:tc>
        <w:tc>
          <w:tcPr>
            <w:tcW w:w="667" w:type="pct"/>
            <w:vAlign w:val="center"/>
          </w:tcPr>
          <w:p w14:paraId="07FAA924">
            <w:pPr>
              <w:spacing w:line="360" w:lineRule="auto"/>
              <w:contextualSpacing/>
              <w:jc w:val="center"/>
              <w:rPr>
                <w:rFonts w:hint="eastAsia" w:ascii="仿宋" w:hAnsi="仿宋" w:eastAsia="仿宋" w:cs="仿宋"/>
                <w:sz w:val="24"/>
                <w:szCs w:val="24"/>
              </w:rPr>
            </w:pPr>
          </w:p>
        </w:tc>
        <w:tc>
          <w:tcPr>
            <w:tcW w:w="667" w:type="pct"/>
            <w:vAlign w:val="center"/>
          </w:tcPr>
          <w:p w14:paraId="604C592F">
            <w:pPr>
              <w:spacing w:line="360" w:lineRule="auto"/>
              <w:contextualSpacing/>
              <w:jc w:val="center"/>
              <w:rPr>
                <w:rFonts w:hint="eastAsia" w:ascii="仿宋" w:hAnsi="仿宋" w:eastAsia="仿宋" w:cs="仿宋"/>
                <w:sz w:val="24"/>
                <w:szCs w:val="24"/>
              </w:rPr>
            </w:pPr>
          </w:p>
        </w:tc>
      </w:tr>
      <w:tr w14:paraId="4CD725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5374D39A">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22</w:t>
            </w:r>
          </w:p>
        </w:tc>
        <w:tc>
          <w:tcPr>
            <w:tcW w:w="893" w:type="pct"/>
            <w:vMerge w:val="restart"/>
            <w:vAlign w:val="center"/>
          </w:tcPr>
          <w:p w14:paraId="4F980240">
            <w:pPr>
              <w:pStyle w:val="5"/>
              <w:spacing w:line="360" w:lineRule="auto"/>
              <w:contextualSpacing/>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运维服务</w:t>
            </w:r>
          </w:p>
        </w:tc>
        <w:tc>
          <w:tcPr>
            <w:tcW w:w="1624" w:type="pct"/>
            <w:vAlign w:val="center"/>
          </w:tcPr>
          <w:p w14:paraId="19E4BB57">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全民健康信息平台虚拟子平台运维服务费</w:t>
            </w:r>
          </w:p>
        </w:tc>
        <w:tc>
          <w:tcPr>
            <w:tcW w:w="667" w:type="pct"/>
            <w:vAlign w:val="center"/>
          </w:tcPr>
          <w:p w14:paraId="226A0B5C">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1年</w:t>
            </w:r>
          </w:p>
        </w:tc>
        <w:tc>
          <w:tcPr>
            <w:tcW w:w="667" w:type="pct"/>
            <w:vAlign w:val="center"/>
          </w:tcPr>
          <w:p w14:paraId="0146F6EA">
            <w:pPr>
              <w:spacing w:line="360" w:lineRule="auto"/>
              <w:contextualSpacing/>
              <w:jc w:val="center"/>
              <w:rPr>
                <w:rFonts w:hint="eastAsia" w:ascii="仿宋" w:hAnsi="仿宋" w:eastAsia="仿宋" w:cs="仿宋"/>
                <w:sz w:val="24"/>
                <w:szCs w:val="24"/>
              </w:rPr>
            </w:pPr>
          </w:p>
        </w:tc>
        <w:tc>
          <w:tcPr>
            <w:tcW w:w="667" w:type="pct"/>
            <w:vAlign w:val="center"/>
          </w:tcPr>
          <w:p w14:paraId="0B8E4B18">
            <w:pPr>
              <w:spacing w:line="360" w:lineRule="auto"/>
              <w:contextualSpacing/>
              <w:jc w:val="center"/>
              <w:rPr>
                <w:rFonts w:hint="eastAsia" w:ascii="仿宋" w:hAnsi="仿宋" w:eastAsia="仿宋" w:cs="仿宋"/>
                <w:sz w:val="24"/>
                <w:szCs w:val="24"/>
              </w:rPr>
            </w:pPr>
          </w:p>
        </w:tc>
      </w:tr>
      <w:tr w14:paraId="0E0AB4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0EA28B51">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23</w:t>
            </w:r>
          </w:p>
        </w:tc>
        <w:tc>
          <w:tcPr>
            <w:tcW w:w="893" w:type="pct"/>
            <w:vMerge w:val="continue"/>
            <w:vAlign w:val="center"/>
          </w:tcPr>
          <w:p w14:paraId="1DC99B44">
            <w:pPr>
              <w:pStyle w:val="5"/>
              <w:spacing w:line="360" w:lineRule="auto"/>
              <w:contextualSpacing/>
              <w:jc w:val="center"/>
              <w:rPr>
                <w:rFonts w:hint="eastAsia" w:ascii="仿宋" w:hAnsi="仿宋" w:eastAsia="仿宋" w:cs="仿宋"/>
                <w:b w:val="0"/>
                <w:bCs w:val="0"/>
                <w:sz w:val="24"/>
                <w:szCs w:val="24"/>
              </w:rPr>
            </w:pPr>
          </w:p>
        </w:tc>
        <w:tc>
          <w:tcPr>
            <w:tcW w:w="1624" w:type="pct"/>
            <w:vAlign w:val="center"/>
          </w:tcPr>
          <w:p w14:paraId="45DE4AD6">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医共体中心运维服务费</w:t>
            </w:r>
          </w:p>
        </w:tc>
        <w:tc>
          <w:tcPr>
            <w:tcW w:w="667" w:type="pct"/>
            <w:vAlign w:val="center"/>
          </w:tcPr>
          <w:p w14:paraId="36468973">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1年</w:t>
            </w:r>
          </w:p>
        </w:tc>
        <w:tc>
          <w:tcPr>
            <w:tcW w:w="667" w:type="pct"/>
            <w:vAlign w:val="center"/>
          </w:tcPr>
          <w:p w14:paraId="53668505">
            <w:pPr>
              <w:spacing w:line="360" w:lineRule="auto"/>
              <w:contextualSpacing/>
              <w:jc w:val="center"/>
              <w:rPr>
                <w:rFonts w:hint="eastAsia" w:ascii="仿宋" w:hAnsi="仿宋" w:eastAsia="仿宋" w:cs="仿宋"/>
                <w:sz w:val="24"/>
                <w:szCs w:val="24"/>
              </w:rPr>
            </w:pPr>
          </w:p>
        </w:tc>
        <w:tc>
          <w:tcPr>
            <w:tcW w:w="667" w:type="pct"/>
            <w:vAlign w:val="center"/>
          </w:tcPr>
          <w:p w14:paraId="472364E0">
            <w:pPr>
              <w:spacing w:line="360" w:lineRule="auto"/>
              <w:contextualSpacing/>
              <w:jc w:val="center"/>
              <w:rPr>
                <w:rFonts w:hint="eastAsia" w:ascii="仿宋" w:hAnsi="仿宋" w:eastAsia="仿宋" w:cs="仿宋"/>
                <w:sz w:val="24"/>
                <w:szCs w:val="24"/>
              </w:rPr>
            </w:pPr>
          </w:p>
        </w:tc>
      </w:tr>
      <w:tr w14:paraId="519074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0B1C9F04">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24</w:t>
            </w:r>
          </w:p>
        </w:tc>
        <w:tc>
          <w:tcPr>
            <w:tcW w:w="893" w:type="pct"/>
            <w:vMerge w:val="restart"/>
            <w:vAlign w:val="top"/>
          </w:tcPr>
          <w:p w14:paraId="7B91E351">
            <w:pPr>
              <w:spacing w:line="520" w:lineRule="exact"/>
              <w:contextualSpacing/>
              <w:rPr>
                <w:rFonts w:hint="eastAsia" w:ascii="仿宋" w:hAnsi="仿宋" w:eastAsia="仿宋" w:cs="仿宋"/>
                <w:b w:val="0"/>
                <w:bCs w:val="0"/>
                <w:sz w:val="24"/>
                <w:szCs w:val="24"/>
              </w:rPr>
            </w:pPr>
            <w:r>
              <w:rPr>
                <w:rFonts w:hint="eastAsia" w:ascii="仿宋" w:hAnsi="仿宋" w:eastAsia="仿宋" w:cs="Times New Roman"/>
                <w:sz w:val="24"/>
                <w:szCs w:val="24"/>
              </w:rPr>
              <w:t>网络租赁服务</w:t>
            </w:r>
          </w:p>
        </w:tc>
        <w:tc>
          <w:tcPr>
            <w:tcW w:w="1624" w:type="pct"/>
            <w:vAlign w:val="center"/>
          </w:tcPr>
          <w:p w14:paraId="40395FF9">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网络服务费（含健康小屋75个点位线路接入）</w:t>
            </w:r>
          </w:p>
        </w:tc>
        <w:tc>
          <w:tcPr>
            <w:tcW w:w="667" w:type="pct"/>
            <w:vAlign w:val="center"/>
          </w:tcPr>
          <w:p w14:paraId="6679B328">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1年</w:t>
            </w:r>
          </w:p>
        </w:tc>
        <w:tc>
          <w:tcPr>
            <w:tcW w:w="667" w:type="pct"/>
            <w:vAlign w:val="center"/>
          </w:tcPr>
          <w:p w14:paraId="39164CA1">
            <w:pPr>
              <w:spacing w:line="360" w:lineRule="auto"/>
              <w:contextualSpacing/>
              <w:jc w:val="center"/>
              <w:rPr>
                <w:rFonts w:hint="eastAsia" w:ascii="仿宋" w:hAnsi="仿宋" w:eastAsia="仿宋" w:cs="仿宋"/>
                <w:sz w:val="24"/>
                <w:szCs w:val="24"/>
              </w:rPr>
            </w:pPr>
          </w:p>
        </w:tc>
        <w:tc>
          <w:tcPr>
            <w:tcW w:w="667" w:type="pct"/>
            <w:vAlign w:val="center"/>
          </w:tcPr>
          <w:p w14:paraId="11EABB32">
            <w:pPr>
              <w:spacing w:line="360" w:lineRule="auto"/>
              <w:contextualSpacing/>
              <w:jc w:val="center"/>
              <w:rPr>
                <w:rFonts w:hint="eastAsia" w:ascii="仿宋" w:hAnsi="仿宋" w:eastAsia="仿宋" w:cs="仿宋"/>
                <w:sz w:val="24"/>
                <w:szCs w:val="24"/>
              </w:rPr>
            </w:pPr>
          </w:p>
        </w:tc>
      </w:tr>
      <w:tr w14:paraId="087C58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8" w:hRule="atLeast"/>
          <w:jc w:val="center"/>
        </w:trPr>
        <w:tc>
          <w:tcPr>
            <w:tcW w:w="478" w:type="pct"/>
            <w:vAlign w:val="center"/>
          </w:tcPr>
          <w:p w14:paraId="60932FAB">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25</w:t>
            </w:r>
          </w:p>
        </w:tc>
        <w:tc>
          <w:tcPr>
            <w:tcW w:w="893" w:type="pct"/>
            <w:vMerge w:val="continue"/>
            <w:vAlign w:val="center"/>
          </w:tcPr>
          <w:p w14:paraId="31AA4B1D">
            <w:pPr>
              <w:pStyle w:val="5"/>
              <w:contextualSpacing/>
              <w:jc w:val="center"/>
              <w:rPr>
                <w:rFonts w:hint="eastAsia" w:ascii="仿宋" w:hAnsi="仿宋" w:eastAsia="仿宋" w:cs="仿宋"/>
                <w:b w:val="0"/>
                <w:bCs w:val="0"/>
                <w:sz w:val="24"/>
                <w:szCs w:val="24"/>
              </w:rPr>
            </w:pPr>
          </w:p>
        </w:tc>
        <w:tc>
          <w:tcPr>
            <w:tcW w:w="1624" w:type="pct"/>
            <w:vAlign w:val="center"/>
          </w:tcPr>
          <w:p w14:paraId="4E32B4CB">
            <w:pPr>
              <w:pStyle w:val="52"/>
              <w:spacing w:line="360" w:lineRule="auto"/>
              <w:ind w:left="0"/>
              <w:jc w:val="center"/>
              <w:rPr>
                <w:rFonts w:hint="eastAsia" w:ascii="仿宋" w:hAnsi="仿宋" w:eastAsia="仿宋" w:cs="仿宋"/>
                <w:sz w:val="24"/>
                <w:szCs w:val="24"/>
              </w:rPr>
            </w:pPr>
            <w:r>
              <w:rPr>
                <w:rFonts w:hint="eastAsia" w:ascii="仿宋" w:hAnsi="仿宋" w:eastAsia="仿宋" w:cs="仿宋"/>
                <w:sz w:val="24"/>
                <w:szCs w:val="24"/>
              </w:rPr>
              <w:t>车载CT线路费用</w:t>
            </w:r>
          </w:p>
        </w:tc>
        <w:tc>
          <w:tcPr>
            <w:tcW w:w="667" w:type="pct"/>
            <w:vAlign w:val="center"/>
          </w:tcPr>
          <w:p w14:paraId="29447B68">
            <w:pPr>
              <w:spacing w:line="360" w:lineRule="auto"/>
              <w:contextualSpacing/>
              <w:jc w:val="center"/>
              <w:rPr>
                <w:rFonts w:hint="eastAsia" w:ascii="仿宋" w:hAnsi="仿宋" w:eastAsia="仿宋" w:cs="仿宋"/>
                <w:sz w:val="24"/>
                <w:szCs w:val="24"/>
              </w:rPr>
            </w:pPr>
            <w:r>
              <w:rPr>
                <w:rFonts w:hint="eastAsia" w:ascii="仿宋" w:hAnsi="仿宋" w:eastAsia="仿宋" w:cs="仿宋"/>
                <w:sz w:val="24"/>
                <w:szCs w:val="24"/>
              </w:rPr>
              <w:t>1年</w:t>
            </w:r>
          </w:p>
        </w:tc>
        <w:tc>
          <w:tcPr>
            <w:tcW w:w="667" w:type="pct"/>
            <w:vAlign w:val="center"/>
          </w:tcPr>
          <w:p w14:paraId="79F5476C">
            <w:pPr>
              <w:spacing w:line="360" w:lineRule="auto"/>
              <w:contextualSpacing/>
              <w:jc w:val="center"/>
              <w:rPr>
                <w:rFonts w:hint="eastAsia" w:ascii="仿宋" w:hAnsi="仿宋" w:eastAsia="仿宋" w:cs="仿宋"/>
                <w:sz w:val="24"/>
                <w:szCs w:val="24"/>
              </w:rPr>
            </w:pPr>
          </w:p>
        </w:tc>
        <w:tc>
          <w:tcPr>
            <w:tcW w:w="667" w:type="pct"/>
            <w:vAlign w:val="center"/>
          </w:tcPr>
          <w:p w14:paraId="7893C859">
            <w:pPr>
              <w:spacing w:line="360" w:lineRule="auto"/>
              <w:contextualSpacing/>
              <w:jc w:val="center"/>
              <w:rPr>
                <w:rFonts w:hint="eastAsia" w:ascii="仿宋" w:hAnsi="仿宋" w:eastAsia="仿宋" w:cs="仿宋"/>
                <w:sz w:val="24"/>
                <w:szCs w:val="24"/>
              </w:rPr>
            </w:pPr>
          </w:p>
        </w:tc>
      </w:tr>
    </w:tbl>
    <w:p w14:paraId="3918E753">
      <w:pPr>
        <w:spacing w:line="520" w:lineRule="exact"/>
        <w:rPr>
          <w:rFonts w:hint="eastAsia" w:ascii="仿宋" w:hAnsi="仿宋" w:eastAsia="仿宋"/>
          <w:sz w:val="28"/>
          <w:szCs w:val="28"/>
        </w:rPr>
      </w:pPr>
    </w:p>
    <w:p w14:paraId="1FFE147D">
      <w:pPr>
        <w:spacing w:line="520" w:lineRule="exact"/>
        <w:rPr>
          <w:rFonts w:hint="eastAsia" w:ascii="仿宋" w:hAnsi="仿宋" w:eastAsia="仿宋"/>
          <w:sz w:val="28"/>
          <w:szCs w:val="28"/>
          <w:lang w:eastAsia="zh-CN"/>
        </w:rPr>
      </w:pPr>
      <w:r>
        <w:rPr>
          <w:rFonts w:hint="eastAsia" w:ascii="仿宋" w:hAnsi="仿宋" w:eastAsia="仿宋"/>
          <w:sz w:val="28"/>
          <w:szCs w:val="28"/>
        </w:rPr>
        <w:t>投标人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13EB8039">
      <w:pPr>
        <w:spacing w:line="520" w:lineRule="exact"/>
        <w:rPr>
          <w:rFonts w:hint="eastAsia" w:ascii="仿宋" w:hAnsi="仿宋" w:eastAsia="仿宋"/>
          <w:sz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38726A96">
      <w:pPr>
        <w:spacing w:line="520" w:lineRule="exact"/>
        <w:rPr>
          <w:rFonts w:hint="eastAsia" w:ascii="仿宋" w:hAnsi="仿宋" w:eastAsia="仿宋"/>
          <w:sz w:val="28"/>
          <w:szCs w:val="28"/>
          <w:u w:val="single"/>
        </w:rPr>
      </w:pPr>
    </w:p>
    <w:p w14:paraId="14ABA8B7">
      <w:pPr>
        <w:pStyle w:val="294"/>
        <w:spacing w:line="440" w:lineRule="exact"/>
        <w:ind w:firstLine="412"/>
        <w:rPr>
          <w:rFonts w:hint="eastAsia" w:ascii="仿宋" w:hAnsi="仿宋" w:eastAsia="仿宋"/>
          <w:sz w:val="28"/>
          <w:szCs w:val="24"/>
        </w:rPr>
      </w:pPr>
      <w:r>
        <w:rPr>
          <w:rFonts w:ascii="仿宋" w:hAnsi="仿宋" w:eastAsia="仿宋"/>
          <w:sz w:val="28"/>
          <w:szCs w:val="24"/>
        </w:rPr>
        <w:t>备注：1</w:t>
      </w:r>
      <w:r>
        <w:rPr>
          <w:rFonts w:hint="eastAsia" w:ascii="仿宋" w:hAnsi="仿宋" w:eastAsia="仿宋"/>
          <w:sz w:val="28"/>
          <w:szCs w:val="24"/>
        </w:rPr>
        <w:t>、投</w:t>
      </w:r>
      <w:r>
        <w:rPr>
          <w:rFonts w:ascii="仿宋" w:hAnsi="仿宋" w:eastAsia="仿宋"/>
          <w:sz w:val="28"/>
          <w:szCs w:val="24"/>
        </w:rPr>
        <w:t>标报价采用总承包方式，“投标报价”应包括所投</w:t>
      </w:r>
      <w:r>
        <w:rPr>
          <w:rFonts w:hint="eastAsia" w:ascii="仿宋" w:hAnsi="仿宋" w:eastAsia="仿宋"/>
          <w:sz w:val="28"/>
          <w:szCs w:val="24"/>
        </w:rPr>
        <w:t>服务的检测</w:t>
      </w:r>
      <w:r>
        <w:rPr>
          <w:rFonts w:ascii="仿宋" w:hAnsi="仿宋" w:eastAsia="仿宋"/>
          <w:sz w:val="28"/>
          <w:szCs w:val="24"/>
        </w:rPr>
        <w:t>费用、</w:t>
      </w:r>
      <w:r>
        <w:rPr>
          <w:rFonts w:hint="eastAsia" w:ascii="仿宋" w:hAnsi="仿宋" w:eastAsia="仿宋"/>
          <w:sz w:val="28"/>
          <w:szCs w:val="24"/>
        </w:rPr>
        <w:t>运输费用</w:t>
      </w:r>
      <w:r>
        <w:rPr>
          <w:rFonts w:hint="eastAsia" w:ascii="仿宋" w:hAnsi="仿宋" w:eastAsia="仿宋"/>
          <w:sz w:val="28"/>
          <w:szCs w:val="24"/>
          <w:lang w:eastAsia="zh-CN"/>
        </w:rPr>
        <w:t>，以及</w:t>
      </w:r>
      <w:r>
        <w:rPr>
          <w:rFonts w:ascii="仿宋" w:hAnsi="仿宋" w:eastAsia="仿宋"/>
          <w:sz w:val="28"/>
          <w:szCs w:val="24"/>
        </w:rPr>
        <w:t>其他有关的为完成本项目发生的所有费用，招标文件中另有规定的除外。</w:t>
      </w:r>
    </w:p>
    <w:p w14:paraId="1D611134">
      <w:pPr>
        <w:spacing w:line="640" w:lineRule="exact"/>
        <w:ind w:firstLine="3521"/>
        <w:rPr>
          <w:rFonts w:hint="eastAsia" w:ascii="仿宋" w:hAnsi="仿宋" w:eastAsia="仿宋"/>
          <w:b/>
          <w:sz w:val="32"/>
        </w:rPr>
      </w:pPr>
    </w:p>
    <w:p w14:paraId="05686731">
      <w:pPr>
        <w:pStyle w:val="214"/>
        <w:spacing w:line="440" w:lineRule="exact"/>
        <w:rPr>
          <w:rFonts w:hint="eastAsia" w:ascii="仿宋" w:hAnsi="仿宋" w:eastAsia="仿宋"/>
          <w:b/>
          <w:bCs/>
          <w:sz w:val="32"/>
        </w:rPr>
      </w:pPr>
    </w:p>
    <w:p w14:paraId="2AAFA81F">
      <w:pPr>
        <w:pStyle w:val="215"/>
        <w:rPr>
          <w:lang w:eastAsia="zh-CN"/>
        </w:rPr>
      </w:pPr>
    </w:p>
    <w:p w14:paraId="20D531A0">
      <w:pPr>
        <w:pStyle w:val="215"/>
        <w:rPr>
          <w:lang w:eastAsia="zh-CN"/>
        </w:rPr>
      </w:pPr>
    </w:p>
    <w:p w14:paraId="098F6617">
      <w:pPr>
        <w:pStyle w:val="215"/>
        <w:rPr>
          <w:lang w:eastAsia="zh-CN"/>
        </w:rPr>
      </w:pPr>
    </w:p>
    <w:p w14:paraId="2193A2DE">
      <w:pPr>
        <w:pStyle w:val="215"/>
        <w:rPr>
          <w:lang w:eastAsia="zh-CN"/>
        </w:rPr>
      </w:pPr>
    </w:p>
    <w:p w14:paraId="61D6179E">
      <w:pPr>
        <w:pStyle w:val="215"/>
        <w:rPr>
          <w:lang w:eastAsia="zh-CN"/>
        </w:rPr>
      </w:pPr>
    </w:p>
    <w:p w14:paraId="575F8CB9">
      <w:pPr>
        <w:pStyle w:val="215"/>
        <w:rPr>
          <w:lang w:eastAsia="zh-CN"/>
        </w:rPr>
      </w:pPr>
    </w:p>
    <w:p w14:paraId="47998E2F">
      <w:pPr>
        <w:pStyle w:val="215"/>
        <w:rPr>
          <w:lang w:eastAsia="zh-CN"/>
        </w:rPr>
      </w:pPr>
    </w:p>
    <w:p w14:paraId="069DF9D0">
      <w:pPr>
        <w:pStyle w:val="215"/>
        <w:rPr>
          <w:lang w:eastAsia="zh-CN"/>
        </w:rPr>
      </w:pPr>
    </w:p>
    <w:p w14:paraId="66A9ECBB">
      <w:pPr>
        <w:pStyle w:val="215"/>
        <w:rPr>
          <w:lang w:eastAsia="zh-CN"/>
        </w:rPr>
      </w:pPr>
    </w:p>
    <w:p w14:paraId="764B656C">
      <w:pPr>
        <w:pStyle w:val="215"/>
        <w:rPr>
          <w:lang w:eastAsia="zh-CN"/>
        </w:rPr>
      </w:pPr>
    </w:p>
    <w:p w14:paraId="439F206A">
      <w:pPr>
        <w:pStyle w:val="215"/>
        <w:rPr>
          <w:lang w:eastAsia="zh-CN"/>
        </w:rPr>
      </w:pPr>
    </w:p>
    <w:p w14:paraId="0DBCFDDB">
      <w:pPr>
        <w:pStyle w:val="215"/>
        <w:rPr>
          <w:lang w:eastAsia="zh-CN"/>
        </w:rPr>
      </w:pPr>
    </w:p>
    <w:p w14:paraId="5AB0E29D">
      <w:pPr>
        <w:pStyle w:val="215"/>
        <w:rPr>
          <w:lang w:eastAsia="zh-CN"/>
        </w:rPr>
      </w:pPr>
    </w:p>
    <w:p w14:paraId="57A27958">
      <w:pPr>
        <w:pStyle w:val="215"/>
        <w:rPr>
          <w:lang w:eastAsia="zh-CN"/>
        </w:rPr>
      </w:pPr>
    </w:p>
    <w:p w14:paraId="265E8443">
      <w:pPr>
        <w:pStyle w:val="215"/>
        <w:rPr>
          <w:lang w:eastAsia="zh-CN"/>
        </w:rPr>
      </w:pPr>
    </w:p>
    <w:p w14:paraId="2495A592">
      <w:pPr>
        <w:pStyle w:val="215"/>
        <w:rPr>
          <w:lang w:eastAsia="zh-CN"/>
        </w:rPr>
      </w:pPr>
    </w:p>
    <w:p w14:paraId="4805D1C8">
      <w:pPr>
        <w:pStyle w:val="215"/>
        <w:rPr>
          <w:lang w:eastAsia="zh-CN"/>
        </w:rPr>
      </w:pPr>
    </w:p>
    <w:p w14:paraId="525EEC0F">
      <w:pPr>
        <w:pStyle w:val="215"/>
        <w:rPr>
          <w:lang w:eastAsia="zh-CN"/>
        </w:rPr>
      </w:pPr>
    </w:p>
    <w:p w14:paraId="63CCC093">
      <w:pPr>
        <w:pStyle w:val="215"/>
        <w:rPr>
          <w:lang w:eastAsia="zh-CN"/>
        </w:rPr>
      </w:pPr>
    </w:p>
    <w:p w14:paraId="0D907780">
      <w:pPr>
        <w:pStyle w:val="215"/>
        <w:rPr>
          <w:lang w:eastAsia="zh-CN"/>
        </w:rPr>
      </w:pPr>
    </w:p>
    <w:p w14:paraId="476AECD8">
      <w:pPr>
        <w:pStyle w:val="215"/>
        <w:rPr>
          <w:lang w:eastAsia="zh-CN"/>
        </w:rPr>
      </w:pPr>
    </w:p>
    <w:p w14:paraId="29C51F40">
      <w:pPr>
        <w:pStyle w:val="214"/>
        <w:spacing w:line="440" w:lineRule="exact"/>
        <w:jc w:val="center"/>
        <w:rPr>
          <w:rFonts w:hint="eastAsia" w:ascii="仿宋" w:hAnsi="仿宋" w:eastAsia="仿宋"/>
          <w:b/>
          <w:color w:val="000000"/>
          <w:sz w:val="32"/>
        </w:rPr>
      </w:pPr>
      <w:r>
        <w:rPr>
          <w:rFonts w:hint="eastAsia" w:ascii="仿宋" w:hAnsi="仿宋" w:eastAsia="仿宋"/>
          <w:b/>
          <w:bCs/>
          <w:color w:val="000000"/>
          <w:sz w:val="32"/>
        </w:rPr>
        <w:t>四、</w:t>
      </w:r>
      <w:r>
        <w:rPr>
          <w:rFonts w:hint="eastAsia" w:ascii="仿宋" w:hAnsi="仿宋" w:eastAsia="仿宋"/>
          <w:b/>
          <w:color w:val="000000"/>
          <w:sz w:val="32"/>
        </w:rPr>
        <w:t>技术要求</w:t>
      </w:r>
      <w:r>
        <w:rPr>
          <w:rFonts w:hint="eastAsia" w:ascii="仿宋" w:hAnsi="仿宋" w:eastAsia="仿宋"/>
          <w:b/>
          <w:color w:val="000000"/>
          <w:sz w:val="32"/>
          <w:szCs w:val="32"/>
        </w:rPr>
        <w:t>响应</w:t>
      </w:r>
      <w:r>
        <w:rPr>
          <w:rFonts w:hint="eastAsia" w:ascii="仿宋" w:hAnsi="仿宋" w:eastAsia="仿宋"/>
          <w:b/>
          <w:color w:val="000000"/>
          <w:sz w:val="32"/>
        </w:rPr>
        <w:t>偏离表</w:t>
      </w:r>
    </w:p>
    <w:tbl>
      <w:tblPr>
        <w:tblStyle w:val="35"/>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456"/>
        <w:gridCol w:w="2127"/>
        <w:gridCol w:w="1080"/>
        <w:gridCol w:w="1074"/>
      </w:tblGrid>
      <w:tr w14:paraId="319C3AB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vAlign w:val="center"/>
          </w:tcPr>
          <w:p w14:paraId="43F41768">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序号</w:t>
            </w:r>
          </w:p>
        </w:tc>
        <w:tc>
          <w:tcPr>
            <w:tcW w:w="3456" w:type="dxa"/>
            <w:vAlign w:val="center"/>
          </w:tcPr>
          <w:p w14:paraId="11312D41">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采购需求中技术条款描述</w:t>
            </w:r>
          </w:p>
        </w:tc>
        <w:tc>
          <w:tcPr>
            <w:tcW w:w="2127" w:type="dxa"/>
            <w:vAlign w:val="center"/>
          </w:tcPr>
          <w:p w14:paraId="59EBB719">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投标人响应描述</w:t>
            </w:r>
          </w:p>
        </w:tc>
        <w:tc>
          <w:tcPr>
            <w:tcW w:w="1080" w:type="dxa"/>
            <w:vAlign w:val="center"/>
          </w:tcPr>
          <w:p w14:paraId="56823959">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偏离</w:t>
            </w:r>
          </w:p>
          <w:p w14:paraId="01A6CFB4">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情况</w:t>
            </w:r>
          </w:p>
        </w:tc>
        <w:tc>
          <w:tcPr>
            <w:tcW w:w="1074" w:type="dxa"/>
            <w:vAlign w:val="center"/>
          </w:tcPr>
          <w:p w14:paraId="26D33DE3">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备注</w:t>
            </w:r>
          </w:p>
        </w:tc>
      </w:tr>
      <w:tr w14:paraId="301C0F2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7B599AD2">
            <w:pPr>
              <w:spacing w:line="360" w:lineRule="auto"/>
              <w:jc w:val="center"/>
              <w:rPr>
                <w:rFonts w:hint="eastAsia" w:ascii="仿宋" w:hAnsi="仿宋" w:eastAsia="仿宋" w:cs="Arial"/>
                <w:sz w:val="28"/>
                <w:szCs w:val="28"/>
              </w:rPr>
            </w:pPr>
          </w:p>
        </w:tc>
        <w:tc>
          <w:tcPr>
            <w:tcW w:w="3456" w:type="dxa"/>
            <w:vAlign w:val="center"/>
          </w:tcPr>
          <w:p w14:paraId="48371493">
            <w:pPr>
              <w:jc w:val="center"/>
              <w:rPr>
                <w:rFonts w:hint="eastAsia" w:ascii="仿宋" w:hAnsi="仿宋" w:eastAsia="仿宋" w:cs="Arial"/>
                <w:sz w:val="28"/>
                <w:szCs w:val="28"/>
              </w:rPr>
            </w:pPr>
          </w:p>
        </w:tc>
        <w:tc>
          <w:tcPr>
            <w:tcW w:w="2127" w:type="dxa"/>
            <w:vAlign w:val="center"/>
          </w:tcPr>
          <w:p w14:paraId="683B76AD">
            <w:pPr>
              <w:jc w:val="center"/>
              <w:rPr>
                <w:rFonts w:hint="eastAsia" w:ascii="仿宋" w:hAnsi="仿宋" w:eastAsia="仿宋" w:cs="Arial"/>
                <w:sz w:val="28"/>
                <w:szCs w:val="28"/>
              </w:rPr>
            </w:pPr>
          </w:p>
        </w:tc>
        <w:tc>
          <w:tcPr>
            <w:tcW w:w="1080" w:type="dxa"/>
            <w:vAlign w:val="center"/>
          </w:tcPr>
          <w:p w14:paraId="5B8C2B38">
            <w:pPr>
              <w:spacing w:line="360" w:lineRule="auto"/>
              <w:jc w:val="center"/>
              <w:rPr>
                <w:rFonts w:hint="eastAsia" w:ascii="仿宋" w:hAnsi="仿宋" w:eastAsia="仿宋" w:cs="Arial"/>
                <w:sz w:val="28"/>
                <w:szCs w:val="28"/>
              </w:rPr>
            </w:pPr>
          </w:p>
        </w:tc>
        <w:tc>
          <w:tcPr>
            <w:tcW w:w="1074" w:type="dxa"/>
            <w:vAlign w:val="center"/>
          </w:tcPr>
          <w:p w14:paraId="26EE58FE">
            <w:pPr>
              <w:spacing w:line="360" w:lineRule="auto"/>
              <w:jc w:val="center"/>
              <w:rPr>
                <w:rFonts w:hint="eastAsia" w:ascii="仿宋" w:hAnsi="仿宋" w:eastAsia="仿宋" w:cs="Arial"/>
                <w:sz w:val="28"/>
                <w:szCs w:val="28"/>
              </w:rPr>
            </w:pPr>
          </w:p>
        </w:tc>
      </w:tr>
      <w:tr w14:paraId="3A90E24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637605B">
            <w:pPr>
              <w:spacing w:line="360" w:lineRule="auto"/>
              <w:jc w:val="center"/>
              <w:rPr>
                <w:rFonts w:hint="eastAsia" w:ascii="仿宋" w:hAnsi="仿宋" w:eastAsia="仿宋" w:cs="Arial"/>
                <w:sz w:val="28"/>
                <w:szCs w:val="28"/>
              </w:rPr>
            </w:pPr>
          </w:p>
        </w:tc>
        <w:tc>
          <w:tcPr>
            <w:tcW w:w="3456" w:type="dxa"/>
            <w:vAlign w:val="center"/>
          </w:tcPr>
          <w:p w14:paraId="5563CE97">
            <w:pPr>
              <w:jc w:val="center"/>
              <w:rPr>
                <w:rFonts w:hint="eastAsia" w:ascii="仿宋" w:hAnsi="仿宋" w:eastAsia="仿宋" w:cs="Arial"/>
                <w:sz w:val="28"/>
                <w:szCs w:val="28"/>
              </w:rPr>
            </w:pPr>
          </w:p>
        </w:tc>
        <w:tc>
          <w:tcPr>
            <w:tcW w:w="2127" w:type="dxa"/>
            <w:vAlign w:val="center"/>
          </w:tcPr>
          <w:p w14:paraId="0B0D08E1">
            <w:pPr>
              <w:jc w:val="center"/>
              <w:rPr>
                <w:rFonts w:hint="eastAsia" w:ascii="仿宋" w:hAnsi="仿宋" w:eastAsia="仿宋" w:cs="Arial"/>
                <w:sz w:val="28"/>
                <w:szCs w:val="28"/>
              </w:rPr>
            </w:pPr>
          </w:p>
        </w:tc>
        <w:tc>
          <w:tcPr>
            <w:tcW w:w="1080" w:type="dxa"/>
            <w:vAlign w:val="center"/>
          </w:tcPr>
          <w:p w14:paraId="3BEE2B9D">
            <w:pPr>
              <w:spacing w:line="360" w:lineRule="auto"/>
              <w:jc w:val="center"/>
              <w:rPr>
                <w:rFonts w:hint="eastAsia" w:ascii="仿宋" w:hAnsi="仿宋" w:eastAsia="仿宋" w:cs="Arial"/>
                <w:sz w:val="28"/>
                <w:szCs w:val="28"/>
              </w:rPr>
            </w:pPr>
          </w:p>
        </w:tc>
        <w:tc>
          <w:tcPr>
            <w:tcW w:w="1074" w:type="dxa"/>
            <w:vAlign w:val="center"/>
          </w:tcPr>
          <w:p w14:paraId="52810DB1">
            <w:pPr>
              <w:spacing w:line="360" w:lineRule="auto"/>
              <w:jc w:val="center"/>
              <w:rPr>
                <w:rFonts w:hint="eastAsia" w:ascii="仿宋" w:hAnsi="仿宋" w:eastAsia="仿宋" w:cs="Arial"/>
                <w:sz w:val="28"/>
                <w:szCs w:val="28"/>
              </w:rPr>
            </w:pPr>
          </w:p>
        </w:tc>
      </w:tr>
      <w:tr w14:paraId="434534A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68E9B4B">
            <w:pPr>
              <w:spacing w:line="360" w:lineRule="auto"/>
              <w:jc w:val="center"/>
              <w:rPr>
                <w:rFonts w:hint="eastAsia" w:ascii="仿宋" w:hAnsi="仿宋" w:eastAsia="仿宋" w:cs="Arial"/>
                <w:sz w:val="28"/>
                <w:szCs w:val="28"/>
              </w:rPr>
            </w:pPr>
          </w:p>
        </w:tc>
        <w:tc>
          <w:tcPr>
            <w:tcW w:w="3456" w:type="dxa"/>
            <w:vAlign w:val="center"/>
          </w:tcPr>
          <w:p w14:paraId="0734AED0">
            <w:pPr>
              <w:jc w:val="center"/>
              <w:rPr>
                <w:rFonts w:hint="eastAsia" w:ascii="仿宋" w:hAnsi="仿宋" w:eastAsia="仿宋" w:cs="Arial"/>
                <w:sz w:val="28"/>
                <w:szCs w:val="28"/>
              </w:rPr>
            </w:pPr>
          </w:p>
        </w:tc>
        <w:tc>
          <w:tcPr>
            <w:tcW w:w="2127" w:type="dxa"/>
            <w:vAlign w:val="center"/>
          </w:tcPr>
          <w:p w14:paraId="2D15AB1E">
            <w:pPr>
              <w:jc w:val="center"/>
              <w:rPr>
                <w:rFonts w:hint="eastAsia" w:ascii="仿宋" w:hAnsi="仿宋" w:eastAsia="仿宋" w:cs="Arial"/>
                <w:sz w:val="28"/>
                <w:szCs w:val="28"/>
              </w:rPr>
            </w:pPr>
          </w:p>
        </w:tc>
        <w:tc>
          <w:tcPr>
            <w:tcW w:w="1080" w:type="dxa"/>
            <w:vAlign w:val="center"/>
          </w:tcPr>
          <w:p w14:paraId="42244BBB">
            <w:pPr>
              <w:spacing w:line="360" w:lineRule="auto"/>
              <w:jc w:val="center"/>
              <w:rPr>
                <w:rFonts w:hint="eastAsia" w:ascii="仿宋" w:hAnsi="仿宋" w:eastAsia="仿宋" w:cs="Arial"/>
                <w:sz w:val="28"/>
                <w:szCs w:val="28"/>
              </w:rPr>
            </w:pPr>
          </w:p>
        </w:tc>
        <w:tc>
          <w:tcPr>
            <w:tcW w:w="1074" w:type="dxa"/>
            <w:vAlign w:val="center"/>
          </w:tcPr>
          <w:p w14:paraId="56DC3612">
            <w:pPr>
              <w:spacing w:line="360" w:lineRule="auto"/>
              <w:jc w:val="center"/>
              <w:rPr>
                <w:rFonts w:hint="eastAsia" w:ascii="仿宋" w:hAnsi="仿宋" w:eastAsia="仿宋" w:cs="Arial"/>
                <w:sz w:val="28"/>
                <w:szCs w:val="28"/>
              </w:rPr>
            </w:pPr>
          </w:p>
        </w:tc>
      </w:tr>
      <w:tr w14:paraId="1D0557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3F911E4">
            <w:pPr>
              <w:spacing w:line="360" w:lineRule="auto"/>
              <w:jc w:val="center"/>
              <w:rPr>
                <w:rFonts w:hint="eastAsia" w:ascii="仿宋" w:hAnsi="仿宋" w:eastAsia="仿宋" w:cs="Arial"/>
                <w:sz w:val="28"/>
                <w:szCs w:val="28"/>
              </w:rPr>
            </w:pPr>
          </w:p>
        </w:tc>
        <w:tc>
          <w:tcPr>
            <w:tcW w:w="3456" w:type="dxa"/>
            <w:vAlign w:val="center"/>
          </w:tcPr>
          <w:p w14:paraId="66DA9639">
            <w:pPr>
              <w:jc w:val="center"/>
              <w:rPr>
                <w:rFonts w:hint="eastAsia" w:ascii="仿宋" w:hAnsi="仿宋" w:eastAsia="仿宋" w:cs="Arial"/>
                <w:sz w:val="28"/>
                <w:szCs w:val="28"/>
              </w:rPr>
            </w:pPr>
          </w:p>
        </w:tc>
        <w:tc>
          <w:tcPr>
            <w:tcW w:w="2127" w:type="dxa"/>
            <w:vAlign w:val="center"/>
          </w:tcPr>
          <w:p w14:paraId="385C137D">
            <w:pPr>
              <w:jc w:val="center"/>
              <w:rPr>
                <w:rFonts w:hint="eastAsia" w:ascii="仿宋" w:hAnsi="仿宋" w:eastAsia="仿宋" w:cs="Arial"/>
                <w:sz w:val="28"/>
                <w:szCs w:val="28"/>
              </w:rPr>
            </w:pPr>
          </w:p>
        </w:tc>
        <w:tc>
          <w:tcPr>
            <w:tcW w:w="1080" w:type="dxa"/>
            <w:vAlign w:val="center"/>
          </w:tcPr>
          <w:p w14:paraId="27FFBB6E">
            <w:pPr>
              <w:spacing w:line="360" w:lineRule="auto"/>
              <w:jc w:val="center"/>
              <w:rPr>
                <w:rFonts w:hint="eastAsia" w:ascii="仿宋" w:hAnsi="仿宋" w:eastAsia="仿宋" w:cs="Arial"/>
                <w:sz w:val="28"/>
                <w:szCs w:val="28"/>
              </w:rPr>
            </w:pPr>
          </w:p>
        </w:tc>
        <w:tc>
          <w:tcPr>
            <w:tcW w:w="1074" w:type="dxa"/>
            <w:vAlign w:val="center"/>
          </w:tcPr>
          <w:p w14:paraId="5389A509">
            <w:pPr>
              <w:spacing w:line="360" w:lineRule="auto"/>
              <w:jc w:val="center"/>
              <w:rPr>
                <w:rFonts w:hint="eastAsia" w:ascii="仿宋" w:hAnsi="仿宋" w:eastAsia="仿宋" w:cs="Arial"/>
                <w:sz w:val="28"/>
                <w:szCs w:val="28"/>
              </w:rPr>
            </w:pPr>
          </w:p>
        </w:tc>
      </w:tr>
      <w:tr w14:paraId="5205EF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4CA385D8">
            <w:pPr>
              <w:spacing w:line="360" w:lineRule="auto"/>
              <w:jc w:val="center"/>
              <w:rPr>
                <w:rFonts w:hint="eastAsia" w:ascii="仿宋" w:hAnsi="仿宋" w:eastAsia="仿宋" w:cs="Arial"/>
                <w:sz w:val="28"/>
                <w:szCs w:val="28"/>
              </w:rPr>
            </w:pPr>
          </w:p>
        </w:tc>
        <w:tc>
          <w:tcPr>
            <w:tcW w:w="3456" w:type="dxa"/>
            <w:vAlign w:val="center"/>
          </w:tcPr>
          <w:p w14:paraId="0DFED79E">
            <w:pPr>
              <w:jc w:val="center"/>
              <w:rPr>
                <w:rFonts w:hint="eastAsia" w:ascii="仿宋" w:hAnsi="仿宋" w:eastAsia="仿宋" w:cs="Arial"/>
                <w:sz w:val="28"/>
                <w:szCs w:val="28"/>
              </w:rPr>
            </w:pPr>
          </w:p>
        </w:tc>
        <w:tc>
          <w:tcPr>
            <w:tcW w:w="2127" w:type="dxa"/>
            <w:vAlign w:val="center"/>
          </w:tcPr>
          <w:p w14:paraId="1697716C">
            <w:pPr>
              <w:jc w:val="center"/>
              <w:rPr>
                <w:rFonts w:hint="eastAsia" w:ascii="仿宋" w:hAnsi="仿宋" w:eastAsia="仿宋" w:cs="Arial"/>
                <w:sz w:val="28"/>
                <w:szCs w:val="28"/>
              </w:rPr>
            </w:pPr>
          </w:p>
        </w:tc>
        <w:tc>
          <w:tcPr>
            <w:tcW w:w="1080" w:type="dxa"/>
            <w:vAlign w:val="center"/>
          </w:tcPr>
          <w:p w14:paraId="09B39A10">
            <w:pPr>
              <w:spacing w:line="360" w:lineRule="auto"/>
              <w:jc w:val="center"/>
              <w:rPr>
                <w:rFonts w:hint="eastAsia" w:ascii="仿宋" w:hAnsi="仿宋" w:eastAsia="仿宋" w:cs="Arial"/>
                <w:sz w:val="28"/>
                <w:szCs w:val="28"/>
              </w:rPr>
            </w:pPr>
          </w:p>
        </w:tc>
        <w:tc>
          <w:tcPr>
            <w:tcW w:w="1074" w:type="dxa"/>
            <w:vAlign w:val="center"/>
          </w:tcPr>
          <w:p w14:paraId="2059CE79">
            <w:pPr>
              <w:spacing w:line="360" w:lineRule="auto"/>
              <w:jc w:val="center"/>
              <w:rPr>
                <w:rFonts w:hint="eastAsia" w:ascii="仿宋" w:hAnsi="仿宋" w:eastAsia="仿宋" w:cs="Arial"/>
                <w:sz w:val="28"/>
                <w:szCs w:val="28"/>
              </w:rPr>
            </w:pPr>
          </w:p>
        </w:tc>
      </w:tr>
      <w:tr w14:paraId="5BF9488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37E23885">
            <w:pPr>
              <w:spacing w:line="360" w:lineRule="auto"/>
              <w:jc w:val="center"/>
              <w:rPr>
                <w:rFonts w:hint="eastAsia" w:ascii="仿宋" w:hAnsi="仿宋" w:eastAsia="仿宋" w:cs="Arial"/>
                <w:sz w:val="28"/>
                <w:szCs w:val="28"/>
              </w:rPr>
            </w:pPr>
          </w:p>
        </w:tc>
        <w:tc>
          <w:tcPr>
            <w:tcW w:w="3456" w:type="dxa"/>
            <w:vAlign w:val="center"/>
          </w:tcPr>
          <w:p w14:paraId="05F0DA8E">
            <w:pPr>
              <w:jc w:val="center"/>
              <w:rPr>
                <w:rFonts w:hint="eastAsia" w:ascii="仿宋" w:hAnsi="仿宋" w:eastAsia="仿宋" w:cs="Arial"/>
                <w:sz w:val="28"/>
                <w:szCs w:val="28"/>
              </w:rPr>
            </w:pPr>
          </w:p>
        </w:tc>
        <w:tc>
          <w:tcPr>
            <w:tcW w:w="2127" w:type="dxa"/>
            <w:vAlign w:val="center"/>
          </w:tcPr>
          <w:p w14:paraId="2ECDA7FB">
            <w:pPr>
              <w:jc w:val="center"/>
              <w:rPr>
                <w:rFonts w:hint="eastAsia" w:ascii="仿宋" w:hAnsi="仿宋" w:eastAsia="仿宋" w:cs="Arial"/>
                <w:sz w:val="28"/>
                <w:szCs w:val="28"/>
              </w:rPr>
            </w:pPr>
          </w:p>
        </w:tc>
        <w:tc>
          <w:tcPr>
            <w:tcW w:w="1080" w:type="dxa"/>
            <w:vAlign w:val="center"/>
          </w:tcPr>
          <w:p w14:paraId="59A6C7D0">
            <w:pPr>
              <w:spacing w:line="360" w:lineRule="auto"/>
              <w:jc w:val="center"/>
              <w:rPr>
                <w:rFonts w:hint="eastAsia" w:ascii="仿宋" w:hAnsi="仿宋" w:eastAsia="仿宋" w:cs="Arial"/>
                <w:sz w:val="28"/>
                <w:szCs w:val="28"/>
              </w:rPr>
            </w:pPr>
          </w:p>
        </w:tc>
        <w:tc>
          <w:tcPr>
            <w:tcW w:w="1074" w:type="dxa"/>
            <w:vAlign w:val="center"/>
          </w:tcPr>
          <w:p w14:paraId="5B7BBBDC">
            <w:pPr>
              <w:spacing w:line="360" w:lineRule="auto"/>
              <w:jc w:val="center"/>
              <w:rPr>
                <w:rFonts w:hint="eastAsia" w:ascii="仿宋" w:hAnsi="仿宋" w:eastAsia="仿宋" w:cs="Arial"/>
                <w:sz w:val="28"/>
                <w:szCs w:val="28"/>
              </w:rPr>
            </w:pPr>
          </w:p>
        </w:tc>
      </w:tr>
      <w:tr w14:paraId="29A6C0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0DDF8E13">
            <w:pPr>
              <w:spacing w:line="360" w:lineRule="auto"/>
              <w:jc w:val="center"/>
              <w:rPr>
                <w:rFonts w:hint="eastAsia" w:ascii="仿宋" w:hAnsi="仿宋" w:eastAsia="仿宋" w:cs="Arial"/>
                <w:sz w:val="28"/>
                <w:szCs w:val="28"/>
              </w:rPr>
            </w:pPr>
          </w:p>
        </w:tc>
        <w:tc>
          <w:tcPr>
            <w:tcW w:w="3456" w:type="dxa"/>
            <w:vAlign w:val="center"/>
          </w:tcPr>
          <w:p w14:paraId="5624A728">
            <w:pPr>
              <w:jc w:val="center"/>
              <w:rPr>
                <w:rFonts w:hint="eastAsia" w:ascii="仿宋" w:hAnsi="仿宋" w:eastAsia="仿宋" w:cs="Arial"/>
                <w:sz w:val="28"/>
                <w:szCs w:val="28"/>
              </w:rPr>
            </w:pPr>
          </w:p>
        </w:tc>
        <w:tc>
          <w:tcPr>
            <w:tcW w:w="2127" w:type="dxa"/>
            <w:vAlign w:val="center"/>
          </w:tcPr>
          <w:p w14:paraId="6EA71DEC">
            <w:pPr>
              <w:jc w:val="center"/>
              <w:rPr>
                <w:rFonts w:hint="eastAsia" w:ascii="仿宋" w:hAnsi="仿宋" w:eastAsia="仿宋" w:cs="Arial"/>
                <w:sz w:val="28"/>
                <w:szCs w:val="28"/>
              </w:rPr>
            </w:pPr>
          </w:p>
        </w:tc>
        <w:tc>
          <w:tcPr>
            <w:tcW w:w="1080" w:type="dxa"/>
            <w:vAlign w:val="center"/>
          </w:tcPr>
          <w:p w14:paraId="4C5C5A4A">
            <w:pPr>
              <w:spacing w:line="360" w:lineRule="auto"/>
              <w:jc w:val="center"/>
              <w:rPr>
                <w:rFonts w:hint="eastAsia" w:ascii="仿宋" w:hAnsi="仿宋" w:eastAsia="仿宋" w:cs="Arial"/>
                <w:sz w:val="28"/>
                <w:szCs w:val="28"/>
              </w:rPr>
            </w:pPr>
          </w:p>
        </w:tc>
        <w:tc>
          <w:tcPr>
            <w:tcW w:w="1074" w:type="dxa"/>
            <w:vAlign w:val="center"/>
          </w:tcPr>
          <w:p w14:paraId="35489FCA">
            <w:pPr>
              <w:spacing w:line="360" w:lineRule="auto"/>
              <w:jc w:val="center"/>
              <w:rPr>
                <w:rFonts w:hint="eastAsia" w:ascii="仿宋" w:hAnsi="仿宋" w:eastAsia="仿宋" w:cs="Arial"/>
                <w:sz w:val="28"/>
                <w:szCs w:val="28"/>
              </w:rPr>
            </w:pPr>
          </w:p>
        </w:tc>
      </w:tr>
      <w:tr w14:paraId="139362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30144CA9">
            <w:pPr>
              <w:spacing w:line="360" w:lineRule="auto"/>
              <w:jc w:val="center"/>
              <w:rPr>
                <w:rFonts w:hint="eastAsia" w:ascii="仿宋" w:hAnsi="仿宋" w:eastAsia="仿宋" w:cs="Arial"/>
                <w:sz w:val="28"/>
                <w:szCs w:val="28"/>
              </w:rPr>
            </w:pPr>
          </w:p>
        </w:tc>
        <w:tc>
          <w:tcPr>
            <w:tcW w:w="3456" w:type="dxa"/>
            <w:vAlign w:val="center"/>
          </w:tcPr>
          <w:p w14:paraId="10297A41">
            <w:pPr>
              <w:jc w:val="center"/>
              <w:rPr>
                <w:rFonts w:hint="eastAsia" w:ascii="仿宋" w:hAnsi="仿宋" w:eastAsia="仿宋" w:cs="Arial"/>
                <w:sz w:val="28"/>
                <w:szCs w:val="28"/>
              </w:rPr>
            </w:pPr>
          </w:p>
        </w:tc>
        <w:tc>
          <w:tcPr>
            <w:tcW w:w="2127" w:type="dxa"/>
            <w:vAlign w:val="center"/>
          </w:tcPr>
          <w:p w14:paraId="191F5B8A">
            <w:pPr>
              <w:jc w:val="center"/>
              <w:rPr>
                <w:rFonts w:hint="eastAsia" w:ascii="仿宋" w:hAnsi="仿宋" w:eastAsia="仿宋" w:cs="Arial"/>
                <w:sz w:val="28"/>
                <w:szCs w:val="28"/>
              </w:rPr>
            </w:pPr>
          </w:p>
        </w:tc>
        <w:tc>
          <w:tcPr>
            <w:tcW w:w="1080" w:type="dxa"/>
            <w:vAlign w:val="center"/>
          </w:tcPr>
          <w:p w14:paraId="2BECA1BE">
            <w:pPr>
              <w:spacing w:line="360" w:lineRule="auto"/>
              <w:jc w:val="center"/>
              <w:rPr>
                <w:rFonts w:hint="eastAsia" w:ascii="仿宋" w:hAnsi="仿宋" w:eastAsia="仿宋" w:cs="Arial"/>
                <w:sz w:val="28"/>
                <w:szCs w:val="28"/>
              </w:rPr>
            </w:pPr>
          </w:p>
        </w:tc>
        <w:tc>
          <w:tcPr>
            <w:tcW w:w="1074" w:type="dxa"/>
            <w:vAlign w:val="center"/>
          </w:tcPr>
          <w:p w14:paraId="12EF6F58">
            <w:pPr>
              <w:spacing w:line="360" w:lineRule="auto"/>
              <w:jc w:val="center"/>
              <w:rPr>
                <w:rFonts w:hint="eastAsia" w:ascii="仿宋" w:hAnsi="仿宋" w:eastAsia="仿宋" w:cs="Arial"/>
                <w:sz w:val="28"/>
                <w:szCs w:val="28"/>
              </w:rPr>
            </w:pPr>
          </w:p>
        </w:tc>
      </w:tr>
    </w:tbl>
    <w:p w14:paraId="6A9C9AAE">
      <w:pPr>
        <w:spacing w:line="520" w:lineRule="exact"/>
        <w:rPr>
          <w:rFonts w:hint="eastAsia" w:ascii="仿宋" w:hAnsi="仿宋" w:eastAsia="仿宋"/>
          <w:sz w:val="28"/>
          <w:szCs w:val="28"/>
        </w:rPr>
      </w:pPr>
    </w:p>
    <w:p w14:paraId="68A57730">
      <w:pPr>
        <w:spacing w:line="520" w:lineRule="exact"/>
        <w:rPr>
          <w:rFonts w:hint="eastAsia" w:ascii="仿宋" w:hAnsi="仿宋" w:eastAsia="仿宋"/>
          <w:sz w:val="28"/>
          <w:szCs w:val="28"/>
          <w:u w:val="single"/>
          <w:lang w:eastAsia="zh-CN"/>
        </w:rPr>
      </w:pPr>
      <w:r>
        <w:rPr>
          <w:rFonts w:hint="eastAsia" w:ascii="仿宋" w:hAnsi="仿宋" w:eastAsia="仿宋"/>
          <w:sz w:val="28"/>
          <w:szCs w:val="28"/>
        </w:rPr>
        <w:t>投标人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6B9EB257">
      <w:pPr>
        <w:spacing w:line="520" w:lineRule="exact"/>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675880CF">
      <w:pPr>
        <w:spacing w:line="440" w:lineRule="exact"/>
        <w:rPr>
          <w:rFonts w:hint="eastAsia" w:ascii="仿宋" w:hAnsi="仿宋" w:eastAsia="仿宋"/>
          <w:sz w:val="28"/>
          <w:szCs w:val="28"/>
        </w:rPr>
      </w:pPr>
    </w:p>
    <w:p w14:paraId="5F748E90">
      <w:pPr>
        <w:spacing w:line="440" w:lineRule="exact"/>
        <w:rPr>
          <w:rFonts w:hint="eastAsia" w:ascii="仿宋" w:hAnsi="仿宋" w:eastAsia="仿宋"/>
          <w:sz w:val="28"/>
          <w:szCs w:val="28"/>
          <w:lang w:eastAsia="zh-CN"/>
        </w:rPr>
      </w:pPr>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）此表为表样，行数可自行添加，但表式不变。</w:t>
      </w:r>
    </w:p>
    <w:p w14:paraId="53489AD4">
      <w:pPr>
        <w:spacing w:line="440" w:lineRule="exact"/>
        <w:ind w:firstLine="420"/>
        <w:rPr>
          <w:rFonts w:hint="eastAsia" w:ascii="仿宋" w:hAnsi="仿宋" w:eastAsia="仿宋"/>
          <w:sz w:val="28"/>
          <w:szCs w:val="28"/>
          <w:lang w:eastAsia="zh-CN"/>
        </w:rPr>
      </w:pPr>
      <w:r>
        <w:rPr>
          <w:rFonts w:hint="eastAsia" w:ascii="仿宋" w:hAnsi="仿宋" w:eastAsia="仿宋"/>
          <w:sz w:val="28"/>
          <w:szCs w:val="28"/>
        </w:rPr>
        <w:t>（2）是否偏离用符号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p>
    <w:p w14:paraId="198103DE">
      <w:pPr>
        <w:spacing w:line="440" w:lineRule="exact"/>
        <w:ind w:firstLine="420"/>
        <w:rPr>
          <w:rFonts w:hint="eastAsia" w:ascii="仿宋" w:hAnsi="仿宋" w:eastAsia="仿宋"/>
          <w:sz w:val="28"/>
          <w:szCs w:val="28"/>
        </w:rPr>
      </w:pPr>
      <w:r>
        <w:rPr>
          <w:rFonts w:hint="eastAsia" w:ascii="仿宋" w:hAnsi="仿宋" w:eastAsia="仿宋"/>
          <w:sz w:val="28"/>
          <w:szCs w:val="28"/>
        </w:rPr>
        <w:t>（3）投标人必须仔细阅读本招标文件第五章中所有技术条款要求，并将响应情况及偏离情况逐项填入上表，响应时不得对原有技术条款进行直接复制粘贴及简单表述为完全响应，否则将影响该项得分。</w:t>
      </w:r>
    </w:p>
    <w:p w14:paraId="40C513DF">
      <w:pPr>
        <w:spacing w:line="440" w:lineRule="exact"/>
        <w:ind w:firstLine="480"/>
        <w:rPr>
          <w:rFonts w:hint="eastAsia" w:ascii="仿宋" w:hAnsi="仿宋" w:eastAsia="仿宋"/>
          <w:bCs/>
          <w:sz w:val="32"/>
        </w:rPr>
      </w:pPr>
    </w:p>
    <w:p w14:paraId="41A3778E">
      <w:pPr>
        <w:spacing w:line="440" w:lineRule="exact"/>
        <w:ind w:firstLine="480"/>
        <w:rPr>
          <w:rFonts w:hint="eastAsia" w:ascii="仿宋" w:hAnsi="仿宋" w:eastAsia="仿宋"/>
          <w:bCs/>
          <w:sz w:val="32"/>
        </w:rPr>
      </w:pPr>
    </w:p>
    <w:p w14:paraId="6F7FB83A">
      <w:pPr>
        <w:pStyle w:val="214"/>
        <w:spacing w:line="440" w:lineRule="exact"/>
        <w:jc w:val="center"/>
        <w:rPr>
          <w:rFonts w:hint="eastAsia" w:ascii="仿宋" w:hAnsi="仿宋" w:eastAsia="仿宋"/>
          <w:b/>
          <w:bCs/>
          <w:color w:val="000000"/>
          <w:sz w:val="32"/>
        </w:rPr>
      </w:pPr>
      <w:bookmarkStart w:id="53" w:name="OLE_LINK11"/>
    </w:p>
    <w:p w14:paraId="03207BFD">
      <w:pPr>
        <w:pStyle w:val="214"/>
        <w:spacing w:line="440" w:lineRule="exact"/>
        <w:jc w:val="center"/>
        <w:rPr>
          <w:rFonts w:hint="eastAsia" w:ascii="仿宋" w:hAnsi="仿宋" w:eastAsia="仿宋"/>
          <w:b/>
          <w:color w:val="000000"/>
          <w:sz w:val="32"/>
        </w:rPr>
      </w:pPr>
      <w:r>
        <w:rPr>
          <w:rFonts w:hint="eastAsia" w:ascii="仿宋" w:hAnsi="仿宋" w:eastAsia="仿宋"/>
          <w:b/>
          <w:bCs/>
          <w:color w:val="000000"/>
          <w:sz w:val="32"/>
        </w:rPr>
        <w:t>五、</w:t>
      </w:r>
      <w:r>
        <w:rPr>
          <w:rFonts w:hint="eastAsia" w:ascii="仿宋" w:hAnsi="仿宋" w:eastAsia="仿宋"/>
          <w:b/>
          <w:color w:val="000000"/>
          <w:sz w:val="32"/>
        </w:rPr>
        <w:t>商务要求</w:t>
      </w:r>
      <w:r>
        <w:rPr>
          <w:rFonts w:hint="eastAsia" w:ascii="仿宋" w:hAnsi="仿宋" w:eastAsia="仿宋"/>
          <w:b/>
          <w:color w:val="000000"/>
          <w:sz w:val="32"/>
          <w:szCs w:val="32"/>
        </w:rPr>
        <w:t>响应</w:t>
      </w:r>
      <w:r>
        <w:rPr>
          <w:rFonts w:hint="eastAsia" w:ascii="仿宋" w:hAnsi="仿宋" w:eastAsia="仿宋"/>
          <w:b/>
          <w:color w:val="000000"/>
          <w:sz w:val="32"/>
        </w:rPr>
        <w:t>偏离表</w:t>
      </w:r>
    </w:p>
    <w:tbl>
      <w:tblPr>
        <w:tblStyle w:val="35"/>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4EB1132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vAlign w:val="center"/>
          </w:tcPr>
          <w:p w14:paraId="4860FE95">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序号</w:t>
            </w:r>
          </w:p>
        </w:tc>
        <w:tc>
          <w:tcPr>
            <w:tcW w:w="3237" w:type="dxa"/>
            <w:vAlign w:val="center"/>
          </w:tcPr>
          <w:p w14:paraId="546AE228">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采购需求中商务条款描述</w:t>
            </w:r>
          </w:p>
        </w:tc>
        <w:tc>
          <w:tcPr>
            <w:tcW w:w="2346" w:type="dxa"/>
            <w:vAlign w:val="center"/>
          </w:tcPr>
          <w:p w14:paraId="7DACB285">
            <w:pPr>
              <w:jc w:val="center"/>
              <w:rPr>
                <w:rFonts w:hint="eastAsia" w:ascii="仿宋" w:hAnsi="仿宋" w:eastAsia="仿宋" w:cs="Arial"/>
                <w:color w:val="000000"/>
                <w:sz w:val="28"/>
                <w:szCs w:val="28"/>
              </w:rPr>
            </w:pPr>
            <w:r>
              <w:rPr>
                <w:rFonts w:hint="eastAsia" w:ascii="仿宋" w:hAnsi="仿宋" w:eastAsia="仿宋" w:cs="Arial"/>
                <w:color w:val="000000"/>
                <w:sz w:val="28"/>
                <w:szCs w:val="28"/>
              </w:rPr>
              <w:t>投标人响应描述</w:t>
            </w:r>
          </w:p>
        </w:tc>
        <w:tc>
          <w:tcPr>
            <w:tcW w:w="1080" w:type="dxa"/>
            <w:vAlign w:val="center"/>
          </w:tcPr>
          <w:p w14:paraId="0F80E05F">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偏离</w:t>
            </w:r>
          </w:p>
          <w:p w14:paraId="4F850D81">
            <w:pPr>
              <w:ind w:firstLine="280"/>
              <w:rPr>
                <w:rFonts w:hint="eastAsia" w:ascii="仿宋" w:hAnsi="仿宋" w:eastAsia="仿宋" w:cs="Arial"/>
                <w:color w:val="000000"/>
                <w:sz w:val="28"/>
                <w:szCs w:val="28"/>
              </w:rPr>
            </w:pPr>
            <w:r>
              <w:rPr>
                <w:rFonts w:hint="eastAsia" w:ascii="仿宋" w:hAnsi="仿宋" w:eastAsia="仿宋" w:cs="Arial"/>
                <w:color w:val="000000"/>
                <w:sz w:val="28"/>
                <w:szCs w:val="28"/>
              </w:rPr>
              <w:t>情况</w:t>
            </w:r>
          </w:p>
        </w:tc>
        <w:tc>
          <w:tcPr>
            <w:tcW w:w="1074" w:type="dxa"/>
            <w:vAlign w:val="center"/>
          </w:tcPr>
          <w:p w14:paraId="6BA9D2C2">
            <w:pPr>
              <w:spacing w:line="360" w:lineRule="auto"/>
              <w:jc w:val="center"/>
              <w:rPr>
                <w:rFonts w:hint="eastAsia" w:ascii="仿宋" w:hAnsi="仿宋" w:eastAsia="仿宋" w:cs="Arial"/>
                <w:color w:val="000000"/>
                <w:sz w:val="28"/>
                <w:szCs w:val="28"/>
              </w:rPr>
            </w:pPr>
            <w:r>
              <w:rPr>
                <w:rFonts w:hint="eastAsia" w:ascii="仿宋" w:hAnsi="仿宋" w:eastAsia="仿宋" w:cs="Arial"/>
                <w:color w:val="000000"/>
                <w:sz w:val="28"/>
                <w:szCs w:val="28"/>
              </w:rPr>
              <w:t>备注</w:t>
            </w:r>
          </w:p>
        </w:tc>
      </w:tr>
      <w:tr w14:paraId="359B6B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4883673">
            <w:pPr>
              <w:spacing w:line="360" w:lineRule="auto"/>
              <w:jc w:val="center"/>
              <w:rPr>
                <w:rFonts w:hint="eastAsia" w:ascii="仿宋" w:hAnsi="仿宋" w:eastAsia="仿宋" w:cs="Arial"/>
                <w:sz w:val="28"/>
                <w:szCs w:val="28"/>
              </w:rPr>
            </w:pPr>
          </w:p>
        </w:tc>
        <w:tc>
          <w:tcPr>
            <w:tcW w:w="3237" w:type="dxa"/>
            <w:vAlign w:val="center"/>
          </w:tcPr>
          <w:p w14:paraId="7C1195A0">
            <w:pPr>
              <w:jc w:val="center"/>
              <w:rPr>
                <w:rFonts w:hint="eastAsia" w:ascii="仿宋" w:hAnsi="仿宋" w:eastAsia="仿宋" w:cs="Arial"/>
                <w:sz w:val="28"/>
                <w:szCs w:val="28"/>
              </w:rPr>
            </w:pPr>
          </w:p>
        </w:tc>
        <w:tc>
          <w:tcPr>
            <w:tcW w:w="2346" w:type="dxa"/>
            <w:vAlign w:val="center"/>
          </w:tcPr>
          <w:p w14:paraId="06CE5678">
            <w:pPr>
              <w:jc w:val="center"/>
              <w:rPr>
                <w:rFonts w:hint="eastAsia" w:ascii="仿宋" w:hAnsi="仿宋" w:eastAsia="仿宋" w:cs="Arial"/>
                <w:sz w:val="28"/>
                <w:szCs w:val="28"/>
              </w:rPr>
            </w:pPr>
          </w:p>
        </w:tc>
        <w:tc>
          <w:tcPr>
            <w:tcW w:w="1080" w:type="dxa"/>
            <w:vAlign w:val="center"/>
          </w:tcPr>
          <w:p w14:paraId="44369E31">
            <w:pPr>
              <w:spacing w:line="360" w:lineRule="auto"/>
              <w:jc w:val="center"/>
              <w:rPr>
                <w:rFonts w:hint="eastAsia" w:ascii="仿宋" w:hAnsi="仿宋" w:eastAsia="仿宋" w:cs="Arial"/>
                <w:sz w:val="28"/>
                <w:szCs w:val="28"/>
              </w:rPr>
            </w:pPr>
          </w:p>
        </w:tc>
        <w:tc>
          <w:tcPr>
            <w:tcW w:w="1074" w:type="dxa"/>
            <w:vAlign w:val="center"/>
          </w:tcPr>
          <w:p w14:paraId="4A1081F7">
            <w:pPr>
              <w:spacing w:line="360" w:lineRule="auto"/>
              <w:jc w:val="center"/>
              <w:rPr>
                <w:rFonts w:hint="eastAsia" w:ascii="仿宋" w:hAnsi="仿宋" w:eastAsia="仿宋" w:cs="Arial"/>
                <w:sz w:val="28"/>
                <w:szCs w:val="28"/>
              </w:rPr>
            </w:pPr>
          </w:p>
        </w:tc>
      </w:tr>
      <w:tr w14:paraId="7303F0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5BC2DC0B">
            <w:pPr>
              <w:spacing w:line="360" w:lineRule="auto"/>
              <w:jc w:val="center"/>
              <w:rPr>
                <w:rFonts w:hint="eastAsia" w:ascii="仿宋" w:hAnsi="仿宋" w:eastAsia="仿宋" w:cs="Arial"/>
                <w:sz w:val="28"/>
                <w:szCs w:val="28"/>
              </w:rPr>
            </w:pPr>
          </w:p>
        </w:tc>
        <w:tc>
          <w:tcPr>
            <w:tcW w:w="3237" w:type="dxa"/>
            <w:vAlign w:val="center"/>
          </w:tcPr>
          <w:p w14:paraId="6151EE6A">
            <w:pPr>
              <w:jc w:val="center"/>
              <w:rPr>
                <w:rFonts w:hint="eastAsia" w:ascii="仿宋" w:hAnsi="仿宋" w:eastAsia="仿宋" w:cs="Arial"/>
                <w:sz w:val="28"/>
                <w:szCs w:val="28"/>
              </w:rPr>
            </w:pPr>
          </w:p>
        </w:tc>
        <w:tc>
          <w:tcPr>
            <w:tcW w:w="2346" w:type="dxa"/>
            <w:vAlign w:val="center"/>
          </w:tcPr>
          <w:p w14:paraId="4FC5DC48">
            <w:pPr>
              <w:jc w:val="center"/>
              <w:rPr>
                <w:rFonts w:hint="eastAsia" w:ascii="仿宋" w:hAnsi="仿宋" w:eastAsia="仿宋" w:cs="Arial"/>
                <w:sz w:val="28"/>
                <w:szCs w:val="28"/>
              </w:rPr>
            </w:pPr>
          </w:p>
        </w:tc>
        <w:tc>
          <w:tcPr>
            <w:tcW w:w="1080" w:type="dxa"/>
            <w:vAlign w:val="center"/>
          </w:tcPr>
          <w:p w14:paraId="44304ACD">
            <w:pPr>
              <w:spacing w:line="360" w:lineRule="auto"/>
              <w:jc w:val="center"/>
              <w:rPr>
                <w:rFonts w:hint="eastAsia" w:ascii="仿宋" w:hAnsi="仿宋" w:eastAsia="仿宋" w:cs="Arial"/>
                <w:sz w:val="28"/>
                <w:szCs w:val="28"/>
              </w:rPr>
            </w:pPr>
          </w:p>
        </w:tc>
        <w:tc>
          <w:tcPr>
            <w:tcW w:w="1074" w:type="dxa"/>
            <w:vAlign w:val="center"/>
          </w:tcPr>
          <w:p w14:paraId="3191F947">
            <w:pPr>
              <w:spacing w:line="360" w:lineRule="auto"/>
              <w:jc w:val="center"/>
              <w:rPr>
                <w:rFonts w:hint="eastAsia" w:ascii="仿宋" w:hAnsi="仿宋" w:eastAsia="仿宋" w:cs="Arial"/>
                <w:sz w:val="28"/>
                <w:szCs w:val="28"/>
              </w:rPr>
            </w:pPr>
          </w:p>
        </w:tc>
      </w:tr>
      <w:tr w14:paraId="520E4E2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46160340">
            <w:pPr>
              <w:spacing w:line="360" w:lineRule="auto"/>
              <w:jc w:val="center"/>
              <w:rPr>
                <w:rFonts w:hint="eastAsia" w:ascii="仿宋" w:hAnsi="仿宋" w:eastAsia="仿宋" w:cs="Arial"/>
                <w:sz w:val="28"/>
                <w:szCs w:val="28"/>
              </w:rPr>
            </w:pPr>
          </w:p>
        </w:tc>
        <w:tc>
          <w:tcPr>
            <w:tcW w:w="3237" w:type="dxa"/>
            <w:vAlign w:val="center"/>
          </w:tcPr>
          <w:p w14:paraId="3C032597">
            <w:pPr>
              <w:jc w:val="center"/>
              <w:rPr>
                <w:rFonts w:hint="eastAsia" w:ascii="仿宋" w:hAnsi="仿宋" w:eastAsia="仿宋" w:cs="Arial"/>
                <w:sz w:val="28"/>
                <w:szCs w:val="28"/>
              </w:rPr>
            </w:pPr>
          </w:p>
        </w:tc>
        <w:tc>
          <w:tcPr>
            <w:tcW w:w="2346" w:type="dxa"/>
            <w:vAlign w:val="center"/>
          </w:tcPr>
          <w:p w14:paraId="191BDCCC">
            <w:pPr>
              <w:jc w:val="center"/>
              <w:rPr>
                <w:rFonts w:hint="eastAsia" w:ascii="仿宋" w:hAnsi="仿宋" w:eastAsia="仿宋" w:cs="Arial"/>
                <w:sz w:val="28"/>
                <w:szCs w:val="28"/>
              </w:rPr>
            </w:pPr>
          </w:p>
        </w:tc>
        <w:tc>
          <w:tcPr>
            <w:tcW w:w="1080" w:type="dxa"/>
            <w:vAlign w:val="center"/>
          </w:tcPr>
          <w:p w14:paraId="3FEA5EE6">
            <w:pPr>
              <w:spacing w:line="360" w:lineRule="auto"/>
              <w:jc w:val="center"/>
              <w:rPr>
                <w:rFonts w:hint="eastAsia" w:ascii="仿宋" w:hAnsi="仿宋" w:eastAsia="仿宋" w:cs="Arial"/>
                <w:sz w:val="28"/>
                <w:szCs w:val="28"/>
              </w:rPr>
            </w:pPr>
          </w:p>
        </w:tc>
        <w:tc>
          <w:tcPr>
            <w:tcW w:w="1074" w:type="dxa"/>
            <w:vAlign w:val="center"/>
          </w:tcPr>
          <w:p w14:paraId="6E9B0C1A">
            <w:pPr>
              <w:spacing w:line="360" w:lineRule="auto"/>
              <w:jc w:val="center"/>
              <w:rPr>
                <w:rFonts w:hint="eastAsia" w:ascii="仿宋" w:hAnsi="仿宋" w:eastAsia="仿宋" w:cs="Arial"/>
                <w:sz w:val="28"/>
                <w:szCs w:val="28"/>
              </w:rPr>
            </w:pPr>
          </w:p>
        </w:tc>
      </w:tr>
      <w:tr w14:paraId="31EFE75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2F2A6BF">
            <w:pPr>
              <w:spacing w:line="360" w:lineRule="auto"/>
              <w:jc w:val="center"/>
              <w:rPr>
                <w:rFonts w:hint="eastAsia" w:ascii="仿宋" w:hAnsi="仿宋" w:eastAsia="仿宋" w:cs="Arial"/>
                <w:sz w:val="28"/>
                <w:szCs w:val="28"/>
              </w:rPr>
            </w:pPr>
          </w:p>
        </w:tc>
        <w:tc>
          <w:tcPr>
            <w:tcW w:w="3237" w:type="dxa"/>
            <w:vAlign w:val="center"/>
          </w:tcPr>
          <w:p w14:paraId="15981D43">
            <w:pPr>
              <w:jc w:val="center"/>
              <w:rPr>
                <w:rFonts w:hint="eastAsia" w:ascii="仿宋" w:hAnsi="仿宋" w:eastAsia="仿宋" w:cs="Arial"/>
                <w:sz w:val="28"/>
                <w:szCs w:val="28"/>
              </w:rPr>
            </w:pPr>
          </w:p>
        </w:tc>
        <w:tc>
          <w:tcPr>
            <w:tcW w:w="2346" w:type="dxa"/>
            <w:vAlign w:val="center"/>
          </w:tcPr>
          <w:p w14:paraId="2AB81087">
            <w:pPr>
              <w:jc w:val="center"/>
              <w:rPr>
                <w:rFonts w:hint="eastAsia" w:ascii="仿宋" w:hAnsi="仿宋" w:eastAsia="仿宋" w:cs="Arial"/>
                <w:sz w:val="28"/>
                <w:szCs w:val="28"/>
              </w:rPr>
            </w:pPr>
          </w:p>
        </w:tc>
        <w:tc>
          <w:tcPr>
            <w:tcW w:w="1080" w:type="dxa"/>
            <w:vAlign w:val="center"/>
          </w:tcPr>
          <w:p w14:paraId="486CC81F">
            <w:pPr>
              <w:spacing w:line="360" w:lineRule="auto"/>
              <w:jc w:val="center"/>
              <w:rPr>
                <w:rFonts w:hint="eastAsia" w:ascii="仿宋" w:hAnsi="仿宋" w:eastAsia="仿宋" w:cs="Arial"/>
                <w:sz w:val="28"/>
                <w:szCs w:val="28"/>
              </w:rPr>
            </w:pPr>
          </w:p>
        </w:tc>
        <w:tc>
          <w:tcPr>
            <w:tcW w:w="1074" w:type="dxa"/>
            <w:vAlign w:val="center"/>
          </w:tcPr>
          <w:p w14:paraId="6D061D3C">
            <w:pPr>
              <w:spacing w:line="360" w:lineRule="auto"/>
              <w:jc w:val="center"/>
              <w:rPr>
                <w:rFonts w:hint="eastAsia" w:ascii="仿宋" w:hAnsi="仿宋" w:eastAsia="仿宋" w:cs="Arial"/>
                <w:sz w:val="28"/>
                <w:szCs w:val="28"/>
              </w:rPr>
            </w:pPr>
          </w:p>
        </w:tc>
      </w:tr>
      <w:tr w14:paraId="05268DA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7B7C1F4E">
            <w:pPr>
              <w:spacing w:line="360" w:lineRule="auto"/>
              <w:jc w:val="center"/>
              <w:rPr>
                <w:rFonts w:hint="eastAsia" w:ascii="仿宋" w:hAnsi="仿宋" w:eastAsia="仿宋" w:cs="Arial"/>
                <w:sz w:val="28"/>
                <w:szCs w:val="28"/>
              </w:rPr>
            </w:pPr>
          </w:p>
        </w:tc>
        <w:tc>
          <w:tcPr>
            <w:tcW w:w="3237" w:type="dxa"/>
            <w:vAlign w:val="center"/>
          </w:tcPr>
          <w:p w14:paraId="64A8FD65">
            <w:pPr>
              <w:jc w:val="center"/>
              <w:rPr>
                <w:rFonts w:hint="eastAsia" w:ascii="仿宋" w:hAnsi="仿宋" w:eastAsia="仿宋" w:cs="Arial"/>
                <w:sz w:val="28"/>
                <w:szCs w:val="28"/>
              </w:rPr>
            </w:pPr>
          </w:p>
        </w:tc>
        <w:tc>
          <w:tcPr>
            <w:tcW w:w="2346" w:type="dxa"/>
            <w:vAlign w:val="center"/>
          </w:tcPr>
          <w:p w14:paraId="127FAC45">
            <w:pPr>
              <w:jc w:val="center"/>
              <w:rPr>
                <w:rFonts w:hint="eastAsia" w:ascii="仿宋" w:hAnsi="仿宋" w:eastAsia="仿宋" w:cs="Arial"/>
                <w:sz w:val="28"/>
                <w:szCs w:val="28"/>
              </w:rPr>
            </w:pPr>
          </w:p>
        </w:tc>
        <w:tc>
          <w:tcPr>
            <w:tcW w:w="1080" w:type="dxa"/>
            <w:vAlign w:val="center"/>
          </w:tcPr>
          <w:p w14:paraId="70046C3B">
            <w:pPr>
              <w:spacing w:line="360" w:lineRule="auto"/>
              <w:jc w:val="center"/>
              <w:rPr>
                <w:rFonts w:hint="eastAsia" w:ascii="仿宋" w:hAnsi="仿宋" w:eastAsia="仿宋" w:cs="Arial"/>
                <w:sz w:val="28"/>
                <w:szCs w:val="28"/>
              </w:rPr>
            </w:pPr>
          </w:p>
        </w:tc>
        <w:tc>
          <w:tcPr>
            <w:tcW w:w="1074" w:type="dxa"/>
            <w:vAlign w:val="center"/>
          </w:tcPr>
          <w:p w14:paraId="60B67CEE">
            <w:pPr>
              <w:spacing w:line="360" w:lineRule="auto"/>
              <w:jc w:val="center"/>
              <w:rPr>
                <w:rFonts w:hint="eastAsia" w:ascii="仿宋" w:hAnsi="仿宋" w:eastAsia="仿宋" w:cs="Arial"/>
                <w:sz w:val="28"/>
                <w:szCs w:val="28"/>
              </w:rPr>
            </w:pPr>
          </w:p>
        </w:tc>
      </w:tr>
      <w:tr w14:paraId="42398C9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EFE7662">
            <w:pPr>
              <w:spacing w:line="360" w:lineRule="auto"/>
              <w:jc w:val="center"/>
              <w:rPr>
                <w:rFonts w:hint="eastAsia" w:ascii="仿宋" w:hAnsi="仿宋" w:eastAsia="仿宋" w:cs="Arial"/>
                <w:sz w:val="28"/>
                <w:szCs w:val="28"/>
              </w:rPr>
            </w:pPr>
          </w:p>
        </w:tc>
        <w:tc>
          <w:tcPr>
            <w:tcW w:w="3237" w:type="dxa"/>
            <w:vAlign w:val="center"/>
          </w:tcPr>
          <w:p w14:paraId="79DA5E84">
            <w:pPr>
              <w:jc w:val="center"/>
              <w:rPr>
                <w:rFonts w:hint="eastAsia" w:ascii="仿宋" w:hAnsi="仿宋" w:eastAsia="仿宋" w:cs="Arial"/>
                <w:sz w:val="28"/>
                <w:szCs w:val="28"/>
              </w:rPr>
            </w:pPr>
          </w:p>
        </w:tc>
        <w:tc>
          <w:tcPr>
            <w:tcW w:w="2346" w:type="dxa"/>
            <w:vAlign w:val="center"/>
          </w:tcPr>
          <w:p w14:paraId="7650A957">
            <w:pPr>
              <w:jc w:val="center"/>
              <w:rPr>
                <w:rFonts w:hint="eastAsia" w:ascii="仿宋" w:hAnsi="仿宋" w:eastAsia="仿宋" w:cs="Arial"/>
                <w:sz w:val="28"/>
                <w:szCs w:val="28"/>
              </w:rPr>
            </w:pPr>
          </w:p>
        </w:tc>
        <w:tc>
          <w:tcPr>
            <w:tcW w:w="1080" w:type="dxa"/>
            <w:vAlign w:val="center"/>
          </w:tcPr>
          <w:p w14:paraId="0522A0B9">
            <w:pPr>
              <w:spacing w:line="360" w:lineRule="auto"/>
              <w:jc w:val="center"/>
              <w:rPr>
                <w:rFonts w:hint="eastAsia" w:ascii="仿宋" w:hAnsi="仿宋" w:eastAsia="仿宋" w:cs="Arial"/>
                <w:sz w:val="28"/>
                <w:szCs w:val="28"/>
              </w:rPr>
            </w:pPr>
          </w:p>
        </w:tc>
        <w:tc>
          <w:tcPr>
            <w:tcW w:w="1074" w:type="dxa"/>
            <w:vAlign w:val="center"/>
          </w:tcPr>
          <w:p w14:paraId="71EB8BF0">
            <w:pPr>
              <w:spacing w:line="360" w:lineRule="auto"/>
              <w:jc w:val="center"/>
              <w:rPr>
                <w:rFonts w:hint="eastAsia" w:ascii="仿宋" w:hAnsi="仿宋" w:eastAsia="仿宋" w:cs="Arial"/>
                <w:sz w:val="28"/>
                <w:szCs w:val="28"/>
              </w:rPr>
            </w:pPr>
          </w:p>
        </w:tc>
      </w:tr>
      <w:tr w14:paraId="0CB8C63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3EE15826">
            <w:pPr>
              <w:spacing w:line="360" w:lineRule="auto"/>
              <w:jc w:val="center"/>
              <w:rPr>
                <w:rFonts w:hint="eastAsia" w:ascii="仿宋" w:hAnsi="仿宋" w:eastAsia="仿宋" w:cs="Arial"/>
                <w:sz w:val="28"/>
                <w:szCs w:val="28"/>
              </w:rPr>
            </w:pPr>
          </w:p>
        </w:tc>
        <w:tc>
          <w:tcPr>
            <w:tcW w:w="3237" w:type="dxa"/>
            <w:vAlign w:val="center"/>
          </w:tcPr>
          <w:p w14:paraId="5B0DC380">
            <w:pPr>
              <w:jc w:val="center"/>
              <w:rPr>
                <w:rFonts w:hint="eastAsia" w:ascii="仿宋" w:hAnsi="仿宋" w:eastAsia="仿宋" w:cs="Arial"/>
                <w:sz w:val="28"/>
                <w:szCs w:val="28"/>
              </w:rPr>
            </w:pPr>
          </w:p>
        </w:tc>
        <w:tc>
          <w:tcPr>
            <w:tcW w:w="2346" w:type="dxa"/>
            <w:vAlign w:val="center"/>
          </w:tcPr>
          <w:p w14:paraId="789F3879">
            <w:pPr>
              <w:jc w:val="center"/>
              <w:rPr>
                <w:rFonts w:hint="eastAsia" w:ascii="仿宋" w:hAnsi="仿宋" w:eastAsia="仿宋" w:cs="Arial"/>
                <w:sz w:val="28"/>
                <w:szCs w:val="28"/>
              </w:rPr>
            </w:pPr>
          </w:p>
        </w:tc>
        <w:tc>
          <w:tcPr>
            <w:tcW w:w="1080" w:type="dxa"/>
            <w:vAlign w:val="center"/>
          </w:tcPr>
          <w:p w14:paraId="2A38F63C">
            <w:pPr>
              <w:spacing w:line="360" w:lineRule="auto"/>
              <w:jc w:val="center"/>
              <w:rPr>
                <w:rFonts w:hint="eastAsia" w:ascii="仿宋" w:hAnsi="仿宋" w:eastAsia="仿宋" w:cs="Arial"/>
                <w:sz w:val="28"/>
                <w:szCs w:val="28"/>
              </w:rPr>
            </w:pPr>
          </w:p>
        </w:tc>
        <w:tc>
          <w:tcPr>
            <w:tcW w:w="1074" w:type="dxa"/>
            <w:vAlign w:val="center"/>
          </w:tcPr>
          <w:p w14:paraId="58E4C513">
            <w:pPr>
              <w:spacing w:line="360" w:lineRule="auto"/>
              <w:jc w:val="center"/>
              <w:rPr>
                <w:rFonts w:hint="eastAsia" w:ascii="仿宋" w:hAnsi="仿宋" w:eastAsia="仿宋" w:cs="Arial"/>
                <w:sz w:val="28"/>
                <w:szCs w:val="28"/>
              </w:rPr>
            </w:pPr>
          </w:p>
        </w:tc>
      </w:tr>
      <w:tr w14:paraId="5DD0EDF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vAlign w:val="center"/>
          </w:tcPr>
          <w:p w14:paraId="67C41D0F">
            <w:pPr>
              <w:spacing w:line="360" w:lineRule="auto"/>
              <w:jc w:val="center"/>
              <w:rPr>
                <w:rFonts w:hint="eastAsia" w:ascii="仿宋" w:hAnsi="仿宋" w:eastAsia="仿宋" w:cs="Arial"/>
                <w:sz w:val="28"/>
                <w:szCs w:val="28"/>
              </w:rPr>
            </w:pPr>
          </w:p>
        </w:tc>
        <w:tc>
          <w:tcPr>
            <w:tcW w:w="3237" w:type="dxa"/>
            <w:vAlign w:val="center"/>
          </w:tcPr>
          <w:p w14:paraId="475EEF7C">
            <w:pPr>
              <w:jc w:val="center"/>
              <w:rPr>
                <w:rFonts w:hint="eastAsia" w:ascii="仿宋" w:hAnsi="仿宋" w:eastAsia="仿宋" w:cs="Arial"/>
                <w:sz w:val="28"/>
                <w:szCs w:val="28"/>
              </w:rPr>
            </w:pPr>
          </w:p>
        </w:tc>
        <w:tc>
          <w:tcPr>
            <w:tcW w:w="2346" w:type="dxa"/>
            <w:vAlign w:val="center"/>
          </w:tcPr>
          <w:p w14:paraId="09877AC3">
            <w:pPr>
              <w:jc w:val="center"/>
              <w:rPr>
                <w:rFonts w:hint="eastAsia" w:ascii="仿宋" w:hAnsi="仿宋" w:eastAsia="仿宋" w:cs="Arial"/>
                <w:sz w:val="28"/>
                <w:szCs w:val="28"/>
              </w:rPr>
            </w:pPr>
          </w:p>
        </w:tc>
        <w:tc>
          <w:tcPr>
            <w:tcW w:w="1080" w:type="dxa"/>
            <w:vAlign w:val="center"/>
          </w:tcPr>
          <w:p w14:paraId="0C0D3F6B">
            <w:pPr>
              <w:spacing w:line="360" w:lineRule="auto"/>
              <w:jc w:val="center"/>
              <w:rPr>
                <w:rFonts w:hint="eastAsia" w:ascii="仿宋" w:hAnsi="仿宋" w:eastAsia="仿宋" w:cs="Arial"/>
                <w:sz w:val="28"/>
                <w:szCs w:val="28"/>
              </w:rPr>
            </w:pPr>
          </w:p>
        </w:tc>
        <w:tc>
          <w:tcPr>
            <w:tcW w:w="1074" w:type="dxa"/>
            <w:vAlign w:val="center"/>
          </w:tcPr>
          <w:p w14:paraId="47A46032">
            <w:pPr>
              <w:spacing w:line="360" w:lineRule="auto"/>
              <w:jc w:val="center"/>
              <w:rPr>
                <w:rFonts w:hint="eastAsia" w:ascii="仿宋" w:hAnsi="仿宋" w:eastAsia="仿宋" w:cs="Arial"/>
                <w:sz w:val="28"/>
                <w:szCs w:val="28"/>
              </w:rPr>
            </w:pPr>
          </w:p>
        </w:tc>
      </w:tr>
    </w:tbl>
    <w:p w14:paraId="683AB215">
      <w:pPr>
        <w:spacing w:line="520" w:lineRule="exact"/>
        <w:rPr>
          <w:rFonts w:hint="eastAsia" w:ascii="仿宋" w:hAnsi="仿宋" w:eastAsia="仿宋"/>
          <w:sz w:val="28"/>
          <w:szCs w:val="28"/>
        </w:rPr>
      </w:pPr>
    </w:p>
    <w:p w14:paraId="23BCBC85">
      <w:pPr>
        <w:spacing w:line="520" w:lineRule="exact"/>
        <w:rPr>
          <w:rFonts w:hint="eastAsia" w:ascii="仿宋" w:hAnsi="仿宋" w:eastAsia="仿宋"/>
          <w:sz w:val="28"/>
          <w:szCs w:val="28"/>
          <w:u w:val="single"/>
          <w:lang w:eastAsia="zh-CN"/>
        </w:rPr>
      </w:pPr>
      <w:r>
        <w:rPr>
          <w:rFonts w:hint="eastAsia" w:ascii="仿宋" w:hAnsi="仿宋" w:eastAsia="仿宋"/>
          <w:sz w:val="28"/>
          <w:szCs w:val="28"/>
        </w:rPr>
        <w:t>投标人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w:t>
      </w:r>
    </w:p>
    <w:p w14:paraId="27DEE388">
      <w:pPr>
        <w:spacing w:line="520" w:lineRule="exact"/>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u w:val="single"/>
        </w:rPr>
        <w:t>（</w:t>
      </w:r>
      <w:r>
        <w:rPr>
          <w:rFonts w:hint="eastAsia" w:ascii="仿宋" w:hAnsi="仿宋" w:eastAsia="仿宋"/>
          <w:sz w:val="28"/>
          <w:u w:val="single"/>
          <w:lang w:eastAsia="zh-CN"/>
        </w:rPr>
        <w:t>电子公章</w:t>
      </w:r>
      <w:r>
        <w:rPr>
          <w:rFonts w:hint="eastAsia" w:ascii="仿宋" w:hAnsi="仿宋" w:eastAsia="仿宋"/>
          <w:sz w:val="28"/>
          <w:u w:val="single"/>
        </w:rPr>
        <w:t>或电子签字）</w:t>
      </w:r>
    </w:p>
    <w:p w14:paraId="001AB8E4">
      <w:pPr>
        <w:spacing w:line="440" w:lineRule="exact"/>
        <w:rPr>
          <w:rFonts w:hint="eastAsia" w:ascii="仿宋" w:hAnsi="仿宋" w:eastAsia="仿宋"/>
          <w:sz w:val="28"/>
          <w:szCs w:val="28"/>
        </w:rPr>
      </w:pPr>
    </w:p>
    <w:p w14:paraId="13C87C30">
      <w:pPr>
        <w:spacing w:line="440" w:lineRule="exact"/>
        <w:rPr>
          <w:rFonts w:hint="eastAsia" w:ascii="仿宋" w:hAnsi="仿宋" w:eastAsia="仿宋"/>
          <w:sz w:val="28"/>
          <w:szCs w:val="28"/>
          <w:lang w:eastAsia="zh-CN"/>
        </w:rPr>
      </w:pPr>
      <w:r>
        <w:rPr>
          <w:rFonts w:hint="eastAsia" w:ascii="仿宋" w:hAnsi="仿宋" w:eastAsia="仿宋"/>
          <w:sz w:val="28"/>
          <w:szCs w:val="28"/>
        </w:rPr>
        <w:t>注</w:t>
      </w:r>
      <w:r>
        <w:rPr>
          <w:rFonts w:hint="eastAsia" w:ascii="仿宋" w:hAnsi="仿宋" w:eastAsia="仿宋"/>
          <w:sz w:val="28"/>
          <w:szCs w:val="28"/>
          <w:lang w:eastAsia="zh-CN"/>
        </w:rPr>
        <w:t>：</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）此表为表样，行数可自行添加，但表式不变。</w:t>
      </w:r>
    </w:p>
    <w:p w14:paraId="76D217C5">
      <w:pPr>
        <w:spacing w:line="440" w:lineRule="exact"/>
        <w:ind w:firstLine="420"/>
        <w:rPr>
          <w:rFonts w:hint="eastAsia" w:ascii="仿宋" w:hAnsi="仿宋" w:eastAsia="仿宋"/>
          <w:sz w:val="28"/>
          <w:szCs w:val="28"/>
        </w:rPr>
      </w:pPr>
      <w:r>
        <w:rPr>
          <w:rFonts w:hint="eastAsia" w:ascii="仿宋" w:hAnsi="仿宋" w:eastAsia="仿宋"/>
          <w:sz w:val="28"/>
          <w:szCs w:val="28"/>
        </w:rPr>
        <w:t>（2）是否偏离用符号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p>
    <w:p w14:paraId="551FEC8F">
      <w:pPr>
        <w:spacing w:line="440" w:lineRule="exact"/>
        <w:ind w:firstLine="420"/>
        <w:rPr>
          <w:rFonts w:hint="eastAsia" w:ascii="仿宋" w:hAnsi="仿宋" w:eastAsia="仿宋"/>
          <w:sz w:val="28"/>
          <w:szCs w:val="28"/>
        </w:rPr>
      </w:pPr>
      <w:r>
        <w:rPr>
          <w:rFonts w:hint="eastAsia" w:ascii="仿宋" w:hAnsi="仿宋" w:eastAsia="仿宋"/>
          <w:sz w:val="28"/>
          <w:szCs w:val="28"/>
        </w:rPr>
        <w:t>（3）投标人必须仔细阅读本招标文件第五章中所有商务条款要求，并将响应情况及偏离情况逐项填入上表，响应时不得对原有商务条款直接复制粘贴及简单表述为完全响应，否则将影响该项得分。</w:t>
      </w:r>
    </w:p>
    <w:p w14:paraId="7BF4C38B">
      <w:pPr>
        <w:pStyle w:val="212"/>
        <w:spacing w:before="120" w:line="520" w:lineRule="exact"/>
        <w:ind w:left="0" w:right="34"/>
        <w:jc w:val="center"/>
        <w:rPr>
          <w:rFonts w:hint="eastAsia" w:ascii="仿宋" w:hAnsi="仿宋" w:eastAsia="仿宋"/>
          <w:b/>
          <w:bCs/>
          <w:sz w:val="32"/>
        </w:rPr>
      </w:pPr>
    </w:p>
    <w:p w14:paraId="08CF07E8">
      <w:pPr>
        <w:pStyle w:val="212"/>
        <w:spacing w:before="120" w:line="520" w:lineRule="exact"/>
        <w:ind w:left="0" w:right="34"/>
        <w:jc w:val="center"/>
        <w:rPr>
          <w:rFonts w:hint="eastAsia" w:ascii="仿宋" w:hAnsi="仿宋" w:eastAsia="仿宋"/>
          <w:b/>
          <w:bCs/>
          <w:sz w:val="32"/>
        </w:rPr>
      </w:pPr>
    </w:p>
    <w:p w14:paraId="19EE9F67">
      <w:pPr>
        <w:pStyle w:val="212"/>
        <w:spacing w:before="120" w:line="520" w:lineRule="exact"/>
        <w:ind w:left="0" w:right="34"/>
        <w:jc w:val="center"/>
        <w:rPr>
          <w:rFonts w:hint="eastAsia" w:ascii="仿宋" w:hAnsi="仿宋" w:eastAsia="仿宋"/>
          <w:b/>
          <w:bCs/>
          <w:sz w:val="32"/>
        </w:rPr>
      </w:pPr>
    </w:p>
    <w:p w14:paraId="0BF27E6E">
      <w:pPr>
        <w:pStyle w:val="212"/>
        <w:spacing w:before="120" w:line="520" w:lineRule="exact"/>
        <w:ind w:left="0" w:right="34"/>
        <w:jc w:val="center"/>
        <w:rPr>
          <w:rFonts w:hint="eastAsia" w:ascii="仿宋" w:hAnsi="仿宋" w:eastAsia="仿宋"/>
          <w:b/>
          <w:bCs/>
          <w:sz w:val="32"/>
        </w:rPr>
      </w:pPr>
      <w:r>
        <w:rPr>
          <w:rFonts w:hint="eastAsia" w:ascii="仿宋" w:hAnsi="仿宋" w:eastAsia="仿宋"/>
          <w:b/>
          <w:bCs/>
          <w:sz w:val="32"/>
        </w:rPr>
        <w:t>六、</w:t>
      </w:r>
      <w:bookmarkEnd w:id="52"/>
      <w:bookmarkStart w:id="54" w:name="_Toc157775469"/>
      <w:r>
        <w:rPr>
          <w:rFonts w:hint="eastAsia" w:ascii="仿宋" w:hAnsi="仿宋" w:eastAsia="仿宋"/>
          <w:b/>
          <w:bCs/>
          <w:sz w:val="32"/>
        </w:rPr>
        <w:t>服务方案</w:t>
      </w:r>
    </w:p>
    <w:bookmarkEnd w:id="54"/>
    <w:p w14:paraId="0DD6E150">
      <w:pPr>
        <w:pStyle w:val="277"/>
        <w:spacing w:before="0" w:after="0" w:line="520" w:lineRule="exact"/>
        <w:ind w:right="51" w:firstLine="0"/>
        <w:jc w:val="center"/>
        <w:rPr>
          <w:rFonts w:hint="eastAsia" w:ascii="仿宋" w:hAnsi="仿宋" w:eastAsia="仿宋"/>
          <w:sz w:val="28"/>
        </w:rPr>
      </w:pPr>
      <w:r>
        <w:rPr>
          <w:rFonts w:hint="eastAsia" w:ascii="仿宋" w:hAnsi="仿宋" w:eastAsia="仿宋"/>
          <w:sz w:val="28"/>
        </w:rPr>
        <w:t>（格式由投标人自定、加盖投标人</w:t>
      </w:r>
      <w:r>
        <w:rPr>
          <w:rFonts w:hint="eastAsia" w:ascii="仿宋" w:hAnsi="仿宋" w:eastAsia="仿宋"/>
          <w:sz w:val="28"/>
          <w:lang w:eastAsia="zh-CN"/>
        </w:rPr>
        <w:t>电子公章</w:t>
      </w:r>
      <w:r>
        <w:rPr>
          <w:rFonts w:hint="eastAsia" w:ascii="仿宋" w:hAnsi="仿宋" w:eastAsia="仿宋"/>
          <w:sz w:val="28"/>
        </w:rPr>
        <w:t>。</w:t>
      </w:r>
      <w:r>
        <w:rPr>
          <w:rFonts w:ascii="仿宋" w:hAnsi="仿宋" w:eastAsia="仿宋"/>
          <w:sz w:val="28"/>
        </w:rPr>
        <w:t>）</w:t>
      </w:r>
    </w:p>
    <w:bookmarkEnd w:id="53"/>
    <w:p w14:paraId="3F9EFD3A">
      <w:pPr>
        <w:pStyle w:val="277"/>
        <w:spacing w:before="0" w:after="0" w:line="520" w:lineRule="exact"/>
        <w:ind w:right="51" w:firstLine="0"/>
        <w:jc w:val="center"/>
        <w:rPr>
          <w:rFonts w:hint="eastAsia" w:ascii="仿宋" w:hAnsi="仿宋" w:eastAsia="仿宋"/>
          <w:sz w:val="28"/>
        </w:rPr>
      </w:pPr>
    </w:p>
    <w:p w14:paraId="22C5380F">
      <w:pPr>
        <w:pStyle w:val="277"/>
        <w:spacing w:before="0" w:after="0" w:line="520" w:lineRule="exact"/>
        <w:ind w:right="51" w:firstLine="0"/>
        <w:rPr>
          <w:rFonts w:hint="eastAsia" w:ascii="仿宋" w:hAnsi="仿宋" w:eastAsia="仿宋"/>
          <w:sz w:val="28"/>
        </w:rPr>
      </w:pPr>
    </w:p>
    <w:p w14:paraId="51DA42A3">
      <w:pPr>
        <w:pStyle w:val="214"/>
        <w:spacing w:line="440" w:lineRule="exact"/>
        <w:rPr>
          <w:rFonts w:hint="eastAsia" w:ascii="仿宋" w:hAnsi="仿宋" w:eastAsia="仿宋"/>
          <w:b/>
          <w:bCs/>
          <w:sz w:val="32"/>
        </w:rPr>
      </w:pPr>
    </w:p>
    <w:p w14:paraId="41611E1A">
      <w:pPr>
        <w:rPr>
          <w:rFonts w:hint="eastAsia" w:ascii="仿宋" w:hAnsi="仿宋" w:eastAsia="仿宋"/>
        </w:rPr>
      </w:pPr>
    </w:p>
    <w:p w14:paraId="7BDDD484">
      <w:pPr>
        <w:pStyle w:val="214"/>
        <w:spacing w:line="440" w:lineRule="exact"/>
        <w:rPr>
          <w:rFonts w:hint="eastAsia" w:ascii="仿宋" w:hAnsi="仿宋" w:eastAsia="仿宋"/>
          <w:b/>
          <w:bCs/>
          <w:sz w:val="32"/>
        </w:rPr>
      </w:pPr>
    </w:p>
    <w:p w14:paraId="7F29DA0A">
      <w:pPr>
        <w:pStyle w:val="214"/>
        <w:spacing w:line="440" w:lineRule="exact"/>
        <w:rPr>
          <w:rFonts w:hint="eastAsia" w:ascii="仿宋" w:hAnsi="仿宋" w:eastAsia="仿宋"/>
          <w:b/>
          <w:bCs/>
          <w:sz w:val="32"/>
        </w:rPr>
      </w:pPr>
    </w:p>
    <w:p w14:paraId="57B5A6A9">
      <w:pPr>
        <w:pStyle w:val="214"/>
        <w:spacing w:line="440" w:lineRule="exact"/>
        <w:rPr>
          <w:rFonts w:hint="eastAsia" w:ascii="仿宋" w:hAnsi="仿宋" w:eastAsia="仿宋"/>
          <w:b/>
          <w:bCs/>
          <w:sz w:val="32"/>
        </w:rPr>
      </w:pPr>
    </w:p>
    <w:p w14:paraId="6D91CAC0">
      <w:pPr>
        <w:pStyle w:val="214"/>
        <w:spacing w:line="440" w:lineRule="exact"/>
        <w:rPr>
          <w:rFonts w:hint="eastAsia" w:ascii="仿宋" w:hAnsi="仿宋" w:eastAsia="仿宋"/>
          <w:b/>
          <w:bCs/>
          <w:sz w:val="32"/>
        </w:rPr>
      </w:pPr>
    </w:p>
    <w:p w14:paraId="63B28DB0">
      <w:pPr>
        <w:pStyle w:val="214"/>
        <w:spacing w:line="440" w:lineRule="exact"/>
        <w:rPr>
          <w:rFonts w:hint="eastAsia" w:ascii="仿宋" w:hAnsi="仿宋" w:eastAsia="仿宋"/>
          <w:b/>
          <w:bCs/>
          <w:sz w:val="32"/>
        </w:rPr>
      </w:pPr>
    </w:p>
    <w:p w14:paraId="22D7E87E">
      <w:pPr>
        <w:pStyle w:val="214"/>
        <w:spacing w:line="440" w:lineRule="exact"/>
        <w:rPr>
          <w:rFonts w:hint="eastAsia" w:ascii="仿宋" w:hAnsi="仿宋" w:eastAsia="仿宋"/>
          <w:b/>
          <w:bCs/>
          <w:sz w:val="32"/>
        </w:rPr>
      </w:pPr>
    </w:p>
    <w:p w14:paraId="0F822690">
      <w:pPr>
        <w:pStyle w:val="214"/>
        <w:spacing w:line="440" w:lineRule="exact"/>
        <w:rPr>
          <w:rFonts w:hint="eastAsia" w:ascii="仿宋" w:hAnsi="仿宋" w:eastAsia="仿宋"/>
          <w:b/>
          <w:bCs/>
          <w:sz w:val="32"/>
        </w:rPr>
      </w:pPr>
    </w:p>
    <w:p w14:paraId="3C281A55">
      <w:pPr>
        <w:pStyle w:val="214"/>
        <w:spacing w:line="440" w:lineRule="exact"/>
        <w:rPr>
          <w:rFonts w:hint="eastAsia" w:ascii="仿宋" w:hAnsi="仿宋" w:eastAsia="仿宋"/>
          <w:b/>
          <w:bCs/>
          <w:sz w:val="32"/>
        </w:rPr>
      </w:pPr>
    </w:p>
    <w:p w14:paraId="2F940AD4">
      <w:pPr>
        <w:pStyle w:val="214"/>
        <w:spacing w:line="440" w:lineRule="exact"/>
        <w:rPr>
          <w:rFonts w:hint="eastAsia" w:ascii="仿宋" w:hAnsi="仿宋" w:eastAsia="仿宋"/>
          <w:b/>
          <w:bCs/>
          <w:sz w:val="32"/>
        </w:rPr>
      </w:pPr>
    </w:p>
    <w:p w14:paraId="6E132828">
      <w:pPr>
        <w:pStyle w:val="214"/>
        <w:spacing w:line="440" w:lineRule="exact"/>
        <w:rPr>
          <w:rFonts w:hint="eastAsia" w:ascii="仿宋" w:hAnsi="仿宋" w:eastAsia="仿宋"/>
          <w:b/>
          <w:bCs/>
          <w:sz w:val="32"/>
        </w:rPr>
      </w:pPr>
    </w:p>
    <w:p w14:paraId="11725002">
      <w:pPr>
        <w:pStyle w:val="214"/>
        <w:spacing w:line="440" w:lineRule="exact"/>
        <w:rPr>
          <w:rFonts w:hint="eastAsia" w:ascii="仿宋" w:hAnsi="仿宋" w:eastAsia="仿宋"/>
          <w:b/>
          <w:bCs/>
          <w:sz w:val="32"/>
        </w:rPr>
      </w:pPr>
    </w:p>
    <w:p w14:paraId="0A76FA21">
      <w:pPr>
        <w:pStyle w:val="214"/>
        <w:spacing w:line="440" w:lineRule="exact"/>
        <w:rPr>
          <w:rFonts w:hint="eastAsia" w:ascii="仿宋" w:hAnsi="仿宋" w:eastAsia="仿宋"/>
          <w:b/>
          <w:bCs/>
          <w:sz w:val="32"/>
        </w:rPr>
      </w:pPr>
    </w:p>
    <w:p w14:paraId="41B27F10">
      <w:pPr>
        <w:pStyle w:val="214"/>
        <w:spacing w:line="440" w:lineRule="exact"/>
        <w:rPr>
          <w:rFonts w:hint="eastAsia" w:ascii="仿宋" w:hAnsi="仿宋" w:eastAsia="仿宋"/>
          <w:b/>
          <w:bCs/>
          <w:sz w:val="32"/>
        </w:rPr>
      </w:pPr>
    </w:p>
    <w:p w14:paraId="29F14C1E">
      <w:pPr>
        <w:pStyle w:val="214"/>
        <w:spacing w:line="440" w:lineRule="exact"/>
        <w:rPr>
          <w:rFonts w:hint="eastAsia" w:ascii="仿宋" w:hAnsi="仿宋" w:eastAsia="仿宋"/>
          <w:b/>
          <w:bCs/>
          <w:sz w:val="32"/>
        </w:rPr>
      </w:pPr>
    </w:p>
    <w:p w14:paraId="3377EE5D">
      <w:pPr>
        <w:pStyle w:val="214"/>
        <w:spacing w:line="440" w:lineRule="exact"/>
        <w:rPr>
          <w:rFonts w:hint="eastAsia" w:ascii="仿宋" w:hAnsi="仿宋" w:eastAsia="仿宋"/>
          <w:b/>
          <w:bCs/>
          <w:sz w:val="32"/>
        </w:rPr>
      </w:pPr>
    </w:p>
    <w:p w14:paraId="0153920E">
      <w:pPr>
        <w:pStyle w:val="214"/>
        <w:spacing w:line="440" w:lineRule="exact"/>
        <w:rPr>
          <w:rFonts w:hint="eastAsia" w:ascii="仿宋" w:hAnsi="仿宋" w:eastAsia="仿宋"/>
          <w:b/>
          <w:bCs/>
          <w:sz w:val="32"/>
        </w:rPr>
      </w:pPr>
    </w:p>
    <w:p w14:paraId="1B12C6AD">
      <w:pPr>
        <w:pStyle w:val="214"/>
        <w:spacing w:line="440" w:lineRule="exact"/>
        <w:rPr>
          <w:rFonts w:hint="eastAsia" w:ascii="仿宋" w:hAnsi="仿宋" w:eastAsia="仿宋"/>
          <w:b/>
          <w:bCs/>
          <w:sz w:val="32"/>
        </w:rPr>
      </w:pPr>
    </w:p>
    <w:p w14:paraId="30F813EA">
      <w:pPr>
        <w:pStyle w:val="214"/>
        <w:spacing w:line="440" w:lineRule="exact"/>
        <w:rPr>
          <w:rFonts w:hint="eastAsia" w:ascii="仿宋" w:hAnsi="仿宋" w:eastAsia="仿宋"/>
          <w:b/>
          <w:bCs/>
          <w:sz w:val="32"/>
        </w:rPr>
      </w:pPr>
    </w:p>
    <w:p w14:paraId="5FD65915">
      <w:pPr>
        <w:pStyle w:val="215"/>
        <w:rPr>
          <w:lang w:eastAsia="zh-CN"/>
        </w:rPr>
      </w:pPr>
    </w:p>
    <w:p w14:paraId="66540C82">
      <w:pPr>
        <w:pStyle w:val="215"/>
        <w:rPr>
          <w:lang w:eastAsia="zh-CN"/>
        </w:rPr>
      </w:pPr>
    </w:p>
    <w:p w14:paraId="363F60EE">
      <w:pPr>
        <w:pStyle w:val="215"/>
        <w:rPr>
          <w:lang w:eastAsia="zh-CN"/>
        </w:rPr>
      </w:pPr>
    </w:p>
    <w:p w14:paraId="0AB7A7F1">
      <w:pPr>
        <w:pStyle w:val="215"/>
        <w:rPr>
          <w:lang w:eastAsia="zh-CN"/>
        </w:rPr>
      </w:pPr>
    </w:p>
    <w:p w14:paraId="02505759">
      <w:pPr>
        <w:pStyle w:val="215"/>
        <w:rPr>
          <w:lang w:eastAsia="zh-CN"/>
        </w:rPr>
      </w:pPr>
    </w:p>
    <w:p w14:paraId="3F862E66">
      <w:pPr>
        <w:pStyle w:val="215"/>
        <w:rPr>
          <w:lang w:eastAsia="zh-CN"/>
        </w:rPr>
      </w:pPr>
    </w:p>
    <w:p w14:paraId="3A6241C9">
      <w:pPr>
        <w:pStyle w:val="215"/>
        <w:rPr>
          <w:lang w:eastAsia="zh-CN"/>
        </w:rPr>
      </w:pPr>
    </w:p>
    <w:p w14:paraId="25ADD09D">
      <w:pPr>
        <w:pStyle w:val="214"/>
        <w:spacing w:line="520" w:lineRule="exact"/>
        <w:jc w:val="center"/>
        <w:rPr>
          <w:rFonts w:hint="eastAsia" w:ascii="仿宋" w:hAnsi="仿宋" w:eastAsia="仿宋"/>
          <w:b/>
          <w:bCs/>
          <w:sz w:val="32"/>
          <w:szCs w:val="32"/>
        </w:rPr>
      </w:pPr>
      <w:r>
        <w:rPr>
          <w:rFonts w:hint="eastAsia" w:ascii="仿宋" w:hAnsi="仿宋" w:eastAsia="仿宋"/>
          <w:b/>
          <w:bCs/>
          <w:sz w:val="32"/>
        </w:rPr>
        <w:t>七、</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4AA33483">
      <w:pPr>
        <w:pStyle w:val="214"/>
        <w:spacing w:line="520" w:lineRule="exact"/>
        <w:ind w:firstLine="551"/>
        <w:rPr>
          <w:rFonts w:hint="eastAsia" w:ascii="仿宋" w:hAnsi="仿宋" w:eastAsia="仿宋"/>
          <w:b/>
          <w:bCs/>
          <w:sz w:val="32"/>
          <w:szCs w:val="32"/>
        </w:rPr>
      </w:pPr>
      <w:r>
        <w:rPr>
          <w:rFonts w:hint="eastAsia" w:ascii="仿宋" w:hAnsi="仿宋" w:eastAsia="仿宋"/>
          <w:sz w:val="28"/>
          <w:szCs w:val="28"/>
        </w:rPr>
        <w:t>1.提供下列材料之一</w:t>
      </w:r>
      <w:r>
        <w:rPr>
          <w:rFonts w:hint="eastAsia" w:ascii="仿宋" w:hAnsi="仿宋" w:eastAsia="仿宋"/>
          <w:sz w:val="28"/>
          <w:szCs w:val="28"/>
          <w:lang w:eastAsia="zh-CN"/>
        </w:rPr>
        <w:t>：</w:t>
      </w:r>
    </w:p>
    <w:p w14:paraId="3D86ED50">
      <w:pPr>
        <w:spacing w:line="520" w:lineRule="exact"/>
        <w:ind w:firstLine="560"/>
        <w:rPr>
          <w:rFonts w:hint="eastAsia"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w:t>
      </w:r>
      <w:r>
        <w:rPr>
          <w:rFonts w:hint="eastAsia" w:ascii="仿宋" w:hAnsi="仿宋" w:eastAsia="仿宋"/>
          <w:bCs/>
          <w:sz w:val="28"/>
          <w:szCs w:val="28"/>
        </w:rPr>
        <w:t>加盖</w:t>
      </w:r>
      <w:r>
        <w:rPr>
          <w:rFonts w:hint="eastAsia" w:ascii="仿宋" w:hAnsi="仿宋" w:eastAsia="仿宋"/>
          <w:sz w:val="28"/>
        </w:rPr>
        <w:t>投标人</w:t>
      </w:r>
      <w:r>
        <w:rPr>
          <w:rFonts w:hint="eastAsia" w:ascii="仿宋" w:hAnsi="仿宋" w:eastAsia="仿宋"/>
          <w:sz w:val="28"/>
          <w:lang w:eastAsia="zh-CN"/>
        </w:rPr>
        <w:t>电子公章</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w:t>
      </w:r>
      <w:r>
        <w:rPr>
          <w:rFonts w:hint="eastAsia" w:ascii="仿宋" w:hAnsi="仿宋" w:eastAsia="仿宋"/>
          <w:b/>
          <w:sz w:val="28"/>
          <w:szCs w:val="28"/>
        </w:rPr>
        <w:t>（</w:t>
      </w:r>
      <w:r>
        <w:rPr>
          <w:rFonts w:hint="eastAsia" w:ascii="仿宋" w:hAnsi="仿宋" w:eastAsia="仿宋"/>
          <w:b/>
          <w:sz w:val="28"/>
        </w:rPr>
        <w:t>原件</w:t>
      </w:r>
      <w:r>
        <w:rPr>
          <w:rFonts w:hint="eastAsia" w:ascii="仿宋" w:hAnsi="仿宋" w:eastAsia="仿宋"/>
          <w:b/>
          <w:sz w:val="28"/>
          <w:szCs w:val="28"/>
        </w:rPr>
        <w:t>扫描件并加盖</w:t>
      </w:r>
      <w:r>
        <w:rPr>
          <w:rFonts w:hint="eastAsia" w:ascii="仿宋" w:hAnsi="仿宋" w:eastAsia="仿宋"/>
          <w:b/>
          <w:sz w:val="28"/>
        </w:rPr>
        <w:t>投标人</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sz w:val="28"/>
        </w:rPr>
        <w:t>；</w:t>
      </w:r>
    </w:p>
    <w:p w14:paraId="5E61DD56">
      <w:pPr>
        <w:spacing w:line="520" w:lineRule="exact"/>
        <w:ind w:firstLine="560"/>
        <w:rPr>
          <w:rFonts w:hint="eastAsia" w:ascii="仿宋" w:hAnsi="仿宋" w:eastAsia="仿宋"/>
          <w:sz w:val="28"/>
        </w:rPr>
      </w:pPr>
      <w:r>
        <w:rPr>
          <w:rFonts w:hint="eastAsia" w:ascii="仿宋" w:hAnsi="仿宋" w:eastAsia="仿宋"/>
          <w:sz w:val="28"/>
        </w:rPr>
        <w:t>（2）投标人提供授权委托书（</w:t>
      </w:r>
      <w:r>
        <w:rPr>
          <w:rFonts w:hint="eastAsia" w:ascii="仿宋" w:hAnsi="仿宋" w:eastAsia="仿宋"/>
          <w:bCs/>
          <w:sz w:val="28"/>
          <w:szCs w:val="28"/>
        </w:rPr>
        <w:t>加盖</w:t>
      </w:r>
      <w:r>
        <w:rPr>
          <w:rFonts w:hint="eastAsia" w:ascii="仿宋" w:hAnsi="仿宋" w:eastAsia="仿宋"/>
          <w:sz w:val="28"/>
        </w:rPr>
        <w:t>投标人</w:t>
      </w:r>
      <w:r>
        <w:rPr>
          <w:rFonts w:hint="eastAsia" w:ascii="仿宋" w:hAnsi="仿宋" w:eastAsia="仿宋"/>
          <w:sz w:val="28"/>
          <w:lang w:eastAsia="zh-CN"/>
        </w:rPr>
        <w:t>电子公章</w:t>
      </w:r>
      <w:r>
        <w:rPr>
          <w:rFonts w:hint="eastAsia" w:ascii="仿宋" w:hAnsi="仿宋" w:eastAsia="仿宋"/>
          <w:sz w:val="28"/>
        </w:rPr>
        <w:t>，格式详见示范格式二）和</w:t>
      </w:r>
      <w:r>
        <w:rPr>
          <w:rFonts w:hint="eastAsia" w:ascii="仿宋" w:hAnsi="仿宋" w:eastAsia="仿宋"/>
          <w:bCs/>
          <w:sz w:val="28"/>
          <w:szCs w:val="28"/>
        </w:rPr>
        <w:t>受托人身份证</w:t>
      </w:r>
      <w:r>
        <w:rPr>
          <w:rFonts w:hint="eastAsia" w:ascii="仿宋" w:hAnsi="仿宋" w:eastAsia="仿宋"/>
          <w:b/>
          <w:sz w:val="28"/>
          <w:szCs w:val="28"/>
        </w:rPr>
        <w:t>（原件扫描件并加盖</w:t>
      </w:r>
      <w:r>
        <w:rPr>
          <w:rFonts w:hint="eastAsia" w:ascii="仿宋" w:hAnsi="仿宋" w:eastAsia="仿宋"/>
          <w:b/>
          <w:sz w:val="28"/>
        </w:rPr>
        <w:t>投标人</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b/>
          <w:sz w:val="28"/>
        </w:rPr>
        <w:t>。</w:t>
      </w:r>
    </w:p>
    <w:p w14:paraId="02BE5967">
      <w:pPr>
        <w:spacing w:line="520" w:lineRule="exact"/>
        <w:ind w:firstLine="560"/>
        <w:rPr>
          <w:rFonts w:hint="eastAsia" w:ascii="仿宋" w:hAnsi="仿宋" w:eastAsia="仿宋"/>
          <w:sz w:val="28"/>
        </w:rPr>
      </w:pPr>
      <w:r>
        <w:rPr>
          <w:rFonts w:hint="eastAsia" w:ascii="仿宋" w:hAnsi="仿宋" w:eastAsia="仿宋"/>
          <w:sz w:val="28"/>
        </w:rPr>
        <w:t>2.</w:t>
      </w:r>
      <w:r>
        <w:rPr>
          <w:rFonts w:hint="eastAsia" w:ascii="仿宋" w:hAnsi="仿宋" w:eastAsia="仿宋" w:cs="仿宋"/>
          <w:sz w:val="28"/>
          <w:szCs w:val="28"/>
        </w:rPr>
        <w:t>投标人须具有在有效期内的营业执照副本、税务登记证副本、组织</w:t>
      </w:r>
      <w:r>
        <w:rPr>
          <w:rFonts w:hint="eastAsia" w:ascii="仿宋" w:hAnsi="仿宋" w:eastAsia="仿宋"/>
          <w:sz w:val="28"/>
        </w:rPr>
        <w:t>机构代码证副本或三证合一的营业执照</w:t>
      </w:r>
      <w:r>
        <w:rPr>
          <w:rFonts w:hint="eastAsia" w:ascii="仿宋" w:hAnsi="仿宋" w:eastAsia="仿宋"/>
          <w:b/>
          <w:bCs/>
          <w:sz w:val="28"/>
        </w:rPr>
        <w:t>（提供营业执照</w:t>
      </w:r>
      <w:r>
        <w:rPr>
          <w:rFonts w:hint="eastAsia" w:ascii="仿宋" w:hAnsi="仿宋" w:eastAsia="仿宋"/>
          <w:b/>
          <w:bCs/>
          <w:sz w:val="28"/>
          <w:szCs w:val="28"/>
        </w:rPr>
        <w:t>扫描件并加盖</w:t>
      </w:r>
      <w:r>
        <w:rPr>
          <w:rFonts w:hint="eastAsia" w:ascii="仿宋" w:hAnsi="仿宋" w:eastAsia="仿宋"/>
          <w:b/>
          <w:bCs/>
          <w:sz w:val="28"/>
        </w:rPr>
        <w:t>投标人</w:t>
      </w:r>
      <w:r>
        <w:rPr>
          <w:rFonts w:hint="eastAsia" w:ascii="仿宋" w:hAnsi="仿宋" w:eastAsia="仿宋"/>
          <w:b/>
          <w:bCs/>
          <w:sz w:val="28"/>
          <w:lang w:eastAsia="zh-CN"/>
        </w:rPr>
        <w:t>电子公章</w:t>
      </w:r>
      <w:r>
        <w:rPr>
          <w:rFonts w:hint="eastAsia" w:ascii="仿宋" w:hAnsi="仿宋" w:eastAsia="仿宋"/>
          <w:b/>
          <w:bCs/>
          <w:sz w:val="28"/>
          <w:szCs w:val="28"/>
        </w:rPr>
        <w:t>上传到电子投标文件中</w:t>
      </w:r>
      <w:r>
        <w:rPr>
          <w:rFonts w:hint="eastAsia" w:ascii="仿宋" w:hAnsi="仿宋" w:eastAsia="仿宋"/>
          <w:b/>
          <w:bCs/>
          <w:sz w:val="28"/>
        </w:rPr>
        <w:t>）。</w:t>
      </w:r>
    </w:p>
    <w:p w14:paraId="7D3B596E">
      <w:pPr>
        <w:spacing w:line="520" w:lineRule="exact"/>
        <w:ind w:firstLine="560"/>
        <w:rPr>
          <w:rFonts w:hint="eastAsia" w:ascii="仿宋" w:hAnsi="仿宋" w:eastAsia="仿宋"/>
          <w:sz w:val="28"/>
          <w:lang w:val="zh-CN"/>
        </w:rPr>
      </w:pPr>
      <w:r>
        <w:rPr>
          <w:rFonts w:hint="eastAsia" w:ascii="仿宋" w:hAnsi="仿宋" w:eastAsia="仿宋"/>
          <w:sz w:val="28"/>
        </w:rPr>
        <w:t>3.投标人符合《</w:t>
      </w:r>
      <w:r>
        <w:rPr>
          <w:rFonts w:hint="eastAsia" w:ascii="仿宋" w:hAnsi="仿宋" w:eastAsia="仿宋"/>
          <w:sz w:val="28"/>
          <w:lang w:eastAsia="zh-CN"/>
        </w:rPr>
        <w:t>中华人民共和国政府采购法</w:t>
      </w:r>
      <w:r>
        <w:rPr>
          <w:rFonts w:hint="eastAsia" w:ascii="仿宋" w:hAnsi="仿宋" w:eastAsia="仿宋"/>
          <w:sz w:val="28"/>
        </w:rPr>
        <w:t>》第二十二条规定条件的声明函</w:t>
      </w:r>
      <w:r>
        <w:rPr>
          <w:rFonts w:hint="eastAsia" w:ascii="仿宋" w:hAnsi="仿宋" w:eastAsia="仿宋"/>
          <w:b/>
          <w:bCs/>
          <w:sz w:val="28"/>
          <w:lang w:val="zh-CN"/>
        </w:rPr>
        <w:t>（</w:t>
      </w:r>
      <w:r>
        <w:rPr>
          <w:rFonts w:hint="eastAsia" w:ascii="仿宋" w:hAnsi="仿宋" w:eastAsia="仿宋"/>
          <w:b/>
          <w:bCs/>
          <w:sz w:val="28"/>
        </w:rPr>
        <w:t>示范格式三，</w:t>
      </w:r>
      <w:r>
        <w:rPr>
          <w:rFonts w:hint="eastAsia" w:ascii="仿宋" w:hAnsi="仿宋" w:eastAsia="仿宋"/>
          <w:b/>
          <w:bCs/>
          <w:sz w:val="28"/>
          <w:szCs w:val="28"/>
        </w:rPr>
        <w:t>原件</w:t>
      </w:r>
      <w:r>
        <w:rPr>
          <w:rFonts w:hint="eastAsia" w:ascii="仿宋" w:hAnsi="仿宋" w:eastAsia="仿宋"/>
          <w:b/>
          <w:sz w:val="28"/>
          <w:szCs w:val="28"/>
        </w:rPr>
        <w:t>扫描件并加盖</w:t>
      </w:r>
      <w:r>
        <w:rPr>
          <w:rFonts w:hint="eastAsia" w:ascii="仿宋" w:hAnsi="仿宋" w:eastAsia="仿宋"/>
          <w:b/>
          <w:sz w:val="28"/>
        </w:rPr>
        <w:t>投标人</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sz w:val="28"/>
          <w:lang w:val="zh-CN"/>
        </w:rPr>
        <w:t>。</w:t>
      </w:r>
    </w:p>
    <w:p w14:paraId="262A2989">
      <w:pPr>
        <w:spacing w:line="520" w:lineRule="exact"/>
        <w:ind w:firstLine="560"/>
        <w:rPr>
          <w:rFonts w:hint="eastAsia" w:ascii="仿宋" w:hAnsi="仿宋" w:eastAsia="仿宋"/>
          <w:b/>
          <w:bCs/>
          <w:sz w:val="28"/>
          <w:szCs w:val="28"/>
        </w:rPr>
      </w:pPr>
      <w:r>
        <w:rPr>
          <w:rFonts w:hint="eastAsia" w:ascii="仿宋" w:hAnsi="仿宋" w:eastAsia="仿宋"/>
          <w:sz w:val="28"/>
          <w:szCs w:val="28"/>
        </w:rPr>
        <w:t>4.本项目的</w:t>
      </w:r>
      <w:r>
        <w:rPr>
          <w:rFonts w:hint="eastAsia" w:ascii="仿宋" w:hAnsi="仿宋" w:eastAsia="仿宋"/>
          <w:b/>
          <w:bCs/>
          <w:sz w:val="28"/>
          <w:szCs w:val="28"/>
        </w:rPr>
        <w:t>特定资格要求</w:t>
      </w:r>
      <w:r>
        <w:rPr>
          <w:rFonts w:hint="eastAsia" w:ascii="仿宋" w:hAnsi="仿宋" w:eastAsia="仿宋"/>
          <w:b/>
          <w:bCs/>
          <w:sz w:val="28"/>
          <w:szCs w:val="28"/>
          <w:lang w:eastAsia="zh-CN"/>
        </w:rPr>
        <w:t>：</w:t>
      </w:r>
      <w:r>
        <w:rPr>
          <w:rFonts w:hint="eastAsia" w:ascii="仿宋" w:hAnsi="仿宋" w:eastAsia="仿宋"/>
          <w:sz w:val="28"/>
          <w:szCs w:val="28"/>
        </w:rPr>
        <w:t>无。</w:t>
      </w:r>
    </w:p>
    <w:p w14:paraId="76C27BE6">
      <w:pPr>
        <w:spacing w:line="520" w:lineRule="exact"/>
        <w:ind w:firstLine="560"/>
        <w:rPr>
          <w:rFonts w:hint="eastAsia" w:ascii="仿宋" w:hAnsi="仿宋" w:eastAsia="仿宋"/>
          <w:sz w:val="28"/>
          <w:szCs w:val="28"/>
        </w:rPr>
      </w:pPr>
      <w:r>
        <w:rPr>
          <w:rFonts w:hint="eastAsia" w:ascii="仿宋" w:hAnsi="仿宋" w:eastAsia="仿宋" w:cs="宋体"/>
          <w:color w:val="000000"/>
          <w:sz w:val="28"/>
          <w:szCs w:val="28"/>
        </w:rPr>
        <w:t>5.</w:t>
      </w:r>
      <w:r>
        <w:rPr>
          <w:rFonts w:hint="eastAsia" w:ascii="仿宋" w:hAnsi="仿宋" w:eastAsia="仿宋" w:cs="宋体"/>
          <w:b/>
          <w:bCs/>
          <w:color w:val="000000"/>
          <w:sz w:val="28"/>
          <w:szCs w:val="28"/>
        </w:rPr>
        <w:t>拒绝下述</w:t>
      </w:r>
      <w:r>
        <w:rPr>
          <w:rFonts w:hint="eastAsia" w:ascii="仿宋" w:hAnsi="仿宋" w:eastAsia="仿宋" w:cs="宋体"/>
          <w:color w:val="000000"/>
          <w:sz w:val="28"/>
          <w:szCs w:val="28"/>
        </w:rPr>
        <w:t>条件的投标人参加本次采购活动</w:t>
      </w:r>
      <w:r>
        <w:rPr>
          <w:rFonts w:hint="eastAsia" w:ascii="仿宋" w:hAnsi="仿宋" w:eastAsia="仿宋" w:cs="宋体"/>
          <w:b/>
          <w:bCs/>
          <w:color w:val="000000"/>
          <w:sz w:val="28"/>
          <w:szCs w:val="28"/>
        </w:rPr>
        <w:t>（示范格式四，</w:t>
      </w:r>
      <w:r>
        <w:rPr>
          <w:rFonts w:hint="eastAsia" w:ascii="仿宋" w:hAnsi="仿宋" w:eastAsia="仿宋"/>
          <w:b/>
          <w:bCs/>
          <w:sz w:val="28"/>
          <w:szCs w:val="28"/>
        </w:rPr>
        <w:t>原件</w:t>
      </w:r>
      <w:r>
        <w:rPr>
          <w:rFonts w:hint="eastAsia" w:ascii="仿宋" w:hAnsi="仿宋" w:eastAsia="仿宋"/>
          <w:b/>
          <w:sz w:val="28"/>
          <w:szCs w:val="28"/>
        </w:rPr>
        <w:t>扫描件并加盖</w:t>
      </w:r>
      <w:r>
        <w:rPr>
          <w:rFonts w:hint="eastAsia" w:ascii="仿宋" w:hAnsi="仿宋" w:eastAsia="仿宋"/>
          <w:b/>
          <w:sz w:val="28"/>
        </w:rPr>
        <w:t>投标人</w:t>
      </w:r>
      <w:r>
        <w:rPr>
          <w:rFonts w:hint="eastAsia" w:ascii="仿宋" w:hAnsi="仿宋" w:eastAsia="仿宋"/>
          <w:b/>
          <w:sz w:val="28"/>
          <w:lang w:eastAsia="zh-CN"/>
        </w:rPr>
        <w:t>电子公章</w:t>
      </w:r>
      <w:r>
        <w:rPr>
          <w:rFonts w:hint="eastAsia" w:ascii="仿宋" w:hAnsi="仿宋" w:eastAsia="仿宋"/>
          <w:b/>
          <w:sz w:val="28"/>
          <w:szCs w:val="28"/>
        </w:rPr>
        <w:t>上传到电子投标文件中</w:t>
      </w:r>
      <w:r>
        <w:rPr>
          <w:rFonts w:hint="eastAsia" w:ascii="仿宋" w:hAnsi="仿宋" w:eastAsia="仿宋" w:cs="宋体"/>
          <w:b/>
          <w:bCs/>
          <w:color w:val="000000"/>
          <w:sz w:val="28"/>
          <w:szCs w:val="28"/>
        </w:rPr>
        <w:t>）</w:t>
      </w:r>
      <w:r>
        <w:rPr>
          <w:rFonts w:hint="eastAsia" w:ascii="仿宋" w:hAnsi="仿宋" w:eastAsia="仿宋" w:cs="宋体"/>
          <w:b/>
          <w:bCs/>
          <w:color w:val="000000"/>
          <w:sz w:val="28"/>
          <w:szCs w:val="28"/>
          <w:lang w:eastAsia="zh-CN"/>
        </w:rPr>
        <w:t>：</w:t>
      </w:r>
    </w:p>
    <w:p w14:paraId="41F65BF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（1）投标人</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rPr>
        <w:t>投标人</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58222ADB">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rPr>
        <w:t>投标人</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686C7C02">
      <w:pPr>
        <w:spacing w:line="520" w:lineRule="exact"/>
        <w:ind w:firstLine="560"/>
        <w:jc w:val="left"/>
        <w:rPr>
          <w:rFonts w:hint="eastAsia"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312D8DC1">
      <w:pPr>
        <w:spacing w:line="520" w:lineRule="exact"/>
        <w:jc w:val="left"/>
        <w:rPr>
          <w:rFonts w:hint="eastAsia" w:ascii="仿宋" w:hAnsi="仿宋" w:eastAsia="仿宋"/>
          <w:color w:val="000000"/>
          <w:sz w:val="28"/>
          <w:szCs w:val="28"/>
        </w:rPr>
      </w:pPr>
      <w:r>
        <w:rPr>
          <w:rFonts w:hint="eastAsia" w:ascii="仿宋" w:hAnsi="仿宋" w:eastAsia="仿宋"/>
          <w:color w:val="000000"/>
          <w:sz w:val="28"/>
          <w:szCs w:val="28"/>
        </w:rPr>
        <w:br w:type="page" w:clear="all"/>
      </w:r>
      <w:r>
        <w:rPr>
          <w:rFonts w:hint="eastAsia" w:ascii="仿宋" w:hAnsi="仿宋" w:eastAsia="仿宋" w:cs="Arial"/>
          <w:b/>
          <w:bCs/>
          <w:sz w:val="32"/>
        </w:rPr>
        <w:t>八、综合评分时投标人需提供的证明文件</w:t>
      </w:r>
    </w:p>
    <w:p w14:paraId="47C47F11">
      <w:pPr>
        <w:pStyle w:val="226"/>
        <w:spacing w:line="440" w:lineRule="exact"/>
        <w:ind w:left="-359" w:firstLine="560"/>
        <w:jc w:val="center"/>
        <w:rPr>
          <w:rFonts w:hint="eastAsia" w:ascii="仿宋" w:hAnsi="仿宋" w:eastAsia="仿宋"/>
          <w:bCs/>
          <w:sz w:val="28"/>
          <w:szCs w:val="28"/>
        </w:rPr>
      </w:pPr>
      <w:r>
        <w:rPr>
          <w:rFonts w:hint="eastAsia" w:ascii="仿宋" w:hAnsi="仿宋" w:eastAsia="仿宋"/>
          <w:bCs/>
          <w:sz w:val="28"/>
          <w:szCs w:val="28"/>
        </w:rPr>
        <w:t>投标人根据第三章评标标准的要求提供相关材料</w:t>
      </w:r>
    </w:p>
    <w:p w14:paraId="6B969CC0">
      <w:pPr>
        <w:pStyle w:val="226"/>
        <w:spacing w:line="440" w:lineRule="exact"/>
        <w:ind w:left="-359" w:firstLine="562"/>
        <w:rPr>
          <w:rFonts w:hint="eastAsia" w:ascii="仿宋" w:hAnsi="仿宋" w:eastAsia="仿宋"/>
          <w:b/>
          <w:sz w:val="28"/>
          <w:szCs w:val="28"/>
        </w:rPr>
      </w:pPr>
    </w:p>
    <w:p w14:paraId="1492C8D1">
      <w:pPr>
        <w:pStyle w:val="226"/>
        <w:spacing w:line="440" w:lineRule="exact"/>
        <w:ind w:left="-359" w:firstLine="562"/>
        <w:rPr>
          <w:rFonts w:hint="eastAsia" w:ascii="仿宋" w:hAnsi="仿宋" w:eastAsia="仿宋"/>
          <w:b/>
          <w:sz w:val="28"/>
          <w:szCs w:val="28"/>
        </w:rPr>
      </w:pPr>
    </w:p>
    <w:p w14:paraId="6A3CFA1B">
      <w:pPr>
        <w:pStyle w:val="226"/>
        <w:spacing w:line="440" w:lineRule="exact"/>
        <w:ind w:left="-359" w:firstLine="562"/>
        <w:rPr>
          <w:rFonts w:hint="eastAsia" w:ascii="仿宋" w:hAnsi="仿宋" w:eastAsia="仿宋"/>
          <w:b/>
          <w:sz w:val="28"/>
          <w:szCs w:val="28"/>
        </w:rPr>
      </w:pPr>
    </w:p>
    <w:p w14:paraId="0110DE2C">
      <w:pPr>
        <w:pStyle w:val="226"/>
        <w:spacing w:line="440" w:lineRule="exact"/>
        <w:ind w:left="-359" w:firstLine="562"/>
        <w:rPr>
          <w:rFonts w:hint="eastAsia" w:ascii="仿宋" w:hAnsi="仿宋" w:eastAsia="仿宋"/>
          <w:b/>
          <w:sz w:val="28"/>
          <w:szCs w:val="28"/>
        </w:rPr>
      </w:pPr>
    </w:p>
    <w:p w14:paraId="5B354EA3">
      <w:pPr>
        <w:widowControl/>
        <w:spacing w:line="520" w:lineRule="exact"/>
        <w:jc w:val="left"/>
        <w:rPr>
          <w:rFonts w:hint="eastAsia" w:ascii="仿宋" w:hAnsi="仿宋" w:eastAsia="仿宋" w:cs="Arial"/>
          <w:b/>
          <w:bCs/>
          <w:sz w:val="32"/>
        </w:rPr>
      </w:pPr>
      <w:r>
        <w:rPr>
          <w:rFonts w:hint="eastAsia" w:ascii="仿宋" w:hAnsi="仿宋" w:eastAsia="仿宋" w:cs="Arial"/>
          <w:b/>
          <w:bCs/>
          <w:sz w:val="32"/>
        </w:rPr>
        <w:t>九、投标人认为有必要提供并说明的</w:t>
      </w:r>
      <w:r>
        <w:rPr>
          <w:rFonts w:hint="eastAsia" w:ascii="仿宋" w:hAnsi="仿宋" w:eastAsia="仿宋" w:cs="Arial"/>
          <w:b/>
          <w:bCs/>
          <w:sz w:val="32"/>
          <w:lang w:eastAsia="zh-CN"/>
        </w:rPr>
        <w:t>其他</w:t>
      </w:r>
      <w:r>
        <w:rPr>
          <w:rFonts w:hint="eastAsia" w:ascii="仿宋" w:hAnsi="仿宋" w:eastAsia="仿宋" w:cs="Arial"/>
          <w:b/>
          <w:bCs/>
          <w:sz w:val="32"/>
        </w:rPr>
        <w:t>资料</w:t>
      </w:r>
    </w:p>
    <w:p w14:paraId="29014691">
      <w:pPr>
        <w:widowControl/>
        <w:jc w:val="left"/>
        <w:rPr>
          <w:rFonts w:hint="eastAsia" w:ascii="仿宋" w:hAnsi="仿宋" w:eastAsia="仿宋"/>
          <w:sz w:val="28"/>
        </w:rPr>
      </w:pPr>
    </w:p>
    <w:p w14:paraId="0B69CB6B">
      <w:pPr>
        <w:widowControl/>
        <w:jc w:val="left"/>
        <w:rPr>
          <w:rFonts w:hint="eastAsia" w:ascii="仿宋" w:hAnsi="仿宋" w:eastAsia="仿宋"/>
          <w:sz w:val="28"/>
        </w:rPr>
      </w:pPr>
    </w:p>
    <w:p w14:paraId="6E61F589">
      <w:pPr>
        <w:widowControl/>
        <w:jc w:val="left"/>
        <w:rPr>
          <w:rFonts w:hint="eastAsia" w:ascii="仿宋" w:hAnsi="仿宋" w:eastAsia="仿宋" w:cs="Arial"/>
          <w:b/>
          <w:bCs/>
          <w:sz w:val="32"/>
        </w:rPr>
      </w:pPr>
    </w:p>
    <w:p w14:paraId="2B4C3917">
      <w:pPr>
        <w:spacing w:line="440" w:lineRule="exact"/>
        <w:ind w:firstLine="2877"/>
        <w:rPr>
          <w:rFonts w:hint="eastAsia" w:ascii="仿宋" w:hAnsi="仿宋" w:eastAsia="仿宋"/>
          <w:b/>
          <w:sz w:val="32"/>
          <w:szCs w:val="32"/>
        </w:rPr>
      </w:pPr>
      <w:r>
        <w:rPr>
          <w:rFonts w:ascii="仿宋" w:hAnsi="仿宋" w:eastAsia="仿宋"/>
          <w:b/>
          <w:sz w:val="36"/>
        </w:rPr>
        <w:br w:type="page" w:clear="all"/>
      </w:r>
      <w:bookmarkStart w:id="55" w:name="_Toc157775454"/>
      <w:r>
        <w:rPr>
          <w:rFonts w:hint="eastAsia" w:ascii="仿宋" w:hAnsi="仿宋" w:eastAsia="仿宋"/>
          <w:b/>
          <w:sz w:val="32"/>
          <w:szCs w:val="32"/>
        </w:rPr>
        <w:t>十、示范格式</w:t>
      </w:r>
    </w:p>
    <w:p w14:paraId="161870D4">
      <w:pPr>
        <w:spacing w:line="440" w:lineRule="exact"/>
        <w:rPr>
          <w:rFonts w:hint="eastAsia" w:ascii="仿宋" w:hAnsi="仿宋" w:eastAsia="仿宋"/>
          <w:b/>
          <w:sz w:val="32"/>
          <w:szCs w:val="32"/>
          <w:lang w:eastAsia="zh-CN"/>
        </w:rPr>
      </w:pPr>
      <w:r>
        <w:rPr>
          <w:rFonts w:hint="eastAsia" w:ascii="仿宋" w:hAnsi="仿宋" w:eastAsia="仿宋"/>
          <w:b/>
          <w:sz w:val="32"/>
          <w:szCs w:val="32"/>
        </w:rPr>
        <w:t>示范格式一</w:t>
      </w:r>
    </w:p>
    <w:p w14:paraId="4DB358EF">
      <w:pPr>
        <w:spacing w:line="440" w:lineRule="exact"/>
        <w:ind w:firstLine="2570"/>
        <w:rPr>
          <w:rFonts w:hint="eastAsia" w:ascii="仿宋" w:hAnsi="仿宋" w:eastAsia="仿宋" w:cs="Arial"/>
          <w:b/>
          <w:bCs/>
          <w:sz w:val="32"/>
        </w:rPr>
      </w:pPr>
    </w:p>
    <w:p w14:paraId="24E0FC98">
      <w:pPr>
        <w:spacing w:line="440" w:lineRule="exact"/>
        <w:ind w:firstLine="2570"/>
        <w:rPr>
          <w:rFonts w:hint="eastAsia" w:ascii="仿宋" w:hAnsi="仿宋" w:eastAsia="仿宋" w:cs="Arial"/>
          <w:b/>
          <w:bCs/>
          <w:sz w:val="32"/>
        </w:rPr>
      </w:pPr>
    </w:p>
    <w:bookmarkEnd w:id="55"/>
    <w:p w14:paraId="3019AC1F">
      <w:pPr>
        <w:spacing w:line="640" w:lineRule="exact"/>
        <w:ind w:firstLine="2891"/>
        <w:rPr>
          <w:rFonts w:hint="eastAsia" w:ascii="仿宋" w:hAnsi="仿宋" w:eastAsia="仿宋" w:cs="方正楷体_GB2312"/>
          <w:b/>
          <w:bCs/>
          <w:sz w:val="32"/>
          <w:szCs w:val="32"/>
          <w:lang w:val="zh-CN"/>
        </w:rPr>
      </w:pPr>
      <w:r>
        <w:rPr>
          <w:rFonts w:hint="eastAsia" w:ascii="仿宋" w:hAnsi="仿宋" w:eastAsia="仿宋" w:cs="方正楷体_GB2312"/>
          <w:b/>
          <w:bCs/>
          <w:sz w:val="32"/>
          <w:szCs w:val="32"/>
          <w:lang w:val="zh-CN"/>
        </w:rPr>
        <w:t>法定代表人资格证明</w:t>
      </w:r>
    </w:p>
    <w:p w14:paraId="1BFEAE55">
      <w:pPr>
        <w:spacing w:line="64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单位名称：</w:t>
      </w:r>
    </w:p>
    <w:p w14:paraId="13DA9BAE">
      <w:pPr>
        <w:spacing w:line="64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地址：</w:t>
      </w:r>
    </w:p>
    <w:p w14:paraId="47479533">
      <w:pPr>
        <w:spacing w:line="64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姓名：性别：年龄：职务：</w:t>
      </w:r>
    </w:p>
    <w:p w14:paraId="75B1C1A9">
      <w:pPr>
        <w:spacing w:line="640" w:lineRule="exact"/>
        <w:ind w:left="1" w:firstLine="560"/>
        <w:rPr>
          <w:rFonts w:hint="eastAsia" w:ascii="仿宋" w:hAnsi="仿宋" w:eastAsia="仿宋"/>
          <w:color w:val="000000"/>
          <w:sz w:val="28"/>
          <w:szCs w:val="28"/>
          <w:lang w:eastAsia="zh-CN"/>
        </w:rPr>
      </w:pPr>
      <w:r>
        <w:rPr>
          <w:rFonts w:hint="eastAsia" w:ascii="仿宋" w:hAnsi="仿宋" w:eastAsia="仿宋" w:cs="方正楷体_GB2312"/>
          <w:sz w:val="28"/>
          <w:szCs w:val="28"/>
          <w:lang w:val="zh-CN"/>
        </w:rPr>
        <w:t>系</w:t>
      </w:r>
      <w:r>
        <w:rPr>
          <w:rFonts w:hint="eastAsia" w:ascii="仿宋" w:hAnsi="仿宋" w:eastAsia="仿宋" w:cs="方正楷体_GB2312"/>
          <w:sz w:val="28"/>
          <w:szCs w:val="28"/>
          <w:u w:val="single"/>
          <w:lang w:val="zh-CN"/>
        </w:rPr>
        <w:t>（投标人单位名称）</w:t>
      </w:r>
      <w:r>
        <w:rPr>
          <w:rFonts w:hint="eastAsia" w:ascii="仿宋" w:hAnsi="仿宋" w:eastAsia="仿宋" w:cs="方正楷体_GB2312"/>
          <w:sz w:val="28"/>
          <w:szCs w:val="28"/>
          <w:lang w:val="zh-CN"/>
        </w:rPr>
        <w:t>的法定代表人。</w:t>
      </w:r>
      <w:r>
        <w:rPr>
          <w:rFonts w:hint="eastAsia" w:ascii="仿宋" w:hAnsi="仿宋" w:eastAsia="仿宋"/>
          <w:sz w:val="28"/>
        </w:rPr>
        <w:t>为参与</w:t>
      </w:r>
      <w:r>
        <w:rPr>
          <w:rFonts w:hint="eastAsia" w:ascii="仿宋" w:hAnsi="仿宋" w:eastAsia="仿宋"/>
          <w:color w:val="000000"/>
          <w:sz w:val="28"/>
          <w:szCs w:val="28"/>
        </w:rPr>
        <w:t>（项目编号</w:t>
      </w:r>
      <w:r>
        <w:rPr>
          <w:rFonts w:hint="eastAsia" w:ascii="仿宋" w:hAnsi="仿宋" w:eastAsia="仿宋"/>
          <w:color w:val="000000"/>
          <w:sz w:val="28"/>
          <w:szCs w:val="28"/>
          <w:lang w:eastAsia="zh-CN"/>
        </w:rPr>
        <w:t>）</w:t>
      </w:r>
    </w:p>
    <w:p w14:paraId="37D2B0E9">
      <w:pPr>
        <w:spacing w:line="640" w:lineRule="exact"/>
        <w:ind w:left="1"/>
        <w:rPr>
          <w:rFonts w:hint="eastAsia" w:ascii="仿宋" w:hAnsi="仿宋" w:eastAsia="仿宋"/>
          <w:sz w:val="28"/>
        </w:rPr>
      </w:pPr>
      <w:r>
        <w:rPr>
          <w:rFonts w:hint="eastAsia" w:ascii="仿宋" w:hAnsi="仿宋" w:eastAsia="仿宋"/>
          <w:sz w:val="28"/>
        </w:rPr>
        <w:t>项目，签署上述项目的投标文件、进行招标、签署合同和处理与之有关的一切事务。</w:t>
      </w:r>
    </w:p>
    <w:p w14:paraId="22EC1D14">
      <w:pPr>
        <w:spacing w:line="640" w:lineRule="exact"/>
        <w:ind w:firstLine="280"/>
        <w:rPr>
          <w:rFonts w:hint="eastAsia" w:ascii="仿宋" w:hAnsi="仿宋" w:eastAsia="仿宋" w:cs="方正楷体_GB2312"/>
          <w:sz w:val="28"/>
          <w:szCs w:val="28"/>
        </w:rPr>
      </w:pPr>
    </w:p>
    <w:p w14:paraId="515F8EF2">
      <w:pPr>
        <w:spacing w:line="640" w:lineRule="exact"/>
        <w:rPr>
          <w:rFonts w:hint="eastAsia" w:ascii="仿宋" w:hAnsi="仿宋" w:eastAsia="仿宋" w:cs="方正楷体_GB2312"/>
          <w:sz w:val="28"/>
          <w:szCs w:val="28"/>
          <w:lang w:val="zh-CN"/>
        </w:rPr>
      </w:pPr>
    </w:p>
    <w:p w14:paraId="7CD27CB6">
      <w:pPr>
        <w:spacing w:line="640" w:lineRule="exact"/>
        <w:ind w:firstLine="280"/>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特此证明。</w:t>
      </w:r>
    </w:p>
    <w:p w14:paraId="7EF963EE">
      <w:pPr>
        <w:spacing w:line="640" w:lineRule="exact"/>
        <w:jc w:val="center"/>
        <w:rPr>
          <w:rFonts w:hint="eastAsia" w:ascii="仿宋" w:hAnsi="仿宋" w:eastAsia="仿宋" w:cs="方正楷体_GB2312"/>
          <w:sz w:val="28"/>
          <w:szCs w:val="28"/>
          <w:lang w:val="zh-CN"/>
        </w:rPr>
      </w:pPr>
    </w:p>
    <w:p w14:paraId="1F1A568C">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投标人：</w:t>
      </w:r>
      <w:r>
        <w:rPr>
          <w:rFonts w:hint="eastAsia" w:ascii="仿宋" w:hAnsi="仿宋" w:eastAsia="仿宋" w:cs="方正楷体_GB2312"/>
          <w:sz w:val="28"/>
          <w:szCs w:val="28"/>
          <w:u w:val="single"/>
          <w:lang w:val="zh-CN"/>
        </w:rPr>
        <w:t>（电子公章）</w:t>
      </w:r>
    </w:p>
    <w:p w14:paraId="2A4BFFC5">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4C7CA677">
      <w:pPr>
        <w:pStyle w:val="277"/>
        <w:spacing w:before="0" w:after="0" w:line="520" w:lineRule="exact"/>
        <w:ind w:left="4760" w:right="560" w:hanging="1820"/>
        <w:rPr>
          <w:rFonts w:hint="eastAsia" w:ascii="仿宋" w:hAnsi="仿宋" w:eastAsia="仿宋" w:cs="方正楷体_GB2312"/>
          <w:sz w:val="28"/>
          <w:szCs w:val="28"/>
          <w:lang w:val="zh-CN"/>
        </w:rPr>
      </w:pPr>
    </w:p>
    <w:p w14:paraId="2C64BA8A">
      <w:pPr>
        <w:spacing w:line="640" w:lineRule="exact"/>
        <w:jc w:val="center"/>
        <w:rPr>
          <w:rFonts w:hint="eastAsia" w:ascii="仿宋" w:hAnsi="仿宋" w:eastAsia="仿宋" w:cs="方正楷体_GB2312"/>
          <w:sz w:val="28"/>
          <w:szCs w:val="28"/>
          <w:lang w:val="zh-CN"/>
        </w:rPr>
      </w:pPr>
    </w:p>
    <w:p w14:paraId="1ED18F90">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w:t>
      </w:r>
      <w:r>
        <w:rPr>
          <w:rFonts w:hint="eastAsia" w:ascii="仿宋" w:hAnsi="仿宋" w:eastAsia="仿宋"/>
          <w:bCs/>
          <w:sz w:val="28"/>
          <w:lang w:eastAsia="zh-CN"/>
        </w:rPr>
        <w:t>：</w:t>
      </w:r>
      <w:r>
        <w:rPr>
          <w:rFonts w:hint="eastAsia" w:ascii="仿宋" w:hAnsi="仿宋" w:eastAsia="仿宋"/>
          <w:bCs/>
          <w:sz w:val="28"/>
        </w:rPr>
        <w:t>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w:t>
      </w:r>
      <w:r>
        <w:rPr>
          <w:rFonts w:hint="eastAsia" w:ascii="仿宋" w:hAnsi="仿宋" w:eastAsia="仿宋"/>
          <w:bCs/>
          <w:color w:val="000000"/>
          <w:sz w:val="28"/>
          <w:szCs w:val="28"/>
          <w:lang w:eastAsia="zh-CN"/>
        </w:rPr>
        <w:t>电子公章</w:t>
      </w:r>
      <w:r>
        <w:rPr>
          <w:rFonts w:hint="eastAsia" w:ascii="仿宋" w:hAnsi="仿宋" w:eastAsia="仿宋"/>
          <w:bCs/>
          <w:color w:val="000000"/>
          <w:sz w:val="28"/>
          <w:szCs w:val="28"/>
        </w:rPr>
        <w:t>。</w:t>
      </w:r>
      <w:r>
        <w:rPr>
          <w:rFonts w:hint="eastAsia" w:ascii="仿宋" w:hAnsi="仿宋" w:eastAsia="仿宋"/>
          <w:color w:val="000000"/>
          <w:sz w:val="28"/>
          <w:szCs w:val="28"/>
        </w:rPr>
        <w:t>法定代表人授权其他人参加投标的，仅需填写“授权委托书”。</w:t>
      </w:r>
    </w:p>
    <w:p w14:paraId="00460593">
      <w:pPr>
        <w:spacing w:line="640" w:lineRule="exact"/>
        <w:ind w:left="-359" w:firstLine="357"/>
        <w:rPr>
          <w:rFonts w:hint="eastAsia" w:ascii="仿宋" w:hAnsi="仿宋" w:eastAsia="仿宋"/>
          <w:b/>
          <w:sz w:val="32"/>
        </w:rPr>
      </w:pPr>
    </w:p>
    <w:p w14:paraId="35146E8C">
      <w:pPr>
        <w:spacing w:line="640" w:lineRule="exact"/>
        <w:rPr>
          <w:rFonts w:hint="eastAsia" w:ascii="仿宋" w:hAnsi="仿宋" w:eastAsia="仿宋"/>
          <w:b/>
          <w:color w:val="000000"/>
          <w:sz w:val="28"/>
          <w:szCs w:val="28"/>
        </w:rPr>
      </w:pPr>
      <w:r>
        <w:rPr>
          <w:rFonts w:hint="eastAsia" w:ascii="仿宋" w:hAnsi="仿宋" w:eastAsia="仿宋"/>
          <w:b/>
          <w:sz w:val="32"/>
        </w:rPr>
        <w:t>示范格式二</w:t>
      </w:r>
    </w:p>
    <w:p w14:paraId="1DF0B1D1">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543B09E1">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cs="仿宋"/>
          <w:sz w:val="28"/>
          <w:u w:val="single"/>
        </w:rPr>
        <w:t>淮安市洪泽区卫生健康委员会</w:t>
      </w:r>
    </w:p>
    <w:p w14:paraId="7D05F445">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r>
        <w:rPr>
          <w:rFonts w:hint="eastAsia" w:ascii="仿宋" w:hAnsi="仿宋" w:eastAsia="仿宋"/>
          <w:color w:val="000000"/>
          <w:sz w:val="28"/>
          <w:szCs w:val="28"/>
          <w:lang w:eastAsia="zh-CN"/>
        </w:rPr>
        <w:t>：</w:t>
      </w:r>
    </w:p>
    <w:p w14:paraId="205F56DB">
      <w:pPr>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委托方</w:t>
      </w:r>
      <w:r>
        <w:rPr>
          <w:rFonts w:hint="eastAsia" w:ascii="仿宋" w:hAnsi="仿宋" w:eastAsia="仿宋"/>
          <w:color w:val="000000"/>
          <w:sz w:val="28"/>
          <w:szCs w:val="28"/>
          <w:lang w:eastAsia="zh-CN"/>
        </w:rPr>
        <w:t>：</w:t>
      </w: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p>
    <w:p w14:paraId="0525783E">
      <w:pPr>
        <w:spacing w:line="520" w:lineRule="exact"/>
        <w:rPr>
          <w:rFonts w:hint="eastAsia" w:ascii="仿宋" w:hAnsi="仿宋" w:eastAsia="仿宋"/>
          <w:color w:val="000000"/>
          <w:sz w:val="28"/>
          <w:szCs w:val="28"/>
          <w:u w:val="single"/>
          <w:lang w:eastAsia="zh-CN"/>
        </w:rPr>
      </w:pPr>
      <w:r>
        <w:rPr>
          <w:rFonts w:hint="eastAsia" w:ascii="仿宋" w:hAnsi="仿宋" w:eastAsia="仿宋"/>
          <w:color w:val="000000"/>
          <w:sz w:val="28"/>
          <w:szCs w:val="28"/>
        </w:rPr>
        <w:t>法定代表人</w:t>
      </w:r>
      <w:r>
        <w:rPr>
          <w:rFonts w:hint="eastAsia" w:ascii="仿宋" w:hAnsi="仿宋" w:eastAsia="仿宋"/>
          <w:color w:val="000000"/>
          <w:sz w:val="28"/>
          <w:szCs w:val="28"/>
          <w:lang w:eastAsia="zh-CN"/>
        </w:rPr>
        <w:t>：</w:t>
      </w:r>
    </w:p>
    <w:p w14:paraId="438A8EAB">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w:t>
      </w:r>
      <w:r>
        <w:rPr>
          <w:rFonts w:hint="eastAsia" w:ascii="仿宋" w:hAnsi="仿宋" w:eastAsia="仿宋"/>
          <w:color w:val="000000"/>
          <w:sz w:val="28"/>
          <w:szCs w:val="28"/>
          <w:lang w:eastAsia="zh-CN"/>
        </w:rPr>
        <w:t>：</w:t>
      </w:r>
      <w:r>
        <w:rPr>
          <w:rFonts w:hint="eastAsia" w:ascii="仿宋" w:hAnsi="仿宋" w:eastAsia="仿宋"/>
          <w:color w:val="000000"/>
          <w:sz w:val="28"/>
          <w:szCs w:val="28"/>
        </w:rPr>
        <w:t>姓名性别</w:t>
      </w:r>
      <w:r>
        <w:rPr>
          <w:rFonts w:hint="eastAsia" w:ascii="仿宋" w:hAnsi="仿宋" w:eastAsia="仿宋"/>
          <w:color w:val="000000"/>
          <w:sz w:val="28"/>
          <w:szCs w:val="28"/>
          <w:lang w:eastAsia="zh-CN"/>
        </w:rPr>
        <w:t>：</w:t>
      </w:r>
      <w:r>
        <w:rPr>
          <w:rFonts w:hint="eastAsia" w:ascii="仿宋" w:hAnsi="仿宋" w:eastAsia="仿宋"/>
          <w:color w:val="000000"/>
          <w:sz w:val="28"/>
          <w:szCs w:val="28"/>
        </w:rPr>
        <w:t>出生日期</w:t>
      </w:r>
      <w:r>
        <w:rPr>
          <w:rFonts w:hint="eastAsia" w:ascii="仿宋" w:hAnsi="仿宋" w:eastAsia="仿宋"/>
          <w:color w:val="000000"/>
          <w:sz w:val="28"/>
          <w:szCs w:val="28"/>
          <w:lang w:eastAsia="zh-CN"/>
        </w:rPr>
        <w:t>：</w:t>
      </w:r>
      <w:r>
        <w:rPr>
          <w:rFonts w:hint="eastAsia" w:ascii="仿宋" w:hAnsi="仿宋" w:eastAsia="仿宋"/>
          <w:color w:val="000000"/>
          <w:sz w:val="28"/>
          <w:szCs w:val="28"/>
        </w:rPr>
        <w:t>年月日</w:t>
      </w:r>
    </w:p>
    <w:p w14:paraId="5FA03D03">
      <w:pPr>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所在单位</w:t>
      </w:r>
      <w:r>
        <w:rPr>
          <w:rFonts w:hint="eastAsia" w:ascii="仿宋" w:hAnsi="仿宋" w:eastAsia="仿宋"/>
          <w:color w:val="000000"/>
          <w:sz w:val="28"/>
          <w:szCs w:val="28"/>
          <w:lang w:eastAsia="zh-CN"/>
        </w:rPr>
        <w:t>：</w:t>
      </w:r>
      <w:r>
        <w:rPr>
          <w:rFonts w:hint="eastAsia" w:ascii="仿宋" w:hAnsi="仿宋" w:eastAsia="仿宋"/>
          <w:color w:val="000000"/>
          <w:sz w:val="28"/>
          <w:szCs w:val="28"/>
        </w:rPr>
        <w:t>职务</w:t>
      </w:r>
      <w:r>
        <w:rPr>
          <w:rFonts w:hint="eastAsia" w:ascii="仿宋" w:hAnsi="仿宋" w:eastAsia="仿宋"/>
          <w:color w:val="000000"/>
          <w:sz w:val="28"/>
          <w:szCs w:val="28"/>
          <w:lang w:eastAsia="zh-CN"/>
        </w:rPr>
        <w:t>：</w:t>
      </w:r>
    </w:p>
    <w:p w14:paraId="67F4D593">
      <w:pPr>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身份证</w:t>
      </w:r>
      <w:r>
        <w:rPr>
          <w:rFonts w:hint="eastAsia" w:ascii="仿宋" w:hAnsi="仿宋" w:eastAsia="仿宋"/>
          <w:color w:val="000000"/>
          <w:sz w:val="28"/>
          <w:szCs w:val="28"/>
          <w:lang w:eastAsia="zh-CN"/>
        </w:rPr>
        <w:t>：</w:t>
      </w:r>
      <w:r>
        <w:rPr>
          <w:rFonts w:hint="eastAsia" w:ascii="仿宋" w:hAnsi="仿宋" w:eastAsia="仿宋"/>
          <w:color w:val="000000"/>
          <w:sz w:val="28"/>
          <w:szCs w:val="28"/>
        </w:rPr>
        <w:t>联系方式</w:t>
      </w:r>
      <w:r>
        <w:rPr>
          <w:rFonts w:hint="eastAsia" w:ascii="仿宋" w:hAnsi="仿宋" w:eastAsia="仿宋"/>
          <w:color w:val="000000"/>
          <w:sz w:val="28"/>
          <w:szCs w:val="28"/>
          <w:lang w:eastAsia="zh-CN"/>
        </w:rPr>
        <w:t>：</w:t>
      </w:r>
    </w:p>
    <w:p w14:paraId="24A98D6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兹委托受托人代表我公司参加江苏神州项目管理有限公司组织的（项目编号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项目的政府采购活动，受托人有权在该招标活动中，以我单位的名义签署投标函和投标文件，与采购人协商、澄清、解释，签订合同书并执行一切与此有关的事项。</w:t>
      </w:r>
    </w:p>
    <w:p w14:paraId="31033079">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受托人在办理上述事宜过程中以其自己的名义所签署的所有文件我公司均予以承认。受托人无转委托权。</w:t>
      </w:r>
    </w:p>
    <w:p w14:paraId="322705C2">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w:t>
      </w:r>
      <w:r>
        <w:rPr>
          <w:rFonts w:hint="eastAsia" w:ascii="仿宋" w:hAnsi="仿宋" w:eastAsia="仿宋"/>
          <w:color w:val="000000"/>
          <w:sz w:val="28"/>
          <w:szCs w:val="28"/>
          <w:lang w:eastAsia="zh-CN"/>
        </w:rPr>
        <w:t>：</w:t>
      </w:r>
      <w:r>
        <w:rPr>
          <w:rFonts w:hint="eastAsia" w:ascii="仿宋" w:hAnsi="仿宋" w:eastAsia="仿宋"/>
          <w:color w:val="000000"/>
          <w:sz w:val="28"/>
          <w:szCs w:val="28"/>
        </w:rPr>
        <w:t>至上述事宜处理完毕止。</w:t>
      </w:r>
    </w:p>
    <w:p w14:paraId="557FFD94">
      <w:pPr>
        <w:spacing w:line="520" w:lineRule="exact"/>
        <w:ind w:firstLine="600"/>
        <w:rPr>
          <w:rFonts w:hint="eastAsia" w:ascii="仿宋" w:hAnsi="仿宋" w:eastAsia="仿宋"/>
          <w:b/>
          <w:color w:val="000000"/>
          <w:sz w:val="28"/>
          <w:szCs w:val="28"/>
        </w:rPr>
      </w:pPr>
    </w:p>
    <w:p w14:paraId="3A45BF4D">
      <w:pPr>
        <w:spacing w:line="520" w:lineRule="exact"/>
        <w:rPr>
          <w:rFonts w:hint="eastAsia" w:ascii="仿宋" w:hAnsi="仿宋" w:eastAsia="仿宋"/>
          <w:color w:val="000000"/>
          <w:sz w:val="28"/>
          <w:szCs w:val="28"/>
        </w:rPr>
      </w:pPr>
    </w:p>
    <w:p w14:paraId="6A125119">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投标人：</w:t>
      </w:r>
      <w:r>
        <w:rPr>
          <w:rFonts w:hint="eastAsia" w:ascii="仿宋" w:hAnsi="仿宋" w:eastAsia="仿宋" w:cs="方正楷体_GB2312"/>
          <w:sz w:val="28"/>
          <w:szCs w:val="28"/>
          <w:u w:val="single"/>
          <w:lang w:val="zh-CN"/>
        </w:rPr>
        <w:t>（电子公章）</w:t>
      </w:r>
    </w:p>
    <w:p w14:paraId="14544521">
      <w:pPr>
        <w:spacing w:line="520" w:lineRule="exact"/>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60435051">
      <w:pPr>
        <w:spacing w:line="520" w:lineRule="exact"/>
        <w:ind w:left="-359" w:firstLine="548"/>
        <w:rPr>
          <w:rFonts w:hint="eastAsia" w:ascii="仿宋" w:hAnsi="仿宋" w:eastAsia="仿宋"/>
          <w:bCs/>
          <w:sz w:val="28"/>
        </w:rPr>
      </w:pPr>
    </w:p>
    <w:p w14:paraId="601FA557">
      <w:pPr>
        <w:spacing w:line="520" w:lineRule="exact"/>
        <w:ind w:firstLine="560"/>
        <w:rPr>
          <w:rFonts w:hint="eastAsia" w:ascii="仿宋" w:hAnsi="仿宋" w:eastAsia="仿宋"/>
          <w:color w:val="000000"/>
          <w:sz w:val="28"/>
          <w:szCs w:val="28"/>
        </w:rPr>
      </w:pPr>
      <w:r>
        <w:rPr>
          <w:rFonts w:hint="eastAsia" w:ascii="仿宋" w:hAnsi="仿宋" w:eastAsia="仿宋"/>
          <w:bCs/>
          <w:sz w:val="28"/>
        </w:rPr>
        <w:t>注</w:t>
      </w:r>
      <w:r>
        <w:rPr>
          <w:rFonts w:hint="eastAsia" w:ascii="仿宋" w:hAnsi="仿宋" w:eastAsia="仿宋"/>
          <w:bCs/>
          <w:sz w:val="28"/>
          <w:lang w:eastAsia="zh-CN"/>
        </w:rPr>
        <w:t>：</w:t>
      </w:r>
      <w:r>
        <w:rPr>
          <w:rFonts w:hint="eastAsia" w:ascii="仿宋" w:hAnsi="仿宋" w:eastAsia="仿宋"/>
          <w:bCs/>
          <w:sz w:val="28"/>
        </w:rPr>
        <w:t>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w:t>
      </w:r>
      <w:r>
        <w:rPr>
          <w:rFonts w:hint="eastAsia" w:ascii="仿宋" w:hAnsi="仿宋" w:eastAsia="仿宋"/>
          <w:bCs/>
          <w:color w:val="000000"/>
          <w:sz w:val="28"/>
          <w:szCs w:val="28"/>
          <w:lang w:eastAsia="zh-CN"/>
        </w:rPr>
        <w:t>电子公章</w:t>
      </w:r>
      <w:r>
        <w:rPr>
          <w:rFonts w:hint="eastAsia" w:ascii="仿宋" w:hAnsi="仿宋" w:eastAsia="仿宋"/>
          <w:bCs/>
          <w:color w:val="000000"/>
          <w:sz w:val="28"/>
          <w:szCs w:val="28"/>
        </w:rPr>
        <w:t>。</w:t>
      </w:r>
      <w:r>
        <w:rPr>
          <w:rFonts w:hint="eastAsia" w:ascii="仿宋" w:hAnsi="仿宋" w:eastAsia="仿宋"/>
          <w:color w:val="000000"/>
          <w:sz w:val="28"/>
          <w:szCs w:val="28"/>
        </w:rPr>
        <w:t>法定代表人直接参加投标的，仅需填写“法定代表人资格证明”。</w:t>
      </w:r>
    </w:p>
    <w:p w14:paraId="70EB61C8">
      <w:pPr>
        <w:spacing w:line="640" w:lineRule="exact"/>
        <w:ind w:left="-359" w:firstLine="357"/>
        <w:rPr>
          <w:rFonts w:hint="eastAsia" w:ascii="仿宋" w:hAnsi="仿宋" w:eastAsia="仿宋"/>
          <w:b/>
          <w:sz w:val="32"/>
        </w:rPr>
      </w:pPr>
    </w:p>
    <w:p w14:paraId="0ABD6488">
      <w:pPr>
        <w:rPr>
          <w:rFonts w:hint="eastAsia" w:ascii="仿宋" w:hAnsi="仿宋" w:eastAsia="仿宋"/>
          <w:b/>
          <w:sz w:val="32"/>
          <w:szCs w:val="32"/>
        </w:rPr>
      </w:pPr>
    </w:p>
    <w:p w14:paraId="21B2E4DC">
      <w:pPr>
        <w:rPr>
          <w:rFonts w:hint="eastAsia" w:ascii="仿宋" w:hAnsi="仿宋" w:eastAsia="仿宋"/>
          <w:b/>
          <w:sz w:val="32"/>
          <w:szCs w:val="32"/>
        </w:rPr>
      </w:pPr>
      <w:r>
        <w:rPr>
          <w:rFonts w:hint="eastAsia" w:ascii="仿宋" w:hAnsi="仿宋" w:eastAsia="仿宋"/>
          <w:b/>
          <w:sz w:val="32"/>
          <w:szCs w:val="32"/>
        </w:rPr>
        <w:t>示范格式三</w:t>
      </w:r>
    </w:p>
    <w:p w14:paraId="18A30DAD">
      <w:pPr>
        <w:rPr>
          <w:rFonts w:hint="eastAsia" w:ascii="仿宋" w:hAnsi="仿宋" w:eastAsia="仿宋"/>
          <w:b/>
          <w:sz w:val="32"/>
          <w:szCs w:val="32"/>
        </w:rPr>
      </w:pPr>
    </w:p>
    <w:p w14:paraId="59596AA2">
      <w:pPr>
        <w:spacing w:line="520" w:lineRule="exact"/>
        <w:jc w:val="center"/>
        <w:rPr>
          <w:rFonts w:hint="eastAsia" w:ascii="仿宋" w:hAnsi="仿宋" w:eastAsia="仿宋"/>
          <w:b/>
          <w:bCs/>
          <w:sz w:val="32"/>
        </w:rPr>
      </w:pPr>
      <w:r>
        <w:rPr>
          <w:rFonts w:hint="eastAsia" w:ascii="仿宋" w:hAnsi="仿宋" w:eastAsia="仿宋"/>
          <w:b/>
          <w:bCs/>
          <w:sz w:val="32"/>
        </w:rPr>
        <w:t>符合《</w:t>
      </w:r>
      <w:r>
        <w:rPr>
          <w:rFonts w:hint="eastAsia" w:ascii="仿宋" w:hAnsi="仿宋" w:eastAsia="仿宋"/>
          <w:b/>
          <w:bCs/>
          <w:sz w:val="32"/>
          <w:lang w:eastAsia="zh-CN"/>
        </w:rPr>
        <w:t>中华人民共和国政府采购法</w:t>
      </w:r>
      <w:r>
        <w:rPr>
          <w:rFonts w:hint="eastAsia" w:ascii="仿宋" w:hAnsi="仿宋" w:eastAsia="仿宋"/>
          <w:b/>
          <w:bCs/>
          <w:sz w:val="32"/>
        </w:rPr>
        <w:t>》第二十二条规定条件的声明函</w:t>
      </w:r>
    </w:p>
    <w:p w14:paraId="685AAFFE">
      <w:pPr>
        <w:pStyle w:val="193"/>
        <w:spacing w:line="72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cs="仿宋"/>
          <w:sz w:val="28"/>
          <w:u w:val="single"/>
        </w:rPr>
        <w:t>淮安市洪泽区卫生健康委员会</w:t>
      </w:r>
    </w:p>
    <w:p w14:paraId="33C1123A">
      <w:pPr>
        <w:spacing w:line="520" w:lineRule="exact"/>
        <w:ind w:firstLine="560"/>
        <w:rPr>
          <w:rFonts w:hint="eastAsia" w:ascii="仿宋" w:hAnsi="仿宋" w:eastAsia="仿宋"/>
          <w:color w:val="000000"/>
          <w:sz w:val="28"/>
          <w:szCs w:val="28"/>
          <w:u w:val="single"/>
        </w:rPr>
      </w:pPr>
      <w:r>
        <w:rPr>
          <w:rFonts w:hint="eastAsia" w:ascii="仿宋" w:hAnsi="仿宋" w:eastAsia="仿宋"/>
          <w:color w:val="000000"/>
          <w:sz w:val="28"/>
          <w:szCs w:val="28"/>
        </w:rPr>
        <w:t>我公司参加</w:t>
      </w:r>
      <w:r>
        <w:rPr>
          <w:rFonts w:hint="eastAsia" w:ascii="仿宋" w:hAnsi="仿宋" w:eastAsia="仿宋"/>
          <w:sz w:val="28"/>
          <w:szCs w:val="28"/>
        </w:rPr>
        <w:t>贵单位组织实施</w:t>
      </w:r>
      <w:r>
        <w:rPr>
          <w:rFonts w:hint="eastAsia" w:ascii="仿宋" w:hAnsi="仿宋" w:eastAsia="仿宋"/>
          <w:color w:val="000000"/>
          <w:sz w:val="28"/>
          <w:szCs w:val="28"/>
        </w:rPr>
        <w:t>的（项目编号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淮安市洪泽区卫生健康委员会项目的政府采购活动。针对《中华人民共和国政府采购法》第二十二条规定做出如下声明：</w:t>
      </w:r>
    </w:p>
    <w:p w14:paraId="247EE33F">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3D0BACC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1700F130">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31800747">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4584883F">
      <w:pPr>
        <w:spacing w:line="640" w:lineRule="exact"/>
        <w:ind w:firstLine="560"/>
        <w:jc w:val="left"/>
        <w:rPr>
          <w:rFonts w:hint="eastAsia"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p>
    <w:p w14:paraId="7E4FA105">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1D8D0E23">
      <w:pPr>
        <w:spacing w:line="640" w:lineRule="exact"/>
        <w:ind w:firstLine="562"/>
        <w:jc w:val="left"/>
        <w:rPr>
          <w:rFonts w:hint="eastAsia" w:ascii="微软雅黑" w:hAnsi="微软雅黑" w:eastAsia="微软雅黑" w:cs="宋体"/>
          <w:b/>
          <w:bCs/>
          <w:color w:val="383838"/>
          <w:sz w:val="24"/>
        </w:rPr>
      </w:pPr>
      <w:r>
        <w:rPr>
          <w:rFonts w:hint="eastAsia" w:ascii="仿宋" w:hAnsi="仿宋" w:eastAsia="仿宋"/>
          <w:b/>
          <w:bCs/>
          <w:color w:val="000000"/>
          <w:sz w:val="28"/>
          <w:szCs w:val="28"/>
        </w:rPr>
        <w:t>注：投标人在投标文件中仅提供声明函而未提供涉及的证明材料的，须在中标后，另行提供上述声明函替代的证明材料，材料（一正两副）须加盖公章提交采购人或</w:t>
      </w:r>
      <w:r>
        <w:rPr>
          <w:rFonts w:hint="eastAsia" w:ascii="仿宋" w:hAnsi="仿宋" w:eastAsia="仿宋" w:cs="仿宋"/>
          <w:b/>
          <w:bCs/>
          <w:color w:val="000000"/>
          <w:sz w:val="28"/>
          <w:szCs w:val="28"/>
        </w:rPr>
        <w:t>采购</w:t>
      </w:r>
      <w:r>
        <w:rPr>
          <w:rFonts w:hint="eastAsia" w:ascii="仿宋" w:hAnsi="仿宋" w:eastAsia="仿宋"/>
          <w:b/>
          <w:bCs/>
          <w:color w:val="000000"/>
          <w:sz w:val="28"/>
          <w:szCs w:val="28"/>
        </w:rPr>
        <w:t>代理机构核验。经核验无误后，由采购人或采购代理机构发出中标通知书</w:t>
      </w:r>
      <w:r>
        <w:rPr>
          <w:rFonts w:hint="eastAsia" w:ascii="宋体" w:hAnsi="宋体" w:cs="宋体"/>
          <w:b/>
          <w:bCs/>
          <w:color w:val="383838"/>
          <w:sz w:val="24"/>
        </w:rPr>
        <w:t>。</w:t>
      </w:r>
    </w:p>
    <w:p w14:paraId="1B415544">
      <w:pPr>
        <w:spacing w:line="520" w:lineRule="exact"/>
        <w:ind w:firstLine="638"/>
        <w:rPr>
          <w:rFonts w:hint="eastAsia" w:ascii="仿宋" w:hAnsi="仿宋" w:eastAsia="仿宋"/>
          <w:color w:val="000000"/>
          <w:sz w:val="28"/>
          <w:szCs w:val="28"/>
        </w:rPr>
      </w:pPr>
    </w:p>
    <w:p w14:paraId="03AE37D4">
      <w:pPr>
        <w:spacing w:line="520" w:lineRule="exact"/>
        <w:rPr>
          <w:rFonts w:hint="eastAsia" w:ascii="仿宋" w:hAnsi="仿宋" w:eastAsia="仿宋"/>
          <w:color w:val="000000"/>
          <w:sz w:val="28"/>
          <w:szCs w:val="28"/>
          <w:u w:val="single"/>
        </w:rPr>
      </w:pPr>
    </w:p>
    <w:p w14:paraId="5C5CEA48">
      <w:pPr>
        <w:spacing w:line="640" w:lineRule="exact"/>
        <w:ind w:firstLine="4200"/>
        <w:rPr>
          <w:rFonts w:hint="eastAsia" w:ascii="仿宋" w:hAnsi="仿宋" w:eastAsia="仿宋" w:cs="方正楷体_GB2312"/>
          <w:sz w:val="28"/>
          <w:szCs w:val="28"/>
          <w:lang w:val="zh-CN"/>
        </w:rPr>
      </w:pPr>
      <w:r>
        <w:rPr>
          <w:rFonts w:hint="eastAsia" w:ascii="仿宋" w:hAnsi="仿宋" w:eastAsia="仿宋"/>
          <w:color w:val="000000"/>
          <w:sz w:val="28"/>
          <w:szCs w:val="28"/>
        </w:rPr>
        <w:t>承诺人</w:t>
      </w:r>
      <w:r>
        <w:rPr>
          <w:rFonts w:hint="eastAsia" w:ascii="仿宋" w:hAnsi="仿宋" w:eastAsia="仿宋"/>
          <w:color w:val="000000"/>
          <w:sz w:val="28"/>
          <w:szCs w:val="28"/>
          <w:lang w:eastAsia="zh-CN"/>
        </w:rPr>
        <w:t>：</w:t>
      </w:r>
      <w:r>
        <w:rPr>
          <w:rFonts w:hint="eastAsia" w:ascii="仿宋" w:hAnsi="仿宋" w:eastAsia="仿宋" w:cs="方正楷体_GB2312"/>
          <w:sz w:val="28"/>
          <w:szCs w:val="28"/>
          <w:u w:val="single"/>
          <w:lang w:val="zh-CN"/>
        </w:rPr>
        <w:t>（电子公章）</w:t>
      </w:r>
    </w:p>
    <w:p w14:paraId="7FA8C59B">
      <w:pPr>
        <w:spacing w:line="520" w:lineRule="exact"/>
        <w:ind w:firstLine="4480" w:firstLineChars="1600"/>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w:t>
      </w:r>
      <w:r>
        <w:rPr>
          <w:rFonts w:hint="eastAsia" w:ascii="仿宋" w:hAnsi="仿宋" w:eastAsia="仿宋" w:cs="方正楷体_GB2312"/>
          <w:sz w:val="28"/>
          <w:szCs w:val="28"/>
          <w:lang w:val="en-US" w:eastAsia="zh-CN"/>
        </w:rPr>
        <w:t xml:space="preserve">  </w:t>
      </w:r>
      <w:r>
        <w:rPr>
          <w:rFonts w:hint="eastAsia" w:ascii="仿宋" w:hAnsi="仿宋" w:eastAsia="仿宋" w:cs="方正楷体_GB2312"/>
          <w:sz w:val="28"/>
          <w:szCs w:val="28"/>
          <w:lang w:val="zh-CN"/>
        </w:rPr>
        <w:t>年</w:t>
      </w:r>
      <w:r>
        <w:rPr>
          <w:rFonts w:hint="eastAsia" w:ascii="仿宋" w:hAnsi="仿宋" w:eastAsia="仿宋" w:cs="方正楷体_GB2312"/>
          <w:sz w:val="28"/>
          <w:szCs w:val="28"/>
          <w:lang w:val="en-US" w:eastAsia="zh-CN"/>
        </w:rPr>
        <w:t xml:space="preserve"> </w:t>
      </w:r>
      <w:r>
        <w:rPr>
          <w:rFonts w:hint="eastAsia" w:ascii="仿宋" w:hAnsi="仿宋" w:eastAsia="仿宋" w:cs="方正楷体_GB2312"/>
          <w:sz w:val="28"/>
          <w:szCs w:val="28"/>
          <w:lang w:val="zh-CN"/>
        </w:rPr>
        <w:t>月</w:t>
      </w:r>
      <w:r>
        <w:rPr>
          <w:rFonts w:hint="eastAsia" w:ascii="仿宋" w:hAnsi="仿宋" w:eastAsia="仿宋" w:cs="方正楷体_GB2312"/>
          <w:sz w:val="28"/>
          <w:szCs w:val="28"/>
          <w:lang w:val="en-US" w:eastAsia="zh-CN"/>
        </w:rPr>
        <w:t xml:space="preserve"> </w:t>
      </w:r>
      <w:r>
        <w:rPr>
          <w:rFonts w:hint="eastAsia" w:ascii="仿宋" w:hAnsi="仿宋" w:eastAsia="仿宋" w:cs="方正楷体_GB2312"/>
          <w:sz w:val="28"/>
          <w:szCs w:val="28"/>
          <w:lang w:val="zh-CN"/>
        </w:rPr>
        <w:t>日</w:t>
      </w:r>
    </w:p>
    <w:p w14:paraId="5EE182A7">
      <w:pPr>
        <w:spacing w:line="520" w:lineRule="exact"/>
        <w:rPr>
          <w:rFonts w:hint="eastAsia" w:ascii="仿宋" w:hAnsi="仿宋" w:eastAsia="仿宋"/>
          <w:color w:val="000000"/>
          <w:sz w:val="28"/>
          <w:szCs w:val="28"/>
          <w:u w:val="single"/>
        </w:rPr>
      </w:pPr>
    </w:p>
    <w:p w14:paraId="16E82943">
      <w:pPr>
        <w:jc w:val="left"/>
        <w:rPr>
          <w:rFonts w:hint="eastAsia" w:ascii="仿宋" w:hAnsi="仿宋" w:eastAsia="仿宋"/>
          <w:b/>
          <w:sz w:val="32"/>
          <w:szCs w:val="32"/>
          <w:lang w:eastAsia="zh-CN"/>
        </w:rPr>
      </w:pPr>
      <w:r>
        <w:rPr>
          <w:rFonts w:hint="eastAsia" w:ascii="仿宋" w:hAnsi="仿宋" w:eastAsia="仿宋"/>
          <w:b/>
          <w:sz w:val="32"/>
          <w:szCs w:val="32"/>
        </w:rPr>
        <w:t>示范格式四</w:t>
      </w:r>
    </w:p>
    <w:p w14:paraId="610CF6A6">
      <w:pPr>
        <w:ind w:firstLine="3534"/>
        <w:jc w:val="left"/>
        <w:rPr>
          <w:rFonts w:hint="eastAsia" w:ascii="仿宋" w:hAnsi="仿宋" w:eastAsia="仿宋" w:cs="仿宋"/>
          <w:b/>
          <w:sz w:val="32"/>
          <w:szCs w:val="32"/>
        </w:rPr>
      </w:pPr>
      <w:r>
        <w:rPr>
          <w:rFonts w:hint="eastAsia" w:ascii="仿宋" w:hAnsi="仿宋" w:eastAsia="仿宋" w:cs="仿宋"/>
          <w:b/>
          <w:sz w:val="32"/>
          <w:szCs w:val="32"/>
        </w:rPr>
        <w:t>承诺书</w:t>
      </w:r>
    </w:p>
    <w:p w14:paraId="3CC06449">
      <w:pPr>
        <w:jc w:val="center"/>
        <w:rPr>
          <w:rFonts w:hint="eastAsia" w:ascii="仿宋" w:hAnsi="仿宋" w:eastAsia="仿宋" w:cs="仿宋"/>
          <w:b/>
          <w:sz w:val="32"/>
        </w:rPr>
      </w:pPr>
    </w:p>
    <w:p w14:paraId="3FCE48DE">
      <w:pPr>
        <w:spacing w:line="600" w:lineRule="auto"/>
        <w:rPr>
          <w:rFonts w:hint="eastAsia" w:ascii="仿宋" w:hAnsi="仿宋" w:eastAsia="仿宋" w:cs="仿宋"/>
          <w:bCs/>
          <w:sz w:val="28"/>
          <w:szCs w:val="28"/>
        </w:rPr>
      </w:pPr>
      <w:r>
        <w:rPr>
          <w:rFonts w:hint="eastAsia" w:ascii="仿宋" w:hAnsi="仿宋" w:eastAsia="仿宋" w:cs="仿宋"/>
          <w:bCs/>
          <w:sz w:val="28"/>
          <w:szCs w:val="28"/>
        </w:rPr>
        <w:t>致：</w:t>
      </w:r>
      <w:r>
        <w:rPr>
          <w:rFonts w:hint="eastAsia" w:ascii="仿宋" w:hAnsi="仿宋" w:eastAsia="仿宋" w:cs="仿宋"/>
          <w:sz w:val="28"/>
          <w:u w:val="single"/>
        </w:rPr>
        <w:t>淮安市洪泽区卫生健康委员会</w:t>
      </w:r>
    </w:p>
    <w:p w14:paraId="023C8D39">
      <w:pPr>
        <w:spacing w:line="480" w:lineRule="auto"/>
        <w:ind w:firstLine="560"/>
        <w:rPr>
          <w:rFonts w:hint="eastAsia" w:ascii="仿宋" w:hAnsi="仿宋" w:eastAsia="仿宋" w:cs="仿宋"/>
          <w:bCs/>
          <w:sz w:val="28"/>
          <w:szCs w:val="28"/>
        </w:rPr>
      </w:pPr>
      <w:r>
        <w:rPr>
          <w:rFonts w:hint="eastAsia" w:ascii="仿宋" w:hAnsi="仿宋" w:eastAsia="仿宋" w:cs="仿宋"/>
          <w:bCs/>
          <w:sz w:val="28"/>
          <w:szCs w:val="28"/>
        </w:rPr>
        <w:t>我方在</w:t>
      </w:r>
      <w:bookmarkStart w:id="56" w:name="_Hlk198199064"/>
      <w:r>
        <w:rPr>
          <w:rFonts w:hint="eastAsia" w:ascii="仿宋" w:hAnsi="仿宋" w:eastAsia="仿宋"/>
          <w:color w:val="000000"/>
          <w:sz w:val="28"/>
          <w:szCs w:val="28"/>
        </w:rPr>
        <w:t>（项目编号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淮安市洪泽区卫生健康委员会项目</w:t>
      </w:r>
      <w:bookmarkEnd w:id="56"/>
      <w:r>
        <w:rPr>
          <w:rFonts w:hint="eastAsia" w:ascii="仿宋" w:hAnsi="仿宋" w:eastAsia="仿宋" w:cs="仿宋"/>
          <w:bCs/>
          <w:sz w:val="28"/>
          <w:szCs w:val="28"/>
        </w:rPr>
        <w:t>的投标过程中，</w:t>
      </w:r>
      <w:r>
        <w:rPr>
          <w:rFonts w:hint="eastAsia" w:ascii="仿宋" w:hAnsi="仿宋" w:eastAsia="仿宋" w:cs="仿宋"/>
          <w:bCs/>
          <w:sz w:val="28"/>
          <w:szCs w:val="28"/>
          <w:lang w:eastAsia="zh-CN"/>
        </w:rPr>
        <w:t>作出</w:t>
      </w:r>
      <w:r>
        <w:rPr>
          <w:rFonts w:hint="eastAsia" w:ascii="仿宋" w:hAnsi="仿宋" w:eastAsia="仿宋" w:cs="仿宋"/>
          <w:bCs/>
          <w:sz w:val="28"/>
          <w:szCs w:val="28"/>
        </w:rPr>
        <w:t>如下承诺：</w:t>
      </w:r>
    </w:p>
    <w:p w14:paraId="7094F1CB">
      <w:pPr>
        <w:spacing w:line="360" w:lineRule="auto"/>
        <w:ind w:firstLine="560"/>
        <w:rPr>
          <w:rFonts w:hint="eastAsia" w:ascii="仿宋" w:hAnsi="仿宋" w:eastAsia="仿宋" w:cs="仿宋"/>
          <w:bCs/>
          <w:sz w:val="28"/>
          <w:szCs w:val="28"/>
        </w:rPr>
      </w:pPr>
      <w:r>
        <w:rPr>
          <w:rFonts w:hint="eastAsia" w:ascii="仿宋" w:hAnsi="仿宋" w:eastAsia="仿宋" w:cs="仿宋"/>
          <w:bCs/>
          <w:sz w:val="28"/>
          <w:szCs w:val="28"/>
        </w:rPr>
        <w:t>一、我单位负责人与其他参与本项目投标的单位负责人不为同一人、不存在直接控股、管理关系；</w:t>
      </w:r>
    </w:p>
    <w:p w14:paraId="0F2B4303">
      <w:pPr>
        <w:spacing w:line="520" w:lineRule="exact"/>
        <w:ind w:firstLine="560"/>
        <w:jc w:val="left"/>
        <w:rPr>
          <w:rFonts w:hint="eastAsia" w:ascii="仿宋" w:hAnsi="仿宋" w:eastAsia="仿宋" w:cs="仿宋"/>
          <w:bCs/>
          <w:sz w:val="28"/>
          <w:szCs w:val="28"/>
        </w:rPr>
      </w:pPr>
      <w:r>
        <w:rPr>
          <w:rFonts w:hint="eastAsia" w:ascii="仿宋" w:hAnsi="仿宋" w:eastAsia="仿宋" w:cs="仿宋"/>
          <w:bCs/>
          <w:sz w:val="28"/>
          <w:szCs w:val="28"/>
        </w:rPr>
        <w:t>二、我单位没有为本次采购项目提供整体设计、规范编制或者项目管理、监理、检测等服务；</w:t>
      </w:r>
    </w:p>
    <w:p w14:paraId="46B9AE29">
      <w:pPr>
        <w:spacing w:line="520" w:lineRule="exact"/>
        <w:ind w:firstLine="560"/>
        <w:jc w:val="left"/>
        <w:rPr>
          <w:rFonts w:hint="eastAsia" w:ascii="仿宋" w:hAnsi="仿宋" w:eastAsia="仿宋"/>
          <w:color w:val="000000"/>
          <w:sz w:val="28"/>
          <w:szCs w:val="28"/>
        </w:rPr>
      </w:pPr>
      <w:r>
        <w:rPr>
          <w:rFonts w:hint="eastAsia" w:ascii="仿宋" w:hAnsi="仿宋" w:eastAsia="仿宋" w:cs="仿宋"/>
          <w:bCs/>
          <w:sz w:val="28"/>
          <w:szCs w:val="28"/>
        </w:rPr>
        <w:t>三、我单位没有</w:t>
      </w:r>
      <w:r>
        <w:rPr>
          <w:rFonts w:hint="eastAsia" w:ascii="仿宋" w:hAnsi="仿宋" w:eastAsia="仿宋"/>
          <w:color w:val="000000"/>
          <w:sz w:val="28"/>
          <w:szCs w:val="28"/>
        </w:rPr>
        <w:t>被“信用中国”网站、“中国政府采购网”列入失信被执行人、重大税收违法案件当事人名单、政府采购严重违法失信行为记录名单。</w:t>
      </w:r>
    </w:p>
    <w:p w14:paraId="3DCE3649">
      <w:pPr>
        <w:spacing w:line="520" w:lineRule="exact"/>
        <w:ind w:firstLine="560"/>
        <w:jc w:val="left"/>
        <w:rPr>
          <w:rFonts w:hint="eastAsia" w:ascii="仿宋" w:hAnsi="仿宋" w:eastAsia="仿宋"/>
          <w:color w:val="000000"/>
          <w:sz w:val="28"/>
          <w:szCs w:val="28"/>
        </w:rPr>
      </w:pPr>
    </w:p>
    <w:p w14:paraId="0FD2C0B4">
      <w:pPr>
        <w:spacing w:line="480" w:lineRule="auto"/>
        <w:ind w:firstLine="560"/>
        <w:rPr>
          <w:rFonts w:hint="eastAsia" w:ascii="仿宋" w:hAnsi="仿宋" w:eastAsia="仿宋" w:cs="仿宋"/>
          <w:bCs/>
          <w:sz w:val="28"/>
          <w:szCs w:val="28"/>
          <w:lang w:val="zh-CN"/>
        </w:rPr>
      </w:pPr>
      <w:r>
        <w:rPr>
          <w:rFonts w:hint="eastAsia" w:ascii="仿宋" w:hAnsi="仿宋" w:eastAsia="仿宋" w:cs="仿宋"/>
          <w:bCs/>
          <w:sz w:val="28"/>
          <w:szCs w:val="28"/>
          <w:lang w:val="zh-CN"/>
        </w:rPr>
        <w:t>我方保证上述信息的真实和准确，并愿意承担因我方就此弄虚作假所引起的一切法律后果，并自愿接受相关监管部门作出的任何处罚。</w:t>
      </w:r>
    </w:p>
    <w:p w14:paraId="025FCB21">
      <w:pPr>
        <w:spacing w:line="600" w:lineRule="auto"/>
        <w:ind w:firstLine="560"/>
        <w:rPr>
          <w:rFonts w:hint="eastAsia" w:ascii="仿宋" w:hAnsi="仿宋" w:eastAsia="仿宋" w:cs="仿宋"/>
          <w:bCs/>
          <w:sz w:val="28"/>
          <w:szCs w:val="28"/>
          <w:lang w:eastAsia="zh-CN"/>
        </w:rPr>
      </w:pPr>
      <w:r>
        <w:rPr>
          <w:rFonts w:hint="eastAsia" w:ascii="仿宋" w:hAnsi="仿宋" w:eastAsia="仿宋" w:cs="仿宋"/>
          <w:bCs/>
          <w:sz w:val="28"/>
          <w:szCs w:val="28"/>
        </w:rPr>
        <w:t>特此承诺！</w:t>
      </w:r>
    </w:p>
    <w:p w14:paraId="5EE18A50">
      <w:pPr>
        <w:spacing w:line="360" w:lineRule="auto"/>
        <w:ind w:firstLine="560"/>
        <w:rPr>
          <w:rFonts w:hint="eastAsia" w:ascii="仿宋" w:hAnsi="仿宋" w:eastAsia="仿宋" w:cs="仿宋"/>
          <w:sz w:val="28"/>
          <w:szCs w:val="28"/>
          <w:lang w:eastAsia="zh-CN"/>
        </w:rPr>
      </w:pPr>
    </w:p>
    <w:p w14:paraId="4FAE8E7A">
      <w:pPr>
        <w:spacing w:line="360" w:lineRule="auto"/>
        <w:ind w:firstLine="3640"/>
        <w:rPr>
          <w:rFonts w:hint="eastAsia" w:ascii="仿宋" w:hAnsi="仿宋" w:eastAsia="仿宋" w:cs="仿宋"/>
          <w:sz w:val="28"/>
          <w:szCs w:val="28"/>
          <w:u w:val="single"/>
          <w:lang w:eastAsia="zh-CN"/>
        </w:rPr>
      </w:pPr>
      <w:r>
        <w:rPr>
          <w:rFonts w:hint="eastAsia" w:ascii="仿宋" w:hAnsi="仿宋" w:eastAsia="仿宋" w:cs="仿宋"/>
          <w:sz w:val="28"/>
          <w:szCs w:val="28"/>
        </w:rPr>
        <w:t>承诺人：</w:t>
      </w:r>
      <w:r>
        <w:rPr>
          <w:rFonts w:hint="eastAsia" w:ascii="仿宋" w:hAnsi="仿宋" w:eastAsia="仿宋"/>
          <w:sz w:val="24"/>
          <w:szCs w:val="22"/>
          <w:u w:val="single"/>
        </w:rPr>
        <w:t>（</w:t>
      </w:r>
      <w:r>
        <w:rPr>
          <w:rFonts w:hint="eastAsia" w:ascii="仿宋" w:hAnsi="仿宋" w:eastAsia="仿宋"/>
          <w:sz w:val="24"/>
          <w:szCs w:val="22"/>
          <w:u w:val="single"/>
          <w:lang w:eastAsia="zh-CN"/>
        </w:rPr>
        <w:t>电子公章</w:t>
      </w:r>
      <w:r>
        <w:rPr>
          <w:rFonts w:hint="eastAsia" w:ascii="仿宋" w:hAnsi="仿宋" w:eastAsia="仿宋"/>
          <w:sz w:val="24"/>
          <w:szCs w:val="22"/>
          <w:u w:val="single"/>
        </w:rPr>
        <w:t>）</w:t>
      </w:r>
    </w:p>
    <w:p w14:paraId="07571EE4">
      <w:pPr>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p>
    <w:p w14:paraId="20936EE4">
      <w:pPr>
        <w:spacing w:line="360" w:lineRule="auto"/>
        <w:rPr>
          <w:rFonts w:hint="eastAsia" w:ascii="仿宋" w:hAnsi="仿宋" w:eastAsia="仿宋"/>
          <w:b/>
          <w:sz w:val="32"/>
          <w:szCs w:val="32"/>
        </w:rPr>
      </w:pPr>
      <w:r>
        <w:rPr>
          <w:rFonts w:hint="eastAsia" w:ascii="仿宋" w:hAnsi="仿宋" w:eastAsia="仿宋" w:cs="仿宋"/>
          <w:sz w:val="28"/>
          <w:szCs w:val="28"/>
        </w:rPr>
        <w:br w:type="page" w:clear="all"/>
      </w:r>
      <w:r>
        <w:rPr>
          <w:rFonts w:hint="eastAsia" w:ascii="仿宋" w:hAnsi="仿宋" w:eastAsia="仿宋"/>
          <w:b/>
          <w:sz w:val="32"/>
          <w:szCs w:val="32"/>
        </w:rPr>
        <w:t>示范格式五</w:t>
      </w:r>
      <w:bookmarkStart w:id="57" w:name="_Hlk219737684"/>
    </w:p>
    <w:p w14:paraId="38E7F493">
      <w:pPr>
        <w:spacing w:line="360" w:lineRule="auto"/>
        <w:ind w:firstLine="2570" w:firstLineChars="800"/>
        <w:rPr>
          <w:rFonts w:hint="eastAsia" w:ascii="仿宋" w:hAnsi="仿宋" w:eastAsia="仿宋"/>
          <w:b/>
          <w:bCs/>
          <w:sz w:val="32"/>
          <w:szCs w:val="32"/>
        </w:rPr>
      </w:pPr>
      <w:r>
        <w:rPr>
          <w:rFonts w:hint="eastAsia" w:ascii="仿宋" w:hAnsi="仿宋" w:eastAsia="仿宋"/>
          <w:b/>
          <w:bCs/>
          <w:sz w:val="32"/>
          <w:szCs w:val="32"/>
        </w:rPr>
        <w:t>中小企业声明函（服务类）</w:t>
      </w:r>
    </w:p>
    <w:p w14:paraId="679C8553">
      <w:pPr>
        <w:pStyle w:val="193"/>
        <w:spacing w:line="360" w:lineRule="auto"/>
        <w:ind w:firstLine="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cs="仿宋"/>
          <w:sz w:val="28"/>
          <w:szCs w:val="28"/>
          <w:u w:val="single"/>
        </w:rPr>
        <w:t>淮安市洪泽区卫生健康委员会</w:t>
      </w:r>
    </w:p>
    <w:p w14:paraId="614DC39F">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本公司（联合体）郑重声明，根据《政府采购促进中小企业发展管理办法》（财库〔2020〕46号）的规定，本公司（联合体）参加</w:t>
      </w:r>
      <w:r>
        <w:rPr>
          <w:rFonts w:hint="eastAsia" w:ascii="仿宋" w:hAnsi="仿宋" w:eastAsia="仿宋" w:cs="宋体"/>
          <w:b w:val="0"/>
          <w:sz w:val="28"/>
          <w:szCs w:val="28"/>
          <w:u w:val="single"/>
        </w:rPr>
        <w:t>单位名称</w:t>
      </w:r>
      <w:r>
        <w:rPr>
          <w:rFonts w:hint="eastAsia" w:ascii="仿宋" w:hAnsi="仿宋" w:eastAsia="仿宋" w:cs="宋体"/>
          <w:b w:val="0"/>
          <w:sz w:val="28"/>
          <w:szCs w:val="28"/>
        </w:rPr>
        <w:t>的（</w:t>
      </w:r>
      <w:r>
        <w:rPr>
          <w:rFonts w:hint="eastAsia" w:ascii="仿宋" w:hAnsi="仿宋" w:eastAsia="仿宋" w:cs="宋体"/>
          <w:b w:val="0"/>
          <w:sz w:val="28"/>
          <w:szCs w:val="28"/>
          <w:u w:val="single"/>
        </w:rPr>
        <w:t>项目名称）</w:t>
      </w:r>
      <w:r>
        <w:rPr>
          <w:rFonts w:hint="eastAsia" w:ascii="仿宋" w:hAnsi="仿宋" w:eastAsia="仿宋" w:cs="宋体"/>
          <w:b w:val="0"/>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074E40F8">
      <w:pPr>
        <w:pStyle w:val="310"/>
        <w:spacing w:line="360" w:lineRule="auto"/>
        <w:ind w:firstLine="560"/>
        <w:jc w:val="both"/>
        <w:rPr>
          <w:rFonts w:hint="eastAsia" w:ascii="仿宋" w:hAnsi="仿宋" w:eastAsia="仿宋" w:cs="宋体"/>
          <w:b w:val="0"/>
          <w:sz w:val="28"/>
          <w:szCs w:val="28"/>
          <w:u w:val="single"/>
        </w:rPr>
      </w:pPr>
      <w:r>
        <w:rPr>
          <w:rFonts w:hint="eastAsia" w:ascii="仿宋" w:hAnsi="仿宋" w:eastAsia="仿宋" w:cs="宋体"/>
          <w:b w:val="0"/>
          <w:sz w:val="28"/>
          <w:szCs w:val="28"/>
        </w:rPr>
        <w:t>1.</w:t>
      </w:r>
      <w:r>
        <w:rPr>
          <w:rFonts w:hint="eastAsia" w:ascii="仿宋" w:hAnsi="仿宋" w:eastAsia="仿宋" w:cs="宋体"/>
          <w:b w:val="0"/>
          <w:sz w:val="28"/>
          <w:szCs w:val="28"/>
          <w:u w:val="single"/>
        </w:rPr>
        <w:t>标的名称</w:t>
      </w:r>
      <w:r>
        <w:rPr>
          <w:rFonts w:hint="eastAsia" w:ascii="仿宋" w:hAnsi="仿宋" w:eastAsia="仿宋" w:cs="宋体"/>
          <w:b w:val="0"/>
          <w:sz w:val="28"/>
          <w:szCs w:val="28"/>
        </w:rPr>
        <w:t>，属于（</w:t>
      </w:r>
      <w:r>
        <w:rPr>
          <w:rFonts w:hint="eastAsia" w:ascii="仿宋" w:hAnsi="仿宋" w:eastAsia="仿宋" w:cs="宋体"/>
          <w:bCs/>
          <w:i/>
          <w:sz w:val="28"/>
          <w:szCs w:val="28"/>
          <w:u w:val="single"/>
        </w:rPr>
        <w:t>其他未列明行业</w:t>
      </w:r>
      <w:r>
        <w:rPr>
          <w:rFonts w:hint="eastAsia" w:ascii="仿宋" w:hAnsi="仿宋" w:eastAsia="仿宋" w:cs="宋体"/>
          <w:b w:val="0"/>
          <w:i/>
          <w:sz w:val="28"/>
          <w:szCs w:val="28"/>
          <w:u w:val="single"/>
        </w:rPr>
        <w:t>）</w:t>
      </w:r>
      <w:r>
        <w:rPr>
          <w:rFonts w:hint="eastAsia" w:ascii="仿宋" w:hAnsi="仿宋" w:eastAsia="仿宋" w:cs="宋体"/>
          <w:b w:val="0"/>
          <w:sz w:val="28"/>
          <w:szCs w:val="28"/>
          <w:u w:val="single"/>
        </w:rPr>
        <w:t>行业</w:t>
      </w:r>
      <w:r>
        <w:rPr>
          <w:rFonts w:hint="eastAsia" w:ascii="仿宋" w:hAnsi="仿宋" w:eastAsia="仿宋" w:cs="宋体"/>
          <w:b w:val="0"/>
          <w:sz w:val="28"/>
          <w:szCs w:val="28"/>
        </w:rPr>
        <w:t>；承建（承接）企业为</w:t>
      </w:r>
      <w:r>
        <w:rPr>
          <w:rFonts w:hint="eastAsia" w:ascii="仿宋" w:hAnsi="仿宋" w:eastAsia="仿宋" w:cs="宋体"/>
          <w:b w:val="0"/>
          <w:sz w:val="28"/>
          <w:szCs w:val="28"/>
          <w:u w:val="single"/>
        </w:rPr>
        <w:t>（企业名称）</w:t>
      </w:r>
      <w:r>
        <w:rPr>
          <w:rFonts w:hint="eastAsia" w:ascii="仿宋" w:hAnsi="仿宋" w:eastAsia="仿宋" w:cs="宋体"/>
          <w:b w:val="0"/>
          <w:sz w:val="28"/>
          <w:szCs w:val="28"/>
        </w:rPr>
        <w:t>，从业人员人，营业收入为万元，资产总额为万元</w:t>
      </w:r>
      <w:r>
        <w:rPr>
          <w:rFonts w:hint="eastAsia" w:ascii="仿宋" w:hAnsi="仿宋" w:eastAsia="仿宋" w:cs="宋体"/>
          <w:b w:val="0"/>
          <w:sz w:val="28"/>
          <w:szCs w:val="28"/>
          <w:vertAlign w:val="superscript"/>
        </w:rPr>
        <w:t>1</w:t>
      </w:r>
      <w:r>
        <w:rPr>
          <w:rFonts w:hint="eastAsia" w:ascii="仿宋" w:hAnsi="仿宋" w:eastAsia="仿宋" w:cs="宋体"/>
          <w:b w:val="0"/>
          <w:sz w:val="28"/>
          <w:szCs w:val="28"/>
        </w:rPr>
        <w:t>，属于</w:t>
      </w:r>
      <w:r>
        <w:rPr>
          <w:rFonts w:hint="eastAsia" w:ascii="仿宋" w:hAnsi="仿宋" w:eastAsia="仿宋" w:cs="宋体"/>
          <w:b w:val="0"/>
          <w:sz w:val="28"/>
          <w:szCs w:val="28"/>
          <w:u w:val="single"/>
        </w:rPr>
        <w:t>（中型企业、小型企业、微型企业）；</w:t>
      </w:r>
    </w:p>
    <w:p w14:paraId="037D76A8">
      <w:pPr>
        <w:pStyle w:val="310"/>
        <w:spacing w:line="360" w:lineRule="auto"/>
        <w:ind w:firstLine="560"/>
        <w:jc w:val="both"/>
        <w:rPr>
          <w:rFonts w:hint="eastAsia" w:ascii="仿宋" w:hAnsi="仿宋" w:eastAsia="仿宋" w:cs="宋体"/>
          <w:b w:val="0"/>
          <w:sz w:val="28"/>
          <w:szCs w:val="28"/>
          <w:u w:val="single"/>
        </w:rPr>
      </w:pPr>
      <w:r>
        <w:rPr>
          <w:rFonts w:hint="eastAsia" w:ascii="仿宋" w:hAnsi="仿宋" w:eastAsia="仿宋" w:cs="宋体"/>
          <w:b w:val="0"/>
          <w:sz w:val="28"/>
          <w:szCs w:val="28"/>
        </w:rPr>
        <w:t>2.</w:t>
      </w:r>
      <w:r>
        <w:rPr>
          <w:rFonts w:hint="eastAsia" w:ascii="仿宋" w:hAnsi="仿宋" w:eastAsia="仿宋" w:cs="宋体"/>
          <w:b w:val="0"/>
          <w:sz w:val="28"/>
          <w:szCs w:val="28"/>
          <w:u w:val="single"/>
        </w:rPr>
        <w:t>标的名称</w:t>
      </w:r>
      <w:r>
        <w:rPr>
          <w:rFonts w:hint="eastAsia" w:ascii="仿宋" w:hAnsi="仿宋" w:eastAsia="仿宋" w:cs="宋体"/>
          <w:b w:val="0"/>
          <w:sz w:val="28"/>
          <w:szCs w:val="28"/>
        </w:rPr>
        <w:t>，属于（</w:t>
      </w:r>
      <w:r>
        <w:rPr>
          <w:rFonts w:hint="eastAsia" w:ascii="仿宋" w:hAnsi="仿宋" w:eastAsia="仿宋" w:cs="宋体"/>
          <w:bCs/>
          <w:i/>
          <w:sz w:val="28"/>
          <w:szCs w:val="28"/>
          <w:u w:val="single"/>
        </w:rPr>
        <w:t>其他未列明行业</w:t>
      </w:r>
      <w:r>
        <w:rPr>
          <w:rFonts w:hint="eastAsia" w:ascii="仿宋" w:hAnsi="仿宋" w:eastAsia="仿宋" w:cs="宋体"/>
          <w:b w:val="0"/>
          <w:i/>
          <w:sz w:val="28"/>
          <w:szCs w:val="28"/>
          <w:u w:val="single"/>
        </w:rPr>
        <w:t>）</w:t>
      </w:r>
      <w:r>
        <w:rPr>
          <w:rFonts w:hint="eastAsia" w:ascii="仿宋" w:hAnsi="仿宋" w:eastAsia="仿宋" w:cs="宋体"/>
          <w:b w:val="0"/>
          <w:sz w:val="28"/>
          <w:szCs w:val="28"/>
          <w:u w:val="single"/>
        </w:rPr>
        <w:t>行业</w:t>
      </w:r>
      <w:r>
        <w:rPr>
          <w:rFonts w:hint="eastAsia" w:ascii="仿宋" w:hAnsi="仿宋" w:eastAsia="仿宋" w:cs="宋体"/>
          <w:b w:val="0"/>
          <w:sz w:val="28"/>
          <w:szCs w:val="28"/>
        </w:rPr>
        <w:t>；承建（承接）企业为</w:t>
      </w:r>
      <w:r>
        <w:rPr>
          <w:rFonts w:hint="eastAsia" w:ascii="仿宋" w:hAnsi="仿宋" w:eastAsia="仿宋" w:cs="宋体"/>
          <w:b w:val="0"/>
          <w:sz w:val="28"/>
          <w:szCs w:val="28"/>
          <w:u w:val="single"/>
        </w:rPr>
        <w:t>（企业名称）</w:t>
      </w:r>
      <w:r>
        <w:rPr>
          <w:rFonts w:hint="eastAsia" w:ascii="仿宋" w:hAnsi="仿宋" w:eastAsia="仿宋" w:cs="宋体"/>
          <w:b w:val="0"/>
          <w:sz w:val="28"/>
          <w:szCs w:val="28"/>
        </w:rPr>
        <w:t>，从业人员人，营业收入为万元，资产总额为万元，属于</w:t>
      </w:r>
      <w:r>
        <w:rPr>
          <w:rFonts w:hint="eastAsia" w:ascii="仿宋" w:hAnsi="仿宋" w:eastAsia="仿宋" w:cs="宋体"/>
          <w:b w:val="0"/>
          <w:sz w:val="28"/>
          <w:szCs w:val="28"/>
          <w:u w:val="single"/>
        </w:rPr>
        <w:t>（中型企业、小型企业、微型企业）；</w:t>
      </w:r>
    </w:p>
    <w:p w14:paraId="77D2507B">
      <w:pPr>
        <w:pStyle w:val="310"/>
        <w:spacing w:line="360" w:lineRule="auto"/>
        <w:ind w:firstLine="560"/>
        <w:jc w:val="both"/>
        <w:rPr>
          <w:rFonts w:hint="eastAsia" w:ascii="仿宋" w:hAnsi="仿宋" w:eastAsia="仿宋" w:cs="宋体"/>
          <w:b w:val="0"/>
          <w:sz w:val="28"/>
          <w:szCs w:val="28"/>
        </w:rPr>
      </w:pPr>
      <w:r>
        <w:rPr>
          <w:rFonts w:hint="eastAsia" w:ascii="仿宋" w:hAnsi="仿宋" w:eastAsia="仿宋" w:cs="宋体"/>
          <w:b w:val="0"/>
          <w:sz w:val="28"/>
          <w:szCs w:val="28"/>
        </w:rPr>
        <w:t>……</w:t>
      </w:r>
    </w:p>
    <w:p w14:paraId="18044FF7">
      <w:pPr>
        <w:shd w:val="clear" w:color="auto" w:fill="FFFFFF"/>
        <w:spacing w:line="360" w:lineRule="auto"/>
        <w:ind w:firstLine="480"/>
        <w:rPr>
          <w:rFonts w:hint="eastAsia" w:ascii="仿宋" w:hAnsi="仿宋" w:eastAsia="仿宋" w:cs="Arial"/>
          <w:sz w:val="28"/>
          <w:szCs w:val="28"/>
        </w:rPr>
      </w:pPr>
      <w:r>
        <w:rPr>
          <w:rFonts w:hint="eastAsia" w:ascii="仿宋" w:hAnsi="仿宋" w:eastAsia="仿宋" w:cs="Arial"/>
          <w:sz w:val="28"/>
          <w:szCs w:val="28"/>
        </w:rPr>
        <w:t>以上企业，不属于大企业的分支机构，不存在控股股东为大企业的情形，也不存在与大企业的负责人为同一人的情形。</w:t>
      </w:r>
    </w:p>
    <w:p w14:paraId="042E7DF4">
      <w:pPr>
        <w:shd w:val="clear" w:color="auto" w:fill="FFFFFF"/>
        <w:spacing w:line="360" w:lineRule="auto"/>
        <w:ind w:firstLine="480"/>
        <w:rPr>
          <w:rFonts w:hint="eastAsia" w:ascii="仿宋" w:hAnsi="仿宋" w:eastAsia="仿宋" w:cs="Arial"/>
          <w:sz w:val="28"/>
          <w:szCs w:val="28"/>
        </w:rPr>
      </w:pPr>
      <w:r>
        <w:rPr>
          <w:rFonts w:hint="eastAsia" w:ascii="仿宋" w:hAnsi="仿宋" w:eastAsia="仿宋" w:cs="Arial"/>
          <w:sz w:val="28"/>
          <w:szCs w:val="28"/>
        </w:rPr>
        <w:t>本企业对上述声明内容的真实性负责。如有虚假，将依法承担相应责任。</w:t>
      </w:r>
    </w:p>
    <w:bookmarkEnd w:id="57"/>
    <w:p w14:paraId="7168693E">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投标人：</w:t>
      </w:r>
      <w:r>
        <w:rPr>
          <w:rFonts w:hint="eastAsia" w:ascii="仿宋" w:hAnsi="仿宋" w:eastAsia="仿宋" w:cs="方正楷体_GB2312"/>
          <w:sz w:val="28"/>
          <w:szCs w:val="28"/>
          <w:u w:val="single"/>
          <w:lang w:val="zh-CN"/>
        </w:rPr>
        <w:t>（电子公章）</w:t>
      </w:r>
    </w:p>
    <w:p w14:paraId="089DF8DB">
      <w:pPr>
        <w:spacing w:line="640" w:lineRule="exact"/>
        <w:jc w:val="center"/>
        <w:rPr>
          <w:rFonts w:hint="eastAsia" w:ascii="仿宋" w:hAnsi="仿宋" w:eastAsia="仿宋" w:cs="方正楷体_GB2312"/>
          <w:sz w:val="28"/>
          <w:szCs w:val="28"/>
          <w:lang w:val="zh-CN"/>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或电子签字）</w:t>
      </w:r>
    </w:p>
    <w:p w14:paraId="1868E101">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10364169">
      <w:pPr>
        <w:pStyle w:val="193"/>
        <w:spacing w:line="240" w:lineRule="auto"/>
        <w:ind w:firstLine="0"/>
        <w:rPr>
          <w:rFonts w:hint="eastAsia" w:ascii="仿宋" w:hAnsi="仿宋" w:eastAsia="仿宋"/>
          <w:bCs/>
          <w:color w:val="000000"/>
          <w:sz w:val="28"/>
          <w:szCs w:val="28"/>
        </w:rPr>
      </w:pPr>
      <w:r>
        <w:rPr>
          <w:rFonts w:hint="eastAsia" w:ascii="仿宋" w:hAnsi="仿宋" w:eastAsia="仿宋"/>
          <w:bCs/>
          <w:color w:val="000000"/>
          <w:sz w:val="28"/>
          <w:szCs w:val="28"/>
        </w:rPr>
        <w:t>注：从业人员、营业收入、资产总额填报上一年度数据，无上一年度数据的新成立企业可不填报。</w:t>
      </w:r>
    </w:p>
    <w:p w14:paraId="1FDAF272">
      <w:pPr>
        <w:pStyle w:val="193"/>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示范格式六</w:t>
      </w:r>
    </w:p>
    <w:p w14:paraId="451E6980">
      <w:pPr>
        <w:widowControl/>
        <w:spacing w:line="640" w:lineRule="exact"/>
        <w:jc w:val="center"/>
        <w:rPr>
          <w:rFonts w:hint="eastAsia" w:ascii="仿宋" w:hAnsi="仿宋" w:eastAsia="仿宋" w:cs="宋体"/>
          <w:sz w:val="24"/>
        </w:rPr>
      </w:pPr>
      <w:r>
        <w:rPr>
          <w:rFonts w:hint="eastAsia" w:ascii="仿宋" w:hAnsi="仿宋" w:eastAsia="仿宋" w:cs="宋体"/>
          <w:b/>
          <w:bCs/>
          <w:color w:val="000000"/>
          <w:sz w:val="32"/>
          <w:szCs w:val="32"/>
        </w:rPr>
        <w:t>残疾人福利性单位声明函</w:t>
      </w:r>
    </w:p>
    <w:p w14:paraId="68E9361F">
      <w:pPr>
        <w:pStyle w:val="193"/>
        <w:spacing w:line="60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cs="仿宋"/>
          <w:sz w:val="28"/>
          <w:szCs w:val="28"/>
          <w:u w:val="single"/>
        </w:rPr>
        <w:t>淮安市洪泽区卫生健康委员会</w:t>
      </w:r>
    </w:p>
    <w:p w14:paraId="481D9389">
      <w:pPr>
        <w:pStyle w:val="19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bCs/>
          <w:color w:val="000000"/>
          <w:sz w:val="28"/>
          <w:szCs w:val="28"/>
          <w:lang w:eastAsia="zh-CN"/>
        </w:rPr>
        <w:t>：</w:t>
      </w:r>
    </w:p>
    <w:p w14:paraId="75CC9F2F">
      <w:pPr>
        <w:pStyle w:val="19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lang w:eastAsia="zh-CN"/>
        </w:rPr>
        <w:t>1.</w:t>
      </w:r>
      <w:r>
        <w:rPr>
          <w:rFonts w:hint="eastAsia" w:ascii="仿宋" w:hAnsi="仿宋" w:eastAsia="仿宋"/>
          <w:bCs/>
          <w:color w:val="000000"/>
          <w:sz w:val="28"/>
          <w:szCs w:val="28"/>
        </w:rPr>
        <w:t>根据《财政部民政部中国残疾人联合会关于促进残疾人就业政府采购政策的通知》（财库〔2017〕141号）规定的划分标准，本公司为残疾人福利性企业。</w:t>
      </w:r>
    </w:p>
    <w:p w14:paraId="3D111518">
      <w:pPr>
        <w:pStyle w:val="193"/>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lang w:eastAsia="zh-CN"/>
        </w:rPr>
        <w:t>2.</w:t>
      </w:r>
      <w:r>
        <w:rPr>
          <w:rFonts w:hint="eastAsia" w:ascii="仿宋" w:hAnsi="仿宋" w:eastAsia="仿宋"/>
          <w:bCs/>
          <w:color w:val="000000"/>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14:paraId="7317F129">
      <w:pPr>
        <w:pStyle w:val="193"/>
        <w:spacing w:line="640" w:lineRule="exact"/>
        <w:ind w:firstLine="560"/>
        <w:rPr>
          <w:rFonts w:hint="eastAsia" w:ascii="仿宋" w:hAnsi="仿宋" w:eastAsia="仿宋"/>
          <w:bCs/>
          <w:color w:val="000000"/>
          <w:sz w:val="28"/>
          <w:szCs w:val="28"/>
        </w:rPr>
      </w:pPr>
      <w:r>
        <w:rPr>
          <w:rFonts w:hint="eastAsia" w:ascii="仿宋" w:hAnsi="仿宋" w:eastAsia="仿宋" w:cs="方正仿宋_GB2312"/>
          <w:sz w:val="28"/>
          <w:szCs w:val="28"/>
        </w:rPr>
        <w:t>注</w:t>
      </w:r>
      <w:r>
        <w:rPr>
          <w:rFonts w:hint="eastAsia" w:ascii="仿宋" w:hAnsi="仿宋" w:eastAsia="仿宋" w:cs="方正仿宋_GB2312"/>
          <w:sz w:val="28"/>
          <w:szCs w:val="28"/>
          <w:lang w:eastAsia="zh-CN"/>
        </w:rPr>
        <w:t>：</w:t>
      </w:r>
      <w:r>
        <w:rPr>
          <w:rFonts w:hint="eastAsia" w:ascii="仿宋" w:hAnsi="仿宋" w:eastAsia="仿宋"/>
          <w:bCs/>
          <w:color w:val="000000"/>
          <w:sz w:val="28"/>
          <w:szCs w:val="28"/>
        </w:rPr>
        <w:t>本公司对上述声明的真实性负责。如有虚假，将依法承担相应责任。</w:t>
      </w:r>
    </w:p>
    <w:p w14:paraId="4E60A67E">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投标人：</w:t>
      </w:r>
      <w:r>
        <w:rPr>
          <w:rFonts w:hint="eastAsia" w:ascii="仿宋" w:hAnsi="仿宋" w:eastAsia="仿宋" w:cs="方正楷体_GB2312"/>
          <w:sz w:val="28"/>
          <w:szCs w:val="28"/>
          <w:u w:val="single"/>
          <w:lang w:val="zh-CN"/>
        </w:rPr>
        <w:t>（电子公章）</w:t>
      </w:r>
    </w:p>
    <w:p w14:paraId="30E7817C">
      <w:pPr>
        <w:spacing w:line="640" w:lineRule="exact"/>
        <w:jc w:val="center"/>
        <w:rPr>
          <w:rFonts w:hint="eastAsia" w:ascii="仿宋" w:hAnsi="仿宋" w:eastAsia="仿宋" w:cs="方正楷体_GB2312"/>
          <w:sz w:val="28"/>
          <w:szCs w:val="28"/>
          <w:lang w:val="zh-CN"/>
        </w:rPr>
      </w:pPr>
      <w:r>
        <w:rPr>
          <w:rFonts w:hint="eastAsia" w:ascii="仿宋" w:hAnsi="仿宋" w:eastAsia="仿宋"/>
          <w:sz w:val="28"/>
          <w:szCs w:val="28"/>
        </w:rPr>
        <w:t>法定代表人</w:t>
      </w:r>
      <w:r>
        <w:rPr>
          <w:rFonts w:hint="eastAsia" w:ascii="仿宋" w:hAnsi="仿宋" w:eastAsia="仿宋"/>
          <w:sz w:val="28"/>
          <w:szCs w:val="28"/>
          <w:lang w:eastAsia="zh-CN"/>
        </w:rPr>
        <w:t>：</w:t>
      </w:r>
      <w:r>
        <w:rPr>
          <w:rFonts w:hint="eastAsia" w:ascii="仿宋" w:hAnsi="仿宋" w:eastAsia="仿宋"/>
          <w:sz w:val="28"/>
          <w:szCs w:val="28"/>
          <w:u w:val="single"/>
        </w:rPr>
        <w:t>（</w:t>
      </w:r>
      <w:r>
        <w:rPr>
          <w:rFonts w:hint="eastAsia" w:ascii="仿宋" w:hAnsi="仿宋" w:eastAsia="仿宋"/>
          <w:sz w:val="28"/>
          <w:szCs w:val="28"/>
          <w:u w:val="single"/>
          <w:lang w:eastAsia="zh-CN"/>
        </w:rPr>
        <w:t>电子公章</w:t>
      </w:r>
      <w:r>
        <w:rPr>
          <w:rFonts w:hint="eastAsia" w:ascii="仿宋" w:hAnsi="仿宋" w:eastAsia="仿宋"/>
          <w:sz w:val="28"/>
          <w:szCs w:val="28"/>
          <w:u w:val="single"/>
        </w:rPr>
        <w:t>或电子签字）</w:t>
      </w:r>
    </w:p>
    <w:p w14:paraId="4BEB2B67">
      <w:pPr>
        <w:spacing w:line="640" w:lineRule="exact"/>
        <w:jc w:val="center"/>
        <w:rPr>
          <w:rFonts w:hint="eastAsia" w:ascii="仿宋" w:hAnsi="仿宋" w:eastAsia="仿宋" w:cs="方正楷体_GB2312"/>
          <w:sz w:val="28"/>
          <w:szCs w:val="28"/>
          <w:lang w:val="zh-CN"/>
        </w:rPr>
      </w:pPr>
      <w:r>
        <w:rPr>
          <w:rFonts w:hint="eastAsia" w:ascii="仿宋" w:hAnsi="仿宋" w:eastAsia="仿宋" w:cs="方正楷体_GB2312"/>
          <w:sz w:val="28"/>
          <w:szCs w:val="28"/>
          <w:lang w:val="zh-CN"/>
        </w:rPr>
        <w:t>日期：年月日</w:t>
      </w:r>
    </w:p>
    <w:p w14:paraId="3A501E95">
      <w:pPr>
        <w:spacing w:line="640" w:lineRule="exact"/>
        <w:rPr>
          <w:rFonts w:hint="eastAsia" w:ascii="仿宋" w:hAnsi="仿宋" w:eastAsia="仿宋"/>
          <w:sz w:val="28"/>
          <w:szCs w:val="28"/>
        </w:rPr>
      </w:pPr>
      <w:r>
        <w:rPr>
          <w:rFonts w:hint="eastAsia" w:ascii="仿宋" w:hAnsi="仿宋" w:eastAsia="仿宋" w:cs="方正仿宋_GB2312"/>
          <w:sz w:val="28"/>
          <w:szCs w:val="28"/>
        </w:rPr>
        <w:t>注</w:t>
      </w:r>
      <w:r>
        <w:rPr>
          <w:rFonts w:hint="eastAsia" w:ascii="仿宋" w:hAnsi="仿宋" w:eastAsia="仿宋" w:cs="方正仿宋_GB2312"/>
          <w:sz w:val="28"/>
          <w:szCs w:val="28"/>
          <w:lang w:eastAsia="zh-CN"/>
        </w:rPr>
        <w:t>：</w:t>
      </w:r>
      <w:r>
        <w:rPr>
          <w:rFonts w:hint="eastAsia" w:ascii="仿宋" w:hAnsi="仿宋" w:eastAsia="仿宋"/>
          <w:sz w:val="28"/>
          <w:szCs w:val="28"/>
        </w:rPr>
        <w:t>非</w:t>
      </w:r>
      <w:r>
        <w:rPr>
          <w:rFonts w:hint="eastAsia" w:ascii="仿宋" w:hAnsi="仿宋" w:eastAsia="仿宋"/>
          <w:color w:val="000000"/>
          <w:sz w:val="28"/>
          <w:szCs w:val="28"/>
        </w:rPr>
        <w:t>残疾人福利性单位不</w:t>
      </w:r>
      <w:r>
        <w:rPr>
          <w:rFonts w:hint="eastAsia" w:ascii="仿宋" w:hAnsi="仿宋" w:eastAsia="仿宋"/>
          <w:sz w:val="28"/>
          <w:szCs w:val="28"/>
        </w:rPr>
        <w:t>需提供此函。</w:t>
      </w:r>
    </w:p>
    <w:p w14:paraId="0F9ED1B1">
      <w:pPr>
        <w:pStyle w:val="193"/>
        <w:spacing w:line="520" w:lineRule="exact"/>
        <w:ind w:firstLine="0"/>
        <w:jc w:val="left"/>
        <w:rPr>
          <w:rFonts w:hint="eastAsia" w:ascii="仿宋" w:hAnsi="仿宋" w:eastAsia="仿宋"/>
          <w:b/>
          <w:sz w:val="32"/>
          <w:szCs w:val="32"/>
        </w:rPr>
      </w:pPr>
    </w:p>
    <w:p w14:paraId="04D27757">
      <w:pPr>
        <w:pStyle w:val="193"/>
        <w:spacing w:line="520" w:lineRule="exact"/>
        <w:ind w:firstLine="0"/>
        <w:jc w:val="left"/>
        <w:rPr>
          <w:rFonts w:hint="eastAsia" w:ascii="仿宋" w:hAnsi="仿宋" w:eastAsia="仿宋"/>
          <w:b/>
          <w:sz w:val="32"/>
          <w:szCs w:val="32"/>
        </w:rPr>
      </w:pPr>
    </w:p>
    <w:p w14:paraId="26F3964D">
      <w:pPr>
        <w:pStyle w:val="193"/>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示范格式七</w:t>
      </w:r>
    </w:p>
    <w:p w14:paraId="317DA479">
      <w:pPr>
        <w:widowControl/>
        <w:spacing w:line="640" w:lineRule="exact"/>
        <w:jc w:val="center"/>
        <w:rPr>
          <w:rFonts w:hint="eastAsia" w:ascii="仿宋" w:hAnsi="仿宋" w:eastAsia="仿宋" w:cs="宋体"/>
          <w:b/>
          <w:bCs/>
          <w:color w:val="000000"/>
          <w:sz w:val="32"/>
          <w:szCs w:val="32"/>
        </w:rPr>
      </w:pPr>
      <w:r>
        <w:rPr>
          <w:rFonts w:hint="eastAsia" w:ascii="仿宋" w:hAnsi="仿宋" w:eastAsia="仿宋" w:cs="宋体"/>
          <w:b/>
          <w:bCs/>
          <w:color w:val="000000"/>
          <w:sz w:val="32"/>
          <w:szCs w:val="32"/>
        </w:rPr>
        <w:t>关于符合本国产品标准的声明函</w:t>
      </w:r>
    </w:p>
    <w:p w14:paraId="7F8DBB7B">
      <w:pPr>
        <w:pStyle w:val="193"/>
        <w:spacing w:line="60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w:t>
      </w:r>
      <w:r>
        <w:rPr>
          <w:rFonts w:hint="eastAsia" w:ascii="仿宋" w:hAnsi="仿宋" w:eastAsia="仿宋" w:cs="仿宋"/>
          <w:sz w:val="28"/>
          <w:szCs w:val="28"/>
          <w:u w:val="single"/>
        </w:rPr>
        <w:t>淮安市洪泽区卫生健康委员会</w:t>
      </w:r>
    </w:p>
    <w:p w14:paraId="2D98081F">
      <w:pPr>
        <w:pStyle w:val="230"/>
        <w:spacing w:before="0" w:beforeAutospacing="0" w:after="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rPr>
        <w:t>本公司（单位）郑重声明，根据《国务院办公厅关于在政府采购中实施本国产品标准及相关政策的通知》（国办发〔2025〕34号）的规定，本公司（单位）提供的以下产品属于本国产品。具体情况如下：</w:t>
      </w:r>
    </w:p>
    <w:p w14:paraId="4B278BE4">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1.</w:t>
      </w:r>
      <w:r>
        <w:rPr>
          <w:rStyle w:val="239"/>
          <w:rFonts w:ascii="仿宋" w:hAnsi="仿宋" w:eastAsia="仿宋" w:cs="方正魏碑_GBK"/>
          <w:sz w:val="28"/>
          <w:szCs w:val="28"/>
          <w:u w:val="single"/>
          <w:shd w:val="clear" w:color="auto" w:fill="FFFFFF"/>
        </w:rPr>
        <w:t>（产品名称1）</w:t>
      </w:r>
      <w:r>
        <w:rPr>
          <w:rStyle w:val="239"/>
          <w:rFonts w:ascii="仿宋" w:hAnsi="仿宋" w:eastAsia="仿宋" w:cs="方正魏碑_GBK"/>
          <w:sz w:val="28"/>
          <w:szCs w:val="28"/>
          <w:shd w:val="clear" w:color="auto" w:fill="FFFFFF"/>
          <w:vertAlign w:val="superscript"/>
        </w:rPr>
        <w:t>1</w:t>
      </w:r>
      <w:r>
        <w:rPr>
          <w:rFonts w:ascii="仿宋" w:hAnsi="仿宋" w:eastAsia="仿宋" w:cs="方正魏碑_GBK"/>
          <w:sz w:val="28"/>
          <w:szCs w:val="28"/>
          <w:shd w:val="clear" w:color="auto" w:fill="FFFFFF"/>
        </w:rPr>
        <w:t>，生产厂为</w:t>
      </w:r>
      <w:r>
        <w:rPr>
          <w:rStyle w:val="239"/>
          <w:rFonts w:ascii="仿宋" w:hAnsi="仿宋" w:eastAsia="仿宋" w:cs="方正魏碑_GBK"/>
          <w:sz w:val="28"/>
          <w:szCs w:val="28"/>
          <w:u w:val="single"/>
          <w:shd w:val="clear" w:color="auto" w:fill="FFFFFF"/>
        </w:rPr>
        <w:t>（厂名）</w:t>
      </w:r>
      <w:r>
        <w:rPr>
          <w:rStyle w:val="239"/>
          <w:rFonts w:ascii="仿宋" w:hAnsi="仿宋" w:eastAsia="仿宋" w:cs="方正魏碑_GBK"/>
          <w:sz w:val="28"/>
          <w:szCs w:val="28"/>
          <w:shd w:val="clear" w:color="auto" w:fill="FFFFFF"/>
          <w:vertAlign w:val="superscript"/>
        </w:rPr>
        <w:t>2</w:t>
      </w:r>
      <w:r>
        <w:rPr>
          <w:rFonts w:ascii="仿宋" w:hAnsi="仿宋" w:eastAsia="仿宋" w:cs="方正魏碑_GBK"/>
          <w:sz w:val="28"/>
          <w:szCs w:val="28"/>
          <w:shd w:val="clear" w:color="auto" w:fill="FFFFFF"/>
        </w:rPr>
        <w:t>，厂址为</w:t>
      </w:r>
      <w:r>
        <w:rPr>
          <w:rStyle w:val="239"/>
          <w:rFonts w:ascii="仿宋" w:hAnsi="仿宋" w:eastAsia="仿宋" w:cs="方正魏碑_GBK"/>
          <w:sz w:val="28"/>
          <w:szCs w:val="28"/>
          <w:u w:val="single"/>
          <w:shd w:val="clear" w:color="auto" w:fill="FFFFFF"/>
        </w:rPr>
        <w:t>（生产厂址）</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的中国境内生产的组件成本占比≥</w:t>
      </w:r>
      <w:r>
        <w:rPr>
          <w:rStyle w:val="239"/>
          <w:rFonts w:ascii="仿宋" w:hAnsi="仿宋" w:eastAsia="仿宋" w:cs="方正魏碑_GBK"/>
          <w:sz w:val="28"/>
          <w:szCs w:val="28"/>
          <w:u w:val="single"/>
          <w:shd w:val="clear" w:color="auto" w:fill="FFFFFF"/>
        </w:rPr>
        <w:t>（规定比例）</w:t>
      </w:r>
      <w:r>
        <w:rPr>
          <w:rStyle w:val="239"/>
          <w:rFonts w:ascii="仿宋" w:hAnsi="仿宋" w:eastAsia="仿宋" w:cs="方正魏碑_GBK"/>
          <w:sz w:val="28"/>
          <w:szCs w:val="28"/>
          <w:shd w:val="clear" w:color="auto" w:fill="FFFFFF"/>
          <w:vertAlign w:val="superscript"/>
        </w:rPr>
        <w:t>3</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（关键组件）</w:t>
      </w:r>
      <w:r>
        <w:rPr>
          <w:rStyle w:val="239"/>
          <w:rFonts w:ascii="仿宋" w:hAnsi="仿宋" w:eastAsia="仿宋" w:cs="方正魏碑_GBK"/>
          <w:sz w:val="28"/>
          <w:szCs w:val="28"/>
          <w:shd w:val="clear" w:color="auto" w:fill="FFFFFF"/>
          <w:vertAlign w:val="superscript"/>
        </w:rPr>
        <w:t>4</w:t>
      </w:r>
      <w:r>
        <w:rPr>
          <w:rFonts w:ascii="仿宋" w:hAnsi="仿宋" w:eastAsia="仿宋" w:cs="方正魏碑_GBK"/>
          <w:sz w:val="28"/>
          <w:szCs w:val="28"/>
          <w:shd w:val="clear" w:color="auto" w:fill="FFFFFF"/>
        </w:rPr>
        <w:t>在中国境内生产。</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（关键工序）</w:t>
      </w:r>
      <w:r>
        <w:rPr>
          <w:rStyle w:val="239"/>
          <w:rFonts w:ascii="仿宋" w:hAnsi="仿宋" w:eastAsia="仿宋" w:cs="方正魏碑_GBK"/>
          <w:sz w:val="28"/>
          <w:szCs w:val="28"/>
          <w:shd w:val="clear" w:color="auto" w:fill="FFFFFF"/>
          <w:vertAlign w:val="superscript"/>
        </w:rPr>
        <w:t>5</w:t>
      </w:r>
      <w:r>
        <w:rPr>
          <w:rFonts w:ascii="仿宋" w:hAnsi="仿宋" w:eastAsia="仿宋" w:cs="方正魏碑_GBK"/>
          <w:sz w:val="28"/>
          <w:szCs w:val="28"/>
          <w:shd w:val="clear" w:color="auto" w:fill="FFFFFF"/>
        </w:rPr>
        <w:t>在中国境内完成。</w:t>
      </w:r>
    </w:p>
    <w:p w14:paraId="2CF68600">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2.</w:t>
      </w:r>
      <w:r>
        <w:rPr>
          <w:rStyle w:val="239"/>
          <w:rFonts w:ascii="仿宋" w:hAnsi="仿宋" w:eastAsia="仿宋" w:cs="方正魏碑_GBK"/>
          <w:sz w:val="28"/>
          <w:szCs w:val="28"/>
          <w:u w:val="single"/>
          <w:shd w:val="clear" w:color="auto" w:fill="FFFFFF"/>
        </w:rPr>
        <w:t>（产品名称2）</w:t>
      </w:r>
      <w:r>
        <w:rPr>
          <w:rFonts w:ascii="仿宋" w:hAnsi="仿宋" w:eastAsia="仿宋" w:cs="方正魏碑_GBK"/>
          <w:sz w:val="28"/>
          <w:szCs w:val="28"/>
          <w:shd w:val="clear" w:color="auto" w:fill="FFFFFF"/>
        </w:rPr>
        <w:t>，生产厂为</w:t>
      </w:r>
      <w:r>
        <w:rPr>
          <w:rStyle w:val="239"/>
          <w:rFonts w:ascii="仿宋" w:hAnsi="仿宋" w:eastAsia="仿宋" w:cs="方正魏碑_GBK"/>
          <w:sz w:val="28"/>
          <w:szCs w:val="28"/>
          <w:u w:val="single"/>
          <w:shd w:val="clear" w:color="auto" w:fill="FFFFFF"/>
        </w:rPr>
        <w:t>（厂名）</w:t>
      </w:r>
      <w:r>
        <w:rPr>
          <w:rFonts w:ascii="仿宋" w:hAnsi="仿宋" w:eastAsia="仿宋" w:cs="方正魏碑_GBK"/>
          <w:sz w:val="28"/>
          <w:szCs w:val="28"/>
          <w:shd w:val="clear" w:color="auto" w:fill="FFFFFF"/>
        </w:rPr>
        <w:t>，厂址为</w:t>
      </w:r>
      <w:r>
        <w:rPr>
          <w:rStyle w:val="239"/>
          <w:rFonts w:ascii="仿宋" w:hAnsi="仿宋" w:eastAsia="仿宋" w:cs="方正魏碑_GBK"/>
          <w:sz w:val="28"/>
          <w:szCs w:val="28"/>
          <w:u w:val="single"/>
          <w:shd w:val="clear" w:color="auto" w:fill="FFFFFF"/>
        </w:rPr>
        <w:t>（生产厂址）</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（产品名称2）</w:t>
      </w:r>
      <w:r>
        <w:rPr>
          <w:rFonts w:ascii="仿宋" w:hAnsi="仿宋" w:eastAsia="仿宋" w:cs="方正魏碑_GBK"/>
          <w:sz w:val="28"/>
          <w:szCs w:val="28"/>
          <w:shd w:val="clear" w:color="auto" w:fill="FFFFFF"/>
        </w:rPr>
        <w:t>的中国境内生产的组件成本占比≥</w:t>
      </w:r>
      <w:r>
        <w:rPr>
          <w:rStyle w:val="239"/>
          <w:rFonts w:ascii="仿宋" w:hAnsi="仿宋" w:eastAsia="仿宋" w:cs="方正魏碑_GBK"/>
          <w:sz w:val="28"/>
          <w:szCs w:val="28"/>
          <w:u w:val="single"/>
          <w:shd w:val="clear" w:color="auto" w:fill="FFFFFF"/>
        </w:rPr>
        <w:t>（规定比例）</w:t>
      </w:r>
      <w:r>
        <w:rPr>
          <w:rFonts w:ascii="仿宋" w:hAnsi="仿宋" w:eastAsia="仿宋" w:cs="方正魏碑_GBK"/>
          <w:sz w:val="28"/>
          <w:szCs w:val="28"/>
          <w:shd w:val="clear" w:color="auto" w:fill="FFFFFF"/>
        </w:rPr>
        <w:t>。</w:t>
      </w:r>
      <w:r>
        <w:rPr>
          <w:rStyle w:val="239"/>
          <w:rFonts w:ascii="仿宋" w:hAnsi="仿宋" w:eastAsia="仿宋" w:cs="方正魏碑_GBK"/>
          <w:sz w:val="28"/>
          <w:szCs w:val="28"/>
          <w:u w:val="single"/>
          <w:shd w:val="clear" w:color="auto" w:fill="FFFFFF"/>
        </w:rPr>
        <w:t>（产品名称2）</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（关键组件）</w:t>
      </w:r>
      <w:r>
        <w:rPr>
          <w:rFonts w:ascii="仿宋" w:hAnsi="仿宋" w:eastAsia="仿宋" w:cs="方正魏碑_GBK"/>
          <w:sz w:val="28"/>
          <w:szCs w:val="28"/>
          <w:shd w:val="clear" w:color="auto" w:fill="FFFFFF"/>
        </w:rPr>
        <w:t>在中国境内生产。</w:t>
      </w:r>
      <w:r>
        <w:rPr>
          <w:rStyle w:val="239"/>
          <w:rFonts w:ascii="仿宋" w:hAnsi="仿宋" w:eastAsia="仿宋" w:cs="方正魏碑_GBK"/>
          <w:sz w:val="28"/>
          <w:szCs w:val="28"/>
          <w:u w:val="single"/>
          <w:shd w:val="clear" w:color="auto" w:fill="FFFFFF"/>
        </w:rPr>
        <w:t>（产品名称1）</w:t>
      </w:r>
      <w:r>
        <w:rPr>
          <w:rFonts w:ascii="仿宋" w:hAnsi="仿宋" w:eastAsia="仿宋" w:cs="方正魏碑_GBK"/>
          <w:sz w:val="28"/>
          <w:szCs w:val="28"/>
          <w:shd w:val="clear" w:color="auto" w:fill="FFFFFF"/>
        </w:rPr>
        <w:t>的</w:t>
      </w:r>
      <w:r>
        <w:rPr>
          <w:rStyle w:val="239"/>
          <w:rFonts w:ascii="仿宋" w:hAnsi="仿宋" w:eastAsia="仿宋" w:cs="方正魏碑_GBK"/>
          <w:sz w:val="28"/>
          <w:szCs w:val="28"/>
          <w:u w:val="single"/>
          <w:shd w:val="clear" w:color="auto" w:fill="FFFFFF"/>
        </w:rPr>
        <w:t>（关键工序）</w:t>
      </w:r>
      <w:r>
        <w:rPr>
          <w:rFonts w:ascii="仿宋" w:hAnsi="仿宋" w:eastAsia="仿宋" w:cs="方正魏碑_GBK"/>
          <w:sz w:val="28"/>
          <w:szCs w:val="28"/>
          <w:shd w:val="clear" w:color="auto" w:fill="FFFFFF"/>
        </w:rPr>
        <w:t>在中国境内完成。</w:t>
      </w:r>
    </w:p>
    <w:p w14:paraId="7341BFB6">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w:t>
      </w:r>
    </w:p>
    <w:p w14:paraId="49D946C0">
      <w:pPr>
        <w:pStyle w:val="230"/>
        <w:spacing w:before="30" w:beforeAutospacing="0" w:after="30" w:afterAutospacing="0" w:line="360" w:lineRule="auto"/>
        <w:ind w:firstLine="420"/>
        <w:rPr>
          <w:rFonts w:hint="eastAsia" w:ascii="仿宋" w:hAnsi="仿宋" w:eastAsia="仿宋" w:cs="方正魏碑_GBK"/>
          <w:sz w:val="28"/>
          <w:szCs w:val="28"/>
        </w:rPr>
      </w:pPr>
      <w:r>
        <w:rPr>
          <w:rFonts w:ascii="仿宋" w:hAnsi="仿宋" w:eastAsia="仿宋" w:cs="方正魏碑_GBK"/>
          <w:sz w:val="28"/>
          <w:szCs w:val="28"/>
          <w:shd w:val="clear" w:color="auto" w:fill="FFFFFF"/>
        </w:rPr>
        <w:t>本公司（单位）对上述声明内容的真实性负责。如有虚假，愿承担相应法律责任。</w:t>
      </w:r>
    </w:p>
    <w:p w14:paraId="69CE8DE7">
      <w:pPr>
        <w:pStyle w:val="230"/>
        <w:spacing w:before="30" w:beforeAutospacing="0" w:after="30" w:afterAutospacing="0" w:line="360" w:lineRule="auto"/>
        <w:ind w:right="480" w:firstLine="2240" w:firstLineChars="800"/>
        <w:rPr>
          <w:rFonts w:hint="eastAsia" w:ascii="仿宋" w:hAnsi="仿宋" w:eastAsia="仿宋" w:cs="方正魏碑_GBK"/>
          <w:sz w:val="28"/>
          <w:szCs w:val="28"/>
          <w:lang w:eastAsia="zh-CN"/>
        </w:rPr>
      </w:pPr>
      <w:r>
        <w:rPr>
          <w:rFonts w:ascii="仿宋" w:hAnsi="仿宋" w:eastAsia="仿宋" w:cs="方正魏碑_GBK"/>
          <w:sz w:val="28"/>
          <w:szCs w:val="28"/>
          <w:shd w:val="clear" w:color="auto" w:fill="FFFFFF"/>
        </w:rPr>
        <w:t>公司（单位）名称（</w:t>
      </w:r>
      <w:r>
        <w:rPr>
          <w:rFonts w:ascii="仿宋" w:hAnsi="仿宋" w:eastAsia="仿宋" w:cs="Arial"/>
          <w:sz w:val="28"/>
          <w:szCs w:val="28"/>
        </w:rPr>
        <w:t>加盖CA电子公章</w:t>
      </w:r>
      <w:r>
        <w:rPr>
          <w:rFonts w:ascii="仿宋" w:hAnsi="仿宋" w:eastAsia="仿宋" w:cs="方正魏碑_GBK"/>
          <w:sz w:val="28"/>
          <w:szCs w:val="28"/>
          <w:shd w:val="clear" w:color="auto" w:fill="FFFFFF"/>
        </w:rPr>
        <w:t>）：</w:t>
      </w:r>
    </w:p>
    <w:p w14:paraId="4A05F7AC">
      <w:pPr>
        <w:pStyle w:val="230"/>
        <w:spacing w:before="30" w:beforeAutospacing="0" w:after="30" w:afterAutospacing="0" w:line="360" w:lineRule="auto"/>
        <w:jc w:val="center"/>
        <w:rPr>
          <w:rFonts w:hint="eastAsia" w:ascii="仿宋" w:hAnsi="仿宋" w:eastAsia="仿宋" w:cs="方正魏碑_GBK"/>
          <w:sz w:val="28"/>
          <w:szCs w:val="28"/>
        </w:rPr>
      </w:pPr>
      <w:r>
        <w:rPr>
          <w:rFonts w:ascii="仿宋" w:hAnsi="仿宋" w:eastAsia="仿宋" w:cs="方正魏碑_GBK"/>
          <w:sz w:val="28"/>
          <w:szCs w:val="28"/>
          <w:shd w:val="clear" w:color="auto" w:fill="FFFFFF"/>
        </w:rPr>
        <w:t>日期：</w:t>
      </w:r>
      <w:r>
        <w:rPr>
          <w:rFonts w:ascii="仿宋" w:hAnsi="仿宋" w:eastAsia="仿宋"/>
          <w:sz w:val="28"/>
          <w:szCs w:val="28"/>
          <w:shd w:val="clear" w:color="auto" w:fill="FFFFFF"/>
        </w:rPr>
        <w:t>年月日</w:t>
      </w:r>
    </w:p>
    <w:p w14:paraId="387D5F57">
      <w:pPr>
        <w:pStyle w:val="230"/>
        <w:spacing w:before="30" w:beforeAutospacing="0" w:after="30" w:afterAutospacing="0" w:line="360" w:lineRule="auto"/>
        <w:rPr>
          <w:rFonts w:hint="eastAsia" w:cs="方正魏碑_GBK"/>
        </w:rPr>
      </w:pPr>
      <w:r>
        <w:rPr>
          <w:rFonts w:cs="方正魏碑_GBK"/>
          <w:shd w:val="clear" w:color="auto" w:fill="FFFFFF"/>
        </w:rPr>
        <w:t>__________________</w:t>
      </w:r>
    </w:p>
    <w:p w14:paraId="025A749E">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1.产品如有型号，请在“产品名称”栏一并填写。</w:t>
      </w:r>
    </w:p>
    <w:p w14:paraId="5445960F">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2.生产厂名与厂址应与生产厂营业执照载明的相关信息保持一致。</w:t>
      </w:r>
    </w:p>
    <w:p w14:paraId="2D5E7B3D">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3.该产品的中国境内生产的组件成本占比相关要求实施前，“规定比例”栏可不填，下同。</w:t>
      </w:r>
    </w:p>
    <w:p w14:paraId="79B57DB8">
      <w:pPr>
        <w:pStyle w:val="230"/>
        <w:spacing w:before="30" w:beforeAutospacing="0" w:after="30" w:afterAutospacing="0" w:line="360" w:lineRule="auto"/>
        <w:rPr>
          <w:rFonts w:hint="eastAsia" w:ascii="仿宋" w:hAnsi="仿宋" w:eastAsia="仿宋" w:cs="仿宋"/>
        </w:rPr>
      </w:pPr>
      <w:r>
        <w:rPr>
          <w:rFonts w:hint="eastAsia" w:ascii="仿宋" w:hAnsi="仿宋" w:eastAsia="仿宋" w:cs="仿宋"/>
          <w:shd w:val="clear" w:color="auto" w:fill="FFFFFF"/>
        </w:rPr>
        <w:t>4.该产品的关键组件要求实施前，“关键组件”栏可不填，下同。</w:t>
      </w:r>
    </w:p>
    <w:p w14:paraId="30C0DCB6">
      <w:pPr>
        <w:pStyle w:val="230"/>
        <w:spacing w:before="30" w:beforeAutospacing="0" w:after="30" w:afterAutospacing="0" w:line="360" w:lineRule="auto"/>
        <w:rPr>
          <w:rFonts w:hint="eastAsia" w:ascii="仿宋" w:hAnsi="仿宋" w:eastAsia="仿宋" w:cs="仿宋"/>
          <w:shd w:val="clear" w:color="auto" w:fill="FFFFFF"/>
        </w:rPr>
      </w:pPr>
      <w:r>
        <w:rPr>
          <w:rFonts w:hint="eastAsia" w:ascii="仿宋" w:hAnsi="仿宋" w:eastAsia="仿宋" w:cs="仿宋"/>
          <w:shd w:val="clear" w:color="auto" w:fill="FFFFFF"/>
        </w:rPr>
        <w:t>5.该产品的关键工序要求实施前，“关键工序”栏可不填，下同。</w:t>
      </w:r>
    </w:p>
    <w:p w14:paraId="3594BC66">
      <w:pPr>
        <w:pStyle w:val="230"/>
        <w:spacing w:before="30" w:beforeAutospacing="0" w:after="30" w:afterAutospacing="0" w:line="360" w:lineRule="auto"/>
        <w:rPr>
          <w:rFonts w:hint="eastAsia" w:ascii="仿宋" w:hAnsi="仿宋" w:eastAsia="仿宋" w:cs="仿宋"/>
          <w:shd w:val="clear" w:color="auto" w:fill="FFFFFF"/>
        </w:rPr>
      </w:pPr>
    </w:p>
    <w:p w14:paraId="6D77CBFC">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bookmarkStart w:id="58" w:name="heading_1"/>
    </w:p>
    <w:p w14:paraId="08F3312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B66119F">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D44F6E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527FB3B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2DDC9B4">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0EF7D05E">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AE6A778">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16F6E07C">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3A836AB">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9BD56A2">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747C6DAC">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D6CCE24">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094D1AFD">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4FFAEE47">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048A5852">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80A54CB">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BA5B576">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EF443A9">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6F815E4D">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2632F7F">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581B1000">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2755C662">
      <w:pPr>
        <w:autoSpaceDE w:val="0"/>
        <w:autoSpaceDN w:val="0"/>
        <w:adjustRightInd w:val="0"/>
        <w:spacing w:line="520" w:lineRule="exact"/>
        <w:jc w:val="center"/>
        <w:rPr>
          <w:rFonts w:hint="eastAsia" w:ascii="仿宋" w:hAnsi="仿宋" w:eastAsia="仿宋" w:cs="Times New Roman"/>
          <w:b/>
          <w:color w:val="auto"/>
          <w:kern w:val="2"/>
          <w:sz w:val="44"/>
          <w:szCs w:val="44"/>
          <w:highlight w:val="none"/>
          <w:lang w:val="en-US" w:eastAsia="zh-CN" w:bidi="ar-SA"/>
        </w:rPr>
      </w:pPr>
    </w:p>
    <w:p w14:paraId="34315C0C">
      <w:pPr>
        <w:autoSpaceDE w:val="0"/>
        <w:autoSpaceDN w:val="0"/>
        <w:adjustRightInd w:val="0"/>
        <w:spacing w:line="520" w:lineRule="exact"/>
        <w:jc w:val="center"/>
        <w:rPr>
          <w:rFonts w:hint="eastAsia" w:ascii="仿宋" w:hAnsi="仿宋" w:eastAsia="仿宋" w:cs="Times New Roman"/>
          <w:b/>
          <w:color w:val="auto"/>
          <w:kern w:val="2"/>
          <w:sz w:val="44"/>
          <w:szCs w:val="44"/>
          <w:highlight w:val="yellow"/>
          <w:lang w:val="en-US" w:eastAsia="zh-CN" w:bidi="ar-SA"/>
        </w:rPr>
      </w:pPr>
      <w:r>
        <w:rPr>
          <w:rFonts w:hint="eastAsia" w:ascii="仿宋" w:hAnsi="仿宋" w:eastAsia="仿宋" w:cs="Times New Roman"/>
          <w:b/>
          <w:color w:val="auto"/>
          <w:kern w:val="2"/>
          <w:sz w:val="44"/>
          <w:szCs w:val="44"/>
          <w:highlight w:val="yellow"/>
          <w:lang w:val="en-US" w:eastAsia="zh-CN" w:bidi="ar-SA"/>
        </w:rPr>
        <w:t>分包意向协议书</w:t>
      </w:r>
      <w:bookmarkEnd w:id="58"/>
    </w:p>
    <w:p w14:paraId="00973F03">
      <w:pPr>
        <w:spacing w:before="120" w:after="120" w:line="288" w:lineRule="auto"/>
        <w:ind w:left="0"/>
        <w:jc w:val="left"/>
        <w:rPr>
          <w:rFonts w:hint="eastAsia" w:ascii="仿宋" w:hAnsi="仿宋" w:eastAsia="仿宋" w:cs="仿宋"/>
          <w:sz w:val="28"/>
          <w:szCs w:val="28"/>
        </w:rPr>
      </w:pPr>
    </w:p>
    <w:p w14:paraId="6A579EC0">
      <w:p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项目名称：</w:t>
      </w:r>
      <w:r>
        <w:rPr>
          <w:rFonts w:hint="eastAsia" w:ascii="仿宋" w:hAnsi="仿宋" w:eastAsia="仿宋" w:cs="仿宋"/>
          <w:sz w:val="28"/>
          <w:szCs w:val="28"/>
        </w:rPr>
        <w:br w:type="textWrapping"/>
      </w:r>
      <w:r>
        <w:rPr>
          <w:rFonts w:hint="eastAsia" w:ascii="仿宋" w:hAnsi="仿宋" w:eastAsia="仿宋" w:cs="仿宋"/>
          <w:sz w:val="28"/>
          <w:szCs w:val="28"/>
        </w:rPr>
        <w:t>项目编号：</w:t>
      </w:r>
      <w:r>
        <w:rPr>
          <w:rFonts w:hint="eastAsia" w:ascii="仿宋" w:hAnsi="仿宋" w:eastAsia="仿宋" w:cs="仿宋"/>
          <w:sz w:val="28"/>
          <w:szCs w:val="28"/>
        </w:rPr>
        <w:br w:type="textWrapping"/>
      </w:r>
      <w:r>
        <w:rPr>
          <w:rFonts w:hint="eastAsia" w:ascii="仿宋" w:hAnsi="仿宋" w:eastAsia="仿宋" w:cs="仿宋"/>
          <w:sz w:val="28"/>
          <w:szCs w:val="28"/>
        </w:rPr>
        <w:t>甲方（总承包/中标投标人）：</w:t>
      </w:r>
      <w:r>
        <w:rPr>
          <w:rFonts w:hint="eastAsia" w:ascii="仿宋" w:hAnsi="仿宋" w:eastAsia="仿宋" w:cs="仿宋"/>
          <w:sz w:val="28"/>
          <w:szCs w:val="28"/>
        </w:rPr>
        <w:br w:type="textWrapping"/>
      </w:r>
      <w:r>
        <w:rPr>
          <w:rFonts w:hint="eastAsia" w:ascii="仿宋" w:hAnsi="仿宋" w:eastAsia="仿宋" w:cs="仿宋"/>
          <w:sz w:val="28"/>
          <w:szCs w:val="28"/>
        </w:rPr>
        <w:t>统一社会信用代码：</w:t>
      </w:r>
      <w:r>
        <w:rPr>
          <w:rFonts w:hint="eastAsia" w:ascii="仿宋" w:hAnsi="仿宋" w:eastAsia="仿宋" w:cs="仿宋"/>
          <w:sz w:val="28"/>
          <w:szCs w:val="28"/>
        </w:rPr>
        <w:br w:type="textWrapping"/>
      </w:r>
      <w:r>
        <w:rPr>
          <w:rFonts w:hint="eastAsia" w:ascii="仿宋" w:hAnsi="仿宋" w:eastAsia="仿宋" w:cs="仿宋"/>
          <w:sz w:val="28"/>
          <w:szCs w:val="28"/>
        </w:rPr>
        <w:t>乙方</w:t>
      </w:r>
      <w:r>
        <w:rPr>
          <w:rFonts w:hint="eastAsia" w:ascii="仿宋" w:hAnsi="仿宋" w:eastAsia="仿宋" w:cs="仿宋"/>
          <w:sz w:val="28"/>
          <w:szCs w:val="28"/>
          <w:lang w:val="en-US" w:eastAsia="zh-CN"/>
        </w:rPr>
        <w:t>1</w:t>
      </w:r>
      <w:r>
        <w:rPr>
          <w:rFonts w:hint="eastAsia" w:ascii="仿宋" w:hAnsi="仿宋" w:eastAsia="仿宋" w:cs="仿宋"/>
          <w:sz w:val="28"/>
          <w:szCs w:val="28"/>
        </w:rPr>
        <w:t>（分包单位，小微企业/中型企业）：</w:t>
      </w:r>
      <w:r>
        <w:rPr>
          <w:rFonts w:hint="eastAsia" w:ascii="仿宋" w:hAnsi="仿宋" w:eastAsia="仿宋" w:cs="仿宋"/>
          <w:sz w:val="28"/>
          <w:szCs w:val="28"/>
        </w:rPr>
        <w:br w:type="textWrapping"/>
      </w:r>
      <w:r>
        <w:rPr>
          <w:rFonts w:hint="eastAsia" w:ascii="仿宋" w:hAnsi="仿宋" w:eastAsia="仿宋" w:cs="仿宋"/>
          <w:sz w:val="28"/>
          <w:szCs w:val="28"/>
        </w:rPr>
        <w:t>统一社会信用代码：</w:t>
      </w:r>
    </w:p>
    <w:p w14:paraId="4834EB90">
      <w:pPr>
        <w:spacing w:before="120" w:after="120" w:line="288" w:lineRule="auto"/>
        <w:ind w:left="0"/>
        <w:jc w:val="lef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lang w:val="en-US" w:eastAsia="zh-CN"/>
        </w:rPr>
        <w:t>2</w:t>
      </w:r>
      <w:r>
        <w:rPr>
          <w:rFonts w:hint="eastAsia" w:ascii="仿宋" w:hAnsi="仿宋" w:eastAsia="仿宋" w:cs="仿宋"/>
          <w:sz w:val="28"/>
          <w:szCs w:val="28"/>
        </w:rPr>
        <w:t>（分包单位，小微企业/中型企业）：</w:t>
      </w:r>
      <w:r>
        <w:rPr>
          <w:rFonts w:hint="eastAsia" w:ascii="仿宋" w:hAnsi="仿宋" w:eastAsia="仿宋" w:cs="仿宋"/>
          <w:sz w:val="28"/>
          <w:szCs w:val="28"/>
        </w:rPr>
        <w:br w:type="textWrapping"/>
      </w:r>
      <w:r>
        <w:rPr>
          <w:rFonts w:hint="eastAsia" w:ascii="仿宋" w:hAnsi="仿宋" w:eastAsia="仿宋" w:cs="仿宋"/>
          <w:sz w:val="28"/>
          <w:szCs w:val="28"/>
        </w:rPr>
        <w:t>统一社会信用代码：</w:t>
      </w:r>
    </w:p>
    <w:p w14:paraId="498ED10D">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依据《中华人民共和国政府采购法》《政府采购促进中小企业发展管理办法》（财库〔2020〕46号）第八条规定，本项目要求中标后分包金额不低于总合同金额40%，分包额度中小微企业占比不低于60%。甲乙双方经平等协商，就本项目中标后分包事宜达成如下意向，本协议作为投标文件、后续政府采购主合同法定附件，具备同等法律效力。</w:t>
      </w:r>
    </w:p>
    <w:p w14:paraId="63CA4C06">
      <w:pPr>
        <w:pStyle w:val="20"/>
        <w:spacing w:line="360" w:lineRule="auto"/>
        <w:ind w:left="-359" w:leftChars="-171" w:firstLine="963" w:firstLineChars="344"/>
        <w:rPr>
          <w:rFonts w:hint="eastAsia" w:ascii="仿宋" w:hAnsi="仿宋" w:eastAsia="仿宋" w:cs="仿宋"/>
          <w:kern w:val="2"/>
          <w:sz w:val="28"/>
          <w:lang w:val="en-US" w:eastAsia="zh-CN" w:bidi="ar-SA"/>
        </w:rPr>
      </w:pPr>
      <w:bookmarkStart w:id="59" w:name="heading_2"/>
      <w:r>
        <w:rPr>
          <w:rFonts w:hint="eastAsia" w:ascii="仿宋" w:hAnsi="仿宋" w:eastAsia="仿宋" w:cs="仿宋"/>
          <w:kern w:val="2"/>
          <w:sz w:val="28"/>
          <w:lang w:val="en-US" w:eastAsia="zh-CN" w:bidi="ar-SA"/>
        </w:rPr>
        <w:t>一、项目报价与分包额度约定</w:t>
      </w:r>
      <w:bookmarkEnd w:id="59"/>
    </w:p>
    <w:p w14:paraId="711A143B">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559" w:leftChars="266" w:firstLine="0" w:firstLineChars="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1.甲方本项目总投标报价（含税全包）：人民币元（大写：元整）。</w:t>
      </w:r>
    </w:p>
    <w:p w14:paraId="0D7EA96B">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2.中标后拟全部分包总金额：人民币元，占项目总报价%（≥40%）。</w:t>
      </w:r>
    </w:p>
    <w:p w14:paraId="5801AFC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3.乙方1企业类型：□小微企业□中型企业；乙方1分包金额：人民币元。</w:t>
      </w:r>
    </w:p>
    <w:p w14:paraId="396D182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4.所有分包单位内小微企业合计金额元，占总分包金额%（≥60%）。</w:t>
      </w:r>
    </w:p>
    <w:p w14:paraId="075246F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5.乙方2企业类型：□小微企业□中型企业；乙方2分包金额：人民币元。</w:t>
      </w:r>
    </w:p>
    <w:p w14:paraId="0DD0044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6.分包工作内容（仅限非主体、非关键性工作，主体核心工作不得分包）：（如配套设备供货、现场辅材、运维服务、安装辅工、后勤配套、局部信息化配套等）</w:t>
      </w:r>
    </w:p>
    <w:p w14:paraId="3ADAA158">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bookmarkStart w:id="60" w:name="heading_3"/>
      <w:r>
        <w:rPr>
          <w:rFonts w:hint="eastAsia" w:ascii="仿宋" w:hAnsi="仿宋" w:eastAsia="仿宋" w:cs="仿宋"/>
          <w:kern w:val="2"/>
          <w:sz w:val="28"/>
          <w:szCs w:val="28"/>
          <w:lang w:val="en-US" w:eastAsia="zh-CN" w:bidi="ar-SA"/>
        </w:rPr>
        <w:t>二、主体资格承诺</w:t>
      </w:r>
      <w:bookmarkEnd w:id="60"/>
    </w:p>
    <w:p w14:paraId="673B35D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1.甲乙双方不存在直接控股、管理、同一法定代表人关联关系，分包份额可计入中小企业预留比例，享受政府采购扶持政策。</w:t>
      </w:r>
    </w:p>
    <w:p w14:paraId="49BC6C1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2.乙方已出具加盖公章《中小企业声明函》，真实有效，若虚假自愿承担投标作废标、取消中标资格、列入政府采购失信名单等全部法律责任。</w:t>
      </w:r>
    </w:p>
    <w:p w14:paraId="370969E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3.乙方承诺不得将本分包工作再次转包、二次分包给大中型企业；中型分包单位不得再分包大型企业，小微企业不得转包任何大中型企业。</w:t>
      </w:r>
    </w:p>
    <w:p w14:paraId="4BA9DE3C">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bookmarkStart w:id="61" w:name="heading_4"/>
      <w:r>
        <w:rPr>
          <w:rFonts w:hint="eastAsia" w:ascii="仿宋" w:hAnsi="仿宋" w:eastAsia="仿宋" w:cs="仿宋"/>
          <w:kern w:val="2"/>
          <w:sz w:val="28"/>
          <w:szCs w:val="28"/>
          <w:lang w:val="en-US" w:eastAsia="zh-CN" w:bidi="ar-SA"/>
        </w:rPr>
        <w:t>三、中标后履约约定</w:t>
      </w:r>
      <w:bookmarkEnd w:id="61"/>
    </w:p>
    <w:p w14:paraId="2DC3A882">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1.甲方收到中标通知书30个自然日内，与乙方签订正式《项目分包合同》，并将分包合同向采购人、采购代理机构完整备案。</w:t>
      </w:r>
    </w:p>
    <w:p w14:paraId="603EA1D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2.分包工期、质量标准、验收要求、质保服务完全匹配政府采购主合同要求，不得低于主合同标准。</w:t>
      </w:r>
    </w:p>
    <w:p w14:paraId="0687BEDE">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3.甲方严格按分包合同及时足额支付乙方款项，不得无故拖欠中小微企业货款；采购人有权监督甲方付款履约情况。</w:t>
      </w:r>
    </w:p>
    <w:p w14:paraId="726B44B2">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4.未经采购人书面审批，甲方不得擅自变更分包单位、削减中小微分包金额、调整分包工作范围。</w:t>
      </w:r>
    </w:p>
    <w:p w14:paraId="389A4461">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bookmarkStart w:id="62" w:name="heading_5"/>
      <w:r>
        <w:rPr>
          <w:rFonts w:hint="eastAsia" w:ascii="仿宋" w:hAnsi="仿宋" w:eastAsia="仿宋" w:cs="仿宋"/>
          <w:kern w:val="2"/>
          <w:sz w:val="28"/>
          <w:szCs w:val="28"/>
          <w:lang w:val="en-US" w:eastAsia="zh-CN" w:bidi="ar-SA"/>
        </w:rPr>
        <w:t>四、违约责任</w:t>
      </w:r>
      <w:bookmarkEnd w:id="62"/>
    </w:p>
    <w:p w14:paraId="42A304D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1.甲方中标后拒不签订正式分包合同、分包比例不达标、擅自缩减小微分包额度，采购人有权取消中标资格、没收履约保证金，甲方承担全部招标损失。</w:t>
      </w:r>
    </w:p>
    <w:p w14:paraId="00E2272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2.乙方伪造中小企业资质、虚假承接分包、二次转包，甲方有权单方解除分包合同，乙方赔偿甲方全部损失，同时上报财政监管部门。</w:t>
      </w:r>
    </w:p>
    <w:p w14:paraId="5EB4425C">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3.因分包工作质量、工期违约导致主项目逾期、验收不合格，全部损失由乙方承担，甲方可向乙方追偿。</w:t>
      </w:r>
    </w:p>
    <w:p w14:paraId="75FFFA97">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bookmarkStart w:id="63" w:name="heading_6"/>
      <w:r>
        <w:rPr>
          <w:rFonts w:hint="eastAsia" w:ascii="仿宋" w:hAnsi="仿宋" w:eastAsia="仿宋" w:cs="仿宋"/>
          <w:kern w:val="2"/>
          <w:sz w:val="28"/>
          <w:szCs w:val="28"/>
          <w:lang w:val="en-US" w:eastAsia="zh-CN" w:bidi="ar-SA"/>
        </w:rPr>
        <w:t>五、其他</w:t>
      </w:r>
      <w:bookmarkEnd w:id="63"/>
    </w:p>
    <w:p w14:paraId="3F2F36FF">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1.本协议一式</w:t>
      </w:r>
      <w:r>
        <w:rPr>
          <w:rFonts w:hint="eastAsia" w:ascii="仿宋" w:hAnsi="仿宋" w:eastAsia="仿宋" w:cs="仿宋"/>
          <w:kern w:val="2"/>
          <w:sz w:val="28"/>
          <w:szCs w:val="28"/>
          <w:u w:val="single"/>
          <w:lang w:val="en-US" w:eastAsia="zh-CN" w:bidi="ar-SA"/>
        </w:rPr>
        <w:t xml:space="preserve"> 叁 </w:t>
      </w:r>
      <w:r>
        <w:rPr>
          <w:rFonts w:hint="eastAsia" w:ascii="仿宋" w:hAnsi="仿宋" w:eastAsia="仿宋" w:cs="仿宋"/>
          <w:kern w:val="2"/>
          <w:sz w:val="28"/>
          <w:szCs w:val="28"/>
          <w:lang w:val="en-US" w:eastAsia="zh-CN" w:bidi="ar-SA"/>
        </w:rPr>
        <w:t>份，甲方、乙方各留存1份，投标时随投标文件一并提交。</w:t>
      </w:r>
    </w:p>
    <w:p w14:paraId="753C1D5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2.本协议自甲乙双方加盖公章、法定代表人签字之日起生效；项目未中标自动失效；项目履约完毕自动终止。</w:t>
      </w:r>
    </w:p>
    <w:p w14:paraId="4D71B284">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3.争议协商不成，提交项目所在地人民法院提起诉讼。</w:t>
      </w:r>
    </w:p>
    <w:p w14:paraId="4C1EC1B8">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p>
    <w:p w14:paraId="1F80A2F1">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甲方（公章）：</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法定代表人/授权代表（签字）：</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日期：     年    月   日</w:t>
      </w:r>
    </w:p>
    <w:p w14:paraId="3B37CFF9">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kern w:val="2"/>
          <w:sz w:val="28"/>
          <w:szCs w:val="28"/>
          <w:lang w:val="en-US" w:eastAsia="zh-CN" w:bidi="ar-SA"/>
        </w:rPr>
      </w:pPr>
    </w:p>
    <w:p w14:paraId="30F2A50B">
      <w:pPr>
        <w:pStyle w:val="230"/>
        <w:spacing w:before="30" w:beforeAutospacing="0" w:after="30" w:afterAutospacing="0" w:line="360" w:lineRule="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乙方1（公章）：</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法定代表人/授权代表（签字）：</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日期：   年   月   日</w:t>
      </w:r>
    </w:p>
    <w:p w14:paraId="3511BF37">
      <w:pPr>
        <w:pStyle w:val="230"/>
        <w:spacing w:before="30" w:beforeAutospacing="0" w:after="30" w:afterAutospacing="0" w:line="360" w:lineRule="auto"/>
        <w:rPr>
          <w:rFonts w:hint="eastAsia" w:ascii="仿宋" w:hAnsi="仿宋" w:eastAsia="仿宋" w:cs="仿宋"/>
          <w:kern w:val="2"/>
          <w:sz w:val="28"/>
          <w:szCs w:val="28"/>
          <w:lang w:val="en-US" w:eastAsia="zh-CN" w:bidi="ar-SA"/>
        </w:rPr>
      </w:pPr>
    </w:p>
    <w:p w14:paraId="2A066F68">
      <w:pPr>
        <w:pStyle w:val="230"/>
        <w:spacing w:before="30" w:beforeAutospacing="0" w:after="30" w:afterAutospacing="0" w:line="360" w:lineRule="auto"/>
        <w:rPr>
          <w:rFonts w:hint="eastAsia" w:ascii="仿宋" w:hAnsi="仿宋" w:eastAsia="仿宋" w:cs="仿宋"/>
          <w:shd w:val="clear" w:color="auto" w:fill="FFFFFF"/>
        </w:rPr>
      </w:pPr>
      <w:r>
        <w:rPr>
          <w:rFonts w:hint="eastAsia" w:ascii="仿宋" w:hAnsi="仿宋" w:eastAsia="仿宋" w:cs="仿宋"/>
          <w:kern w:val="2"/>
          <w:sz w:val="28"/>
          <w:szCs w:val="28"/>
          <w:lang w:val="en-US" w:eastAsia="zh-CN" w:bidi="ar-SA"/>
        </w:rPr>
        <w:t>乙方2（公章）：</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法定代表人/授权代表（签字）：</w:t>
      </w:r>
      <w:r>
        <w:rPr>
          <w:rFonts w:hint="eastAsia" w:ascii="仿宋" w:hAnsi="仿宋" w:eastAsia="仿宋" w:cs="仿宋"/>
          <w:kern w:val="2"/>
          <w:sz w:val="28"/>
          <w:szCs w:val="28"/>
          <w:lang w:val="en-US" w:eastAsia="zh-CN" w:bidi="ar-SA"/>
        </w:rPr>
        <w:br w:type="textWrapping"/>
      </w:r>
      <w:r>
        <w:rPr>
          <w:rFonts w:hint="eastAsia" w:ascii="仿宋" w:hAnsi="仿宋" w:eastAsia="仿宋" w:cs="仿宋"/>
          <w:kern w:val="2"/>
          <w:sz w:val="28"/>
          <w:szCs w:val="28"/>
          <w:lang w:val="en-US" w:eastAsia="zh-CN" w:bidi="ar-SA"/>
        </w:rPr>
        <w:t>日期：   年   月   日</w:t>
      </w:r>
    </w:p>
    <w:p w14:paraId="237716F3">
      <w:pPr>
        <w:pStyle w:val="230"/>
        <w:spacing w:before="30" w:beforeAutospacing="0" w:after="30" w:afterAutospacing="0" w:line="360" w:lineRule="auto"/>
        <w:rPr>
          <w:rFonts w:hint="eastAsia" w:ascii="仿宋" w:hAnsi="仿宋" w:eastAsia="仿宋" w:cs="仿宋"/>
          <w:kern w:val="2"/>
          <w:sz w:val="28"/>
          <w:szCs w:val="28"/>
          <w:highlight w:val="yellow"/>
          <w:lang w:val="en-US" w:eastAsia="zh-CN" w:bidi="ar-SA"/>
        </w:rPr>
      </w:pPr>
      <w:r>
        <w:rPr>
          <w:rFonts w:hint="eastAsia" w:ascii="仿宋" w:hAnsi="仿宋" w:eastAsia="仿宋" w:cs="仿宋"/>
          <w:kern w:val="2"/>
          <w:sz w:val="28"/>
          <w:szCs w:val="28"/>
          <w:highlight w:val="yellow"/>
          <w:lang w:val="en-US" w:eastAsia="zh-CN" w:bidi="ar-SA"/>
        </w:rPr>
        <w:t>附件：各分包单位《中小企业声明函》</w:t>
      </w:r>
    </w:p>
    <w:sectPr>
      <w:headerReference r:id="rId8" w:type="first"/>
      <w:footerReference r:id="rId10" w:type="first"/>
      <w:headerReference r:id="rId7" w:type="default"/>
      <w:footerReference r:id="rId9" w:type="default"/>
      <w:pgSz w:w="11906" w:h="16838"/>
      <w:pgMar w:top="1440" w:right="1800" w:bottom="1440" w:left="1800" w:header="0" w:footer="992" w:gutter="0"/>
      <w:pgNumType w:start="32"/>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EE9E199D-111E-455F-A280-82BAA9F5741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楷体_GB2312">
    <w:panose1 w:val="02000000000000000000"/>
    <w:charset w:val="86"/>
    <w:family w:val="auto"/>
    <w:pitch w:val="default"/>
    <w:sig w:usb0="A00002BF" w:usb1="184F6CFA" w:usb2="00000012" w:usb3="00000000" w:csb0="00040001" w:csb1="00000000"/>
    <w:embedRegular r:id="rId2" w:fontKey="{962AC4DC-C5FA-49BA-B244-8279E0FF4209}"/>
  </w:font>
  <w:font w:name="华文彩云">
    <w:panose1 w:val="02010800040101010101"/>
    <w:charset w:val="86"/>
    <w:family w:val="auto"/>
    <w:pitch w:val="default"/>
    <w:sig w:usb0="00000001" w:usb1="080F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仿宋_GB2312">
    <w:panose1 w:val="02000000000000000000"/>
    <w:charset w:val="86"/>
    <w:family w:val="auto"/>
    <w:pitch w:val="default"/>
    <w:sig w:usb0="A00002BF" w:usb1="184F6CFA" w:usb2="00000012" w:usb3="00000000" w:csb0="00040001" w:csb1="00000000"/>
    <w:embedRegular r:id="rId3" w:fontKey="{DCE1E73E-76AC-4188-893A-1F908F85D0AC}"/>
  </w:font>
  <w:font w:name="Segoe Print">
    <w:panose1 w:val="02000600000000000000"/>
    <w:charset w:val="00"/>
    <w:family w:val="auto"/>
    <w:pitch w:val="default"/>
    <w:sig w:usb0="0000028F" w:usb1="00000000" w:usb2="00000000" w:usb3="00000000" w:csb0="2000009F" w:csb1="47010000"/>
  </w:font>
  <w:font w:name="励字仿宋GB">
    <w:panose1 w:val="02010604000000000000"/>
    <w:charset w:val="86"/>
    <w:family w:val="auto"/>
    <w:pitch w:val="default"/>
    <w:sig w:usb0="00000003" w:usb1="080E0000" w:usb2="00000000" w:usb3="00000000" w:csb0="00040001"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4" w:fontKey="{091EFFD5-1D6A-43D8-BA89-E8D280C61F1A}"/>
  </w:font>
  <w:font w:name="方正仿宋简体">
    <w:panose1 w:val="02000000000000000000"/>
    <w:charset w:val="86"/>
    <w:family w:val="auto"/>
    <w:pitch w:val="default"/>
    <w:sig w:usb0="A00002BF" w:usb1="184F6CFA" w:usb2="00000012" w:usb3="00000000" w:csb0="00040001" w:csb1="00000000"/>
  </w:font>
  <w:font w:name="方正小标宋_GBK">
    <w:panose1 w:val="03000509000000000000"/>
    <w:charset w:val="86"/>
    <w:family w:val="script"/>
    <w:pitch w:val="default"/>
    <w:sig w:usb0="00000001" w:usb1="080E0000" w:usb2="00000000" w:usb3="00000000" w:csb0="00040000" w:csb1="00000000"/>
    <w:embedRegular r:id="rId5" w:fontKey="{0FBC6215-EA10-4B6F-8363-5424398FD449}"/>
  </w:font>
  <w:font w:name="微软雅黑">
    <w:panose1 w:val="020B0503020204020204"/>
    <w:charset w:val="86"/>
    <w:family w:val="swiss"/>
    <w:pitch w:val="default"/>
    <w:sig w:usb0="80000287" w:usb1="280F3C52" w:usb2="00000016" w:usb3="00000000" w:csb0="0004001F" w:csb1="00000000"/>
    <w:embedRegular r:id="rId6" w:fontKey="{2A31BBCD-7DCE-4302-96C8-1FAFBFC995F7}"/>
  </w:font>
  <w:font w:name="方正魏碑_GBK">
    <w:panose1 w:val="03000509000000000000"/>
    <w:charset w:val="86"/>
    <w:family w:val="auto"/>
    <w:pitch w:val="default"/>
    <w:sig w:usb0="00000001" w:usb1="080E0000" w:usb2="00000000" w:usb3="00000000" w:csb0="00040000" w:csb1="00000000"/>
    <w:embedRegular r:id="rId7" w:fontKey="{1BF12022-40FA-4663-BF2B-B0810656E33A}"/>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ECB3A">
    <w:pPr>
      <w:pStyle w:val="220"/>
      <w:jc w:val="center"/>
    </w:pPr>
    <w:r>
      <w:fldChar w:fldCharType="begin"/>
    </w:r>
    <w:r>
      <w:instrText xml:space="preserve">PAGE   \* MERGEFORMAT</w:instrText>
    </w:r>
    <w:r>
      <w:fldChar w:fldCharType="separate"/>
    </w:r>
    <w:r>
      <w:rPr>
        <w:lang w:val="zh-CN"/>
      </w:rPr>
      <w:t>2</w:t>
    </w:r>
    <w:r>
      <w:fldChar w:fldCharType="end"/>
    </w:r>
  </w:p>
  <w:p w14:paraId="5A9A06F6">
    <w:pPr>
      <w:pStyle w:val="2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CE56C">
    <w:pPr>
      <w:pStyle w:val="220"/>
      <w:jc w:val="center"/>
    </w:pPr>
    <w:r>
      <w:fldChar w:fldCharType="begin"/>
    </w:r>
    <w:r>
      <w:instrText xml:space="preserve">PAGE   \* MERGEFORMAT</w:instrText>
    </w:r>
    <w:r>
      <w:fldChar w:fldCharType="separate"/>
    </w:r>
    <w:r>
      <w:rPr>
        <w:lang w:val="zh-CN"/>
      </w:rPr>
      <w:t>2</w:t>
    </w:r>
    <w:r>
      <w:fldChar w:fldCharType="end"/>
    </w:r>
  </w:p>
  <w:p w14:paraId="6EEE4E1A">
    <w:pPr>
      <w:pStyle w:val="296"/>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B8410">
    <w:pPr>
      <w:pStyle w:val="296"/>
      <w:framePr w:wrap="around" w:vAnchor="text" w:hAnchor="margin" w:xAlign="center" w:y="1"/>
      <w:tabs>
        <w:tab w:val="clear" w:pos="4153"/>
        <w:tab w:val="clear" w:pos="8306"/>
      </w:tabs>
    </w:pPr>
    <w:r>
      <w:fldChar w:fldCharType="begin"/>
    </w:r>
    <w:r>
      <w:rPr>
        <w:rStyle w:val="299"/>
      </w:rPr>
      <w:instrText xml:space="preserve">PAGE  </w:instrText>
    </w:r>
    <w:r>
      <w:fldChar w:fldCharType="end"/>
    </w:r>
  </w:p>
  <w:p w14:paraId="36A3C080">
    <w:pPr>
      <w:pStyle w:val="296"/>
      <w:tabs>
        <w:tab w:val="clear"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A955F">
    <w:pPr>
      <w:pStyle w:val="220"/>
      <w:jc w:val="center"/>
    </w:pPr>
    <w:r>
      <w:fldChar w:fldCharType="begin"/>
    </w:r>
    <w:r>
      <w:instrText xml:space="preserve">PAGE   \* MERGEFORMAT</w:instrText>
    </w:r>
    <w:r>
      <w:fldChar w:fldCharType="separate"/>
    </w:r>
    <w:r>
      <w:rPr>
        <w:lang w:val="zh-CN"/>
      </w:rPr>
      <w:t>2</w:t>
    </w:r>
    <w:r>
      <w:fldChar w:fldCharType="end"/>
    </w:r>
  </w:p>
  <w:p w14:paraId="05256351">
    <w:pPr>
      <w:pStyle w:val="2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DBFED">
    <w:pPr>
      <w:pStyle w:val="220"/>
      <w:jc w:val="center"/>
    </w:pPr>
    <w:r>
      <w:fldChar w:fldCharType="begin"/>
    </w:r>
    <w:r>
      <w:instrText xml:space="preserve">PAGE   \* MERGEFORMAT</w:instrText>
    </w:r>
    <w:r>
      <w:fldChar w:fldCharType="separate"/>
    </w:r>
    <w:r>
      <w:rPr>
        <w:lang w:val="zh-CN"/>
      </w:rPr>
      <w:t>2</w:t>
    </w:r>
    <w:r>
      <w:fldChar w:fldCharType="end"/>
    </w:r>
  </w:p>
  <w:p w14:paraId="752F24A4">
    <w:pPr>
      <w:pStyle w:val="2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BA58">
    <w:pPr>
      <w:pStyle w:val="22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944C6">
    <w:pPr>
      <w:pStyle w:val="222"/>
      <w:pBdr>
        <w:bottom w:val="none" w:color="000000" w:sz="0" w:space="1"/>
      </w:pBdr>
      <w:jc w:val="righ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9EFCF">
    <w:pPr>
      <w:pStyle w:val="222"/>
      <w:pBdr>
        <w:bottom w:val="none" w:color="000000" w:sz="0" w:space="0"/>
      </w:pBdr>
      <w:tabs>
        <w:tab w:val="left" w:pos="1291"/>
      </w:tabs>
      <w:ind w:right="792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031D5C"/>
    <w:multiLevelType w:val="singleLevel"/>
    <w:tmpl w:val="C9031D5C"/>
    <w:lvl w:ilvl="0" w:tentative="0">
      <w:start w:val="1"/>
      <w:numFmt w:val="decimal"/>
      <w:lvlText w:val="%1."/>
      <w:lvlJc w:val="left"/>
      <w:pPr>
        <w:tabs>
          <w:tab w:val="left" w:pos="312"/>
        </w:tabs>
      </w:pPr>
    </w:lvl>
  </w:abstractNum>
  <w:abstractNum w:abstractNumId="1">
    <w:nsid w:val="CF092B84"/>
    <w:multiLevelType w:val="multilevel"/>
    <w:tmpl w:val="CF092B84"/>
    <w:lvl w:ilvl="0" w:tentative="0">
      <w:start w:val="1"/>
      <w:numFmt w:val="chineseCountingThousand"/>
      <w:pStyle w:val="267"/>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0053208E"/>
    <w:multiLevelType w:val="multilevel"/>
    <w:tmpl w:val="0053208E"/>
    <w:lvl w:ilvl="0" w:tentative="0">
      <w:start w:val="2"/>
      <w:numFmt w:val="chineseCountingThousand"/>
      <w:pStyle w:val="26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3">
    <w:nsid w:val="2E8618FE"/>
    <w:multiLevelType w:val="multilevel"/>
    <w:tmpl w:val="2E8618FE"/>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18F77A9"/>
    <w:multiLevelType w:val="multilevel"/>
    <w:tmpl w:val="318F77A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BD8681E"/>
    <w:multiLevelType w:val="singleLevel"/>
    <w:tmpl w:val="4BD8681E"/>
    <w:lvl w:ilvl="0" w:tentative="0">
      <w:start w:val="1"/>
      <w:numFmt w:val="decimal"/>
      <w:lvlText w:val="%1."/>
      <w:lvlJc w:val="left"/>
      <w:pPr>
        <w:tabs>
          <w:tab w:val="left" w:pos="312"/>
        </w:tabs>
      </w:pPr>
    </w:lvl>
  </w:abstractNum>
  <w:abstractNum w:abstractNumId="6">
    <w:nsid w:val="59ADCABA"/>
    <w:multiLevelType w:val="multilevel"/>
    <w:tmpl w:val="59ADCABA"/>
    <w:lvl w:ilvl="0" w:tentative="0">
      <w:start w:val="1"/>
      <w:numFmt w:val="chineseCountingThousand"/>
      <w:pStyle w:val="281"/>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6"/>
  </w:num>
  <w:num w:numId="4">
    <w:abstractNumId w:val="0"/>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BB"/>
    <w:rsid w:val="002142B7"/>
    <w:rsid w:val="00443C4F"/>
    <w:rsid w:val="005B0DBE"/>
    <w:rsid w:val="005E3C1A"/>
    <w:rsid w:val="006D078D"/>
    <w:rsid w:val="00893B9D"/>
    <w:rsid w:val="008B4887"/>
    <w:rsid w:val="00A821C0"/>
    <w:rsid w:val="00B4695C"/>
    <w:rsid w:val="00C06C9C"/>
    <w:rsid w:val="00D945BB"/>
    <w:rsid w:val="00EB2500"/>
    <w:rsid w:val="04201204"/>
    <w:rsid w:val="054A15F9"/>
    <w:rsid w:val="05697868"/>
    <w:rsid w:val="065611F5"/>
    <w:rsid w:val="07256D45"/>
    <w:rsid w:val="07B40FAC"/>
    <w:rsid w:val="081D143A"/>
    <w:rsid w:val="087C3485"/>
    <w:rsid w:val="08E53B1A"/>
    <w:rsid w:val="0A5B4145"/>
    <w:rsid w:val="0A8C324E"/>
    <w:rsid w:val="0B676CF1"/>
    <w:rsid w:val="0B9D4534"/>
    <w:rsid w:val="0C4547C0"/>
    <w:rsid w:val="0E7C58F6"/>
    <w:rsid w:val="0F2B6BA7"/>
    <w:rsid w:val="0F80233D"/>
    <w:rsid w:val="10AB7646"/>
    <w:rsid w:val="10B661A8"/>
    <w:rsid w:val="11D11799"/>
    <w:rsid w:val="11EB77B6"/>
    <w:rsid w:val="1384217A"/>
    <w:rsid w:val="13AF7AFE"/>
    <w:rsid w:val="14A32948"/>
    <w:rsid w:val="14ED7BAB"/>
    <w:rsid w:val="15020CF1"/>
    <w:rsid w:val="161B58D5"/>
    <w:rsid w:val="16A13607"/>
    <w:rsid w:val="16EF1146"/>
    <w:rsid w:val="16F65939"/>
    <w:rsid w:val="16FB6BF7"/>
    <w:rsid w:val="182963D2"/>
    <w:rsid w:val="18D17A0D"/>
    <w:rsid w:val="1B416BA3"/>
    <w:rsid w:val="1BBF5528"/>
    <w:rsid w:val="1BF63B2B"/>
    <w:rsid w:val="1CA23671"/>
    <w:rsid w:val="1D4E748C"/>
    <w:rsid w:val="1DD86C9F"/>
    <w:rsid w:val="1EFE5F4E"/>
    <w:rsid w:val="210C173C"/>
    <w:rsid w:val="217355DC"/>
    <w:rsid w:val="21F7424F"/>
    <w:rsid w:val="2245341D"/>
    <w:rsid w:val="2369308C"/>
    <w:rsid w:val="23D23F9B"/>
    <w:rsid w:val="24194B00"/>
    <w:rsid w:val="24BD373E"/>
    <w:rsid w:val="25CA39F3"/>
    <w:rsid w:val="26543C2E"/>
    <w:rsid w:val="27D75BAD"/>
    <w:rsid w:val="27E41B78"/>
    <w:rsid w:val="28511525"/>
    <w:rsid w:val="29056808"/>
    <w:rsid w:val="29506755"/>
    <w:rsid w:val="2966002D"/>
    <w:rsid w:val="2A5C20FE"/>
    <w:rsid w:val="2B2D4A4E"/>
    <w:rsid w:val="2B585D46"/>
    <w:rsid w:val="2BC628A0"/>
    <w:rsid w:val="2CB8659A"/>
    <w:rsid w:val="2DE75388"/>
    <w:rsid w:val="2F3B1DFD"/>
    <w:rsid w:val="2FE9288F"/>
    <w:rsid w:val="318C2A3B"/>
    <w:rsid w:val="33325C90"/>
    <w:rsid w:val="33BE01F6"/>
    <w:rsid w:val="34A22009"/>
    <w:rsid w:val="34BD49E5"/>
    <w:rsid w:val="353C6D8C"/>
    <w:rsid w:val="363A0AF8"/>
    <w:rsid w:val="38BF3D54"/>
    <w:rsid w:val="3A067668"/>
    <w:rsid w:val="3B0114F0"/>
    <w:rsid w:val="3D094E70"/>
    <w:rsid w:val="3D544612"/>
    <w:rsid w:val="3E911603"/>
    <w:rsid w:val="3F863274"/>
    <w:rsid w:val="3FC90D91"/>
    <w:rsid w:val="409F1AF2"/>
    <w:rsid w:val="43FD10A0"/>
    <w:rsid w:val="453A2776"/>
    <w:rsid w:val="45403202"/>
    <w:rsid w:val="45E36925"/>
    <w:rsid w:val="466A736E"/>
    <w:rsid w:val="46780545"/>
    <w:rsid w:val="478A6FB8"/>
    <w:rsid w:val="47A6054F"/>
    <w:rsid w:val="48BF2D31"/>
    <w:rsid w:val="48D015CD"/>
    <w:rsid w:val="498031F3"/>
    <w:rsid w:val="49C9008D"/>
    <w:rsid w:val="4A532255"/>
    <w:rsid w:val="4B9C41F6"/>
    <w:rsid w:val="4C3C081C"/>
    <w:rsid w:val="4F477F24"/>
    <w:rsid w:val="50684475"/>
    <w:rsid w:val="51166C22"/>
    <w:rsid w:val="512E314A"/>
    <w:rsid w:val="51523DC7"/>
    <w:rsid w:val="52AF2069"/>
    <w:rsid w:val="54D35526"/>
    <w:rsid w:val="54E31FBF"/>
    <w:rsid w:val="551C568F"/>
    <w:rsid w:val="55774444"/>
    <w:rsid w:val="55BC6C0C"/>
    <w:rsid w:val="56AB10A5"/>
    <w:rsid w:val="576C32FF"/>
    <w:rsid w:val="59715A31"/>
    <w:rsid w:val="5AA4622B"/>
    <w:rsid w:val="5C1B6DF4"/>
    <w:rsid w:val="5CC91F79"/>
    <w:rsid w:val="5CC93515"/>
    <w:rsid w:val="5E2C041B"/>
    <w:rsid w:val="5E3F6074"/>
    <w:rsid w:val="5FA1306E"/>
    <w:rsid w:val="61C34F67"/>
    <w:rsid w:val="62BB51B7"/>
    <w:rsid w:val="63A16753"/>
    <w:rsid w:val="63B23DCE"/>
    <w:rsid w:val="644F3172"/>
    <w:rsid w:val="659A6BA8"/>
    <w:rsid w:val="67086889"/>
    <w:rsid w:val="677B0314"/>
    <w:rsid w:val="68180E35"/>
    <w:rsid w:val="687F460B"/>
    <w:rsid w:val="69C54857"/>
    <w:rsid w:val="6BFA3EFD"/>
    <w:rsid w:val="6C2E004A"/>
    <w:rsid w:val="6C3867D3"/>
    <w:rsid w:val="6C5D1D1C"/>
    <w:rsid w:val="6DAB546F"/>
    <w:rsid w:val="6E276AFF"/>
    <w:rsid w:val="6F2B74FF"/>
    <w:rsid w:val="6F4831D1"/>
    <w:rsid w:val="6FEB1D4F"/>
    <w:rsid w:val="704B3BD2"/>
    <w:rsid w:val="70F74EAF"/>
    <w:rsid w:val="711C7A88"/>
    <w:rsid w:val="71BC7EA6"/>
    <w:rsid w:val="73223530"/>
    <w:rsid w:val="7367017C"/>
    <w:rsid w:val="744462CF"/>
    <w:rsid w:val="75211401"/>
    <w:rsid w:val="75A629FF"/>
    <w:rsid w:val="779B2290"/>
    <w:rsid w:val="77E8218B"/>
    <w:rsid w:val="78FA19E0"/>
    <w:rsid w:val="7A6B246A"/>
    <w:rsid w:val="7BF73D85"/>
    <w:rsid w:val="7DA0242A"/>
    <w:rsid w:val="7DE121C9"/>
    <w:rsid w:val="7E194CEF"/>
    <w:rsid w:val="7E402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style>
  <w:style w:type="paragraph" w:styleId="14">
    <w:name w:val="Body Text"/>
    <w:basedOn w:val="1"/>
    <w:next w:val="15"/>
    <w:semiHidden/>
    <w:unhideWhenUsed/>
    <w:qFormat/>
    <w:uiPriority w:val="99"/>
    <w:pPr>
      <w:spacing w:after="120"/>
    </w:pPr>
  </w:style>
  <w:style w:type="paragraph" w:styleId="15">
    <w:name w:val="Body Text First Indent"/>
    <w:basedOn w:val="14"/>
    <w:unhideWhenUsed/>
    <w:qFormat/>
    <w:uiPriority w:val="99"/>
    <w:pPr>
      <w:spacing w:after="0"/>
      <w:ind w:firstLine="480" w:firstLineChars="200"/>
    </w:pPr>
  </w:style>
  <w:style w:type="paragraph" w:styleId="16">
    <w:name w:val="Body Text Indent"/>
    <w:basedOn w:val="1"/>
    <w:next w:val="17"/>
    <w:qFormat/>
    <w:uiPriority w:val="0"/>
    <w:pPr>
      <w:spacing w:after="120"/>
      <w:ind w:left="420"/>
    </w:pPr>
  </w:style>
  <w:style w:type="paragraph" w:styleId="17">
    <w:name w:val="Body Text First Indent 2"/>
    <w:basedOn w:val="16"/>
    <w:next w:val="14"/>
    <w:qFormat/>
    <w:uiPriority w:val="99"/>
    <w:pPr>
      <w:ind w:left="0" w:firstLine="42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pPr>
  </w:style>
  <w:style w:type="paragraph" w:styleId="22">
    <w:name w:val="endnote text"/>
    <w:basedOn w:val="1"/>
    <w:link w:val="189"/>
    <w:semiHidden/>
    <w:unhideWhenUsed/>
    <w:qFormat/>
    <w:uiPriority w:val="99"/>
    <w:rPr>
      <w:sz w:val="20"/>
    </w:rPr>
  </w:style>
  <w:style w:type="paragraph" w:styleId="23">
    <w:name w:val="footer"/>
    <w:basedOn w:val="1"/>
    <w:link w:val="62"/>
    <w:unhideWhenUsed/>
    <w:qFormat/>
    <w:uiPriority w:val="99"/>
    <w:pPr>
      <w:tabs>
        <w:tab w:val="center" w:pos="7143"/>
        <w:tab w:val="right" w:pos="14287"/>
      </w:tabs>
    </w:pPr>
  </w:style>
  <w:style w:type="paragraph" w:styleId="24">
    <w:name w:val="header"/>
    <w:basedOn w:val="1"/>
    <w:link w:val="6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5"/>
    <w:qFormat/>
    <w:uiPriority w:val="11"/>
    <w:pPr>
      <w:spacing w:before="200" w:after="200"/>
    </w:pPr>
    <w:rPr>
      <w:sz w:val="24"/>
    </w:rPr>
  </w:style>
  <w:style w:type="paragraph" w:styleId="28">
    <w:name w:val="footnote text"/>
    <w:basedOn w:val="1"/>
    <w:link w:val="18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Autospacing="1" w:afterAutospacing="1"/>
      <w:jc w:val="left"/>
    </w:pPr>
    <w:rPr>
      <w:sz w:val="24"/>
    </w:rPr>
  </w:style>
  <w:style w:type="paragraph" w:styleId="34">
    <w:name w:val="Title"/>
    <w:basedOn w:val="1"/>
    <w:next w:val="1"/>
    <w:link w:val="54"/>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标题 1 字符"/>
    <w:link w:val="2"/>
    <w:qFormat/>
    <w:uiPriority w:val="9"/>
    <w:rPr>
      <w:rFonts w:ascii="Arial" w:hAnsi="Arial" w:eastAsia="Arial" w:cs="Arial"/>
      <w:sz w:val="40"/>
      <w:szCs w:val="40"/>
    </w:rPr>
  </w:style>
  <w:style w:type="character" w:customStyle="1" w:styleId="44">
    <w:name w:val="标题 2 字符"/>
    <w:link w:val="3"/>
    <w:qFormat/>
    <w:uiPriority w:val="9"/>
    <w:rPr>
      <w:rFonts w:ascii="Arial" w:hAnsi="Arial" w:eastAsia="Arial" w:cs="Arial"/>
      <w:sz w:val="34"/>
    </w:rPr>
  </w:style>
  <w:style w:type="character" w:customStyle="1" w:styleId="45">
    <w:name w:val="标题 3 字符"/>
    <w:link w:val="4"/>
    <w:qFormat/>
    <w:uiPriority w:val="9"/>
    <w:rPr>
      <w:rFonts w:ascii="Arial" w:hAnsi="Arial" w:eastAsia="Arial" w:cs="Arial"/>
      <w:sz w:val="30"/>
      <w:szCs w:val="30"/>
    </w:rPr>
  </w:style>
  <w:style w:type="character" w:customStyle="1" w:styleId="46">
    <w:name w:val="标题 4 字符1"/>
    <w:link w:val="5"/>
    <w:qFormat/>
    <w:uiPriority w:val="9"/>
    <w:rPr>
      <w:rFonts w:ascii="Arial" w:hAnsi="Arial" w:eastAsia="Arial" w:cs="Arial"/>
      <w:b/>
      <w:bCs/>
      <w:sz w:val="26"/>
      <w:szCs w:val="26"/>
    </w:rPr>
  </w:style>
  <w:style w:type="character" w:customStyle="1" w:styleId="47">
    <w:name w:val="标题 5 字符1"/>
    <w:link w:val="6"/>
    <w:qFormat/>
    <w:uiPriority w:val="9"/>
    <w:rPr>
      <w:rFonts w:ascii="Arial" w:hAnsi="Arial" w:eastAsia="Arial" w:cs="Arial"/>
      <w:b/>
      <w:bCs/>
      <w:sz w:val="24"/>
      <w:szCs w:val="24"/>
    </w:rPr>
  </w:style>
  <w:style w:type="character" w:customStyle="1" w:styleId="48">
    <w:name w:val="标题 6 字符"/>
    <w:link w:val="7"/>
    <w:qFormat/>
    <w:uiPriority w:val="9"/>
    <w:rPr>
      <w:rFonts w:ascii="Arial" w:hAnsi="Arial" w:eastAsia="Arial" w:cs="Arial"/>
      <w:b/>
      <w:bCs/>
      <w:sz w:val="22"/>
      <w:szCs w:val="22"/>
    </w:rPr>
  </w:style>
  <w:style w:type="character" w:customStyle="1" w:styleId="49">
    <w:name w:val="标题 7 字符"/>
    <w:link w:val="8"/>
    <w:qFormat/>
    <w:uiPriority w:val="9"/>
    <w:rPr>
      <w:rFonts w:ascii="Arial" w:hAnsi="Arial" w:eastAsia="Arial" w:cs="Arial"/>
      <w:b/>
      <w:bCs/>
      <w:i/>
      <w:iCs/>
      <w:sz w:val="22"/>
      <w:szCs w:val="22"/>
    </w:rPr>
  </w:style>
  <w:style w:type="character" w:customStyle="1" w:styleId="50">
    <w:name w:val="标题 8 字符"/>
    <w:link w:val="9"/>
    <w:qFormat/>
    <w:uiPriority w:val="9"/>
    <w:rPr>
      <w:rFonts w:ascii="Arial" w:hAnsi="Arial" w:eastAsia="Arial" w:cs="Arial"/>
      <w:i/>
      <w:iCs/>
      <w:sz w:val="22"/>
      <w:szCs w:val="22"/>
    </w:rPr>
  </w:style>
  <w:style w:type="character" w:customStyle="1" w:styleId="51">
    <w:name w:val="标题 9 字符"/>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4"/>
    <w:qFormat/>
    <w:uiPriority w:val="10"/>
    <w:rPr>
      <w:sz w:val="48"/>
      <w:szCs w:val="48"/>
    </w:rPr>
  </w:style>
  <w:style w:type="character" w:customStyle="1" w:styleId="55">
    <w:name w:val="副标题 字符"/>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1"/>
    <w:link w:val="24"/>
    <w:qFormat/>
    <w:uiPriority w:val="99"/>
  </w:style>
  <w:style w:type="character" w:customStyle="1" w:styleId="61">
    <w:name w:val="Footer Char"/>
    <w:qFormat/>
    <w:uiPriority w:val="99"/>
  </w:style>
  <w:style w:type="character" w:customStyle="1" w:styleId="62">
    <w:name w:val="页脚 字符1"/>
    <w:link w:val="23"/>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qFormat/>
    <w:uiPriority w:val="99"/>
    <w:rPr>
      <w:sz w:val="18"/>
    </w:rPr>
  </w:style>
  <w:style w:type="character" w:customStyle="1" w:styleId="189">
    <w:name w:val="尾注文本 字符"/>
    <w:link w:val="22"/>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qFormat/>
    <w:uiPriority w:val="9"/>
    <w:pPr>
      <w:keepNext/>
      <w:keepLines/>
      <w:spacing w:before="340" w:after="330" w:line="578" w:lineRule="auto"/>
      <w:outlineLvl w:val="0"/>
    </w:pPr>
    <w:rPr>
      <w:b/>
      <w:bCs/>
      <w:sz w:val="44"/>
      <w:szCs w:val="44"/>
    </w:rPr>
  </w:style>
  <w:style w:type="paragraph" w:customStyle="1" w:styleId="192">
    <w:name w:val="标题 21"/>
    <w:basedOn w:val="1"/>
    <w:next w:val="193"/>
    <w:qFormat/>
    <w:uiPriority w:val="9"/>
    <w:pPr>
      <w:keepNext/>
      <w:keepLines/>
      <w:spacing w:before="260" w:after="260" w:line="413" w:lineRule="auto"/>
      <w:outlineLvl w:val="1"/>
    </w:pPr>
    <w:rPr>
      <w:rFonts w:ascii="Arial" w:hAnsi="Arial" w:eastAsia="黑体"/>
      <w:b/>
      <w:sz w:val="32"/>
      <w:szCs w:val="20"/>
    </w:rPr>
  </w:style>
  <w:style w:type="paragraph" w:customStyle="1" w:styleId="193">
    <w:name w:val="正文缩进11"/>
    <w:basedOn w:val="1"/>
    <w:next w:val="1"/>
    <w:link w:val="199"/>
    <w:qFormat/>
    <w:uiPriority w:val="0"/>
    <w:pPr>
      <w:ind w:firstLine="420"/>
    </w:pPr>
  </w:style>
  <w:style w:type="paragraph" w:customStyle="1" w:styleId="194">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95">
    <w:name w:val="标题 41"/>
    <w:basedOn w:val="1"/>
    <w:next w:val="1"/>
    <w:link w:val="200"/>
    <w:qFormat/>
    <w:uiPriority w:val="9"/>
    <w:pPr>
      <w:keepNext/>
      <w:keepLines/>
      <w:spacing w:before="280" w:after="290" w:line="376" w:lineRule="auto"/>
      <w:outlineLvl w:val="3"/>
    </w:pPr>
    <w:rPr>
      <w:rFonts w:ascii="Cambria" w:hAnsi="Cambria"/>
      <w:b/>
      <w:bCs/>
      <w:sz w:val="28"/>
      <w:szCs w:val="28"/>
    </w:rPr>
  </w:style>
  <w:style w:type="paragraph" w:customStyle="1" w:styleId="196">
    <w:name w:val="标题 51"/>
    <w:basedOn w:val="1"/>
    <w:next w:val="1"/>
    <w:link w:val="201"/>
    <w:qFormat/>
    <w:uiPriority w:val="9"/>
    <w:pPr>
      <w:keepNext/>
      <w:keepLines/>
      <w:spacing w:before="280" w:after="290" w:line="376" w:lineRule="auto"/>
      <w:outlineLvl w:val="4"/>
    </w:pPr>
    <w:rPr>
      <w:b/>
      <w:bCs/>
      <w:sz w:val="28"/>
      <w:szCs w:val="28"/>
    </w:rPr>
  </w:style>
  <w:style w:type="character" w:customStyle="1" w:styleId="197">
    <w:name w:val="默认段落字体1"/>
    <w:semiHidden/>
    <w:qFormat/>
    <w:uiPriority w:val="0"/>
  </w:style>
  <w:style w:type="table" w:customStyle="1" w:styleId="198">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199">
    <w:name w:val="正文缩进 字符"/>
    <w:link w:val="193"/>
    <w:qFormat/>
    <w:uiPriority w:val="0"/>
    <w:rPr>
      <w:sz w:val="21"/>
    </w:rPr>
  </w:style>
  <w:style w:type="character" w:customStyle="1" w:styleId="200">
    <w:name w:val="标题 4 字符"/>
    <w:link w:val="195"/>
    <w:qFormat/>
    <w:uiPriority w:val="9"/>
    <w:rPr>
      <w:rFonts w:ascii="Cambria" w:hAnsi="Cambria"/>
      <w:b/>
      <w:bCs/>
      <w:sz w:val="28"/>
      <w:szCs w:val="28"/>
    </w:rPr>
  </w:style>
  <w:style w:type="character" w:customStyle="1" w:styleId="201">
    <w:name w:val="标题 5 字符"/>
    <w:link w:val="196"/>
    <w:qFormat/>
    <w:uiPriority w:val="9"/>
    <w:rPr>
      <w:b/>
      <w:bCs/>
      <w:sz w:val="28"/>
      <w:szCs w:val="28"/>
    </w:rPr>
  </w:style>
  <w:style w:type="paragraph" w:customStyle="1" w:styleId="202">
    <w:name w:val="引文目录1"/>
    <w:basedOn w:val="1"/>
    <w:next w:val="1"/>
    <w:qFormat/>
    <w:uiPriority w:val="0"/>
    <w:pPr>
      <w:ind w:left="420"/>
    </w:pPr>
  </w:style>
  <w:style w:type="paragraph" w:customStyle="1" w:styleId="203">
    <w:name w:val="题注1"/>
    <w:basedOn w:val="1"/>
    <w:next w:val="1"/>
    <w:qFormat/>
    <w:uiPriority w:val="35"/>
    <w:pPr>
      <w:spacing w:before="156" w:after="156" w:line="360" w:lineRule="auto"/>
      <w:jc w:val="center"/>
    </w:pPr>
    <w:rPr>
      <w:rFonts w:ascii="Arial" w:hAnsi="Arial" w:cs="Arial"/>
      <w:sz w:val="24"/>
      <w:szCs w:val="20"/>
    </w:rPr>
  </w:style>
  <w:style w:type="paragraph" w:customStyle="1" w:styleId="204">
    <w:name w:val="文档结构图1"/>
    <w:basedOn w:val="1"/>
    <w:semiHidden/>
    <w:qFormat/>
    <w:uiPriority w:val="0"/>
    <w:pPr>
      <w:shd w:val="clear" w:color="auto" w:fill="000080"/>
    </w:pPr>
  </w:style>
  <w:style w:type="paragraph" w:customStyle="1" w:styleId="205">
    <w:name w:val="批注文字1"/>
    <w:basedOn w:val="1"/>
    <w:link w:val="206"/>
    <w:unhideWhenUsed/>
    <w:qFormat/>
    <w:uiPriority w:val="0"/>
    <w:pPr>
      <w:jc w:val="left"/>
    </w:pPr>
  </w:style>
  <w:style w:type="character" w:customStyle="1" w:styleId="206">
    <w:name w:val="批注文字 字符"/>
    <w:link w:val="205"/>
    <w:qFormat/>
    <w:uiPriority w:val="99"/>
    <w:rPr>
      <w:sz w:val="21"/>
      <w:szCs w:val="24"/>
    </w:rPr>
  </w:style>
  <w:style w:type="paragraph" w:customStyle="1" w:styleId="207">
    <w:name w:val="正文文本 31"/>
    <w:basedOn w:val="1"/>
    <w:qFormat/>
    <w:uiPriority w:val="0"/>
    <w:rPr>
      <w:rFonts w:ascii="方正楷体_GB2312" w:hAnsi="Arial" w:eastAsia="方正楷体_GB2312" w:cs="Arial"/>
      <w:b/>
      <w:bCs/>
      <w:color w:val="000000"/>
      <w:sz w:val="24"/>
    </w:rPr>
  </w:style>
  <w:style w:type="paragraph" w:customStyle="1" w:styleId="208">
    <w:name w:val="正文文本1"/>
    <w:basedOn w:val="1"/>
    <w:next w:val="209"/>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9">
    <w:name w:val="目录 21"/>
    <w:basedOn w:val="1"/>
    <w:next w:val="1"/>
    <w:semiHidden/>
    <w:qFormat/>
    <w:uiPriority w:val="0"/>
    <w:pPr>
      <w:ind w:left="420"/>
    </w:pPr>
    <w:rPr>
      <w:szCs w:val="20"/>
    </w:rPr>
  </w:style>
  <w:style w:type="paragraph" w:customStyle="1" w:styleId="210">
    <w:name w:val="正文文本缩进11"/>
    <w:basedOn w:val="1"/>
    <w:next w:val="211"/>
    <w:qFormat/>
    <w:uiPriority w:val="0"/>
    <w:pPr>
      <w:ind w:firstLine="630"/>
    </w:pPr>
    <w:rPr>
      <w:rFonts w:ascii="方正楷体_GB2312" w:eastAsia="方正楷体_GB2312"/>
      <w:sz w:val="32"/>
      <w:szCs w:val="20"/>
    </w:rPr>
  </w:style>
  <w:style w:type="paragraph" w:customStyle="1" w:styleId="211">
    <w:name w:val="寄信人地址1"/>
    <w:basedOn w:val="1"/>
    <w:qFormat/>
    <w:uiPriority w:val="0"/>
    <w:rPr>
      <w:rFonts w:ascii="Arial" w:hAnsi="Arial"/>
    </w:rPr>
  </w:style>
  <w:style w:type="paragraph" w:customStyle="1" w:styleId="212">
    <w:name w:val="文本块1"/>
    <w:basedOn w:val="1"/>
    <w:qFormat/>
    <w:uiPriority w:val="0"/>
    <w:pPr>
      <w:ind w:left="420" w:right="33"/>
      <w:jc w:val="left"/>
    </w:pPr>
    <w:rPr>
      <w:sz w:val="24"/>
      <w:szCs w:val="20"/>
    </w:rPr>
  </w:style>
  <w:style w:type="paragraph" w:customStyle="1" w:styleId="213">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14">
    <w:name w:val="纯文本11"/>
    <w:basedOn w:val="1"/>
    <w:next w:val="215"/>
    <w:link w:val="216"/>
    <w:qFormat/>
    <w:uiPriority w:val="0"/>
    <w:rPr>
      <w:rFonts w:ascii="宋体" w:hAnsi="Courier New"/>
      <w:szCs w:val="20"/>
    </w:rPr>
  </w:style>
  <w:style w:type="paragraph" w:customStyle="1" w:styleId="21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16">
    <w:name w:val="纯文本 字符"/>
    <w:link w:val="214"/>
    <w:qFormat/>
    <w:uiPriority w:val="0"/>
    <w:rPr>
      <w:rFonts w:ascii="宋体" w:hAnsi="Courier New" w:eastAsia="宋体"/>
      <w:sz w:val="21"/>
      <w:lang w:val="en-US" w:eastAsia="zh-CN" w:bidi="ar-SA"/>
    </w:rPr>
  </w:style>
  <w:style w:type="paragraph" w:customStyle="1" w:styleId="217">
    <w:name w:val="正文文本缩进 21"/>
    <w:basedOn w:val="1"/>
    <w:qFormat/>
    <w:uiPriority w:val="0"/>
    <w:pPr>
      <w:spacing w:after="120" w:line="480" w:lineRule="auto"/>
      <w:ind w:left="420"/>
    </w:pPr>
  </w:style>
  <w:style w:type="paragraph" w:customStyle="1" w:styleId="218">
    <w:name w:val="批注框文本1"/>
    <w:basedOn w:val="1"/>
    <w:link w:val="219"/>
    <w:qFormat/>
    <w:uiPriority w:val="0"/>
    <w:rPr>
      <w:sz w:val="18"/>
      <w:szCs w:val="18"/>
    </w:rPr>
  </w:style>
  <w:style w:type="character" w:customStyle="1" w:styleId="219">
    <w:name w:val="批注框文本 字符"/>
    <w:link w:val="218"/>
    <w:qFormat/>
    <w:uiPriority w:val="0"/>
    <w:rPr>
      <w:sz w:val="18"/>
      <w:szCs w:val="18"/>
    </w:rPr>
  </w:style>
  <w:style w:type="paragraph" w:customStyle="1" w:styleId="220">
    <w:name w:val="页脚11"/>
    <w:basedOn w:val="1"/>
    <w:link w:val="221"/>
    <w:qFormat/>
    <w:uiPriority w:val="99"/>
    <w:pPr>
      <w:tabs>
        <w:tab w:val="center" w:pos="4153"/>
        <w:tab w:val="right" w:pos="8306"/>
      </w:tabs>
      <w:jc w:val="left"/>
    </w:pPr>
    <w:rPr>
      <w:sz w:val="18"/>
      <w:szCs w:val="18"/>
    </w:rPr>
  </w:style>
  <w:style w:type="character" w:customStyle="1" w:styleId="221">
    <w:name w:val="页脚 字符"/>
    <w:link w:val="220"/>
    <w:qFormat/>
    <w:uiPriority w:val="99"/>
    <w:rPr>
      <w:sz w:val="18"/>
      <w:szCs w:val="18"/>
    </w:rPr>
  </w:style>
  <w:style w:type="paragraph" w:customStyle="1" w:styleId="222">
    <w:name w:val="页眉1"/>
    <w:basedOn w:val="1"/>
    <w:link w:val="223"/>
    <w:qFormat/>
    <w:uiPriority w:val="0"/>
    <w:pPr>
      <w:pBdr>
        <w:bottom w:val="single" w:color="000000" w:sz="6" w:space="1"/>
      </w:pBdr>
      <w:tabs>
        <w:tab w:val="center" w:pos="4153"/>
        <w:tab w:val="right" w:pos="8306"/>
      </w:tabs>
      <w:jc w:val="center"/>
    </w:pPr>
    <w:rPr>
      <w:sz w:val="18"/>
      <w:szCs w:val="18"/>
    </w:rPr>
  </w:style>
  <w:style w:type="character" w:customStyle="1" w:styleId="223">
    <w:name w:val="页眉 字符"/>
    <w:link w:val="222"/>
    <w:qFormat/>
    <w:uiPriority w:val="0"/>
    <w:rPr>
      <w:sz w:val="18"/>
      <w:szCs w:val="18"/>
    </w:rPr>
  </w:style>
  <w:style w:type="paragraph" w:customStyle="1" w:styleId="224">
    <w:name w:val="目录 111"/>
    <w:basedOn w:val="1"/>
    <w:next w:val="1"/>
    <w:semiHidden/>
    <w:qFormat/>
    <w:uiPriority w:val="0"/>
  </w:style>
  <w:style w:type="paragraph" w:customStyle="1" w:styleId="225">
    <w:name w:val="目录 61"/>
    <w:basedOn w:val="1"/>
    <w:next w:val="1"/>
    <w:unhideWhenUsed/>
    <w:qFormat/>
    <w:uiPriority w:val="39"/>
    <w:pPr>
      <w:spacing w:after="57"/>
      <w:ind w:left="1417"/>
    </w:pPr>
  </w:style>
  <w:style w:type="paragraph" w:customStyle="1" w:styleId="226">
    <w:name w:val="正文文本缩进 31"/>
    <w:basedOn w:val="1"/>
    <w:qFormat/>
    <w:uiPriority w:val="99"/>
    <w:pPr>
      <w:ind w:firstLine="420"/>
    </w:pPr>
    <w:rPr>
      <w:rFonts w:eastAsia="方正楷体_GB2312"/>
    </w:rPr>
  </w:style>
  <w:style w:type="paragraph" w:customStyle="1" w:styleId="227">
    <w:name w:val="索引 91"/>
    <w:basedOn w:val="1"/>
    <w:next w:val="1"/>
    <w:unhideWhenUsed/>
    <w:qFormat/>
    <w:uiPriority w:val="99"/>
    <w:pPr>
      <w:ind w:left="1600"/>
    </w:pPr>
  </w:style>
  <w:style w:type="paragraph" w:customStyle="1" w:styleId="228">
    <w:name w:val="正文文本 21"/>
    <w:basedOn w:val="1"/>
    <w:link w:val="229"/>
    <w:qFormat/>
    <w:uiPriority w:val="99"/>
    <w:pPr>
      <w:spacing w:line="440" w:lineRule="exact"/>
    </w:pPr>
    <w:rPr>
      <w:rFonts w:ascii="方正楷体_GB2312" w:eastAsia="方正楷体_GB2312"/>
      <w:sz w:val="28"/>
    </w:rPr>
  </w:style>
  <w:style w:type="character" w:customStyle="1" w:styleId="229">
    <w:name w:val="正文文本 2 字符"/>
    <w:link w:val="228"/>
    <w:qFormat/>
    <w:uiPriority w:val="0"/>
    <w:rPr>
      <w:rFonts w:ascii="方正楷体_GB2312" w:eastAsia="方正楷体_GB2312"/>
      <w:sz w:val="28"/>
      <w:szCs w:val="24"/>
    </w:rPr>
  </w:style>
  <w:style w:type="paragraph" w:customStyle="1" w:styleId="23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31">
    <w:name w:val="批注主题1"/>
    <w:basedOn w:val="205"/>
    <w:next w:val="205"/>
    <w:link w:val="232"/>
    <w:qFormat/>
    <w:uiPriority w:val="0"/>
    <w:rPr>
      <w:b/>
      <w:bCs/>
    </w:rPr>
  </w:style>
  <w:style w:type="character" w:customStyle="1" w:styleId="232">
    <w:name w:val="批注主题 字符"/>
    <w:link w:val="231"/>
    <w:qFormat/>
    <w:uiPriority w:val="0"/>
    <w:rPr>
      <w:b/>
      <w:bCs/>
      <w:sz w:val="21"/>
      <w:szCs w:val="24"/>
    </w:rPr>
  </w:style>
  <w:style w:type="paragraph" w:customStyle="1" w:styleId="233">
    <w:name w:val="正文首行缩进1"/>
    <w:basedOn w:val="208"/>
    <w:next w:val="234"/>
    <w:qFormat/>
    <w:uiPriority w:val="0"/>
    <w:pPr>
      <w:ind w:firstLine="420"/>
    </w:pPr>
  </w:style>
  <w:style w:type="paragraph" w:customStyle="1" w:styleId="234">
    <w:name w:val="正文首行缩进 211"/>
    <w:basedOn w:val="210"/>
    <w:next w:val="1"/>
    <w:qFormat/>
    <w:uiPriority w:val="0"/>
    <w:pPr>
      <w:widowControl/>
      <w:spacing w:after="120"/>
      <w:ind w:left="420" w:firstLine="420"/>
    </w:pPr>
    <w:rPr>
      <w:rFonts w:ascii="方正仿宋_GB2312" w:eastAsia="方正仿宋_GB2312"/>
      <w:color w:val="FF6600"/>
      <w:sz w:val="21"/>
    </w:rPr>
  </w:style>
  <w:style w:type="table" w:customStyle="1" w:styleId="235">
    <w:name w:val="网格型11"/>
    <w:basedOn w:val="198"/>
    <w:qFormat/>
    <w:uiPriority w:val="99"/>
    <w:tblPr>
      <w:tblCellMar>
        <w:top w:w="0" w:type="dxa"/>
        <w:left w:w="0" w:type="dxa"/>
        <w:bottom w:w="0" w:type="dxa"/>
        <w:right w:w="0" w:type="dxa"/>
      </w:tblCellMar>
    </w:tblPr>
  </w:style>
  <w:style w:type="character" w:customStyle="1" w:styleId="236">
    <w:name w:val="要点1"/>
    <w:qFormat/>
    <w:uiPriority w:val="0"/>
  </w:style>
  <w:style w:type="character" w:customStyle="1" w:styleId="237">
    <w:name w:val="页码11"/>
    <w:qFormat/>
    <w:uiPriority w:val="0"/>
  </w:style>
  <w:style w:type="character" w:customStyle="1" w:styleId="238">
    <w:name w:val="已访问的超链接1"/>
    <w:qFormat/>
    <w:uiPriority w:val="0"/>
    <w:rPr>
      <w:color w:val="800080"/>
      <w:u w:val="none"/>
    </w:rPr>
  </w:style>
  <w:style w:type="character" w:customStyle="1" w:styleId="239">
    <w:name w:val="强调1"/>
    <w:qFormat/>
    <w:uiPriority w:val="0"/>
  </w:style>
  <w:style w:type="character" w:customStyle="1" w:styleId="240">
    <w:name w:val="HTML 定义1"/>
    <w:qFormat/>
    <w:uiPriority w:val="0"/>
  </w:style>
  <w:style w:type="character" w:customStyle="1" w:styleId="241">
    <w:name w:val="HTML 打字机1"/>
    <w:qFormat/>
    <w:uiPriority w:val="0"/>
    <w:rPr>
      <w:rFonts w:ascii="Segoe Print" w:hAnsi="Segoe Print" w:eastAsia="Segoe Print" w:cs="Segoe Print"/>
      <w:sz w:val="20"/>
    </w:rPr>
  </w:style>
  <w:style w:type="character" w:customStyle="1" w:styleId="242">
    <w:name w:val="HTML 缩写1"/>
    <w:qFormat/>
    <w:uiPriority w:val="0"/>
  </w:style>
  <w:style w:type="character" w:customStyle="1" w:styleId="243">
    <w:name w:val="HTML 变量1"/>
    <w:qFormat/>
    <w:uiPriority w:val="0"/>
  </w:style>
  <w:style w:type="character" w:customStyle="1" w:styleId="244">
    <w:name w:val="超链接1"/>
    <w:qFormat/>
    <w:uiPriority w:val="0"/>
    <w:rPr>
      <w:color w:val="0000FF"/>
      <w:u w:val="none"/>
    </w:rPr>
  </w:style>
  <w:style w:type="character" w:customStyle="1" w:styleId="245">
    <w:name w:val="HTML 代码1"/>
    <w:qFormat/>
    <w:uiPriority w:val="0"/>
    <w:rPr>
      <w:rFonts w:ascii="Segoe Print" w:hAnsi="Segoe Print" w:eastAsia="Segoe Print" w:cs="Segoe Print"/>
      <w:sz w:val="20"/>
    </w:rPr>
  </w:style>
  <w:style w:type="character" w:customStyle="1" w:styleId="246">
    <w:name w:val="批注引用1"/>
    <w:qFormat/>
    <w:uiPriority w:val="0"/>
    <w:rPr>
      <w:sz w:val="21"/>
      <w:szCs w:val="21"/>
    </w:rPr>
  </w:style>
  <w:style w:type="character" w:customStyle="1" w:styleId="247">
    <w:name w:val="HTML 引文1"/>
    <w:qFormat/>
    <w:uiPriority w:val="0"/>
  </w:style>
  <w:style w:type="character" w:customStyle="1" w:styleId="248">
    <w:name w:val="HTML 键盘1"/>
    <w:qFormat/>
    <w:uiPriority w:val="0"/>
    <w:rPr>
      <w:rFonts w:ascii="Segoe Print" w:hAnsi="Segoe Print" w:eastAsia="Segoe Print" w:cs="Segoe Print"/>
      <w:sz w:val="20"/>
    </w:rPr>
  </w:style>
  <w:style w:type="character" w:customStyle="1" w:styleId="249">
    <w:name w:val="HTML 样本1"/>
    <w:qFormat/>
    <w:uiPriority w:val="0"/>
    <w:rPr>
      <w:rFonts w:ascii="Segoe Print" w:hAnsi="Segoe Print" w:eastAsia="Segoe Print" w:cs="Segoe Print"/>
    </w:rPr>
  </w:style>
  <w:style w:type="paragraph" w:customStyle="1" w:styleId="25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51">
    <w:name w:val="正文1"/>
    <w:basedOn w:val="252"/>
    <w:next w:val="1"/>
    <w:qFormat/>
    <w:uiPriority w:val="0"/>
    <w:pPr>
      <w:tabs>
        <w:tab w:val="left" w:pos="1110"/>
      </w:tabs>
      <w:spacing w:before="120" w:after="120" w:line="180" w:lineRule="auto"/>
      <w:ind w:firstLine="200"/>
      <w:contextualSpacing/>
    </w:pPr>
    <w:rPr>
      <w:rFonts w:ascii="Times New Roman" w:hAnsi="Times New Roman" w:eastAsia="励字仿宋GB"/>
    </w:rPr>
  </w:style>
  <w:style w:type="paragraph" w:customStyle="1" w:styleId="252">
    <w:name w:val="样式1"/>
    <w:basedOn w:val="1"/>
    <w:next w:val="195"/>
    <w:qFormat/>
    <w:uiPriority w:val="0"/>
    <w:pPr>
      <w:tabs>
        <w:tab w:val="left" w:pos="1110"/>
      </w:tabs>
      <w:ind w:left="432" w:firstLine="288"/>
    </w:pPr>
    <w:rPr>
      <w:rFonts w:ascii="宋体" w:hAnsi="宋体"/>
      <w:szCs w:val="21"/>
    </w:rPr>
  </w:style>
  <w:style w:type="character" w:customStyle="1" w:styleId="253">
    <w:name w:val="hour_pm"/>
    <w:qFormat/>
    <w:uiPriority w:val="0"/>
  </w:style>
  <w:style w:type="character" w:customStyle="1" w:styleId="254">
    <w:name w:val="Font Style37"/>
    <w:qFormat/>
    <w:uiPriority w:val="0"/>
    <w:rPr>
      <w:rFonts w:ascii="Arial" w:hAnsi="Arial" w:cs="Arial"/>
      <w:sz w:val="16"/>
      <w:szCs w:val="16"/>
    </w:rPr>
  </w:style>
  <w:style w:type="character" w:customStyle="1" w:styleId="255">
    <w:name w:val="Plain Text Char"/>
    <w:qFormat/>
    <w:uiPriority w:val="0"/>
    <w:rPr>
      <w:rFonts w:ascii="宋体" w:hAnsi="Courier New" w:eastAsia="宋体"/>
      <w:sz w:val="21"/>
      <w:lang w:val="en-US" w:eastAsia="zh-CN" w:bidi="ar-SA"/>
    </w:rPr>
  </w:style>
  <w:style w:type="character" w:customStyle="1" w:styleId="256">
    <w:name w:val="hour_am"/>
    <w:qFormat/>
    <w:uiPriority w:val="0"/>
  </w:style>
  <w:style w:type="character" w:customStyle="1" w:styleId="257">
    <w:name w:val="old"/>
    <w:qFormat/>
    <w:uiPriority w:val="0"/>
    <w:rPr>
      <w:color w:val="999999"/>
    </w:rPr>
  </w:style>
  <w:style w:type="character" w:customStyle="1" w:styleId="258">
    <w:name w:val="glyphicon"/>
    <w:qFormat/>
    <w:uiPriority w:val="0"/>
  </w:style>
  <w:style w:type="character" w:customStyle="1" w:styleId="259">
    <w:name w:val="Font Style29"/>
    <w:qFormat/>
    <w:uiPriority w:val="0"/>
    <w:rPr>
      <w:rFonts w:ascii="Arial" w:hAnsi="Arial" w:cs="Arial"/>
      <w:sz w:val="14"/>
      <w:szCs w:val="14"/>
    </w:rPr>
  </w:style>
  <w:style w:type="character" w:customStyle="1" w:styleId="260">
    <w:name w:val="标题 2 Char"/>
    <w:qFormat/>
    <w:uiPriority w:val="0"/>
    <w:rPr>
      <w:rFonts w:ascii="Arial" w:hAnsi="Arial" w:eastAsia="黑体"/>
      <w:b/>
      <w:sz w:val="32"/>
      <w:lang w:val="en-US" w:eastAsia="zh-CN"/>
    </w:rPr>
  </w:style>
  <w:style w:type="character" w:customStyle="1" w:styleId="261">
    <w:name w:val="Font Style30"/>
    <w:qFormat/>
    <w:uiPriority w:val="0"/>
    <w:rPr>
      <w:rFonts w:ascii="宋体" w:eastAsia="宋体" w:cs="宋体"/>
      <w:sz w:val="14"/>
      <w:szCs w:val="14"/>
    </w:rPr>
  </w:style>
  <w:style w:type="character" w:customStyle="1" w:styleId="262">
    <w:name w:val="hover"/>
    <w:qFormat/>
    <w:uiPriority w:val="0"/>
    <w:rPr>
      <w:shd w:val="clear" w:color="auto" w:fill="EEEEEE"/>
    </w:rPr>
  </w:style>
  <w:style w:type="character" w:customStyle="1" w:styleId="263">
    <w:name w:val="Font Style36"/>
    <w:qFormat/>
    <w:uiPriority w:val="0"/>
    <w:rPr>
      <w:rFonts w:ascii="宋体" w:eastAsia="宋体" w:cs="宋体"/>
      <w:sz w:val="16"/>
      <w:szCs w:val="16"/>
    </w:rPr>
  </w:style>
  <w:style w:type="character" w:customStyle="1" w:styleId="264">
    <w:name w:val="Font Style28"/>
    <w:qFormat/>
    <w:uiPriority w:val="0"/>
    <w:rPr>
      <w:rFonts w:ascii="Constantia" w:hAnsi="Constantia" w:cs="Constantia"/>
      <w:sz w:val="28"/>
      <w:szCs w:val="28"/>
    </w:rPr>
  </w:style>
  <w:style w:type="paragraph" w:customStyle="1" w:styleId="265">
    <w:name w:val="正文（无缩进）"/>
    <w:basedOn w:val="1"/>
    <w:qFormat/>
    <w:uiPriority w:val="0"/>
    <w:pPr>
      <w:spacing w:line="360" w:lineRule="auto"/>
    </w:pPr>
    <w:rPr>
      <w:rFonts w:ascii="Calibri" w:hAnsi="Calibri"/>
      <w:sz w:val="24"/>
      <w:szCs w:val="21"/>
    </w:rPr>
  </w:style>
  <w:style w:type="paragraph" w:customStyle="1" w:styleId="266">
    <w:name w:val="标题1"/>
    <w:basedOn w:val="191"/>
    <w:next w:val="1"/>
    <w:qFormat/>
    <w:uiPriority w:val="0"/>
    <w:pPr>
      <w:numPr>
        <w:ilvl w:val="0"/>
        <w:numId w:val="1"/>
      </w:numPr>
      <w:spacing w:line="578" w:lineRule="atLeast"/>
      <w:jc w:val="left"/>
    </w:pPr>
  </w:style>
  <w:style w:type="paragraph" w:customStyle="1" w:styleId="267">
    <w:name w:val="我的样式"/>
    <w:basedOn w:val="191"/>
    <w:next w:val="1"/>
    <w:qFormat/>
    <w:uiPriority w:val="0"/>
    <w:pPr>
      <w:numPr>
        <w:ilvl w:val="0"/>
        <w:numId w:val="2"/>
      </w:numPr>
      <w:spacing w:line="360" w:lineRule="auto"/>
    </w:pPr>
    <w:rPr>
      <w:rFonts w:ascii="方正仿宋_GB2312" w:eastAsia="方正仿宋_GB2312"/>
      <w:sz w:val="32"/>
      <w:szCs w:val="30"/>
    </w:rPr>
  </w:style>
  <w:style w:type="paragraph" w:customStyle="1" w:styleId="268">
    <w:name w:val="默认段落字体 Para Char Char Char Char Char Char Char Char Char1 Char Char Char Char Char Char Char"/>
    <w:basedOn w:val="204"/>
    <w:qFormat/>
    <w:uiPriority w:val="0"/>
    <w:rPr>
      <w:rFonts w:ascii="Tahoma" w:hAnsi="Tahoma"/>
      <w:sz w:val="24"/>
    </w:rPr>
  </w:style>
  <w:style w:type="paragraph" w:customStyle="1" w:styleId="269">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70">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1">
    <w:name w:val="Style9"/>
    <w:basedOn w:val="1"/>
    <w:qFormat/>
    <w:uiPriority w:val="0"/>
    <w:pPr>
      <w:jc w:val="left"/>
    </w:pPr>
    <w:rPr>
      <w:rFonts w:ascii="宋体"/>
      <w:sz w:val="24"/>
    </w:rPr>
  </w:style>
  <w:style w:type="paragraph" w:customStyle="1" w:styleId="272">
    <w:name w:val="Char Char1 Char Char Char Char Char Char"/>
    <w:basedOn w:val="1"/>
    <w:qFormat/>
    <w:uiPriority w:val="0"/>
    <w:pPr>
      <w:widowControl/>
      <w:jc w:val="center"/>
    </w:pPr>
    <w:rPr>
      <w:rFonts w:ascii="宋体" w:hAnsi="宋体"/>
      <w:b/>
      <w:sz w:val="24"/>
      <w:lang w:eastAsia="en-US"/>
    </w:rPr>
  </w:style>
  <w:style w:type="paragraph" w:customStyle="1" w:styleId="273">
    <w:name w:val="_Style 56"/>
    <w:basedOn w:val="204"/>
    <w:qFormat/>
    <w:uiPriority w:val="0"/>
    <w:pPr>
      <w:spacing w:line="436" w:lineRule="exact"/>
    </w:pPr>
    <w:rPr>
      <w:szCs w:val="20"/>
    </w:rPr>
  </w:style>
  <w:style w:type="paragraph" w:customStyle="1" w:styleId="274">
    <w:name w:val="Style10"/>
    <w:basedOn w:val="1"/>
    <w:qFormat/>
    <w:uiPriority w:val="0"/>
    <w:pPr>
      <w:jc w:val="left"/>
    </w:pPr>
    <w:rPr>
      <w:rFonts w:ascii="宋体"/>
      <w:sz w:val="24"/>
    </w:rPr>
  </w:style>
  <w:style w:type="paragraph" w:customStyle="1" w:styleId="275">
    <w:name w:val="Char Char Char Char"/>
    <w:basedOn w:val="204"/>
    <w:qFormat/>
    <w:uiPriority w:val="0"/>
    <w:pPr>
      <w:spacing w:line="360" w:lineRule="auto"/>
    </w:pPr>
    <w:rPr>
      <w:rFonts w:ascii="Tahoma" w:hAnsi="Tahoma"/>
      <w:sz w:val="24"/>
    </w:rPr>
  </w:style>
  <w:style w:type="paragraph" w:customStyle="1" w:styleId="276">
    <w:name w:val="正文（缩进） Char1"/>
    <w:basedOn w:val="1"/>
    <w:qFormat/>
    <w:uiPriority w:val="0"/>
    <w:pPr>
      <w:spacing w:before="156" w:after="156" w:line="360" w:lineRule="auto"/>
      <w:ind w:firstLine="480"/>
    </w:pPr>
    <w:rPr>
      <w:sz w:val="24"/>
    </w:rPr>
  </w:style>
  <w:style w:type="paragraph" w:customStyle="1" w:styleId="277">
    <w:name w:val="普通正文"/>
    <w:basedOn w:val="1"/>
    <w:qFormat/>
    <w:uiPriority w:val="0"/>
    <w:pPr>
      <w:spacing w:before="120" w:after="120" w:line="360" w:lineRule="auto"/>
      <w:ind w:firstLine="480"/>
      <w:jc w:val="left"/>
    </w:pPr>
    <w:rPr>
      <w:rFonts w:ascii="Arial" w:hAnsi="Arial"/>
      <w:sz w:val="24"/>
    </w:rPr>
  </w:style>
  <w:style w:type="paragraph" w:customStyle="1" w:styleId="278">
    <w:name w:val="修订1"/>
    <w:semiHidden/>
    <w:qFormat/>
    <w:uiPriority w:val="99"/>
    <w:rPr>
      <w:rFonts w:ascii="Times New Roman" w:hAnsi="Times New Roman" w:eastAsia="宋体" w:cs="Times New Roman"/>
      <w:sz w:val="21"/>
      <w:szCs w:val="24"/>
      <w:lang w:val="en-US" w:eastAsia="zh-CN" w:bidi="ar-SA"/>
    </w:rPr>
  </w:style>
  <w:style w:type="paragraph" w:customStyle="1" w:styleId="279">
    <w:name w:val="Char"/>
    <w:basedOn w:val="1"/>
    <w:qFormat/>
    <w:uiPriority w:val="0"/>
    <w:pPr>
      <w:tabs>
        <w:tab w:val="left" w:pos="420"/>
      </w:tabs>
      <w:ind w:left="420" w:hanging="420"/>
      <w:jc w:val="left"/>
    </w:pPr>
    <w:rPr>
      <w:szCs w:val="20"/>
    </w:rPr>
  </w:style>
  <w:style w:type="paragraph" w:customStyle="1" w:styleId="280">
    <w:name w:val="文档正文"/>
    <w:basedOn w:val="1"/>
    <w:qFormat/>
    <w:uiPriority w:val="0"/>
    <w:pPr>
      <w:spacing w:line="480" w:lineRule="atLeast"/>
      <w:ind w:firstLine="567"/>
    </w:pPr>
    <w:rPr>
      <w:rFonts w:ascii="方正仿宋_GB2312"/>
      <w:szCs w:val="20"/>
    </w:rPr>
  </w:style>
  <w:style w:type="paragraph" w:customStyle="1" w:styleId="281">
    <w:name w:val="要点标题"/>
    <w:basedOn w:val="1"/>
    <w:qFormat/>
    <w:uiPriority w:val="0"/>
    <w:pPr>
      <w:numPr>
        <w:ilvl w:val="0"/>
        <w:numId w:val="3"/>
      </w:numPr>
      <w:jc w:val="left"/>
    </w:pPr>
    <w:rPr>
      <w:rFonts w:ascii="宋体" w:hAnsi="宋体"/>
      <w:b/>
      <w:sz w:val="24"/>
    </w:rPr>
  </w:style>
  <w:style w:type="paragraph" w:customStyle="1" w:styleId="282">
    <w:name w:val="Style11"/>
    <w:basedOn w:val="1"/>
    <w:qFormat/>
    <w:uiPriority w:val="0"/>
    <w:pPr>
      <w:spacing w:line="446" w:lineRule="exact"/>
      <w:jc w:val="left"/>
    </w:pPr>
    <w:rPr>
      <w:rFonts w:ascii="宋体"/>
      <w:sz w:val="24"/>
    </w:rPr>
  </w:style>
  <w:style w:type="paragraph" w:customStyle="1" w:styleId="283">
    <w:name w:val="Char1"/>
    <w:basedOn w:val="1"/>
    <w:qFormat/>
    <w:uiPriority w:val="0"/>
    <w:pPr>
      <w:tabs>
        <w:tab w:val="left" w:pos="840"/>
      </w:tabs>
      <w:ind w:left="840" w:hanging="420"/>
    </w:pPr>
    <w:rPr>
      <w:sz w:val="24"/>
    </w:rPr>
  </w:style>
  <w:style w:type="paragraph" w:customStyle="1" w:styleId="284">
    <w:name w:val="Char2"/>
    <w:basedOn w:val="1"/>
    <w:qFormat/>
    <w:uiPriority w:val="0"/>
    <w:pPr>
      <w:tabs>
        <w:tab w:val="left" w:pos="360"/>
      </w:tabs>
    </w:pPr>
    <w:rPr>
      <w:sz w:val="24"/>
    </w:rPr>
  </w:style>
  <w:style w:type="paragraph" w:customStyle="1" w:styleId="285">
    <w:name w:val="Style12"/>
    <w:basedOn w:val="1"/>
    <w:qFormat/>
    <w:uiPriority w:val="0"/>
    <w:pPr>
      <w:jc w:val="left"/>
    </w:pPr>
    <w:rPr>
      <w:rFonts w:ascii="宋体"/>
      <w:sz w:val="24"/>
    </w:rPr>
  </w:style>
  <w:style w:type="paragraph" w:customStyle="1" w:styleId="286">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87">
    <w:name w:val="首行缩进"/>
    <w:basedOn w:val="1"/>
    <w:qFormat/>
    <w:uiPriority w:val="0"/>
    <w:pPr>
      <w:spacing w:line="360" w:lineRule="auto"/>
      <w:ind w:firstLine="420"/>
    </w:pPr>
    <w:rPr>
      <w:sz w:val="20"/>
    </w:rPr>
  </w:style>
  <w:style w:type="paragraph" w:customStyle="1" w:styleId="288">
    <w:name w:val="Table Paragraph"/>
    <w:basedOn w:val="1"/>
    <w:qFormat/>
    <w:uiPriority w:val="1"/>
    <w:rPr>
      <w:rFonts w:ascii="仿宋" w:hAnsi="仿宋" w:eastAsia="仿宋" w:cs="仿宋"/>
      <w:lang w:val="zh-CN" w:bidi="zh-CN"/>
    </w:rPr>
  </w:style>
  <w:style w:type="paragraph" w:customStyle="1" w:styleId="289">
    <w:name w:val="[Normal]"/>
    <w:qFormat/>
    <w:uiPriority w:val="0"/>
    <w:rPr>
      <w:rFonts w:ascii="方正仿宋简体" w:hAnsi="方正仿宋简体" w:eastAsia="方正仿宋简体" w:cs="Courier New"/>
      <w:sz w:val="24"/>
      <w:szCs w:val="22"/>
      <w:lang w:val="zh-CN" w:eastAsia="zh-CN" w:bidi="ar-SA"/>
    </w:rPr>
  </w:style>
  <w:style w:type="paragraph" w:customStyle="1" w:styleId="290">
    <w:name w:val="目录 11"/>
    <w:basedOn w:val="1"/>
    <w:qFormat/>
    <w:uiPriority w:val="0"/>
    <w:rPr>
      <w:rFonts w:ascii="Calibri" w:hAnsi="Calibri"/>
    </w:rPr>
  </w:style>
  <w:style w:type="paragraph" w:customStyle="1" w:styleId="291">
    <w:name w:val="正文首行缩进 21"/>
    <w:basedOn w:val="292"/>
    <w:qFormat/>
    <w:uiPriority w:val="0"/>
    <w:pPr>
      <w:widowControl/>
      <w:spacing w:after="120"/>
      <w:ind w:left="420" w:firstLine="420"/>
    </w:pPr>
    <w:rPr>
      <w:rFonts w:ascii="方正仿宋_GB2312" w:eastAsia="方正仿宋_GB2312"/>
      <w:color w:val="FF6600"/>
      <w:sz w:val="21"/>
    </w:rPr>
  </w:style>
  <w:style w:type="paragraph" w:customStyle="1" w:styleId="292">
    <w:name w:val="正文文本缩进1"/>
    <w:basedOn w:val="1"/>
    <w:qFormat/>
    <w:uiPriority w:val="0"/>
    <w:pPr>
      <w:ind w:firstLine="630"/>
    </w:pPr>
    <w:rPr>
      <w:rFonts w:ascii="方正楷体_GB2312" w:eastAsia="方正楷体_GB2312"/>
      <w:sz w:val="32"/>
      <w:szCs w:val="20"/>
    </w:rPr>
  </w:style>
  <w:style w:type="paragraph" w:customStyle="1" w:styleId="293">
    <w:name w:val="正文缩进1"/>
    <w:basedOn w:val="1"/>
    <w:qFormat/>
    <w:uiPriority w:val="0"/>
    <w:pPr>
      <w:ind w:firstLine="420"/>
    </w:pPr>
    <w:rPr>
      <w:szCs w:val="20"/>
      <w:lang w:eastAsia="en-US"/>
    </w:rPr>
  </w:style>
  <w:style w:type="paragraph" w:customStyle="1" w:styleId="294">
    <w:name w:val="纯文本1"/>
    <w:basedOn w:val="1"/>
    <w:qFormat/>
    <w:uiPriority w:val="0"/>
    <w:rPr>
      <w:rFonts w:ascii="宋体" w:hAnsi="Courier New"/>
      <w:szCs w:val="20"/>
    </w:rPr>
  </w:style>
  <w:style w:type="paragraph" w:customStyle="1" w:styleId="295">
    <w:name w:val="列出段落1"/>
    <w:basedOn w:val="1"/>
    <w:qFormat/>
    <w:uiPriority w:val="0"/>
    <w:pPr>
      <w:ind w:firstLine="420"/>
    </w:pPr>
    <w:rPr>
      <w:szCs w:val="20"/>
    </w:rPr>
  </w:style>
  <w:style w:type="paragraph" w:customStyle="1" w:styleId="296">
    <w:name w:val="页脚1"/>
    <w:basedOn w:val="1"/>
    <w:link w:val="297"/>
    <w:qFormat/>
    <w:uiPriority w:val="0"/>
    <w:pPr>
      <w:tabs>
        <w:tab w:val="center" w:pos="4153"/>
        <w:tab w:val="right" w:pos="8306"/>
      </w:tabs>
      <w:jc w:val="left"/>
    </w:pPr>
    <w:rPr>
      <w:sz w:val="18"/>
      <w:szCs w:val="18"/>
    </w:rPr>
  </w:style>
  <w:style w:type="character" w:customStyle="1" w:styleId="297">
    <w:name w:val="页脚 Char"/>
    <w:link w:val="296"/>
    <w:qFormat/>
    <w:uiPriority w:val="0"/>
    <w:rPr>
      <w:sz w:val="18"/>
      <w:szCs w:val="18"/>
    </w:rPr>
  </w:style>
  <w:style w:type="table" w:customStyle="1" w:styleId="298">
    <w:name w:val="网格型1"/>
    <w:basedOn w:val="198"/>
    <w:qFormat/>
    <w:uiPriority w:val="0"/>
    <w:rPr>
      <w:rFonts w:cs="Times New Roman"/>
    </w:rPr>
    <w:tblPr>
      <w:tblCellMar>
        <w:top w:w="0" w:type="dxa"/>
        <w:left w:w="0" w:type="dxa"/>
        <w:bottom w:w="0" w:type="dxa"/>
        <w:right w:w="0" w:type="dxa"/>
      </w:tblCellMar>
    </w:tblPr>
  </w:style>
  <w:style w:type="character" w:customStyle="1" w:styleId="299">
    <w:name w:val="页码1"/>
    <w:qFormat/>
    <w:uiPriority w:val="0"/>
  </w:style>
  <w:style w:type="character" w:customStyle="1" w:styleId="300">
    <w:name w:val="font51"/>
    <w:basedOn w:val="37"/>
    <w:qFormat/>
    <w:uiPriority w:val="0"/>
    <w:rPr>
      <w:rFonts w:hint="eastAsia" w:ascii="宋体" w:hAnsi="宋体" w:eastAsia="宋体"/>
      <w:color w:val="000000"/>
      <w:sz w:val="22"/>
      <w:szCs w:val="22"/>
      <w:u w:val="none"/>
    </w:rPr>
  </w:style>
  <w:style w:type="character" w:customStyle="1" w:styleId="301">
    <w:name w:val="font61"/>
    <w:qFormat/>
    <w:uiPriority w:val="0"/>
    <w:rPr>
      <w:sz w:val="21"/>
      <w:szCs w:val="24"/>
      <w:lang w:val="en-US" w:eastAsia="zh-CN" w:bidi="ar-SA"/>
    </w:rPr>
  </w:style>
  <w:style w:type="character" w:customStyle="1" w:styleId="302">
    <w:name w:val="font71"/>
    <w:qFormat/>
    <w:uiPriority w:val="0"/>
    <w:rPr>
      <w:rFonts w:hint="eastAsia" w:ascii="宋体" w:hAnsi="宋体" w:eastAsia="宋体"/>
      <w:b/>
      <w:bCs/>
      <w:color w:val="000000"/>
      <w:sz w:val="22"/>
      <w:szCs w:val="22"/>
      <w:u w:val="none"/>
    </w:rPr>
  </w:style>
  <w:style w:type="character" w:customStyle="1" w:styleId="303">
    <w:name w:val="NormalCharacter1"/>
    <w:semiHidden/>
    <w:qFormat/>
    <w:uiPriority w:val="0"/>
    <w:rPr>
      <w:sz w:val="21"/>
      <w:szCs w:val="24"/>
      <w:lang w:val="en-US" w:eastAsia="zh-CN" w:bidi="ar-SA"/>
    </w:rPr>
  </w:style>
  <w:style w:type="character" w:customStyle="1" w:styleId="304">
    <w:name w:val="font91"/>
    <w:qFormat/>
    <w:uiPriority w:val="0"/>
    <w:rPr>
      <w:rFonts w:ascii="Arial" w:hAnsi="Arial" w:cs="Arial"/>
      <w:color w:val="000000"/>
      <w:sz w:val="22"/>
      <w:szCs w:val="22"/>
      <w:u w:val="none"/>
    </w:rPr>
  </w:style>
  <w:style w:type="character" w:customStyle="1" w:styleId="305">
    <w:name w:val="font41"/>
    <w:qFormat/>
    <w:uiPriority w:val="0"/>
    <w:rPr>
      <w:rFonts w:ascii="宋体" w:hAnsi="宋体" w:eastAsia="宋体" w:cs="宋体"/>
      <w:color w:val="000000"/>
      <w:sz w:val="20"/>
      <w:szCs w:val="20"/>
      <w:u w:val="none"/>
    </w:rPr>
  </w:style>
  <w:style w:type="character" w:customStyle="1" w:styleId="306">
    <w:name w:val="font111"/>
    <w:qFormat/>
    <w:uiPriority w:val="0"/>
    <w:rPr>
      <w:rFonts w:ascii="Arial" w:hAnsi="Arial" w:cs="Arial"/>
      <w:color w:val="000000"/>
      <w:sz w:val="12"/>
      <w:szCs w:val="12"/>
      <w:u w:val="none"/>
    </w:rPr>
  </w:style>
  <w:style w:type="character" w:customStyle="1" w:styleId="307">
    <w:name w:val="font101"/>
    <w:qFormat/>
    <w:uiPriority w:val="0"/>
    <w:rPr>
      <w:rFonts w:hint="eastAsia" w:ascii="宋体" w:hAnsi="宋体" w:eastAsia="宋体" w:cs="宋体"/>
      <w:color w:val="000000"/>
      <w:sz w:val="22"/>
      <w:szCs w:val="22"/>
      <w:u w:val="none"/>
    </w:rPr>
  </w:style>
  <w:style w:type="character" w:customStyle="1" w:styleId="308">
    <w:name w:val="font81"/>
    <w:qFormat/>
    <w:uiPriority w:val="0"/>
    <w:rPr>
      <w:rFonts w:ascii="Arial" w:hAnsi="Arial" w:cs="Arial"/>
      <w:color w:val="000000"/>
      <w:sz w:val="22"/>
      <w:szCs w:val="22"/>
      <w:u w:val="none"/>
    </w:rPr>
  </w:style>
  <w:style w:type="character" w:customStyle="1" w:styleId="309">
    <w:name w:val="未处理的提及1"/>
    <w:unhideWhenUsed/>
    <w:qFormat/>
    <w:uiPriority w:val="99"/>
    <w:rPr>
      <w:color w:val="605E5C"/>
      <w:shd w:val="clear" w:color="auto" w:fill="E1DFDD"/>
    </w:rPr>
  </w:style>
  <w:style w:type="paragraph" w:customStyle="1" w:styleId="310">
    <w:name w:val="Normal_13_0"/>
    <w:qFormat/>
    <w:uiPriority w:val="0"/>
    <w:rPr>
      <w:rFonts w:ascii="黑体" w:hAnsi="黑体" w:eastAsia="黑体" w:cs="Times New Roman"/>
      <w:b/>
      <w:sz w:val="32"/>
      <w:szCs w:val="24"/>
      <w:lang w:val="en-US" w:eastAsia="zh-CN" w:bidi="ar-SA"/>
    </w:rPr>
  </w:style>
  <w:style w:type="character" w:customStyle="1" w:styleId="311">
    <w:name w:val="font112"/>
    <w:qFormat/>
    <w:uiPriority w:val="0"/>
    <w:rPr>
      <w:rFonts w:hint="eastAsia" w:ascii="宋体" w:hAnsi="宋体" w:eastAsia="宋体" w:cs="宋体"/>
      <w:color w:val="000000"/>
      <w:sz w:val="21"/>
      <w:szCs w:val="21"/>
      <w:u w:val="none"/>
    </w:rPr>
  </w:style>
  <w:style w:type="paragraph" w:customStyle="1" w:styleId="312">
    <w:name w:val="正文文本11"/>
    <w:basedOn w:val="1"/>
    <w:next w:val="193"/>
    <w:qFormat/>
    <w:uiPriority w:val="0"/>
    <w:rPr>
      <w:rFonts w:ascii="方正楷体_GB2312" w:hAnsi="Arial" w:eastAsia="方正楷体_GB2312"/>
      <w:sz w:val="28"/>
      <w:szCs w:val="28"/>
    </w:rPr>
  </w:style>
  <w:style w:type="table" w:customStyle="1" w:styleId="313">
    <w:name w:val="表"/>
    <w:basedOn w:val="35"/>
    <w:qFormat/>
    <w:uiPriority w:val="39"/>
    <w:pPr>
      <w:contextualSpacing/>
    </w:pPr>
    <w:rPr>
      <w:rFonts w:asciiTheme="minorHAnsi" w:hAnsiTheme="minorHAnsi" w:eastAsiaTheme="minorEastAsia" w:cstheme="minorBidi"/>
      <w:sz w:val="24"/>
    </w:rPr>
    <w:tblP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
  </w:style>
  <w:style w:type="paragraph" w:customStyle="1" w:styleId="314">
    <w:name w:val="表格文字"/>
    <w:next w:val="14"/>
    <w:qFormat/>
    <w:uiPriority w:val="99"/>
    <w:pPr>
      <w:widowControl w:val="0"/>
      <w:spacing w:line="360" w:lineRule="auto"/>
      <w:ind w:firstLine="964" w:firstLineChars="200"/>
      <w:jc w:val="both"/>
    </w:pPr>
    <w:rPr>
      <w:rFonts w:ascii="宋体" w:hAnsi="宋体" w:eastAsia="宋体" w:cs="宋体"/>
      <w:kern w:val="2"/>
      <w:sz w:val="24"/>
      <w:szCs w:val="24"/>
      <w:lang w:val="en-US" w:eastAsia="zh-CN" w:bidi="ar-SA"/>
    </w:rPr>
  </w:style>
  <w:style w:type="paragraph" w:customStyle="1" w:styleId="315">
    <w:name w:val="表格用"/>
    <w:basedOn w:val="1"/>
    <w:autoRedefine/>
    <w:qFormat/>
    <w:uiPriority w:val="99"/>
    <w:rPr>
      <w:rFonts w:eastAsiaTheme="minorEastAsia" w:cstheme="minorBidi"/>
      <w:szCs w:val="21"/>
      <w14:ligatures w14:val="standardContextual"/>
    </w:rPr>
  </w:style>
  <w:style w:type="paragraph" w:customStyle="1" w:styleId="316">
    <w:name w:val="正文样式"/>
    <w:qFormat/>
    <w:uiPriority w:val="0"/>
    <w:pPr>
      <w:spacing w:line="360" w:lineRule="auto"/>
      <w:ind w:firstLine="480" w:firstLineChars="200"/>
      <w:jc w:val="both"/>
    </w:pPr>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79581c87-3000-4ddf-9773-b17d78eff732</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390427FF</paraID>
      <start>8</start>
      <end>16</end>
      <status>ignored</status>
      <modifiedWord/>
      <trackRevisions>false</trackRevisions>
    </reviewItem>
    <reviewItem>
      <errorID>d57c99c3-4b9e-4406-98fc-603c0cc09807</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44E90576</paraID>
      <start>34</start>
      <end>42</end>
      <status>ignored</status>
      <modifiedWord/>
      <trackRevisions>false</trackRevisions>
    </reviewItem>
    <reviewItem>
      <errorID>98d3cb28-d5a4-4120-a500-07c6754ca741</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6A26FEFD</paraID>
      <start>8</start>
      <end>16</end>
      <status>ignored</status>
      <modifiedWord/>
      <trackRevisions>false</trackRevisions>
    </reviewItem>
    <reviewItem>
      <errorID>a83e233a-822a-4ebe-9e33-49e08ffc4369</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238A292A</paraID>
      <start>11</start>
      <end>19</end>
      <status>ignored</status>
      <modifiedWord/>
      <trackRevisions>false</trackRevisions>
    </reviewItem>
    <reviewItem>
      <errorID>b6bb01e4-1281-4d3c-a080-7ce2b057dd20</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7E74C0F5</paraID>
      <start>11</start>
      <end>19</end>
      <status>ignored</status>
      <modifiedWord/>
      <trackRevisions>false</trackRevisions>
    </reviewItem>
    <reviewItem>
      <errorID>47c86b07-1a18-483e-962f-bf6d72d46f54</errorID>
      <errorWord>）</errorWord>
      <group>L1_Punc</group>
      <groupName>标点问题</groupName>
      <ability>L2_Punc_CN</ability>
      <abilityName>标点符号问题</abilityName>
      <candidateList/>
      <explain>同一形式括号套用。</explain>
      <paraID>290B9755</paraID>
      <start>82</start>
      <end>83</end>
      <status>unmodified</status>
      <modifiedWord/>
      <trackRevisions>false</trackRevisions>
    </reviewItem>
    <reviewItem>
      <errorID>f528f648-7d53-40b6-bae9-4c045fead63d</errorID>
      <errorWord>）</errorWord>
      <group>L1_Punc</group>
      <groupName>标点问题</groupName>
      <ability>L2_Punc_CN</ability>
      <abilityName>标点符号问题</abilityName>
      <candidateList/>
      <explain>同一形式括号套用。</explain>
      <paraID>4222CEBF</paraID>
      <start>51</start>
      <end>52</end>
      <status>unmodified</status>
      <modifiedWord/>
      <trackRevisions>false</trackRevisions>
    </reviewItem>
    <reviewItem>
      <errorID>c5cbae2a-2783-4eae-93e4-2aeeb6fb3a2a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19D831B4</paraID>
      <start>50</start>
      <end>51</end>
      <status>unmodified</status>
      <modifiedWord/>
      <trackRevisions>false</trackRevisions>
    </reviewItem>
    <reviewItem>
      <errorID>e49ab501-bad7-4432-a070-a1764b4a43d1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1B92C4B6</paraID>
      <start>50</start>
      <end>51</end>
      <status>unmodified</status>
      <modifiedWord/>
      <trackRevisions>false</trackRevisions>
    </reviewItem>
    <reviewItem>
      <errorID>2c41c0a1-fe28-421a-9e11-1c7594c173a3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10FFE288</paraID>
      <start>61</start>
      <end>62</end>
      <status>unmodified</status>
      <modifiedWord/>
      <trackRevisions>false</trackRevisions>
    </reviewItem>
    <reviewItem>
      <errorID>74157b3d-cd32-4c2b-94f0-7b20d2ea0763</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6331FA52</paraID>
      <start>16</start>
      <end>24</end>
      <status>ignored</status>
      <modifiedWord/>
      <trackRevisions>false</trackRevisions>
    </reviewItem>
    <reviewItem>
      <errorID>bc05a2e6-bcc3-4b5e-8cbb-ab3e3e76735a</errorID>
      <errorWord>禁忌症</errorWord>
      <group>L1_Knowledge</group>
      <groupName>知识性问题</groupName>
      <ability>L2_Term</ability>
      <abilityName>专业术语</abilityName>
      <candidateList>
        <item>禁忌证</item>
      </candidateList>
      <explain>医学名词[禁忌症]为不规范表述或旧称，其规范书面表述为[禁忌证]。</explain>
      <paraID>22438554</paraID>
      <start>6</start>
      <end>9</end>
      <status>unmodified</status>
      <modifiedWord/>
      <trackRevisions>false</trackRevisions>
    </reviewItem>
    <reviewItem>
      <errorID>2354fa1f-24b4-47bd-add1-b5eae8e4ff8b</errorID>
      <errorWord>紧密型区域医共体</errorWord>
      <group>L1_Political</group>
      <groupName>政治性问题</groupName>
      <ability>L2_Keyword</ability>
      <abilityName>固定表述</abilityName>
      <candidateList>
        <item>紧密型县域医共体</item>
      </candidateList>
      <explain>词汇“紧密型县域医共体”在特定场景下为固定表述形式，请确认此处的“紧密型区域医共体”是否存在不当。</explain>
      <paraID>3E5F1E2E</paraID>
      <start>3</start>
      <end>11</end>
      <status>ignored</status>
      <modifiedWord/>
      <trackRevisions>false</trackRevisions>
    </reviewItem>
  </reviewItems>
  <config/>
</contractReview>
</file>

<file path=customXml/itemProps1.xml><?xml version="1.0" encoding="utf-8"?>
<ds:datastoreItem xmlns:ds="http://schemas.openxmlformats.org/officeDocument/2006/customXml" ds:itemID="{a6b8f564-0741-415d-820e-1669c9117dde}">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108</Pages>
  <Words>13391</Words>
  <Characters>14302</Characters>
  <Lines>1506</Lines>
  <Paragraphs>1399</Paragraphs>
  <TotalTime>11</TotalTime>
  <ScaleCrop>false</ScaleCrop>
  <LinksUpToDate>false</LinksUpToDate>
  <CharactersWithSpaces>14313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2024-04-09T01:03:00Z</dcterms:created>
  <dc:creator>de</dc:creator>
  <cp:lastModifiedBy>F</cp:lastModifiedBy>
  <cp:lastPrinted>2026-08-04T02:49:00Z</cp:lastPrinted>
  <dcterms:modified xsi:type="dcterms:W3CDTF">2026-08-05T07:24:35Z</dcterms:modified>
  <dc:title>淮安市政府</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eyJoZGlkIjoiZjZjNzZmNTQ4ZTczYmNkMTg1OGU1MTM1M2JiOTVlNGMiLCJ1c2VySWQiOiI0NzE2MTQyMzYifQ==</vt:lpwstr>
  </property>
  <property fmtid="{D5CDD505-2E9C-101B-9397-08002B2CF9AE}" pid="3" name="KSOProductBuildVer">
    <vt:lpwstr>2052-12.1.0.26895</vt:lpwstr>
  </property>
  <property fmtid="{D5CDD505-2E9C-101B-9397-08002B2CF9AE}" pid="4" name="ICV">
    <vt:lpwstr>591E58DD7EE54CAB9D9E8A9C258D2A00_13</vt:lpwstr>
  </property>
</Properties>
</file>