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pStyle w:val="893"/>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pStyle w:val="893"/>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893"/>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2026年度民生实事消防快速处置队装备器材采购项目</w:t>
      </w:r>
      <w:r>
        <w:rPr>
          <w:rFonts w:hint="eastAsia" w:ascii="黑体" w:hAnsi="黑体" w:eastAsia="黑体"/>
          <w:b/>
          <w:sz w:val="36"/>
          <w:szCs w:val="36"/>
          <w:highlight w:val="none"/>
        </w:rPr>
      </w:r>
      <w:r/>
    </w:p>
    <w:p>
      <w:pPr>
        <w:pStyle w:val="893"/>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pStyle w:val="893"/>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3"/>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3"/>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JSZC-320800-JZCG-G2026-0048</w:t>
      </w:r>
      <w:r>
        <w:rPr>
          <w:rFonts w:hint="eastAsia" w:ascii="黑体" w:hAnsi="黑体" w:eastAsia="黑体"/>
          <w:b/>
          <w:sz w:val="36"/>
          <w:highlight w:val="none"/>
        </w:rPr>
      </w:r>
      <w:r/>
    </w:p>
    <w:p>
      <w:pPr>
        <w:pStyle w:val="893"/>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3"/>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3"/>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893"/>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八</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二十</w:t>
      </w:r>
      <w:r>
        <w:rPr>
          <w:rFonts w:hint="eastAsia" w:ascii="黑体" w:hAnsi="黑体" w:eastAsia="黑体"/>
          <w:b/>
          <w:sz w:val="36"/>
          <w:szCs w:val="36"/>
          <w:highlight w:val="none"/>
        </w:rPr>
        <w:t xml:space="preserve">八</w:t>
      </w:r>
      <w:r>
        <w:rPr>
          <w:rFonts w:hint="eastAsia" w:ascii="黑体" w:hAnsi="黑体" w:eastAsia="黑体"/>
          <w:b/>
          <w:sz w:val="36"/>
          <w:szCs w:val="36"/>
          <w:highlight w:val="none"/>
        </w:rPr>
        <w:t xml:space="preserve">日</w:t>
      </w:r>
      <w:r>
        <w:rPr>
          <w:rFonts w:hint="eastAsia" w:ascii="宋体" w:hAnsi="宋体"/>
          <w:sz w:val="24"/>
          <w:highlight w:val="none"/>
        </w:rPr>
      </w:r>
      <w:r/>
    </w:p>
    <w:p>
      <w:pPr>
        <w:pStyle w:val="893"/>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highlight w:val="none"/>
        </w:rPr>
      </w:r>
      <w:r/>
    </w:p>
    <w:p>
      <w:pPr>
        <w:pStyle w:val="893"/>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受淮安市消防救援支队的委托，淮安市政府采购中心就2026年度民生实事消防快速处置队装备器材采购项目政府采购项目进行公开招标采购，现邀请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4498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44980"/>
                        </a:xfrm>
                        <a:prstGeom prst="rect">
                          <a:avLst/>
                        </a:prstGeom>
                        <a:solidFill>
                          <a:srgbClr val="FFFFFF"/>
                        </a:solidFill>
                        <a:ln>
                          <a:solidFill>
                            <a:srgbClr val="000000"/>
                          </a:solidFill>
                        </a:ln>
                      </wps:spPr>
                      <wps:txbx>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2026年度民生实事消防快速处置队装备器材采购项目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月16日9点30分（北京时间）前提交投标文件。</w:t>
                            </w:r>
                            <w:r>
                              <w:rPr>
                                <w:rFonts w:ascii="仿宋" w:hAnsi="仿宋" w:eastAsia="仿宋"/>
                                <w:sz w:val="28"/>
                                <w:szCs w:val="28"/>
                              </w:rPr>
                            </w:r>
                            <w:r/>
                          </w:p>
                          <w:p>
                            <w:pPr>
                              <w:pStyle w:val="893"/>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7.4pt;mso-wrap-distance-left:9.0pt;mso-wrap-distance-top:0.0pt;mso-wrap-distance-right:9.0pt;mso-wrap-distance-bottom:0.0pt;visibility:visible;" fillcolor="#FFFFFF" strokecolor="#000000">
                <v:textbox inset="0,0,0,0">
                  <w:txbxContent>
                    <w:p>
                      <w:pPr>
                        <w:pStyle w:val="893"/>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2026年度民生实事消防快速处置队装备器材采购项目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月16日9点30分（北京时间）前提交投标文件。</w:t>
                      </w:r>
                      <w:r>
                        <w:rPr>
                          <w:rFonts w:ascii="仿宋" w:hAnsi="仿宋" w:eastAsia="仿宋"/>
                          <w:sz w:val="28"/>
                          <w:szCs w:val="28"/>
                        </w:rPr>
                      </w:r>
                      <w:r/>
                    </w:p>
                    <w:p>
                      <w:pPr>
                        <w:pStyle w:val="893"/>
                      </w:pPr>
                      <w:r/>
                      <w:r/>
                    </w:p>
                  </w:txbxContent>
                </v:textbox>
              </v:shape>
            </w:pict>
          </mc:Fallback>
        </mc:AlternateContent>
      </w: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（一）项目编号:JSZC-320800-JZCG-G2026-0048</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2026年度民生实事消防快速处置队装备器材采购项目</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300</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eastAsia="zh-CN"/>
        </w:rPr>
        <w:t xml:space="preserve">总价</w:t>
      </w:r>
      <w:r>
        <w:rPr>
          <w:rFonts w:hint="eastAsia" w:ascii="仿宋" w:hAnsi="仿宋" w:eastAsia="仿宋"/>
          <w:sz w:val="28"/>
          <w:szCs w:val="28"/>
          <w:highlight w:val="none"/>
        </w:rPr>
        <w:t xml:space="preserve">290.76万元</w:t>
      </w:r>
      <w:r>
        <w:rPr>
          <w:rFonts w:hint="eastAsia" w:ascii="仿宋" w:hAnsi="仿宋" w:eastAsia="仿宋"/>
          <w:b/>
          <w:bCs/>
          <w:sz w:val="28"/>
          <w:szCs w:val="28"/>
          <w:highlight w:val="none"/>
        </w:rPr>
        <w:t xml:space="preserve">（注：</w:t>
      </w:r>
      <w:r>
        <w:rPr>
          <w:rFonts w:hint="eastAsia" w:ascii="仿宋" w:hAnsi="仿宋" w:eastAsia="仿宋"/>
          <w:b/>
          <w:bCs/>
          <w:sz w:val="28"/>
          <w:szCs w:val="28"/>
          <w:highlight w:val="none"/>
          <w:lang w:eastAsia="zh-CN"/>
        </w:rPr>
        <w:t xml:space="preserve">单价限价，产品</w:t>
      </w:r>
      <w:r>
        <w:rPr>
          <w:rFonts w:hint="eastAsia" w:ascii="仿宋" w:hAnsi="仿宋" w:eastAsia="仿宋"/>
          <w:b/>
          <w:bCs/>
          <w:sz w:val="28"/>
          <w:szCs w:val="28"/>
          <w:highlight w:val="none"/>
        </w:rPr>
        <w:t xml:space="preserve">单项报价不得超过</w:t>
      </w:r>
      <w:r>
        <w:rPr>
          <w:rFonts w:hint="eastAsia" w:ascii="仿宋" w:hAnsi="仿宋" w:eastAsia="仿宋"/>
          <w:b/>
          <w:bCs/>
          <w:sz w:val="28"/>
          <w:szCs w:val="28"/>
          <w:highlight w:val="none"/>
          <w:lang w:eastAsia="zh-CN"/>
        </w:rPr>
        <w:t xml:space="preserve">第五章中该产品的</w:t>
      </w:r>
      <w:r>
        <w:rPr>
          <w:rFonts w:hint="eastAsia" w:ascii="仿宋" w:hAnsi="仿宋" w:eastAsia="仿宋"/>
          <w:b/>
          <w:bCs/>
          <w:sz w:val="28"/>
          <w:szCs w:val="28"/>
          <w:highlight w:val="none"/>
        </w:rPr>
        <w:t xml:space="preserve">预算控制价）</w:t>
      </w:r>
      <w:r>
        <w:rPr>
          <w:rFonts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（五）采购需求:</w:t>
      </w:r>
      <w:r>
        <w:rPr>
          <w:rFonts w:hint="eastAsia" w:ascii="仿宋" w:hAnsi="仿宋" w:eastAsia="仿宋"/>
          <w:bCs/>
          <w:sz w:val="28"/>
          <w:highlight w:val="none"/>
        </w:rPr>
        <w:t xml:space="preserve">2026年度民生实事消防快速处置队装备器材采购项目</w:t>
      </w:r>
      <w:r>
        <w:rPr>
          <w:rFonts w:hint="eastAsia" w:ascii="仿宋" w:hAnsi="仿宋" w:eastAsia="仿宋"/>
          <w:bCs/>
          <w:sz w:val="28"/>
          <w:highlight w:val="none"/>
          <w:lang w:eastAsia="zh-CN"/>
        </w:rPr>
        <w:t xml:space="preserve">，详见第五章项目采购需求。</w:t>
      </w:r>
      <w:r>
        <w:rPr>
          <w:rFonts w:hint="eastAsia" w:ascii="仿宋" w:hAnsi="仿宋" w:eastAsia="仿宋"/>
          <w:sz w:val="28"/>
          <w:szCs w:val="28"/>
          <w:highlight w:val="none"/>
          <w:lang w:eastAsia="zh-CN"/>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 签订合同后60日内将货物送达指定地点，其中便携式泡沫灭火装置30日内完成不低于采购数量50%的供货。   </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lang w:eastAsia="zh-CN"/>
        </w:rPr>
        <w:t xml:space="preserve">工业</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93"/>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893"/>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893"/>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rPr>
          <w:rFonts w:hint="eastAsia" w:ascii="仿宋" w:hAnsi="仿宋" w:eastAsia="仿宋"/>
          <w:color w:val="000000"/>
          <w:sz w:val="28"/>
          <w:szCs w:val="28"/>
          <w:highlight w:val="none"/>
          <w:lang w:val="zh-CN" w:eastAsia="zh-CN"/>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893"/>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（二）方式：在“淮安市政府采购网”自行免费下载招标文件。</w:t>
      </w:r>
      <w:r>
        <w:rPr>
          <w:rFonts w:hint="eastAsia"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893"/>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月16日上午</w:t>
      </w:r>
      <w:r>
        <w:rPr>
          <w:rFonts w:ascii="仿宋" w:hAnsi="仿宋" w:eastAsia="仿宋"/>
          <w:sz w:val="28"/>
          <w:szCs w:val="28"/>
          <w:highlight w:val="none"/>
        </w:rPr>
        <w:t xml:space="preserve">9:30</w:t>
      </w:r>
      <w:r/>
    </w:p>
    <w:p>
      <w:pPr>
        <w:pStyle w:val="893"/>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893"/>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名称:淮安市消防救援支队</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地址:淮安市经济技术开发区威海路8号</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胡先生</w:t>
      </w:r>
      <w:r>
        <w:rPr>
          <w:rFonts w:hint="eastAsia" w:ascii="仿宋" w:hAnsi="仿宋" w:eastAsia="仿宋"/>
          <w:sz w:val="28"/>
          <w:szCs w:val="28"/>
          <w:highlight w:val="none"/>
          <w:lang w:val="en-US" w:eastAsia="zh-CN"/>
        </w:rPr>
        <w:t xml:space="preserve">  19516886380</w:t>
      </w:r>
      <w:r>
        <w:rPr>
          <w:rFonts w:ascii="仿宋" w:hAnsi="仿宋" w:eastAsia="仿宋"/>
          <w:sz w:val="28"/>
          <w:szCs w:val="28"/>
          <w:highlight w:val="none"/>
          <w:lang w:val="en-US" w:eastAsia="zh-CN"/>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刘乃源</w:t>
      </w:r>
      <w:r>
        <w:rPr>
          <w:rFonts w:hint="eastAsia" w:ascii="仿宋" w:hAnsi="仿宋" w:eastAsia="仿宋"/>
          <w:sz w:val="28"/>
          <w:szCs w:val="28"/>
          <w:highlight w:val="none"/>
          <w:lang w:val="en-US" w:eastAsia="zh-CN"/>
        </w:rPr>
        <w:t xml:space="preserve">  0517-80996036</w:t>
      </w:r>
      <w:r>
        <w:rPr>
          <w:rFonts w:ascii="仿宋" w:hAnsi="仿宋" w:eastAsia="仿宋"/>
          <w:sz w:val="28"/>
          <w:szCs w:val="28"/>
          <w:highlight w:val="none"/>
          <w:lang w:val="en-US" w:eastAsia="zh-CN"/>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893"/>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有关本次招标的事项若存在变动或修改，敬请及时关注淮安市政府采购中心在“淮安市政府采购网”发布的更正公告。</w:t>
      </w:r>
      <w:r>
        <w:rPr>
          <w:rFonts w:hint="eastAsia" w:ascii="仿宋" w:hAnsi="仿宋" w:eastAsia="仿宋"/>
          <w:sz w:val="28"/>
          <w:szCs w:val="28"/>
          <w:highlight w:val="none"/>
        </w:rPr>
      </w:r>
      <w:r/>
    </w:p>
    <w:p>
      <w:pPr>
        <w:pStyle w:val="893"/>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893"/>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rPr>
          <w:rFonts w:ascii="仿宋" w:hAnsi="仿宋" w:eastAsia="仿宋"/>
          <w:sz w:val="28"/>
          <w:szCs w:val="28"/>
          <w:highlight w:val="none"/>
          <w:lang w:val="en-US" w:eastAsia="zh-CN"/>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893"/>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rPr>
          <w:rFonts w:hint="eastAsia" w:ascii="仿宋" w:hAnsi="仿宋" w:eastAsia="仿宋"/>
          <w:b/>
          <w:bCs/>
          <w:sz w:val="28"/>
          <w:szCs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rPr>
          <w:rFonts w:hint="eastAsia" w:ascii="仿宋" w:hAnsi="仿宋" w:eastAsia="仿宋"/>
          <w:sz w:val="28"/>
          <w:szCs w:val="28"/>
          <w:highlight w:val="none"/>
        </w:rPr>
      </w:r>
      <w:r/>
    </w:p>
    <w:p>
      <w:pPr>
        <w:pStyle w:val="893"/>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rPr>
          <w:rFonts w:hint="eastAsia" w:ascii="仿宋" w:hAnsi="仿宋" w:eastAsia="仿宋"/>
          <w:sz w:val="28"/>
          <w:szCs w:val="28"/>
          <w:highlight w:val="none"/>
          <w:lang w:eastAsia="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如标书制作工具中格式和内容与“中国政府采购网”</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“淮安市政府采购网”发布的招标文件不一致，请以“中国政府采购网”</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4" w:name="_Toc14577359"/>
      <w:r/>
      <w:bookmarkStart w:id="5" w:name="_Toc49090510"/>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End w:id="4"/>
      <w:r/>
      <w:bookmarkEnd w:id="5"/>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rPr>
          <w:rFonts w:hint="eastAsia" w:ascii="仿宋" w:hAnsi="仿宋" w:eastAsia="仿宋"/>
          <w:bCs/>
          <w:sz w:val="28"/>
          <w:szCs w:val="28"/>
          <w:highlight w:val="none"/>
          <w:lang w:eastAsia="zh-CN"/>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893"/>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rPr>
          <w:rFonts w:hint="eastAsia" w:ascii="仿宋" w:hAnsi="仿宋" w:eastAsia="仿宋"/>
          <w:sz w:val="28"/>
          <w:szCs w:val="28"/>
          <w:highlight w:val="none"/>
        </w:rPr>
      </w:r>
      <w:r/>
    </w:p>
    <w:p>
      <w:pPr>
        <w:pStyle w:val="893"/>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bookmarkEnd w:id="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9" w:name="_Toc16938547"/>
      <w:r/>
      <w:bookmarkStart w:id="10" w:name="_Toc20823303"/>
      <w:r/>
      <w:bookmarkStart w:id="11" w:name="_Toc51302923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rPr>
          <w:rFonts w:ascii="仿宋" w:hAnsi="仿宋" w:eastAsia="仿宋"/>
          <w:sz w:val="28"/>
          <w:szCs w:val="28"/>
          <w:highlight w:val="none"/>
        </w:rPr>
      </w:r>
      <w:r/>
    </w:p>
    <w:p>
      <w:pPr>
        <w:pStyle w:val="893"/>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12" w:name="_Toc20823304"/>
      <w:r/>
      <w:bookmarkStart w:id="13" w:name="_Toc513029232"/>
      <w:r/>
      <w:bookmarkStart w:id="14" w:name="_Toc1693854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15" w:name="_Toc16938549"/>
      <w:r/>
      <w:bookmarkStart w:id="16" w:name="_Toc513029233"/>
      <w:r/>
      <w:bookmarkStart w:id="17" w:name="_Toc20823305"/>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18" w:name="_Toc16938550"/>
      <w:r/>
      <w:bookmarkStart w:id="19" w:name="_Toc513029234"/>
      <w:r/>
      <w:bookmarkStart w:id="20" w:name="_Toc20823306"/>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w:t>
      </w:r>
      <w:r>
        <w:rPr>
          <w:rFonts w:hint="eastAsia" w:ascii="仿宋" w:hAnsi="仿宋" w:eastAsia="仿宋"/>
          <w:sz w:val="28"/>
          <w:szCs w:val="28"/>
          <w:highlight w:val="none"/>
        </w:rPr>
        <w:t xml:space="preserve">核心产品（便携式泡沫灭火装置）</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21" w:name="_Toc16938551"/>
      <w:r/>
      <w:bookmarkStart w:id="22" w:name="_Toc20823307"/>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rPr>
        <w:t xml:space="preserve">投标人的</w:t>
      </w:r>
      <w:r>
        <w:rPr>
          <w:rFonts w:hint="eastAsia" w:ascii="仿宋" w:hAnsi="仿宋" w:eastAsia="仿宋"/>
          <w:b/>
          <w:bCs/>
          <w:sz w:val="28"/>
          <w:szCs w:val="28"/>
          <w:highlight w:val="none"/>
        </w:rPr>
        <w:t xml:space="preserve">总报价</w:t>
      </w:r>
      <w:r>
        <w:rPr>
          <w:rFonts w:hint="eastAsia" w:ascii="仿宋" w:hAnsi="仿宋" w:eastAsia="仿宋"/>
          <w:b/>
          <w:bCs/>
          <w:sz w:val="28"/>
          <w:szCs w:val="28"/>
          <w:highlight w:val="none"/>
        </w:rPr>
        <w:t xml:space="preserve">或</w:t>
      </w:r>
      <w:r>
        <w:rPr>
          <w:rFonts w:hint="eastAsia" w:ascii="仿宋" w:hAnsi="仿宋" w:eastAsia="仿宋"/>
          <w:b/>
          <w:bCs/>
          <w:sz w:val="28"/>
          <w:szCs w:val="28"/>
          <w:highlight w:val="none"/>
        </w:rPr>
        <w:t xml:space="preserve">单项报价</w:t>
      </w:r>
      <w:r>
        <w:rPr>
          <w:rFonts w:hint="eastAsia" w:ascii="仿宋" w:hAnsi="仿宋" w:eastAsia="仿宋"/>
          <w:sz w:val="28"/>
          <w:szCs w:val="28"/>
          <w:highlight w:val="none"/>
        </w:rPr>
        <w:t xml:space="preserve">超过了采购预算或最高限价的。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26.1.13 投标人未完全满足第五章“</w:t>
      </w:r>
      <w:r>
        <w:rPr>
          <w:rFonts w:hint="eastAsia" w:ascii="仿宋" w:hAnsi="仿宋" w:eastAsia="仿宋"/>
          <w:b/>
          <w:bCs/>
          <w:sz w:val="28"/>
          <w:szCs w:val="28"/>
          <w:highlight w:val="none"/>
          <w:lang w:val="en-US" w:eastAsia="zh-CN"/>
        </w:rPr>
        <w:t xml:space="preserve">一、采购清单及技术指标明细</w:t>
      </w:r>
      <w:r>
        <w:rPr>
          <w:rFonts w:hint="eastAsia" w:ascii="仿宋" w:hAnsi="仿宋" w:eastAsia="仿宋"/>
          <w:sz w:val="28"/>
          <w:szCs w:val="28"/>
          <w:highlight w:val="none"/>
          <w:lang w:val="en-US" w:eastAsia="zh-CN"/>
        </w:rPr>
        <w:t xml:space="preserve">”“</w:t>
      </w:r>
      <w:r>
        <w:rPr>
          <w:rFonts w:hint="eastAsia" w:ascii="仿宋" w:hAnsi="仿宋" w:eastAsia="仿宋"/>
          <w:b/>
          <w:bCs/>
          <w:sz w:val="28"/>
          <w:szCs w:val="28"/>
          <w:highlight w:val="none"/>
          <w:lang w:val="en-US" w:eastAsia="zh-CN"/>
        </w:rPr>
        <w:t xml:space="preserve">三、其他要求</w:t>
      </w:r>
      <w:r>
        <w:rPr>
          <w:rFonts w:hint="eastAsia" w:ascii="仿宋" w:hAnsi="仿宋" w:eastAsia="仿宋"/>
          <w:sz w:val="28"/>
          <w:szCs w:val="28"/>
          <w:highlight w:val="none"/>
          <w:lang w:val="en-US" w:eastAsia="zh-CN"/>
        </w:rPr>
        <w:t xml:space="preserve">”“</w:t>
      </w:r>
      <w:r>
        <w:rPr>
          <w:rFonts w:hint="eastAsia" w:ascii="仿宋" w:hAnsi="仿宋" w:eastAsia="仿宋"/>
          <w:b/>
          <w:bCs/>
          <w:sz w:val="28"/>
          <w:szCs w:val="28"/>
          <w:highlight w:val="none"/>
          <w:lang w:val="en-US" w:eastAsia="zh-CN"/>
        </w:rPr>
        <w:t xml:space="preserve">四、售后服务</w:t>
      </w:r>
      <w:r>
        <w:rPr>
          <w:rFonts w:hint="eastAsia" w:ascii="仿宋" w:hAnsi="仿宋" w:eastAsia="仿宋"/>
          <w:sz w:val="28"/>
          <w:szCs w:val="28"/>
          <w:highlight w:val="none"/>
          <w:lang w:val="en-US" w:eastAsia="zh-CN"/>
        </w:rPr>
        <w:t xml:space="preserve">”中“★”参数及要求的。</w:t>
      </w:r>
      <w:r>
        <w:rPr>
          <w:rFonts w:hint="eastAsia"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26.1.14 投标人未按照第五章“</w:t>
      </w:r>
      <w:r>
        <w:rPr>
          <w:rFonts w:hint="eastAsia" w:ascii="仿宋" w:hAnsi="仿宋" w:eastAsia="仿宋"/>
          <w:b/>
          <w:bCs/>
          <w:sz w:val="28"/>
          <w:szCs w:val="28"/>
          <w:highlight w:val="none"/>
          <w:lang w:val="en-US" w:eastAsia="zh-CN"/>
        </w:rPr>
        <w:t xml:space="preserve">一、采购清单及技术指标明细</w:t>
      </w:r>
      <w:r>
        <w:rPr>
          <w:rFonts w:hint="eastAsia" w:ascii="仿宋" w:hAnsi="仿宋" w:eastAsia="仿宋"/>
          <w:sz w:val="28"/>
          <w:szCs w:val="28"/>
          <w:highlight w:val="none"/>
          <w:lang w:val="en-US" w:eastAsia="zh-CN"/>
        </w:rPr>
        <w:t xml:space="preserve">”中“★”要求提供检测报告等相关材料的。</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26.1.15 投标人未按照第五章“</w:t>
      </w:r>
      <w:r>
        <w:rPr>
          <w:rFonts w:hint="eastAsia" w:ascii="仿宋" w:hAnsi="仿宋" w:eastAsia="仿宋"/>
          <w:b/>
          <w:bCs/>
          <w:sz w:val="28"/>
          <w:szCs w:val="28"/>
          <w:highlight w:val="none"/>
          <w:lang w:val="en-US" w:eastAsia="zh-CN"/>
        </w:rPr>
        <w:t xml:space="preserve">四、售后服务</w:t>
      </w:r>
      <w:r>
        <w:rPr>
          <w:rFonts w:hint="eastAsia" w:ascii="仿宋" w:hAnsi="仿宋" w:eastAsia="仿宋"/>
          <w:sz w:val="28"/>
          <w:szCs w:val="28"/>
          <w:highlight w:val="none"/>
          <w:lang w:val="en-US" w:eastAsia="zh-CN"/>
        </w:rPr>
        <w:t xml:space="preserve">”中“★”要求提供相关承诺函等材料的。</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6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r>
        <w:rPr>
          <w:rFonts w:ascii="仿宋" w:hAnsi="仿宋" w:eastAsia="仿宋"/>
          <w:sz w:val="28"/>
          <w:szCs w:val="28"/>
          <w:highlight w:val="none"/>
        </w:rPr>
      </w:r>
      <w:r/>
    </w:p>
    <w:p>
      <w:pPr>
        <w:pStyle w:val="893"/>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20823310"/>
      <w:r/>
      <w:bookmarkStart w:id="27" w:name="_Toc16938554"/>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采购中心将在“中国政府采购网”</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cs="Times New Roman"/>
          <w:sz w:val="28"/>
          <w:szCs w:val="28"/>
          <w:highlight w:val="none"/>
        </w:rPr>
        <w:outlineLvl w:val="9"/>
      </w:pPr>
      <w:r/>
      <w:bookmarkEnd w:id="28"/>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rPr>
          <w:rFonts w:ascii="仿宋" w:hAnsi="仿宋" w:eastAsia="仿宋" w:cs="Times New Roman"/>
          <w:sz w:val="28"/>
          <w:szCs w:val="28"/>
          <w:highlight w:val="none"/>
        </w:rPr>
      </w:r>
      <w:r/>
    </w:p>
    <w:p>
      <w:pPr>
        <w:pStyle w:val="893"/>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highlight w:val="none"/>
        </w:rPr>
      </w:r>
      <w:r/>
    </w:p>
    <w:p>
      <w:pPr>
        <w:pStyle w:val="893"/>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rPr>
          <w:rFonts w:hint="eastAsia"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rPr>
          <w:rFonts w:ascii="仿宋" w:hAnsi="仿宋" w:eastAsia="仿宋" w:cs="Times New Roman"/>
          <w:sz w:val="28"/>
          <w:szCs w:val="28"/>
          <w:highlight w:val="none"/>
        </w:rPr>
      </w:r>
      <w:r/>
    </w:p>
    <w:p>
      <w:pPr>
        <w:pStyle w:val="893"/>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rPr>
          <w:rFonts w:ascii="仿宋" w:hAnsi="仿宋" w:eastAsia="仿宋"/>
          <w:sz w:val="28"/>
          <w:szCs w:val="28"/>
          <w:highlight w:val="none"/>
        </w:rPr>
      </w:r>
      <w:r/>
    </w:p>
    <w:p>
      <w:pPr>
        <w:pStyle w:val="893"/>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513029236"/>
      <w:r/>
      <w:bookmarkStart w:id="31" w:name="_Toc16938552"/>
      <w:r/>
      <w:bookmarkStart w:id="32" w:name="_Toc20823308"/>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893"/>
        <w:keepLines w:val="0"/>
        <w:keepNext w:val="0"/>
        <w:pageBreakBefore w:val="0"/>
        <w:spacing w:line="520" w:lineRule="exact"/>
        <w:rPr>
          <w:rFonts w:ascii="仿宋" w:hAnsi="仿宋" w:eastAsia="仿宋"/>
          <w:sz w:val="28"/>
          <w:szCs w:val="28"/>
          <w:highlight w:val="none"/>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rPr>
          <w:rFonts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893"/>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914"/>
        <w:ind w:left="0" w:firstLine="0"/>
        <w:spacing w:line="520" w:lineRule="exact"/>
        <w:rPr>
          <w:rFonts w:hint="eastAsia" w:ascii="仿宋" w:hAnsi="仿宋" w:eastAsia="仿宋"/>
          <w:b/>
          <w:bCs/>
          <w:sz w:val="28"/>
          <w:szCs w:val="28"/>
          <w:highlight w:val="none"/>
          <w:lang w:eastAsia="zh-CN"/>
        </w:rPr>
      </w:pPr>
      <w:r>
        <w:rPr>
          <w:rFonts w:hint="eastAsia" w:ascii="仿宋" w:hAnsi="仿宋" w:eastAsia="仿宋" w:cs="Times New Roman"/>
          <w:b/>
          <w:bCs/>
          <w:sz w:val="28"/>
          <w:szCs w:val="28"/>
          <w:highlight w:val="none"/>
          <w:lang w:val="en-US" w:eastAsia="zh-CN"/>
        </w:rPr>
        <w:t xml:space="preserve">32.</w:t>
      </w:r>
      <w:r>
        <w:rPr>
          <w:rFonts w:hint="eastAsia" w:ascii="仿宋" w:hAnsi="仿宋" w:eastAsia="仿宋"/>
          <w:b/>
          <w:bCs/>
          <w:sz w:val="28"/>
          <w:szCs w:val="28"/>
          <w:highlight w:val="none"/>
        </w:rPr>
        <w:t xml:space="preserve">履约保证金</w:t>
      </w:r>
      <w:r>
        <w:rPr>
          <w:rFonts w:hint="eastAsia" w:ascii="仿宋" w:hAnsi="仿宋" w:eastAsia="仿宋"/>
          <w:b/>
          <w:bCs/>
          <w:sz w:val="28"/>
          <w:szCs w:val="28"/>
          <w:highlight w:val="none"/>
          <w:lang w:eastAsia="zh-CN"/>
        </w:rPr>
      </w:r>
      <w:r/>
    </w:p>
    <w:p>
      <w:pPr>
        <w:pStyle w:val="914"/>
        <w:ind w:firstLine="562"/>
        <w:spacing w:line="520" w:lineRule="exact"/>
        <w:rPr>
          <w:rFonts w:hint="eastAsia" w:ascii="仿宋" w:hAnsi="仿宋" w:eastAsia="仿宋" w:cs="Times New Roman"/>
          <w:b/>
          <w:bCs/>
          <w:sz w:val="28"/>
          <w:szCs w:val="28"/>
          <w:highlight w:val="none"/>
          <w:lang w:val="en-US" w:eastAsia="zh-CN" w:bidi="ar-SA"/>
        </w:rPr>
      </w:pPr>
      <w:r>
        <w:rPr>
          <w:rFonts w:hint="eastAsia" w:ascii="仿宋" w:hAnsi="仿宋" w:eastAsia="仿宋" w:cs="Times New Roman"/>
          <w:b/>
          <w:bCs/>
          <w:sz w:val="28"/>
          <w:szCs w:val="28"/>
          <w:highlight w:val="none"/>
          <w:lang w:val="en-US" w:eastAsia="zh-CN" w:bidi="ar-SA"/>
        </w:rPr>
        <w:t xml:space="preserve">32.1乙方交纳人民币</w:t>
      </w:r>
      <w:r>
        <w:rPr>
          <w:rFonts w:hint="eastAsia" w:ascii="仿宋" w:hAnsi="仿宋" w:eastAsia="仿宋" w:cs="Times New Roman"/>
          <w:b/>
          <w:bCs/>
          <w:sz w:val="28"/>
          <w:szCs w:val="28"/>
          <w:highlight w:val="none"/>
          <w:u w:val="single"/>
          <w:lang w:val="en-US" w:eastAsia="zh-CN" w:bidi="ar-SA"/>
        </w:rPr>
        <w:t xml:space="preserve">合同金额的5%</w:t>
      </w:r>
      <w:r>
        <w:rPr>
          <w:rFonts w:hint="eastAsia" w:ascii="仿宋" w:hAnsi="仿宋" w:eastAsia="仿宋" w:cs="Times New Roman"/>
          <w:b/>
          <w:bCs/>
          <w:sz w:val="28"/>
          <w:szCs w:val="28"/>
          <w:highlight w:val="none"/>
          <w:lang w:val="en-US" w:eastAsia="zh-CN" w:bidi="ar-SA"/>
        </w:rPr>
        <w:t xml:space="preserve">作为本合同的履约保证金。</w:t>
      </w:r>
      <w:r>
        <w:rPr>
          <w:rFonts w:hint="eastAsia" w:ascii="仿宋" w:hAnsi="仿宋" w:eastAsia="仿宋" w:cs="Times New Roman"/>
          <w:b/>
          <w:bCs/>
          <w:sz w:val="28"/>
          <w:szCs w:val="28"/>
          <w:highlight w:val="none"/>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highlight w:val="none"/>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highlight w:val="none"/>
          <w:lang w:val="en-US" w:eastAsia="zh-CN" w:bidi="ar-SA"/>
        </w:rPr>
      </w:r>
      <w:r/>
    </w:p>
    <w:p>
      <w:pPr>
        <w:pStyle w:val="893"/>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highlight w:val="none"/>
          <w:lang w:val="en-US" w:eastAsia="zh-CN" w:bidi="ar-SA"/>
        </w:rPr>
      </w:r>
      <w:r/>
    </w:p>
    <w:p>
      <w:pPr>
        <w:pStyle w:val="893"/>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32.5如乙方未能履行合同规定的义务，甲方有权从履约保证金中取得补偿。</w:t>
      </w:r>
      <w:r>
        <w:rPr>
          <w:rFonts w:hint="eastAsia" w:ascii="仿宋" w:hAnsi="仿宋" w:eastAsia="仿宋" w:cs="Times New Roman"/>
          <w:sz w:val="28"/>
          <w:szCs w:val="28"/>
          <w:highlight w:val="none"/>
          <w:lang w:val="en-US" w:eastAsia="zh-CN" w:bidi="ar-SA"/>
        </w:rPr>
      </w:r>
      <w:r/>
    </w:p>
    <w:p>
      <w:pPr>
        <w:pStyle w:val="893"/>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highlight w:val="none"/>
          <w:lang w:val="en-US" w:eastAsia="zh-CN" w:bidi="ar-SA"/>
        </w:rPr>
      </w:r>
      <w:r/>
    </w:p>
    <w:p>
      <w:pPr>
        <w:pStyle w:val="893"/>
        <w:ind w:firstLine="560"/>
        <w:spacing w:line="520" w:lineRule="exact"/>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highlight w:val="none"/>
          <w:lang w:val="en-US" w:eastAsia="zh-CN" w:bidi="ar-SA"/>
        </w:rPr>
      </w:r>
      <w:r/>
    </w:p>
    <w:p>
      <w:pPr>
        <w:pStyle w:val="893"/>
        <w:keepLines w:val="0"/>
        <w:keepNext w:val="0"/>
        <w:pageBreakBefore w:val="0"/>
        <w:spacing w:line="520" w:lineRule="exact"/>
        <w:rPr>
          <w:rFonts w:hint="eastAsia" w:ascii="仿宋" w:hAnsi="仿宋" w:eastAsia="仿宋"/>
          <w:b/>
          <w:bCs/>
          <w:sz w:val="32"/>
          <w:szCs w:val="28"/>
          <w:highlight w:val="none"/>
        </w:rPr>
        <w:outlineLvl w:val="9"/>
      </w:pPr>
      <w:r/>
      <w:bookmarkEnd w:id="33"/>
      <w:r/>
      <w:bookmarkEnd w:id="34"/>
      <w:r/>
      <w:bookmarkEnd w:id="35"/>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highlight w:val="none"/>
        </w:rPr>
        <w:t xml:space="preserve">订立劳动合同的从业人员。</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893"/>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893"/>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893"/>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930"/>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rPr>
          <w:rFonts w:hint="eastAsia" w:ascii="仿宋" w:hAnsi="仿宋" w:eastAsia="仿宋" w:cs="Times New Roman"/>
          <w:bCs/>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930"/>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val="en-US" w:eastAsia="zh-CN"/>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7.2 当采购项目或者采购包中含有多种产品，</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highlight w:val="none"/>
        </w:rPr>
        <w:t xml:space="preserve">，依法对该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7.3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需按照招标文件的要求提供《关于符合本国产品标准的声明函》（以下简称《声明函》</w:t>
      </w:r>
      <w:r>
        <w:rPr>
          <w:rFonts w:hint="eastAsia" w:ascii="仿宋" w:hAnsi="仿宋" w:eastAsia="仿宋"/>
          <w:color w:val="000000"/>
          <w:sz w:val="28"/>
          <w:szCs w:val="28"/>
          <w:highlight w:val="none"/>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highlight w:val="none"/>
        </w:rPr>
        <w:t xml:space="preserve">，三项信息中任意一项未填写的视为该项产品不符合本国产品标准，不享受本国产品价格评审优惠。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930"/>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lang w:val="en-US" w:eastAsia="zh-CN"/>
        </w:rPr>
      </w:r>
      <w:r/>
    </w:p>
    <w:p>
      <w:pPr>
        <w:pStyle w:val="893"/>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rPr>
          <w:rFonts w:hint="eastAsia" w:ascii="仿宋" w:hAnsi="仿宋" w:eastAsia="仿宋"/>
          <w:sz w:val="28"/>
          <w:highlight w:val="none"/>
        </w:rPr>
      </w:r>
      <w:r/>
    </w:p>
    <w:p>
      <w:pPr>
        <w:pStyle w:val="893"/>
        <w:ind w:firstLine="498"/>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28"/>
          <w:highlight w:val="none"/>
        </w:rPr>
        <w:t xml:space="preserve">1、价格</w:t>
      </w:r>
      <w:r>
        <w:rPr>
          <w:rFonts w:hint="eastAsia" w:ascii="仿宋" w:hAnsi="仿宋" w:eastAsia="仿宋"/>
          <w:b/>
          <w:bCs/>
          <w:sz w:val="28"/>
          <w:highlight w:val="none"/>
          <w:lang w:eastAsia="zh-CN"/>
        </w:rPr>
        <w:t xml:space="preserve">：</w:t>
      </w:r>
      <w:r>
        <w:rPr>
          <w:rFonts w:hint="eastAsia" w:ascii="仿宋" w:hAnsi="仿宋" w:eastAsia="仿宋"/>
          <w:b/>
          <w:bCs/>
          <w:sz w:val="28"/>
          <w:highlight w:val="none"/>
          <w:lang w:val="en-US" w:eastAsia="zh-CN"/>
        </w:rPr>
        <w:t xml:space="preserve">30</w:t>
      </w:r>
      <w:r>
        <w:rPr>
          <w:rFonts w:hint="eastAsia" w:ascii="仿宋" w:hAnsi="仿宋" w:eastAsia="仿宋"/>
          <w:b/>
          <w:bCs/>
          <w:sz w:val="28"/>
          <w:highlight w:val="none"/>
        </w:rPr>
        <w:t xml:space="preserve">分</w:t>
      </w:r>
      <w:r>
        <w:rPr>
          <w:rFonts w:hint="eastAsia" w:ascii="仿宋" w:hAnsi="仿宋" w:eastAsia="仿宋"/>
          <w:b/>
          <w:bCs/>
          <w:sz w:val="28"/>
          <w:highlight w:val="none"/>
        </w:rPr>
      </w:r>
      <w:r/>
    </w:p>
    <w:p>
      <w:pPr>
        <w:pStyle w:val="926"/>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92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30</w:t>
      </w:r>
      <w:r>
        <w:rPr>
          <w:rFonts w:hint="eastAsia" w:ascii="仿宋" w:hAnsi="仿宋" w:eastAsia="仿宋"/>
          <w:highlight w:val="none"/>
        </w:rPr>
        <w:t xml:space="preserve">分</w:t>
      </w:r>
      <w:r>
        <w:rPr>
          <w:rFonts w:hint="eastAsia" w:ascii="仿宋" w:hAnsi="仿宋" w:eastAsia="仿宋"/>
          <w:sz w:val="28"/>
          <w:szCs w:val="28"/>
          <w:highlight w:val="none"/>
        </w:rPr>
      </w:r>
      <w:r/>
    </w:p>
    <w:p>
      <w:pPr>
        <w:pStyle w:val="893"/>
        <w:ind w:firstLine="562"/>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lang w:val="en-US" w:eastAsia="zh-CN"/>
        </w:rPr>
        <w:t xml:space="preserve">2</w:t>
      </w:r>
      <w:r>
        <w:rPr>
          <w:rFonts w:hint="eastAsia" w:ascii="仿宋" w:hAnsi="仿宋" w:eastAsia="仿宋"/>
          <w:b/>
          <w:bCs/>
          <w:sz w:val="28"/>
          <w:szCs w:val="28"/>
          <w:highlight w:val="none"/>
        </w:rPr>
        <w:t xml:space="preserve">、技术部分</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37</w:t>
      </w:r>
      <w:r>
        <w:rPr>
          <w:rFonts w:hint="eastAsia" w:ascii="仿宋" w:hAnsi="仿宋" w:eastAsia="仿宋"/>
          <w:b/>
          <w:bCs/>
          <w:sz w:val="28"/>
          <w:szCs w:val="28"/>
          <w:highlight w:val="none"/>
        </w:rPr>
        <w:t xml:space="preserve">分</w:t>
      </w:r>
      <w:r>
        <w:rPr>
          <w:rFonts w:hint="eastAsia" w:ascii="仿宋" w:hAnsi="仿宋" w:eastAsia="仿宋"/>
          <w:b/>
          <w:bCs/>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（1）投标人所投产品技术参数完全满足招标文件第五章项目采购需求中“</w:t>
      </w:r>
      <w:r>
        <w:rPr>
          <w:rFonts w:hint="eastAsia" w:ascii="仿宋" w:hAnsi="仿宋" w:eastAsia="仿宋"/>
          <w:b/>
          <w:bCs/>
          <w:sz w:val="28"/>
          <w:szCs w:val="28"/>
          <w:highlight w:val="none"/>
        </w:rPr>
        <w:t xml:space="preserve">一、采购清单及技术指标明细</w:t>
      </w:r>
      <w:r>
        <w:rPr>
          <w:rFonts w:hint="eastAsia" w:ascii="仿宋" w:hAnsi="仿宋" w:eastAsia="仿宋"/>
          <w:sz w:val="28"/>
          <w:szCs w:val="28"/>
          <w:highlight w:val="none"/>
        </w:rPr>
        <w:t xml:space="preserve">”中标注“★”技术参数的得</w:t>
      </w:r>
      <w:r>
        <w:rPr>
          <w:rFonts w:hint="eastAsia" w:ascii="仿宋" w:hAnsi="仿宋" w:eastAsia="仿宋"/>
          <w:sz w:val="28"/>
          <w:szCs w:val="28"/>
          <w:highlight w:val="none"/>
          <w:lang w:val="en-US" w:eastAsia="zh-CN"/>
        </w:rPr>
        <w:t xml:space="preserve">37</w:t>
      </w:r>
      <w:r>
        <w:rPr>
          <w:rFonts w:hint="eastAsia" w:ascii="仿宋" w:hAnsi="仿宋" w:eastAsia="仿宋"/>
          <w:sz w:val="28"/>
          <w:szCs w:val="28"/>
          <w:highlight w:val="none"/>
        </w:rPr>
        <w:t xml:space="preserve">分，未完全满足的作无效投标处理。</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（2）投标人所投产品技术参数</w:t>
      </w:r>
      <w:r>
        <w:rPr>
          <w:rFonts w:hint="eastAsia" w:ascii="仿宋" w:hAnsi="仿宋" w:eastAsia="仿宋"/>
          <w:sz w:val="28"/>
          <w:szCs w:val="28"/>
          <w:highlight w:val="none"/>
          <w:lang w:eastAsia="zh-CN"/>
        </w:rPr>
        <w:t xml:space="preserve">与</w:t>
      </w:r>
      <w:r>
        <w:rPr>
          <w:rFonts w:hint="eastAsia" w:ascii="仿宋" w:hAnsi="仿宋" w:eastAsia="仿宋"/>
          <w:sz w:val="28"/>
          <w:szCs w:val="28"/>
          <w:highlight w:val="none"/>
        </w:rPr>
        <w:t xml:space="preserve">招标文件第五章项目采购需求中“</w:t>
      </w:r>
      <w:r>
        <w:rPr>
          <w:rFonts w:hint="eastAsia" w:ascii="仿宋" w:hAnsi="仿宋" w:eastAsia="仿宋"/>
          <w:b/>
          <w:bCs/>
          <w:sz w:val="28"/>
          <w:szCs w:val="28"/>
          <w:highlight w:val="none"/>
        </w:rPr>
        <w:t xml:space="preserve">一、采购清单及技术指标明细</w:t>
      </w:r>
      <w:r>
        <w:rPr>
          <w:rFonts w:hint="eastAsia" w:ascii="仿宋" w:hAnsi="仿宋" w:eastAsia="仿宋"/>
          <w:sz w:val="28"/>
          <w:szCs w:val="28"/>
          <w:highlight w:val="none"/>
        </w:rPr>
        <w:t xml:space="preserve">”中标注“▲”技术参数要求相比较，以</w:t>
      </w:r>
      <w:r>
        <w:rPr>
          <w:rFonts w:hint="eastAsia" w:ascii="仿宋" w:hAnsi="仿宋" w:eastAsia="仿宋"/>
          <w:sz w:val="28"/>
          <w:szCs w:val="28"/>
          <w:highlight w:val="none"/>
          <w:lang w:val="en-US" w:eastAsia="zh-CN"/>
        </w:rPr>
        <w:t xml:space="preserve">37</w:t>
      </w:r>
      <w:r>
        <w:rPr>
          <w:rFonts w:hint="eastAsia" w:ascii="仿宋" w:hAnsi="仿宋" w:eastAsia="仿宋"/>
          <w:sz w:val="28"/>
          <w:szCs w:val="28"/>
          <w:highlight w:val="none"/>
        </w:rPr>
        <w:t xml:space="preserve">分为基数，每有一项负偏离扣</w:t>
      </w:r>
      <w:r>
        <w:rPr>
          <w:rFonts w:hint="eastAsia" w:ascii="仿宋" w:hAnsi="仿宋" w:eastAsia="仿宋"/>
          <w:sz w:val="28"/>
          <w:szCs w:val="28"/>
          <w:highlight w:val="none"/>
        </w:rPr>
        <w:t xml:space="preserve">0.</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（共</w:t>
      </w:r>
      <w:r>
        <w:rPr>
          <w:rFonts w:hint="eastAsia" w:ascii="仿宋" w:hAnsi="仿宋" w:eastAsia="仿宋"/>
          <w:sz w:val="28"/>
          <w:szCs w:val="28"/>
          <w:highlight w:val="none"/>
          <w:lang w:val="en-US" w:eastAsia="zh-CN"/>
        </w:rPr>
        <w:t xml:space="preserve">10项</w:t>
      </w:r>
      <w:r>
        <w:rPr>
          <w:rFonts w:hint="eastAsia" w:ascii="仿宋" w:hAnsi="仿宋" w:eastAsia="仿宋"/>
          <w:sz w:val="28"/>
          <w:szCs w:val="28"/>
          <w:highlight w:val="none"/>
          <w:lang w:eastAsia="zh-CN"/>
        </w:rPr>
        <w:t xml:space="preserve">）；与未标注的技术参数要求相比较，</w:t>
      </w:r>
      <w:r>
        <w:rPr>
          <w:rFonts w:hint="eastAsia" w:ascii="仿宋" w:hAnsi="仿宋" w:eastAsia="仿宋"/>
          <w:sz w:val="28"/>
          <w:szCs w:val="28"/>
          <w:highlight w:val="none"/>
        </w:rPr>
        <w:t xml:space="preserve">每有一项负偏离扣</w:t>
      </w:r>
      <w:r>
        <w:rPr>
          <w:rFonts w:hint="eastAsia" w:ascii="仿宋" w:hAnsi="仿宋" w:eastAsia="仿宋"/>
          <w:sz w:val="28"/>
          <w:szCs w:val="28"/>
          <w:highlight w:val="none"/>
        </w:rPr>
        <w:t xml:space="preserve">0.</w:t>
      </w:r>
      <w:r>
        <w:rPr>
          <w:rFonts w:hint="eastAsia" w:ascii="仿宋" w:hAnsi="仿宋" w:eastAsia="仿宋"/>
          <w:sz w:val="28"/>
          <w:szCs w:val="28"/>
          <w:highlight w:val="none"/>
          <w:lang w:val="en-US" w:eastAsia="zh-CN"/>
        </w:rPr>
        <w:t xml:space="preserve">35</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（共</w:t>
      </w:r>
      <w:r>
        <w:rPr>
          <w:rFonts w:hint="eastAsia" w:ascii="仿宋" w:hAnsi="仿宋" w:eastAsia="仿宋"/>
          <w:sz w:val="28"/>
          <w:szCs w:val="28"/>
          <w:highlight w:val="none"/>
          <w:lang w:val="en-US" w:eastAsia="zh-CN"/>
        </w:rPr>
        <w:t xml:space="preserve">80项</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扣完为止。</w:t>
      </w:r>
      <w:r>
        <w:rPr>
          <w:rFonts w:hint="eastAsia" w:ascii="仿宋" w:hAnsi="仿宋" w:eastAsia="仿宋"/>
          <w:sz w:val="28"/>
          <w:szCs w:val="28"/>
          <w:highlight w:val="none"/>
        </w:rPr>
      </w:r>
      <w:r/>
    </w:p>
    <w:p>
      <w:pPr>
        <w:pStyle w:val="893"/>
        <w:ind w:firstLine="562"/>
        <w:keepLines w:val="0"/>
        <w:keepNext w:val="0"/>
        <w:pageBreakBefore w:val="0"/>
        <w:spacing w:line="520" w:lineRule="exact"/>
        <w:rPr>
          <w:rFonts w:hint="eastAsia" w:ascii="仿宋" w:hAnsi="仿宋" w:eastAsia="仿宋"/>
          <w:b/>
          <w:bCs/>
          <w:sz w:val="28"/>
          <w:szCs w:val="28"/>
          <w:highlight w:val="none"/>
          <w:lang w:val="en-US" w:eastAsia="zh-CN"/>
        </w:rPr>
        <w:outlineLvl w:val="9"/>
      </w:pPr>
      <w:r>
        <w:rPr>
          <w:rFonts w:hint="eastAsia" w:ascii="仿宋" w:hAnsi="仿宋" w:eastAsia="仿宋"/>
          <w:b/>
          <w:bCs/>
          <w:sz w:val="28"/>
          <w:szCs w:val="28"/>
          <w:highlight w:val="none"/>
          <w:lang w:val="en-US" w:eastAsia="zh-CN"/>
        </w:rPr>
        <w:t xml:space="preserve">3、样品部分：18分</w:t>
      </w:r>
      <w:r>
        <w:rPr>
          <w:rFonts w:hint="eastAsia" w:ascii="仿宋" w:hAnsi="仿宋" w:eastAsia="仿宋"/>
          <w:b/>
          <w:bCs/>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评委对投标人所提供样品的产品质量、外观、部件结构、使用体验等方面进行现场综合评审。 </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b w:val="0"/>
          <w:bCs w:val="0"/>
          <w:sz w:val="28"/>
          <w:szCs w:val="28"/>
          <w:highlight w:val="none"/>
          <w:lang w:val="en-US" w:eastAsia="zh-CN"/>
        </w:rPr>
        <w:outlineLvl w:val="9"/>
      </w:pPr>
      <w:r>
        <w:rPr>
          <w:rFonts w:hint="eastAsia" w:ascii="仿宋" w:hAnsi="仿宋" w:eastAsia="仿宋"/>
          <w:b w:val="0"/>
          <w:bCs w:val="0"/>
          <w:sz w:val="28"/>
          <w:szCs w:val="28"/>
          <w:highlight w:val="none"/>
          <w:lang w:val="en-US" w:eastAsia="zh-CN"/>
        </w:rPr>
        <w:t xml:space="preserve">（1）</w:t>
      </w:r>
      <w:r>
        <w:rPr>
          <w:rFonts w:ascii="仿宋" w:hAnsi="仿宋" w:eastAsia="仿宋"/>
          <w:b w:val="0"/>
          <w:bCs w:val="0"/>
          <w:sz w:val="28"/>
          <w:szCs w:val="28"/>
          <w:highlight w:val="none"/>
          <w:lang w:val="en-US" w:eastAsia="zh-CN"/>
        </w:rPr>
        <w:t xml:space="preserve">产品质量</w:t>
      </w:r>
      <w:r>
        <w:rPr>
          <w:rFonts w:hint="eastAsia" w:ascii="仿宋" w:hAnsi="仿宋" w:eastAsia="仿宋"/>
          <w:b w:val="0"/>
          <w:bCs w:val="0"/>
          <w:sz w:val="28"/>
          <w:szCs w:val="28"/>
          <w:highlight w:val="none"/>
          <w:lang w:val="en-US" w:eastAsia="zh-CN"/>
        </w:rPr>
        <w:t xml:space="preserve">（6分）</w:t>
      </w:r>
      <w:r>
        <w:rPr>
          <w:rFonts w:ascii="仿宋" w:hAnsi="仿宋" w:eastAsia="仿宋"/>
          <w:b w:val="0"/>
          <w:bCs w:val="0"/>
          <w:sz w:val="28"/>
          <w:szCs w:val="28"/>
          <w:highlight w:val="none"/>
          <w:lang w:val="en-US" w:eastAsia="zh-CN"/>
        </w:rPr>
        <w:t xml:space="preserve">：</w:t>
      </w:r>
      <w:r>
        <w:rPr>
          <w:rFonts w:ascii="仿宋" w:hAnsi="仿宋" w:eastAsia="仿宋"/>
          <w:b w:val="0"/>
          <w:bCs w:val="0"/>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材质完全符合招标文件要求；工艺精细规整，接缝、拼接、加工处无毛刺、瑕疵；结构稳固无松动、无变形；各项功能完整，</w:t>
      </w:r>
      <w:r>
        <w:rPr>
          <w:rFonts w:ascii="仿宋" w:hAnsi="仿宋" w:eastAsia="仿宋"/>
          <w:sz w:val="28"/>
          <w:szCs w:val="28"/>
          <w:highlight w:val="none"/>
          <w:lang w:val="en-US" w:eastAsia="zh-CN"/>
        </w:rPr>
        <w:t xml:space="preserve">使用状态正常稳定。表面处理（漆面、镀层、涂层等）均匀光亮，无脱落、起泡、划痕、锈蚀的得6分；材质基本满足招标文件要求；工艺整体合规，存在细微加工痕迹；结构基本稳固，仅局部轻微松动，无变形；各项功能均可正常使用。表面处理基本均匀，仅存在1处轻微瑕疵（轻微划痕、局部色泽不均等），不影响正常使用的得4分；材质仅达到最低使用标准；工艺粗糙，多处加工细节不到位；结构稳定性一般，松动现象较明显、无明显变形；核心功能可用，附属功能体验不佳。表面处理质感较差，存在2处及以上瑕疵，但未出现破损、脱落、锈蚀等严重问题的得2分。</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b w:val="0"/>
          <w:bCs w:val="0"/>
          <w:sz w:val="28"/>
          <w:szCs w:val="28"/>
          <w:highlight w:val="none"/>
          <w:lang w:val="en-US" w:eastAsia="zh-CN"/>
        </w:rPr>
        <w:outlineLvl w:val="9"/>
      </w:pPr>
      <w:r>
        <w:rPr>
          <w:rFonts w:hint="eastAsia" w:ascii="仿宋" w:hAnsi="仿宋" w:eastAsia="仿宋"/>
          <w:b w:val="0"/>
          <w:bCs w:val="0"/>
          <w:sz w:val="28"/>
          <w:szCs w:val="28"/>
          <w:highlight w:val="none"/>
          <w:lang w:val="en-US" w:eastAsia="zh-CN"/>
        </w:rPr>
        <w:t xml:space="preserve">（2）</w:t>
      </w:r>
      <w:r>
        <w:rPr>
          <w:rFonts w:ascii="仿宋" w:hAnsi="仿宋" w:eastAsia="仿宋"/>
          <w:b w:val="0"/>
          <w:bCs w:val="0"/>
          <w:sz w:val="28"/>
          <w:szCs w:val="28"/>
          <w:highlight w:val="none"/>
          <w:lang w:val="en-US" w:eastAsia="zh-CN"/>
        </w:rPr>
        <w:t xml:space="preserve">外观</w:t>
      </w:r>
      <w:r>
        <w:rPr>
          <w:rFonts w:hint="eastAsia" w:ascii="仿宋" w:hAnsi="仿宋" w:eastAsia="仿宋"/>
          <w:b w:val="0"/>
          <w:bCs w:val="0"/>
          <w:sz w:val="28"/>
          <w:szCs w:val="28"/>
          <w:highlight w:val="none"/>
          <w:lang w:val="en-US" w:eastAsia="zh-CN"/>
        </w:rPr>
        <w:t xml:space="preserve">（6分）</w:t>
      </w:r>
      <w:r>
        <w:rPr>
          <w:rFonts w:ascii="仿宋" w:hAnsi="仿宋" w:eastAsia="仿宋"/>
          <w:b w:val="0"/>
          <w:bCs w:val="0"/>
          <w:sz w:val="28"/>
          <w:szCs w:val="28"/>
          <w:highlight w:val="none"/>
          <w:lang w:val="en-US" w:eastAsia="zh-CN"/>
        </w:rPr>
        <w:t xml:space="preserve">：</w:t>
      </w:r>
      <w:r>
        <w:rPr>
          <w:rFonts w:ascii="仿宋" w:hAnsi="仿宋" w:eastAsia="仿宋"/>
          <w:b w:val="0"/>
          <w:bCs w:val="0"/>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重量完全符合技术参数要求</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标识清晰、规范、位置合规；整体外观完好，无划痕、磕碰、破损、脏污等缺陷的得6分</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重量在约定允许误差范围内；外观存在1 处轻微瑕疵（细微划痕、局部污渍等），无磕碰、破损，不影响整体观感的得4分</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重量偏差略超允许范围但不影响装配使用；标识模糊；外观存在2 处及以上轻微瑕疵，无结构性破损的得2分。</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b w:val="0"/>
          <w:bCs w:val="0"/>
          <w:sz w:val="28"/>
          <w:szCs w:val="28"/>
          <w:highlight w:val="none"/>
          <w:lang w:val="en-US" w:eastAsia="zh-CN"/>
        </w:rPr>
        <w:outlineLvl w:val="9"/>
      </w:pPr>
      <w:r>
        <w:rPr>
          <w:rFonts w:hint="eastAsia" w:ascii="仿宋" w:hAnsi="仿宋" w:eastAsia="仿宋"/>
          <w:b w:val="0"/>
          <w:bCs w:val="0"/>
          <w:sz w:val="28"/>
          <w:szCs w:val="28"/>
          <w:highlight w:val="none"/>
          <w:lang w:val="en-US" w:eastAsia="zh-CN"/>
        </w:rPr>
        <w:t xml:space="preserve">（3）</w:t>
      </w:r>
      <w:r>
        <w:rPr>
          <w:rFonts w:ascii="仿宋" w:hAnsi="仿宋" w:eastAsia="仿宋"/>
          <w:b w:val="0"/>
          <w:bCs w:val="0"/>
          <w:sz w:val="28"/>
          <w:szCs w:val="28"/>
          <w:highlight w:val="none"/>
          <w:lang w:val="en-US" w:eastAsia="zh-CN"/>
        </w:rPr>
        <w:t xml:space="preserve">使用体验</w:t>
      </w:r>
      <w:r>
        <w:rPr>
          <w:rFonts w:hint="eastAsia" w:ascii="仿宋" w:hAnsi="仿宋" w:eastAsia="仿宋"/>
          <w:b w:val="0"/>
          <w:bCs w:val="0"/>
          <w:sz w:val="28"/>
          <w:szCs w:val="28"/>
          <w:highlight w:val="none"/>
          <w:lang w:val="en-US" w:eastAsia="zh-CN"/>
        </w:rPr>
        <w:t xml:space="preserve">（6分）</w:t>
      </w:r>
      <w:r>
        <w:rPr>
          <w:rFonts w:ascii="仿宋" w:hAnsi="仿宋" w:eastAsia="仿宋"/>
          <w:b w:val="0"/>
          <w:bCs w:val="0"/>
          <w:sz w:val="28"/>
          <w:szCs w:val="28"/>
          <w:highlight w:val="none"/>
          <w:lang w:val="en-US" w:eastAsia="zh-CN"/>
        </w:rPr>
        <w:t xml:space="preserve">：</w:t>
      </w:r>
      <w:r>
        <w:rPr>
          <w:rFonts w:ascii="仿宋" w:hAnsi="仿宋" w:eastAsia="仿宋"/>
          <w:b w:val="0"/>
          <w:bCs w:val="0"/>
          <w:sz w:val="28"/>
          <w:szCs w:val="28"/>
          <w:highlight w:val="none"/>
          <w:lang w:val="en-US" w:eastAsia="zh-CN"/>
        </w:rPr>
      </w:r>
      <w:r/>
    </w:p>
    <w:p>
      <w:pPr>
        <w:pStyle w:val="893"/>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操作逻辑简单直观，按键或部件开合、调节顺畅，上手无门槛；握持、使用体感舒适；产品运行流畅，无卡顿、卡滞现象，整体使用体验佳的</w:t>
      </w:r>
      <w:r>
        <w:rPr>
          <w:rFonts w:ascii="仿宋" w:hAnsi="仿宋" w:eastAsia="仿宋"/>
          <w:sz w:val="28"/>
          <w:szCs w:val="28"/>
          <w:highlight w:val="none"/>
          <w:lang w:val="en-US" w:eastAsia="zh-CN"/>
        </w:rPr>
        <w:t xml:space="preserve">得</w:t>
      </w:r>
      <w:r>
        <w:rPr>
          <w:rFonts w:hint="eastAsia" w:ascii="仿宋" w:hAnsi="仿宋" w:eastAsia="仿宋"/>
          <w:sz w:val="28"/>
          <w:szCs w:val="28"/>
          <w:highlight w:val="none"/>
          <w:lang w:val="en-US" w:eastAsia="zh-CN"/>
        </w:rPr>
        <w:t xml:space="preserve">6</w:t>
      </w:r>
      <w:r>
        <w:rPr>
          <w:rFonts w:ascii="仿宋" w:hAnsi="仿宋" w:eastAsia="仿宋"/>
          <w:sz w:val="28"/>
          <w:szCs w:val="28"/>
          <w:highlight w:val="none"/>
          <w:lang w:val="en-US" w:eastAsia="zh-CN"/>
        </w:rPr>
        <w:t xml:space="preserve">分</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操作流程清晰，仅个别步骤稍繁琐；使用体感基本舒适；运行偶有轻微卡顿、卡滞，基本满足正常操作与使用的</w:t>
      </w:r>
      <w:r>
        <w:rPr>
          <w:rFonts w:ascii="仿宋" w:hAnsi="仿宋" w:eastAsia="仿宋"/>
          <w:sz w:val="28"/>
          <w:szCs w:val="28"/>
          <w:highlight w:val="none"/>
          <w:lang w:val="en-US" w:eastAsia="zh-CN"/>
        </w:rPr>
        <w:t xml:space="preserve">得</w:t>
      </w:r>
      <w:r>
        <w:rPr>
          <w:rFonts w:hint="eastAsia" w:ascii="仿宋" w:hAnsi="仿宋" w:eastAsia="仿宋"/>
          <w:sz w:val="28"/>
          <w:szCs w:val="28"/>
          <w:highlight w:val="none"/>
          <w:lang w:val="en-US" w:eastAsia="zh-CN"/>
        </w:rPr>
        <w:t xml:space="preserve">4</w:t>
      </w:r>
      <w:r>
        <w:rPr>
          <w:rFonts w:ascii="仿宋" w:hAnsi="仿宋" w:eastAsia="仿宋"/>
          <w:sz w:val="28"/>
          <w:szCs w:val="28"/>
          <w:highlight w:val="none"/>
          <w:lang w:val="en-US" w:eastAsia="zh-CN"/>
        </w:rPr>
        <w:t xml:space="preserve">分</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操作步骤繁琐、部件开合或调节偏生硬；使用舒适性较差；卡顿、阻滞现象频发，能满足正常使用</w:t>
      </w:r>
      <w:r>
        <w:rPr>
          <w:rFonts w:ascii="仿宋" w:hAnsi="仿宋" w:eastAsia="仿宋"/>
          <w:sz w:val="28"/>
          <w:szCs w:val="28"/>
          <w:highlight w:val="none"/>
          <w:lang w:val="en-US" w:eastAsia="zh-CN"/>
        </w:rPr>
        <w:t xml:space="preserve">的得</w:t>
      </w:r>
      <w:r>
        <w:rPr>
          <w:rFonts w:hint="eastAsia" w:ascii="仿宋" w:hAnsi="仿宋" w:eastAsia="仿宋"/>
          <w:sz w:val="28"/>
          <w:szCs w:val="28"/>
          <w:highlight w:val="none"/>
          <w:lang w:val="en-US" w:eastAsia="zh-CN"/>
        </w:rPr>
        <w:t xml:space="preserve">2</w:t>
      </w:r>
      <w:r>
        <w:rPr>
          <w:rFonts w:ascii="仿宋" w:hAnsi="仿宋" w:eastAsia="仿宋"/>
          <w:sz w:val="28"/>
          <w:szCs w:val="28"/>
          <w:highlight w:val="none"/>
          <w:lang w:val="en-US" w:eastAsia="zh-CN"/>
        </w:rPr>
        <w:t xml:space="preserve">分</w:t>
      </w:r>
      <w:r>
        <w:rPr>
          <w:rFonts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r>
      <w:r/>
    </w:p>
    <w:p>
      <w:pPr>
        <w:pStyle w:val="893"/>
        <w:ind w:firstLine="560"/>
        <w:keepLines w:val="0"/>
        <w:keepNext w:val="0"/>
        <w:pageBreakBefore w:val="0"/>
        <w:spacing w:line="520" w:lineRule="exact"/>
        <w:rPr>
          <w:rFonts w:ascii="仿宋" w:hAnsi="仿宋" w:eastAsia="仿宋"/>
          <w:b w:val="0"/>
          <w:bCs w:val="0"/>
          <w:sz w:val="28"/>
          <w:szCs w:val="28"/>
          <w:highlight w:val="none"/>
          <w:lang w:val="en-US" w:eastAsia="zh-CN"/>
        </w:rPr>
        <w:outlineLvl w:val="9"/>
      </w:pPr>
      <w:r>
        <w:rPr>
          <w:rFonts w:ascii="仿宋" w:hAnsi="仿宋" w:eastAsia="仿宋"/>
          <w:b w:val="0"/>
          <w:bCs w:val="0"/>
          <w:sz w:val="28"/>
          <w:szCs w:val="28"/>
          <w:highlight w:val="none"/>
          <w:lang w:val="en-US" w:eastAsia="zh-CN"/>
        </w:rPr>
        <w:t xml:space="preserve">有以下两种情形之一的，此项不得分：1、未提供样品；2、样品实物与投标文件技术参数描述不一致的。</w:t>
      </w:r>
      <w:r>
        <w:rPr>
          <w:rFonts w:ascii="仿宋" w:hAnsi="仿宋" w:eastAsia="仿宋"/>
          <w:b w:val="0"/>
          <w:bCs w:val="0"/>
          <w:sz w:val="28"/>
          <w:szCs w:val="28"/>
          <w:highlight w:val="none"/>
          <w:lang w:val="en-US" w:eastAsia="zh-CN"/>
        </w:rPr>
      </w:r>
      <w:r/>
    </w:p>
    <w:p>
      <w:pPr>
        <w:pStyle w:val="893"/>
        <w:numPr>
          <w:ilvl w:val="0"/>
          <w:numId w:val="5"/>
        </w:numPr>
        <w:ind w:firstLine="562"/>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售后服务</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12</w:t>
      </w:r>
      <w:r>
        <w:rPr>
          <w:rFonts w:hint="eastAsia" w:ascii="仿宋" w:hAnsi="仿宋" w:eastAsia="仿宋"/>
          <w:b/>
          <w:bCs/>
          <w:sz w:val="28"/>
          <w:szCs w:val="28"/>
          <w:highlight w:val="none"/>
        </w:rPr>
        <w:t xml:space="preserve">分</w:t>
      </w:r>
      <w:r>
        <w:rPr>
          <w:rFonts w:hint="eastAsia" w:ascii="仿宋" w:hAnsi="仿宋" w:eastAsia="仿宋"/>
          <w:b/>
          <w:bCs/>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售后服务方案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就投标人提供的售后服务方案进行综合评审，内容包括但不限于：售后服务范围及内容、售后培训及频次、售后服务人员及设备配备、售后响应时间、质保期外的售后服务范围等情况。 </w:t>
      </w:r>
      <w:r>
        <w:rPr>
          <w:rFonts w:hint="eastAsia" w:ascii="仿宋" w:hAnsi="仿宋" w:eastAsia="仿宋"/>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方案内容完整，售后服务范围及内容</w:t>
      </w:r>
      <w:r>
        <w:rPr>
          <w:rFonts w:hint="eastAsia" w:ascii="仿宋" w:hAnsi="仿宋" w:eastAsia="仿宋"/>
          <w:sz w:val="28"/>
          <w:szCs w:val="28"/>
          <w:highlight w:val="none"/>
        </w:rPr>
        <w:t xml:space="preserve">全面且清晰，售后培训方案可执行性强的，配备专业售后服务人员及设备，售后响应时间相较其他投标人迅速，交付使用后全周期免费维修详细列明、服务承诺及保证条款设置有处罚措施的，得5分； 方案内容较完整，售后服务范围及内容较为全面且清晰，售后培训方案可执行性较强，配备售后服务人员及设备较专业，响应时间相较其他投标人适中，交付使用后全周期免费维修售后较详细列明的得3分； 方案内容一般，售后服务范围及内容基本明确，售后培训方案可执行性较弱，配备售后服务人员及设备单一，交付使用后全周期免费维修售后服务范围阐述简单的，得1分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未提供，不得分。</w:t>
      </w:r>
      <w:r>
        <w:rPr>
          <w:rFonts w:hint="eastAsia" w:ascii="仿宋" w:hAnsi="仿宋" w:eastAsia="仿宋"/>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交货、验收方案</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就投标人提供的交货、验收方案进行综合评审，内容包含但不限于交货流程、交货时间、配合验收流程、配合验收人员配置、配合验收保障措施等进行打分：</w:t>
      </w:r>
      <w:r>
        <w:rPr>
          <w:rFonts w:hint="eastAsia" w:ascii="仿宋" w:hAnsi="仿宋" w:eastAsia="仿宋"/>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方案内容完整，产品的交货流程清晰明确、详尽，交货时间快捷、有效，配合验收流程阐述详细，验收配合关键时间节点具体可执行性强，配合验收人员配置明确，有指定的专职人员负责且职责分工清晰合理；配合验收保障措施全面明</w:t>
      </w:r>
      <w:r>
        <w:rPr>
          <w:rFonts w:hint="eastAsia" w:ascii="仿宋" w:hAnsi="仿宋" w:eastAsia="仿宋"/>
          <w:sz w:val="28"/>
          <w:szCs w:val="28"/>
          <w:highlight w:val="none"/>
        </w:rPr>
        <w:t xml:space="preserve">确、内容详实、操作可行，能有效保障验收工作顺利实施的，得5分；方案内容较完整，产品的交货验收流程较清晰明确，交货时间较快捷、有效，配合验收流程基本清晰，有主要时间节点，配合验收人员配置较明确，职责分工描述较具体；配合采购人顺利验收的保障措施内容整体较全面，能基本保障采购人验收工作顺利实施的，得3分；方案内容一般，产品的交货验收流程基本明确，交货时间基本满足要求的，验收配合方案内容单一，配合验收流程安排简单，缺乏关键步骤或时间节点，无法顺利指导操作；配合采购人顺利验收的保障措施有漏洞，得1分；未提供，不得分。</w:t>
      </w:r>
      <w:r>
        <w:rPr>
          <w:rFonts w:hint="eastAsia" w:ascii="仿宋" w:hAnsi="仿宋" w:eastAsia="仿宋"/>
          <w:sz w:val="28"/>
          <w:szCs w:val="28"/>
          <w:highlight w:val="none"/>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免费维修服务期限</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根据投标人针对本项目供货产品的免费维修服务期限进行综合比较后评分：投标人所投产品免费维修服务期限响应招标文件最低要求（三年）下每增加一年加1分，最高得2分。免费维修服务期限三年以下或未提供</w:t>
      </w:r>
      <w:r>
        <w:rPr>
          <w:rFonts w:hint="eastAsia" w:ascii="仿宋" w:hAnsi="仿宋" w:eastAsia="仿宋"/>
          <w:sz w:val="28"/>
          <w:szCs w:val="28"/>
          <w:highlight w:val="none"/>
        </w:rPr>
        <w:t xml:space="preserve">者不得分。（投标文件需提供加盖投标人公章的免费维修服务期限承诺书）。</w:t>
      </w:r>
      <w:r>
        <w:rPr>
          <w:rFonts w:hint="eastAsia" w:ascii="仿宋" w:hAnsi="仿宋" w:eastAsia="仿宋"/>
          <w:sz w:val="28"/>
          <w:szCs w:val="28"/>
          <w:highlight w:val="none"/>
        </w:rPr>
      </w:r>
      <w:r/>
    </w:p>
    <w:p>
      <w:pPr>
        <w:pStyle w:val="893"/>
        <w:numPr>
          <w:ilvl w:val="0"/>
          <w:numId w:val="5"/>
        </w:numPr>
        <w:ind w:left="0" w:firstLine="562"/>
        <w:keepLines w:val="0"/>
        <w:keepNext w:val="0"/>
        <w:pageBreakBefore w:val="0"/>
        <w:spacing w:line="520" w:lineRule="exact"/>
        <w:widowControl w:val="off"/>
        <w:rPr>
          <w:rFonts w:hint="eastAsia" w:ascii="仿宋" w:hAnsi="仿宋" w:eastAsia="仿宋"/>
          <w:b/>
          <w:bCs/>
          <w:sz w:val="28"/>
          <w:szCs w:val="28"/>
          <w:highlight w:val="none"/>
          <w:lang w:val="en-US" w:eastAsia="zh-CN"/>
        </w:rPr>
        <w:outlineLvl w:val="9"/>
      </w:pPr>
      <w:r>
        <w:rPr>
          <w:rFonts w:hint="eastAsia" w:ascii="仿宋" w:hAnsi="仿宋" w:eastAsia="仿宋"/>
          <w:b/>
          <w:bCs/>
          <w:sz w:val="28"/>
          <w:szCs w:val="28"/>
          <w:highlight w:val="none"/>
          <w:lang w:val="en-US" w:eastAsia="zh-CN"/>
        </w:rPr>
        <w:t xml:space="preserve">商务部分：3分</w:t>
      </w:r>
      <w:r>
        <w:rPr>
          <w:rFonts w:hint="eastAsia" w:ascii="仿宋" w:hAnsi="仿宋" w:eastAsia="仿宋"/>
          <w:b/>
          <w:bCs/>
          <w:sz w:val="28"/>
          <w:szCs w:val="28"/>
          <w:highlight w:val="none"/>
          <w:lang w:val="en-US" w:eastAsia="zh-CN"/>
        </w:rPr>
      </w:r>
      <w:r/>
    </w:p>
    <w:p>
      <w:pPr>
        <w:pStyle w:val="893"/>
        <w:numPr>
          <w:ilvl w:val="0"/>
          <w:numId w:val="0"/>
        </w:numPr>
        <w:ind w:firstLine="560"/>
        <w:keepLines w:val="0"/>
        <w:keepNext w:val="0"/>
        <w:pageBreakBefore w:val="0"/>
        <w:spacing w:line="520" w:lineRule="exact"/>
        <w:widowControl w:val="off"/>
        <w:rPr>
          <w:rFonts w:ascii="仿宋" w:hAnsi="仿宋" w:eastAsia="仿宋"/>
          <w:sz w:val="28"/>
          <w:szCs w:val="28"/>
          <w:highlight w:val="none"/>
          <w:lang w:val="en-US" w:eastAsia="zh-CN"/>
        </w:rPr>
        <w:outlineLvl w:val="9"/>
      </w:pPr>
      <w:r>
        <w:rPr>
          <w:rFonts w:ascii="仿宋" w:hAnsi="仿宋" w:eastAsia="仿宋"/>
          <w:b w:val="0"/>
          <w:bCs w:val="0"/>
          <w:sz w:val="28"/>
          <w:szCs w:val="28"/>
          <w:highlight w:val="none"/>
          <w:lang w:val="en-US" w:eastAsia="zh-CN"/>
        </w:rPr>
        <w:t xml:space="preserve">投标人</w:t>
      </w:r>
      <w:r>
        <w:rPr>
          <w:rFonts w:hint="eastAsia" w:ascii="仿宋" w:hAnsi="仿宋" w:eastAsia="仿宋"/>
          <w:sz w:val="28"/>
          <w:szCs w:val="28"/>
          <w:highlight w:val="none"/>
          <w:lang w:val="en-US" w:eastAsia="zh-CN"/>
        </w:rPr>
        <w:t xml:space="preserve">自2021年</w:t>
      </w:r>
      <w:r>
        <w:rPr>
          <w:rFonts w:hint="eastAsia" w:ascii="仿宋" w:hAnsi="仿宋" w:eastAsia="仿宋"/>
          <w:sz w:val="28"/>
          <w:szCs w:val="28"/>
          <w:highlight w:val="none"/>
          <w:lang w:val="en-US" w:eastAsia="zh-CN"/>
        </w:rPr>
        <w:t xml:space="preserve">（以合同签订时间为准）</w:t>
      </w:r>
      <w:r>
        <w:rPr>
          <w:rFonts w:ascii="仿宋" w:hAnsi="仿宋" w:eastAsia="仿宋"/>
          <w:sz w:val="28"/>
          <w:szCs w:val="28"/>
          <w:highlight w:val="none"/>
          <w:lang w:val="en-US" w:eastAsia="zh-CN"/>
        </w:rPr>
        <w:t xml:space="preserve">以来有过相似产品销售业绩的。每提供一份有效业绩证明材料得1分，最多得3分。</w:t>
      </w:r>
      <w:r>
        <w:rPr>
          <w:rFonts w:ascii="仿宋" w:hAnsi="仿宋" w:eastAsia="仿宋"/>
          <w:sz w:val="28"/>
          <w:szCs w:val="28"/>
          <w:highlight w:val="none"/>
          <w:lang w:val="en-US" w:eastAsia="zh-CN"/>
        </w:rPr>
      </w:r>
      <w:r/>
    </w:p>
    <w:p>
      <w:pPr>
        <w:pStyle w:val="893"/>
        <w:numPr>
          <w:ilvl w:val="0"/>
          <w:numId w:val="0"/>
        </w:numPr>
        <w:ind w:firstLine="562"/>
        <w:keepLines w:val="0"/>
        <w:keepNext w:val="0"/>
        <w:pageBreakBefore w:val="0"/>
        <w:spacing w:line="520" w:lineRule="exact"/>
        <w:widowControl w:val="off"/>
        <w:rPr>
          <w:rFonts w:ascii="仿宋" w:hAnsi="仿宋" w:eastAsia="仿宋"/>
          <w:b/>
          <w:bCs/>
          <w:sz w:val="28"/>
          <w:szCs w:val="28"/>
          <w:highlight w:val="none"/>
          <w:lang w:val="en-US" w:eastAsia="zh-CN"/>
        </w:rPr>
        <w:outlineLvl w:val="9"/>
      </w:pPr>
      <w:r>
        <w:rPr>
          <w:rFonts w:ascii="仿宋" w:hAnsi="仿宋" w:eastAsia="仿宋"/>
          <w:b/>
          <w:bCs/>
          <w:sz w:val="28"/>
          <w:szCs w:val="28"/>
          <w:highlight w:val="none"/>
          <w:lang w:val="en-US" w:eastAsia="zh-CN"/>
        </w:rPr>
        <w:t xml:space="preserve">注：</w:t>
      </w:r>
      <w:r>
        <w:rPr>
          <w:rFonts w:ascii="仿宋" w:hAnsi="仿宋" w:eastAsia="仿宋"/>
          <w:b/>
          <w:bCs/>
          <w:sz w:val="28"/>
          <w:szCs w:val="28"/>
          <w:highlight w:val="none"/>
          <w:lang w:val="en-US" w:eastAsia="zh-CN"/>
        </w:rPr>
      </w:r>
      <w:r/>
    </w:p>
    <w:p>
      <w:pPr>
        <w:pStyle w:val="893"/>
        <w:numPr>
          <w:ilvl w:val="0"/>
          <w:numId w:val="0"/>
        </w:numPr>
        <w:ind w:firstLine="560"/>
        <w:keepLines w:val="0"/>
        <w:keepNext w:val="0"/>
        <w:pageBreakBefore w:val="0"/>
        <w:spacing w:line="520" w:lineRule="exact"/>
        <w:widowControl w:val="off"/>
        <w:rPr>
          <w:rFonts w:ascii="仿宋" w:hAnsi="仿宋" w:eastAsia="仿宋"/>
          <w:sz w:val="28"/>
          <w:szCs w:val="28"/>
          <w:highlight w:val="none"/>
          <w:lang w:val="en-US" w:eastAsia="zh-CN"/>
        </w:rPr>
        <w:outlineLvl w:val="9"/>
      </w:pPr>
      <w:r>
        <w:rPr>
          <w:rFonts w:ascii="仿宋" w:hAnsi="仿宋" w:eastAsia="仿宋"/>
          <w:sz w:val="28"/>
          <w:szCs w:val="28"/>
          <w:highlight w:val="none"/>
          <w:lang w:val="en-US" w:eastAsia="zh-CN"/>
        </w:rPr>
        <w:t xml:space="preserve">①业绩证明材料需同时提供合同和发票加盖公章，合同须能体现签订单位信息、签订时间、产品名称、型号、价格等相关信息，否则视为无效合同）。②统招分签的合同按一个合同业绩计。【多个合同项目名称一致的，均按一个合同计】③合同中的产品名称及产品型号请加以明显标记，以方便评审和核对。④合同评审中的重要信息因存在内容模糊、无法辨认而产生不利于该项评审的情况，投标人自行承担后果。</w:t>
      </w:r>
      <w:r>
        <w:rPr>
          <w:rFonts w:ascii="仿宋" w:hAnsi="仿宋" w:eastAsia="仿宋"/>
          <w:sz w:val="28"/>
          <w:szCs w:val="28"/>
          <w:highlight w:val="none"/>
          <w:lang w:val="en-US" w:eastAsia="zh-CN"/>
        </w:rPr>
      </w:r>
      <w:r/>
    </w:p>
    <w:p>
      <w:pPr>
        <w:pStyle w:val="893"/>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893"/>
        <w:ind w:firstLine="560"/>
        <w:spacing w:line="520" w:lineRule="exact"/>
        <w:tabs>
          <w:tab w:val="left" w:pos="180" w:leader="none"/>
        </w:tabs>
        <w:rPr>
          <w:rFonts w:hint="eastAsia" w:ascii="仿宋" w:hAnsi="仿宋" w:eastAsia="仿宋"/>
          <w:sz w:val="32"/>
          <w:highlight w:val="none"/>
        </w:rPr>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914"/>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14"/>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93"/>
        <w:jc w:val="center"/>
        <w:rPr>
          <w:rFonts w:ascii="仿宋" w:hAnsi="仿宋" w:eastAsia="仿宋"/>
          <w:bCs/>
          <w:sz w:val="28"/>
          <w:szCs w:val="28"/>
          <w:highlight w:val="none"/>
        </w:rPr>
      </w:pPr>
      <w:r>
        <w:rPr>
          <w:rFonts w:hint="eastAsia" w:ascii="仿宋" w:hAnsi="仿宋" w:eastAsia="仿宋"/>
          <w:bCs/>
          <w:sz w:val="28"/>
          <w:szCs w:val="28"/>
          <w:highlight w:val="none"/>
        </w:rPr>
        <w:t xml:space="preserve">淮安市消防救援支队2026年度民生实事消防快速处置队装备器材采购项目</w:t>
      </w:r>
      <w:r>
        <w:rPr>
          <w:rFonts w:ascii="仿宋" w:hAnsi="仿宋" w:eastAsia="仿宋"/>
          <w:bCs/>
          <w:sz w:val="28"/>
          <w:szCs w:val="28"/>
          <w:highlight w:val="none"/>
        </w:rPr>
      </w:r>
      <w:r/>
    </w:p>
    <w:p>
      <w:pPr>
        <w:pStyle w:val="893"/>
        <w:jc w:val="center"/>
        <w:rPr>
          <w:rFonts w:ascii="仿宋" w:hAnsi="仿宋" w:eastAsia="仿宋"/>
          <w:bCs/>
          <w:sz w:val="28"/>
          <w:szCs w:val="28"/>
          <w:highlight w:val="none"/>
        </w:rPr>
      </w:pPr>
      <w:r>
        <w:rPr>
          <w:rFonts w:hint="eastAsia" w:ascii="仿宋" w:hAnsi="仿宋" w:eastAsia="仿宋"/>
          <w:bCs/>
          <w:sz w:val="28"/>
          <w:szCs w:val="28"/>
          <w:highlight w:val="none"/>
        </w:rPr>
        <w:t xml:space="preserve">采购合同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甲方：（买方）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乙方：（卖方）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甲、乙双方根据****（项目名称）招标的结果，签署本合同。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一、产品名称、单价</w:t>
      </w:r>
      <w:r>
        <w:rPr>
          <w:rFonts w:ascii="仿宋" w:hAnsi="仿宋" w:eastAsia="仿宋"/>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26"/>
        <w:gridCol w:w="726"/>
        <w:gridCol w:w="726"/>
        <w:gridCol w:w="726"/>
        <w:gridCol w:w="1056"/>
        <w:gridCol w:w="1065"/>
        <w:gridCol w:w="37"/>
        <w:gridCol w:w="1146"/>
        <w:gridCol w:w="1418"/>
      </w:tblGrid>
      <w:tr>
        <w:trPr/>
        <w:tc>
          <w:tcPr>
            <w:tcW w:w="704"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品名</w:t>
            </w:r>
            <w:r>
              <w:rPr>
                <w:rFonts w:ascii="仿宋" w:hAnsi="仿宋" w:eastAsia="仿宋" w:cs="Times New Roman"/>
                <w:bCs/>
                <w:sz w:val="28"/>
                <w:szCs w:val="28"/>
                <w:highlight w:val="none"/>
              </w:rPr>
            </w:r>
            <w:r/>
          </w:p>
        </w:tc>
        <w:tc>
          <w:tcPr>
            <w:tcW w:w="72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品牌型号</w:t>
            </w:r>
            <w:r>
              <w:rPr>
                <w:rFonts w:ascii="仿宋" w:hAnsi="仿宋" w:eastAsia="仿宋" w:cs="Times New Roman"/>
                <w:bCs/>
                <w:sz w:val="28"/>
                <w:szCs w:val="28"/>
                <w:highlight w:val="none"/>
              </w:rPr>
            </w:r>
            <w:r/>
          </w:p>
        </w:tc>
        <w:tc>
          <w:tcPr>
            <w:tcW w:w="72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生产厂家</w:t>
            </w:r>
            <w:r>
              <w:rPr>
                <w:rFonts w:ascii="仿宋" w:hAnsi="仿宋" w:eastAsia="仿宋" w:cs="Times New Roman"/>
                <w:bCs/>
                <w:sz w:val="28"/>
                <w:szCs w:val="28"/>
                <w:highlight w:val="none"/>
              </w:rPr>
            </w:r>
            <w:r/>
          </w:p>
        </w:tc>
        <w:tc>
          <w:tcPr>
            <w:tcW w:w="72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单位</w:t>
            </w:r>
            <w:r>
              <w:rPr>
                <w:rFonts w:ascii="仿宋" w:hAnsi="仿宋" w:eastAsia="仿宋" w:cs="Times New Roman"/>
                <w:bCs/>
                <w:sz w:val="28"/>
                <w:szCs w:val="28"/>
                <w:highlight w:val="none"/>
              </w:rPr>
            </w:r>
            <w:r/>
          </w:p>
        </w:tc>
        <w:tc>
          <w:tcPr>
            <w:tcW w:w="72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数量</w:t>
            </w:r>
            <w:r>
              <w:rPr>
                <w:rFonts w:ascii="仿宋" w:hAnsi="仿宋" w:eastAsia="仿宋" w:cs="Times New Roman"/>
                <w:bCs/>
                <w:sz w:val="28"/>
                <w:szCs w:val="28"/>
                <w:highlight w:val="none"/>
              </w:rPr>
            </w:r>
            <w:r/>
          </w:p>
        </w:tc>
        <w:tc>
          <w:tcPr>
            <w:tcW w:w="1056"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单价（元）</w:t>
            </w:r>
            <w:r>
              <w:rPr>
                <w:rFonts w:ascii="仿宋" w:hAnsi="仿宋" w:eastAsia="仿宋" w:cs="Times New Roman"/>
                <w:bCs/>
                <w:sz w:val="28"/>
                <w:szCs w:val="28"/>
                <w:highlight w:val="none"/>
              </w:rPr>
            </w:r>
            <w:r/>
          </w:p>
          <w:p>
            <w:pPr>
              <w:pStyle w:val="893"/>
              <w:jc w:val="center"/>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合计</w:t>
            </w:r>
            <w:r>
              <w:rPr>
                <w:rFonts w:ascii="仿宋" w:hAnsi="仿宋" w:eastAsia="仿宋" w:cs="Times New Roman"/>
                <w:bCs/>
                <w:sz w:val="28"/>
                <w:szCs w:val="28"/>
                <w:highlight w:val="none"/>
              </w:rPr>
            </w:r>
            <w:r/>
          </w:p>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（元）</w:t>
            </w:r>
            <w:r>
              <w:rPr>
                <w:rFonts w:ascii="仿宋" w:hAnsi="仿宋" w:eastAsia="仿宋" w:cs="Times New Roman"/>
                <w:bCs/>
                <w:sz w:val="28"/>
                <w:szCs w:val="28"/>
                <w:highlight w:val="none"/>
              </w:rPr>
            </w:r>
            <w:r/>
          </w:p>
          <w:p>
            <w:pPr>
              <w:pStyle w:val="893"/>
              <w:jc w:val="center"/>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center"/>
            <w:textDirection w:val="lrTb"/>
            <w:noWrap w:val="false"/>
          </w:tcPr>
          <w:p>
            <w:pPr>
              <w:pStyle w:val="893"/>
              <w:jc w:val="center"/>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质保期</w:t>
            </w:r>
            <w:r>
              <w:rPr>
                <w:rFonts w:hint="eastAsia" w:ascii="仿宋" w:hAnsi="仿宋" w:eastAsia="仿宋" w:cs="Times New Roman"/>
                <w:bCs/>
                <w:sz w:val="28"/>
                <w:szCs w:val="28"/>
                <w:highlight w:val="none"/>
              </w:rPr>
            </w:r>
            <w:r/>
          </w:p>
        </w:tc>
        <w:tc>
          <w:tcPr>
            <w:tcW w:w="1418" w:type="dxa"/>
            <w:vAlign w:val="center"/>
            <w:textDirection w:val="lrTb"/>
            <w:noWrap w:val="false"/>
          </w:tcPr>
          <w:p>
            <w:pPr>
              <w:pStyle w:val="893"/>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备注</w:t>
            </w:r>
            <w:r>
              <w:rPr>
                <w:rFonts w:ascii="仿宋" w:hAnsi="仿宋" w:eastAsia="仿宋" w:cs="Times New Roman"/>
                <w:bCs/>
                <w:sz w:val="28"/>
                <w:szCs w:val="28"/>
                <w:highlight w:val="none"/>
              </w:rPr>
            </w:r>
            <w:r/>
          </w:p>
          <w:p>
            <w:pPr>
              <w:pStyle w:val="893"/>
              <w:jc w:val="center"/>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r>
      <w:tr>
        <w:trPr>
          <w:trHeight w:val="1099"/>
        </w:trPr>
        <w:tc>
          <w:tcPr>
            <w:tcW w:w="704"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5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top"/>
            <w:textDirection w:val="lrTb"/>
            <w:noWrap w:val="false"/>
          </w:tcPr>
          <w:p>
            <w:pPr>
              <w:pStyle w:val="893"/>
              <w:rPr>
                <w:rFonts w:hint="eastAsia" w:ascii="仿宋" w:hAnsi="仿宋" w:eastAsia="仿宋"/>
                <w:bCs/>
                <w:sz w:val="28"/>
                <w:szCs w:val="28"/>
                <w:highlight w:val="none"/>
              </w:rPr>
            </w:pPr>
            <w:r>
              <w:rPr>
                <w:rFonts w:hint="eastAsia" w:ascii="仿宋" w:hAnsi="仿宋" w:eastAsia="仿宋"/>
                <w:bCs/>
                <w:sz w:val="28"/>
                <w:szCs w:val="28"/>
                <w:highlight w:val="none"/>
              </w:rPr>
            </w:r>
            <w:r/>
          </w:p>
        </w:tc>
        <w:tc>
          <w:tcPr>
            <w:tcW w:w="1418" w:type="dxa"/>
            <w:vAlign w:val="top"/>
            <w:vMerge w:val="restart"/>
            <w:textDirection w:val="lrTb"/>
            <w:noWrap w:val="false"/>
          </w:tcPr>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（需满足为完成该项目的相关运输、安装、培训、售后服务、维修、更换和质保、检验等所有费用）</w:t>
            </w:r>
            <w:r>
              <w:rPr>
                <w:rFonts w:ascii="仿宋" w:hAnsi="仿宋" w:eastAsia="仿宋" w:cs="Times New Roman"/>
                <w:bCs/>
                <w:sz w:val="28"/>
                <w:szCs w:val="28"/>
                <w:highlight w:val="none"/>
              </w:rPr>
            </w:r>
            <w:r/>
          </w:p>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如投标文件中技术条款或商务条款有正偏离，应在合同中进行明确。</w:t>
            </w:r>
            <w:r>
              <w:rPr>
                <w:rFonts w:ascii="仿宋" w:hAnsi="仿宋" w:eastAsia="仿宋" w:cs="Times New Roman"/>
                <w:bCs/>
                <w:sz w:val="28"/>
                <w:szCs w:val="28"/>
                <w:highlight w:val="none"/>
              </w:rPr>
            </w:r>
            <w:r/>
          </w:p>
        </w:tc>
      </w:tr>
      <w:tr>
        <w:trPr>
          <w:trHeight w:val="988"/>
        </w:trPr>
        <w:tc>
          <w:tcPr>
            <w:tcW w:w="704"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5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top"/>
            <w:textDirection w:val="lrTb"/>
            <w:noWrap w:val="false"/>
          </w:tcPr>
          <w:p>
            <w:pPr>
              <w:pStyle w:val="893"/>
              <w:rPr>
                <w:rFonts w:ascii="仿宋" w:hAnsi="仿宋" w:eastAsia="仿宋"/>
                <w:bCs/>
                <w:sz w:val="28"/>
                <w:szCs w:val="28"/>
                <w:highlight w:val="none"/>
              </w:rPr>
            </w:pPr>
            <w:r>
              <w:rPr>
                <w:rFonts w:ascii="仿宋" w:hAnsi="仿宋" w:eastAsia="仿宋"/>
                <w:bCs/>
                <w:sz w:val="28"/>
                <w:szCs w:val="28"/>
                <w:highlight w:val="none"/>
              </w:rPr>
            </w:r>
            <w:r/>
          </w:p>
        </w:tc>
        <w:tc>
          <w:tcPr>
            <w:tcW w:w="1418" w:type="dxa"/>
            <w:vAlign w:val="top"/>
            <w:vMerge w:val="continue"/>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r>
      <w:tr>
        <w:trPr>
          <w:trHeight w:val="988"/>
        </w:trPr>
        <w:tc>
          <w:tcPr>
            <w:tcW w:w="704"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5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top"/>
            <w:textDirection w:val="lrTb"/>
            <w:noWrap w:val="false"/>
          </w:tcPr>
          <w:p>
            <w:pPr>
              <w:pStyle w:val="893"/>
              <w:rPr>
                <w:rFonts w:ascii="仿宋" w:hAnsi="仿宋" w:eastAsia="仿宋"/>
                <w:bCs/>
                <w:sz w:val="28"/>
                <w:szCs w:val="28"/>
                <w:highlight w:val="none"/>
              </w:rPr>
            </w:pPr>
            <w:r>
              <w:rPr>
                <w:rFonts w:ascii="仿宋" w:hAnsi="仿宋" w:eastAsia="仿宋"/>
                <w:bCs/>
                <w:sz w:val="28"/>
                <w:szCs w:val="28"/>
                <w:highlight w:val="none"/>
              </w:rPr>
            </w:r>
            <w:r/>
          </w:p>
        </w:tc>
        <w:tc>
          <w:tcPr>
            <w:tcW w:w="1418" w:type="dxa"/>
            <w:vAlign w:val="top"/>
            <w:vMerge w:val="continue"/>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r>
      <w:tr>
        <w:trPr>
          <w:trHeight w:val="973"/>
        </w:trPr>
        <w:tc>
          <w:tcPr>
            <w:tcW w:w="704"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72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56"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tcW w:w="1065" w:type="dxa"/>
            <w:vAlign w:val="top"/>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c>
          <w:tcPr>
            <w:gridSpan w:val="2"/>
            <w:tcW w:w="1183" w:type="dxa"/>
            <w:vAlign w:val="top"/>
            <w:textDirection w:val="lrTb"/>
            <w:noWrap w:val="false"/>
          </w:tcPr>
          <w:p>
            <w:pPr>
              <w:pStyle w:val="893"/>
              <w:rPr>
                <w:rFonts w:ascii="仿宋" w:hAnsi="仿宋" w:eastAsia="仿宋"/>
                <w:bCs/>
                <w:sz w:val="28"/>
                <w:szCs w:val="28"/>
                <w:highlight w:val="none"/>
              </w:rPr>
            </w:pPr>
            <w:r>
              <w:rPr>
                <w:rFonts w:ascii="仿宋" w:hAnsi="仿宋" w:eastAsia="仿宋"/>
                <w:bCs/>
                <w:sz w:val="28"/>
                <w:szCs w:val="28"/>
                <w:highlight w:val="none"/>
              </w:rPr>
            </w:r>
            <w:r/>
          </w:p>
        </w:tc>
        <w:tc>
          <w:tcPr>
            <w:tcW w:w="1418" w:type="dxa"/>
            <w:vAlign w:val="top"/>
            <w:vMerge w:val="continue"/>
            <w:textDirection w:val="lrTb"/>
            <w:noWrap w:val="false"/>
          </w:tcPr>
          <w:p>
            <w:pPr>
              <w:pStyle w:val="893"/>
              <w:rPr>
                <w:rFonts w:ascii="仿宋" w:hAnsi="仿宋" w:eastAsia="仿宋" w:cs="Times New Roman"/>
                <w:bCs/>
                <w:sz w:val="28"/>
                <w:szCs w:val="28"/>
                <w:highlight w:val="none"/>
              </w:rPr>
            </w:pPr>
            <w:r>
              <w:rPr>
                <w:rFonts w:ascii="仿宋" w:hAnsi="仿宋" w:eastAsia="仿宋" w:cs="Times New Roman"/>
                <w:bCs/>
                <w:sz w:val="28"/>
                <w:szCs w:val="28"/>
                <w:highlight w:val="none"/>
              </w:rPr>
            </w:r>
            <w:r/>
          </w:p>
        </w:tc>
      </w:tr>
      <w:tr>
        <w:trPr/>
        <w:tc>
          <w:tcPr>
            <w:gridSpan w:val="2"/>
            <w:tcW w:w="1430" w:type="dxa"/>
            <w:vAlign w:val="top"/>
            <w:textDirection w:val="lrTb"/>
            <w:noWrap w:val="false"/>
          </w:tcPr>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合计</w:t>
            </w:r>
            <w:r>
              <w:rPr>
                <w:rFonts w:ascii="仿宋" w:hAnsi="仿宋" w:eastAsia="仿宋" w:cs="Times New Roman"/>
                <w:bCs/>
                <w:sz w:val="28"/>
                <w:szCs w:val="28"/>
                <w:highlight w:val="none"/>
              </w:rPr>
            </w:r>
            <w:r/>
          </w:p>
        </w:tc>
        <w:tc>
          <w:tcPr>
            <w:gridSpan w:val="3"/>
            <w:tcW w:w="2178" w:type="dxa"/>
            <w:vAlign w:val="top"/>
            <w:textDirection w:val="lrTb"/>
            <w:noWrap w:val="false"/>
          </w:tcPr>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大写</w:t>
            </w:r>
            <w:r>
              <w:rPr>
                <w:rFonts w:ascii="仿宋" w:hAnsi="仿宋" w:eastAsia="仿宋" w:cs="Times New Roman"/>
                <w:bCs/>
                <w:sz w:val="28"/>
                <w:szCs w:val="28"/>
                <w:highlight w:val="none"/>
              </w:rPr>
            </w:r>
            <w:r/>
          </w:p>
        </w:tc>
        <w:tc>
          <w:tcPr>
            <w:gridSpan w:val="3"/>
            <w:tcW w:w="2158" w:type="dxa"/>
            <w:vAlign w:val="top"/>
            <w:textDirection w:val="lrTb"/>
            <w:noWrap w:val="false"/>
          </w:tcPr>
          <w:p>
            <w:pPr>
              <w:pStyle w:val="893"/>
              <w:rPr>
                <w:rFonts w:hint="eastAsia" w:ascii="仿宋" w:hAnsi="仿宋" w:eastAsia="仿宋"/>
                <w:bCs/>
                <w:sz w:val="28"/>
                <w:szCs w:val="28"/>
                <w:highlight w:val="none"/>
              </w:rPr>
            </w:pPr>
            <w:r>
              <w:rPr>
                <w:rFonts w:hint="eastAsia" w:ascii="仿宋" w:hAnsi="仿宋" w:eastAsia="仿宋"/>
                <w:bCs/>
                <w:sz w:val="28"/>
                <w:szCs w:val="28"/>
                <w:highlight w:val="none"/>
              </w:rPr>
            </w:r>
            <w:r/>
          </w:p>
        </w:tc>
        <w:tc>
          <w:tcPr>
            <w:gridSpan w:val="2"/>
            <w:tcW w:w="2564" w:type="dxa"/>
            <w:vAlign w:val="top"/>
            <w:textDirection w:val="lrTb"/>
            <w:noWrap w:val="false"/>
          </w:tcPr>
          <w:p>
            <w:pPr>
              <w:pStyle w:val="893"/>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小写</w:t>
            </w:r>
            <w:r>
              <w:rPr>
                <w:rFonts w:ascii="仿宋" w:hAnsi="仿宋" w:eastAsia="仿宋" w:cs="Times New Roman"/>
                <w:bCs/>
                <w:sz w:val="28"/>
                <w:szCs w:val="28"/>
                <w:highlight w:val="none"/>
              </w:rPr>
            </w:r>
            <w:r/>
          </w:p>
        </w:tc>
      </w:tr>
    </w:tbl>
    <w:p>
      <w:pPr>
        <w:pStyle w:val="893"/>
        <w:rPr>
          <w:rFonts w:ascii="Calibri" w:hAnsi="Calibri"/>
          <w:sz w:val="28"/>
          <w:szCs w:val="28"/>
          <w:highlight w:val="none"/>
        </w:rPr>
      </w:pPr>
      <w:r>
        <w:rPr>
          <w:rFonts w:ascii="Calibri" w:hAnsi="Calibri"/>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二、合同总金额</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2.1 本合同金额为（大写）：   元人民币（¥：   元）。</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2.2 本合同总金额包括所乙方提供货物的产品费用、安装调试费、测试验收费、培训费、运行维护费用、税金及其他有关的为完成本项目发生的所有费用，招标文件中另有规定的除外。</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2.3 在招标文件中未列明，而乙方认为履行本合同必需的费用也包含在合同总金额中。</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三、项目技术参数</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（以具体采购装备为准，参照投标文件具体内容，货物的参数型号必须附在合同内。）</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四、质量要求及技术准备</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4.1 乙方提供的装备必须符合国家颁布的质量标准和投标文件的相关技术要求，同时必须符合江苏消防救援总队快速处置队建设标准。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使用寿命期内，乙方应对由于设计、工艺、材料和配套件缺陷所产生的任何不足或故障负责。（如因装备质量缺陷等问题导致消防员在使用过程中发生伤亡的，由乙方负责一切后果，并承担法律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4.3乙方除应履行按期按量交付合格装备的义务外，还应当提供下列服务:①装备现场安装、启动、调试；②装备组装和一般维修所必须的工具；③对甲方技术人员的技术指导或培训；④提供装备使用说</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明、影音视频等资料。⑤投标文件承诺的所有服务，除合同另有规定外，以上服务的费用均已包含在合同货款中，甲方不再另行支付。</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五、交付使用时间、交货方式及交货地点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5.1 交付使用时间：签订合同后60日内将货物送达指定地点，其中便携式泡沫灭火装置30日内完成不低于采购数量50%的供货。</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5.2 交货地点：淮安市经济技术开发区膳魔师路68号。</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5.3交货方式：以支队具体签署的采购合同中约定的货物为准，交货时甲乙双方均要有人在场负责清点移交。</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六、货款支付</w:t>
      </w:r>
      <w:r>
        <w:rPr>
          <w:rFonts w:ascii="仿宋" w:hAnsi="仿宋" w:eastAsia="仿宋"/>
          <w:bCs/>
          <w:sz w:val="28"/>
          <w:szCs w:val="28"/>
          <w:highlight w:val="none"/>
        </w:rPr>
      </w:r>
      <w:r/>
    </w:p>
    <w:p>
      <w:pPr>
        <w:pStyle w:val="893"/>
        <w:rPr>
          <w:rFonts w:hint="eastAsia" w:ascii="仿宋" w:hAnsi="仿宋" w:eastAsia="仿宋"/>
          <w:bCs/>
          <w:sz w:val="28"/>
          <w:szCs w:val="28"/>
          <w:highlight w:val="none"/>
        </w:rPr>
      </w:pPr>
      <w:r>
        <w:rPr>
          <w:rFonts w:hint="eastAsia" w:ascii="仿宋" w:hAnsi="仿宋" w:eastAsia="仿宋"/>
          <w:bCs/>
          <w:sz w:val="28"/>
          <w:szCs w:val="28"/>
          <w:highlight w:val="none"/>
        </w:rPr>
        <w:t xml:space="preserve">6.1 付款方式：甲方在收到履约保证金（函）后，30天内向乙方支付合同总金额30%的货款。乙方按照合同约定交货，并经甲方对合同中所有装备到货验收合格（甲方签署到货验收合格报告）并经结算审计后，凭乙方等额有效发票及甲方签署验收合格报告，甲方在30天内向乙方支付至审定总金额80%的货款，完成江苏省消防救援总队快速处置队建设工作验收后，付清审定总金额剩余货款。</w:t>
      </w:r>
      <w:r>
        <w:rPr>
          <w:rFonts w:hint="eastAsia"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6.2 当采购数量与实际使用数量不一致时，乙方应根据实际使用量供货，合同的最终结算金额按经甲方确认的实际使用量乘以成交单价进行计算。</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七、履约保证金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7.2自甲方完成江苏省消防救援总队快速处置队建设工作验收后，及时退还履约保证金。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7.3对于乙方应承担的违约责任/索赔金额，甲方有权直接使用履约保证金进行抵扣或向出具独立保函的金融机构主张索赔。</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7.4乙方应当自履约保证金抵扣发生之日起二日内向甲方补足履约保证金。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八、税费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8.1本合同执行中相关的一切税费均由乙方负担。</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九、质量保证及售后服务</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9.1 乙方应按采购文件规定的货物性能、技术要求、质量标准向甲方提供未经使用的全新产品。</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9.2 乙方提供的货物质保期具体以投标文件为准且不得低于三年，乙方提供的货物在质保期内因货物本身的质量问题发生故障，乙方应负责免费更换。对超过质保期发生故障的货物，乙方应当负责维修并按照成本价收取零配件费用。对达不到技术要求者或未通过总队验收标准的，根据实际情况，经双方协商，可按以下办法处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（1）更换：由乙方承担所发生的全部费用。</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（2）退货处理：乙方应退还甲方支付的合同款，同时应承担该货物的直接费用（运输、保险、检验）。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十、调试和验收</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10.2 乙方交货前应对产品作出全面检查和对验收文件进行整理，列出清单并提供所有货物参数的佐证材料（检测检验报告、白皮书、设备生产厂家证明原件、彩页、手册等上述任一材料即可），作为甲方收货验收和使用的技术条件依据，检验的结果应随货物交甲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10.3 乙方提供的货物及服务，必须符合合同附件要求的技术规格标准及中华人民共和国国家标准或行业标准和环保要求，这些标准必须是相关国家或行业机构发布的最新版本的标准。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10.5验收时乙方必须在现场，验收完毕后作出验收结果报告。</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10.6乙方供货的产品经甲方2次验收不合格，甲方可以单方面解除合同，乙方在甲方解约后3个工作日内退还所有已付款，并承担相应的违约责任。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十一、货物包装、发运及运输</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11.1 乙方应在货物发运前对其进行满足运输距离、防潮和防破损装卸等要求包装，以保证货物安全运达甲方指定地点。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11.2 使用说明书、质量检验证明书以及清单一并附于货物内。</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11.3 乙方在货物发运手续办理完毕后24小时内或货到甲方48小时前通知甲方，以准备接货。</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11.4 货物在交付甲方前发生的风险均由乙方负责。</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11.5 货物在规定的交付期限内由乙方送达甲方指定的地点甲方出具签收单视为交付，乙方同时需通知甲方货物已送达。</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十二、违约责任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12.1 甲方无正当理由拒收货物的，甲方向乙方偿付拒收货款总值的千分之五违约金。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12.2 甲方无故逾期验收的，甲方应按逾期付款总额每日千分之五向乙方支付违约金。</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12.3 乙方逾期交付货物的，乙方应按逾期交货总额每日千分之五向甲方支付违约金，由甲方从待付货款中扣除，上限为合同总额的10%。逾期超过【10】个工作日不能交货的，或在合同履行过程中存在其他根本违约行为导致合同目的无法实现的，甲方可解除本合同。乙方因逾期交货或因其他违约行为导致甲方解除合同的，乙方应向甲方支付合同总值5%的违约金，如造成甲方损失超过违约金的，超出部分由乙方继续承担赔偿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12.4 乙方所交的货物品种、规格、型号、技术参数、产品质量不符合合同约定和法律规定的，支队有权拒收该货物，乙方实施更换货物或整改但逾期交货的，按厂家逾期交货处理，并追究违约责任；厂家未在合同约定的整改次数或期限内更换或整改的，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支队有权追究厂家所造成的经济损失、法律和社会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十三、不可抗力事件处理</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13.2 不可抗力事件发生后，应立即通知对方，并寄送有关权威机构出具的证明。</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13.3 不可抗力事件延续120天以上，双方应通过友好协商，确定是否继续履行合同。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十四、诉讼</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14.1 双方在执行合同中所发生的一切争议，应通过协商解决。如协商不成，可向甲方所在地法院起诉。</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十五、转包</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15.1本合同禁止转包，本合同范围的货物，应由乙方直接供应的，不得转让他人供应。</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十六、知识产权</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16.1乙方应保证甲方在使用、接受本合同货物和服务或其任何一部分时不受第三方提出侵犯其专利</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权、版权、商标权和工业设计权等知识产权的起诉。一旦出现侵权，由乙方负全部责任。</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十七、合同生效及其它</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17.1 合同经甲乙双方法定代表或授权委托代表签字且加盖单位公章后生效。</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17.2本合同未尽事宜由甲乙双方另行协商签订补充协议。补充协议与本合同具有同等法律效力。</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17.3本合同一式肆份，具有同等法律效力，甲方、乙方各执贰份。</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17.4附件：</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1、投标文件中服务承诺；</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2、投标明细清单及产品图片（图片展示标签黏贴标记处）；</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3、投标文件技术偏离表；</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4、投标文件分项报价格。</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补充条款：（支队根据实际情况与供货单位签署的售后服务承诺等保障合同履行的内容，但不得偏离合同实质性条款。）</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第十八条 保密义务</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18.1 乙方对本合同内容、装备技术参数、采购数量、部署信息及履行过程中知悉的甲方非公开信息承担保密义务，不得向任何第三方泄露，且不得用于本合同以外的其他目的。</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18.2 乙方仅可向因履行合同确有必要知悉保密信息的人员披露，并应确保前述人员签署同等约束力的保密承诺，乙方对其违约行为承担连带责任。</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18.3 本保密义务在本合同终止或解除后持续有效，直至相关信息合法公开为止。</w:t>
      </w:r>
      <w:r>
        <w:rPr>
          <w:rFonts w:ascii="仿宋" w:hAnsi="仿宋" w:eastAsia="仿宋"/>
          <w:bCs/>
          <w:sz w:val="28"/>
          <w:szCs w:val="28"/>
          <w:highlight w:val="none"/>
        </w:rPr>
      </w:r>
      <w:r/>
    </w:p>
    <w:p>
      <w:pPr>
        <w:pStyle w:val="893"/>
        <w:shd w:val="clear" w:color="auto" w:fill="ffffff"/>
        <w:widowControl/>
        <w:rPr>
          <w:rFonts w:ascii="仿宋" w:hAnsi="仿宋" w:eastAsia="仿宋"/>
          <w:bCs/>
          <w:sz w:val="28"/>
          <w:szCs w:val="28"/>
          <w:highlight w:val="none"/>
        </w:rPr>
      </w:pPr>
      <w:r>
        <w:rPr>
          <w:rFonts w:ascii="仿宋" w:hAnsi="仿宋" w:eastAsia="仿宋"/>
          <w:bCs/>
          <w:sz w:val="28"/>
          <w:szCs w:val="28"/>
          <w:highlight w:val="none"/>
        </w:rPr>
        <w:t xml:space="preserve">18.4 乙方违反保密义务的，应向甲方支付合同总金额【10%】的违约金；违约金不足以弥补损失的，乙方应就超出部分继续赔偿。甲方并有权单方解除合同。</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（以下无正文）</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ascii="仿宋" w:hAnsi="仿宋" w:eastAsia="仿宋"/>
          <w:bCs/>
          <w:sz w:val="28"/>
          <w:szCs w:val="28"/>
          <w:highlight w:val="none"/>
        </w:rPr>
      </w:r>
      <w:r/>
    </w:p>
    <w:p>
      <w:pPr>
        <w:pStyle w:val="893"/>
        <w:rPr>
          <w:rFonts w:ascii="仿宋" w:hAnsi="仿宋" w:eastAsia="仿宋"/>
          <w:bCs/>
          <w:sz w:val="28"/>
          <w:szCs w:val="28"/>
          <w:highlight w:val="none"/>
        </w:rPr>
      </w:pPr>
      <w:r>
        <w:rPr>
          <w:rFonts w:ascii="仿宋" w:hAnsi="仿宋" w:eastAsia="仿宋"/>
          <w:bCs/>
          <w:sz w:val="28"/>
          <w:szCs w:val="28"/>
          <w:highlight w:val="none"/>
        </w:rPr>
      </w:r>
      <w:r/>
    </w:p>
    <w:p>
      <w:pPr>
        <w:pStyle w:val="893"/>
        <w:rPr>
          <w:rFonts w:ascii="仿宋" w:hAnsi="仿宋" w:eastAsia="仿宋"/>
          <w:bCs/>
          <w:sz w:val="28"/>
          <w:szCs w:val="28"/>
          <w:highlight w:val="none"/>
        </w:rPr>
      </w:pP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甲    方:                           乙   方：</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单位名称（盖章）：                  单位名称（盖章）:</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单位地址：                         单位地址:</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法定代表人：                       法定代表人：</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委托代理人：                       委托代理人：</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hint="eastAsia" w:ascii="仿宋" w:hAnsi="仿宋" w:eastAsia="仿宋"/>
          <w:bCs/>
          <w:sz w:val="28"/>
          <w:szCs w:val="28"/>
          <w:highlight w:val="none"/>
        </w:rPr>
        <w:t xml:space="preserve">签约日期：                         签约日期：</w:t>
      </w:r>
      <w:r>
        <w:rPr>
          <w:rFonts w:ascii="仿宋" w:hAnsi="仿宋" w:eastAsia="仿宋"/>
          <w:bCs/>
          <w:sz w:val="28"/>
          <w:szCs w:val="28"/>
          <w:highlight w:val="none"/>
        </w:rPr>
      </w:r>
      <w:r/>
    </w:p>
    <w:p>
      <w:pPr>
        <w:pStyle w:val="893"/>
        <w:rPr>
          <w:rFonts w:ascii="仿宋" w:hAnsi="仿宋" w:eastAsia="仿宋"/>
          <w:bCs/>
          <w:sz w:val="28"/>
          <w:szCs w:val="28"/>
          <w:highlight w:val="none"/>
        </w:rPr>
      </w:pPr>
      <w:r>
        <w:rPr>
          <w:rFonts w:ascii="仿宋" w:hAnsi="仿宋" w:eastAsia="仿宋"/>
          <w:bCs/>
          <w:sz w:val="28"/>
          <w:szCs w:val="28"/>
          <w:highlight w:val="none"/>
        </w:rPr>
      </w:r>
      <w:r/>
    </w:p>
    <w:p>
      <w:pPr>
        <w:pStyle w:val="893"/>
        <w:ind w:firstLine="311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893"/>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（7）“供货”指货物完整送达采购人指定地点、完成清点签收。</w:t>
      </w:r>
      <w:r>
        <w:rPr>
          <w:rFonts w:hint="eastAsia" w:ascii="仿宋" w:hAnsi="仿宋" w:eastAsia="仿宋"/>
          <w:sz w:val="28"/>
          <w:highlight w:val="none"/>
        </w:rPr>
      </w:r>
      <w:r/>
    </w:p>
    <w:p>
      <w:pPr>
        <w:pStyle w:val="893"/>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,在供货、安装过程中能够做到低碳物流、环保节约、提高资源利用率；涉及设备运维参考《绿色数据中心政府采购需求标准（试行）》（财库〔2023〕7号文）执行。</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893"/>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3"/>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893"/>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893"/>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0天内，乙方未能答复，上述索赔应视为已被乙方接受。若乙方未能在甲方提出索赔通知后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条规定的任何一种方法解决索赔事宜，甲方将从已付款或从乙方开具的履约保证金中扣回索赔金额。如果这些金额不足以补偿索赔金额，甲方有权向乙方提出不足部分的补偿。</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如果乙方毫无理由地拖延交货，将受到以下制裁:没收履约保证金，加收违约损失赔偿和终止合同。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rPr>
          <w:rFonts w:hint="eastAsia" w:ascii="仿宋" w:hAnsi="仿宋" w:eastAsia="仿宋"/>
          <w:sz w:val="28"/>
          <w:szCs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893"/>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893"/>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89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893"/>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在仲裁期间，除正在进行仲裁的部分外，合同其他部分继续执行。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893"/>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958"/>
        <w:ind w:firstLine="560"/>
        <w:spacing w:line="520" w:lineRule="exact"/>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958"/>
        <w:ind w:firstLine="560"/>
        <w:spacing w:line="520" w:lineRule="exact"/>
        <w:rPr>
          <w:rFonts w:hint="eastAsia" w:hAnsi="仿宋"/>
          <w:sz w:val="28"/>
          <w:szCs w:val="28"/>
          <w:highlight w:val="none"/>
        </w:rPr>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958"/>
        <w:ind w:firstLine="560"/>
        <w:spacing w:line="520" w:lineRule="exact"/>
        <w:rPr>
          <w:rFonts w:hint="eastAsia" w:hAnsi="仿宋"/>
          <w:sz w:val="28"/>
          <w:szCs w:val="28"/>
          <w:highlight w:val="none"/>
        </w:rPr>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958"/>
        <w:ind w:firstLine="560"/>
        <w:spacing w:line="520" w:lineRule="exact"/>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914"/>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914"/>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17.1如果乙方破产或无清偿能力，甲方可在任何时候以书面形式通知乙方终止合同而不给乙方补偿。该终止合同将不损害或影响甲方和使用方已经采取或将要采取的任何行动或补救措施的权力。</w:t>
      </w:r>
      <w:r>
        <w:rPr>
          <w:rFonts w:hint="eastAsia" w:ascii="仿宋" w:hAnsi="仿宋" w:eastAsia="仿宋"/>
          <w:sz w:val="28"/>
          <w:szCs w:val="24"/>
          <w:highlight w:val="none"/>
        </w:rPr>
      </w:r>
      <w:r/>
    </w:p>
    <w:p>
      <w:pPr>
        <w:pStyle w:val="914"/>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914"/>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914"/>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893"/>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914"/>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91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91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893"/>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19.5本合同应按照中华人民共和国现行法律进行解释。</w:t>
      </w:r>
      <w:r>
        <w:rPr>
          <w:rFonts w:hint="eastAsia" w:ascii="仿宋" w:hAnsi="仿宋" w:eastAsia="仿宋"/>
          <w:sz w:val="28"/>
          <w:highlight w:val="none"/>
        </w:rPr>
      </w:r>
      <w:r/>
    </w:p>
    <w:p>
      <w:pPr>
        <w:pStyle w:val="914"/>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893"/>
        <w:ind w:firstLine="562"/>
        <w:spacing w:line="590" w:lineRule="exact"/>
        <w:rPr>
          <w:rFonts w:eastAsia="方正仿宋_GBK"/>
          <w:b/>
          <w:bCs/>
          <w:sz w:val="28"/>
          <w:szCs w:val="28"/>
          <w:highlight w:val="none"/>
        </w:rPr>
      </w:pPr>
      <w:r>
        <w:rPr>
          <w:rFonts w:hint="eastAsia" w:eastAsia="方正仿宋_GBK"/>
          <w:b/>
          <w:bCs/>
          <w:sz w:val="28"/>
          <w:szCs w:val="28"/>
          <w:highlight w:val="none"/>
        </w:rPr>
        <w:t xml:space="preserve">一、采购清单及技术指标明细</w:t>
      </w:r>
      <w:r>
        <w:rPr>
          <w:rFonts w:eastAsia="方正仿宋_GBK"/>
          <w:b/>
          <w:bCs/>
          <w:sz w:val="28"/>
          <w:szCs w:val="28"/>
          <w:highlight w:val="none"/>
        </w:rPr>
      </w:r>
      <w:r/>
    </w:p>
    <w:p>
      <w:pPr>
        <w:pStyle w:val="893"/>
        <w:ind w:firstLine="560"/>
        <w:spacing w:line="590" w:lineRule="exact"/>
        <w:rPr>
          <w:rFonts w:eastAsia="方正仿宋_GBK"/>
          <w:sz w:val="28"/>
          <w:szCs w:val="28"/>
          <w:highlight w:val="none"/>
        </w:rPr>
      </w:pPr>
      <w:r>
        <w:rPr>
          <w:rFonts w:hint="eastAsia" w:eastAsia="方正仿宋_GBK"/>
          <w:sz w:val="28"/>
          <w:szCs w:val="28"/>
          <w:highlight w:val="none"/>
        </w:rPr>
        <w:t xml:space="preserve">1、技术参数详见附件1：技术参数。技术参数中质量标准如有新的国家或行业标准出台，则以最新标准执行。</w:t>
      </w:r>
      <w:r>
        <w:rPr>
          <w:rFonts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★2、每项产品不得超过对应的单价限价（单价限价详见附件</w:t>
      </w:r>
      <w:r>
        <w:rPr>
          <w:rFonts w:hint="eastAsia" w:eastAsia="方正仿宋_GBK"/>
          <w:sz w:val="28"/>
          <w:szCs w:val="28"/>
          <w:highlight w:val="none"/>
          <w:lang w:val="en-US" w:eastAsia="zh-CN"/>
        </w:rPr>
        <w:t xml:space="preserve">1</w:t>
      </w:r>
      <w:r>
        <w:rPr>
          <w:rFonts w:hint="eastAsia" w:eastAsia="方正仿宋_GBK"/>
          <w:sz w:val="28"/>
          <w:szCs w:val="28"/>
          <w:highlight w:val="none"/>
        </w:rPr>
        <w:t xml:space="preserve">：技术参数）</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否则按无效投标处理。</w:t>
      </w:r>
      <w:r>
        <w:rPr>
          <w:rFonts w:hint="eastAsia" w:eastAsia="方正仿宋_GBK"/>
          <w:sz w:val="28"/>
          <w:szCs w:val="28"/>
          <w:highlight w:val="none"/>
        </w:rPr>
      </w:r>
      <w:r/>
    </w:p>
    <w:p>
      <w:pPr>
        <w:pStyle w:val="983"/>
        <w:rPr>
          <w:rFonts w:hint="eastAsia" w:eastAsia="方正仿宋_GBK"/>
          <w:sz w:val="28"/>
          <w:szCs w:val="28"/>
          <w:highlight w:val="none"/>
          <w:lang w:eastAsia="zh-CN"/>
        </w:rPr>
      </w:pPr>
      <w:r>
        <w:rPr>
          <w:rFonts w:hint="eastAsia" w:eastAsia="方正仿宋_GBK"/>
          <w:sz w:val="28"/>
          <w:szCs w:val="28"/>
          <w:highlight w:val="none"/>
          <w:lang w:eastAsia="zh-CN"/>
        </w:rPr>
      </w:r>
      <w:r/>
    </w:p>
    <w:p>
      <w:pPr>
        <w:pStyle w:val="983"/>
        <w:rPr>
          <w:rFonts w:hint="eastAsia" w:eastAsia="方正仿宋_GBK"/>
          <w:sz w:val="28"/>
          <w:szCs w:val="28"/>
          <w:highlight w:val="none"/>
          <w:lang w:val="en-US" w:eastAsia="zh-CN"/>
        </w:rPr>
      </w:pPr>
      <w:r>
        <w:rPr>
          <w:rFonts w:hint="eastAsia" w:eastAsia="方正仿宋_GBK"/>
          <w:sz w:val="28"/>
          <w:szCs w:val="28"/>
          <w:highlight w:val="none"/>
          <w:lang w:eastAsia="zh-CN"/>
        </w:rPr>
        <w:t xml:space="preserve">附件</w:t>
      </w:r>
      <w:r>
        <w:rPr>
          <w:rFonts w:hint="eastAsia" w:eastAsia="方正仿宋_GBK"/>
          <w:sz w:val="28"/>
          <w:szCs w:val="28"/>
          <w:highlight w:val="none"/>
          <w:lang w:val="en-US" w:eastAsia="zh-CN"/>
        </w:rPr>
        <w:t xml:space="preserve">1：技术参数：</w:t>
      </w:r>
      <w:r>
        <w:rPr>
          <w:rFonts w:hint="eastAsia" w:eastAsia="方正仿宋_GBK"/>
          <w:sz w:val="28"/>
          <w:szCs w:val="28"/>
          <w:highlight w:val="none"/>
          <w:lang w:val="en-US" w:eastAsia="zh-CN"/>
        </w:rPr>
      </w:r>
      <w:r/>
    </w:p>
    <w:tbl>
      <w:tblPr>
        <w:tblpPr w:horzAnchor="text" w:tblpXSpec="center" w:vertAnchor="text" w:tblpY="1" w:leftFromText="180" w:topFromText="0" w:rightFromText="180" w:bottomFromText="0"/>
        <w:tblW w:w="89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2022"/>
        <w:gridCol w:w="3216"/>
        <w:gridCol w:w="876"/>
        <w:gridCol w:w="674"/>
        <w:gridCol w:w="1538"/>
      </w:tblGrid>
      <w:tr>
        <w:trPr>
          <w:tblHeader/>
        </w:trPr>
        <w:tc>
          <w:tcPr>
            <w:tcW w:w="588" w:type="dxa"/>
            <w:vAlign w:val="center"/>
            <w:textDirection w:val="lrTb"/>
            <w:noWrap w:val="false"/>
          </w:tcPr>
          <w:p>
            <w:pPr>
              <w:pStyle w:val="893"/>
              <w:jc w:val="center"/>
              <w:keepNext/>
              <w:rPr>
                <w:rFonts w:eastAsia="方正黑体_GBK"/>
                <w:b/>
                <w:sz w:val="24"/>
                <w:szCs w:val="21"/>
                <w:highlight w:val="none"/>
              </w:rPr>
              <w:framePr w:vAnchor="margin" w:hAnchor="page" w:xAlign="center" w:y="1"/>
            </w:pPr>
            <w:r>
              <w:rPr>
                <w:rFonts w:eastAsia="方正黑体_GBK"/>
                <w:b/>
                <w:sz w:val="24"/>
                <w:szCs w:val="21"/>
                <w:highlight w:val="none"/>
              </w:rPr>
              <w:t xml:space="preserve">序号</w:t>
            </w:r>
            <w:r>
              <w:rPr>
                <w:rFonts w:eastAsia="方正黑体_GBK"/>
                <w:b/>
                <w:sz w:val="24"/>
                <w:szCs w:val="21"/>
                <w:highlight w:val="none"/>
              </w:rPr>
            </w:r>
            <w:r/>
          </w:p>
        </w:tc>
        <w:tc>
          <w:tcPr>
            <w:tcW w:w="2022" w:type="dxa"/>
            <w:vAlign w:val="center"/>
            <w:textDirection w:val="lrTb"/>
            <w:noWrap w:val="false"/>
          </w:tcPr>
          <w:p>
            <w:pPr>
              <w:pStyle w:val="893"/>
              <w:jc w:val="center"/>
              <w:keepNext/>
              <w:rPr>
                <w:rFonts w:eastAsia="方正黑体_GBK"/>
                <w:b/>
                <w:sz w:val="24"/>
                <w:szCs w:val="21"/>
                <w:highlight w:val="none"/>
              </w:rPr>
              <w:framePr w:vAnchor="margin" w:hAnchor="page" w:xAlign="center" w:y="1"/>
            </w:pPr>
            <w:r>
              <w:rPr>
                <w:rFonts w:eastAsia="方正黑体_GBK"/>
                <w:b/>
                <w:sz w:val="24"/>
                <w:szCs w:val="21"/>
                <w:highlight w:val="none"/>
              </w:rPr>
              <w:t xml:space="preserve">装备名称</w:t>
            </w:r>
            <w:r>
              <w:rPr>
                <w:rFonts w:eastAsia="方正黑体_GBK"/>
                <w:b/>
                <w:sz w:val="24"/>
                <w:szCs w:val="21"/>
                <w:highlight w:val="none"/>
              </w:rPr>
            </w:r>
            <w:r/>
          </w:p>
        </w:tc>
        <w:tc>
          <w:tcPr>
            <w:tcW w:w="3216" w:type="dxa"/>
            <w:vAlign w:val="center"/>
            <w:textDirection w:val="lrTb"/>
            <w:noWrap w:val="false"/>
          </w:tcPr>
          <w:p>
            <w:pPr>
              <w:pStyle w:val="893"/>
              <w:jc w:val="center"/>
              <w:keepNext/>
              <w:rPr>
                <w:rFonts w:hint="eastAsia" w:eastAsia="方正黑体_GBK"/>
                <w:b/>
                <w:sz w:val="24"/>
                <w:szCs w:val="21"/>
                <w:highlight w:val="none"/>
              </w:rPr>
              <w:framePr w:vAnchor="margin" w:hAnchor="page" w:xAlign="center" w:y="1"/>
            </w:pPr>
            <w:r>
              <w:rPr>
                <w:rFonts w:hint="eastAsia" w:eastAsia="方正黑体_GBK"/>
                <w:b/>
                <w:sz w:val="24"/>
                <w:szCs w:val="21"/>
                <w:highlight w:val="none"/>
              </w:rPr>
              <w:t xml:space="preserve">采购需求</w:t>
            </w:r>
            <w:r>
              <w:rPr>
                <w:rFonts w:hint="eastAsia" w:eastAsia="方正黑体_GBK"/>
                <w:b/>
                <w:sz w:val="24"/>
                <w:szCs w:val="21"/>
                <w:highlight w:val="none"/>
              </w:rPr>
            </w:r>
            <w:r/>
          </w:p>
        </w:tc>
        <w:tc>
          <w:tcPr>
            <w:tcW w:w="876" w:type="dxa"/>
            <w:vAlign w:val="center"/>
            <w:textDirection w:val="lrTb"/>
            <w:noWrap w:val="false"/>
          </w:tcPr>
          <w:p>
            <w:pPr>
              <w:pStyle w:val="893"/>
              <w:jc w:val="center"/>
              <w:keepNext/>
              <w:rPr>
                <w:rFonts w:hint="eastAsia" w:eastAsia="方正黑体_GBK"/>
                <w:b/>
                <w:sz w:val="24"/>
                <w:szCs w:val="21"/>
                <w:highlight w:val="none"/>
              </w:rPr>
              <w:framePr w:vAnchor="margin" w:hAnchor="page" w:xAlign="center" w:y="1"/>
            </w:pPr>
            <w:r>
              <w:rPr>
                <w:rFonts w:hint="eastAsia" w:eastAsia="方正黑体_GBK"/>
                <w:b/>
                <w:sz w:val="24"/>
                <w:szCs w:val="21"/>
                <w:highlight w:val="none"/>
              </w:rPr>
              <w:t xml:space="preserve">基本描述</w:t>
            </w:r>
            <w:r>
              <w:rPr>
                <w:rFonts w:hint="eastAsia" w:eastAsia="方正黑体_GBK"/>
                <w:b/>
                <w:sz w:val="24"/>
                <w:szCs w:val="21"/>
                <w:highlight w:val="none"/>
              </w:rPr>
            </w:r>
            <w:r/>
          </w:p>
        </w:tc>
        <w:tc>
          <w:tcPr>
            <w:tcW w:w="674" w:type="dxa"/>
            <w:vAlign w:val="center"/>
            <w:textDirection w:val="lrTb"/>
            <w:noWrap w:val="false"/>
          </w:tcPr>
          <w:p>
            <w:pPr>
              <w:pStyle w:val="893"/>
              <w:jc w:val="center"/>
              <w:keepNext/>
              <w:rPr>
                <w:rFonts w:hint="eastAsia" w:eastAsia="方正黑体_GBK"/>
                <w:b/>
                <w:sz w:val="24"/>
                <w:szCs w:val="21"/>
                <w:highlight w:val="none"/>
              </w:rPr>
              <w:framePr w:vAnchor="margin" w:hAnchor="page" w:xAlign="center" w:y="1"/>
            </w:pPr>
            <w:r>
              <w:rPr>
                <w:rFonts w:hint="eastAsia" w:eastAsia="方正黑体_GBK"/>
                <w:b/>
                <w:sz w:val="24"/>
                <w:szCs w:val="21"/>
                <w:highlight w:val="none"/>
              </w:rPr>
              <w:t xml:space="preserve">数量</w:t>
            </w:r>
            <w:r>
              <w:rPr>
                <w:rFonts w:hint="eastAsia" w:eastAsia="方正黑体_GBK"/>
                <w:b/>
                <w:sz w:val="24"/>
                <w:szCs w:val="21"/>
                <w:highlight w:val="none"/>
              </w:rPr>
            </w:r>
            <w:r/>
          </w:p>
        </w:tc>
        <w:tc>
          <w:tcPr>
            <w:tcW w:w="1538" w:type="dxa"/>
            <w:vAlign w:val="center"/>
            <w:textDirection w:val="lrTb"/>
            <w:noWrap w:val="false"/>
          </w:tcPr>
          <w:p>
            <w:pPr>
              <w:pStyle w:val="893"/>
              <w:jc w:val="center"/>
              <w:keepNext/>
              <w:rPr>
                <w:rFonts w:hint="eastAsia" w:eastAsia="方正黑体_GBK"/>
                <w:b/>
                <w:sz w:val="24"/>
                <w:szCs w:val="21"/>
                <w:highlight w:val="none"/>
              </w:rPr>
              <w:framePr w:vAnchor="margin" w:hAnchor="page" w:xAlign="center" w:y="1"/>
            </w:pPr>
            <w:r>
              <w:rPr>
                <w:rFonts w:hint="eastAsia" w:eastAsia="方正黑体_GBK"/>
                <w:b/>
                <w:sz w:val="24"/>
                <w:szCs w:val="21"/>
                <w:highlight w:val="none"/>
              </w:rPr>
              <w:t xml:space="preserve">预算控制价</w:t>
            </w:r>
            <w:r>
              <w:rPr>
                <w:rFonts w:hint="eastAsia" w:eastAsia="方正黑体_GBK"/>
                <w:b/>
                <w:sz w:val="24"/>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1</w:t>
            </w:r>
            <w:r>
              <w:rPr>
                <w:rFonts w:hint="eastAsia" w:eastAsia="方正楷体_GBK"/>
                <w:szCs w:val="21"/>
                <w:highlight w:val="none"/>
              </w:rPr>
            </w:r>
            <w:r/>
          </w:p>
        </w:tc>
        <w:tc>
          <w:tcPr>
            <w:tcW w:w="2022" w:type="dxa"/>
            <w:vAlign w:val="center"/>
            <w:textDirection w:val="lrTb"/>
            <w:noWrap w:val="false"/>
          </w:tcPr>
          <w:p>
            <w:pPr>
              <w:pStyle w:val="893"/>
              <w:jc w:val="left"/>
              <w:keepNext/>
              <w:rPr>
                <w:rFonts w:hint="eastAsia" w:eastAsia="方正楷体_GBK"/>
                <w:b/>
                <w:szCs w:val="21"/>
                <w:highlight w:val="none"/>
              </w:rPr>
              <w:framePr w:vAnchor="margin" w:hAnchor="page" w:xAlign="center" w:y="1"/>
            </w:pPr>
            <w:r>
              <w:rPr>
                <w:rFonts w:hint="eastAsia" w:eastAsia="方正楷体_GBK"/>
                <w:b/>
                <w:szCs w:val="21"/>
                <w:highlight w:val="none"/>
              </w:rPr>
              <w:t xml:space="preserve">便携式泡沫灭火装置</w:t>
            </w:r>
            <w:r>
              <w:rPr>
                <w:rFonts w:hint="eastAsia" w:eastAsia="方正楷体_GBK"/>
                <w:szCs w:val="21"/>
                <w:highlight w:val="none"/>
              </w:rPr>
              <w:t xml:space="preserve">（</w:t>
            </w:r>
            <w:r>
              <w:rPr>
                <w:rFonts w:hint="eastAsia" w:eastAsia="方正楷体_GBK"/>
                <w:b/>
                <w:szCs w:val="21"/>
                <w:highlight w:val="none"/>
              </w:rPr>
              <w:t xml:space="preserve">提供样品</w:t>
            </w:r>
            <w:r>
              <w:rPr>
                <w:rFonts w:hint="eastAsia" w:eastAsia="方正楷体_GBK"/>
                <w:szCs w:val="21"/>
                <w:highlight w:val="none"/>
              </w:rPr>
              <w:t xml:space="preserve">）</w:t>
            </w:r>
            <w:r>
              <w:rPr>
                <w:rFonts w:hint="eastAsia" w:eastAsia="方正楷体_GBK"/>
                <w:b/>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1、装置为移动式设计</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2、可以扑救三元锂电、磷酸铁锂等储能类电池组、车用动力电池包火灾（</w:t>
            </w:r>
            <w:r>
              <w:rPr>
                <w:rFonts w:hint="eastAsia" w:eastAsia="方正楷体_GBK"/>
                <w:b/>
                <w:szCs w:val="21"/>
                <w:highlight w:val="none"/>
              </w:rPr>
              <w:t xml:space="preserve">提供相应检验报告或功能说明书、彩页等证明材料，未提供或不能证明的作无效投标处理</w:t>
            </w:r>
            <w:r>
              <w:rPr>
                <w:rFonts w:eastAsia="方正楷体_GBK"/>
                <w:szCs w:val="21"/>
                <w:highlight w:val="none"/>
              </w:rPr>
              <w:t xml:space="preserve">）</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3、整机重量≤35KG</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4、装置药剂填充容量≥8升</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5、喷射距离直流≥8m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6、连续喷射时间≥60s</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7、可以实现现场实时填充药剂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8、发泡倍数≥5</w:t>
            </w:r>
            <w:r>
              <w:rPr>
                <w:rFonts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eastAsia="方正楷体_GBK"/>
                <w:szCs w:val="21"/>
                <w:highlight w:val="none"/>
              </w:rPr>
              <w:t xml:space="preserve">9、气瓶：额定工作压力≥30MPa，存储气体为纯净压缩空气。</w:t>
            </w:r>
            <w:r>
              <w:rPr>
                <w:rFonts w:hint="eastAsia"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180具</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7000元/具</w:t>
            </w:r>
            <w:r>
              <w:rPr>
                <w:rFonts w:eastAsia="方正楷体_GBK"/>
                <w:szCs w:val="21"/>
                <w:highlight w:val="none"/>
              </w:rPr>
            </w:r>
            <w:r/>
          </w:p>
        </w:tc>
      </w:tr>
      <w:tr>
        <w:trPr/>
        <w:tc>
          <w:tcPr>
            <w:tcW w:w="588" w:type="dxa"/>
            <w:vAlign w:val="center"/>
            <w:textDirection w:val="lrTb"/>
            <w:noWrap w:val="false"/>
          </w:tcPr>
          <w:p>
            <w:pPr>
              <w:pStyle w:val="893"/>
              <w:jc w:val="center"/>
              <w:keepNext/>
              <w:rPr>
                <w:rFonts w:eastAsia="方正楷体_GBK"/>
                <w:szCs w:val="21"/>
                <w:highlight w:val="none"/>
              </w:rPr>
              <w:framePr w:vAnchor="margin" w:hAnchor="page" w:xAlign="center" w:y="1"/>
            </w:pPr>
            <w:r>
              <w:rPr>
                <w:rFonts w:hint="eastAsia" w:eastAsia="方正楷体_GBK"/>
                <w:szCs w:val="21"/>
                <w:highlight w:val="none"/>
              </w:rPr>
              <w:t xml:space="preserve">2</w:t>
            </w:r>
            <w:r>
              <w:rPr>
                <w:rFonts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消防用</w:t>
            </w:r>
            <w:r>
              <w:rPr>
                <w:rFonts w:hint="eastAsia" w:eastAsia="方正楷体_GBK"/>
                <w:b/>
                <w:szCs w:val="21"/>
                <w:highlight w:val="none"/>
              </w:rPr>
              <w:t xml:space="preserve">电动巡防车</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一、</w:t>
            </w:r>
            <w:r>
              <w:rPr>
                <w:rFonts w:eastAsia="方正楷体_GBK"/>
                <w:szCs w:val="21"/>
                <w:highlight w:val="none"/>
              </w:rPr>
              <w:t xml:space="preserve">整车外观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1、整车尺寸：≤3200×1200×2000mm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2、整车自重：≤1200㎏</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3、乘坐人数：2人</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二</w:t>
            </w:r>
            <w:r>
              <w:rPr>
                <w:rFonts w:eastAsia="方正楷体_GBK"/>
                <w:szCs w:val="21"/>
                <w:highlight w:val="none"/>
              </w:rPr>
              <w:t xml:space="preserve">、动力行驶</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1、电机功率：≥2500W</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2、电池规格：72V100Ah铅酸大容量电池</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3、最高时速：25km/h</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4、续航里程：≥60KM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5、控制系统：高低速爬坡档、防水一体控制器</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三、水泵配置</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1、燃油箱，燃油箱容积应能保证正常工作情况下连续运转1h，应具有燃油油位表用以显示燃油箱容积</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2、水泵</w:t>
            </w:r>
            <w:r>
              <w:rPr>
                <w:rFonts w:hint="eastAsia" w:eastAsia="方正楷体_GBK"/>
                <w:szCs w:val="21"/>
                <w:highlight w:val="none"/>
              </w:rPr>
              <w:t xml:space="preserve">功率：≥13HP</w:t>
            </w:r>
            <w:r>
              <w:rPr>
                <w:rFonts w:eastAsia="方正楷体_GBK"/>
                <w:szCs w:val="21"/>
                <w:highlight w:val="none"/>
              </w:rPr>
              <w:t xml:space="preserve">应具有电启动、手动启动功能。</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3、工作压力：≥0.25MPa</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4、有效射程：≥15米</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5、配备不少于20</w:t>
            </w:r>
            <w:r>
              <w:rPr>
                <w:rFonts w:hint="eastAsia" w:eastAsia="方正楷体_GBK"/>
                <w:szCs w:val="21"/>
                <w:highlight w:val="none"/>
              </w:rPr>
              <w:t xml:space="preserve">m*25mm*2</w:t>
            </w:r>
            <w:r>
              <w:rPr>
                <w:rFonts w:eastAsia="方正楷体_GBK"/>
                <w:szCs w:val="21"/>
                <w:highlight w:val="none"/>
              </w:rPr>
              <w:t xml:space="preserve">卷盘式软管，水泵连接水箱与软管，软管出水口连接高压水枪</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四、标准随车配置</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1、水箱容积：≥</w:t>
            </w:r>
            <w:r>
              <w:rPr>
                <w:rFonts w:hint="eastAsia" w:eastAsia="方正楷体_GBK"/>
                <w:szCs w:val="21"/>
                <w:highlight w:val="none"/>
              </w:rPr>
              <w:t xml:space="preserve">75</w:t>
            </w:r>
            <w:r>
              <w:rPr>
                <w:rFonts w:eastAsia="方正楷体_GBK"/>
                <w:szCs w:val="21"/>
                <w:highlight w:val="none"/>
              </w:rPr>
              <w:t xml:space="preserve">0L一体塑料水箱</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w:t>
            </w:r>
            <w:r>
              <w:rPr>
                <w:rFonts w:hint="eastAsia" w:eastAsia="方正楷体_GBK"/>
                <w:szCs w:val="21"/>
                <w:highlight w:val="none"/>
              </w:rPr>
              <w:t xml:space="preserve">2</w:t>
            </w:r>
            <w:r>
              <w:rPr>
                <w:rFonts w:eastAsia="方正楷体_GBK"/>
                <w:szCs w:val="21"/>
                <w:highlight w:val="none"/>
              </w:rPr>
              <w:t xml:space="preserve">把</w:t>
            </w:r>
            <w:r>
              <w:rPr>
                <w:rFonts w:hint="eastAsia" w:eastAsia="方正楷体_GBK"/>
                <w:szCs w:val="21"/>
                <w:highlight w:val="none"/>
              </w:rPr>
              <w:t xml:space="preserve">40型</w:t>
            </w:r>
            <w:r>
              <w:rPr>
                <w:rFonts w:eastAsia="方正楷体_GBK"/>
                <w:szCs w:val="21"/>
                <w:highlight w:val="none"/>
              </w:rPr>
              <w:t xml:space="preserve">直流水枪</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3、设置灭火器固定支架、防火撬棍摆放置位</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4、标配水带：4盘</w:t>
            </w:r>
            <w:r>
              <w:rPr>
                <w:rFonts w:hint="eastAsia" w:eastAsia="方正楷体_GBK"/>
                <w:szCs w:val="21"/>
                <w:highlight w:val="none"/>
              </w:rPr>
              <w:t xml:space="preserve">40型</w:t>
            </w:r>
            <w:r>
              <w:rPr>
                <w:rFonts w:eastAsia="方正楷体_GBK"/>
                <w:szCs w:val="21"/>
                <w:highlight w:val="none"/>
              </w:rPr>
              <w:t xml:space="preserve">水带</w:t>
            </w:r>
            <w:r>
              <w:rPr>
                <w:rFonts w:hint="eastAsia" w:eastAsia="方正楷体_GBK"/>
                <w:szCs w:val="21"/>
                <w:highlight w:val="none"/>
              </w:rPr>
              <w:t xml:space="preserve">,配备转换接口，可连接消火栓</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五、车身要求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1、车辆标识标志及警灯安装，符合消防救援车辆图喷要求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w:t>
            </w:r>
            <w:r>
              <w:rPr>
                <w:rFonts w:hint="eastAsia" w:eastAsia="方正楷体_GBK"/>
                <w:szCs w:val="21"/>
                <w:highlight w:val="none"/>
              </w:rPr>
              <w:t xml:space="preserve">整车喷漆</w:t>
            </w:r>
            <w:r>
              <w:rPr>
                <w:rFonts w:eastAsia="方正楷体_GBK"/>
                <w:szCs w:val="21"/>
                <w:highlight w:val="none"/>
              </w:rPr>
              <w:t xml:space="preserve">-红色</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3</w:t>
            </w:r>
            <w:r>
              <w:rPr>
                <w:rFonts w:eastAsia="方正楷体_GBK"/>
                <w:szCs w:val="21"/>
                <w:highlight w:val="none"/>
              </w:rPr>
              <w:t xml:space="preserve">、油漆：优质聚氨酯烤漆</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4</w:t>
            </w:r>
            <w:r>
              <w:rPr>
                <w:rFonts w:eastAsia="方正楷体_GBK"/>
                <w:szCs w:val="21"/>
                <w:highlight w:val="none"/>
              </w:rPr>
              <w:t xml:space="preserve">、车身字体：根据后期需求张贴。</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10</w:t>
            </w:r>
            <w:r>
              <w:rPr>
                <w:rFonts w:eastAsia="方正楷体_GBK"/>
                <w:szCs w:val="21"/>
                <w:highlight w:val="none"/>
              </w:rPr>
              <w:t xml:space="preserve">辆</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26400元/辆</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3</w:t>
            </w:r>
            <w:r>
              <w:rPr>
                <w:rFonts w:hint="eastAsia" w:eastAsia="方正楷体_GBK"/>
                <w:szCs w:val="21"/>
                <w:highlight w:val="none"/>
              </w:rPr>
            </w:r>
            <w:r/>
          </w:p>
        </w:tc>
        <w:tc>
          <w:tcPr>
            <w:tcW w:w="2022" w:type="dxa"/>
            <w:vAlign w:val="center"/>
            <w:textDirection w:val="lrTb"/>
            <w:noWrap w:val="false"/>
          </w:tcPr>
          <w:p>
            <w:pPr>
              <w:jc w:val="left"/>
              <w:keepNext/>
              <w:rPr>
                <w:rFonts w:eastAsia="方正楷体_GBK"/>
                <w:b/>
                <w:bCs/>
                <w:highlight w:val="none"/>
                <w14:ligatures w14:val="none"/>
              </w:rPr>
              <w:framePr w:vAnchor="margin" w:hAnchor="page" w:xAlign="center" w:y="1"/>
            </w:pPr>
            <w:r>
              <w:rPr>
                <w:rFonts w:eastAsia="方正楷体_GBK"/>
                <w:b/>
                <w:bCs/>
                <w:highlight w:val="none"/>
              </w:rPr>
            </w:r>
            <w:r>
              <w:rPr>
                <w:rFonts w:eastAsia="方正楷体_GBK"/>
                <w:b/>
                <w:bCs/>
                <w:highlight w:val="none"/>
              </w:rPr>
              <w:t xml:space="preserve">电动摩托车和电动轻便摩托车</w:t>
            </w:r>
            <w:r>
              <w:rPr>
                <w:rFonts w:eastAsia="方正楷体_GBK"/>
                <w:b/>
                <w:bCs/>
                <w:highlight w:val="none"/>
              </w:rPr>
            </w:r>
            <w:r>
              <w:rPr>
                <w:rFonts w:eastAsia="方正楷体_GBK"/>
                <w:b/>
                <w:bCs/>
                <w:highlight w:val="none"/>
              </w:rPr>
            </w:r>
          </w:p>
        </w:tc>
        <w:tc>
          <w:tcPr>
            <w:tcW w:w="3216" w:type="dxa"/>
            <w:vAlign w:val="center"/>
            <w:textDirection w:val="lrTb"/>
            <w:noWrap w:val="false"/>
          </w:tcPr>
          <w:p>
            <w:pPr>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1、</w:t>
            </w:r>
            <w:r>
              <w:rPr>
                <w:rFonts w:eastAsia="方正楷体_GBK"/>
                <w:highlight w:val="none"/>
              </w:rPr>
              <w:t xml:space="preserve">符合《电动摩托车和电动轻便摩托车通用技术条件》</w:t>
            </w:r>
            <w:r>
              <w:rPr>
                <w:rFonts w:eastAsia="方正楷体_GBK"/>
                <w:highlight w:val="none"/>
              </w:rPr>
              <w:t xml:space="preserve">GB/T 24158-2018</w:t>
            </w:r>
            <w:r>
              <w:rPr>
                <w:rFonts w:eastAsia="方正楷体_GBK"/>
                <w:highlight w:val="none"/>
              </w:rPr>
              <w:t xml:space="preserve">标准</w:t>
            </w:r>
            <w:r>
              <w:rPr>
                <w:rFonts w:hint="eastAsia" w:eastAsia="方正楷体_GBK"/>
                <w:b/>
                <w:bCs/>
                <w:szCs w:val="21"/>
                <w:highlight w:val="none"/>
              </w:rPr>
              <w:t xml:space="preserve">（提供省级及以上或国家认可的第三方检测检验机构出具的检验合格报告，且报告应完整有效，</w:t>
            </w:r>
            <w:r>
              <w:rPr>
                <w:rFonts w:hint="eastAsia" w:eastAsia="方正楷体_GBK"/>
                <w:b/>
                <w:szCs w:val="21"/>
                <w:highlight w:val="none"/>
              </w:rPr>
              <w:t xml:space="preserve">未提供或不能证明的作无效投标处理</w:t>
            </w:r>
            <w:r>
              <w:rPr>
                <w:rFonts w:hint="eastAsia" w:eastAsia="方正楷体_GBK"/>
                <w:szCs w:val="21"/>
                <w:highlight w:val="none"/>
              </w:rPr>
              <w:t xml:space="preserve">）。</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2、整车质量≤55kg，轮胎14寸或16寸真空胎。</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3、电池为72V/20Ah铅酸电池，续航里程≥50km（空载）。</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4、设置红</w:t>
            </w:r>
            <w:r>
              <w:rPr>
                <w:rFonts w:hint="eastAsia" w:eastAsia="方正楷体_GBK"/>
                <w:szCs w:val="21"/>
                <w:highlight w:val="none"/>
              </w:rPr>
              <w:t xml:space="preserve">色</w:t>
            </w:r>
            <w:r>
              <w:rPr>
                <w:rFonts w:eastAsia="方正楷体_GBK"/>
                <w:szCs w:val="21"/>
                <w:highlight w:val="none"/>
              </w:rPr>
              <w:t xml:space="preserve">爆闪灯、喊话器，</w:t>
            </w:r>
            <w:r>
              <w:rPr>
                <w:rFonts w:hint="eastAsia" w:eastAsia="方正楷体_GBK"/>
                <w:szCs w:val="21"/>
                <w:highlight w:val="none"/>
              </w:rPr>
              <w:t xml:space="preserve">设置灭火器放置支架，配备</w:t>
            </w:r>
            <w:r>
              <w:rPr>
                <w:rFonts w:eastAsia="方正楷体_GBK"/>
                <w:szCs w:val="21"/>
                <w:highlight w:val="none"/>
              </w:rPr>
              <w:t xml:space="preserve">2具4kg干粉灭火器，周身喷涂红色，设置“消防巡查”字样</w:t>
            </w:r>
            <w:r>
              <w:rPr>
                <w:rFonts w:hint="eastAsia" w:eastAsia="方正楷体_GBK"/>
                <w:szCs w:val="21"/>
                <w:highlight w:val="none"/>
              </w:rPr>
              <w:t xml:space="preserve">，</w:t>
            </w:r>
            <w:r>
              <w:rPr>
                <w:rFonts w:eastAsia="方正楷体_GBK"/>
                <w:szCs w:val="21"/>
                <w:highlight w:val="none"/>
              </w:rPr>
              <w:t xml:space="preserve">根据后期需求</w:t>
            </w:r>
            <w:r>
              <w:rPr>
                <w:rFonts w:hint="eastAsia" w:eastAsia="方正楷体_GBK"/>
                <w:szCs w:val="21"/>
                <w:highlight w:val="none"/>
              </w:rPr>
              <w:t xml:space="preserve">免费</w:t>
            </w:r>
            <w:r>
              <w:rPr>
                <w:rFonts w:eastAsia="方正楷体_GBK"/>
                <w:szCs w:val="21"/>
                <w:highlight w:val="none"/>
              </w:rPr>
              <w:t xml:space="preserve">张贴。</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20</w:t>
            </w:r>
            <w:r>
              <w:rPr>
                <w:rFonts w:eastAsia="方正楷体_GBK"/>
                <w:szCs w:val="21"/>
                <w:highlight w:val="none"/>
              </w:rPr>
              <w:t xml:space="preserve">辆</w:t>
            </w:r>
            <w:r>
              <w:rPr>
                <w:rFonts w:eastAsia="方正楷体_GBK"/>
                <w:szCs w:val="21"/>
                <w:highlight w:val="none"/>
              </w:rPr>
            </w:r>
            <w:r/>
          </w:p>
        </w:tc>
        <w:tc>
          <w:tcPr>
            <w:tcW w:w="1538" w:type="dxa"/>
            <w:vAlign w:val="center"/>
            <w:textDirection w:val="lrTb"/>
            <w:noWrap w:val="false"/>
          </w:tcPr>
          <w:p>
            <w:pPr>
              <w:pStyle w:val="893"/>
              <w:jc w:val="right"/>
              <w:keepNext/>
              <w:rPr>
                <w:rFonts w:hint="eastAsia" w:eastAsia="方正楷体_GBK"/>
                <w:szCs w:val="21"/>
                <w:highlight w:val="none"/>
              </w:rPr>
              <w:framePr w:vAnchor="margin" w:hAnchor="page" w:xAlign="center" w:y="1"/>
            </w:pPr>
            <w:r>
              <w:rPr>
                <w:rFonts w:hint="eastAsia" w:eastAsia="方正楷体_GBK"/>
                <w:szCs w:val="21"/>
                <w:highlight w:val="none"/>
              </w:rPr>
              <w:t xml:space="preserve">3500元/辆</w:t>
            </w:r>
            <w:r>
              <w:rPr>
                <w:rFonts w:hint="eastAsia"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4</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快速处置模块</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一、整车外观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1、整体材质：采用冷轧钢板制作，主体板材厚度≥1.5mm，关键承重部位（平台、箱体底部）板材厚度≥2mm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2、车身尺寸：（长×宽×高）≥1000×600×500mm（不含拉杆长度）</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3、行走结构：双轮加大加厚越野防滑橡胶轮胎</w:t>
            </w:r>
            <w:r>
              <w:rPr>
                <w:rFonts w:hint="eastAsia" w:eastAsia="方正楷体_GBK"/>
                <w:szCs w:val="21"/>
                <w:highlight w:val="none"/>
              </w:rPr>
              <w:t xml:space="preserve">，前轮为万向轮（拉杆测）</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4、外观设计：自带高亮反光警示条，侧边按压门锁式推拉柜门，分区独立储物</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5、手持推杆：加长铝合金伸缩防护推杆</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二</w:t>
            </w:r>
            <w:r>
              <w:rPr>
                <w:rFonts w:eastAsia="方正楷体_GBK"/>
                <w:szCs w:val="21"/>
                <w:highlight w:val="none"/>
              </w:rPr>
              <w:t xml:space="preserve">、箱体分区配置</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1、上层开放式储物区：可放置消防水带、消防头盔、自救呼吸器、照明手电、对讲机。</w:t>
            </w:r>
            <w:r>
              <w:rPr>
                <w:rFonts w:hint="eastAsia" w:eastAsia="方正楷体_GBK"/>
                <w:szCs w:val="21"/>
                <w:highlight w:val="none"/>
              </w:rPr>
              <w:t xml:space="preserve">（随箱配备2盘65型水带、1支水枪）</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2、下层封分割推拉仓：可放置个人防护、消防水带、专用扳手、直流水枪、灭火器等专用存放区域。</w:t>
            </w:r>
            <w:r>
              <w:rPr>
                <w:rFonts w:hint="eastAsia" w:eastAsia="方正楷体_GBK"/>
                <w:szCs w:val="21"/>
                <w:highlight w:val="none"/>
              </w:rPr>
              <w:t xml:space="preserve">（随箱配置2具4kg灭火器）</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3、下层设计器材固定卡槽</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4、两侧按压门锁推拉门</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w:t>
            </w:r>
            <w:r>
              <w:rPr>
                <w:rFonts w:hint="eastAsia" w:eastAsia="方正楷体_GBK"/>
                <w:szCs w:val="21"/>
                <w:highlight w:val="none"/>
              </w:rPr>
              <w:t xml:space="preserve">、</w:t>
            </w:r>
            <w:r>
              <w:rPr>
                <w:rFonts w:eastAsia="方正楷体_GBK"/>
                <w:szCs w:val="21"/>
                <w:highlight w:val="none"/>
              </w:rPr>
              <w:t xml:space="preserve">车体可挂载绝缘消防火钩</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280</w:t>
            </w:r>
            <w:r>
              <w:rPr>
                <w:rFonts w:eastAsia="方正楷体_GBK"/>
                <w:szCs w:val="21"/>
                <w:highlight w:val="none"/>
              </w:rPr>
              <w:t xml:space="preserve">具</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900元/个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5</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快速处置箱</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一、箱体设计</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1、编号设计为：根据后期需求喷涂。</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2、箱体尺寸：≥600×650×240mm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3、整体结构：落地加高地脚设计，单开门按压式门锁</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二、材质工艺</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1、板材：加厚冷轧钢板，主体板材厚度≥1mm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2、表面处理：箱体表面为红色涂装，箱体正面印制白色字样 “消防器材前置箱”</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3、箱门开启角度≥150°</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三</w:t>
            </w:r>
            <w:r>
              <w:rPr>
                <w:rFonts w:eastAsia="方正楷体_GBK"/>
                <w:szCs w:val="21"/>
                <w:highlight w:val="none"/>
              </w:rPr>
              <w:t xml:space="preserve">、内部设计</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1、内部设置防滑加固卡槽，稳固器材摆放。</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2、可存放4kg干粉灭火</w:t>
            </w:r>
            <w:r>
              <w:rPr>
                <w:rFonts w:hint="eastAsia" w:eastAsia="方正楷体_GBK"/>
                <w:szCs w:val="21"/>
                <w:highlight w:val="none"/>
              </w:rPr>
              <w:t xml:space="preserve">器</w:t>
            </w:r>
            <w:r>
              <w:rPr>
                <w:rFonts w:eastAsia="方正楷体_GBK"/>
                <w:szCs w:val="21"/>
                <w:highlight w:val="none"/>
              </w:rPr>
              <w:t xml:space="preserve">2具、消防水带2盘、水枪1把、消防扳手1把。</w:t>
            </w:r>
            <w:r>
              <w:rPr>
                <w:rFonts w:hint="eastAsia" w:eastAsia="方正楷体_GBK"/>
                <w:szCs w:val="21"/>
                <w:highlight w:val="none"/>
              </w:rPr>
              <w:t xml:space="preserve">（随箱配备</w:t>
            </w:r>
            <w:r>
              <w:rPr>
                <w:rFonts w:eastAsia="方正楷体_GBK"/>
                <w:szCs w:val="21"/>
                <w:highlight w:val="none"/>
              </w:rPr>
              <w:t xml:space="preserve">2具4kg干粉灭火</w:t>
            </w:r>
            <w:r>
              <w:rPr>
                <w:rFonts w:hint="eastAsia" w:eastAsia="方正楷体_GBK"/>
                <w:szCs w:val="21"/>
                <w:highlight w:val="none"/>
              </w:rPr>
              <w:t xml:space="preserve">器）</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920</w:t>
            </w:r>
            <w:r>
              <w:rPr>
                <w:rFonts w:eastAsia="方正楷体_GBK"/>
                <w:szCs w:val="21"/>
                <w:highlight w:val="none"/>
              </w:rPr>
              <w:t xml:space="preserve">具</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400元/个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6</w:t>
            </w:r>
            <w:r>
              <w:rPr>
                <w:rFonts w:hint="eastAsia" w:eastAsia="方正楷体_GBK"/>
                <w:szCs w:val="21"/>
                <w:highlight w:val="none"/>
              </w:rPr>
            </w:r>
            <w:r/>
          </w:p>
        </w:tc>
        <w:tc>
          <w:tcPr>
            <w:tcW w:w="2022" w:type="dxa"/>
            <w:vAlign w:val="center"/>
            <w:textDirection w:val="lrTb"/>
            <w:noWrap w:val="false"/>
          </w:tcPr>
          <w:p>
            <w:pPr>
              <w:jc w:val="left"/>
              <w:keepNext/>
              <w:rPr>
                <w:rFonts w:eastAsia="方正楷体_GBK"/>
                <w:szCs w:val="21"/>
                <w:highlight w:val="none"/>
              </w:rPr>
              <w:framePr w:vAnchor="margin" w:hAnchor="page" w:xAlign="center" w:y="1"/>
            </w:pPr>
            <w:r>
              <w:rPr>
                <w:rFonts w:eastAsia="方正楷体_GBK"/>
                <w:b/>
                <w:szCs w:val="21"/>
                <w:highlight w:val="none"/>
              </w:rPr>
            </w:r>
            <w:r>
              <w:rPr>
                <w:rFonts w:eastAsia="方正楷体_GBK"/>
                <w:b/>
                <w:bCs/>
                <w:highlight w:val="none"/>
              </w:rPr>
              <w:t xml:space="preserve">化学氧消防自救呼吸器</w:t>
            </w:r>
            <w:r>
              <w:rPr>
                <w:rFonts w:eastAsia="方正楷体_GBK"/>
                <w:b/>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1、产品符合XF411-2003标准</w:t>
            </w:r>
            <w:r>
              <w:rPr>
                <w:rFonts w:eastAsia="方正楷体_GBK"/>
                <w:b/>
                <w:bCs/>
                <w:szCs w:val="21"/>
                <w:highlight w:val="none"/>
              </w:rPr>
              <w:t xml:space="preserve">（</w:t>
            </w:r>
            <w:r>
              <w:rPr>
                <w:rFonts w:hint="eastAsia" w:eastAsia="方正楷体_GBK"/>
                <w:b/>
                <w:bCs/>
                <w:szCs w:val="21"/>
                <w:highlight w:val="none"/>
              </w:rPr>
              <w:t xml:space="preserve">提供省级及以上或国家认可的第三方检测检验机构出具的检验合格报告，且报告应完整有效，</w:t>
            </w:r>
            <w:r>
              <w:rPr>
                <w:rFonts w:hint="eastAsia" w:eastAsia="方正楷体_GBK"/>
                <w:b/>
                <w:szCs w:val="21"/>
                <w:highlight w:val="none"/>
              </w:rPr>
              <w:t xml:space="preserve">未提供或不能证明的作无效投标处理</w:t>
            </w:r>
            <w:r>
              <w:rPr>
                <w:rFonts w:hint="eastAsia" w:eastAsia="方正楷体_GBK"/>
                <w:szCs w:val="21"/>
                <w:highlight w:val="none"/>
              </w:rPr>
              <w:t xml:space="preserve">）。</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2、呼吸器应由防护头罩、面罩、药罐、通气管和贮气袋组成，联接应牢固可靠，在不借助工具的情况下应不易拆开。</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3、呼吸器应在防护头罩的额部设置环绕头部一周的反光标志 ；采用具有反光特性材料制造的防护头罩。药罐外壁应有防热传递的措施，进、出口处应有滤尘措施。</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4、防护头罩材料抗辐射热渗透性能内表面温升≤9</w:t>
            </w:r>
            <w:r>
              <w:rPr>
                <w:rFonts w:hint="eastAsia" w:eastAsia="方正楷体_GBK"/>
                <w:szCs w:val="21"/>
                <w:highlight w:val="none"/>
              </w:rPr>
              <w:t xml:space="preserve">℃</w:t>
            </w:r>
            <w:r>
              <w:rPr>
                <w:rFonts w:eastAsia="方正楷体_GBK"/>
                <w:szCs w:val="21"/>
                <w:highlight w:val="none"/>
              </w:rPr>
              <w:t xml:space="preserve">。</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5、佩戴质量≤1200g</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6、防护时间≥30分钟。</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7、氧浓度2分钟内≥17%</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8、二氧化碳浓度平均值≤1.11%，最大浓度≤1.5%</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9、吸气温度≤30°</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10、呼吸阻力之和≤1600pa，吸气阻力≤600pa,呼气阻力≤10000pa。</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11、漏气系数（%）：眼区≤12，面罩≤5</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eastAsia="方正楷体_GBK"/>
                <w:szCs w:val="21"/>
                <w:highlight w:val="none"/>
              </w:rPr>
              <w:t xml:space="preserve">12、储气袋容积≥6L</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13、具有3C认证，有效期≥4年</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640</w:t>
            </w:r>
            <w:r>
              <w:rPr>
                <w:rFonts w:eastAsia="方正楷体_GBK"/>
                <w:szCs w:val="21"/>
                <w:highlight w:val="none"/>
              </w:rPr>
              <w:t xml:space="preserve">个</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300元/个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7</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移车器</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1</w:t>
            </w:r>
            <w:r>
              <w:rPr>
                <w:rFonts w:eastAsia="方正楷体_GBK"/>
                <w:szCs w:val="21"/>
                <w:highlight w:val="none"/>
              </w:rPr>
              <w:t xml:space="preserve">、产品类型：液压式移车器</w:t>
            </w:r>
            <w:r>
              <w:rPr>
                <w:rFonts w:hint="eastAsia" w:eastAsia="方正楷体_GBK"/>
                <w:szCs w:val="21"/>
                <w:highlight w:val="none"/>
              </w:rPr>
              <w:t xml:space="preserve">（每套4个）</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2</w:t>
            </w:r>
            <w:r>
              <w:rPr>
                <w:rFonts w:eastAsia="方正楷体_GBK"/>
                <w:szCs w:val="21"/>
                <w:highlight w:val="none"/>
              </w:rPr>
              <w:t xml:space="preserve">、产品规格：≤550mm*650mm*450mm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3</w:t>
            </w:r>
            <w:r>
              <w:rPr>
                <w:rFonts w:eastAsia="方正楷体_GBK"/>
                <w:szCs w:val="21"/>
                <w:highlight w:val="none"/>
              </w:rPr>
              <w:t xml:space="preserve">、产品重量：≤18kg</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4</w:t>
            </w:r>
            <w:r>
              <w:rPr>
                <w:rFonts w:eastAsia="方正楷体_GBK"/>
                <w:szCs w:val="21"/>
                <w:highlight w:val="none"/>
              </w:rPr>
              <w:t xml:space="preserve">、抗压额定载荷</w:t>
            </w:r>
            <w:r>
              <w:rPr>
                <w:rFonts w:hint="eastAsia" w:eastAsia="方正楷体_GBK"/>
                <w:szCs w:val="21"/>
                <w:highlight w:val="none"/>
              </w:rPr>
              <w:t xml:space="preserve">：</w:t>
            </w:r>
            <w:r>
              <w:rPr>
                <w:rFonts w:eastAsia="方正楷体_GBK"/>
                <w:szCs w:val="21"/>
                <w:highlight w:val="none"/>
              </w:rPr>
              <w:t xml:space="preserve">≥</w:t>
            </w:r>
            <w:r>
              <w:rPr>
                <w:rFonts w:hint="eastAsia" w:eastAsia="方正楷体_GBK"/>
                <w:szCs w:val="21"/>
                <w:highlight w:val="none"/>
              </w:rPr>
              <w:t xml:space="preserve">4</w:t>
            </w:r>
            <w:r>
              <w:rPr>
                <w:rFonts w:eastAsia="方正楷体_GBK"/>
                <w:szCs w:val="21"/>
                <w:highlight w:val="none"/>
              </w:rPr>
              <w:t xml:space="preserve">000kg</w:t>
            </w:r>
            <w:r>
              <w:rPr>
                <w:rFonts w:hint="eastAsia" w:eastAsia="方正楷体_GBK"/>
                <w:szCs w:val="21"/>
                <w:highlight w:val="none"/>
              </w:rPr>
              <w:t xml:space="preserve">/套</w:t>
            </w:r>
            <w:r>
              <w:rPr>
                <w:rFonts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5</w:t>
            </w:r>
            <w:r>
              <w:rPr>
                <w:rFonts w:eastAsia="方正楷体_GBK"/>
                <w:szCs w:val="21"/>
                <w:highlight w:val="none"/>
              </w:rPr>
              <w:t xml:space="preserve">、液压缸类型：大型液压缸</w:t>
            </w:r>
            <w:r>
              <w:rPr>
                <w:rFonts w:hint="eastAsia"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6</w:t>
            </w:r>
            <w:r>
              <w:rPr>
                <w:rFonts w:eastAsia="方正楷体_GBK"/>
                <w:szCs w:val="21"/>
                <w:highlight w:val="none"/>
              </w:rPr>
              <w:t xml:space="preserve">、适用轮胎：23寸及以下轮胎</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7</w:t>
            </w:r>
            <w:r>
              <w:rPr>
                <w:rFonts w:eastAsia="方正楷体_GBK"/>
                <w:szCs w:val="21"/>
                <w:highlight w:val="none"/>
              </w:rPr>
              <w:t xml:space="preserve">、最大爬坡度：≤3%</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8</w:t>
            </w:r>
            <w:r>
              <w:rPr>
                <w:rFonts w:eastAsia="方正楷体_GBK"/>
                <w:szCs w:val="21"/>
                <w:highlight w:val="none"/>
              </w:rPr>
              <w:t xml:space="preserve">、脚轮直径：100mm*4</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9</w:t>
            </w:r>
            <w:r>
              <w:rPr>
                <w:rFonts w:eastAsia="方正楷体_GBK"/>
                <w:szCs w:val="21"/>
                <w:highlight w:val="none"/>
              </w:rPr>
              <w:t xml:space="preserve">、液压移车器组成部件</w:t>
            </w:r>
            <w:r>
              <w:rPr>
                <w:rFonts w:hint="eastAsia" w:eastAsia="方正楷体_GBK"/>
                <w:szCs w:val="21"/>
                <w:highlight w:val="none"/>
              </w:rPr>
              <w:t xml:space="preserve">：</w:t>
            </w:r>
            <w:r>
              <w:rPr>
                <w:rFonts w:eastAsia="方正楷体_GBK"/>
                <w:szCs w:val="21"/>
                <w:highlight w:val="none"/>
              </w:rPr>
              <w:t xml:space="preserve">万向脚轮、止轮臂、滚筒、液压收缩器、脚踏板、安全插销。</w:t>
            </w:r>
            <w:r>
              <w:rPr>
                <w:rFonts w:eastAsia="方正楷体_GBK"/>
                <w:szCs w:val="21"/>
                <w:highlight w:val="none"/>
              </w:rPr>
            </w:r>
            <w:r/>
          </w:p>
        </w:tc>
        <w:tc>
          <w:tcPr>
            <w:tcW w:w="876" w:type="dxa"/>
            <w:vAlign w:val="center"/>
            <w:textDirection w:val="lrTb"/>
            <w:noWrap w:val="false"/>
          </w:tcPr>
          <w:p>
            <w:pPr>
              <w:pStyle w:val="893"/>
              <w:jc w:val="center"/>
              <w:keepNext/>
              <w:rPr>
                <w:rFonts w:eastAsia="方正楷体_GBK"/>
                <w:szCs w:val="21"/>
                <w:highlight w:val="none"/>
              </w:rPr>
              <w:framePr w:vAnchor="margin" w:hAnchor="page" w:xAlign="center" w:y="1"/>
            </w:pPr>
            <w:r>
              <w:rPr>
                <w:rFonts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eastAsia="方正楷体_GBK"/>
                <w:szCs w:val="21"/>
                <w:highlight w:val="none"/>
              </w:rPr>
              <w:t xml:space="preserve">1</w:t>
            </w:r>
            <w:r>
              <w:rPr>
                <w:rFonts w:hint="eastAsia" w:eastAsia="方正楷体_GBK"/>
                <w:szCs w:val="21"/>
                <w:highlight w:val="none"/>
              </w:rPr>
              <w:t xml:space="preserve">40</w:t>
            </w:r>
            <w:r>
              <w:rPr>
                <w:rFonts w:eastAsia="方正楷体_GBK"/>
                <w:szCs w:val="21"/>
                <w:highlight w:val="none"/>
              </w:rPr>
              <w:t xml:space="preserve">套</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1800元/套</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8</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b/>
                <w:szCs w:val="21"/>
                <w:highlight w:val="none"/>
              </w:rPr>
              <w:t xml:space="preserve">大型</w:t>
            </w:r>
            <w:r>
              <w:rPr>
                <w:rFonts w:eastAsia="方正楷体_GBK"/>
                <w:b/>
                <w:szCs w:val="21"/>
                <w:highlight w:val="none"/>
              </w:rPr>
              <w:t xml:space="preserve">灭火毯</w:t>
            </w:r>
            <w:r>
              <w:rPr>
                <w:rFonts w:eastAsia="方正楷体_GBK"/>
                <w:szCs w:val="21"/>
                <w:highlight w:val="none"/>
              </w:rPr>
            </w:r>
            <w:r/>
          </w:p>
        </w:tc>
        <w:tc>
          <w:tcPr>
            <w:tcW w:w="3216" w:type="dxa"/>
            <w:vAlign w:val="center"/>
            <w:textDirection w:val="lrTb"/>
            <w:noWrap w:val="false"/>
          </w:tcPr>
          <w:p>
            <w:pPr>
              <w:pStyle w:val="893"/>
              <w:jc w:val="left"/>
              <w:keepNext/>
              <w:rPr>
                <w:rFonts w:hint="eastAsia" w:eastAsia="方正楷体_GBK"/>
                <w:color w:val="000000"/>
                <w:szCs w:val="21"/>
                <w:highlight w:val="none"/>
              </w:rPr>
              <w:framePr w:vAnchor="margin" w:hAnchor="page" w:xAlign="center" w:y="1"/>
            </w:pPr>
            <w:r>
              <w:rPr>
                <w:rFonts w:hint="eastAsia" w:eastAsia="方正楷体_GBK"/>
                <w:color w:val="000000"/>
                <w:szCs w:val="21"/>
                <w:highlight w:val="none"/>
              </w:rPr>
              <w:t xml:space="preserve">★1、</w:t>
            </w:r>
            <w:r>
              <w:rPr>
                <w:rFonts w:eastAsia="方正楷体_GBK"/>
                <w:color w:val="000000"/>
                <w:szCs w:val="21"/>
                <w:highlight w:val="none"/>
              </w:rPr>
              <w:t xml:space="preserve">产品</w:t>
            </w:r>
            <w:r>
              <w:rPr>
                <w:rFonts w:hint="eastAsia" w:eastAsia="方正楷体_GBK"/>
                <w:color w:val="000000"/>
                <w:szCs w:val="21"/>
                <w:highlight w:val="none"/>
              </w:rPr>
              <w:t xml:space="preserve">符合XF 1205-2014《灭火毯》的标准要求。</w:t>
            </w:r>
            <w:r>
              <w:rPr>
                <w:rFonts w:hint="eastAsia" w:eastAsia="方正楷体_GBK"/>
                <w:b/>
                <w:bCs/>
                <w:color w:val="000000"/>
                <w:szCs w:val="21"/>
                <w:highlight w:val="none"/>
              </w:rPr>
              <w:t xml:space="preserve">（提供省级及以上或国家认可的第三方检测检验机构出具的检验</w:t>
            </w:r>
            <w:r>
              <w:rPr>
                <w:rFonts w:hint="eastAsia" w:eastAsia="方正楷体_GBK"/>
                <w:b/>
                <w:bCs/>
                <w:szCs w:val="21"/>
                <w:highlight w:val="none"/>
              </w:rPr>
              <w:t xml:space="preserve">合格</w:t>
            </w:r>
            <w:r>
              <w:rPr>
                <w:rFonts w:hint="eastAsia" w:eastAsia="方正楷体_GBK"/>
                <w:b/>
                <w:bCs/>
                <w:color w:val="000000"/>
                <w:szCs w:val="21"/>
                <w:highlight w:val="none"/>
              </w:rPr>
              <w:t xml:space="preserve">报告，且报告应完整有效，</w:t>
            </w:r>
            <w:r>
              <w:rPr>
                <w:rFonts w:hint="eastAsia" w:eastAsia="方正楷体_GBK"/>
                <w:b/>
                <w:szCs w:val="21"/>
                <w:highlight w:val="none"/>
              </w:rPr>
              <w:t xml:space="preserve">未提供或不能证明的作无效投标处理</w:t>
            </w:r>
            <w:r>
              <w:rPr>
                <w:rFonts w:hint="eastAsia" w:eastAsia="方正楷体_GBK"/>
                <w:color w:val="000000"/>
                <w:szCs w:val="21"/>
                <w:highlight w:val="none"/>
              </w:rPr>
              <w:t xml:space="preserve">）</w:t>
            </w:r>
            <w:r>
              <w:rPr>
                <w:rFonts w:hint="eastAsia" w:eastAsia="方正楷体_GBK"/>
                <w:color w:val="000000"/>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w:t>
            </w:r>
            <w:r>
              <w:rPr>
                <w:rFonts w:eastAsia="方正楷体_GBK"/>
                <w:szCs w:val="21"/>
                <w:highlight w:val="none"/>
              </w:rPr>
              <w:t xml:space="preserve">2、尺寸≥6M*8M</w:t>
            </w:r>
            <w:r>
              <w:rPr>
                <w:rFonts w:hint="eastAsia" w:eastAsia="方正楷体_GBK"/>
                <w:szCs w:val="21"/>
                <w:highlight w:val="none"/>
              </w:rPr>
              <w:t xml:space="preserve">。</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280</w:t>
            </w:r>
            <w:r>
              <w:rPr>
                <w:rFonts w:eastAsia="方正楷体_GBK"/>
                <w:szCs w:val="21"/>
                <w:highlight w:val="none"/>
              </w:rPr>
              <w:t xml:space="preserve">个</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500元/个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t xml:space="preserve">9</w:t>
            </w:r>
            <w:r>
              <w:rPr>
                <w:rFonts w:hint="eastAsia"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扩音喇叭</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1、</w:t>
            </w:r>
            <w:r>
              <w:rPr>
                <w:rFonts w:eastAsia="方正楷体_GBK"/>
                <w:szCs w:val="21"/>
                <w:highlight w:val="none"/>
              </w:rPr>
              <w:t xml:space="preserve">功能：扩音、警报、哨音、录音等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2、</w:t>
            </w:r>
            <w:r>
              <w:rPr>
                <w:rFonts w:eastAsia="方正楷体_GBK"/>
                <w:szCs w:val="21"/>
                <w:highlight w:val="none"/>
              </w:rPr>
              <w:t xml:space="preserve">电池</w:t>
            </w:r>
            <w:r>
              <w:rPr>
                <w:rFonts w:hint="eastAsia" w:eastAsia="方正楷体_GBK"/>
                <w:szCs w:val="21"/>
                <w:highlight w:val="none"/>
              </w:rPr>
              <w:t xml:space="preserve">：</w:t>
            </w:r>
            <w:r>
              <w:rPr>
                <w:rFonts w:eastAsia="方正楷体_GBK"/>
                <w:szCs w:val="21"/>
                <w:highlight w:val="none"/>
              </w:rPr>
              <w:t xml:space="preserve">3.7-4.7V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3、</w:t>
            </w:r>
            <w:r>
              <w:rPr>
                <w:rFonts w:eastAsia="方正楷体_GBK"/>
                <w:szCs w:val="21"/>
                <w:highlight w:val="none"/>
              </w:rPr>
              <w:t xml:space="preserve">功率：</w:t>
            </w:r>
            <w:r>
              <w:rPr>
                <w:rFonts w:hint="eastAsia" w:eastAsia="方正楷体_GBK"/>
                <w:szCs w:val="21"/>
                <w:highlight w:val="none"/>
              </w:rPr>
              <w:t xml:space="preserve">≥</w:t>
            </w:r>
            <w:r>
              <w:rPr>
                <w:rFonts w:eastAsia="方正楷体_GBK"/>
                <w:szCs w:val="21"/>
                <w:highlight w:val="none"/>
              </w:rPr>
              <w:t xml:space="preserve">15w；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4、</w:t>
            </w:r>
            <w:r>
              <w:rPr>
                <w:rFonts w:eastAsia="方正楷体_GBK"/>
                <w:szCs w:val="21"/>
                <w:highlight w:val="none"/>
              </w:rPr>
              <w:t xml:space="preserve">指示灯功率：≥0.5w（LED）；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5、</w:t>
            </w:r>
            <w:r>
              <w:rPr>
                <w:rFonts w:eastAsia="方正楷体_GBK"/>
                <w:szCs w:val="21"/>
                <w:highlight w:val="none"/>
              </w:rPr>
              <w:t xml:space="preserve">录音时长：≥270秒；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6、</w:t>
            </w:r>
            <w:r>
              <w:rPr>
                <w:rFonts w:eastAsia="方正楷体_GBK"/>
                <w:szCs w:val="21"/>
                <w:highlight w:val="none"/>
              </w:rPr>
              <w:t xml:space="preserve">频率：50HZ-20KHZ;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7、</w:t>
            </w:r>
            <w:r>
              <w:rPr>
                <w:rFonts w:eastAsia="方正楷体_GBK"/>
                <w:szCs w:val="21"/>
                <w:highlight w:val="none"/>
              </w:rPr>
              <w:t xml:space="preserve">传送距离：＞</w:t>
            </w:r>
            <w:r>
              <w:rPr>
                <w:rFonts w:hint="eastAsia" w:eastAsia="方正楷体_GBK"/>
                <w:szCs w:val="21"/>
                <w:highlight w:val="none"/>
              </w:rPr>
              <w:t xml:space="preserve">1</w:t>
            </w:r>
            <w:r>
              <w:rPr>
                <w:rFonts w:eastAsia="方正楷体_GBK"/>
                <w:szCs w:val="21"/>
                <w:highlight w:val="none"/>
              </w:rPr>
              <w:t xml:space="preserve">00m；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8、</w:t>
            </w:r>
            <w:r>
              <w:rPr>
                <w:rFonts w:eastAsia="方正楷体_GBK"/>
                <w:szCs w:val="21"/>
                <w:highlight w:val="none"/>
              </w:rPr>
              <w:t xml:space="preserve">规格：长 210±10mm 宽 130±10mm；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9、</w:t>
            </w:r>
            <w:r>
              <w:rPr>
                <w:rFonts w:eastAsia="方正楷体_GBK"/>
                <w:szCs w:val="21"/>
                <w:highlight w:val="none"/>
              </w:rPr>
              <w:t xml:space="preserve">重量：≤620g（含</w:t>
            </w:r>
            <w:r>
              <w:rPr>
                <w:rFonts w:hint="eastAsia" w:eastAsia="方正楷体_GBK"/>
                <w:szCs w:val="21"/>
                <w:highlight w:val="none"/>
              </w:rPr>
              <w:t xml:space="preserve">可充电</w:t>
            </w:r>
            <w:r>
              <w:rPr>
                <w:rFonts w:eastAsia="方正楷体_GBK"/>
                <w:szCs w:val="21"/>
                <w:highlight w:val="none"/>
              </w:rPr>
              <w:t xml:space="preserve">锂电池） </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10、</w:t>
            </w:r>
            <w:r>
              <w:rPr>
                <w:rFonts w:eastAsia="方正楷体_GBK"/>
                <w:szCs w:val="21"/>
                <w:highlight w:val="none"/>
              </w:rPr>
              <w:t xml:space="preserve">持续使用时间：≥6h，材质：ABS工程塑料或更优材质</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180</w:t>
            </w:r>
            <w:r>
              <w:rPr>
                <w:rFonts w:eastAsia="方正楷体_GBK"/>
                <w:szCs w:val="21"/>
                <w:highlight w:val="none"/>
              </w:rPr>
              <w:t xml:space="preserve">台</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240元/个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eastAsia="方正楷体_GBK"/>
                <w:szCs w:val="21"/>
                <w:highlight w:val="none"/>
              </w:rPr>
              <w:framePr w:vAnchor="margin" w:hAnchor="page" w:xAlign="center" w:y="1"/>
            </w:pPr>
            <w:r>
              <w:rPr>
                <w:rFonts w:hint="eastAsia" w:eastAsia="方正楷体_GBK"/>
                <w:szCs w:val="21"/>
                <w:highlight w:val="none"/>
              </w:rPr>
              <w:t xml:space="preserve">10</w:t>
            </w:r>
            <w:r>
              <w:rPr>
                <w:rFonts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伸缩捞钩</w:t>
            </w:r>
            <w:r>
              <w:rPr>
                <w:rFonts w:eastAsia="方正楷体_GBK"/>
                <w:szCs w:val="21"/>
                <w:highlight w:val="none"/>
              </w:rPr>
            </w:r>
            <w:r/>
          </w:p>
        </w:tc>
        <w:tc>
          <w:tcPr>
            <w:tcW w:w="3216" w:type="dxa"/>
            <w:vAlign w:val="center"/>
            <w:textDirection w:val="lrTb"/>
            <w:noWrap w:val="false"/>
          </w:tcPr>
          <w:p>
            <w:pPr>
              <w:pStyle w:val="893"/>
              <w:jc w:val="left"/>
              <w:keepNext/>
              <w:rPr>
                <w:rFonts w:eastAsia="方正楷体_GBK"/>
                <w:szCs w:val="21"/>
                <w:highlight w:val="none"/>
              </w:rPr>
              <w:framePr w:vAnchor="margin" w:hAnchor="page" w:xAlign="center" w:y="1"/>
            </w:pPr>
            <w:r>
              <w:rPr>
                <w:rFonts w:hAnsi="Arial" w:eastAsia="方正楷体_GBK" w:cs="Arial"/>
                <w:szCs w:val="21"/>
                <w:highlight w:val="none"/>
              </w:rPr>
              <w:t xml:space="preserve">▲</w:t>
            </w:r>
            <w:r>
              <w:rPr>
                <w:rFonts w:hint="eastAsia" w:eastAsia="方正楷体_GBK"/>
                <w:szCs w:val="21"/>
                <w:highlight w:val="none"/>
              </w:rPr>
              <w:t xml:space="preserve">1</w:t>
            </w:r>
            <w:r>
              <w:rPr>
                <w:rFonts w:eastAsia="方正楷体_GBK"/>
                <w:szCs w:val="21"/>
                <w:highlight w:val="none"/>
              </w:rPr>
              <w:t xml:space="preserve">、材质：不锈钢；</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Ansi="Arial" w:eastAsia="方正楷体_GBK" w:cs="Arial"/>
                <w:szCs w:val="21"/>
                <w:highlight w:val="none"/>
              </w:rPr>
              <w:t xml:space="preserve">▲</w:t>
            </w:r>
            <w:r>
              <w:rPr>
                <w:rFonts w:hint="eastAsia" w:eastAsia="方正楷体_GBK"/>
                <w:szCs w:val="21"/>
                <w:highlight w:val="none"/>
              </w:rPr>
              <w:t xml:space="preserve">2</w:t>
            </w:r>
            <w:r>
              <w:rPr>
                <w:rFonts w:eastAsia="方正楷体_GBK"/>
                <w:szCs w:val="21"/>
                <w:highlight w:val="none"/>
              </w:rPr>
              <w:t xml:space="preserve">、展开长度：≥3m；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Ansi="Arial" w:eastAsia="方正楷体_GBK" w:cs="Arial"/>
                <w:szCs w:val="21"/>
                <w:highlight w:val="none"/>
              </w:rPr>
              <w:t xml:space="preserve">▲</w:t>
            </w:r>
            <w:r>
              <w:rPr>
                <w:rFonts w:hint="eastAsia" w:eastAsia="方正楷体_GBK"/>
                <w:szCs w:val="21"/>
                <w:highlight w:val="none"/>
              </w:rPr>
              <w:t xml:space="preserve">3</w:t>
            </w:r>
            <w:r>
              <w:rPr>
                <w:rFonts w:eastAsia="方正楷体_GBK"/>
                <w:szCs w:val="21"/>
                <w:highlight w:val="none"/>
              </w:rPr>
              <w:t xml:space="preserve">、收缩长度：≤1.5m。</w:t>
            </w:r>
            <w:r>
              <w:rPr>
                <w:rFonts w:eastAsia="方正楷体_GBK"/>
                <w:szCs w:val="21"/>
                <w:highlight w:val="none"/>
              </w:rPr>
            </w:r>
            <w:r/>
          </w:p>
          <w:p>
            <w:pPr>
              <w:pStyle w:val="893"/>
              <w:jc w:val="left"/>
              <w:keepNext/>
              <w:rPr>
                <w:rFonts w:eastAsia="方正楷体_GBK"/>
                <w:szCs w:val="21"/>
                <w:highlight w:val="none"/>
              </w:rPr>
              <w:framePr w:vAnchor="margin" w:hAnchor="page" w:xAlign="center" w:y="1"/>
            </w:pPr>
            <w:r>
              <w:rPr>
                <w:rFonts w:hint="eastAsia" w:eastAsia="方正楷体_GBK"/>
                <w:szCs w:val="21"/>
                <w:highlight w:val="none"/>
              </w:rPr>
              <w:t xml:space="preserve">4</w:t>
            </w:r>
            <w:r>
              <w:rPr>
                <w:rFonts w:eastAsia="方正楷体_GBK"/>
                <w:szCs w:val="21"/>
                <w:highlight w:val="none"/>
              </w:rPr>
              <w:t xml:space="preserve">、承重强度：绝缘消防火钩连接件抗拉离性能：≥ 1kN（中部断裂)</w:t>
            </w:r>
            <w:r>
              <w:rPr>
                <w:rFonts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320</w:t>
            </w:r>
            <w:r>
              <w:rPr>
                <w:rFonts w:eastAsia="方正楷体_GBK"/>
                <w:szCs w:val="21"/>
                <w:highlight w:val="none"/>
              </w:rPr>
              <w:t xml:space="preserve">把</w:t>
            </w:r>
            <w:r>
              <w:rPr>
                <w:rFonts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120元/个</w:t>
            </w:r>
            <w:r>
              <w:rPr>
                <w:rFonts w:eastAsia="方正楷体_GBK"/>
                <w:szCs w:val="21"/>
                <w:highlight w:val="none"/>
              </w:rPr>
            </w:r>
            <w:r/>
          </w:p>
        </w:tc>
      </w:tr>
      <w:tr>
        <w:trPr/>
        <w:tc>
          <w:tcPr>
            <w:tcW w:w="588" w:type="dxa"/>
            <w:vAlign w:val="center"/>
            <w:textDirection w:val="lrTb"/>
            <w:noWrap w:val="false"/>
          </w:tcPr>
          <w:p>
            <w:pPr>
              <w:pStyle w:val="893"/>
              <w:jc w:val="center"/>
              <w:keepNext/>
              <w:rPr>
                <w:rFonts w:eastAsia="方正楷体_GBK"/>
                <w:szCs w:val="21"/>
                <w:highlight w:val="none"/>
              </w:rPr>
              <w:framePr w:vAnchor="margin" w:hAnchor="page" w:xAlign="center" w:y="1"/>
            </w:pPr>
            <w:r>
              <w:rPr>
                <w:rFonts w:hint="eastAsia" w:eastAsia="方正楷体_GBK"/>
                <w:szCs w:val="21"/>
                <w:highlight w:val="none"/>
              </w:rPr>
              <w:t xml:space="preserve">11</w:t>
            </w:r>
            <w:r>
              <w:rPr>
                <w:rFonts w:eastAsia="方正楷体_GBK"/>
                <w:szCs w:val="21"/>
                <w:highlight w:val="none"/>
              </w:rPr>
            </w:r>
            <w:r/>
          </w:p>
        </w:tc>
        <w:tc>
          <w:tcPr>
            <w:tcW w:w="2022" w:type="dxa"/>
            <w:vAlign w:val="center"/>
            <w:textDirection w:val="lrTb"/>
            <w:noWrap w:val="false"/>
          </w:tcPr>
          <w:p>
            <w:pPr>
              <w:pStyle w:val="893"/>
              <w:jc w:val="left"/>
              <w:keepNext/>
              <w:rPr>
                <w:rFonts w:eastAsia="方正楷体_GBK"/>
                <w:szCs w:val="21"/>
                <w:highlight w:val="none"/>
              </w:rPr>
              <w:framePr w:vAnchor="margin" w:hAnchor="page" w:xAlign="center" w:y="1"/>
            </w:pPr>
            <w:r>
              <w:rPr>
                <w:rFonts w:eastAsia="方正楷体_GBK"/>
                <w:b/>
                <w:szCs w:val="21"/>
                <w:highlight w:val="none"/>
              </w:rPr>
              <w:t xml:space="preserve">强光手电筒</w:t>
            </w:r>
            <w:r>
              <w:rPr>
                <w:rFonts w:eastAsia="方正楷体_GBK"/>
                <w:szCs w:val="21"/>
                <w:highlight w:val="none"/>
              </w:rPr>
            </w:r>
            <w:r/>
          </w:p>
        </w:tc>
        <w:tc>
          <w:tcPr>
            <w:tcW w:w="3216" w:type="dxa"/>
            <w:vAlign w:val="center"/>
            <w:textDirection w:val="lrTb"/>
            <w:noWrap w:val="false"/>
          </w:tcPr>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▲1、充电锂电池，容量≥2000Mah；</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▲2、充电次数≥500次；</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3、功能要求：灯具应具有强、弱光切换功能；灯具应具有低电压告警功能；</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4、额定亮度≥800流明；工作时间：聚光强光≥4h，聚光工作光≥8h。</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5、灯具可手提、肩挎二种携带方式。</w:t>
            </w:r>
            <w:r>
              <w:rPr>
                <w:rFonts w:hint="eastAsia" w:eastAsia="方正楷体_GBK"/>
                <w:szCs w:val="21"/>
                <w:highlight w:val="none"/>
              </w:rPr>
            </w:r>
            <w:r/>
          </w:p>
          <w:p>
            <w:pPr>
              <w:pStyle w:val="893"/>
              <w:jc w:val="left"/>
              <w:keepNext/>
              <w:rPr>
                <w:rFonts w:hint="eastAsia" w:eastAsia="方正楷体_GBK"/>
                <w:szCs w:val="21"/>
                <w:highlight w:val="none"/>
              </w:rPr>
              <w:framePr w:vAnchor="margin" w:hAnchor="page" w:xAlign="center" w:y="1"/>
            </w:pPr>
            <w:r>
              <w:rPr>
                <w:rFonts w:hint="eastAsia" w:eastAsia="方正楷体_GBK"/>
                <w:szCs w:val="21"/>
                <w:highlight w:val="none"/>
              </w:rPr>
              <w:t xml:space="preserve">6、灯具需采用快充设计，整体充电时间不大于4h。</w:t>
            </w:r>
            <w:r>
              <w:rPr>
                <w:rFonts w:hint="eastAsia" w:eastAsia="方正楷体_GBK"/>
                <w:szCs w:val="21"/>
                <w:highlight w:val="none"/>
              </w:rPr>
            </w:r>
            <w:r/>
          </w:p>
        </w:tc>
        <w:tc>
          <w:tcPr>
            <w:tcW w:w="876" w:type="dxa"/>
            <w:vAlign w:val="center"/>
            <w:textDirection w:val="lrTb"/>
            <w:noWrap w:val="false"/>
          </w:tcPr>
          <w:p>
            <w:pPr>
              <w:pStyle w:val="893"/>
              <w:jc w:val="center"/>
              <w:keepNext/>
              <w:rPr>
                <w:rFonts w:hint="eastAsia" w:eastAsia="方正楷体_GBK"/>
                <w:szCs w:val="21"/>
                <w:highlight w:val="none"/>
              </w:rPr>
              <w:framePr w:vAnchor="margin" w:hAnchor="page" w:xAlign="center" w:y="1"/>
            </w:pPr>
            <w:r>
              <w:rPr>
                <w:rFonts w:hint="eastAsia" w:eastAsia="方正楷体_GBK"/>
                <w:szCs w:val="21"/>
                <w:highlight w:val="none"/>
              </w:rPr>
            </w:r>
            <w:r/>
          </w:p>
        </w:tc>
        <w:tc>
          <w:tcPr>
            <w:tcW w:w="674" w:type="dxa"/>
            <w:vAlign w:val="center"/>
            <w:textDirection w:val="lrTb"/>
            <w:noWrap w:val="false"/>
          </w:tcPr>
          <w:p>
            <w:pPr>
              <w:pStyle w:val="893"/>
              <w:jc w:val="right"/>
              <w:keepNext/>
              <w:rPr>
                <w:rFonts w:hint="eastAsia" w:eastAsia="方正楷体_GBK"/>
                <w:szCs w:val="21"/>
                <w:highlight w:val="none"/>
              </w:rPr>
              <w:framePr w:vAnchor="margin" w:hAnchor="page" w:xAlign="center" w:y="1"/>
            </w:pPr>
            <w:r>
              <w:rPr>
                <w:rFonts w:hint="eastAsia" w:eastAsia="方正楷体_GBK"/>
                <w:szCs w:val="21"/>
                <w:highlight w:val="none"/>
              </w:rPr>
              <w:t xml:space="preserve">140</w:t>
            </w:r>
            <w:r>
              <w:rPr>
                <w:rFonts w:eastAsia="方正楷体_GBK"/>
                <w:szCs w:val="21"/>
                <w:highlight w:val="none"/>
              </w:rPr>
              <w:t xml:space="preserve">个</w:t>
            </w:r>
            <w:r>
              <w:rPr>
                <w:rFonts w:hint="eastAsia" w:eastAsia="方正楷体_GBK"/>
                <w:szCs w:val="21"/>
                <w:highlight w:val="none"/>
              </w:rPr>
            </w:r>
            <w:r/>
          </w:p>
        </w:tc>
        <w:tc>
          <w:tcPr>
            <w:tcW w:w="1538" w:type="dxa"/>
            <w:vAlign w:val="center"/>
            <w:textDirection w:val="lrTb"/>
            <w:noWrap w:val="false"/>
          </w:tcPr>
          <w:p>
            <w:pPr>
              <w:pStyle w:val="893"/>
              <w:jc w:val="right"/>
              <w:keepNext/>
              <w:rPr>
                <w:rFonts w:eastAsia="方正楷体_GBK"/>
                <w:szCs w:val="21"/>
                <w:highlight w:val="none"/>
              </w:rPr>
              <w:framePr w:vAnchor="margin" w:hAnchor="page" w:xAlign="center" w:y="1"/>
            </w:pPr>
            <w:r>
              <w:rPr>
                <w:rFonts w:hint="eastAsia" w:eastAsia="方正楷体_GBK"/>
                <w:szCs w:val="21"/>
                <w:highlight w:val="none"/>
              </w:rPr>
              <w:t xml:space="preserve">200元/个</w:t>
            </w:r>
            <w:r>
              <w:rPr>
                <w:rFonts w:eastAsia="方正楷体_GBK"/>
                <w:szCs w:val="21"/>
                <w:highlight w:val="none"/>
              </w:rPr>
            </w:r>
            <w:r/>
          </w:p>
        </w:tc>
      </w:tr>
      <w:tr>
        <w:trPr/>
        <w:tc>
          <w:tcPr>
            <w:gridSpan w:val="2"/>
            <w:tcW w:w="2610" w:type="dxa"/>
            <w:vAlign w:val="center"/>
            <w:textDirection w:val="lrTb"/>
            <w:noWrap w:val="false"/>
          </w:tcPr>
          <w:p>
            <w:pPr>
              <w:pStyle w:val="893"/>
              <w:jc w:val="center"/>
              <w:keepNext/>
              <w:rPr>
                <w:rFonts w:eastAsia="方正楷体_GBK"/>
                <w:b/>
                <w:szCs w:val="21"/>
                <w:highlight w:val="none"/>
              </w:rPr>
              <w:framePr w:vAnchor="margin" w:hAnchor="page" w:xAlign="center" w:y="1"/>
            </w:pPr>
            <w:r>
              <w:rPr>
                <w:rFonts w:eastAsia="方正楷体_GBK"/>
                <w:b/>
                <w:szCs w:val="21"/>
                <w:highlight w:val="none"/>
              </w:rPr>
              <w:t xml:space="preserve">合计</w:t>
            </w:r>
            <w:r>
              <w:rPr>
                <w:rFonts w:eastAsia="方正楷体_GBK"/>
                <w:b/>
                <w:szCs w:val="21"/>
                <w:highlight w:val="none"/>
              </w:rPr>
            </w:r>
            <w:r/>
          </w:p>
        </w:tc>
        <w:tc>
          <w:tcPr>
            <w:tcW w:w="3216" w:type="dxa"/>
            <w:vAlign w:val="center"/>
            <w:textDirection w:val="lrTb"/>
            <w:noWrap w:val="false"/>
          </w:tcPr>
          <w:p>
            <w:pPr>
              <w:pStyle w:val="893"/>
              <w:jc w:val="left"/>
              <w:keepNext/>
              <w:rPr>
                <w:rFonts w:hint="eastAsia" w:eastAsia="方正楷体_GBK"/>
                <w:b/>
                <w:szCs w:val="21"/>
                <w:highlight w:val="none"/>
              </w:rPr>
              <w:framePr w:vAnchor="margin" w:hAnchor="page" w:xAlign="center" w:y="1"/>
            </w:pPr>
            <w:r>
              <w:rPr>
                <w:rFonts w:hint="eastAsia" w:eastAsia="方正楷体_GBK"/>
                <w:b/>
                <w:szCs w:val="21"/>
                <w:highlight w:val="none"/>
              </w:rPr>
              <w:t xml:space="preserve">贰佰玖拾万柒仟陆佰元整</w:t>
            </w:r>
            <w:r>
              <w:rPr>
                <w:rFonts w:hint="eastAsia" w:eastAsia="方正楷体_GBK"/>
                <w:b/>
                <w:szCs w:val="21"/>
                <w:highlight w:val="none"/>
              </w:rPr>
            </w:r>
            <w:r/>
          </w:p>
        </w:tc>
        <w:tc>
          <w:tcPr>
            <w:tcW w:w="876" w:type="dxa"/>
            <w:vAlign w:val="center"/>
            <w:textDirection w:val="lrTb"/>
            <w:noWrap w:val="false"/>
          </w:tcPr>
          <w:p>
            <w:pPr>
              <w:pStyle w:val="893"/>
              <w:jc w:val="left"/>
              <w:keepNext/>
              <w:rPr>
                <w:rFonts w:hint="eastAsia" w:eastAsia="方正楷体_GBK"/>
                <w:b/>
                <w:szCs w:val="21"/>
                <w:highlight w:val="none"/>
              </w:rPr>
              <w:framePr w:vAnchor="margin" w:hAnchor="page" w:xAlign="center" w:y="1"/>
            </w:pPr>
            <w:r>
              <w:rPr>
                <w:rFonts w:hint="eastAsia" w:eastAsia="方正楷体_GBK"/>
                <w:b/>
                <w:szCs w:val="21"/>
                <w:highlight w:val="none"/>
              </w:rPr>
            </w:r>
            <w:r/>
          </w:p>
        </w:tc>
        <w:tc>
          <w:tcPr>
            <w:gridSpan w:val="2"/>
            <w:tcW w:w="2212" w:type="dxa"/>
            <w:vAlign w:val="center"/>
            <w:textDirection w:val="lrTb"/>
            <w:noWrap w:val="false"/>
          </w:tcPr>
          <w:p>
            <w:pPr>
              <w:pStyle w:val="893"/>
              <w:jc w:val="center"/>
              <w:keepNext/>
              <w:rPr>
                <w:rFonts w:hint="eastAsia" w:eastAsia="方正楷体_GBK"/>
                <w:b/>
                <w:szCs w:val="21"/>
                <w:highlight w:val="none"/>
              </w:rPr>
              <w:framePr w:vAnchor="margin" w:hAnchor="page" w:xAlign="center" w:y="1"/>
            </w:pPr>
            <w:r>
              <w:rPr>
                <w:rFonts w:hint="eastAsia" w:eastAsia="方正楷体_GBK"/>
                <w:b/>
                <w:szCs w:val="21"/>
                <w:highlight w:val="none"/>
              </w:rPr>
              <w:t xml:space="preserve">￥：2907600元</w:t>
            </w:r>
            <w:r>
              <w:rPr>
                <w:rFonts w:hint="eastAsia" w:eastAsia="方正楷体_GBK"/>
                <w:b/>
                <w:szCs w:val="21"/>
                <w:highlight w:val="none"/>
              </w:rPr>
            </w:r>
            <w:r/>
          </w:p>
        </w:tc>
      </w:tr>
    </w:tbl>
    <w:p>
      <w:pPr>
        <w:pStyle w:val="984"/>
        <w:rPr>
          <w:highlight w:val="none"/>
          <w:lang w:val="en-US" w:eastAsia="zh-CN"/>
        </w:rPr>
      </w:pPr>
      <w:r>
        <w:rPr>
          <w:highlight w:val="none"/>
          <w:lang w:val="en-US" w:eastAsia="zh-CN"/>
        </w:rPr>
      </w:r>
      <w:r/>
    </w:p>
    <w:p>
      <w:pPr>
        <w:pStyle w:val="893"/>
        <w:rPr>
          <w:highlight w:val="none"/>
          <w:lang w:val="en-US" w:eastAsia="zh-CN"/>
        </w:rPr>
      </w:pPr>
      <w:r>
        <w:rPr>
          <w:highlight w:val="none"/>
          <w:lang w:val="en-US" w:eastAsia="zh-CN"/>
        </w:rPr>
      </w:r>
      <w:r/>
    </w:p>
    <w:p>
      <w:pPr>
        <w:pStyle w:val="893"/>
        <w:ind w:firstLine="562"/>
        <w:spacing w:line="590" w:lineRule="exact"/>
        <w:rPr>
          <w:rFonts w:eastAsia="方正仿宋_GBK"/>
          <w:b/>
          <w:bCs/>
          <w:sz w:val="28"/>
          <w:szCs w:val="28"/>
          <w:highlight w:val="none"/>
        </w:rPr>
      </w:pPr>
      <w:r>
        <w:rPr>
          <w:rFonts w:hint="eastAsia" w:eastAsia="方正仿宋_GBK"/>
          <w:b/>
          <w:bCs/>
          <w:sz w:val="28"/>
          <w:szCs w:val="28"/>
          <w:highlight w:val="none"/>
        </w:rPr>
        <w:t xml:space="preserve">二、样品要求：</w:t>
      </w:r>
      <w:r>
        <w:rPr>
          <w:rFonts w:eastAsia="方正仿宋_GBK"/>
          <w:b/>
          <w:bCs/>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1、本次招标需提供与投标型号相同的便携式泡沫灭火装置样品实物；样品及技术参数要求详见招标文件</w:t>
      </w:r>
      <w:r>
        <w:rPr>
          <w:rFonts w:hint="eastAsia" w:eastAsia="方正仿宋_GBK"/>
          <w:sz w:val="28"/>
          <w:szCs w:val="28"/>
          <w:highlight w:val="none"/>
          <w:lang w:eastAsia="zh-CN"/>
        </w:rPr>
        <w:t xml:space="preserve">第五章项目</w:t>
      </w:r>
      <w:r>
        <w:rPr>
          <w:rFonts w:hint="eastAsia" w:eastAsia="方正仿宋_GBK"/>
          <w:sz w:val="28"/>
          <w:szCs w:val="28"/>
          <w:highlight w:val="none"/>
        </w:rPr>
        <w:t xml:space="preserve">采购需求。样品递交按</w:t>
      </w:r>
      <w:r>
        <w:rPr>
          <w:rFonts w:hint="eastAsia" w:eastAsia="方正仿宋_GBK"/>
          <w:sz w:val="28"/>
          <w:szCs w:val="28"/>
          <w:highlight w:val="none"/>
          <w:lang w:eastAsia="zh-CN"/>
        </w:rPr>
        <w:t xml:space="preserve">递交</w:t>
      </w:r>
      <w:r>
        <w:rPr>
          <w:rFonts w:hint="eastAsia" w:eastAsia="方正仿宋_GBK"/>
          <w:sz w:val="28"/>
          <w:szCs w:val="28"/>
          <w:highlight w:val="none"/>
        </w:rPr>
        <w:t xml:space="preserve">现场</w:t>
      </w:r>
      <w:r>
        <w:rPr>
          <w:rFonts w:hint="eastAsia" w:eastAsia="方正仿宋_GBK"/>
          <w:sz w:val="28"/>
          <w:szCs w:val="28"/>
          <w:highlight w:val="none"/>
          <w:lang w:eastAsia="zh-CN"/>
        </w:rPr>
        <w:t xml:space="preserve">的</w:t>
      </w:r>
      <w:r>
        <w:rPr>
          <w:rFonts w:hint="eastAsia" w:eastAsia="方正仿宋_GBK"/>
          <w:sz w:val="28"/>
          <w:szCs w:val="28"/>
          <w:highlight w:val="none"/>
        </w:rPr>
        <w:t xml:space="preserve">要求放置指定地点。</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2、</w:t>
      </w:r>
      <w:r>
        <w:rPr>
          <w:rFonts w:hint="eastAsia" w:eastAsia="方正仿宋_GBK"/>
          <w:sz w:val="28"/>
          <w:szCs w:val="28"/>
          <w:highlight w:val="none"/>
          <w:lang w:eastAsia="zh-CN"/>
        </w:rPr>
        <w:t xml:space="preserve">需提供样品</w:t>
      </w:r>
      <w:r>
        <w:rPr>
          <w:rFonts w:hint="eastAsia" w:eastAsia="方正仿宋_GBK"/>
          <w:sz w:val="28"/>
          <w:szCs w:val="28"/>
          <w:highlight w:val="none"/>
        </w:rPr>
        <w:t xml:space="preserve">实物电子照片。照片格式为.JPG，图片分辨率不得小于500万有效像素；样品实物照片至少包含样品的正面、背面、侧面45度角，清晰照片各三张，文件命名注明：器材（装备）名称、型号（实物照片U盘与样品一并提交）。</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3、提供样品配置清单或规格型号说明书，按包分别单独密封递交。</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4、样品的材质、式样及规格、型号须满足采购文件的实质性要求，并为检测合格的产品。评审结束确定中标人，退样品时，对已经中标的样品，核对该中标产品的电子图片、“样品配置清单或规格型号说明书”做为封样标准文件。实物样品按采购人通知的规定时间和地点由投标人自行取回，逾期未取后果自负。</w:t>
      </w:r>
      <w:r>
        <w:rPr>
          <w:rFonts w:hint="eastAsia" w:eastAsia="方正仿宋_GBK"/>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注：所提供的样品不得出现投标单位名称及相关企事业单位名称、相关人员姓名等和其他可识别投标人身份的字符、徽标、企业logo、人员名称等。</w:t>
      </w:r>
      <w:r>
        <w:rPr>
          <w:rFonts w:hint="eastAsia" w:eastAsia="方正仿宋_GBK"/>
          <w:b/>
          <w:bCs/>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样品接收截至时间：2026年</w:t>
      </w:r>
      <w:r>
        <w:rPr>
          <w:rFonts w:hint="eastAsia" w:eastAsia="方正仿宋_GBK"/>
          <w:b/>
          <w:bCs/>
          <w:sz w:val="28"/>
          <w:szCs w:val="28"/>
          <w:highlight w:val="none"/>
          <w:lang w:val="en-US" w:eastAsia="zh-CN"/>
        </w:rPr>
        <w:t xml:space="preserve">9</w:t>
      </w:r>
      <w:r>
        <w:rPr>
          <w:rFonts w:hint="eastAsia" w:eastAsia="方正仿宋_GBK"/>
          <w:b/>
          <w:bCs/>
          <w:sz w:val="28"/>
          <w:szCs w:val="28"/>
          <w:highlight w:val="none"/>
        </w:rPr>
        <w:t xml:space="preserve">月15日17点整。</w:t>
      </w:r>
      <w:r>
        <w:rPr>
          <w:rFonts w:hint="eastAsia" w:eastAsia="方正仿宋_GBK"/>
          <w:b/>
          <w:bCs/>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地址：淮安经济技术开发区威海路8号消防救援支队</w:t>
      </w:r>
      <w:r>
        <w:rPr>
          <w:rFonts w:hint="eastAsia" w:eastAsia="方正仿宋_GBK"/>
          <w:b/>
          <w:bCs/>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联系人：郝一鲲</w:t>
      </w:r>
      <w:r>
        <w:rPr>
          <w:rFonts w:hint="eastAsia" w:eastAsia="方正仿宋_GBK"/>
          <w:b/>
          <w:bCs/>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联系方式：13901409020</w:t>
      </w:r>
      <w:r>
        <w:rPr>
          <w:rFonts w:hint="eastAsia" w:eastAsia="方正仿宋_GBK"/>
          <w:b/>
          <w:bCs/>
          <w:sz w:val="28"/>
          <w:szCs w:val="28"/>
          <w:highlight w:val="none"/>
        </w:rPr>
      </w:r>
      <w:r/>
    </w:p>
    <w:p>
      <w:pPr>
        <w:pStyle w:val="893"/>
        <w:ind w:firstLine="562"/>
        <w:spacing w:line="590" w:lineRule="exact"/>
        <w:rPr>
          <w:rFonts w:eastAsia="方正仿宋_GBK"/>
          <w:b/>
          <w:bCs/>
          <w:sz w:val="28"/>
          <w:szCs w:val="28"/>
          <w:highlight w:val="none"/>
        </w:rPr>
      </w:pPr>
      <w:r>
        <w:rPr>
          <w:rFonts w:hint="eastAsia" w:eastAsia="方正仿宋_GBK"/>
          <w:b/>
          <w:bCs/>
          <w:sz w:val="28"/>
          <w:szCs w:val="28"/>
          <w:highlight w:val="none"/>
        </w:rPr>
        <w:t xml:space="preserve">三、</w:t>
      </w:r>
      <w:r>
        <w:rPr>
          <w:rFonts w:hint="eastAsia" w:eastAsia="方正仿宋_GBK"/>
          <w:b/>
          <w:bCs/>
          <w:sz w:val="28"/>
          <w:szCs w:val="28"/>
          <w:highlight w:val="none"/>
          <w:lang w:eastAsia="zh-CN"/>
        </w:rPr>
        <w:t xml:space="preserve">其他</w:t>
      </w:r>
      <w:r>
        <w:rPr>
          <w:rFonts w:hint="eastAsia" w:eastAsia="方正仿宋_GBK"/>
          <w:b/>
          <w:bCs/>
          <w:sz w:val="28"/>
          <w:szCs w:val="28"/>
          <w:highlight w:val="none"/>
        </w:rPr>
        <w:t xml:space="preserve">要求</w:t>
      </w:r>
      <w:r>
        <w:rPr>
          <w:rFonts w:eastAsia="方正仿宋_GBK"/>
          <w:b/>
          <w:bCs/>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1、乙方所供装备保证是全新的、未使用过的，完全符合合同规定的质量、规格型号和性能要求。乙方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★2、消防器材应携带永久性标签或标识，标签或标识内容包含厂家名称、规格型号、执行标准、生产日期等装备主要参数。</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★3、化学氧自救呼吸器供货日期不超过生产日期的三个月。</w:t>
      </w:r>
      <w:r>
        <w:rPr>
          <w:rFonts w:hint="eastAsia" w:eastAsia="方正仿宋_GBK"/>
          <w:sz w:val="28"/>
          <w:szCs w:val="28"/>
          <w:highlight w:val="none"/>
        </w:rPr>
      </w:r>
      <w:r/>
    </w:p>
    <w:p>
      <w:pPr>
        <w:pStyle w:val="893"/>
        <w:ind w:firstLine="562"/>
        <w:spacing w:line="590" w:lineRule="exact"/>
        <w:rPr>
          <w:rFonts w:hint="eastAsia" w:eastAsia="方正仿宋_GBK"/>
          <w:b/>
          <w:bCs/>
          <w:sz w:val="28"/>
          <w:szCs w:val="28"/>
          <w:highlight w:val="none"/>
        </w:rPr>
      </w:pPr>
      <w:r>
        <w:rPr>
          <w:rFonts w:hint="eastAsia" w:eastAsia="方正仿宋_GBK"/>
          <w:b/>
          <w:bCs/>
          <w:sz w:val="28"/>
          <w:szCs w:val="28"/>
          <w:highlight w:val="none"/>
        </w:rPr>
        <w:t xml:space="preserve">四、售后服务</w:t>
      </w:r>
      <w:r>
        <w:rPr>
          <w:rFonts w:hint="eastAsia" w:eastAsia="方正仿宋_GBK"/>
          <w:b/>
          <w:bCs/>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4.1 乙方应按采购文件规定的货物性能、技术要求、质量标准向甲方提供未经使用的全新产品。</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★4.2乙方提供的货物免费维修服务期限具体以投标文件为准且不得低于三年</w:t>
      </w:r>
      <w:r>
        <w:rPr>
          <w:rFonts w:hint="eastAsia" w:eastAsia="方正仿宋_GBK"/>
          <w:b/>
          <w:bCs/>
          <w:sz w:val="28"/>
          <w:szCs w:val="28"/>
          <w:highlight w:val="none"/>
        </w:rPr>
        <w:t xml:space="preserve">（提供承诺函，未提供的作无效投标处理，格式自拟）</w:t>
      </w:r>
      <w:r>
        <w:rPr>
          <w:rFonts w:hint="eastAsia" w:eastAsia="方正仿宋_GBK"/>
          <w:sz w:val="28"/>
          <w:szCs w:val="28"/>
          <w:highlight w:val="none"/>
        </w:rPr>
        <w:t xml:space="preserve">，乙方提供的货物在免费维修服务期限内因货物本身的质量问题发生故障，乙方应负责免费更换。对超过免费维修服务期限发生故障的货物，乙方应当负责维修并按照成本价收取零配件费用。对达不到技术要求者或未通过总队验收标准的，根据实际情况，经双方协商，可按以下办法处理：</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（1）更换：由乙方承担所发生的全部费用。</w:t>
      </w:r>
      <w:r>
        <w:rPr>
          <w:rFonts w:hint="eastAsia" w:eastAsia="方正仿宋_GBK"/>
          <w:sz w:val="28"/>
          <w:szCs w:val="28"/>
          <w:highlight w:val="none"/>
        </w:rPr>
      </w:r>
      <w:r/>
    </w:p>
    <w:p>
      <w:pPr>
        <w:pStyle w:val="893"/>
        <w:ind w:firstLine="560"/>
        <w:spacing w:line="590" w:lineRule="exact"/>
        <w:rPr>
          <w:rFonts w:hint="eastAsia" w:eastAsia="方正仿宋_GBK"/>
          <w:sz w:val="28"/>
          <w:szCs w:val="28"/>
          <w:highlight w:val="none"/>
        </w:rPr>
      </w:pPr>
      <w:r>
        <w:rPr>
          <w:rFonts w:hint="eastAsia" w:eastAsia="方正仿宋_GBK"/>
          <w:sz w:val="28"/>
          <w:szCs w:val="28"/>
          <w:highlight w:val="none"/>
        </w:rPr>
        <w:t xml:space="preserve">（2）退货处理：乙方应退还甲方支付的合同款，同时应承担该货物的直接费用（</w:t>
      </w:r>
      <w:r>
        <w:rPr>
          <w:rFonts w:hint="eastAsia" w:eastAsia="方正仿宋_GBK"/>
          <w:sz w:val="28"/>
          <w:szCs w:val="28"/>
          <w:highlight w:val="none"/>
        </w:rPr>
        <w:t xml:space="preserve">包括但不限于</w:t>
      </w:r>
      <w:r>
        <w:rPr>
          <w:rFonts w:hint="eastAsia" w:eastAsia="方正仿宋_GBK"/>
          <w:sz w:val="28"/>
          <w:szCs w:val="28"/>
          <w:highlight w:val="none"/>
        </w:rPr>
        <w:t xml:space="preserve">运输、保险、检验）。</w:t>
      </w:r>
      <w:r>
        <w:rPr>
          <w:rFonts w:hint="eastAsia" w:eastAsia="方正仿宋_GBK"/>
          <w:sz w:val="28"/>
          <w:szCs w:val="28"/>
          <w:highlight w:val="none"/>
        </w:rPr>
      </w:r>
      <w:r/>
    </w:p>
    <w:p>
      <w:pPr>
        <w:pStyle w:val="893"/>
        <w:ind w:firstLine="562"/>
        <w:spacing w:line="590" w:lineRule="exact"/>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lang w:eastAsia="zh-CN"/>
        </w:rPr>
        <w:t xml:space="preserve">五、</w:t>
      </w:r>
      <w:r>
        <w:rPr>
          <w:rFonts w:hint="eastAsia" w:ascii="Times New Roman" w:hAnsi="Times New Roman" w:eastAsia="方正仿宋_GBK" w:cs="Times New Roman"/>
          <w:b/>
          <w:bCs/>
          <w:sz w:val="28"/>
          <w:szCs w:val="28"/>
          <w:highlight w:val="none"/>
        </w:rPr>
        <w:t xml:space="preserve">履约验收基本要求</w:t>
      </w:r>
      <w:r>
        <w:rPr>
          <w:rFonts w:hint="eastAsia" w:ascii="Times New Roman" w:hAnsi="Times New Roman" w:eastAsia="方正仿宋_GBK" w:cs="Times New Roman"/>
          <w:b/>
          <w:bCs/>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2、乙方交货前应对产品作出全面检查和对验收文件进行整理，</w:t>
      </w:r>
      <w:r>
        <w:rPr>
          <w:rFonts w:hint="eastAsia" w:ascii="Times New Roman" w:hAnsi="Times New Roman" w:eastAsia="方正仿宋_GBK" w:cs="Times New Roman"/>
          <w:sz w:val="28"/>
          <w:szCs w:val="28"/>
          <w:highlight w:val="none"/>
        </w:rPr>
        <w:t xml:space="preserve">列出清单并提供所有货物参数的佐证材料（检测检验报告、白皮书、设备生产厂家证明原件、彩页、手册等上述任一材料即可）</w:t>
      </w:r>
      <w:r>
        <w:rPr>
          <w:rFonts w:hint="eastAsia" w:ascii="Times New Roman" w:hAnsi="Times New Roman" w:eastAsia="方正仿宋_GBK" w:cs="Times New Roman"/>
          <w:sz w:val="28"/>
          <w:szCs w:val="28"/>
          <w:highlight w:val="none"/>
        </w:rPr>
        <w:t xml:space="preserve">，作为甲方收货验收和使用的技术条件依据，检验的结果应随货物交甲方。</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3、乙方提供的货物及服务，必须符合合同附件要求的技术规格标准及中华人民共和国国家标准或行业标准和环保要求，这些标准必须是相关国家或行业机构发布的最新版本的标准。</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4、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5、验收时乙方必须在现场，验收完毕后作出验收结果报告。</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6、乙方供货的产品经甲方2次验收不合格，甲方可以单方面解除合同，乙方在甲方解约后3个工作日内退还</w:t>
      </w:r>
      <w:r>
        <w:rPr>
          <w:rFonts w:hint="eastAsia" w:ascii="Times New Roman" w:hAnsi="Times New Roman" w:eastAsia="方正仿宋_GBK" w:cs="Times New Roman"/>
          <w:sz w:val="28"/>
          <w:szCs w:val="28"/>
          <w:highlight w:val="none"/>
        </w:rPr>
        <w:t xml:space="preserve">所有已付款</w:t>
      </w:r>
      <w:r>
        <w:rPr>
          <w:rFonts w:hint="eastAsia" w:ascii="Times New Roman" w:hAnsi="Times New Roman" w:eastAsia="方正仿宋_GBK" w:cs="Times New Roman"/>
          <w:sz w:val="28"/>
          <w:szCs w:val="28"/>
          <w:highlight w:val="none"/>
        </w:rPr>
        <w:t xml:space="preserve">，并承担相应的违约责任。</w:t>
      </w:r>
      <w:r>
        <w:rPr>
          <w:rFonts w:hint="eastAsia" w:ascii="Times New Roman" w:hAnsi="Times New Roman" w:eastAsia="方正仿宋_GBK" w:cs="Times New Roman"/>
          <w:sz w:val="28"/>
          <w:szCs w:val="28"/>
          <w:highlight w:val="none"/>
        </w:rPr>
      </w:r>
      <w:r/>
    </w:p>
    <w:p>
      <w:pPr>
        <w:pStyle w:val="893"/>
        <w:ind w:firstLine="562"/>
        <w:spacing w:line="590" w:lineRule="exact"/>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rPr>
        <w:t xml:space="preserve">六、商务部分</w:t>
      </w:r>
      <w:r>
        <w:rPr>
          <w:rFonts w:hint="eastAsia" w:ascii="Times New Roman" w:hAnsi="Times New Roman" w:eastAsia="方正仿宋_GBK" w:cs="Times New Roman"/>
          <w:b/>
          <w:bCs/>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（一）供货时间: 签订合同后60日内将货物送达指定地点，其中便携式泡沫灭火装置30日内完成不低于采购数量50%的供货。</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（二）供货地点: 按采购人要求</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（三）付款方式:</w:t>
      </w:r>
      <w:r>
        <w:rPr>
          <w:rFonts w:hint="eastAsia" w:ascii="Times New Roman" w:hAnsi="Times New Roman" w:eastAsia="方正仿宋_GBK" w:cs="Times New Roman"/>
          <w:sz w:val="28"/>
          <w:szCs w:val="28"/>
          <w:highlight w:val="none"/>
        </w:rPr>
      </w:r>
      <w:r/>
    </w:p>
    <w:p>
      <w:pPr>
        <w:pStyle w:val="893"/>
        <w:ind w:firstLine="560"/>
        <w:spacing w:line="59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在收到履约保证金（函）后，30天内向乙方支付合同总金额30%的货款。乙方按照合同约定交货，并经甲方对合同中所有装备到货验收合格（甲方签署到货验收合格报告）并经结算审计后，凭乙方等额有效发票及甲方签署验收合格报告，甲方在30天内向乙方支付至审定总金额80%的货款，完成江苏省消防救援总队快速处置队建设工作验收后，</w:t>
      </w:r>
      <w:r>
        <w:rPr>
          <w:rFonts w:hint="eastAsia" w:ascii="Times New Roman" w:hAnsi="Times New Roman" w:eastAsia="方正仿宋_GBK" w:cs="Times New Roman"/>
          <w:sz w:val="28"/>
          <w:szCs w:val="28"/>
          <w:highlight w:val="none"/>
        </w:rPr>
        <w:t xml:space="preserve">付清审定总金额剩余货款。</w:t>
      </w:r>
      <w:r>
        <w:rPr>
          <w:rFonts w:hint="eastAsia" w:ascii="Times New Roman" w:hAnsi="Times New Roman" w:eastAsia="方正仿宋_GBK" w:cs="Times New Roman"/>
          <w:sz w:val="28"/>
          <w:szCs w:val="28"/>
          <w:highlight w:val="none"/>
        </w:rPr>
      </w:r>
      <w:r/>
    </w:p>
    <w:p>
      <w:pPr>
        <w:pStyle w:val="893"/>
        <w:ind w:firstLine="560"/>
        <w:jc w:val="center"/>
        <w:spacing w:line="590" w:lineRule="exact"/>
        <w:rPr>
          <w:rFonts w:hint="eastAsia" w:ascii="黑体" w:hAnsi="黑体" w:eastAsia="黑体"/>
          <w:b/>
          <w:bCs/>
          <w:sz w:val="36"/>
          <w:highlight w:val="none"/>
        </w:rPr>
      </w:pPr>
      <w:r>
        <w:rPr>
          <w:rFonts w:hint="eastAsia" w:ascii="Times New Roman" w:hAnsi="Times New Roman" w:eastAsia="方正仿宋_GBK" w:cs="Times New Roman"/>
          <w:sz w:val="28"/>
          <w:szCs w:val="28"/>
          <w:highlight w:val="none"/>
        </w:rPr>
        <w:br w:type="page" w:clear="all"/>
      </w: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914"/>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93"/>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rPr>
      </w:r>
      <w:r/>
    </w:p>
    <w:p>
      <w:pPr>
        <w:pStyle w:val="914"/>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4"/>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4"/>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4"/>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ascii="黑体" w:hAnsi="黑体" w:eastAsia="黑体"/>
          <w:b/>
          <w:sz w:val="36"/>
          <w:szCs w:val="24"/>
          <w:highlight w:val="none"/>
        </w:rPr>
      </w:r>
      <w:r/>
    </w:p>
    <w:p>
      <w:pPr>
        <w:pStyle w:val="893"/>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3"/>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3"/>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3"/>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rPr>
          <w:rFonts w:hint="eastAsia" w:ascii="黑体" w:hAnsi="黑体" w:eastAsia="黑体"/>
          <w:b/>
          <w:bCs/>
          <w:sz w:val="36"/>
          <w:highlight w:val="none"/>
          <w:lang w:val="en-US" w:eastAsia="zh-CN"/>
        </w:rPr>
      </w:r>
      <w:r/>
    </w:p>
    <w:p>
      <w:pPr>
        <w:pStyle w:val="893"/>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lang w:val="en-US" w:eastAsia="zh-CN"/>
        </w:rPr>
      </w:r>
      <w:r/>
    </w:p>
    <w:p>
      <w:pPr>
        <w:pStyle w:val="893"/>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3"/>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3"/>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rPr>
          <w:rFonts w:hint="eastAsia" w:ascii="黑体" w:hAnsi="黑体" w:eastAsia="黑体"/>
          <w:b/>
          <w:bCs/>
          <w:sz w:val="36"/>
          <w:highlight w:val="none"/>
          <w:lang w:val="zh-CN" w:eastAsia="zh-CN"/>
        </w:rPr>
      </w:r>
      <w:r/>
    </w:p>
    <w:p>
      <w:pPr>
        <w:pStyle w:val="914"/>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914"/>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965"/>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893"/>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93"/>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w:t>
      </w:r>
      <w:r>
        <w:rPr>
          <w:rFonts w:hint="eastAsia" w:ascii="仿宋" w:hAnsi="仿宋" w:eastAsia="仿宋"/>
          <w:sz w:val="28"/>
          <w:szCs w:val="28"/>
          <w:highlight w:val="none"/>
        </w:rPr>
        <w:t xml:space="preserve">15条的</w:t>
      </w:r>
      <w:r>
        <w:rPr>
          <w:rFonts w:hint="eastAsia" w:ascii="仿宋" w:hAnsi="仿宋" w:eastAsia="仿宋"/>
          <w:sz w:val="28"/>
          <w:szCs w:val="28"/>
          <w:highlight w:val="none"/>
        </w:rPr>
        <w:t xml:space="preserve">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965"/>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965"/>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65"/>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965"/>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893"/>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914"/>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bCs/>
          <w:sz w:val="32"/>
          <w:szCs w:val="32"/>
          <w:highlight w:val="none"/>
        </w:rPr>
      </w:r>
      <w:r/>
    </w:p>
    <w:p>
      <w:pPr>
        <w:pStyle w:val="893"/>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893"/>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893"/>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893"/>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893"/>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893"/>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893"/>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893"/>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rPr>
                <w:rFonts w:hint="eastAsia" w:ascii="仿宋" w:hAnsi="仿宋" w:eastAsia="仿宋"/>
                <w:sz w:val="28"/>
                <w:szCs w:val="28"/>
                <w:highlight w:val="none"/>
              </w:rPr>
            </w:r>
            <w:r/>
          </w:p>
        </w:tc>
        <w:tc>
          <w:tcPr>
            <w:tcW w:w="6759" w:type="dxa"/>
            <w:vAlign w:val="center"/>
            <w:textDirection w:val="lrTb"/>
            <w:noWrap w:val="false"/>
          </w:tcPr>
          <w:p>
            <w:pPr>
              <w:pStyle w:val="893"/>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tc>
      </w:tr>
    </w:tbl>
    <w:p>
      <w:pPr>
        <w:pStyle w:val="914"/>
        <w:keepLines w:val="0"/>
        <w:keepNext w:val="0"/>
        <w:pageBreakBefore w:val="0"/>
        <w:rPr>
          <w:rFonts w:hint="eastAsia" w:hAnsi="宋体"/>
          <w:b/>
          <w:sz w:val="32"/>
          <w:szCs w:val="32"/>
          <w:highlight w:val="none"/>
        </w:rPr>
        <w:outlineLvl w:val="9"/>
      </w:pPr>
      <w:r/>
      <w:bookmarkStart w:id="36" w:name="_Toc157775468"/>
      <w:r>
        <w:rPr>
          <w:rFonts w:hint="eastAsia" w:hAnsi="宋体"/>
          <w:b/>
          <w:sz w:val="32"/>
          <w:szCs w:val="32"/>
          <w:highlight w:val="none"/>
        </w:rPr>
      </w:r>
      <w:r/>
    </w:p>
    <w:p>
      <w:pPr>
        <w:pStyle w:val="914"/>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914"/>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序号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产品名称</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品牌</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规格型号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制造商名称</w:t>
            </w:r>
            <w:r>
              <w:rPr>
                <w:rFonts w:hint="eastAsia" w:ascii="仿宋" w:hAnsi="仿宋" w:eastAsia="仿宋"/>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left"/>
              <w:keepLines w:val="0"/>
              <w:keepNext w:val="0"/>
              <w:pageBreakBefore w:val="0"/>
              <w:spacing w:line="340" w:lineRule="exact"/>
              <w:tabs>
                <w:tab w:val="left" w:pos="319" w:leader="none"/>
              </w:tabs>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产地</w:t>
            </w:r>
            <w:r>
              <w:rPr>
                <w:rFonts w:hint="eastAsia" w:ascii="仿宋" w:hAnsi="仿宋" w:eastAsia="仿宋"/>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数量</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1</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2</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3</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4</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4"/>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4"/>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投标总报价（人民币：元） </w:t>
            </w:r>
            <w:r>
              <w:rPr>
                <w:rFonts w:ascii="仿宋" w:hAnsi="仿宋" w:eastAsia="仿宋"/>
                <w:sz w:val="24"/>
                <w:szCs w:val="24"/>
                <w:highlight w:val="none"/>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4"/>
              <w:jc w:val="left"/>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ascii="仿宋" w:hAnsi="仿宋" w:eastAsia="仿宋"/>
                <w:sz w:val="24"/>
                <w:szCs w:val="24"/>
                <w:highlight w:val="none"/>
              </w:rPr>
            </w:r>
            <w:r/>
          </w:p>
        </w:tc>
      </w:tr>
    </w:tbl>
    <w:p>
      <w:pPr>
        <w:pStyle w:val="914"/>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914"/>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highlight w:val="none"/>
        </w:rPr>
      </w:r>
      <w:r/>
    </w:p>
    <w:p>
      <w:pPr>
        <w:pStyle w:val="914"/>
        <w:numPr>
          <w:ilvl w:val="0"/>
          <w:numId w:val="6"/>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rPr>
          <w:rFonts w:ascii="仿宋" w:hAnsi="仿宋" w:eastAsia="仿宋"/>
          <w:sz w:val="28"/>
          <w:szCs w:val="24"/>
          <w:highlight w:val="none"/>
        </w:rPr>
      </w:r>
      <w:r/>
    </w:p>
    <w:p>
      <w:pPr>
        <w:pStyle w:val="914"/>
        <w:numPr>
          <w:ilvl w:val="0"/>
          <w:numId w:val="6"/>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highlight w:val="none"/>
        </w:rPr>
      </w:r>
      <w:r/>
    </w:p>
    <w:p>
      <w:pPr>
        <w:pStyle w:val="914"/>
        <w:numPr>
          <w:ilvl w:val="0"/>
          <w:numId w:val="6"/>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rPr>
          <w:rFonts w:ascii="仿宋" w:hAnsi="仿宋" w:eastAsia="仿宋"/>
          <w:sz w:val="28"/>
          <w:szCs w:val="24"/>
          <w:highlight w:val="none"/>
        </w:rPr>
      </w:r>
      <w:r/>
    </w:p>
    <w:p>
      <w:pPr>
        <w:pStyle w:val="914"/>
        <w:jc w:val="center"/>
        <w:keepLines w:val="0"/>
        <w:keepNext w:val="0"/>
        <w:pageBreakBefore w:val="0"/>
        <w:spacing w:line="440" w:lineRule="exact"/>
        <w:rPr>
          <w:rFonts w:hint="eastAsia" w:ascii="仿宋" w:hAnsi="仿宋" w:eastAsia="仿宋"/>
          <w:b/>
          <w:sz w:val="32"/>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rPr>
          <w:rFonts w:hint="eastAsia" w:ascii="仿宋" w:hAnsi="仿宋" w:eastAsia="仿宋"/>
          <w:b/>
          <w:sz w:val="32"/>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rPr>
                <w:rFonts w:hint="eastAsia" w:ascii="仿宋" w:hAnsi="仿宋" w:eastAsia="仿宋" w:cs="Arial"/>
                <w:sz w:val="24"/>
                <w:highlight w:val="none"/>
              </w:rPr>
            </w:r>
            <w:r/>
          </w:p>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3"/>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3"/>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pStyle w:val="893"/>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3"/>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highlight w:val="none"/>
        </w:rPr>
      </w:r>
      <w:r/>
    </w:p>
    <w:p>
      <w:pPr>
        <w:pStyle w:val="914"/>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bookmarkEnd w:id="36"/>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914"/>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3"/>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3"/>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893"/>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893"/>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893"/>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893"/>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（投标人根据第三章的要求提供相关材料）</w:t>
      </w:r>
      <w:r>
        <w:rPr>
          <w:rFonts w:hint="eastAsia" w:ascii="宋体" w:hAnsi="宋体"/>
          <w:b/>
          <w:sz w:val="36"/>
          <w:highlight w:val="none"/>
        </w:rPr>
      </w:r>
      <w:r/>
    </w:p>
    <w:p>
      <w:pPr>
        <w:pStyle w:val="893"/>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893"/>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893"/>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pStyle w:val="893"/>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bookmarkEnd w:id="37"/>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893"/>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893"/>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893"/>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893"/>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893"/>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pStyle w:val="893"/>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pStyle w:val="893"/>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893"/>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65"/>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893"/>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
          <w:sz w:val="32"/>
          <w:highlight w:val="none"/>
        </w:rPr>
      </w:r>
      <w:r/>
    </w:p>
    <w:p>
      <w:pPr>
        <w:pStyle w:val="893"/>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893"/>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893"/>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893"/>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3"/>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893"/>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pStyle w:val="893"/>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b/>
          <w:sz w:val="32"/>
          <w:szCs w:val="32"/>
          <w:highlight w:val="none"/>
        </w:rPr>
      </w:r>
      <w:r/>
    </w:p>
    <w:p>
      <w:pPr>
        <w:pStyle w:val="893"/>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893"/>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93"/>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901"/>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93"/>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893"/>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893"/>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893"/>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893"/>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3"/>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3"/>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3"/>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b/>
          <w:sz w:val="32"/>
          <w:szCs w:val="32"/>
          <w:highlight w:val="none"/>
        </w:rPr>
      </w:r>
      <w:r/>
    </w:p>
    <w:p>
      <w:pPr>
        <w:pStyle w:val="893"/>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3"/>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901"/>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901"/>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893"/>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01"/>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90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bCs/>
          <w:sz w:val="32"/>
          <w:szCs w:val="32"/>
          <w:highlight w:val="none"/>
        </w:rPr>
        <w:br w:type="page" w:clear="all"/>
      </w: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893"/>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901"/>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901"/>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893"/>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3"/>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93"/>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901"/>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901"/>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901"/>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90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方正仿宋_GBK">
    <w:panose1 w:val="020B0503020202020204"/>
  </w:font>
  <w:font w:name="Wingdings 2">
    <w:panose1 w:val="05020102010507070707"/>
  </w:font>
  <w:font w:name="楷体">
    <w:panose1 w:val="02010609060101010101"/>
  </w:font>
  <w:font w:name="方正楷体_GBK">
    <w:panose1 w:val="020B0503020202020204"/>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33"/>
      </w:rPr>
      <w:framePr w:wrap="around" w:vAnchor="text" w:hAnchor="margin" w:xAlign="center" w:y="1"/>
    </w:pPr>
    <w:r>
      <w:fldChar w:fldCharType="begin"/>
    </w:r>
    <w:r>
      <w:rPr>
        <w:rStyle w:val="933"/>
      </w:rPr>
      <w:instrText xml:space="preserve">PAGE  </w:instrText>
    </w:r>
    <w:r>
      <w:fldChar w:fldCharType="end"/>
    </w:r>
    <w:r>
      <w:rPr>
        <w:rStyle w:val="933"/>
      </w:rPr>
    </w:r>
    <w:r/>
  </w:p>
  <w:p>
    <w:pPr>
      <w:pStyle w:val="91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76"/>
      <w:isLgl w:val="false"/>
      <w:suff w:val="nothing"/>
      <w:lvlText w:val="第%1章"/>
      <w:lvlJc w:val="left"/>
      <w:pPr>
        <w:pStyle w:val="893"/>
        <w:ind w:left="640" w:firstLine="0"/>
      </w:pPr>
      <w:rPr>
        <w:rFonts w:hint="eastAsia"/>
      </w:rPr>
    </w:lvl>
    <w:lvl w:ilvl="1">
      <w:start w:val="1"/>
      <w:numFmt w:val="decimal"/>
      <w:isLgl w:val="false"/>
      <w:suff w:val="nothing"/>
      <w:lvlText w:val=""/>
      <w:lvlJc w:val="left"/>
      <w:pPr>
        <w:pStyle w:val="893"/>
        <w:ind w:left="640" w:firstLine="0"/>
      </w:pPr>
      <w:rPr>
        <w:rFonts w:hint="eastAsia"/>
      </w:rPr>
    </w:lvl>
    <w:lvl w:ilvl="2">
      <w:start w:val="1"/>
      <w:numFmt w:val="decimal"/>
      <w:isLgl w:val="false"/>
      <w:suff w:val="nothing"/>
      <w:lvlText w:val=""/>
      <w:lvlJc w:val="left"/>
      <w:pPr>
        <w:pStyle w:val="893"/>
        <w:ind w:left="640" w:firstLine="0"/>
      </w:pPr>
      <w:rPr>
        <w:rFonts w:hint="eastAsia"/>
      </w:rPr>
    </w:lvl>
    <w:lvl w:ilvl="3">
      <w:start w:val="1"/>
      <w:numFmt w:val="decimal"/>
      <w:isLgl w:val="false"/>
      <w:suff w:val="nothing"/>
      <w:lvlText w:val=""/>
      <w:lvlJc w:val="left"/>
      <w:pPr>
        <w:pStyle w:val="893"/>
        <w:ind w:left="640" w:firstLine="0"/>
      </w:pPr>
      <w:rPr>
        <w:rFonts w:hint="eastAsia"/>
      </w:rPr>
    </w:lvl>
    <w:lvl w:ilvl="4">
      <w:start w:val="1"/>
      <w:numFmt w:val="decimal"/>
      <w:isLgl w:val="false"/>
      <w:suff w:val="nothing"/>
      <w:lvlText w:val=""/>
      <w:lvlJc w:val="left"/>
      <w:pPr>
        <w:pStyle w:val="893"/>
        <w:ind w:left="640" w:firstLine="0"/>
      </w:pPr>
      <w:rPr>
        <w:rFonts w:hint="eastAsia"/>
      </w:rPr>
    </w:lvl>
    <w:lvl w:ilvl="5">
      <w:start w:val="1"/>
      <w:numFmt w:val="decimal"/>
      <w:isLgl w:val="false"/>
      <w:suff w:val="nothing"/>
      <w:lvlText w:val=""/>
      <w:lvlJc w:val="left"/>
      <w:pPr>
        <w:pStyle w:val="893"/>
        <w:ind w:left="640" w:firstLine="0"/>
      </w:pPr>
      <w:rPr>
        <w:rFonts w:hint="eastAsia"/>
      </w:rPr>
    </w:lvl>
    <w:lvl w:ilvl="6">
      <w:start w:val="1"/>
      <w:numFmt w:val="decimal"/>
      <w:isLgl w:val="false"/>
      <w:suff w:val="nothing"/>
      <w:lvlText w:val=""/>
      <w:lvlJc w:val="left"/>
      <w:pPr>
        <w:pStyle w:val="893"/>
        <w:ind w:left="640" w:firstLine="0"/>
      </w:pPr>
      <w:rPr>
        <w:rFonts w:hint="eastAsia"/>
      </w:rPr>
    </w:lvl>
    <w:lvl w:ilvl="7">
      <w:start w:val="1"/>
      <w:numFmt w:val="decimal"/>
      <w:isLgl w:val="false"/>
      <w:suff w:val="nothing"/>
      <w:lvlText w:val=""/>
      <w:lvlJc w:val="left"/>
      <w:pPr>
        <w:pStyle w:val="893"/>
        <w:ind w:left="640" w:firstLine="0"/>
      </w:pPr>
      <w:rPr>
        <w:rFonts w:hint="eastAsia"/>
      </w:rPr>
    </w:lvl>
    <w:lvl w:ilvl="8">
      <w:start w:val="1"/>
      <w:numFmt w:val="decimal"/>
      <w:isLgl w:val="false"/>
      <w:suff w:val="nothing"/>
      <w:lvlText w:val=""/>
      <w:lvlJc w:val="left"/>
      <w:pPr>
        <w:pStyle w:val="893"/>
        <w:ind w:left="640" w:firstLine="0"/>
      </w:pPr>
      <w:rPr>
        <w:rFonts w:hint="eastAsia"/>
      </w:rPr>
    </w:lvl>
  </w:abstractNum>
  <w:abstractNum w:abstractNumId="4">
    <w:multiLevelType w:val="hybridMultilevel"/>
    <w:lvl w:ilvl="0">
      <w:start w:val="1"/>
      <w:numFmt w:val="chineseCountingThousand"/>
      <w:pStyle w:val="966"/>
      <w:isLgl w:val="false"/>
      <w:suff w:val="tab"/>
      <w:lvlText w:val="%1、"/>
      <w:lvlJc w:val="left"/>
      <w:pPr>
        <w:pStyle w:val="893"/>
        <w:ind w:left="420" w:hanging="420"/>
        <w:tabs>
          <w:tab w:val="num" w:pos="420" w:leader="none"/>
        </w:tabs>
      </w:pPr>
      <w:rPr>
        <w:rFonts w:hint="eastAsia"/>
        <w:b/>
        <w:i w:val="0"/>
      </w:rPr>
    </w:lvl>
    <w:lvl w:ilvl="1">
      <w:start w:val="1"/>
      <w:numFmt w:val="lowerLetter"/>
      <w:isLgl w:val="false"/>
      <w:suff w:val="tab"/>
      <w:lvlText w:val="%2)"/>
      <w:lvlJc w:val="left"/>
      <w:pPr>
        <w:pStyle w:val="893"/>
        <w:ind w:left="840" w:hanging="420"/>
        <w:tabs>
          <w:tab w:val="num" w:pos="840" w:leader="none"/>
        </w:tabs>
      </w:pPr>
    </w:lvl>
    <w:lvl w:ilvl="2">
      <w:start w:val="1"/>
      <w:numFmt w:val="lowerRoman"/>
      <w:isLgl w:val="false"/>
      <w:suff w:val="tab"/>
      <w:lvlText w:val="%3."/>
      <w:lvlJc w:val="right"/>
      <w:pPr>
        <w:pStyle w:val="893"/>
        <w:ind w:left="1260" w:hanging="420"/>
        <w:tabs>
          <w:tab w:val="num" w:pos="1260" w:leader="none"/>
        </w:tabs>
      </w:pPr>
    </w:lvl>
    <w:lvl w:ilvl="3">
      <w:start w:val="1"/>
      <w:numFmt w:val="decimal"/>
      <w:isLgl w:val="false"/>
      <w:suff w:val="tab"/>
      <w:lvlText w:val="%4."/>
      <w:lvlJc w:val="left"/>
      <w:pPr>
        <w:pStyle w:val="893"/>
        <w:ind w:left="1680" w:hanging="420"/>
        <w:tabs>
          <w:tab w:val="num" w:pos="1680" w:leader="none"/>
        </w:tabs>
      </w:pPr>
    </w:lvl>
    <w:lvl w:ilvl="4">
      <w:start w:val="1"/>
      <w:numFmt w:val="lowerLetter"/>
      <w:isLgl w:val="false"/>
      <w:suff w:val="tab"/>
      <w:lvlText w:val="%5)"/>
      <w:lvlJc w:val="left"/>
      <w:pPr>
        <w:pStyle w:val="893"/>
        <w:ind w:left="2100" w:hanging="420"/>
        <w:tabs>
          <w:tab w:val="num" w:pos="2100" w:leader="none"/>
        </w:tabs>
      </w:pPr>
    </w:lvl>
    <w:lvl w:ilvl="5">
      <w:start w:val="1"/>
      <w:numFmt w:val="lowerRoman"/>
      <w:isLgl w:val="false"/>
      <w:suff w:val="tab"/>
      <w:lvlText w:val="%6."/>
      <w:lvlJc w:val="right"/>
      <w:pPr>
        <w:pStyle w:val="893"/>
        <w:ind w:left="2520" w:hanging="420"/>
        <w:tabs>
          <w:tab w:val="num" w:pos="2520" w:leader="none"/>
        </w:tabs>
      </w:pPr>
    </w:lvl>
    <w:lvl w:ilvl="6">
      <w:start w:val="1"/>
      <w:numFmt w:val="decimal"/>
      <w:isLgl w:val="false"/>
      <w:suff w:val="tab"/>
      <w:lvlText w:val="%7."/>
      <w:lvlJc w:val="left"/>
      <w:pPr>
        <w:pStyle w:val="893"/>
        <w:ind w:left="2940" w:hanging="420"/>
        <w:tabs>
          <w:tab w:val="num" w:pos="2940" w:leader="none"/>
        </w:tabs>
      </w:pPr>
    </w:lvl>
    <w:lvl w:ilvl="7">
      <w:start w:val="1"/>
      <w:numFmt w:val="lowerLetter"/>
      <w:isLgl w:val="false"/>
      <w:suff w:val="tab"/>
      <w:lvlText w:val="%8)"/>
      <w:lvlJc w:val="left"/>
      <w:pPr>
        <w:pStyle w:val="893"/>
        <w:ind w:left="3360" w:hanging="420"/>
        <w:tabs>
          <w:tab w:val="num" w:pos="3360" w:leader="none"/>
        </w:tabs>
      </w:pPr>
    </w:lvl>
    <w:lvl w:ilvl="8">
      <w:start w:val="1"/>
      <w:numFmt w:val="lowerRoman"/>
      <w:isLgl w:val="false"/>
      <w:suff w:val="tab"/>
      <w:lvlText w:val="%9."/>
      <w:lvlJc w:val="right"/>
      <w:pPr>
        <w:pStyle w:val="893"/>
        <w:ind w:left="3780" w:hanging="420"/>
        <w:tabs>
          <w:tab w:val="num" w:pos="3780" w:leader="none"/>
        </w:tabs>
      </w:pPr>
    </w:lvl>
  </w:abstractNum>
  <w:abstractNum w:abstractNumId="5">
    <w:multiLevelType w:val="hybridMultilevel"/>
    <w:lvl w:ilvl="0">
      <w:start w:val="2"/>
      <w:numFmt w:val="chineseCountingThousand"/>
      <w:pStyle w:val="972"/>
      <w:isLgl w:val="false"/>
      <w:suff w:val="nothing"/>
      <w:lvlText w:val="第%1部分"/>
      <w:lvlJc w:val="center"/>
      <w:pPr>
        <w:pStyle w:val="893"/>
        <w:ind w:left="432" w:firstLine="288"/>
      </w:pPr>
      <w:rPr>
        <w:rFonts w:hint="eastAsia"/>
        <w:sz w:val="28"/>
        <w:szCs w:val="28"/>
        <w:lang w:val="en-US"/>
      </w:rPr>
    </w:lvl>
    <w:lvl w:ilvl="1">
      <w:start w:val="1"/>
      <w:numFmt w:val="chineseCountingThousand"/>
      <w:isLgl w:val="false"/>
      <w:suff w:val="nothing"/>
      <w:lvlText w:val="%2、"/>
      <w:lvlJc w:val="left"/>
      <w:pPr>
        <w:pStyle w:val="893"/>
        <w:ind w:left="360" w:firstLine="0"/>
      </w:pPr>
      <w:rPr>
        <w:rFonts w:hint="eastAsia"/>
        <w:lang w:val="en-US"/>
      </w:rPr>
    </w:lvl>
    <w:lvl w:ilvl="2">
      <w:start w:val="1"/>
      <w:numFmt w:val="chineseCountingThousand"/>
      <w:isLgl w:val="false"/>
      <w:suff w:val="nothing"/>
      <w:lvlText w:val="(%3)"/>
      <w:lvlJc w:val="left"/>
      <w:pPr>
        <w:pStyle w:val="893"/>
        <w:ind w:left="0" w:firstLine="0"/>
      </w:pPr>
      <w:rPr>
        <w:rFonts w:hint="eastAsia"/>
      </w:rPr>
    </w:lvl>
    <w:lvl w:ilvl="3">
      <w:start w:val="1"/>
      <w:numFmt w:val="decimal"/>
      <w:isLgl w:val="false"/>
      <w:suff w:val="nothing"/>
      <w:lvlText w:val="%4、"/>
      <w:lvlJc w:val="left"/>
      <w:pPr>
        <w:pStyle w:val="893"/>
        <w:ind w:left="0" w:firstLine="0"/>
      </w:pPr>
      <w:rPr>
        <w:rFonts w:hint="eastAsia"/>
      </w:rPr>
    </w:lvl>
    <w:lvl w:ilvl="4">
      <w:start w:val="1"/>
      <w:numFmt w:val="upperLetter"/>
      <w:isLgl w:val="false"/>
      <w:suff w:val="nothing"/>
      <w:lvlText w:val="%5、"/>
      <w:lvlJc w:val="left"/>
      <w:pPr>
        <w:pStyle w:val="893"/>
        <w:ind w:left="0" w:firstLine="0"/>
      </w:pPr>
      <w:rPr>
        <w:rFonts w:hint="eastAsia"/>
      </w:rPr>
    </w:lvl>
    <w:lvl w:ilvl="5">
      <w:start w:val="1"/>
      <w:numFmt w:val="decimal"/>
      <w:isLgl w:val="false"/>
      <w:suff w:val="nothing"/>
      <w:lvlText w:val=""/>
      <w:lvlJc w:val="left"/>
      <w:pPr>
        <w:pStyle w:val="893"/>
        <w:ind w:left="0" w:firstLine="0"/>
      </w:pPr>
      <w:rPr>
        <w:rFonts w:hint="eastAsia"/>
      </w:rPr>
    </w:lvl>
    <w:lvl w:ilvl="6">
      <w:start w:val="1"/>
      <w:numFmt w:val="decimal"/>
      <w:isLgl w:val="false"/>
      <w:suff w:val="nothing"/>
      <w:lvlText w:val=""/>
      <w:lvlJc w:val="left"/>
      <w:pPr>
        <w:pStyle w:val="893"/>
        <w:ind w:left="0" w:firstLine="0"/>
      </w:pPr>
      <w:rPr>
        <w:rFonts w:hint="eastAsia"/>
      </w:rPr>
    </w:lvl>
    <w:lvl w:ilvl="7">
      <w:start w:val="1"/>
      <w:numFmt w:val="decimal"/>
      <w:isLgl w:val="false"/>
      <w:suff w:val="nothing"/>
      <w:lvlText w:val=""/>
      <w:lvlJc w:val="left"/>
      <w:pPr>
        <w:pStyle w:val="893"/>
        <w:ind w:left="0" w:firstLine="0"/>
      </w:pPr>
      <w:rPr>
        <w:rFonts w:hint="eastAsia"/>
      </w:rPr>
    </w:lvl>
    <w:lvl w:ilvl="8">
      <w:start w:val="1"/>
      <w:numFmt w:val="decimal"/>
      <w:isLgl w:val="false"/>
      <w:suff w:val="nothing"/>
      <w:lvlText w:val=""/>
      <w:lvlJc w:val="left"/>
      <w:pPr>
        <w:pStyle w:val="893"/>
        <w:ind w:left="0" w:firstLine="0"/>
      </w:pPr>
      <w:rPr>
        <w:rFonts w:hint="eastAsia"/>
      </w:rPr>
    </w:lvl>
  </w:abstractNum>
  <w:num w:numId="1">
    <w:abstractNumId w:val="4"/>
  </w:num>
  <w:num w:numId="2">
    <w:abstractNumId w:val="5"/>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4"/>
      <w:lang w:val="en-US" w:eastAsia="zh-CN" w:bidi="ar-SA"/>
    </w:rPr>
  </w:style>
  <w:style w:type="paragraph" w:styleId="894">
    <w:name w:val="标题 1"/>
    <w:basedOn w:val="893"/>
    <w:next w:val="893"/>
    <w:link w:val="893"/>
    <w:uiPriority w:val="9"/>
    <w:qFormat/>
    <w:pPr>
      <w:keepLines/>
      <w:keepNext/>
      <w:spacing w:before="340" w:after="330" w:line="578" w:lineRule="auto"/>
      <w:outlineLvl w:val="0"/>
    </w:pPr>
    <w:rPr>
      <w:b/>
      <w:bCs/>
      <w:sz w:val="44"/>
      <w:szCs w:val="44"/>
    </w:rPr>
  </w:style>
  <w:style w:type="paragraph" w:styleId="895">
    <w:name w:val="标题 2"/>
    <w:basedOn w:val="893"/>
    <w:next w:val="901"/>
    <w:link w:val="893"/>
    <w:uiPriority w:val="9"/>
    <w:qFormat/>
    <w:pPr>
      <w:keepLines/>
      <w:keepNext/>
      <w:spacing w:before="260" w:after="260" w:line="413" w:lineRule="auto"/>
      <w:outlineLvl w:val="1"/>
    </w:pPr>
    <w:rPr>
      <w:rFonts w:ascii="Arial" w:hAnsi="Arial" w:eastAsia="黑体"/>
      <w:b/>
      <w:sz w:val="32"/>
      <w:szCs w:val="20"/>
    </w:rPr>
  </w:style>
  <w:style w:type="paragraph" w:styleId="896">
    <w:name w:val="标题 3"/>
    <w:basedOn w:val="893"/>
    <w:next w:val="893"/>
    <w:link w:val="893"/>
    <w:uiPriority w:val="9"/>
    <w:qFormat/>
    <w:pPr>
      <w:keepLines/>
      <w:keepNext/>
      <w:spacing w:before="260" w:after="260" w:line="413" w:lineRule="auto"/>
      <w:outlineLvl w:val="2"/>
    </w:pPr>
    <w:rPr>
      <w:rFonts w:ascii="Arial" w:hAnsi="Arial"/>
      <w:b/>
      <w:sz w:val="32"/>
      <w:szCs w:val="20"/>
    </w:rPr>
  </w:style>
  <w:style w:type="paragraph" w:styleId="897">
    <w:name w:val="标题 4"/>
    <w:basedOn w:val="893"/>
    <w:next w:val="893"/>
    <w:link w:val="903"/>
    <w:uiPriority w:val="9"/>
    <w:qFormat/>
    <w:pPr>
      <w:keepLines/>
      <w:keepNext/>
      <w:spacing w:before="280" w:after="290" w:line="376" w:lineRule="auto"/>
      <w:outlineLvl w:val="3"/>
    </w:pPr>
    <w:rPr>
      <w:rFonts w:ascii="Cambria" w:hAnsi="Cambria"/>
      <w:b/>
      <w:bCs/>
      <w:sz w:val="28"/>
      <w:szCs w:val="28"/>
    </w:rPr>
  </w:style>
  <w:style w:type="paragraph" w:styleId="898">
    <w:name w:val="标题 5"/>
    <w:basedOn w:val="893"/>
    <w:next w:val="893"/>
    <w:link w:val="904"/>
    <w:uiPriority w:val="9"/>
    <w:qFormat/>
    <w:pPr>
      <w:keepLines/>
      <w:keepNext/>
      <w:spacing w:before="280" w:after="290" w:line="376" w:lineRule="auto"/>
      <w:outlineLvl w:val="4"/>
    </w:pPr>
    <w:rPr>
      <w:b/>
      <w:bCs/>
      <w:sz w:val="28"/>
      <w:szCs w:val="28"/>
    </w:rPr>
  </w:style>
  <w:style w:type="character" w:styleId="899">
    <w:name w:val="默认段落字体"/>
    <w:next w:val="899"/>
    <w:link w:val="893"/>
    <w:semiHidden/>
  </w:style>
  <w:style w:type="table" w:styleId="900">
    <w:name w:val="普通表格"/>
    <w:next w:val="900"/>
    <w:link w:val="89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1">
    <w:name w:val="正文缩进"/>
    <w:basedOn w:val="893"/>
    <w:next w:val="901"/>
    <w:link w:val="902"/>
    <w:pPr>
      <w:ind w:firstLine="420"/>
    </w:pPr>
    <w:rPr>
      <w:szCs w:val="20"/>
    </w:rPr>
  </w:style>
  <w:style w:type="character" w:styleId="902">
    <w:name w:val="正文缩进 Char"/>
    <w:next w:val="902"/>
    <w:link w:val="901"/>
    <w:rPr>
      <w:sz w:val="21"/>
    </w:rPr>
  </w:style>
  <w:style w:type="character" w:styleId="903">
    <w:name w:val="标题 4 Char"/>
    <w:next w:val="903"/>
    <w:link w:val="897"/>
    <w:uiPriority w:val="9"/>
    <w:rPr>
      <w:rFonts w:ascii="Cambria" w:hAnsi="Cambria"/>
      <w:b/>
      <w:bCs/>
      <w:sz w:val="28"/>
      <w:szCs w:val="28"/>
    </w:rPr>
  </w:style>
  <w:style w:type="character" w:styleId="904">
    <w:name w:val="标题 5 Char"/>
    <w:next w:val="904"/>
    <w:link w:val="898"/>
    <w:uiPriority w:val="9"/>
    <w:rPr>
      <w:b/>
      <w:bCs/>
      <w:sz w:val="28"/>
      <w:szCs w:val="28"/>
    </w:rPr>
  </w:style>
  <w:style w:type="paragraph" w:styleId="905">
    <w:name w:val="题注"/>
    <w:basedOn w:val="893"/>
    <w:next w:val="893"/>
    <w:link w:val="893"/>
    <w:uiPriority w:val="35"/>
    <w:qFormat/>
    <w:pPr>
      <w:jc w:val="center"/>
      <w:spacing w:before="156" w:after="156" w:line="360" w:lineRule="auto"/>
    </w:pPr>
    <w:rPr>
      <w:rFonts w:ascii="Arial" w:hAnsi="Arial" w:cs="Arial"/>
      <w:sz w:val="24"/>
      <w:szCs w:val="20"/>
    </w:rPr>
  </w:style>
  <w:style w:type="paragraph" w:styleId="906">
    <w:name w:val="文档结构图"/>
    <w:basedOn w:val="893"/>
    <w:next w:val="906"/>
    <w:link w:val="893"/>
    <w:semiHidden/>
    <w:pPr>
      <w:shd w:val="clear" w:color="auto" w:fill="000080"/>
    </w:pPr>
  </w:style>
  <w:style w:type="paragraph" w:styleId="907">
    <w:name w:val="批注文字"/>
    <w:basedOn w:val="893"/>
    <w:next w:val="907"/>
    <w:link w:val="908"/>
    <w:uiPriority w:val="99"/>
    <w:unhideWhenUsed/>
    <w:pPr>
      <w:jc w:val="left"/>
    </w:pPr>
  </w:style>
  <w:style w:type="character" w:styleId="908">
    <w:name w:val="批注文字 Char"/>
    <w:next w:val="908"/>
    <w:link w:val="907"/>
    <w:uiPriority w:val="99"/>
    <w:rPr>
      <w:sz w:val="21"/>
      <w:szCs w:val="24"/>
    </w:rPr>
  </w:style>
  <w:style w:type="paragraph" w:styleId="909">
    <w:name w:val="正文文本 3"/>
    <w:basedOn w:val="893"/>
    <w:next w:val="909"/>
    <w:link w:val="893"/>
    <w:rPr>
      <w:rFonts w:ascii="楷体_GB2312" w:hAnsi="Arial" w:eastAsia="楷体_GB2312" w:cs="Arial"/>
      <w:b/>
      <w:bCs/>
      <w:color w:val="000000"/>
      <w:sz w:val="24"/>
    </w:rPr>
  </w:style>
  <w:style w:type="paragraph" w:styleId="910">
    <w:name w:val="正文文本"/>
    <w:basedOn w:val="893"/>
    <w:next w:val="910"/>
    <w:link w:val="89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1">
    <w:name w:val="正文文本缩进"/>
    <w:basedOn w:val="893"/>
    <w:next w:val="911"/>
    <w:link w:val="893"/>
    <w:pPr>
      <w:ind w:firstLine="630"/>
    </w:pPr>
    <w:rPr>
      <w:rFonts w:ascii="楷体_GB2312" w:eastAsia="楷体_GB2312"/>
      <w:sz w:val="32"/>
      <w:szCs w:val="20"/>
    </w:rPr>
  </w:style>
  <w:style w:type="paragraph" w:styleId="912">
    <w:name w:val="文本块"/>
    <w:basedOn w:val="893"/>
    <w:next w:val="912"/>
    <w:link w:val="893"/>
    <w:pPr>
      <w:ind w:left="420" w:right="33"/>
      <w:jc w:val="left"/>
    </w:pPr>
    <w:rPr>
      <w:sz w:val="24"/>
      <w:szCs w:val="20"/>
    </w:rPr>
  </w:style>
  <w:style w:type="paragraph" w:styleId="913">
    <w:name w:val="目录 3"/>
    <w:basedOn w:val="893"/>
    <w:next w:val="893"/>
    <w:link w:val="893"/>
    <w:semiHidden/>
    <w:pPr>
      <w:ind w:left="840"/>
      <w:spacing w:line="300" w:lineRule="auto"/>
      <w:tabs>
        <w:tab w:val="right" w:pos="9344" w:leader="dot"/>
      </w:tabs>
    </w:pPr>
    <w:rPr>
      <w:rFonts w:ascii="Arial" w:hAnsi="Arial" w:cs="Arial"/>
      <w:szCs w:val="21"/>
    </w:rPr>
  </w:style>
  <w:style w:type="paragraph" w:styleId="914">
    <w:name w:val="纯文本"/>
    <w:basedOn w:val="893"/>
    <w:next w:val="914"/>
    <w:link w:val="915"/>
    <w:rPr>
      <w:rFonts w:ascii="宋体" w:hAnsi="Courier New"/>
      <w:szCs w:val="20"/>
    </w:rPr>
  </w:style>
  <w:style w:type="character" w:styleId="915">
    <w:name w:val="纯文本 Char"/>
    <w:next w:val="915"/>
    <w:link w:val="914"/>
    <w:rPr>
      <w:rFonts w:ascii="宋体" w:hAnsi="Courier New" w:eastAsia="宋体"/>
      <w:sz w:val="21"/>
      <w:lang w:val="en-US" w:eastAsia="zh-CN" w:bidi="ar-SA"/>
    </w:rPr>
  </w:style>
  <w:style w:type="paragraph" w:styleId="916">
    <w:name w:val="正文文本缩进 2"/>
    <w:basedOn w:val="893"/>
    <w:next w:val="916"/>
    <w:link w:val="893"/>
    <w:pPr>
      <w:ind w:left="420"/>
      <w:spacing w:after="120" w:line="480" w:lineRule="auto"/>
    </w:pPr>
  </w:style>
  <w:style w:type="paragraph" w:styleId="917">
    <w:name w:val="批注框文本"/>
    <w:basedOn w:val="893"/>
    <w:next w:val="917"/>
    <w:link w:val="918"/>
    <w:rPr>
      <w:sz w:val="18"/>
      <w:szCs w:val="18"/>
    </w:rPr>
  </w:style>
  <w:style w:type="character" w:styleId="918">
    <w:name w:val="批注框文本 Char"/>
    <w:next w:val="918"/>
    <w:link w:val="917"/>
    <w:rPr>
      <w:sz w:val="18"/>
      <w:szCs w:val="18"/>
    </w:rPr>
  </w:style>
  <w:style w:type="paragraph" w:styleId="919">
    <w:name w:val="页脚"/>
    <w:basedOn w:val="893"/>
    <w:next w:val="919"/>
    <w:link w:val="920"/>
    <w:pPr>
      <w:jc w:val="left"/>
      <w:tabs>
        <w:tab w:val="center" w:pos="4153" w:leader="none"/>
        <w:tab w:val="right" w:pos="8306" w:leader="none"/>
      </w:tabs>
    </w:pPr>
    <w:rPr>
      <w:sz w:val="18"/>
      <w:szCs w:val="18"/>
    </w:rPr>
  </w:style>
  <w:style w:type="character" w:styleId="920">
    <w:name w:val="页脚 Char"/>
    <w:next w:val="920"/>
    <w:link w:val="919"/>
    <w:rPr>
      <w:sz w:val="18"/>
      <w:szCs w:val="18"/>
    </w:rPr>
  </w:style>
  <w:style w:type="paragraph" w:styleId="921">
    <w:name w:val="页眉"/>
    <w:basedOn w:val="893"/>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sz w:val="18"/>
      <w:szCs w:val="18"/>
    </w:rPr>
  </w:style>
  <w:style w:type="paragraph" w:styleId="923">
    <w:name w:val="目录 1"/>
    <w:basedOn w:val="893"/>
    <w:next w:val="893"/>
    <w:link w:val="893"/>
    <w:semiHidden/>
  </w:style>
  <w:style w:type="paragraph" w:styleId="924">
    <w:name w:val="正文文本缩进 3"/>
    <w:basedOn w:val="893"/>
    <w:next w:val="924"/>
    <w:link w:val="893"/>
    <w:uiPriority w:val="99"/>
    <w:pPr>
      <w:ind w:firstLine="420"/>
    </w:pPr>
    <w:rPr>
      <w:rFonts w:eastAsia="楷体_GB2312"/>
    </w:rPr>
  </w:style>
  <w:style w:type="paragraph" w:styleId="925">
    <w:name w:val="目录 2"/>
    <w:basedOn w:val="893"/>
    <w:next w:val="893"/>
    <w:link w:val="893"/>
    <w:semiHidden/>
    <w:pPr>
      <w:ind w:left="420"/>
    </w:pPr>
    <w:rPr>
      <w:szCs w:val="20"/>
    </w:rPr>
  </w:style>
  <w:style w:type="paragraph" w:styleId="926">
    <w:name w:val="正文文本 2"/>
    <w:basedOn w:val="893"/>
    <w:next w:val="926"/>
    <w:link w:val="927"/>
    <w:pPr>
      <w:spacing w:line="440" w:lineRule="exact"/>
    </w:pPr>
    <w:rPr>
      <w:rFonts w:ascii="楷体_GB2312" w:eastAsia="楷体_GB2312"/>
      <w:sz w:val="28"/>
    </w:rPr>
  </w:style>
  <w:style w:type="character" w:styleId="927">
    <w:name w:val="正文文本 2 Char"/>
    <w:next w:val="927"/>
    <w:link w:val="926"/>
    <w:rPr>
      <w:rFonts w:ascii="楷体_GB2312" w:eastAsia="楷体_GB2312"/>
      <w:sz w:val="28"/>
      <w:szCs w:val="24"/>
    </w:rPr>
  </w:style>
  <w:style w:type="paragraph" w:styleId="928">
    <w:name w:val="批注主题"/>
    <w:basedOn w:val="907"/>
    <w:next w:val="907"/>
    <w:link w:val="929"/>
    <w:rPr>
      <w:b/>
      <w:bCs/>
    </w:rPr>
  </w:style>
  <w:style w:type="character" w:styleId="929">
    <w:name w:val="批注主题 Char"/>
    <w:next w:val="929"/>
    <w:link w:val="928"/>
    <w:rPr>
      <w:b/>
      <w:bCs/>
      <w:sz w:val="21"/>
      <w:szCs w:val="24"/>
    </w:rPr>
  </w:style>
  <w:style w:type="paragraph" w:styleId="930">
    <w:name w:val="正文首行缩进 2"/>
    <w:basedOn w:val="911"/>
    <w:next w:val="930"/>
    <w:link w:val="893"/>
    <w:pPr>
      <w:ind w:left="420" w:firstLine="420"/>
      <w:spacing w:after="120"/>
      <w:widowControl/>
    </w:pPr>
    <w:rPr>
      <w:rFonts w:ascii="仿宋_GB2312" w:eastAsia="仿宋_GB2312"/>
      <w:color w:val="ff6600"/>
      <w:sz w:val="21"/>
    </w:rPr>
  </w:style>
  <w:style w:type="table" w:styleId="931">
    <w:name w:val="网格型"/>
    <w:basedOn w:val="900"/>
    <w:next w:val="931"/>
    <w:link w:val="89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2">
    <w:name w:val="要点"/>
    <w:next w:val="932"/>
    <w:link w:val="893"/>
    <w:qFormat/>
    <w:rPr>
      <w:b w:val="0"/>
      <w:i w:val="0"/>
    </w:rPr>
  </w:style>
  <w:style w:type="character" w:styleId="933">
    <w:name w:val="页码"/>
    <w:next w:val="933"/>
    <w:link w:val="893"/>
  </w:style>
  <w:style w:type="character" w:styleId="934">
    <w:name w:val="已访问的超链接"/>
    <w:next w:val="934"/>
    <w:link w:val="893"/>
    <w:rPr>
      <w:color w:val="800080"/>
      <w:u w:val="none"/>
    </w:rPr>
  </w:style>
  <w:style w:type="character" w:styleId="935">
    <w:name w:val="强调"/>
    <w:next w:val="935"/>
    <w:link w:val="893"/>
    <w:qFormat/>
    <w:rPr>
      <w:b w:val="0"/>
      <w:i w:val="0"/>
    </w:rPr>
  </w:style>
  <w:style w:type="character" w:styleId="936">
    <w:name w:val="HTML 定义"/>
    <w:next w:val="936"/>
    <w:link w:val="893"/>
    <w:rPr>
      <w:b w:val="0"/>
      <w:i w:val="0"/>
    </w:rPr>
  </w:style>
  <w:style w:type="character" w:styleId="937">
    <w:name w:val="HTML 打字机"/>
    <w:next w:val="937"/>
    <w:link w:val="893"/>
    <w:rPr>
      <w:rFonts w:ascii="monospace" w:hAnsi="monospace" w:eastAsia="monospace" w:cs="monospace"/>
      <w:sz w:val="20"/>
    </w:rPr>
  </w:style>
  <w:style w:type="character" w:styleId="938">
    <w:name w:val="HTML 缩写"/>
    <w:next w:val="938"/>
    <w:link w:val="893"/>
  </w:style>
  <w:style w:type="character" w:styleId="939">
    <w:name w:val="HTML 变量"/>
    <w:next w:val="939"/>
    <w:link w:val="893"/>
    <w:rPr>
      <w:b w:val="0"/>
      <w:i w:val="0"/>
    </w:rPr>
  </w:style>
  <w:style w:type="character" w:styleId="940">
    <w:name w:val="超链接"/>
    <w:next w:val="940"/>
    <w:link w:val="893"/>
    <w:rPr>
      <w:color w:val="0000ff"/>
      <w:u w:val="none"/>
    </w:rPr>
  </w:style>
  <w:style w:type="character" w:styleId="941">
    <w:name w:val="HTML 代码"/>
    <w:next w:val="941"/>
    <w:link w:val="893"/>
    <w:rPr>
      <w:rFonts w:ascii="monospace" w:hAnsi="monospace" w:eastAsia="monospace" w:cs="monospace"/>
      <w:b w:val="0"/>
      <w:i w:val="0"/>
      <w:sz w:val="20"/>
    </w:rPr>
  </w:style>
  <w:style w:type="character" w:styleId="942">
    <w:name w:val="批注引用"/>
    <w:next w:val="942"/>
    <w:link w:val="893"/>
    <w:rPr>
      <w:sz w:val="21"/>
      <w:szCs w:val="21"/>
    </w:rPr>
  </w:style>
  <w:style w:type="character" w:styleId="943">
    <w:name w:val="HTML 引文"/>
    <w:next w:val="943"/>
    <w:link w:val="893"/>
    <w:rPr>
      <w:b w:val="0"/>
      <w:i w:val="0"/>
    </w:rPr>
  </w:style>
  <w:style w:type="character" w:styleId="944">
    <w:name w:val="HTML 键盘"/>
    <w:next w:val="944"/>
    <w:link w:val="893"/>
    <w:rPr>
      <w:rFonts w:ascii="monospace" w:hAnsi="monospace" w:eastAsia="monospace" w:cs="monospace"/>
      <w:sz w:val="20"/>
    </w:rPr>
  </w:style>
  <w:style w:type="character" w:styleId="945">
    <w:name w:val="HTML 样本"/>
    <w:next w:val="945"/>
    <w:link w:val="893"/>
    <w:rPr>
      <w:rFonts w:ascii="monospace" w:hAnsi="monospace" w:eastAsia="monospace" w:cs="monospace"/>
    </w:rPr>
  </w:style>
  <w:style w:type="character" w:styleId="946">
    <w:name w:val="Font Style30"/>
    <w:next w:val="946"/>
    <w:link w:val="893"/>
    <w:rPr>
      <w:rFonts w:ascii="宋体" w:eastAsia="宋体" w:cs="宋体"/>
      <w:sz w:val="14"/>
      <w:szCs w:val="14"/>
    </w:rPr>
  </w:style>
  <w:style w:type="character" w:styleId="947">
    <w:name w:val="glyphicon"/>
    <w:next w:val="947"/>
    <w:link w:val="893"/>
  </w:style>
  <w:style w:type="character" w:styleId="948">
    <w:name w:val="Font Style36"/>
    <w:next w:val="948"/>
    <w:link w:val="893"/>
    <w:rPr>
      <w:rFonts w:ascii="宋体" w:eastAsia="宋体" w:cs="宋体"/>
      <w:sz w:val="16"/>
      <w:szCs w:val="16"/>
    </w:rPr>
  </w:style>
  <w:style w:type="character" w:styleId="949">
    <w:name w:val="hour_am"/>
    <w:next w:val="949"/>
    <w:link w:val="893"/>
  </w:style>
  <w:style w:type="character" w:styleId="950">
    <w:name w:val="old"/>
    <w:next w:val="950"/>
    <w:link w:val="893"/>
    <w:rPr>
      <w:color w:val="999999"/>
    </w:rPr>
  </w:style>
  <w:style w:type="character" w:styleId="951">
    <w:name w:val="标题 2 Char,节 Char,Heading 2 Hidden Char,Heading 2 CCBS Char,H2 Char,sect 1.2 Char,H21 Char,sect 1.21 Char,H22 Char,sect 1.22 Char,H211 Char,sect 1.211 Char,H23 Char,sect 1.23 Char,H212 Char,sect 1.212 Char,2nd level Char,h2 Char,2 Char,Header 2 Char"/>
    <w:next w:val="951"/>
    <w:link w:val="893"/>
    <w:rPr>
      <w:rFonts w:ascii="Arial" w:hAnsi="Arial" w:eastAsia="黑体"/>
      <w:b/>
      <w:sz w:val="32"/>
      <w:lang w:val="en-US" w:eastAsia="zh-CN"/>
    </w:rPr>
  </w:style>
  <w:style w:type="character" w:styleId="952">
    <w:name w:val="hover"/>
    <w:next w:val="952"/>
    <w:link w:val="893"/>
    <w:rPr>
      <w:shd w:val="clear" w:color="auto" w:fill="eeeeee"/>
    </w:rPr>
  </w:style>
  <w:style w:type="character" w:styleId="953">
    <w:name w:val="hour_pm"/>
    <w:next w:val="953"/>
    <w:link w:val="893"/>
  </w:style>
  <w:style w:type="character" w:styleId="954">
    <w:name w:val="Font Style28"/>
    <w:next w:val="954"/>
    <w:link w:val="893"/>
    <w:rPr>
      <w:rFonts w:ascii="Constantia" w:hAnsi="Constantia" w:cs="Constantia"/>
      <w:sz w:val="28"/>
      <w:szCs w:val="28"/>
    </w:rPr>
  </w:style>
  <w:style w:type="character" w:styleId="955">
    <w:name w:val="Font Style29"/>
    <w:next w:val="955"/>
    <w:link w:val="893"/>
    <w:rPr>
      <w:rFonts w:ascii="Arial" w:hAnsi="Arial" w:cs="Arial"/>
      <w:sz w:val="14"/>
      <w:szCs w:val="14"/>
    </w:rPr>
  </w:style>
  <w:style w:type="character" w:styleId="956">
    <w:name w:val="Font Style37"/>
    <w:next w:val="956"/>
    <w:link w:val="893"/>
    <w:rPr>
      <w:rFonts w:ascii="Arial" w:hAnsi="Arial" w:cs="Arial"/>
      <w:sz w:val="16"/>
      <w:szCs w:val="16"/>
    </w:rPr>
  </w:style>
  <w:style w:type="character" w:styleId="957">
    <w:name w:val="Plain Text Char"/>
    <w:next w:val="957"/>
    <w:link w:val="893"/>
    <w:rPr>
      <w:rFonts w:ascii="宋体" w:hAnsi="Courier New" w:eastAsia="宋体"/>
      <w:sz w:val="21"/>
      <w:lang w:val="en-US" w:eastAsia="zh-CN" w:bidi="ar-SA"/>
    </w:rPr>
  </w:style>
  <w:style w:type="paragraph" w:styleId="958">
    <w:name w:val="Default"/>
    <w:next w:val="958"/>
    <w:link w:val="893"/>
    <w:pPr>
      <w:widowControl w:val="off"/>
    </w:pPr>
    <w:rPr>
      <w:rFonts w:ascii="仿宋" w:eastAsia="仿宋" w:cs="仿宋"/>
      <w:color w:val="000000"/>
      <w:sz w:val="24"/>
      <w:szCs w:val="24"/>
      <w:lang w:val="en-US" w:eastAsia="zh-CN" w:bidi="ar-SA"/>
    </w:rPr>
  </w:style>
  <w:style w:type="paragraph" w:styleId="959">
    <w:name w:val="默认段落字体 Para Char Char Char Char Char Char Char Char Char1 Char Char Char Char Char Char Char"/>
    <w:basedOn w:val="906"/>
    <w:next w:val="959"/>
    <w:link w:val="893"/>
    <w:rPr>
      <w:rFonts w:ascii="Tahoma" w:hAnsi="Tahoma"/>
      <w:sz w:val="24"/>
    </w:rPr>
  </w:style>
  <w:style w:type="paragraph" w:styleId="960">
    <w:name w:val="Style9"/>
    <w:basedOn w:val="893"/>
    <w:next w:val="960"/>
    <w:link w:val="893"/>
    <w:pPr>
      <w:jc w:val="left"/>
    </w:pPr>
    <w:rPr>
      <w:rFonts w:ascii="宋体"/>
      <w:sz w:val="24"/>
    </w:rPr>
  </w:style>
  <w:style w:type="paragraph" w:styleId="961">
    <w:name w:val="Char"/>
    <w:basedOn w:val="893"/>
    <w:next w:val="961"/>
    <w:link w:val="893"/>
    <w:pPr>
      <w:tabs>
        <w:tab w:val="left" w:pos="360" w:leader="none"/>
      </w:tabs>
    </w:pPr>
    <w:rPr>
      <w:sz w:val="24"/>
    </w:rPr>
  </w:style>
  <w:style w:type="paragraph" w:styleId="962">
    <w:name w:val=" Char Char Char1 Char Char Char Char"/>
    <w:basedOn w:val="893"/>
    <w:next w:val="962"/>
    <w:link w:val="893"/>
    <w:pPr>
      <w:jc w:val="left"/>
      <w:spacing w:after="160" w:line="240" w:lineRule="exact"/>
      <w:widowControl/>
    </w:pPr>
    <w:rPr>
      <w:rFonts w:ascii="宋体" w:hAnsi="宋体"/>
      <w:b/>
      <w:sz w:val="28"/>
      <w:szCs w:val="28"/>
    </w:rPr>
  </w:style>
  <w:style w:type="paragraph" w:styleId="963">
    <w:name w:val="Style10"/>
    <w:basedOn w:val="893"/>
    <w:next w:val="963"/>
    <w:link w:val="893"/>
    <w:pPr>
      <w:jc w:val="left"/>
    </w:pPr>
    <w:rPr>
      <w:rFonts w:ascii="宋体"/>
      <w:sz w:val="24"/>
    </w:rPr>
  </w:style>
  <w:style w:type="paragraph" w:styleId="964">
    <w:name w:val="首行缩进"/>
    <w:basedOn w:val="893"/>
    <w:next w:val="964"/>
    <w:link w:val="893"/>
    <w:qFormat/>
    <w:pPr>
      <w:ind w:firstLine="420"/>
      <w:spacing w:line="360" w:lineRule="auto"/>
    </w:pPr>
    <w:rPr>
      <w:sz w:val="20"/>
    </w:rPr>
  </w:style>
  <w:style w:type="paragraph" w:styleId="965">
    <w:name w:val="普通正文"/>
    <w:basedOn w:val="893"/>
    <w:next w:val="965"/>
    <w:link w:val="893"/>
    <w:pPr>
      <w:ind w:firstLine="480"/>
      <w:jc w:val="left"/>
      <w:spacing w:before="120" w:after="120" w:line="360" w:lineRule="auto"/>
    </w:pPr>
    <w:rPr>
      <w:rFonts w:ascii="Arial" w:hAnsi="Arial"/>
      <w:sz w:val="24"/>
    </w:rPr>
  </w:style>
  <w:style w:type="paragraph" w:styleId="966">
    <w:name w:val="要点标题"/>
    <w:basedOn w:val="893"/>
    <w:next w:val="966"/>
    <w:link w:val="893"/>
    <w:pPr>
      <w:numPr>
        <w:ilvl w:val="0"/>
        <w:numId w:val="1"/>
      </w:numPr>
      <w:jc w:val="left"/>
      <w:tabs>
        <w:tab w:val="left" w:pos="420" w:leader="none"/>
      </w:tabs>
    </w:pPr>
    <w:rPr>
      <w:rFonts w:ascii="宋体" w:hAnsi="宋体"/>
      <w:b/>
      <w:sz w:val="24"/>
    </w:rPr>
  </w:style>
  <w:style w:type="paragraph" w:styleId="967">
    <w:name w:val="文档正文"/>
    <w:basedOn w:val="893"/>
    <w:next w:val="967"/>
    <w:link w:val="893"/>
    <w:pPr>
      <w:ind w:firstLine="567"/>
      <w:spacing w:line="480" w:lineRule="atLeast"/>
    </w:pPr>
    <w:rPr>
      <w:rFonts w:ascii="仿宋_GB2312"/>
      <w:szCs w:val="20"/>
    </w:rPr>
  </w:style>
  <w:style w:type="paragraph" w:styleId="968">
    <w:name w:val="Char Char Char Char"/>
    <w:basedOn w:val="906"/>
    <w:next w:val="968"/>
    <w:link w:val="893"/>
    <w:pPr>
      <w:spacing w:line="360" w:lineRule="auto"/>
    </w:pPr>
    <w:rPr>
      <w:rFonts w:ascii="Tahoma" w:hAnsi="Tahoma"/>
      <w:sz w:val="24"/>
    </w:rPr>
  </w:style>
  <w:style w:type="paragraph" w:styleId="969">
    <w:name w:val=" Char"/>
    <w:basedOn w:val="893"/>
    <w:next w:val="969"/>
    <w:link w:val="893"/>
    <w:pPr>
      <w:ind w:left="420" w:hanging="420"/>
      <w:jc w:val="left"/>
      <w:tabs>
        <w:tab w:val="left" w:pos="420" w:leader="none"/>
      </w:tabs>
    </w:pPr>
    <w:rPr>
      <w:szCs w:val="20"/>
    </w:rPr>
  </w:style>
  <w:style w:type="paragraph" w:styleId="970">
    <w:name w:val="正文（无缩进）"/>
    <w:basedOn w:val="893"/>
    <w:next w:val="970"/>
    <w:link w:val="893"/>
    <w:qFormat/>
    <w:pPr>
      <w:spacing w:line="360" w:lineRule="auto"/>
    </w:pPr>
    <w:rPr>
      <w:rFonts w:ascii="Calibri" w:hAnsi="Calibri"/>
      <w:sz w:val="24"/>
      <w:szCs w:val="21"/>
    </w:rPr>
  </w:style>
  <w:style w:type="paragraph" w:styleId="971">
    <w:name w:val="Style11"/>
    <w:basedOn w:val="893"/>
    <w:next w:val="971"/>
    <w:link w:val="893"/>
    <w:pPr>
      <w:jc w:val="left"/>
      <w:spacing w:line="446" w:lineRule="exact"/>
    </w:pPr>
    <w:rPr>
      <w:rFonts w:ascii="宋体"/>
      <w:sz w:val="24"/>
    </w:rPr>
  </w:style>
  <w:style w:type="paragraph" w:styleId="972">
    <w:name w:val="样式1"/>
    <w:basedOn w:val="893"/>
    <w:next w:val="972"/>
    <w:link w:val="893"/>
    <w:pPr>
      <w:numPr>
        <w:ilvl w:val="0"/>
        <w:numId w:val="2"/>
      </w:numPr>
      <w:tabs>
        <w:tab w:val="left" w:pos="1110" w:leader="none"/>
      </w:tabs>
    </w:pPr>
    <w:rPr>
      <w:rFonts w:ascii="宋体" w:hAnsi="宋体"/>
      <w:szCs w:val="21"/>
    </w:rPr>
  </w:style>
  <w:style w:type="paragraph" w:styleId="973">
    <w:name w:val="_Style 56"/>
    <w:basedOn w:val="906"/>
    <w:next w:val="973"/>
    <w:link w:val="893"/>
    <w:pPr>
      <w:spacing w:line="436" w:lineRule="exact"/>
    </w:pPr>
    <w:rPr>
      <w:szCs w:val="20"/>
    </w:rPr>
  </w:style>
  <w:style w:type="paragraph" w:styleId="974">
    <w:name w:val="Char Char1 Char Char Char Char Char Char"/>
    <w:basedOn w:val="893"/>
    <w:next w:val="974"/>
    <w:link w:val="893"/>
    <w:pPr>
      <w:jc w:val="center"/>
      <w:widowControl/>
    </w:pPr>
    <w:rPr>
      <w:rFonts w:ascii="宋体" w:hAnsi="宋体"/>
      <w:b/>
      <w:sz w:val="24"/>
      <w:lang w:eastAsia="en-US"/>
    </w:rPr>
  </w:style>
  <w:style w:type="paragraph" w:styleId="975">
    <w:name w:val="Char1"/>
    <w:basedOn w:val="893"/>
    <w:next w:val="975"/>
    <w:link w:val="893"/>
    <w:pPr>
      <w:ind w:left="840" w:hanging="420"/>
      <w:tabs>
        <w:tab w:val="left" w:pos="840" w:leader="none"/>
      </w:tabs>
    </w:pPr>
    <w:rPr>
      <w:sz w:val="24"/>
    </w:rPr>
  </w:style>
  <w:style w:type="paragraph" w:styleId="976">
    <w:name w:val="我的样式"/>
    <w:basedOn w:val="894"/>
    <w:next w:val="893"/>
    <w:link w:val="893"/>
    <w:pPr>
      <w:numPr>
        <w:ilvl w:val="0"/>
        <w:numId w:val="3"/>
      </w:numPr>
      <w:spacing w:line="360" w:lineRule="auto"/>
    </w:pPr>
    <w:rPr>
      <w:rFonts w:ascii="仿宋_GB2312" w:eastAsia="仿宋_GB2312"/>
      <w:sz w:val="32"/>
      <w:szCs w:val="30"/>
    </w:rPr>
  </w:style>
  <w:style w:type="paragraph" w:styleId="977">
    <w:name w:val="表格正文"/>
    <w:next w:val="977"/>
    <w:link w:val="893"/>
    <w:pPr>
      <w:spacing w:line="0" w:lineRule="atLeast"/>
    </w:pPr>
    <w:rPr>
      <w:sz w:val="24"/>
      <w:szCs w:val="24"/>
      <w:lang w:val="en-US" w:eastAsia="zh-CN" w:bidi="he-IL"/>
    </w:rPr>
  </w:style>
  <w:style w:type="paragraph" w:styleId="978">
    <w:name w:val=" Char Char Char Char Char Char Char Char Char Char Char Char Char"/>
    <w:basedOn w:val="893"/>
    <w:next w:val="978"/>
    <w:link w:val="893"/>
    <w:pPr>
      <w:jc w:val="left"/>
      <w:spacing w:after="160" w:line="240" w:lineRule="exact"/>
      <w:widowControl/>
    </w:pPr>
    <w:rPr>
      <w:rFonts w:ascii="Verdana" w:hAnsi="Verdana"/>
      <w:sz w:val="20"/>
      <w:szCs w:val="20"/>
      <w:lang w:eastAsia="en-US"/>
    </w:rPr>
  </w:style>
  <w:style w:type="paragraph" w:styleId="979">
    <w:name w:val="标题1"/>
    <w:basedOn w:val="894"/>
    <w:next w:val="893"/>
    <w:link w:val="893"/>
    <w:pPr>
      <w:numPr>
        <w:ilvl w:val="0"/>
        <w:numId w:val="2"/>
      </w:numPr>
      <w:jc w:val="left"/>
      <w:spacing w:line="578" w:lineRule="atLeast"/>
    </w:pPr>
  </w:style>
  <w:style w:type="paragraph" w:styleId="980">
    <w:name w:val="正文（缩进） Char1"/>
    <w:basedOn w:val="893"/>
    <w:next w:val="980"/>
    <w:link w:val="893"/>
    <w:pPr>
      <w:ind w:firstLine="480"/>
      <w:spacing w:before="156" w:after="156" w:line="360" w:lineRule="auto"/>
    </w:pPr>
    <w:rPr>
      <w:sz w:val="24"/>
    </w:rPr>
  </w:style>
  <w:style w:type="paragraph" w:styleId="981">
    <w:name w:val="修订"/>
    <w:next w:val="981"/>
    <w:link w:val="893"/>
    <w:uiPriority w:val="99"/>
    <w:semiHidden/>
    <w:rPr>
      <w:sz w:val="21"/>
      <w:szCs w:val="24"/>
      <w:lang w:val="en-US" w:eastAsia="zh-CN" w:bidi="ar-SA"/>
    </w:rPr>
  </w:style>
  <w:style w:type="paragraph" w:styleId="982">
    <w:name w:val="Style12"/>
    <w:basedOn w:val="893"/>
    <w:next w:val="982"/>
    <w:link w:val="893"/>
    <w:pPr>
      <w:jc w:val="left"/>
    </w:pPr>
    <w:rPr>
      <w:rFonts w:ascii="宋体"/>
      <w:sz w:val="24"/>
    </w:rPr>
  </w:style>
  <w:style w:type="paragraph" w:styleId="983">
    <w:name w:val="脚注文本11"/>
    <w:basedOn w:val="893"/>
    <w:next w:val="984"/>
    <w:link w:val="893"/>
    <w:uiPriority w:val="99"/>
    <w:qFormat/>
    <w:pPr>
      <w:spacing w:after="40"/>
    </w:pPr>
    <w:rPr>
      <w:sz w:val="18"/>
    </w:rPr>
  </w:style>
  <w:style w:type="paragraph" w:styleId="984">
    <w:name w:val="索引 511"/>
    <w:basedOn w:val="893"/>
    <w:next w:val="893"/>
    <w:link w:val="893"/>
    <w:uiPriority w:val="99"/>
    <w:qFormat/>
    <w:pPr>
      <w:ind w:left="798"/>
      <w:jc w:val="left"/>
    </w:p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6</cp:revision>
  <dcterms:created xsi:type="dcterms:W3CDTF">2024-01-08T08:47:00Z</dcterms:created>
  <dcterms:modified xsi:type="dcterms:W3CDTF">2026-08-28T01:56:56Z</dcterms:modified>
</cp:coreProperties>
</file>