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3"/>
        <w:keepLines w:val="0"/>
        <w:keepNext w:val="0"/>
        <w:pageBreakBefore w:val="0"/>
        <w:rPr>
          <w:rFonts w:hint="eastAsia" w:ascii="楷体" w:hAnsi="楷体" w:eastAsia="楷体"/>
          <w:b/>
          <w:sz w:val="72"/>
          <w:szCs w:val="72"/>
          <w:highlight w:val="none"/>
        </w:rPr>
        <w:outlineLvl w:val="9"/>
      </w:pPr>
      <w:r>
        <w:rPr>
          <w:rFonts w:hint="eastAsia" w:ascii="楷体" w:hAnsi="楷体" w:eastAsia="楷体"/>
          <w:b/>
          <w:sz w:val="72"/>
          <w:szCs w:val="72"/>
          <w:highlight w:val="none"/>
        </w:rPr>
      </w:r>
      <w:r/>
    </w:p>
    <w:p>
      <w:pPr>
        <w:pStyle w:val="893"/>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r>
      <w:r/>
    </w:p>
    <w:p>
      <w:pPr>
        <w:pStyle w:val="893"/>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t xml:space="preserve">公 开 招 标 文 件</w:t>
      </w:r>
      <w:r>
        <w:rPr>
          <w:rFonts w:hint="eastAsia" w:ascii="黑体" w:hAnsi="黑体" w:eastAsia="黑体"/>
          <w:b/>
          <w:sz w:val="72"/>
          <w:szCs w:val="72"/>
          <w:highlight w:val="none"/>
        </w:rPr>
      </w:r>
      <w:r/>
    </w:p>
    <w:p>
      <w:pPr>
        <w:pStyle w:val="893"/>
        <w:jc w:val="left"/>
        <w:keepLines w:val="0"/>
        <w:keepNext w:val="0"/>
        <w:pageBreakBefore w:val="0"/>
        <w:tabs>
          <w:tab w:val="center" w:pos="4621" w:leader="none"/>
        </w:tabs>
        <w:rPr>
          <w:rFonts w:hint="eastAsia" w:ascii="黑体" w:hAnsi="黑体" w:eastAsia="黑体"/>
          <w:b/>
          <w:sz w:val="72"/>
          <w:highlight w:val="none"/>
        </w:rPr>
        <w:outlineLvl w:val="9"/>
      </w:pPr>
      <w:r>
        <w:rPr>
          <w:rFonts w:hint="eastAsia" w:ascii="黑体" w:hAnsi="黑体" w:eastAsia="黑体"/>
          <w:b/>
          <w:sz w:val="7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ind w:firstLine="708"/>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t xml:space="preserve">项目名称: 2026年度民生实事消防快速处置队装备器材采购项目</w:t>
      </w:r>
      <w:r>
        <w:rPr>
          <w:rFonts w:hint="eastAsia" w:ascii="黑体" w:hAnsi="黑体" w:eastAsia="黑体"/>
          <w:b/>
          <w:sz w:val="36"/>
          <w:szCs w:val="36"/>
          <w:highlight w:val="none"/>
        </w:rPr>
      </w:r>
      <w:r/>
    </w:p>
    <w:p>
      <w:pPr>
        <w:pStyle w:val="893"/>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r>
      <w:r/>
    </w:p>
    <w:p>
      <w:pPr>
        <w:pStyle w:val="893"/>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pStyle w:val="893"/>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pStyle w:val="893"/>
        <w:ind w:firstLine="708"/>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t xml:space="preserve">项目编号: JSZC-320800-JZCG-G2026-0048</w:t>
      </w:r>
      <w:r>
        <w:rPr>
          <w:rFonts w:hint="eastAsia" w:ascii="黑体" w:hAnsi="黑体" w:eastAsia="黑体"/>
          <w:b/>
          <w:sz w:val="36"/>
          <w:highlight w:val="none"/>
        </w:rPr>
      </w:r>
      <w:r/>
    </w:p>
    <w:p>
      <w:pPr>
        <w:pStyle w:val="893"/>
        <w:ind w:left="-359" w:firstLine="360"/>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pStyle w:val="893"/>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jc w:val="center"/>
        <w:keepLines w:val="0"/>
        <w:keepNext w:val="0"/>
        <w:pageBreakBefore w:val="0"/>
        <w:spacing w:line="600" w:lineRule="exact"/>
        <w:rPr>
          <w:rFonts w:hint="eastAsia" w:ascii="黑体" w:hAnsi="黑体" w:eastAsia="黑体"/>
          <w:b/>
          <w:sz w:val="36"/>
          <w:szCs w:val="36"/>
          <w:highlight w:val="none"/>
          <w:u w:val="single"/>
        </w:rPr>
        <w:outlineLvl w:val="9"/>
      </w:pPr>
      <w:r>
        <w:rPr>
          <w:rFonts w:hint="eastAsia" w:ascii="黑体" w:hAnsi="黑体" w:eastAsia="黑体"/>
          <w:b/>
          <w:sz w:val="36"/>
          <w:szCs w:val="36"/>
          <w:highlight w:val="none"/>
        </w:rPr>
        <w:t xml:space="preserve">淮安市政府采购中心</w:t>
      </w:r>
      <w:r>
        <w:rPr>
          <w:rFonts w:hint="eastAsia" w:ascii="黑体" w:hAnsi="黑体" w:eastAsia="黑体"/>
          <w:b/>
          <w:sz w:val="36"/>
          <w:szCs w:val="36"/>
          <w:highlight w:val="none"/>
          <w:u w:val="single"/>
        </w:rPr>
      </w:r>
      <w:r/>
    </w:p>
    <w:p>
      <w:pPr>
        <w:pStyle w:val="893"/>
        <w:jc w:val="center"/>
        <w:keepLines w:val="0"/>
        <w:keepNext w:val="0"/>
        <w:pageBreakBefore w:val="0"/>
        <w:spacing w:line="600" w:lineRule="exact"/>
        <w:tabs>
          <w:tab w:val="center" w:pos="5215" w:leader="none"/>
        </w:tabs>
        <w:rPr>
          <w:rFonts w:hint="eastAsia" w:ascii="宋体" w:hAnsi="宋体"/>
          <w:sz w:val="24"/>
          <w:highlight w:val="none"/>
        </w:rPr>
        <w:outlineLvl w:val="9"/>
      </w:pPr>
      <w:r>
        <w:rPr>
          <w:rFonts w:hint="eastAsia" w:ascii="黑体" w:hAnsi="黑体" w:eastAsia="黑体"/>
          <w:b/>
          <w:sz w:val="36"/>
          <w:szCs w:val="36"/>
          <w:highlight w:val="none"/>
          <w:lang w:eastAsia="zh-CN"/>
        </w:rPr>
        <w:t xml:space="preserve">二〇二</w:t>
      </w:r>
      <w:r>
        <w:rPr>
          <w:rFonts w:hint="eastAsia" w:ascii="黑体" w:hAnsi="黑体" w:eastAsia="黑体"/>
          <w:b/>
          <w:sz w:val="36"/>
          <w:szCs w:val="36"/>
          <w:highlight w:val="none"/>
          <w:lang w:eastAsia="zh-CN"/>
        </w:rPr>
        <w:t xml:space="preserve">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val="en-US" w:eastAsia="zh-CN"/>
        </w:rPr>
        <w:t xml:space="preserve">八</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eastAsia="zh-CN"/>
        </w:rPr>
        <w:t xml:space="preserve">二十五</w:t>
      </w:r>
      <w:r>
        <w:rPr>
          <w:rFonts w:hint="eastAsia" w:ascii="黑体" w:hAnsi="黑体" w:eastAsia="黑体"/>
          <w:b/>
          <w:sz w:val="36"/>
          <w:szCs w:val="36"/>
          <w:highlight w:val="none"/>
        </w:rPr>
        <w:t xml:space="preserve">日</w:t>
      </w:r>
      <w:r>
        <w:rPr>
          <w:rFonts w:hint="eastAsia" w:ascii="宋体" w:hAnsi="宋体"/>
          <w:sz w:val="24"/>
          <w:highlight w:val="none"/>
        </w:rPr>
      </w:r>
      <w:r/>
    </w:p>
    <w:p>
      <w:pPr>
        <w:pStyle w:val="893"/>
        <w:ind w:firstLine="2512"/>
        <w:keepLines w:val="0"/>
        <w:keepNext w:val="0"/>
        <w:pageBreakBefore w:val="0"/>
        <w:spacing w:line="520" w:lineRule="exact"/>
        <w:widowControl w:val="off"/>
        <w:rPr>
          <w:rFonts w:hint="eastAsia" w:ascii="仿宋" w:hAnsi="仿宋" w:eastAsia="仿宋"/>
          <w:b/>
          <w:sz w:val="36"/>
          <w:szCs w:val="36"/>
          <w:highlight w:val="none"/>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highlight w:val="none"/>
        </w:rPr>
      </w:r>
      <w:r/>
    </w:p>
    <w:p>
      <w:pPr>
        <w:pStyle w:val="893"/>
        <w:ind w:firstLine="2512"/>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b/>
          <w:sz w:val="36"/>
          <w:szCs w:val="36"/>
          <w:highlight w:val="none"/>
        </w:rPr>
        <w:t xml:space="preserve">第一章  投标邀请</w:t>
      </w:r>
      <w:r>
        <w:rPr>
          <w:rFonts w:hint="eastAsia" w:ascii="仿宋" w:hAnsi="仿宋" w:eastAsia="仿宋"/>
          <w:b/>
          <w:sz w:val="36"/>
          <w:szCs w:val="36"/>
          <w:highlight w:val="none"/>
        </w:rPr>
      </w:r>
      <w:r/>
    </w:p>
    <w:p>
      <w:pPr>
        <w:pStyle w:val="893"/>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受淮安市消防救援支队的委托，淮安市政府采购中心就2026年度民生实事消防快速处置队装备器材采购项目政府采购项目进行公开招标采购，现邀请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rPr>
          <w:rFonts w:hint="eastAsia" w:ascii="仿宋" w:hAnsi="仿宋" w:eastAsia="仿宋"/>
          <w:sz w:val="28"/>
          <w:szCs w:val="28"/>
          <w:highlight w:val="none"/>
        </w:rPr>
      </w:r>
      <w:r/>
    </w:p>
    <w:p>
      <w:pPr>
        <w:pStyle w:val="893"/>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74498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744980"/>
                        </a:xfrm>
                        <a:prstGeom prst="rect">
                          <a:avLst/>
                        </a:prstGeom>
                        <a:solidFill>
                          <a:srgbClr val="FFFFFF"/>
                        </a:solidFill>
                        <a:ln>
                          <a:solidFill>
                            <a:srgbClr val="000000"/>
                          </a:solidFill>
                        </a:ln>
                      </wps:spPr>
                      <wps:txbx>
                        <w:txbxContent>
                          <w:p>
                            <w:pPr>
                              <w:pStyle w:val="893"/>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2026年度民生实事消防快速处置队装备器材采购项目</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月16日9点30分（北京时间）前提交投标文件。</w:t>
                            </w:r>
                            <w:r>
                              <w:rPr>
                                <w:rFonts w:ascii="仿宋" w:hAnsi="仿宋" w:eastAsia="仿宋"/>
                                <w:sz w:val="28"/>
                                <w:szCs w:val="28"/>
                              </w:rPr>
                            </w:r>
                            <w:r/>
                          </w:p>
                          <w:p>
                            <w:pPr>
                              <w:pStyle w:val="893"/>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137.4pt;mso-wrap-distance-left:9.0pt;mso-wrap-distance-top:0.0pt;mso-wrap-distance-right:9.0pt;mso-wrap-distance-bottom:0.0pt;visibility:visible;" fillcolor="#FFFFFF" strokecolor="#000000">
                <v:textbox inset="0,0,0,0">
                  <w:txbxContent>
                    <w:p>
                      <w:pPr>
                        <w:pStyle w:val="893"/>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2026年度民生实事消防快速处置队装备器材采购项目</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月16日9点30分（北京时间）前提交投标文件。</w:t>
                      </w:r>
                      <w:r>
                        <w:rPr>
                          <w:rFonts w:ascii="仿宋" w:hAnsi="仿宋" w:eastAsia="仿宋"/>
                          <w:sz w:val="28"/>
                          <w:szCs w:val="28"/>
                        </w:rPr>
                      </w:r>
                      <w:r/>
                    </w:p>
                    <w:p>
                      <w:pPr>
                        <w:pStyle w:val="893"/>
                      </w:pPr>
                      <w:r/>
                      <w:r/>
                    </w:p>
                  </w:txbxContent>
                </v:textbox>
              </v:shape>
            </w:pict>
          </mc:Fallback>
        </mc:AlternateContent>
      </w:r>
      <w:r>
        <w:rPr>
          <w:rFonts w:hint="eastAsia" w:ascii="仿宋" w:hAnsi="仿宋" w:eastAsia="仿宋"/>
          <w:sz w:val="28"/>
          <w:szCs w:val="28"/>
          <w:highlight w:val="none"/>
        </w:rPr>
      </w:r>
      <w:r/>
    </w:p>
    <w:p>
      <w:pPr>
        <w:pStyle w:val="893"/>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3"/>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3"/>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3"/>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一、项目基本情况</w:t>
      </w:r>
      <w:r>
        <w:rPr>
          <w:rFonts w:ascii="仿宋" w:hAnsi="仿宋" w:eastAsia="仿宋"/>
          <w:sz w:val="28"/>
          <w:szCs w:val="28"/>
          <w:highlight w:val="none"/>
        </w:rPr>
      </w:r>
      <w:r/>
    </w:p>
    <w:p>
      <w:pPr>
        <w:pStyle w:val="893"/>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（一）项目编号:JSZC-320800-JZCG-G2026-0048</w:t>
      </w:r>
      <w:r>
        <w:rPr>
          <w:rFonts w:hint="eastAsia"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（二）项目名称:</w:t>
      </w:r>
      <w:r>
        <w:rPr>
          <w:rFonts w:hint="eastAsia" w:ascii="仿宋" w:hAnsi="仿宋" w:eastAsia="仿宋"/>
          <w:bCs/>
          <w:sz w:val="28"/>
          <w:highlight w:val="none"/>
        </w:rPr>
        <w:t xml:space="preserve">2026年度民生实事消防快速处置队装备器材采购项目</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（三）预算金额:</w:t>
      </w:r>
      <w:r>
        <w:rPr>
          <w:rFonts w:hint="eastAsia" w:ascii="仿宋" w:hAnsi="仿宋" w:eastAsia="仿宋"/>
          <w:sz w:val="28"/>
          <w:szCs w:val="28"/>
          <w:highlight w:val="none"/>
          <w:lang w:val="en-US" w:eastAsia="zh-CN"/>
        </w:rPr>
        <w:t xml:space="preserve">300</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（四）最高限价:</w:t>
      </w:r>
      <w:r>
        <w:rPr>
          <w:rFonts w:hint="eastAsia" w:ascii="仿宋" w:hAnsi="仿宋" w:eastAsia="仿宋"/>
          <w:sz w:val="28"/>
          <w:szCs w:val="28"/>
          <w:highlight w:val="none"/>
          <w:lang w:eastAsia="zh-CN"/>
        </w:rPr>
        <w:t xml:space="preserve">总价</w:t>
      </w:r>
      <w:r>
        <w:rPr>
          <w:rFonts w:hint="eastAsia" w:ascii="仿宋" w:hAnsi="仿宋" w:eastAsia="仿宋"/>
          <w:sz w:val="28"/>
          <w:szCs w:val="28"/>
          <w:highlight w:val="none"/>
        </w:rPr>
        <w:t xml:space="preserve">290.76万元</w:t>
      </w:r>
      <w:r>
        <w:rPr>
          <w:rFonts w:hint="eastAsia" w:ascii="仿宋" w:hAnsi="仿宋" w:eastAsia="仿宋"/>
          <w:b/>
          <w:bCs/>
          <w:sz w:val="28"/>
          <w:szCs w:val="28"/>
          <w:highlight w:val="none"/>
        </w:rPr>
        <w:t xml:space="preserve">（注：</w:t>
      </w:r>
      <w:r>
        <w:rPr>
          <w:rFonts w:hint="eastAsia" w:ascii="仿宋" w:hAnsi="仿宋" w:eastAsia="仿宋"/>
          <w:b/>
          <w:bCs/>
          <w:sz w:val="28"/>
          <w:szCs w:val="28"/>
          <w:highlight w:val="none"/>
          <w:lang w:eastAsia="zh-CN"/>
        </w:rPr>
        <w:t xml:space="preserve">单价限价，产品</w:t>
      </w:r>
      <w:r>
        <w:rPr>
          <w:rFonts w:hint="eastAsia" w:ascii="仿宋" w:hAnsi="仿宋" w:eastAsia="仿宋"/>
          <w:b/>
          <w:bCs/>
          <w:sz w:val="28"/>
          <w:szCs w:val="28"/>
          <w:highlight w:val="none"/>
        </w:rPr>
        <w:t xml:space="preserve">单项报价不得超过</w:t>
      </w:r>
      <w:r>
        <w:rPr>
          <w:rFonts w:hint="eastAsia" w:ascii="仿宋" w:hAnsi="仿宋" w:eastAsia="仿宋"/>
          <w:b/>
          <w:bCs/>
          <w:sz w:val="28"/>
          <w:szCs w:val="28"/>
          <w:highlight w:val="none"/>
          <w:lang w:eastAsia="zh-CN"/>
        </w:rPr>
        <w:t xml:space="preserve">第五章中该产品的</w:t>
      </w:r>
      <w:r>
        <w:rPr>
          <w:rFonts w:hint="eastAsia" w:ascii="仿宋" w:hAnsi="仿宋" w:eastAsia="仿宋"/>
          <w:b/>
          <w:bCs/>
          <w:sz w:val="28"/>
          <w:szCs w:val="28"/>
          <w:highlight w:val="none"/>
        </w:rPr>
        <w:t xml:space="preserve">预算控制价）</w:t>
      </w:r>
      <w:r>
        <w:rPr>
          <w:rFonts w:ascii="仿宋" w:hAnsi="仿宋" w:eastAsia="仿宋"/>
          <w:sz w:val="28"/>
          <w:szCs w:val="28"/>
          <w:highlight w:val="none"/>
        </w:rPr>
      </w:r>
      <w:r/>
    </w:p>
    <w:p>
      <w:pPr>
        <w:pStyle w:val="893"/>
        <w:ind w:firstLine="565"/>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（五）采购需求:</w:t>
      </w:r>
      <w:r>
        <w:rPr>
          <w:rFonts w:hint="eastAsia" w:ascii="仿宋" w:hAnsi="仿宋" w:eastAsia="仿宋"/>
          <w:bCs/>
          <w:sz w:val="28"/>
          <w:highlight w:val="none"/>
        </w:rPr>
        <w:t xml:space="preserve">2026年度民生实事消防快速处置队装备器材采购项目</w:t>
      </w:r>
      <w:r>
        <w:rPr>
          <w:rFonts w:hint="eastAsia" w:ascii="仿宋" w:hAnsi="仿宋" w:eastAsia="仿宋"/>
          <w:bCs/>
          <w:sz w:val="28"/>
          <w:highlight w:val="none"/>
          <w:lang w:eastAsia="zh-CN"/>
        </w:rPr>
        <w:t xml:space="preserve">，详见第五章项目采购需求。</w:t>
      </w:r>
      <w:r>
        <w:rPr>
          <w:rFonts w:hint="eastAsia" w:ascii="仿宋" w:hAnsi="仿宋" w:eastAsia="仿宋"/>
          <w:sz w:val="28"/>
          <w:szCs w:val="28"/>
          <w:highlight w:val="none"/>
          <w:lang w:eastAsia="zh-CN"/>
        </w:rPr>
      </w:r>
      <w:r/>
    </w:p>
    <w:p>
      <w:pPr>
        <w:pStyle w:val="893"/>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（六）合同履行期限: 签订合同后60日内将货物送达指定地点，其中便携式泡沫灭火装置30日内完成不低于采购数量50%的供货。   </w:t>
      </w:r>
      <w:r>
        <w:rPr>
          <w:rFonts w:hint="eastAsia" w:ascii="仿宋" w:hAnsi="仿宋" w:eastAsia="仿宋"/>
          <w:sz w:val="28"/>
          <w:szCs w:val="28"/>
          <w:highlight w:val="none"/>
        </w:rPr>
      </w:r>
      <w:r/>
    </w:p>
    <w:p>
      <w:pPr>
        <w:pStyle w:val="893"/>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否）接受联合体投标。</w:t>
      </w:r>
      <w:r>
        <w:rPr>
          <w:rFonts w:hint="eastAsia"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lang w:eastAsia="zh-CN"/>
        </w:rPr>
        <w:t xml:space="preserve">工业</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二、申请人的资格要求:</w:t>
      </w:r>
      <w:r>
        <w:rPr>
          <w:rFonts w:ascii="仿宋" w:hAnsi="仿宋" w:eastAsia="仿宋"/>
          <w:sz w:val="28"/>
          <w:szCs w:val="28"/>
          <w:highlight w:val="none"/>
        </w:rPr>
      </w:r>
      <w:r/>
    </w:p>
    <w:p>
      <w:pPr>
        <w:pStyle w:val="893"/>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（一）符合《中华人民共和国政府采购法》第二十二条规定；</w:t>
      </w:r>
      <w:r>
        <w:rPr>
          <w:rFonts w:hint="eastAsia" w:ascii="仿宋" w:hAnsi="仿宋" w:eastAsia="仿宋"/>
          <w:sz w:val="28"/>
          <w:szCs w:val="28"/>
          <w:highlight w:val="none"/>
        </w:rPr>
      </w:r>
      <w:r/>
    </w:p>
    <w:p>
      <w:pPr>
        <w:pStyle w:val="893"/>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rPr>
          <w:rFonts w:hint="eastAsia" w:ascii="仿宋" w:hAnsi="仿宋" w:eastAsia="仿宋"/>
          <w:sz w:val="28"/>
          <w:szCs w:val="28"/>
          <w:highlight w:val="none"/>
          <w:lang w:val="zh-CN"/>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893"/>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（1）本项目要求投标人以联合体形式参加，中小企业合同金额应当达到的比例为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893"/>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（2）本项目要求投标人进行合同分包，中小企业合同金额应当达到的比例为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893"/>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893"/>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highlight w:val="none"/>
          <w:lang w:val="zh-CN"/>
        </w:rPr>
      </w:r>
      <w:r/>
    </w:p>
    <w:p>
      <w:pPr>
        <w:pStyle w:val="893"/>
        <w:ind w:firstLine="560"/>
        <w:keepLines w:val="0"/>
        <w:keepNext w:val="0"/>
        <w:pageBreakBefore w:val="0"/>
        <w:spacing w:line="520" w:lineRule="exact"/>
        <w:rPr>
          <w:rFonts w:hint="eastAsia" w:ascii="仿宋" w:hAnsi="仿宋" w:eastAsia="仿宋"/>
          <w:color w:val="000000"/>
          <w:sz w:val="28"/>
          <w:szCs w:val="28"/>
          <w:highlight w:val="none"/>
          <w:lang w:val="zh-CN" w:eastAsia="zh-CN"/>
        </w:rPr>
        <w:outlineLvl w:val="9"/>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eastAsia="zh-CN"/>
        </w:rPr>
        <w:t xml:space="preserve">无</w:t>
      </w:r>
      <w:r>
        <w:rPr>
          <w:rFonts w:hint="eastAsia" w:ascii="仿宋" w:hAnsi="仿宋" w:eastAsia="仿宋"/>
          <w:color w:val="000000"/>
          <w:sz w:val="28"/>
          <w:szCs w:val="28"/>
          <w:highlight w:val="none"/>
          <w:lang w:val="zh-CN" w:eastAsia="zh-CN"/>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cs="宋体"/>
          <w:color w:val="000000"/>
          <w:sz w:val="28"/>
          <w:szCs w:val="28"/>
          <w:highlight w:val="none"/>
        </w:rPr>
        <w:t xml:space="preserve">（四）拒绝下述条件的</w:t>
      </w:r>
      <w:r>
        <w:rPr>
          <w:rFonts w:hint="eastAsia" w:ascii="仿宋" w:hAnsi="仿宋" w:eastAsia="仿宋" w:cs="宋体"/>
          <w:color w:val="000000"/>
          <w:sz w:val="28"/>
          <w:szCs w:val="28"/>
          <w:highlight w:val="none"/>
          <w:lang w:eastAsia="zh-CN"/>
        </w:rPr>
        <w:t xml:space="preserve">投标人</w:t>
      </w:r>
      <w:r>
        <w:rPr>
          <w:rFonts w:hint="eastAsia" w:ascii="仿宋" w:hAnsi="仿宋" w:eastAsia="仿宋" w:cs="宋体"/>
          <w:color w:val="000000"/>
          <w:sz w:val="28"/>
          <w:szCs w:val="28"/>
          <w:highlight w:val="none"/>
        </w:rPr>
        <w:t xml:space="preserve">参加本次采购活动:</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单位负责人为同一人或者存在直接控股、管理关系的不同</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rPr>
          <w:rFonts w:hint="eastAsia" w:ascii="仿宋" w:hAnsi="仿宋" w:eastAsia="仿宋"/>
          <w:color w:val="000000"/>
          <w:sz w:val="28"/>
          <w:szCs w:val="28"/>
          <w:highlight w:val="none"/>
        </w:rPr>
      </w:r>
      <w:r/>
    </w:p>
    <w:p>
      <w:pPr>
        <w:pStyle w:val="893"/>
        <w:ind w:firstLine="560"/>
        <w:keepLines w:val="0"/>
        <w:keepNext w:val="0"/>
        <w:pageBreakBefore w:val="0"/>
        <w:spacing w:line="520" w:lineRule="exact"/>
        <w:rPr>
          <w:rFonts w:ascii="仿宋" w:hAnsi="仿宋" w:eastAsia="仿宋"/>
          <w:b/>
          <w:i/>
          <w:color w:val="000000"/>
          <w:sz w:val="28"/>
          <w:szCs w:val="28"/>
          <w:highlight w:val="none"/>
        </w:rPr>
        <w:outlineLvl w:val="9"/>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rPr>
          <w:rFonts w:ascii="仿宋" w:hAnsi="仿宋" w:eastAsia="仿宋"/>
          <w:b/>
          <w:i/>
          <w:color w:val="000000"/>
          <w:sz w:val="28"/>
          <w:szCs w:val="28"/>
          <w:highlight w:val="none"/>
        </w:rPr>
      </w:r>
      <w:r/>
    </w:p>
    <w:p>
      <w:pPr>
        <w:pStyle w:val="893"/>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三、获取招标文件</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（一）时间:自招标公告发布之日起五个工作日。</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（二）方式：在“淮安市政府采购网”自行免费下载招标文件。</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四、提交投标文件截止时间、开标时间和地点</w:t>
      </w:r>
      <w:r>
        <w:rPr>
          <w:rFonts w:ascii="仿宋" w:hAnsi="仿宋" w:eastAsia="仿宋"/>
          <w:sz w:val="28"/>
          <w:szCs w:val="28"/>
          <w:highlight w:val="none"/>
        </w:rPr>
      </w:r>
      <w:r/>
    </w:p>
    <w:p>
      <w:pPr>
        <w:pStyle w:val="893"/>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（一）投标文件提交截止时间及开标时间:202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月16日上午</w:t>
      </w:r>
      <w:r>
        <w:rPr>
          <w:rFonts w:ascii="仿宋" w:hAnsi="仿宋" w:eastAsia="仿宋"/>
          <w:sz w:val="28"/>
          <w:szCs w:val="28"/>
          <w:highlight w:val="none"/>
        </w:rPr>
        <w:t xml:space="preserve">9:30</w:t>
      </w:r>
      <w:r/>
    </w:p>
    <w:p>
      <w:pPr>
        <w:pStyle w:val="893"/>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（二）投标文件上传地址：“苏采云”政府采购交易系统网上开标大厅。</w:t>
      </w:r>
      <w:r>
        <w:rPr>
          <w:rFonts w:ascii="仿宋" w:hAnsi="仿宋" w:eastAsia="仿宋"/>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五、公告期限</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自本公告发布之日起五个工作日。</w:t>
      </w:r>
      <w:r>
        <w:rPr>
          <w:rFonts w:ascii="仿宋" w:hAnsi="仿宋" w:eastAsia="仿宋"/>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六、其他补充事宜</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rPr>
          <w:rFonts w:ascii="仿宋" w:hAnsi="仿宋" w:eastAsia="仿宋"/>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七、对本次采购提出询问，请按以下方式联系。</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1、采购人联系方式</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名称:淮安市消防救援支队</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地址:淮安市经济技术开发区威海路8号</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胡先生</w:t>
      </w:r>
      <w:r>
        <w:rPr>
          <w:rFonts w:hint="eastAsia" w:ascii="仿宋" w:hAnsi="仿宋" w:eastAsia="仿宋"/>
          <w:sz w:val="28"/>
          <w:szCs w:val="28"/>
          <w:highlight w:val="none"/>
          <w:lang w:val="en-US" w:eastAsia="zh-CN"/>
        </w:rPr>
        <w:t xml:space="preserve">  19516886380</w:t>
      </w:r>
      <w:r>
        <w:rPr>
          <w:rFonts w:ascii="仿宋" w:hAnsi="仿宋" w:eastAsia="仿宋"/>
          <w:sz w:val="28"/>
          <w:szCs w:val="28"/>
          <w:highlight w:val="none"/>
          <w:lang w:val="en-US" w:eastAsia="zh-CN"/>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2、采购代理机构信息</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名称:淮安市政府采购中心</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地址:淮安市清江浦区深圳路16号</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刘乃源</w:t>
      </w:r>
      <w:r>
        <w:rPr>
          <w:rFonts w:hint="eastAsia" w:ascii="仿宋" w:hAnsi="仿宋" w:eastAsia="仿宋"/>
          <w:sz w:val="28"/>
          <w:szCs w:val="28"/>
          <w:highlight w:val="none"/>
          <w:lang w:val="en-US" w:eastAsia="zh-CN"/>
        </w:rPr>
        <w:t xml:space="preserve">  0517-80996036</w:t>
      </w:r>
      <w:r>
        <w:rPr>
          <w:rFonts w:ascii="仿宋" w:hAnsi="仿宋" w:eastAsia="仿宋"/>
          <w:sz w:val="28"/>
          <w:szCs w:val="28"/>
          <w:highlight w:val="none"/>
          <w:lang w:val="en-US" w:eastAsia="zh-CN"/>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八、其他</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highlight w:val="none"/>
        </w:rPr>
      </w:r>
      <w:r/>
    </w:p>
    <w:p>
      <w:pPr>
        <w:pStyle w:val="893"/>
        <w:ind w:firstLine="565"/>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有关本次招标的事项若存在变动或修改，敬请及时关注淮安市政府采购中心在“淮安市政府采购网”发布的更正公告。</w:t>
      </w:r>
      <w:r>
        <w:rPr>
          <w:rFonts w:hint="eastAsia"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本次招标不收取投标保证金。</w:t>
      </w:r>
      <w:r>
        <w:rPr>
          <w:rFonts w:ascii="仿宋" w:hAnsi="仿宋" w:eastAsia="仿宋"/>
          <w:sz w:val="28"/>
          <w:szCs w:val="28"/>
          <w:highlight w:val="none"/>
        </w:rPr>
      </w:r>
      <w:r/>
    </w:p>
    <w:p>
      <w:pPr>
        <w:pStyle w:val="893"/>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第二章  投标人须知</w:t>
      </w:r>
      <w:r>
        <w:rPr>
          <w:rFonts w:hint="eastAsia" w:ascii="仿宋" w:hAnsi="仿宋" w:eastAsia="仿宋"/>
          <w:b/>
          <w:sz w:val="36"/>
          <w:szCs w:val="36"/>
          <w:highlight w:val="none"/>
        </w:rPr>
      </w:r>
      <w:r/>
    </w:p>
    <w:p>
      <w:pPr>
        <w:pStyle w:val="893"/>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一、总则</w:t>
      </w:r>
      <w:r>
        <w:rPr>
          <w:rFonts w:hint="eastAsia" w:ascii="仿宋" w:hAnsi="仿宋" w:eastAsia="仿宋"/>
          <w:b/>
          <w:sz w:val="32"/>
          <w:szCs w:val="32"/>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1.适用范围</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本招标文件仅适用于本次投标邀请中所述项目的采购。</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2.合格的投标人</w:t>
      </w:r>
      <w:r>
        <w:rPr>
          <w:rFonts w:hint="eastAsia" w:ascii="仿宋" w:hAnsi="仿宋" w:eastAsia="仿宋"/>
          <w:sz w:val="28"/>
          <w:szCs w:val="28"/>
          <w:highlight w:val="none"/>
        </w:rPr>
      </w:r>
      <w:r/>
    </w:p>
    <w:p>
      <w:pPr>
        <w:pStyle w:val="893"/>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 满足第一章投标邀请中投标人资格要求的规定。 </w:t>
      </w:r>
      <w:r>
        <w:rPr>
          <w:rFonts w:hint="eastAsia" w:ascii="仿宋" w:hAnsi="仿宋" w:eastAsia="仿宋"/>
          <w:sz w:val="28"/>
          <w:szCs w:val="28"/>
          <w:highlight w:val="none"/>
        </w:rPr>
      </w:r>
      <w:r/>
    </w:p>
    <w:p>
      <w:pPr>
        <w:pStyle w:val="893"/>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2.2 满足招标文件中实质性条款的规定。</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3.适用法律</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3.1 《中华人民共和国政府采购法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中华人民共和国政府采购法实施条例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政府采购货物和服务招标投标管理办法》等有关法律、规章和规定等。</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3.2 在本项目政府采购活动过程中，如果所执行的标准有更新的，按照最新标准执行。</w:t>
      </w:r>
      <w:r>
        <w:rPr>
          <w:rFonts w:ascii="仿宋" w:hAnsi="仿宋" w:eastAsia="仿宋"/>
          <w:sz w:val="28"/>
          <w:szCs w:val="28"/>
          <w:highlight w:val="none"/>
          <w:lang w:val="en-US" w:eastAsia="zh-CN"/>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4.投标费用</w:t>
      </w:r>
      <w:r>
        <w:rPr>
          <w:rFonts w:hint="eastAsia" w:ascii="仿宋" w:hAnsi="仿宋" w:eastAsia="仿宋"/>
          <w:sz w:val="28"/>
          <w:szCs w:val="28"/>
          <w:highlight w:val="none"/>
        </w:rPr>
      </w:r>
      <w:r/>
    </w:p>
    <w:p>
      <w:pPr>
        <w:pStyle w:val="893"/>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highlight w:val="none"/>
        </w:rPr>
      </w:r>
      <w:r/>
    </w:p>
    <w:p>
      <w:pPr>
        <w:pStyle w:val="893"/>
        <w:ind w:firstLine="555"/>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rPr>
        <w:t xml:space="preserve">4.2</w:t>
      </w:r>
      <w:r>
        <w:rPr>
          <w:rFonts w:hint="eastAsia" w:ascii="仿宋" w:hAnsi="仿宋" w:eastAsia="仿宋"/>
          <w:b/>
          <w:bCs/>
          <w:sz w:val="28"/>
          <w:szCs w:val="28"/>
          <w:highlight w:val="none"/>
          <w:lang w:val="en-US" w:eastAsia="zh-CN"/>
        </w:rPr>
        <w:t xml:space="preserve"> </w:t>
      </w:r>
      <w:r>
        <w:rPr>
          <w:rFonts w:hint="eastAsia" w:ascii="仿宋" w:hAnsi="仿宋" w:eastAsia="仿宋"/>
          <w:b/>
          <w:bCs/>
          <w:sz w:val="28"/>
          <w:szCs w:val="28"/>
          <w:highlight w:val="none"/>
        </w:rPr>
        <w:t xml:space="preserve">本次采购项目不得以任何形式向投标人收取标书工本费及专家评审费。</w:t>
      </w:r>
      <w:r>
        <w:rPr>
          <w:rFonts w:hint="eastAsia" w:ascii="仿宋" w:hAnsi="仿宋" w:eastAsia="仿宋"/>
          <w:b/>
          <w:bCs/>
          <w:sz w:val="28"/>
          <w:szCs w:val="28"/>
          <w:highlight w:val="none"/>
        </w:rPr>
      </w:r>
      <w:r/>
    </w:p>
    <w:p>
      <w:pPr>
        <w:pStyle w:val="893"/>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文件的约束力</w:t>
      </w:r>
      <w:r>
        <w:rPr>
          <w:rFonts w:hint="eastAsia" w:ascii="仿宋" w:hAnsi="仿宋" w:eastAsia="仿宋"/>
          <w:sz w:val="28"/>
          <w:szCs w:val="28"/>
          <w:highlight w:val="none"/>
        </w:rPr>
      </w:r>
      <w:r/>
    </w:p>
    <w:p>
      <w:pPr>
        <w:pStyle w:val="89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一旦参加本项目采购活动，即被认为接受了本</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文件的规定和约束。</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二、招标文件</w:t>
      </w:r>
      <w:r>
        <w:rPr>
          <w:rFonts w:hint="eastAsia" w:ascii="仿宋" w:hAnsi="仿宋" w:eastAsia="仿宋"/>
          <w:b/>
          <w:sz w:val="32"/>
          <w:szCs w:val="32"/>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.招标文件由以下部分组成:</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投标邀请</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投标人须知</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评标方法与评标标准</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 </w:t>
      </w:r>
      <w:r>
        <w:rPr>
          <w:rFonts w:hint="eastAsia" w:ascii="仿宋" w:hAnsi="仿宋" w:eastAsia="仿宋"/>
          <w:sz w:val="28"/>
          <w:szCs w:val="28"/>
          <w:highlight w:val="none"/>
        </w:rPr>
        <w:t xml:space="preserve">合同格式及条款</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项目采购需求</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.招标文件的</w:t>
      </w:r>
      <w:r>
        <w:rPr>
          <w:rFonts w:hint="eastAsia" w:ascii="仿宋" w:hAnsi="仿宋" w:eastAsia="仿宋"/>
          <w:sz w:val="28"/>
          <w:szCs w:val="28"/>
          <w:highlight w:val="none"/>
          <w:lang w:eastAsia="zh-CN"/>
        </w:rPr>
        <w:t xml:space="preserve">更正或补充</w:t>
      </w:r>
      <w:r>
        <w:rPr>
          <w:rFonts w:hint="eastAsia" w:ascii="仿宋" w:hAnsi="仿宋" w:eastAsia="仿宋"/>
          <w:sz w:val="28"/>
          <w:szCs w:val="28"/>
          <w:highlight w:val="none"/>
          <w:lang w:eastAsia="zh-CN"/>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7.1 在投标截止时间前，采购中心可以对招标文件进行修改。</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7.2 采购中心有权按照法定的要求推迟投标截止日期和开标日期。</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7.3 招标文件的修改将在江苏政府采购网</w:t>
      </w:r>
      <w:r>
        <w:rPr>
          <w:rFonts w:hint="eastAsia" w:ascii="仿宋" w:hAnsi="仿宋" w:eastAsia="仿宋"/>
          <w:sz w:val="28"/>
          <w:szCs w:val="28"/>
          <w:highlight w:val="none"/>
          <w:lang w:eastAsia="zh-CN"/>
        </w:rPr>
        <w:t xml:space="preserve">、淮安市政府采购网</w:t>
      </w:r>
      <w:r>
        <w:rPr>
          <w:rFonts w:hint="eastAsia" w:ascii="仿宋" w:hAnsi="仿宋" w:eastAsia="仿宋"/>
          <w:sz w:val="28"/>
          <w:szCs w:val="28"/>
          <w:highlight w:val="none"/>
        </w:rPr>
        <w:t xml:space="preserve">公布，补充文件将作为招标文件的组成部分，并对投标人具有约束力。</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三、投标文件的编制</w:t>
      </w:r>
      <w:r>
        <w:rPr>
          <w:rFonts w:hint="eastAsia" w:ascii="仿宋" w:hAnsi="仿宋" w:eastAsia="仿宋"/>
          <w:b/>
          <w:sz w:val="32"/>
          <w:szCs w:val="32"/>
          <w:highlight w:val="none"/>
        </w:rPr>
      </w:r>
      <w:r/>
    </w:p>
    <w:p>
      <w:pPr>
        <w:pStyle w:val="893"/>
        <w:keepLines w:val="0"/>
        <w:keepNext w:val="0"/>
        <w:pageBreakBefore w:val="0"/>
        <w:spacing w:line="520" w:lineRule="exact"/>
        <w:rPr>
          <w:rFonts w:ascii="仿宋" w:hAnsi="仿宋" w:eastAsia="仿宋"/>
          <w:sz w:val="28"/>
          <w:szCs w:val="28"/>
          <w:highlight w:val="none"/>
        </w:rPr>
        <w:outlineLvl w:val="9"/>
      </w:pPr>
      <w:r/>
      <w:bookmarkStart w:id="0" w:name="_Toc20823286"/>
      <w:r/>
      <w:bookmarkStart w:id="1" w:name="_Toc462564073"/>
      <w:r/>
      <w:bookmarkStart w:id="2" w:name="_Toc513029214"/>
      <w:r/>
      <w:bookmarkStart w:id="3" w:name="_Toc16938530"/>
      <w:r>
        <w:rPr>
          <w:rFonts w:hint="eastAsia" w:ascii="仿宋" w:hAnsi="仿宋" w:eastAsia="仿宋"/>
          <w:sz w:val="28"/>
          <w:szCs w:val="28"/>
          <w:highlight w:val="none"/>
        </w:rPr>
        <w:t xml:space="preserve">8.投标文件的语言及度量衡单位</w:t>
      </w:r>
      <w:bookmarkEnd w:id="0"/>
      <w:r/>
      <w:bookmarkEnd w:id="1"/>
      <w:r/>
      <w:bookmarkEnd w:id="2"/>
      <w:r/>
      <w:bookmarkEnd w:id="3"/>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8.1 投标人提交的投标文件以及投标人与采购中心就有关投标的所有来往通知、函件和文件均应使用简体中文。</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8.2 除技术性能另有规定外，投标文件所使用的度量衡单位，均须采用国家法定计量单位。</w:t>
      </w:r>
      <w:r>
        <w:rPr>
          <w:rFonts w:hint="eastAsia"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9.投标文件构成</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的投标材料，未按招标文件要求在指定模块上传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的投标材料的，</w:t>
      </w:r>
      <w:r>
        <w:rPr>
          <w:rFonts w:hint="eastAsia" w:ascii="仿宋" w:hAnsi="仿宋" w:eastAsia="仿宋"/>
          <w:sz w:val="28"/>
          <w:szCs w:val="28"/>
          <w:highlight w:val="none"/>
        </w:rPr>
        <w:t xml:space="preserve">视同未提交该投标材料处理。</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9.2 如标书制作工具中格式和内容与“中国政府采购网”</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“淮安市政府采购网”发布的招标文件不一致，请以“中国政府采购网”</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“淮安市政府采购网”发布的招标文件为准。</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10.证明投标人及投标标的符合招标文件规定的文件</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10.1 投标人应按照招标文件要求提交证明文件，证明其及投标标的符合招标文件规定。</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10.2招标文件对证明文件无明确形式要求的，证明文件可以以文字资料、图纸和数据等形式提交。</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11.投标分项报价表</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11.1 投标人应按照招标文件规定格式填报投标分项报价表。</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投标货币。投标文件中的单价和总价无特殊规定的采用人民币报价，以元为单位标注。招标文件中另有规定的按规定执行。</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12.技术要求响应及偏离表、商务要求响应及偏离表（如有）</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12.1 投标人需对招标文件中的技术要求与商务要求逐项作出响应或偏离，并说明原因。</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12.2 投标人可在投标文件中提供认为需要的其他技术文件或说明。</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13.服务承诺、培训计划、人员安排及其他（如有）</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13.2 投标人需根据招标文件要求提供培训计划。</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投标人需根据招标文件要求提供所投标的的主要组成部分、功能设计、实现思路及关键技术等。</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bookmarkStart w:id="4" w:name="_Toc14577359"/>
      <w:r/>
      <w:bookmarkStart w:id="5" w:name="_Toc49090510"/>
      <w:r>
        <w:rPr>
          <w:rFonts w:hint="eastAsia" w:ascii="仿宋" w:hAnsi="仿宋" w:eastAsia="仿宋"/>
          <w:sz w:val="28"/>
          <w:szCs w:val="28"/>
          <w:highlight w:val="none"/>
        </w:rPr>
        <w:t xml:space="preserve">14.投标函和开标一览表</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14.1 投标人应按照招标文件中提供的格式完整、正确填写投标函、开标一览表。</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color w:val="ff0000"/>
          <w:sz w:val="28"/>
          <w:szCs w:val="28"/>
          <w:highlight w:val="none"/>
        </w:rPr>
        <w:outlineLvl w:val="9"/>
      </w:pPr>
      <w:r>
        <w:rPr>
          <w:rFonts w:hint="eastAsia" w:ascii="仿宋" w:hAnsi="仿宋" w:eastAsia="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bookmarkEnd w:id="4"/>
      <w:r/>
      <w:bookmarkEnd w:id="5"/>
      <w:r/>
      <w:bookmarkStart w:id="6" w:name="_Toc14577360"/>
      <w:r/>
      <w:bookmarkStart w:id="7" w:name="_Toc49090511"/>
      <w:r>
        <w:rPr>
          <w:rFonts w:hint="eastAsia" w:ascii="仿宋" w:hAnsi="仿宋" w:eastAsia="仿宋"/>
          <w:sz w:val="28"/>
          <w:szCs w:val="28"/>
          <w:highlight w:val="none"/>
        </w:rPr>
        <w:t xml:space="preserve">15.投标有效期</w:t>
      </w:r>
      <w:bookmarkEnd w:id="6"/>
      <w:r/>
      <w:bookmarkEnd w:id="7"/>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15.1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投标有效期为采购中心规定的开标之日后</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0）天。投标有效期比规定短的将被视为未实质性响应招标文件而予以拒绝。</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16.投标有效期的延长</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lang w:eastAsia="zh-CN"/>
        </w:rPr>
        <w:t xml:space="preserve">（如本项目涉及的话）</w:t>
      </w:r>
      <w:r>
        <w:rPr>
          <w:rFonts w:hint="eastAsia" w:ascii="仿宋" w:hAnsi="仿宋" w:eastAsia="仿宋"/>
          <w:bCs/>
          <w:sz w:val="28"/>
          <w:szCs w:val="28"/>
          <w:highlight w:val="none"/>
          <w:lang w:eastAsia="zh-CN"/>
        </w:rPr>
      </w:r>
      <w:r/>
    </w:p>
    <w:p>
      <w:pPr>
        <w:pStyle w:val="893"/>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17.1</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本项目评标标准中的方案部分采用暗标方式进行评审。</w:t>
      </w:r>
      <w:r>
        <w:rPr>
          <w:rFonts w:hint="eastAsia" w:ascii="仿宋" w:hAnsi="仿宋" w:eastAsia="仿宋"/>
          <w:bCs/>
          <w:sz w:val="28"/>
          <w:szCs w:val="28"/>
          <w:highlight w:val="none"/>
        </w:rPr>
      </w:r>
      <w:r/>
    </w:p>
    <w:p>
      <w:pPr>
        <w:pStyle w:val="893"/>
        <w:ind w:firstLine="560"/>
        <w:keepLines w:val="0"/>
        <w:keepNext w:val="0"/>
        <w:pageBreakBefore w:val="0"/>
        <w:spacing w:line="520" w:lineRule="exact"/>
        <w:rPr>
          <w:rFonts w:ascii="仿宋" w:hAnsi="仿宋" w:eastAsia="仿宋"/>
          <w:bCs/>
          <w:sz w:val="28"/>
          <w:szCs w:val="28"/>
          <w:highlight w:val="none"/>
        </w:rPr>
        <w:outlineLvl w:val="9"/>
      </w:pPr>
      <w:r>
        <w:rPr>
          <w:rFonts w:hint="eastAsia" w:ascii="仿宋" w:hAnsi="仿宋" w:eastAsia="仿宋"/>
          <w:bCs/>
          <w:sz w:val="28"/>
          <w:szCs w:val="28"/>
          <w:highlight w:val="none"/>
        </w:rPr>
        <w:t xml:space="preserve">17.2</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方案部分采用暗标方式进行评审的编制要求：</w:t>
      </w:r>
      <w:r>
        <w:rPr>
          <w:rFonts w:ascii="仿宋" w:hAnsi="仿宋" w:eastAsia="仿宋"/>
          <w:bCs/>
          <w:sz w:val="28"/>
          <w:szCs w:val="28"/>
          <w:highlight w:val="none"/>
        </w:rPr>
      </w:r>
      <w:r/>
    </w:p>
    <w:p>
      <w:pPr>
        <w:pStyle w:val="893"/>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rPr>
          <w:rFonts w:hint="eastAsia" w:ascii="仿宋" w:hAnsi="仿宋" w:eastAsia="仿宋"/>
          <w:bCs/>
          <w:sz w:val="28"/>
          <w:szCs w:val="28"/>
          <w:highlight w:val="none"/>
        </w:rPr>
      </w:r>
      <w:r/>
    </w:p>
    <w:p>
      <w:pPr>
        <w:pStyle w:val="893"/>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17.3</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应按第17.2的要求编制方案，经三分之二评委认定，</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未按第17.2的要求编制方案的，按未提供方案处理。</w:t>
      </w:r>
      <w:r>
        <w:rPr>
          <w:rFonts w:hint="eastAsia" w:ascii="仿宋" w:hAnsi="仿宋" w:eastAsia="仿宋"/>
          <w:bCs/>
          <w:sz w:val="28"/>
          <w:szCs w:val="28"/>
          <w:highlight w:val="none"/>
        </w:rPr>
      </w:r>
      <w:r/>
    </w:p>
    <w:p>
      <w:pPr>
        <w:pStyle w:val="893"/>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四、投标文件上传</w:t>
      </w:r>
      <w:r>
        <w:rPr>
          <w:rFonts w:hint="eastAsia" w:ascii="仿宋" w:hAnsi="仿宋" w:eastAsia="仿宋"/>
          <w:b/>
          <w:sz w:val="32"/>
          <w:szCs w:val="32"/>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18.投标文件的上传</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18.1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cs="宋体"/>
          <w:bCs/>
          <w:sz w:val="28"/>
          <w:szCs w:val="28"/>
          <w:highlight w:val="none"/>
          <w:lang w:val="zh-CN"/>
        </w:rPr>
        <w:outlineLvl w:val="9"/>
      </w:pPr>
      <w:r>
        <w:rPr>
          <w:rFonts w:hint="eastAsia" w:ascii="仿宋" w:hAnsi="仿宋" w:eastAsia="仿宋"/>
          <w:sz w:val="28"/>
          <w:szCs w:val="28"/>
          <w:highlight w:val="none"/>
        </w:rPr>
        <w:t xml:space="preserve">18.2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rPr>
          <w:rFonts w:hint="eastAsia" w:ascii="仿宋" w:hAnsi="仿宋" w:eastAsia="仿宋" w:cs="宋体"/>
          <w:bCs/>
          <w:sz w:val="28"/>
          <w:szCs w:val="28"/>
          <w:highlight w:val="none"/>
          <w:lang w:val="zh-CN"/>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投标人上传电子投标文件的时间不得迟于投标邀请中规定的截止时间。</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19.投标文件被拒绝接收的情形</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在招标文件规定的提交投标文件截止时间后上传的电子投标文件。</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b/>
          <w:sz w:val="28"/>
          <w:szCs w:val="28"/>
          <w:highlight w:val="none"/>
        </w:rPr>
        <w:outlineLvl w:val="9"/>
      </w:pPr>
      <w:r>
        <w:rPr>
          <w:rFonts w:hint="eastAsia" w:ascii="仿宋" w:hAnsi="仿宋" w:eastAsia="仿宋"/>
          <w:sz w:val="28"/>
          <w:szCs w:val="28"/>
          <w:highlight w:val="none"/>
        </w:rPr>
        <w:t xml:space="preserve">20.投标文件的修改和撤回</w:t>
      </w:r>
      <w:r>
        <w:rPr>
          <w:rFonts w:hint="eastAsia" w:ascii="仿宋" w:hAnsi="仿宋" w:eastAsia="仿宋"/>
          <w:b/>
          <w:sz w:val="28"/>
          <w:szCs w:val="28"/>
          <w:highlight w:val="none"/>
        </w:rPr>
      </w:r>
      <w:r/>
    </w:p>
    <w:p>
      <w:pPr>
        <w:pStyle w:val="893"/>
        <w:ind w:firstLine="560"/>
        <w:keepLines w:val="0"/>
        <w:keepNext w:val="0"/>
        <w:pageBreakBefore w:val="0"/>
        <w:spacing w:line="520" w:lineRule="exact"/>
        <w:rPr>
          <w:rFonts w:hint="eastAsia" w:ascii="仿宋" w:hAnsi="仿宋" w:eastAsia="仿宋"/>
          <w:color w:val="ff0000"/>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投标人不得在开标时间以后修改电子投标文件。</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投标人不得在提交电子投标文件截止时间起至投标有效期满前撤回电子投标文件。</w:t>
      </w:r>
      <w:r>
        <w:rPr>
          <w:rFonts w:hint="eastAsia" w:ascii="仿宋" w:hAnsi="仿宋" w:eastAsia="仿宋"/>
          <w:sz w:val="28"/>
          <w:szCs w:val="28"/>
          <w:highlight w:val="none"/>
        </w:rPr>
      </w:r>
      <w:r/>
    </w:p>
    <w:p>
      <w:pPr>
        <w:pStyle w:val="893"/>
        <w:numPr>
          <w:ilvl w:val="0"/>
          <w:numId w:val="4"/>
        </w:numPr>
        <w:keepLines w:val="0"/>
        <w:keepNext w:val="0"/>
        <w:pageBreakBefore w:val="0"/>
        <w:spacing w:line="520" w:lineRule="exact"/>
        <w:rPr>
          <w:rFonts w:hint="eastAsia" w:ascii="仿宋" w:hAnsi="仿宋" w:eastAsia="仿宋"/>
          <w:b/>
          <w:sz w:val="32"/>
          <w:szCs w:val="32"/>
          <w:highlight w:val="none"/>
        </w:rPr>
        <w:outlineLvl w:val="9"/>
      </w:pPr>
      <w:r/>
      <w:bookmarkStart w:id="8" w:name="_Toc162083530"/>
      <w:r>
        <w:rPr>
          <w:rFonts w:hint="eastAsia" w:ascii="仿宋" w:hAnsi="仿宋" w:eastAsia="仿宋"/>
          <w:b/>
          <w:sz w:val="32"/>
          <w:szCs w:val="32"/>
          <w:highlight w:val="none"/>
        </w:rPr>
        <w:t xml:space="preserve">开标及评标</w:t>
      </w:r>
      <w:r>
        <w:rPr>
          <w:rFonts w:hint="eastAsia" w:ascii="仿宋" w:hAnsi="仿宋" w:eastAsia="仿宋"/>
          <w:b/>
          <w:sz w:val="32"/>
          <w:szCs w:val="32"/>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bookmarkEnd w:id="8"/>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.开标</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.1 采购中心将在招标公告中规定的时间和地点组织开标。投标人应当按照《操作手册》规定，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开标仪式由采购中心组织。苏采云系统将自动对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投标人在开标过程中</w:t>
      </w:r>
      <w:r>
        <w:rPr>
          <w:rFonts w:hint="eastAsia" w:ascii="仿宋" w:hAnsi="仿宋" w:eastAsia="仿宋"/>
          <w:sz w:val="28"/>
          <w:szCs w:val="28"/>
          <w:highlight w:val="none"/>
          <w:lang w:eastAsia="zh-CN"/>
        </w:rPr>
        <w:t xml:space="preserve">涉及</w:t>
      </w:r>
      <w:r>
        <w:rPr>
          <w:rFonts w:hint="eastAsia" w:ascii="仿宋" w:hAnsi="仿宋" w:eastAsia="仿宋"/>
          <w:sz w:val="28"/>
          <w:szCs w:val="28"/>
          <w:highlight w:val="none"/>
        </w:rPr>
        <w:t xml:space="preserve">的投标文件解密、开标结果确认等工作，应按照《操作手册》规定执行。</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bookmarkStart w:id="9" w:name="_Toc16938547"/>
      <w:r/>
      <w:bookmarkStart w:id="10" w:name="_Toc20823303"/>
      <w:r/>
      <w:bookmarkStart w:id="11" w:name="_Toc513029231"/>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.评标委员会</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开标后，采购中心将立即组织评标委员会（以下简称评委会）进行评标。</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 评委会由采购人代表和有关技术、经济等方面的专家组成，且人员构成符合政府采购有关规定。</w:t>
      </w:r>
      <w:r>
        <w:rPr>
          <w:rFonts w:ascii="仿宋" w:hAnsi="仿宋" w:eastAsia="仿宋"/>
          <w:sz w:val="28"/>
          <w:szCs w:val="28"/>
          <w:highlight w:val="none"/>
        </w:rPr>
      </w:r>
      <w:r/>
    </w:p>
    <w:p>
      <w:pPr>
        <w:pStyle w:val="893"/>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评委会独立工作，负责评审所有投标文件并确定中标</w:t>
      </w:r>
      <w:r>
        <w:rPr>
          <w:rFonts w:hint="eastAsia" w:ascii="仿宋" w:hAnsi="仿宋" w:eastAsia="仿宋"/>
          <w:sz w:val="28"/>
          <w:szCs w:val="28"/>
          <w:highlight w:val="none"/>
          <w:lang w:eastAsia="zh-CN"/>
        </w:rPr>
        <w:t xml:space="preserve">候</w:t>
      </w:r>
      <w:r>
        <w:rPr>
          <w:rFonts w:hint="eastAsia" w:ascii="仿宋" w:hAnsi="仿宋" w:eastAsia="仿宋"/>
          <w:sz w:val="28"/>
          <w:szCs w:val="28"/>
          <w:highlight w:val="none"/>
        </w:rPr>
        <w:t xml:space="preserve">选人。</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．评标过程的保密与公正</w:t>
      </w:r>
      <w:bookmarkEnd w:id="9"/>
      <w:r/>
      <w:bookmarkEnd w:id="10"/>
      <w:r/>
      <w:bookmarkEnd w:id="11"/>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凡是与审查、澄清、评价和比较投标的有关资料以及</w:t>
      </w:r>
      <w:r>
        <w:rPr>
          <w:rFonts w:hint="eastAsia" w:ascii="仿宋" w:hAnsi="仿宋" w:eastAsia="仿宋"/>
          <w:sz w:val="28"/>
          <w:szCs w:val="28"/>
          <w:highlight w:val="none"/>
          <w:lang w:eastAsia="zh-CN"/>
        </w:rPr>
        <w:t xml:space="preserve">投标</w:t>
      </w:r>
      <w:r>
        <w:rPr>
          <w:rFonts w:hint="eastAsia" w:ascii="仿宋" w:hAnsi="仿宋" w:eastAsia="仿宋"/>
          <w:sz w:val="28"/>
          <w:szCs w:val="28"/>
          <w:highlight w:val="none"/>
        </w:rPr>
        <w:t xml:space="preserve">建议等，采购人、评委、采购中心均不得向投标人或与评标无关的其他人员透露。</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在评标过程中，投标人不得以任何行为影响评标过程，否则其投标文件将被作为无效投标文件。</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采购中心和评标委员会不向未中标的投标人解释未中标原因，也不公布评标过程中的相关细节。</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bookmarkStart w:id="12" w:name="_Toc20823304"/>
      <w:r/>
      <w:bookmarkStart w:id="13" w:name="_Toc513029232"/>
      <w:r/>
      <w:bookmarkStart w:id="14" w:name="_Toc16938548"/>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．投标文件的澄清</w:t>
      </w:r>
      <w:bookmarkEnd w:id="12"/>
      <w:r/>
      <w:bookmarkEnd w:id="13"/>
      <w:r/>
      <w:bookmarkEnd w:id="14"/>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bookmarkStart w:id="15" w:name="_Toc16938549"/>
      <w:r/>
      <w:bookmarkStart w:id="16" w:name="_Toc513029233"/>
      <w:r/>
      <w:bookmarkStart w:id="17" w:name="_Toc20823305"/>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投标人的澄清、说明或者补正不得超出投标文件的范围或者改变投标文件的实质性内容。</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需要</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进行澄清、说明和补正的，评委会将通过苏采云系统向</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 接到评委会澄清、说明和补正要求的投标人如未按规定</w:t>
      </w:r>
      <w:r>
        <w:rPr>
          <w:rFonts w:hint="eastAsia" w:ascii="仿宋" w:hAnsi="仿宋" w:eastAsia="仿宋"/>
          <w:sz w:val="28"/>
          <w:szCs w:val="28"/>
          <w:highlight w:val="none"/>
          <w:lang w:eastAsia="zh-CN"/>
        </w:rPr>
        <w:t xml:space="preserve">作出</w:t>
      </w:r>
      <w:r>
        <w:rPr>
          <w:rFonts w:hint="eastAsia" w:ascii="仿宋" w:hAnsi="仿宋" w:eastAsia="仿宋"/>
          <w:sz w:val="28"/>
          <w:szCs w:val="28"/>
          <w:highlight w:val="none"/>
        </w:rPr>
        <w:t xml:space="preserve">澄清、说明和补正，其风险由投标人自行承担。</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.对投标文件的初审</w:t>
      </w:r>
      <w:bookmarkEnd w:id="15"/>
      <w:r/>
      <w:bookmarkEnd w:id="16"/>
      <w:r/>
      <w:bookmarkEnd w:id="17"/>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投标文件初审分为资格审查和符合性审查。</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接受联合体的项目，两个以上的自然人、法人或者其他组织组成一个联合体，以一个</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的身份共同参加政府采购活动的,联合体成员中任何一方存在不良信用记录的，视同联合体存在不良应用记录。</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如果投标文件实质上没有响应招标文件的要求，评委会将予以拒绝，投标人不得通过修改或撤销</w:t>
      </w:r>
      <w:r>
        <w:rPr>
          <w:rFonts w:hint="eastAsia" w:ascii="仿宋" w:hAnsi="仿宋" w:eastAsia="仿宋"/>
          <w:sz w:val="28"/>
          <w:szCs w:val="28"/>
          <w:highlight w:val="none"/>
          <w:lang w:eastAsia="zh-CN"/>
        </w:rPr>
        <w:t xml:space="preserve">不符</w:t>
      </w:r>
      <w:r>
        <w:rPr>
          <w:rFonts w:hint="eastAsia" w:ascii="仿宋" w:hAnsi="仿宋" w:eastAsia="仿宋"/>
          <w:sz w:val="28"/>
          <w:szCs w:val="28"/>
          <w:highlight w:val="none"/>
        </w:rPr>
        <w:t xml:space="preserve">合要求的偏离或保留而使其投标成为实质性响应的投标。</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评委会将对确定为实质性响应的投标进行进一步审核，看其是否有计算上或累加上的算术错误，修正错误的原则如下：</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（1）投标文件中开标一览表内容与投标文件中相应内容不一致的，以开标一览表为准。</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（2）大写金额和小写金额不一致的，以大写金额为准。</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（3）单价金额小数点或者百分比有明显错位的，以开标一览表的总价为准，并修改单价。</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（4）总价金额与按单价汇总金额不一致的，以单价金额计算结果为准。</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同时出现两种以上错误的，按照前款规定的顺序修正。</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bookmarkStart w:id="18" w:name="_Toc16938550"/>
      <w:r/>
      <w:bookmarkStart w:id="19" w:name="_Toc513029234"/>
      <w:r/>
      <w:bookmarkStart w:id="20" w:name="_Toc20823306"/>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w:t>
      </w:r>
      <w:r>
        <w:rPr>
          <w:rFonts w:hint="eastAsia" w:ascii="仿宋" w:hAnsi="仿宋" w:eastAsia="仿宋"/>
          <w:sz w:val="28"/>
          <w:szCs w:val="28"/>
          <w:highlight w:val="none"/>
        </w:rPr>
        <w:t xml:space="preserve">核心产品（便携式泡沫灭火装置）</w:t>
      </w:r>
      <w:r>
        <w:rPr>
          <w:rFonts w:ascii="仿宋" w:hAnsi="仿宋" w:eastAsia="仿宋"/>
          <w:sz w:val="28"/>
          <w:szCs w:val="28"/>
          <w:highlight w:val="none"/>
        </w:rPr>
        <w:t xml:space="preserve">。多家投标人提供的核心产品品牌相同的，按前两款规定处理。</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并安排专人与采购中心及评标委员会联系。</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bookmarkStart w:id="21" w:name="_Toc16938551"/>
      <w:r/>
      <w:bookmarkStart w:id="22" w:name="_Toc20823307"/>
      <w:r/>
      <w:bookmarkStart w:id="23" w:name="_Toc513029235"/>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 投标人在苏采云系统规定的时间内未成功解密电子投标文件的。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投标人不具备招标文件中规定资格要求的。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5</w:t>
      </w:r>
      <w:r>
        <w:rPr>
          <w:rFonts w:hint="eastAsia" w:ascii="仿宋" w:hAnsi="仿宋" w:eastAsia="仿宋"/>
          <w:sz w:val="28"/>
          <w:szCs w:val="28"/>
          <w:highlight w:val="none"/>
        </w:rPr>
        <w:t xml:space="preserve">投标人的</w:t>
      </w:r>
      <w:r>
        <w:rPr>
          <w:rFonts w:hint="eastAsia" w:ascii="仿宋" w:hAnsi="仿宋" w:eastAsia="仿宋"/>
          <w:b/>
          <w:bCs/>
          <w:sz w:val="28"/>
          <w:szCs w:val="28"/>
          <w:highlight w:val="none"/>
        </w:rPr>
        <w:t xml:space="preserve">总报价</w:t>
      </w:r>
      <w:r>
        <w:rPr>
          <w:rFonts w:hint="eastAsia" w:ascii="仿宋" w:hAnsi="仿宋" w:eastAsia="仿宋"/>
          <w:b/>
          <w:bCs/>
          <w:sz w:val="28"/>
          <w:szCs w:val="28"/>
          <w:highlight w:val="none"/>
        </w:rPr>
        <w:t xml:space="preserve">或</w:t>
      </w:r>
      <w:r>
        <w:rPr>
          <w:rFonts w:hint="eastAsia" w:ascii="仿宋" w:hAnsi="仿宋" w:eastAsia="仿宋"/>
          <w:b/>
          <w:bCs/>
          <w:sz w:val="28"/>
          <w:szCs w:val="28"/>
          <w:highlight w:val="none"/>
        </w:rPr>
        <w:t xml:space="preserve">单项报价</w:t>
      </w:r>
      <w:r>
        <w:rPr>
          <w:rFonts w:hint="eastAsia" w:ascii="仿宋" w:hAnsi="仿宋" w:eastAsia="仿宋"/>
          <w:sz w:val="28"/>
          <w:szCs w:val="28"/>
          <w:highlight w:val="none"/>
        </w:rPr>
        <w:t xml:space="preserve">超过了采购预算或最高限价的。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未通过符合性审查的。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不符合招标文件中规定的实质性要求和条件的（实质性要求和条件是指本招标文件中用带星号（“★”）的商务和技术要求）。</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投标文件含有采购人不能接受的附加条件的。</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按照第 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26.1.13 投标人未完全满足第五章“</w:t>
      </w:r>
      <w:r>
        <w:rPr>
          <w:rFonts w:hint="eastAsia" w:ascii="仿宋" w:hAnsi="仿宋" w:eastAsia="仿宋"/>
          <w:b/>
          <w:bCs/>
          <w:sz w:val="28"/>
          <w:szCs w:val="28"/>
          <w:highlight w:val="none"/>
          <w:lang w:val="en-US" w:eastAsia="zh-CN"/>
        </w:rPr>
        <w:t xml:space="preserve">一、采购清单及技术指标明细</w:t>
      </w:r>
      <w:r>
        <w:rPr>
          <w:rFonts w:hint="eastAsia" w:ascii="仿宋" w:hAnsi="仿宋" w:eastAsia="仿宋"/>
          <w:sz w:val="28"/>
          <w:szCs w:val="28"/>
          <w:highlight w:val="none"/>
          <w:lang w:val="en-US" w:eastAsia="zh-CN"/>
        </w:rPr>
        <w:t xml:space="preserve">”“</w:t>
      </w:r>
      <w:r>
        <w:rPr>
          <w:rFonts w:hint="eastAsia" w:ascii="仿宋" w:hAnsi="仿宋" w:eastAsia="仿宋"/>
          <w:b/>
          <w:bCs/>
          <w:sz w:val="28"/>
          <w:szCs w:val="28"/>
          <w:highlight w:val="none"/>
          <w:lang w:val="en-US" w:eastAsia="zh-CN"/>
        </w:rPr>
        <w:t xml:space="preserve">三、其他要求</w:t>
      </w:r>
      <w:r>
        <w:rPr>
          <w:rFonts w:hint="eastAsia" w:ascii="仿宋" w:hAnsi="仿宋" w:eastAsia="仿宋"/>
          <w:sz w:val="28"/>
          <w:szCs w:val="28"/>
          <w:highlight w:val="none"/>
          <w:lang w:val="en-US" w:eastAsia="zh-CN"/>
        </w:rPr>
        <w:t xml:space="preserve">”“</w:t>
      </w:r>
      <w:r>
        <w:rPr>
          <w:rFonts w:hint="eastAsia" w:ascii="仿宋" w:hAnsi="仿宋" w:eastAsia="仿宋"/>
          <w:b/>
          <w:bCs/>
          <w:sz w:val="28"/>
          <w:szCs w:val="28"/>
          <w:highlight w:val="none"/>
          <w:lang w:val="en-US" w:eastAsia="zh-CN"/>
        </w:rPr>
        <w:t xml:space="preserve">四、售后服务</w:t>
      </w:r>
      <w:r>
        <w:rPr>
          <w:rFonts w:hint="eastAsia" w:ascii="仿宋" w:hAnsi="仿宋" w:eastAsia="仿宋"/>
          <w:sz w:val="28"/>
          <w:szCs w:val="28"/>
          <w:highlight w:val="none"/>
          <w:lang w:val="en-US" w:eastAsia="zh-CN"/>
        </w:rPr>
        <w:t xml:space="preserve">”中“★”参数及要求的。</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26.1.14 投标人未按照第五章“</w:t>
      </w:r>
      <w:r>
        <w:rPr>
          <w:rFonts w:hint="eastAsia" w:ascii="仿宋" w:hAnsi="仿宋" w:eastAsia="仿宋"/>
          <w:b/>
          <w:bCs/>
          <w:sz w:val="28"/>
          <w:szCs w:val="28"/>
          <w:highlight w:val="none"/>
          <w:lang w:val="en-US" w:eastAsia="zh-CN"/>
        </w:rPr>
        <w:t xml:space="preserve">一、采购清单及技术指标明细</w:t>
      </w:r>
      <w:r>
        <w:rPr>
          <w:rFonts w:hint="eastAsia" w:ascii="仿宋" w:hAnsi="仿宋" w:eastAsia="仿宋"/>
          <w:sz w:val="28"/>
          <w:szCs w:val="28"/>
          <w:highlight w:val="none"/>
          <w:lang w:val="en-US" w:eastAsia="zh-CN"/>
        </w:rPr>
        <w:t xml:space="preserve">”中“★”要求提供检测报告等相关材料的。</w:t>
      </w:r>
      <w:r>
        <w:rPr>
          <w:rFonts w:ascii="仿宋" w:hAnsi="仿宋" w:eastAsia="仿宋"/>
          <w:sz w:val="28"/>
          <w:szCs w:val="28"/>
          <w:highlight w:val="none"/>
          <w:lang w:val="en-US" w:eastAsia="zh-CN"/>
        </w:rPr>
      </w:r>
      <w:r/>
    </w:p>
    <w:p>
      <w:pPr>
        <w:pStyle w:val="893"/>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26.1.15 投标人未按照第五章“</w:t>
      </w:r>
      <w:r>
        <w:rPr>
          <w:rFonts w:hint="eastAsia" w:ascii="仿宋" w:hAnsi="仿宋" w:eastAsia="仿宋"/>
          <w:b/>
          <w:bCs/>
          <w:sz w:val="28"/>
          <w:szCs w:val="28"/>
          <w:highlight w:val="none"/>
          <w:lang w:val="en-US" w:eastAsia="zh-CN"/>
        </w:rPr>
        <w:t xml:space="preserve">四、售后服务</w:t>
      </w:r>
      <w:r>
        <w:rPr>
          <w:rFonts w:hint="eastAsia" w:ascii="仿宋" w:hAnsi="仿宋" w:eastAsia="仿宋"/>
          <w:sz w:val="28"/>
          <w:szCs w:val="28"/>
          <w:highlight w:val="none"/>
          <w:lang w:val="en-US" w:eastAsia="zh-CN"/>
        </w:rPr>
        <w:t xml:space="preserve">”中“★”要求提供相关承诺函等材料的。</w:t>
      </w:r>
      <w:r>
        <w:rPr>
          <w:rFonts w:ascii="仿宋" w:hAnsi="仿宋" w:eastAsia="仿宋"/>
          <w:sz w:val="28"/>
          <w:szCs w:val="28"/>
          <w:highlight w:val="none"/>
          <w:lang w:val="en-US" w:eastAsia="zh-CN"/>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6 </w:t>
      </w: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废标条款</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符合专业条件的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或者对招标文件作实质响应的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出现影响采购公正的违法、违规行为的。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因重大变故，采购任务取消的。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评标委员会认定招标文件存在歧义、重大缺陷导致评审工作无法进行。</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.2.5 因苏采云</w:t>
      </w:r>
      <w:r>
        <w:rPr>
          <w:rFonts w:hint="eastAsia" w:ascii="仿宋" w:hAnsi="仿宋" w:eastAsia="仿宋"/>
          <w:sz w:val="28"/>
          <w:szCs w:val="28"/>
          <w:highlight w:val="none"/>
          <w:lang w:eastAsia="zh-CN"/>
        </w:rPr>
        <w:t xml:space="preserve">系统故障</w:t>
      </w:r>
      <w:r>
        <w:rPr>
          <w:rFonts w:ascii="仿宋" w:hAnsi="仿宋" w:eastAsia="仿宋"/>
          <w:sz w:val="28"/>
          <w:szCs w:val="28"/>
          <w:highlight w:val="none"/>
        </w:rPr>
        <w:t xml:space="preserve">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 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不足三家的处理：</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如出现投标截止时间结束后参加投标的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或者在评标期间对招标文件做出实质响应的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不足三家情况，按政府采购相关规定执行。</w:t>
      </w:r>
      <w:r>
        <w:rPr>
          <w:rFonts w:ascii="仿宋" w:hAnsi="仿宋" w:eastAsia="仿宋"/>
          <w:sz w:val="28"/>
          <w:szCs w:val="28"/>
          <w:highlight w:val="none"/>
        </w:rPr>
      </w:r>
      <w:r/>
    </w:p>
    <w:p>
      <w:pPr>
        <w:pStyle w:val="893"/>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End w:id="21"/>
      <w:r/>
      <w:bookmarkEnd w:id="22"/>
      <w:r/>
      <w:bookmarkEnd w:id="23"/>
      <w:r/>
      <w:bookmarkStart w:id="24" w:name="_Toc120614219"/>
      <w:r>
        <w:rPr>
          <w:rFonts w:hint="eastAsia" w:ascii="仿宋" w:hAnsi="仿宋" w:eastAsia="仿宋"/>
          <w:b/>
          <w:sz w:val="32"/>
          <w:szCs w:val="32"/>
          <w:highlight w:val="none"/>
        </w:rPr>
        <w:t xml:space="preserve">定标</w:t>
      </w:r>
      <w:bookmarkEnd w:id="24"/>
      <w:r>
        <w:rPr>
          <w:rFonts w:ascii="仿宋" w:hAnsi="仿宋" w:eastAsia="仿宋"/>
          <w:b/>
          <w:sz w:val="32"/>
          <w:szCs w:val="32"/>
          <w:highlight w:val="none"/>
        </w:rPr>
      </w:r>
      <w:r/>
    </w:p>
    <w:p>
      <w:pPr>
        <w:pStyle w:val="893"/>
        <w:keepLines w:val="0"/>
        <w:keepNext w:val="0"/>
        <w:pageBreakBefore w:val="0"/>
        <w:spacing w:line="520" w:lineRule="exact"/>
        <w:rPr>
          <w:rFonts w:ascii="仿宋" w:hAnsi="仿宋" w:eastAsia="仿宋"/>
          <w:sz w:val="28"/>
          <w:szCs w:val="28"/>
          <w:highlight w:val="none"/>
        </w:rPr>
        <w:outlineLvl w:val="9"/>
      </w:pPr>
      <w:r/>
      <w:bookmarkStart w:id="25" w:name="_Toc513029238"/>
      <w:r/>
      <w:bookmarkStart w:id="26" w:name="_Toc20823310"/>
      <w:r/>
      <w:bookmarkStart w:id="27" w:name="_Toc16938554"/>
      <w:r>
        <w:rPr>
          <w:rFonts w:hint="eastAsia" w:ascii="仿宋" w:hAnsi="仿宋" w:eastAsia="仿宋"/>
          <w:sz w:val="28"/>
          <w:szCs w:val="28"/>
          <w:highlight w:val="none"/>
        </w:rPr>
        <w:t xml:space="preserve">2</w:t>
      </w:r>
      <w:bookmarkEnd w:id="25"/>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.确定</w:t>
      </w:r>
      <w:bookmarkEnd w:id="26"/>
      <w:r/>
      <w:bookmarkEnd w:id="27"/>
      <w:r>
        <w:rPr>
          <w:rFonts w:hint="eastAsia" w:ascii="仿宋" w:hAnsi="仿宋" w:eastAsia="仿宋"/>
          <w:sz w:val="28"/>
          <w:szCs w:val="28"/>
          <w:highlight w:val="none"/>
        </w:rPr>
        <w:t xml:space="preserve">中标单位</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中标候选人的选取原则和数量见招标文件第三章规定。 </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 采购人应根据评委会推荐的中标候选人确定中标人。</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 采购中心将在“中国政府采购网”</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“淮安市政府采购网”发布中标公告，公告期限为1个工作日。</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若有充分证据证明，中标人出现下列情况之一的，一经查实，将被取消中标资格：</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提供虚假材料谋取中标的。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向采购人、采购中心行贿或者提供其他不正当利益的。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属于本文件规定的无效条件，但在评标过程中又未被评委会发现的。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与采购人或者其他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恶意串通的。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采取不正当手段诋毁、排挤其他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bookmarkStart w:id="28" w:name="_Toc20045196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.5.1不同投标人的投标文件由同一单位或者个人编制；</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.5.2不同投标人委托同一单位或者个人办理投标事宜；</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.5.3 不同投标人的投标文件载明的项目管理成员或者联系人员为同一人；</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.5.4不同投标人的投标文件异常一致或者投标报价呈规律性差异；</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cs="Times New Roman"/>
          <w:sz w:val="28"/>
          <w:szCs w:val="28"/>
          <w:highlight w:val="none"/>
        </w:rPr>
        <w:outlineLvl w:val="9"/>
      </w:pPr>
      <w:r/>
      <w:bookmarkEnd w:id="28"/>
      <w:r>
        <w:rPr>
          <w:rFonts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．质疑处理</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.5条的要求提供质疑的均不予受理。</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上述应知其权益受到损害之日是指:</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（1）对招标文件提出质疑的，为采购文件公告期限届满之日起计算；</w:t>
      </w:r>
      <w:r>
        <w:rPr>
          <w:rFonts w:ascii="仿宋" w:hAnsi="仿宋" w:eastAsia="仿宋" w:cs="Times New Roman"/>
          <w:sz w:val="28"/>
          <w:szCs w:val="28"/>
          <w:highlight w:val="none"/>
        </w:rPr>
      </w:r>
      <w:r/>
    </w:p>
    <w:p>
      <w:pPr>
        <w:pStyle w:val="893"/>
        <w:ind w:firstLine="560"/>
        <w:jc w:val="both"/>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（2）对采购过程提出质疑的，为各采购程序环节结束之日起计算；</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（3）对中标结果提出质疑的，为中标结果公告期限届满之日起计算。</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.3</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.4</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质疑投标人在法定质疑期内应当一次性针对同一采购环节提出质疑</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若质疑</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针对同一环节提出两次及两次以上质疑，仅受理第一次提出的质疑。</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质疑函应当包括以下主要内容，附上相关证明材料。否则，采购中心不予受理。</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（1）质疑投标人的名称、地址、邮编、联系人及联系电话；</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（2）质疑项目的名称、编号；</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（3）具体、明确的质疑事项和与质疑事实相关的请求；</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（4）事实依据；</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（5）必要的法律依据；</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（6）提起质疑的日期；</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highlight w:val="none"/>
        </w:rPr>
      </w:r>
      <w:r/>
    </w:p>
    <w:p>
      <w:pPr>
        <w:pStyle w:val="893"/>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.6</w:t>
      </w:r>
      <w:r>
        <w:rPr>
          <w:rFonts w:hint="eastAsia" w:ascii="仿宋" w:hAnsi="仿宋" w:eastAsia="仿宋" w:cs="Times New Roman"/>
          <w:sz w:val="28"/>
          <w:szCs w:val="28"/>
          <w:highlight w:val="none"/>
          <w:lang w:val="en-US" w:eastAsia="zh-CN"/>
        </w:rPr>
        <w:t xml:space="preserve"> 投标人</w:t>
      </w:r>
      <w:r>
        <w:rPr>
          <w:rFonts w:hint="eastAsia" w:ascii="仿宋" w:hAnsi="仿宋" w:eastAsia="仿宋" w:cs="Times New Roman"/>
          <w:sz w:val="28"/>
          <w:szCs w:val="28"/>
          <w:highlight w:val="none"/>
        </w:rPr>
        <w:t xml:space="preserve">（含潜在</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）对采购方式、采购需求、</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资格条件、评审方法与评审标准、合同文本的询问、质疑请向采购人提出，由采购人负责答复。</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对其他事项的询问、质疑请向采购中心提出，由采购中心负责答复。</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.7</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收到质疑函后，将对质疑的形式和内容进行审查，如质疑函内容、格式不符合规定，采购中心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有权不予受理。</w:t>
      </w:r>
      <w:r>
        <w:rPr>
          <w:rFonts w:hint="eastAsia"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对于内容、格式符合规定的质疑函，采购中心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联系索取，或者在质疑函中明确提出该要求。</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.8</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.中标通知书</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中标通知书将是合同的一个组成部分。对采购人和中标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均具有法律效力。中标通知书发出后，采购人改变中标结果的，或者中标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放弃中标项目的，应当依法承担法律责任。</w:t>
      </w:r>
      <w:r>
        <w:rPr>
          <w:rFonts w:ascii="仿宋" w:hAnsi="仿宋" w:eastAsia="仿宋"/>
          <w:sz w:val="28"/>
          <w:szCs w:val="28"/>
          <w:highlight w:val="none"/>
        </w:rPr>
      </w:r>
      <w:r/>
    </w:p>
    <w:p>
      <w:pPr>
        <w:pStyle w:val="893"/>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Start w:id="29" w:name="_Toc120614220"/>
      <w:r/>
      <w:bookmarkStart w:id="30" w:name="_Toc513029236"/>
      <w:r/>
      <w:bookmarkStart w:id="31" w:name="_Toc16938552"/>
      <w:r/>
      <w:bookmarkStart w:id="32" w:name="_Toc20823308"/>
      <w:r>
        <w:rPr>
          <w:rFonts w:hint="eastAsia" w:ascii="仿宋" w:hAnsi="仿宋" w:eastAsia="仿宋"/>
          <w:b/>
          <w:sz w:val="32"/>
          <w:szCs w:val="32"/>
          <w:highlight w:val="none"/>
        </w:rPr>
        <w:t xml:space="preserve">授予合同</w:t>
      </w:r>
      <w:bookmarkEnd w:id="29"/>
      <w:r>
        <w:rPr>
          <w:rFonts w:ascii="仿宋" w:hAnsi="仿宋" w:eastAsia="仿宋"/>
          <w:b/>
          <w:sz w:val="32"/>
          <w:szCs w:val="32"/>
          <w:highlight w:val="none"/>
        </w:rPr>
      </w:r>
      <w:r/>
    </w:p>
    <w:p>
      <w:pPr>
        <w:pStyle w:val="893"/>
        <w:keepLines w:val="0"/>
        <w:keepNext w:val="0"/>
        <w:pageBreakBefore w:val="0"/>
        <w:spacing w:line="520" w:lineRule="exact"/>
        <w:rPr>
          <w:rFonts w:ascii="仿宋" w:hAnsi="仿宋" w:eastAsia="仿宋"/>
          <w:sz w:val="28"/>
          <w:szCs w:val="28"/>
          <w:highlight w:val="none"/>
        </w:rPr>
        <w:outlineLvl w:val="9"/>
      </w:pPr>
      <w:r/>
      <w:bookmarkEnd w:id="30"/>
      <w:r/>
      <w:bookmarkEnd w:id="31"/>
      <w:r/>
      <w:bookmarkEnd w:id="32"/>
      <w:r/>
      <w:bookmarkStart w:id="33" w:name="_Toc513029237"/>
      <w:r/>
      <w:bookmarkStart w:id="34" w:name="_Toc20823309"/>
      <w:r/>
      <w:bookmarkStart w:id="35" w:name="_Toc16938553"/>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 签订合同</w:t>
      </w:r>
      <w:r>
        <w:rPr>
          <w:rFonts w:hint="eastAsia" w:ascii="仿宋" w:hAnsi="仿宋" w:eastAsia="仿宋"/>
          <w:sz w:val="28"/>
          <w:szCs w:val="28"/>
          <w:highlight w:val="none"/>
        </w:rPr>
        <w:tab/>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中标人应当在中标通知书发出之日起三十日内，按照招标文件确定的事项与采购人签订政府采购合同。</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招标文件、中标人的投标文件及招标过程中有关澄清、承诺文件均应作为合同附件。</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.货物（包含与货物相关的服务）的追加</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highlight w:val="none"/>
        </w:rPr>
      </w:r>
      <w:r/>
    </w:p>
    <w:p>
      <w:pPr>
        <w:pStyle w:val="914"/>
        <w:ind w:left="0" w:firstLine="0"/>
        <w:spacing w:line="520" w:lineRule="exact"/>
        <w:rPr>
          <w:rFonts w:hint="eastAsia" w:ascii="仿宋" w:hAnsi="仿宋" w:eastAsia="仿宋"/>
          <w:b/>
          <w:bCs/>
          <w:sz w:val="28"/>
          <w:szCs w:val="28"/>
          <w:highlight w:val="none"/>
          <w:lang w:eastAsia="zh-CN"/>
        </w:rPr>
      </w:pPr>
      <w:r>
        <w:rPr>
          <w:rFonts w:hint="eastAsia" w:ascii="仿宋" w:hAnsi="仿宋" w:eastAsia="仿宋" w:cs="Times New Roman"/>
          <w:b/>
          <w:bCs/>
          <w:sz w:val="28"/>
          <w:szCs w:val="28"/>
          <w:highlight w:val="none"/>
          <w:lang w:val="en-US" w:eastAsia="zh-CN"/>
        </w:rPr>
        <w:t xml:space="preserve">32.</w:t>
      </w:r>
      <w:r>
        <w:rPr>
          <w:rFonts w:hint="eastAsia" w:ascii="仿宋" w:hAnsi="仿宋" w:eastAsia="仿宋"/>
          <w:b/>
          <w:bCs/>
          <w:sz w:val="28"/>
          <w:szCs w:val="28"/>
          <w:highlight w:val="none"/>
        </w:rPr>
        <w:t xml:space="preserve">履约保证金</w:t>
      </w:r>
      <w:r>
        <w:rPr>
          <w:rFonts w:hint="eastAsia" w:ascii="仿宋" w:hAnsi="仿宋" w:eastAsia="仿宋"/>
          <w:b/>
          <w:bCs/>
          <w:sz w:val="28"/>
          <w:szCs w:val="28"/>
          <w:highlight w:val="none"/>
          <w:lang w:eastAsia="zh-CN"/>
        </w:rPr>
      </w:r>
      <w:r/>
    </w:p>
    <w:p>
      <w:pPr>
        <w:pStyle w:val="914"/>
        <w:ind w:firstLine="562"/>
        <w:spacing w:line="520" w:lineRule="exact"/>
        <w:rPr>
          <w:rFonts w:hint="eastAsia" w:ascii="仿宋" w:hAnsi="仿宋" w:eastAsia="仿宋" w:cs="Times New Roman"/>
          <w:b/>
          <w:bCs/>
          <w:sz w:val="28"/>
          <w:szCs w:val="28"/>
          <w:highlight w:val="none"/>
          <w:lang w:val="en-US" w:eastAsia="zh-CN" w:bidi="ar-SA"/>
        </w:rPr>
      </w:pPr>
      <w:r>
        <w:rPr>
          <w:rFonts w:hint="eastAsia" w:ascii="仿宋" w:hAnsi="仿宋" w:eastAsia="仿宋" w:cs="Times New Roman"/>
          <w:b/>
          <w:bCs/>
          <w:sz w:val="28"/>
          <w:szCs w:val="28"/>
          <w:highlight w:val="none"/>
          <w:lang w:val="en-US" w:eastAsia="zh-CN" w:bidi="ar-SA"/>
        </w:rPr>
        <w:t xml:space="preserve">32.1乙方交纳人民币</w:t>
      </w:r>
      <w:r>
        <w:rPr>
          <w:rFonts w:hint="eastAsia" w:ascii="仿宋" w:hAnsi="仿宋" w:eastAsia="仿宋" w:cs="Times New Roman"/>
          <w:b/>
          <w:bCs/>
          <w:sz w:val="28"/>
          <w:szCs w:val="28"/>
          <w:highlight w:val="none"/>
          <w:u w:val="single"/>
          <w:lang w:val="en-US" w:eastAsia="zh-CN" w:bidi="ar-SA"/>
        </w:rPr>
        <w:t xml:space="preserve">合同金额的5%</w:t>
      </w:r>
      <w:r>
        <w:rPr>
          <w:rFonts w:hint="eastAsia" w:ascii="仿宋" w:hAnsi="仿宋" w:eastAsia="仿宋" w:cs="Times New Roman"/>
          <w:b/>
          <w:bCs/>
          <w:sz w:val="28"/>
          <w:szCs w:val="28"/>
          <w:highlight w:val="none"/>
          <w:lang w:val="en-US" w:eastAsia="zh-CN" w:bidi="ar-SA"/>
        </w:rPr>
        <w:t xml:space="preserve">作为本合同的履约保证金。</w:t>
      </w:r>
      <w:r>
        <w:rPr>
          <w:rFonts w:hint="eastAsia" w:ascii="仿宋" w:hAnsi="仿宋" w:eastAsia="仿宋" w:cs="Times New Roman"/>
          <w:b/>
          <w:bCs/>
          <w:sz w:val="28"/>
          <w:szCs w:val="28"/>
          <w:highlight w:val="none"/>
          <w:lang w:val="en-US" w:eastAsia="zh-CN" w:bidi="ar-SA"/>
        </w:rPr>
      </w:r>
      <w:r/>
    </w:p>
    <w:p>
      <w:pPr>
        <w:pStyle w:val="893"/>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32.2乙方提供的履约保证金可以是人民币形式（银行本票、汇票、支票、电汇），或银行保函、担保公司的保证担保或保险公司的保证保险等多种形式。</w:t>
      </w:r>
      <w:r>
        <w:rPr>
          <w:rFonts w:hint="eastAsia" w:ascii="仿宋" w:hAnsi="仿宋" w:eastAsia="仿宋" w:cs="Times New Roman"/>
          <w:sz w:val="28"/>
          <w:szCs w:val="28"/>
          <w:highlight w:val="none"/>
          <w:lang w:val="en-US" w:eastAsia="zh-CN" w:bidi="ar-SA"/>
        </w:rPr>
      </w:r>
      <w:r/>
    </w:p>
    <w:p>
      <w:pPr>
        <w:pStyle w:val="893"/>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Times New Roman"/>
          <w:sz w:val="28"/>
          <w:szCs w:val="28"/>
          <w:highlight w:val="none"/>
          <w:lang w:val="en-US" w:eastAsia="zh-CN" w:bidi="ar-SA"/>
        </w:rPr>
      </w:r>
      <w:r/>
    </w:p>
    <w:p>
      <w:pPr>
        <w:pStyle w:val="893"/>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Times New Roman"/>
          <w:sz w:val="28"/>
          <w:szCs w:val="28"/>
          <w:highlight w:val="none"/>
          <w:lang w:val="en-US" w:eastAsia="zh-CN" w:bidi="ar-SA"/>
        </w:rPr>
      </w:r>
      <w:r/>
    </w:p>
    <w:p>
      <w:pPr>
        <w:pStyle w:val="893"/>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32.5如乙方未能履行合同规定的义务，甲方有权从履约保证金中取得补偿。</w:t>
      </w:r>
      <w:r>
        <w:rPr>
          <w:rFonts w:hint="eastAsia" w:ascii="仿宋" w:hAnsi="仿宋" w:eastAsia="仿宋" w:cs="Times New Roman"/>
          <w:sz w:val="28"/>
          <w:szCs w:val="28"/>
          <w:highlight w:val="none"/>
          <w:lang w:val="en-US" w:eastAsia="zh-CN" w:bidi="ar-SA"/>
        </w:rPr>
      </w:r>
      <w:r/>
    </w:p>
    <w:p>
      <w:pPr>
        <w:pStyle w:val="893"/>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rPr>
          <w:rFonts w:hint="eastAsia" w:ascii="仿宋" w:hAnsi="仿宋" w:eastAsia="仿宋" w:cs="Times New Roman"/>
          <w:sz w:val="28"/>
          <w:szCs w:val="28"/>
          <w:highlight w:val="none"/>
          <w:lang w:val="en-US" w:eastAsia="zh-CN" w:bidi="ar-SA"/>
        </w:rPr>
      </w:r>
      <w:r/>
    </w:p>
    <w:p>
      <w:pPr>
        <w:pStyle w:val="893"/>
        <w:ind w:firstLine="560"/>
        <w:spacing w:line="520" w:lineRule="exact"/>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    32.7履约保证金在合同约定期间内不予退还或者应完全有效，履约保证金在项目验收合格后无息退还给乙方。</w:t>
      </w:r>
      <w:r>
        <w:rPr>
          <w:rFonts w:ascii="仿宋" w:hAnsi="仿宋" w:eastAsia="仿宋" w:cs="Times New Roman"/>
          <w:sz w:val="28"/>
          <w:szCs w:val="28"/>
          <w:highlight w:val="none"/>
          <w:lang w:val="en-US" w:eastAsia="zh-CN" w:bidi="ar-SA"/>
        </w:rPr>
      </w:r>
      <w:r/>
    </w:p>
    <w:p>
      <w:pPr>
        <w:pStyle w:val="893"/>
        <w:keepLines w:val="0"/>
        <w:keepNext w:val="0"/>
        <w:pageBreakBefore w:val="0"/>
        <w:spacing w:line="520" w:lineRule="exact"/>
        <w:rPr>
          <w:rFonts w:hint="eastAsia" w:ascii="仿宋" w:hAnsi="仿宋" w:eastAsia="仿宋"/>
          <w:b/>
          <w:bCs/>
          <w:sz w:val="32"/>
          <w:szCs w:val="28"/>
          <w:highlight w:val="none"/>
        </w:rPr>
        <w:outlineLvl w:val="9"/>
      </w:pPr>
      <w:r/>
      <w:bookmarkEnd w:id="33"/>
      <w:r/>
      <w:bookmarkEnd w:id="34"/>
      <w:r/>
      <w:bookmarkEnd w:id="35"/>
      <w:r>
        <w:rPr>
          <w:rFonts w:hint="eastAsia" w:ascii="仿宋" w:hAnsi="仿宋" w:eastAsia="仿宋"/>
          <w:b/>
          <w:bCs/>
          <w:sz w:val="32"/>
          <w:szCs w:val="28"/>
          <w:highlight w:val="none"/>
        </w:rPr>
        <w:t xml:space="preserve">八、政府采购政策功能落实</w:t>
      </w:r>
      <w:r>
        <w:rPr>
          <w:rFonts w:hint="eastAsia" w:ascii="仿宋" w:hAnsi="仿宋" w:eastAsia="仿宋"/>
          <w:b/>
          <w:bCs/>
          <w:sz w:val="32"/>
          <w:szCs w:val="28"/>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小微型企业价格扣除</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highlight w:val="none"/>
        </w:rPr>
        <w:t xml:space="preserve">订立劳动合同的从业人员。</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在货物采购项目中，</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提供的货物既有中小企业制造货物，也有大型企业制造货物的，不享受本办法规定的中小企业扶持政策。</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联合体及分包</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.3小微型企业</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（1）投标人须按照招标文件的要求提供相应的《企业声明函》，详见招标文件第六章示范格式。</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（2）企业标准请参照《政府采购促进中小企业发展管理办法》（财库</w:t>
      </w:r>
      <w:r>
        <w:rPr>
          <w:rFonts w:hint="eastAsia" w:ascii="仿宋" w:hAnsi="仿宋" w:eastAsia="仿宋"/>
          <w:sz w:val="28"/>
          <w:szCs w:val="28"/>
          <w:highlight w:val="none"/>
          <w:lang w:eastAsia="zh-CN"/>
        </w:rPr>
        <w:t xml:space="preserve">〔2020〕46号</w:t>
      </w:r>
      <w:r>
        <w:rPr>
          <w:rFonts w:hint="eastAsia" w:ascii="仿宋" w:hAnsi="仿宋" w:eastAsia="仿宋"/>
          <w:sz w:val="28"/>
          <w:szCs w:val="28"/>
          <w:highlight w:val="none"/>
        </w:rPr>
        <w:t xml:space="preserve">）文件规定自行填写。</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.4残疾人福利单位</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（2）残疾人福利单位标准请参照《关于促进残疾人就业政府采购政策的通知》（财库〔2017〕141号）。</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.5监狱和戒毒企业</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（2）监狱企业标准请参照《关于政府采购支持监狱企业发展有关问题的通知》（财库</w:t>
      </w:r>
      <w:r>
        <w:rPr>
          <w:rFonts w:hint="eastAsia" w:ascii="仿宋" w:hAnsi="仿宋" w:eastAsia="仿宋"/>
          <w:sz w:val="28"/>
          <w:szCs w:val="28"/>
          <w:highlight w:val="none"/>
          <w:lang w:eastAsia="zh-CN"/>
        </w:rPr>
        <w:t xml:space="preserve">〔2014〕68号</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 节能、环保政策</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sz w:val="28"/>
          <w:highlight w:val="none"/>
          <w:lang w:val="en-US" w:eastAsia="zh-CN"/>
        </w:rPr>
        <w:t xml:space="preserve">节能</w:t>
      </w:r>
      <w:r>
        <w:rPr>
          <w:rFonts w:hint="eastAsia" w:ascii="仿宋" w:hAnsi="仿宋" w:eastAsia="仿宋"/>
          <w:sz w:val="28"/>
          <w:highlight w:val="none"/>
        </w:rPr>
        <w:t xml:space="preserve">标志产品认证证书电子件，未提供的作无效投标处理；实行“优先采购”的，在评分标准的“政策导向”处参与加分（详见第三章评标标准）。</w:t>
      </w:r>
      <w:r>
        <w:rPr>
          <w:rFonts w:hint="eastAsia" w:ascii="仿宋" w:hAnsi="仿宋" w:eastAsia="仿宋"/>
          <w:sz w:val="28"/>
          <w:highlight w:val="none"/>
        </w:rPr>
      </w:r>
      <w:r/>
    </w:p>
    <w:p>
      <w:pPr>
        <w:pStyle w:val="893"/>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rPr>
          <w:rFonts w:hint="eastAsia" w:ascii="仿宋" w:hAnsi="仿宋" w:eastAsia="仿宋"/>
          <w:bCs/>
          <w:color w:val="000000"/>
          <w:sz w:val="28"/>
          <w:szCs w:val="28"/>
          <w:highlight w:val="none"/>
        </w:rPr>
      </w:r>
      <w:r/>
    </w:p>
    <w:p>
      <w:pPr>
        <w:pStyle w:val="893"/>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5</w:t>
      </w:r>
      <w:r>
        <w:rPr>
          <w:rFonts w:hint="eastAsia" w:ascii="仿宋" w:hAnsi="仿宋" w:eastAsia="仿宋"/>
          <w:bCs/>
          <w:color w:val="000000"/>
          <w:sz w:val="28"/>
          <w:szCs w:val="28"/>
          <w:highlight w:val="none"/>
        </w:rPr>
        <w:t xml:space="preserve">．政府绿色采购</w:t>
      </w:r>
      <w:r>
        <w:rPr>
          <w:rFonts w:hint="eastAsia" w:ascii="仿宋" w:hAnsi="仿宋" w:eastAsia="仿宋"/>
          <w:bCs/>
          <w:color w:val="000000"/>
          <w:sz w:val="28"/>
          <w:szCs w:val="28"/>
          <w:highlight w:val="none"/>
        </w:rPr>
      </w:r>
      <w:r/>
    </w:p>
    <w:p>
      <w:pPr>
        <w:pStyle w:val="893"/>
        <w:ind w:firstLine="28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highlight w:val="none"/>
        </w:rPr>
      </w:r>
      <w:r/>
    </w:p>
    <w:p>
      <w:pPr>
        <w:pStyle w:val="930"/>
        <w:ind w:left="0" w:firstLine="560"/>
        <w:keepLines w:val="0"/>
        <w:keepNext w:val="0"/>
        <w:pageBreakBefore w:val="0"/>
        <w:spacing w:after="0"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本项目中涉及商品的</w:t>
      </w:r>
      <w:r>
        <w:rPr>
          <w:rFonts w:ascii="仿宋" w:hAnsi="仿宋" w:eastAsia="仿宋"/>
          <w:color w:val="000000"/>
          <w:sz w:val="28"/>
          <w:szCs w:val="28"/>
          <w:highlight w:val="none"/>
        </w:rPr>
        <w:t xml:space="preserve">包装应按照“财办库〔2020〕123号《关于印发《商品包装政府采购需求标准（试行）</w:t>
      </w:r>
      <w:r>
        <w:rPr>
          <w:rFonts w:hint="eastAsia" w:ascii="仿宋" w:hAnsi="仿宋" w:eastAsia="仿宋"/>
          <w:color w:val="000000"/>
          <w:sz w:val="28"/>
          <w:szCs w:val="28"/>
          <w:highlight w:val="none"/>
          <w:lang w:eastAsia="zh-CN"/>
        </w:rPr>
        <w:t xml:space="preserve">》《</w:t>
      </w:r>
      <w:r>
        <w:rPr>
          <w:rFonts w:ascii="仿宋" w:hAnsi="仿宋" w:eastAsia="仿宋"/>
          <w:color w:val="000000"/>
          <w:sz w:val="28"/>
          <w:szCs w:val="28"/>
          <w:highlight w:val="none"/>
        </w:rPr>
        <w:t xml:space="preserve">快递包装政府采购需求标准（试行）》的通知》”执行</w:t>
      </w:r>
      <w:r>
        <w:rPr>
          <w:rFonts w:hint="eastAsia" w:ascii="仿宋" w:hAnsi="仿宋" w:eastAsia="仿宋"/>
          <w:color w:val="000000"/>
          <w:sz w:val="28"/>
          <w:szCs w:val="28"/>
          <w:highlight w:val="none"/>
        </w:rPr>
        <w:t xml:space="preserve">,在供货、安装过程中能</w:t>
      </w:r>
      <w:r>
        <w:rPr>
          <w:rFonts w:hint="eastAsia" w:ascii="仿宋" w:hAnsi="仿宋" w:eastAsia="仿宋"/>
          <w:color w:val="000000"/>
          <w:sz w:val="28"/>
          <w:szCs w:val="28"/>
          <w:highlight w:val="none"/>
          <w:lang w:eastAsia="zh-CN"/>
        </w:rPr>
        <w:t xml:space="preserve">够</w:t>
      </w:r>
      <w:r>
        <w:rPr>
          <w:rFonts w:hint="eastAsia" w:ascii="仿宋" w:hAnsi="仿宋" w:eastAsia="仿宋"/>
          <w:color w:val="000000"/>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000000"/>
          <w:sz w:val="28"/>
          <w:szCs w:val="28"/>
          <w:highlight w:val="none"/>
          <w:lang w:eastAsia="zh-CN"/>
        </w:rPr>
        <w:t xml:space="preserve">〔2023〕7号</w:t>
      </w:r>
      <w:r>
        <w:rPr>
          <w:rFonts w:hint="eastAsia" w:ascii="仿宋" w:hAnsi="仿宋" w:eastAsia="仿宋"/>
          <w:color w:val="000000"/>
          <w:sz w:val="28"/>
          <w:szCs w:val="28"/>
          <w:highlight w:val="none"/>
        </w:rPr>
        <w:t xml:space="preserve">文）执行。</w:t>
      </w:r>
      <w:r>
        <w:rPr>
          <w:rFonts w:hint="eastAsia" w:ascii="仿宋" w:hAnsi="仿宋" w:eastAsia="仿宋"/>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highlight w:val="none"/>
        </w:rPr>
      </w:r>
      <w:r/>
    </w:p>
    <w:p>
      <w:pPr>
        <w:pStyle w:val="893"/>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w:t>
      </w:r>
      <w:r>
        <w:rPr>
          <w:rFonts w:hint="eastAsia" w:ascii="仿宋" w:hAnsi="仿宋" w:eastAsia="仿宋" w:cs="Times New Roman"/>
          <w:bCs/>
          <w:color w:val="000000"/>
          <w:sz w:val="28"/>
          <w:szCs w:val="28"/>
          <w:highlight w:val="none"/>
          <w:lang w:val="en-US" w:eastAsia="zh-CN"/>
        </w:rPr>
        <w:t xml:space="preserve">6</w:t>
      </w:r>
      <w:r>
        <w:rPr>
          <w:rFonts w:hint="eastAsia" w:ascii="仿宋" w:hAnsi="仿宋" w:eastAsia="仿宋" w:cs="Times New Roman"/>
          <w:bCs/>
          <w:color w:val="000000"/>
          <w:sz w:val="28"/>
          <w:szCs w:val="28"/>
          <w:highlight w:val="none"/>
        </w:rPr>
        <w:t xml:space="preserve">. 履约资金扶持政策</w:t>
      </w:r>
      <w:r>
        <w:rPr>
          <w:rFonts w:hint="eastAsia" w:ascii="仿宋" w:hAnsi="仿宋" w:eastAsia="仿宋" w:cs="Times New Roman"/>
          <w:bCs/>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highlight w:val="none"/>
        </w:rPr>
      </w:r>
      <w:r/>
    </w:p>
    <w:p>
      <w:pPr>
        <w:pStyle w:val="930"/>
        <w:ind w:left="0" w:firstLine="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37.</w:t>
      </w:r>
      <w:r>
        <w:rPr>
          <w:rFonts w:hint="eastAsia" w:ascii="仿宋" w:hAnsi="仿宋" w:eastAsia="仿宋"/>
          <w:color w:val="000000"/>
          <w:sz w:val="28"/>
          <w:szCs w:val="28"/>
          <w:highlight w:val="none"/>
        </w:rPr>
        <w:t xml:space="preserve">采购本国产品的支持政策</w:t>
      </w:r>
      <w:r>
        <w:rPr>
          <w:rFonts w:hint="eastAsia" w:ascii="仿宋" w:hAnsi="仿宋" w:eastAsia="仿宋"/>
          <w:color w:val="000000"/>
          <w:sz w:val="28"/>
          <w:szCs w:val="28"/>
          <w:highlight w:val="none"/>
          <w:lang w:val="en-US" w:eastAsia="zh-CN"/>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7.2 当采购项目或者采购包中含有多种产品，</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为该采购项目或者采购包提供的符合本国产品标准的产品成本之和占该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highlight w:val="none"/>
        </w:rPr>
        <w:t xml:space="preserve">，依法对该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提供的全部产品给予价格评审优惠，即对该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提供的全部产品的总报价给予20%的价格扣除，用扣除后的价格参与评审。</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未填写比例数值，或比例数值未达到80%的，将不享受本国产品价格评审优惠。</w:t>
      </w:r>
      <w:r>
        <w:rPr>
          <w:rFonts w:hint="eastAsia" w:ascii="仿宋" w:hAnsi="仿宋" w:eastAsia="仿宋"/>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7.3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需按照招标文件的要求提供《关于符合本国产品标准的声明函》（以下简称《声明函》</w:t>
      </w:r>
      <w:r>
        <w:rPr>
          <w:rFonts w:hint="eastAsia" w:ascii="仿宋" w:hAnsi="仿宋" w:eastAsia="仿宋"/>
          <w:color w:val="000000"/>
          <w:sz w:val="28"/>
          <w:szCs w:val="28"/>
          <w:highlight w:val="none"/>
          <w:lang w:eastAsia="zh-CN"/>
        </w:rPr>
        <w:t xml:space="preserve">，详见第六章“示范格式六”</w:t>
      </w:r>
      <w:r>
        <w:rPr>
          <w:rFonts w:hint="eastAsia" w:ascii="仿宋" w:hAnsi="仿宋" w:eastAsia="仿宋"/>
          <w:color w:val="000000"/>
          <w:sz w:val="28"/>
          <w:szCs w:val="28"/>
          <w:highlight w:val="none"/>
        </w:rPr>
        <w:t xml:space="preserve">），如不提供将不享受本国产品价格评审优惠。</w:t>
      </w:r>
      <w:r>
        <w:rPr>
          <w:rFonts w:hint="eastAsia" w:ascii="仿宋" w:hAnsi="仿宋" w:eastAsia="仿宋"/>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highlight w:val="none"/>
        </w:rPr>
        <w:t xml:space="preserve">，三项信息中任意一项未填写的视为该项产品不符合本国产品标准，不享受本国产品价格评审优惠。</w:t>
      </w:r>
      <w:r>
        <w:rPr>
          <w:rFonts w:hint="eastAsia" w:ascii="仿宋" w:hAnsi="仿宋" w:eastAsia="仿宋"/>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7.5 评标过程中，如发现</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提供的相关产品视为不符合本国产品标准。</w:t>
      </w:r>
      <w:r>
        <w:rPr>
          <w:rFonts w:hint="eastAsia" w:ascii="仿宋" w:hAnsi="仿宋" w:eastAsia="仿宋"/>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highlight w:val="none"/>
          <w:lang w:val="en-US" w:eastAsia="zh-CN"/>
        </w:rPr>
      </w:r>
      <w:r/>
    </w:p>
    <w:p>
      <w:pPr>
        <w:pStyle w:val="893"/>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评标方法与评标标准</w:t>
      </w:r>
      <w:r>
        <w:rPr>
          <w:rFonts w:hint="eastAsia" w:ascii="仿宋" w:hAnsi="仿宋" w:eastAsia="仿宋"/>
          <w:b/>
          <w:sz w:val="36"/>
          <w:szCs w:val="36"/>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为中标候选人的评标方法。</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highlight w:val="none"/>
        </w:rPr>
        <w:t xml:space="preserve"> 由评标委员会</w:t>
      </w:r>
      <w:r>
        <w:rPr>
          <w:rFonts w:hint="eastAsia" w:ascii="仿宋" w:hAnsi="仿宋" w:eastAsia="仿宋"/>
          <w:sz w:val="28"/>
          <w:szCs w:val="28"/>
          <w:highlight w:val="none"/>
        </w:rPr>
        <w:t xml:space="preserve">通过随机抽取的方式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中标候选人。</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lang w:eastAsia="zh-CN"/>
        </w:rPr>
        <w:t xml:space="preserve">四</w:t>
      </w:r>
      <w:r>
        <w:rPr>
          <w:rFonts w:hint="eastAsia" w:ascii="仿宋" w:hAnsi="仿宋" w:eastAsia="仿宋"/>
          <w:sz w:val="28"/>
          <w:highlight w:val="none"/>
        </w:rPr>
        <w:t xml:space="preserve">、具体标准:</w:t>
      </w:r>
      <w:r>
        <w:rPr>
          <w:rFonts w:hint="eastAsia" w:ascii="仿宋" w:hAnsi="仿宋" w:eastAsia="仿宋"/>
          <w:sz w:val="28"/>
          <w:highlight w:val="none"/>
        </w:rPr>
      </w:r>
      <w:r/>
    </w:p>
    <w:p>
      <w:pPr>
        <w:pStyle w:val="893"/>
        <w:ind w:firstLine="498"/>
        <w:keepLines w:val="0"/>
        <w:keepNext w:val="0"/>
        <w:pageBreakBefore w:val="0"/>
        <w:spacing w:line="520" w:lineRule="exact"/>
        <w:rPr>
          <w:rFonts w:hint="eastAsia" w:ascii="仿宋" w:hAnsi="仿宋" w:eastAsia="仿宋"/>
          <w:b/>
          <w:bCs/>
          <w:sz w:val="28"/>
          <w:highlight w:val="none"/>
        </w:rPr>
        <w:outlineLvl w:val="9"/>
      </w:pPr>
      <w:r>
        <w:rPr>
          <w:rFonts w:hint="eastAsia" w:ascii="仿宋" w:hAnsi="仿宋" w:eastAsia="仿宋"/>
          <w:b/>
          <w:bCs/>
          <w:sz w:val="28"/>
          <w:highlight w:val="none"/>
        </w:rPr>
        <w:t xml:space="preserve">1、价格</w:t>
      </w:r>
      <w:r>
        <w:rPr>
          <w:rFonts w:hint="eastAsia" w:ascii="仿宋" w:hAnsi="仿宋" w:eastAsia="仿宋"/>
          <w:b/>
          <w:bCs/>
          <w:sz w:val="28"/>
          <w:highlight w:val="none"/>
          <w:lang w:eastAsia="zh-CN"/>
        </w:rPr>
        <w:t xml:space="preserve">：</w:t>
      </w:r>
      <w:r>
        <w:rPr>
          <w:rFonts w:hint="eastAsia" w:ascii="仿宋" w:hAnsi="仿宋" w:eastAsia="仿宋"/>
          <w:b/>
          <w:bCs/>
          <w:sz w:val="28"/>
          <w:highlight w:val="none"/>
          <w:lang w:val="en-US" w:eastAsia="zh-CN"/>
        </w:rPr>
        <w:t xml:space="preserve">30</w:t>
      </w:r>
      <w:r>
        <w:rPr>
          <w:rFonts w:hint="eastAsia" w:ascii="仿宋" w:hAnsi="仿宋" w:eastAsia="仿宋"/>
          <w:b/>
          <w:bCs/>
          <w:sz w:val="28"/>
          <w:highlight w:val="none"/>
        </w:rPr>
        <w:t xml:space="preserve">分</w:t>
      </w:r>
      <w:r>
        <w:rPr>
          <w:rFonts w:hint="eastAsia" w:ascii="仿宋" w:hAnsi="仿宋" w:eastAsia="仿宋"/>
          <w:b/>
          <w:bCs/>
          <w:sz w:val="28"/>
          <w:highlight w:val="none"/>
        </w:rPr>
      </w:r>
      <w:r/>
    </w:p>
    <w:p>
      <w:pPr>
        <w:pStyle w:val="926"/>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highlight w:val="none"/>
        </w:rPr>
      </w:r>
      <w:r/>
    </w:p>
    <w:p>
      <w:pPr>
        <w:pStyle w:val="92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highlight w:val="none"/>
        </w:rPr>
        <w:t xml:space="preserve">投标报价得分＝（评标基准价/投标报价）×</w:t>
      </w:r>
      <w:r>
        <w:rPr>
          <w:rFonts w:hint="eastAsia" w:ascii="仿宋" w:hAnsi="仿宋" w:eastAsia="仿宋"/>
          <w:highlight w:val="none"/>
          <w:lang w:val="en-US" w:eastAsia="zh-CN"/>
        </w:rPr>
        <w:t xml:space="preserve">30</w:t>
      </w:r>
      <w:r>
        <w:rPr>
          <w:rFonts w:hint="eastAsia" w:ascii="仿宋" w:hAnsi="仿宋" w:eastAsia="仿宋"/>
          <w:highlight w:val="none"/>
        </w:rPr>
        <w:t xml:space="preserve">分</w:t>
      </w:r>
      <w:r>
        <w:rPr>
          <w:rFonts w:hint="eastAsia" w:ascii="仿宋" w:hAnsi="仿宋" w:eastAsia="仿宋"/>
          <w:sz w:val="28"/>
          <w:szCs w:val="28"/>
          <w:highlight w:val="none"/>
        </w:rPr>
      </w:r>
      <w:r/>
    </w:p>
    <w:p>
      <w:pPr>
        <w:pStyle w:val="893"/>
        <w:ind w:firstLine="562"/>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lang w:val="en-US" w:eastAsia="zh-CN"/>
        </w:rPr>
        <w:t xml:space="preserve">2</w:t>
      </w:r>
      <w:r>
        <w:rPr>
          <w:rFonts w:hint="eastAsia" w:ascii="仿宋" w:hAnsi="仿宋" w:eastAsia="仿宋"/>
          <w:b/>
          <w:bCs/>
          <w:sz w:val="28"/>
          <w:szCs w:val="28"/>
          <w:highlight w:val="none"/>
        </w:rPr>
        <w:t xml:space="preserve">、技术部分</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lang w:val="en-US" w:eastAsia="zh-CN"/>
        </w:rPr>
        <w:t xml:space="preserve">37</w:t>
      </w:r>
      <w:r>
        <w:rPr>
          <w:rFonts w:hint="eastAsia" w:ascii="仿宋" w:hAnsi="仿宋" w:eastAsia="仿宋"/>
          <w:b/>
          <w:bCs/>
          <w:sz w:val="28"/>
          <w:szCs w:val="28"/>
          <w:highlight w:val="none"/>
        </w:rPr>
        <w:t xml:space="preserve">分</w:t>
      </w:r>
      <w:r>
        <w:rPr>
          <w:rFonts w:hint="eastAsia" w:ascii="仿宋" w:hAnsi="仿宋" w:eastAsia="仿宋"/>
          <w:b/>
          <w:bCs/>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（1）投标人所投产品技术参数完全满足招标文件第五章项目采购需求中“</w:t>
      </w:r>
      <w:r>
        <w:rPr>
          <w:rFonts w:hint="eastAsia" w:ascii="仿宋" w:hAnsi="仿宋" w:eastAsia="仿宋"/>
          <w:b/>
          <w:bCs/>
          <w:sz w:val="28"/>
          <w:szCs w:val="28"/>
          <w:highlight w:val="none"/>
        </w:rPr>
        <w:t xml:space="preserve">一、采购清单及技术指标明细</w:t>
      </w:r>
      <w:r>
        <w:rPr>
          <w:rFonts w:hint="eastAsia" w:ascii="仿宋" w:hAnsi="仿宋" w:eastAsia="仿宋"/>
          <w:sz w:val="28"/>
          <w:szCs w:val="28"/>
          <w:highlight w:val="none"/>
        </w:rPr>
        <w:t xml:space="preserve">”中标注“★”技术参数的得</w:t>
      </w:r>
      <w:r>
        <w:rPr>
          <w:rFonts w:hint="eastAsia" w:ascii="仿宋" w:hAnsi="仿宋" w:eastAsia="仿宋"/>
          <w:sz w:val="28"/>
          <w:szCs w:val="28"/>
          <w:highlight w:val="none"/>
          <w:lang w:val="en-US" w:eastAsia="zh-CN"/>
        </w:rPr>
        <w:t xml:space="preserve">37</w:t>
      </w:r>
      <w:r>
        <w:rPr>
          <w:rFonts w:hint="eastAsia" w:ascii="仿宋" w:hAnsi="仿宋" w:eastAsia="仿宋"/>
          <w:sz w:val="28"/>
          <w:szCs w:val="28"/>
          <w:highlight w:val="none"/>
        </w:rPr>
        <w:t xml:space="preserve">分，未完全满足的作无效投标处理。</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（2）投标人所投产品技术参数</w:t>
      </w:r>
      <w:r>
        <w:rPr>
          <w:rFonts w:hint="eastAsia" w:ascii="仿宋" w:hAnsi="仿宋" w:eastAsia="仿宋"/>
          <w:sz w:val="28"/>
          <w:szCs w:val="28"/>
          <w:highlight w:val="none"/>
          <w:lang w:eastAsia="zh-CN"/>
        </w:rPr>
        <w:t xml:space="preserve">与</w:t>
      </w:r>
      <w:r>
        <w:rPr>
          <w:rFonts w:hint="eastAsia" w:ascii="仿宋" w:hAnsi="仿宋" w:eastAsia="仿宋"/>
          <w:sz w:val="28"/>
          <w:szCs w:val="28"/>
          <w:highlight w:val="none"/>
        </w:rPr>
        <w:t xml:space="preserve">招标文件第五章项目采购需求中“</w:t>
      </w:r>
      <w:r>
        <w:rPr>
          <w:rFonts w:hint="eastAsia" w:ascii="仿宋" w:hAnsi="仿宋" w:eastAsia="仿宋"/>
          <w:b/>
          <w:bCs/>
          <w:sz w:val="28"/>
          <w:szCs w:val="28"/>
          <w:highlight w:val="none"/>
        </w:rPr>
        <w:t xml:space="preserve">一、采购清单及技术指标明细</w:t>
      </w:r>
      <w:r>
        <w:rPr>
          <w:rFonts w:hint="eastAsia" w:ascii="仿宋" w:hAnsi="仿宋" w:eastAsia="仿宋"/>
          <w:sz w:val="28"/>
          <w:szCs w:val="28"/>
          <w:highlight w:val="none"/>
        </w:rPr>
        <w:t xml:space="preserve">”中标注“▲”技术参数要求相比较，以</w:t>
      </w:r>
      <w:r>
        <w:rPr>
          <w:rFonts w:hint="eastAsia" w:ascii="仿宋" w:hAnsi="仿宋" w:eastAsia="仿宋"/>
          <w:sz w:val="28"/>
          <w:szCs w:val="28"/>
          <w:highlight w:val="none"/>
          <w:lang w:val="en-US" w:eastAsia="zh-CN"/>
        </w:rPr>
        <w:t xml:space="preserve">37</w:t>
      </w:r>
      <w:r>
        <w:rPr>
          <w:rFonts w:hint="eastAsia" w:ascii="仿宋" w:hAnsi="仿宋" w:eastAsia="仿宋"/>
          <w:sz w:val="28"/>
          <w:szCs w:val="28"/>
          <w:highlight w:val="none"/>
        </w:rPr>
        <w:t xml:space="preserve">分为基数，每有一项负偏离扣</w:t>
      </w:r>
      <w:r>
        <w:rPr>
          <w:rFonts w:hint="eastAsia" w:ascii="仿宋" w:hAnsi="仿宋" w:eastAsia="仿宋"/>
          <w:sz w:val="28"/>
          <w:szCs w:val="28"/>
          <w:highlight w:val="none"/>
        </w:rPr>
        <w:t xml:space="preserve">0.</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分</w:t>
      </w:r>
      <w:r>
        <w:rPr>
          <w:rFonts w:hint="eastAsia" w:ascii="仿宋" w:hAnsi="仿宋" w:eastAsia="仿宋"/>
          <w:sz w:val="28"/>
          <w:szCs w:val="28"/>
          <w:highlight w:val="none"/>
          <w:lang w:eastAsia="zh-CN"/>
        </w:rPr>
        <w:t xml:space="preserve">（共</w:t>
      </w:r>
      <w:r>
        <w:rPr>
          <w:rFonts w:hint="eastAsia" w:ascii="仿宋" w:hAnsi="仿宋" w:eastAsia="仿宋"/>
          <w:sz w:val="28"/>
          <w:szCs w:val="28"/>
          <w:highlight w:val="none"/>
          <w:lang w:val="en-US" w:eastAsia="zh-CN"/>
        </w:rPr>
        <w:t xml:space="preserve">10项</w:t>
      </w:r>
      <w:r>
        <w:rPr>
          <w:rFonts w:hint="eastAsia" w:ascii="仿宋" w:hAnsi="仿宋" w:eastAsia="仿宋"/>
          <w:sz w:val="28"/>
          <w:szCs w:val="28"/>
          <w:highlight w:val="none"/>
          <w:lang w:eastAsia="zh-CN"/>
        </w:rPr>
        <w:t xml:space="preserve">）；与未标注的技术参数要求相比较，</w:t>
      </w:r>
      <w:r>
        <w:rPr>
          <w:rFonts w:hint="eastAsia" w:ascii="仿宋" w:hAnsi="仿宋" w:eastAsia="仿宋"/>
          <w:sz w:val="28"/>
          <w:szCs w:val="28"/>
          <w:highlight w:val="none"/>
        </w:rPr>
        <w:t xml:space="preserve">每有一项负偏离扣</w:t>
      </w:r>
      <w:r>
        <w:rPr>
          <w:rFonts w:hint="eastAsia" w:ascii="仿宋" w:hAnsi="仿宋" w:eastAsia="仿宋"/>
          <w:sz w:val="28"/>
          <w:szCs w:val="28"/>
          <w:highlight w:val="none"/>
        </w:rPr>
        <w:t xml:space="preserve">0.</w:t>
      </w:r>
      <w:r>
        <w:rPr>
          <w:rFonts w:hint="eastAsia" w:ascii="仿宋" w:hAnsi="仿宋" w:eastAsia="仿宋"/>
          <w:sz w:val="28"/>
          <w:szCs w:val="28"/>
          <w:highlight w:val="none"/>
          <w:lang w:val="en-US" w:eastAsia="zh-CN"/>
        </w:rPr>
        <w:t xml:space="preserve">35</w:t>
      </w:r>
      <w:r>
        <w:rPr>
          <w:rFonts w:hint="eastAsia" w:ascii="仿宋" w:hAnsi="仿宋" w:eastAsia="仿宋"/>
          <w:sz w:val="28"/>
          <w:szCs w:val="28"/>
          <w:highlight w:val="none"/>
        </w:rPr>
        <w:t xml:space="preserve">分</w:t>
      </w:r>
      <w:r>
        <w:rPr>
          <w:rFonts w:hint="eastAsia" w:ascii="仿宋" w:hAnsi="仿宋" w:eastAsia="仿宋"/>
          <w:sz w:val="28"/>
          <w:szCs w:val="28"/>
          <w:highlight w:val="none"/>
          <w:lang w:eastAsia="zh-CN"/>
        </w:rPr>
        <w:t xml:space="preserve">（共</w:t>
      </w:r>
      <w:r>
        <w:rPr>
          <w:rFonts w:hint="eastAsia" w:ascii="仿宋" w:hAnsi="仿宋" w:eastAsia="仿宋"/>
          <w:sz w:val="28"/>
          <w:szCs w:val="28"/>
          <w:highlight w:val="none"/>
          <w:lang w:val="en-US" w:eastAsia="zh-CN"/>
        </w:rPr>
        <w:t xml:space="preserve">80项</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扣完为止。</w:t>
      </w:r>
      <w:r>
        <w:rPr>
          <w:rFonts w:hint="eastAsia" w:ascii="仿宋" w:hAnsi="仿宋" w:eastAsia="仿宋"/>
          <w:sz w:val="28"/>
          <w:szCs w:val="28"/>
          <w:highlight w:val="none"/>
        </w:rPr>
      </w:r>
      <w:r/>
    </w:p>
    <w:p>
      <w:pPr>
        <w:pStyle w:val="893"/>
        <w:ind w:firstLine="562"/>
        <w:keepLines w:val="0"/>
        <w:keepNext w:val="0"/>
        <w:pageBreakBefore w:val="0"/>
        <w:spacing w:line="520" w:lineRule="exact"/>
        <w:rPr>
          <w:rFonts w:hint="eastAsia" w:ascii="仿宋" w:hAnsi="仿宋" w:eastAsia="仿宋"/>
          <w:b/>
          <w:bCs/>
          <w:sz w:val="28"/>
          <w:szCs w:val="28"/>
          <w:highlight w:val="none"/>
          <w:lang w:val="en-US" w:eastAsia="zh-CN"/>
        </w:rPr>
        <w:outlineLvl w:val="9"/>
      </w:pPr>
      <w:r>
        <w:rPr>
          <w:rFonts w:hint="eastAsia" w:ascii="仿宋" w:hAnsi="仿宋" w:eastAsia="仿宋"/>
          <w:b/>
          <w:bCs/>
          <w:sz w:val="28"/>
          <w:szCs w:val="28"/>
          <w:highlight w:val="none"/>
          <w:lang w:val="en-US" w:eastAsia="zh-CN"/>
        </w:rPr>
        <w:t xml:space="preserve">3、样品部分：18分</w:t>
      </w:r>
      <w:r>
        <w:rPr>
          <w:rFonts w:hint="eastAsia" w:ascii="仿宋" w:hAnsi="仿宋" w:eastAsia="仿宋"/>
          <w:b/>
          <w:bCs/>
          <w:sz w:val="28"/>
          <w:szCs w:val="28"/>
          <w:highlight w:val="none"/>
          <w:lang w:val="en-US" w:eastAsia="zh-CN"/>
        </w:rPr>
      </w:r>
      <w:r/>
    </w:p>
    <w:p>
      <w:pPr>
        <w:pStyle w:val="893"/>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ascii="仿宋" w:hAnsi="仿宋" w:eastAsia="仿宋"/>
          <w:sz w:val="28"/>
          <w:szCs w:val="28"/>
          <w:highlight w:val="none"/>
          <w:lang w:val="en-US" w:eastAsia="zh-CN"/>
        </w:rPr>
        <w:t xml:space="preserve">评委对投标人所提供样品的产品质量、外观、部件结构、使用体验等方面进行现场综合评审。 </w:t>
      </w:r>
      <w:r>
        <w:rPr>
          <w:rFonts w:ascii="仿宋" w:hAnsi="仿宋" w:eastAsia="仿宋"/>
          <w:sz w:val="28"/>
          <w:szCs w:val="28"/>
          <w:highlight w:val="none"/>
          <w:lang w:val="en-US" w:eastAsia="zh-CN"/>
        </w:rPr>
      </w:r>
      <w:r/>
    </w:p>
    <w:p>
      <w:pPr>
        <w:pStyle w:val="893"/>
        <w:ind w:firstLine="560"/>
        <w:keepLines w:val="0"/>
        <w:keepNext w:val="0"/>
        <w:pageBreakBefore w:val="0"/>
        <w:spacing w:line="520" w:lineRule="exact"/>
        <w:rPr>
          <w:rFonts w:ascii="仿宋" w:hAnsi="仿宋" w:eastAsia="仿宋"/>
          <w:b w:val="0"/>
          <w:bCs w:val="0"/>
          <w:sz w:val="28"/>
          <w:szCs w:val="28"/>
          <w:highlight w:val="none"/>
          <w:lang w:val="en-US" w:eastAsia="zh-CN"/>
        </w:rPr>
        <w:outlineLvl w:val="9"/>
      </w:pPr>
      <w:r>
        <w:rPr>
          <w:rFonts w:hint="eastAsia" w:ascii="仿宋" w:hAnsi="仿宋" w:eastAsia="仿宋"/>
          <w:b w:val="0"/>
          <w:bCs w:val="0"/>
          <w:sz w:val="28"/>
          <w:szCs w:val="28"/>
          <w:highlight w:val="none"/>
          <w:lang w:val="en-US" w:eastAsia="zh-CN"/>
        </w:rPr>
        <w:t xml:space="preserve">（1）</w:t>
      </w:r>
      <w:r>
        <w:rPr>
          <w:rFonts w:ascii="仿宋" w:hAnsi="仿宋" w:eastAsia="仿宋"/>
          <w:b w:val="0"/>
          <w:bCs w:val="0"/>
          <w:sz w:val="28"/>
          <w:szCs w:val="28"/>
          <w:highlight w:val="none"/>
          <w:lang w:val="en-US" w:eastAsia="zh-CN"/>
        </w:rPr>
        <w:t xml:space="preserve">产品质量</w:t>
      </w:r>
      <w:r>
        <w:rPr>
          <w:rFonts w:hint="eastAsia" w:ascii="仿宋" w:hAnsi="仿宋" w:eastAsia="仿宋"/>
          <w:b w:val="0"/>
          <w:bCs w:val="0"/>
          <w:sz w:val="28"/>
          <w:szCs w:val="28"/>
          <w:highlight w:val="none"/>
          <w:lang w:val="en-US" w:eastAsia="zh-CN"/>
        </w:rPr>
        <w:t xml:space="preserve">（6分）</w:t>
      </w:r>
      <w:r>
        <w:rPr>
          <w:rFonts w:ascii="仿宋" w:hAnsi="仿宋" w:eastAsia="仿宋"/>
          <w:b w:val="0"/>
          <w:bCs w:val="0"/>
          <w:sz w:val="28"/>
          <w:szCs w:val="28"/>
          <w:highlight w:val="none"/>
          <w:lang w:val="en-US" w:eastAsia="zh-CN"/>
        </w:rPr>
        <w:t xml:space="preserve">：</w:t>
      </w:r>
      <w:r>
        <w:rPr>
          <w:rFonts w:ascii="仿宋" w:hAnsi="仿宋" w:eastAsia="仿宋"/>
          <w:b w:val="0"/>
          <w:bCs w:val="0"/>
          <w:sz w:val="28"/>
          <w:szCs w:val="28"/>
          <w:highlight w:val="none"/>
          <w:lang w:val="en-US" w:eastAsia="zh-CN"/>
        </w:rPr>
      </w:r>
      <w:r/>
    </w:p>
    <w:p>
      <w:pPr>
        <w:pStyle w:val="893"/>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ascii="仿宋" w:hAnsi="仿宋" w:eastAsia="仿宋"/>
          <w:sz w:val="28"/>
          <w:szCs w:val="28"/>
          <w:highlight w:val="none"/>
          <w:lang w:val="en-US" w:eastAsia="zh-CN"/>
        </w:rPr>
        <w:t xml:space="preserve">材质完全符合招标文件要求；工艺精细规整，接缝、拼接、加工处无毛刺、瑕疵；结构稳固无松动、无变形；各项功能完整，</w:t>
      </w:r>
      <w:r>
        <w:rPr>
          <w:rFonts w:ascii="仿宋" w:hAnsi="仿宋" w:eastAsia="仿宋"/>
          <w:sz w:val="28"/>
          <w:szCs w:val="28"/>
          <w:highlight w:val="none"/>
          <w:lang w:val="en-US" w:eastAsia="zh-CN"/>
        </w:rPr>
        <w:t xml:space="preserve">使用状态正常稳定。表面处理（漆面、镀层、涂层等）均匀光亮，无脱落、起泡、划痕、锈蚀的得6分；材质基本满足招标文件要求；工艺整体合规，存在细微加工痕迹；结构基本稳固，仅局部轻微松动，无变形；各项功能均可正常使用。表面处理基本均匀，仅存在1处轻微瑕疵（轻微划痕、局部色泽不均等），不影响正常使用的得4分；材质仅达到最低使用标准；工艺粗糙，多处加工细节不到位；结构稳定性一般，松动现象较明显、无明显变形；核心功能可用，附属功能体验不佳。表面处理质感较差，存在2处及以上瑕疵，但未出现破损、脱落、锈蚀等严重问题的得2分。</w:t>
      </w:r>
      <w:r>
        <w:rPr>
          <w:rFonts w:ascii="仿宋" w:hAnsi="仿宋" w:eastAsia="仿宋"/>
          <w:sz w:val="28"/>
          <w:szCs w:val="28"/>
          <w:highlight w:val="none"/>
          <w:lang w:val="en-US" w:eastAsia="zh-CN"/>
        </w:rPr>
      </w:r>
      <w:r/>
    </w:p>
    <w:p>
      <w:pPr>
        <w:pStyle w:val="893"/>
        <w:ind w:firstLine="560"/>
        <w:keepLines w:val="0"/>
        <w:keepNext w:val="0"/>
        <w:pageBreakBefore w:val="0"/>
        <w:spacing w:line="520" w:lineRule="exact"/>
        <w:rPr>
          <w:rFonts w:ascii="仿宋" w:hAnsi="仿宋" w:eastAsia="仿宋"/>
          <w:b w:val="0"/>
          <w:bCs w:val="0"/>
          <w:sz w:val="28"/>
          <w:szCs w:val="28"/>
          <w:highlight w:val="none"/>
          <w:lang w:val="en-US" w:eastAsia="zh-CN"/>
        </w:rPr>
        <w:outlineLvl w:val="9"/>
      </w:pPr>
      <w:r>
        <w:rPr>
          <w:rFonts w:hint="eastAsia" w:ascii="仿宋" w:hAnsi="仿宋" w:eastAsia="仿宋"/>
          <w:b w:val="0"/>
          <w:bCs w:val="0"/>
          <w:sz w:val="28"/>
          <w:szCs w:val="28"/>
          <w:highlight w:val="none"/>
          <w:lang w:val="en-US" w:eastAsia="zh-CN"/>
        </w:rPr>
        <w:t xml:space="preserve">（2）</w:t>
      </w:r>
      <w:r>
        <w:rPr>
          <w:rFonts w:ascii="仿宋" w:hAnsi="仿宋" w:eastAsia="仿宋"/>
          <w:b w:val="0"/>
          <w:bCs w:val="0"/>
          <w:sz w:val="28"/>
          <w:szCs w:val="28"/>
          <w:highlight w:val="none"/>
          <w:lang w:val="en-US" w:eastAsia="zh-CN"/>
        </w:rPr>
        <w:t xml:space="preserve">外观</w:t>
      </w:r>
      <w:r>
        <w:rPr>
          <w:rFonts w:hint="eastAsia" w:ascii="仿宋" w:hAnsi="仿宋" w:eastAsia="仿宋"/>
          <w:b w:val="0"/>
          <w:bCs w:val="0"/>
          <w:sz w:val="28"/>
          <w:szCs w:val="28"/>
          <w:highlight w:val="none"/>
          <w:lang w:val="en-US" w:eastAsia="zh-CN"/>
        </w:rPr>
        <w:t xml:space="preserve">（6分）</w:t>
      </w:r>
      <w:r>
        <w:rPr>
          <w:rFonts w:ascii="仿宋" w:hAnsi="仿宋" w:eastAsia="仿宋"/>
          <w:b w:val="0"/>
          <w:bCs w:val="0"/>
          <w:sz w:val="28"/>
          <w:szCs w:val="28"/>
          <w:highlight w:val="none"/>
          <w:lang w:val="en-US" w:eastAsia="zh-CN"/>
        </w:rPr>
        <w:t xml:space="preserve">：</w:t>
      </w:r>
      <w:r>
        <w:rPr>
          <w:rFonts w:ascii="仿宋" w:hAnsi="仿宋" w:eastAsia="仿宋"/>
          <w:b w:val="0"/>
          <w:bCs w:val="0"/>
          <w:sz w:val="28"/>
          <w:szCs w:val="28"/>
          <w:highlight w:val="none"/>
          <w:lang w:val="en-US" w:eastAsia="zh-CN"/>
        </w:rPr>
      </w:r>
      <w:r/>
    </w:p>
    <w:p>
      <w:pPr>
        <w:pStyle w:val="893"/>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ascii="仿宋" w:hAnsi="仿宋" w:eastAsia="仿宋"/>
          <w:sz w:val="28"/>
          <w:szCs w:val="28"/>
          <w:highlight w:val="none"/>
          <w:lang w:val="en-US" w:eastAsia="zh-CN"/>
        </w:rPr>
        <w:t xml:space="preserve">重量完全符合技术参数要求</w:t>
      </w:r>
      <w:r>
        <w:rPr>
          <w:rFonts w:hint="eastAsia" w:ascii="仿宋" w:hAnsi="仿宋" w:eastAsia="仿宋"/>
          <w:sz w:val="28"/>
          <w:szCs w:val="28"/>
          <w:highlight w:val="none"/>
          <w:lang w:val="en-US" w:eastAsia="zh-CN"/>
        </w:rPr>
        <w:t xml:space="preserve">；</w:t>
      </w:r>
      <w:r>
        <w:rPr>
          <w:rFonts w:ascii="仿宋" w:hAnsi="仿宋" w:eastAsia="仿宋"/>
          <w:sz w:val="28"/>
          <w:szCs w:val="28"/>
          <w:highlight w:val="none"/>
          <w:lang w:val="en-US" w:eastAsia="zh-CN"/>
        </w:rPr>
        <w:t xml:space="preserve">标识清晰、规范、位置合规；整体外观完好，无划痕、磕碰、破损、脏污等缺陷的得6分</w:t>
      </w:r>
      <w:r>
        <w:rPr>
          <w:rFonts w:hint="eastAsia" w:ascii="仿宋" w:hAnsi="仿宋" w:eastAsia="仿宋"/>
          <w:sz w:val="28"/>
          <w:szCs w:val="28"/>
          <w:highlight w:val="none"/>
          <w:lang w:val="en-US" w:eastAsia="zh-CN"/>
        </w:rPr>
        <w:t xml:space="preserve">；</w:t>
      </w:r>
      <w:r>
        <w:rPr>
          <w:rFonts w:ascii="仿宋" w:hAnsi="仿宋" w:eastAsia="仿宋"/>
          <w:sz w:val="28"/>
          <w:szCs w:val="28"/>
          <w:highlight w:val="none"/>
          <w:lang w:val="en-US" w:eastAsia="zh-CN"/>
        </w:rPr>
        <w:t xml:space="preserve">重量在约定允许误差范围内；外观存在1 处轻微瑕疵（细微划痕、局部污渍等），无磕碰、破损，不影响整体观感的得4分</w:t>
      </w:r>
      <w:r>
        <w:rPr>
          <w:rFonts w:hint="eastAsia" w:ascii="仿宋" w:hAnsi="仿宋" w:eastAsia="仿宋"/>
          <w:sz w:val="28"/>
          <w:szCs w:val="28"/>
          <w:highlight w:val="none"/>
          <w:lang w:val="en-US" w:eastAsia="zh-CN"/>
        </w:rPr>
        <w:t xml:space="preserve">；</w:t>
      </w:r>
      <w:r>
        <w:rPr>
          <w:rFonts w:ascii="仿宋" w:hAnsi="仿宋" w:eastAsia="仿宋"/>
          <w:sz w:val="28"/>
          <w:szCs w:val="28"/>
          <w:highlight w:val="none"/>
          <w:lang w:val="en-US" w:eastAsia="zh-CN"/>
        </w:rPr>
        <w:t xml:space="preserve">重量偏差略超允许范围但不影响装配使用；标识模糊；外观存在2 处及以上轻微瑕疵，无结构性破损的得2分。</w:t>
      </w:r>
      <w:r>
        <w:rPr>
          <w:rFonts w:ascii="仿宋" w:hAnsi="仿宋" w:eastAsia="仿宋"/>
          <w:sz w:val="28"/>
          <w:szCs w:val="28"/>
          <w:highlight w:val="none"/>
          <w:lang w:val="en-US" w:eastAsia="zh-CN"/>
        </w:rPr>
      </w:r>
      <w:r/>
    </w:p>
    <w:p>
      <w:pPr>
        <w:pStyle w:val="893"/>
        <w:ind w:firstLine="560"/>
        <w:keepLines w:val="0"/>
        <w:keepNext w:val="0"/>
        <w:pageBreakBefore w:val="0"/>
        <w:spacing w:line="520" w:lineRule="exact"/>
        <w:rPr>
          <w:rFonts w:ascii="仿宋" w:hAnsi="仿宋" w:eastAsia="仿宋"/>
          <w:b w:val="0"/>
          <w:bCs w:val="0"/>
          <w:sz w:val="28"/>
          <w:szCs w:val="28"/>
          <w:highlight w:val="none"/>
          <w:lang w:val="en-US" w:eastAsia="zh-CN"/>
        </w:rPr>
        <w:outlineLvl w:val="9"/>
      </w:pPr>
      <w:r>
        <w:rPr>
          <w:rFonts w:hint="eastAsia" w:ascii="仿宋" w:hAnsi="仿宋" w:eastAsia="仿宋"/>
          <w:b w:val="0"/>
          <w:bCs w:val="0"/>
          <w:sz w:val="28"/>
          <w:szCs w:val="28"/>
          <w:highlight w:val="none"/>
          <w:lang w:val="en-US" w:eastAsia="zh-CN"/>
        </w:rPr>
        <w:t xml:space="preserve">（3）</w:t>
      </w:r>
      <w:r>
        <w:rPr>
          <w:rFonts w:ascii="仿宋" w:hAnsi="仿宋" w:eastAsia="仿宋"/>
          <w:b w:val="0"/>
          <w:bCs w:val="0"/>
          <w:sz w:val="28"/>
          <w:szCs w:val="28"/>
          <w:highlight w:val="none"/>
          <w:lang w:val="en-US" w:eastAsia="zh-CN"/>
        </w:rPr>
        <w:t xml:space="preserve">使用体验</w:t>
      </w:r>
      <w:r>
        <w:rPr>
          <w:rFonts w:hint="eastAsia" w:ascii="仿宋" w:hAnsi="仿宋" w:eastAsia="仿宋"/>
          <w:b w:val="0"/>
          <w:bCs w:val="0"/>
          <w:sz w:val="28"/>
          <w:szCs w:val="28"/>
          <w:highlight w:val="none"/>
          <w:lang w:val="en-US" w:eastAsia="zh-CN"/>
        </w:rPr>
        <w:t xml:space="preserve">（6分）</w:t>
      </w:r>
      <w:r>
        <w:rPr>
          <w:rFonts w:ascii="仿宋" w:hAnsi="仿宋" w:eastAsia="仿宋"/>
          <w:b w:val="0"/>
          <w:bCs w:val="0"/>
          <w:sz w:val="28"/>
          <w:szCs w:val="28"/>
          <w:highlight w:val="none"/>
          <w:lang w:val="en-US" w:eastAsia="zh-CN"/>
        </w:rPr>
        <w:t xml:space="preserve">：</w:t>
      </w:r>
      <w:r>
        <w:rPr>
          <w:rFonts w:ascii="仿宋" w:hAnsi="仿宋" w:eastAsia="仿宋"/>
          <w:b w:val="0"/>
          <w:bCs w:val="0"/>
          <w:sz w:val="28"/>
          <w:szCs w:val="28"/>
          <w:highlight w:val="none"/>
          <w:lang w:val="en-US" w:eastAsia="zh-CN"/>
        </w:rPr>
      </w:r>
      <w:r/>
    </w:p>
    <w:p>
      <w:pPr>
        <w:pStyle w:val="893"/>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ascii="仿宋" w:hAnsi="仿宋" w:eastAsia="仿宋"/>
          <w:sz w:val="28"/>
          <w:szCs w:val="28"/>
          <w:highlight w:val="none"/>
          <w:lang w:val="en-US" w:eastAsia="zh-CN"/>
        </w:rPr>
        <w:t xml:space="preserve">操作逻辑简单直观，按键或部件开合、调节顺畅，上手无门槛；握持、使用体感舒适；产品运行流畅，无卡顿、卡滞现象，整体使用体验佳的</w:t>
      </w:r>
      <w:r>
        <w:rPr>
          <w:rFonts w:ascii="仿宋" w:hAnsi="仿宋" w:eastAsia="仿宋"/>
          <w:sz w:val="28"/>
          <w:szCs w:val="28"/>
          <w:highlight w:val="none"/>
          <w:lang w:val="en-US" w:eastAsia="zh-CN"/>
        </w:rPr>
        <w:t xml:space="preserve">得</w:t>
      </w:r>
      <w:r>
        <w:rPr>
          <w:rFonts w:hint="eastAsia" w:ascii="仿宋" w:hAnsi="仿宋" w:eastAsia="仿宋"/>
          <w:sz w:val="28"/>
          <w:szCs w:val="28"/>
          <w:highlight w:val="none"/>
          <w:lang w:val="en-US" w:eastAsia="zh-CN"/>
        </w:rPr>
        <w:t xml:space="preserve">6</w:t>
      </w:r>
      <w:r>
        <w:rPr>
          <w:rFonts w:ascii="仿宋" w:hAnsi="仿宋" w:eastAsia="仿宋"/>
          <w:sz w:val="28"/>
          <w:szCs w:val="28"/>
          <w:highlight w:val="none"/>
          <w:lang w:val="en-US" w:eastAsia="zh-CN"/>
        </w:rPr>
        <w:t xml:space="preserve">分</w:t>
      </w:r>
      <w:r>
        <w:rPr>
          <w:rFonts w:hint="eastAsia" w:ascii="仿宋" w:hAnsi="仿宋" w:eastAsia="仿宋"/>
          <w:sz w:val="28"/>
          <w:szCs w:val="28"/>
          <w:highlight w:val="none"/>
          <w:lang w:val="en-US" w:eastAsia="zh-CN"/>
        </w:rPr>
        <w:t xml:space="preserve">；</w:t>
      </w:r>
      <w:r>
        <w:rPr>
          <w:rFonts w:ascii="仿宋" w:hAnsi="仿宋" w:eastAsia="仿宋"/>
          <w:sz w:val="28"/>
          <w:szCs w:val="28"/>
          <w:highlight w:val="none"/>
          <w:lang w:val="en-US" w:eastAsia="zh-CN"/>
        </w:rPr>
        <w:t xml:space="preserve">操作流程清晰，仅个别步骤稍繁琐；使用体感基本舒适；运行偶有轻微卡顿、卡滞，基本满足正常操作与使用的</w:t>
      </w:r>
      <w:r>
        <w:rPr>
          <w:rFonts w:ascii="仿宋" w:hAnsi="仿宋" w:eastAsia="仿宋"/>
          <w:sz w:val="28"/>
          <w:szCs w:val="28"/>
          <w:highlight w:val="none"/>
          <w:lang w:val="en-US" w:eastAsia="zh-CN"/>
        </w:rPr>
        <w:t xml:space="preserve">得</w:t>
      </w:r>
      <w:r>
        <w:rPr>
          <w:rFonts w:hint="eastAsia" w:ascii="仿宋" w:hAnsi="仿宋" w:eastAsia="仿宋"/>
          <w:sz w:val="28"/>
          <w:szCs w:val="28"/>
          <w:highlight w:val="none"/>
          <w:lang w:val="en-US" w:eastAsia="zh-CN"/>
        </w:rPr>
        <w:t xml:space="preserve">4</w:t>
      </w:r>
      <w:r>
        <w:rPr>
          <w:rFonts w:ascii="仿宋" w:hAnsi="仿宋" w:eastAsia="仿宋"/>
          <w:sz w:val="28"/>
          <w:szCs w:val="28"/>
          <w:highlight w:val="none"/>
          <w:lang w:val="en-US" w:eastAsia="zh-CN"/>
        </w:rPr>
        <w:t xml:space="preserve">分</w:t>
      </w:r>
      <w:r>
        <w:rPr>
          <w:rFonts w:hint="eastAsia" w:ascii="仿宋" w:hAnsi="仿宋" w:eastAsia="仿宋"/>
          <w:sz w:val="28"/>
          <w:szCs w:val="28"/>
          <w:highlight w:val="none"/>
          <w:lang w:val="en-US" w:eastAsia="zh-CN"/>
        </w:rPr>
        <w:t xml:space="preserve">；</w:t>
      </w:r>
      <w:r>
        <w:rPr>
          <w:rFonts w:ascii="仿宋" w:hAnsi="仿宋" w:eastAsia="仿宋"/>
          <w:sz w:val="28"/>
          <w:szCs w:val="28"/>
          <w:highlight w:val="none"/>
          <w:lang w:val="en-US" w:eastAsia="zh-CN"/>
        </w:rPr>
        <w:t xml:space="preserve">操作步骤繁琐、部件开合或调节偏生硬；使用舒适性较差；卡顿、阻滞现象频发，能满足正常使用</w:t>
      </w:r>
      <w:r>
        <w:rPr>
          <w:rFonts w:ascii="仿宋" w:hAnsi="仿宋" w:eastAsia="仿宋"/>
          <w:sz w:val="28"/>
          <w:szCs w:val="28"/>
          <w:highlight w:val="none"/>
          <w:lang w:val="en-US" w:eastAsia="zh-CN"/>
        </w:rPr>
        <w:t xml:space="preserve">的得</w:t>
      </w:r>
      <w:r>
        <w:rPr>
          <w:rFonts w:hint="eastAsia" w:ascii="仿宋" w:hAnsi="仿宋" w:eastAsia="仿宋"/>
          <w:sz w:val="28"/>
          <w:szCs w:val="28"/>
          <w:highlight w:val="none"/>
          <w:lang w:val="en-US" w:eastAsia="zh-CN"/>
        </w:rPr>
        <w:t xml:space="preserve">2</w:t>
      </w:r>
      <w:r>
        <w:rPr>
          <w:rFonts w:ascii="仿宋" w:hAnsi="仿宋" w:eastAsia="仿宋"/>
          <w:sz w:val="28"/>
          <w:szCs w:val="28"/>
          <w:highlight w:val="none"/>
          <w:lang w:val="en-US" w:eastAsia="zh-CN"/>
        </w:rPr>
        <w:t xml:space="preserve">分</w:t>
      </w:r>
      <w:r>
        <w:rPr>
          <w:rFonts w:ascii="仿宋" w:hAnsi="仿宋" w:eastAsia="仿宋"/>
          <w:sz w:val="28"/>
          <w:szCs w:val="28"/>
          <w:highlight w:val="none"/>
          <w:lang w:val="en-US" w:eastAsia="zh-CN"/>
        </w:rPr>
        <w:t xml:space="preserve">。</w:t>
      </w:r>
      <w:r>
        <w:rPr>
          <w:rFonts w:ascii="仿宋" w:hAnsi="仿宋" w:eastAsia="仿宋"/>
          <w:sz w:val="28"/>
          <w:szCs w:val="28"/>
          <w:highlight w:val="none"/>
          <w:lang w:val="en-US" w:eastAsia="zh-CN"/>
        </w:rPr>
      </w:r>
      <w:r/>
    </w:p>
    <w:p>
      <w:pPr>
        <w:pStyle w:val="893"/>
        <w:ind w:firstLine="560"/>
        <w:keepLines w:val="0"/>
        <w:keepNext w:val="0"/>
        <w:pageBreakBefore w:val="0"/>
        <w:spacing w:line="520" w:lineRule="exact"/>
        <w:rPr>
          <w:rFonts w:ascii="仿宋" w:hAnsi="仿宋" w:eastAsia="仿宋"/>
          <w:b w:val="0"/>
          <w:bCs w:val="0"/>
          <w:sz w:val="28"/>
          <w:szCs w:val="28"/>
          <w:highlight w:val="none"/>
          <w:lang w:val="en-US" w:eastAsia="zh-CN"/>
        </w:rPr>
        <w:outlineLvl w:val="9"/>
      </w:pPr>
      <w:r>
        <w:rPr>
          <w:rFonts w:ascii="仿宋" w:hAnsi="仿宋" w:eastAsia="仿宋"/>
          <w:b w:val="0"/>
          <w:bCs w:val="0"/>
          <w:sz w:val="28"/>
          <w:szCs w:val="28"/>
          <w:highlight w:val="none"/>
          <w:lang w:val="en-US" w:eastAsia="zh-CN"/>
        </w:rPr>
        <w:t xml:space="preserve">有以下两种情形之一的，此项不得分：1、未提供样品；2、样品实物与投标文件技术参数描述不一致的。</w:t>
      </w:r>
      <w:r>
        <w:rPr>
          <w:rFonts w:ascii="仿宋" w:hAnsi="仿宋" w:eastAsia="仿宋"/>
          <w:b w:val="0"/>
          <w:bCs w:val="0"/>
          <w:sz w:val="28"/>
          <w:szCs w:val="28"/>
          <w:highlight w:val="none"/>
          <w:lang w:val="en-US" w:eastAsia="zh-CN"/>
        </w:rPr>
      </w:r>
      <w:r/>
    </w:p>
    <w:p>
      <w:pPr>
        <w:pStyle w:val="893"/>
        <w:numPr>
          <w:ilvl w:val="0"/>
          <w:numId w:val="5"/>
        </w:numPr>
        <w:ind w:firstLine="562"/>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rPr>
        <w:t xml:space="preserve">售后服务</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lang w:val="en-US" w:eastAsia="zh-CN"/>
        </w:rPr>
        <w:t xml:space="preserve">12</w:t>
      </w:r>
      <w:r>
        <w:rPr>
          <w:rFonts w:hint="eastAsia" w:ascii="仿宋" w:hAnsi="仿宋" w:eastAsia="仿宋"/>
          <w:b/>
          <w:bCs/>
          <w:sz w:val="28"/>
          <w:szCs w:val="28"/>
          <w:highlight w:val="none"/>
        </w:rPr>
        <w:t xml:space="preserve">分</w:t>
      </w:r>
      <w:r>
        <w:rPr>
          <w:rFonts w:hint="eastAsia" w:ascii="仿宋" w:hAnsi="仿宋" w:eastAsia="仿宋"/>
          <w:b/>
          <w:bCs/>
          <w:sz w:val="28"/>
          <w:szCs w:val="28"/>
          <w:highlight w:val="none"/>
        </w:rPr>
      </w:r>
      <w:r/>
    </w:p>
    <w:p>
      <w:pPr>
        <w:pStyle w:val="893"/>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售后服务方案</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5分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893"/>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就投标人提供的售后服务方案进行综合评审，内容包括但不限于：售后服务范围及内容、售后培训及频次、售后服务人员及设备配备、售后响应时间、质保期外的售后服务范围等情况。 </w:t>
      </w:r>
      <w:r>
        <w:rPr>
          <w:rFonts w:hint="eastAsia" w:ascii="仿宋" w:hAnsi="仿宋" w:eastAsia="仿宋"/>
          <w:sz w:val="28"/>
          <w:szCs w:val="28"/>
          <w:highlight w:val="none"/>
        </w:rPr>
      </w:r>
      <w:r/>
    </w:p>
    <w:p>
      <w:pPr>
        <w:pStyle w:val="893"/>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方案内容完整，售后服务范围及内容</w:t>
      </w:r>
      <w:r>
        <w:rPr>
          <w:rFonts w:hint="eastAsia" w:ascii="仿宋" w:hAnsi="仿宋" w:eastAsia="仿宋"/>
          <w:sz w:val="28"/>
          <w:szCs w:val="28"/>
          <w:highlight w:val="none"/>
        </w:rPr>
        <w:t xml:space="preserve">全面且清晰，售后培训方案可执行性强的，配备专业售后服务人员及设备，售后响应时间相较其他投标人迅速，交付使用后全周期免费维修详细列明、服务承诺及保证条款设置有处罚措施的，得5分； 方案内容较完整，售后服务范围及内容较为全面且清晰，售后培训方案可执行性较强，配备售后服务人员及设备较专业，响应时间相较其他投标人适中，交付使用后全周期免费维修售后较详细列明的得3分； 方案内容一般，售后服务范围及内容基本明确，售后培训方案可执行性较弱，配备售后服务人员及设备单一，交付使用后全周期免费维修售后服务范围阐述简单的，得1分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未提供，不得分。</w:t>
      </w:r>
      <w:r>
        <w:rPr>
          <w:rFonts w:hint="eastAsia" w:ascii="仿宋" w:hAnsi="仿宋" w:eastAsia="仿宋"/>
          <w:sz w:val="28"/>
          <w:szCs w:val="28"/>
          <w:highlight w:val="none"/>
        </w:rPr>
      </w:r>
      <w:r/>
    </w:p>
    <w:p>
      <w:pPr>
        <w:pStyle w:val="893"/>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交货、验收方案</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5分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893"/>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就投标人提供的交货、验收方案进行综合评审，内容包含但不限于交货流程、交货时间、配合验收流程、配合验收人员配置、配合验收保障措施等进行打分：</w:t>
      </w:r>
      <w:r>
        <w:rPr>
          <w:rFonts w:hint="eastAsia" w:ascii="仿宋" w:hAnsi="仿宋" w:eastAsia="仿宋"/>
          <w:sz w:val="28"/>
          <w:szCs w:val="28"/>
          <w:highlight w:val="none"/>
        </w:rPr>
      </w:r>
      <w:r/>
    </w:p>
    <w:p>
      <w:pPr>
        <w:pStyle w:val="893"/>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方案内容完整，产品的交货流程清晰明确、详尽，交货时间快捷、有效，配合验收流程阐述详细，验收配合关键时间节点具体可执行性强，配合验收人员配置明确，有指定的专职人员负责且职责分工清晰合理；配合验收保障措施全面明</w:t>
      </w:r>
      <w:r>
        <w:rPr>
          <w:rFonts w:hint="eastAsia" w:ascii="仿宋" w:hAnsi="仿宋" w:eastAsia="仿宋"/>
          <w:sz w:val="28"/>
          <w:szCs w:val="28"/>
          <w:highlight w:val="none"/>
        </w:rPr>
        <w:t xml:space="preserve">确、内容详实、操作可行，能有效保障验收工作顺利实施的，得5分；方案内容较完整，产品的交货验收流程较清晰明确，交货时间较快捷、有效，配合验收流程基本清晰，有主要时间节点，配合验收人员配置较明确，职责分工描述较具体；配合采购人顺利验收的保障措施内容整体较全面，能基本保障采购人验收工作顺利实施的，得3分；方案内容一般，产品的交货验收流程基本明确，交货时间基本满足要求的，验收配合方案内容单一，配合验收流程安排简单，缺乏关键步骤或时间节点，无法顺利指导操作；配合采购人顺利验收的保障措施有漏洞，得1分；未提供，不得分。</w:t>
      </w:r>
      <w:r>
        <w:rPr>
          <w:rFonts w:hint="eastAsia" w:ascii="仿宋" w:hAnsi="仿宋" w:eastAsia="仿宋"/>
          <w:sz w:val="28"/>
          <w:szCs w:val="28"/>
          <w:highlight w:val="none"/>
        </w:rPr>
      </w:r>
      <w:r/>
    </w:p>
    <w:p>
      <w:pPr>
        <w:pStyle w:val="893"/>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免费维修服务期限</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893"/>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根据投标人针对本项目供货产品的免费维修服务期限进行综合比较后评分：投标人所投产品免费维修服务期限响应招标文件最低要求（三年）下每增加一年加1分，最高得2分。免费维修服务期限三年以下或未提供</w:t>
      </w:r>
      <w:r>
        <w:rPr>
          <w:rFonts w:hint="eastAsia" w:ascii="仿宋" w:hAnsi="仿宋" w:eastAsia="仿宋"/>
          <w:sz w:val="28"/>
          <w:szCs w:val="28"/>
          <w:highlight w:val="none"/>
        </w:rPr>
        <w:t xml:space="preserve">者不得分。（投标文件需提供加盖投标人公章的免费维修服务期限承诺书）。</w:t>
      </w:r>
      <w:r>
        <w:rPr>
          <w:rFonts w:hint="eastAsia" w:ascii="仿宋" w:hAnsi="仿宋" w:eastAsia="仿宋"/>
          <w:sz w:val="28"/>
          <w:szCs w:val="28"/>
          <w:highlight w:val="none"/>
        </w:rPr>
      </w:r>
      <w:r/>
    </w:p>
    <w:p>
      <w:pPr>
        <w:pStyle w:val="893"/>
        <w:numPr>
          <w:ilvl w:val="0"/>
          <w:numId w:val="5"/>
        </w:numPr>
        <w:ind w:left="0" w:firstLine="562"/>
        <w:keepLines w:val="0"/>
        <w:keepNext w:val="0"/>
        <w:pageBreakBefore w:val="0"/>
        <w:spacing w:line="520" w:lineRule="exact"/>
        <w:widowControl w:val="off"/>
        <w:rPr>
          <w:rFonts w:hint="eastAsia" w:ascii="仿宋" w:hAnsi="仿宋" w:eastAsia="仿宋"/>
          <w:b/>
          <w:bCs/>
          <w:sz w:val="28"/>
          <w:szCs w:val="28"/>
          <w:highlight w:val="none"/>
          <w:lang w:val="en-US" w:eastAsia="zh-CN"/>
        </w:rPr>
        <w:outlineLvl w:val="9"/>
      </w:pPr>
      <w:r>
        <w:rPr>
          <w:rFonts w:hint="eastAsia" w:ascii="仿宋" w:hAnsi="仿宋" w:eastAsia="仿宋"/>
          <w:b/>
          <w:bCs/>
          <w:sz w:val="28"/>
          <w:szCs w:val="28"/>
          <w:highlight w:val="none"/>
          <w:lang w:val="en-US" w:eastAsia="zh-CN"/>
        </w:rPr>
        <w:t xml:space="preserve">商务部分：3分</w:t>
      </w:r>
      <w:r>
        <w:rPr>
          <w:rFonts w:hint="eastAsia" w:ascii="仿宋" w:hAnsi="仿宋" w:eastAsia="仿宋"/>
          <w:b/>
          <w:bCs/>
          <w:sz w:val="28"/>
          <w:szCs w:val="28"/>
          <w:highlight w:val="none"/>
          <w:lang w:val="en-US" w:eastAsia="zh-CN"/>
        </w:rPr>
      </w:r>
      <w:r/>
    </w:p>
    <w:p>
      <w:pPr>
        <w:pStyle w:val="893"/>
        <w:numPr>
          <w:ilvl w:val="0"/>
          <w:numId w:val="0"/>
        </w:numPr>
        <w:ind w:firstLine="560"/>
        <w:keepLines w:val="0"/>
        <w:keepNext w:val="0"/>
        <w:pageBreakBefore w:val="0"/>
        <w:spacing w:line="520" w:lineRule="exact"/>
        <w:widowControl w:val="off"/>
        <w:rPr>
          <w:rFonts w:ascii="仿宋" w:hAnsi="仿宋" w:eastAsia="仿宋"/>
          <w:sz w:val="28"/>
          <w:szCs w:val="28"/>
          <w:highlight w:val="none"/>
          <w:lang w:val="en-US" w:eastAsia="zh-CN"/>
        </w:rPr>
        <w:outlineLvl w:val="9"/>
      </w:pPr>
      <w:r>
        <w:rPr>
          <w:rFonts w:ascii="仿宋" w:hAnsi="仿宋" w:eastAsia="仿宋"/>
          <w:b w:val="0"/>
          <w:bCs w:val="0"/>
          <w:sz w:val="28"/>
          <w:szCs w:val="28"/>
          <w:highlight w:val="none"/>
          <w:lang w:val="en-US" w:eastAsia="zh-CN"/>
        </w:rPr>
        <w:t xml:space="preserve">投标人</w:t>
      </w:r>
      <w:r>
        <w:rPr>
          <w:rFonts w:hint="eastAsia" w:ascii="仿宋" w:hAnsi="仿宋" w:eastAsia="仿宋"/>
          <w:sz w:val="28"/>
          <w:szCs w:val="28"/>
          <w:highlight w:val="none"/>
          <w:lang w:val="en-US" w:eastAsia="zh-CN"/>
        </w:rPr>
        <w:t xml:space="preserve">自2021年</w:t>
      </w:r>
      <w:r>
        <w:rPr>
          <w:rFonts w:hint="eastAsia" w:ascii="仿宋" w:hAnsi="仿宋" w:eastAsia="仿宋"/>
          <w:sz w:val="28"/>
          <w:szCs w:val="28"/>
          <w:highlight w:val="none"/>
          <w:lang w:val="en-US" w:eastAsia="zh-CN"/>
        </w:rPr>
        <w:t xml:space="preserve">（以合同签订时间为准）</w:t>
      </w:r>
      <w:r>
        <w:rPr>
          <w:rFonts w:ascii="仿宋" w:hAnsi="仿宋" w:eastAsia="仿宋"/>
          <w:sz w:val="28"/>
          <w:szCs w:val="28"/>
          <w:highlight w:val="none"/>
          <w:lang w:val="en-US" w:eastAsia="zh-CN"/>
        </w:rPr>
        <w:t xml:space="preserve">以来有过相似产品销售业绩的。每提供一份有效业绩证明材料得1分，最多得3分。</w:t>
      </w:r>
      <w:r>
        <w:rPr>
          <w:rFonts w:ascii="仿宋" w:hAnsi="仿宋" w:eastAsia="仿宋"/>
          <w:sz w:val="28"/>
          <w:szCs w:val="28"/>
          <w:highlight w:val="none"/>
          <w:lang w:val="en-US" w:eastAsia="zh-CN"/>
        </w:rPr>
      </w:r>
      <w:r/>
    </w:p>
    <w:p>
      <w:pPr>
        <w:pStyle w:val="893"/>
        <w:numPr>
          <w:ilvl w:val="0"/>
          <w:numId w:val="0"/>
        </w:numPr>
        <w:ind w:firstLine="562"/>
        <w:keepLines w:val="0"/>
        <w:keepNext w:val="0"/>
        <w:pageBreakBefore w:val="0"/>
        <w:spacing w:line="520" w:lineRule="exact"/>
        <w:widowControl w:val="off"/>
        <w:rPr>
          <w:rFonts w:ascii="仿宋" w:hAnsi="仿宋" w:eastAsia="仿宋"/>
          <w:b/>
          <w:bCs/>
          <w:sz w:val="28"/>
          <w:szCs w:val="28"/>
          <w:highlight w:val="none"/>
          <w:lang w:val="en-US" w:eastAsia="zh-CN"/>
        </w:rPr>
        <w:outlineLvl w:val="9"/>
      </w:pPr>
      <w:r>
        <w:rPr>
          <w:rFonts w:ascii="仿宋" w:hAnsi="仿宋" w:eastAsia="仿宋"/>
          <w:b/>
          <w:bCs/>
          <w:sz w:val="28"/>
          <w:szCs w:val="28"/>
          <w:highlight w:val="none"/>
          <w:lang w:val="en-US" w:eastAsia="zh-CN"/>
        </w:rPr>
        <w:t xml:space="preserve">注：</w:t>
      </w:r>
      <w:r>
        <w:rPr>
          <w:rFonts w:ascii="仿宋" w:hAnsi="仿宋" w:eastAsia="仿宋"/>
          <w:b/>
          <w:bCs/>
          <w:sz w:val="28"/>
          <w:szCs w:val="28"/>
          <w:highlight w:val="none"/>
          <w:lang w:val="en-US" w:eastAsia="zh-CN"/>
        </w:rPr>
      </w:r>
      <w:r/>
    </w:p>
    <w:p>
      <w:pPr>
        <w:pStyle w:val="893"/>
        <w:numPr>
          <w:ilvl w:val="0"/>
          <w:numId w:val="0"/>
        </w:numPr>
        <w:ind w:firstLine="560"/>
        <w:keepLines w:val="0"/>
        <w:keepNext w:val="0"/>
        <w:pageBreakBefore w:val="0"/>
        <w:spacing w:line="520" w:lineRule="exact"/>
        <w:widowControl w:val="off"/>
        <w:rPr>
          <w:rFonts w:ascii="仿宋" w:hAnsi="仿宋" w:eastAsia="仿宋"/>
          <w:sz w:val="28"/>
          <w:szCs w:val="28"/>
          <w:highlight w:val="none"/>
          <w:lang w:val="en-US" w:eastAsia="zh-CN"/>
        </w:rPr>
        <w:outlineLvl w:val="9"/>
      </w:pPr>
      <w:r>
        <w:rPr>
          <w:rFonts w:ascii="仿宋" w:hAnsi="仿宋" w:eastAsia="仿宋"/>
          <w:sz w:val="28"/>
          <w:szCs w:val="28"/>
          <w:highlight w:val="none"/>
          <w:lang w:val="en-US" w:eastAsia="zh-CN"/>
        </w:rPr>
        <w:t xml:space="preserve">①业绩证明材料需同时提供合同和发票加盖公章，合同须能体现签订单位信息、签订时间、产品名称、型号、价格等相关信息，否则视为无效合同）。②统招分签的合同按一个合同业绩计。【多个合同项目名称一致的，均按一个合同计】③合同中的产品名称及产品型号请加以明显标记，以方便评审和核对。④合同评审中的重要信息因存在内容模糊、无法辨认而产生不利于该项评审的情况，投标人自行承担后果。</w:t>
      </w:r>
      <w:r>
        <w:rPr>
          <w:rFonts w:ascii="仿宋" w:hAnsi="仿宋" w:eastAsia="仿宋"/>
          <w:sz w:val="28"/>
          <w:szCs w:val="28"/>
          <w:highlight w:val="none"/>
          <w:lang w:val="en-US" w:eastAsia="zh-CN"/>
        </w:rPr>
      </w:r>
      <w:r/>
    </w:p>
    <w:p>
      <w:pPr>
        <w:pStyle w:val="893"/>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第四章  合同格式及条款</w:t>
      </w:r>
      <w:r>
        <w:rPr>
          <w:rFonts w:hint="eastAsia" w:ascii="仿宋" w:hAnsi="仿宋" w:eastAsia="仿宋"/>
          <w:b/>
          <w:sz w:val="36"/>
          <w:szCs w:val="36"/>
          <w:highlight w:val="none"/>
        </w:rPr>
      </w:r>
      <w:r/>
    </w:p>
    <w:p>
      <w:pPr>
        <w:pStyle w:val="893"/>
        <w:ind w:firstLine="560"/>
        <w:spacing w:line="520" w:lineRule="exact"/>
        <w:tabs>
          <w:tab w:val="left" w:pos="180" w:leader="none"/>
        </w:tabs>
        <w:rPr>
          <w:rFonts w:hint="eastAsia" w:ascii="仿宋" w:hAnsi="仿宋" w:eastAsia="仿宋"/>
          <w:sz w:val="32"/>
          <w:highlight w:val="none"/>
        </w:rPr>
      </w:pPr>
      <w:r>
        <w:rPr>
          <w:rFonts w:hint="eastAsia" w:ascii="仿宋" w:hAnsi="仿宋" w:eastAsia="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highlight w:val="none"/>
        </w:rPr>
      </w:r>
      <w:r/>
    </w:p>
    <w:p>
      <w:pPr>
        <w:pStyle w:val="914"/>
        <w:ind w:firstLine="306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14"/>
        <w:ind w:firstLine="306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93"/>
        <w:jc w:val="center"/>
        <w:rPr>
          <w:rFonts w:ascii="仿宋" w:hAnsi="仿宋" w:eastAsia="仿宋"/>
          <w:bCs/>
          <w:sz w:val="28"/>
          <w:szCs w:val="28"/>
          <w:highlight w:val="none"/>
        </w:rPr>
      </w:pPr>
      <w:r>
        <w:rPr>
          <w:rFonts w:hint="eastAsia" w:ascii="仿宋" w:hAnsi="仿宋" w:eastAsia="仿宋"/>
          <w:bCs/>
          <w:sz w:val="28"/>
          <w:szCs w:val="28"/>
          <w:highlight w:val="none"/>
        </w:rPr>
        <w:t xml:space="preserve">淮安市消防救援支队2026年度民生实事消防快速处置队装备器材采购项目</w:t>
      </w:r>
      <w:r>
        <w:rPr>
          <w:rFonts w:ascii="仿宋" w:hAnsi="仿宋" w:eastAsia="仿宋"/>
          <w:bCs/>
          <w:sz w:val="28"/>
          <w:szCs w:val="28"/>
          <w:highlight w:val="none"/>
        </w:rPr>
      </w:r>
      <w:r/>
    </w:p>
    <w:p>
      <w:pPr>
        <w:pStyle w:val="893"/>
        <w:jc w:val="center"/>
        <w:rPr>
          <w:rFonts w:ascii="仿宋" w:hAnsi="仿宋" w:eastAsia="仿宋"/>
          <w:bCs/>
          <w:sz w:val="28"/>
          <w:szCs w:val="28"/>
          <w:highlight w:val="none"/>
        </w:rPr>
      </w:pPr>
      <w:r>
        <w:rPr>
          <w:rFonts w:hint="eastAsia" w:ascii="仿宋" w:hAnsi="仿宋" w:eastAsia="仿宋"/>
          <w:bCs/>
          <w:sz w:val="28"/>
          <w:szCs w:val="28"/>
          <w:highlight w:val="none"/>
        </w:rPr>
        <w:t xml:space="preserve">采购合同</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甲方：（买方）</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乙方：（卖方）</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甲、乙双方根据****（项目名称）招标的结果，签署本合同。</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一、产品名称、单价</w:t>
      </w:r>
      <w:r>
        <w:rPr>
          <w:rFonts w:ascii="仿宋" w:hAnsi="仿宋" w:eastAsia="仿宋"/>
          <w:bCs/>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726"/>
        <w:gridCol w:w="726"/>
        <w:gridCol w:w="726"/>
        <w:gridCol w:w="726"/>
        <w:gridCol w:w="1056"/>
        <w:gridCol w:w="1065"/>
        <w:gridCol w:w="37"/>
        <w:gridCol w:w="1146"/>
        <w:gridCol w:w="1418"/>
      </w:tblGrid>
      <w:tr>
        <w:trPr/>
        <w:tc>
          <w:tcPr>
            <w:tcW w:w="704" w:type="dxa"/>
            <w:vAlign w:val="center"/>
            <w:textDirection w:val="lrTb"/>
            <w:noWrap w:val="false"/>
          </w:tcPr>
          <w:p>
            <w:pPr>
              <w:pStyle w:val="893"/>
              <w:jc w:val="center"/>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品名</w:t>
            </w:r>
            <w:r>
              <w:rPr>
                <w:rFonts w:ascii="仿宋" w:hAnsi="仿宋" w:eastAsia="仿宋" w:cs="Times New Roman"/>
                <w:bCs/>
                <w:sz w:val="28"/>
                <w:szCs w:val="28"/>
                <w:highlight w:val="none"/>
              </w:rPr>
            </w:r>
            <w:r/>
          </w:p>
        </w:tc>
        <w:tc>
          <w:tcPr>
            <w:tcW w:w="726" w:type="dxa"/>
            <w:vAlign w:val="center"/>
            <w:textDirection w:val="lrTb"/>
            <w:noWrap w:val="false"/>
          </w:tcPr>
          <w:p>
            <w:pPr>
              <w:pStyle w:val="893"/>
              <w:jc w:val="center"/>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品牌型号</w:t>
            </w:r>
            <w:r>
              <w:rPr>
                <w:rFonts w:ascii="仿宋" w:hAnsi="仿宋" w:eastAsia="仿宋" w:cs="Times New Roman"/>
                <w:bCs/>
                <w:sz w:val="28"/>
                <w:szCs w:val="28"/>
                <w:highlight w:val="none"/>
              </w:rPr>
            </w:r>
            <w:r/>
          </w:p>
        </w:tc>
        <w:tc>
          <w:tcPr>
            <w:tcW w:w="726" w:type="dxa"/>
            <w:vAlign w:val="center"/>
            <w:textDirection w:val="lrTb"/>
            <w:noWrap w:val="false"/>
          </w:tcPr>
          <w:p>
            <w:pPr>
              <w:pStyle w:val="893"/>
              <w:jc w:val="center"/>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生产厂家</w:t>
            </w:r>
            <w:r>
              <w:rPr>
                <w:rFonts w:ascii="仿宋" w:hAnsi="仿宋" w:eastAsia="仿宋" w:cs="Times New Roman"/>
                <w:bCs/>
                <w:sz w:val="28"/>
                <w:szCs w:val="28"/>
                <w:highlight w:val="none"/>
              </w:rPr>
            </w:r>
            <w:r/>
          </w:p>
        </w:tc>
        <w:tc>
          <w:tcPr>
            <w:tcW w:w="726" w:type="dxa"/>
            <w:vAlign w:val="center"/>
            <w:textDirection w:val="lrTb"/>
            <w:noWrap w:val="false"/>
          </w:tcPr>
          <w:p>
            <w:pPr>
              <w:pStyle w:val="893"/>
              <w:jc w:val="center"/>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单位</w:t>
            </w:r>
            <w:r>
              <w:rPr>
                <w:rFonts w:ascii="仿宋" w:hAnsi="仿宋" w:eastAsia="仿宋" w:cs="Times New Roman"/>
                <w:bCs/>
                <w:sz w:val="28"/>
                <w:szCs w:val="28"/>
                <w:highlight w:val="none"/>
              </w:rPr>
            </w:r>
            <w:r/>
          </w:p>
        </w:tc>
        <w:tc>
          <w:tcPr>
            <w:tcW w:w="726" w:type="dxa"/>
            <w:vAlign w:val="center"/>
            <w:textDirection w:val="lrTb"/>
            <w:noWrap w:val="false"/>
          </w:tcPr>
          <w:p>
            <w:pPr>
              <w:pStyle w:val="893"/>
              <w:jc w:val="center"/>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数量</w:t>
            </w:r>
            <w:r>
              <w:rPr>
                <w:rFonts w:ascii="仿宋" w:hAnsi="仿宋" w:eastAsia="仿宋" w:cs="Times New Roman"/>
                <w:bCs/>
                <w:sz w:val="28"/>
                <w:szCs w:val="28"/>
                <w:highlight w:val="none"/>
              </w:rPr>
            </w:r>
            <w:r/>
          </w:p>
        </w:tc>
        <w:tc>
          <w:tcPr>
            <w:tcW w:w="1056" w:type="dxa"/>
            <w:vAlign w:val="center"/>
            <w:textDirection w:val="lrTb"/>
            <w:noWrap w:val="false"/>
          </w:tcPr>
          <w:p>
            <w:pPr>
              <w:pStyle w:val="893"/>
              <w:jc w:val="center"/>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单价（元）</w:t>
            </w:r>
            <w:r>
              <w:rPr>
                <w:rFonts w:ascii="仿宋" w:hAnsi="仿宋" w:eastAsia="仿宋" w:cs="Times New Roman"/>
                <w:bCs/>
                <w:sz w:val="28"/>
                <w:szCs w:val="28"/>
                <w:highlight w:val="none"/>
              </w:rPr>
            </w:r>
            <w:r/>
          </w:p>
          <w:p>
            <w:pPr>
              <w:pStyle w:val="893"/>
              <w:jc w:val="center"/>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1065" w:type="dxa"/>
            <w:vAlign w:val="center"/>
            <w:textDirection w:val="lrTb"/>
            <w:noWrap w:val="false"/>
          </w:tcPr>
          <w:p>
            <w:pPr>
              <w:pStyle w:val="893"/>
              <w:jc w:val="center"/>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合计</w:t>
            </w:r>
            <w:r>
              <w:rPr>
                <w:rFonts w:ascii="仿宋" w:hAnsi="仿宋" w:eastAsia="仿宋" w:cs="Times New Roman"/>
                <w:bCs/>
                <w:sz w:val="28"/>
                <w:szCs w:val="28"/>
                <w:highlight w:val="none"/>
              </w:rPr>
            </w:r>
            <w:r/>
          </w:p>
          <w:p>
            <w:pPr>
              <w:pStyle w:val="893"/>
              <w:jc w:val="center"/>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（元）</w:t>
            </w:r>
            <w:r>
              <w:rPr>
                <w:rFonts w:ascii="仿宋" w:hAnsi="仿宋" w:eastAsia="仿宋" w:cs="Times New Roman"/>
                <w:bCs/>
                <w:sz w:val="28"/>
                <w:szCs w:val="28"/>
                <w:highlight w:val="none"/>
              </w:rPr>
            </w:r>
            <w:r/>
          </w:p>
          <w:p>
            <w:pPr>
              <w:pStyle w:val="893"/>
              <w:jc w:val="center"/>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gridSpan w:val="2"/>
            <w:tcW w:w="1183" w:type="dxa"/>
            <w:vAlign w:val="center"/>
            <w:textDirection w:val="lrTb"/>
            <w:noWrap w:val="false"/>
          </w:tcPr>
          <w:p>
            <w:pPr>
              <w:pStyle w:val="893"/>
              <w:jc w:val="center"/>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质保期</w:t>
            </w:r>
            <w:r>
              <w:rPr>
                <w:rFonts w:hint="eastAsia" w:ascii="仿宋" w:hAnsi="仿宋" w:eastAsia="仿宋" w:cs="Times New Roman"/>
                <w:bCs/>
                <w:sz w:val="28"/>
                <w:szCs w:val="28"/>
                <w:highlight w:val="none"/>
              </w:rPr>
            </w:r>
            <w:r/>
          </w:p>
        </w:tc>
        <w:tc>
          <w:tcPr>
            <w:tcW w:w="1418" w:type="dxa"/>
            <w:vAlign w:val="center"/>
            <w:textDirection w:val="lrTb"/>
            <w:noWrap w:val="false"/>
          </w:tcPr>
          <w:p>
            <w:pPr>
              <w:pStyle w:val="893"/>
              <w:jc w:val="center"/>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备注</w:t>
            </w:r>
            <w:r>
              <w:rPr>
                <w:rFonts w:ascii="仿宋" w:hAnsi="仿宋" w:eastAsia="仿宋" w:cs="Times New Roman"/>
                <w:bCs/>
                <w:sz w:val="28"/>
                <w:szCs w:val="28"/>
                <w:highlight w:val="none"/>
              </w:rPr>
            </w:r>
            <w:r/>
          </w:p>
          <w:p>
            <w:pPr>
              <w:pStyle w:val="893"/>
              <w:jc w:val="center"/>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r>
      <w:tr>
        <w:trPr>
          <w:trHeight w:val="1099"/>
        </w:trPr>
        <w:tc>
          <w:tcPr>
            <w:tcW w:w="704"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105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1065"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gridSpan w:val="2"/>
            <w:tcW w:w="1183" w:type="dxa"/>
            <w:vAlign w:val="top"/>
            <w:textDirection w:val="lrTb"/>
            <w:noWrap w:val="false"/>
          </w:tcPr>
          <w:p>
            <w:pPr>
              <w:pStyle w:val="893"/>
              <w:rPr>
                <w:rFonts w:hint="eastAsia" w:ascii="仿宋" w:hAnsi="仿宋" w:eastAsia="仿宋"/>
                <w:bCs/>
                <w:sz w:val="28"/>
                <w:szCs w:val="28"/>
                <w:highlight w:val="none"/>
              </w:rPr>
            </w:pPr>
            <w:r>
              <w:rPr>
                <w:rFonts w:hint="eastAsia" w:ascii="仿宋" w:hAnsi="仿宋" w:eastAsia="仿宋"/>
                <w:bCs/>
                <w:sz w:val="28"/>
                <w:szCs w:val="28"/>
                <w:highlight w:val="none"/>
              </w:rPr>
            </w:r>
            <w:r/>
          </w:p>
        </w:tc>
        <w:tc>
          <w:tcPr>
            <w:tcW w:w="1418" w:type="dxa"/>
            <w:vAlign w:val="top"/>
            <w:vMerge w:val="restart"/>
            <w:textDirection w:val="lrTb"/>
            <w:noWrap w:val="false"/>
          </w:tcPr>
          <w:p>
            <w:pPr>
              <w:pStyle w:val="893"/>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（需满足为完成该项目的相关运输、安装、培训、售后服务、维修、更换和质保、检验等所有费用）</w:t>
            </w:r>
            <w:r>
              <w:rPr>
                <w:rFonts w:ascii="仿宋" w:hAnsi="仿宋" w:eastAsia="仿宋" w:cs="Times New Roman"/>
                <w:bCs/>
                <w:sz w:val="28"/>
                <w:szCs w:val="28"/>
                <w:highlight w:val="none"/>
              </w:rPr>
            </w:r>
            <w:r/>
          </w:p>
          <w:p>
            <w:pPr>
              <w:pStyle w:val="893"/>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如投标文件中技术条款或商务条款有正偏离，应在合同中进行明确。</w:t>
            </w:r>
            <w:r>
              <w:rPr>
                <w:rFonts w:ascii="仿宋" w:hAnsi="仿宋" w:eastAsia="仿宋" w:cs="Times New Roman"/>
                <w:bCs/>
                <w:sz w:val="28"/>
                <w:szCs w:val="28"/>
                <w:highlight w:val="none"/>
              </w:rPr>
            </w:r>
            <w:r/>
          </w:p>
        </w:tc>
      </w:tr>
      <w:tr>
        <w:trPr>
          <w:trHeight w:val="988"/>
        </w:trPr>
        <w:tc>
          <w:tcPr>
            <w:tcW w:w="704"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105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1065"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gridSpan w:val="2"/>
            <w:tcW w:w="1183" w:type="dxa"/>
            <w:vAlign w:val="top"/>
            <w:textDirection w:val="lrTb"/>
            <w:noWrap w:val="false"/>
          </w:tcPr>
          <w:p>
            <w:pPr>
              <w:pStyle w:val="893"/>
              <w:rPr>
                <w:rFonts w:ascii="仿宋" w:hAnsi="仿宋" w:eastAsia="仿宋"/>
                <w:bCs/>
                <w:sz w:val="28"/>
                <w:szCs w:val="28"/>
                <w:highlight w:val="none"/>
              </w:rPr>
            </w:pPr>
            <w:r>
              <w:rPr>
                <w:rFonts w:ascii="仿宋" w:hAnsi="仿宋" w:eastAsia="仿宋"/>
                <w:bCs/>
                <w:sz w:val="28"/>
                <w:szCs w:val="28"/>
                <w:highlight w:val="none"/>
              </w:rPr>
            </w:r>
            <w:r/>
          </w:p>
        </w:tc>
        <w:tc>
          <w:tcPr>
            <w:tcW w:w="1418" w:type="dxa"/>
            <w:vAlign w:val="top"/>
            <w:vMerge w:val="continue"/>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r>
      <w:tr>
        <w:trPr>
          <w:trHeight w:val="988"/>
        </w:trPr>
        <w:tc>
          <w:tcPr>
            <w:tcW w:w="704"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105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1065"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gridSpan w:val="2"/>
            <w:tcW w:w="1183" w:type="dxa"/>
            <w:vAlign w:val="top"/>
            <w:textDirection w:val="lrTb"/>
            <w:noWrap w:val="false"/>
          </w:tcPr>
          <w:p>
            <w:pPr>
              <w:pStyle w:val="893"/>
              <w:rPr>
                <w:rFonts w:ascii="仿宋" w:hAnsi="仿宋" w:eastAsia="仿宋"/>
                <w:bCs/>
                <w:sz w:val="28"/>
                <w:szCs w:val="28"/>
                <w:highlight w:val="none"/>
              </w:rPr>
            </w:pPr>
            <w:r>
              <w:rPr>
                <w:rFonts w:ascii="仿宋" w:hAnsi="仿宋" w:eastAsia="仿宋"/>
                <w:bCs/>
                <w:sz w:val="28"/>
                <w:szCs w:val="28"/>
                <w:highlight w:val="none"/>
              </w:rPr>
            </w:r>
            <w:r/>
          </w:p>
        </w:tc>
        <w:tc>
          <w:tcPr>
            <w:tcW w:w="1418" w:type="dxa"/>
            <w:vAlign w:val="top"/>
            <w:vMerge w:val="continue"/>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r>
      <w:tr>
        <w:trPr>
          <w:trHeight w:val="973"/>
        </w:trPr>
        <w:tc>
          <w:tcPr>
            <w:tcW w:w="704"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105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1065"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gridSpan w:val="2"/>
            <w:tcW w:w="1183" w:type="dxa"/>
            <w:vAlign w:val="top"/>
            <w:textDirection w:val="lrTb"/>
            <w:noWrap w:val="false"/>
          </w:tcPr>
          <w:p>
            <w:pPr>
              <w:pStyle w:val="893"/>
              <w:rPr>
                <w:rFonts w:ascii="仿宋" w:hAnsi="仿宋" w:eastAsia="仿宋"/>
                <w:bCs/>
                <w:sz w:val="28"/>
                <w:szCs w:val="28"/>
                <w:highlight w:val="none"/>
              </w:rPr>
            </w:pPr>
            <w:r>
              <w:rPr>
                <w:rFonts w:ascii="仿宋" w:hAnsi="仿宋" w:eastAsia="仿宋"/>
                <w:bCs/>
                <w:sz w:val="28"/>
                <w:szCs w:val="28"/>
                <w:highlight w:val="none"/>
              </w:rPr>
            </w:r>
            <w:r/>
          </w:p>
        </w:tc>
        <w:tc>
          <w:tcPr>
            <w:tcW w:w="1418" w:type="dxa"/>
            <w:vAlign w:val="top"/>
            <w:vMerge w:val="continue"/>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r>
      <w:tr>
        <w:trPr/>
        <w:tc>
          <w:tcPr>
            <w:gridSpan w:val="2"/>
            <w:tcW w:w="1430" w:type="dxa"/>
            <w:vAlign w:val="top"/>
            <w:textDirection w:val="lrTb"/>
            <w:noWrap w:val="false"/>
          </w:tcPr>
          <w:p>
            <w:pPr>
              <w:pStyle w:val="893"/>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合计</w:t>
            </w:r>
            <w:r>
              <w:rPr>
                <w:rFonts w:ascii="仿宋" w:hAnsi="仿宋" w:eastAsia="仿宋" w:cs="Times New Roman"/>
                <w:bCs/>
                <w:sz w:val="28"/>
                <w:szCs w:val="28"/>
                <w:highlight w:val="none"/>
              </w:rPr>
            </w:r>
            <w:r/>
          </w:p>
        </w:tc>
        <w:tc>
          <w:tcPr>
            <w:gridSpan w:val="3"/>
            <w:tcW w:w="2178" w:type="dxa"/>
            <w:vAlign w:val="top"/>
            <w:textDirection w:val="lrTb"/>
            <w:noWrap w:val="false"/>
          </w:tcPr>
          <w:p>
            <w:pPr>
              <w:pStyle w:val="893"/>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大写</w:t>
            </w:r>
            <w:r>
              <w:rPr>
                <w:rFonts w:ascii="仿宋" w:hAnsi="仿宋" w:eastAsia="仿宋" w:cs="Times New Roman"/>
                <w:bCs/>
                <w:sz w:val="28"/>
                <w:szCs w:val="28"/>
                <w:highlight w:val="none"/>
              </w:rPr>
            </w:r>
            <w:r/>
          </w:p>
        </w:tc>
        <w:tc>
          <w:tcPr>
            <w:gridSpan w:val="3"/>
            <w:tcW w:w="2158" w:type="dxa"/>
            <w:vAlign w:val="top"/>
            <w:textDirection w:val="lrTb"/>
            <w:noWrap w:val="false"/>
          </w:tcPr>
          <w:p>
            <w:pPr>
              <w:pStyle w:val="893"/>
              <w:rPr>
                <w:rFonts w:hint="eastAsia" w:ascii="仿宋" w:hAnsi="仿宋" w:eastAsia="仿宋"/>
                <w:bCs/>
                <w:sz w:val="28"/>
                <w:szCs w:val="28"/>
                <w:highlight w:val="none"/>
              </w:rPr>
            </w:pPr>
            <w:r>
              <w:rPr>
                <w:rFonts w:hint="eastAsia" w:ascii="仿宋" w:hAnsi="仿宋" w:eastAsia="仿宋"/>
                <w:bCs/>
                <w:sz w:val="28"/>
                <w:szCs w:val="28"/>
                <w:highlight w:val="none"/>
              </w:rPr>
            </w:r>
            <w:r/>
          </w:p>
        </w:tc>
        <w:tc>
          <w:tcPr>
            <w:gridSpan w:val="2"/>
            <w:tcW w:w="2564" w:type="dxa"/>
            <w:vAlign w:val="top"/>
            <w:textDirection w:val="lrTb"/>
            <w:noWrap w:val="false"/>
          </w:tcPr>
          <w:p>
            <w:pPr>
              <w:pStyle w:val="893"/>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小写</w:t>
            </w:r>
            <w:r>
              <w:rPr>
                <w:rFonts w:ascii="仿宋" w:hAnsi="仿宋" w:eastAsia="仿宋" w:cs="Times New Roman"/>
                <w:bCs/>
                <w:sz w:val="28"/>
                <w:szCs w:val="28"/>
                <w:highlight w:val="none"/>
              </w:rPr>
            </w:r>
            <w:r/>
          </w:p>
        </w:tc>
      </w:tr>
    </w:tbl>
    <w:p>
      <w:pPr>
        <w:pStyle w:val="893"/>
        <w:rPr>
          <w:rFonts w:ascii="Calibri" w:hAnsi="Calibri"/>
          <w:sz w:val="28"/>
          <w:szCs w:val="28"/>
          <w:highlight w:val="none"/>
        </w:rPr>
      </w:pPr>
      <w:r>
        <w:rPr>
          <w:rFonts w:ascii="Calibri" w:hAnsi="Calibri"/>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二、合同总金额</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2.1 本合同金额为（大写）：   元人民币（¥：   元）。</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2.2 本合同总金额包括所乙方提供货物的产品费用、安装调试费、测试验收费、培训费、运行维护费用、税金及其他有关的为完成本项目发生的所有费用，招标文件中另有规定的除外。</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2.3 在招标文件中未列明，而乙方认为履行本合同必需的费用也包含在合同总金额中。</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三、项目技术参数</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（以具体采购装备为准，参照投标文件具体内容，货物的参数型号必须附在合同内。）</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四、质量要求及技术准备</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4.1 乙方提供的装备必须符合国家颁布的质量标准和投标文件的相关技术要求，同时必须符合江苏消防救援总队快速处置队建设标准。</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4.2 乙方所供装备保证是全新的、未使用过的，完全符合合同规定的质量、规格型号和性能要求。保证所提供的装备经正确安装、正常运转和保养，在其使用寿命期内应符合合同约定的性能，并且确保通过各项检验和测试。在装备使用寿命期内，乙方应对由于设计、工艺、材料和配套件缺陷所产生的任何不足或故障负责。（如因装备质量缺陷等问题导致消防员在使用过程中发生伤亡的，由乙方负责一切后果，并承担法律责任）</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4.3乙方除应履行按期按量交付合格装备的义务外，还应当提供下列服务:①装备现场安装、启动、调试；②装备组装和一般维修所必须的工具；③对甲方技术人员的技术指导或培训；④提供装备使用说</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明、影音视频等资料。⑤投标文件承诺的所有服务，除合同另有规定外，以上服务的费用均已包含在合同货款中，甲方不再另行支付。</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五、交付使用时间、交货方式及交货地点</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5.1 交付使用时间：签订合同后60日内将货物送达指定地点，其中便携式泡沫灭火装置30日内完成不低于采购数量50%的供货。</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5.2 交货地点：淮安市经济技术开发区膳魔师路68号。</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5.3交货方式：以支队具体签署的采购合同中约定的货物为准，交货时甲乙双方均要有人在场负责清点移交。</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六、货款支付</w:t>
      </w:r>
      <w:r>
        <w:rPr>
          <w:rFonts w:ascii="仿宋" w:hAnsi="仿宋" w:eastAsia="仿宋"/>
          <w:bCs/>
          <w:sz w:val="28"/>
          <w:szCs w:val="28"/>
          <w:highlight w:val="none"/>
        </w:rPr>
      </w:r>
      <w:r/>
    </w:p>
    <w:p>
      <w:pPr>
        <w:pStyle w:val="893"/>
        <w:rPr>
          <w:rFonts w:hint="eastAsia" w:ascii="仿宋" w:hAnsi="仿宋" w:eastAsia="仿宋"/>
          <w:bCs/>
          <w:sz w:val="28"/>
          <w:szCs w:val="28"/>
          <w:highlight w:val="none"/>
        </w:rPr>
      </w:pPr>
      <w:r>
        <w:rPr>
          <w:rFonts w:hint="eastAsia" w:ascii="仿宋" w:hAnsi="仿宋" w:eastAsia="仿宋"/>
          <w:bCs/>
          <w:sz w:val="28"/>
          <w:szCs w:val="28"/>
          <w:highlight w:val="none"/>
        </w:rPr>
        <w:t xml:space="preserve">6.1 付款方式：甲方在收到履约保证金（函）后，30天内向乙方支付合同总金额30%的货款。乙方按照合同约定交货，并经甲方对合同中所有装备到货验收合格（甲方签署到货验收合格报告）并经结算审计后，凭乙方等额有效发票及甲方签署验收合格报告，甲方在30天内向乙方支付至审定总金额80%的货款，完成江苏省消防救援总队快速处置队建设工作验收后，付清审定总金额剩余货款。</w:t>
      </w:r>
      <w:r>
        <w:rPr>
          <w:rFonts w:hint="eastAsia"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6.2 当采购数量与实际使用数量不一致时，乙方应根据实际使用量供货，合同的最终结算金额按经甲方确认的实际使用量乘以成交单价进行计算。</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七、履约保证金</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7.1本合同签订之日起7个工作日内，乙方应向甲方缴纳合同总金额5%的履约保证金（或金融机构出具的独立保函，该保函需载明：（1）见索即付；（2）收到甲方法定代表人或授权委托代理人签字确认并加盖公章的书面索赔通知后即应不争辩、不挑剔、不可撤销地向甲方支付索赔款，直至最高担保金额；（3）有效期为保函开具之日起至验收合格后一年为止；（4）担保金额为合同金额的5%。如乙方提供的保函未载明前述内容的，甲方可以拒收该保函，并要求乙方以银行转账的方式提供履约保证金）。</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7.2自甲方完成江苏省消防救援总队快速处置队建设工作验收后，及时退还履约保证金。</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7.3对于乙方应承担的违约责任/索赔金额，甲方有权直接使用履约保证金进行抵扣或向出具独立保函的金融机构主张索赔。</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7.4乙方应当自履约保证金抵扣发生之日起二日内向甲方补足履约保证金。</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八、税费</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8.1本合同执行中相关的一切税费均由乙方负担。</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九、质量保证及售后服务</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9.1 乙方应按采购文件规定的货物性能、技术要求、质量标准向甲方提供未经使用的全新产品。</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9.2 乙方提供的货物质保期具体以投标文件为准且不得低于三年，乙方提供的货物在质保期内因货物本身的质量问题发生故障，乙方应负责免费更换。对超过质保期发生故障的货物，乙方应当负责维修并按照成本价收取零配件费用。对达不到技术要求者或未通过总队验收标准的，根据实际情况，经双方协商，可按以下办法处理：</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（1）更换：由乙方承担所发生的全部费用。</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（2）退货处理：乙方应退还甲方支付的合同款，同时应承担该货物的直接费用（运输、保险、检验）。</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9.3 技术规格、技术要求及其他有关货物的特定信息由合同附件说明。所有合同附件及本项目的招投标文件、谈判文件、中标通知书、协议等均为本合同不可分割之部分。解释的顺序除特别说明外，以文件生成时间在后的为准。</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十、调试和验收</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10.1甲方对乙方提交的货物清单数量核对给予签收，由甲方出具签收单视为交付。甲方对乙方提交的货物依据采购文件、合同上的技术规格要求和国家有关质量标准进行现场验收，符合采购文件技术要求的，由甲方出具验收结果报告视为验收合格。</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10.2 乙方交货前应对产品作出全面检查和对验收文件进行整理，列出清单并提供所有货物参数的佐证材料（检测检验报告、白皮书、设备生产厂家证明原件、彩页、手册等上述任一材料即可），作为甲方收货验收和使用的技术条件依据，检验的结果应随货物交甲方。</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10.3 乙方提供的货物及服务，必须符合合同附件要求的技术规格标准及中华人民共和国国家标准或行业标准和环保要求，这些标准必须是相关国家或行业机构发布的最新版本的标准。</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10.4 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10.5验收时乙方必须在现场，验收完毕后作出验收结果报告。</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10.6乙方供货的产品经甲方2次验收不合格，甲方可以单方面解除合同，乙方在甲方解约后3个工作日内退还所有已付款，并承担相应的违约责任。</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十一、货物包装、发运及运输</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11.1 乙方应在货物发运前对其进行满足运输距离、防潮和防破损装卸等要求包装，以保证货物安全运达甲方指定地点。</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11.2 使用说明书、质量检验证明书以及清单一并附于货物内。</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11.3 乙方在货物发运手续办理完毕后24小时内或货到甲方48小时前通知甲方，以准备接货。</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11.4 货物在交付甲方前发生的风险均由乙方负责。</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11.5 货物在规定的交付期限内由乙方送达甲方指定的地点甲方出具签收单视为交付，乙方同时需通知甲方货物已送达。</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十二、违约责任</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12.1 甲方无正当理由拒收货物的，甲方向乙方偿付拒收货款总值的千分之五违约金。</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12.2 甲方无故逾期验收的，甲方应按逾期付款总额每日千分之五向乙方支付违约金。</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12.3 乙方逾期交付货物的，乙方应按逾期交货总额每日千分之五向甲方支付违约金，由甲方从待付货款中扣除，上限为合同总额的10%。逾期超过【10】个工作日不能交货的，或在合同履行过程中存在其他根本违约行为导致合同目的无法实现的，甲方可解除本合同。乙方因逾期交货或因其他违约行为导致甲方解除合同的，乙方应向甲方支付合同总值5%的违约金，如造成甲方损失超过违约金的，超出部分由乙方继续承担赔偿责任。</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12.4 乙方所交的货物品种、规格、型号、技术参数、产品质量不符合合同约定和法律规定的，支队有权拒收该货物，乙方实施更换货物或整改但逾期交货的，按厂家逾期交货处理，并追究违约责任；厂家未在合同约定的整改次数或期限内更换或整改的，支队可按照合同约定单方面解除合同；未达验收标准责令厂家限期整改，整改次数不超过2次或总的整改时间不超过30个工作日。因厂家责任不能按合同履约，在整改验收期间，造成该装备或配套产品不能如期装备队伍，影响队伍执勤备战，支队有权追究厂家所造成的经济损失、法律和社会责任。</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十三、不可抗力事件处理</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13.1 在合同有效期内，任何一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13.2 不可抗力事件发生后，应立即通知对方，并寄送有关权威机构出具的证明。</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13.3 不可抗力事件延续120天以上，双方应通过友好协商，确定是否继续履行合同。</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十四、诉讼</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14.1 双方在执行合同中所发生的一切争议，应通过协商解决。如协商不成，可向甲方所在地法院起诉。</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十五、转包</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15.1本合同禁止转包，本合同范围的货物，应由乙方直接供应的，不得转让他人供应。</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十六、知识产权</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16.1乙方应保证甲方在使用、接受本合同货物和服务或其任何一部分时不受第三方提出侵犯其专利</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权、版权、商标权和工业设计权等知识产权的起诉。一旦出现侵权，由乙方负全部责任。</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十七、合同生效及其它</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17.1 合同经甲乙双方法定代表或授权委托代表签字且加盖单位公章后生效。</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17.2本合同未尽事宜由甲乙双方另行协商签订补充协议。补充协议与本合同具有同等法律效力。</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17.3本合同一式肆份，具有同等法律效力，甲方、乙方各执贰份。</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17.4附件：</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1、投标文件中服务承诺；</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2、投标明细清单及产品图片（图片展示标签黏贴标记处）；</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3、投标文件技术偏离表；</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4、投标文件分项报价格。</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补充条款：（支队根据实际情况与供货单位签署的售后服务承诺等保障合同履行的内容，但不得偏离合同实质性条款。）</w:t>
      </w:r>
      <w:r>
        <w:rPr>
          <w:rFonts w:ascii="仿宋" w:hAnsi="仿宋" w:eastAsia="仿宋"/>
          <w:bCs/>
          <w:sz w:val="28"/>
          <w:szCs w:val="28"/>
          <w:highlight w:val="none"/>
        </w:rPr>
      </w:r>
      <w:r/>
    </w:p>
    <w:p>
      <w:pPr>
        <w:pStyle w:val="893"/>
        <w:shd w:val="clear" w:color="auto" w:fill="ffffff"/>
        <w:widowControl/>
        <w:rPr>
          <w:rFonts w:ascii="仿宋" w:hAnsi="仿宋" w:eastAsia="仿宋"/>
          <w:bCs/>
          <w:sz w:val="28"/>
          <w:szCs w:val="28"/>
          <w:highlight w:val="none"/>
        </w:rPr>
      </w:pPr>
      <w:r>
        <w:rPr>
          <w:rFonts w:ascii="仿宋" w:hAnsi="仿宋" w:eastAsia="仿宋"/>
          <w:bCs/>
          <w:sz w:val="28"/>
          <w:szCs w:val="28"/>
          <w:highlight w:val="none"/>
        </w:rPr>
        <w:t xml:space="preserve">第十八条 保密义务</w:t>
      </w:r>
      <w:r>
        <w:rPr>
          <w:rFonts w:ascii="仿宋" w:hAnsi="仿宋" w:eastAsia="仿宋"/>
          <w:bCs/>
          <w:sz w:val="28"/>
          <w:szCs w:val="28"/>
          <w:highlight w:val="none"/>
        </w:rPr>
      </w:r>
      <w:r/>
    </w:p>
    <w:p>
      <w:pPr>
        <w:pStyle w:val="893"/>
        <w:shd w:val="clear" w:color="auto" w:fill="ffffff"/>
        <w:widowControl/>
        <w:rPr>
          <w:rFonts w:ascii="仿宋" w:hAnsi="仿宋" w:eastAsia="仿宋"/>
          <w:bCs/>
          <w:sz w:val="28"/>
          <w:szCs w:val="28"/>
          <w:highlight w:val="none"/>
        </w:rPr>
      </w:pPr>
      <w:r>
        <w:rPr>
          <w:rFonts w:ascii="仿宋" w:hAnsi="仿宋" w:eastAsia="仿宋"/>
          <w:bCs/>
          <w:sz w:val="28"/>
          <w:szCs w:val="28"/>
          <w:highlight w:val="none"/>
        </w:rPr>
        <w:t xml:space="preserve">18.1 乙方对本合同内容、装备技术参数、采购数量、部署信息及履行过程中知悉的甲方非公开信息承担保密义务，不得向任何第三方泄露，且不得用于本合同以外的其他目的。</w:t>
      </w:r>
      <w:r>
        <w:rPr>
          <w:rFonts w:ascii="仿宋" w:hAnsi="仿宋" w:eastAsia="仿宋"/>
          <w:bCs/>
          <w:sz w:val="28"/>
          <w:szCs w:val="28"/>
          <w:highlight w:val="none"/>
        </w:rPr>
      </w:r>
      <w:r/>
    </w:p>
    <w:p>
      <w:pPr>
        <w:pStyle w:val="893"/>
        <w:shd w:val="clear" w:color="auto" w:fill="ffffff"/>
        <w:widowControl/>
        <w:rPr>
          <w:rFonts w:ascii="仿宋" w:hAnsi="仿宋" w:eastAsia="仿宋"/>
          <w:bCs/>
          <w:sz w:val="28"/>
          <w:szCs w:val="28"/>
          <w:highlight w:val="none"/>
        </w:rPr>
      </w:pPr>
      <w:r>
        <w:rPr>
          <w:rFonts w:ascii="仿宋" w:hAnsi="仿宋" w:eastAsia="仿宋"/>
          <w:bCs/>
          <w:sz w:val="28"/>
          <w:szCs w:val="28"/>
          <w:highlight w:val="none"/>
        </w:rPr>
        <w:t xml:space="preserve">18.2 乙方仅可向因履行合同确有必要知悉保密信息的人员披露，并应确保前述人员签署同等约束力的保密承诺，乙方对其违约行为承担连带责任。</w:t>
      </w:r>
      <w:r>
        <w:rPr>
          <w:rFonts w:ascii="仿宋" w:hAnsi="仿宋" w:eastAsia="仿宋"/>
          <w:bCs/>
          <w:sz w:val="28"/>
          <w:szCs w:val="28"/>
          <w:highlight w:val="none"/>
        </w:rPr>
      </w:r>
      <w:r/>
    </w:p>
    <w:p>
      <w:pPr>
        <w:pStyle w:val="893"/>
        <w:shd w:val="clear" w:color="auto" w:fill="ffffff"/>
        <w:widowControl/>
        <w:rPr>
          <w:rFonts w:ascii="仿宋" w:hAnsi="仿宋" w:eastAsia="仿宋"/>
          <w:bCs/>
          <w:sz w:val="28"/>
          <w:szCs w:val="28"/>
          <w:highlight w:val="none"/>
        </w:rPr>
      </w:pPr>
      <w:r>
        <w:rPr>
          <w:rFonts w:ascii="仿宋" w:hAnsi="仿宋" w:eastAsia="仿宋"/>
          <w:bCs/>
          <w:sz w:val="28"/>
          <w:szCs w:val="28"/>
          <w:highlight w:val="none"/>
        </w:rPr>
        <w:t xml:space="preserve">18.3 本保密义务在本合同终止或解除后持续有效，直至相关信息合法公开为止。</w:t>
      </w:r>
      <w:r>
        <w:rPr>
          <w:rFonts w:ascii="仿宋" w:hAnsi="仿宋" w:eastAsia="仿宋"/>
          <w:bCs/>
          <w:sz w:val="28"/>
          <w:szCs w:val="28"/>
          <w:highlight w:val="none"/>
        </w:rPr>
      </w:r>
      <w:r/>
    </w:p>
    <w:p>
      <w:pPr>
        <w:pStyle w:val="893"/>
        <w:shd w:val="clear" w:color="auto" w:fill="ffffff"/>
        <w:widowControl/>
        <w:rPr>
          <w:rFonts w:ascii="仿宋" w:hAnsi="仿宋" w:eastAsia="仿宋"/>
          <w:bCs/>
          <w:sz w:val="28"/>
          <w:szCs w:val="28"/>
          <w:highlight w:val="none"/>
        </w:rPr>
      </w:pPr>
      <w:r>
        <w:rPr>
          <w:rFonts w:ascii="仿宋" w:hAnsi="仿宋" w:eastAsia="仿宋"/>
          <w:bCs/>
          <w:sz w:val="28"/>
          <w:szCs w:val="28"/>
          <w:highlight w:val="none"/>
        </w:rPr>
        <w:t xml:space="preserve">18.4 乙方违反保密义务的，应向甲方支付合同总金额【10%】的违约金；违约金不足以弥补损失的，乙方应就超出部分继续赔偿。甲方并有权单方解除合同。</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（以下无正文）</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ascii="仿宋" w:hAnsi="仿宋" w:eastAsia="仿宋"/>
          <w:bCs/>
          <w:sz w:val="28"/>
          <w:szCs w:val="28"/>
          <w:highlight w:val="none"/>
        </w:rPr>
      </w:r>
      <w:r/>
    </w:p>
    <w:p>
      <w:pPr>
        <w:pStyle w:val="893"/>
        <w:rPr>
          <w:rFonts w:ascii="仿宋" w:hAnsi="仿宋" w:eastAsia="仿宋"/>
          <w:bCs/>
          <w:sz w:val="28"/>
          <w:szCs w:val="28"/>
          <w:highlight w:val="none"/>
        </w:rPr>
      </w:pPr>
      <w:r>
        <w:rPr>
          <w:rFonts w:ascii="仿宋" w:hAnsi="仿宋" w:eastAsia="仿宋"/>
          <w:bCs/>
          <w:sz w:val="28"/>
          <w:szCs w:val="28"/>
          <w:highlight w:val="none"/>
        </w:rPr>
      </w:r>
      <w:r/>
    </w:p>
    <w:p>
      <w:pPr>
        <w:pStyle w:val="893"/>
        <w:rPr>
          <w:rFonts w:ascii="仿宋" w:hAnsi="仿宋" w:eastAsia="仿宋"/>
          <w:bCs/>
          <w:sz w:val="28"/>
          <w:szCs w:val="28"/>
          <w:highlight w:val="none"/>
        </w:rPr>
      </w:pP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甲    方:                           乙   方：</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单位名称（盖章）：                  单位名称（盖章）:</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单位地址：                         单位地址:</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法定代表人：                       法定代表人：</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委托代理人：                       委托代理人：</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签约日期：                         签约日期：</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ascii="仿宋" w:hAnsi="仿宋" w:eastAsia="仿宋"/>
          <w:bCs/>
          <w:sz w:val="28"/>
          <w:szCs w:val="28"/>
          <w:highlight w:val="none"/>
        </w:rPr>
      </w:r>
      <w:r/>
    </w:p>
    <w:p>
      <w:pPr>
        <w:pStyle w:val="893"/>
        <w:ind w:firstLine="311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br w:type="page" w:clear="all"/>
      </w:r>
      <w:r>
        <w:rPr>
          <w:rFonts w:hint="eastAsia" w:ascii="仿宋" w:hAnsi="仿宋" w:eastAsia="仿宋"/>
          <w:sz w:val="28"/>
          <w:szCs w:val="28"/>
          <w:highlight w:val="none"/>
        </w:rPr>
        <w:t xml:space="preserve">二、合同条款</w:t>
      </w:r>
      <w:r>
        <w:rPr>
          <w:rFonts w:hint="eastAsia" w:ascii="仿宋" w:hAnsi="仿宋" w:eastAsia="仿宋"/>
          <w:sz w:val="28"/>
          <w:szCs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1.定义</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rPr>
          <w:rFonts w:hint="eastAsia" w:ascii="仿宋" w:hAnsi="仿宋" w:eastAsia="仿宋"/>
          <w:sz w:val="28"/>
          <w:highlight w:val="none"/>
        </w:rPr>
      </w:r>
      <w:r/>
    </w:p>
    <w:p>
      <w:pPr>
        <w:pStyle w:val="893"/>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highlight w:val="none"/>
        </w:rPr>
      </w:r>
      <w:r/>
    </w:p>
    <w:p>
      <w:pPr>
        <w:pStyle w:val="893"/>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（2）“合同价”系指根据合同规定，乙方在完全履行合同义务后甲方应支付给乙方的价格。</w:t>
      </w:r>
      <w:r>
        <w:rPr>
          <w:rFonts w:hint="eastAsia" w:ascii="仿宋" w:hAnsi="仿宋" w:eastAsia="仿宋"/>
          <w:sz w:val="28"/>
          <w:highlight w:val="none"/>
        </w:rPr>
      </w:r>
      <w:r/>
    </w:p>
    <w:p>
      <w:pPr>
        <w:pStyle w:val="893"/>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rPr>
          <w:rFonts w:hint="eastAsia" w:ascii="仿宋" w:hAnsi="仿宋" w:eastAsia="仿宋"/>
          <w:sz w:val="28"/>
          <w:highlight w:val="none"/>
        </w:rPr>
      </w:r>
      <w:r/>
    </w:p>
    <w:p>
      <w:pPr>
        <w:pStyle w:val="893"/>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highlight w:val="none"/>
        </w:rPr>
      </w:r>
      <w:r/>
    </w:p>
    <w:p>
      <w:pPr>
        <w:pStyle w:val="893"/>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（5）“甲方”系指购买货物（含软件及相关服务）的单位。</w:t>
      </w:r>
      <w:r>
        <w:rPr>
          <w:rFonts w:hint="eastAsia" w:ascii="仿宋" w:hAnsi="仿宋" w:eastAsia="仿宋"/>
          <w:sz w:val="28"/>
          <w:highlight w:val="none"/>
        </w:rPr>
      </w:r>
      <w:r/>
    </w:p>
    <w:p>
      <w:pPr>
        <w:pStyle w:val="893"/>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（6）“乙方”系指根据合同规定提供货物（含软件及相关服务）和服务的投标人。</w:t>
      </w:r>
      <w:r>
        <w:rPr>
          <w:rFonts w:hint="eastAsia" w:ascii="仿宋" w:hAnsi="仿宋" w:eastAsia="仿宋"/>
          <w:sz w:val="28"/>
          <w:highlight w:val="none"/>
        </w:rPr>
      </w:r>
      <w:r/>
    </w:p>
    <w:p>
      <w:pPr>
        <w:pStyle w:val="893"/>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（7）“供货”指货物完整送达采购人指定地点、完成清点签收。</w:t>
      </w:r>
      <w:r>
        <w:rPr>
          <w:rFonts w:hint="eastAsia" w:ascii="仿宋" w:hAnsi="仿宋" w:eastAsia="仿宋"/>
          <w:sz w:val="28"/>
          <w:highlight w:val="none"/>
        </w:rPr>
      </w:r>
      <w:r/>
    </w:p>
    <w:p>
      <w:pPr>
        <w:pStyle w:val="893"/>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2.技术规范</w:t>
      </w:r>
      <w:r>
        <w:rPr>
          <w:rFonts w:hint="eastAsia" w:ascii="仿宋" w:hAnsi="仿宋" w:eastAsia="仿宋"/>
          <w:bCs/>
          <w:sz w:val="28"/>
          <w:highlight w:val="none"/>
        </w:rPr>
      </w:r>
      <w:r/>
    </w:p>
    <w:p>
      <w:pPr>
        <w:pStyle w:val="893"/>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3.专利权</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4.包装要求</w:t>
      </w:r>
      <w:r>
        <w:rPr>
          <w:rFonts w:hint="eastAsia" w:ascii="仿宋" w:hAnsi="仿宋" w:eastAsia="仿宋"/>
          <w:sz w:val="28"/>
          <w:highlight w:val="none"/>
        </w:rPr>
      </w:r>
      <w:r/>
    </w:p>
    <w:p>
      <w:pPr>
        <w:pStyle w:val="893"/>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4.1本项目中涉及商品的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,在供货、安装过程中能够做到低碳物流、环保节约、提高资源利用率；涉及设备运维参考《绿色数据中心政府采购需求标准（试行）》（财库〔2023〕7号文）执行。</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4.2除合同另有规定外，乙方提供的全部货物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安全无损运抵现场。由于包装不善所引起的货物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4.3每件包装箱内应附一份详细装箱单和质量合格证。</w:t>
      </w:r>
      <w:r>
        <w:rPr>
          <w:rFonts w:hint="eastAsia" w:ascii="仿宋" w:hAnsi="仿宋" w:eastAsia="仿宋"/>
          <w:sz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5.装运标志</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rPr>
          <w:rFonts w:ascii="仿宋" w:hAnsi="仿宋" w:eastAsia="仿宋"/>
          <w:sz w:val="28"/>
          <w:szCs w:val="28"/>
          <w:highlight w:val="none"/>
        </w:rPr>
      </w:r>
      <w:r/>
    </w:p>
    <w:p>
      <w:pPr>
        <w:pStyle w:val="893"/>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rPr>
          <w:rFonts w:hint="eastAsia" w:ascii="仿宋" w:hAnsi="仿宋" w:eastAsia="仿宋"/>
          <w:sz w:val="28"/>
          <w:szCs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6.付款方式</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6.1本合同以人民币付款。</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6.2乙方应按照与甲方签订的合同规定交货。交货后乙方向甲方提供下列单据，甲方按合同规定审核后付款:</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（1）发票；</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（2）制造厂家出具的质量检验证书等；</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（3）装箱单；</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（4）验收合格证；</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（5）使用方加盖公章证明货物交付使用合格的验收表。</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6.3甲方将按招标文件中规定的付款方式安排付款。</w:t>
      </w:r>
      <w:r>
        <w:rPr>
          <w:rFonts w:hint="eastAsia" w:ascii="仿宋" w:hAnsi="仿宋" w:eastAsia="仿宋"/>
          <w:sz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7.伴随服务</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7.1乙方应按照国家有关规定和合同中所附的服务承诺提供服务。</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7.2除第7.1条规定外，乙方还应提供下列服务:</w:t>
      </w:r>
      <w:r>
        <w:rPr>
          <w:rFonts w:hint="eastAsia" w:ascii="仿宋" w:hAnsi="仿宋" w:eastAsia="仿宋"/>
          <w:sz w:val="28"/>
          <w:highlight w:val="none"/>
        </w:rPr>
      </w:r>
      <w:r/>
    </w:p>
    <w:p>
      <w:pPr>
        <w:pStyle w:val="893"/>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（1）货物的现场安装和启动监督；</w:t>
      </w:r>
      <w:r>
        <w:rPr>
          <w:rFonts w:hint="eastAsia" w:ascii="仿宋" w:hAnsi="仿宋" w:eastAsia="仿宋"/>
          <w:sz w:val="28"/>
          <w:highlight w:val="none"/>
        </w:rPr>
      </w:r>
      <w:r/>
    </w:p>
    <w:p>
      <w:pPr>
        <w:pStyle w:val="893"/>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（2）提供货物组装和维修所需的工具；</w:t>
      </w:r>
      <w:r>
        <w:rPr>
          <w:rFonts w:hint="eastAsia" w:ascii="仿宋" w:hAnsi="仿宋" w:eastAsia="仿宋"/>
          <w:sz w:val="28"/>
          <w:highlight w:val="none"/>
        </w:rPr>
      </w:r>
      <w:r/>
    </w:p>
    <w:p>
      <w:pPr>
        <w:pStyle w:val="893"/>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highlight w:val="none"/>
        </w:rPr>
      </w:r>
      <w:r/>
    </w:p>
    <w:p>
      <w:pPr>
        <w:pStyle w:val="893"/>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（4）在项目交货现场就货物的安装、启动、运行、维护对甲方人员进行培训。</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7.3伴随服务的费用应含在合同价中，不单独进行支付。</w:t>
      </w:r>
      <w:r>
        <w:rPr>
          <w:rFonts w:hint="eastAsia" w:ascii="仿宋" w:hAnsi="仿宋" w:eastAsia="仿宋"/>
          <w:sz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8.质量保证</w:t>
      </w:r>
      <w:r>
        <w:rPr>
          <w:rFonts w:hint="eastAsia" w:ascii="仿宋" w:hAnsi="仿宋" w:eastAsia="仿宋"/>
          <w:sz w:val="28"/>
          <w:highlight w:val="none"/>
        </w:rPr>
      </w:r>
      <w:r/>
    </w:p>
    <w:p>
      <w:pPr>
        <w:pStyle w:val="893"/>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rPr>
          <w:rFonts w:hint="eastAsia" w:ascii="仿宋" w:hAnsi="仿宋" w:eastAsia="仿宋"/>
          <w:sz w:val="28"/>
          <w:szCs w:val="28"/>
          <w:highlight w:val="none"/>
        </w:rPr>
      </w:r>
      <w:r/>
    </w:p>
    <w:p>
      <w:pPr>
        <w:pStyle w:val="893"/>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rPr>
          <w:rFonts w:hint="eastAsia" w:ascii="仿宋" w:hAnsi="仿宋" w:eastAsia="仿宋"/>
          <w:sz w:val="28"/>
          <w:szCs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9.检验及安装</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rPr>
          <w:rFonts w:hint="eastAsia" w:ascii="仿宋" w:hAnsi="仿宋" w:eastAsia="仿宋"/>
          <w:b/>
          <w:sz w:val="28"/>
          <w:highlight w:val="none"/>
        </w:rPr>
      </w:r>
      <w:r/>
    </w:p>
    <w:p>
      <w:pPr>
        <w:pStyle w:val="893"/>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rPr>
          <w:rFonts w:hint="eastAsia" w:ascii="仿宋" w:hAnsi="仿宋" w:eastAsia="仿宋"/>
          <w:b/>
          <w:sz w:val="28"/>
          <w:highlight w:val="none"/>
        </w:rPr>
      </w:r>
      <w:r/>
    </w:p>
    <w:p>
      <w:pPr>
        <w:pStyle w:val="893"/>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rPr>
          <w:rFonts w:hint="eastAsia" w:ascii="仿宋" w:hAnsi="仿宋" w:eastAsia="仿宋"/>
          <w:sz w:val="28"/>
          <w:szCs w:val="28"/>
          <w:highlight w:val="none"/>
        </w:rPr>
      </w:r>
      <w:r/>
    </w:p>
    <w:p>
      <w:pPr>
        <w:pStyle w:val="893"/>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货物（含软件及相关服务）的安装按招标文件要求进行。</w:t>
      </w:r>
      <w:r>
        <w:rPr>
          <w:rFonts w:hint="eastAsia" w:ascii="仿宋" w:hAnsi="仿宋" w:eastAsia="仿宋"/>
          <w:sz w:val="28"/>
          <w:szCs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10.索赔</w:t>
      </w:r>
      <w:r>
        <w:rPr>
          <w:rFonts w:hint="eastAsia" w:ascii="仿宋" w:hAnsi="仿宋" w:eastAsia="仿宋"/>
          <w:sz w:val="28"/>
          <w:highlight w:val="none"/>
        </w:rPr>
      </w:r>
      <w:r/>
    </w:p>
    <w:p>
      <w:pPr>
        <w:pStyle w:val="893"/>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0天内，乙方未能答复，上述索赔应视为已被乙方接受。若乙方未能在甲方提出索赔通知后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条规定的任何一种方法解决索赔事宜，甲方将从已付款或从乙方开具的履约保证金中扣回索赔金额。如果这些金额不足以补偿索赔金额，甲方有权向乙方提出不足部分的补偿。</w:t>
      </w:r>
      <w:r>
        <w:rPr>
          <w:rFonts w:hint="eastAsia" w:ascii="仿宋" w:hAnsi="仿宋" w:eastAsia="仿宋"/>
          <w:sz w:val="28"/>
          <w:szCs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11.拖延交货</w:t>
      </w:r>
      <w:r>
        <w:rPr>
          <w:rFonts w:hint="eastAsia" w:ascii="仿宋" w:hAnsi="仿宋" w:eastAsia="仿宋"/>
          <w:sz w:val="28"/>
          <w:highlight w:val="none"/>
        </w:rPr>
      </w:r>
      <w:r/>
    </w:p>
    <w:p>
      <w:pPr>
        <w:pStyle w:val="893"/>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如果乙方毫无理由地拖延交货，将受到以下制裁:没收履约保证金，加收违约损失赔偿和终止合同。</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12.误期赔偿</w:t>
      </w:r>
      <w:r>
        <w:rPr>
          <w:rFonts w:hint="eastAsia" w:ascii="仿宋" w:hAnsi="仿宋" w:eastAsia="仿宋"/>
          <w:sz w:val="28"/>
          <w:szCs w:val="28"/>
          <w:highlight w:val="none"/>
        </w:rPr>
      </w:r>
      <w:r/>
    </w:p>
    <w:p>
      <w:pPr>
        <w:pStyle w:val="893"/>
        <w:ind w:firstLine="567"/>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额为误期货物或服务合同价的5%。一旦达到误期赔偿的最高限额，甲方和见证方可考虑终止合同。</w:t>
      </w:r>
      <w:r>
        <w:rPr>
          <w:rFonts w:hint="eastAsia" w:ascii="仿宋" w:hAnsi="仿宋" w:eastAsia="仿宋"/>
          <w:sz w:val="28"/>
          <w:szCs w:val="28"/>
          <w:highlight w:val="none"/>
        </w:rPr>
      </w:r>
      <w:r/>
    </w:p>
    <w:p>
      <w:pPr>
        <w:pStyle w:val="893"/>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13.不可抗力</w:t>
      </w:r>
      <w:r>
        <w:rPr>
          <w:rFonts w:hint="eastAsia" w:ascii="仿宋" w:hAnsi="仿宋" w:eastAsia="仿宋"/>
          <w:sz w:val="28"/>
          <w:szCs w:val="28"/>
          <w:highlight w:val="none"/>
        </w:rPr>
      </w:r>
      <w:r/>
    </w:p>
    <w:p>
      <w:pPr>
        <w:pStyle w:val="893"/>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14.税费</w:t>
      </w:r>
      <w:r>
        <w:rPr>
          <w:rFonts w:hint="eastAsia" w:ascii="仿宋" w:hAnsi="仿宋" w:eastAsia="仿宋"/>
          <w:sz w:val="28"/>
          <w:highlight w:val="none"/>
        </w:rPr>
      </w:r>
      <w:r/>
    </w:p>
    <w:p>
      <w:pPr>
        <w:pStyle w:val="893"/>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14.1中国政府根据现行税法规定对甲方征收的与本合同有关的一切税费，均由甲方负担。</w:t>
      </w:r>
      <w:r>
        <w:rPr>
          <w:rFonts w:hint="eastAsia" w:ascii="仿宋" w:hAnsi="仿宋" w:eastAsia="仿宋"/>
          <w:sz w:val="28"/>
          <w:highlight w:val="none"/>
        </w:rPr>
      </w:r>
      <w:r/>
    </w:p>
    <w:p>
      <w:pPr>
        <w:pStyle w:val="893"/>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14.2中国政府根据现行税法规定对乙方征收的与本合同有关的一切税费均由乙方负担。</w:t>
      </w:r>
      <w:r>
        <w:rPr>
          <w:rFonts w:hint="eastAsia" w:ascii="仿宋" w:hAnsi="仿宋" w:eastAsia="仿宋"/>
          <w:sz w:val="28"/>
          <w:highlight w:val="none"/>
        </w:rPr>
      </w:r>
      <w:r/>
    </w:p>
    <w:p>
      <w:pPr>
        <w:pStyle w:val="893"/>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15.仲裁</w:t>
      </w:r>
      <w:r>
        <w:rPr>
          <w:rFonts w:hint="eastAsia" w:ascii="仿宋" w:hAnsi="仿宋" w:eastAsia="仿宋"/>
          <w:sz w:val="28"/>
          <w:szCs w:val="28"/>
          <w:highlight w:val="none"/>
        </w:rPr>
      </w:r>
      <w:r/>
    </w:p>
    <w:p>
      <w:pPr>
        <w:pStyle w:val="893"/>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rPr>
          <w:rFonts w:hint="eastAsia" w:ascii="仿宋" w:hAnsi="仿宋" w:eastAsia="仿宋"/>
          <w:sz w:val="28"/>
          <w:szCs w:val="28"/>
          <w:highlight w:val="none"/>
        </w:rPr>
      </w:r>
      <w:r/>
    </w:p>
    <w:p>
      <w:pPr>
        <w:pStyle w:val="893"/>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在仲裁期间，除正在进行仲裁的部分外，合同其他部分继续执行。</w:t>
      </w:r>
      <w:r>
        <w:rPr>
          <w:rFonts w:hint="eastAsia" w:ascii="仿宋" w:hAnsi="仿宋" w:eastAsia="仿宋"/>
          <w:b/>
          <w:sz w:val="28"/>
          <w:szCs w:val="28"/>
          <w:highlight w:val="none"/>
        </w:rPr>
        <w:t xml:space="preserve"> </w:t>
      </w:r>
      <w:r>
        <w:rPr>
          <w:rFonts w:hint="eastAsia" w:ascii="仿宋" w:hAnsi="仿宋" w:eastAsia="仿宋"/>
          <w:sz w:val="28"/>
          <w:szCs w:val="28"/>
          <w:highlight w:val="none"/>
        </w:rPr>
      </w:r>
      <w:r/>
    </w:p>
    <w:p>
      <w:pPr>
        <w:pStyle w:val="893"/>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16.违约终止合同</w:t>
      </w:r>
      <w:r>
        <w:rPr>
          <w:rFonts w:hint="eastAsia" w:ascii="仿宋" w:hAnsi="仿宋" w:eastAsia="仿宋"/>
          <w:sz w:val="28"/>
          <w:szCs w:val="28"/>
          <w:highlight w:val="none"/>
        </w:rPr>
      </w:r>
      <w:r/>
    </w:p>
    <w:p>
      <w:pPr>
        <w:pStyle w:val="958"/>
        <w:ind w:firstLine="560"/>
        <w:spacing w:line="520" w:lineRule="exact"/>
        <w:rPr>
          <w:rFonts w:hint="eastAsia" w:hAnsi="仿宋"/>
          <w:sz w:val="28"/>
          <w:szCs w:val="28"/>
          <w:highlight w:val="none"/>
        </w:rPr>
      </w:pPr>
      <w:r>
        <w:rPr>
          <w:rFonts w:hint="eastAsia" w:hAnsi="仿宋"/>
          <w:sz w:val="28"/>
          <w:szCs w:val="28"/>
          <w:highlight w:val="none"/>
        </w:rPr>
        <w:t xml:space="preserve">16</w:t>
      </w:r>
      <w:r>
        <w:rPr>
          <w:rFonts w:hAnsi="仿宋"/>
          <w:sz w:val="28"/>
          <w:szCs w:val="28"/>
          <w:highlight w:val="none"/>
        </w:rPr>
        <w:t xml:space="preserve">.</w:t>
      </w:r>
      <w:r>
        <w:rPr>
          <w:rFonts w:hint="eastAsia" w:hAnsi="仿宋"/>
          <w:sz w:val="28"/>
          <w:szCs w:val="28"/>
          <w:highlight w:val="none"/>
        </w:rPr>
        <w:t xml:space="preserve">1</w:t>
      </w:r>
      <w:r>
        <w:rPr>
          <w:rFonts w:hAnsi="仿宋"/>
          <w:sz w:val="28"/>
          <w:szCs w:val="28"/>
          <w:highlight w:val="none"/>
        </w:rPr>
        <w:t xml:space="preserve"> </w:t>
      </w:r>
      <w:r>
        <w:rPr>
          <w:rFonts w:hint="eastAsia" w:hAnsi="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highlight w:val="none"/>
        </w:rPr>
        <w:t xml:space="preserve"> </w:t>
      </w:r>
      <w:r>
        <w:rPr>
          <w:rFonts w:hint="eastAsia" w:hAnsi="仿宋"/>
          <w:sz w:val="28"/>
          <w:szCs w:val="28"/>
          <w:highlight w:val="none"/>
        </w:rPr>
      </w:r>
      <w:r/>
    </w:p>
    <w:p>
      <w:pPr>
        <w:pStyle w:val="958"/>
        <w:ind w:firstLine="560"/>
        <w:spacing w:line="520" w:lineRule="exact"/>
        <w:rPr>
          <w:rFonts w:hint="eastAsia" w:hAnsi="仿宋"/>
          <w:sz w:val="28"/>
          <w:szCs w:val="28"/>
          <w:highlight w:val="none"/>
        </w:rPr>
      </w:pPr>
      <w:r>
        <w:rPr>
          <w:rFonts w:hint="eastAsia" w:hAnsi="仿宋"/>
          <w:sz w:val="28"/>
          <w:szCs w:val="28"/>
          <w:highlight w:val="none"/>
        </w:rPr>
        <w:t xml:space="preserve">（1）如果乙方未能在合同规定的期限或甲方同意延期的限期内提供全部或部分货物（含软件及相关服务）；</w:t>
      </w:r>
      <w:r>
        <w:rPr>
          <w:rFonts w:hAnsi="仿宋"/>
          <w:sz w:val="28"/>
          <w:szCs w:val="28"/>
          <w:highlight w:val="none"/>
        </w:rPr>
        <w:t xml:space="preserve"> </w:t>
      </w:r>
      <w:r>
        <w:rPr>
          <w:rFonts w:hint="eastAsia" w:hAnsi="仿宋"/>
          <w:sz w:val="28"/>
          <w:szCs w:val="28"/>
          <w:highlight w:val="none"/>
        </w:rPr>
      </w:r>
      <w:r/>
    </w:p>
    <w:p>
      <w:pPr>
        <w:pStyle w:val="958"/>
        <w:ind w:firstLine="560"/>
        <w:spacing w:line="520" w:lineRule="exact"/>
        <w:rPr>
          <w:rFonts w:hint="eastAsia" w:hAnsi="仿宋"/>
          <w:sz w:val="28"/>
          <w:szCs w:val="28"/>
          <w:highlight w:val="none"/>
        </w:rPr>
      </w:pPr>
      <w:r>
        <w:rPr>
          <w:rFonts w:hint="eastAsia" w:hAnsi="仿宋"/>
          <w:sz w:val="28"/>
          <w:szCs w:val="28"/>
          <w:highlight w:val="none"/>
        </w:rPr>
        <w:t xml:space="preserve">（</w:t>
      </w:r>
      <w:r>
        <w:rPr>
          <w:rFonts w:hAnsi="仿宋"/>
          <w:sz w:val="28"/>
          <w:szCs w:val="28"/>
          <w:highlight w:val="none"/>
        </w:rPr>
        <w:t xml:space="preserve">2</w:t>
      </w:r>
      <w:r>
        <w:rPr>
          <w:rFonts w:hint="eastAsia" w:hAnsi="仿宋"/>
          <w:sz w:val="28"/>
          <w:szCs w:val="28"/>
          <w:highlight w:val="none"/>
        </w:rPr>
        <w:t xml:space="preserve">）如果乙方未能履行合同规定的其它义务。</w:t>
      </w:r>
      <w:r>
        <w:rPr>
          <w:rFonts w:hAnsi="仿宋"/>
          <w:sz w:val="28"/>
          <w:szCs w:val="28"/>
          <w:highlight w:val="none"/>
        </w:rPr>
        <w:t xml:space="preserve"> </w:t>
      </w:r>
      <w:r>
        <w:rPr>
          <w:rFonts w:hint="eastAsia" w:hAnsi="仿宋"/>
          <w:sz w:val="28"/>
          <w:szCs w:val="28"/>
          <w:highlight w:val="none"/>
        </w:rPr>
      </w:r>
      <w:r/>
    </w:p>
    <w:p>
      <w:pPr>
        <w:pStyle w:val="958"/>
        <w:ind w:firstLine="560"/>
        <w:spacing w:line="520" w:lineRule="exact"/>
        <w:rPr>
          <w:rFonts w:hint="eastAsia" w:hAnsi="仿宋"/>
          <w:sz w:val="28"/>
          <w:szCs w:val="28"/>
          <w:highlight w:val="none"/>
        </w:rPr>
      </w:pPr>
      <w:r>
        <w:rPr>
          <w:rFonts w:hint="eastAsia" w:hAnsi="仿宋"/>
          <w:sz w:val="28"/>
          <w:szCs w:val="28"/>
          <w:highlight w:val="none"/>
        </w:rPr>
        <w:t xml:space="preserve">16</w:t>
      </w:r>
      <w:r>
        <w:rPr>
          <w:rFonts w:hAnsi="仿宋"/>
          <w:sz w:val="28"/>
          <w:szCs w:val="28"/>
          <w:highlight w:val="none"/>
        </w:rPr>
        <w:t xml:space="preserve">.2 </w:t>
      </w:r>
      <w:r>
        <w:rPr>
          <w:rFonts w:hint="eastAsia" w:hAnsi="仿宋"/>
          <w:sz w:val="28"/>
          <w:szCs w:val="28"/>
          <w:highlight w:val="none"/>
        </w:rPr>
        <w:t xml:space="preserve">在甲方根据第17</w:t>
      </w:r>
      <w:r>
        <w:rPr>
          <w:rFonts w:hAnsi="仿宋"/>
          <w:sz w:val="28"/>
          <w:szCs w:val="28"/>
          <w:highlight w:val="none"/>
        </w:rPr>
        <w:t xml:space="preserve">.</w:t>
      </w:r>
      <w:r>
        <w:rPr>
          <w:rFonts w:hint="eastAsia" w:hAnsi="仿宋"/>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highlight w:val="none"/>
        </w:rPr>
      </w:r>
      <w:r/>
    </w:p>
    <w:p>
      <w:pPr>
        <w:pStyle w:val="914"/>
        <w:spacing w:line="520" w:lineRule="exact"/>
        <w:rPr>
          <w:rFonts w:hint="eastAsia" w:ascii="仿宋" w:hAnsi="仿宋" w:eastAsia="仿宋"/>
          <w:sz w:val="28"/>
          <w:highlight w:val="none"/>
        </w:rPr>
      </w:pPr>
      <w:r>
        <w:rPr>
          <w:rFonts w:hint="eastAsia" w:ascii="仿宋" w:hAnsi="仿宋" w:eastAsia="仿宋"/>
          <w:sz w:val="28"/>
          <w:highlight w:val="none"/>
        </w:rPr>
        <w:t xml:space="preserve">17.破产中止合同</w:t>
      </w:r>
      <w:r>
        <w:rPr>
          <w:rFonts w:hint="eastAsia" w:ascii="仿宋" w:hAnsi="仿宋" w:eastAsia="仿宋"/>
          <w:sz w:val="28"/>
          <w:highlight w:val="none"/>
        </w:rPr>
      </w:r>
      <w:r/>
    </w:p>
    <w:p>
      <w:pPr>
        <w:pStyle w:val="914"/>
        <w:spacing w:line="520" w:lineRule="exact"/>
        <w:rPr>
          <w:rFonts w:hint="eastAsia" w:ascii="仿宋" w:hAnsi="仿宋" w:eastAsia="仿宋"/>
          <w:sz w:val="28"/>
          <w:szCs w:val="24"/>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17.1如果乙方破产或无清偿能力，甲方可在任何时候以书面形式通知乙方终止合同而不给乙方补偿。该终止合同将不损害或影响甲方和使用方已经采取或将要采取的任何行动或补救措施的权力。</w:t>
      </w:r>
      <w:r>
        <w:rPr>
          <w:rFonts w:hint="eastAsia" w:ascii="仿宋" w:hAnsi="仿宋" w:eastAsia="仿宋"/>
          <w:sz w:val="28"/>
          <w:szCs w:val="24"/>
          <w:highlight w:val="none"/>
        </w:rPr>
      </w:r>
      <w:r/>
    </w:p>
    <w:p>
      <w:pPr>
        <w:pStyle w:val="914"/>
        <w:spacing w:line="520" w:lineRule="exact"/>
        <w:rPr>
          <w:rFonts w:hint="eastAsia" w:ascii="仿宋" w:hAnsi="仿宋" w:eastAsia="仿宋"/>
          <w:sz w:val="28"/>
          <w:highlight w:val="none"/>
        </w:rPr>
      </w:pPr>
      <w:r>
        <w:rPr>
          <w:rFonts w:hint="eastAsia" w:ascii="仿宋" w:hAnsi="仿宋" w:eastAsia="仿宋"/>
          <w:sz w:val="28"/>
          <w:highlight w:val="none"/>
        </w:rPr>
        <w:t xml:space="preserve">18.转让</w:t>
      </w:r>
      <w:r>
        <w:rPr>
          <w:rFonts w:hint="eastAsia" w:ascii="仿宋" w:hAnsi="仿宋" w:eastAsia="仿宋"/>
          <w:sz w:val="28"/>
          <w:highlight w:val="none"/>
        </w:rPr>
      </w:r>
      <w:r/>
    </w:p>
    <w:p>
      <w:pPr>
        <w:pStyle w:val="914"/>
        <w:spacing w:line="520" w:lineRule="exact"/>
        <w:rPr>
          <w:rFonts w:hint="eastAsia" w:ascii="仿宋" w:hAnsi="仿宋" w:eastAsia="仿宋"/>
          <w:sz w:val="28"/>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除甲方事先书面同意外，乙方不得部分转让或全部转让其应履行的合同义务。</w:t>
      </w:r>
      <w:r>
        <w:rPr>
          <w:rFonts w:hint="eastAsia" w:ascii="仿宋" w:hAnsi="仿宋" w:eastAsia="仿宋"/>
          <w:sz w:val="28"/>
          <w:highlight w:val="none"/>
        </w:rPr>
      </w:r>
      <w:r/>
    </w:p>
    <w:p>
      <w:pPr>
        <w:pStyle w:val="914"/>
        <w:spacing w:line="520" w:lineRule="exact"/>
        <w:rPr>
          <w:rFonts w:hint="eastAsia" w:ascii="仿宋" w:hAnsi="仿宋" w:eastAsia="仿宋"/>
          <w:sz w:val="28"/>
          <w:highlight w:val="none"/>
        </w:rPr>
      </w:pPr>
      <w:r>
        <w:rPr>
          <w:rFonts w:hint="eastAsia" w:ascii="仿宋" w:hAnsi="仿宋" w:eastAsia="仿宋"/>
          <w:sz w:val="28"/>
          <w:highlight w:val="none"/>
        </w:rPr>
        <w:t xml:space="preserve">19.合同生效及其它</w:t>
      </w:r>
      <w:r>
        <w:rPr>
          <w:rFonts w:hint="eastAsia" w:ascii="仿宋" w:hAnsi="仿宋" w:eastAsia="仿宋"/>
          <w:sz w:val="28"/>
          <w:highlight w:val="none"/>
        </w:rPr>
      </w:r>
      <w:r/>
    </w:p>
    <w:p>
      <w:pPr>
        <w:pStyle w:val="893"/>
        <w:spacing w:line="520" w:lineRule="exact"/>
        <w:rPr>
          <w:rFonts w:hint="eastAsia" w:ascii="仿宋" w:hAnsi="仿宋" w:eastAsia="仿宋"/>
          <w:b/>
          <w:color w:val="000000"/>
          <w:sz w:val="28"/>
          <w:szCs w:val="28"/>
          <w:highlight w:val="none"/>
        </w:rPr>
      </w:pPr>
      <w:r>
        <w:rPr>
          <w:rFonts w:hint="eastAsia" w:ascii="仿宋" w:hAnsi="仿宋" w:eastAsia="仿宋"/>
          <w:highlight w:val="none"/>
        </w:rPr>
        <w:t xml:space="preserve">   </w:t>
      </w:r>
      <w:r>
        <w:rPr>
          <w:rFonts w:hint="eastAsia" w:ascii="仿宋" w:hAnsi="仿宋" w:eastAsia="仿宋"/>
          <w:sz w:val="28"/>
          <w:szCs w:val="28"/>
          <w:highlight w:val="none"/>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highlight w:val="none"/>
        </w:rPr>
      </w:r>
      <w:r/>
    </w:p>
    <w:p>
      <w:pPr>
        <w:pStyle w:val="914"/>
        <w:ind w:firstLine="560"/>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rPr>
          <w:rFonts w:hint="eastAsia" w:ascii="仿宋" w:hAnsi="仿宋" w:eastAsia="仿宋"/>
          <w:sz w:val="28"/>
          <w:szCs w:val="24"/>
          <w:highlight w:val="none"/>
        </w:rPr>
      </w:r>
      <w:r/>
    </w:p>
    <w:p>
      <w:pPr>
        <w:pStyle w:val="914"/>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19.3合同货物交付使用后所发生的合同纠纷，甲方与乙方进行处理。</w:t>
      </w:r>
      <w:r>
        <w:rPr>
          <w:rFonts w:hint="eastAsia" w:ascii="仿宋" w:hAnsi="仿宋" w:eastAsia="仿宋"/>
          <w:sz w:val="28"/>
          <w:szCs w:val="24"/>
          <w:highlight w:val="none"/>
        </w:rPr>
      </w:r>
      <w:r/>
    </w:p>
    <w:p>
      <w:pPr>
        <w:pStyle w:val="914"/>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rPr>
          <w:rFonts w:hint="eastAsia" w:ascii="仿宋" w:hAnsi="仿宋" w:eastAsia="仿宋"/>
          <w:sz w:val="28"/>
          <w:szCs w:val="24"/>
          <w:highlight w:val="none"/>
        </w:rPr>
      </w:r>
      <w:r/>
    </w:p>
    <w:p>
      <w:pPr>
        <w:pStyle w:val="893"/>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19.5本合同应按照中华人民共和国现行法律进行解释。</w:t>
      </w:r>
      <w:r>
        <w:rPr>
          <w:rFonts w:hint="eastAsia" w:ascii="仿宋" w:hAnsi="仿宋" w:eastAsia="仿宋"/>
          <w:sz w:val="28"/>
          <w:highlight w:val="none"/>
        </w:rPr>
      </w:r>
      <w:r/>
    </w:p>
    <w:p>
      <w:pPr>
        <w:pStyle w:val="914"/>
        <w:jc w:val="center"/>
        <w:keepLines w:val="0"/>
        <w:keepNext w:val="0"/>
        <w:pageBreakBefore w:val="0"/>
        <w:spacing w:line="520" w:lineRule="exact"/>
        <w:widowControl w:val="off"/>
        <w:rPr>
          <w:rFonts w:hint="eastAsia" w:ascii="仿宋" w:hAnsi="仿宋" w:eastAsia="仿宋"/>
          <w:b/>
          <w:bCs/>
          <w:sz w:val="36"/>
          <w:szCs w:val="36"/>
          <w:highlight w:val="none"/>
          <w:lang w:val="zh-CN"/>
        </w:rPr>
        <w:outlineLvl w:val="9"/>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rPr>
          <w:rFonts w:hint="eastAsia" w:ascii="仿宋" w:hAnsi="仿宋" w:eastAsia="仿宋"/>
          <w:b/>
          <w:bCs/>
          <w:sz w:val="36"/>
          <w:szCs w:val="36"/>
          <w:highlight w:val="none"/>
          <w:lang w:val="zh-CN"/>
        </w:rPr>
      </w:r>
      <w:r/>
    </w:p>
    <w:p>
      <w:pPr>
        <w:pStyle w:val="893"/>
        <w:ind w:firstLine="562"/>
        <w:spacing w:line="590" w:lineRule="exact"/>
        <w:rPr>
          <w:rFonts w:eastAsia="方正仿宋_GBK"/>
          <w:b/>
          <w:bCs/>
          <w:sz w:val="28"/>
          <w:szCs w:val="28"/>
          <w:highlight w:val="none"/>
        </w:rPr>
      </w:pPr>
      <w:r>
        <w:rPr>
          <w:rFonts w:hint="eastAsia" w:eastAsia="方正仿宋_GBK"/>
          <w:b/>
          <w:bCs/>
          <w:sz w:val="28"/>
          <w:szCs w:val="28"/>
          <w:highlight w:val="none"/>
        </w:rPr>
        <w:t xml:space="preserve">一、采购清单及技术指标明细</w:t>
      </w:r>
      <w:r>
        <w:rPr>
          <w:rFonts w:eastAsia="方正仿宋_GBK"/>
          <w:b/>
          <w:bCs/>
          <w:sz w:val="28"/>
          <w:szCs w:val="28"/>
          <w:highlight w:val="none"/>
        </w:rPr>
      </w:r>
      <w:r/>
    </w:p>
    <w:p>
      <w:pPr>
        <w:pStyle w:val="893"/>
        <w:ind w:firstLine="560"/>
        <w:spacing w:line="590" w:lineRule="exact"/>
        <w:rPr>
          <w:rFonts w:eastAsia="方正仿宋_GBK"/>
          <w:sz w:val="28"/>
          <w:szCs w:val="28"/>
          <w:highlight w:val="none"/>
        </w:rPr>
      </w:pPr>
      <w:r>
        <w:rPr>
          <w:rFonts w:hint="eastAsia" w:eastAsia="方正仿宋_GBK"/>
          <w:sz w:val="28"/>
          <w:szCs w:val="28"/>
          <w:highlight w:val="none"/>
        </w:rPr>
        <w:t xml:space="preserve">1、技术参数详见附件1：技术参数。技术参数中质量标准如有新的国家或行业标准出台，则以最新标准执行。</w:t>
      </w:r>
      <w:r>
        <w:rPr>
          <w:rFonts w:eastAsia="方正仿宋_GBK"/>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★2、每项产品不得超过对应的单价限价（单价限价详见附件</w:t>
      </w:r>
      <w:r>
        <w:rPr>
          <w:rFonts w:hint="eastAsia" w:eastAsia="方正仿宋_GBK"/>
          <w:sz w:val="28"/>
          <w:szCs w:val="28"/>
          <w:highlight w:val="none"/>
          <w:lang w:val="en-US" w:eastAsia="zh-CN"/>
        </w:rPr>
        <w:t xml:space="preserve">1</w:t>
      </w:r>
      <w:r>
        <w:rPr>
          <w:rFonts w:hint="eastAsia" w:eastAsia="方正仿宋_GBK"/>
          <w:sz w:val="28"/>
          <w:szCs w:val="28"/>
          <w:highlight w:val="none"/>
        </w:rPr>
        <w:t xml:space="preserve">：技术参数）</w:t>
      </w:r>
      <w:r>
        <w:rPr>
          <w:rFonts w:hint="eastAsia" w:eastAsia="方正仿宋_GBK"/>
          <w:sz w:val="28"/>
          <w:szCs w:val="28"/>
          <w:highlight w:val="none"/>
          <w:lang w:eastAsia="zh-CN"/>
        </w:rPr>
        <w:t xml:space="preserve">，</w:t>
      </w:r>
      <w:r>
        <w:rPr>
          <w:rFonts w:hint="eastAsia" w:eastAsia="方正仿宋_GBK"/>
          <w:sz w:val="28"/>
          <w:szCs w:val="28"/>
          <w:highlight w:val="none"/>
        </w:rPr>
        <w:t xml:space="preserve">否则按无效投标处理。</w:t>
      </w:r>
      <w:r>
        <w:rPr>
          <w:rFonts w:hint="eastAsia" w:eastAsia="方正仿宋_GBK"/>
          <w:sz w:val="28"/>
          <w:szCs w:val="28"/>
          <w:highlight w:val="none"/>
        </w:rPr>
      </w:r>
      <w:r/>
    </w:p>
    <w:p>
      <w:pPr>
        <w:pStyle w:val="983"/>
        <w:rPr>
          <w:rFonts w:hint="eastAsia" w:eastAsia="方正仿宋_GBK"/>
          <w:sz w:val="28"/>
          <w:szCs w:val="28"/>
          <w:highlight w:val="none"/>
          <w:lang w:eastAsia="zh-CN"/>
        </w:rPr>
      </w:pPr>
      <w:r>
        <w:rPr>
          <w:rFonts w:hint="eastAsia" w:eastAsia="方正仿宋_GBK"/>
          <w:sz w:val="28"/>
          <w:szCs w:val="28"/>
          <w:highlight w:val="none"/>
          <w:lang w:eastAsia="zh-CN"/>
        </w:rPr>
      </w:r>
      <w:r/>
    </w:p>
    <w:p>
      <w:pPr>
        <w:pStyle w:val="983"/>
        <w:rPr>
          <w:rFonts w:hint="eastAsia" w:eastAsia="方正仿宋_GBK"/>
          <w:sz w:val="28"/>
          <w:szCs w:val="28"/>
          <w:highlight w:val="none"/>
          <w:lang w:val="en-US" w:eastAsia="zh-CN"/>
        </w:rPr>
      </w:pPr>
      <w:r>
        <w:rPr>
          <w:rFonts w:hint="eastAsia" w:eastAsia="方正仿宋_GBK"/>
          <w:sz w:val="28"/>
          <w:szCs w:val="28"/>
          <w:highlight w:val="none"/>
          <w:lang w:eastAsia="zh-CN"/>
        </w:rPr>
        <w:t xml:space="preserve">附件</w:t>
      </w:r>
      <w:r>
        <w:rPr>
          <w:rFonts w:hint="eastAsia" w:eastAsia="方正仿宋_GBK"/>
          <w:sz w:val="28"/>
          <w:szCs w:val="28"/>
          <w:highlight w:val="none"/>
          <w:lang w:val="en-US" w:eastAsia="zh-CN"/>
        </w:rPr>
        <w:t xml:space="preserve">1：技术参数：</w:t>
      </w:r>
      <w:r>
        <w:rPr>
          <w:rFonts w:hint="eastAsia" w:eastAsia="方正仿宋_GBK"/>
          <w:sz w:val="28"/>
          <w:szCs w:val="28"/>
          <w:highlight w:val="none"/>
          <w:lang w:val="en-US" w:eastAsia="zh-CN"/>
        </w:rPr>
      </w:r>
      <w:r/>
    </w:p>
    <w:tbl>
      <w:tblPr>
        <w:tblpPr w:horzAnchor="text" w:tblpXSpec="center" w:vertAnchor="text" w:tblpY="1" w:leftFromText="180" w:topFromText="0" w:rightFromText="180" w:bottomFromText="0"/>
        <w:tblW w:w="89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8"/>
        <w:gridCol w:w="2022"/>
        <w:gridCol w:w="3216"/>
        <w:gridCol w:w="876"/>
        <w:gridCol w:w="674"/>
        <w:gridCol w:w="1538"/>
      </w:tblGrid>
      <w:tr>
        <w:trPr>
          <w:tblHeader/>
        </w:trPr>
        <w:tc>
          <w:tcPr>
            <w:tcW w:w="588" w:type="dxa"/>
            <w:vAlign w:val="center"/>
            <w:textDirection w:val="lrTb"/>
            <w:noWrap w:val="false"/>
          </w:tcPr>
          <w:p>
            <w:pPr>
              <w:pStyle w:val="893"/>
              <w:jc w:val="center"/>
              <w:keepNext/>
              <w:rPr>
                <w:rFonts w:eastAsia="方正黑体_GBK"/>
                <w:b/>
                <w:sz w:val="24"/>
                <w:szCs w:val="21"/>
                <w:highlight w:val="none"/>
              </w:rPr>
              <w:framePr w:vAnchor="margin" w:hAnchor="page" w:xAlign="center" w:y="1"/>
            </w:pPr>
            <w:r>
              <w:rPr>
                <w:rFonts w:eastAsia="方正黑体_GBK"/>
                <w:b/>
                <w:sz w:val="24"/>
                <w:szCs w:val="21"/>
                <w:highlight w:val="none"/>
              </w:rPr>
              <w:t xml:space="preserve">序号</w:t>
            </w:r>
            <w:r>
              <w:rPr>
                <w:rFonts w:eastAsia="方正黑体_GBK"/>
                <w:b/>
                <w:sz w:val="24"/>
                <w:szCs w:val="21"/>
                <w:highlight w:val="none"/>
              </w:rPr>
            </w:r>
            <w:r/>
          </w:p>
        </w:tc>
        <w:tc>
          <w:tcPr>
            <w:tcW w:w="2022" w:type="dxa"/>
            <w:vAlign w:val="center"/>
            <w:textDirection w:val="lrTb"/>
            <w:noWrap w:val="false"/>
          </w:tcPr>
          <w:p>
            <w:pPr>
              <w:pStyle w:val="893"/>
              <w:jc w:val="center"/>
              <w:keepNext/>
              <w:rPr>
                <w:rFonts w:eastAsia="方正黑体_GBK"/>
                <w:b/>
                <w:sz w:val="24"/>
                <w:szCs w:val="21"/>
                <w:highlight w:val="none"/>
              </w:rPr>
              <w:framePr w:vAnchor="margin" w:hAnchor="page" w:xAlign="center" w:y="1"/>
            </w:pPr>
            <w:r>
              <w:rPr>
                <w:rFonts w:eastAsia="方正黑体_GBK"/>
                <w:b/>
                <w:sz w:val="24"/>
                <w:szCs w:val="21"/>
                <w:highlight w:val="none"/>
              </w:rPr>
              <w:t xml:space="preserve">装备名称</w:t>
            </w:r>
            <w:r>
              <w:rPr>
                <w:rFonts w:eastAsia="方正黑体_GBK"/>
                <w:b/>
                <w:sz w:val="24"/>
                <w:szCs w:val="21"/>
                <w:highlight w:val="none"/>
              </w:rPr>
            </w:r>
            <w:r/>
          </w:p>
        </w:tc>
        <w:tc>
          <w:tcPr>
            <w:tcW w:w="3216" w:type="dxa"/>
            <w:vAlign w:val="center"/>
            <w:textDirection w:val="lrTb"/>
            <w:noWrap w:val="false"/>
          </w:tcPr>
          <w:p>
            <w:pPr>
              <w:pStyle w:val="893"/>
              <w:jc w:val="center"/>
              <w:keepNext/>
              <w:rPr>
                <w:rFonts w:hint="eastAsia" w:eastAsia="方正黑体_GBK"/>
                <w:b/>
                <w:sz w:val="24"/>
                <w:szCs w:val="21"/>
                <w:highlight w:val="none"/>
              </w:rPr>
              <w:framePr w:vAnchor="margin" w:hAnchor="page" w:xAlign="center" w:y="1"/>
            </w:pPr>
            <w:r>
              <w:rPr>
                <w:rFonts w:hint="eastAsia" w:eastAsia="方正黑体_GBK"/>
                <w:b/>
                <w:sz w:val="24"/>
                <w:szCs w:val="21"/>
                <w:highlight w:val="none"/>
              </w:rPr>
              <w:t xml:space="preserve">采购需求</w:t>
            </w:r>
            <w:r>
              <w:rPr>
                <w:rFonts w:hint="eastAsia" w:eastAsia="方正黑体_GBK"/>
                <w:b/>
                <w:sz w:val="24"/>
                <w:szCs w:val="21"/>
                <w:highlight w:val="none"/>
              </w:rPr>
            </w:r>
            <w:r/>
          </w:p>
        </w:tc>
        <w:tc>
          <w:tcPr>
            <w:tcW w:w="876" w:type="dxa"/>
            <w:vAlign w:val="center"/>
            <w:textDirection w:val="lrTb"/>
            <w:noWrap w:val="false"/>
          </w:tcPr>
          <w:p>
            <w:pPr>
              <w:pStyle w:val="893"/>
              <w:jc w:val="center"/>
              <w:keepNext/>
              <w:rPr>
                <w:rFonts w:hint="eastAsia" w:eastAsia="方正黑体_GBK"/>
                <w:b/>
                <w:sz w:val="24"/>
                <w:szCs w:val="21"/>
                <w:highlight w:val="none"/>
              </w:rPr>
              <w:framePr w:vAnchor="margin" w:hAnchor="page" w:xAlign="center" w:y="1"/>
            </w:pPr>
            <w:r>
              <w:rPr>
                <w:rFonts w:hint="eastAsia" w:eastAsia="方正黑体_GBK"/>
                <w:b/>
                <w:sz w:val="24"/>
                <w:szCs w:val="21"/>
                <w:highlight w:val="none"/>
              </w:rPr>
              <w:t xml:space="preserve">基本描述</w:t>
            </w:r>
            <w:r>
              <w:rPr>
                <w:rFonts w:hint="eastAsia" w:eastAsia="方正黑体_GBK"/>
                <w:b/>
                <w:sz w:val="24"/>
                <w:szCs w:val="21"/>
                <w:highlight w:val="none"/>
              </w:rPr>
            </w:r>
            <w:r/>
          </w:p>
        </w:tc>
        <w:tc>
          <w:tcPr>
            <w:tcW w:w="674" w:type="dxa"/>
            <w:vAlign w:val="center"/>
            <w:textDirection w:val="lrTb"/>
            <w:noWrap w:val="false"/>
          </w:tcPr>
          <w:p>
            <w:pPr>
              <w:pStyle w:val="893"/>
              <w:jc w:val="center"/>
              <w:keepNext/>
              <w:rPr>
                <w:rFonts w:hint="eastAsia" w:eastAsia="方正黑体_GBK"/>
                <w:b/>
                <w:sz w:val="24"/>
                <w:szCs w:val="21"/>
                <w:highlight w:val="none"/>
              </w:rPr>
              <w:framePr w:vAnchor="margin" w:hAnchor="page" w:xAlign="center" w:y="1"/>
            </w:pPr>
            <w:r>
              <w:rPr>
                <w:rFonts w:hint="eastAsia" w:eastAsia="方正黑体_GBK"/>
                <w:b/>
                <w:sz w:val="24"/>
                <w:szCs w:val="21"/>
                <w:highlight w:val="none"/>
              </w:rPr>
              <w:t xml:space="preserve">数量</w:t>
            </w:r>
            <w:r>
              <w:rPr>
                <w:rFonts w:hint="eastAsia" w:eastAsia="方正黑体_GBK"/>
                <w:b/>
                <w:sz w:val="24"/>
                <w:szCs w:val="21"/>
                <w:highlight w:val="none"/>
              </w:rPr>
            </w:r>
            <w:r/>
          </w:p>
        </w:tc>
        <w:tc>
          <w:tcPr>
            <w:tcW w:w="1538" w:type="dxa"/>
            <w:vAlign w:val="center"/>
            <w:textDirection w:val="lrTb"/>
            <w:noWrap w:val="false"/>
          </w:tcPr>
          <w:p>
            <w:pPr>
              <w:pStyle w:val="893"/>
              <w:jc w:val="center"/>
              <w:keepNext/>
              <w:rPr>
                <w:rFonts w:hint="eastAsia" w:eastAsia="方正黑体_GBK"/>
                <w:b/>
                <w:sz w:val="24"/>
                <w:szCs w:val="21"/>
                <w:highlight w:val="none"/>
              </w:rPr>
              <w:framePr w:vAnchor="margin" w:hAnchor="page" w:xAlign="center" w:y="1"/>
            </w:pPr>
            <w:r>
              <w:rPr>
                <w:rFonts w:hint="eastAsia" w:eastAsia="方正黑体_GBK"/>
                <w:b/>
                <w:sz w:val="24"/>
                <w:szCs w:val="21"/>
                <w:highlight w:val="none"/>
              </w:rPr>
              <w:t xml:space="preserve">预算控制价</w:t>
            </w:r>
            <w:r>
              <w:rPr>
                <w:rFonts w:hint="eastAsia" w:eastAsia="方正黑体_GBK"/>
                <w:b/>
                <w:sz w:val="24"/>
                <w:szCs w:val="21"/>
                <w:highlight w:val="none"/>
              </w:rPr>
            </w:r>
            <w:r/>
          </w:p>
        </w:tc>
      </w:tr>
      <w:tr>
        <w:trPr/>
        <w:tc>
          <w:tcPr>
            <w:tcW w:w="588"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t xml:space="preserve">1</w:t>
            </w:r>
            <w:r>
              <w:rPr>
                <w:rFonts w:hint="eastAsia" w:eastAsia="方正楷体_GBK"/>
                <w:szCs w:val="21"/>
                <w:highlight w:val="none"/>
              </w:rPr>
            </w:r>
            <w:r/>
          </w:p>
        </w:tc>
        <w:tc>
          <w:tcPr>
            <w:tcW w:w="2022" w:type="dxa"/>
            <w:vAlign w:val="center"/>
            <w:textDirection w:val="lrTb"/>
            <w:noWrap w:val="false"/>
          </w:tcPr>
          <w:p>
            <w:pPr>
              <w:pStyle w:val="893"/>
              <w:jc w:val="left"/>
              <w:keepNext/>
              <w:rPr>
                <w:rFonts w:hint="eastAsia" w:eastAsia="方正楷体_GBK"/>
                <w:b/>
                <w:szCs w:val="21"/>
                <w:highlight w:val="none"/>
              </w:rPr>
              <w:framePr w:vAnchor="margin" w:hAnchor="page" w:xAlign="center" w:y="1"/>
            </w:pPr>
            <w:r>
              <w:rPr>
                <w:rFonts w:hint="eastAsia" w:eastAsia="方正楷体_GBK"/>
                <w:b/>
                <w:szCs w:val="21"/>
                <w:highlight w:val="none"/>
              </w:rPr>
              <w:t xml:space="preserve">便携式泡沫灭火装置</w:t>
            </w:r>
            <w:r>
              <w:rPr>
                <w:rFonts w:hint="eastAsia" w:eastAsia="方正楷体_GBK"/>
                <w:szCs w:val="21"/>
                <w:highlight w:val="none"/>
              </w:rPr>
              <w:t xml:space="preserve">（</w:t>
            </w:r>
            <w:r>
              <w:rPr>
                <w:rFonts w:hint="eastAsia" w:eastAsia="方正楷体_GBK"/>
                <w:b/>
                <w:szCs w:val="21"/>
                <w:highlight w:val="none"/>
              </w:rPr>
              <w:t xml:space="preserve">提供样品</w:t>
            </w:r>
            <w:r>
              <w:rPr>
                <w:rFonts w:hint="eastAsia" w:eastAsia="方正楷体_GBK"/>
                <w:szCs w:val="21"/>
                <w:highlight w:val="none"/>
              </w:rPr>
              <w:t xml:space="preserve">）</w:t>
            </w:r>
            <w:r>
              <w:rPr>
                <w:rFonts w:hint="eastAsia" w:eastAsia="方正楷体_GBK"/>
                <w:b/>
                <w:szCs w:val="21"/>
                <w:highlight w:val="none"/>
              </w:rPr>
            </w:r>
            <w:r/>
          </w:p>
        </w:tc>
        <w:tc>
          <w:tcPr>
            <w:tcW w:w="3216"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1、装置为移动式设计</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2、可以扑救三元锂电、磷酸铁锂等储能类电池组、车用动力电池包火灾（</w:t>
            </w:r>
            <w:r>
              <w:rPr>
                <w:rFonts w:hint="eastAsia" w:eastAsia="方正楷体_GBK"/>
                <w:b/>
                <w:szCs w:val="21"/>
                <w:highlight w:val="none"/>
              </w:rPr>
              <w:t xml:space="preserve">提供相应检验报告或功能说明书、彩页等证明材料，未提供或不能证明的作无效投标处理</w:t>
            </w:r>
            <w:r>
              <w:rPr>
                <w:rFonts w:eastAsia="方正楷体_GBK"/>
                <w:szCs w:val="21"/>
                <w:highlight w:val="none"/>
              </w:rPr>
              <w:t xml:space="preserve">）</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3、整机重量≤35KG</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4、装置药剂填充容量≥8升</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5、喷射距离直流≥8m</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6、连续喷射时间≥60s</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7、可以实现现场实时填充药剂</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8、发泡倍数≥5</w:t>
            </w:r>
            <w:r>
              <w:rPr>
                <w:rFonts w:eastAsia="方正楷体_GBK"/>
                <w:szCs w:val="21"/>
                <w:highlight w:val="none"/>
              </w:rPr>
            </w:r>
            <w:r/>
          </w:p>
          <w:p>
            <w:pPr>
              <w:pStyle w:val="893"/>
              <w:jc w:val="left"/>
              <w:keepNext/>
              <w:rPr>
                <w:rFonts w:hint="eastAsia" w:eastAsia="方正楷体_GBK"/>
                <w:szCs w:val="21"/>
                <w:highlight w:val="none"/>
              </w:rPr>
              <w:framePr w:vAnchor="margin" w:hAnchor="page" w:xAlign="center" w:y="1"/>
            </w:pPr>
            <w:r>
              <w:rPr>
                <w:rFonts w:eastAsia="方正楷体_GBK"/>
                <w:szCs w:val="21"/>
                <w:highlight w:val="none"/>
              </w:rPr>
              <w:t xml:space="preserve">9、气瓶：额定工作压力≥30MPa，存储气体为纯净压缩空气。</w:t>
            </w:r>
            <w:r>
              <w:rPr>
                <w:rFonts w:hint="eastAsia"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180具</w:t>
            </w:r>
            <w:r>
              <w:rPr>
                <w:rFonts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7000元/具</w:t>
            </w:r>
            <w:r>
              <w:rPr>
                <w:rFonts w:eastAsia="方正楷体_GBK"/>
                <w:szCs w:val="21"/>
                <w:highlight w:val="none"/>
              </w:rPr>
            </w:r>
            <w:r/>
          </w:p>
        </w:tc>
      </w:tr>
      <w:tr>
        <w:trPr/>
        <w:tc>
          <w:tcPr>
            <w:tcW w:w="588" w:type="dxa"/>
            <w:vAlign w:val="center"/>
            <w:textDirection w:val="lrTb"/>
            <w:noWrap w:val="false"/>
          </w:tcPr>
          <w:p>
            <w:pPr>
              <w:pStyle w:val="893"/>
              <w:jc w:val="center"/>
              <w:keepNext/>
              <w:rPr>
                <w:rFonts w:eastAsia="方正楷体_GBK"/>
                <w:szCs w:val="21"/>
                <w:highlight w:val="none"/>
              </w:rPr>
              <w:framePr w:vAnchor="margin" w:hAnchor="page" w:xAlign="center" w:y="1"/>
            </w:pPr>
            <w:r>
              <w:rPr>
                <w:rFonts w:hint="eastAsia" w:eastAsia="方正楷体_GBK"/>
                <w:szCs w:val="21"/>
                <w:highlight w:val="none"/>
              </w:rPr>
              <w:t xml:space="preserve">2</w:t>
            </w:r>
            <w:r>
              <w:rPr>
                <w:rFonts w:eastAsia="方正楷体_GBK"/>
                <w:szCs w:val="21"/>
                <w:highlight w:val="none"/>
              </w:rPr>
            </w:r>
            <w:r/>
          </w:p>
        </w:tc>
        <w:tc>
          <w:tcPr>
            <w:tcW w:w="2022"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b/>
                <w:szCs w:val="21"/>
                <w:highlight w:val="none"/>
              </w:rPr>
              <w:t xml:space="preserve">消防用</w:t>
            </w:r>
            <w:r>
              <w:rPr>
                <w:rFonts w:hint="eastAsia" w:eastAsia="方正楷体_GBK"/>
                <w:b/>
                <w:szCs w:val="21"/>
                <w:highlight w:val="none"/>
              </w:rPr>
              <w:t xml:space="preserve">电动巡防车</w:t>
            </w:r>
            <w:r>
              <w:rPr>
                <w:rFonts w:eastAsia="方正楷体_GBK"/>
                <w:szCs w:val="21"/>
                <w:highlight w:val="none"/>
              </w:rPr>
            </w:r>
            <w:r/>
          </w:p>
        </w:tc>
        <w:tc>
          <w:tcPr>
            <w:tcW w:w="3216" w:type="dxa"/>
            <w:vAlign w:val="center"/>
            <w:textDirection w:val="lrTb"/>
            <w:noWrap w:val="false"/>
          </w:tcPr>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一、</w:t>
            </w:r>
            <w:r>
              <w:rPr>
                <w:rFonts w:eastAsia="方正楷体_GBK"/>
                <w:szCs w:val="21"/>
                <w:highlight w:val="none"/>
              </w:rPr>
              <w:t xml:space="preserve">整车外观</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1、整车尺寸：≤3200×1200×2000mm</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2、整车自重：≤1200㎏</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3、乘坐人数：2人</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二</w:t>
            </w:r>
            <w:r>
              <w:rPr>
                <w:rFonts w:eastAsia="方正楷体_GBK"/>
                <w:szCs w:val="21"/>
                <w:highlight w:val="none"/>
              </w:rPr>
              <w:t xml:space="preserve">、动力行驶</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1、电机功率：≥2500W</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2、电池规格：72V100Ah铅酸大容量电池</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3、最高时速：25km/h</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4、续航里程：≥60KM</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5、控制系统：高低速爬坡档、防水一体控制器</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三、水泵配置</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1、燃油箱，燃油箱容积应能保证正常工作情况下连续运转1h，应具有燃油油位表用以显示燃油箱容积</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2、水泵</w:t>
            </w:r>
            <w:r>
              <w:rPr>
                <w:rFonts w:hint="eastAsia" w:eastAsia="方正楷体_GBK"/>
                <w:szCs w:val="21"/>
                <w:highlight w:val="none"/>
              </w:rPr>
              <w:t xml:space="preserve">功率：≥13HP</w:t>
            </w:r>
            <w:r>
              <w:rPr>
                <w:rFonts w:eastAsia="方正楷体_GBK"/>
                <w:szCs w:val="21"/>
                <w:highlight w:val="none"/>
              </w:rPr>
              <w:t xml:space="preserve">应具有电启动、手动启动功能。</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3、工作压力：≥0.25MPa</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4、有效射程：≥15米</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5、配备不少于20</w:t>
            </w:r>
            <w:r>
              <w:rPr>
                <w:rFonts w:hint="eastAsia" w:eastAsia="方正楷体_GBK"/>
                <w:szCs w:val="21"/>
                <w:highlight w:val="none"/>
              </w:rPr>
              <w:t xml:space="preserve">m*25mm*2</w:t>
            </w:r>
            <w:r>
              <w:rPr>
                <w:rFonts w:eastAsia="方正楷体_GBK"/>
                <w:szCs w:val="21"/>
                <w:highlight w:val="none"/>
              </w:rPr>
              <w:t xml:space="preserve">卷盘式软管，水泵连接水箱与软管，软管出水口连接高压水枪</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四、标准随车配置</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1、水箱容积：≥</w:t>
            </w:r>
            <w:r>
              <w:rPr>
                <w:rFonts w:hint="eastAsia" w:eastAsia="方正楷体_GBK"/>
                <w:szCs w:val="21"/>
                <w:highlight w:val="none"/>
              </w:rPr>
              <w:t xml:space="preserve">75</w:t>
            </w:r>
            <w:r>
              <w:rPr>
                <w:rFonts w:eastAsia="方正楷体_GBK"/>
                <w:szCs w:val="21"/>
                <w:highlight w:val="none"/>
              </w:rPr>
              <w:t xml:space="preserve">0L一体塑料水箱</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w:t>
            </w:r>
            <w:r>
              <w:rPr>
                <w:rFonts w:hint="eastAsia" w:eastAsia="方正楷体_GBK"/>
                <w:szCs w:val="21"/>
                <w:highlight w:val="none"/>
              </w:rPr>
              <w:t xml:space="preserve">2</w:t>
            </w:r>
            <w:r>
              <w:rPr>
                <w:rFonts w:eastAsia="方正楷体_GBK"/>
                <w:szCs w:val="21"/>
                <w:highlight w:val="none"/>
              </w:rPr>
              <w:t xml:space="preserve">把</w:t>
            </w:r>
            <w:r>
              <w:rPr>
                <w:rFonts w:hint="eastAsia" w:eastAsia="方正楷体_GBK"/>
                <w:szCs w:val="21"/>
                <w:highlight w:val="none"/>
              </w:rPr>
              <w:t xml:space="preserve">40型</w:t>
            </w:r>
            <w:r>
              <w:rPr>
                <w:rFonts w:eastAsia="方正楷体_GBK"/>
                <w:szCs w:val="21"/>
                <w:highlight w:val="none"/>
              </w:rPr>
              <w:t xml:space="preserve">直流水枪</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3、设置灭火器固定支架、防火撬棍摆放置位</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4、标配水带：4盘</w:t>
            </w:r>
            <w:r>
              <w:rPr>
                <w:rFonts w:hint="eastAsia" w:eastAsia="方正楷体_GBK"/>
                <w:szCs w:val="21"/>
                <w:highlight w:val="none"/>
              </w:rPr>
              <w:t xml:space="preserve">40型</w:t>
            </w:r>
            <w:r>
              <w:rPr>
                <w:rFonts w:eastAsia="方正楷体_GBK"/>
                <w:szCs w:val="21"/>
                <w:highlight w:val="none"/>
              </w:rPr>
              <w:t xml:space="preserve">水带</w:t>
            </w:r>
            <w:r>
              <w:rPr>
                <w:rFonts w:hint="eastAsia" w:eastAsia="方正楷体_GBK"/>
                <w:szCs w:val="21"/>
                <w:highlight w:val="none"/>
              </w:rPr>
              <w:t xml:space="preserve">,配备转换接口，可连接消火栓</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五、车身要求</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1、车辆标识标志及警灯安装，符合消防救援车辆图喷要求</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w:t>
            </w:r>
            <w:r>
              <w:rPr>
                <w:rFonts w:hint="eastAsia" w:eastAsia="方正楷体_GBK"/>
                <w:szCs w:val="21"/>
                <w:highlight w:val="none"/>
              </w:rPr>
              <w:t xml:space="preserve">整车喷漆</w:t>
            </w:r>
            <w:r>
              <w:rPr>
                <w:rFonts w:eastAsia="方正楷体_GBK"/>
                <w:szCs w:val="21"/>
                <w:highlight w:val="none"/>
              </w:rPr>
              <w:t xml:space="preserve">-红色</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3</w:t>
            </w:r>
            <w:r>
              <w:rPr>
                <w:rFonts w:eastAsia="方正楷体_GBK"/>
                <w:szCs w:val="21"/>
                <w:highlight w:val="none"/>
              </w:rPr>
              <w:t xml:space="preserve">、油漆：优质聚氨酯烤漆</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4</w:t>
            </w:r>
            <w:r>
              <w:rPr>
                <w:rFonts w:eastAsia="方正楷体_GBK"/>
                <w:szCs w:val="21"/>
                <w:highlight w:val="none"/>
              </w:rPr>
              <w:t xml:space="preserve">、车身字体：根据后期需求张贴。</w:t>
            </w:r>
            <w:r>
              <w:rPr>
                <w:rFonts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10</w:t>
            </w:r>
            <w:r>
              <w:rPr>
                <w:rFonts w:eastAsia="方正楷体_GBK"/>
                <w:szCs w:val="21"/>
                <w:highlight w:val="none"/>
              </w:rPr>
              <w:t xml:space="preserve">辆</w:t>
            </w:r>
            <w:r>
              <w:rPr>
                <w:rFonts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26400元/辆</w:t>
            </w:r>
            <w:r>
              <w:rPr>
                <w:rFonts w:eastAsia="方正楷体_GBK"/>
                <w:szCs w:val="21"/>
                <w:highlight w:val="none"/>
              </w:rPr>
            </w:r>
            <w:r/>
          </w:p>
        </w:tc>
      </w:tr>
      <w:tr>
        <w:trPr/>
        <w:tc>
          <w:tcPr>
            <w:tcW w:w="588"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t xml:space="preserve">3</w:t>
            </w:r>
            <w:r>
              <w:rPr>
                <w:rFonts w:hint="eastAsia" w:eastAsia="方正楷体_GBK"/>
                <w:szCs w:val="21"/>
                <w:highlight w:val="none"/>
              </w:rPr>
            </w:r>
            <w:r/>
          </w:p>
        </w:tc>
        <w:tc>
          <w:tcPr>
            <w:tcW w:w="2022"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b/>
                <w:szCs w:val="21"/>
                <w:highlight w:val="none"/>
              </w:rPr>
              <w:t xml:space="preserve">消防用</w:t>
            </w:r>
            <w:r>
              <w:rPr>
                <w:rFonts w:hint="eastAsia" w:eastAsia="方正楷体_GBK"/>
                <w:b/>
                <w:szCs w:val="21"/>
                <w:highlight w:val="none"/>
              </w:rPr>
              <w:t xml:space="preserve">电动自行车</w:t>
            </w:r>
            <w:r>
              <w:rPr>
                <w:rFonts w:eastAsia="方正楷体_GBK"/>
                <w:szCs w:val="21"/>
                <w:highlight w:val="none"/>
              </w:rPr>
            </w:r>
            <w:r/>
          </w:p>
        </w:tc>
        <w:tc>
          <w:tcPr>
            <w:tcW w:w="3216" w:type="dxa"/>
            <w:vAlign w:val="center"/>
            <w:textDirection w:val="lrTb"/>
            <w:noWrap w:val="false"/>
          </w:tcPr>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1、符合《电动自行车安全技术规范》</w:t>
            </w:r>
            <w:r>
              <w:rPr>
                <w:rFonts w:hint="eastAsia" w:eastAsia="方正楷体_GBK"/>
                <w:szCs w:val="21"/>
                <w:highlight w:val="none"/>
              </w:rPr>
              <w:t xml:space="preserve">GB</w:t>
            </w:r>
            <w:r>
              <w:rPr>
                <w:rFonts w:eastAsia="方正楷体_GBK"/>
                <w:szCs w:val="21"/>
                <w:highlight w:val="none"/>
              </w:rPr>
              <w:t xml:space="preserve">17761-2024标准</w:t>
            </w:r>
            <w:r>
              <w:rPr>
                <w:rFonts w:hint="eastAsia" w:eastAsia="方正楷体_GBK"/>
                <w:b/>
                <w:bCs/>
                <w:szCs w:val="21"/>
                <w:highlight w:val="none"/>
              </w:rPr>
              <w:t xml:space="preserve">（提供省级及以上或国家认可的第三方检测检验机构出具的检验合格报告，且报告应完整有效，</w:t>
            </w:r>
            <w:r>
              <w:rPr>
                <w:rFonts w:hint="eastAsia" w:eastAsia="方正楷体_GBK"/>
                <w:b/>
                <w:szCs w:val="21"/>
                <w:highlight w:val="none"/>
              </w:rPr>
              <w:t xml:space="preserve">未提供或不能证明的作无效投标处理</w:t>
            </w:r>
            <w:r>
              <w:rPr>
                <w:rFonts w:hint="eastAsia" w:eastAsia="方正楷体_GBK"/>
                <w:szCs w:val="21"/>
                <w:highlight w:val="none"/>
              </w:rPr>
              <w:t xml:space="preserve">）。</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2、整车质量≤55kg，轮胎14寸或16寸真空胎。</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3、电池为72V/20Ah铅酸电池，续航里程≥50km（空载）。</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4、设置红</w:t>
            </w:r>
            <w:r>
              <w:rPr>
                <w:rFonts w:hint="eastAsia" w:eastAsia="方正楷体_GBK"/>
                <w:szCs w:val="21"/>
                <w:highlight w:val="none"/>
              </w:rPr>
              <w:t xml:space="preserve">色</w:t>
            </w:r>
            <w:r>
              <w:rPr>
                <w:rFonts w:eastAsia="方正楷体_GBK"/>
                <w:szCs w:val="21"/>
                <w:highlight w:val="none"/>
              </w:rPr>
              <w:t xml:space="preserve">爆闪灯、喊话器，</w:t>
            </w:r>
            <w:r>
              <w:rPr>
                <w:rFonts w:hint="eastAsia" w:eastAsia="方正楷体_GBK"/>
                <w:szCs w:val="21"/>
                <w:highlight w:val="none"/>
              </w:rPr>
              <w:t xml:space="preserve">设置灭火器放置支架，配备</w:t>
            </w:r>
            <w:r>
              <w:rPr>
                <w:rFonts w:eastAsia="方正楷体_GBK"/>
                <w:szCs w:val="21"/>
                <w:highlight w:val="none"/>
              </w:rPr>
              <w:t xml:space="preserve">2具4kg干粉灭火器，周身喷涂红色，设置“消防巡查”字样</w:t>
            </w:r>
            <w:r>
              <w:rPr>
                <w:rFonts w:hint="eastAsia" w:eastAsia="方正楷体_GBK"/>
                <w:szCs w:val="21"/>
                <w:highlight w:val="none"/>
              </w:rPr>
              <w:t xml:space="preserve">，</w:t>
            </w:r>
            <w:r>
              <w:rPr>
                <w:rFonts w:eastAsia="方正楷体_GBK"/>
                <w:szCs w:val="21"/>
                <w:highlight w:val="none"/>
              </w:rPr>
              <w:t xml:space="preserve">根据后期需求</w:t>
            </w:r>
            <w:r>
              <w:rPr>
                <w:rFonts w:hint="eastAsia" w:eastAsia="方正楷体_GBK"/>
                <w:szCs w:val="21"/>
                <w:highlight w:val="none"/>
              </w:rPr>
              <w:t xml:space="preserve">免费</w:t>
            </w:r>
            <w:r>
              <w:rPr>
                <w:rFonts w:eastAsia="方正楷体_GBK"/>
                <w:szCs w:val="21"/>
                <w:highlight w:val="none"/>
              </w:rPr>
              <w:t xml:space="preserve">张贴。</w:t>
            </w:r>
            <w:r>
              <w:rPr>
                <w:rFonts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20</w:t>
            </w:r>
            <w:r>
              <w:rPr>
                <w:rFonts w:eastAsia="方正楷体_GBK"/>
                <w:szCs w:val="21"/>
                <w:highlight w:val="none"/>
              </w:rPr>
              <w:t xml:space="preserve">辆</w:t>
            </w:r>
            <w:r>
              <w:rPr>
                <w:rFonts w:eastAsia="方正楷体_GBK"/>
                <w:szCs w:val="21"/>
                <w:highlight w:val="none"/>
              </w:rPr>
            </w:r>
            <w:r/>
          </w:p>
        </w:tc>
        <w:tc>
          <w:tcPr>
            <w:tcW w:w="1538" w:type="dxa"/>
            <w:vAlign w:val="center"/>
            <w:textDirection w:val="lrTb"/>
            <w:noWrap w:val="false"/>
          </w:tcPr>
          <w:p>
            <w:pPr>
              <w:pStyle w:val="893"/>
              <w:jc w:val="right"/>
              <w:keepNext/>
              <w:rPr>
                <w:rFonts w:hint="eastAsia" w:eastAsia="方正楷体_GBK"/>
                <w:szCs w:val="21"/>
                <w:highlight w:val="none"/>
              </w:rPr>
              <w:framePr w:vAnchor="margin" w:hAnchor="page" w:xAlign="center" w:y="1"/>
            </w:pPr>
            <w:r>
              <w:rPr>
                <w:rFonts w:hint="eastAsia" w:eastAsia="方正楷体_GBK"/>
                <w:szCs w:val="21"/>
                <w:highlight w:val="none"/>
              </w:rPr>
              <w:t xml:space="preserve">3500元/辆</w:t>
            </w:r>
            <w:r>
              <w:rPr>
                <w:rFonts w:hint="eastAsia" w:eastAsia="方正楷体_GBK"/>
                <w:szCs w:val="21"/>
                <w:highlight w:val="none"/>
              </w:rPr>
            </w:r>
            <w:r/>
          </w:p>
        </w:tc>
      </w:tr>
      <w:tr>
        <w:trPr/>
        <w:tc>
          <w:tcPr>
            <w:tcW w:w="588"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t xml:space="preserve">4</w:t>
            </w:r>
            <w:r>
              <w:rPr>
                <w:rFonts w:hint="eastAsia" w:eastAsia="方正楷体_GBK"/>
                <w:szCs w:val="21"/>
                <w:highlight w:val="none"/>
              </w:rPr>
            </w:r>
            <w:r/>
          </w:p>
        </w:tc>
        <w:tc>
          <w:tcPr>
            <w:tcW w:w="2022"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b/>
                <w:szCs w:val="21"/>
                <w:highlight w:val="none"/>
              </w:rPr>
              <w:t xml:space="preserve">快速处置模块</w:t>
            </w:r>
            <w:r>
              <w:rPr>
                <w:rFonts w:eastAsia="方正楷体_GBK"/>
                <w:szCs w:val="21"/>
                <w:highlight w:val="none"/>
              </w:rPr>
            </w:r>
            <w:r/>
          </w:p>
        </w:tc>
        <w:tc>
          <w:tcPr>
            <w:tcW w:w="3216"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一、整车外观</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1、整体材质：采用冷轧钢板制作，主体板材厚度≥1.5mm，关键承重部位（平台、箱体底部）板材厚度≥2mm</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2、车身尺寸：（长×宽×高）≥1000×600×500mm（不含拉杆长度）</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3、行走结构：双轮加大加厚越野防滑橡胶轮胎</w:t>
            </w:r>
            <w:r>
              <w:rPr>
                <w:rFonts w:hint="eastAsia" w:eastAsia="方正楷体_GBK"/>
                <w:szCs w:val="21"/>
                <w:highlight w:val="none"/>
              </w:rPr>
              <w:t xml:space="preserve">，前轮为万向轮（拉杆测）</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4、外观设计：自带高亮反光警示条，侧边按压门锁式推拉柜门，分区独立储物</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5、手持推杆：加长铝合金伸缩防护推杆</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二</w:t>
            </w:r>
            <w:r>
              <w:rPr>
                <w:rFonts w:eastAsia="方正楷体_GBK"/>
                <w:szCs w:val="21"/>
                <w:highlight w:val="none"/>
              </w:rPr>
              <w:t xml:space="preserve">、箱体分区配置</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1、上层开放式储物区：可放置消防水带、消防头盔、自救呼吸器、照明手电、对讲机。</w:t>
            </w:r>
            <w:r>
              <w:rPr>
                <w:rFonts w:hint="eastAsia" w:eastAsia="方正楷体_GBK"/>
                <w:szCs w:val="21"/>
                <w:highlight w:val="none"/>
              </w:rPr>
              <w:t xml:space="preserve">（随箱配备2盘65型水带、1支水枪）</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2、下层封分割推拉仓：可放置个人防护、消防水带、专用扳手、直流水枪、灭火器等专用存放区域。</w:t>
            </w:r>
            <w:r>
              <w:rPr>
                <w:rFonts w:hint="eastAsia" w:eastAsia="方正楷体_GBK"/>
                <w:szCs w:val="21"/>
                <w:highlight w:val="none"/>
              </w:rPr>
              <w:t xml:space="preserve">（随箱配置2具4kg灭火器）</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3、下层设计器材固定卡槽</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4、两侧按压门锁推拉门</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5</w:t>
            </w:r>
            <w:r>
              <w:rPr>
                <w:rFonts w:hint="eastAsia" w:eastAsia="方正楷体_GBK"/>
                <w:szCs w:val="21"/>
                <w:highlight w:val="none"/>
              </w:rPr>
              <w:t xml:space="preserve">、</w:t>
            </w:r>
            <w:r>
              <w:rPr>
                <w:rFonts w:eastAsia="方正楷体_GBK"/>
                <w:szCs w:val="21"/>
                <w:highlight w:val="none"/>
              </w:rPr>
              <w:t xml:space="preserve">车体可挂载绝缘消防火钩</w:t>
            </w:r>
            <w:r>
              <w:rPr>
                <w:rFonts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280</w:t>
            </w:r>
            <w:r>
              <w:rPr>
                <w:rFonts w:eastAsia="方正楷体_GBK"/>
                <w:szCs w:val="21"/>
                <w:highlight w:val="none"/>
              </w:rPr>
              <w:t xml:space="preserve">具</w:t>
            </w:r>
            <w:r>
              <w:rPr>
                <w:rFonts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900元/个</w:t>
            </w:r>
            <w:r>
              <w:rPr>
                <w:rFonts w:eastAsia="方正楷体_GBK"/>
                <w:szCs w:val="21"/>
                <w:highlight w:val="none"/>
              </w:rPr>
            </w:r>
            <w:r/>
          </w:p>
        </w:tc>
      </w:tr>
      <w:tr>
        <w:trPr/>
        <w:tc>
          <w:tcPr>
            <w:tcW w:w="588"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t xml:space="preserve">5</w:t>
            </w:r>
            <w:r>
              <w:rPr>
                <w:rFonts w:hint="eastAsia" w:eastAsia="方正楷体_GBK"/>
                <w:szCs w:val="21"/>
                <w:highlight w:val="none"/>
              </w:rPr>
            </w:r>
            <w:r/>
          </w:p>
        </w:tc>
        <w:tc>
          <w:tcPr>
            <w:tcW w:w="2022"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b/>
                <w:szCs w:val="21"/>
                <w:highlight w:val="none"/>
              </w:rPr>
              <w:t xml:space="preserve">快速处置箱</w:t>
            </w:r>
            <w:r>
              <w:rPr>
                <w:rFonts w:eastAsia="方正楷体_GBK"/>
                <w:szCs w:val="21"/>
                <w:highlight w:val="none"/>
              </w:rPr>
            </w:r>
            <w:r/>
          </w:p>
        </w:tc>
        <w:tc>
          <w:tcPr>
            <w:tcW w:w="3216"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一、箱体设计</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1、编号设计为：根据后期需求喷涂。</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2、箱体尺寸：≥600×650×240mm</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3、整体结构：落地加高地脚设计，单开门按压式门锁</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二、材质工艺</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1、板材：加厚冷轧钢板，主体板材厚度≥1mm</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2、表面处理：箱体表面为红色涂装，箱体正面印制白色字样 “消防器材前置箱”</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3、箱门开启角度≥150°</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三</w:t>
            </w:r>
            <w:r>
              <w:rPr>
                <w:rFonts w:eastAsia="方正楷体_GBK"/>
                <w:szCs w:val="21"/>
                <w:highlight w:val="none"/>
              </w:rPr>
              <w:t xml:space="preserve">、内部设计</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1、内部设置防滑加固卡槽，稳固器材摆放。</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2、可存放4kg干粉灭火</w:t>
            </w:r>
            <w:r>
              <w:rPr>
                <w:rFonts w:hint="eastAsia" w:eastAsia="方正楷体_GBK"/>
                <w:szCs w:val="21"/>
                <w:highlight w:val="none"/>
              </w:rPr>
              <w:t xml:space="preserve">器</w:t>
            </w:r>
            <w:r>
              <w:rPr>
                <w:rFonts w:eastAsia="方正楷体_GBK"/>
                <w:szCs w:val="21"/>
                <w:highlight w:val="none"/>
              </w:rPr>
              <w:t xml:space="preserve">2具、消防水带2盘、水枪1把、消防扳手1把。</w:t>
            </w:r>
            <w:r>
              <w:rPr>
                <w:rFonts w:hint="eastAsia" w:eastAsia="方正楷体_GBK"/>
                <w:szCs w:val="21"/>
                <w:highlight w:val="none"/>
              </w:rPr>
              <w:t xml:space="preserve">（随箱配备</w:t>
            </w:r>
            <w:r>
              <w:rPr>
                <w:rFonts w:eastAsia="方正楷体_GBK"/>
                <w:szCs w:val="21"/>
                <w:highlight w:val="none"/>
              </w:rPr>
              <w:t xml:space="preserve">2具4kg干粉灭火</w:t>
            </w:r>
            <w:r>
              <w:rPr>
                <w:rFonts w:hint="eastAsia" w:eastAsia="方正楷体_GBK"/>
                <w:szCs w:val="21"/>
                <w:highlight w:val="none"/>
              </w:rPr>
              <w:t xml:space="preserve">器）</w:t>
            </w:r>
            <w:r>
              <w:rPr>
                <w:rFonts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920</w:t>
            </w:r>
            <w:r>
              <w:rPr>
                <w:rFonts w:eastAsia="方正楷体_GBK"/>
                <w:szCs w:val="21"/>
                <w:highlight w:val="none"/>
              </w:rPr>
              <w:t xml:space="preserve">具</w:t>
            </w:r>
            <w:r>
              <w:rPr>
                <w:rFonts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400元/个</w:t>
            </w:r>
            <w:r>
              <w:rPr>
                <w:rFonts w:eastAsia="方正楷体_GBK"/>
                <w:szCs w:val="21"/>
                <w:highlight w:val="none"/>
              </w:rPr>
            </w:r>
            <w:r/>
          </w:p>
        </w:tc>
      </w:tr>
      <w:tr>
        <w:trPr/>
        <w:tc>
          <w:tcPr>
            <w:tcW w:w="588"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t xml:space="preserve">6</w:t>
            </w:r>
            <w:r>
              <w:rPr>
                <w:rFonts w:hint="eastAsia" w:eastAsia="方正楷体_GBK"/>
                <w:szCs w:val="21"/>
                <w:highlight w:val="none"/>
              </w:rPr>
            </w:r>
            <w:r/>
          </w:p>
        </w:tc>
        <w:tc>
          <w:tcPr>
            <w:tcW w:w="2022"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b/>
                <w:szCs w:val="21"/>
                <w:highlight w:val="none"/>
              </w:rPr>
              <w:t xml:space="preserve">化学氧自救呼吸器</w:t>
            </w:r>
            <w:r>
              <w:rPr>
                <w:rFonts w:eastAsia="方正楷体_GBK"/>
                <w:szCs w:val="21"/>
                <w:highlight w:val="none"/>
              </w:rPr>
            </w:r>
            <w:r/>
          </w:p>
        </w:tc>
        <w:tc>
          <w:tcPr>
            <w:tcW w:w="3216" w:type="dxa"/>
            <w:vAlign w:val="center"/>
            <w:textDirection w:val="lrTb"/>
            <w:noWrap w:val="false"/>
          </w:tcPr>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1、产品符合XF411-2003标准</w:t>
            </w:r>
            <w:r>
              <w:rPr>
                <w:rFonts w:eastAsia="方正楷体_GBK"/>
                <w:b/>
                <w:bCs/>
                <w:szCs w:val="21"/>
                <w:highlight w:val="none"/>
              </w:rPr>
              <w:t xml:space="preserve">（</w:t>
            </w:r>
            <w:r>
              <w:rPr>
                <w:rFonts w:hint="eastAsia" w:eastAsia="方正楷体_GBK"/>
                <w:b/>
                <w:bCs/>
                <w:szCs w:val="21"/>
                <w:highlight w:val="none"/>
              </w:rPr>
              <w:t xml:space="preserve">提供省级及以上或国家认可的第三方检测检验机构出具的检验合格报告，且报告应完整有效，</w:t>
            </w:r>
            <w:r>
              <w:rPr>
                <w:rFonts w:hint="eastAsia" w:eastAsia="方正楷体_GBK"/>
                <w:b/>
                <w:szCs w:val="21"/>
                <w:highlight w:val="none"/>
              </w:rPr>
              <w:t xml:space="preserve">未提供或不能证明的作无效投标处理</w:t>
            </w:r>
            <w:r>
              <w:rPr>
                <w:rFonts w:hint="eastAsia" w:eastAsia="方正楷体_GBK"/>
                <w:szCs w:val="21"/>
                <w:highlight w:val="none"/>
              </w:rPr>
              <w:t xml:space="preserve">）。</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2、呼吸器应由防护头罩、面罩、药罐、通气管和贮气袋组成，联接应牢固可靠，在不借助工具的情况下应不易拆开。</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3、呼吸器应在防护头罩的额部设置环绕头部一周的反光标志 ；采用具有反光特性材料制造的防护头罩。药罐外壁应有防热传递的措施，进、出口处应有滤尘措施。</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4、防护头罩材料抗辐射热渗透性能内表面温升≤9</w:t>
            </w:r>
            <w:r>
              <w:rPr>
                <w:rFonts w:hint="eastAsia" w:eastAsia="方正楷体_GBK"/>
                <w:szCs w:val="21"/>
                <w:highlight w:val="none"/>
              </w:rPr>
              <w:t xml:space="preserve">℃</w:t>
            </w:r>
            <w:r>
              <w:rPr>
                <w:rFonts w:eastAsia="方正楷体_GBK"/>
                <w:szCs w:val="21"/>
                <w:highlight w:val="none"/>
              </w:rPr>
              <w:t xml:space="preserve">。</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5、佩戴质量≤1200g</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6、防护时间≥30分钟。</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7、氧浓度2分钟内≥17%</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8、二氧化碳浓度平均值≤1.11%，最大浓度≤1.5%</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9、吸气温度≤30°</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10、呼吸阻力之和≤1600pa，吸气阻力≤600pa,呼气阻力≤10000pa。</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11、漏气系数（%）：眼区≤12，面罩≤5</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12、储气袋容积≥6L</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13、具有3C认证，有效期≥4年</w:t>
            </w:r>
            <w:r>
              <w:rPr>
                <w:rFonts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640</w:t>
            </w:r>
            <w:r>
              <w:rPr>
                <w:rFonts w:eastAsia="方正楷体_GBK"/>
                <w:szCs w:val="21"/>
                <w:highlight w:val="none"/>
              </w:rPr>
              <w:t xml:space="preserve">个</w:t>
            </w:r>
            <w:r>
              <w:rPr>
                <w:rFonts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300元/个</w:t>
            </w:r>
            <w:r>
              <w:rPr>
                <w:rFonts w:eastAsia="方正楷体_GBK"/>
                <w:szCs w:val="21"/>
                <w:highlight w:val="none"/>
              </w:rPr>
            </w:r>
            <w:r/>
          </w:p>
        </w:tc>
      </w:tr>
      <w:tr>
        <w:trPr/>
        <w:tc>
          <w:tcPr>
            <w:tcW w:w="588"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t xml:space="preserve">7</w:t>
            </w:r>
            <w:r>
              <w:rPr>
                <w:rFonts w:hint="eastAsia" w:eastAsia="方正楷体_GBK"/>
                <w:szCs w:val="21"/>
                <w:highlight w:val="none"/>
              </w:rPr>
            </w:r>
            <w:r/>
          </w:p>
        </w:tc>
        <w:tc>
          <w:tcPr>
            <w:tcW w:w="2022"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b/>
                <w:szCs w:val="21"/>
                <w:highlight w:val="none"/>
              </w:rPr>
              <w:t xml:space="preserve">移车器</w:t>
            </w:r>
            <w:r>
              <w:rPr>
                <w:rFonts w:eastAsia="方正楷体_GBK"/>
                <w:szCs w:val="21"/>
                <w:highlight w:val="none"/>
              </w:rPr>
            </w:r>
            <w:r/>
          </w:p>
        </w:tc>
        <w:tc>
          <w:tcPr>
            <w:tcW w:w="3216" w:type="dxa"/>
            <w:vAlign w:val="center"/>
            <w:textDirection w:val="lrTb"/>
            <w:noWrap w:val="false"/>
          </w:tcPr>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1</w:t>
            </w:r>
            <w:r>
              <w:rPr>
                <w:rFonts w:eastAsia="方正楷体_GBK"/>
                <w:szCs w:val="21"/>
                <w:highlight w:val="none"/>
              </w:rPr>
              <w:t xml:space="preserve">、产品类型：液压式移车器</w:t>
            </w:r>
            <w:r>
              <w:rPr>
                <w:rFonts w:hint="eastAsia" w:eastAsia="方正楷体_GBK"/>
                <w:szCs w:val="21"/>
                <w:highlight w:val="none"/>
              </w:rPr>
              <w:t xml:space="preserve">（每套4个）</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2</w:t>
            </w:r>
            <w:r>
              <w:rPr>
                <w:rFonts w:eastAsia="方正楷体_GBK"/>
                <w:szCs w:val="21"/>
                <w:highlight w:val="none"/>
              </w:rPr>
              <w:t xml:space="preserve">、产品规格：≤550mm*650mm*450mm</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3</w:t>
            </w:r>
            <w:r>
              <w:rPr>
                <w:rFonts w:eastAsia="方正楷体_GBK"/>
                <w:szCs w:val="21"/>
                <w:highlight w:val="none"/>
              </w:rPr>
              <w:t xml:space="preserve">、产品重量：≤18kg</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4</w:t>
            </w:r>
            <w:r>
              <w:rPr>
                <w:rFonts w:eastAsia="方正楷体_GBK"/>
                <w:szCs w:val="21"/>
                <w:highlight w:val="none"/>
              </w:rPr>
              <w:t xml:space="preserve">、抗压额定载荷</w:t>
            </w:r>
            <w:r>
              <w:rPr>
                <w:rFonts w:hint="eastAsia" w:eastAsia="方正楷体_GBK"/>
                <w:szCs w:val="21"/>
                <w:highlight w:val="none"/>
              </w:rPr>
              <w:t xml:space="preserve">：</w:t>
            </w:r>
            <w:r>
              <w:rPr>
                <w:rFonts w:eastAsia="方正楷体_GBK"/>
                <w:szCs w:val="21"/>
                <w:highlight w:val="none"/>
              </w:rPr>
              <w:t xml:space="preserve">≥</w:t>
            </w:r>
            <w:r>
              <w:rPr>
                <w:rFonts w:hint="eastAsia" w:eastAsia="方正楷体_GBK"/>
                <w:szCs w:val="21"/>
                <w:highlight w:val="none"/>
              </w:rPr>
              <w:t xml:space="preserve">4</w:t>
            </w:r>
            <w:r>
              <w:rPr>
                <w:rFonts w:eastAsia="方正楷体_GBK"/>
                <w:szCs w:val="21"/>
                <w:highlight w:val="none"/>
              </w:rPr>
              <w:t xml:space="preserve">000kg</w:t>
            </w:r>
            <w:r>
              <w:rPr>
                <w:rFonts w:hint="eastAsia" w:eastAsia="方正楷体_GBK"/>
                <w:szCs w:val="21"/>
                <w:highlight w:val="none"/>
              </w:rPr>
              <w:t xml:space="preserve">/套</w:t>
            </w:r>
            <w:r>
              <w:rPr>
                <w:rFonts w:eastAsia="方正楷体_GBK"/>
                <w:szCs w:val="21"/>
                <w:highlight w:val="none"/>
              </w:rPr>
            </w:r>
            <w:r/>
          </w:p>
          <w:p>
            <w:pPr>
              <w:pStyle w:val="893"/>
              <w:jc w:val="left"/>
              <w:keepNext/>
              <w:rPr>
                <w:rFonts w:hint="eastAsia" w:eastAsia="方正楷体_GBK"/>
                <w:szCs w:val="21"/>
                <w:highlight w:val="none"/>
              </w:rPr>
              <w:framePr w:vAnchor="margin" w:hAnchor="page" w:xAlign="center" w:y="1"/>
            </w:pPr>
            <w:r>
              <w:rPr>
                <w:rFonts w:hint="eastAsia" w:eastAsia="方正楷体_GBK"/>
                <w:szCs w:val="21"/>
                <w:highlight w:val="none"/>
              </w:rPr>
              <w:t xml:space="preserve">5</w:t>
            </w:r>
            <w:r>
              <w:rPr>
                <w:rFonts w:eastAsia="方正楷体_GBK"/>
                <w:szCs w:val="21"/>
                <w:highlight w:val="none"/>
              </w:rPr>
              <w:t xml:space="preserve">、液压缸类型：大型液压缸</w:t>
            </w:r>
            <w:r>
              <w:rPr>
                <w:rFonts w:hint="eastAsia"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6</w:t>
            </w:r>
            <w:r>
              <w:rPr>
                <w:rFonts w:eastAsia="方正楷体_GBK"/>
                <w:szCs w:val="21"/>
                <w:highlight w:val="none"/>
              </w:rPr>
              <w:t xml:space="preserve">、适用轮胎：23寸及以下轮胎</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7</w:t>
            </w:r>
            <w:r>
              <w:rPr>
                <w:rFonts w:eastAsia="方正楷体_GBK"/>
                <w:szCs w:val="21"/>
                <w:highlight w:val="none"/>
              </w:rPr>
              <w:t xml:space="preserve">、最大爬坡度：≤3%</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8</w:t>
            </w:r>
            <w:r>
              <w:rPr>
                <w:rFonts w:eastAsia="方正楷体_GBK"/>
                <w:szCs w:val="21"/>
                <w:highlight w:val="none"/>
              </w:rPr>
              <w:t xml:space="preserve">、脚轮直径：100mm*4</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9</w:t>
            </w:r>
            <w:r>
              <w:rPr>
                <w:rFonts w:eastAsia="方正楷体_GBK"/>
                <w:szCs w:val="21"/>
                <w:highlight w:val="none"/>
              </w:rPr>
              <w:t xml:space="preserve">、液压移车器组成部件</w:t>
            </w:r>
            <w:r>
              <w:rPr>
                <w:rFonts w:hint="eastAsia" w:eastAsia="方正楷体_GBK"/>
                <w:szCs w:val="21"/>
                <w:highlight w:val="none"/>
              </w:rPr>
              <w:t xml:space="preserve">：</w:t>
            </w:r>
            <w:r>
              <w:rPr>
                <w:rFonts w:eastAsia="方正楷体_GBK"/>
                <w:szCs w:val="21"/>
                <w:highlight w:val="none"/>
              </w:rPr>
              <w:t xml:space="preserve">万向脚轮、止轮臂、滚筒、液压收缩器、脚踏板、安全插销。</w:t>
            </w:r>
            <w:r>
              <w:rPr>
                <w:rFonts w:eastAsia="方正楷体_GBK"/>
                <w:szCs w:val="21"/>
                <w:highlight w:val="none"/>
              </w:rPr>
            </w:r>
            <w:r/>
          </w:p>
        </w:tc>
        <w:tc>
          <w:tcPr>
            <w:tcW w:w="876" w:type="dxa"/>
            <w:vAlign w:val="center"/>
            <w:textDirection w:val="lrTb"/>
            <w:noWrap w:val="false"/>
          </w:tcPr>
          <w:p>
            <w:pPr>
              <w:pStyle w:val="893"/>
              <w:jc w:val="center"/>
              <w:keepNext/>
              <w:rPr>
                <w:rFonts w:eastAsia="方正楷体_GBK"/>
                <w:szCs w:val="21"/>
                <w:highlight w:val="none"/>
              </w:rPr>
              <w:framePr w:vAnchor="margin" w:hAnchor="page" w:xAlign="center" w:y="1"/>
            </w:pPr>
            <w:r>
              <w:rPr>
                <w:rFonts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eastAsia="方正楷体_GBK"/>
                <w:szCs w:val="21"/>
                <w:highlight w:val="none"/>
              </w:rPr>
              <w:t xml:space="preserve">1</w:t>
            </w:r>
            <w:r>
              <w:rPr>
                <w:rFonts w:hint="eastAsia" w:eastAsia="方正楷体_GBK"/>
                <w:szCs w:val="21"/>
                <w:highlight w:val="none"/>
              </w:rPr>
              <w:t xml:space="preserve">40</w:t>
            </w:r>
            <w:r>
              <w:rPr>
                <w:rFonts w:eastAsia="方正楷体_GBK"/>
                <w:szCs w:val="21"/>
                <w:highlight w:val="none"/>
              </w:rPr>
              <w:t xml:space="preserve">套</w:t>
            </w:r>
            <w:r>
              <w:rPr>
                <w:rFonts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1800元/套</w:t>
            </w:r>
            <w:r>
              <w:rPr>
                <w:rFonts w:eastAsia="方正楷体_GBK"/>
                <w:szCs w:val="21"/>
                <w:highlight w:val="none"/>
              </w:rPr>
            </w:r>
            <w:r/>
          </w:p>
        </w:tc>
      </w:tr>
      <w:tr>
        <w:trPr/>
        <w:tc>
          <w:tcPr>
            <w:tcW w:w="588"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t xml:space="preserve">8</w:t>
            </w:r>
            <w:r>
              <w:rPr>
                <w:rFonts w:hint="eastAsia" w:eastAsia="方正楷体_GBK"/>
                <w:szCs w:val="21"/>
                <w:highlight w:val="none"/>
              </w:rPr>
            </w:r>
            <w:r/>
          </w:p>
        </w:tc>
        <w:tc>
          <w:tcPr>
            <w:tcW w:w="2022" w:type="dxa"/>
            <w:vAlign w:val="center"/>
            <w:textDirection w:val="lrTb"/>
            <w:noWrap w:val="false"/>
          </w:tcPr>
          <w:p>
            <w:pPr>
              <w:pStyle w:val="893"/>
              <w:jc w:val="left"/>
              <w:keepNext/>
              <w:rPr>
                <w:rFonts w:eastAsia="方正楷体_GBK"/>
                <w:szCs w:val="21"/>
                <w:highlight w:val="none"/>
              </w:rPr>
              <w:framePr w:vAnchor="margin" w:hAnchor="page" w:xAlign="center" w:y="1"/>
            </w:pPr>
            <w:r>
              <w:rPr>
                <w:rFonts w:hint="eastAsia" w:eastAsia="方正楷体_GBK"/>
                <w:b/>
                <w:szCs w:val="21"/>
                <w:highlight w:val="none"/>
              </w:rPr>
              <w:t xml:space="preserve">大型</w:t>
            </w:r>
            <w:r>
              <w:rPr>
                <w:rFonts w:eastAsia="方正楷体_GBK"/>
                <w:b/>
                <w:szCs w:val="21"/>
                <w:highlight w:val="none"/>
              </w:rPr>
              <w:t xml:space="preserve">灭火毯</w:t>
            </w:r>
            <w:r>
              <w:rPr>
                <w:rFonts w:eastAsia="方正楷体_GBK"/>
                <w:szCs w:val="21"/>
                <w:highlight w:val="none"/>
              </w:rPr>
            </w:r>
            <w:r/>
          </w:p>
        </w:tc>
        <w:tc>
          <w:tcPr>
            <w:tcW w:w="3216" w:type="dxa"/>
            <w:vAlign w:val="center"/>
            <w:textDirection w:val="lrTb"/>
            <w:noWrap w:val="false"/>
          </w:tcPr>
          <w:p>
            <w:pPr>
              <w:pStyle w:val="893"/>
              <w:jc w:val="left"/>
              <w:keepNext/>
              <w:rPr>
                <w:rFonts w:hint="eastAsia" w:eastAsia="方正楷体_GBK"/>
                <w:color w:val="000000"/>
                <w:szCs w:val="21"/>
                <w:highlight w:val="none"/>
              </w:rPr>
              <w:framePr w:vAnchor="margin" w:hAnchor="page" w:xAlign="center" w:y="1"/>
            </w:pPr>
            <w:r>
              <w:rPr>
                <w:rFonts w:hint="eastAsia" w:eastAsia="方正楷体_GBK"/>
                <w:color w:val="000000"/>
                <w:szCs w:val="21"/>
                <w:highlight w:val="none"/>
              </w:rPr>
              <w:t xml:space="preserve">★1、</w:t>
            </w:r>
            <w:r>
              <w:rPr>
                <w:rFonts w:eastAsia="方正楷体_GBK"/>
                <w:color w:val="000000"/>
                <w:szCs w:val="21"/>
                <w:highlight w:val="none"/>
              </w:rPr>
              <w:t xml:space="preserve">产品</w:t>
            </w:r>
            <w:r>
              <w:rPr>
                <w:rFonts w:hint="eastAsia" w:eastAsia="方正楷体_GBK"/>
                <w:color w:val="000000"/>
                <w:szCs w:val="21"/>
                <w:highlight w:val="none"/>
              </w:rPr>
              <w:t xml:space="preserve">符合XF 1205-2014《灭火毯》的标准要求。</w:t>
            </w:r>
            <w:r>
              <w:rPr>
                <w:rFonts w:hint="eastAsia" w:eastAsia="方正楷体_GBK"/>
                <w:b/>
                <w:bCs/>
                <w:color w:val="000000"/>
                <w:szCs w:val="21"/>
                <w:highlight w:val="none"/>
              </w:rPr>
              <w:t xml:space="preserve">（提供省级及以上或国家认可的第三方检测检验机构出具的检验</w:t>
            </w:r>
            <w:r>
              <w:rPr>
                <w:rFonts w:hint="eastAsia" w:eastAsia="方正楷体_GBK"/>
                <w:b/>
                <w:bCs/>
                <w:szCs w:val="21"/>
                <w:highlight w:val="none"/>
              </w:rPr>
              <w:t xml:space="preserve">合格</w:t>
            </w:r>
            <w:r>
              <w:rPr>
                <w:rFonts w:hint="eastAsia" w:eastAsia="方正楷体_GBK"/>
                <w:b/>
                <w:bCs/>
                <w:color w:val="000000"/>
                <w:szCs w:val="21"/>
                <w:highlight w:val="none"/>
              </w:rPr>
              <w:t xml:space="preserve">报告，且报告应完整有效，</w:t>
            </w:r>
            <w:r>
              <w:rPr>
                <w:rFonts w:hint="eastAsia" w:eastAsia="方正楷体_GBK"/>
                <w:b/>
                <w:szCs w:val="21"/>
                <w:highlight w:val="none"/>
              </w:rPr>
              <w:t xml:space="preserve">未提供或不能证明的作无效投标处理</w:t>
            </w:r>
            <w:r>
              <w:rPr>
                <w:rFonts w:hint="eastAsia" w:eastAsia="方正楷体_GBK"/>
                <w:color w:val="000000"/>
                <w:szCs w:val="21"/>
                <w:highlight w:val="none"/>
              </w:rPr>
              <w:t xml:space="preserve">）</w:t>
            </w:r>
            <w:r>
              <w:rPr>
                <w:rFonts w:hint="eastAsia" w:eastAsia="方正楷体_GBK"/>
                <w:color w:val="000000"/>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2、尺寸≥6M*8M</w:t>
            </w:r>
            <w:r>
              <w:rPr>
                <w:rFonts w:hint="eastAsia" w:eastAsia="方正楷体_GBK"/>
                <w:szCs w:val="21"/>
                <w:highlight w:val="none"/>
              </w:rPr>
              <w:t xml:space="preserve">。</w:t>
            </w:r>
            <w:r>
              <w:rPr>
                <w:rFonts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280</w:t>
            </w:r>
            <w:r>
              <w:rPr>
                <w:rFonts w:eastAsia="方正楷体_GBK"/>
                <w:szCs w:val="21"/>
                <w:highlight w:val="none"/>
              </w:rPr>
              <w:t xml:space="preserve">个</w:t>
            </w:r>
            <w:r>
              <w:rPr>
                <w:rFonts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500元/个</w:t>
            </w:r>
            <w:r>
              <w:rPr>
                <w:rFonts w:eastAsia="方正楷体_GBK"/>
                <w:szCs w:val="21"/>
                <w:highlight w:val="none"/>
              </w:rPr>
            </w:r>
            <w:r/>
          </w:p>
        </w:tc>
      </w:tr>
      <w:tr>
        <w:trPr/>
        <w:tc>
          <w:tcPr>
            <w:tcW w:w="588"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t xml:space="preserve">9</w:t>
            </w:r>
            <w:r>
              <w:rPr>
                <w:rFonts w:hint="eastAsia" w:eastAsia="方正楷体_GBK"/>
                <w:szCs w:val="21"/>
                <w:highlight w:val="none"/>
              </w:rPr>
            </w:r>
            <w:r/>
          </w:p>
        </w:tc>
        <w:tc>
          <w:tcPr>
            <w:tcW w:w="2022"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b/>
                <w:szCs w:val="21"/>
                <w:highlight w:val="none"/>
              </w:rPr>
              <w:t xml:space="preserve">扩音喇叭</w:t>
            </w:r>
            <w:r>
              <w:rPr>
                <w:rFonts w:eastAsia="方正楷体_GBK"/>
                <w:szCs w:val="21"/>
                <w:highlight w:val="none"/>
              </w:rPr>
            </w:r>
            <w:r/>
          </w:p>
        </w:tc>
        <w:tc>
          <w:tcPr>
            <w:tcW w:w="3216" w:type="dxa"/>
            <w:vAlign w:val="center"/>
            <w:textDirection w:val="lrTb"/>
            <w:noWrap w:val="false"/>
          </w:tcPr>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1、</w:t>
            </w:r>
            <w:r>
              <w:rPr>
                <w:rFonts w:eastAsia="方正楷体_GBK"/>
                <w:szCs w:val="21"/>
                <w:highlight w:val="none"/>
              </w:rPr>
              <w:t xml:space="preserve">功能：扩音、警报、哨音、录音等 </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2、</w:t>
            </w:r>
            <w:r>
              <w:rPr>
                <w:rFonts w:eastAsia="方正楷体_GBK"/>
                <w:szCs w:val="21"/>
                <w:highlight w:val="none"/>
              </w:rPr>
              <w:t xml:space="preserve">电池</w:t>
            </w:r>
            <w:r>
              <w:rPr>
                <w:rFonts w:hint="eastAsia" w:eastAsia="方正楷体_GBK"/>
                <w:szCs w:val="21"/>
                <w:highlight w:val="none"/>
              </w:rPr>
              <w:t xml:space="preserve">：</w:t>
            </w:r>
            <w:r>
              <w:rPr>
                <w:rFonts w:eastAsia="方正楷体_GBK"/>
                <w:szCs w:val="21"/>
                <w:highlight w:val="none"/>
              </w:rPr>
              <w:t xml:space="preserve">3.7-4.7V </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3、</w:t>
            </w:r>
            <w:r>
              <w:rPr>
                <w:rFonts w:eastAsia="方正楷体_GBK"/>
                <w:szCs w:val="21"/>
                <w:highlight w:val="none"/>
              </w:rPr>
              <w:t xml:space="preserve">功率：</w:t>
            </w:r>
            <w:r>
              <w:rPr>
                <w:rFonts w:hint="eastAsia" w:eastAsia="方正楷体_GBK"/>
                <w:szCs w:val="21"/>
                <w:highlight w:val="none"/>
              </w:rPr>
              <w:t xml:space="preserve">≥</w:t>
            </w:r>
            <w:r>
              <w:rPr>
                <w:rFonts w:eastAsia="方正楷体_GBK"/>
                <w:szCs w:val="21"/>
                <w:highlight w:val="none"/>
              </w:rPr>
              <w:t xml:space="preserve">15w； </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4、</w:t>
            </w:r>
            <w:r>
              <w:rPr>
                <w:rFonts w:eastAsia="方正楷体_GBK"/>
                <w:szCs w:val="21"/>
                <w:highlight w:val="none"/>
              </w:rPr>
              <w:t xml:space="preserve">指示灯功率：≥0.5w（LED）； </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5、</w:t>
            </w:r>
            <w:r>
              <w:rPr>
                <w:rFonts w:eastAsia="方正楷体_GBK"/>
                <w:szCs w:val="21"/>
                <w:highlight w:val="none"/>
              </w:rPr>
              <w:t xml:space="preserve">录音时长：≥270秒； </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6、</w:t>
            </w:r>
            <w:r>
              <w:rPr>
                <w:rFonts w:eastAsia="方正楷体_GBK"/>
                <w:szCs w:val="21"/>
                <w:highlight w:val="none"/>
              </w:rPr>
              <w:t xml:space="preserve">频率：50HZ-20KHZ; </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7、</w:t>
            </w:r>
            <w:r>
              <w:rPr>
                <w:rFonts w:eastAsia="方正楷体_GBK"/>
                <w:szCs w:val="21"/>
                <w:highlight w:val="none"/>
              </w:rPr>
              <w:t xml:space="preserve">传送距离：＞</w:t>
            </w:r>
            <w:r>
              <w:rPr>
                <w:rFonts w:hint="eastAsia" w:eastAsia="方正楷体_GBK"/>
                <w:szCs w:val="21"/>
                <w:highlight w:val="none"/>
              </w:rPr>
              <w:t xml:space="preserve">1</w:t>
            </w:r>
            <w:r>
              <w:rPr>
                <w:rFonts w:eastAsia="方正楷体_GBK"/>
                <w:szCs w:val="21"/>
                <w:highlight w:val="none"/>
              </w:rPr>
              <w:t xml:space="preserve">00m； </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8、</w:t>
            </w:r>
            <w:r>
              <w:rPr>
                <w:rFonts w:eastAsia="方正楷体_GBK"/>
                <w:szCs w:val="21"/>
                <w:highlight w:val="none"/>
              </w:rPr>
              <w:t xml:space="preserve">规格：长 210±10mm 宽 130±10mm； </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9、</w:t>
            </w:r>
            <w:r>
              <w:rPr>
                <w:rFonts w:eastAsia="方正楷体_GBK"/>
                <w:szCs w:val="21"/>
                <w:highlight w:val="none"/>
              </w:rPr>
              <w:t xml:space="preserve">重量：≤620g（含</w:t>
            </w:r>
            <w:r>
              <w:rPr>
                <w:rFonts w:hint="eastAsia" w:eastAsia="方正楷体_GBK"/>
                <w:szCs w:val="21"/>
                <w:highlight w:val="none"/>
              </w:rPr>
              <w:t xml:space="preserve">可充电</w:t>
            </w:r>
            <w:r>
              <w:rPr>
                <w:rFonts w:eastAsia="方正楷体_GBK"/>
                <w:szCs w:val="21"/>
                <w:highlight w:val="none"/>
              </w:rPr>
              <w:t xml:space="preserve">锂电池） </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10、</w:t>
            </w:r>
            <w:r>
              <w:rPr>
                <w:rFonts w:eastAsia="方正楷体_GBK"/>
                <w:szCs w:val="21"/>
                <w:highlight w:val="none"/>
              </w:rPr>
              <w:t xml:space="preserve">持续使用时间：≥6h，材质：ABS工程塑料或更优材质</w:t>
            </w:r>
            <w:r>
              <w:rPr>
                <w:rFonts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180</w:t>
            </w:r>
            <w:r>
              <w:rPr>
                <w:rFonts w:eastAsia="方正楷体_GBK"/>
                <w:szCs w:val="21"/>
                <w:highlight w:val="none"/>
              </w:rPr>
              <w:t xml:space="preserve">台</w:t>
            </w:r>
            <w:r>
              <w:rPr>
                <w:rFonts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240元/个</w:t>
            </w:r>
            <w:r>
              <w:rPr>
                <w:rFonts w:eastAsia="方正楷体_GBK"/>
                <w:szCs w:val="21"/>
                <w:highlight w:val="none"/>
              </w:rPr>
            </w:r>
            <w:r/>
          </w:p>
        </w:tc>
      </w:tr>
      <w:tr>
        <w:trPr/>
        <w:tc>
          <w:tcPr>
            <w:tcW w:w="588" w:type="dxa"/>
            <w:vAlign w:val="center"/>
            <w:textDirection w:val="lrTb"/>
            <w:noWrap w:val="false"/>
          </w:tcPr>
          <w:p>
            <w:pPr>
              <w:pStyle w:val="893"/>
              <w:jc w:val="center"/>
              <w:keepNext/>
              <w:rPr>
                <w:rFonts w:eastAsia="方正楷体_GBK"/>
                <w:szCs w:val="21"/>
                <w:highlight w:val="none"/>
              </w:rPr>
              <w:framePr w:vAnchor="margin" w:hAnchor="page" w:xAlign="center" w:y="1"/>
            </w:pPr>
            <w:r>
              <w:rPr>
                <w:rFonts w:hint="eastAsia" w:eastAsia="方正楷体_GBK"/>
                <w:szCs w:val="21"/>
                <w:highlight w:val="none"/>
              </w:rPr>
              <w:t xml:space="preserve">10</w:t>
            </w:r>
            <w:r>
              <w:rPr>
                <w:rFonts w:eastAsia="方正楷体_GBK"/>
                <w:szCs w:val="21"/>
                <w:highlight w:val="none"/>
              </w:rPr>
            </w:r>
            <w:r/>
          </w:p>
        </w:tc>
        <w:tc>
          <w:tcPr>
            <w:tcW w:w="2022"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b/>
                <w:szCs w:val="21"/>
                <w:highlight w:val="none"/>
              </w:rPr>
              <w:t xml:space="preserve">伸缩捞钩</w:t>
            </w:r>
            <w:r>
              <w:rPr>
                <w:rFonts w:eastAsia="方正楷体_GBK"/>
                <w:szCs w:val="21"/>
                <w:highlight w:val="none"/>
              </w:rPr>
            </w:r>
            <w:r/>
          </w:p>
        </w:tc>
        <w:tc>
          <w:tcPr>
            <w:tcW w:w="3216" w:type="dxa"/>
            <w:vAlign w:val="center"/>
            <w:textDirection w:val="lrTb"/>
            <w:noWrap w:val="false"/>
          </w:tcPr>
          <w:p>
            <w:pPr>
              <w:pStyle w:val="893"/>
              <w:jc w:val="left"/>
              <w:keepNext/>
              <w:rPr>
                <w:rFonts w:eastAsia="方正楷体_GBK"/>
                <w:szCs w:val="21"/>
                <w:highlight w:val="none"/>
              </w:rPr>
              <w:framePr w:vAnchor="margin" w:hAnchor="page" w:xAlign="center" w:y="1"/>
            </w:pPr>
            <w:r>
              <w:rPr>
                <w:rFonts w:hAnsi="Arial" w:eastAsia="方正楷体_GBK" w:cs="Arial"/>
                <w:szCs w:val="21"/>
                <w:highlight w:val="none"/>
              </w:rPr>
              <w:t xml:space="preserve">▲</w:t>
            </w:r>
            <w:r>
              <w:rPr>
                <w:rFonts w:hint="eastAsia" w:eastAsia="方正楷体_GBK"/>
                <w:szCs w:val="21"/>
                <w:highlight w:val="none"/>
              </w:rPr>
              <w:t xml:space="preserve">1</w:t>
            </w:r>
            <w:r>
              <w:rPr>
                <w:rFonts w:eastAsia="方正楷体_GBK"/>
                <w:szCs w:val="21"/>
                <w:highlight w:val="none"/>
              </w:rPr>
              <w:t xml:space="preserve">、材质：不锈钢；</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Ansi="Arial" w:eastAsia="方正楷体_GBK" w:cs="Arial"/>
                <w:szCs w:val="21"/>
                <w:highlight w:val="none"/>
              </w:rPr>
              <w:t xml:space="preserve">▲</w:t>
            </w:r>
            <w:r>
              <w:rPr>
                <w:rFonts w:hint="eastAsia" w:eastAsia="方正楷体_GBK"/>
                <w:szCs w:val="21"/>
                <w:highlight w:val="none"/>
              </w:rPr>
              <w:t xml:space="preserve">2</w:t>
            </w:r>
            <w:r>
              <w:rPr>
                <w:rFonts w:eastAsia="方正楷体_GBK"/>
                <w:szCs w:val="21"/>
                <w:highlight w:val="none"/>
              </w:rPr>
              <w:t xml:space="preserve">、展开长度：≥3m；</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Ansi="Arial" w:eastAsia="方正楷体_GBK" w:cs="Arial"/>
                <w:szCs w:val="21"/>
                <w:highlight w:val="none"/>
              </w:rPr>
              <w:t xml:space="preserve">▲</w:t>
            </w:r>
            <w:r>
              <w:rPr>
                <w:rFonts w:hint="eastAsia" w:eastAsia="方正楷体_GBK"/>
                <w:szCs w:val="21"/>
                <w:highlight w:val="none"/>
              </w:rPr>
              <w:t xml:space="preserve">3</w:t>
            </w:r>
            <w:r>
              <w:rPr>
                <w:rFonts w:eastAsia="方正楷体_GBK"/>
                <w:szCs w:val="21"/>
                <w:highlight w:val="none"/>
              </w:rPr>
              <w:t xml:space="preserve">、收缩长度：≤1.5m。</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4</w:t>
            </w:r>
            <w:r>
              <w:rPr>
                <w:rFonts w:eastAsia="方正楷体_GBK"/>
                <w:szCs w:val="21"/>
                <w:highlight w:val="none"/>
              </w:rPr>
              <w:t xml:space="preserve">、承重强度：绝缘消防火钩连接件抗拉离性能：≥ 1kN（中部断裂)</w:t>
            </w:r>
            <w:r>
              <w:rPr>
                <w:rFonts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320</w:t>
            </w:r>
            <w:r>
              <w:rPr>
                <w:rFonts w:eastAsia="方正楷体_GBK"/>
                <w:szCs w:val="21"/>
                <w:highlight w:val="none"/>
              </w:rPr>
              <w:t xml:space="preserve">把</w:t>
            </w:r>
            <w:r>
              <w:rPr>
                <w:rFonts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120元/个</w:t>
            </w:r>
            <w:r>
              <w:rPr>
                <w:rFonts w:eastAsia="方正楷体_GBK"/>
                <w:szCs w:val="21"/>
                <w:highlight w:val="none"/>
              </w:rPr>
            </w:r>
            <w:r/>
          </w:p>
        </w:tc>
      </w:tr>
      <w:tr>
        <w:trPr/>
        <w:tc>
          <w:tcPr>
            <w:tcW w:w="588" w:type="dxa"/>
            <w:vAlign w:val="center"/>
            <w:textDirection w:val="lrTb"/>
            <w:noWrap w:val="false"/>
          </w:tcPr>
          <w:p>
            <w:pPr>
              <w:pStyle w:val="893"/>
              <w:jc w:val="center"/>
              <w:keepNext/>
              <w:rPr>
                <w:rFonts w:eastAsia="方正楷体_GBK"/>
                <w:szCs w:val="21"/>
                <w:highlight w:val="none"/>
              </w:rPr>
              <w:framePr w:vAnchor="margin" w:hAnchor="page" w:xAlign="center" w:y="1"/>
            </w:pPr>
            <w:r>
              <w:rPr>
                <w:rFonts w:hint="eastAsia" w:eastAsia="方正楷体_GBK"/>
                <w:szCs w:val="21"/>
                <w:highlight w:val="none"/>
              </w:rPr>
              <w:t xml:space="preserve">11</w:t>
            </w:r>
            <w:r>
              <w:rPr>
                <w:rFonts w:eastAsia="方正楷体_GBK"/>
                <w:szCs w:val="21"/>
                <w:highlight w:val="none"/>
              </w:rPr>
            </w:r>
            <w:r/>
          </w:p>
        </w:tc>
        <w:tc>
          <w:tcPr>
            <w:tcW w:w="2022"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b/>
                <w:szCs w:val="21"/>
                <w:highlight w:val="none"/>
              </w:rPr>
              <w:t xml:space="preserve">强光手电筒</w:t>
            </w:r>
            <w:r>
              <w:rPr>
                <w:rFonts w:eastAsia="方正楷体_GBK"/>
                <w:szCs w:val="21"/>
                <w:highlight w:val="none"/>
              </w:rPr>
            </w:r>
            <w:r/>
          </w:p>
        </w:tc>
        <w:tc>
          <w:tcPr>
            <w:tcW w:w="3216" w:type="dxa"/>
            <w:vAlign w:val="center"/>
            <w:textDirection w:val="lrTb"/>
            <w:noWrap w:val="false"/>
          </w:tcPr>
          <w:p>
            <w:pPr>
              <w:pStyle w:val="893"/>
              <w:jc w:val="left"/>
              <w:keepNext/>
              <w:rPr>
                <w:rFonts w:hint="eastAsia" w:eastAsia="方正楷体_GBK"/>
                <w:szCs w:val="21"/>
                <w:highlight w:val="none"/>
              </w:rPr>
              <w:framePr w:vAnchor="margin" w:hAnchor="page" w:xAlign="center" w:y="1"/>
            </w:pPr>
            <w:r>
              <w:rPr>
                <w:rFonts w:hint="eastAsia" w:eastAsia="方正楷体_GBK"/>
                <w:szCs w:val="21"/>
                <w:highlight w:val="none"/>
              </w:rPr>
              <w:t xml:space="preserve">▲1、充电锂电池，容量≥2000Mah；</w:t>
            </w:r>
            <w:r>
              <w:rPr>
                <w:rFonts w:hint="eastAsia" w:eastAsia="方正楷体_GBK"/>
                <w:szCs w:val="21"/>
                <w:highlight w:val="none"/>
              </w:rPr>
            </w:r>
            <w:r/>
          </w:p>
          <w:p>
            <w:pPr>
              <w:pStyle w:val="893"/>
              <w:jc w:val="left"/>
              <w:keepNext/>
              <w:rPr>
                <w:rFonts w:hint="eastAsia" w:eastAsia="方正楷体_GBK"/>
                <w:szCs w:val="21"/>
                <w:highlight w:val="none"/>
              </w:rPr>
              <w:framePr w:vAnchor="margin" w:hAnchor="page" w:xAlign="center" w:y="1"/>
            </w:pPr>
            <w:r>
              <w:rPr>
                <w:rFonts w:hint="eastAsia" w:eastAsia="方正楷体_GBK"/>
                <w:szCs w:val="21"/>
                <w:highlight w:val="none"/>
              </w:rPr>
              <w:t xml:space="preserve">▲2、充电次数≥500次；</w:t>
            </w:r>
            <w:r>
              <w:rPr>
                <w:rFonts w:hint="eastAsia" w:eastAsia="方正楷体_GBK"/>
                <w:szCs w:val="21"/>
                <w:highlight w:val="none"/>
              </w:rPr>
            </w:r>
            <w:r/>
          </w:p>
          <w:p>
            <w:pPr>
              <w:pStyle w:val="893"/>
              <w:jc w:val="left"/>
              <w:keepNext/>
              <w:rPr>
                <w:rFonts w:hint="eastAsia" w:eastAsia="方正楷体_GBK"/>
                <w:szCs w:val="21"/>
                <w:highlight w:val="none"/>
              </w:rPr>
              <w:framePr w:vAnchor="margin" w:hAnchor="page" w:xAlign="center" w:y="1"/>
            </w:pPr>
            <w:r>
              <w:rPr>
                <w:rFonts w:hint="eastAsia" w:eastAsia="方正楷体_GBK"/>
                <w:szCs w:val="21"/>
                <w:highlight w:val="none"/>
              </w:rPr>
              <w:t xml:space="preserve">3、功能要求：灯具应具有强、弱光切换功能；灯具应具有低电压告警功能；</w:t>
            </w:r>
            <w:r>
              <w:rPr>
                <w:rFonts w:hint="eastAsia" w:eastAsia="方正楷体_GBK"/>
                <w:szCs w:val="21"/>
                <w:highlight w:val="none"/>
              </w:rPr>
            </w:r>
            <w:r/>
          </w:p>
          <w:p>
            <w:pPr>
              <w:pStyle w:val="893"/>
              <w:jc w:val="left"/>
              <w:keepNext/>
              <w:rPr>
                <w:rFonts w:hint="eastAsia" w:eastAsia="方正楷体_GBK"/>
                <w:szCs w:val="21"/>
                <w:highlight w:val="none"/>
              </w:rPr>
              <w:framePr w:vAnchor="margin" w:hAnchor="page" w:xAlign="center" w:y="1"/>
            </w:pPr>
            <w:r>
              <w:rPr>
                <w:rFonts w:hint="eastAsia" w:eastAsia="方正楷体_GBK"/>
                <w:szCs w:val="21"/>
                <w:highlight w:val="none"/>
              </w:rPr>
              <w:t xml:space="preserve">4、额定亮度≥800流明；工作时间：聚光强光≥4h，聚光工作光≥8h。</w:t>
            </w:r>
            <w:r>
              <w:rPr>
                <w:rFonts w:hint="eastAsia" w:eastAsia="方正楷体_GBK"/>
                <w:szCs w:val="21"/>
                <w:highlight w:val="none"/>
              </w:rPr>
            </w:r>
            <w:r/>
          </w:p>
          <w:p>
            <w:pPr>
              <w:pStyle w:val="893"/>
              <w:jc w:val="left"/>
              <w:keepNext/>
              <w:rPr>
                <w:rFonts w:hint="eastAsia" w:eastAsia="方正楷体_GBK"/>
                <w:szCs w:val="21"/>
                <w:highlight w:val="none"/>
              </w:rPr>
              <w:framePr w:vAnchor="margin" w:hAnchor="page" w:xAlign="center" w:y="1"/>
            </w:pPr>
            <w:r>
              <w:rPr>
                <w:rFonts w:hint="eastAsia" w:eastAsia="方正楷体_GBK"/>
                <w:szCs w:val="21"/>
                <w:highlight w:val="none"/>
              </w:rPr>
              <w:t xml:space="preserve">5、灯具可手提、肩挎二种携带方式。</w:t>
            </w:r>
            <w:r>
              <w:rPr>
                <w:rFonts w:hint="eastAsia" w:eastAsia="方正楷体_GBK"/>
                <w:szCs w:val="21"/>
                <w:highlight w:val="none"/>
              </w:rPr>
            </w:r>
            <w:r/>
          </w:p>
          <w:p>
            <w:pPr>
              <w:pStyle w:val="893"/>
              <w:jc w:val="left"/>
              <w:keepNext/>
              <w:rPr>
                <w:rFonts w:hint="eastAsia" w:eastAsia="方正楷体_GBK"/>
                <w:szCs w:val="21"/>
                <w:highlight w:val="none"/>
              </w:rPr>
              <w:framePr w:vAnchor="margin" w:hAnchor="page" w:xAlign="center" w:y="1"/>
            </w:pPr>
            <w:r>
              <w:rPr>
                <w:rFonts w:hint="eastAsia" w:eastAsia="方正楷体_GBK"/>
                <w:szCs w:val="21"/>
                <w:highlight w:val="none"/>
              </w:rPr>
              <w:t xml:space="preserve">6、灯具需采用快充设计，整体充电时间不大于4h。</w:t>
            </w:r>
            <w:r>
              <w:rPr>
                <w:rFonts w:hint="eastAsia"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hint="eastAsia" w:eastAsia="方正楷体_GBK"/>
                <w:szCs w:val="21"/>
                <w:highlight w:val="none"/>
              </w:rPr>
              <w:framePr w:vAnchor="margin" w:hAnchor="page" w:xAlign="center" w:y="1"/>
            </w:pPr>
            <w:r>
              <w:rPr>
                <w:rFonts w:hint="eastAsia" w:eastAsia="方正楷体_GBK"/>
                <w:szCs w:val="21"/>
                <w:highlight w:val="none"/>
              </w:rPr>
              <w:t xml:space="preserve">140</w:t>
            </w:r>
            <w:r>
              <w:rPr>
                <w:rFonts w:eastAsia="方正楷体_GBK"/>
                <w:szCs w:val="21"/>
                <w:highlight w:val="none"/>
              </w:rPr>
              <w:t xml:space="preserve">个</w:t>
            </w:r>
            <w:r>
              <w:rPr>
                <w:rFonts w:hint="eastAsia"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200元/个</w:t>
            </w:r>
            <w:r>
              <w:rPr>
                <w:rFonts w:eastAsia="方正楷体_GBK"/>
                <w:szCs w:val="21"/>
                <w:highlight w:val="none"/>
              </w:rPr>
            </w:r>
            <w:r/>
          </w:p>
        </w:tc>
      </w:tr>
      <w:tr>
        <w:trPr/>
        <w:tc>
          <w:tcPr>
            <w:gridSpan w:val="2"/>
            <w:tcW w:w="2610" w:type="dxa"/>
            <w:vAlign w:val="center"/>
            <w:textDirection w:val="lrTb"/>
            <w:noWrap w:val="false"/>
          </w:tcPr>
          <w:p>
            <w:pPr>
              <w:pStyle w:val="893"/>
              <w:jc w:val="center"/>
              <w:keepNext/>
              <w:rPr>
                <w:rFonts w:eastAsia="方正楷体_GBK"/>
                <w:b/>
                <w:szCs w:val="21"/>
                <w:highlight w:val="none"/>
              </w:rPr>
              <w:framePr w:vAnchor="margin" w:hAnchor="page" w:xAlign="center" w:y="1"/>
            </w:pPr>
            <w:r>
              <w:rPr>
                <w:rFonts w:eastAsia="方正楷体_GBK"/>
                <w:b/>
                <w:szCs w:val="21"/>
                <w:highlight w:val="none"/>
              </w:rPr>
              <w:t xml:space="preserve">合计</w:t>
            </w:r>
            <w:r>
              <w:rPr>
                <w:rFonts w:eastAsia="方正楷体_GBK"/>
                <w:b/>
                <w:szCs w:val="21"/>
                <w:highlight w:val="none"/>
              </w:rPr>
            </w:r>
            <w:r/>
          </w:p>
        </w:tc>
        <w:tc>
          <w:tcPr>
            <w:tcW w:w="3216" w:type="dxa"/>
            <w:vAlign w:val="center"/>
            <w:textDirection w:val="lrTb"/>
            <w:noWrap w:val="false"/>
          </w:tcPr>
          <w:p>
            <w:pPr>
              <w:pStyle w:val="893"/>
              <w:jc w:val="left"/>
              <w:keepNext/>
              <w:rPr>
                <w:rFonts w:hint="eastAsia" w:eastAsia="方正楷体_GBK"/>
                <w:b/>
                <w:szCs w:val="21"/>
                <w:highlight w:val="none"/>
              </w:rPr>
              <w:framePr w:vAnchor="margin" w:hAnchor="page" w:xAlign="center" w:y="1"/>
            </w:pPr>
            <w:r>
              <w:rPr>
                <w:rFonts w:hint="eastAsia" w:eastAsia="方正楷体_GBK"/>
                <w:b/>
                <w:szCs w:val="21"/>
                <w:highlight w:val="none"/>
              </w:rPr>
              <w:t xml:space="preserve">贰佰玖拾万柒仟陆佰元整</w:t>
            </w:r>
            <w:r>
              <w:rPr>
                <w:rFonts w:hint="eastAsia" w:eastAsia="方正楷体_GBK"/>
                <w:b/>
                <w:szCs w:val="21"/>
                <w:highlight w:val="none"/>
              </w:rPr>
            </w:r>
            <w:r/>
          </w:p>
        </w:tc>
        <w:tc>
          <w:tcPr>
            <w:tcW w:w="876" w:type="dxa"/>
            <w:vAlign w:val="center"/>
            <w:textDirection w:val="lrTb"/>
            <w:noWrap w:val="false"/>
          </w:tcPr>
          <w:p>
            <w:pPr>
              <w:pStyle w:val="893"/>
              <w:jc w:val="left"/>
              <w:keepNext/>
              <w:rPr>
                <w:rFonts w:hint="eastAsia" w:eastAsia="方正楷体_GBK"/>
                <w:b/>
                <w:szCs w:val="21"/>
                <w:highlight w:val="none"/>
              </w:rPr>
              <w:framePr w:vAnchor="margin" w:hAnchor="page" w:xAlign="center" w:y="1"/>
            </w:pPr>
            <w:r>
              <w:rPr>
                <w:rFonts w:hint="eastAsia" w:eastAsia="方正楷体_GBK"/>
                <w:b/>
                <w:szCs w:val="21"/>
                <w:highlight w:val="none"/>
              </w:rPr>
            </w:r>
            <w:r/>
          </w:p>
        </w:tc>
        <w:tc>
          <w:tcPr>
            <w:gridSpan w:val="2"/>
            <w:tcW w:w="2212" w:type="dxa"/>
            <w:vAlign w:val="center"/>
            <w:textDirection w:val="lrTb"/>
            <w:noWrap w:val="false"/>
          </w:tcPr>
          <w:p>
            <w:pPr>
              <w:pStyle w:val="893"/>
              <w:jc w:val="center"/>
              <w:keepNext/>
              <w:rPr>
                <w:rFonts w:hint="eastAsia" w:eastAsia="方正楷体_GBK"/>
                <w:b/>
                <w:szCs w:val="21"/>
                <w:highlight w:val="none"/>
              </w:rPr>
              <w:framePr w:vAnchor="margin" w:hAnchor="page" w:xAlign="center" w:y="1"/>
            </w:pPr>
            <w:r>
              <w:rPr>
                <w:rFonts w:hint="eastAsia" w:eastAsia="方正楷体_GBK"/>
                <w:b/>
                <w:szCs w:val="21"/>
                <w:highlight w:val="none"/>
              </w:rPr>
              <w:t xml:space="preserve">￥：2907600元</w:t>
            </w:r>
            <w:r>
              <w:rPr>
                <w:rFonts w:hint="eastAsia" w:eastAsia="方正楷体_GBK"/>
                <w:b/>
                <w:szCs w:val="21"/>
                <w:highlight w:val="none"/>
              </w:rPr>
            </w:r>
            <w:r/>
          </w:p>
        </w:tc>
      </w:tr>
    </w:tbl>
    <w:p>
      <w:pPr>
        <w:pStyle w:val="984"/>
        <w:rPr>
          <w:highlight w:val="none"/>
          <w:lang w:val="en-US" w:eastAsia="zh-CN"/>
        </w:rPr>
      </w:pPr>
      <w:r>
        <w:rPr>
          <w:highlight w:val="none"/>
          <w:lang w:val="en-US" w:eastAsia="zh-CN"/>
        </w:rPr>
      </w:r>
      <w:r/>
    </w:p>
    <w:p>
      <w:pPr>
        <w:pStyle w:val="893"/>
        <w:rPr>
          <w:highlight w:val="none"/>
          <w:lang w:val="en-US" w:eastAsia="zh-CN"/>
        </w:rPr>
      </w:pPr>
      <w:r>
        <w:rPr>
          <w:highlight w:val="none"/>
          <w:lang w:val="en-US" w:eastAsia="zh-CN"/>
        </w:rPr>
      </w:r>
      <w:r/>
    </w:p>
    <w:p>
      <w:pPr>
        <w:pStyle w:val="893"/>
        <w:ind w:firstLine="562"/>
        <w:spacing w:line="590" w:lineRule="exact"/>
        <w:rPr>
          <w:rFonts w:eastAsia="方正仿宋_GBK"/>
          <w:b/>
          <w:bCs/>
          <w:sz w:val="28"/>
          <w:szCs w:val="28"/>
          <w:highlight w:val="none"/>
        </w:rPr>
      </w:pPr>
      <w:r>
        <w:rPr>
          <w:rFonts w:hint="eastAsia" w:eastAsia="方正仿宋_GBK"/>
          <w:b/>
          <w:bCs/>
          <w:sz w:val="28"/>
          <w:szCs w:val="28"/>
          <w:highlight w:val="none"/>
        </w:rPr>
        <w:t xml:space="preserve">二、样品要求：</w:t>
      </w:r>
      <w:r>
        <w:rPr>
          <w:rFonts w:eastAsia="方正仿宋_GBK"/>
          <w:b/>
          <w:bCs/>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1、本次招标需提供与投标型号相同的便携式泡沫灭火装置样品实物；样品及技术参数要求详见招标文件</w:t>
      </w:r>
      <w:r>
        <w:rPr>
          <w:rFonts w:hint="eastAsia" w:eastAsia="方正仿宋_GBK"/>
          <w:sz w:val="28"/>
          <w:szCs w:val="28"/>
          <w:highlight w:val="none"/>
          <w:lang w:eastAsia="zh-CN"/>
        </w:rPr>
        <w:t xml:space="preserve">第五章项目</w:t>
      </w:r>
      <w:r>
        <w:rPr>
          <w:rFonts w:hint="eastAsia" w:eastAsia="方正仿宋_GBK"/>
          <w:sz w:val="28"/>
          <w:szCs w:val="28"/>
          <w:highlight w:val="none"/>
        </w:rPr>
        <w:t xml:space="preserve">采购需求。样品递交按</w:t>
      </w:r>
      <w:r>
        <w:rPr>
          <w:rFonts w:hint="eastAsia" w:eastAsia="方正仿宋_GBK"/>
          <w:sz w:val="28"/>
          <w:szCs w:val="28"/>
          <w:highlight w:val="none"/>
          <w:lang w:eastAsia="zh-CN"/>
        </w:rPr>
        <w:t xml:space="preserve">递交</w:t>
      </w:r>
      <w:r>
        <w:rPr>
          <w:rFonts w:hint="eastAsia" w:eastAsia="方正仿宋_GBK"/>
          <w:sz w:val="28"/>
          <w:szCs w:val="28"/>
          <w:highlight w:val="none"/>
        </w:rPr>
        <w:t xml:space="preserve">现场</w:t>
      </w:r>
      <w:r>
        <w:rPr>
          <w:rFonts w:hint="eastAsia" w:eastAsia="方正仿宋_GBK"/>
          <w:sz w:val="28"/>
          <w:szCs w:val="28"/>
          <w:highlight w:val="none"/>
          <w:lang w:eastAsia="zh-CN"/>
        </w:rPr>
        <w:t xml:space="preserve">的</w:t>
      </w:r>
      <w:r>
        <w:rPr>
          <w:rFonts w:hint="eastAsia" w:eastAsia="方正仿宋_GBK"/>
          <w:sz w:val="28"/>
          <w:szCs w:val="28"/>
          <w:highlight w:val="none"/>
        </w:rPr>
        <w:t xml:space="preserve">要求放置指定地点。</w:t>
      </w:r>
      <w:r>
        <w:rPr>
          <w:rFonts w:hint="eastAsia" w:eastAsia="方正仿宋_GBK"/>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2、</w:t>
      </w:r>
      <w:r>
        <w:rPr>
          <w:rFonts w:hint="eastAsia" w:eastAsia="方正仿宋_GBK"/>
          <w:sz w:val="28"/>
          <w:szCs w:val="28"/>
          <w:highlight w:val="none"/>
          <w:lang w:eastAsia="zh-CN"/>
        </w:rPr>
        <w:t xml:space="preserve">需提供样品</w:t>
      </w:r>
      <w:r>
        <w:rPr>
          <w:rFonts w:hint="eastAsia" w:eastAsia="方正仿宋_GBK"/>
          <w:sz w:val="28"/>
          <w:szCs w:val="28"/>
          <w:highlight w:val="none"/>
        </w:rPr>
        <w:t xml:space="preserve">实物电子照片。照片格式为.JPG，图片分辨率不得小于500万有效像素；样品实物照片至少包含样品的正面、背面、侧面45度角，清晰照片各三张，文件命名注明：器材（装备）名称、型号（实物照片U盘与样品一并提交）。</w:t>
      </w:r>
      <w:r>
        <w:rPr>
          <w:rFonts w:hint="eastAsia" w:eastAsia="方正仿宋_GBK"/>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3、提供样品配置清单或规格型号说明书，按包分别单独密封递交。</w:t>
      </w:r>
      <w:r>
        <w:rPr>
          <w:rFonts w:hint="eastAsia" w:eastAsia="方正仿宋_GBK"/>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4、样品的材质、式样及规格、型号须满足采购文件的实质性要求，并为检测合格的产品。评审结束确定中标人，退样品时，对已经中标的样品，核对该中标产品的电子图片、“样品配置清单或规格型号说明书”做为封样标准文件。实物样品按采购人通知的规定时间和地点由投标人自行取回，逾期未取后果自负。</w:t>
      </w:r>
      <w:r>
        <w:rPr>
          <w:rFonts w:hint="eastAsia" w:eastAsia="方正仿宋_GBK"/>
          <w:sz w:val="28"/>
          <w:szCs w:val="28"/>
          <w:highlight w:val="none"/>
        </w:rPr>
      </w:r>
      <w:r/>
    </w:p>
    <w:p>
      <w:pPr>
        <w:pStyle w:val="893"/>
        <w:ind w:firstLine="562"/>
        <w:spacing w:line="590" w:lineRule="exact"/>
        <w:rPr>
          <w:rFonts w:hint="eastAsia" w:eastAsia="方正仿宋_GBK"/>
          <w:b/>
          <w:bCs/>
          <w:sz w:val="28"/>
          <w:szCs w:val="28"/>
          <w:highlight w:val="none"/>
        </w:rPr>
      </w:pPr>
      <w:r>
        <w:rPr>
          <w:rFonts w:hint="eastAsia" w:eastAsia="方正仿宋_GBK"/>
          <w:b/>
          <w:bCs/>
          <w:sz w:val="28"/>
          <w:szCs w:val="28"/>
          <w:highlight w:val="none"/>
        </w:rPr>
        <w:t xml:space="preserve">注：所提供的样品不得出现投标单位名称及相关企事业单位名称、相关人员姓名等和其他可识别投标人身份的字符、徽标、企业logo、人员名称等。</w:t>
      </w:r>
      <w:r>
        <w:rPr>
          <w:rFonts w:hint="eastAsia" w:eastAsia="方正仿宋_GBK"/>
          <w:b/>
          <w:bCs/>
          <w:sz w:val="28"/>
          <w:szCs w:val="28"/>
          <w:highlight w:val="none"/>
        </w:rPr>
      </w:r>
      <w:r/>
    </w:p>
    <w:p>
      <w:pPr>
        <w:pStyle w:val="893"/>
        <w:ind w:firstLine="562"/>
        <w:spacing w:line="590" w:lineRule="exact"/>
        <w:rPr>
          <w:rFonts w:hint="eastAsia" w:eastAsia="方正仿宋_GBK"/>
          <w:b/>
          <w:bCs/>
          <w:sz w:val="28"/>
          <w:szCs w:val="28"/>
          <w:highlight w:val="none"/>
        </w:rPr>
      </w:pPr>
      <w:r>
        <w:rPr>
          <w:rFonts w:hint="eastAsia" w:eastAsia="方正仿宋_GBK"/>
          <w:b/>
          <w:bCs/>
          <w:sz w:val="28"/>
          <w:szCs w:val="28"/>
          <w:highlight w:val="none"/>
        </w:rPr>
        <w:t xml:space="preserve">样品接收截至时间：2026年</w:t>
      </w:r>
      <w:r>
        <w:rPr>
          <w:rFonts w:hint="eastAsia" w:eastAsia="方正仿宋_GBK"/>
          <w:b/>
          <w:bCs/>
          <w:sz w:val="28"/>
          <w:szCs w:val="28"/>
          <w:highlight w:val="none"/>
          <w:lang w:val="en-US" w:eastAsia="zh-CN"/>
        </w:rPr>
        <w:t xml:space="preserve">9</w:t>
      </w:r>
      <w:r>
        <w:rPr>
          <w:rFonts w:hint="eastAsia" w:eastAsia="方正仿宋_GBK"/>
          <w:b/>
          <w:bCs/>
          <w:sz w:val="28"/>
          <w:szCs w:val="28"/>
          <w:highlight w:val="none"/>
        </w:rPr>
        <w:t xml:space="preserve">月15日17点整。</w:t>
      </w:r>
      <w:r>
        <w:rPr>
          <w:rFonts w:hint="eastAsia" w:eastAsia="方正仿宋_GBK"/>
          <w:b/>
          <w:bCs/>
          <w:sz w:val="28"/>
          <w:szCs w:val="28"/>
          <w:highlight w:val="none"/>
        </w:rPr>
      </w:r>
      <w:r/>
    </w:p>
    <w:p>
      <w:pPr>
        <w:pStyle w:val="893"/>
        <w:ind w:firstLine="562"/>
        <w:spacing w:line="590" w:lineRule="exact"/>
        <w:rPr>
          <w:rFonts w:hint="eastAsia" w:eastAsia="方正仿宋_GBK"/>
          <w:b/>
          <w:bCs/>
          <w:sz w:val="28"/>
          <w:szCs w:val="28"/>
          <w:highlight w:val="none"/>
        </w:rPr>
      </w:pPr>
      <w:r>
        <w:rPr>
          <w:rFonts w:hint="eastAsia" w:eastAsia="方正仿宋_GBK"/>
          <w:b/>
          <w:bCs/>
          <w:sz w:val="28"/>
          <w:szCs w:val="28"/>
          <w:highlight w:val="none"/>
        </w:rPr>
        <w:t xml:space="preserve">地址：淮安经济技术开发区威海路8号消防救援支队</w:t>
      </w:r>
      <w:r>
        <w:rPr>
          <w:rFonts w:hint="eastAsia" w:eastAsia="方正仿宋_GBK"/>
          <w:b/>
          <w:bCs/>
          <w:sz w:val="28"/>
          <w:szCs w:val="28"/>
          <w:highlight w:val="none"/>
        </w:rPr>
      </w:r>
      <w:r/>
    </w:p>
    <w:p>
      <w:pPr>
        <w:pStyle w:val="893"/>
        <w:ind w:firstLine="562"/>
        <w:spacing w:line="590" w:lineRule="exact"/>
        <w:rPr>
          <w:rFonts w:hint="eastAsia" w:eastAsia="方正仿宋_GBK"/>
          <w:b/>
          <w:bCs/>
          <w:sz w:val="28"/>
          <w:szCs w:val="28"/>
          <w:highlight w:val="none"/>
        </w:rPr>
      </w:pPr>
      <w:r>
        <w:rPr>
          <w:rFonts w:hint="eastAsia" w:eastAsia="方正仿宋_GBK"/>
          <w:b/>
          <w:bCs/>
          <w:sz w:val="28"/>
          <w:szCs w:val="28"/>
          <w:highlight w:val="none"/>
        </w:rPr>
        <w:t xml:space="preserve">联系人：郝一鲲</w:t>
      </w:r>
      <w:r>
        <w:rPr>
          <w:rFonts w:hint="eastAsia" w:eastAsia="方正仿宋_GBK"/>
          <w:b/>
          <w:bCs/>
          <w:sz w:val="28"/>
          <w:szCs w:val="28"/>
          <w:highlight w:val="none"/>
        </w:rPr>
      </w:r>
      <w:r/>
    </w:p>
    <w:p>
      <w:pPr>
        <w:pStyle w:val="893"/>
        <w:ind w:firstLine="562"/>
        <w:spacing w:line="590" w:lineRule="exact"/>
        <w:rPr>
          <w:rFonts w:hint="eastAsia" w:eastAsia="方正仿宋_GBK"/>
          <w:b/>
          <w:bCs/>
          <w:sz w:val="28"/>
          <w:szCs w:val="28"/>
          <w:highlight w:val="none"/>
        </w:rPr>
      </w:pPr>
      <w:r>
        <w:rPr>
          <w:rFonts w:hint="eastAsia" w:eastAsia="方正仿宋_GBK"/>
          <w:b/>
          <w:bCs/>
          <w:sz w:val="28"/>
          <w:szCs w:val="28"/>
          <w:highlight w:val="none"/>
        </w:rPr>
        <w:t xml:space="preserve">联系方式：13901409020</w:t>
      </w:r>
      <w:r>
        <w:rPr>
          <w:rFonts w:hint="eastAsia" w:eastAsia="方正仿宋_GBK"/>
          <w:b/>
          <w:bCs/>
          <w:sz w:val="28"/>
          <w:szCs w:val="28"/>
          <w:highlight w:val="none"/>
        </w:rPr>
      </w:r>
      <w:r/>
    </w:p>
    <w:p>
      <w:pPr>
        <w:pStyle w:val="893"/>
        <w:ind w:firstLine="562"/>
        <w:spacing w:line="590" w:lineRule="exact"/>
        <w:rPr>
          <w:rFonts w:eastAsia="方正仿宋_GBK"/>
          <w:b/>
          <w:bCs/>
          <w:sz w:val="28"/>
          <w:szCs w:val="28"/>
          <w:highlight w:val="none"/>
        </w:rPr>
      </w:pPr>
      <w:r>
        <w:rPr>
          <w:rFonts w:hint="eastAsia" w:eastAsia="方正仿宋_GBK"/>
          <w:b/>
          <w:bCs/>
          <w:sz w:val="28"/>
          <w:szCs w:val="28"/>
          <w:highlight w:val="none"/>
        </w:rPr>
        <w:t xml:space="preserve">三、</w:t>
      </w:r>
      <w:r>
        <w:rPr>
          <w:rFonts w:hint="eastAsia" w:eastAsia="方正仿宋_GBK"/>
          <w:b/>
          <w:bCs/>
          <w:sz w:val="28"/>
          <w:szCs w:val="28"/>
          <w:highlight w:val="none"/>
          <w:lang w:eastAsia="zh-CN"/>
        </w:rPr>
        <w:t xml:space="preserve">其他</w:t>
      </w:r>
      <w:r>
        <w:rPr>
          <w:rFonts w:hint="eastAsia" w:eastAsia="方正仿宋_GBK"/>
          <w:b/>
          <w:bCs/>
          <w:sz w:val="28"/>
          <w:szCs w:val="28"/>
          <w:highlight w:val="none"/>
        </w:rPr>
        <w:t xml:space="preserve">要求</w:t>
      </w:r>
      <w:r>
        <w:rPr>
          <w:rFonts w:eastAsia="方正仿宋_GBK"/>
          <w:b/>
          <w:bCs/>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1、乙方所供装备保证是全新的、未使用过的，完全符合合同规定的质量、规格型号和性能要求。乙方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消防员在使用过程中发生伤亡的，由供应商负责一切后果，并承担法律责任）</w:t>
      </w:r>
      <w:r>
        <w:rPr>
          <w:rFonts w:hint="eastAsia" w:eastAsia="方正仿宋_GBK"/>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★2、消防器材应携带永久性标签或标识，标签或标识内容包含厂家名称、规格型号、执行标准、生产日期等装备主要参数。</w:t>
      </w:r>
      <w:r>
        <w:rPr>
          <w:rFonts w:hint="eastAsia" w:eastAsia="方正仿宋_GBK"/>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★3、化学氧自救呼吸器供货日期不超过生产日期的三个月。</w:t>
      </w:r>
      <w:r>
        <w:rPr>
          <w:rFonts w:hint="eastAsia" w:eastAsia="方正仿宋_GBK"/>
          <w:sz w:val="28"/>
          <w:szCs w:val="28"/>
          <w:highlight w:val="none"/>
        </w:rPr>
      </w:r>
      <w:r/>
    </w:p>
    <w:p>
      <w:pPr>
        <w:pStyle w:val="893"/>
        <w:ind w:firstLine="562"/>
        <w:spacing w:line="590" w:lineRule="exact"/>
        <w:rPr>
          <w:rFonts w:hint="eastAsia" w:eastAsia="方正仿宋_GBK"/>
          <w:b/>
          <w:bCs/>
          <w:sz w:val="28"/>
          <w:szCs w:val="28"/>
          <w:highlight w:val="none"/>
        </w:rPr>
      </w:pPr>
      <w:r>
        <w:rPr>
          <w:rFonts w:hint="eastAsia" w:eastAsia="方正仿宋_GBK"/>
          <w:b/>
          <w:bCs/>
          <w:sz w:val="28"/>
          <w:szCs w:val="28"/>
          <w:highlight w:val="none"/>
        </w:rPr>
        <w:t xml:space="preserve">四、售后服务</w:t>
      </w:r>
      <w:r>
        <w:rPr>
          <w:rFonts w:hint="eastAsia" w:eastAsia="方正仿宋_GBK"/>
          <w:b/>
          <w:bCs/>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4.1 乙方应按采购文件规定的货物性能、技术要求、质量标准向甲方提供未经使用的全新产品。</w:t>
      </w:r>
      <w:r>
        <w:rPr>
          <w:rFonts w:hint="eastAsia" w:eastAsia="方正仿宋_GBK"/>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★4.2乙方提供的货物免费维修服务期限具体以投标文件为准且不得低于三年</w:t>
      </w:r>
      <w:r>
        <w:rPr>
          <w:rFonts w:hint="eastAsia" w:eastAsia="方正仿宋_GBK"/>
          <w:b/>
          <w:bCs/>
          <w:sz w:val="28"/>
          <w:szCs w:val="28"/>
          <w:highlight w:val="none"/>
        </w:rPr>
        <w:t xml:space="preserve">（提供承诺函，未提供的作无效投标处理，格式自拟）</w:t>
      </w:r>
      <w:r>
        <w:rPr>
          <w:rFonts w:hint="eastAsia" w:eastAsia="方正仿宋_GBK"/>
          <w:sz w:val="28"/>
          <w:szCs w:val="28"/>
          <w:highlight w:val="none"/>
        </w:rPr>
        <w:t xml:space="preserve">，乙方提供的货物在免费维修服务期限内因货物本身的质量问题发生故障，乙方应负责免费更换。对超过免费维修服务期限发生故障的货物，乙方应当负责维修并按照成本价收取零配件费用。对达不到技术要求者或未通过总队验收标准的，根据实际情况，经双方协商，可按以下办法处理：</w:t>
      </w:r>
      <w:r>
        <w:rPr>
          <w:rFonts w:hint="eastAsia" w:eastAsia="方正仿宋_GBK"/>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（1）更换：由乙方承担所发生的全部费用。</w:t>
      </w:r>
      <w:r>
        <w:rPr>
          <w:rFonts w:hint="eastAsia" w:eastAsia="方正仿宋_GBK"/>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（2）退货处理：乙方应退还甲方支付的合同款，同时应承担该货物的直接费用（</w:t>
      </w:r>
      <w:r>
        <w:rPr>
          <w:rFonts w:hint="eastAsia" w:eastAsia="方正仿宋_GBK"/>
          <w:sz w:val="28"/>
          <w:szCs w:val="28"/>
          <w:highlight w:val="none"/>
        </w:rPr>
        <w:t xml:space="preserve">包括但不限于</w:t>
      </w:r>
      <w:r>
        <w:rPr>
          <w:rFonts w:hint="eastAsia" w:eastAsia="方正仿宋_GBK"/>
          <w:sz w:val="28"/>
          <w:szCs w:val="28"/>
          <w:highlight w:val="none"/>
        </w:rPr>
        <w:t xml:space="preserve">运输、保险、检验）。</w:t>
      </w:r>
      <w:r>
        <w:rPr>
          <w:rFonts w:hint="eastAsia" w:eastAsia="方正仿宋_GBK"/>
          <w:sz w:val="28"/>
          <w:szCs w:val="28"/>
          <w:highlight w:val="none"/>
        </w:rPr>
      </w:r>
      <w:r/>
    </w:p>
    <w:p>
      <w:pPr>
        <w:pStyle w:val="893"/>
        <w:ind w:firstLine="562"/>
        <w:spacing w:line="590" w:lineRule="exact"/>
        <w:rPr>
          <w:rFonts w:hint="eastAsia" w:ascii="Times New Roman" w:hAnsi="Times New Roman" w:eastAsia="方正仿宋_GBK" w:cs="Times New Roman"/>
          <w:b/>
          <w:bCs/>
          <w:sz w:val="28"/>
          <w:szCs w:val="28"/>
          <w:highlight w:val="none"/>
        </w:rPr>
      </w:pPr>
      <w:r>
        <w:rPr>
          <w:rFonts w:hint="eastAsia" w:ascii="Times New Roman" w:hAnsi="Times New Roman" w:eastAsia="方正仿宋_GBK" w:cs="Times New Roman"/>
          <w:b/>
          <w:bCs/>
          <w:sz w:val="28"/>
          <w:szCs w:val="28"/>
          <w:highlight w:val="none"/>
          <w:lang w:eastAsia="zh-CN"/>
        </w:rPr>
        <w:t xml:space="preserve">五、</w:t>
      </w:r>
      <w:r>
        <w:rPr>
          <w:rFonts w:hint="eastAsia" w:ascii="Times New Roman" w:hAnsi="Times New Roman" w:eastAsia="方正仿宋_GBK" w:cs="Times New Roman"/>
          <w:b/>
          <w:bCs/>
          <w:sz w:val="28"/>
          <w:szCs w:val="28"/>
          <w:highlight w:val="none"/>
        </w:rPr>
        <w:t xml:space="preserve">履约验收基本要求</w:t>
      </w:r>
      <w:r>
        <w:rPr>
          <w:rFonts w:hint="eastAsia" w:ascii="Times New Roman" w:hAnsi="Times New Roman" w:eastAsia="方正仿宋_GBK" w:cs="Times New Roman"/>
          <w:b/>
          <w:bCs/>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甲方对乙方提交的货物清单数量核对给予签收，由甲方出具签收单视为交付。甲方对乙方提交的货物依据采购文件、合同上的技术规格要求和国家有关质量标准进行现场验收，符合采购文件技术要求的，由甲方出具验收结果报告视为验收合格。</w:t>
      </w:r>
      <w:r>
        <w:rPr>
          <w:rFonts w:hint="eastAsia" w:ascii="Times New Roman" w:hAnsi="Times New Roman" w:eastAsia="方正仿宋_GBK" w:cs="Times New Roman"/>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2、乙方交货前应对产品作出全面检查和对验收文件进行整理，</w:t>
      </w:r>
      <w:r>
        <w:rPr>
          <w:rFonts w:hint="eastAsia" w:ascii="Times New Roman" w:hAnsi="Times New Roman" w:eastAsia="方正仿宋_GBK" w:cs="Times New Roman"/>
          <w:sz w:val="28"/>
          <w:szCs w:val="28"/>
          <w:highlight w:val="none"/>
        </w:rPr>
        <w:t xml:space="preserve">列出清单并提供所有货物参数的佐证材料（检测检验报告、白皮书、设备生产厂家证明原件、彩页、手册等上述任一材料即可）</w:t>
      </w:r>
      <w:r>
        <w:rPr>
          <w:rFonts w:hint="eastAsia" w:ascii="Times New Roman" w:hAnsi="Times New Roman" w:eastAsia="方正仿宋_GBK" w:cs="Times New Roman"/>
          <w:sz w:val="28"/>
          <w:szCs w:val="28"/>
          <w:highlight w:val="none"/>
        </w:rPr>
        <w:t xml:space="preserve">，作为甲方收货验收和使用的技术条件依据，检验的结果应随货物交甲方。</w:t>
      </w:r>
      <w:r>
        <w:rPr>
          <w:rFonts w:hint="eastAsia" w:ascii="Times New Roman" w:hAnsi="Times New Roman" w:eastAsia="方正仿宋_GBK" w:cs="Times New Roman"/>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3、乙方提供的货物及服务，必须符合合同附件要求的技术规格标准及中华人民共和国国家标准或行业标准和环保要求，这些标准必须是相关国家或行业机构发布的最新版本的标准。</w:t>
      </w:r>
      <w:r>
        <w:rPr>
          <w:rFonts w:hint="eastAsia" w:ascii="Times New Roman" w:hAnsi="Times New Roman" w:eastAsia="方正仿宋_GBK" w:cs="Times New Roman"/>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4、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rPr>
          <w:rFonts w:hint="eastAsia" w:ascii="Times New Roman" w:hAnsi="Times New Roman" w:eastAsia="方正仿宋_GBK" w:cs="Times New Roman"/>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5、验收时乙方必须在现场，验收完毕后作出验收结果报告。</w:t>
      </w:r>
      <w:r>
        <w:rPr>
          <w:rFonts w:hint="eastAsia" w:ascii="Times New Roman" w:hAnsi="Times New Roman" w:eastAsia="方正仿宋_GBK" w:cs="Times New Roman"/>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6、乙方供货的产品经甲方2次验收不合格，甲方可以单方面解除合同，乙方在甲方解约后3个工作日内退还</w:t>
      </w:r>
      <w:r>
        <w:rPr>
          <w:rFonts w:hint="eastAsia" w:ascii="Times New Roman" w:hAnsi="Times New Roman" w:eastAsia="方正仿宋_GBK" w:cs="Times New Roman"/>
          <w:sz w:val="28"/>
          <w:szCs w:val="28"/>
          <w:highlight w:val="none"/>
        </w:rPr>
        <w:t xml:space="preserve">所有已付款</w:t>
      </w:r>
      <w:r>
        <w:rPr>
          <w:rFonts w:hint="eastAsia" w:ascii="Times New Roman" w:hAnsi="Times New Roman" w:eastAsia="方正仿宋_GBK" w:cs="Times New Roman"/>
          <w:sz w:val="28"/>
          <w:szCs w:val="28"/>
          <w:highlight w:val="none"/>
        </w:rPr>
        <w:t xml:space="preserve">，并承担相应的违约责任。</w:t>
      </w:r>
      <w:r>
        <w:rPr>
          <w:rFonts w:hint="eastAsia" w:ascii="Times New Roman" w:hAnsi="Times New Roman" w:eastAsia="方正仿宋_GBK" w:cs="Times New Roman"/>
          <w:sz w:val="28"/>
          <w:szCs w:val="28"/>
          <w:highlight w:val="none"/>
        </w:rPr>
      </w:r>
      <w:r/>
    </w:p>
    <w:p>
      <w:pPr>
        <w:pStyle w:val="893"/>
        <w:ind w:firstLine="562"/>
        <w:spacing w:line="590" w:lineRule="exact"/>
        <w:rPr>
          <w:rFonts w:hint="eastAsia" w:ascii="Times New Roman" w:hAnsi="Times New Roman" w:eastAsia="方正仿宋_GBK" w:cs="Times New Roman"/>
          <w:b/>
          <w:bCs/>
          <w:sz w:val="28"/>
          <w:szCs w:val="28"/>
          <w:highlight w:val="none"/>
        </w:rPr>
      </w:pPr>
      <w:r>
        <w:rPr>
          <w:rFonts w:hint="eastAsia" w:ascii="Times New Roman" w:hAnsi="Times New Roman" w:eastAsia="方正仿宋_GBK" w:cs="Times New Roman"/>
          <w:b/>
          <w:bCs/>
          <w:sz w:val="28"/>
          <w:szCs w:val="28"/>
          <w:highlight w:val="none"/>
        </w:rPr>
        <w:t xml:space="preserve">六、商务部分</w:t>
      </w:r>
      <w:r>
        <w:rPr>
          <w:rFonts w:hint="eastAsia" w:ascii="Times New Roman" w:hAnsi="Times New Roman" w:eastAsia="方正仿宋_GBK" w:cs="Times New Roman"/>
          <w:b/>
          <w:bCs/>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（一）供货时间: 签订合同后60日内将货物送达指定地点，其中便携式泡沫灭火装置30日内完成不低于采购数量50%的供货。</w:t>
      </w:r>
      <w:r>
        <w:rPr>
          <w:rFonts w:hint="eastAsia" w:ascii="Times New Roman" w:hAnsi="Times New Roman" w:eastAsia="方正仿宋_GBK" w:cs="Times New Roman"/>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（二）供货地点: 按采购人要求</w:t>
      </w:r>
      <w:r>
        <w:rPr>
          <w:rFonts w:hint="eastAsia" w:ascii="Times New Roman" w:hAnsi="Times New Roman" w:eastAsia="方正仿宋_GBK" w:cs="Times New Roman"/>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（三）付款方式:</w:t>
      </w:r>
      <w:r>
        <w:rPr>
          <w:rFonts w:hint="eastAsia" w:ascii="Times New Roman" w:hAnsi="Times New Roman" w:eastAsia="方正仿宋_GBK" w:cs="Times New Roman"/>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甲方在收到履约保证金（函）后，30天内向乙方支付合同总金额30%的货款。乙方按照合同约定交货，并经甲方对合同中所有装备到货验收合格（甲方签署到货验收合格报告）并经结算审计后，凭乙方等额有效发票及甲方签署验收合格报告，甲方在30天内向乙方支付至审定总金额80%的货款，完成江苏省消防救援总队快速处置队建设工作验收后，</w:t>
      </w:r>
      <w:r>
        <w:rPr>
          <w:rFonts w:hint="eastAsia" w:ascii="Times New Roman" w:hAnsi="Times New Roman" w:eastAsia="方正仿宋_GBK" w:cs="Times New Roman"/>
          <w:sz w:val="28"/>
          <w:szCs w:val="28"/>
          <w:highlight w:val="none"/>
        </w:rPr>
        <w:t xml:space="preserve">付清审定总金额剩余货款。</w:t>
      </w:r>
      <w:r>
        <w:rPr>
          <w:rFonts w:hint="eastAsia" w:ascii="Times New Roman" w:hAnsi="Times New Roman" w:eastAsia="方正仿宋_GBK" w:cs="Times New Roman"/>
          <w:sz w:val="28"/>
          <w:szCs w:val="28"/>
          <w:highlight w:val="none"/>
        </w:rPr>
      </w:r>
      <w:r/>
    </w:p>
    <w:p>
      <w:pPr>
        <w:pStyle w:val="893"/>
        <w:ind w:firstLine="560"/>
        <w:jc w:val="center"/>
        <w:spacing w:line="590" w:lineRule="exact"/>
        <w:rPr>
          <w:rFonts w:hint="eastAsia" w:ascii="黑体" w:hAnsi="黑体" w:eastAsia="黑体"/>
          <w:b/>
          <w:bCs/>
          <w:sz w:val="36"/>
          <w:highlight w:val="none"/>
        </w:rPr>
      </w:pPr>
      <w:r>
        <w:rPr>
          <w:rFonts w:hint="eastAsia" w:ascii="Times New Roman" w:hAnsi="Times New Roman" w:eastAsia="方正仿宋_GBK" w:cs="Times New Roman"/>
          <w:sz w:val="28"/>
          <w:szCs w:val="28"/>
          <w:highlight w:val="none"/>
        </w:rPr>
        <w:br w:type="page" w:clear="all"/>
      </w:r>
      <w:r>
        <w:rPr>
          <w:rFonts w:hint="eastAsia" w:ascii="黑体" w:hAnsi="黑体" w:eastAsia="黑体"/>
          <w:b/>
          <w:bCs/>
          <w:sz w:val="36"/>
          <w:highlight w:val="none"/>
        </w:rPr>
        <w:t xml:space="preserve">第六章  投标文件</w:t>
      </w:r>
      <w:r>
        <w:rPr>
          <w:rFonts w:hint="eastAsia" w:ascii="黑体" w:hAnsi="黑体" w:eastAsia="黑体"/>
          <w:b/>
          <w:bCs/>
          <w:sz w:val="36"/>
          <w:highlight w:val="none"/>
        </w:rPr>
      </w:r>
      <w:r/>
    </w:p>
    <w:p>
      <w:pPr>
        <w:pStyle w:val="914"/>
        <w:keepLines w:val="0"/>
        <w:keepNext w:val="0"/>
        <w:pageBreakBefore w:val="0"/>
        <w:rPr>
          <w:rFonts w:hint="eastAsia" w:ascii="黑体" w:hAnsi="黑体" w:eastAsia="黑体"/>
          <w:sz w:val="44"/>
          <w:szCs w:val="44"/>
          <w:highlight w:val="none"/>
        </w:rPr>
        <w:outlineLvl w:val="9"/>
      </w:pPr>
      <w:r>
        <w:rPr>
          <w:rFonts w:hint="eastAsia" w:ascii="黑体" w:hAnsi="黑体" w:eastAsia="黑体"/>
          <w:sz w:val="44"/>
          <w:szCs w:val="44"/>
          <w:highlight w:val="none"/>
        </w:rPr>
      </w:r>
      <w:r/>
    </w:p>
    <w:p>
      <w:pPr>
        <w:pStyle w:val="91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893"/>
        <w:ind w:firstLine="1084"/>
        <w:keepLines w:val="0"/>
        <w:keepNext w:val="0"/>
        <w:pageBreakBefore w:val="0"/>
        <w:spacing w:line="400" w:lineRule="exact"/>
        <w:rPr>
          <w:rFonts w:hint="eastAsia" w:ascii="黑体" w:hAnsi="黑体" w:eastAsia="黑体"/>
          <w:b/>
          <w:bCs/>
          <w:sz w:val="36"/>
          <w:highlight w:val="none"/>
        </w:rPr>
        <w:outlineLvl w:val="9"/>
      </w:pPr>
      <w:r>
        <w:rPr>
          <w:rFonts w:hint="eastAsia" w:ascii="黑体" w:hAnsi="黑体" w:eastAsia="黑体"/>
          <w:b/>
          <w:bCs/>
          <w:sz w:val="36"/>
          <w:highlight w:val="none"/>
        </w:rPr>
        <w:t xml:space="preserve">项</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目</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名</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称:</w:t>
      </w:r>
      <w:r>
        <w:rPr>
          <w:rFonts w:hint="eastAsia" w:ascii="黑体" w:hAnsi="黑体" w:eastAsia="黑体"/>
          <w:b/>
          <w:bCs/>
          <w:sz w:val="36"/>
          <w:highlight w:val="none"/>
        </w:rPr>
      </w:r>
      <w:r/>
    </w:p>
    <w:p>
      <w:pPr>
        <w:pStyle w:val="91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4"/>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914"/>
        <w:ind w:firstLine="1066"/>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914"/>
        <w:ind w:firstLine="1066"/>
        <w:keepLines w:val="0"/>
        <w:keepNext w:val="0"/>
        <w:pageBreakBefore w:val="0"/>
        <w:rPr>
          <w:rFonts w:ascii="黑体" w:hAnsi="黑体" w:eastAsia="黑体"/>
          <w:b/>
          <w:sz w:val="36"/>
          <w:szCs w:val="24"/>
          <w:highlight w:val="none"/>
        </w:rPr>
        <w:outlineLvl w:val="9"/>
      </w:pPr>
      <w:r>
        <w:rPr>
          <w:rFonts w:hint="eastAsia" w:ascii="黑体" w:hAnsi="黑体" w:eastAsia="黑体"/>
          <w:b/>
          <w:sz w:val="36"/>
          <w:szCs w:val="24"/>
          <w:highlight w:val="none"/>
          <w:lang w:eastAsia="zh-CN"/>
        </w:rPr>
        <w:t xml:space="preserve">招</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lang w:eastAsia="zh-CN"/>
        </w:rPr>
        <w:t xml:space="preserve">标</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编</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号:</w:t>
      </w:r>
      <w:r>
        <w:rPr>
          <w:rFonts w:ascii="黑体" w:hAnsi="黑体" w:eastAsia="黑体"/>
          <w:b/>
          <w:sz w:val="36"/>
          <w:szCs w:val="24"/>
          <w:highlight w:val="none"/>
        </w:rPr>
      </w:r>
      <w:r/>
    </w:p>
    <w:p>
      <w:pPr>
        <w:pStyle w:val="893"/>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893"/>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893"/>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893"/>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rPr>
        <w:t xml:space="preserve">投标人</w:t>
      </w:r>
      <w:r>
        <w:rPr>
          <w:rFonts w:hint="eastAsia" w:ascii="黑体" w:hAnsi="黑体" w:eastAsia="黑体"/>
          <w:b/>
          <w:bCs/>
          <w:sz w:val="36"/>
          <w:highlight w:val="none"/>
          <w:lang w:eastAsia="zh-CN"/>
        </w:rPr>
        <w:t xml:space="preserve">名称</w:t>
      </w:r>
      <w:r>
        <w:rPr>
          <w:rFonts w:hint="eastAsia" w:ascii="黑体" w:hAnsi="黑体" w:eastAsia="黑体"/>
          <w:b/>
          <w:bCs/>
          <w:sz w:val="36"/>
          <w:highlight w:val="none"/>
        </w:rPr>
        <w:t xml:space="preserve">:</w:t>
      </w:r>
      <w:r>
        <w:rPr>
          <w:rFonts w:hint="eastAsia" w:ascii="黑体" w:hAnsi="黑体" w:eastAsia="黑体"/>
          <w:b/>
          <w:bCs/>
          <w:sz w:val="36"/>
          <w:highlight w:val="none"/>
          <w:lang w:eastAsia="zh-CN"/>
        </w:rPr>
        <w:t xml:space="preserve">（加盖</w:t>
      </w:r>
      <w:r>
        <w:rPr>
          <w:rFonts w:hint="eastAsia" w:ascii="黑体" w:hAnsi="黑体" w:eastAsia="黑体"/>
          <w:b/>
          <w:bCs/>
          <w:sz w:val="36"/>
          <w:highlight w:val="none"/>
          <w:lang w:val="en-US" w:eastAsia="zh-CN"/>
        </w:rPr>
        <w:t xml:space="preserve">CA电子公章）</w:t>
      </w:r>
      <w:r>
        <w:rPr>
          <w:rFonts w:hint="eastAsia" w:ascii="黑体" w:hAnsi="黑体" w:eastAsia="黑体"/>
          <w:b/>
          <w:bCs/>
          <w:sz w:val="36"/>
          <w:highlight w:val="none"/>
          <w:lang w:val="en-US" w:eastAsia="zh-CN"/>
        </w:rPr>
      </w:r>
      <w:r/>
    </w:p>
    <w:p>
      <w:pPr>
        <w:pStyle w:val="893"/>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lang w:val="en-US" w:eastAsia="zh-CN"/>
        </w:rPr>
      </w:r>
      <w:r/>
    </w:p>
    <w:p>
      <w:pPr>
        <w:pStyle w:val="893"/>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pStyle w:val="893"/>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pStyle w:val="893"/>
        <w:ind w:firstLine="1066"/>
        <w:keepLines w:val="0"/>
        <w:keepNext w:val="0"/>
        <w:pageBreakBefore w:val="0"/>
        <w:spacing w:line="400" w:lineRule="exact"/>
        <w:rPr>
          <w:rFonts w:hint="eastAsia" w:ascii="黑体" w:hAnsi="黑体" w:eastAsia="黑体"/>
          <w:b/>
          <w:bCs/>
          <w:sz w:val="36"/>
          <w:highlight w:val="none"/>
          <w:lang w:val="zh-CN" w:eastAsia="zh-CN"/>
        </w:rPr>
        <w:outlineLvl w:val="9"/>
      </w:pPr>
      <w:r>
        <w:rPr>
          <w:rFonts w:hint="eastAsia" w:ascii="黑体" w:hAnsi="黑体" w:eastAsia="黑体"/>
          <w:b/>
          <w:bCs/>
          <w:sz w:val="36"/>
          <w:highlight w:val="none"/>
          <w:lang w:val="en-US" w:eastAsia="zh-CN"/>
        </w:rPr>
        <w:t xml:space="preserve">日       期：</w:t>
      </w:r>
      <w:r>
        <w:rPr>
          <w:rFonts w:hint="eastAsia" w:ascii="黑体" w:hAnsi="黑体" w:eastAsia="黑体"/>
          <w:b/>
          <w:bCs/>
          <w:sz w:val="36"/>
          <w:highlight w:val="none"/>
          <w:lang w:val="zh-CN" w:eastAsia="zh-CN"/>
        </w:rPr>
      </w:r>
      <w:r/>
    </w:p>
    <w:p>
      <w:pPr>
        <w:pStyle w:val="914"/>
        <w:ind w:firstLine="0"/>
        <w:jc w:val="center"/>
        <w:keepLines w:val="0"/>
        <w:keepNext w:val="0"/>
        <w:pageBreakBefore w:val="0"/>
        <w:spacing w:line="6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一、投标函</w:t>
      </w:r>
      <w:r>
        <w:rPr>
          <w:rFonts w:hint="eastAsia" w:ascii="仿宋" w:hAnsi="仿宋" w:eastAsia="仿宋"/>
          <w:b/>
          <w:sz w:val="32"/>
          <w:szCs w:val="32"/>
          <w:highlight w:val="none"/>
        </w:rPr>
      </w:r>
      <w:r/>
    </w:p>
    <w:p>
      <w:pPr>
        <w:pStyle w:val="914"/>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淮安市政府采购中心:</w:t>
      </w:r>
      <w:r>
        <w:rPr>
          <w:rFonts w:hint="eastAsia" w:ascii="仿宋" w:hAnsi="仿宋" w:eastAsia="仿宋"/>
          <w:sz w:val="28"/>
          <w:szCs w:val="24"/>
          <w:highlight w:val="none"/>
        </w:rPr>
      </w:r>
      <w:r/>
    </w:p>
    <w:p>
      <w:pPr>
        <w:pStyle w:val="965"/>
        <w:ind w:firstLine="70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w:t>
      </w:r>
      <w:r>
        <w:rPr>
          <w:rFonts w:hint="eastAsia" w:ascii="仿宋" w:hAnsi="仿宋" w:eastAsia="仿宋"/>
          <w:sz w:val="28"/>
          <w:szCs w:val="28"/>
          <w:highlight w:val="none"/>
        </w:rPr>
        <w:t xml:space="preserve">全权处理本次项目投标的有关事宜。</w:t>
      </w:r>
      <w:r>
        <w:rPr>
          <w:rFonts w:hint="eastAsia" w:ascii="仿宋" w:hAnsi="仿宋" w:eastAsia="仿宋"/>
          <w:sz w:val="28"/>
          <w:szCs w:val="28"/>
          <w:highlight w:val="none"/>
        </w:rPr>
      </w:r>
      <w:r/>
    </w:p>
    <w:p>
      <w:pPr>
        <w:pStyle w:val="893"/>
        <w:ind w:firstLine="560"/>
        <w:keepLines w:val="0"/>
        <w:keepNext w:val="0"/>
        <w:pageBreakBefore w:val="0"/>
        <w:spacing w:line="640" w:lineRule="exact"/>
        <w:rPr>
          <w:rFonts w:hint="eastAsia" w:ascii="仿宋" w:hAnsi="仿宋" w:eastAsia="仿宋"/>
          <w:color w:val="000000"/>
          <w:sz w:val="28"/>
          <w:szCs w:val="28"/>
          <w:highlight w:val="none"/>
        </w:rPr>
        <w:outlineLvl w:val="9"/>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893"/>
        <w:ind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highlight w:val="none"/>
        </w:rPr>
      </w:r>
      <w:r/>
    </w:p>
    <w:p>
      <w:pPr>
        <w:pStyle w:val="96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3、我们接受招标文件的所有的条款和规定。</w:t>
      </w:r>
      <w:r>
        <w:rPr>
          <w:rFonts w:hint="eastAsia" w:ascii="仿宋" w:hAnsi="仿宋" w:eastAsia="仿宋"/>
          <w:sz w:val="28"/>
          <w:szCs w:val="28"/>
          <w:highlight w:val="none"/>
        </w:rPr>
      </w:r>
      <w:r/>
    </w:p>
    <w:p>
      <w:pPr>
        <w:pStyle w:val="96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4、我们同意按照招标文件第二章第</w:t>
      </w:r>
      <w:r>
        <w:rPr>
          <w:rFonts w:hint="eastAsia" w:ascii="仿宋" w:hAnsi="仿宋" w:eastAsia="仿宋"/>
          <w:sz w:val="28"/>
          <w:szCs w:val="28"/>
          <w:highlight w:val="none"/>
        </w:rPr>
        <w:t xml:space="preserve">15条的</w:t>
      </w:r>
      <w:r>
        <w:rPr>
          <w:rFonts w:hint="eastAsia" w:ascii="仿宋" w:hAnsi="仿宋" w:eastAsia="仿宋"/>
          <w:sz w:val="28"/>
          <w:szCs w:val="28"/>
          <w:highlight w:val="none"/>
        </w:rPr>
        <w:t xml:space="preserve">规定，本投标文件的有效期为从开标之日期起计算的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highlight w:val="none"/>
        </w:rPr>
      </w:r>
      <w:r/>
    </w:p>
    <w:p>
      <w:pPr>
        <w:pStyle w:val="96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5、我们理解，你们无义务必须接受</w:t>
      </w:r>
      <w:r>
        <w:rPr>
          <w:rFonts w:hint="eastAsia" w:ascii="仿宋" w:hAnsi="仿宋" w:eastAsia="仿宋"/>
          <w:sz w:val="28"/>
          <w:szCs w:val="28"/>
          <w:highlight w:val="none"/>
        </w:rPr>
        <w:t xml:space="preserve">投标价最低的投标</w:t>
      </w:r>
      <w:r>
        <w:rPr>
          <w:rFonts w:hint="eastAsia" w:ascii="仿宋" w:hAnsi="仿宋" w:eastAsia="仿宋"/>
          <w:sz w:val="28"/>
          <w:szCs w:val="28"/>
          <w:highlight w:val="none"/>
        </w:rPr>
        <w:t xml:space="preserve">。同时也理解你们不承担我们本次投标的费用。</w:t>
      </w:r>
      <w:r>
        <w:rPr>
          <w:rFonts w:hint="eastAsia" w:ascii="仿宋" w:hAnsi="仿宋" w:eastAsia="仿宋"/>
          <w:sz w:val="28"/>
          <w:szCs w:val="28"/>
          <w:highlight w:val="none"/>
        </w:rPr>
      </w:r>
      <w:r/>
    </w:p>
    <w:p>
      <w:pPr>
        <w:pStyle w:val="96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6、我们同意向贵方提供贵方可能要求的与投标有关的任何证据或资料，并保证所提供的都是真实的、准确的。</w:t>
      </w:r>
      <w:r>
        <w:rPr>
          <w:rFonts w:hint="eastAsia" w:ascii="仿宋" w:hAnsi="仿宋" w:eastAsia="仿宋"/>
          <w:sz w:val="28"/>
          <w:szCs w:val="28"/>
          <w:highlight w:val="none"/>
        </w:rPr>
      </w:r>
      <w:r/>
    </w:p>
    <w:p>
      <w:pPr>
        <w:pStyle w:val="96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highlight w:val="none"/>
        </w:rPr>
      </w:r>
      <w:r/>
    </w:p>
    <w:p>
      <w:pPr>
        <w:pStyle w:val="965"/>
        <w:ind w:right="560" w:firstLine="2940"/>
        <w:keepLines w:val="0"/>
        <w:keepNext w:val="0"/>
        <w:pageBreakBefore w:val="0"/>
        <w:spacing w:before="0" w:after="0" w:line="640" w:lineRule="exact"/>
        <w:rPr>
          <w:rFonts w:hint="eastAsia" w:ascii="仿宋" w:hAnsi="仿宋" w:eastAsia="仿宋"/>
          <w:sz w:val="28"/>
          <w:highlight w:val="none"/>
        </w:rPr>
        <w:outlineLvl w:val="9"/>
      </w:pPr>
      <w:r>
        <w:rPr>
          <w:rFonts w:hint="eastAsia" w:ascii="仿宋" w:hAnsi="仿宋" w:eastAsia="仿宋"/>
          <w:sz w:val="28"/>
          <w:highlight w:val="none"/>
        </w:rPr>
      </w:r>
      <w:r/>
    </w:p>
    <w:p>
      <w:pPr>
        <w:pStyle w:val="965"/>
        <w:ind w:right="560" w:firstLine="2940"/>
        <w:keepLines w:val="0"/>
        <w:keepNext w:val="0"/>
        <w:pageBreakBefore w:val="0"/>
        <w:spacing w:before="0" w:after="0" w:line="640" w:lineRule="exact"/>
        <w:rPr>
          <w:rFonts w:hint="eastAsia" w:ascii="仿宋" w:hAnsi="仿宋" w:eastAsia="仿宋"/>
          <w:sz w:val="28"/>
          <w:highlight w:val="none"/>
          <w:u w:val="single"/>
        </w:rPr>
        <w:outlineLvl w:val="9"/>
      </w:pPr>
      <w:r>
        <w:rPr>
          <w:rFonts w:hint="eastAsia" w:ascii="仿宋" w:hAnsi="仿宋" w:eastAsia="仿宋"/>
          <w:sz w:val="28"/>
          <w:highlight w:val="none"/>
        </w:rPr>
        <w:t xml:space="preserve">投标人名称（电子签章）:</w:t>
      </w:r>
      <w:r>
        <w:rPr>
          <w:rFonts w:hint="eastAsia" w:ascii="仿宋" w:hAnsi="仿宋" w:eastAsia="仿宋"/>
          <w:sz w:val="28"/>
          <w:highlight w:val="none"/>
          <w:u w:val="single"/>
        </w:rPr>
        <w:t xml:space="preserve">             </w:t>
      </w:r>
      <w:r>
        <w:rPr>
          <w:rFonts w:hint="eastAsia" w:ascii="仿宋" w:hAnsi="仿宋" w:eastAsia="仿宋"/>
          <w:sz w:val="28"/>
          <w:highlight w:val="none"/>
          <w:u w:val="single"/>
        </w:rPr>
      </w:r>
      <w:r/>
    </w:p>
    <w:p>
      <w:pPr>
        <w:pStyle w:val="965"/>
        <w:ind w:right="560" w:firstLine="294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rPr>
          <w:rFonts w:hint="eastAsia" w:ascii="仿宋" w:hAnsi="仿宋" w:eastAsia="仿宋"/>
          <w:sz w:val="28"/>
          <w:szCs w:val="28"/>
          <w:highlight w:val="none"/>
        </w:rPr>
      </w:r>
      <w:r/>
    </w:p>
    <w:p>
      <w:pPr>
        <w:pStyle w:val="893"/>
        <w:ind w:right="560" w:firstLine="420"/>
        <w:jc w:val="center"/>
        <w:keepLines w:val="0"/>
        <w:keepNext w:val="0"/>
        <w:pageBreakBefore w:val="0"/>
        <w:spacing w:line="640" w:lineRule="exact"/>
        <w:rPr>
          <w:rFonts w:hint="eastAsia" w:ascii="仿宋" w:hAnsi="仿宋" w:eastAsia="仿宋"/>
          <w:color w:val="000000"/>
          <w:sz w:val="28"/>
          <w:szCs w:val="28"/>
          <w:highlight w:val="none"/>
          <w:u w:val="single"/>
        </w:rPr>
        <w:outlineLvl w:val="9"/>
      </w:pPr>
      <w:r>
        <w:rPr>
          <w:rFonts w:hint="eastAsia" w:ascii="仿宋" w:hAnsi="仿宋" w:eastAsia="仿宋"/>
          <w:sz w:val="28"/>
          <w:szCs w:val="28"/>
          <w:highlight w:val="none"/>
        </w:rPr>
        <w:t xml:space="preserve">    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rPr>
          <w:rFonts w:hint="eastAsia" w:ascii="仿宋" w:hAnsi="仿宋" w:eastAsia="仿宋"/>
          <w:color w:val="000000"/>
          <w:sz w:val="28"/>
          <w:szCs w:val="28"/>
          <w:highlight w:val="none"/>
          <w:u w:val="single"/>
        </w:rPr>
      </w:r>
      <w:r/>
    </w:p>
    <w:p>
      <w:pPr>
        <w:pStyle w:val="914"/>
        <w:ind w:right="560" w:firstLine="420"/>
        <w:jc w:val="center"/>
        <w:keepLines w:val="0"/>
        <w:keepNext w:val="0"/>
        <w:pageBreakBefore w:val="0"/>
        <w:spacing w:line="640" w:lineRule="exact"/>
        <w:rPr>
          <w:rFonts w:hint="eastAsia" w:ascii="仿宋" w:hAnsi="仿宋" w:eastAsia="仿宋"/>
          <w:bCs/>
          <w:sz w:val="32"/>
          <w:szCs w:val="32"/>
          <w:highlight w:val="none"/>
        </w:rPr>
        <w:outlineLvl w:val="9"/>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rPr>
          <w:rFonts w:hint="eastAsia" w:ascii="仿宋" w:hAnsi="仿宋" w:eastAsia="仿宋"/>
          <w:bCs/>
          <w:sz w:val="32"/>
          <w:szCs w:val="32"/>
          <w:highlight w:val="none"/>
        </w:rPr>
      </w:r>
      <w:r/>
    </w:p>
    <w:p>
      <w:pPr>
        <w:pStyle w:val="893"/>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二、开标一览表</w:t>
      </w:r>
      <w:r>
        <w:rPr>
          <w:rFonts w:hint="eastAsia" w:ascii="仿宋" w:hAnsi="仿宋" w:eastAsia="仿宋"/>
          <w:b/>
          <w:sz w:val="32"/>
          <w:szCs w:val="32"/>
          <w:highlight w:val="none"/>
        </w:rPr>
      </w:r>
      <w:r/>
    </w:p>
    <w:p>
      <w:pPr>
        <w:pStyle w:val="893"/>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93"/>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项目名称</w:t>
            </w:r>
            <w:r>
              <w:rPr>
                <w:rFonts w:hint="eastAsia" w:ascii="仿宋" w:hAnsi="仿宋" w:eastAsia="仿宋"/>
                <w:sz w:val="28"/>
                <w:szCs w:val="28"/>
                <w:highlight w:val="none"/>
              </w:rPr>
            </w:r>
            <w:r/>
          </w:p>
        </w:tc>
        <w:tc>
          <w:tcPr>
            <w:tcW w:w="6759" w:type="dxa"/>
            <w:vAlign w:val="center"/>
            <w:textDirection w:val="lrTb"/>
            <w:noWrap w:val="false"/>
          </w:tcPr>
          <w:p>
            <w:pPr>
              <w:pStyle w:val="893"/>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r>
            <w:r/>
          </w:p>
        </w:tc>
      </w:tr>
      <w:tr>
        <w:trPr>
          <w:cantSplit/>
          <w:trHeight w:val="2261"/>
        </w:trPr>
        <w:tc>
          <w:tcPr>
            <w:tcW w:w="1701" w:type="dxa"/>
            <w:vAlign w:val="center"/>
            <w:textDirection w:val="lrTb"/>
            <w:noWrap w:val="false"/>
          </w:tcPr>
          <w:p>
            <w:pPr>
              <w:pStyle w:val="893"/>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w:t>
            </w:r>
            <w:r>
              <w:rPr>
                <w:rFonts w:hint="eastAsia" w:ascii="仿宋" w:hAnsi="仿宋" w:eastAsia="仿宋"/>
                <w:sz w:val="28"/>
                <w:szCs w:val="28"/>
                <w:highlight w:val="none"/>
              </w:rPr>
            </w:r>
            <w:r/>
          </w:p>
          <w:p>
            <w:pPr>
              <w:pStyle w:val="893"/>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总计</w:t>
            </w:r>
            <w:r>
              <w:rPr>
                <w:rFonts w:hint="eastAsia" w:ascii="仿宋" w:hAnsi="仿宋" w:eastAsia="仿宋"/>
                <w:sz w:val="28"/>
                <w:szCs w:val="28"/>
                <w:highlight w:val="none"/>
              </w:rPr>
            </w:r>
            <w:r/>
          </w:p>
        </w:tc>
        <w:tc>
          <w:tcPr>
            <w:tcW w:w="6759" w:type="dxa"/>
            <w:vAlign w:val="center"/>
            <w:textDirection w:val="lrTb"/>
            <w:noWrap w:val="false"/>
          </w:tcPr>
          <w:p>
            <w:pPr>
              <w:pStyle w:val="893"/>
              <w:keepLines w:val="0"/>
              <w:keepNext w:val="0"/>
              <w:pageBreakBefore w:val="0"/>
              <w:spacing w:line="720" w:lineRule="exact"/>
              <w:rPr>
                <w:rFonts w:hint="eastAsia" w:ascii="仿宋" w:hAnsi="仿宋" w:eastAsia="仿宋"/>
                <w:sz w:val="28"/>
                <w:szCs w:val="28"/>
                <w:highlight w:val="none"/>
                <w:u w:val="single"/>
              </w:rPr>
              <w:outlineLvl w:val="9"/>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rPr>
            </w:r>
            <w:r/>
          </w:p>
          <w:p>
            <w:pPr>
              <w:pStyle w:val="893"/>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rPr>
                <w:rFonts w:hint="eastAsia" w:ascii="仿宋" w:hAnsi="仿宋" w:eastAsia="仿宋"/>
                <w:sz w:val="28"/>
                <w:szCs w:val="28"/>
                <w:highlight w:val="none"/>
              </w:rPr>
            </w:r>
            <w:r/>
          </w:p>
        </w:tc>
      </w:tr>
      <w:tr>
        <w:trPr>
          <w:cantSplit/>
          <w:trHeight w:val="1273"/>
        </w:trPr>
        <w:tc>
          <w:tcPr>
            <w:tcW w:w="1701" w:type="dxa"/>
            <w:vAlign w:val="center"/>
            <w:textDirection w:val="lrTb"/>
            <w:noWrap w:val="false"/>
          </w:tcPr>
          <w:p>
            <w:pPr>
              <w:pStyle w:val="893"/>
              <w:ind w:firstLine="1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核心品牌</w:t>
            </w:r>
            <w:r>
              <w:rPr>
                <w:rFonts w:hint="eastAsia" w:ascii="仿宋" w:hAnsi="仿宋" w:eastAsia="仿宋"/>
                <w:sz w:val="28"/>
                <w:szCs w:val="28"/>
                <w:highlight w:val="none"/>
              </w:rPr>
            </w:r>
            <w:r/>
          </w:p>
        </w:tc>
        <w:tc>
          <w:tcPr>
            <w:tcW w:w="6759" w:type="dxa"/>
            <w:vAlign w:val="center"/>
            <w:textDirection w:val="lrTb"/>
            <w:noWrap w:val="false"/>
          </w:tcPr>
          <w:p>
            <w:pPr>
              <w:pStyle w:val="893"/>
              <w:ind w:firstLine="15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tc>
      </w:tr>
    </w:tbl>
    <w:p>
      <w:pPr>
        <w:pStyle w:val="914"/>
        <w:keepLines w:val="0"/>
        <w:keepNext w:val="0"/>
        <w:pageBreakBefore w:val="0"/>
        <w:rPr>
          <w:rFonts w:hint="eastAsia" w:hAnsi="宋体"/>
          <w:b/>
          <w:sz w:val="32"/>
          <w:szCs w:val="32"/>
          <w:highlight w:val="none"/>
        </w:rPr>
        <w:outlineLvl w:val="9"/>
      </w:pPr>
      <w:r/>
      <w:bookmarkStart w:id="36" w:name="_Toc157775468"/>
      <w:r>
        <w:rPr>
          <w:rFonts w:hint="eastAsia" w:hAnsi="宋体"/>
          <w:b/>
          <w:sz w:val="32"/>
          <w:szCs w:val="32"/>
          <w:highlight w:val="none"/>
        </w:rPr>
      </w:r>
      <w:r/>
    </w:p>
    <w:p>
      <w:pPr>
        <w:pStyle w:val="914"/>
        <w:jc w:val="cente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三、投标报价明细表</w:t>
      </w:r>
      <w:r>
        <w:rPr>
          <w:rFonts w:hint="eastAsia" w:ascii="仿宋" w:hAnsi="仿宋" w:eastAsia="仿宋"/>
          <w:b/>
          <w:sz w:val="32"/>
          <w:szCs w:val="32"/>
          <w:highlight w:val="none"/>
        </w:rPr>
      </w:r>
      <w:r/>
    </w:p>
    <w:p>
      <w:pPr>
        <w:pStyle w:val="914"/>
        <w:jc w:val="center"/>
        <w:keepLines w:val="0"/>
        <w:keepNext w:val="0"/>
        <w:pageBreakBefore w:val="0"/>
        <w:spacing w:line="340" w:lineRule="exact"/>
        <w:rPr>
          <w:rFonts w:hint="eastAsia" w:ascii="仿宋" w:hAnsi="仿宋" w:eastAsia="仿宋" w:cs="Calibri"/>
          <w:sz w:val="24"/>
          <w:szCs w:val="24"/>
          <w:highlight w:val="none"/>
        </w:rPr>
        <w:outlineLvl w:val="9"/>
      </w:pPr>
      <w:r>
        <w:rPr>
          <w:rFonts w:hint="eastAsia" w:ascii="仿宋" w:hAnsi="仿宋" w:eastAsia="仿宋" w:cs="Calibri"/>
          <w:sz w:val="24"/>
          <w:szCs w:val="24"/>
          <w:highlight w:val="none"/>
        </w:rPr>
      </w:r>
      <w:r/>
    </w:p>
    <w:tbl>
      <w:tblPr>
        <w:tblW w:w="976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序号</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产品名称</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品牌</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规格型号</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hint="eastAsia" w:ascii="仿宋" w:hAnsi="仿宋" w:eastAsia="仿宋"/>
                <w:sz w:val="24"/>
                <w:szCs w:val="24"/>
                <w:highlight w:val="none"/>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lang w:val="en-US" w:eastAsia="zh-CN"/>
              </w:rPr>
              <w:t xml:space="preserve">制造商名称</w:t>
            </w:r>
            <w:r>
              <w:rPr>
                <w:rFonts w:hint="eastAsia" w:ascii="仿宋" w:hAnsi="仿宋" w:eastAsia="仿宋"/>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left"/>
              <w:keepLines w:val="0"/>
              <w:keepNext w:val="0"/>
              <w:pageBreakBefore w:val="0"/>
              <w:spacing w:line="340" w:lineRule="exact"/>
              <w:tabs>
                <w:tab w:val="left" w:pos="319" w:leader="none"/>
              </w:tabs>
              <w:rPr>
                <w:rFonts w:hint="eastAsia" w:ascii="仿宋" w:hAnsi="仿宋" w:eastAsia="仿宋"/>
                <w:sz w:val="24"/>
                <w:szCs w:val="24"/>
                <w:highlight w:val="none"/>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lang w:val="en-US" w:eastAsia="zh-CN"/>
              </w:rPr>
              <w:t xml:space="preserve">产地</w:t>
            </w:r>
            <w:r>
              <w:rPr>
                <w:rFonts w:hint="eastAsia" w:ascii="仿宋" w:hAnsi="仿宋" w:eastAsia="仿宋"/>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交付期</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数量</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分项单价</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分项总价</w:t>
            </w:r>
            <w:r>
              <w:rPr>
                <w:rFonts w:ascii="仿宋" w:hAnsi="仿宋" w:eastAsia="仿宋"/>
                <w:sz w:val="24"/>
                <w:szCs w:val="24"/>
                <w:highlight w:val="none"/>
              </w:rPr>
            </w:r>
            <w:r/>
          </w:p>
        </w:tc>
      </w:tr>
      <w:tr>
        <w:trP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1</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2</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3</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4</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5</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6</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7</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8</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9</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914"/>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投标总报价（人民币：元） </w:t>
            </w:r>
            <w:r>
              <w:rPr>
                <w:rFonts w:ascii="仿宋" w:hAnsi="仿宋" w:eastAsia="仿宋"/>
                <w:sz w:val="24"/>
                <w:szCs w:val="24"/>
                <w:highlight w:val="none"/>
              </w:rPr>
            </w:r>
            <w:r/>
          </w:p>
        </w:tc>
      </w:tr>
      <w:tr>
        <w:trP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914"/>
              <w:jc w:val="left"/>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方正魏碑_GBK" w:hAnsi="方正魏碑_GBK" w:eastAsia="方正魏碑_GBK" w:cs="方正魏碑_GBK"/>
                <w:b/>
                <w:bCs/>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highlight w:val="none"/>
                <w:u w:val="single"/>
                <w:lang w:val="en-US" w:eastAsia="zh-CN"/>
              </w:rPr>
              <w:t xml:space="preserve">      </w:t>
            </w:r>
            <w:r>
              <w:rPr>
                <w:rFonts w:hint="eastAsia" w:ascii="方正魏碑_GBK" w:hAnsi="方正魏碑_GBK" w:eastAsia="方正魏碑_GBK" w:cs="方正魏碑_GBK"/>
                <w:b/>
                <w:bCs/>
                <w:color w:val="000000"/>
                <w:sz w:val="28"/>
                <w:szCs w:val="28"/>
                <w:highlight w:val="none"/>
              </w:rPr>
              <w:t xml:space="preserve">%。</w:t>
            </w:r>
            <w:r>
              <w:rPr>
                <w:rFonts w:ascii="仿宋" w:hAnsi="仿宋" w:eastAsia="仿宋"/>
                <w:sz w:val="24"/>
                <w:szCs w:val="24"/>
                <w:highlight w:val="none"/>
              </w:rPr>
            </w:r>
            <w:r/>
          </w:p>
        </w:tc>
      </w:tr>
    </w:tbl>
    <w:p>
      <w:pPr>
        <w:pStyle w:val="914"/>
        <w:ind w:firstLine="41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pStyle w:val="914"/>
        <w:ind w:firstLine="41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、投</w:t>
      </w:r>
      <w:r>
        <w:rPr>
          <w:rFonts w:ascii="仿宋" w:hAnsi="仿宋" w:eastAsia="仿宋"/>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highlight w:val="none"/>
        </w:rPr>
      </w:r>
      <w:r/>
    </w:p>
    <w:p>
      <w:pPr>
        <w:pStyle w:val="914"/>
        <w:numPr>
          <w:ilvl w:val="0"/>
          <w:numId w:val="6"/>
        </w:numPr>
        <w:ind w:firstLine="69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“投标分项报价表”中“投标总报价”数额应当与“开标一览表”中“投标总报价”数额一致。</w:t>
      </w:r>
      <w:r>
        <w:rPr>
          <w:rFonts w:ascii="仿宋" w:hAnsi="仿宋" w:eastAsia="仿宋"/>
          <w:sz w:val="28"/>
          <w:szCs w:val="24"/>
          <w:highlight w:val="none"/>
        </w:rPr>
      </w:r>
      <w:r/>
    </w:p>
    <w:p>
      <w:pPr>
        <w:pStyle w:val="914"/>
        <w:numPr>
          <w:ilvl w:val="0"/>
          <w:numId w:val="6"/>
        </w:numPr>
        <w:ind w:firstLine="69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本采购包中含有多种产品时，</w:t>
      </w:r>
      <w:r>
        <w:rPr>
          <w:rFonts w:hint="eastAsia" w:ascii="仿宋" w:hAnsi="仿宋" w:eastAsia="仿宋"/>
          <w:sz w:val="28"/>
          <w:szCs w:val="24"/>
          <w:highlight w:val="none"/>
          <w:lang w:eastAsia="zh-CN"/>
        </w:rPr>
        <w:t xml:space="preserve">投标人</w:t>
      </w:r>
      <w:r>
        <w:rPr>
          <w:rFonts w:hint="eastAsia" w:ascii="仿宋" w:hAnsi="仿宋" w:eastAsia="仿宋"/>
          <w:sz w:val="28"/>
          <w:szCs w:val="24"/>
          <w:highlight w:val="none"/>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highlight w:val="none"/>
        </w:rPr>
      </w:r>
      <w:r/>
    </w:p>
    <w:p>
      <w:pPr>
        <w:pStyle w:val="914"/>
        <w:numPr>
          <w:ilvl w:val="0"/>
          <w:numId w:val="6"/>
        </w:numPr>
        <w:ind w:firstLine="691"/>
        <w:keepLines w:val="0"/>
        <w:keepNext w:val="0"/>
        <w:pageBreakBefore w:val="0"/>
        <w:spacing w:line="440" w:lineRule="exact"/>
        <w:rPr>
          <w:rFonts w:ascii="仿宋" w:hAnsi="仿宋" w:eastAsia="仿宋"/>
          <w:sz w:val="28"/>
          <w:szCs w:val="24"/>
          <w:highlight w:val="none"/>
        </w:rPr>
        <w:outlineLvl w:val="9"/>
      </w:pPr>
      <w:r>
        <w:rPr>
          <w:rFonts w:hint="eastAsia" w:ascii="仿宋" w:hAnsi="仿宋" w:eastAsia="仿宋"/>
          <w:sz w:val="28"/>
          <w:szCs w:val="24"/>
          <w:highlight w:val="none"/>
        </w:rPr>
        <w:t xml:space="preserve">投标人需认真填写本报价表，尤其注意规格型号的准确填写。</w:t>
      </w:r>
      <w:r>
        <w:rPr>
          <w:rFonts w:ascii="仿宋" w:hAnsi="仿宋" w:eastAsia="仿宋"/>
          <w:sz w:val="28"/>
          <w:szCs w:val="24"/>
          <w:highlight w:val="none"/>
        </w:rPr>
      </w:r>
      <w:r/>
    </w:p>
    <w:p>
      <w:pPr>
        <w:pStyle w:val="914"/>
        <w:jc w:val="center"/>
        <w:keepLines w:val="0"/>
        <w:keepNext w:val="0"/>
        <w:pageBreakBefore w:val="0"/>
        <w:spacing w:line="440" w:lineRule="exact"/>
        <w:rPr>
          <w:rFonts w:hint="eastAsia" w:ascii="仿宋" w:hAnsi="仿宋" w:eastAsia="仿宋"/>
          <w:b/>
          <w:sz w:val="32"/>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四、技术要求</w:t>
      </w:r>
      <w:r>
        <w:rPr>
          <w:rFonts w:hint="eastAsia" w:ascii="仿宋" w:hAnsi="仿宋" w:eastAsia="仿宋"/>
          <w:b/>
          <w:sz w:val="32"/>
          <w:szCs w:val="32"/>
          <w:highlight w:val="none"/>
        </w:rPr>
        <w:t xml:space="preserve">响应</w:t>
      </w:r>
      <w:r>
        <w:rPr>
          <w:rFonts w:hint="eastAsia" w:ascii="仿宋" w:hAnsi="仿宋" w:eastAsia="仿宋"/>
          <w:b/>
          <w:sz w:val="32"/>
          <w:highlight w:val="none"/>
        </w:rPr>
        <w:t xml:space="preserve">偏离表</w:t>
      </w:r>
      <w:r>
        <w:rPr>
          <w:rFonts w:hint="eastAsia" w:ascii="仿宋" w:hAnsi="仿宋" w:eastAsia="仿宋"/>
          <w:b/>
          <w:sz w:val="32"/>
          <w:highlight w:val="none"/>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序号</w:t>
            </w: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项目采购需求中主要技术</w:t>
            </w:r>
            <w:r>
              <w:rPr>
                <w:rFonts w:hint="eastAsia" w:ascii="仿宋" w:hAnsi="仿宋" w:eastAsia="仿宋" w:cs="Arial"/>
                <w:sz w:val="24"/>
                <w:highlight w:val="none"/>
              </w:rPr>
            </w:r>
            <w:r/>
          </w:p>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条款描述</w:t>
            </w: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所投产品规格、型号及相应技术参数描述</w:t>
            </w: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keepLines w:val="0"/>
              <w:keepNext w:val="0"/>
              <w:pageBreakBefore w:val="0"/>
              <w:rPr>
                <w:rFonts w:hint="eastAsia" w:ascii="仿宋" w:hAnsi="仿宋" w:eastAsia="仿宋" w:cs="Arial"/>
                <w:sz w:val="24"/>
                <w:highlight w:val="none"/>
              </w:rPr>
              <w:outlineLvl w:val="9"/>
            </w:pPr>
            <w:r>
              <w:rPr>
                <w:rFonts w:ascii="仿宋" w:hAnsi="仿宋" w:eastAsia="仿宋" w:cs="Arial"/>
                <w:sz w:val="24"/>
                <w:highlight w:val="none"/>
              </w:rPr>
              <w:t xml:space="preserve">偏离</w:t>
            </w:r>
            <w:r>
              <w:rPr>
                <w:rFonts w:hint="eastAsia" w:ascii="仿宋" w:hAnsi="仿宋" w:eastAsia="仿宋" w:cs="Arial"/>
                <w:sz w:val="24"/>
                <w:highlight w:val="none"/>
              </w:rPr>
              <w:t xml:space="preserve">情况</w:t>
            </w: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备注</w:t>
            </w: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bl>
    <w:p>
      <w:pPr>
        <w:pStyle w:val="893"/>
        <w:keepLines w:val="0"/>
        <w:keepNext w:val="0"/>
        <w:pageBreakBefore w:val="0"/>
        <w:spacing w:line="4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）是否偏离用符号</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分别表示正偏离、完全响应、负偏离。</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keepLines w:val="0"/>
        <w:keepNext w:val="0"/>
        <w:pageBreakBefore w:val="0"/>
        <w:spacing w:line="440" w:lineRule="exact"/>
        <w:rPr>
          <w:rFonts w:hint="eastAsia" w:ascii="宋体" w:hAnsi="宋体"/>
          <w:b/>
          <w:sz w:val="32"/>
          <w:szCs w:val="32"/>
          <w:highlight w:val="none"/>
        </w:rPr>
        <w:outlineLvl w:val="9"/>
      </w:pPr>
      <w:r>
        <w:rPr>
          <w:rFonts w:hint="eastAsia" w:ascii="仿宋" w:hAnsi="仿宋" w:eastAsia="仿宋"/>
          <w:sz w:val="28"/>
          <w:szCs w:val="28"/>
          <w:highlight w:val="none"/>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highlight w:val="none"/>
        </w:rPr>
      </w:r>
      <w:r/>
    </w:p>
    <w:p>
      <w:pPr>
        <w:pStyle w:val="914"/>
        <w:ind w:firstLine="0"/>
        <w:jc w:val="center"/>
        <w:keepLines w:val="0"/>
        <w:keepNext w:val="0"/>
        <w:pageBreakBefore w:val="0"/>
        <w:spacing w:line="520" w:lineRule="exact"/>
        <w:widowControl w:val="off"/>
        <w:rPr>
          <w:rFonts w:hint="eastAsia" w:ascii="仿宋" w:hAnsi="仿宋" w:eastAsia="仿宋"/>
          <w:b/>
          <w:bCs/>
          <w:sz w:val="32"/>
          <w:szCs w:val="32"/>
          <w:highlight w:val="none"/>
        </w:rPr>
        <w:outlineLvl w:val="9"/>
      </w:pPr>
      <w:r/>
      <w:bookmarkEnd w:id="36"/>
      <w:r>
        <w:rPr>
          <w:rFonts w:hint="eastAsia" w:ascii="仿宋" w:hAnsi="仿宋" w:eastAsia="仿宋"/>
          <w:b/>
          <w:bCs/>
          <w:sz w:val="32"/>
          <w:highlight w:val="none"/>
        </w:rPr>
        <w:br w:type="page" w:clear="all"/>
      </w:r>
      <w:r>
        <w:rPr>
          <w:rFonts w:hint="eastAsia" w:ascii="仿宋" w:hAnsi="仿宋" w:eastAsia="仿宋"/>
          <w:b/>
          <w:bCs/>
          <w:sz w:val="32"/>
          <w:highlight w:val="none"/>
        </w:rPr>
        <w:t xml:space="preserve">五、</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rPr>
          <w:rFonts w:hint="eastAsia" w:ascii="仿宋" w:hAnsi="仿宋" w:eastAsia="仿宋"/>
          <w:b/>
          <w:bCs/>
          <w:sz w:val="32"/>
          <w:szCs w:val="32"/>
          <w:highlight w:val="none"/>
        </w:rPr>
      </w:r>
      <w:r/>
    </w:p>
    <w:p>
      <w:pPr>
        <w:pStyle w:val="914"/>
        <w:ind w:firstLine="551"/>
        <w:keepLines w:val="0"/>
        <w:keepNext w:val="0"/>
        <w:pageBreakBefore w:val="0"/>
        <w:spacing w:line="520" w:lineRule="exact"/>
        <w:rPr>
          <w:rFonts w:hint="eastAsia" w:ascii="仿宋" w:hAnsi="仿宋" w:eastAsia="仿宋"/>
          <w:b/>
          <w:bCs/>
          <w:sz w:val="32"/>
          <w:szCs w:val="32"/>
          <w:highlight w:val="none"/>
        </w:rPr>
        <w:outlineLvl w:val="9"/>
      </w:pPr>
      <w:r>
        <w:rPr>
          <w:rFonts w:hint="eastAsia" w:ascii="仿宋" w:hAnsi="仿宋" w:eastAsia="仿宋"/>
          <w:sz w:val="28"/>
          <w:szCs w:val="28"/>
          <w:highlight w:val="none"/>
        </w:rPr>
        <w:t xml:space="preserve">1、提供下列材料之一:</w:t>
      </w:r>
      <w:r>
        <w:rPr>
          <w:rFonts w:hint="eastAsia" w:ascii="仿宋" w:hAnsi="仿宋" w:eastAsia="仿宋"/>
          <w:b/>
          <w:bCs/>
          <w:sz w:val="32"/>
          <w:szCs w:val="32"/>
          <w:highlight w:val="none"/>
        </w:rPr>
      </w:r>
      <w:r/>
    </w:p>
    <w:p>
      <w:pPr>
        <w:pStyle w:val="893"/>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（1）投标人</w:t>
      </w:r>
      <w:r>
        <w:rPr>
          <w:rFonts w:hint="eastAsia" w:ascii="仿宋" w:hAnsi="仿宋" w:eastAsia="仿宋"/>
          <w:sz w:val="28"/>
          <w:szCs w:val="28"/>
          <w:highlight w:val="none"/>
        </w:rPr>
        <w:t xml:space="preserve">提供</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893"/>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（2）投标人提供授权委托书（格式详见示范格式二）和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893"/>
        <w:ind w:firstLine="700"/>
        <w:keepLines w:val="0"/>
        <w:keepNext w:val="0"/>
        <w:pageBreakBefore w:val="0"/>
        <w:spacing w:line="520" w:lineRule="exact"/>
        <w:rPr>
          <w:rFonts w:hint="eastAsia" w:ascii="仿宋" w:hAnsi="仿宋" w:eastAsia="仿宋"/>
          <w:sz w:val="28"/>
          <w:highlight w:val="none"/>
          <w:lang w:val="zh-CN"/>
        </w:rPr>
        <w:outlineLvl w:val="9"/>
      </w:pPr>
      <w:r>
        <w:rPr>
          <w:rFonts w:hint="eastAsia" w:ascii="仿宋" w:hAnsi="仿宋" w:eastAsia="仿宋"/>
          <w:sz w:val="28"/>
          <w:highlight w:val="none"/>
        </w:rPr>
        <w:t xml:space="preserve">2、投标人符合《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rPr>
          <w:rFonts w:hint="eastAsia" w:ascii="仿宋" w:hAnsi="仿宋" w:eastAsia="仿宋"/>
          <w:sz w:val="28"/>
          <w:highlight w:val="none"/>
          <w:lang w:val="zh-CN"/>
        </w:rPr>
      </w:r>
      <w:r/>
    </w:p>
    <w:p>
      <w:pPr>
        <w:pStyle w:val="893"/>
        <w:ind w:firstLine="70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（1）企业声明函（详见示范格式四）；</w:t>
      </w:r>
      <w:r>
        <w:rPr>
          <w:rFonts w:hint="eastAsia" w:ascii="仿宋" w:hAnsi="仿宋" w:eastAsia="仿宋"/>
          <w:bCs/>
          <w:sz w:val="28"/>
          <w:szCs w:val="28"/>
          <w:highlight w:val="none"/>
        </w:rPr>
      </w:r>
      <w:r/>
    </w:p>
    <w:p>
      <w:pPr>
        <w:pStyle w:val="893"/>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（2）《残疾人福利性单位声明函》（详见示范格式五）；</w:t>
      </w:r>
      <w:r>
        <w:rPr>
          <w:rFonts w:hint="eastAsia" w:ascii="仿宋" w:hAnsi="仿宋" w:eastAsia="仿宋"/>
          <w:bCs/>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sz w:val="28"/>
          <w:szCs w:val="28"/>
          <w:highlight w:val="none"/>
        </w:rPr>
      </w:r>
      <w:r/>
    </w:p>
    <w:p>
      <w:pPr>
        <w:pStyle w:val="893"/>
        <w:ind w:firstLine="723"/>
        <w:jc w:val="center"/>
        <w:keepLines w:val="0"/>
        <w:keepNext w:val="0"/>
        <w:pageBreakBefore w:val="0"/>
        <w:spacing w:line="520" w:lineRule="exact"/>
        <w:rPr>
          <w:rFonts w:hint="eastAsia" w:ascii="仿宋" w:hAnsi="仿宋" w:eastAsia="仿宋" w:cs="Arial"/>
          <w:b/>
          <w:bCs/>
          <w:sz w:val="32"/>
          <w:highlight w:val="none"/>
        </w:rPr>
        <w:outlineLvl w:val="9"/>
      </w:pPr>
      <w:r>
        <w:rPr>
          <w:rFonts w:ascii="宋体" w:hAnsi="宋体"/>
          <w:b/>
          <w:sz w:val="36"/>
          <w:highlight w:val="none"/>
        </w:rPr>
        <w:br w:type="page" w:clear="all"/>
      </w:r>
      <w:bookmarkStart w:id="37" w:name="_Toc157775454"/>
      <w:r>
        <w:rPr>
          <w:rFonts w:hint="eastAsia" w:ascii="仿宋" w:hAnsi="仿宋" w:eastAsia="仿宋" w:cs="Arial"/>
          <w:b/>
          <w:bCs/>
          <w:sz w:val="32"/>
          <w:highlight w:val="none"/>
        </w:rPr>
        <w:t xml:space="preserve">六、综合评分时投标人需提供的证明文件</w:t>
      </w:r>
      <w:r>
        <w:rPr>
          <w:rFonts w:hint="eastAsia" w:ascii="仿宋" w:hAnsi="仿宋" w:eastAsia="仿宋" w:cs="Arial"/>
          <w:b/>
          <w:bCs/>
          <w:sz w:val="32"/>
          <w:highlight w:val="none"/>
        </w:rPr>
      </w:r>
      <w:r/>
    </w:p>
    <w:p>
      <w:pPr>
        <w:pStyle w:val="893"/>
        <w:ind w:firstLine="840"/>
        <w:keepLines w:val="0"/>
        <w:keepNext w:val="0"/>
        <w:pageBreakBefore w:val="0"/>
        <w:spacing w:line="520" w:lineRule="exact"/>
        <w:rPr>
          <w:rFonts w:hint="eastAsia" w:ascii="宋体" w:hAnsi="宋体"/>
          <w:b/>
          <w:sz w:val="36"/>
          <w:highlight w:val="none"/>
        </w:rPr>
        <w:outlineLvl w:val="9"/>
      </w:pPr>
      <w:r>
        <w:rPr>
          <w:rFonts w:hint="eastAsia" w:ascii="仿宋" w:hAnsi="仿宋" w:eastAsia="仿宋" w:cs="楷体_GB2312"/>
          <w:sz w:val="28"/>
          <w:szCs w:val="28"/>
          <w:highlight w:val="none"/>
          <w:lang w:val="zh-CN"/>
        </w:rPr>
        <w:t xml:space="preserve">（投标人根据第三章的要求提供相关材料）</w:t>
      </w:r>
      <w:r>
        <w:rPr>
          <w:rFonts w:hint="eastAsia" w:ascii="宋体" w:hAnsi="宋体"/>
          <w:b/>
          <w:sz w:val="36"/>
          <w:highlight w:val="none"/>
        </w:rPr>
      </w:r>
      <w:r/>
    </w:p>
    <w:p>
      <w:pPr>
        <w:pStyle w:val="893"/>
        <w:ind w:firstLine="0"/>
        <w:jc w:val="center"/>
        <w:keepLines w:val="0"/>
        <w:keepNext w:val="0"/>
        <w:pageBreakBefore w:val="0"/>
        <w:spacing w:line="4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七、示范格式</w:t>
      </w:r>
      <w:r>
        <w:rPr>
          <w:rFonts w:hint="eastAsia" w:ascii="仿宋" w:hAnsi="仿宋" w:eastAsia="仿宋"/>
          <w:b/>
          <w:sz w:val="32"/>
          <w:szCs w:val="32"/>
          <w:highlight w:val="none"/>
        </w:rPr>
      </w:r>
      <w:r/>
    </w:p>
    <w:p>
      <w:pPr>
        <w:pStyle w:val="893"/>
        <w:keepLines w:val="0"/>
        <w:keepNext w:val="0"/>
        <w:pageBreakBefore w:val="0"/>
        <w:spacing w:line="44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示范格式一                 </w:t>
      </w:r>
      <w:r>
        <w:rPr>
          <w:rFonts w:hint="eastAsia" w:ascii="仿宋" w:hAnsi="仿宋" w:eastAsia="仿宋"/>
          <w:b/>
          <w:sz w:val="32"/>
          <w:szCs w:val="32"/>
          <w:highlight w:val="none"/>
        </w:rPr>
      </w:r>
      <w:r/>
    </w:p>
    <w:p>
      <w:pPr>
        <w:pStyle w:val="893"/>
        <w:ind w:firstLine="2570"/>
        <w:keepLines w:val="0"/>
        <w:keepNext w:val="0"/>
        <w:pageBreakBefore w:val="0"/>
        <w:spacing w:line="440" w:lineRule="exact"/>
        <w:rPr>
          <w:rFonts w:hint="eastAsia" w:ascii="仿宋" w:hAnsi="仿宋" w:eastAsia="仿宋" w:cs="Arial"/>
          <w:b/>
          <w:bCs/>
          <w:sz w:val="32"/>
          <w:highlight w:val="none"/>
        </w:rPr>
        <w:outlineLvl w:val="9"/>
      </w:pPr>
      <w:r>
        <w:rPr>
          <w:rFonts w:hint="eastAsia" w:ascii="仿宋" w:hAnsi="仿宋" w:eastAsia="仿宋" w:cs="Arial"/>
          <w:b/>
          <w:bCs/>
          <w:sz w:val="32"/>
          <w:highlight w:val="none"/>
        </w:rPr>
      </w:r>
      <w:r/>
    </w:p>
    <w:p>
      <w:pPr>
        <w:pStyle w:val="893"/>
        <w:ind w:firstLine="2891"/>
        <w:keepLines w:val="0"/>
        <w:keepNext w:val="0"/>
        <w:pageBreakBefore w:val="0"/>
        <w:spacing w:line="640" w:lineRule="exact"/>
        <w:rPr>
          <w:rFonts w:ascii="仿宋" w:hAnsi="仿宋" w:eastAsia="仿宋" w:cs="楷体_GB2312"/>
          <w:b/>
          <w:bCs/>
          <w:sz w:val="32"/>
          <w:szCs w:val="32"/>
          <w:highlight w:val="none"/>
          <w:lang w:val="zh-CN"/>
        </w:rPr>
        <w:outlineLvl w:val="9"/>
      </w:pPr>
      <w:r/>
      <w:bookmarkEnd w:id="37"/>
      <w:r>
        <w:rPr>
          <w:rFonts w:hint="eastAsia" w:ascii="仿宋" w:hAnsi="仿宋" w:eastAsia="仿宋" w:cs="楷体_GB2312"/>
          <w:b/>
          <w:bCs/>
          <w:sz w:val="32"/>
          <w:szCs w:val="32"/>
          <w:highlight w:val="none"/>
          <w:lang w:val="zh-CN"/>
        </w:rPr>
        <w:t xml:space="preserve">法定代表人资格证明</w:t>
      </w:r>
      <w:r>
        <w:rPr>
          <w:rFonts w:ascii="仿宋" w:hAnsi="仿宋" w:eastAsia="仿宋" w:cs="楷体_GB2312"/>
          <w:b/>
          <w:bCs/>
          <w:sz w:val="32"/>
          <w:szCs w:val="32"/>
          <w:highlight w:val="none"/>
          <w:lang w:val="zh-CN"/>
        </w:rPr>
      </w:r>
      <w:r/>
    </w:p>
    <w:p>
      <w:pPr>
        <w:pStyle w:val="893"/>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单位名称:</w:t>
      </w:r>
      <w:r>
        <w:rPr>
          <w:rFonts w:ascii="仿宋" w:hAnsi="仿宋" w:eastAsia="仿宋" w:cs="楷体_GB2312"/>
          <w:sz w:val="28"/>
          <w:szCs w:val="28"/>
          <w:highlight w:val="none"/>
          <w:lang w:val="zh-CN"/>
        </w:rPr>
      </w:r>
      <w:r/>
    </w:p>
    <w:p>
      <w:pPr>
        <w:pStyle w:val="893"/>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地址:</w:t>
      </w:r>
      <w:r>
        <w:rPr>
          <w:rFonts w:ascii="仿宋" w:hAnsi="仿宋" w:eastAsia="仿宋" w:cs="楷体_GB2312"/>
          <w:sz w:val="28"/>
          <w:szCs w:val="28"/>
          <w:highlight w:val="none"/>
          <w:lang w:val="zh-CN"/>
        </w:rPr>
      </w:r>
      <w:r/>
    </w:p>
    <w:p>
      <w:pPr>
        <w:pStyle w:val="893"/>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rPr>
          <w:rFonts w:ascii="仿宋" w:hAnsi="仿宋" w:eastAsia="仿宋" w:cs="楷体_GB2312"/>
          <w:sz w:val="28"/>
          <w:szCs w:val="28"/>
          <w:highlight w:val="none"/>
          <w:lang w:val="zh-CN"/>
        </w:rPr>
      </w:r>
      <w:r/>
    </w:p>
    <w:p>
      <w:pPr>
        <w:pStyle w:val="893"/>
        <w:ind w:left="1"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rPr>
          <w:rFonts w:hint="eastAsia" w:ascii="仿宋" w:hAnsi="仿宋" w:eastAsia="仿宋"/>
          <w:sz w:val="28"/>
          <w:highlight w:val="none"/>
        </w:rPr>
      </w:r>
      <w:r/>
    </w:p>
    <w:p>
      <w:pPr>
        <w:pStyle w:val="893"/>
        <w:ind w:firstLine="280"/>
        <w:keepLines w:val="0"/>
        <w:keepNext w:val="0"/>
        <w:pageBreakBefore w:val="0"/>
        <w:spacing w:line="640" w:lineRule="exact"/>
        <w:rPr>
          <w:rFonts w:ascii="仿宋" w:hAnsi="仿宋" w:eastAsia="仿宋" w:cs="楷体_GB2312"/>
          <w:sz w:val="28"/>
          <w:szCs w:val="28"/>
          <w:highlight w:val="none"/>
        </w:rPr>
        <w:outlineLvl w:val="9"/>
      </w:pPr>
      <w:r>
        <w:rPr>
          <w:rFonts w:ascii="仿宋" w:hAnsi="仿宋" w:eastAsia="仿宋" w:cs="楷体_GB2312"/>
          <w:sz w:val="28"/>
          <w:szCs w:val="28"/>
          <w:highlight w:val="none"/>
        </w:rPr>
      </w:r>
      <w:r/>
    </w:p>
    <w:p>
      <w:pPr>
        <w:pStyle w:val="893"/>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r>
      <w:r/>
    </w:p>
    <w:p>
      <w:pPr>
        <w:pStyle w:val="893"/>
        <w:ind w:firstLine="280"/>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特此证明。</w:t>
      </w:r>
      <w:r>
        <w:rPr>
          <w:rFonts w:ascii="仿宋" w:hAnsi="仿宋" w:eastAsia="仿宋" w:cs="楷体_GB2312"/>
          <w:sz w:val="28"/>
          <w:szCs w:val="28"/>
          <w:highlight w:val="none"/>
          <w:lang w:val="zh-CN"/>
        </w:rPr>
      </w:r>
      <w:r/>
    </w:p>
    <w:p>
      <w:pPr>
        <w:pStyle w:val="893"/>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r>
      <w:r/>
    </w:p>
    <w:p>
      <w:pPr>
        <w:pStyle w:val="893"/>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rPr>
          <w:rFonts w:ascii="仿宋" w:hAnsi="仿宋" w:eastAsia="仿宋" w:cs="楷体_GB2312"/>
          <w:sz w:val="28"/>
          <w:szCs w:val="28"/>
          <w:highlight w:val="none"/>
          <w:lang w:val="zh-CN"/>
        </w:rPr>
      </w:r>
      <w:r/>
    </w:p>
    <w:p>
      <w:pPr>
        <w:pStyle w:val="893"/>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965"/>
        <w:ind w:left="4760" w:right="560" w:hanging="1820"/>
        <w:keepLines w:val="0"/>
        <w:keepNext w:val="0"/>
        <w:pageBreakBefore w:val="0"/>
        <w:spacing w:before="0" w:after="0" w:line="52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r>
      <w:r/>
    </w:p>
    <w:p>
      <w:pPr>
        <w:pStyle w:val="893"/>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lang w:val="zh-CN"/>
        </w:rPr>
      </w:r>
      <w:r/>
    </w:p>
    <w:p>
      <w:pPr>
        <w:pStyle w:val="893"/>
        <w:ind w:firstLine="560"/>
        <w:keepLines w:val="0"/>
        <w:keepNext w:val="0"/>
        <w:pageBreakBefore w:val="0"/>
        <w:spacing w:line="640" w:lineRule="exact"/>
        <w:rPr>
          <w:rFonts w:hint="eastAsia" w:ascii="仿宋" w:hAnsi="仿宋" w:eastAsia="仿宋"/>
          <w:b/>
          <w:sz w:val="32"/>
          <w:highlight w:val="none"/>
        </w:rPr>
        <w:outlineLvl w:val="9"/>
      </w:pPr>
      <w:r>
        <w:rPr>
          <w:rFonts w:hint="eastAsia" w:ascii="仿宋" w:hAnsi="仿宋" w:eastAsia="仿宋"/>
          <w:bCs/>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rPr>
          <w:rFonts w:hint="eastAsia" w:ascii="仿宋" w:hAnsi="仿宋" w:eastAsia="仿宋"/>
          <w:b/>
          <w:sz w:val="32"/>
          <w:highlight w:val="none"/>
        </w:rPr>
      </w:r>
      <w:r/>
    </w:p>
    <w:p>
      <w:pPr>
        <w:pStyle w:val="893"/>
        <w:ind w:left="-359" w:firstLine="357"/>
        <w:keepLines w:val="0"/>
        <w:keepNext w:val="0"/>
        <w:pageBreakBefore w:val="0"/>
        <w:spacing w:line="640" w:lineRule="exact"/>
        <w:rPr>
          <w:rFonts w:hint="eastAsia" w:ascii="仿宋" w:hAnsi="仿宋" w:eastAsia="仿宋"/>
          <w:b/>
          <w:color w:val="000000"/>
          <w:sz w:val="28"/>
          <w:szCs w:val="28"/>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示范格式二</w:t>
      </w:r>
      <w:r>
        <w:rPr>
          <w:rFonts w:hint="eastAsia" w:ascii="仿宋" w:hAnsi="仿宋" w:eastAsia="仿宋"/>
          <w:b/>
          <w:color w:val="000000"/>
          <w:sz w:val="28"/>
          <w:szCs w:val="28"/>
          <w:highlight w:val="none"/>
        </w:rPr>
      </w:r>
      <w:r/>
    </w:p>
    <w:p>
      <w:pPr>
        <w:pStyle w:val="893"/>
        <w:ind w:firstLine="3213"/>
        <w:keepLines w:val="0"/>
        <w:keepNext w:val="0"/>
        <w:pageBreakBefore w:val="0"/>
        <w:spacing w:line="520" w:lineRule="exact"/>
        <w:rPr>
          <w:rFonts w:hint="eastAsia" w:ascii="仿宋" w:hAnsi="仿宋" w:eastAsia="仿宋"/>
          <w:b/>
          <w:bCs/>
          <w:sz w:val="28"/>
          <w:highlight w:val="none"/>
        </w:rPr>
        <w:outlineLvl w:val="9"/>
      </w:pPr>
      <w:r>
        <w:rPr>
          <w:rFonts w:hint="eastAsia" w:ascii="仿宋" w:hAnsi="仿宋" w:eastAsia="仿宋"/>
          <w:b/>
          <w:bCs/>
          <w:sz w:val="32"/>
          <w:highlight w:val="none"/>
        </w:rPr>
        <w:t xml:space="preserve">授权委托书</w:t>
      </w:r>
      <w:r>
        <w:rPr>
          <w:rFonts w:hint="eastAsia" w:ascii="仿宋" w:hAnsi="仿宋" w:eastAsia="仿宋"/>
          <w:b/>
          <w:bCs/>
          <w:sz w:val="28"/>
          <w:highlight w:val="none"/>
        </w:rPr>
      </w:r>
      <w:r/>
    </w:p>
    <w:p>
      <w:pPr>
        <w:pStyle w:val="893"/>
        <w:keepLines w:val="0"/>
        <w:keepNext w:val="0"/>
        <w:pageBreakBefore w:val="0"/>
        <w:spacing w:line="520" w:lineRule="exact"/>
        <w:rPr>
          <w:rFonts w:hint="eastAsia" w:ascii="仿宋" w:hAnsi="仿宋" w:eastAsia="仿宋"/>
          <w:bCs/>
          <w:color w:val="000000"/>
          <w:sz w:val="30"/>
          <w:szCs w:val="28"/>
          <w:highlight w:val="none"/>
        </w:rPr>
        <w:outlineLvl w:val="9"/>
      </w:pPr>
      <w:r>
        <w:rPr>
          <w:rFonts w:hint="eastAsia" w:ascii="仿宋" w:hAnsi="仿宋" w:eastAsia="仿宋"/>
          <w:bCs/>
          <w:color w:val="000000"/>
          <w:sz w:val="30"/>
          <w:szCs w:val="28"/>
          <w:highlight w:val="none"/>
        </w:rPr>
        <w:t xml:space="preserve">致淮安市政府采购中心:</w:t>
      </w:r>
      <w:r>
        <w:rPr>
          <w:rFonts w:hint="eastAsia" w:ascii="仿宋" w:hAnsi="仿宋" w:eastAsia="仿宋"/>
          <w:bCs/>
          <w:color w:val="000000"/>
          <w:sz w:val="30"/>
          <w:szCs w:val="28"/>
          <w:highlight w:val="none"/>
        </w:rPr>
      </w:r>
      <w:r/>
    </w:p>
    <w:p>
      <w:pPr>
        <w:pStyle w:val="893"/>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本授权书宣告:</w:t>
      </w:r>
      <w:r>
        <w:rPr>
          <w:rFonts w:hint="eastAsia" w:ascii="仿宋" w:hAnsi="仿宋" w:eastAsia="仿宋"/>
          <w:color w:val="000000"/>
          <w:sz w:val="28"/>
          <w:szCs w:val="28"/>
          <w:highlight w:val="none"/>
        </w:rPr>
      </w:r>
      <w:r/>
    </w:p>
    <w:p>
      <w:pPr>
        <w:pStyle w:val="893"/>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93"/>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893"/>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rPr>
      </w:r>
      <w:r/>
    </w:p>
    <w:p>
      <w:pPr>
        <w:pStyle w:val="893"/>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93"/>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93"/>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代表我公司参加淮安市政府采购中心组织的（项目编号: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highlight w:val="none"/>
        </w:rPr>
      </w:r>
      <w:r/>
    </w:p>
    <w:p>
      <w:pPr>
        <w:pStyle w:val="893"/>
        <w:keepLines w:val="0"/>
        <w:keepNext w:val="0"/>
        <w:pageBreakBefore w:val="0"/>
        <w:spacing w:line="520" w:lineRule="exact"/>
        <w:rPr>
          <w:rFonts w:hint="eastAsia" w:ascii="仿宋" w:hAnsi="仿宋" w:eastAsia="仿宋" w:cs="宋体"/>
          <w:color w:val="000000"/>
          <w:sz w:val="28"/>
          <w:szCs w:val="28"/>
          <w:highlight w:val="none"/>
        </w:rPr>
        <w:outlineLvl w:val="9"/>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highlight w:val="none"/>
        </w:rPr>
      </w:r>
      <w:r/>
    </w:p>
    <w:p>
      <w:pPr>
        <w:pStyle w:val="893"/>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委托期限:至上述事宜处理完毕止。</w:t>
      </w:r>
      <w:r>
        <w:rPr>
          <w:rFonts w:hint="eastAsia" w:ascii="仿宋" w:hAnsi="仿宋" w:eastAsia="仿宋"/>
          <w:color w:val="000000"/>
          <w:sz w:val="28"/>
          <w:szCs w:val="28"/>
          <w:highlight w:val="none"/>
        </w:rPr>
      </w:r>
      <w:r/>
    </w:p>
    <w:p>
      <w:pPr>
        <w:pStyle w:val="893"/>
        <w:ind w:firstLine="600"/>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b/>
          <w:color w:val="000000"/>
          <w:sz w:val="28"/>
          <w:szCs w:val="28"/>
          <w:highlight w:val="none"/>
        </w:rPr>
      </w:r>
      <w:r/>
    </w:p>
    <w:p>
      <w:pPr>
        <w:pStyle w:val="893"/>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pStyle w:val="893"/>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893"/>
        <w:keepLines w:val="0"/>
        <w:keepNext w:val="0"/>
        <w:pageBreakBefore w:val="0"/>
        <w:spacing w:line="520" w:lineRule="exact"/>
        <w:rPr>
          <w:rFonts w:hint="eastAsia" w:ascii="仿宋" w:hAnsi="仿宋" w:eastAsia="仿宋" w:cs="楷体_GB2312"/>
          <w:sz w:val="28"/>
          <w:szCs w:val="28"/>
          <w:highlight w:val="none"/>
          <w:lang w:val="zh-CN"/>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893"/>
        <w:ind w:left="-359" w:firstLine="548"/>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r>
      <w:r/>
    </w:p>
    <w:p>
      <w:pPr>
        <w:pStyle w:val="893"/>
        <w:ind w:firstLine="560"/>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Cs/>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rPr>
          <w:rFonts w:hint="eastAsia" w:ascii="仿宋" w:hAnsi="仿宋" w:eastAsia="仿宋"/>
          <w:b/>
          <w:sz w:val="32"/>
          <w:szCs w:val="32"/>
          <w:highlight w:val="none"/>
        </w:rPr>
      </w:r>
      <w:r/>
    </w:p>
    <w:p>
      <w:pPr>
        <w:pStyle w:val="893"/>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示范格式三</w:t>
      </w:r>
      <w:r>
        <w:rPr>
          <w:rFonts w:hint="eastAsia" w:ascii="仿宋" w:hAnsi="仿宋" w:eastAsia="仿宋"/>
          <w:b/>
          <w:sz w:val="32"/>
          <w:szCs w:val="32"/>
          <w:highlight w:val="none"/>
        </w:rPr>
      </w:r>
      <w:r/>
    </w:p>
    <w:p>
      <w:pPr>
        <w:pStyle w:val="893"/>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93"/>
        <w:jc w:val="center"/>
        <w:keepLines w:val="0"/>
        <w:keepNext w:val="0"/>
        <w:pageBreakBefore w:val="0"/>
        <w:spacing w:line="520" w:lineRule="exact"/>
        <w:rPr>
          <w:rFonts w:hint="eastAsia" w:ascii="仿宋" w:hAnsi="仿宋" w:eastAsia="仿宋"/>
          <w:b/>
          <w:bCs/>
          <w:sz w:val="32"/>
          <w:highlight w:val="none"/>
        </w:rPr>
        <w:outlineLvl w:val="9"/>
      </w:pPr>
      <w:r>
        <w:rPr>
          <w:rFonts w:hint="eastAsia" w:ascii="仿宋" w:hAnsi="仿宋" w:eastAsia="仿宋"/>
          <w:b/>
          <w:bCs/>
          <w:sz w:val="32"/>
          <w:highlight w:val="none"/>
        </w:rPr>
        <w:t xml:space="preserve">符合《中华人民共和国政府采购法》第二十二条规定条件的声明函</w:t>
      </w:r>
      <w:r>
        <w:rPr>
          <w:rFonts w:hint="eastAsia" w:ascii="仿宋" w:hAnsi="仿宋" w:eastAsia="仿宋"/>
          <w:b/>
          <w:bCs/>
          <w:sz w:val="32"/>
          <w:highlight w:val="none"/>
        </w:rPr>
      </w:r>
      <w:r/>
    </w:p>
    <w:p>
      <w:pPr>
        <w:pStyle w:val="901"/>
        <w:ind w:firstLine="0"/>
        <w:keepLines w:val="0"/>
        <w:keepNext w:val="0"/>
        <w:pageBreakBefore w:val="0"/>
        <w:spacing w:line="7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893"/>
        <w:ind w:firstLine="84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893"/>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1、我单位具有独立承担民事责任的能力；</w:t>
      </w:r>
      <w:r>
        <w:rPr>
          <w:rFonts w:hint="eastAsia" w:ascii="仿宋" w:hAnsi="仿宋" w:eastAsia="仿宋"/>
          <w:color w:val="000000"/>
          <w:sz w:val="28"/>
          <w:szCs w:val="28"/>
          <w:highlight w:val="none"/>
        </w:rPr>
      </w:r>
      <w:r/>
    </w:p>
    <w:p>
      <w:pPr>
        <w:pStyle w:val="893"/>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2、我单位具有良好的商业信誉和健全的财务会计制度；</w:t>
      </w:r>
      <w:r>
        <w:rPr>
          <w:rFonts w:hint="eastAsia" w:ascii="仿宋" w:hAnsi="仿宋" w:eastAsia="仿宋"/>
          <w:color w:val="000000"/>
          <w:sz w:val="28"/>
          <w:szCs w:val="28"/>
          <w:highlight w:val="none"/>
        </w:rPr>
      </w:r>
      <w:r/>
    </w:p>
    <w:p>
      <w:pPr>
        <w:pStyle w:val="893"/>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3、我单位具有履行合同所必需的设备和专业技术能力；</w:t>
      </w:r>
      <w:r>
        <w:rPr>
          <w:rFonts w:hint="eastAsia" w:ascii="仿宋" w:hAnsi="仿宋" w:eastAsia="仿宋"/>
          <w:color w:val="000000"/>
          <w:sz w:val="28"/>
          <w:szCs w:val="28"/>
          <w:highlight w:val="none"/>
        </w:rPr>
      </w:r>
      <w:r/>
    </w:p>
    <w:p>
      <w:pPr>
        <w:pStyle w:val="893"/>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4、我单位有依法缴纳税收和社会保障资金的良好记录；</w:t>
      </w:r>
      <w:r>
        <w:rPr>
          <w:rFonts w:hint="eastAsia" w:ascii="仿宋" w:hAnsi="仿宋" w:eastAsia="仿宋"/>
          <w:color w:val="000000"/>
          <w:sz w:val="28"/>
          <w:szCs w:val="28"/>
          <w:highlight w:val="none"/>
        </w:rPr>
      </w:r>
      <w:r/>
    </w:p>
    <w:p>
      <w:pPr>
        <w:pStyle w:val="893"/>
        <w:ind w:firstLine="560"/>
        <w:jc w:val="left"/>
        <w:keepLines w:val="0"/>
        <w:keepNext w:val="0"/>
        <w:pageBreakBefore w:val="0"/>
        <w:spacing w:line="640" w:lineRule="exact"/>
        <w:rPr>
          <w:rFonts w:ascii="仿宋" w:hAnsi="仿宋" w:eastAsia="仿宋" w:cs="仿宋"/>
          <w:color w:val="000000"/>
          <w:sz w:val="28"/>
          <w:szCs w:val="28"/>
          <w:highlight w:val="none"/>
        </w:rPr>
        <w:outlineLvl w:val="9"/>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893"/>
        <w:ind w:firstLine="63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6、我单位满足法律、行政法规规定的其他条件。</w:t>
      </w:r>
      <w:r>
        <w:rPr>
          <w:rFonts w:hint="eastAsia" w:ascii="仿宋" w:hAnsi="仿宋" w:eastAsia="仿宋"/>
          <w:color w:val="000000"/>
          <w:sz w:val="28"/>
          <w:szCs w:val="28"/>
          <w:highlight w:val="none"/>
        </w:rPr>
      </w:r>
      <w:r/>
    </w:p>
    <w:p>
      <w:pPr>
        <w:pStyle w:val="893"/>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893"/>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893"/>
        <w:jc w:val="right"/>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893"/>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b/>
          <w:sz w:val="32"/>
          <w:szCs w:val="32"/>
          <w:highlight w:val="none"/>
        </w:rPr>
      </w:r>
      <w:r/>
    </w:p>
    <w:p>
      <w:pPr>
        <w:pStyle w:val="893"/>
        <w:keepLines w:val="0"/>
        <w:keepNext w:val="0"/>
        <w:pageBreakBefore w:val="0"/>
        <w:rPr>
          <w:rFonts w:hint="eastAsia" w:ascii="仿宋" w:hAnsi="仿宋" w:eastAsia="仿宋"/>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893"/>
        <w:numPr>
          <w:ilvl w:val="0"/>
          <w:numId w:val="0"/>
        </w:numPr>
        <w:jc w:val="center"/>
        <w:keepLines w:val="0"/>
        <w:keepNext w:val="0"/>
        <w:pageBreakBefore w:val="0"/>
        <w:rPr>
          <w:rFonts w:hint="eastAsia" w:ascii="仿宋" w:hAnsi="仿宋" w:eastAsia="仿宋"/>
          <w:b/>
          <w:bCs/>
          <w:sz w:val="32"/>
          <w:szCs w:val="32"/>
          <w:highlight w:val="none"/>
        </w:rPr>
        <w:outlineLvl w:val="9"/>
      </w:pPr>
      <w:r>
        <w:rPr>
          <w:rFonts w:hint="eastAsia" w:ascii="仿宋" w:hAnsi="仿宋" w:eastAsia="仿宋"/>
          <w:b/>
          <w:bCs/>
          <w:sz w:val="32"/>
          <w:szCs w:val="32"/>
          <w:highlight w:val="none"/>
        </w:rPr>
        <w:t xml:space="preserve">企业声明函（货物类）</w:t>
      </w:r>
      <w:r>
        <w:rPr>
          <w:rFonts w:hint="eastAsia" w:ascii="仿宋" w:hAnsi="仿宋" w:eastAsia="仿宋"/>
          <w:b/>
          <w:bCs/>
          <w:sz w:val="32"/>
          <w:szCs w:val="32"/>
          <w:highlight w:val="none"/>
        </w:rPr>
      </w:r>
      <w:r/>
    </w:p>
    <w:p>
      <w:pPr>
        <w:pStyle w:val="901"/>
        <w:ind w:firstLine="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90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 xml:space="preserve">（单位名称）</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（项目名称）</w:t>
      </w:r>
      <w:r>
        <w:rPr>
          <w:rFonts w:hint="eastAsia" w:ascii="仿宋" w:hAnsi="仿宋" w:eastAsia="仿宋"/>
          <w:bCs/>
          <w:color w:val="000000"/>
          <w:sz w:val="28"/>
          <w:szCs w:val="28"/>
          <w:highlight w:val="none"/>
        </w:rPr>
        <w:t xml:space="preserve">采购活动，提供的货物全部由符合政策要求的中小企业制造。相关企业的具体情况如下： </w:t>
      </w:r>
      <w:r>
        <w:rPr>
          <w:rFonts w:hint="eastAsia" w:ascii="仿宋" w:hAnsi="仿宋" w:eastAsia="仿宋"/>
          <w:bCs/>
          <w:color w:val="000000"/>
          <w:sz w:val="28"/>
          <w:szCs w:val="28"/>
          <w:highlight w:val="none"/>
        </w:rPr>
      </w:r>
      <w:r/>
    </w:p>
    <w:p>
      <w:pPr>
        <w:pStyle w:val="90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u w:val="single"/>
        </w:rPr>
        <w:t xml:space="preserve">（标的名称）</w:t>
      </w:r>
      <w:r>
        <w:rPr>
          <w:rFonts w:hint="eastAsia" w:ascii="仿宋" w:hAnsi="仿宋" w:eastAsia="仿宋"/>
          <w:bCs/>
          <w:color w:val="000000"/>
          <w:sz w:val="28"/>
          <w:szCs w:val="28"/>
          <w:highlight w:val="none"/>
        </w:rPr>
        <w:t xml:space="preserve"> ，属于</w:t>
      </w:r>
      <w:r>
        <w:rPr>
          <w:rFonts w:hint="eastAsia" w:ascii="仿宋" w:hAnsi="仿宋" w:eastAsia="仿宋"/>
          <w:bCs/>
          <w:color w:val="000000"/>
          <w:sz w:val="28"/>
          <w:szCs w:val="28"/>
          <w:highlight w:val="none"/>
          <w:u w:val="single"/>
        </w:rPr>
        <w:t xml:space="preserve">（采购文件中明确的所属行业）</w:t>
      </w:r>
      <w:r>
        <w:rPr>
          <w:rFonts w:hint="eastAsia" w:ascii="仿宋" w:hAnsi="仿宋" w:eastAsia="仿宋"/>
          <w:bCs/>
          <w:color w:val="000000"/>
          <w:sz w:val="28"/>
          <w:szCs w:val="28"/>
          <w:highlight w:val="none"/>
        </w:rPr>
        <w:t xml:space="preserve">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90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u w:val="single"/>
        </w:rPr>
        <w:t xml:space="preserve"> （标的名称）</w:t>
      </w:r>
      <w:r>
        <w:rPr>
          <w:rFonts w:hint="eastAsia" w:ascii="仿宋" w:hAnsi="仿宋" w:eastAsia="仿宋"/>
          <w:bCs/>
          <w:color w:val="000000"/>
          <w:sz w:val="28"/>
          <w:szCs w:val="28"/>
          <w:highlight w:val="none"/>
        </w:rPr>
        <w:t xml:space="preserve"> ，属于（采购文件中明确的所属行业）行业；制造商为（企业名称），从业人员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90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90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90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893"/>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893"/>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901"/>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rPr>
          <w:rFonts w:hint="eastAsia" w:ascii="仿宋" w:hAnsi="仿宋" w:eastAsia="仿宋"/>
          <w:bCs/>
          <w:color w:val="000000"/>
          <w:sz w:val="24"/>
          <w:szCs w:val="24"/>
          <w:highlight w:val="none"/>
        </w:rPr>
      </w:r>
      <w:r/>
    </w:p>
    <w:p>
      <w:pPr>
        <w:pStyle w:val="901"/>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bCs/>
          <w:sz w:val="32"/>
          <w:szCs w:val="32"/>
          <w:highlight w:val="none"/>
        </w:rPr>
        <w:br w:type="page" w:clear="all"/>
      </w:r>
      <w:r>
        <w:rPr>
          <w:rFonts w:hint="eastAsia" w:ascii="仿宋" w:hAnsi="仿宋" w:eastAsia="仿宋"/>
          <w:b/>
          <w:sz w:val="32"/>
          <w:szCs w:val="32"/>
          <w:highlight w:val="none"/>
        </w:rPr>
        <w:t xml:space="preserve">示范格式五</w:t>
      </w:r>
      <w:r>
        <w:rPr>
          <w:rFonts w:hint="eastAsia" w:ascii="仿宋" w:hAnsi="仿宋" w:eastAsia="仿宋"/>
          <w:b/>
          <w:sz w:val="32"/>
          <w:szCs w:val="32"/>
          <w:highlight w:val="none"/>
        </w:rPr>
      </w:r>
      <w:r/>
    </w:p>
    <w:p>
      <w:pPr>
        <w:pStyle w:val="893"/>
        <w:jc w:val="center"/>
        <w:keepLines w:val="0"/>
        <w:keepNext w:val="0"/>
        <w:pageBreakBefore w:val="0"/>
        <w:spacing w:line="640" w:lineRule="exact"/>
        <w:widowControl/>
        <w:rPr>
          <w:rFonts w:ascii="仿宋" w:hAnsi="仿宋" w:eastAsia="仿宋" w:cs="宋体"/>
          <w:sz w:val="24"/>
          <w:highlight w:val="none"/>
        </w:rPr>
        <w:outlineLvl w:val="9"/>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sz w:val="24"/>
          <w:highlight w:val="none"/>
        </w:rPr>
      </w:r>
      <w:r/>
    </w:p>
    <w:p>
      <w:pPr>
        <w:pStyle w:val="901"/>
        <w:ind w:firstLine="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901"/>
        <w:ind w:firstLine="560"/>
        <w:keepLines w:val="0"/>
        <w:keepNext w:val="0"/>
        <w:pageBreakBefore w:val="0"/>
        <w:spacing w:line="640" w:lineRule="exact"/>
        <w:rPr>
          <w:rFonts w:ascii="仿宋" w:hAnsi="仿宋" w:eastAsia="仿宋"/>
          <w:sz w:val="28"/>
          <w:szCs w:val="28"/>
          <w:highlight w:val="none"/>
        </w:rPr>
        <w:outlineLvl w:val="9"/>
      </w:pPr>
      <w:r>
        <w:rPr>
          <w:rFonts w:ascii="仿宋" w:hAnsi="仿宋" w:eastAsia="仿宋"/>
          <w:sz w:val="28"/>
          <w:szCs w:val="28"/>
          <w:highlight w:val="none"/>
        </w:rPr>
      </w:r>
      <w:r/>
    </w:p>
    <w:p>
      <w:pPr>
        <w:pStyle w:val="893"/>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893"/>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893"/>
        <w:ind w:firstLine="565"/>
        <w:keepLines w:val="0"/>
        <w:keepNext w:val="0"/>
        <w:pageBreakBefore w:val="0"/>
        <w:spacing w:line="640" w:lineRule="exact"/>
        <w:rPr>
          <w:rFonts w:hint="eastAsia" w:ascii="仿宋" w:hAnsi="仿宋" w:eastAsia="仿宋"/>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rPr>
          <w:rFonts w:hint="eastAsia" w:ascii="仿宋" w:hAnsi="仿宋" w:eastAsia="仿宋"/>
          <w:sz w:val="28"/>
          <w:szCs w:val="28"/>
          <w:highlight w:val="none"/>
        </w:rPr>
      </w:r>
      <w:r/>
    </w:p>
    <w:p>
      <w:pPr>
        <w:pStyle w:val="901"/>
        <w:ind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 关于符合本国产品标准的声明函（采购包号：**）</w:t>
      </w:r>
      <w:r>
        <w:rPr>
          <w:rFonts w:hint="eastAsia" w:ascii="仿宋" w:hAnsi="仿宋" w:eastAsia="仿宋" w:cs="宋体"/>
          <w:b/>
          <w:bCs/>
          <w:color w:val="000000"/>
          <w:sz w:val="32"/>
          <w:szCs w:val="32"/>
          <w:highlight w:val="none"/>
          <w:lang w:val="en-US" w:eastAsia="zh-CN" w:bidi="ar-SA"/>
        </w:rPr>
      </w:r>
      <w:r/>
    </w:p>
    <w:p>
      <w:pPr>
        <w:pStyle w:val="901"/>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rPr>
          <w:rFonts w:hint="eastAsia" w:ascii="仿宋" w:hAnsi="仿宋" w:eastAsia="仿宋" w:cs="Times New Roman"/>
          <w:bCs/>
          <w:color w:val="000000"/>
          <w:sz w:val="28"/>
          <w:szCs w:val="28"/>
          <w:highlight w:val="none"/>
        </w:rPr>
      </w:r>
      <w:r/>
    </w:p>
    <w:p>
      <w:pPr>
        <w:pStyle w:val="901"/>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rPr>
          <w:rFonts w:hint="eastAsia" w:ascii="仿宋" w:hAnsi="仿宋" w:eastAsia="仿宋" w:cs="Times New Roman"/>
          <w:bCs/>
          <w:color w:val="000000"/>
          <w:sz w:val="28"/>
          <w:szCs w:val="28"/>
          <w:highlight w:val="none"/>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黑体_GBK">
    <w:panose1 w:val="020B0503020202020204"/>
  </w:font>
  <w:font w:name="方正仿宋_GBK">
    <w:panose1 w:val="020B0503020202020204"/>
  </w:font>
  <w:font w:name="Wingdings 2">
    <w:panose1 w:val="05020102010507070707"/>
  </w:font>
  <w:font w:name="楷体">
    <w:panose1 w:val="02010609060101010101"/>
  </w:font>
  <w:font w:name="方正楷体_GBK">
    <w:panose1 w:val="020B0503020202020204"/>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33"/>
      </w:rPr>
      <w:framePr w:wrap="around" w:vAnchor="text" w:hAnchor="margin" w:xAlign="center" w:y="1"/>
    </w:pPr>
    <w:r>
      <w:fldChar w:fldCharType="begin"/>
    </w:r>
    <w:r>
      <w:rPr>
        <w:rStyle w:val="933"/>
      </w:rPr>
      <w:instrText xml:space="preserve">PAGE  </w:instrText>
    </w:r>
    <w:r>
      <w:fldChar w:fldCharType="end"/>
    </w:r>
    <w:r>
      <w:rPr>
        <w:rStyle w:val="933"/>
      </w:rPr>
    </w:r>
    <w:r/>
  </w:p>
  <w:p>
    <w:pPr>
      <w:pStyle w:val="91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8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976"/>
      <w:isLgl w:val="false"/>
      <w:suff w:val="nothing"/>
      <w:lvlText w:val="第%1章"/>
      <w:lvlJc w:val="left"/>
      <w:pPr>
        <w:pStyle w:val="893"/>
        <w:ind w:left="640" w:firstLine="0"/>
      </w:pPr>
      <w:rPr>
        <w:rFonts w:hint="eastAsia"/>
      </w:rPr>
    </w:lvl>
    <w:lvl w:ilvl="1">
      <w:start w:val="1"/>
      <w:numFmt w:val="decimal"/>
      <w:isLgl w:val="false"/>
      <w:suff w:val="nothing"/>
      <w:lvlText w:val=""/>
      <w:lvlJc w:val="left"/>
      <w:pPr>
        <w:pStyle w:val="893"/>
        <w:ind w:left="640" w:firstLine="0"/>
      </w:pPr>
      <w:rPr>
        <w:rFonts w:hint="eastAsia"/>
      </w:rPr>
    </w:lvl>
    <w:lvl w:ilvl="2">
      <w:start w:val="1"/>
      <w:numFmt w:val="decimal"/>
      <w:isLgl w:val="false"/>
      <w:suff w:val="nothing"/>
      <w:lvlText w:val=""/>
      <w:lvlJc w:val="left"/>
      <w:pPr>
        <w:pStyle w:val="893"/>
        <w:ind w:left="640" w:firstLine="0"/>
      </w:pPr>
      <w:rPr>
        <w:rFonts w:hint="eastAsia"/>
      </w:rPr>
    </w:lvl>
    <w:lvl w:ilvl="3">
      <w:start w:val="1"/>
      <w:numFmt w:val="decimal"/>
      <w:isLgl w:val="false"/>
      <w:suff w:val="nothing"/>
      <w:lvlText w:val=""/>
      <w:lvlJc w:val="left"/>
      <w:pPr>
        <w:pStyle w:val="893"/>
        <w:ind w:left="640" w:firstLine="0"/>
      </w:pPr>
      <w:rPr>
        <w:rFonts w:hint="eastAsia"/>
      </w:rPr>
    </w:lvl>
    <w:lvl w:ilvl="4">
      <w:start w:val="1"/>
      <w:numFmt w:val="decimal"/>
      <w:isLgl w:val="false"/>
      <w:suff w:val="nothing"/>
      <w:lvlText w:val=""/>
      <w:lvlJc w:val="left"/>
      <w:pPr>
        <w:pStyle w:val="893"/>
        <w:ind w:left="640" w:firstLine="0"/>
      </w:pPr>
      <w:rPr>
        <w:rFonts w:hint="eastAsia"/>
      </w:rPr>
    </w:lvl>
    <w:lvl w:ilvl="5">
      <w:start w:val="1"/>
      <w:numFmt w:val="decimal"/>
      <w:isLgl w:val="false"/>
      <w:suff w:val="nothing"/>
      <w:lvlText w:val=""/>
      <w:lvlJc w:val="left"/>
      <w:pPr>
        <w:pStyle w:val="893"/>
        <w:ind w:left="640" w:firstLine="0"/>
      </w:pPr>
      <w:rPr>
        <w:rFonts w:hint="eastAsia"/>
      </w:rPr>
    </w:lvl>
    <w:lvl w:ilvl="6">
      <w:start w:val="1"/>
      <w:numFmt w:val="decimal"/>
      <w:isLgl w:val="false"/>
      <w:suff w:val="nothing"/>
      <w:lvlText w:val=""/>
      <w:lvlJc w:val="left"/>
      <w:pPr>
        <w:pStyle w:val="893"/>
        <w:ind w:left="640" w:firstLine="0"/>
      </w:pPr>
      <w:rPr>
        <w:rFonts w:hint="eastAsia"/>
      </w:rPr>
    </w:lvl>
    <w:lvl w:ilvl="7">
      <w:start w:val="1"/>
      <w:numFmt w:val="decimal"/>
      <w:isLgl w:val="false"/>
      <w:suff w:val="nothing"/>
      <w:lvlText w:val=""/>
      <w:lvlJc w:val="left"/>
      <w:pPr>
        <w:pStyle w:val="893"/>
        <w:ind w:left="640" w:firstLine="0"/>
      </w:pPr>
      <w:rPr>
        <w:rFonts w:hint="eastAsia"/>
      </w:rPr>
    </w:lvl>
    <w:lvl w:ilvl="8">
      <w:start w:val="1"/>
      <w:numFmt w:val="decimal"/>
      <w:isLgl w:val="false"/>
      <w:suff w:val="nothing"/>
      <w:lvlText w:val=""/>
      <w:lvlJc w:val="left"/>
      <w:pPr>
        <w:pStyle w:val="893"/>
        <w:ind w:left="640" w:firstLine="0"/>
      </w:pPr>
      <w:rPr>
        <w:rFonts w:hint="eastAsia"/>
      </w:rPr>
    </w:lvl>
  </w:abstractNum>
  <w:abstractNum w:abstractNumId="4">
    <w:multiLevelType w:val="hybridMultilevel"/>
    <w:lvl w:ilvl="0">
      <w:start w:val="1"/>
      <w:numFmt w:val="chineseCountingThousand"/>
      <w:pStyle w:val="966"/>
      <w:isLgl w:val="false"/>
      <w:suff w:val="tab"/>
      <w:lvlText w:val="%1、"/>
      <w:lvlJc w:val="left"/>
      <w:pPr>
        <w:pStyle w:val="893"/>
        <w:ind w:left="420" w:hanging="420"/>
        <w:tabs>
          <w:tab w:val="num" w:pos="420" w:leader="none"/>
        </w:tabs>
      </w:pPr>
      <w:rPr>
        <w:rFonts w:hint="eastAsia"/>
        <w:b/>
        <w:i w:val="0"/>
      </w:rPr>
    </w:lvl>
    <w:lvl w:ilvl="1">
      <w:start w:val="1"/>
      <w:numFmt w:val="lowerLetter"/>
      <w:isLgl w:val="false"/>
      <w:suff w:val="tab"/>
      <w:lvlText w:val="%2)"/>
      <w:lvlJc w:val="left"/>
      <w:pPr>
        <w:pStyle w:val="893"/>
        <w:ind w:left="840" w:hanging="420"/>
        <w:tabs>
          <w:tab w:val="num" w:pos="840" w:leader="none"/>
        </w:tabs>
      </w:pPr>
    </w:lvl>
    <w:lvl w:ilvl="2">
      <w:start w:val="1"/>
      <w:numFmt w:val="lowerRoman"/>
      <w:isLgl w:val="false"/>
      <w:suff w:val="tab"/>
      <w:lvlText w:val="%3."/>
      <w:lvlJc w:val="right"/>
      <w:pPr>
        <w:pStyle w:val="893"/>
        <w:ind w:left="1260" w:hanging="420"/>
        <w:tabs>
          <w:tab w:val="num" w:pos="1260" w:leader="none"/>
        </w:tabs>
      </w:pPr>
    </w:lvl>
    <w:lvl w:ilvl="3">
      <w:start w:val="1"/>
      <w:numFmt w:val="decimal"/>
      <w:isLgl w:val="false"/>
      <w:suff w:val="tab"/>
      <w:lvlText w:val="%4."/>
      <w:lvlJc w:val="left"/>
      <w:pPr>
        <w:pStyle w:val="893"/>
        <w:ind w:left="1680" w:hanging="420"/>
        <w:tabs>
          <w:tab w:val="num" w:pos="1680" w:leader="none"/>
        </w:tabs>
      </w:pPr>
    </w:lvl>
    <w:lvl w:ilvl="4">
      <w:start w:val="1"/>
      <w:numFmt w:val="lowerLetter"/>
      <w:isLgl w:val="false"/>
      <w:suff w:val="tab"/>
      <w:lvlText w:val="%5)"/>
      <w:lvlJc w:val="left"/>
      <w:pPr>
        <w:pStyle w:val="893"/>
        <w:ind w:left="2100" w:hanging="420"/>
        <w:tabs>
          <w:tab w:val="num" w:pos="2100" w:leader="none"/>
        </w:tabs>
      </w:pPr>
    </w:lvl>
    <w:lvl w:ilvl="5">
      <w:start w:val="1"/>
      <w:numFmt w:val="lowerRoman"/>
      <w:isLgl w:val="false"/>
      <w:suff w:val="tab"/>
      <w:lvlText w:val="%6."/>
      <w:lvlJc w:val="right"/>
      <w:pPr>
        <w:pStyle w:val="893"/>
        <w:ind w:left="2520" w:hanging="420"/>
        <w:tabs>
          <w:tab w:val="num" w:pos="2520" w:leader="none"/>
        </w:tabs>
      </w:pPr>
    </w:lvl>
    <w:lvl w:ilvl="6">
      <w:start w:val="1"/>
      <w:numFmt w:val="decimal"/>
      <w:isLgl w:val="false"/>
      <w:suff w:val="tab"/>
      <w:lvlText w:val="%7."/>
      <w:lvlJc w:val="left"/>
      <w:pPr>
        <w:pStyle w:val="893"/>
        <w:ind w:left="2940" w:hanging="420"/>
        <w:tabs>
          <w:tab w:val="num" w:pos="2940" w:leader="none"/>
        </w:tabs>
      </w:pPr>
    </w:lvl>
    <w:lvl w:ilvl="7">
      <w:start w:val="1"/>
      <w:numFmt w:val="lowerLetter"/>
      <w:isLgl w:val="false"/>
      <w:suff w:val="tab"/>
      <w:lvlText w:val="%8)"/>
      <w:lvlJc w:val="left"/>
      <w:pPr>
        <w:pStyle w:val="893"/>
        <w:ind w:left="3360" w:hanging="420"/>
        <w:tabs>
          <w:tab w:val="num" w:pos="3360" w:leader="none"/>
        </w:tabs>
      </w:pPr>
    </w:lvl>
    <w:lvl w:ilvl="8">
      <w:start w:val="1"/>
      <w:numFmt w:val="lowerRoman"/>
      <w:isLgl w:val="false"/>
      <w:suff w:val="tab"/>
      <w:lvlText w:val="%9."/>
      <w:lvlJc w:val="right"/>
      <w:pPr>
        <w:pStyle w:val="893"/>
        <w:ind w:left="3780" w:hanging="420"/>
        <w:tabs>
          <w:tab w:val="num" w:pos="3780" w:leader="none"/>
        </w:tabs>
      </w:pPr>
    </w:lvl>
  </w:abstractNum>
  <w:abstractNum w:abstractNumId="5">
    <w:multiLevelType w:val="hybridMultilevel"/>
    <w:lvl w:ilvl="0">
      <w:start w:val="2"/>
      <w:numFmt w:val="chineseCountingThousand"/>
      <w:pStyle w:val="972"/>
      <w:isLgl w:val="false"/>
      <w:suff w:val="nothing"/>
      <w:lvlText w:val="第%1部分"/>
      <w:lvlJc w:val="center"/>
      <w:pPr>
        <w:pStyle w:val="893"/>
        <w:ind w:left="432" w:firstLine="288"/>
      </w:pPr>
      <w:rPr>
        <w:rFonts w:hint="eastAsia"/>
        <w:sz w:val="28"/>
        <w:szCs w:val="28"/>
        <w:lang w:val="en-US"/>
      </w:rPr>
    </w:lvl>
    <w:lvl w:ilvl="1">
      <w:start w:val="1"/>
      <w:numFmt w:val="chineseCountingThousand"/>
      <w:isLgl w:val="false"/>
      <w:suff w:val="nothing"/>
      <w:lvlText w:val="%2、"/>
      <w:lvlJc w:val="left"/>
      <w:pPr>
        <w:pStyle w:val="893"/>
        <w:ind w:left="360" w:firstLine="0"/>
      </w:pPr>
      <w:rPr>
        <w:rFonts w:hint="eastAsia"/>
        <w:lang w:val="en-US"/>
      </w:rPr>
    </w:lvl>
    <w:lvl w:ilvl="2">
      <w:start w:val="1"/>
      <w:numFmt w:val="chineseCountingThousand"/>
      <w:isLgl w:val="false"/>
      <w:suff w:val="nothing"/>
      <w:lvlText w:val="(%3)"/>
      <w:lvlJc w:val="left"/>
      <w:pPr>
        <w:pStyle w:val="893"/>
        <w:ind w:left="0" w:firstLine="0"/>
      </w:pPr>
      <w:rPr>
        <w:rFonts w:hint="eastAsia"/>
      </w:rPr>
    </w:lvl>
    <w:lvl w:ilvl="3">
      <w:start w:val="1"/>
      <w:numFmt w:val="decimal"/>
      <w:isLgl w:val="false"/>
      <w:suff w:val="nothing"/>
      <w:lvlText w:val="%4、"/>
      <w:lvlJc w:val="left"/>
      <w:pPr>
        <w:pStyle w:val="893"/>
        <w:ind w:left="0" w:firstLine="0"/>
      </w:pPr>
      <w:rPr>
        <w:rFonts w:hint="eastAsia"/>
      </w:rPr>
    </w:lvl>
    <w:lvl w:ilvl="4">
      <w:start w:val="1"/>
      <w:numFmt w:val="upperLetter"/>
      <w:isLgl w:val="false"/>
      <w:suff w:val="nothing"/>
      <w:lvlText w:val="%5、"/>
      <w:lvlJc w:val="left"/>
      <w:pPr>
        <w:pStyle w:val="893"/>
        <w:ind w:left="0" w:firstLine="0"/>
      </w:pPr>
      <w:rPr>
        <w:rFonts w:hint="eastAsia"/>
      </w:rPr>
    </w:lvl>
    <w:lvl w:ilvl="5">
      <w:start w:val="1"/>
      <w:numFmt w:val="decimal"/>
      <w:isLgl w:val="false"/>
      <w:suff w:val="nothing"/>
      <w:lvlText w:val=""/>
      <w:lvlJc w:val="left"/>
      <w:pPr>
        <w:pStyle w:val="893"/>
        <w:ind w:left="0" w:firstLine="0"/>
      </w:pPr>
      <w:rPr>
        <w:rFonts w:hint="eastAsia"/>
      </w:rPr>
    </w:lvl>
    <w:lvl w:ilvl="6">
      <w:start w:val="1"/>
      <w:numFmt w:val="decimal"/>
      <w:isLgl w:val="false"/>
      <w:suff w:val="nothing"/>
      <w:lvlText w:val=""/>
      <w:lvlJc w:val="left"/>
      <w:pPr>
        <w:pStyle w:val="893"/>
        <w:ind w:left="0" w:firstLine="0"/>
      </w:pPr>
      <w:rPr>
        <w:rFonts w:hint="eastAsia"/>
      </w:rPr>
    </w:lvl>
    <w:lvl w:ilvl="7">
      <w:start w:val="1"/>
      <w:numFmt w:val="decimal"/>
      <w:isLgl w:val="false"/>
      <w:suff w:val="nothing"/>
      <w:lvlText w:val=""/>
      <w:lvlJc w:val="left"/>
      <w:pPr>
        <w:pStyle w:val="893"/>
        <w:ind w:left="0" w:firstLine="0"/>
      </w:pPr>
      <w:rPr>
        <w:rFonts w:hint="eastAsia"/>
      </w:rPr>
    </w:lvl>
    <w:lvl w:ilvl="8">
      <w:start w:val="1"/>
      <w:numFmt w:val="decimal"/>
      <w:isLgl w:val="false"/>
      <w:suff w:val="nothing"/>
      <w:lvlText w:val=""/>
      <w:lvlJc w:val="left"/>
      <w:pPr>
        <w:pStyle w:val="893"/>
        <w:ind w:left="0" w:firstLine="0"/>
      </w:pPr>
      <w:rPr>
        <w:rFonts w:hint="eastAsia"/>
      </w:rPr>
    </w:lvl>
  </w:abstractNum>
  <w:num w:numId="1">
    <w:abstractNumId w:val="4"/>
  </w:num>
  <w:num w:numId="2">
    <w:abstractNumId w:val="5"/>
  </w:num>
  <w:num w:numId="3">
    <w:abstractNumId w:val="3"/>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893"/>
    <w:next w:val="893"/>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893"/>
    <w:next w:val="893"/>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893"/>
    <w:next w:val="893"/>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893"/>
    <w:next w:val="893"/>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893"/>
    <w:next w:val="893"/>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893"/>
    <w:next w:val="893"/>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893"/>
    <w:next w:val="893"/>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893"/>
    <w:next w:val="893"/>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893"/>
    <w:next w:val="893"/>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List Paragraph"/>
    <w:basedOn w:val="893"/>
    <w:uiPriority w:val="34"/>
    <w:qFormat/>
    <w:pPr>
      <w:contextualSpacing/>
      <w:ind w:left="720"/>
    </w:pPr>
  </w:style>
  <w:style w:type="paragraph" w:styleId="734">
    <w:name w:val="No Spacing"/>
    <w:uiPriority w:val="1"/>
    <w:qFormat/>
    <w:pPr>
      <w:spacing w:before="0" w:after="0" w:line="240" w:lineRule="auto"/>
    </w:pPr>
  </w:style>
  <w:style w:type="paragraph" w:styleId="735">
    <w:name w:val="Title"/>
    <w:basedOn w:val="893"/>
    <w:next w:val="893"/>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893"/>
    <w:next w:val="893"/>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893"/>
    <w:next w:val="893"/>
    <w:link w:val="740"/>
    <w:uiPriority w:val="29"/>
    <w:qFormat/>
    <w:pPr>
      <w:ind w:left="720" w:right="720"/>
    </w:pPr>
    <w:rPr>
      <w:i/>
    </w:rPr>
  </w:style>
  <w:style w:type="character" w:styleId="740">
    <w:name w:val="Quote Char"/>
    <w:link w:val="739"/>
    <w:uiPriority w:val="29"/>
    <w:rPr>
      <w:i/>
    </w:rPr>
  </w:style>
  <w:style w:type="paragraph" w:styleId="741">
    <w:name w:val="Intense Quote"/>
    <w:basedOn w:val="893"/>
    <w:next w:val="893"/>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893"/>
    <w:link w:val="744"/>
    <w:uiPriority w:val="99"/>
    <w:unhideWhenUsed/>
    <w:pPr>
      <w:spacing w:after="0" w:line="240" w:lineRule="auto"/>
      <w:tabs>
        <w:tab w:val="center" w:pos="7143" w:leader="none"/>
        <w:tab w:val="right" w:pos="14287" w:leader="none"/>
      </w:tabs>
    </w:pPr>
  </w:style>
  <w:style w:type="character" w:styleId="744">
    <w:name w:val="Header Char"/>
    <w:link w:val="743"/>
    <w:uiPriority w:val="99"/>
  </w:style>
  <w:style w:type="paragraph" w:styleId="745">
    <w:name w:val="Footer"/>
    <w:basedOn w:val="893"/>
    <w:link w:val="748"/>
    <w:uiPriority w:val="99"/>
    <w:unhideWhenUsed/>
    <w:pPr>
      <w:spacing w:after="0" w:line="240" w:lineRule="auto"/>
      <w:tabs>
        <w:tab w:val="center" w:pos="7143" w:leader="none"/>
        <w:tab w:val="right" w:pos="14287" w:leader="none"/>
      </w:tabs>
    </w:pPr>
  </w:style>
  <w:style w:type="character" w:styleId="746">
    <w:name w:val="Footer Char"/>
    <w:link w:val="745"/>
    <w:uiPriority w:val="99"/>
  </w:style>
  <w:style w:type="paragraph" w:styleId="747">
    <w:name w:val="Caption"/>
    <w:basedOn w:val="893"/>
    <w:next w:val="893"/>
    <w:uiPriority w:val="35"/>
    <w:semiHidden/>
    <w:unhideWhenUsed/>
    <w:qFormat/>
    <w:pPr>
      <w:spacing w:line="276" w:lineRule="auto"/>
    </w:pPr>
    <w:rPr>
      <w:b/>
      <w:bCs/>
      <w:color w:val="4f81bd" w:themeColor="accent1"/>
      <w:sz w:val="18"/>
      <w:szCs w:val="18"/>
    </w:rPr>
  </w:style>
  <w:style w:type="character" w:styleId="748">
    <w:name w:val="Caption Char"/>
    <w:basedOn w:val="747"/>
    <w:link w:val="745"/>
    <w:uiPriority w:val="99"/>
  </w:style>
  <w:style w:type="table" w:styleId="7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93"/>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uiPriority w:val="99"/>
    <w:unhideWhenUsed/>
    <w:rPr>
      <w:vertAlign w:val="superscript"/>
    </w:rPr>
  </w:style>
  <w:style w:type="paragraph" w:styleId="879">
    <w:name w:val="endnote text"/>
    <w:basedOn w:val="89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uiPriority w:val="99"/>
    <w:semiHidden/>
    <w:unhideWhenUsed/>
    <w:rPr>
      <w:vertAlign w:val="superscript"/>
    </w:rPr>
  </w:style>
  <w:style w:type="paragraph" w:styleId="882">
    <w:name w:val="toc 1"/>
    <w:basedOn w:val="893"/>
    <w:next w:val="893"/>
    <w:uiPriority w:val="39"/>
    <w:unhideWhenUsed/>
    <w:pPr>
      <w:ind w:left="0" w:right="0" w:firstLine="0"/>
      <w:spacing w:after="57"/>
    </w:pPr>
  </w:style>
  <w:style w:type="paragraph" w:styleId="883">
    <w:name w:val="toc 2"/>
    <w:basedOn w:val="893"/>
    <w:next w:val="893"/>
    <w:uiPriority w:val="39"/>
    <w:unhideWhenUsed/>
    <w:pPr>
      <w:ind w:left="283" w:right="0" w:firstLine="0"/>
      <w:spacing w:after="57"/>
    </w:pPr>
  </w:style>
  <w:style w:type="paragraph" w:styleId="884">
    <w:name w:val="toc 3"/>
    <w:basedOn w:val="893"/>
    <w:next w:val="893"/>
    <w:uiPriority w:val="39"/>
    <w:unhideWhenUsed/>
    <w:pPr>
      <w:ind w:left="567" w:right="0" w:firstLine="0"/>
      <w:spacing w:after="57"/>
    </w:p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next w:val="893"/>
    <w:link w:val="893"/>
    <w:qFormat/>
    <w:pPr>
      <w:jc w:val="both"/>
      <w:widowControl w:val="off"/>
    </w:pPr>
    <w:rPr>
      <w:sz w:val="21"/>
      <w:szCs w:val="24"/>
      <w:lang w:val="en-US" w:eastAsia="zh-CN" w:bidi="ar-SA"/>
    </w:rPr>
  </w:style>
  <w:style w:type="paragraph" w:styleId="894">
    <w:name w:val="标题 1"/>
    <w:basedOn w:val="893"/>
    <w:next w:val="893"/>
    <w:link w:val="893"/>
    <w:uiPriority w:val="9"/>
    <w:qFormat/>
    <w:pPr>
      <w:keepLines/>
      <w:keepNext/>
      <w:spacing w:before="340" w:after="330" w:line="578" w:lineRule="auto"/>
      <w:outlineLvl w:val="0"/>
    </w:pPr>
    <w:rPr>
      <w:b/>
      <w:bCs/>
      <w:sz w:val="44"/>
      <w:szCs w:val="44"/>
    </w:rPr>
  </w:style>
  <w:style w:type="paragraph" w:styleId="895">
    <w:name w:val="标题 2"/>
    <w:basedOn w:val="893"/>
    <w:next w:val="901"/>
    <w:link w:val="893"/>
    <w:uiPriority w:val="9"/>
    <w:qFormat/>
    <w:pPr>
      <w:keepLines/>
      <w:keepNext/>
      <w:spacing w:before="260" w:after="260" w:line="413" w:lineRule="auto"/>
      <w:outlineLvl w:val="1"/>
    </w:pPr>
    <w:rPr>
      <w:rFonts w:ascii="Arial" w:hAnsi="Arial" w:eastAsia="黑体"/>
      <w:b/>
      <w:sz w:val="32"/>
      <w:szCs w:val="20"/>
    </w:rPr>
  </w:style>
  <w:style w:type="paragraph" w:styleId="896">
    <w:name w:val="标题 3"/>
    <w:basedOn w:val="893"/>
    <w:next w:val="893"/>
    <w:link w:val="893"/>
    <w:uiPriority w:val="9"/>
    <w:qFormat/>
    <w:pPr>
      <w:keepLines/>
      <w:keepNext/>
      <w:spacing w:before="260" w:after="260" w:line="413" w:lineRule="auto"/>
      <w:outlineLvl w:val="2"/>
    </w:pPr>
    <w:rPr>
      <w:rFonts w:ascii="Arial" w:hAnsi="Arial"/>
      <w:b/>
      <w:sz w:val="32"/>
      <w:szCs w:val="20"/>
    </w:rPr>
  </w:style>
  <w:style w:type="paragraph" w:styleId="897">
    <w:name w:val="标题 4"/>
    <w:basedOn w:val="893"/>
    <w:next w:val="893"/>
    <w:link w:val="903"/>
    <w:uiPriority w:val="9"/>
    <w:qFormat/>
    <w:pPr>
      <w:keepLines/>
      <w:keepNext/>
      <w:spacing w:before="280" w:after="290" w:line="376" w:lineRule="auto"/>
      <w:outlineLvl w:val="3"/>
    </w:pPr>
    <w:rPr>
      <w:rFonts w:ascii="Cambria" w:hAnsi="Cambria"/>
      <w:b/>
      <w:bCs/>
      <w:sz w:val="28"/>
      <w:szCs w:val="28"/>
    </w:rPr>
  </w:style>
  <w:style w:type="paragraph" w:styleId="898">
    <w:name w:val="标题 5"/>
    <w:basedOn w:val="893"/>
    <w:next w:val="893"/>
    <w:link w:val="904"/>
    <w:uiPriority w:val="9"/>
    <w:qFormat/>
    <w:pPr>
      <w:keepLines/>
      <w:keepNext/>
      <w:spacing w:before="280" w:after="290" w:line="376" w:lineRule="auto"/>
      <w:outlineLvl w:val="4"/>
    </w:pPr>
    <w:rPr>
      <w:b/>
      <w:bCs/>
      <w:sz w:val="28"/>
      <w:szCs w:val="28"/>
    </w:rPr>
  </w:style>
  <w:style w:type="character" w:styleId="899">
    <w:name w:val="默认段落字体"/>
    <w:next w:val="899"/>
    <w:link w:val="893"/>
    <w:semiHidden/>
  </w:style>
  <w:style w:type="table" w:styleId="900">
    <w:name w:val="普通表格"/>
    <w:next w:val="900"/>
    <w:link w:val="893"/>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01">
    <w:name w:val="正文缩进"/>
    <w:basedOn w:val="893"/>
    <w:next w:val="901"/>
    <w:link w:val="902"/>
    <w:pPr>
      <w:ind w:firstLine="420"/>
    </w:pPr>
    <w:rPr>
      <w:szCs w:val="20"/>
    </w:rPr>
  </w:style>
  <w:style w:type="character" w:styleId="902">
    <w:name w:val="正文缩进 Char"/>
    <w:next w:val="902"/>
    <w:link w:val="901"/>
    <w:rPr>
      <w:sz w:val="21"/>
    </w:rPr>
  </w:style>
  <w:style w:type="character" w:styleId="903">
    <w:name w:val="标题 4 Char"/>
    <w:next w:val="903"/>
    <w:link w:val="897"/>
    <w:uiPriority w:val="9"/>
    <w:rPr>
      <w:rFonts w:ascii="Cambria" w:hAnsi="Cambria"/>
      <w:b/>
      <w:bCs/>
      <w:sz w:val="28"/>
      <w:szCs w:val="28"/>
    </w:rPr>
  </w:style>
  <w:style w:type="character" w:styleId="904">
    <w:name w:val="标题 5 Char"/>
    <w:next w:val="904"/>
    <w:link w:val="898"/>
    <w:uiPriority w:val="9"/>
    <w:rPr>
      <w:b/>
      <w:bCs/>
      <w:sz w:val="28"/>
      <w:szCs w:val="28"/>
    </w:rPr>
  </w:style>
  <w:style w:type="paragraph" w:styleId="905">
    <w:name w:val="题注"/>
    <w:basedOn w:val="893"/>
    <w:next w:val="893"/>
    <w:link w:val="893"/>
    <w:uiPriority w:val="35"/>
    <w:qFormat/>
    <w:pPr>
      <w:jc w:val="center"/>
      <w:spacing w:before="156" w:after="156" w:line="360" w:lineRule="auto"/>
    </w:pPr>
    <w:rPr>
      <w:rFonts w:ascii="Arial" w:hAnsi="Arial" w:cs="Arial"/>
      <w:sz w:val="24"/>
      <w:szCs w:val="20"/>
    </w:rPr>
  </w:style>
  <w:style w:type="paragraph" w:styleId="906">
    <w:name w:val="文档结构图"/>
    <w:basedOn w:val="893"/>
    <w:next w:val="906"/>
    <w:link w:val="893"/>
    <w:semiHidden/>
    <w:pPr>
      <w:shd w:val="clear" w:color="auto" w:fill="000080"/>
    </w:pPr>
  </w:style>
  <w:style w:type="paragraph" w:styleId="907">
    <w:name w:val="批注文字"/>
    <w:basedOn w:val="893"/>
    <w:next w:val="907"/>
    <w:link w:val="908"/>
    <w:uiPriority w:val="99"/>
    <w:unhideWhenUsed/>
    <w:pPr>
      <w:jc w:val="left"/>
    </w:pPr>
  </w:style>
  <w:style w:type="character" w:styleId="908">
    <w:name w:val="批注文字 Char"/>
    <w:next w:val="908"/>
    <w:link w:val="907"/>
    <w:uiPriority w:val="99"/>
    <w:rPr>
      <w:sz w:val="21"/>
      <w:szCs w:val="24"/>
    </w:rPr>
  </w:style>
  <w:style w:type="paragraph" w:styleId="909">
    <w:name w:val="正文文本 3"/>
    <w:basedOn w:val="893"/>
    <w:next w:val="909"/>
    <w:link w:val="893"/>
    <w:rPr>
      <w:rFonts w:ascii="楷体_GB2312" w:hAnsi="Arial" w:eastAsia="楷体_GB2312" w:cs="Arial"/>
      <w:b/>
      <w:bCs/>
      <w:color w:val="000000"/>
      <w:sz w:val="24"/>
    </w:rPr>
  </w:style>
  <w:style w:type="paragraph" w:styleId="910">
    <w:name w:val="正文文本"/>
    <w:basedOn w:val="893"/>
    <w:next w:val="910"/>
    <w:link w:val="893"/>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1">
    <w:name w:val="正文文本缩进"/>
    <w:basedOn w:val="893"/>
    <w:next w:val="911"/>
    <w:link w:val="893"/>
    <w:pPr>
      <w:ind w:firstLine="630"/>
    </w:pPr>
    <w:rPr>
      <w:rFonts w:ascii="楷体_GB2312" w:eastAsia="楷体_GB2312"/>
      <w:sz w:val="32"/>
      <w:szCs w:val="20"/>
    </w:rPr>
  </w:style>
  <w:style w:type="paragraph" w:styleId="912">
    <w:name w:val="文本块"/>
    <w:basedOn w:val="893"/>
    <w:next w:val="912"/>
    <w:link w:val="893"/>
    <w:pPr>
      <w:ind w:left="420" w:right="33"/>
      <w:jc w:val="left"/>
    </w:pPr>
    <w:rPr>
      <w:sz w:val="24"/>
      <w:szCs w:val="20"/>
    </w:rPr>
  </w:style>
  <w:style w:type="paragraph" w:styleId="913">
    <w:name w:val="目录 3"/>
    <w:basedOn w:val="893"/>
    <w:next w:val="893"/>
    <w:link w:val="893"/>
    <w:semiHidden/>
    <w:pPr>
      <w:ind w:left="840"/>
      <w:spacing w:line="300" w:lineRule="auto"/>
      <w:tabs>
        <w:tab w:val="right" w:pos="9344" w:leader="dot"/>
      </w:tabs>
    </w:pPr>
    <w:rPr>
      <w:rFonts w:ascii="Arial" w:hAnsi="Arial" w:cs="Arial"/>
      <w:szCs w:val="21"/>
    </w:rPr>
  </w:style>
  <w:style w:type="paragraph" w:styleId="914">
    <w:name w:val="纯文本"/>
    <w:basedOn w:val="893"/>
    <w:next w:val="914"/>
    <w:link w:val="915"/>
    <w:rPr>
      <w:rFonts w:ascii="宋体" w:hAnsi="Courier New"/>
      <w:szCs w:val="20"/>
    </w:rPr>
  </w:style>
  <w:style w:type="character" w:styleId="915">
    <w:name w:val="纯文本 Char"/>
    <w:next w:val="915"/>
    <w:link w:val="914"/>
    <w:rPr>
      <w:rFonts w:ascii="宋体" w:hAnsi="Courier New" w:eastAsia="宋体"/>
      <w:sz w:val="21"/>
      <w:lang w:val="en-US" w:eastAsia="zh-CN" w:bidi="ar-SA"/>
    </w:rPr>
  </w:style>
  <w:style w:type="paragraph" w:styleId="916">
    <w:name w:val="正文文本缩进 2"/>
    <w:basedOn w:val="893"/>
    <w:next w:val="916"/>
    <w:link w:val="893"/>
    <w:pPr>
      <w:ind w:left="420"/>
      <w:spacing w:after="120" w:line="480" w:lineRule="auto"/>
    </w:pPr>
  </w:style>
  <w:style w:type="paragraph" w:styleId="917">
    <w:name w:val="批注框文本"/>
    <w:basedOn w:val="893"/>
    <w:next w:val="917"/>
    <w:link w:val="918"/>
    <w:rPr>
      <w:sz w:val="18"/>
      <w:szCs w:val="18"/>
    </w:rPr>
  </w:style>
  <w:style w:type="character" w:styleId="918">
    <w:name w:val="批注框文本 Char"/>
    <w:next w:val="918"/>
    <w:link w:val="917"/>
    <w:rPr>
      <w:sz w:val="18"/>
      <w:szCs w:val="18"/>
    </w:rPr>
  </w:style>
  <w:style w:type="paragraph" w:styleId="919">
    <w:name w:val="页脚"/>
    <w:basedOn w:val="893"/>
    <w:next w:val="919"/>
    <w:link w:val="920"/>
    <w:pPr>
      <w:jc w:val="left"/>
      <w:tabs>
        <w:tab w:val="center" w:pos="4153" w:leader="none"/>
        <w:tab w:val="right" w:pos="8306" w:leader="none"/>
      </w:tabs>
    </w:pPr>
    <w:rPr>
      <w:sz w:val="18"/>
      <w:szCs w:val="18"/>
    </w:rPr>
  </w:style>
  <w:style w:type="character" w:styleId="920">
    <w:name w:val="页脚 Char"/>
    <w:next w:val="920"/>
    <w:link w:val="919"/>
    <w:rPr>
      <w:sz w:val="18"/>
      <w:szCs w:val="18"/>
    </w:rPr>
  </w:style>
  <w:style w:type="paragraph" w:styleId="921">
    <w:name w:val="页眉"/>
    <w:basedOn w:val="893"/>
    <w:next w:val="921"/>
    <w:link w:val="922"/>
    <w:pPr>
      <w:jc w:val="center"/>
      <w:tabs>
        <w:tab w:val="center" w:pos="4153" w:leader="none"/>
        <w:tab w:val="right" w:pos="8306" w:leader="none"/>
      </w:tabs>
      <w:pBdr>
        <w:bottom w:val="single" w:color="000000" w:sz="6" w:space="1"/>
      </w:pBdr>
    </w:pPr>
    <w:rPr>
      <w:sz w:val="18"/>
      <w:szCs w:val="18"/>
    </w:rPr>
  </w:style>
  <w:style w:type="character" w:styleId="922">
    <w:name w:val="页眉 Char"/>
    <w:next w:val="922"/>
    <w:link w:val="921"/>
    <w:rPr>
      <w:sz w:val="18"/>
      <w:szCs w:val="18"/>
    </w:rPr>
  </w:style>
  <w:style w:type="paragraph" w:styleId="923">
    <w:name w:val="目录 1"/>
    <w:basedOn w:val="893"/>
    <w:next w:val="893"/>
    <w:link w:val="893"/>
    <w:semiHidden/>
  </w:style>
  <w:style w:type="paragraph" w:styleId="924">
    <w:name w:val="正文文本缩进 3"/>
    <w:basedOn w:val="893"/>
    <w:next w:val="924"/>
    <w:link w:val="893"/>
    <w:uiPriority w:val="99"/>
    <w:pPr>
      <w:ind w:firstLine="420"/>
    </w:pPr>
    <w:rPr>
      <w:rFonts w:eastAsia="楷体_GB2312"/>
    </w:rPr>
  </w:style>
  <w:style w:type="paragraph" w:styleId="925">
    <w:name w:val="目录 2"/>
    <w:basedOn w:val="893"/>
    <w:next w:val="893"/>
    <w:link w:val="893"/>
    <w:semiHidden/>
    <w:pPr>
      <w:ind w:left="420"/>
    </w:pPr>
    <w:rPr>
      <w:szCs w:val="20"/>
    </w:rPr>
  </w:style>
  <w:style w:type="paragraph" w:styleId="926">
    <w:name w:val="正文文本 2"/>
    <w:basedOn w:val="893"/>
    <w:next w:val="926"/>
    <w:link w:val="927"/>
    <w:pPr>
      <w:spacing w:line="440" w:lineRule="exact"/>
    </w:pPr>
    <w:rPr>
      <w:rFonts w:ascii="楷体_GB2312" w:eastAsia="楷体_GB2312"/>
      <w:sz w:val="28"/>
    </w:rPr>
  </w:style>
  <w:style w:type="character" w:styleId="927">
    <w:name w:val="正文文本 2 Char"/>
    <w:next w:val="927"/>
    <w:link w:val="926"/>
    <w:rPr>
      <w:rFonts w:ascii="楷体_GB2312" w:eastAsia="楷体_GB2312"/>
      <w:sz w:val="28"/>
      <w:szCs w:val="24"/>
    </w:rPr>
  </w:style>
  <w:style w:type="paragraph" w:styleId="928">
    <w:name w:val="批注主题"/>
    <w:basedOn w:val="907"/>
    <w:next w:val="907"/>
    <w:link w:val="929"/>
    <w:rPr>
      <w:b/>
      <w:bCs/>
    </w:rPr>
  </w:style>
  <w:style w:type="character" w:styleId="929">
    <w:name w:val="批注主题 Char"/>
    <w:next w:val="929"/>
    <w:link w:val="928"/>
    <w:rPr>
      <w:b/>
      <w:bCs/>
      <w:sz w:val="21"/>
      <w:szCs w:val="24"/>
    </w:rPr>
  </w:style>
  <w:style w:type="paragraph" w:styleId="930">
    <w:name w:val="正文首行缩进 2"/>
    <w:basedOn w:val="911"/>
    <w:next w:val="930"/>
    <w:link w:val="893"/>
    <w:pPr>
      <w:ind w:left="420" w:firstLine="420"/>
      <w:spacing w:after="120"/>
      <w:widowControl/>
    </w:pPr>
    <w:rPr>
      <w:rFonts w:ascii="仿宋_GB2312" w:eastAsia="仿宋_GB2312"/>
      <w:color w:val="ff6600"/>
      <w:sz w:val="21"/>
    </w:rPr>
  </w:style>
  <w:style w:type="table" w:styleId="931">
    <w:name w:val="网格型"/>
    <w:basedOn w:val="900"/>
    <w:next w:val="931"/>
    <w:link w:val="893"/>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2">
    <w:name w:val="要点"/>
    <w:next w:val="932"/>
    <w:link w:val="893"/>
    <w:qFormat/>
    <w:rPr>
      <w:b w:val="0"/>
      <w:i w:val="0"/>
    </w:rPr>
  </w:style>
  <w:style w:type="character" w:styleId="933">
    <w:name w:val="页码"/>
    <w:next w:val="933"/>
    <w:link w:val="893"/>
  </w:style>
  <w:style w:type="character" w:styleId="934">
    <w:name w:val="已访问的超链接"/>
    <w:next w:val="934"/>
    <w:link w:val="893"/>
    <w:rPr>
      <w:color w:val="800080"/>
      <w:u w:val="none"/>
    </w:rPr>
  </w:style>
  <w:style w:type="character" w:styleId="935">
    <w:name w:val="强调"/>
    <w:next w:val="935"/>
    <w:link w:val="893"/>
    <w:qFormat/>
    <w:rPr>
      <w:b w:val="0"/>
      <w:i w:val="0"/>
    </w:rPr>
  </w:style>
  <w:style w:type="character" w:styleId="936">
    <w:name w:val="HTML 定义"/>
    <w:next w:val="936"/>
    <w:link w:val="893"/>
    <w:rPr>
      <w:b w:val="0"/>
      <w:i w:val="0"/>
    </w:rPr>
  </w:style>
  <w:style w:type="character" w:styleId="937">
    <w:name w:val="HTML 打字机"/>
    <w:next w:val="937"/>
    <w:link w:val="893"/>
    <w:rPr>
      <w:rFonts w:ascii="monospace" w:hAnsi="monospace" w:eastAsia="monospace" w:cs="monospace"/>
      <w:sz w:val="20"/>
    </w:rPr>
  </w:style>
  <w:style w:type="character" w:styleId="938">
    <w:name w:val="HTML 缩写"/>
    <w:next w:val="938"/>
    <w:link w:val="893"/>
  </w:style>
  <w:style w:type="character" w:styleId="939">
    <w:name w:val="HTML 变量"/>
    <w:next w:val="939"/>
    <w:link w:val="893"/>
    <w:rPr>
      <w:b w:val="0"/>
      <w:i w:val="0"/>
    </w:rPr>
  </w:style>
  <w:style w:type="character" w:styleId="940">
    <w:name w:val="超链接"/>
    <w:next w:val="940"/>
    <w:link w:val="893"/>
    <w:rPr>
      <w:color w:val="0000ff"/>
      <w:u w:val="none"/>
    </w:rPr>
  </w:style>
  <w:style w:type="character" w:styleId="941">
    <w:name w:val="HTML 代码"/>
    <w:next w:val="941"/>
    <w:link w:val="893"/>
    <w:rPr>
      <w:rFonts w:ascii="monospace" w:hAnsi="monospace" w:eastAsia="monospace" w:cs="monospace"/>
      <w:b w:val="0"/>
      <w:i w:val="0"/>
      <w:sz w:val="20"/>
    </w:rPr>
  </w:style>
  <w:style w:type="character" w:styleId="942">
    <w:name w:val="批注引用"/>
    <w:next w:val="942"/>
    <w:link w:val="893"/>
    <w:rPr>
      <w:sz w:val="21"/>
      <w:szCs w:val="21"/>
    </w:rPr>
  </w:style>
  <w:style w:type="character" w:styleId="943">
    <w:name w:val="HTML 引文"/>
    <w:next w:val="943"/>
    <w:link w:val="893"/>
    <w:rPr>
      <w:b w:val="0"/>
      <w:i w:val="0"/>
    </w:rPr>
  </w:style>
  <w:style w:type="character" w:styleId="944">
    <w:name w:val="HTML 键盘"/>
    <w:next w:val="944"/>
    <w:link w:val="893"/>
    <w:rPr>
      <w:rFonts w:ascii="monospace" w:hAnsi="monospace" w:eastAsia="monospace" w:cs="monospace"/>
      <w:sz w:val="20"/>
    </w:rPr>
  </w:style>
  <w:style w:type="character" w:styleId="945">
    <w:name w:val="HTML 样本"/>
    <w:next w:val="945"/>
    <w:link w:val="893"/>
    <w:rPr>
      <w:rFonts w:ascii="monospace" w:hAnsi="monospace" w:eastAsia="monospace" w:cs="monospace"/>
    </w:rPr>
  </w:style>
  <w:style w:type="character" w:styleId="946">
    <w:name w:val="Font Style30"/>
    <w:next w:val="946"/>
    <w:link w:val="893"/>
    <w:rPr>
      <w:rFonts w:ascii="宋体" w:eastAsia="宋体" w:cs="宋体"/>
      <w:sz w:val="14"/>
      <w:szCs w:val="14"/>
    </w:rPr>
  </w:style>
  <w:style w:type="character" w:styleId="947">
    <w:name w:val="glyphicon"/>
    <w:next w:val="947"/>
    <w:link w:val="893"/>
  </w:style>
  <w:style w:type="character" w:styleId="948">
    <w:name w:val="Font Style36"/>
    <w:next w:val="948"/>
    <w:link w:val="893"/>
    <w:rPr>
      <w:rFonts w:ascii="宋体" w:eastAsia="宋体" w:cs="宋体"/>
      <w:sz w:val="16"/>
      <w:szCs w:val="16"/>
    </w:rPr>
  </w:style>
  <w:style w:type="character" w:styleId="949">
    <w:name w:val="hour_am"/>
    <w:next w:val="949"/>
    <w:link w:val="893"/>
  </w:style>
  <w:style w:type="character" w:styleId="950">
    <w:name w:val="old"/>
    <w:next w:val="950"/>
    <w:link w:val="893"/>
    <w:rPr>
      <w:color w:val="999999"/>
    </w:rPr>
  </w:style>
  <w:style w:type="character" w:styleId="951">
    <w:name w:val="标题 2 Char,节 Char,Heading 2 Hidden Char,Heading 2 CCBS Char,H2 Char,sect 1.2 Char,H21 Char,sect 1.21 Char,H22 Char,sect 1.22 Char,H211 Char,sect 1.211 Char,H23 Char,sect 1.23 Char,H212 Char,sect 1.212 Char,2nd level Char,h2 Char,2 Char,Header 2 Char"/>
    <w:next w:val="951"/>
    <w:link w:val="893"/>
    <w:rPr>
      <w:rFonts w:ascii="Arial" w:hAnsi="Arial" w:eastAsia="黑体"/>
      <w:b/>
      <w:sz w:val="32"/>
      <w:lang w:val="en-US" w:eastAsia="zh-CN"/>
    </w:rPr>
  </w:style>
  <w:style w:type="character" w:styleId="952">
    <w:name w:val="hover"/>
    <w:next w:val="952"/>
    <w:link w:val="893"/>
    <w:rPr>
      <w:shd w:val="clear" w:color="auto" w:fill="eeeeee"/>
    </w:rPr>
  </w:style>
  <w:style w:type="character" w:styleId="953">
    <w:name w:val="hour_pm"/>
    <w:next w:val="953"/>
    <w:link w:val="893"/>
  </w:style>
  <w:style w:type="character" w:styleId="954">
    <w:name w:val="Font Style28"/>
    <w:next w:val="954"/>
    <w:link w:val="893"/>
    <w:rPr>
      <w:rFonts w:ascii="Constantia" w:hAnsi="Constantia" w:cs="Constantia"/>
      <w:sz w:val="28"/>
      <w:szCs w:val="28"/>
    </w:rPr>
  </w:style>
  <w:style w:type="character" w:styleId="955">
    <w:name w:val="Font Style29"/>
    <w:next w:val="955"/>
    <w:link w:val="893"/>
    <w:rPr>
      <w:rFonts w:ascii="Arial" w:hAnsi="Arial" w:cs="Arial"/>
      <w:sz w:val="14"/>
      <w:szCs w:val="14"/>
    </w:rPr>
  </w:style>
  <w:style w:type="character" w:styleId="956">
    <w:name w:val="Font Style37"/>
    <w:next w:val="956"/>
    <w:link w:val="893"/>
    <w:rPr>
      <w:rFonts w:ascii="Arial" w:hAnsi="Arial" w:cs="Arial"/>
      <w:sz w:val="16"/>
      <w:szCs w:val="16"/>
    </w:rPr>
  </w:style>
  <w:style w:type="character" w:styleId="957">
    <w:name w:val="Plain Text Char"/>
    <w:next w:val="957"/>
    <w:link w:val="893"/>
    <w:rPr>
      <w:rFonts w:ascii="宋体" w:hAnsi="Courier New" w:eastAsia="宋体"/>
      <w:sz w:val="21"/>
      <w:lang w:val="en-US" w:eastAsia="zh-CN" w:bidi="ar-SA"/>
    </w:rPr>
  </w:style>
  <w:style w:type="paragraph" w:styleId="958">
    <w:name w:val="Default"/>
    <w:next w:val="958"/>
    <w:link w:val="893"/>
    <w:pPr>
      <w:widowControl w:val="off"/>
    </w:pPr>
    <w:rPr>
      <w:rFonts w:ascii="仿宋" w:eastAsia="仿宋" w:cs="仿宋"/>
      <w:color w:val="000000"/>
      <w:sz w:val="24"/>
      <w:szCs w:val="24"/>
      <w:lang w:val="en-US" w:eastAsia="zh-CN" w:bidi="ar-SA"/>
    </w:rPr>
  </w:style>
  <w:style w:type="paragraph" w:styleId="959">
    <w:name w:val="默认段落字体 Para Char Char Char Char Char Char Char Char Char1 Char Char Char Char Char Char Char"/>
    <w:basedOn w:val="906"/>
    <w:next w:val="959"/>
    <w:link w:val="893"/>
    <w:rPr>
      <w:rFonts w:ascii="Tahoma" w:hAnsi="Tahoma"/>
      <w:sz w:val="24"/>
    </w:rPr>
  </w:style>
  <w:style w:type="paragraph" w:styleId="960">
    <w:name w:val="Style9"/>
    <w:basedOn w:val="893"/>
    <w:next w:val="960"/>
    <w:link w:val="893"/>
    <w:pPr>
      <w:jc w:val="left"/>
    </w:pPr>
    <w:rPr>
      <w:rFonts w:ascii="宋体"/>
      <w:sz w:val="24"/>
    </w:rPr>
  </w:style>
  <w:style w:type="paragraph" w:styleId="961">
    <w:name w:val="Char"/>
    <w:basedOn w:val="893"/>
    <w:next w:val="961"/>
    <w:link w:val="893"/>
    <w:pPr>
      <w:tabs>
        <w:tab w:val="left" w:pos="360" w:leader="none"/>
      </w:tabs>
    </w:pPr>
    <w:rPr>
      <w:sz w:val="24"/>
    </w:rPr>
  </w:style>
  <w:style w:type="paragraph" w:styleId="962">
    <w:name w:val=" Char Char Char1 Char Char Char Char"/>
    <w:basedOn w:val="893"/>
    <w:next w:val="962"/>
    <w:link w:val="893"/>
    <w:pPr>
      <w:jc w:val="left"/>
      <w:spacing w:after="160" w:line="240" w:lineRule="exact"/>
      <w:widowControl/>
    </w:pPr>
    <w:rPr>
      <w:rFonts w:ascii="宋体" w:hAnsi="宋体"/>
      <w:b/>
      <w:sz w:val="28"/>
      <w:szCs w:val="28"/>
    </w:rPr>
  </w:style>
  <w:style w:type="paragraph" w:styleId="963">
    <w:name w:val="Style10"/>
    <w:basedOn w:val="893"/>
    <w:next w:val="963"/>
    <w:link w:val="893"/>
    <w:pPr>
      <w:jc w:val="left"/>
    </w:pPr>
    <w:rPr>
      <w:rFonts w:ascii="宋体"/>
      <w:sz w:val="24"/>
    </w:rPr>
  </w:style>
  <w:style w:type="paragraph" w:styleId="964">
    <w:name w:val="首行缩进"/>
    <w:basedOn w:val="893"/>
    <w:next w:val="964"/>
    <w:link w:val="893"/>
    <w:qFormat/>
    <w:pPr>
      <w:ind w:firstLine="420"/>
      <w:spacing w:line="360" w:lineRule="auto"/>
    </w:pPr>
    <w:rPr>
      <w:sz w:val="20"/>
    </w:rPr>
  </w:style>
  <w:style w:type="paragraph" w:styleId="965">
    <w:name w:val="普通正文"/>
    <w:basedOn w:val="893"/>
    <w:next w:val="965"/>
    <w:link w:val="893"/>
    <w:pPr>
      <w:ind w:firstLine="480"/>
      <w:jc w:val="left"/>
      <w:spacing w:before="120" w:after="120" w:line="360" w:lineRule="auto"/>
    </w:pPr>
    <w:rPr>
      <w:rFonts w:ascii="Arial" w:hAnsi="Arial"/>
      <w:sz w:val="24"/>
    </w:rPr>
  </w:style>
  <w:style w:type="paragraph" w:styleId="966">
    <w:name w:val="要点标题"/>
    <w:basedOn w:val="893"/>
    <w:next w:val="966"/>
    <w:link w:val="893"/>
    <w:pPr>
      <w:numPr>
        <w:ilvl w:val="0"/>
        <w:numId w:val="1"/>
      </w:numPr>
      <w:jc w:val="left"/>
      <w:tabs>
        <w:tab w:val="left" w:pos="420" w:leader="none"/>
      </w:tabs>
    </w:pPr>
    <w:rPr>
      <w:rFonts w:ascii="宋体" w:hAnsi="宋体"/>
      <w:b/>
      <w:sz w:val="24"/>
    </w:rPr>
  </w:style>
  <w:style w:type="paragraph" w:styleId="967">
    <w:name w:val="文档正文"/>
    <w:basedOn w:val="893"/>
    <w:next w:val="967"/>
    <w:link w:val="893"/>
    <w:pPr>
      <w:ind w:firstLine="567"/>
      <w:spacing w:line="480" w:lineRule="atLeast"/>
    </w:pPr>
    <w:rPr>
      <w:rFonts w:ascii="仿宋_GB2312"/>
      <w:szCs w:val="20"/>
    </w:rPr>
  </w:style>
  <w:style w:type="paragraph" w:styleId="968">
    <w:name w:val="Char Char Char Char"/>
    <w:basedOn w:val="906"/>
    <w:next w:val="968"/>
    <w:link w:val="893"/>
    <w:pPr>
      <w:spacing w:line="360" w:lineRule="auto"/>
    </w:pPr>
    <w:rPr>
      <w:rFonts w:ascii="Tahoma" w:hAnsi="Tahoma"/>
      <w:sz w:val="24"/>
    </w:rPr>
  </w:style>
  <w:style w:type="paragraph" w:styleId="969">
    <w:name w:val=" Char"/>
    <w:basedOn w:val="893"/>
    <w:next w:val="969"/>
    <w:link w:val="893"/>
    <w:pPr>
      <w:ind w:left="420" w:hanging="420"/>
      <w:jc w:val="left"/>
      <w:tabs>
        <w:tab w:val="left" w:pos="420" w:leader="none"/>
      </w:tabs>
    </w:pPr>
    <w:rPr>
      <w:szCs w:val="20"/>
    </w:rPr>
  </w:style>
  <w:style w:type="paragraph" w:styleId="970">
    <w:name w:val="正文（无缩进）"/>
    <w:basedOn w:val="893"/>
    <w:next w:val="970"/>
    <w:link w:val="893"/>
    <w:qFormat/>
    <w:pPr>
      <w:spacing w:line="360" w:lineRule="auto"/>
    </w:pPr>
    <w:rPr>
      <w:rFonts w:ascii="Calibri" w:hAnsi="Calibri"/>
      <w:sz w:val="24"/>
      <w:szCs w:val="21"/>
    </w:rPr>
  </w:style>
  <w:style w:type="paragraph" w:styleId="971">
    <w:name w:val="Style11"/>
    <w:basedOn w:val="893"/>
    <w:next w:val="971"/>
    <w:link w:val="893"/>
    <w:pPr>
      <w:jc w:val="left"/>
      <w:spacing w:line="446" w:lineRule="exact"/>
    </w:pPr>
    <w:rPr>
      <w:rFonts w:ascii="宋体"/>
      <w:sz w:val="24"/>
    </w:rPr>
  </w:style>
  <w:style w:type="paragraph" w:styleId="972">
    <w:name w:val="样式1"/>
    <w:basedOn w:val="893"/>
    <w:next w:val="972"/>
    <w:link w:val="893"/>
    <w:pPr>
      <w:numPr>
        <w:ilvl w:val="0"/>
        <w:numId w:val="2"/>
      </w:numPr>
      <w:tabs>
        <w:tab w:val="left" w:pos="1110" w:leader="none"/>
      </w:tabs>
    </w:pPr>
    <w:rPr>
      <w:rFonts w:ascii="宋体" w:hAnsi="宋体"/>
      <w:szCs w:val="21"/>
    </w:rPr>
  </w:style>
  <w:style w:type="paragraph" w:styleId="973">
    <w:name w:val="_Style 56"/>
    <w:basedOn w:val="906"/>
    <w:next w:val="973"/>
    <w:link w:val="893"/>
    <w:pPr>
      <w:spacing w:line="436" w:lineRule="exact"/>
    </w:pPr>
    <w:rPr>
      <w:szCs w:val="20"/>
    </w:rPr>
  </w:style>
  <w:style w:type="paragraph" w:styleId="974">
    <w:name w:val="Char Char1 Char Char Char Char Char Char"/>
    <w:basedOn w:val="893"/>
    <w:next w:val="974"/>
    <w:link w:val="893"/>
    <w:pPr>
      <w:jc w:val="center"/>
      <w:widowControl/>
    </w:pPr>
    <w:rPr>
      <w:rFonts w:ascii="宋体" w:hAnsi="宋体"/>
      <w:b/>
      <w:sz w:val="24"/>
      <w:lang w:eastAsia="en-US"/>
    </w:rPr>
  </w:style>
  <w:style w:type="paragraph" w:styleId="975">
    <w:name w:val="Char1"/>
    <w:basedOn w:val="893"/>
    <w:next w:val="975"/>
    <w:link w:val="893"/>
    <w:pPr>
      <w:ind w:left="840" w:hanging="420"/>
      <w:tabs>
        <w:tab w:val="left" w:pos="840" w:leader="none"/>
      </w:tabs>
    </w:pPr>
    <w:rPr>
      <w:sz w:val="24"/>
    </w:rPr>
  </w:style>
  <w:style w:type="paragraph" w:styleId="976">
    <w:name w:val="我的样式"/>
    <w:basedOn w:val="894"/>
    <w:next w:val="893"/>
    <w:link w:val="893"/>
    <w:pPr>
      <w:numPr>
        <w:ilvl w:val="0"/>
        <w:numId w:val="3"/>
      </w:numPr>
      <w:spacing w:line="360" w:lineRule="auto"/>
    </w:pPr>
    <w:rPr>
      <w:rFonts w:ascii="仿宋_GB2312" w:eastAsia="仿宋_GB2312"/>
      <w:sz w:val="32"/>
      <w:szCs w:val="30"/>
    </w:rPr>
  </w:style>
  <w:style w:type="paragraph" w:styleId="977">
    <w:name w:val="表格正文"/>
    <w:next w:val="977"/>
    <w:link w:val="893"/>
    <w:pPr>
      <w:spacing w:line="0" w:lineRule="atLeast"/>
    </w:pPr>
    <w:rPr>
      <w:sz w:val="24"/>
      <w:szCs w:val="24"/>
      <w:lang w:val="en-US" w:eastAsia="zh-CN" w:bidi="he-IL"/>
    </w:rPr>
  </w:style>
  <w:style w:type="paragraph" w:styleId="978">
    <w:name w:val=" Char Char Char Char Char Char Char Char Char Char Char Char Char"/>
    <w:basedOn w:val="893"/>
    <w:next w:val="978"/>
    <w:link w:val="893"/>
    <w:pPr>
      <w:jc w:val="left"/>
      <w:spacing w:after="160" w:line="240" w:lineRule="exact"/>
      <w:widowControl/>
    </w:pPr>
    <w:rPr>
      <w:rFonts w:ascii="Verdana" w:hAnsi="Verdana"/>
      <w:sz w:val="20"/>
      <w:szCs w:val="20"/>
      <w:lang w:eastAsia="en-US"/>
    </w:rPr>
  </w:style>
  <w:style w:type="paragraph" w:styleId="979">
    <w:name w:val="标题1"/>
    <w:basedOn w:val="894"/>
    <w:next w:val="893"/>
    <w:link w:val="893"/>
    <w:pPr>
      <w:numPr>
        <w:ilvl w:val="0"/>
        <w:numId w:val="2"/>
      </w:numPr>
      <w:jc w:val="left"/>
      <w:spacing w:line="578" w:lineRule="atLeast"/>
    </w:pPr>
  </w:style>
  <w:style w:type="paragraph" w:styleId="980">
    <w:name w:val="正文（缩进） Char1"/>
    <w:basedOn w:val="893"/>
    <w:next w:val="980"/>
    <w:link w:val="893"/>
    <w:pPr>
      <w:ind w:firstLine="480"/>
      <w:spacing w:before="156" w:after="156" w:line="360" w:lineRule="auto"/>
    </w:pPr>
    <w:rPr>
      <w:sz w:val="24"/>
    </w:rPr>
  </w:style>
  <w:style w:type="paragraph" w:styleId="981">
    <w:name w:val="修订"/>
    <w:next w:val="981"/>
    <w:link w:val="893"/>
    <w:uiPriority w:val="99"/>
    <w:semiHidden/>
    <w:rPr>
      <w:sz w:val="21"/>
      <w:szCs w:val="24"/>
      <w:lang w:val="en-US" w:eastAsia="zh-CN" w:bidi="ar-SA"/>
    </w:rPr>
  </w:style>
  <w:style w:type="paragraph" w:styleId="982">
    <w:name w:val="Style12"/>
    <w:basedOn w:val="893"/>
    <w:next w:val="982"/>
    <w:link w:val="893"/>
    <w:pPr>
      <w:jc w:val="left"/>
    </w:pPr>
    <w:rPr>
      <w:rFonts w:ascii="宋体"/>
      <w:sz w:val="24"/>
    </w:rPr>
  </w:style>
  <w:style w:type="paragraph" w:styleId="983">
    <w:name w:val="脚注文本11"/>
    <w:basedOn w:val="893"/>
    <w:next w:val="984"/>
    <w:link w:val="893"/>
    <w:uiPriority w:val="99"/>
    <w:qFormat/>
    <w:pPr>
      <w:spacing w:after="40"/>
    </w:pPr>
    <w:rPr>
      <w:sz w:val="18"/>
    </w:rPr>
  </w:style>
  <w:style w:type="paragraph" w:styleId="984">
    <w:name w:val="索引 511"/>
    <w:basedOn w:val="893"/>
    <w:next w:val="893"/>
    <w:link w:val="893"/>
    <w:uiPriority w:val="99"/>
    <w:qFormat/>
    <w:pPr>
      <w:ind w:left="798"/>
      <w:jc w:val="left"/>
    </w:pPr>
  </w:style>
  <w:style w:type="character" w:styleId="985" w:default="1">
    <w:name w:val="Default Paragraph Font"/>
    <w:uiPriority w:val="1"/>
    <w:semiHidden/>
    <w:unhideWhenUsed/>
  </w:style>
  <w:style w:type="numbering" w:styleId="986" w:default="1">
    <w:name w:val="No List"/>
    <w:uiPriority w:val="99"/>
    <w:semiHidden/>
    <w:unhideWhenUsed/>
  </w:style>
  <w:style w:type="table" w:styleId="9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刘乃源</cp:lastModifiedBy>
  <cp:revision>5</cp:revision>
  <dcterms:created xsi:type="dcterms:W3CDTF">2024-01-08T08:47:00Z</dcterms:created>
  <dcterms:modified xsi:type="dcterms:W3CDTF">2026-08-25T08:05:55Z</dcterms:modified>
</cp:coreProperties>
</file>