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pStyle w:val="649"/>
        <w:ind w:left="241" w:firstLine="1785"/>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竞争性谈判文件</w:t>
      </w:r>
      <w:r>
        <w:rPr>
          <w:rFonts w:hint="eastAsia" w:ascii="黑体" w:hAnsi="黑体" w:eastAsia="黑体"/>
          <w:b/>
          <w:sz w:val="72"/>
          <w:szCs w:val="72"/>
          <w:highlight w:val="none"/>
        </w:rPr>
      </w:r>
      <w:r/>
    </w:p>
    <w:p>
      <w:pPr>
        <w:pStyle w:val="649"/>
        <w:ind w:firstLine="2862"/>
        <w:rPr>
          <w:rFonts w:hint="eastAsia" w:ascii="宋体" w:hAnsi="宋体"/>
          <w:bCs/>
          <w:sz w:val="36"/>
          <w:highlight w:val="none"/>
        </w:rPr>
      </w:pPr>
      <w:r>
        <w:rPr>
          <w:rFonts w:hint="eastAsia" w:ascii="宋体" w:hAnsi="宋体"/>
          <w:bCs/>
          <w:sz w:val="36"/>
          <w:highlight w:val="none"/>
        </w:rPr>
      </w:r>
      <w:r/>
    </w:p>
    <w:p>
      <w:pPr>
        <w:pStyle w:val="649"/>
        <w:ind w:firstLine="2862"/>
        <w:rPr>
          <w:rFonts w:hint="eastAsia" w:ascii="宋体" w:hAnsi="宋体"/>
          <w:bCs/>
          <w:sz w:val="36"/>
          <w:highlight w:val="none"/>
        </w:rPr>
      </w:pPr>
      <w:r>
        <w:rPr>
          <w:rFonts w:hint="eastAsia" w:ascii="宋体" w:hAnsi="宋体"/>
          <w:bCs/>
          <w:sz w:val="36"/>
          <w:highlight w:val="none"/>
        </w:rPr>
      </w:r>
      <w:r/>
    </w:p>
    <w:p>
      <w:pPr>
        <w:pStyle w:val="649"/>
        <w:ind w:firstLine="2862"/>
        <w:rPr>
          <w:rFonts w:hint="eastAsia" w:ascii="宋体" w:hAnsi="宋体"/>
          <w:bCs/>
          <w:sz w:val="36"/>
          <w:highlight w:val="none"/>
        </w:rPr>
      </w:pPr>
      <w:r>
        <w:rPr>
          <w:rFonts w:hint="eastAsia" w:ascii="宋体" w:hAnsi="宋体"/>
          <w:bCs/>
          <w:sz w:val="36"/>
          <w:highlight w:val="none"/>
        </w:rPr>
      </w:r>
      <w:r/>
    </w:p>
    <w:p>
      <w:pPr>
        <w:pStyle w:val="649"/>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lang w:eastAsia="zh-CN"/>
        </w:rPr>
        <w:t xml:space="preserve">盱眙县人民法院物业服务采购项目</w:t>
      </w:r>
      <w:r>
        <w:rPr>
          <w:rFonts w:hint="eastAsia" w:ascii="黑体" w:hAnsi="黑体" w:eastAsia="黑体"/>
          <w:b/>
          <w:sz w:val="36"/>
          <w:szCs w:val="36"/>
          <w:highlight w:val="none"/>
          <w:lang w:eastAsia="zh-CN"/>
        </w:rPr>
      </w:r>
      <w:r/>
    </w:p>
    <w:p>
      <w:pPr>
        <w:pStyle w:val="649"/>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649"/>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649"/>
        <w:ind w:firstLine="716"/>
        <w:spacing w:line="760" w:lineRule="exact"/>
        <w:rPr>
          <w:rFonts w:hint="eastAsia" w:ascii="黑体" w:hAnsi="黑体" w:eastAsia="黑体"/>
          <w:b/>
          <w:sz w:val="36"/>
          <w:highlight w:val="none"/>
        </w:rPr>
      </w:pPr>
      <w:r>
        <w:rPr>
          <w:rFonts w:hint="eastAsia" w:ascii="黑体" w:hAnsi="黑体" w:eastAsia="黑体"/>
          <w:b/>
          <w:sz w:val="36"/>
          <w:highlight w:val="none"/>
        </w:rPr>
        <w:t xml:space="preserve">项目编号: </w:t>
      </w:r>
      <w:r>
        <w:rPr>
          <w:rFonts w:hint="eastAsia" w:ascii="黑体" w:hAnsi="黑体" w:eastAsia="黑体"/>
          <w:b/>
          <w:sz w:val="36"/>
          <w:highlight w:val="none"/>
          <w:lang w:eastAsia="zh-CN"/>
        </w:rPr>
        <w:t xml:space="preserve">JSZC-320830-JZCG-T2026-0006</w:t>
      </w:r>
      <w:r>
        <w:rPr>
          <w:rFonts w:hint="eastAsia" w:ascii="黑体" w:hAnsi="黑体" w:eastAsia="黑体"/>
          <w:b/>
          <w:sz w:val="36"/>
          <w:highlight w:val="none"/>
        </w:rPr>
        <w:t xml:space="preserve"> </w:t>
      </w:r>
      <w:r>
        <w:rPr>
          <w:rFonts w:hint="eastAsia" w:ascii="黑体" w:hAnsi="黑体" w:eastAsia="黑体"/>
          <w:b/>
          <w:sz w:val="36"/>
          <w:highlight w:val="none"/>
        </w:rPr>
      </w:r>
      <w:r/>
    </w:p>
    <w:p>
      <w:pPr>
        <w:pStyle w:val="695"/>
        <w:rPr>
          <w:rFonts w:hint="eastAsia" w:ascii="黑体" w:hAnsi="黑体" w:eastAsia="黑体"/>
          <w:b/>
          <w:sz w:val="36"/>
          <w:highlight w:val="none"/>
        </w:rPr>
      </w:pPr>
      <w:r>
        <w:rPr>
          <w:rFonts w:hint="eastAsia" w:ascii="黑体" w:hAnsi="黑体" w:eastAsia="黑体"/>
          <w:b/>
          <w:sz w:val="36"/>
          <w:highlight w:val="none"/>
        </w:rPr>
      </w:r>
      <w:r/>
    </w:p>
    <w:p>
      <w:pPr>
        <w:pStyle w:val="695"/>
        <w:rPr>
          <w:rFonts w:hint="eastAsia" w:ascii="黑体" w:hAnsi="黑体" w:eastAsia="黑体"/>
          <w:b/>
          <w:sz w:val="36"/>
          <w:highlight w:val="none"/>
        </w:rPr>
      </w:pPr>
      <w:r>
        <w:rPr>
          <w:rFonts w:hint="eastAsia" w:ascii="黑体" w:hAnsi="黑体" w:eastAsia="黑体"/>
          <w:b/>
          <w:sz w:val="36"/>
          <w:highlight w:val="none"/>
        </w:rPr>
      </w:r>
      <w:r/>
    </w:p>
    <w:p>
      <w:pPr>
        <w:pStyle w:val="695"/>
        <w:rPr>
          <w:rFonts w:ascii="黑体" w:hAnsi="黑体" w:eastAsia="黑体"/>
          <w:b/>
          <w:sz w:val="36"/>
          <w:highlight w:val="none"/>
          <w:lang w:val="en-US" w:eastAsia="zh-CN"/>
        </w:rPr>
      </w:pPr>
      <w:r>
        <w:rPr>
          <w:rFonts w:hint="eastAsia" w:ascii="黑体" w:hAnsi="黑体" w:eastAsia="黑体"/>
          <w:b/>
          <w:sz w:val="36"/>
          <w:highlight w:val="none"/>
          <w:lang w:val="en-US" w:eastAsia="zh-CN"/>
        </w:rPr>
        <w:t xml:space="preserve">采</w:t>
      </w:r>
      <w:r>
        <w:rPr>
          <w:rFonts w:hint="eastAsia" w:ascii="黑体" w:hAnsi="黑体" w:eastAsia="黑体"/>
          <w:b/>
          <w:sz w:val="36"/>
          <w:highlight w:val="none"/>
          <w:lang w:val="en-US" w:eastAsia="zh-CN"/>
        </w:rPr>
        <w:t xml:space="preserve"> </w:t>
      </w:r>
      <w:r>
        <w:rPr>
          <w:rFonts w:hint="eastAsia" w:ascii="黑体" w:hAnsi="黑体" w:eastAsia="黑体"/>
          <w:b/>
          <w:sz w:val="36"/>
          <w:highlight w:val="none"/>
          <w:lang w:val="en-US" w:eastAsia="zh-CN"/>
        </w:rPr>
        <w:t xml:space="preserve">购</w:t>
      </w:r>
      <w:r>
        <w:rPr>
          <w:rFonts w:hint="eastAsia" w:ascii="黑体" w:hAnsi="黑体" w:eastAsia="黑体"/>
          <w:b/>
          <w:sz w:val="36"/>
          <w:highlight w:val="none"/>
          <w:lang w:val="en-US" w:eastAsia="zh-CN"/>
        </w:rPr>
        <w:t xml:space="preserve"> </w:t>
      </w:r>
      <w:r>
        <w:rPr>
          <w:rFonts w:hint="eastAsia" w:ascii="黑体" w:hAnsi="黑体" w:eastAsia="黑体"/>
          <w:b/>
          <w:sz w:val="36"/>
          <w:highlight w:val="none"/>
          <w:lang w:val="en-US" w:eastAsia="zh-CN"/>
        </w:rPr>
        <w:t xml:space="preserve">人：</w:t>
      </w:r>
      <w:r>
        <w:rPr>
          <w:rFonts w:hint="eastAsia" w:ascii="黑体" w:hAnsi="黑体" w:eastAsia="黑体"/>
          <w:b/>
          <w:sz w:val="36"/>
          <w:highlight w:val="none"/>
          <w:lang w:val="en-US" w:eastAsia="zh-CN"/>
        </w:rPr>
        <w:t xml:space="preserve">盱眙县人民法院</w:t>
      </w:r>
      <w:r>
        <w:rPr>
          <w:rFonts w:ascii="黑体" w:hAnsi="黑体" w:eastAsia="黑体"/>
          <w:b/>
          <w:sz w:val="36"/>
          <w:highlight w:val="none"/>
          <w:lang w:val="en-US" w:eastAsia="zh-CN"/>
        </w:rPr>
      </w:r>
      <w:r/>
    </w:p>
    <w:p>
      <w:pPr>
        <w:pStyle w:val="649"/>
        <w:rPr>
          <w:rFonts w:hint="eastAsia" w:ascii="黑体" w:hAnsi="黑体" w:eastAsia="黑体"/>
          <w:b/>
          <w:sz w:val="32"/>
          <w:highlight w:val="none"/>
        </w:rPr>
      </w:pPr>
      <w:r>
        <w:rPr>
          <w:rFonts w:hint="eastAsia" w:ascii="黑体" w:hAnsi="黑体" w:eastAsia="黑体"/>
          <w:b/>
          <w:sz w:val="32"/>
          <w:highlight w:val="none"/>
        </w:rPr>
      </w:r>
      <w:r/>
    </w:p>
    <w:p>
      <w:pPr>
        <w:pStyle w:val="649"/>
        <w:ind w:firstLine="2523"/>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r>
      <w:r/>
    </w:p>
    <w:p>
      <w:pPr>
        <w:pStyle w:val="649"/>
        <w:ind w:firstLine="2523"/>
        <w:rPr>
          <w:rFonts w:hint="eastAsia" w:ascii="黑体" w:hAnsi="黑体" w:eastAsia="黑体"/>
          <w:b/>
          <w:sz w:val="36"/>
          <w:szCs w:val="36"/>
          <w:highlight w:val="none"/>
          <w:u w:val="single"/>
          <w:lang w:eastAsia="zh-CN"/>
        </w:rPr>
      </w:pPr>
      <w:r>
        <w:rPr>
          <w:rFonts w:hint="eastAsia" w:ascii="黑体" w:hAnsi="黑体" w:eastAsia="黑体"/>
          <w:b/>
          <w:sz w:val="36"/>
          <w:szCs w:val="36"/>
          <w:highlight w:val="none"/>
          <w:lang w:eastAsia="zh-CN"/>
        </w:rPr>
        <w:t xml:space="preserve">淮安市公共资源交易中心盱眙分中心</w:t>
      </w:r>
      <w:r>
        <w:rPr>
          <w:rFonts w:hint="eastAsia" w:ascii="黑体" w:hAnsi="黑体" w:eastAsia="黑体"/>
          <w:b/>
          <w:sz w:val="36"/>
          <w:szCs w:val="36"/>
          <w:highlight w:val="none"/>
          <w:u w:val="single"/>
          <w:lang w:eastAsia="zh-CN"/>
        </w:rPr>
      </w:r>
      <w:r/>
    </w:p>
    <w:p>
      <w:pPr>
        <w:pStyle w:val="649"/>
        <w:ind w:firstLine="2692"/>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r>
      <w:r/>
    </w:p>
    <w:p>
      <w:pPr>
        <w:pStyle w:val="649"/>
        <w:jc w:val="center"/>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t xml:space="preserve">二0二</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八</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val="en-US" w:eastAsia="zh-CN"/>
        </w:rPr>
        <w:t xml:space="preserve">十三</w:t>
      </w:r>
      <w:r>
        <w:rPr>
          <w:rFonts w:hint="eastAsia" w:ascii="黑体" w:hAnsi="黑体" w:eastAsia="黑体"/>
          <w:b/>
          <w:sz w:val="36"/>
          <w:szCs w:val="36"/>
          <w:highlight w:val="none"/>
        </w:rPr>
        <w:t xml:space="preserve">日</w:t>
      </w:r>
      <w:r>
        <w:rPr>
          <w:rFonts w:hint="eastAsia" w:ascii="黑体" w:hAnsi="黑体" w:eastAsia="黑体"/>
          <w:b/>
          <w:sz w:val="36"/>
          <w:szCs w:val="36"/>
          <w:highlight w:val="none"/>
        </w:rPr>
      </w:r>
      <w:r/>
    </w:p>
    <w:p>
      <w:pPr>
        <w:pStyle w:val="649"/>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649"/>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649"/>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pStyle w:val="649"/>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第一章   谈判邀请</w:t>
      </w:r>
      <w:r>
        <w:rPr>
          <w:rFonts w:hint="eastAsia" w:ascii="仿宋" w:hAnsi="仿宋" w:eastAsia="仿宋"/>
          <w:b/>
          <w:bCs/>
          <w:sz w:val="36"/>
          <w:szCs w:val="36"/>
          <w:highlight w:val="none"/>
        </w:rPr>
      </w:r>
      <w:r/>
    </w:p>
    <w:p>
      <w:pPr>
        <w:pStyle w:val="649"/>
        <w:ind w:firstLine="548"/>
        <w:spacing w:line="520" w:lineRule="exact"/>
        <w:rPr>
          <w:rFonts w:ascii="仿宋" w:hAnsi="仿宋" w:eastAsia="仿宋"/>
          <w:sz w:val="28"/>
          <w:highlight w:val="none"/>
        </w:rPr>
      </w:pPr>
      <w:r>
        <w:rPr>
          <w:rFonts w:hint="eastAsia" w:ascii="仿宋" w:hAnsi="仿宋" w:eastAsia="仿宋"/>
          <w:sz w:val="28"/>
          <w:highlight w:val="none"/>
        </w:rPr>
        <w:t xml:space="preserve">受</w:t>
      </w:r>
      <w:r>
        <w:rPr>
          <w:rFonts w:hint="eastAsia" w:ascii="仿宋" w:hAnsi="仿宋" w:eastAsia="仿宋"/>
          <w:sz w:val="28"/>
          <w:highlight w:val="none"/>
          <w:lang w:val="en-US" w:eastAsia="zh-CN"/>
        </w:rPr>
        <w:t xml:space="preserve">盱眙县人民法院</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淮安市公共资源交易中心盱眙分中心</w:t>
      </w:r>
      <w:r>
        <w:rPr>
          <w:rFonts w:hint="eastAsia" w:ascii="仿宋" w:hAnsi="仿宋" w:eastAsia="仿宋"/>
          <w:sz w:val="28"/>
          <w:highlight w:val="none"/>
        </w:rPr>
        <w:t xml:space="preserve">就</w:t>
      </w:r>
      <w:r>
        <w:rPr>
          <w:rFonts w:hint="eastAsia" w:ascii="仿宋" w:hAnsi="仿宋" w:eastAsia="仿宋"/>
          <w:sz w:val="28"/>
          <w:highlight w:val="none"/>
          <w:lang w:eastAsia="zh-CN"/>
        </w:rPr>
        <w:t xml:space="preserve">盱眙县人民法院物业服务采购项目</w:t>
      </w:r>
      <w:r>
        <w:rPr>
          <w:rFonts w:hint="eastAsia" w:ascii="仿宋" w:hAnsi="仿宋" w:eastAsia="仿宋"/>
          <w:sz w:val="28"/>
          <w:highlight w:val="none"/>
        </w:rPr>
        <w:t xml:space="preserve">进行竞争性谈判采购，采购人参照中华人民共和国财政部令第74号第十二条之规定，现邀请书面推荐供应商参加竞争性谈判采购。</w:t>
      </w:r>
      <w:r>
        <w:rPr>
          <w:rFonts w:ascii="仿宋" w:hAnsi="仿宋" w:eastAsia="仿宋"/>
          <w:sz w:val="28"/>
          <w:highlight w:val="none"/>
        </w:rPr>
      </w:r>
      <w:r/>
    </w:p>
    <w:p>
      <w:pPr>
        <w:pStyle w:val="649"/>
        <w:ind w:left="1"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57734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577340"/>
                        </a:xfrm>
                        <a:prstGeom prst="rect">
                          <a:avLst/>
                        </a:prstGeom>
                        <a:solidFill>
                          <a:srgbClr val="FFFFFF"/>
                        </a:solidFill>
                        <a:ln>
                          <a:solidFill>
                            <a:srgbClr val="000000"/>
                          </a:solidFill>
                        </a:ln>
                      </wps:spPr>
                      <wps:txbx>
                        <w:txbxContent>
                          <w:p>
                            <w:pPr>
                              <w:pStyle w:val="649"/>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盱眙县人民法院物业服务采购项目</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书面推荐</w:t>
                            </w:r>
                            <w:r>
                              <w:rPr>
                                <w:rFonts w:hint="eastAsia" w:ascii="仿宋" w:hAnsi="仿宋" w:eastAsia="仿宋"/>
                                <w:sz w:val="28"/>
                                <w:szCs w:val="28"/>
                              </w:rPr>
                              <w:t xml:space="preserve">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）自行免费下载谈判文件，并于</w:t>
                            </w:r>
                            <w:r>
                              <w:rPr>
                                <w:rFonts w:hint="eastAsia" w:ascii="仿宋" w:hAnsi="仿宋" w:eastAsia="仿宋"/>
                                <w:sz w:val="28"/>
                                <w:szCs w:val="28"/>
                                <w:lang w:val="en-US" w:eastAsia="zh-CN"/>
                              </w:rPr>
                              <w:t xml:space="preserve">2026年8月21日9点00分</w:t>
                            </w:r>
                            <w:r>
                              <w:rPr>
                                <w:rFonts w:hint="eastAsia" w:ascii="仿宋" w:hAnsi="仿宋" w:eastAsia="仿宋"/>
                                <w:sz w:val="28"/>
                                <w:szCs w:val="28"/>
                              </w:rPr>
                              <w:t xml:space="preserve">（北京时间）前提交响应文件。</w:t>
                            </w:r>
                            <w:r>
                              <w:rPr>
                                <w:rFonts w:hint="eastAsia" w:ascii="仿宋" w:hAnsi="仿宋" w:eastAsia="仿宋"/>
                                <w:sz w:val="28"/>
                                <w:szCs w:val="28"/>
                              </w:rPr>
                            </w:r>
                            <w:r/>
                          </w:p>
                          <w:p>
                            <w:pPr>
                              <w:pStyle w:val="649"/>
                            </w:pPr>
                            <w:r/>
                            <w:r/>
                          </w:p>
                          <w:p>
                            <w:pPr>
                              <w:pStyle w:val="649"/>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24.2pt;mso-wrap-distance-left:9.0pt;mso-wrap-distance-top:0.0pt;mso-wrap-distance-right:9.0pt;mso-wrap-distance-bottom:0.0pt;visibility:visible;" fillcolor="#FFFFFF" strokecolor="#000000">
                <v:textbox inset="0,0,0,0">
                  <w:txbxContent>
                    <w:p>
                      <w:pPr>
                        <w:pStyle w:val="649"/>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盱眙县人民法院物业服务采购项目</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书面推荐</w:t>
                      </w:r>
                      <w:r>
                        <w:rPr>
                          <w:rFonts w:hint="eastAsia" w:ascii="仿宋" w:hAnsi="仿宋" w:eastAsia="仿宋"/>
                          <w:sz w:val="28"/>
                          <w:szCs w:val="28"/>
                        </w:rPr>
                        <w:t xml:space="preserve">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）自行免费下载谈判文件，并于</w:t>
                      </w:r>
                      <w:r>
                        <w:rPr>
                          <w:rFonts w:hint="eastAsia" w:ascii="仿宋" w:hAnsi="仿宋" w:eastAsia="仿宋"/>
                          <w:sz w:val="28"/>
                          <w:szCs w:val="28"/>
                          <w:lang w:val="en-US" w:eastAsia="zh-CN"/>
                        </w:rPr>
                        <w:t xml:space="preserve">2026年8月21日9点00分</w:t>
                      </w:r>
                      <w:r>
                        <w:rPr>
                          <w:rFonts w:hint="eastAsia" w:ascii="仿宋" w:hAnsi="仿宋" w:eastAsia="仿宋"/>
                          <w:sz w:val="28"/>
                          <w:szCs w:val="28"/>
                        </w:rPr>
                        <w:t xml:space="preserve">（北京时间）前提交响应文件。</w:t>
                      </w:r>
                      <w:r>
                        <w:rPr>
                          <w:rFonts w:hint="eastAsia" w:ascii="仿宋" w:hAnsi="仿宋" w:eastAsia="仿宋"/>
                          <w:sz w:val="28"/>
                          <w:szCs w:val="28"/>
                        </w:rPr>
                      </w:r>
                      <w:r/>
                    </w:p>
                    <w:p>
                      <w:pPr>
                        <w:pStyle w:val="649"/>
                      </w:pPr>
                      <w:r/>
                      <w:r/>
                    </w:p>
                    <w:p>
                      <w:pPr>
                        <w:pStyle w:val="649"/>
                      </w:pPr>
                      <w:r/>
                      <w:r/>
                    </w:p>
                  </w:txbxContent>
                </v:textbox>
              </v:shape>
            </w:pict>
          </mc:Fallback>
        </mc:AlternateContent>
      </w:r>
      <w:r>
        <w:rPr>
          <w:rFonts w:hint="eastAsia"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（一）项目编号:</w:t>
      </w:r>
      <w:r>
        <w:rPr>
          <w:rFonts w:hint="eastAsia" w:ascii="仿宋" w:hAnsi="仿宋" w:eastAsia="仿宋"/>
          <w:sz w:val="28"/>
          <w:szCs w:val="28"/>
          <w:highlight w:val="none"/>
          <w:lang w:eastAsia="zh-CN"/>
        </w:rPr>
        <w:t xml:space="preserve">JSZC-320830-JZCG-T2026-0006</w:t>
      </w:r>
      <w:r>
        <w:rPr>
          <w:rFonts w:hint="eastAsia" w:ascii="仿宋" w:hAnsi="仿宋" w:eastAsia="仿宋"/>
          <w:sz w:val="28"/>
          <w:szCs w:val="28"/>
          <w:highlight w:val="none"/>
        </w:rPr>
        <w:t xml:space="preserve"> </w:t>
      </w:r>
      <w:r>
        <w:rPr>
          <w:rFonts w:ascii="仿宋" w:hAnsi="仿宋" w:eastAsia="仿宋"/>
          <w:sz w:val="28"/>
          <w:szCs w:val="28"/>
          <w:highlight w:val="none"/>
        </w:rPr>
      </w:r>
      <w:r/>
    </w:p>
    <w:p>
      <w:pPr>
        <w:pStyle w:val="649"/>
        <w:ind w:firstLine="565"/>
        <w:spacing w:line="52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w:t>
      </w:r>
      <w:r>
        <w:rPr>
          <w:rFonts w:hint="eastAsia" w:ascii="仿宋" w:hAnsi="仿宋" w:eastAsia="仿宋"/>
          <w:sz w:val="28"/>
          <w:szCs w:val="28"/>
          <w:highlight w:val="none"/>
          <w:lang w:eastAsia="zh-CN"/>
        </w:rPr>
        <w:t xml:space="preserve">盱眙县人民法院物业服务采购项目</w:t>
      </w:r>
      <w:r>
        <w:rPr>
          <w:rFonts w:hint="eastAsia" w:ascii="仿宋" w:hAnsi="仿宋" w:eastAsia="仿宋"/>
          <w:sz w:val="28"/>
          <w:szCs w:val="28"/>
          <w:highlight w:val="none"/>
        </w:rPr>
        <w:t xml:space="preserve"> </w:t>
      </w:r>
      <w:r>
        <w:rPr>
          <w:rFonts w:hint="eastAsia" w:ascii="仿宋" w:hAnsi="仿宋" w:eastAsia="仿宋"/>
          <w:bCs/>
          <w:sz w:val="28"/>
          <w:szCs w:val="28"/>
          <w:highlight w:val="none"/>
        </w:rPr>
        <w:t xml:space="preserve"> </w:t>
      </w:r>
      <w:r>
        <w:rPr>
          <w:rFonts w:hint="eastAsia" w:ascii="仿宋" w:hAnsi="仿宋" w:eastAsia="仿宋"/>
          <w:bCs/>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bCs/>
          <w:sz w:val="28"/>
          <w:szCs w:val="28"/>
          <w:highlight w:val="none"/>
        </w:rPr>
        <w:t xml:space="preserve">（三）采购方式:竞争性谈判</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u w:val="single"/>
          <w:lang w:val="en-US" w:eastAsia="zh-CN"/>
        </w:rPr>
        <w:t xml:space="preserve">396万元</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（五）最高限价:</w:t>
      </w:r>
      <w:r>
        <w:rPr>
          <w:rFonts w:hint="eastAsia" w:ascii="仿宋" w:hAnsi="仿宋" w:eastAsia="仿宋"/>
          <w:sz w:val="28"/>
          <w:szCs w:val="28"/>
          <w:highlight w:val="none"/>
          <w:lang w:val="en-US" w:eastAsia="zh-CN"/>
        </w:rPr>
        <w:t xml:space="preserve">396万元</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（六）采购需求:</w:t>
      </w:r>
      <w:r>
        <w:rPr>
          <w:rFonts w:ascii="仿宋" w:hAnsi="仿宋" w:eastAsia="仿宋"/>
          <w:sz w:val="28"/>
          <w:szCs w:val="28"/>
          <w:highlight w:val="none"/>
        </w:rPr>
      </w:r>
      <w:r/>
    </w:p>
    <w:p>
      <w:pPr>
        <w:pStyle w:val="649"/>
        <w:ind w:firstLine="565"/>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（七）合同履行期限:</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一</w:t>
      </w:r>
      <w:r>
        <w:rPr>
          <w:rFonts w:hint="eastAsia" w:ascii="仿宋" w:hAnsi="仿宋" w:eastAsia="仿宋"/>
          <w:sz w:val="28"/>
          <w:szCs w:val="28"/>
          <w:highlight w:val="none"/>
        </w:rPr>
        <w:t xml:space="preserve">年。</w:t>
      </w:r>
      <w:r>
        <w:rPr>
          <w:rFonts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（八）本项目（□是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否）接受联合体竞争性谈判。</w:t>
      </w:r>
      <w:r>
        <w:rPr>
          <w:rFonts w:hint="eastAsia" w:ascii="仿宋" w:hAnsi="仿宋" w:eastAsia="仿宋"/>
          <w:sz w:val="28"/>
          <w:szCs w:val="28"/>
          <w:highlight w:val="none"/>
        </w:rPr>
      </w:r>
      <w:r/>
    </w:p>
    <w:p>
      <w:pPr>
        <w:pStyle w:val="649"/>
        <w:ind w:firstLine="565"/>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（九）本项目采购标的对应的中小企业划分标准所属行业为</w:t>
      </w:r>
      <w:r>
        <w:rPr>
          <w:rFonts w:hint="eastAsia" w:ascii="仿宋" w:hAnsi="仿宋" w:eastAsia="仿宋"/>
          <w:sz w:val="28"/>
          <w:szCs w:val="28"/>
          <w:highlight w:val="none"/>
          <w:u w:val="single"/>
          <w:lang w:val="en-US" w:eastAsia="zh-CN"/>
        </w:rPr>
        <w:t xml:space="preserve">物业管理服务</w:t>
      </w:r>
      <w:r>
        <w:rPr>
          <w:rFonts w:hint="eastAsia" w:ascii="仿宋" w:hAnsi="仿宋" w:eastAsia="仿宋"/>
          <w:sz w:val="28"/>
          <w:szCs w:val="28"/>
          <w:highlight w:val="none"/>
        </w:rPr>
        <w:t xml:space="preserve">。</w:t>
      </w:r>
      <w:r>
        <w:rPr>
          <w:rFonts w:ascii="仿宋" w:hAnsi="仿宋" w:eastAsia="仿宋"/>
          <w:sz w:val="28"/>
          <w:szCs w:val="28"/>
          <w:highlight w:val="none"/>
          <w:u w:val="singl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649"/>
        <w:ind w:firstLine="56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（一）符合《中华人民共和国政府采购法》第二十二条规定；</w:t>
      </w:r>
      <w:r>
        <w:rPr>
          <w:rFonts w:ascii="仿宋" w:hAnsi="仿宋" w:eastAsia="仿宋"/>
          <w:b/>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对小微企业报价给予扣除，用扣除后的价格参加评审，具体详见第二章“供应商须知”第36.1项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649"/>
        <w:ind w:firstLine="560"/>
        <w:spacing w:line="520" w:lineRule="exact"/>
        <w:rPr>
          <w:rFonts w:ascii="仿宋" w:hAnsi="仿宋" w:eastAsia="仿宋"/>
          <w:color w:val="000000"/>
          <w:sz w:val="28"/>
          <w:szCs w:val="28"/>
          <w:highlight w:val="none"/>
          <w:lang w:val="zh-CN"/>
        </w:rPr>
      </w:pPr>
      <w:r>
        <w:rPr>
          <w:rFonts w:hint="eastAsia" w:ascii="仿宋" w:hAnsi="仿宋" w:eastAsia="仿宋"/>
          <w:sz w:val="28"/>
          <w:szCs w:val="28"/>
          <w:highlight w:val="none"/>
        </w:rPr>
        <w:t xml:space="preserve">（三）本项目的特定资格要求:</w:t>
      </w:r>
      <w:r>
        <w:rPr>
          <w:rFonts w:ascii="仿宋" w:hAnsi="仿宋" w:eastAsia="仿宋"/>
          <w:color w:val="000000"/>
          <w:sz w:val="28"/>
          <w:szCs w:val="28"/>
          <w:highlight w:val="none"/>
          <w:lang w:val="zh-CN"/>
        </w:rPr>
      </w:r>
      <w:r/>
    </w:p>
    <w:p>
      <w:pPr>
        <w:pStyle w:val="649"/>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1、（供应商可任选其中1项提供材料，2选1）</w:t>
      </w:r>
      <w:r>
        <w:rPr>
          <w:rFonts w:hint="eastAsia" w:ascii="仿宋" w:hAnsi="仿宋" w:eastAsia="仿宋" w:cs="宋体"/>
          <w:color w:val="000000"/>
          <w:sz w:val="28"/>
          <w:szCs w:val="28"/>
          <w:highlight w:val="none"/>
        </w:rPr>
      </w:r>
      <w:r/>
    </w:p>
    <w:p>
      <w:pPr>
        <w:pStyle w:val="649"/>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（1）法定代表人资格证明（格式按照示范格式一要求），法定代表人身份证，扫描件上传至电子标书；</w:t>
      </w:r>
      <w:r>
        <w:rPr>
          <w:rFonts w:hint="eastAsia" w:ascii="仿宋" w:hAnsi="仿宋" w:eastAsia="仿宋" w:cs="宋体"/>
          <w:color w:val="000000"/>
          <w:sz w:val="28"/>
          <w:szCs w:val="28"/>
          <w:highlight w:val="none"/>
        </w:rPr>
      </w:r>
      <w:r/>
    </w:p>
    <w:p>
      <w:pPr>
        <w:pStyle w:val="649"/>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（2）授权委托书（格式按照示范格式二要求），受托人身份证，扫描件上传至电子标书。</w:t>
      </w:r>
      <w:r>
        <w:rPr>
          <w:rFonts w:hint="eastAsia" w:ascii="仿宋" w:hAnsi="仿宋" w:eastAsia="仿宋" w:cs="宋体"/>
          <w:color w:val="000000"/>
          <w:sz w:val="28"/>
          <w:szCs w:val="28"/>
          <w:highlight w:val="none"/>
        </w:rPr>
      </w:r>
      <w:r/>
    </w:p>
    <w:p>
      <w:pPr>
        <w:pStyle w:val="649"/>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2、有效的营业执照，扫描件上传至电子标书。</w:t>
      </w:r>
      <w:r>
        <w:rPr>
          <w:rFonts w:hint="eastAsia" w:ascii="仿宋" w:hAnsi="仿宋" w:eastAsia="仿宋" w:cs="宋体"/>
          <w:color w:val="000000"/>
          <w:sz w:val="28"/>
          <w:szCs w:val="28"/>
          <w:highlight w:val="none"/>
        </w:rPr>
      </w:r>
      <w:r/>
    </w:p>
    <w:p>
      <w:pPr>
        <w:pStyle w:val="649"/>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3、承诺书（格式按照示范格式三要求），扫描件上传至电子标书。</w:t>
      </w:r>
      <w:r>
        <w:rPr>
          <w:rFonts w:hint="eastAsia" w:ascii="仿宋" w:hAnsi="仿宋" w:eastAsia="仿宋" w:cs="宋体"/>
          <w:color w:val="000000"/>
          <w:sz w:val="28"/>
          <w:szCs w:val="28"/>
          <w:highlight w:val="none"/>
        </w:rPr>
      </w:r>
      <w:r/>
    </w:p>
    <w:p>
      <w:pPr>
        <w:pStyle w:val="649"/>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4、符合《中华人民共和国政府采购法》第二十二条规定条件的声明函（格式按照示范格式四要求），扫描件上传至电子标书。</w:t>
      </w:r>
      <w:r>
        <w:rPr>
          <w:rFonts w:hint="eastAsia" w:ascii="仿宋" w:hAnsi="仿宋" w:eastAsia="仿宋" w:cs="宋体"/>
          <w:color w:val="000000"/>
          <w:sz w:val="28"/>
          <w:szCs w:val="28"/>
          <w:highlight w:val="none"/>
        </w:rPr>
      </w:r>
      <w:r/>
    </w:p>
    <w:p>
      <w:pPr>
        <w:pStyle w:val="649"/>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rPr>
        <w:t xml:space="preserve">、本项目不接受联合体投标。</w:t>
      </w:r>
      <w:r>
        <w:rPr>
          <w:rFonts w:hint="eastAsia" w:ascii="仿宋" w:hAnsi="仿宋" w:eastAsia="仿宋" w:cs="宋体"/>
          <w:color w:val="000000"/>
          <w:sz w:val="28"/>
          <w:szCs w:val="28"/>
          <w:highlight w:val="none"/>
        </w:rPr>
      </w:r>
      <w:r/>
    </w:p>
    <w:p>
      <w:pPr>
        <w:pStyle w:val="649"/>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6</w:t>
      </w:r>
      <w:r>
        <w:rPr>
          <w:rFonts w:hint="eastAsia" w:ascii="仿宋" w:hAnsi="仿宋" w:eastAsia="仿宋" w:cs="宋体"/>
          <w:color w:val="000000"/>
          <w:sz w:val="28"/>
          <w:szCs w:val="28"/>
          <w:highlight w:val="none"/>
        </w:rPr>
        <w:t xml:space="preserve">、本项目为专门面向中小企业采购的项目，扫描件上传至电子标书。</w:t>
      </w:r>
      <w:r>
        <w:rPr>
          <w:rFonts w:hint="eastAsia" w:ascii="仿宋" w:hAnsi="仿宋" w:eastAsia="仿宋" w:cs="宋体"/>
          <w:color w:val="000000"/>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ascii="仿宋" w:hAnsi="仿宋" w:eastAsia="仿宋"/>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649"/>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649"/>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三、获取谈判文件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1、时间:自谈判公告发布之日起五个工作日。</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2、方式：在“淮安市政府采购网”自行免费下载招标文件。</w:t>
      </w:r>
      <w:r>
        <w:rPr>
          <w:rFonts w:ascii="仿宋" w:hAnsi="仿宋" w:eastAsia="仿宋"/>
          <w:sz w:val="28"/>
          <w:szCs w:val="28"/>
          <w:highlight w:val="none"/>
        </w:rPr>
      </w:r>
      <w:r/>
    </w:p>
    <w:p>
      <w:pPr>
        <w:pStyle w:val="649"/>
        <w:ind w:firstLine="565"/>
        <w:spacing w:line="500" w:lineRule="exact"/>
        <w:rPr>
          <w:rFonts w:ascii="仿宋" w:hAnsi="仿宋" w:eastAsia="仿宋"/>
          <w:sz w:val="28"/>
          <w:szCs w:val="28"/>
          <w:highlight w:val="none"/>
        </w:rPr>
      </w:pPr>
      <w:r>
        <w:rPr>
          <w:rFonts w:hint="eastAsia" w:ascii="仿宋" w:hAnsi="仿宋" w:eastAsia="仿宋"/>
          <w:color w:val="000000"/>
          <w:sz w:val="28"/>
          <w:szCs w:val="28"/>
          <w:highlight w:val="none"/>
        </w:rPr>
        <w:t xml:space="preserve">四、</w:t>
      </w:r>
      <w:r>
        <w:rPr>
          <w:rFonts w:hint="eastAsia" w:ascii="仿宋" w:hAnsi="仿宋" w:eastAsia="仿宋"/>
          <w:sz w:val="28"/>
          <w:szCs w:val="28"/>
          <w:highlight w:val="none"/>
        </w:rPr>
        <w:t xml:space="preserve">提交响应文件截止时间、谈判时间和地点</w:t>
      </w:r>
      <w:r>
        <w:rPr>
          <w:rFonts w:ascii="仿宋" w:hAnsi="仿宋" w:eastAsia="仿宋"/>
          <w:sz w:val="28"/>
          <w:szCs w:val="28"/>
          <w:highlight w:val="none"/>
        </w:rPr>
      </w:r>
      <w:r/>
    </w:p>
    <w:p>
      <w:pPr>
        <w:pStyle w:val="649"/>
        <w:ind w:firstLine="28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（一）电子响应文件提交截止时间及谈判时间:</w:t>
      </w:r>
      <w:r>
        <w:rPr>
          <w:rFonts w:hint="eastAsia" w:ascii="仿宋" w:hAnsi="仿宋" w:eastAsia="仿宋"/>
          <w:sz w:val="28"/>
          <w:szCs w:val="28"/>
          <w:lang w:val="en-US" w:eastAsia="zh-CN"/>
        </w:rPr>
        <w:t xml:space="preserve">2026年8月21日9点00分</w:t>
      </w:r>
      <w:r>
        <w:rPr>
          <w:rFonts w:ascii="仿宋" w:hAnsi="仿宋" w:eastAsia="仿宋"/>
          <w:sz w:val="28"/>
          <w:szCs w:val="28"/>
          <w:highlight w:val="none"/>
          <w:lang w:val="en-US" w:eastAsia="zh-CN"/>
        </w:rPr>
      </w:r>
      <w:r/>
    </w:p>
    <w:p>
      <w:pPr>
        <w:pStyle w:val="649"/>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（二）电子响应文件上传地址：“苏采云”政府采购交易系统网上开标大厅。</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七、其他补充事宜</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八、对本次采购提出询问，请按以下方式联系。</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1、采购人信息</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val="en-US" w:eastAsia="zh-CN"/>
        </w:rPr>
        <w:t xml:space="preserve">盱眙县人民法院</w:t>
      </w:r>
      <w:r>
        <w:rPr>
          <w:rFonts w:ascii="仿宋" w:hAnsi="仿宋" w:eastAsia="仿宋"/>
          <w:sz w:val="28"/>
          <w:szCs w:val="28"/>
          <w:highlight w:val="none"/>
          <w:lang w:val="en-US" w:eastAsia="zh-CN"/>
        </w:rPr>
      </w:r>
      <w:r/>
    </w:p>
    <w:p>
      <w:pPr>
        <w:pStyle w:val="649"/>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地址:盱眙县洪武大道</w:t>
      </w:r>
      <w:r>
        <w:rPr>
          <w:rFonts w:ascii="仿宋" w:hAnsi="仿宋" w:eastAsia="仿宋"/>
          <w:sz w:val="28"/>
          <w:szCs w:val="28"/>
          <w:highlight w:val="none"/>
          <w:lang w:val="en-US" w:eastAsia="zh-CN"/>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联系方式:18932307116 </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淮安市公共资源交易中心盱眙分中心</w:t>
      </w:r>
      <w:r>
        <w:rPr>
          <w:rFonts w:hint="eastAsia" w:ascii="仿宋" w:hAnsi="仿宋" w:eastAsia="仿宋"/>
          <w:sz w:val="28"/>
          <w:szCs w:val="28"/>
          <w:highlight w:val="none"/>
          <w:lang w:eastAsia="zh-CN"/>
        </w:rPr>
      </w:r>
      <w:r/>
    </w:p>
    <w:p>
      <w:pPr>
        <w:pStyle w:val="649"/>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val="en-US" w:eastAsia="zh-CN"/>
        </w:rPr>
        <w:t xml:space="preserve">盱眙县金鹏大道2号</w:t>
      </w:r>
      <w:r>
        <w:rPr>
          <w:rFonts w:ascii="仿宋" w:hAnsi="仿宋" w:eastAsia="仿宋"/>
          <w:sz w:val="28"/>
          <w:szCs w:val="28"/>
          <w:highlight w:val="none"/>
          <w:lang w:val="en-US" w:eastAsia="zh-CN"/>
        </w:rPr>
      </w:r>
      <w:r/>
    </w:p>
    <w:p>
      <w:pPr>
        <w:pStyle w:val="649"/>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val="en-US" w:eastAsia="zh-CN"/>
        </w:rPr>
        <w:t xml:space="preserve">15261779247</w:t>
      </w:r>
      <w:r>
        <w:rPr>
          <w:rFonts w:ascii="仿宋" w:hAnsi="仿宋" w:eastAsia="仿宋"/>
          <w:sz w:val="28"/>
          <w:szCs w:val="28"/>
          <w:highlight w:val="none"/>
          <w:lang w:val="en-US" w:eastAsia="zh-CN"/>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有关本次谈判活动的事项若存在变动或修改，敬请及时关注</w:t>
      </w:r>
      <w:r>
        <w:rPr>
          <w:rFonts w:hint="eastAsia" w:ascii="仿宋" w:hAnsi="仿宋" w:eastAsia="仿宋"/>
          <w:sz w:val="28"/>
          <w:szCs w:val="28"/>
          <w:highlight w:val="none"/>
          <w:lang w:val="en-US" w:eastAsia="zh-CN"/>
        </w:rPr>
        <w:t xml:space="preserve">采购人</w:t>
      </w:r>
      <w:r>
        <w:rPr>
          <w:rFonts w:hint="eastAsia" w:ascii="仿宋" w:hAnsi="仿宋" w:eastAsia="仿宋"/>
          <w:sz w:val="28"/>
          <w:szCs w:val="28"/>
          <w:highlight w:val="none"/>
        </w:rPr>
        <w:t xml:space="preserve">在“淮安市政府采购网”发布的更正公告。</w:t>
      </w:r>
      <w:r>
        <w:rPr>
          <w:rFonts w:hint="eastAsia"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本次采购不收取谈判保证金。</w:t>
      </w:r>
      <w:r>
        <w:rPr>
          <w:rFonts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jc w:val="center"/>
        <w:rPr>
          <w:rFonts w:hint="eastAsia" w:ascii="宋体" w:hAnsi="宋体"/>
          <w:bCs/>
          <w:sz w:val="32"/>
          <w:highlight w:val="none"/>
        </w:rPr>
      </w:pPr>
      <w:r>
        <w:rPr>
          <w:rFonts w:hint="eastAsia" w:ascii="宋体" w:hAnsi="宋体"/>
          <w:bCs/>
          <w:sz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t xml:space="preserve">               </w:t>
      </w: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ind w:firstLine="2692"/>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第二章   供应商须知</w:t>
      </w:r>
      <w:r>
        <w:rPr>
          <w:rFonts w:hint="eastAsia" w:ascii="仿宋" w:hAnsi="仿宋" w:eastAsia="仿宋"/>
          <w:b/>
          <w:bCs/>
          <w:sz w:val="36"/>
          <w:szCs w:val="36"/>
          <w:highlight w:val="none"/>
        </w:rPr>
      </w:r>
      <w:r/>
    </w:p>
    <w:p>
      <w:pPr>
        <w:pStyle w:val="649"/>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rPr>
          <w:rFonts w:hint="eastAsia" w:ascii="仿宋" w:hAnsi="仿宋" w:eastAsia="仿宋"/>
          <w:b/>
          <w:bCs/>
          <w:sz w:val="32"/>
          <w:szCs w:val="32"/>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本竞争性谈判文件仅适用于本次采购邀请中所述项目的采购。</w:t>
      </w:r>
      <w:r>
        <w:rPr>
          <w:rFonts w:hint="eastAsia" w:ascii="仿宋" w:hAnsi="仿宋" w:eastAsia="仿宋"/>
          <w:sz w:val="28"/>
          <w:szCs w:val="28"/>
          <w:highlight w:val="none"/>
        </w:rPr>
      </w:r>
      <w:r/>
    </w:p>
    <w:p>
      <w:pPr>
        <w:pStyle w:val="649"/>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rPr>
          <w:rFonts w:hint="eastAsia" w:ascii="仿宋" w:hAnsi="仿宋" w:eastAsia="仿宋"/>
          <w:bCs/>
          <w:sz w:val="28"/>
          <w:highlight w:val="none"/>
        </w:rPr>
      </w:r>
      <w:r/>
    </w:p>
    <w:p>
      <w:pPr>
        <w:pStyle w:val="649"/>
        <w:ind w:left="-359" w:firstLine="915"/>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满足第一章谈判邀请中供应商资格要求的规定。 </w:t>
      </w:r>
      <w:r>
        <w:rPr>
          <w:rFonts w:hint="eastAsia" w:ascii="仿宋" w:hAnsi="仿宋" w:eastAsia="仿宋"/>
          <w:sz w:val="28"/>
          <w:szCs w:val="28"/>
          <w:highlight w:val="none"/>
        </w:rPr>
      </w:r>
      <w:r/>
    </w:p>
    <w:p>
      <w:pPr>
        <w:pStyle w:val="649"/>
        <w:ind w:firstLine="566"/>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满足谈判文件中实质性条款的规定。</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 《中华人民共和国政府采购法》、《中华人民共和国政府采购法实施条例》、《政府采购非招标方式管理办法》等有关法律、规章和规定等。</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4.谈判费用</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4.1供应商应自行承担所有与参加谈判有关的费用。不论谈判的结果如何，</w:t>
      </w:r>
      <w:r>
        <w:rPr>
          <w:rFonts w:hint="eastAsia" w:ascii="仿宋" w:hAnsi="仿宋" w:eastAsia="仿宋"/>
          <w:sz w:val="28"/>
          <w:szCs w:val="28"/>
          <w:highlight w:val="none"/>
          <w:lang w:eastAsia="zh-CN"/>
        </w:rPr>
        <w:t xml:space="preserve">淮安市公共资源交易中心盱眙分中心</w:t>
      </w:r>
      <w:r>
        <w:rPr>
          <w:rFonts w:hint="eastAsia" w:ascii="仿宋" w:hAnsi="仿宋" w:eastAsia="仿宋"/>
          <w:sz w:val="28"/>
          <w:szCs w:val="28"/>
          <w:highlight w:val="none"/>
        </w:rPr>
        <w:t xml:space="preserve">（以下简称采购中心）在任何情况下均无义务和责任承担这些费用。</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4.2本次项目不收取文件工本费和成交管理费。</w:t>
      </w:r>
      <w:r>
        <w:rPr>
          <w:rFonts w:hint="eastAsia" w:ascii="仿宋" w:hAnsi="仿宋" w:eastAsia="仿宋"/>
          <w:sz w:val="28"/>
          <w:szCs w:val="28"/>
          <w:highlight w:val="none"/>
        </w:rPr>
      </w:r>
      <w:r/>
    </w:p>
    <w:p>
      <w:pPr>
        <w:pStyle w:val="649"/>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二、谈判文件</w:t>
      </w:r>
      <w:r>
        <w:rPr>
          <w:rFonts w:hint="eastAsia" w:ascii="仿宋" w:hAnsi="仿宋" w:eastAsia="仿宋"/>
          <w:b/>
          <w:bCs/>
          <w:sz w:val="32"/>
          <w:szCs w:val="32"/>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5.谈判文件</w:t>
      </w:r>
      <w:r>
        <w:rPr>
          <w:rFonts w:hint="eastAsia" w:ascii="仿宋" w:hAnsi="仿宋" w:eastAsia="仿宋"/>
          <w:sz w:val="28"/>
          <w:szCs w:val="28"/>
          <w:highlight w:val="none"/>
        </w:rPr>
        <w:t xml:space="preserve">由以下部分组成:</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5.1谈判邀请</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5.2供应商须知</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5.3评标标准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5.4合同格式及条款</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5.5项目采购需求</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5.6响应文件</w:t>
      </w:r>
      <w:r>
        <w:rPr>
          <w:rFonts w:hint="eastAsia" w:ascii="仿宋" w:hAnsi="仿宋" w:eastAsia="仿宋"/>
          <w:sz w:val="28"/>
          <w:szCs w:val="28"/>
          <w:highlight w:val="none"/>
        </w:rPr>
      </w:r>
      <w:r/>
    </w:p>
    <w:p>
      <w:pPr>
        <w:pStyle w:val="649"/>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6.谈判文件的澄清</w:t>
      </w:r>
      <w:r>
        <w:rPr>
          <w:rFonts w:hint="eastAsia" w:ascii="仿宋" w:hAnsi="仿宋" w:eastAsia="仿宋"/>
          <w:bCs/>
          <w:sz w:val="28"/>
          <w:highlight w:val="none"/>
        </w:rPr>
      </w:r>
      <w:r/>
    </w:p>
    <w:p>
      <w:pPr>
        <w:pStyle w:val="649"/>
        <w:ind w:firstLine="560"/>
        <w:spacing w:line="520" w:lineRule="exact"/>
        <w:rPr>
          <w:rFonts w:hint="eastAsia" w:ascii="仿宋" w:hAnsi="仿宋" w:eastAsia="仿宋"/>
          <w:bCs/>
          <w:sz w:val="28"/>
          <w:highlight w:val="none"/>
        </w:rPr>
      </w:pPr>
      <w:r>
        <w:rPr>
          <w:rFonts w:hint="eastAsia" w:ascii="仿宋" w:hAnsi="仿宋" w:eastAsia="仿宋"/>
          <w:sz w:val="28"/>
          <w:highlight w:val="none"/>
        </w:rPr>
        <w:t xml:space="preserve">6.1</w:t>
      </w:r>
      <w:r>
        <w:rPr>
          <w:rFonts w:hint="eastAsia" w:ascii="仿宋" w:hAnsi="仿宋" w:eastAsia="仿宋"/>
          <w:sz w:val="28"/>
          <w:szCs w:val="28"/>
          <w:highlight w:val="none"/>
        </w:rPr>
        <w:t xml:space="preserve">任何要求对谈判进行澄清的供应商，均应在谈判截止时间五日前通过以书面形式并加盖公章通知采购中心，采购中心对谈判截止时间前五日收到的任何澄清要求将以书面形式予以答复。</w:t>
      </w:r>
      <w:r>
        <w:rPr>
          <w:rFonts w:hint="eastAsia" w:ascii="仿宋" w:hAnsi="仿宋" w:eastAsia="仿宋"/>
          <w:bCs/>
          <w:sz w:val="28"/>
          <w:highlight w:val="none"/>
        </w:rPr>
      </w:r>
      <w:r/>
    </w:p>
    <w:p>
      <w:pPr>
        <w:pStyle w:val="649"/>
        <w:spacing w:line="520" w:lineRule="exact"/>
        <w:rPr>
          <w:rFonts w:hint="eastAsia" w:ascii="仿宋" w:hAnsi="仿宋" w:eastAsia="仿宋" w:cs="楷体_GB2312"/>
          <w:sz w:val="28"/>
          <w:szCs w:val="28"/>
          <w:highlight w:val="none"/>
          <w:lang w:val="zh-CN"/>
        </w:rPr>
      </w:pPr>
      <w:r>
        <w:rPr>
          <w:rFonts w:hint="eastAsia" w:ascii="仿宋" w:hAnsi="仿宋" w:eastAsia="仿宋"/>
          <w:bCs/>
          <w:sz w:val="28"/>
          <w:szCs w:val="28"/>
          <w:highlight w:val="none"/>
        </w:rPr>
        <w:t xml:space="preserve">7.谈判文件的更正或补充</w:t>
      </w:r>
      <w:r>
        <w:rPr>
          <w:rFonts w:hint="eastAsia" w:ascii="仿宋" w:hAnsi="仿宋" w:eastAsia="仿宋" w:cs="楷体_GB2312"/>
          <w:sz w:val="28"/>
          <w:szCs w:val="28"/>
          <w:highlight w:val="none"/>
          <w:lang w:val="zh-CN"/>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7.1在谈判时间前，采购中心可主动或在解答供应商提出的澄清问题时对谈判文件用更正公告的方式进行修正。</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7.2 对</w:t>
      </w:r>
      <w:r>
        <w:rPr>
          <w:rFonts w:hint="eastAsia" w:ascii="仿宋" w:hAnsi="仿宋" w:eastAsia="仿宋" w:cs="楷体_GB2312"/>
          <w:sz w:val="28"/>
          <w:szCs w:val="28"/>
          <w:highlight w:val="none"/>
          <w:lang w:val="zh-CN"/>
        </w:rPr>
        <w:t xml:space="preserve">谈判文件的修改将</w:t>
      </w:r>
      <w:r>
        <w:rPr>
          <w:rFonts w:hint="eastAsia" w:ascii="仿宋" w:hAnsi="仿宋" w:eastAsia="仿宋"/>
          <w:sz w:val="28"/>
          <w:szCs w:val="28"/>
          <w:highlight w:val="none"/>
        </w:rPr>
        <w:t xml:space="preserve">在淮安市政府采购网进行公告，更正公告将作为谈判文件的组成部分，对所有参加本次谈判的供应商都具有约束力。</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7.3为使供应商有足够的时间按谈判文件的更正要求修正响应文件，采购中心有权按照相关法定的要求推迟响应文件接收截止时间和谈判时间。</w:t>
      </w:r>
      <w:r>
        <w:rPr>
          <w:rFonts w:hint="eastAsia" w:ascii="仿宋" w:hAnsi="仿宋" w:eastAsia="仿宋"/>
          <w:sz w:val="28"/>
          <w:szCs w:val="28"/>
          <w:highlight w:val="none"/>
        </w:rPr>
      </w:r>
      <w:r/>
    </w:p>
    <w:p>
      <w:pPr>
        <w:pStyle w:val="649"/>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rPr>
          <w:rFonts w:hint="eastAsia" w:ascii="仿宋" w:hAnsi="仿宋" w:eastAsia="仿宋"/>
          <w:b/>
          <w:bCs/>
          <w:sz w:val="32"/>
          <w:szCs w:val="32"/>
          <w:highlight w:val="none"/>
        </w:rPr>
      </w:r>
      <w:r/>
    </w:p>
    <w:p>
      <w:pPr>
        <w:pStyle w:val="649"/>
        <w:spacing w:line="520" w:lineRule="exact"/>
        <w:rPr>
          <w:rFonts w:hint="eastAsia" w:ascii="仿宋" w:hAnsi="仿宋" w:eastAsia="仿宋"/>
          <w:sz w:val="28"/>
          <w:szCs w:val="28"/>
          <w:highlight w:val="none"/>
        </w:rPr>
      </w:pPr>
      <w:r/>
      <w:bookmarkStart w:id="0" w:name="_Toc462564073"/>
      <w:r/>
      <w:bookmarkStart w:id="1" w:name="_Toc16938530"/>
      <w:r/>
      <w:bookmarkStart w:id="2" w:name="_Toc20823286"/>
      <w:r/>
      <w:bookmarkStart w:id="3" w:name="_Toc513029214"/>
      <w:r>
        <w:rPr>
          <w:rFonts w:hint="eastAsia" w:ascii="仿宋" w:hAnsi="仿宋" w:eastAsia="仿宋"/>
          <w:sz w:val="28"/>
          <w:szCs w:val="28"/>
          <w:highlight w:val="none"/>
        </w:rPr>
        <w:t xml:space="preserve">8．响应文件的语言及度量衡单位</w:t>
      </w:r>
      <w:bookmarkEnd w:id="0"/>
      <w:r/>
      <w:bookmarkEnd w:id="1"/>
      <w:r/>
      <w:bookmarkEnd w:id="2"/>
      <w:r/>
      <w:bookmarkEnd w:id="3"/>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8.1供应商提交的响应文件以及供应商与采购中心就有关谈判的所有来往通知、函件和文件均应使用简体中文。</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8.2 除技术性能另有规定外，响应文件所使用的度量衡单位，均须采用国家法定计量单位。</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Start w:id="4" w:name="_Toc16938531"/>
      <w:r/>
      <w:bookmarkStart w:id="5" w:name="_Toc20823287"/>
      <w:r/>
      <w:bookmarkStart w:id="6" w:name="_Toc513029215"/>
      <w:r/>
      <w:bookmarkStart w:id="7" w:name="_Toc462564074"/>
      <w:r>
        <w:rPr>
          <w:rFonts w:hint="eastAsia" w:ascii="仿宋" w:hAnsi="仿宋" w:eastAsia="仿宋"/>
          <w:sz w:val="28"/>
          <w:szCs w:val="28"/>
          <w:highlight w:val="none"/>
        </w:rPr>
        <w:t xml:space="preserve">9．响应文件构成</w:t>
      </w:r>
      <w:bookmarkEnd w:id="4"/>
      <w:r/>
      <w:bookmarkEnd w:id="5"/>
      <w:r/>
      <w:bookmarkEnd w:id="6"/>
      <w:r/>
      <w:bookmarkEnd w:id="7"/>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9.1供应商编写的响应文件应包括资格证明文件、符合性证明文件、分项报价表、技术要求响应及偏离表、商务要求响应及偏离表、其他证明文件、谈判响应函等部分。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9.2 如标书制作工具中格式和内容与“淮安市政府采购网”发布的谈判文件不一致，请以“淮安市政府采购网”发布的谈判文件为准。</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Start w:id="8" w:name="_Toc513029219"/>
      <w:r/>
      <w:bookmarkStart w:id="9" w:name="_Toc49090509"/>
      <w:r/>
      <w:bookmarkStart w:id="10" w:name="_Toc14577357"/>
      <w:r/>
      <w:bookmarkStart w:id="11" w:name="_Toc49090507"/>
      <w:r/>
      <w:bookmarkStart w:id="12" w:name="_Toc513029216"/>
      <w:r/>
      <w:bookmarkStart w:id="13" w:name="_Toc14577354"/>
      <w:r/>
      <w:bookmarkStart w:id="14" w:name="_Toc14577355"/>
      <w:r/>
      <w:bookmarkStart w:id="15" w:name="_Toc49090508"/>
      <w:r>
        <w:rPr>
          <w:rFonts w:hint="eastAsia" w:ascii="仿宋" w:hAnsi="仿宋" w:eastAsia="仿宋"/>
          <w:sz w:val="28"/>
          <w:szCs w:val="28"/>
          <w:highlight w:val="none"/>
        </w:rPr>
        <w:t xml:space="preserve">10．证明谈判响应标的符合谈判文件规定的文件</w:t>
      </w:r>
      <w:bookmarkEnd w:id="8"/>
      <w:r/>
      <w:bookmarkEnd w:id="9"/>
      <w:r/>
      <w:bookmarkEnd w:id="10"/>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bookmarkEnd w:id="11"/>
      <w:r/>
      <w:bookmarkEnd w:id="12"/>
      <w:r/>
      <w:bookmarkEnd w:id="13"/>
      <w:r>
        <w:rPr>
          <w:rFonts w:hint="eastAsia" w:ascii="仿宋" w:hAnsi="仿宋" w:eastAsia="仿宋"/>
          <w:sz w:val="28"/>
          <w:szCs w:val="28"/>
          <w:highlight w:val="none"/>
        </w:rPr>
        <w:t xml:space="preserve">10.1供应商应按照谈判文件要求提交证明文件，证明其及谈判响应标的符合谈判文件规定。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10.2谈判文件对证明文件无明确形式要求的，证明文件可以以文字资料、图纸和数据等形式提交。</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End w:id="14"/>
      <w:r/>
      <w:bookmarkEnd w:id="15"/>
      <w:r>
        <w:rPr>
          <w:rFonts w:hint="eastAsia" w:ascii="仿宋" w:hAnsi="仿宋" w:eastAsia="仿宋"/>
          <w:sz w:val="28"/>
          <w:szCs w:val="28"/>
          <w:highlight w:val="none"/>
        </w:rPr>
        <w:t xml:space="preserve">11．分项报价表</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11.1供应商应按照谈判文件规定格式填报分项报价表。</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11.2谈判货币。响应文件中的单价和总价无特殊规定的采用人民币报价，以元为单位标注。谈判文件中另有规定的按规定执行。</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11.3本项目由江苏泽豪工程咨询管理有限公司协助采购人作了前期咨询工作。因此各投标人在报价时必须将咨询费用包含在投标报价中，不需单独列项计取。本次项目咨询费20000元。采购人在领取成交通知书之日向江苏泽豪工程咨询管理有限公司一次性付清。</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Start w:id="16" w:name="_Hlt26954848"/>
      <w:r/>
      <w:bookmarkEnd w:id="16"/>
      <w:r/>
      <w:bookmarkStart w:id="17" w:name="_Hlt26954731"/>
      <w:r/>
      <w:bookmarkEnd w:id="17"/>
      <w:r/>
      <w:bookmarkStart w:id="18" w:name="_Hlt26670486"/>
      <w:r/>
      <w:bookmarkEnd w:id="18"/>
      <w:r/>
      <w:bookmarkStart w:id="19" w:name="_Hlt26670482"/>
      <w:r/>
      <w:bookmarkEnd w:id="19"/>
      <w:r/>
      <w:bookmarkStart w:id="20" w:name="_Hlt26954846"/>
      <w:r/>
      <w:bookmarkEnd w:id="20"/>
      <w:r>
        <w:rPr>
          <w:rFonts w:hint="eastAsia" w:ascii="仿宋" w:hAnsi="仿宋" w:eastAsia="仿宋"/>
          <w:sz w:val="28"/>
          <w:szCs w:val="28"/>
          <w:highlight w:val="none"/>
        </w:rPr>
        <w:t xml:space="preserve">12.技术要求响应及偏离表、商务要求响应及偏离表（如有）</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供应商需对谈判文件中的技术要求与商务要求逐项作出响应或偏离，并说明原因。</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12.2供应商可在响应文件中提供认为需要的其他技术文件或说明。</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13.1供应商需根据谈判文件要求提供有关售后服务的管理制度，售后服务机构的分布情况，售后服务人员的数量、素质、技术水平及售后服务的反应能力等。</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13.2供应商需根据谈判文件要求提供培训计划。</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13.3供应商需根据谈判文件要求提供谈判响应标的的主要组成部分、功能设计、实现思路及关键技术等。</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Start w:id="21" w:name="_Toc49090510"/>
      <w:r/>
      <w:bookmarkStart w:id="22" w:name="_Toc14577359"/>
      <w:r>
        <w:rPr>
          <w:rFonts w:hint="eastAsia" w:ascii="仿宋" w:hAnsi="仿宋" w:eastAsia="仿宋"/>
          <w:sz w:val="28"/>
          <w:szCs w:val="28"/>
          <w:highlight w:val="none"/>
        </w:rPr>
        <w:t xml:space="preserve">14.谈判响应函</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14.1供应商应按照谈判文件中提供的格式完整、正确填写谈判响应函。</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End w:id="21"/>
      <w:r/>
      <w:bookmarkEnd w:id="22"/>
      <w:r>
        <w:rPr>
          <w:rFonts w:hint="eastAsia" w:ascii="仿宋" w:hAnsi="仿宋" w:eastAsia="仿宋"/>
          <w:sz w:val="28"/>
          <w:szCs w:val="28"/>
          <w:highlight w:val="none"/>
        </w:rPr>
        <w:t xml:space="preserve">15.谈判有效期的延长</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15.1在特殊情况下，采购中心于原谈判有效期满之前，可向供应商提出延长谈判有效期的要求。这种要求与答复均应采用书面形式。供应商可以拒绝采购中心的这一要求而放弃谈判，同意延长谈判有效期的供应商既不能要求也不允许修改其响应文件。受谈判有效期约束的所有权利与义务均延长至新的有效期。</w:t>
      </w:r>
      <w:r>
        <w:rPr>
          <w:rFonts w:hint="eastAsia" w:ascii="仿宋" w:hAnsi="仿宋" w:eastAsia="仿宋"/>
          <w:sz w:val="28"/>
          <w:szCs w:val="28"/>
          <w:highlight w:val="none"/>
        </w:rPr>
      </w:r>
      <w:r/>
    </w:p>
    <w:p>
      <w:pPr>
        <w:pStyle w:val="649"/>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16.谈判有效期</w:t>
      </w:r>
      <w:r>
        <w:rPr>
          <w:rFonts w:hint="eastAsia" w:ascii="仿宋" w:hAnsi="仿宋" w:eastAsia="仿宋"/>
          <w:bCs/>
          <w:sz w:val="28"/>
          <w:highlight w:val="none"/>
        </w:rPr>
      </w:r>
      <w:r/>
    </w:p>
    <w:p>
      <w:pPr>
        <w:pStyle w:val="649"/>
        <w:ind w:firstLine="540"/>
        <w:spacing w:line="520" w:lineRule="exact"/>
        <w:rPr>
          <w:rFonts w:hint="eastAsia" w:ascii="仿宋" w:hAnsi="仿宋" w:eastAsia="仿宋"/>
          <w:b/>
          <w:bCs/>
          <w:sz w:val="28"/>
          <w:highlight w:val="none"/>
        </w:rPr>
      </w:pPr>
      <w:r>
        <w:rPr>
          <w:rFonts w:hint="eastAsia" w:ascii="仿宋" w:hAnsi="仿宋" w:eastAsia="仿宋"/>
          <w:sz w:val="28"/>
          <w:highlight w:val="none"/>
        </w:rPr>
        <w:t xml:space="preserve">16.1谈判有效期为从谈判之日起计算的</w:t>
      </w:r>
      <w:r>
        <w:rPr>
          <w:rFonts w:hint="eastAsia" w:ascii="仿宋" w:hAnsi="仿宋" w:eastAsia="仿宋"/>
          <w:bCs/>
          <w:sz w:val="28"/>
          <w:highlight w:val="none"/>
        </w:rPr>
        <w:t xml:space="preserve">六十天</w:t>
      </w:r>
      <w:r>
        <w:rPr>
          <w:rFonts w:hint="eastAsia" w:ascii="仿宋" w:hAnsi="仿宋" w:eastAsia="仿宋"/>
          <w:sz w:val="28"/>
          <w:highlight w:val="none"/>
        </w:rPr>
        <w:t xml:space="preserve">。谈判有效期比规定短的将被视为</w:t>
      </w:r>
      <w:r>
        <w:rPr>
          <w:rFonts w:hint="eastAsia" w:ascii="仿宋" w:hAnsi="仿宋" w:eastAsia="仿宋" w:cs="仿宋_GB2312"/>
          <w:color w:val="000000"/>
          <w:sz w:val="28"/>
          <w:szCs w:val="28"/>
          <w:highlight w:val="none"/>
          <w:lang w:val="zh-CN"/>
        </w:rPr>
        <w:t xml:space="preserve">非响应谈判而予以拒绝。</w:t>
      </w:r>
      <w:r>
        <w:rPr>
          <w:rFonts w:hint="eastAsia" w:ascii="仿宋" w:hAnsi="仿宋" w:eastAsia="仿宋"/>
          <w:b/>
          <w:bCs/>
          <w:sz w:val="28"/>
          <w:highlight w:val="none"/>
        </w:rPr>
      </w:r>
      <w:r/>
    </w:p>
    <w:p>
      <w:pPr>
        <w:pStyle w:val="649"/>
        <w:ind w:firstLine="540"/>
        <w:spacing w:line="520" w:lineRule="exact"/>
        <w:rPr>
          <w:rFonts w:hint="eastAsia" w:ascii="仿宋" w:hAnsi="仿宋" w:eastAsia="仿宋"/>
          <w:sz w:val="28"/>
          <w:highlight w:val="none"/>
        </w:rPr>
      </w:pPr>
      <w:r>
        <w:rPr>
          <w:rFonts w:hint="eastAsia" w:ascii="仿宋" w:hAnsi="仿宋" w:eastAsia="仿宋"/>
          <w:bCs/>
          <w:sz w:val="28"/>
          <w:highlight w:val="none"/>
        </w:rPr>
        <w:t xml:space="preserve">16.2</w:t>
      </w:r>
      <w:r>
        <w:rPr>
          <w:rFonts w:hint="eastAsia" w:ascii="仿宋" w:hAnsi="仿宋" w:eastAsia="仿宋"/>
          <w:sz w:val="28"/>
          <w:highlight w:val="none"/>
        </w:rPr>
        <w:t xml:space="preserve">在特殊情况下，采购中心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r>
        <w:rPr>
          <w:rFonts w:hint="eastAsia" w:ascii="仿宋" w:hAnsi="仿宋" w:eastAsia="仿宋"/>
          <w:sz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17.响应文件的签署</w:t>
      </w:r>
      <w:r>
        <w:rPr>
          <w:rFonts w:hint="eastAsia" w:ascii="仿宋" w:hAnsi="仿宋" w:eastAsia="仿宋"/>
          <w:sz w:val="28"/>
          <w:szCs w:val="28"/>
          <w:highlight w:val="none"/>
        </w:rPr>
      </w:r>
      <w:r/>
    </w:p>
    <w:p>
      <w:pPr>
        <w:pStyle w:val="649"/>
        <w:ind w:firstLine="54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17.1响应文件仅需要在供应商进行签章的位置应进行电子签章。电子响应文件不得涂改、行间插字或删除，如果出现上述情况应重新编制。</w:t>
      </w:r>
      <w:r>
        <w:rPr>
          <w:rFonts w:hint="eastAsia" w:ascii="仿宋" w:hAnsi="仿宋" w:eastAsia="仿宋"/>
          <w:sz w:val="28"/>
          <w:szCs w:val="28"/>
          <w:highlight w:val="none"/>
        </w:rPr>
      </w:r>
      <w:r/>
    </w:p>
    <w:p>
      <w:pPr>
        <w:pStyle w:val="649"/>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四、响应文件上传</w:t>
      </w:r>
      <w:r>
        <w:rPr>
          <w:rFonts w:hint="eastAsia" w:ascii="仿宋" w:hAnsi="仿宋" w:eastAsia="仿宋"/>
          <w:b/>
          <w:bCs/>
          <w:sz w:val="32"/>
          <w:szCs w:val="32"/>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18.响应文件的上传</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18.1供应商应当按照《操作手册》规定，在提交响应文件截止时间前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并上传电子响应文件。 </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19.响应文件被拒绝接收的情形</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19.1在谈判文件规定的提交响应文件截止时间后上传的电子响应文件。</w:t>
      </w:r>
      <w:r>
        <w:rPr>
          <w:rFonts w:hint="eastAsia" w:ascii="仿宋" w:hAnsi="仿宋" w:eastAsia="仿宋"/>
          <w:sz w:val="28"/>
          <w:szCs w:val="28"/>
          <w:highlight w:val="none"/>
        </w:rPr>
      </w:r>
      <w:r/>
    </w:p>
    <w:p>
      <w:pPr>
        <w:pStyle w:val="649"/>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20.响应文件的修改和撤回</w:t>
      </w:r>
      <w:r>
        <w:rPr>
          <w:rFonts w:hint="eastAsia" w:ascii="仿宋" w:hAnsi="仿宋" w:eastAsia="仿宋"/>
          <w:bCs/>
          <w:sz w:val="28"/>
          <w:highlight w:val="none"/>
        </w:rPr>
      </w:r>
      <w:r/>
    </w:p>
    <w:p>
      <w:pPr>
        <w:pStyle w:val="649"/>
        <w:ind w:firstLine="560"/>
        <w:spacing w:line="520" w:lineRule="exact"/>
        <w:rPr>
          <w:rFonts w:hint="eastAsia" w:ascii="仿宋" w:hAnsi="仿宋" w:eastAsia="仿宋"/>
          <w:color w:val="ff0000"/>
          <w:sz w:val="28"/>
          <w:szCs w:val="28"/>
          <w:highlight w:val="none"/>
        </w:rPr>
      </w:pPr>
      <w:r>
        <w:rPr>
          <w:rFonts w:hint="eastAsia" w:ascii="仿宋" w:hAnsi="仿宋" w:eastAsia="仿宋"/>
          <w:sz w:val="28"/>
          <w:szCs w:val="28"/>
          <w:highlight w:val="none"/>
        </w:rPr>
        <w:t xml:space="preserve">20.1供应商在上传电子响应文件后可以对其修改或撤回，但这种修改和撤回，必须在规定的谈判时间之前。</w:t>
      </w:r>
      <w:r>
        <w:rPr>
          <w:rFonts w:hint="eastAsia" w:ascii="仿宋" w:hAnsi="仿宋" w:eastAsia="仿宋"/>
          <w:color w:val="ff0000"/>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20.2对于电子响应文件的修改，供应商可在谈判时间前登录电子交易平台撤回电子响应文件，并上传新的电子响应文件。电子响应文件以最终完成上传的为准。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20.3供应商不得在谈判时间以后修改电子响应文件。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20.4</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得在提交电子响应文件截止时间起至谈判有效期满前撤回电子响应文件。</w:t>
      </w:r>
      <w:r>
        <w:rPr>
          <w:rFonts w:hint="eastAsia" w:ascii="仿宋" w:hAnsi="仿宋" w:eastAsia="仿宋"/>
          <w:sz w:val="28"/>
          <w:szCs w:val="28"/>
          <w:highlight w:val="none"/>
        </w:rPr>
      </w:r>
      <w:r/>
    </w:p>
    <w:p>
      <w:pPr>
        <w:pStyle w:val="649"/>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rPr>
          <w:rFonts w:hint="eastAsia" w:ascii="仿宋" w:hAnsi="仿宋" w:eastAsia="仿宋"/>
          <w:b/>
          <w:bCs/>
          <w:sz w:val="32"/>
          <w:szCs w:val="32"/>
          <w:highlight w:val="none"/>
        </w:rPr>
      </w:r>
      <w:r/>
    </w:p>
    <w:p>
      <w:pPr>
        <w:pStyle w:val="649"/>
        <w:spacing w:line="520" w:lineRule="exact"/>
        <w:rPr>
          <w:rFonts w:hint="eastAsia" w:ascii="仿宋" w:hAnsi="仿宋" w:eastAsia="仿宋"/>
          <w:sz w:val="28"/>
          <w:szCs w:val="28"/>
          <w:highlight w:val="none"/>
        </w:rPr>
      </w:pPr>
      <w:r/>
      <w:bookmarkStart w:id="23" w:name="_Toc513029230"/>
      <w:r/>
      <w:bookmarkStart w:id="24" w:name="_Toc16938546"/>
      <w:r/>
      <w:bookmarkStart w:id="25" w:name="_Toc20823302"/>
      <w:r>
        <w:rPr>
          <w:rFonts w:hint="eastAsia" w:ascii="仿宋" w:hAnsi="仿宋" w:eastAsia="仿宋"/>
          <w:sz w:val="28"/>
          <w:szCs w:val="28"/>
          <w:highlight w:val="none"/>
        </w:rPr>
        <w:t xml:space="preserve">2</w:t>
      </w:r>
      <w:bookmarkEnd w:id="23"/>
      <w:r/>
      <w:bookmarkEnd w:id="24"/>
      <w:r/>
      <w:bookmarkEnd w:id="25"/>
      <w:r>
        <w:rPr>
          <w:rFonts w:hint="eastAsia" w:ascii="仿宋" w:hAnsi="仿宋" w:eastAsia="仿宋"/>
          <w:sz w:val="28"/>
          <w:szCs w:val="28"/>
          <w:highlight w:val="none"/>
        </w:rPr>
        <w:t xml:space="preserve">1.响应文件解密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21.1供应商应当按照《操作手册》规定，在苏采云系统规定的时间内对谈判响应文件进行解密。</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22.谈判小组</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22.1采购中心将组织谈判小组对响应文件进行评审。谈判小组由采购人代表和有关技术、经济等方面的专家组成，且人员构成符合政府采购有关规定。</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22.2谈判小组独立工作，负责评审所有响应文件并确定成交侯选人。</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23.评审过程的保密与公正</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23.1谈判小组、采购人和采购中心工作人员、相关监督人员等与评审工作有关的人员，对评审情况以及在评审过程中获悉的国家秘密、商业秘密负有保密责任。</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23.2在评审过程中，供应商不得以任何行为影响谈判评审过程，否则其响应文件将被作为无效响应文件。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23.3在项目评审期间，采购中心将设专门人员与供应商联系。</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3.4 采购中心和谈判小组不向未成交的供应商解释未成交原因，也不公布评审过程中的相关细节。</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Start w:id="26" w:name="_Toc20823304"/>
      <w:r/>
      <w:bookmarkStart w:id="27" w:name="_Toc513029232"/>
      <w:r/>
      <w:bookmarkStart w:id="28" w:name="_Toc16938548"/>
      <w:r>
        <w:rPr>
          <w:rFonts w:hint="eastAsia" w:ascii="仿宋" w:hAnsi="仿宋" w:eastAsia="仿宋"/>
          <w:sz w:val="28"/>
          <w:szCs w:val="28"/>
          <w:highlight w:val="none"/>
        </w:rPr>
        <w:t xml:space="preserve">24.评审过程中的的澄清</w:t>
      </w:r>
      <w:bookmarkEnd w:id="26"/>
      <w:r/>
      <w:bookmarkEnd w:id="27"/>
      <w:r/>
      <w:bookmarkEnd w:id="28"/>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 xml:space="preserve">操作</w:t>
      </w:r>
      <w:r>
        <w:rPr>
          <w:rFonts w:hint="eastAsia" w:ascii="仿宋" w:hAnsi="仿宋" w:eastAsia="仿宋"/>
          <w:sz w:val="28"/>
          <w:szCs w:val="28"/>
          <w:highlight w:val="none"/>
        </w:rPr>
        <w:t xml:space="preserve">方式</w:t>
      </w:r>
      <w:r>
        <w:rPr>
          <w:rFonts w:ascii="仿宋" w:hAnsi="仿宋" w:eastAsia="仿宋"/>
          <w:sz w:val="28"/>
          <w:szCs w:val="28"/>
          <w:highlight w:val="none"/>
        </w:rPr>
        <w:t xml:space="preserve">见</w:t>
      </w:r>
      <w:r>
        <w:rPr>
          <w:rFonts w:hint="eastAsia" w:ascii="仿宋" w:hAnsi="仿宋" w:eastAsia="仿宋"/>
          <w:sz w:val="28"/>
          <w:szCs w:val="28"/>
          <w:highlight w:val="none"/>
        </w:rPr>
        <w:t xml:space="preserve">《操作手册》。</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 接到谈判小组澄清、说明和更正要求的供应商如未按规定做出澄清、说明和更正，其风险由供应商自行承担。</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Start w:id="29" w:name="_Toc16938549"/>
      <w:r/>
      <w:bookmarkStart w:id="30" w:name="_Toc20823305"/>
      <w:r/>
      <w:bookmarkStart w:id="31" w:name="_Toc513029233"/>
      <w:r>
        <w:rPr>
          <w:rFonts w:hint="eastAsia" w:ascii="仿宋" w:hAnsi="仿宋" w:eastAsia="仿宋"/>
          <w:sz w:val="28"/>
          <w:szCs w:val="28"/>
          <w:highlight w:val="none"/>
        </w:rPr>
        <w:t xml:space="preserve">25.对响应文件的审</w:t>
      </w:r>
      <w:bookmarkEnd w:id="29"/>
      <w:r/>
      <w:bookmarkEnd w:id="30"/>
      <w:r/>
      <w:bookmarkEnd w:id="31"/>
      <w:r>
        <w:rPr>
          <w:rFonts w:hint="eastAsia" w:ascii="仿宋" w:hAnsi="仿宋" w:eastAsia="仿宋"/>
          <w:sz w:val="28"/>
          <w:szCs w:val="28"/>
          <w:highlight w:val="none"/>
        </w:rPr>
        <w:t xml:space="preserve">查</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25.1响应文件审查分为资格审查和符合性审查。</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25.1.1 资格审查：由谈判小组依据法律法规和谈判文件的规定，对响应文件中的资格证明文件进行审查，以确定供应商是否具备参加谈判的资格。</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谈判小组在进行资格审查的同时，将在“信用中国”网站（www.creditchina.gov.cn）查询供应商的信用记录，以确定供应商是否具备谈判资格,查询结果留存并归档。</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25.1.2 符合性审查：依据谈判文件的规定，由谈判小组从响应文件的有效性、完整性和对谈判文件的响应程度进行审查，以确定是否对谈判文件的实质性要求作出响应。</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25.1.3 未通过资格审查或符合性审查的供应商，谈判小组将在苏采云系统中告知未通过资格审查或符合性审查的原因，评审结束后，谈判小组将不再告知未通过资格审查或符合性审查的原因。</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25.2在详细评审之前，谈判小组将首先审查每份响应文件是否实质性响应了谈判文件的要求。实质性响应的响应文件应该是与谈判文件要求的条款、条件和规格相符，没有重大偏离或保留。</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25.3未实质性响应谈判文件的情形</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25.3.1供应商在苏采云系统规定的时间内未成功解密电子响应文件的。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25.3.2供应商未按照谈判文件要求上传电子响应文件的。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25.3.3同一供应商提交两个（含两个）以上不同的响应文件或者最后报价的。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25.3.4供应商不具备谈判文件中规定资格要求的。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25.3.5供应商的最后报价超过了采购预算。</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25.3.6不符合谈判文件中规定的实质性要求和条件的（实质性要求和条件是指本招标文件中用带星号（“★”）的商务和技术要求）。</w:t>
      </w:r>
      <w:r>
        <w:rPr>
          <w:rFonts w:hint="eastAsia" w:ascii="仿宋" w:hAnsi="仿宋" w:eastAsia="仿宋"/>
          <w:sz w:val="28"/>
          <w:szCs w:val="28"/>
          <w:highlight w:val="none"/>
        </w:rPr>
      </w:r>
      <w:r/>
    </w:p>
    <w:p>
      <w:pPr>
        <w:pStyle w:val="649"/>
        <w:ind w:firstLine="482"/>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25.3.7</w:t>
      </w:r>
      <w:r>
        <w:rPr>
          <w:rFonts w:hint="eastAsia" w:ascii="仿宋" w:hAnsi="仿宋" w:eastAsia="仿宋" w:cs="仿宋"/>
          <w:b/>
          <w:bCs/>
          <w:color w:val="000000"/>
          <w:sz w:val="28"/>
          <w:szCs w:val="28"/>
          <w:highlight w:val="none"/>
        </w:rPr>
        <w:t xml:space="preserve">根据《关于推动解决政府采购异常低价问题的通知》 财库〔2026〕2号执行：</w:t>
      </w:r>
      <w:r>
        <w:rPr>
          <w:rFonts w:hint="eastAsia" w:ascii="仿宋" w:hAnsi="仿宋" w:eastAsia="仿宋" w:cs="仿宋"/>
          <w:b/>
          <w:bCs/>
          <w:color w:val="000000"/>
          <w:sz w:val="28"/>
          <w:szCs w:val="28"/>
          <w:highlight w:val="none"/>
        </w:rPr>
      </w:r>
      <w:r/>
    </w:p>
    <w:p>
      <w:pPr>
        <w:pStyle w:val="649"/>
        <w:ind w:left="0" w:right="0" w:firstLine="560"/>
        <w:jc w:val="both"/>
        <w:spacing w:before="0" w:after="0" w:line="519" w:lineRule="atLeast"/>
        <w:rPr>
          <w:rFonts w:hint="eastAsia"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(一)评审过程中出现下列情形之一的，评审委员会应当启动异常低价投标(响应)审查程序：</w:t>
      </w:r>
      <w:r>
        <w:rPr>
          <w:rFonts w:hint="eastAsia" w:ascii="仿宋" w:hAnsi="仿宋" w:eastAsia="仿宋" w:cs="仿宋"/>
          <w:color w:val="000000"/>
          <w:sz w:val="28"/>
          <w:highlight w:val="none"/>
        </w:rPr>
      </w:r>
      <w:r/>
    </w:p>
    <w:p>
      <w:pPr>
        <w:pStyle w:val="649"/>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color w:val="000000"/>
          <w:sz w:val="28"/>
          <w:highlight w:val="none"/>
        </w:rPr>
      </w:r>
      <w:r/>
    </w:p>
    <w:p>
      <w:pPr>
        <w:pStyle w:val="649"/>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color w:val="000000"/>
          <w:sz w:val="28"/>
          <w:highlight w:val="none"/>
        </w:rPr>
      </w:r>
      <w:r/>
    </w:p>
    <w:p>
      <w:pPr>
        <w:pStyle w:val="649"/>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3.投标（响应）报价低于采购项目最高限价45%的，即投标（响应）报价&lt;采购项目最高限价×45%；</w:t>
      </w:r>
      <w:r>
        <w:rPr>
          <w:rFonts w:hint="eastAsia" w:ascii="仿宋" w:hAnsi="仿宋" w:eastAsia="仿宋" w:cs="仿宋"/>
          <w:color w:val="000000"/>
          <w:sz w:val="28"/>
          <w:highlight w:val="none"/>
        </w:rPr>
      </w:r>
      <w:r/>
    </w:p>
    <w:p>
      <w:pPr>
        <w:pStyle w:val="649"/>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4.评审委员会基于专业判断，认为供应商报价过低，有可能影响产品质量或者不能诚信履约的其他情形。</w:t>
      </w:r>
      <w:r>
        <w:rPr>
          <w:rFonts w:hint="eastAsia" w:ascii="仿宋" w:hAnsi="仿宋" w:eastAsia="仿宋" w:cs="仿宋"/>
          <w:color w:val="000000"/>
          <w:sz w:val="28"/>
          <w:highlight w:val="none"/>
        </w:rPr>
      </w:r>
      <w:r/>
    </w:p>
    <w:p>
      <w:pPr>
        <w:pStyle w:val="649"/>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color w:val="000000"/>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cs="仿宋"/>
          <w:color w:val="000000"/>
          <w:sz w:val="28"/>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  响应文件含有采购人不能接受的附加条件的。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按照第 36.4的要求本项目中具有“强制采购”产品，但未提供经国家确定的认证机构出具的、处于有效期之内该节能产品认证证书图片的；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响应文件未按照谈判文件要求加盖CA电子公章的。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25.4未实质性响应谈判文件的响应文件按无效响应处理。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25.5如果响应文件实质上没有响应谈判文件的要求，谈判小组将予以拒绝，供应商不得通过修改或撤销不合要求的偏离或保留而使其成为实质性响应的文件。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25.6供应商在项目评审全过程中应保持通讯畅通，并安排专人与采购中心及谈判小组联系。</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26.谈判程序及评审标准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26.1谈判程序</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26.1.3供应商未在谈判小组规定的时间内在苏采云系统中提交最后报价的视为放弃谈判，其响应文件按无效响应处理，最后报价格式表须加盖CA电子公章,否则视为未提交最后报价。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已提交响应文件的供应商，在提交最后报价之前，可以根据谈判情况退出谈判</w:t>
      </w:r>
      <w:r>
        <w:rPr>
          <w:rFonts w:hint="eastAsia" w:ascii="仿宋" w:hAnsi="仿宋" w:eastAsia="仿宋"/>
          <w:sz w:val="28"/>
          <w:szCs w:val="28"/>
          <w:highlight w:val="none"/>
        </w:rPr>
        <w:t xml:space="preserve">，并在苏采云系统中提交“退出谈判函”并加盖CA电子公章</w:t>
      </w:r>
      <w:r>
        <w:rPr>
          <w:rFonts w:ascii="仿宋" w:hAnsi="仿宋" w:eastAsia="仿宋"/>
          <w:sz w:val="28"/>
          <w:szCs w:val="28"/>
          <w:highlight w:val="none"/>
        </w:rPr>
        <w:t xml:space="preserve">。</w:t>
      </w:r>
      <w:r>
        <w:rPr>
          <w:rFonts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26.2评审标准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见本谈判文件第三章规定。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26.3采购活动终止的情况</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出现下列情形之一的，本次竞争性谈判采购活动将被终止：</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26.3.1因情况变化，不再符合规定的竞争性谈判采购方式适用情形的。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26.3.2出现影响采购公正的违法、违规行为的。</w:t>
      </w:r>
      <w:r>
        <w:rPr>
          <w:rFonts w:hint="eastAsia" w:ascii="仿宋" w:hAnsi="仿宋" w:eastAsia="仿宋"/>
          <w:sz w:val="28"/>
          <w:szCs w:val="28"/>
          <w:highlight w:val="none"/>
        </w:rPr>
      </w:r>
      <w:r/>
    </w:p>
    <w:p>
      <w:pPr>
        <w:pStyle w:val="649"/>
        <w:ind w:firstLine="565"/>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26.3.3</w:t>
      </w:r>
      <w:r>
        <w:rPr>
          <w:rFonts w:hint="eastAsia" w:ascii="仿宋" w:hAnsi="仿宋" w:eastAsia="仿宋"/>
          <w:sz w:val="28"/>
          <w:highlight w:val="none"/>
        </w:rPr>
        <w:t xml:space="preserve">在采购过程中符合竞争要求的供应商或者报价未超过采购预算的供应商不足3家的，但《政府采购非招标采购方式管理办法》财政部第74号令第二十七条第二款规定的情形除外。</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26.3.4在苏采云系统规定时间内成功解密电子响应文件的供应商不足3家的。</w:t>
      </w:r>
      <w:r>
        <w:rPr>
          <w:rFonts w:hint="eastAsia" w:ascii="仿宋" w:hAnsi="仿宋" w:eastAsia="仿宋"/>
          <w:sz w:val="28"/>
          <w:szCs w:val="28"/>
          <w:highlight w:val="none"/>
        </w:rPr>
      </w:r>
      <w:r/>
    </w:p>
    <w:p>
      <w:pPr>
        <w:pStyle w:val="649"/>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27.推荐成交候选供应商</w:t>
      </w:r>
      <w:r>
        <w:rPr>
          <w:rFonts w:hint="eastAsia" w:ascii="仿宋" w:hAnsi="仿宋" w:eastAsia="仿宋"/>
          <w:bCs/>
          <w:sz w:val="28"/>
          <w:highlight w:val="none"/>
        </w:rPr>
      </w:r>
      <w:r/>
    </w:p>
    <w:p>
      <w:pPr>
        <w:pStyle w:val="649"/>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27.1谈判小组将对通过资格性审查和符合性审查的响应文件进行评价和比较。</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27.2谈判小组</w:t>
      </w:r>
      <w:r>
        <w:rPr>
          <w:rFonts w:hint="eastAsia" w:ascii="仿宋" w:hAnsi="仿宋" w:eastAsia="仿宋"/>
          <w:sz w:val="28"/>
          <w:szCs w:val="28"/>
          <w:highlight w:val="none"/>
        </w:rPr>
        <w:t xml:space="preserve">按谈判文件第三章中公布的评标标准对每份合格响应文件进行评审，推荐3名成交候选供应商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谈判小组发现谈判文件存在歧义、重大缺陷导致评审工作无法进行，或者谈判文件内容存在违反国家有关规定的，评审工作停止，采购中心修改谈判文件后重新组织采购活动。</w:t>
      </w:r>
      <w:r>
        <w:rPr>
          <w:rFonts w:hint="eastAsia" w:ascii="仿宋" w:hAnsi="仿宋" w:eastAsia="仿宋"/>
          <w:sz w:val="28"/>
          <w:szCs w:val="28"/>
          <w:highlight w:val="none"/>
        </w:rPr>
      </w:r>
      <w:r/>
    </w:p>
    <w:p>
      <w:pPr>
        <w:pStyle w:val="649"/>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28.谈判过程保密</w:t>
      </w:r>
      <w:r>
        <w:rPr>
          <w:rFonts w:hint="eastAsia" w:ascii="仿宋" w:hAnsi="仿宋" w:eastAsia="仿宋"/>
          <w:bCs/>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28.1在宣布成交结果前，凡属于审查、澄清、谈判、评审响应文件和确定成交等相关信息，</w:t>
      </w:r>
      <w:r>
        <w:rPr>
          <w:rFonts w:hint="eastAsia" w:ascii="仿宋" w:hAnsi="仿宋" w:eastAsia="仿宋"/>
          <w:sz w:val="28"/>
          <w:szCs w:val="28"/>
          <w:highlight w:val="none"/>
        </w:rPr>
        <w:t xml:space="preserve">均不得泄露给任何供应商或与评审工作无关的人员。</w:t>
      </w:r>
      <w:r>
        <w:rPr>
          <w:rFonts w:hint="eastAsia" w:ascii="仿宋" w:hAnsi="仿宋" w:eastAsia="仿宋"/>
          <w:sz w:val="28"/>
          <w:szCs w:val="28"/>
          <w:highlight w:val="none"/>
        </w:rPr>
      </w:r>
      <w:r/>
    </w:p>
    <w:p>
      <w:pPr>
        <w:pStyle w:val="649"/>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28</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供应商不得探听上述信息，不得以任何行为影响谈判过程，否则将被取消成交资格。</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28.3 谈判小组名单在谈判前确定，并在谈判结果确定前保密。</w:t>
      </w:r>
      <w:r>
        <w:rPr>
          <w:rFonts w:hint="eastAsia" w:ascii="仿宋" w:hAnsi="仿宋" w:eastAsia="仿宋"/>
          <w:sz w:val="28"/>
          <w:szCs w:val="28"/>
          <w:highlight w:val="none"/>
        </w:rPr>
      </w:r>
      <w:r/>
    </w:p>
    <w:p>
      <w:pPr>
        <w:pStyle w:val="649"/>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rPr>
          <w:rFonts w:hint="eastAsia" w:ascii="仿宋" w:hAnsi="仿宋" w:eastAsia="仿宋"/>
          <w:b/>
          <w:bCs/>
          <w:sz w:val="32"/>
          <w:szCs w:val="32"/>
          <w:highlight w:val="none"/>
        </w:rPr>
      </w:r>
      <w:r/>
    </w:p>
    <w:p>
      <w:pPr>
        <w:pStyle w:val="649"/>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29.确定成交供应商</w:t>
      </w:r>
      <w:r>
        <w:rPr>
          <w:rFonts w:hint="eastAsia" w:ascii="仿宋" w:hAnsi="仿宋" w:eastAsia="仿宋"/>
          <w:bCs/>
          <w:sz w:val="28"/>
          <w:highlight w:val="none"/>
        </w:rPr>
      </w:r>
      <w:r/>
    </w:p>
    <w:p>
      <w:pPr>
        <w:pStyle w:val="649"/>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29.1采购人将从谈判小组推荐的符合采购需求的成交候选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29.2采购中心将在淮安市政府采购网发布成交结果公告。</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29.3成交候选人在合同签订前，如经查实从参加该成交项目之日起计算所参加的政府采购活动前三年内，在经营活动中有行贿犯罪记录的，采购中心将取消其成交候选人资格。</w:t>
      </w:r>
      <w:r>
        <w:rPr>
          <w:rFonts w:hint="eastAsia" w:ascii="仿宋" w:hAnsi="仿宋" w:eastAsia="仿宋"/>
          <w:sz w:val="28"/>
          <w:szCs w:val="28"/>
          <w:highlight w:val="none"/>
        </w:rPr>
      </w:r>
      <w:r/>
    </w:p>
    <w:p>
      <w:pPr>
        <w:pStyle w:val="649"/>
        <w:spacing w:line="520" w:lineRule="exact"/>
        <w:rPr>
          <w:rFonts w:hint="eastAsia" w:ascii="仿宋" w:hAnsi="仿宋" w:eastAsia="仿宋"/>
          <w:sz w:val="28"/>
          <w:highlight w:val="none"/>
        </w:rPr>
      </w:pPr>
      <w:r>
        <w:rPr>
          <w:rFonts w:hint="eastAsia" w:ascii="仿宋" w:hAnsi="仿宋" w:eastAsia="仿宋"/>
          <w:sz w:val="28"/>
          <w:highlight w:val="none"/>
        </w:rPr>
        <w:t xml:space="preserve">30.成交通知书</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31.签订合同</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31.1采购人与成交供应商应在成交通知书发出之日起三十日内签订政府采购合同。谈判文件、成交供应商的响应文件及澄清文件等均为签订合同依据。</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31.2成交供应商自成交通知书发出之日起三十日内无正当理由不与采购人签订合同的，将按规定进行处理。</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32.货物和服务的减少</w:t>
      </w:r>
      <w:r>
        <w:rPr>
          <w:rFonts w:hint="eastAsia" w:ascii="仿宋" w:hAnsi="仿宋" w:eastAsia="仿宋"/>
          <w:sz w:val="28"/>
          <w:szCs w:val="28"/>
          <w:highlight w:val="none"/>
        </w:rPr>
      </w:r>
      <w:r/>
    </w:p>
    <w:p>
      <w:pPr>
        <w:pStyle w:val="649"/>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32.1采购结束后，采购人若由于各种客观原因，必须对采购项目所牵涉的货物和服务进行适当的减少时，在双方协商一致的前提下，可以按照谈判时的价格水平做相应的调减，并据此签订补充合同。</w:t>
      </w:r>
      <w:r>
        <w:rPr>
          <w:rFonts w:hint="eastAsia" w:ascii="仿宋" w:hAnsi="仿宋" w:eastAsia="仿宋"/>
          <w:sz w:val="28"/>
          <w:szCs w:val="28"/>
          <w:highlight w:val="none"/>
        </w:rPr>
      </w:r>
      <w:r/>
    </w:p>
    <w:p>
      <w:pPr>
        <w:pStyle w:val="649"/>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rPr>
          <w:rFonts w:hint="eastAsia" w:ascii="仿宋" w:hAnsi="仿宋" w:eastAsia="仿宋"/>
          <w:b/>
          <w:sz w:val="32"/>
          <w:szCs w:val="32"/>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w:t>
      </w:r>
      <w:r>
        <w:rPr>
          <w:rFonts w:ascii="仿宋" w:hAnsi="仿宋" w:eastAsia="仿宋"/>
          <w:sz w:val="28"/>
          <w:szCs w:val="28"/>
          <w:highlight w:val="none"/>
        </w:rPr>
        <w:t xml:space="preserve">.</w:t>
      </w:r>
      <w:r>
        <w:rPr>
          <w:rFonts w:hint="eastAsia" w:ascii="仿宋" w:hAnsi="仿宋" w:eastAsia="仿宋"/>
          <w:sz w:val="28"/>
          <w:szCs w:val="28"/>
          <w:highlight w:val="none"/>
        </w:rPr>
        <w:t xml:space="preserve">质疑处理</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33.2上述应知其权益受到损害之日是指:</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（1）对谈判文件提出质疑的，为采购文件公告期限届满之日起计算；</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33.3质疑供应商是指直接参加本次谈判活动的供应商，未参加谈判活动的供应商或在谈判活动中自身权益未受到损害的供应商所提出的质疑不予受理。</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33.4质疑供应商在法定质疑期内应当一次性针对同一采购环节提出质疑。</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33.5质疑函应当包括以下主要内容，附上相关证明材料。否则，采购中心不予受理。</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33.7对于内容、格式符合规定的质疑函，采购中心将在七个工作日内以电子文件的形式作出答复，但质疑答复的内容不涉及商业秘密。如果质疑供应商还需要纸质形式回复函的，需主动与采购中心联系索取，或者在质疑函中明确提出该要求。</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33.8供应商提出的质疑必须有理、有据，不得恶意质疑或提交虚假质疑。否则，一经查实，采购中心有权依据政府采购的有关规定，报请淮安市财政局政府采购管理处对该供应商列入失信行为或不良行为记录名单，进行相应的行政处罚。</w:t>
      </w:r>
      <w:r>
        <w:rPr>
          <w:rFonts w:ascii="仿宋" w:hAnsi="仿宋" w:eastAsia="仿宋"/>
          <w:sz w:val="28"/>
          <w:szCs w:val="28"/>
          <w:highlight w:val="none"/>
        </w:rPr>
      </w:r>
      <w:r/>
    </w:p>
    <w:p>
      <w:pPr>
        <w:pStyle w:val="649"/>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34.政策功能落实</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34.1小微型企业价格扣除</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34.1.2在货物采购项目中，供应商提供的货物既有中小企业制造货物，也有大型企业制造货物的，不享受本办法规定的中小企业扶持政策。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34.2联合体及分包</w:t>
      </w:r>
      <w:r>
        <w:rPr>
          <w:rFonts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34.2.1以联合体形式参加政府采购活动，联合体各方均为中小企业的，联合体视同中小企业。其中，联合体各方均为小微企业的，联合体视同小微企业。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30%以上的，采购人应当对联合体或者大中型企业的报价给予6%的扣除，用扣除后的价格参加评审。</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34.3小微型企业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（1）供应商须按照谈判文件的要求提供相应的《企业声明函》，详见谈判文件第六章示范格式。</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34.4残疾人福利单位</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34.5监狱和戒毒企业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（1）监狱企业参加政府采购活动时，需提供由省级以上监狱管理局、戒毒管理局（含新疆生产建设兵团）出具的属于监狱企业的证明文件）（谈判文件中上传加盖出具单位公章的电子件）。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 节能、环保政策</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35.2节能产品（本项目不涉及）</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35.3环保产品（本项目不涉及）</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649"/>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35.4本项目中实行“强制采购”的，需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w:t>
      </w:r>
      <w:r>
        <w:rPr>
          <w:rFonts w:hint="eastAsia" w:ascii="仿宋" w:hAnsi="仿宋" w:eastAsia="仿宋"/>
          <w:sz w:val="28"/>
          <w:szCs w:val="28"/>
          <w:highlight w:val="none"/>
        </w:rPr>
        <w:t xml:space="preserve">给予谈判总报价2%的价格扣除</w:t>
      </w:r>
      <w:r>
        <w:rPr>
          <w:rFonts w:hint="eastAsia" w:ascii="仿宋" w:hAnsi="仿宋" w:eastAsia="仿宋"/>
          <w:sz w:val="28"/>
          <w:highlight w:val="none"/>
        </w:rPr>
        <w:t xml:space="preserve">（详见第三章评标标准）。</w:t>
      </w:r>
      <w:r>
        <w:rPr>
          <w:rFonts w:hint="eastAsia" w:ascii="仿宋" w:hAnsi="仿宋" w:eastAsia="仿宋"/>
          <w:sz w:val="28"/>
          <w:highlight w:val="none"/>
        </w:rPr>
      </w:r>
      <w:r/>
    </w:p>
    <w:p>
      <w:pPr>
        <w:pStyle w:val="649"/>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35.5节能、环保产品的品目清单按照《关于印发环境标志产品政府采购品目清单的通知》（财库〔2019〕18号）、《关于印发节能产品政府采购品目清单的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649"/>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38．政府绿色采购</w:t>
      </w:r>
      <w:r>
        <w:rPr>
          <w:rFonts w:hint="eastAsia" w:ascii="仿宋" w:hAnsi="仿宋" w:eastAsia="仿宋"/>
          <w:bCs/>
          <w:color w:val="000000"/>
          <w:sz w:val="28"/>
          <w:szCs w:val="28"/>
          <w:highlight w:val="none"/>
        </w:rPr>
      </w:r>
      <w:r/>
    </w:p>
    <w:p>
      <w:pPr>
        <w:pStyle w:val="649"/>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687"/>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szCs w:val="28"/>
          <w:highlight w:val="none"/>
        </w:rPr>
      </w:r>
      <w:r/>
    </w:p>
    <w:p>
      <w:pPr>
        <w:pStyle w:val="687"/>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highlight w:val="none"/>
        </w:rPr>
      </w:r>
      <w:r/>
    </w:p>
    <w:p>
      <w:pPr>
        <w:pStyle w:val="649"/>
        <w:ind w:firstLine="3054"/>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第三章  评标标准</w:t>
      </w:r>
      <w:r>
        <w:rPr>
          <w:rFonts w:hint="eastAsia" w:ascii="仿宋" w:hAnsi="仿宋" w:eastAsia="仿宋"/>
          <w:b/>
          <w:sz w:val="36"/>
          <w:szCs w:val="36"/>
          <w:highlight w:val="none"/>
        </w:rPr>
      </w:r>
      <w:r/>
    </w:p>
    <w:p>
      <w:pPr>
        <w:pStyle w:val="649"/>
        <w:ind w:firstLine="548"/>
        <w:spacing w:line="520" w:lineRule="exact"/>
        <w:rPr>
          <w:rFonts w:hint="eastAsia" w:ascii="仿宋" w:hAnsi="仿宋" w:eastAsia="仿宋"/>
          <w:b/>
          <w:sz w:val="28"/>
          <w:szCs w:val="28"/>
          <w:highlight w:val="none"/>
        </w:rPr>
      </w:pPr>
      <w:r>
        <w:rPr>
          <w:rFonts w:hint="eastAsia" w:ascii="仿宋" w:hAnsi="仿宋" w:eastAsia="仿宋"/>
          <w:sz w:val="28"/>
          <w:highlight w:val="none"/>
        </w:rPr>
        <w:t xml:space="preserve">一、谈判小组在推荐成交候选供应商时将考虑以下因素:</w:t>
      </w:r>
      <w:r>
        <w:rPr>
          <w:rFonts w:hint="eastAsia" w:ascii="仿宋" w:hAnsi="仿宋" w:eastAsia="仿宋"/>
          <w:b/>
          <w:sz w:val="28"/>
          <w:szCs w:val="28"/>
          <w:highlight w:val="none"/>
        </w:rPr>
      </w:r>
      <w:r/>
    </w:p>
    <w:p>
      <w:pPr>
        <w:pStyle w:val="649"/>
        <w:ind w:firstLine="548"/>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（1）谈判报价；</w:t>
      </w:r>
      <w:r>
        <w:rPr>
          <w:rFonts w:hint="eastAsia" w:ascii="仿宋" w:hAnsi="仿宋" w:eastAsia="仿宋"/>
          <w:b/>
          <w:sz w:val="28"/>
          <w:szCs w:val="28"/>
          <w:highlight w:val="none"/>
        </w:rPr>
      </w:r>
      <w:r/>
    </w:p>
    <w:p>
      <w:pPr>
        <w:pStyle w:val="649"/>
        <w:ind w:firstLine="548"/>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（2）货物的质量、性能、技术参数响应；</w:t>
      </w:r>
      <w:r>
        <w:rPr>
          <w:rFonts w:hint="eastAsia" w:ascii="仿宋" w:hAnsi="仿宋" w:eastAsia="仿宋"/>
          <w:b/>
          <w:sz w:val="28"/>
          <w:szCs w:val="28"/>
          <w:highlight w:val="none"/>
        </w:rPr>
      </w:r>
      <w:r/>
    </w:p>
    <w:p>
      <w:pPr>
        <w:pStyle w:val="649"/>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（3）供应商承诺的售后服务等。</w:t>
      </w:r>
      <w:r>
        <w:rPr>
          <w:rFonts w:hint="eastAsia" w:ascii="仿宋" w:hAnsi="仿宋" w:eastAsia="仿宋"/>
          <w:sz w:val="28"/>
          <w:szCs w:val="28"/>
          <w:highlight w:val="none"/>
        </w:rPr>
      </w:r>
      <w:r/>
    </w:p>
    <w:p>
      <w:pPr>
        <w:pStyle w:val="649"/>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二、评标标准</w:t>
      </w:r>
      <w:r>
        <w:rPr>
          <w:rFonts w:hint="eastAsia" w:ascii="仿宋" w:hAnsi="仿宋" w:eastAsia="仿宋"/>
          <w:sz w:val="28"/>
          <w:szCs w:val="28"/>
          <w:highlight w:val="none"/>
        </w:rPr>
      </w:r>
      <w:r/>
    </w:p>
    <w:p>
      <w:pPr>
        <w:pStyle w:val="649"/>
        <w:ind w:firstLine="817"/>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本项目采用最低评标价法进行评审。</w:t>
      </w:r>
      <w:r>
        <w:rPr>
          <w:rFonts w:hint="eastAsia" w:ascii="仿宋" w:hAnsi="仿宋" w:eastAsia="仿宋"/>
          <w:sz w:val="28"/>
          <w:szCs w:val="28"/>
          <w:highlight w:val="none"/>
        </w:rPr>
        <w:t xml:space="preserve">在满足谈判文件要求的条件下，谈判小组将对供应商及其所报货物进行评审，最后是通过对采购需求、质量和服务相等且报价最低（凡属于谈判文件第二章第八项第34条规定的范围内，</w:t>
      </w:r>
      <w:r>
        <w:rPr>
          <w:rFonts w:hint="eastAsia" w:ascii="仿宋" w:hAnsi="仿宋" w:eastAsia="仿宋"/>
          <w:sz w:val="28"/>
          <w:szCs w:val="28"/>
          <w:highlight w:val="none"/>
          <w:lang w:val="zh-CN"/>
        </w:rPr>
        <w:t xml:space="preserve">以扣除后价格的进行评审）</w:t>
      </w:r>
      <w:r>
        <w:rPr>
          <w:rFonts w:hint="eastAsia" w:ascii="仿宋" w:hAnsi="仿宋" w:eastAsia="仿宋"/>
          <w:sz w:val="28"/>
          <w:szCs w:val="28"/>
          <w:highlight w:val="none"/>
        </w:rPr>
        <w:t xml:space="preserve">的原则来确定,并推荐出3名成交候选人。当最低报价或次低报价的供应商多于一家时（报价相等），须进行再次报价（如果采购需求没有实质性改动,再次报价不得高于上一次报价，否则作无效报价处理），直到确定出成交候选供应商。</w:t>
      </w:r>
      <w:r>
        <w:rPr>
          <w:rFonts w:hint="eastAsia" w:ascii="仿宋" w:hAnsi="仿宋" w:eastAsia="仿宋"/>
          <w:sz w:val="28"/>
          <w:szCs w:val="28"/>
          <w:highlight w:val="none"/>
        </w:rPr>
      </w:r>
      <w:r/>
    </w:p>
    <w:p>
      <w:pPr>
        <w:pStyle w:val="649"/>
        <w:ind w:firstLine="539"/>
        <w:spacing w:line="520" w:lineRule="exact"/>
        <w:rPr>
          <w:rFonts w:hint="eastAsia" w:ascii="仿宋" w:hAnsi="仿宋" w:eastAsia="仿宋"/>
          <w:sz w:val="28"/>
          <w:highlight w:val="none"/>
        </w:rPr>
      </w:pPr>
      <w:r>
        <w:rPr>
          <w:rFonts w:hint="eastAsia" w:ascii="仿宋" w:hAnsi="仿宋" w:eastAsia="仿宋"/>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649"/>
        <w:ind w:firstLine="2711"/>
        <w:rPr>
          <w:rFonts w:hint="eastAsia" w:ascii="宋体" w:hAnsi="宋体" w:cs="Arial Unicode MS"/>
          <w:color w:val="000000"/>
          <w:sz w:val="28"/>
          <w:szCs w:val="28"/>
          <w:highlight w:val="none"/>
        </w:rPr>
      </w:pPr>
      <w:r>
        <w:rPr>
          <w:rFonts w:hint="eastAsia" w:ascii="仿宋" w:hAnsi="仿宋" w:eastAsia="仿宋"/>
          <w:b/>
          <w:bCs/>
          <w:sz w:val="36"/>
          <w:szCs w:val="36"/>
          <w:highlight w:val="none"/>
        </w:rPr>
        <w:t xml:space="preserve">第四章  合同格式及条款</w:t>
      </w:r>
      <w:r>
        <w:rPr>
          <w:rFonts w:hint="eastAsia" w:ascii="宋体" w:hAnsi="宋体" w:cs="Arial Unicode MS"/>
          <w:color w:val="000000"/>
          <w:sz w:val="28"/>
          <w:szCs w:val="28"/>
          <w:highlight w:val="none"/>
        </w:rPr>
      </w:r>
      <w:r/>
    </w:p>
    <w:p>
      <w:pPr>
        <w:pStyle w:val="665"/>
        <w:ind w:firstLine="362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649"/>
        <w:ind w:firstLine="551"/>
        <w:spacing w:line="640" w:lineRule="exact"/>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rPr>
          <w:rFonts w:hint="eastAsia" w:ascii="仿宋" w:hAnsi="仿宋" w:eastAsia="仿宋" w:cs="仿宋"/>
          <w:bCs/>
          <w:sz w:val="28"/>
          <w:szCs w:val="28"/>
          <w:highlight w:val="none"/>
        </w:rPr>
      </w:r>
      <w:r/>
    </w:p>
    <w:p>
      <w:pPr>
        <w:pStyle w:val="649"/>
        <w:ind w:firstLine="551"/>
        <w:spacing w:line="520" w:lineRule="exact"/>
        <w:shd w:val="clear" w:color="auto" w:fill="auto"/>
        <w:rPr>
          <w:rFonts w:hint="eastAsia" w:ascii="仿宋" w:hAnsi="仿宋" w:eastAsia="仿宋" w:cs="仿宋"/>
          <w:bCs/>
          <w:sz w:val="28"/>
          <w:szCs w:val="28"/>
          <w:highlight w:val="none"/>
        </w:rPr>
      </w:pPr>
      <w:r>
        <w:rPr>
          <w:rFonts w:hint="eastAsia" w:ascii="仿宋" w:hAnsi="仿宋" w:eastAsia="仿宋" w:cs="仿宋"/>
          <w:b/>
          <w:bCs/>
          <w:sz w:val="28"/>
          <w:szCs w:val="28"/>
          <w:highlight w:val="none"/>
        </w:rPr>
        <w:t xml:space="preserve">甲、乙双方通过采购人平台和供应商平台签订电子合同（加盖电子签章），在双方签订完成后系统将自动推送至采购中心进行电子见证。</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甲  方（委托方）：盱眙县人民法院</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地  址: 盱眙县二环路18号</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乙  方（受托方）：</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法定代表人：</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地  址: </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根据《中华人民共和国民法典》《物业管理条例》及其他相关法律法规的规定，甲方将盱眙县人民法院审判法庭用房等综合楼物业服务项目（卫生保洁、会务服务、秩序维护、保安服务、日常维修维护等）委托乙方实行物业服务。为了保障甲方的合法权益和维护良好的工作、运行环境，增强安全防范能力，双方本着自愿、平等、互利、诚信的原则，达成条款如下：</w:t>
      </w:r>
      <w:r>
        <w:rPr>
          <w:rFonts w:hint="eastAsia" w:ascii="仿宋" w:hAnsi="仿宋" w:eastAsia="仿宋" w:cs="仿宋"/>
          <w:bCs/>
          <w:sz w:val="28"/>
          <w:szCs w:val="28"/>
          <w:highlight w:val="none"/>
        </w:rPr>
      </w:r>
      <w:r/>
    </w:p>
    <w:p>
      <w:pPr>
        <w:pStyle w:val="649"/>
        <w:ind w:firstLine="562"/>
        <w:spacing w:line="520" w:lineRule="exact"/>
        <w:shd w:val="clear" w:color="auto" w:fill="auto"/>
        <w:tabs>
          <w:tab w:val="left" w:pos="180" w:leader="none"/>
        </w:tabs>
        <w:rPr>
          <w:rFonts w:hint="eastAsia" w:ascii="仿宋" w:hAnsi="仿宋" w:eastAsia="仿宋" w:cs="仿宋"/>
          <w:bCs/>
          <w:sz w:val="28"/>
          <w:szCs w:val="28"/>
          <w:highlight w:val="none"/>
        </w:rPr>
        <w:outlineLvl w:val="0"/>
      </w:pPr>
      <w:r>
        <w:rPr>
          <w:rFonts w:hint="eastAsia" w:ascii="仿宋" w:hAnsi="仿宋" w:eastAsia="仿宋" w:cs="仿宋"/>
          <w:b/>
          <w:sz w:val="28"/>
          <w:szCs w:val="28"/>
          <w:highlight w:val="none"/>
        </w:rPr>
        <w:t xml:space="preserve">第一章  总则</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第一条：乙方在提供服务的过程中，应坚持以预防为主、优质服务为原则，依法维护甲方的合法权益和正常的工作、运行环境。</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outlineLvl w:val="1"/>
      </w:pPr>
      <w:r>
        <w:rPr>
          <w:rFonts w:hint="eastAsia" w:ascii="仿宋" w:hAnsi="仿宋" w:eastAsia="仿宋" w:cs="仿宋"/>
          <w:bCs/>
          <w:sz w:val="28"/>
          <w:szCs w:val="28"/>
          <w:highlight w:val="none"/>
        </w:rPr>
        <w:t xml:space="preserve">第二条：乙方的服务宗旨</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诚信经营，永无止境地追求客户的满意。</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outlineLvl w:val="1"/>
      </w:pPr>
      <w:r>
        <w:rPr>
          <w:rFonts w:hint="eastAsia" w:ascii="仿宋" w:hAnsi="仿宋" w:eastAsia="仿宋" w:cs="仿宋"/>
          <w:bCs/>
          <w:sz w:val="28"/>
          <w:szCs w:val="28"/>
          <w:highlight w:val="none"/>
        </w:rPr>
        <w:t xml:space="preserve">第三条：乙方承诺</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客户至上，信誉第一，遵守合同，保守秘密。</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outlineLvl w:val="1"/>
      </w:pPr>
      <w:r>
        <w:rPr>
          <w:rFonts w:hint="eastAsia" w:ascii="仿宋" w:hAnsi="仿宋" w:eastAsia="仿宋" w:cs="仿宋"/>
          <w:bCs/>
          <w:sz w:val="28"/>
          <w:szCs w:val="28"/>
          <w:highlight w:val="none"/>
        </w:rPr>
        <w:t xml:space="preserve">第四条：物业状况、服务方式、服务范围及职责</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4.1、甲方聘请乙方派驻物业服务人员</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u w:val="single"/>
          <w:lang w:val="en-US" w:eastAsia="zh-CN"/>
        </w:rPr>
        <w:t xml:space="preserve">61</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名；</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4.2、物业基本状况：</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服务地址：</w:t>
      </w:r>
      <w:r>
        <w:rPr>
          <w:rFonts w:hint="eastAsia" w:ascii="仿宋" w:hAnsi="仿宋" w:eastAsia="仿宋" w:cs="仿宋"/>
          <w:sz w:val="28"/>
          <w:szCs w:val="28"/>
          <w:highlight w:val="none"/>
        </w:rPr>
        <w:t xml:space="preserve">盱眙县人民法院审判业务综合楼及院落内、马坝人民法庭、桂五人民法庭、管仲人民法庭、</w:t>
      </w:r>
      <w:r>
        <w:rPr>
          <w:rFonts w:hint="eastAsia" w:ascii="仿宋" w:hAnsi="仿宋" w:eastAsia="仿宋" w:cs="仿宋"/>
          <w:sz w:val="28"/>
          <w:szCs w:val="28"/>
          <w:highlight w:val="none"/>
          <w:lang w:val="en-US" w:eastAsia="zh-CN"/>
        </w:rPr>
        <w:t xml:space="preserve">综治中心、</w:t>
      </w:r>
      <w:r>
        <w:rPr>
          <w:rFonts w:hint="eastAsia" w:ascii="仿宋" w:hAnsi="仿宋" w:eastAsia="仿宋" w:cs="仿宋"/>
          <w:sz w:val="28"/>
          <w:szCs w:val="28"/>
          <w:highlight w:val="none"/>
        </w:rPr>
        <w:t xml:space="preserve">非公企业纠纷巡回审判点（盱眙企业服务中心一楼）</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4.3、物业服务范围及职责（具体项目内容以甲方出具的项目清单为准）：</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4.3.1、保洁工作：甲方规定的范围与内容，保证大厅保持整洁，楼道及卫生间上、下午各打扫不少于两次。</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outlineLvl w:val="2"/>
      </w:pPr>
      <w:r>
        <w:rPr>
          <w:rFonts w:hint="eastAsia" w:ascii="仿宋" w:hAnsi="仿宋" w:eastAsia="仿宋" w:cs="仿宋"/>
          <w:bCs/>
          <w:sz w:val="28"/>
          <w:szCs w:val="28"/>
          <w:highlight w:val="none"/>
        </w:rPr>
        <w:t xml:space="preserve">4.3.2、会务接待：甲方规定的范围与内容。</w:t>
      </w:r>
      <w:r>
        <w:rPr>
          <w:rFonts w:hint="eastAsia" w:ascii="仿宋" w:hAnsi="仿宋" w:eastAsia="仿宋" w:cs="仿宋"/>
          <w:bCs/>
          <w:sz w:val="28"/>
          <w:szCs w:val="28"/>
          <w:highlight w:val="none"/>
        </w:rPr>
      </w:r>
      <w:r/>
    </w:p>
    <w:p>
      <w:pPr>
        <w:pStyle w:val="649"/>
        <w:ind w:firstLine="560"/>
        <w:spacing w:line="520" w:lineRule="exact"/>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4.3.3、公共设备、电力设施的运行、管理和维护保养工作（包括电梯、地下泵房、消防设施、空调、太阳能、大门道闸等甲方规定的范围与内容）。</w:t>
      </w:r>
      <w:r>
        <w:rPr>
          <w:rFonts w:hint="eastAsia" w:ascii="仿宋" w:hAnsi="仿宋" w:eastAsia="仿宋" w:cs="仿宋"/>
          <w:sz w:val="28"/>
          <w:szCs w:val="28"/>
          <w:highlight w:val="none"/>
        </w:rPr>
        <w:t xml:space="preserve">电梯维保、绿植租赁、食堂下水道清理、食堂油烟管道清理、病虫害动物防治、消防巡查及维保</w:t>
      </w:r>
      <w:r>
        <w:rPr>
          <w:rFonts w:hint="eastAsia" w:ascii="仿宋" w:hAnsi="仿宋" w:eastAsia="仿宋" w:cs="仿宋"/>
          <w:sz w:val="28"/>
          <w:szCs w:val="28"/>
          <w:highlight w:val="none"/>
          <w:lang w:val="en-US" w:eastAsia="zh-CN"/>
        </w:rPr>
        <w:t xml:space="preserve">的协助甲方监管</w:t>
      </w:r>
      <w:r>
        <w:rPr>
          <w:rFonts w:hint="eastAsia" w:ascii="仿宋" w:hAnsi="仿宋" w:eastAsia="仿宋" w:cs="仿宋"/>
          <w:sz w:val="28"/>
          <w:szCs w:val="28"/>
          <w:highlight w:val="none"/>
        </w:rPr>
        <w:t xml:space="preserve">。</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4.3.4、院内园林绿化整理及监管。</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4.3.5、市政下水管网、化粪池、大楼下水管网、卫生间疏通。</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4.3.6、物业档案、资料管理，物业所需零配件保管、领用。</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4.3.7、建立、健全物业管理制度。根据甲方的具体情况，乙方应制定内部管理制度、日常服务的运作管理制度等。</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4.3.8、协助甲方应对突发事件的处理及善后工作。</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4.3.9、配合甲方做好工程竣工验收工作。</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4.3.10、负责与有关社区、公安、环卫等相关部门的对接和联系工作。</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outlineLvl w:val="2"/>
      </w:pPr>
      <w:r>
        <w:rPr>
          <w:rFonts w:hint="eastAsia" w:ascii="仿宋" w:hAnsi="仿宋" w:eastAsia="仿宋" w:cs="仿宋"/>
          <w:bCs/>
          <w:sz w:val="28"/>
          <w:szCs w:val="28"/>
          <w:highlight w:val="none"/>
        </w:rPr>
        <w:t xml:space="preserve">4.3.11、乙方应统一着装，挂工牌上岗。</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4.3.12、法律、法规和政策规定以及文件要求物业管理公司管理的其它事项。</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上述全部服务内容，如乙方具备相应资质则乙方必须自身独立完成；如乙方缺乏必要资质，则乙方负责协调委托其他具备资质的相关单位和服务人员完成。乙方对全部事项承担责任并接受甲方的监督和管理。</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第五条：委托服务期限为一年，自</w:t>
      </w:r>
      <w:r>
        <w:rPr>
          <w:rFonts w:hint="eastAsia" w:ascii="仿宋" w:hAnsi="仿宋" w:eastAsia="仿宋" w:cs="仿宋"/>
          <w:bCs/>
          <w:sz w:val="28"/>
          <w:szCs w:val="28"/>
          <w:highlight w:val="none"/>
          <w:u w:val="single"/>
        </w:rPr>
        <w:t xml:space="preserve"> 202</w:t>
      </w:r>
      <w:r>
        <w:rPr>
          <w:rFonts w:hint="eastAsia" w:ascii="仿宋" w:hAnsi="仿宋" w:eastAsia="仿宋" w:cs="仿宋"/>
          <w:bCs/>
          <w:sz w:val="28"/>
          <w:szCs w:val="28"/>
          <w:highlight w:val="none"/>
          <w:u w:val="single"/>
          <w:lang w:val="en-US" w:eastAsia="zh-CN"/>
        </w:rPr>
        <w:t xml:space="preserve">6</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月</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日至</w:t>
      </w:r>
      <w:r>
        <w:rPr>
          <w:rFonts w:hint="eastAsia" w:ascii="仿宋" w:hAnsi="仿宋" w:eastAsia="仿宋" w:cs="仿宋"/>
          <w:bCs/>
          <w:sz w:val="28"/>
          <w:szCs w:val="28"/>
          <w:highlight w:val="none"/>
          <w:u w:val="single"/>
        </w:rPr>
        <w:t xml:space="preserve">202</w:t>
      </w:r>
      <w:r>
        <w:rPr>
          <w:rFonts w:hint="eastAsia" w:ascii="仿宋" w:hAnsi="仿宋" w:eastAsia="仿宋" w:cs="仿宋"/>
          <w:bCs/>
          <w:sz w:val="28"/>
          <w:szCs w:val="28"/>
          <w:highlight w:val="none"/>
          <w:u w:val="single"/>
          <w:lang w:val="en-US" w:eastAsia="zh-CN"/>
        </w:rPr>
        <w:t xml:space="preserve">7</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月</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日止。</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outlineLvl w:val="1"/>
      </w:pPr>
      <w:r>
        <w:rPr>
          <w:rFonts w:hint="eastAsia" w:ascii="仿宋" w:hAnsi="仿宋" w:eastAsia="仿宋" w:cs="仿宋"/>
          <w:bCs/>
          <w:sz w:val="28"/>
          <w:szCs w:val="28"/>
          <w:highlight w:val="none"/>
        </w:rPr>
        <w:t xml:space="preserve">第六条：服务费用组成及支付方式：</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6.1.1、服务价款包括但不限于以下费用：项目经理、卫生保洁、保安、日常维修维护等人员的工资及节假日加班费等补助、社保费、公积金、法定税费及公众责任保险费和合理利润外，还应包括：管理、劳务、培训、风险、税金及政策性文件规定等各项应有费用，以及为完成物业服务工作所涉及到的一切相关费用。</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6.1.2用于</w:t>
      </w:r>
      <w:r>
        <w:rPr>
          <w:rFonts w:hint="eastAsia" w:ascii="仿宋" w:hAnsi="仿宋" w:eastAsia="仿宋" w:cs="仿宋"/>
          <w:bCs/>
          <w:sz w:val="28"/>
          <w:szCs w:val="28"/>
          <w:highlight w:val="none"/>
        </w:rPr>
        <w:t xml:space="preserve">物业服务工作的耗材包括洗衣粉、洗洁精、抹布、拖把、尘推、清洁桶、玻璃清洁剂、小扫帚、大扫帚、簸箕、纸捡夹、板刷、铁铲、云石刀、喷壶、刮水器、涂水器、胶手套、消毒液、水拔子、鸡毛掸、马桶刷、洁厕净、灭鼠药、冲洗地面用水管、消毒用喷雾器、卫生纸、擦手纸、洗手液、消毒液、茶叶等（其中卫生纸、擦手纸、洗手液、消毒液、茶叶等物料的购买需经甲方检验及同意），由乙方购置并承担费用。所有人员的工作服装和相关装备（含通讯、保安用器械等）等由乙方购置并承担费用。合同价款中不包含空调、电梯、消防等专业维保费用、需更换材料的费用。</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6.1.3所有工作人员工资不低于盱眙县最新公布的最低工资标准且必须足额缴纳保险费用及公积金（最低工资标准、社会保险缴纳基数等如遇到国家和地方政策调整的费用应凭有关文件相应调整），保险费用应执行苏人社发[</w:t>
      </w:r>
      <w:r>
        <w:rPr>
          <w:rFonts w:hint="eastAsia" w:ascii="仿宋" w:hAnsi="仿宋" w:eastAsia="仿宋" w:cs="仿宋"/>
          <w:bCs/>
          <w:sz w:val="28"/>
          <w:szCs w:val="28"/>
          <w:highlight w:val="none"/>
          <w:lang w:val="en-US" w:eastAsia="zh-CN"/>
        </w:rPr>
        <w:t xml:space="preserve">2025</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33</w:t>
      </w:r>
      <w:r>
        <w:rPr>
          <w:rFonts w:hint="eastAsia" w:ascii="仿宋" w:hAnsi="仿宋" w:eastAsia="仿宋" w:cs="仿宋"/>
          <w:bCs/>
          <w:sz w:val="28"/>
          <w:szCs w:val="28"/>
          <w:highlight w:val="none"/>
        </w:rPr>
        <w:t xml:space="preserve">号文件要求及淮安市的相关规定，社保（企业部分）不得低于上述文件标准及规定。险种测算（规定险种为“五险”，指养老保险金、医疗保险金、工伤保险金、生育保险金、失业保险金）以及大病保险。</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6.2、在合同履行期间，凡因国家政策调整（主要包括：所在城市最低工资标准、社会保险缴费基数的调增）等因素而造成乙方成本费用增加的部分，由乙方自行承担，本合同总服务费不作调整。所有服务人员在工作期间非因甲方原因造成的人身安全、劳资关系纠纷与甲方无关，皆由乙方自行负责并承担全部责任。</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6.3、甲方合同期限内向乙方支付物业服务费</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rPr>
      </w:r>
      <w:r/>
    </w:p>
    <w:p>
      <w:pPr>
        <w:pStyle w:val="649"/>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bCs/>
          <w:sz w:val="28"/>
          <w:szCs w:val="28"/>
          <w:highlight w:val="none"/>
        </w:rPr>
        <w:t xml:space="preserve">服务费用支付方式：</w:t>
      </w:r>
      <w:r>
        <w:rPr>
          <w:rFonts w:hint="eastAsia" w:ascii="仿宋" w:hAnsi="仿宋" w:eastAsia="仿宋" w:cs="仿宋"/>
          <w:bCs/>
          <w:color w:val="000000"/>
          <w:sz w:val="28"/>
          <w:szCs w:val="28"/>
          <w:highlight w:val="none"/>
        </w:rPr>
        <w:t xml:space="preserve">合同签订生效后支付当月的40%作为预付款，余款</w:t>
      </w:r>
      <w:r>
        <w:rPr>
          <w:rFonts w:hint="eastAsia" w:ascii="仿宋" w:hAnsi="仿宋" w:eastAsia="仿宋" w:cs="仿宋"/>
          <w:color w:val="000000"/>
          <w:sz w:val="28"/>
          <w:szCs w:val="28"/>
          <w:highlight w:val="none"/>
        </w:rPr>
        <w:t xml:space="preserve">按月支付（中标价减叁万元除以12个月，如考核存在扣除费用，亦应扣减）。采购人每月根据考核结果，支付成交供应商每月物业服务费。次月支付上月物业服务费。</w:t>
      </w:r>
      <w:r>
        <w:rPr>
          <w:rFonts w:hint="eastAsia" w:ascii="仿宋" w:hAnsi="仿宋" w:eastAsia="仿宋" w:cs="仿宋"/>
          <w:color w:val="000000"/>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6.4、除本合同规定的应收费项目外，未经甲方同意，乙方不得以甲方所辖物业设施设备提供使用为由收取其他任何费用（应物业使用单位的要求，向物业使用人提供的特约有偿服务收费除外）。</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6.5</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成交价的1%</w:t>
      </w:r>
      <w:r>
        <w:rPr>
          <w:rFonts w:hint="eastAsia" w:ascii="仿宋" w:hAnsi="仿宋" w:eastAsia="仿宋"/>
          <w:sz w:val="28"/>
          <w:szCs w:val="28"/>
          <w:highlight w:val="none"/>
          <w:lang w:eastAsia="zh-CN"/>
        </w:rPr>
        <w:t xml:space="preserve">）</w:t>
      </w:r>
      <w:r>
        <w:rPr>
          <w:rFonts w:hint="eastAsia" w:ascii="仿宋" w:hAnsi="仿宋" w:eastAsia="仿宋" w:cs="仿宋"/>
          <w:sz w:val="28"/>
          <w:szCs w:val="28"/>
          <w:highlight w:val="none"/>
          <w:lang w:val="en-US" w:eastAsia="zh-CN"/>
        </w:rPr>
      </w:r>
      <w:r/>
    </w:p>
    <w:p>
      <w:pPr>
        <w:pStyle w:val="66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6.5.1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r>
      <w:r/>
    </w:p>
    <w:p>
      <w:pPr>
        <w:pStyle w:val="649"/>
        <w:numPr>
          <w:ilvl w:val="0"/>
          <w:numId w:val="0"/>
        </w:numPr>
        <w:ind w:left="63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6.5.2</w:t>
      </w: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rPr>
          <w:rFonts w:hint="eastAsia" w:ascii="仿宋" w:hAnsi="仿宋" w:eastAsia="仿宋"/>
          <w:sz w:val="28"/>
          <w:szCs w:val="28"/>
          <w:highlight w:val="none"/>
        </w:rPr>
      </w:r>
      <w:r/>
    </w:p>
    <w:p>
      <w:pPr>
        <w:pStyle w:val="649"/>
        <w:numPr>
          <w:ilvl w:val="0"/>
          <w:numId w:val="0"/>
        </w:numPr>
        <w:ind w:left="63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6.5.3</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rPr>
          <w:rFonts w:hint="eastAsia" w:ascii="仿宋" w:hAnsi="仿宋" w:eastAsia="仿宋"/>
          <w:sz w:val="28"/>
          <w:szCs w:val="28"/>
          <w:highlight w:val="none"/>
        </w:rPr>
      </w:r>
      <w:r/>
    </w:p>
    <w:p>
      <w:pPr>
        <w:pStyle w:val="649"/>
        <w:numPr>
          <w:ilvl w:val="0"/>
          <w:numId w:val="0"/>
        </w:numPr>
        <w:ind w:left="63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6.5.4</w:t>
      </w: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6.5.5</w:t>
      </w:r>
      <w:r>
        <w:rPr>
          <w:rFonts w:hint="eastAsia" w:ascii="仿宋" w:hAnsi="仿宋" w:eastAsia="仿宋"/>
          <w:sz w:val="28"/>
          <w:szCs w:val="28"/>
          <w:highlight w:val="none"/>
        </w:rPr>
        <w:t xml:space="preserve">如乙方未能履行合同规定的义务，甲方有权从履约保证金中取得补偿。</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5.6</w:t>
      </w:r>
      <w:r>
        <w:rPr>
          <w:rFonts w:hint="eastAsia" w:ascii="仿宋" w:hAnsi="仿宋" w:eastAsia="仿宋"/>
          <w:sz w:val="28"/>
          <w:szCs w:val="28"/>
          <w:highlight w:val="none"/>
        </w:rPr>
        <w:t xml:space="preserve">履约保证金在合同约定期间内不予退还或者应完全有效，约定期间届满之日起</w:t>
      </w:r>
      <w:r>
        <w:rPr>
          <w:rFonts w:ascii="仿宋" w:hAnsi="仿宋" w:eastAsia="仿宋"/>
          <w:sz w:val="28"/>
          <w:szCs w:val="28"/>
          <w:highlight w:val="none"/>
        </w:rPr>
        <w:t xml:space="preserve"> 5</w:t>
      </w:r>
      <w:r>
        <w:rPr>
          <w:rFonts w:hint="eastAsia" w:ascii="仿宋" w:hAnsi="仿宋" w:eastAsia="仿宋"/>
          <w:sz w:val="28"/>
          <w:szCs w:val="28"/>
          <w:highlight w:val="none"/>
        </w:rPr>
        <w:t xml:space="preserve">个工作日内，甲方应将履约保证金退还乙方；逾期退还的，按中国人民银行同期贷款基利率上浮</w:t>
      </w:r>
      <w:r>
        <w:rPr>
          <w:rFonts w:ascii="仿宋" w:hAnsi="仿宋" w:eastAsia="仿宋"/>
          <w:sz w:val="28"/>
          <w:szCs w:val="28"/>
          <w:highlight w:val="none"/>
        </w:rPr>
        <w:t xml:space="preserve">20%</w:t>
      </w:r>
      <w:r>
        <w:rPr>
          <w:rFonts w:hint="eastAsia" w:ascii="仿宋" w:hAnsi="仿宋" w:eastAsia="仿宋"/>
          <w:sz w:val="28"/>
          <w:szCs w:val="28"/>
          <w:highlight w:val="none"/>
        </w:rPr>
        <w:t xml:space="preserve">后的利率支付超期资金占用费，但因乙方自身原因导致无法及时退还的除外。</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cs="仿宋"/>
          <w:sz w:val="28"/>
          <w:szCs w:val="28"/>
          <w:highlight w:val="none"/>
        </w:rPr>
      </w:pP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6.5.7</w:t>
      </w:r>
      <w:r>
        <w:rPr>
          <w:rFonts w:hint="eastAsia" w:ascii="仿宋" w:hAnsi="仿宋" w:eastAsia="仿宋"/>
          <w:sz w:val="28"/>
          <w:szCs w:val="28"/>
          <w:highlight w:val="none"/>
        </w:rPr>
        <w:t xml:space="preserve">履约保证金在合同约定期间内不予退还或者应完全有效，履约保证金在项目验收合格后退还给乙方。</w:t>
      </w:r>
      <w:r>
        <w:rPr>
          <w:rFonts w:hint="eastAsia" w:ascii="仿宋" w:hAnsi="仿宋" w:eastAsia="仿宋" w:cs="仿宋"/>
          <w:sz w:val="28"/>
          <w:szCs w:val="28"/>
          <w:highlight w:val="none"/>
        </w:rPr>
      </w:r>
      <w:r/>
    </w:p>
    <w:p>
      <w:pPr>
        <w:pStyle w:val="649"/>
        <w:ind w:firstLine="562"/>
        <w:spacing w:line="520" w:lineRule="exact"/>
        <w:shd w:val="clear" w:color="auto" w:fill="auto"/>
        <w:tabs>
          <w:tab w:val="left" w:pos="180" w:leader="none"/>
        </w:tabs>
        <w:rPr>
          <w:rFonts w:hint="eastAsia" w:ascii="仿宋" w:hAnsi="仿宋" w:eastAsia="仿宋" w:cs="仿宋"/>
          <w:b/>
          <w:sz w:val="28"/>
          <w:szCs w:val="28"/>
          <w:highlight w:val="none"/>
        </w:rPr>
        <w:outlineLvl w:val="0"/>
      </w:pPr>
      <w:r>
        <w:rPr>
          <w:rFonts w:hint="eastAsia" w:ascii="仿宋" w:hAnsi="仿宋" w:eastAsia="仿宋" w:cs="仿宋"/>
          <w:b/>
          <w:sz w:val="28"/>
          <w:szCs w:val="28"/>
          <w:highlight w:val="none"/>
        </w:rPr>
        <w:t xml:space="preserve">第二章  甲方的权利和义务</w:t>
      </w:r>
      <w:r>
        <w:rPr>
          <w:rFonts w:hint="eastAsia" w:ascii="仿宋" w:hAnsi="仿宋" w:eastAsia="仿宋" w:cs="仿宋"/>
          <w:b/>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七条：甲方有权组织相关人员对本合同的履行进行监督检查，检查时发现乙方有违反法律规定或者本合同约定义务情形的，甲方有权制作问题整改通知单交乙方整改，甲方相关监督检查人员及警保负责人在问题整改通知单上签字确认并送达到乙方。乙方收到并签字即视为甲乙双方共同确定乙方工作确实存在问题。该问题整改通知单经乙方物业服务项目负责人签收后即视为送达。甲方也可以采用邮寄送达方式，将整改通知单送达乙方整改，甲方按乙方提供的地址寄出整改通知单即视为送达。</w:t>
      </w:r>
      <w:r>
        <w:rPr>
          <w:rFonts w:hint="eastAsia" w:ascii="仿宋" w:hAnsi="仿宋" w:eastAsia="仿宋" w:cs="仿宋"/>
          <w:bCs/>
          <w:sz w:val="28"/>
          <w:szCs w:val="28"/>
          <w:highlight w:val="none"/>
        </w:rPr>
      </w:r>
      <w:r/>
    </w:p>
    <w:p>
      <w:pPr>
        <w:pStyle w:val="676"/>
        <w:ind w:firstLine="480"/>
        <w:shd w:val="clear" w:color="auto" w:fill="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乙方送达地址：</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w:t>
      </w:r>
      <w:r>
        <w:rPr>
          <w:rFonts w:hint="eastAsia" w:ascii="仿宋" w:hAnsi="仿宋" w:eastAsia="仿宋" w:cs="仿宋"/>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为便于管理，乙方应在本合同签订后向甲方送交物业服务项目负责人的名单、联系方式，并提供所有服务人员的名单及身份证号码（前述资料需书面盖章确认，如遇相关人员调整或信息发生变化，在五个工作日内书面提供）。</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第八条：甲方应支持和关心乙方派驻的服务人员，为其提供必要的工作环境和场所用于工作、存放材料。</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第九条：为确保人员素质，甲方应积极支持乙方对派驻人员的教育培训，甲方对乙方特殊的勤务活动也应给予配合。</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十条：甲方应依据国家法律、企业内部规章制度的规定，赋予物业管理人员与其职责相适应的权利，保证能够顺利履行职责。对甲方内部人员违反规定而影响正常工作的行为，甲方应积极协助处置相关事宜，乙方不承担相应责任。</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第十一条：甲方有权对服务人员的工作进行监督、检查和管理，对发现的在客观上能及时解决的问题，乙方应在收到问题整改通知单后的24小时内进行整改完毕。</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第十二条：对乙方提出的书面消除事故及危险隐患的整改建议，甲方不采纳或不整改的，乙方不承担由此造成的损失。</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第十三条：甲方有权监督乙方在选聘物业管理人员时的各项审核，对不符合要求的人员有权要求乙方进行调换。已确定的物业管理人员，非经甲方允许不得擅自调换。</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第十四条：甲方有权审定由乙方拟定的各项公共制度和提出的物业管理服务标准，以及乙方拟定的年度管理计划、财务预算和决算等。</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第十五条：甲方负责向乙方提供必要的管理用房，以利于乙方顺利开展管理服务工作，提供管理用房的相关事项，具体按招标文件以及相关规定要求执行。</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第十六条：甲方对办公区的设施、设备应予以完善，确保移交乙方的设施设备完好，对乙方提出的工程遗留问题及未完善的设施、设备，确认后由甲方负责整改。</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十七条：甲方有权对乙方的管理服务实施监督检查，不定期抽查管理服务质量。甲方每年进行一次全面考评，检查及考核的内容包括:物业管理、环境、设备管理、日常维护及其它甲方认为必要的内容，对发现的问题，有权书面督促乙方改进，确有问题的，乙方应在收到问题整改通知单的24小时或合理期限内进行整改。</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同一物业服务人员因工作存在问题被要求整改两次后又出现问题的，甲方有权要求乙方进行调换，乙方应在甲方要求后三个工作日内予以调换。对在检查中涉及的乙方经营信息，甲方应严格保密，不对第三方泄露，否则乙方有权要求甲方赔偿因此造成的损失。</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第十八条：甲方应依据建设部《房屋接管验收标准》的有关规定向乙方交接房屋，并针对物业实际情况协助乙方顺利完成入驻过程。</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十九条：甲方须在本物业入驻后指定专人或部门负责物业保修期内出现因规定保修项目而发生各类问题的处理，并且承担相关费用及责任。甲方在支付该项目工程施工及设备投标人尾款时应通知乙方，向乙方了解工程遗留问题是否己妥善解决。</w:t>
      </w:r>
      <w:r>
        <w:rPr>
          <w:rFonts w:hint="eastAsia" w:ascii="仿宋" w:hAnsi="仿宋" w:eastAsia="仿宋" w:cs="仿宋"/>
          <w:bCs/>
          <w:sz w:val="28"/>
          <w:szCs w:val="28"/>
          <w:highlight w:val="none"/>
        </w:rPr>
      </w:r>
      <w:r/>
    </w:p>
    <w:p>
      <w:pPr>
        <w:pStyle w:val="649"/>
        <w:ind w:firstLine="562"/>
        <w:spacing w:line="520" w:lineRule="exact"/>
        <w:shd w:val="clear" w:color="auto" w:fill="auto"/>
        <w:tabs>
          <w:tab w:val="left" w:pos="180" w:leader="none"/>
        </w:tabs>
        <w:rPr>
          <w:rFonts w:hint="eastAsia" w:ascii="仿宋" w:hAnsi="仿宋" w:eastAsia="仿宋" w:cs="仿宋"/>
          <w:b/>
          <w:sz w:val="28"/>
          <w:szCs w:val="28"/>
          <w:highlight w:val="none"/>
        </w:rPr>
        <w:outlineLvl w:val="0"/>
      </w:pPr>
      <w:r>
        <w:rPr>
          <w:rFonts w:hint="eastAsia" w:ascii="仿宋" w:hAnsi="仿宋" w:eastAsia="仿宋" w:cs="仿宋"/>
          <w:b/>
          <w:sz w:val="28"/>
          <w:szCs w:val="28"/>
          <w:highlight w:val="none"/>
        </w:rPr>
        <w:t xml:space="preserve">第三章  乙方的权利和义务</w:t>
      </w:r>
      <w:r>
        <w:rPr>
          <w:rFonts w:hint="eastAsia" w:ascii="仿宋" w:hAnsi="仿宋" w:eastAsia="仿宋" w:cs="仿宋"/>
          <w:b/>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outlineLvl w:val="1"/>
      </w:pPr>
      <w:r>
        <w:rPr>
          <w:rFonts w:hint="eastAsia" w:ascii="仿宋" w:hAnsi="仿宋" w:eastAsia="仿宋" w:cs="仿宋"/>
          <w:bCs/>
          <w:sz w:val="28"/>
          <w:szCs w:val="28"/>
          <w:highlight w:val="none"/>
        </w:rPr>
        <w:t xml:space="preserve">第二十条：</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22.1、按照双方合同约定及承诺履行好本合同。</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22.2、严格执行甲方制定的各项公共管理制度。</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22.3、有义务根据甲方的工作性质及特点建立独立的管理与运作体系。</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22.4、应积极主动的遵守甲方有关规章制度，配合甲方管理，不得有损害、贬毁甲方声誉及利益的言行。</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22.5、甲乙双方约定，本项目的内容按《江苏省物业管理条例》制定各项管理制度、各岗位考核标准以及奖惩办法，双方严格遵守落实。</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22.6、乙方保证自身图纸档案资料齐全，用户档案规整，积极建立客户回访制度及回访记录。</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第二十一条：甲乙双方约定，乙方提供服务所需的工具、用品、服装以及耗材等均由乙方自身负责购置安排，费用归属于合同约定的服务费用范围。</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二十二条：乙方应按照相关规定与所有服务人员建立劳动关系，并负责服务人员的管理、工资发放、保险缴纳、福利保障、劳动保护等工作。乙方安排人员服务应符合相关法律法规的规定，对于与服务人员发生的一切争议由乙方负责解决，与甲方无关。</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服务人员与甲方不存在劳动关系，不享有甲方员工的福利待遇。</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第二十三条：因乙方未履行或未全面履行本章约定义务，导致甲方及进院人员人身或财产遭受重大损失的，甲方有权单方解除合同并要求乙方赔偿损失。</w:t>
      </w:r>
      <w:r>
        <w:rPr>
          <w:rFonts w:hint="eastAsia" w:ascii="仿宋" w:hAnsi="仿宋" w:eastAsia="仿宋" w:cs="仿宋"/>
          <w:bCs/>
          <w:sz w:val="28"/>
          <w:szCs w:val="28"/>
          <w:highlight w:val="none"/>
        </w:rPr>
      </w:r>
      <w:r/>
    </w:p>
    <w:p>
      <w:pPr>
        <w:pStyle w:val="649"/>
        <w:ind w:firstLine="562"/>
        <w:spacing w:line="520" w:lineRule="exact"/>
        <w:shd w:val="clear" w:color="auto" w:fill="auto"/>
        <w:tabs>
          <w:tab w:val="left" w:pos="180" w:leader="none"/>
        </w:tabs>
        <w:rPr>
          <w:rFonts w:hint="eastAsia" w:ascii="仿宋" w:hAnsi="仿宋" w:eastAsia="仿宋" w:cs="仿宋"/>
          <w:bCs/>
          <w:sz w:val="28"/>
          <w:szCs w:val="28"/>
          <w:highlight w:val="none"/>
        </w:rPr>
        <w:outlineLvl w:val="0"/>
      </w:pPr>
      <w:r>
        <w:rPr>
          <w:rFonts w:hint="eastAsia" w:ascii="仿宋" w:hAnsi="仿宋" w:eastAsia="仿宋" w:cs="仿宋"/>
          <w:b/>
          <w:sz w:val="28"/>
          <w:szCs w:val="28"/>
          <w:highlight w:val="none"/>
        </w:rPr>
        <w:t xml:space="preserve">第四章  合同的变更、解除和终止</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第二十四条：合同生效后，即具有法律约束力，任何一方不得随意变更和解除。需要变更和解除合同时，应双方协商一致，达成书面协议。</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第二十五条：由于不可抗力的原因，使合同无法履行或者不必要履行时，经双方协商，可以变更或者解除合同。</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第二十六条：甲方按本合同约定行使单方解除权或合同到期自动终止的，乙方应在接到解除合同通知书的三日内或合同到期日向甲方移交全部管理资料（包括电子文档）并在合理期限内撤离所有工作人员。</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本合同解除或到期终止的，乙方应做好与后续服务单位的交接工作。</w:t>
      </w:r>
      <w:r>
        <w:rPr>
          <w:rFonts w:hint="eastAsia" w:ascii="仿宋" w:hAnsi="仿宋" w:eastAsia="仿宋" w:cs="仿宋"/>
          <w:bCs/>
          <w:sz w:val="28"/>
          <w:szCs w:val="28"/>
          <w:highlight w:val="none"/>
        </w:rPr>
      </w:r>
      <w:r/>
    </w:p>
    <w:p>
      <w:pPr>
        <w:pStyle w:val="649"/>
        <w:ind w:firstLine="562"/>
        <w:spacing w:line="520" w:lineRule="exact"/>
        <w:shd w:val="clear" w:color="auto" w:fill="auto"/>
        <w:tabs>
          <w:tab w:val="left" w:pos="180" w:leader="none"/>
        </w:tabs>
        <w:rPr>
          <w:rFonts w:hint="eastAsia" w:ascii="仿宋" w:hAnsi="仿宋" w:eastAsia="仿宋" w:cs="仿宋"/>
          <w:bCs/>
          <w:sz w:val="28"/>
          <w:szCs w:val="28"/>
          <w:highlight w:val="none"/>
        </w:rPr>
        <w:outlineLvl w:val="0"/>
      </w:pPr>
      <w:r>
        <w:rPr>
          <w:rFonts w:hint="eastAsia" w:ascii="仿宋" w:hAnsi="仿宋" w:eastAsia="仿宋" w:cs="仿宋"/>
          <w:b/>
          <w:sz w:val="28"/>
          <w:szCs w:val="28"/>
          <w:highlight w:val="none"/>
        </w:rPr>
        <w:t xml:space="preserve">第五章  违约责任</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第二十七条：甲、乙双方应全面、实际履行合同，不履行或不适当履行本合同的，应按《中华人民共和国民法典》有关条款及本合同的约定承担违约责任。</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第二十八条：当事人一方因不可抗力不能继续履行合同的，应当及时通知对方，以减轻可能给对方造成的损失，并在合理期限内提供证明。</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第二十九条：采购人和中标单位以年度为单位，各出3万元费用，作为考核的奖罚金。</w:t>
      </w:r>
      <w:r>
        <w:rPr>
          <w:rFonts w:hint="eastAsia" w:ascii="仿宋" w:hAnsi="仿宋" w:eastAsia="仿宋" w:cs="仿宋"/>
          <w:bCs/>
          <w:sz w:val="28"/>
          <w:szCs w:val="28"/>
          <w:highlight w:val="none"/>
          <w:lang w:val="en-US" w:eastAsia="zh-CN"/>
        </w:rPr>
        <w:t xml:space="preserve">司法行政装备科</w:t>
      </w:r>
      <w:r>
        <w:rPr>
          <w:rFonts w:hint="eastAsia" w:ascii="仿宋" w:hAnsi="仿宋" w:eastAsia="仿宋" w:cs="仿宋"/>
          <w:bCs/>
          <w:sz w:val="28"/>
          <w:szCs w:val="28"/>
          <w:highlight w:val="none"/>
        </w:rPr>
        <w:t xml:space="preserve">按月对物业服务</w:t>
      </w:r>
      <w:r>
        <w:rPr>
          <w:rFonts w:hint="eastAsia" w:ascii="仿宋" w:hAnsi="仿宋" w:eastAsia="仿宋" w:cs="仿宋"/>
          <w:bCs/>
          <w:sz w:val="28"/>
          <w:szCs w:val="28"/>
          <w:highlight w:val="none"/>
          <w:lang w:val="en-US" w:eastAsia="zh-CN"/>
        </w:rPr>
        <w:t xml:space="preserve">质量</w:t>
      </w:r>
      <w:r>
        <w:rPr>
          <w:rFonts w:hint="eastAsia" w:ascii="仿宋" w:hAnsi="仿宋" w:eastAsia="仿宋" w:cs="仿宋"/>
          <w:bCs/>
          <w:sz w:val="28"/>
          <w:szCs w:val="28"/>
          <w:highlight w:val="none"/>
        </w:rPr>
        <w:t xml:space="preserve">进行</w:t>
      </w:r>
      <w:r>
        <w:rPr>
          <w:rFonts w:hint="eastAsia" w:ascii="仿宋" w:hAnsi="仿宋" w:eastAsia="仿宋" w:cs="仿宋"/>
          <w:bCs/>
          <w:sz w:val="28"/>
          <w:szCs w:val="28"/>
          <w:highlight w:val="none"/>
          <w:lang w:val="en-US" w:eastAsia="zh-CN"/>
        </w:rPr>
        <w:t xml:space="preserve">考核</w:t>
      </w:r>
      <w:r>
        <w:rPr>
          <w:rFonts w:hint="eastAsia" w:ascii="仿宋" w:hAnsi="仿宋" w:eastAsia="仿宋" w:cs="仿宋"/>
          <w:bCs/>
          <w:sz w:val="28"/>
          <w:szCs w:val="28"/>
          <w:highlight w:val="none"/>
        </w:rPr>
        <w:t xml:space="preserve">，如当月</w:t>
      </w:r>
      <w:r>
        <w:rPr>
          <w:rFonts w:hint="eastAsia" w:ascii="仿宋" w:hAnsi="仿宋" w:eastAsia="仿宋" w:cs="仿宋"/>
          <w:bCs/>
          <w:sz w:val="28"/>
          <w:szCs w:val="28"/>
          <w:highlight w:val="none"/>
          <w:lang w:val="en-US" w:eastAsia="zh-CN"/>
        </w:rPr>
        <w:t xml:space="preserve">考核</w:t>
      </w:r>
      <w:r>
        <w:rPr>
          <w:rFonts w:hint="eastAsia" w:ascii="仿宋" w:hAnsi="仿宋" w:eastAsia="仿宋" w:cs="仿宋"/>
          <w:bCs/>
          <w:sz w:val="28"/>
          <w:szCs w:val="28"/>
          <w:highlight w:val="none"/>
        </w:rPr>
        <w:t xml:space="preserve">物业公司</w:t>
      </w:r>
      <w:r>
        <w:rPr>
          <w:rFonts w:hint="eastAsia" w:ascii="仿宋" w:hAnsi="仿宋" w:eastAsia="仿宋" w:cs="仿宋"/>
          <w:bCs/>
          <w:sz w:val="28"/>
          <w:szCs w:val="28"/>
          <w:highlight w:val="none"/>
          <w:lang w:val="en-US" w:eastAsia="zh-CN"/>
        </w:rPr>
        <w:t xml:space="preserve">无问题项</w:t>
      </w:r>
      <w:r>
        <w:rPr>
          <w:rFonts w:hint="eastAsia" w:ascii="仿宋" w:hAnsi="仿宋" w:eastAsia="仿宋" w:cs="仿宋"/>
          <w:bCs/>
          <w:sz w:val="28"/>
          <w:szCs w:val="28"/>
          <w:highlight w:val="none"/>
        </w:rPr>
        <w:t xml:space="preserve">，则可领取</w:t>
      </w:r>
      <w:r>
        <w:rPr>
          <w:rFonts w:hint="eastAsia" w:ascii="仿宋" w:hAnsi="仿宋" w:eastAsia="仿宋" w:cs="仿宋"/>
          <w:bCs/>
          <w:sz w:val="28"/>
          <w:szCs w:val="28"/>
          <w:highlight w:val="none"/>
          <w:lang w:val="en-US" w:eastAsia="zh-CN"/>
        </w:rPr>
        <w:t xml:space="preserve">伍仟</w:t>
      </w:r>
      <w:r>
        <w:rPr>
          <w:rFonts w:hint="eastAsia" w:ascii="仿宋" w:hAnsi="仿宋" w:eastAsia="仿宋" w:cs="仿宋"/>
          <w:bCs/>
          <w:sz w:val="28"/>
          <w:szCs w:val="28"/>
          <w:highlight w:val="none"/>
        </w:rPr>
        <w:t xml:space="preserve">元</w:t>
      </w:r>
      <w:r>
        <w:rPr>
          <w:rFonts w:hint="eastAsia" w:ascii="仿宋" w:hAnsi="仿宋" w:eastAsia="仿宋" w:cs="仿宋"/>
          <w:bCs/>
          <w:sz w:val="28"/>
          <w:szCs w:val="28"/>
          <w:highlight w:val="none"/>
          <w:lang w:val="en-US" w:eastAsia="zh-CN"/>
        </w:rPr>
        <w:t xml:space="preserve">月度考核</w:t>
      </w:r>
      <w:r>
        <w:rPr>
          <w:rFonts w:hint="eastAsia" w:ascii="仿宋" w:hAnsi="仿宋" w:eastAsia="仿宋" w:cs="仿宋"/>
          <w:bCs/>
          <w:sz w:val="28"/>
          <w:szCs w:val="28"/>
          <w:highlight w:val="none"/>
        </w:rPr>
        <w:t xml:space="preserve">费用</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如当月</w:t>
      </w:r>
      <w:r>
        <w:rPr>
          <w:rFonts w:hint="eastAsia" w:ascii="仿宋" w:hAnsi="仿宋" w:eastAsia="仿宋" w:cs="仿宋"/>
          <w:bCs/>
          <w:sz w:val="28"/>
          <w:szCs w:val="28"/>
          <w:highlight w:val="none"/>
          <w:lang w:val="en-US" w:eastAsia="zh-CN"/>
        </w:rPr>
        <w:t xml:space="preserve">考核</w:t>
      </w:r>
      <w:r>
        <w:rPr>
          <w:rFonts w:hint="eastAsia" w:ascii="仿宋" w:hAnsi="仿宋" w:eastAsia="仿宋" w:cs="仿宋"/>
          <w:bCs/>
          <w:sz w:val="28"/>
          <w:szCs w:val="28"/>
          <w:highlight w:val="none"/>
        </w:rPr>
        <w:t xml:space="preserve">物业公司</w:t>
      </w:r>
      <w:r>
        <w:rPr>
          <w:rFonts w:hint="eastAsia" w:ascii="仿宋" w:hAnsi="仿宋" w:eastAsia="仿宋" w:cs="仿宋"/>
          <w:bCs/>
          <w:sz w:val="28"/>
          <w:szCs w:val="28"/>
          <w:highlight w:val="none"/>
          <w:lang w:val="en-US" w:eastAsia="zh-CN"/>
        </w:rPr>
        <w:t xml:space="preserve">出现服务质量问题</w:t>
      </w:r>
      <w:r>
        <w:rPr>
          <w:rFonts w:hint="eastAsia" w:ascii="仿宋" w:hAnsi="仿宋" w:eastAsia="仿宋" w:cs="仿宋"/>
          <w:bCs/>
          <w:sz w:val="28"/>
          <w:szCs w:val="28"/>
          <w:highlight w:val="none"/>
        </w:rPr>
        <w:t xml:space="preserve">，则</w:t>
      </w:r>
      <w:r>
        <w:rPr>
          <w:rFonts w:hint="eastAsia" w:ascii="仿宋" w:hAnsi="仿宋" w:eastAsia="仿宋" w:cs="仿宋"/>
          <w:bCs/>
          <w:sz w:val="28"/>
          <w:szCs w:val="28"/>
          <w:highlight w:val="none"/>
          <w:lang w:val="en-US" w:eastAsia="zh-CN"/>
        </w:rPr>
        <w:t xml:space="preserve">依据《</w:t>
      </w:r>
      <w:r>
        <w:rPr>
          <w:rFonts w:hint="eastAsia" w:ascii="仿宋" w:hAnsi="仿宋" w:eastAsia="仿宋" w:cs="仿宋"/>
          <w:bCs/>
          <w:sz w:val="28"/>
          <w:szCs w:val="28"/>
          <w:highlight w:val="none"/>
        </w:rPr>
        <w:t xml:space="preserve">盱眙县人民法院物业服务考核办法</w:t>
      </w:r>
      <w:r>
        <w:rPr>
          <w:rFonts w:hint="eastAsia" w:ascii="仿宋" w:hAnsi="仿宋" w:eastAsia="仿宋" w:cs="仿宋"/>
          <w:bCs/>
          <w:sz w:val="28"/>
          <w:szCs w:val="28"/>
          <w:highlight w:val="none"/>
          <w:lang w:val="en-US" w:eastAsia="zh-CN"/>
        </w:rPr>
        <w:t xml:space="preserve">》具体内容中的各细项进行扣款，直至扣完为止。</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月度</w:t>
      </w:r>
      <w:r>
        <w:rPr>
          <w:rFonts w:hint="eastAsia" w:ascii="仿宋" w:hAnsi="仿宋" w:eastAsia="仿宋" w:cs="仿宋"/>
          <w:bCs/>
          <w:sz w:val="28"/>
          <w:szCs w:val="28"/>
          <w:highlight w:val="none"/>
          <w:lang w:val="en-US" w:eastAsia="zh-CN"/>
        </w:rPr>
        <w:t xml:space="preserve">考核扣款超过叁仟元</w:t>
      </w:r>
      <w:r>
        <w:rPr>
          <w:rFonts w:hint="eastAsia" w:ascii="仿宋" w:hAnsi="仿宋" w:eastAsia="仿宋" w:cs="仿宋"/>
          <w:bCs/>
          <w:sz w:val="28"/>
          <w:szCs w:val="28"/>
          <w:highlight w:val="none"/>
        </w:rPr>
        <w:t xml:space="preserve">的，采购人第一次将</w:t>
      </w:r>
      <w:r>
        <w:rPr>
          <w:rFonts w:hint="eastAsia" w:ascii="仿宋" w:hAnsi="仿宋" w:eastAsia="仿宋" w:cs="仿宋"/>
          <w:bCs/>
          <w:sz w:val="28"/>
          <w:szCs w:val="28"/>
          <w:highlight w:val="none"/>
          <w:lang w:val="en-US" w:eastAsia="zh-CN"/>
        </w:rPr>
        <w:t xml:space="preserve">对物业公司</w:t>
      </w:r>
      <w:r>
        <w:rPr>
          <w:rFonts w:hint="eastAsia" w:ascii="仿宋" w:hAnsi="仿宋" w:eastAsia="仿宋" w:cs="仿宋"/>
          <w:bCs/>
          <w:sz w:val="28"/>
          <w:szCs w:val="28"/>
          <w:highlight w:val="none"/>
        </w:rPr>
        <w:t xml:space="preserve">进行约谈警告，第</w:t>
      </w:r>
      <w:r>
        <w:rPr>
          <w:rFonts w:hint="eastAsia" w:ascii="仿宋" w:hAnsi="仿宋" w:eastAsia="仿宋" w:cs="仿宋"/>
          <w:bCs/>
          <w:sz w:val="28"/>
          <w:szCs w:val="28"/>
          <w:highlight w:val="none"/>
          <w:lang w:val="en-US" w:eastAsia="zh-CN"/>
        </w:rPr>
        <w:t xml:space="preserve">三</w:t>
      </w:r>
      <w:r>
        <w:rPr>
          <w:rFonts w:hint="eastAsia" w:ascii="仿宋" w:hAnsi="仿宋" w:eastAsia="仿宋" w:cs="仿宋"/>
          <w:bCs/>
          <w:sz w:val="28"/>
          <w:szCs w:val="28"/>
          <w:highlight w:val="none"/>
        </w:rPr>
        <w:t xml:space="preserve">次按采购人要求更换</w:t>
      </w:r>
      <w:r>
        <w:rPr>
          <w:rFonts w:hint="eastAsia" w:ascii="仿宋" w:hAnsi="仿宋" w:eastAsia="仿宋" w:cs="仿宋"/>
          <w:bCs/>
          <w:sz w:val="28"/>
          <w:szCs w:val="28"/>
          <w:highlight w:val="none"/>
          <w:lang w:val="en-US" w:eastAsia="zh-CN"/>
        </w:rPr>
        <w:t xml:space="preserve">对应问题的责任岗位人员</w:t>
      </w:r>
      <w:r>
        <w:rPr>
          <w:rFonts w:hint="eastAsia" w:ascii="仿宋" w:hAnsi="仿宋" w:eastAsia="仿宋" w:cs="仿宋"/>
          <w:bCs/>
          <w:sz w:val="28"/>
          <w:szCs w:val="28"/>
          <w:highlight w:val="none"/>
        </w:rPr>
        <w:t xml:space="preserve">，第</w:t>
      </w:r>
      <w:r>
        <w:rPr>
          <w:rFonts w:hint="eastAsia" w:ascii="仿宋" w:hAnsi="仿宋" w:eastAsia="仿宋" w:cs="仿宋"/>
          <w:bCs/>
          <w:sz w:val="28"/>
          <w:szCs w:val="28"/>
          <w:highlight w:val="none"/>
          <w:lang w:val="en-US" w:eastAsia="zh-CN"/>
        </w:rPr>
        <w:t xml:space="preserve">五</w:t>
      </w:r>
      <w:r>
        <w:rPr>
          <w:rFonts w:hint="eastAsia" w:ascii="仿宋" w:hAnsi="仿宋" w:eastAsia="仿宋" w:cs="仿宋"/>
          <w:bCs/>
          <w:sz w:val="28"/>
          <w:szCs w:val="28"/>
          <w:highlight w:val="none"/>
        </w:rPr>
        <w:t xml:space="preserve">次采购人有权</w:t>
      </w:r>
      <w:r>
        <w:rPr>
          <w:rFonts w:hint="eastAsia" w:ascii="仿宋" w:hAnsi="仿宋" w:eastAsia="仿宋" w:cs="仿宋"/>
          <w:bCs/>
          <w:sz w:val="28"/>
          <w:szCs w:val="28"/>
          <w:highlight w:val="none"/>
          <w:lang w:val="en-US" w:eastAsia="zh-CN"/>
        </w:rPr>
        <w:t xml:space="preserve">终止物业服务</w:t>
      </w:r>
      <w:r>
        <w:rPr>
          <w:rFonts w:hint="eastAsia" w:ascii="仿宋" w:hAnsi="仿宋" w:eastAsia="仿宋" w:cs="仿宋"/>
          <w:bCs/>
          <w:sz w:val="28"/>
          <w:szCs w:val="28"/>
          <w:highlight w:val="none"/>
        </w:rPr>
        <w:t xml:space="preserve">合同。</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outlineLvl w:val="1"/>
      </w:pPr>
      <w:r>
        <w:rPr>
          <w:rFonts w:hint="eastAsia" w:ascii="仿宋" w:hAnsi="仿宋" w:eastAsia="仿宋" w:cs="仿宋"/>
          <w:bCs/>
          <w:sz w:val="28"/>
          <w:szCs w:val="28"/>
          <w:highlight w:val="none"/>
        </w:rPr>
        <w:t xml:space="preserve">第三十条：</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30.1、除本合同另有约定外，任意一方单方解除合同的，守约方均有权要求违约方支付违约金10万元，并赔偿全部损失（包括但不限于维权产生的诉讼费、保全费、律师费等）。</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30.2、乙方如对甲方发出的客观上能够立即调整的书面整改通知内容未能在二十四小时内整改完成，并累计超过三次，本合同立即解除，并由乙方承担合同费用总额2%的违约金。</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30.3、甲方违反合同约定，使乙方未完成约定管理目标，乙方有权要求甲方在合理期限内解决，逾期未解决的，由甲方承担相应责任，若造成乙方经济损失的，甲方应给予乙方经济赔偿（包括但不限于维权产生的诉讼费、保全费、律师费等）。</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30.4、乙方违反合同约定，使甲方未能实现合同目的，甲方有权解除合同，并要求乙方支付违约金10万元，如若造成损失的，乙方应给予甲方经济赔偿（包括但不限于维权产生的诉讼费、保全费、律师费等）。</w:t>
      </w:r>
      <w:r>
        <w:rPr>
          <w:rFonts w:hint="eastAsia" w:ascii="仿宋" w:hAnsi="仿宋" w:eastAsia="仿宋" w:cs="仿宋"/>
          <w:bCs/>
          <w:sz w:val="28"/>
          <w:szCs w:val="28"/>
          <w:highlight w:val="none"/>
        </w:rPr>
      </w:r>
      <w:r/>
    </w:p>
    <w:p>
      <w:pPr>
        <w:pStyle w:val="649"/>
        <w:ind w:firstLine="562"/>
        <w:spacing w:line="520" w:lineRule="exact"/>
        <w:shd w:val="clear" w:color="auto" w:fill="auto"/>
        <w:tabs>
          <w:tab w:val="left" w:pos="180" w:leader="none"/>
        </w:tabs>
        <w:rPr>
          <w:rFonts w:hint="eastAsia" w:ascii="仿宋" w:hAnsi="仿宋" w:eastAsia="仿宋" w:cs="仿宋"/>
          <w:bCs/>
          <w:sz w:val="28"/>
          <w:szCs w:val="28"/>
          <w:highlight w:val="none"/>
        </w:rPr>
        <w:outlineLvl w:val="0"/>
      </w:pPr>
      <w:r>
        <w:rPr>
          <w:rFonts w:hint="eastAsia" w:ascii="仿宋" w:hAnsi="仿宋" w:eastAsia="仿宋" w:cs="仿宋"/>
          <w:b/>
          <w:sz w:val="28"/>
          <w:szCs w:val="28"/>
          <w:highlight w:val="none"/>
        </w:rPr>
        <w:t xml:space="preserve">第六章  附则</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outlineLvl w:val="1"/>
      </w:pPr>
      <w:r>
        <w:rPr>
          <w:rFonts w:hint="eastAsia" w:ascii="仿宋" w:hAnsi="仿宋" w:eastAsia="仿宋" w:cs="仿宋"/>
          <w:bCs/>
          <w:sz w:val="28"/>
          <w:szCs w:val="28"/>
          <w:highlight w:val="none"/>
        </w:rPr>
        <w:t xml:space="preserve">第三十一条：合同纠纷处理</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31.1双方在执行合同中所发生的一切争议，应通过协商解决。</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outlineLvl w:val="1"/>
      </w:pPr>
      <w:r>
        <w:rPr>
          <w:rFonts w:hint="eastAsia" w:ascii="仿宋" w:hAnsi="仿宋" w:eastAsia="仿宋" w:cs="仿宋"/>
          <w:bCs/>
          <w:sz w:val="28"/>
          <w:szCs w:val="28"/>
          <w:highlight w:val="none"/>
        </w:rPr>
        <w:t xml:space="preserve">第三十二条：合同生效及其它</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本合同经</w:t>
      </w:r>
      <w:r>
        <w:rPr>
          <w:rFonts w:hint="eastAsia" w:ascii="仿宋" w:hAnsi="仿宋" w:eastAsia="仿宋" w:cs="仿宋"/>
          <w:bCs/>
          <w:sz w:val="28"/>
          <w:szCs w:val="28"/>
          <w:highlight w:val="none"/>
          <w:lang w:val="en-US" w:eastAsia="zh-CN"/>
        </w:rPr>
        <w:t xml:space="preserve">甲方、乙方</w:t>
      </w:r>
      <w:r>
        <w:rPr>
          <w:rFonts w:hint="eastAsia" w:ascii="仿宋" w:hAnsi="仿宋" w:eastAsia="仿宋" w:cs="仿宋"/>
          <w:bCs/>
          <w:sz w:val="28"/>
          <w:szCs w:val="28"/>
          <w:highlight w:val="none"/>
        </w:rPr>
        <w:t xml:space="preserve">授权代表签字并盖章后生效。如有变动，必须经甲方、乙方协商一致，方可更改。本合同一式</w:t>
      </w:r>
      <w:r>
        <w:rPr>
          <w:rFonts w:hint="eastAsia" w:ascii="仿宋" w:hAnsi="仿宋" w:eastAsia="仿宋" w:cs="仿宋"/>
          <w:bCs/>
          <w:sz w:val="28"/>
          <w:szCs w:val="28"/>
          <w:highlight w:val="none"/>
          <w:lang w:eastAsia="zh-CN"/>
        </w:rPr>
        <w:t xml:space="preserve">肆</w:t>
      </w:r>
      <w:r>
        <w:rPr>
          <w:rFonts w:hint="eastAsia" w:ascii="仿宋" w:hAnsi="仿宋" w:eastAsia="仿宋" w:cs="仿宋"/>
          <w:bCs/>
          <w:sz w:val="28"/>
          <w:szCs w:val="28"/>
          <w:highlight w:val="none"/>
        </w:rPr>
        <w:t xml:space="preserve">份，</w:t>
      </w:r>
      <w:r>
        <w:rPr>
          <w:rFonts w:ascii="仿宋" w:hAnsi="仿宋" w:eastAsia="仿宋" w:cs="仿宋"/>
          <w:bCs/>
          <w:sz w:val="28"/>
          <w:szCs w:val="28"/>
          <w:highlight w:val="none"/>
          <w:lang w:val="en-US"/>
        </w:rPr>
        <w:t xml:space="preserve">甲方、乙方</w:t>
      </w:r>
      <w:r>
        <w:rPr>
          <w:rFonts w:hint="eastAsia" w:ascii="仿宋" w:hAnsi="仿宋" w:eastAsia="仿宋" w:cs="仿宋"/>
          <w:bCs/>
          <w:sz w:val="28"/>
          <w:szCs w:val="28"/>
          <w:highlight w:val="none"/>
          <w:lang w:val="en-US" w:eastAsia="zh-CN"/>
        </w:rPr>
        <w:t xml:space="preserve">各</w:t>
      </w:r>
      <w:r>
        <w:rPr>
          <w:rFonts w:ascii="仿宋" w:hAnsi="仿宋" w:eastAsia="仿宋" w:cs="仿宋"/>
          <w:bCs/>
          <w:sz w:val="28"/>
          <w:szCs w:val="28"/>
          <w:highlight w:val="none"/>
          <w:lang w:val="en-US"/>
        </w:rPr>
        <w:t xml:space="preserve">执</w:t>
      </w:r>
      <w:r>
        <w:rPr>
          <w:rFonts w:hint="eastAsia" w:ascii="仿宋" w:hAnsi="仿宋" w:eastAsia="仿宋" w:cs="仿宋"/>
          <w:bCs/>
          <w:sz w:val="28"/>
          <w:szCs w:val="28"/>
          <w:highlight w:val="none"/>
          <w:lang w:val="en-US" w:eastAsia="zh-CN"/>
        </w:rPr>
        <w:t xml:space="preserve">贰</w:t>
      </w:r>
      <w:r>
        <w:rPr>
          <w:rFonts w:ascii="仿宋" w:hAnsi="仿宋" w:eastAsia="仿宋" w:cs="仿宋"/>
          <w:bCs/>
          <w:sz w:val="28"/>
          <w:szCs w:val="28"/>
          <w:highlight w:val="none"/>
          <w:lang w:val="en-US"/>
        </w:rPr>
        <w:t xml:space="preserve">份</w:t>
      </w:r>
      <w:r>
        <w:rPr>
          <w:rFonts w:hint="eastAsia" w:ascii="仿宋" w:hAnsi="仿宋" w:eastAsia="仿宋" w:cs="仿宋"/>
          <w:bCs/>
          <w:sz w:val="28"/>
          <w:szCs w:val="28"/>
          <w:highlight w:val="none"/>
          <w:lang w:val="en-US" w:eastAsia="zh-CN"/>
        </w:rPr>
        <w:t xml:space="preserve">甲方</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服务时间: 合同签订后一年。</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outlineLvl w:val="1"/>
      </w:pPr>
      <w:r>
        <w:rPr>
          <w:rFonts w:hint="eastAsia" w:ascii="仿宋" w:hAnsi="仿宋" w:eastAsia="仿宋" w:cs="仿宋"/>
          <w:bCs/>
          <w:sz w:val="28"/>
          <w:szCs w:val="28"/>
          <w:highlight w:val="none"/>
        </w:rPr>
        <w:t xml:space="preserve">第三十三条：组成本合同的文件包括</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1、合同主要条款和通用条款；</w:t>
      </w:r>
      <w:r>
        <w:rPr>
          <w:rFonts w:hint="eastAsia" w:ascii="仿宋" w:hAnsi="仿宋" w:eastAsia="仿宋" w:cs="仿宋"/>
          <w:bCs/>
          <w:sz w:val="28"/>
          <w:szCs w:val="28"/>
          <w:highlight w:val="none"/>
        </w:rPr>
        <w:tab/>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2、招标文件和乙方的投标文件； </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3、中标通知书； </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4、本合同未尽事宜，双方可签订补充协议，合同附件（目前已有附件为</w:t>
      </w:r>
      <w:bookmarkStart w:id="32" w:name="_Hlk83750896"/>
      <w:r>
        <w:rPr>
          <w:rFonts w:hint="eastAsia" w:ascii="仿宋" w:hAnsi="仿宋" w:eastAsia="仿宋" w:cs="仿宋"/>
          <w:bCs/>
          <w:sz w:val="28"/>
          <w:szCs w:val="28"/>
          <w:highlight w:val="none"/>
        </w:rPr>
        <w:t xml:space="preserve">《盱眙县人民法院物业服务考核办法》</w:t>
      </w:r>
      <w:bookmarkEnd w:id="32"/>
      <w:r>
        <w:rPr>
          <w:rFonts w:hint="eastAsia" w:ascii="仿宋" w:hAnsi="仿宋" w:eastAsia="仿宋" w:cs="仿宋"/>
          <w:bCs/>
          <w:sz w:val="28"/>
          <w:szCs w:val="28"/>
          <w:highlight w:val="none"/>
        </w:rPr>
        <w:t xml:space="preserve">《盱眙县人民法院物业服务范围及服务标准》《盱眙县人民法院项目采购需求》）、补充协议、招标文件、投标文件、中标通知书及双方认可的传真、会议纪要等均为本合同组成部分，均与本合具有同等法律效力。</w:t>
      </w:r>
      <w:r>
        <w:rPr>
          <w:rFonts w:hint="eastAsia" w:ascii="仿宋" w:hAnsi="仿宋" w:eastAsia="仿宋" w:cs="仿宋"/>
          <w:bCs/>
          <w:sz w:val="28"/>
          <w:szCs w:val="28"/>
          <w:highlight w:val="none"/>
        </w:rPr>
      </w:r>
      <w:r/>
    </w:p>
    <w:p>
      <w:pPr>
        <w:pStyle w:val="649"/>
        <w:ind w:firstLine="560"/>
        <w:spacing w:line="520" w:lineRule="exact"/>
        <w:shd w:val="clear" w:color="auto" w:fill="auto"/>
        <w:tabs>
          <w:tab w:val="left" w:pos="180" w:leader="none"/>
        </w:tabs>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上述合同文件内容互为补充，如有不明确，由甲方负责解释。</w:t>
      </w:r>
      <w:r>
        <w:rPr>
          <w:rFonts w:hint="eastAsia" w:ascii="仿宋" w:hAnsi="仿宋" w:eastAsia="仿宋" w:cs="仿宋"/>
          <w:sz w:val="28"/>
          <w:szCs w:val="28"/>
          <w:highlight w:val="none"/>
        </w:rPr>
      </w:r>
      <w:r/>
    </w:p>
    <w:p>
      <w:pPr>
        <w:pStyle w:val="649"/>
        <w:ind w:firstLine="560"/>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    方:                          乙    方:</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单位盖章:（电子签章）              单位盖章:（电子签章）</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代表签字:                          代表签字:</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签定日期:                          签定日期:</w:t>
      </w:r>
      <w:r>
        <w:rPr>
          <w:rFonts w:hint="eastAsia" w:ascii="仿宋" w:hAnsi="仿宋" w:eastAsia="仿宋" w:cs="仿宋"/>
          <w:sz w:val="28"/>
          <w:szCs w:val="28"/>
          <w:highlight w:val="none"/>
        </w:rPr>
      </w:r>
      <w:r/>
    </w:p>
    <w:p>
      <w:pPr>
        <w:pStyle w:val="649"/>
        <w:rPr>
          <w:rFonts w:hint="eastAsia" w:ascii="宋体" w:hAnsi="宋体"/>
          <w:bCs/>
          <w:sz w:val="32"/>
          <w:szCs w:val="32"/>
          <w:highlight w:val="none"/>
        </w:rPr>
      </w:pPr>
      <w:r>
        <w:rPr>
          <w:rFonts w:hint="eastAsia" w:ascii="宋体" w:hAnsi="宋体"/>
          <w:bCs/>
          <w:sz w:val="32"/>
          <w:szCs w:val="32"/>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649"/>
        <w:ind w:firstLine="560"/>
        <w:jc w:val="center"/>
        <w:spacing w:line="520" w:lineRule="exact"/>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盱眙县人民法院物业服务考核办法</w:t>
      </w:r>
      <w:r>
        <w:rPr>
          <w:rFonts w:hint="eastAsia" w:ascii="仿宋" w:hAnsi="仿宋" w:eastAsia="仿宋" w:cs="仿宋"/>
          <w:bCs/>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一、考核目的</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通过考核，进一步提高服务保障质量，确保</w:t>
      </w:r>
      <w:r>
        <w:rPr>
          <w:rFonts w:hint="eastAsia" w:ascii="仿宋" w:hAnsi="仿宋" w:eastAsia="仿宋" w:cs="仿宋"/>
          <w:bCs/>
          <w:sz w:val="28"/>
          <w:szCs w:val="28"/>
          <w:highlight w:val="none"/>
        </w:rPr>
        <w:t xml:space="preserve">盱眙县人民法院</w:t>
      </w:r>
      <w:r>
        <w:rPr>
          <w:rFonts w:hint="eastAsia" w:ascii="仿宋" w:hAnsi="仿宋" w:eastAsia="仿宋" w:cs="仿宋"/>
          <w:sz w:val="28"/>
          <w:szCs w:val="28"/>
          <w:highlight w:val="none"/>
        </w:rPr>
        <w:t xml:space="preserve">（以下称甲方）审判法庭用房等综合楼安全运行。</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二、考核依据</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《物业服务合同》（含其附件及本考核办法）</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质量管理标准体系文件</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物业管理创优考评标准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三、考核办法</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采用资料查核、现场验证、抽样检查、询问等方法对物管公司的服务质量进行控制。</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四、具体内容</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（一）制度建设</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（1）建立健全安全、消防管理制度，制订突发性应急预案和处理办法，安全基础台账、应急预案规范，如制度不完善和台账、预案不规范，检查发现问题的一次扣500元。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（2）建立健全各项岗位管理制度，加强人员出入管理，严格执行出入管理制度，如检查发现问题的一次扣100元。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（3）各项工作有完整的工作流程，有规范的质量管理体系，各项质量内控记录齐全。如没有，每项扣100元。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建立健全人员使用政审和报告制度，有员工招聘审查、培训办法，有岗位职责、人员分工任务表等内部管理考核台账，资料健全；员工未发生任何损害公共利益、造成不良影响的事件。如未能做到，每项扣50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（二）人员管理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在合同期内，乙方的主要负责人、各部门主管要保持相对稳定。本项目的专职项目经理不得在公司或其他物业项目兼职，一经发现扣除违约金5000元。合同期内，法定工作日内项目经理必须正常上班。项目经理离开工作岗位必须书面向甲方请假并经甲方同意。若未经甲方同意而擅自离开工作岗位的，将处以每天1000元的违约金。无正当理由每月请假不得超过二天。若擅自离开5天以上的</w:t>
      </w:r>
      <w:r>
        <w:rPr>
          <w:rFonts w:hint="eastAsia" w:ascii="仿宋" w:hAnsi="仿宋" w:eastAsia="仿宋" w:cs="仿宋"/>
          <w:sz w:val="28"/>
          <w:szCs w:val="28"/>
          <w:highlight w:val="none"/>
        </w:rPr>
        <w:t xml:space="preserve">，经甲方提出仍未改正的，甲方有权终止合同，因此给甲方造成损失的，甲方将依法追偿。物业公司服务人员不得随意调整或更换，需调整或更换必须经过甲方同意后方可进行，每年调整人数不超过10人（包含保安、保洁、会议服务人员、工程维修人员等），甲方发现有擅自调整、更换或全年调整为数超过10人的，每超过1人扣违约金1000元。所有人员的证书和年龄必须按约定标准来执行，有一项不符合要求的（可累加）扣除违约金500元。各岗位人员脱岗时间不得超过二十天，如发现则扣除相应岗位人员的工资（从物业费中扣除），同时扣除违约金1000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（1）新进员工要进行政审，政审合格后报甲方备案方可录入到综合楼使用，否则，发现一次扣100元。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（2）新进员工必须经培训合格后上岗，未培训合格上岗的，发现一次扣100元。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（3）经政审、培训合格上岗后的员工，无特殊情况，不得随意换人，如发现新进员工在岗未达到10天以上的，每次扣100元。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（4）员工离岗须3天内上报，未及时报告和备案的，发现一次扣100元。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（5）员工上岗培训必须有案可查、资料完备，培训不到位，资料不完备的，发现一次扣100元。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（6）员工未按规定统一着装，未佩戴统一标识，服装上有污渍、有破损，不注重仪表仪容，留长发，蓄胡子，不注意文明用语等，发现一次扣50元。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（7）员工在班期间听收（录）音机，玩手机，看报纸、脱岗、串岗、睡岗，发现一次扣50元。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（8）所有员工饮酒后禁止上班，发现一次扣100元。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（9）健身房、淋浴房定时开放，如发现在开放时间外使用的发现一次扣50元。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（三）治安保卫</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1、安全管理   </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保安员必须持证上岗，且具有国家规定的相关证书（保安证书），发现无证上岗的每人/次扣违约金1000元（可累加）。 </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（1）如因物管公司工作不尽职，出现责任事故，除追究物管公司和当事人责任外，并处罚金1000－3000元。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（2）安全服务工作不到位被市领导、院领导或有关部门领导提出批评的；接到投诉经查实的，每项扣500元。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（3）人员、车辆出入管理应按</w:t>
      </w:r>
      <w:r>
        <w:rPr>
          <w:rFonts w:hint="eastAsia" w:ascii="仿宋" w:hAnsi="仿宋" w:eastAsia="仿宋" w:cs="仿宋"/>
          <w:bCs/>
          <w:sz w:val="28"/>
          <w:szCs w:val="28"/>
          <w:highlight w:val="none"/>
        </w:rPr>
        <w:t xml:space="preserve">盱眙县人民法院</w:t>
      </w:r>
      <w:r>
        <w:rPr>
          <w:rFonts w:hint="eastAsia" w:ascii="仿宋" w:hAnsi="仿宋" w:eastAsia="仿宋" w:cs="仿宋"/>
          <w:sz w:val="28"/>
          <w:szCs w:val="28"/>
          <w:highlight w:val="none"/>
        </w:rPr>
        <w:t xml:space="preserve">相关安全管理规定执行，未严格登记、验证，管理工作不到位，造成上访人员进入综合楼，影响较严重的扣1000元，特别严重的视情节扣5000－10000元。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（4）未按规定办理登记手续的危险品严禁带入综合楼内，发现一次扣1000元。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（5）员工利用工作之便监守自盗，或发现有内部偷盗行为未及时制止的，经查实，每项扣1000元。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（6）加强综合楼巡查，特别是夜间巡更点要有记录，如工作不尽职，查巡制度落实不到位，白天、夜间无人查岗的，有少查、漏查的，发现一次扣100元。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（7）物品的出入未按管理规定查验的，发现一次扣100元。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（8）大型车辆或大型物件进入综合楼要及时向相关部门报告，并及时派人全程跟踪，否则，发现一次扣100元。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（9）有值班、巡查记录，有班前班后的准备和交接工作记录，有人员的考勤、检查纪录，发现记录不完整的，一次扣50元，不按时立岗的，每发现一次扣50元。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（10）值班室、传达室环境不整洁，卫生不达标，有脏乱差现象，发现一次扣50元。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（11）保安人员必须每人配备1部对讲机，每周坚持1－2小时的理论和业务培训（对讲机使用、巡更棒使用、交通安全、交通执勤等），如未按规定使用或使用中违反规定，造成后果的，发现一次扣50元。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（12）保安人员在值班室吸烟，发现一次扣50元。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2、秩序管理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（1）保安人员在维持车辆秩序时，态度要大方、端正，做到有礼有节，始终贯彻“服务第一，满意为终”的思想，不得发生吵架、斗殴的现象，否则，发现一次扣100－200元。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（2）在自行车库、走道等停车占用消防通道的，发现一次扣50元。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（3）楼前广场非停车位，要保持无长时间车辆停留，如超过10分钟未能清理离开的，一次扣50元。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（4）无通行证或未经有关领导批准的机动车进入大院的，每发现一次扣50元。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（5）发现车证不符未及时处理的，一次扣50元。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3、安全检查</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（1）熟练掌握各种安检设备的操作及识别方法，如未达标准，每次扣10元。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（2）负责受检人员的引导和告知工作，使其接受和配合安全检查，维护安全检查秩序，保障安全检查工作有序进行，如未达标准，每次扣10元。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（3）负责引导受检人员将随身携带的手机等拍照、录音、录像设备寄存在指定的寄存柜中，如未达标准，每次扣10元。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（4）负责对受检者的有效证件进行查验或登记，识别涂改、伪造、冒名顶替以及其他无效证件，如未达标准，每次扣10元。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引导受检者将个人携带的物品放置在X光机上，并有秩序地通过金属探测门；通过检测设备显示的图像识别受检人员携带物品的种类、性质，发现可疑物品时，提示人工检查员对可疑物品作进一步检查。待对可疑物品进行相应处理后，对受检人员箱（包）进行复检，如未达标准，每项扣20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（6）对受检人员和可疑物品采用手持金属探测器与手工相结合的方法进行检查，对通过金属探测门出现报警的人员作重点检查，如未达标准，每次扣20元。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（7）准确识别限制物品、管制物品、易燃易爆物品、强腐蚀性物品等危险物品，发现后及时通知带班法警按照有关规定进行处置，如未达标准，每项扣20元。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（8）按规定对履行职务并持有效工作证件的检察人员、律师等查验其身份和登记证件，需要安全检查的，对检察人员和律师平等对待，如未达标准，每次扣10元。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（9）对拒绝接受安全检查或不服从安全检查人员安排的受检者，应阻止其进入审判法庭。有不听劝告者，或发生其他突发情况时，应立即通知带班法警依法进行处置。如未达标准，每次扣10元。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（10）每天下班前将储物柜中的物品清空，如未达标准，每次扣20元。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（四）卫生保洁</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1、保洁质量</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（1）综合楼各出入口地台脚垫无脏杂物、无污迹；楼内大厅整洁光亮、无浮尘、无水迹、无污迹。如未达标准，每项扣10元。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（2）各楼层走廊、过道、楼梯、阳台整洁、无浮尘、无水迹、无污迹。如未达标准，每项扣10元。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（3）各楼层公共区域内门窗、窗台干净，无灰尘、无污迹；垃圾桶放置合理，清倒及时、外表干净、无积垢、无异味，如未达标准，每项扣10元。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（4）楼内玻璃门、玻璃幕墙、玻璃间格、各种柱身、扶手、栏杆（含木质、金属、不锈钢）、内玻璃窗、镜面等明净、光亮、无积尘、无污迹、无斑点，金属、不锈钢按规定保养。如未达标准，每项扣10元。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各种室内装饰物、墙面装饰物和各类设施表面（如灯饰、警铃、监视器、火灾报警控制器、风口、安全指标灯、开关盒、消防栓箱、各种告示牌、指示牌等）干净、无灰尘、无污迹，如未达标准，每项扣20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公共区域、卫生间小便池、蹲坑、坐便器、拖把池等内外光洁，无污垢、无异味；洗手盆、镜台、镜面光洁，无斑点、无积水、无积尘；地面、墙面光洁，无污迹、无脏杂物、无积水、无积尘、无蜘蛛网；门窗、内玻璃、天花板、隔板、照明灯具、开关盒、干手器、卷纸盒等干净、无灰尘、无污迹；厕纸篓、垃圾桶无陈积物、无异味、外表干净无污水流出、无异味；卫生纸、擦手纸每天按需摆放，地漏口畅通。如未达标准，每项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电梯门厅墙面、地面、门框、电梯指示牌表面干净、无油迹、无灰尘、无杂物；电梯厢壁、地面、天花板、通风口、照明灯具、指示板等表面干净、无积尘、无污迹、无脏杂物；电梯厢壁按规定上保护剂。如未达标准，每项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（8）室外场地、道路清洁、绿化草坪上无树叶、无脏物、无垃圾、无沙土；室内固定设施、指示牌表面无积尘、无污迹，如未达标准，每项扣10元。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（9）地下车库、停车场整洁、中庭无脏杂物、无积尘、无蜘蛛网；各类设施、各种标志牌表面无积尘、无污迹；南北平台及大台阶无杂物、无垃圾。如未达标准，每项扣10元。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（10）东、南平台及大台阶定期清洗；内外玻璃门、踏垫按计划清洗并达到要求；镜面经常处理保养，保持整洁光亮，如未达标准，每项扣10元。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（11）茶水间地面无污水，茶水箱、拖把池、茶水桶、净水回收桶表面无污迹，开关、配电盒表面无积尘。如未达标准，每项扣10元。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（12）健身房地面干净、健身器材表面无污渍，开关、插座、地角线无积尘、镜面光亮；健身器材管理规范，无非正常损坏；如有损坏，能及时报修。如未能做到，每项扣10元。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（13）淋浴房地面和台面干净无污水，拖鞋摆放整齐，镜面光亮；如未能做到，每项扣10元。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（14）安检室、诉讼服务中心、执行服务中心每日抹净门、窗玻璃，保持玻璃干净明亮，地面干净无垃圾，室内仪器设备及空调上无灰土、墙角无蜘蛛网。每周彻底清洗1次。未做到的每项扣10元。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（15）法庭内每日清扫地面垃圾，设备、桌面上无灰土，墙角无蜘蛛网。如未做到的每项扣10元。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2、操作规程</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（1）保洁作业操作程序规范，使用方法正确，未因操作或使用不当造成设施损伤。如未能做到，扣100元。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（2）保洁作业安全措施到位，未发生任何安全事件，如未做到，扣500元。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）维护保养</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工程维修人员（配电房值班人员）必须持证上岗，且具有国家规定的相关证书（高压证书、低压证书），发现无证上岗的每人/次扣违约金1000元（可累加）。 </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1、每天早上8：00打开每楼层的净化热水器，晚上17：30全部关闭。未及时开关，发现一次扣20元。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2、检查综合楼各设备运转是否正常，如有情况应及时上报并维修整改。未及时上报，发现一次扣30元。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3、配合会议服务人员检查会议室的照明、音响、空调等正常动作。未及时发现正常运转情况，一次扣30元。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4、每天检查室内外灯泡是否正常。未及时发现已损坏情况，一次扣20元。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5、每天检查配电房、水泵站设备运行情况，建立健全管理台账。发现一次台账不完整扣30元。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6、定时巡查各设备的运行，重点检查空调运行、温度，做到节能降耗。发现杜绝跑、冒、滴、漏等浪费一次扣30元。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7、对突发性故障应以最快时间修复、减少对干警的影响，接到报修通知20分钟内不到场的扣20元。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8、定时检查电梯使用运行情况，发现问题及时报修，未发现的一次扣30元。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9、制定值班表，严格执行配电房值班制度，值班人员必须认真履行职责，提前15分钟到岗交接班。返反规定的发现一次扣30元。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rPr>
        <w:t xml:space="preserve">）监控</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消防监控人员必须持证上岗，且具有国家规定的相关证书（消防证书），发现无证上岗的每人/次扣违约金1000元（可累加）。</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1、每天早上7：00上班，与夜班人员交接工作，做好记录。有情况不作规范记录的，每发现一次扣20元。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2、监视综合楼各联网设备的运行情况，发现设备报警及时上报并处理。未及时上报扣30元/次。</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3、负责监督门禁门随时关闭，以及检查保安员工各岗位执勤情况。未发现情况一次扣20元。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4、对重点部位监控发现形迹可疑情况的，应及时向甲方汇报处理，并按照案件处理流程进行处理，不及时汇报的一次扣50元。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5、夜班人员晚上19：00到班与日班人员交接工作，做好记录。不按照交接工作的每次扣20元。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6、遇到报警及其它特殊情况应及时上报处理结束后及时消除。未及时消除的一次扣10元。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物管公司人员发现职责内问题、情况须作规范记录，视情节由乙方管理人员及时向甲方相关人员汇报，因甲方原因未及时处理，乙方可免责。</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五、考核实施</w:t>
      </w:r>
      <w:r>
        <w:rPr>
          <w:rFonts w:hint="eastAsia" w:ascii="仿宋" w:hAnsi="仿宋" w:eastAsia="仿宋" w:cs="仿宋"/>
          <w:sz w:val="28"/>
          <w:szCs w:val="28"/>
          <w:highlight w:val="none"/>
        </w:rPr>
      </w:r>
      <w:r/>
    </w:p>
    <w:p>
      <w:pPr>
        <w:pStyle w:val="649"/>
        <w:ind w:firstLine="562"/>
        <w:spacing w:line="520" w:lineRule="exact"/>
        <w:shd w:val="clear" w:color="auto" w:fill="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考核总分100分，考核时每扣</w:t>
      </w:r>
      <w:r>
        <w:rPr>
          <w:rFonts w:hint="eastAsia" w:ascii="仿宋" w:hAnsi="仿宋" w:eastAsia="仿宋" w:cs="仿宋"/>
          <w:b/>
          <w:sz w:val="28"/>
          <w:szCs w:val="28"/>
          <w:highlight w:val="none"/>
          <w:lang w:eastAsia="zh-CN"/>
        </w:rPr>
        <w:t xml:space="preserve">2500</w:t>
      </w:r>
      <w:r>
        <w:rPr>
          <w:rFonts w:hint="eastAsia" w:ascii="仿宋" w:hAnsi="仿宋" w:eastAsia="仿宋" w:cs="仿宋"/>
          <w:b/>
          <w:sz w:val="28"/>
          <w:szCs w:val="28"/>
          <w:highlight w:val="none"/>
        </w:rPr>
        <w:t xml:space="preserve">元扣考核分1分，不足</w:t>
      </w:r>
      <w:r>
        <w:rPr>
          <w:rFonts w:hint="eastAsia" w:ascii="仿宋" w:hAnsi="仿宋" w:eastAsia="仿宋" w:cs="仿宋"/>
          <w:b/>
          <w:sz w:val="28"/>
          <w:szCs w:val="28"/>
          <w:highlight w:val="none"/>
          <w:lang w:eastAsia="zh-CN"/>
        </w:rPr>
        <w:t xml:space="preserve">2500</w:t>
      </w:r>
      <w:r>
        <w:rPr>
          <w:rFonts w:hint="eastAsia" w:ascii="仿宋" w:hAnsi="仿宋" w:eastAsia="仿宋" w:cs="仿宋"/>
          <w:b/>
          <w:sz w:val="28"/>
          <w:szCs w:val="28"/>
          <w:highlight w:val="none"/>
        </w:rPr>
        <w:t xml:space="preserve">元的按比例确定扣分分值。考核所有的罚金均从本项目的物业服务费中扣除，当乙方的考核分不足95分时，甲方视为乙方已严重违约且已不能继续履行合同，合同立即解除。</w:t>
      </w:r>
      <w:r>
        <w:rPr>
          <w:rFonts w:hint="eastAsia" w:ascii="仿宋" w:hAnsi="仿宋" w:eastAsia="仿宋" w:cs="仿宋"/>
          <w:b/>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物管公司治安保卫服务工作考核由法警大队负责，卫生保洁、会议服务、保养维护等服务考核工作由行政装备科负责。</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此考核办法由</w:t>
      </w:r>
      <w:r>
        <w:rPr>
          <w:rFonts w:hint="eastAsia" w:ascii="仿宋" w:hAnsi="仿宋" w:eastAsia="仿宋" w:cs="仿宋"/>
          <w:bCs/>
          <w:sz w:val="28"/>
          <w:szCs w:val="28"/>
          <w:highlight w:val="none"/>
        </w:rPr>
        <w:t xml:space="preserve">盱眙县人民法院</w:t>
      </w:r>
      <w:r>
        <w:rPr>
          <w:rFonts w:hint="eastAsia" w:ascii="仿宋" w:hAnsi="仿宋" w:eastAsia="仿宋" w:cs="仿宋"/>
          <w:sz w:val="28"/>
          <w:szCs w:val="28"/>
          <w:highlight w:val="none"/>
        </w:rPr>
        <w:t xml:space="preserve">负责解释，于当年度物业管理主合同生效之日起施行。</w:t>
      </w:r>
      <w:r>
        <w:rPr>
          <w:rFonts w:hint="eastAsia" w:ascii="仿宋" w:hAnsi="仿宋" w:eastAsia="仿宋" w:cs="仿宋"/>
          <w:sz w:val="28"/>
          <w:szCs w:val="28"/>
          <w:highlight w:val="none"/>
        </w:rPr>
      </w:r>
      <w:r/>
    </w:p>
    <w:p>
      <w:pPr>
        <w:pStyle w:val="676"/>
        <w:ind w:left="0" w:firstLine="0"/>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49"/>
        <w:ind w:firstLine="560"/>
        <w:jc w:val="center"/>
        <w:spacing w:line="520" w:lineRule="exact"/>
        <w:shd w:val="clear" w:color="auto" w:fill="auto"/>
        <w:rPr>
          <w:rFonts w:hint="eastAsia" w:ascii="仿宋" w:hAnsi="仿宋" w:eastAsia="仿宋" w:cs="仿宋"/>
          <w:b/>
          <w:sz w:val="28"/>
          <w:szCs w:val="28"/>
          <w:highlight w:val="none"/>
        </w:rPr>
      </w:pPr>
      <w:r>
        <w:rPr>
          <w:rFonts w:hint="eastAsia" w:ascii="仿宋" w:hAnsi="仿宋" w:eastAsia="仿宋" w:cs="仿宋"/>
          <w:bCs/>
          <w:sz w:val="28"/>
          <w:szCs w:val="28"/>
          <w:highlight w:val="none"/>
        </w:rPr>
        <w:t xml:space="preserve">盱眙县人民法院物业服务范围及服务标准</w:t>
      </w:r>
      <w:r>
        <w:rPr>
          <w:rFonts w:hint="eastAsia" w:ascii="仿宋" w:hAnsi="仿宋" w:eastAsia="仿宋" w:cs="仿宋"/>
          <w:b/>
          <w:sz w:val="28"/>
          <w:szCs w:val="28"/>
          <w:highlight w:val="none"/>
        </w:rPr>
      </w:r>
      <w:r/>
    </w:p>
    <w:p>
      <w:pPr>
        <w:pStyle w:val="649"/>
        <w:ind w:firstLine="562"/>
        <w:spacing w:line="520" w:lineRule="exact"/>
        <w:shd w:val="clear" w:color="auto" w:fill="auto"/>
        <w:rPr>
          <w:rFonts w:hint="eastAsia" w:ascii="仿宋" w:hAnsi="仿宋" w:eastAsia="仿宋" w:cs="仿宋"/>
          <w:b/>
          <w:bCs/>
          <w:sz w:val="28"/>
          <w:szCs w:val="28"/>
          <w:highlight w:val="none"/>
        </w:rPr>
        <w:outlineLvl w:val="2"/>
      </w:pPr>
      <w:r>
        <w:rPr>
          <w:rFonts w:hint="eastAsia" w:ascii="仿宋" w:hAnsi="仿宋" w:eastAsia="仿宋" w:cs="仿宋"/>
          <w:b/>
          <w:bCs/>
          <w:sz w:val="28"/>
          <w:szCs w:val="28"/>
          <w:highlight w:val="none"/>
        </w:rPr>
        <w:t xml:space="preserve">一、治安保卫</w:t>
      </w:r>
      <w:r>
        <w:rPr>
          <w:rFonts w:hint="eastAsia" w:ascii="仿宋" w:hAnsi="仿宋" w:eastAsia="仿宋" w:cs="仿宋"/>
          <w:b/>
          <w:bCs/>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（一）服务范围</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盱眙县人民法院</w:t>
      </w:r>
      <w:r>
        <w:rPr>
          <w:rFonts w:hint="eastAsia" w:ascii="仿宋" w:hAnsi="仿宋" w:eastAsia="仿宋" w:cs="仿宋"/>
          <w:sz w:val="28"/>
          <w:szCs w:val="28"/>
          <w:highlight w:val="none"/>
        </w:rPr>
        <w:t xml:space="preserve">审判业务综合楼所有出口人员、物品、车辆出入管理，综合楼外广场和道路、非机动车车库、地下人防车库车辆秩序管理。安保监控值守及应急处置。</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（二）服务标准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1、安检秩序维护</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(1)熟练掌握各种安检设备的操作及识别方法。</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(2)负责受检人员的引导和告知工作，使其接受和配合安全检查，维护安全检查秩序，保障安全检查工作有序进行；</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(3)负责引导受检人员将随身携带的手机等拍照、录音、录像设备寄存在指定的寄存柜中。</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(4)负责对受检者的有效证件进行查验或登记，识别涂改、伪造、冒名顶替以及其他无效证件；</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引导受检者将个人携带的物品放置在X光机上，并有秩序地通过金属探测门；通过检测设备显示的图像识别受检人员携带物品的种类、性质，发现可疑物品时，提示人工检查员对可疑物品作进一步检查。待对可疑物品进行相应处理后，对受检人员箱（包）进行复检；</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(6)对受检人员和可疑物品采用手持金属探测器与手工相结合的方法进行检查，对通过金属探测门出现报警的人员作重点检查；</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(7)准确识别限制物品、管制物品、易燃易爆物品、强腐蚀性物品等危险物品，发现后及时通知带班法警按照有关规定进行处置；</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(8)按规定对履行职务并持有效工作证件的检察人员、律师等查验其身份和登记证件，需要安全检查的，对检察人员和律师平等对待。</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(9)对拒绝接受安全检查或不服从安全检查人员安排的受检者，应阻止其进入审判法庭。有不听劝告者，或发生其他突发情况时，应立即通知带班法警依法进行处置。</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(10)每天下班前将储物柜中的物品清空。</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2、机关秩序及安全保卫</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（1）涉诉涉访人员不得进入综合楼办公区，禁止推销、散发广告、不明身份及衣冠不整等人员进入综合楼。</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（2）外来办事人员须征得业主同意后，凭单位介绍信或本人有效证件办理登记手续，填写会客单，凭会客单进入；手续不全或接待单位不予接待的，禁止进入综合楼。</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（3）对不出示证件、不按规定登记，不听劝阻而强行闯入者，坚决不予入内，必要时通知其所在单位或公安机关进行处理。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（4）进入综合楼的物品必须符合国家卫生检疫标准和安全防范要求，并自觉接受门卫值班人员的检查登记，否则门卫值勤人员有权阻止进入。严禁携带易燃、易爆、有毒、有害及易挥发化学物品等进入。</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（5）货物进入综合楼须按规定履行登记手续，运货车辆须按门卫指引的路线行驶，停放在指定位置。</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（6）携带大件物品出门的，必须有相关部门签发的出门证，经门卫值勤人员核实确认后方可放行，否则门卫值勤人员视情予以暂扣。</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（7）施工人员携带物品出综合楼必须有相关部门开据的证明和清单，经核实后放行。如有疑问可作进一步盘查，必要时联系相关部门处理。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3、治安管理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（1）立岗要求。立岗时间：上午8：10－9：10、中午11：50－12：20、下午1：30－2：10、5：20－6：00 。</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巡逻标准。根据规定的巡逻时间、路线进行巡逻检查，每天8：00－18：00，进行不定期巡逻，对重点区域加强巡逻，每天20：00－6：00，每小时至少巡视1次，节假日增加巡逻2次，着装规范整齐，发现问题应及时果断处置，并迅速上报，巡逻记录登记完整，清楚细致。</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（3）院区内无闲杂人员，保安对可疑人员应进行盘查，查清身份后，做好登记。并及时向业主汇报。</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4、车辆秩序管理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本院工作人员车辆经车牌信息系统识别通过后进入综合楼区域，外来车辆一律不得进入院机关。</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5"/>
      </w:pPr>
      <w:r>
        <w:rPr>
          <w:rFonts w:hint="eastAsia" w:ascii="仿宋" w:hAnsi="仿宋" w:eastAsia="仿宋" w:cs="仿宋"/>
          <w:sz w:val="28"/>
          <w:szCs w:val="28"/>
          <w:highlight w:val="none"/>
        </w:rPr>
        <w:t xml:space="preserve">（1）地面车辆管理标准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院区内车辆按指定位置停放有序，停放时车头车尾朝向应保持一致，间距适中。</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5"/>
      </w:pPr>
      <w:r>
        <w:rPr>
          <w:rFonts w:hint="eastAsia" w:ascii="仿宋" w:hAnsi="仿宋" w:eastAsia="仿宋" w:cs="仿宋"/>
          <w:sz w:val="28"/>
          <w:szCs w:val="28"/>
          <w:highlight w:val="none"/>
        </w:rPr>
        <w:t xml:space="preserve">（2）车库管理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①电瓶车、摩托车和自行车存放指定位置，并整理车辆，使车辆有序，对长期停放车辆进行定期清理，保证正常停车秩序。</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②保安员应经常对地下人防车库进行巡查，对各人防用功能室应每周至少检查1次并作详细记录，发现问题及时处理并向业主报告。</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③完成业主安排的随机性，指令性任务。</w:t>
      </w:r>
      <w:r>
        <w:rPr>
          <w:rFonts w:hint="eastAsia" w:ascii="仿宋" w:hAnsi="仿宋" w:eastAsia="仿宋" w:cs="仿宋"/>
          <w:sz w:val="28"/>
          <w:szCs w:val="28"/>
          <w:highlight w:val="none"/>
        </w:rPr>
      </w:r>
      <w:r/>
    </w:p>
    <w:p>
      <w:pPr>
        <w:pStyle w:val="649"/>
        <w:ind w:firstLine="562"/>
        <w:spacing w:line="520" w:lineRule="exact"/>
        <w:shd w:val="clear" w:color="auto" w:fill="auto"/>
        <w:rPr>
          <w:rFonts w:hint="eastAsia" w:ascii="仿宋" w:hAnsi="仿宋" w:eastAsia="仿宋" w:cs="仿宋"/>
          <w:b/>
          <w:bCs/>
          <w:sz w:val="28"/>
          <w:szCs w:val="28"/>
          <w:highlight w:val="none"/>
        </w:rPr>
        <w:outlineLvl w:val="2"/>
      </w:pPr>
      <w:r>
        <w:rPr>
          <w:rFonts w:hint="eastAsia" w:ascii="仿宋" w:hAnsi="仿宋" w:eastAsia="仿宋" w:cs="仿宋"/>
          <w:b/>
          <w:bCs/>
          <w:sz w:val="28"/>
          <w:szCs w:val="28"/>
          <w:highlight w:val="none"/>
        </w:rPr>
        <w:t xml:space="preserve">二、卫生保洁</w:t>
      </w:r>
      <w:r>
        <w:rPr>
          <w:rFonts w:hint="eastAsia" w:ascii="仿宋" w:hAnsi="仿宋" w:eastAsia="仿宋" w:cs="仿宋"/>
          <w:b/>
          <w:bCs/>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（一）服务范围</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楼外广场、道路、停车场、安检室、足球场等，楼内所有审判区域及公共区域、包括健身场所、会议室、电梯、电梯厅、楼梯、卫生间、地下车库、自行车库等部位的清洁保养工作。适当范围内的新增保洁管理服务项目。</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（二）服务标准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保洁管理服务标准按照国家旅游局颁布的四星级宾馆保洁要求和国家公共场所卫生标准执行。</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1、室外区域</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①每天清扫道路、停车场（含对外停车场）、绿化草坪、地面1次，每天巡视2－4次，发现脏物、废品应及时处理。对区域内各种设施进行抹尘和清洗，保持外围干净、整洁。</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②根据各种地面脏的程度要随时进行清洗。遇到下雪天气，待雪停止后立即组织人员清理广场、路面及大楼台阶上的积雪。</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③及时收集各类垃圾，按垃圾分类要求，堆放在指定地点，清运时密封装置，确保无飘洒和漏水现象。及时清洗垃圾筒筒身，更换垃圾袋，保持干净、无异味、无满溢。</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④保持路牌、标识、消防箱、电表箱、外围灯柱、音箱等物体表面上的清洁，及时处理违章乱贴、乱画的海报、小广告及污迹。</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⑤每周清除1次卫生死角，水管处、下水道口等地方，要确保其内无杂物。</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2、法庭、安检室、诉讼服务中心、执行服务中心</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①安检室、诉讼服务中心、执行服务中心每日抹净门、窗玻璃，每周彻底清洗1次，保持玻璃干净明亮，地面干净无垃圾，室内仪器设备及空调上无灰土、墙角无蜘蛛网。</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②法庭内每日清扫地面垃圾，设备、桌面上无灰土，墙角无蜘蛛网，地面干净无污迹，桌椅摆放整齐。</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3、门庭、大厅、走廊、电梯、楼梯</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①每日循环清扫地面垃圾，清除台面、地面的污迹，每月彻底清洗2次，平时发现污渍及时处理。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②每日抹净门厅玻璃，每周彻底清洗1次，保持玻璃干净明亮，无手印、无水印、擦净门框、柱子等灰尘。</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③每日抹净大厅内指示牌、告示牌、显示屏、接待台等，抹净各处灯罩、金属框、花架，使其无积尘，每周彻底清除沙发、茶几等各处卫生死角。</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④大厅各处金属包边、告示牌支架等，用金属清洁保养剂擦亮，保持无手印、无氧化痕迹、无锈蚀，每日擦1次。</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⑤每日擦抹风口、灭火器玻璃，使其洁净。</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⑥用推尘布抹净地面，保持地面无脚印、无灰尘。</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⑦及时倒清烟灰缸，烟灰缸里的烟蒂不得超过6个，垃圾不能满过筒身之际的1/2。每日清倒垃圾2次，及时更换垃圾袋，及时处理垃圾筒上面的痰迹，使其外表干净、光亮、无满溢垃圾现象。</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⑧对大厅、电梯厅及走廊地面进行清洁护养，使其光洁。</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⑨每日清扫拖净电梯轿厢地面，抹净内外壁，保持无手印、污渍、无灰尘。定期用金属清洁剂进行保养，减少氧化、锈蚀的程度，保持电梯干净光亮、整洁。</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⑩保持风口、天花板及扬声器洁净，定期清除灯罩上面的灰尘和消防器材的灰尘，保持无积尘、干净。</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⑪每日擦抹门庭、大厅正门多次，保持无灰尘、无污渍、无水迹。每周清理1次综合楼内照片画框的积尘，保持清洁、走廊内隔墙玻璃每周彻底清洁1次，平时发现手印、污渍等及时擦净。擦净楼梯扶手，拖净楼梯，各眼见手及之处，经常抹尘，保持清洁。</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⑫雨雪天及时在大厅铺设地毯。</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⑬主要道路、平台、电梯等部位的保洁工作必须在早晨8：00前完成。</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⑭按规定的标识开启公共部位灯光。</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4、会议室</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每天打扫会议室卫生，保持会议室桌椅及设备的表面干净无污渍无灰土、地面无垃圾无灰土、墙角无蜘蛛网、桌椅和茶水柜上的物品摆放整齐。</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5、洗手间、开水间</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①拖洗所有卫生间地面，抹净洁具、门框、墙身，每天循环多次，保持无灰尘、无垃圾、无异味，无手脚印、无污渍等。</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洗手间隔板、纸盒每天擦抹1次，小便池、厕位、水池1小时冲洗1次，每天用洗液清洗1次。洁具每周用消毒剂消毒2次，整体卫生间全面消毒，每月1次。洗手台每月抛光保养1次，镜面、台面、洗手盆每天清洁4次。上班时间每小时巡视4次，发现污迹、水迹、积水、头发、手印、便迹、异味、报纸等及时清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③每周1次全面清洗墙面瓷砖，地面用清洁剂刷洗，天花擦净，灯具、风口抹尘，保持干净，无污渍。卫生间、茶水间的地面每天拖地至少4次以上，每天冲洗1次，保持地面干燥。</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④根据业主要求定期将开水器中存水清空。</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6、自行车库、地下车库、室外停车场</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①每日清扫地面垃圾杂物，特别注意车上抛出的垃圾物，保持地面无垃圾杂物、无积水、无明显泥土，每月用清水冲洗1次地面。</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②雨天增加清扫力度，发现泥土及时清理，晴天用清水将地面清洗干净，雨天注意清理通道口集水沟、井的杂物。</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③用鸡毛掸清除库顶的蜘蛛网、各种管道上面的灰尘。</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④每日打扫抹净消火栓，防撞标志、天花、垃圾桶、风口、警铃等设施的灰尘，保持干净无污迹、无泥沙、无尘。</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⑤清洁地下车库、各功能室（场）的地面，抹净台面、椅子、窗台和各种设备和设施的灰尘，擦净玻璃及各种告示和标牌。</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⑥及时清倒垃圾，将垃圾运到指定地点。</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⑦每月彻底清除地下车库以及露天停车场的死角（包括通道口集水沟、井），对油污较多的车位地面进行特别处理。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⑧清洁中如发现车门或车窗、车灯没有关好，应及时通告车库值班人员，以便得到妥善处理，并将此事汇报主管。</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7、特殊地点：护栏、标示牌</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每天擦净护栏、标示牌等表面灰尘，清洁各种设施外表。</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8、健身房、淋浴房</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①专人负责健身器械和设备的清洁卫生工作，发现问题及时与业主联系，确保健身器械和设备随时可用。</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②专人保管运动器材等设施，严格督促按照运动器材说明书，规范操作。</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③每次使用运动器材后，及时清理周围环境，保持运动器材的安全性、整洁性。</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④未经业主批准，不得擅自动用运动器材。</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⑤淋浴房每天打扫一次以上（标准同洗手间一样），并保持卫生良好。</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⑥完成业主安排的随机性，指令性任务。</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三、会务接待</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（一）服务范围</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1、综合楼内全部会议室及会议服务和卫生保洁工作。</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2、做好图书阅览室的茶水服务和图书整理工作。</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3、上述范围内的礼仪服务工作。</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4、重点区域的个性化服务工作。</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（二）服务要求</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1、会议室内保持所有物品摆放整齐，所需物品（资料）准备齐全。</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会场（会议室）内外及氛围布置整体效果符合会议相关部门要求，根据会议通知单上的人数和要求，确定会议的台形，或根据相关部门要求摆放；对主席台、会议材料、席位卡、茶壶、茶杯、桌椅、会议导向牌布置规范到位，各种备用具整洁、齐全，摆放符合标准。上述工作在会议开始前半小时准备到位。</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3、根据需要开启会议室灯光、空调等设备设施。</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4、门口、电梯口等场所根据业主的需要，设置导示牌。</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5、会务服务</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①大中型会议（50人－200人），主席台每15分钟巡视倒茶1次，台下根据需要准备好茶壶、杯子。</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②小型会议（30人以下），每15分钟巡视倒茶1次，或按要求摆放茶壶。</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③利用会议中途休息及时补充茶水，清理会场上溢出的茶水，保持会场整洁。</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④会务保密：会场服务人员不得随意翻阅会议资料，防止闲杂人员进场，不得在任何场所透露会议内容。</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⑤会后及时清理、检查是否有遗留物品，未熄灭的火种，关闭设备电源等。</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⑥完成业主安排的随机性，指令性任务。</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四、物业共用设施设备的运行、维修、养护和管理服务标准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1、共用设施设备</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对共用设施设备进行日常管理和维修养护（依法应由专业部门负责的除外）。</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①建立共用设施设备档案（设备台帐），设施设备的运行、检查、维修、保养等记录齐全。</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②设施设备标志齐全、规范，责任人明确；操作维护人员严格执行设施设备操作规程及保养规范；设施设备运行正常。</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③对大楼设施设备定期组织巡查，做好巡查记录，需要维修的及时修复；不能修复的及时报业主。</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④载人电梯实行上班开放制，夜间无特殊情况关闭。</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⑤消防设施设备完好，可随时启用；消防通道畅通。</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⑥设备房保持整洁、通风，无跑、冒、滴、漏和鼠害现象。</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⑦路灯、楼道灯、会议室灯保持完好，并做好所有灯具的卫生保洁工作。</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⑧危及人身安全的设施设备有明显警示标志和防范措施；对可能发生的各种突发设备故障有应急处置方案。</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2、维修管理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①时效工作制：对所有的维修工作均实行时效管理，做到准确及时，以确保所有机电设备的正常运行。</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②不均衡管理：针对办公楼人员工作时间合理安排设备的维修养护，做到不影响工作人员的正常工作和学习。</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4"/>
      </w:pPr>
      <w:r>
        <w:rPr>
          <w:rFonts w:hint="eastAsia" w:ascii="仿宋" w:hAnsi="仿宋" w:eastAsia="仿宋" w:cs="仿宋"/>
          <w:sz w:val="28"/>
          <w:szCs w:val="28"/>
          <w:highlight w:val="none"/>
        </w:rPr>
        <w:t xml:space="preserve">③做好各类办公家具、门窗、窗帘、锁等物品的基本维修工作。</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④协助法院管理人员做好综合楼的各项监督与检查工作。参与工作验收，提出有关设备增补改造方案。</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⑤做好各类设备运行、维护维修记录。</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⑥完成业主安排的随机性，指令性任务。</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五、监控</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1、执行24小时双人值班制度。值班人员值班时不得睡觉、不得做与值班无关的工作，严禁无关人员进入监控室。</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2、交接班时对各设备的运行进行检查，并将本班次完成的工作及待办工作交接给下一班处理。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3、密切监视各联网设备及电梯的运行运转情况，发现设备报警及时跟进处理。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4、配合设备维修人员做好各种安防设备，周、月、季度、年度安全检查工作，发现问题及时跟踪处理，做好书面记录。</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5、发生火灾时，要沉着、冷静，立即拨打119报警，并向安保负责人报告，协助消防员进行扑救。</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6、受理综合楼的安防电话报警，及时通知维护单位到现场进行抢修，并做好书面记录。</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7、对值班过程中发现的设备运行等各种情况，及时做好值班日志。</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六、其他</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1、项目管理人员每天检查物业保安、保洁、工程维护等物业服务情况，所有人员不得饮酒后上班，及时记录并形成资料台账。</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2、物业公司负责综合楼配电房、监控中心、内保、保洁、会务、工程等人员的业务培训和考核工作。</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3、按照物业管理条例规定收集、保管好有关综合楼物业管理的政策、法规、章程等资料以及本物业相关的图纸、数据等资料，建立、保管好综合楼物业管理档案，做好档案交接工作等。</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4、盱眙县人民法院委托管理的其它事项。</w:t>
      </w:r>
      <w:r>
        <w:rPr>
          <w:rFonts w:hint="eastAsia" w:ascii="仿宋" w:hAnsi="仿宋" w:eastAsia="仿宋" w:cs="仿宋"/>
          <w:sz w:val="28"/>
          <w:szCs w:val="28"/>
          <w:highlight w:val="none"/>
        </w:rPr>
      </w:r>
      <w:r/>
    </w:p>
    <w:p>
      <w:pPr>
        <w:pStyle w:val="665"/>
        <w:ind w:firstLine="560"/>
        <w:spacing w:line="440" w:lineRule="exact"/>
        <w:rPr>
          <w:rFonts w:hint="eastAsia" w:ascii="仿宋" w:hAnsi="仿宋" w:eastAsia="仿宋" w:cs="仿宋"/>
          <w:b/>
          <w:bCs/>
          <w:sz w:val="28"/>
          <w:szCs w:val="28"/>
          <w:highlight w:val="none"/>
        </w:rPr>
      </w:pPr>
      <w:r>
        <w:rPr>
          <w:rFonts w:hint="eastAsia" w:ascii="仿宋" w:hAnsi="仿宋" w:eastAsia="仿宋" w:cs="仿宋"/>
          <w:sz w:val="28"/>
          <w:szCs w:val="28"/>
          <w:highlight w:val="none"/>
        </w:rPr>
        <w:t xml:space="preserve">5、法规和政策规定由物业管理公司管理的其它事项。</w:t>
      </w:r>
      <w:r>
        <w:rPr>
          <w:rFonts w:hint="eastAsia" w:ascii="仿宋" w:hAnsi="仿宋" w:eastAsia="仿宋" w:cs="仿宋"/>
          <w:b/>
          <w:bCs/>
          <w:sz w:val="28"/>
          <w:szCs w:val="28"/>
          <w:highlight w:val="none"/>
        </w:rPr>
      </w:r>
      <w:r/>
    </w:p>
    <w:p>
      <w:pPr>
        <w:pStyle w:val="665"/>
        <w:spacing w:line="440" w:lineRule="exact"/>
        <w:rPr>
          <w:rFonts w:hint="eastAsia" w:hAnsi="宋体"/>
          <w:b/>
          <w:bCs/>
          <w:sz w:val="36"/>
          <w:szCs w:val="36"/>
          <w:highlight w:val="none"/>
        </w:rPr>
      </w:pPr>
      <w:r>
        <w:rPr>
          <w:rFonts w:hint="eastAsia" w:hAnsi="宋体"/>
          <w:b/>
          <w:bCs/>
          <w:sz w:val="36"/>
          <w:szCs w:val="36"/>
          <w:highlight w:val="none"/>
        </w:rPr>
      </w:r>
      <w:r/>
    </w:p>
    <w:p>
      <w:pPr>
        <w:pStyle w:val="665"/>
        <w:ind w:firstLine="2331"/>
        <w:spacing w:line="520" w:lineRule="exact"/>
        <w:rPr>
          <w:rFonts w:hint="eastAsia" w:ascii="仿宋" w:hAnsi="仿宋" w:eastAsia="仿宋"/>
          <w:b/>
          <w:bCs/>
          <w:sz w:val="36"/>
          <w:szCs w:val="36"/>
          <w:highlight w:val="none"/>
          <w:lang w:val="zh-CN"/>
        </w:rPr>
        <w:outlineLvl w:val="0"/>
      </w:pP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649"/>
        <w:ind w:firstLine="562"/>
        <w:spacing w:line="520" w:lineRule="exact"/>
        <w:shd w:val="clear" w:color="auto" w:fill="auto"/>
        <w:rPr>
          <w:rFonts w:hint="eastAsia"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一、招标内容及要求：</w:t>
      </w:r>
      <w:r>
        <w:rPr>
          <w:rFonts w:hint="eastAsia" w:ascii="仿宋" w:hAnsi="仿宋" w:eastAsia="仿宋" w:cs="仿宋"/>
          <w:b/>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招标内容：服务内容包括院本部（12000多平方米）、马坝法庭（4017平方米）、桂五法庭（2305平方米）、管仲法庭（6159平方米）、非公企业纠纷巡回审判点（1620平方米）及综治中心诉服大厅（341平方米）的物业管理服务工作，主要包括保洁、保安、会务、日常维护维修等，同时将电梯维保、绿植租赁、绿化养护、食堂烟道清理、消防维保巡查等服务项目仍纳入物业公司统筹管理。</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2、具体内容包括：</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①物业服务：办公区（含地下层）、室外场地（含广场、停车场、绿化带）等内部保洁，所属公共区域（不含办公室内卫生）卫生保洁、秩序维护。</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②安保服务：安检值班、安全保卫、监控值班及应急处置、协助法警维护办公及审判区域的秩序。</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③日常维修维护：根据甲方要求和相关规范维护甲方相关设施。</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物料：洗衣粉、洗洁精、抹布、拖把、尘推、清洁桶、玻璃清洁剂、小扫帚、大扫帚、簸箕、纸捡夹、板刷、铁铲、云石刀、喷壶、刮水器、涂水器、胶手套、消毒液、水拔子、鸡毛掸、马桶刷、洁厕净、灭鼠药、冲洗地面用水管、消毒用喷雾器、卫生纸、擦手纸、洗手液、消毒液、茶叶等（其中卫生纸、擦手纸、洗手液、消毒液、茶叶等物料的购买需经甲方检验及同意）。</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⑤会务服务：日常会务接待等工作。</w:t>
      </w:r>
      <w:r>
        <w:rPr>
          <w:rFonts w:hint="eastAsia" w:ascii="仿宋" w:hAnsi="仿宋" w:eastAsia="仿宋" w:cs="仿宋"/>
          <w:sz w:val="28"/>
          <w:szCs w:val="28"/>
          <w:highlight w:val="none"/>
        </w:rPr>
      </w:r>
      <w:r/>
    </w:p>
    <w:p>
      <w:pPr>
        <w:pStyle w:val="649"/>
        <w:ind w:firstLine="560"/>
        <w:spacing w:line="360" w:lineRule="auto"/>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⑥院本部及三个法庭的电梯维保、院本部的绿植租赁、食堂下水道清理、食堂油烟管道清理、病虫害动物防治。</w:t>
      </w:r>
      <w:r>
        <w:rPr>
          <w:rFonts w:hint="eastAsia" w:ascii="仿宋" w:hAnsi="仿宋" w:eastAsia="仿宋" w:cs="仿宋"/>
          <w:sz w:val="28"/>
          <w:szCs w:val="28"/>
          <w:highlight w:val="none"/>
        </w:rPr>
      </w:r>
      <w:r/>
    </w:p>
    <w:p>
      <w:pPr>
        <w:pStyle w:val="688"/>
        <w:ind w:firstLine="420"/>
        <w:spacing w:line="360" w:lineRule="auto"/>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⑦消防控制巡查及维保。</w:t>
      </w:r>
      <w:r>
        <w:rPr>
          <w:rFonts w:hint="eastAsia" w:ascii="仿宋" w:hAnsi="仿宋" w:eastAsia="仿宋" w:cs="仿宋"/>
          <w:sz w:val="28"/>
          <w:szCs w:val="28"/>
          <w:highlight w:val="none"/>
        </w:rPr>
      </w:r>
      <w:r/>
    </w:p>
    <w:p>
      <w:pPr>
        <w:pStyle w:val="649"/>
        <w:ind w:firstLine="560"/>
        <w:spacing w:line="360" w:lineRule="auto"/>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3、服务范围及服务标准：由采购人指定</w:t>
      </w:r>
      <w:r>
        <w:rPr>
          <w:rFonts w:hint="eastAsia" w:ascii="仿宋" w:hAnsi="仿宋" w:eastAsia="仿宋" w:cs="仿宋"/>
          <w:bCs/>
          <w:sz w:val="28"/>
          <w:szCs w:val="28"/>
          <w:highlight w:val="none"/>
        </w:rPr>
        <w:t xml:space="preserve">（具体项目内容以甲方出具的项目清单为准），3个乡镇法庭及非公企业纠纷巡回审判点物业管理服务工作参照院本部标准执行。</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4、人员要求</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4.1人员基本原则：精干 高效 专业 敬业 健康。</w:t>
      </w:r>
      <w:r>
        <w:rPr>
          <w:rFonts w:hint="eastAsia" w:ascii="仿宋" w:hAnsi="仿宋" w:eastAsia="仿宋" w:cs="仿宋"/>
          <w:sz w:val="28"/>
          <w:szCs w:val="28"/>
          <w:highlight w:val="none"/>
        </w:rPr>
      </w:r>
      <w:r/>
    </w:p>
    <w:p>
      <w:pPr>
        <w:pStyle w:val="649"/>
        <w:ind w:firstLine="560"/>
        <w:spacing w:line="520" w:lineRule="exact"/>
        <w:shd w:val="clear" w:color="auto" w:fill="auto"/>
        <w:rPr>
          <w:rFonts w:hint="eastAsia"/>
          <w:highlight w:val="none"/>
        </w:rPr>
      </w:pPr>
      <w:r>
        <w:rPr>
          <w:rFonts w:hint="eastAsia" w:ascii="仿宋" w:hAnsi="仿宋" w:eastAsia="仿宋" w:cs="仿宋"/>
          <w:sz w:val="28"/>
          <w:szCs w:val="28"/>
          <w:highlight w:val="none"/>
        </w:rPr>
        <w:t xml:space="preserve">4.2人员要求（投入本项目的人员数量及</w:t>
      </w:r>
      <w:r>
        <w:rPr>
          <w:rFonts w:hint="eastAsia" w:ascii="仿宋" w:hAnsi="仿宋" w:eastAsia="仿宋" w:cs="仿宋"/>
          <w:sz w:val="28"/>
          <w:szCs w:val="28"/>
          <w:highlight w:val="none"/>
          <w:lang w:val="en-US" w:eastAsia="zh-CN"/>
        </w:rPr>
        <w:t xml:space="preserve">要求</w:t>
      </w:r>
      <w:r>
        <w:rPr>
          <w:rFonts w:hint="eastAsia" w:ascii="仿宋" w:hAnsi="仿宋" w:eastAsia="仿宋" w:cs="仿宋"/>
          <w:sz w:val="28"/>
          <w:szCs w:val="28"/>
          <w:highlight w:val="none"/>
        </w:rPr>
        <w:t xml:space="preserve">不得少于以下标准）：</w:t>
      </w:r>
      <w:r>
        <w:rPr>
          <w:rFonts w:hint="eastAsia"/>
          <w:highlight w:val="none"/>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23"/>
        <w:gridCol w:w="1197"/>
        <w:gridCol w:w="1046"/>
        <w:gridCol w:w="5996"/>
      </w:tblGrid>
      <w:tr>
        <w:trPr>
          <w:trHeight w:val="270"/>
        </w:trPr>
        <w:tc>
          <w:tcPr>
            <w:tcW w:w="1423"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部门</w:t>
            </w:r>
            <w:r>
              <w:rPr>
                <w:rFonts w:hint="eastAsia" w:ascii="仿宋" w:hAnsi="仿宋" w:eastAsia="仿宋" w:cs="仿宋"/>
                <w:bCs/>
                <w:sz w:val="28"/>
                <w:szCs w:val="28"/>
                <w:highlight w:val="none"/>
                <w:lang w:val="en-US" w:eastAsia="zh-CN"/>
              </w:rPr>
            </w:r>
            <w:r/>
          </w:p>
        </w:tc>
        <w:tc>
          <w:tcPr>
            <w:tcW w:w="1197"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岗位</w:t>
            </w:r>
            <w:r>
              <w:rPr>
                <w:rFonts w:hint="eastAsia" w:ascii="仿宋" w:hAnsi="仿宋" w:eastAsia="仿宋" w:cs="仿宋"/>
                <w:bCs/>
                <w:sz w:val="28"/>
                <w:szCs w:val="28"/>
                <w:highlight w:val="none"/>
              </w:rPr>
            </w:r>
            <w:r/>
          </w:p>
        </w:tc>
        <w:tc>
          <w:tcPr>
            <w:tcW w:w="1046"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人数</w:t>
            </w:r>
            <w:r>
              <w:rPr>
                <w:rFonts w:hint="eastAsia" w:ascii="仿宋" w:hAnsi="仿宋" w:eastAsia="仿宋" w:cs="仿宋"/>
                <w:bCs/>
                <w:sz w:val="28"/>
                <w:szCs w:val="28"/>
                <w:highlight w:val="none"/>
              </w:rPr>
            </w:r>
            <w:r/>
          </w:p>
        </w:tc>
        <w:tc>
          <w:tcPr>
            <w:tcW w:w="5996" w:type="dxa"/>
            <w:vAlign w:val="center"/>
            <w:textDirection w:val="lrTb"/>
            <w:noWrap w:val="false"/>
          </w:tcPr>
          <w:p>
            <w:pPr>
              <w:pStyle w:val="649"/>
              <w:ind w:firstLine="560"/>
              <w:jc w:val="center"/>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需求</w:t>
            </w:r>
            <w:r>
              <w:rPr>
                <w:rFonts w:hint="eastAsia" w:ascii="仿宋" w:hAnsi="仿宋" w:eastAsia="仿宋" w:cs="仿宋"/>
                <w:bCs/>
                <w:sz w:val="28"/>
                <w:szCs w:val="28"/>
                <w:highlight w:val="none"/>
              </w:rPr>
            </w:r>
            <w:r/>
          </w:p>
        </w:tc>
      </w:tr>
      <w:tr>
        <w:trPr>
          <w:trHeight w:val="810"/>
        </w:trPr>
        <w:tc>
          <w:tcPr>
            <w:tcW w:w="1423"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服务中心</w:t>
            </w:r>
            <w:r>
              <w:rPr>
                <w:rFonts w:hint="eastAsia" w:ascii="仿宋" w:hAnsi="仿宋" w:eastAsia="仿宋" w:cs="仿宋"/>
                <w:bCs/>
                <w:sz w:val="28"/>
                <w:szCs w:val="28"/>
                <w:highlight w:val="none"/>
                <w:lang w:val="en-US" w:eastAsia="zh-CN"/>
              </w:rPr>
            </w:r>
            <w:r/>
          </w:p>
        </w:tc>
        <w:tc>
          <w:tcPr>
            <w:tcW w:w="1197"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项目</w:t>
            </w:r>
            <w:r>
              <w:rPr>
                <w:rFonts w:hint="eastAsia" w:ascii="仿宋" w:hAnsi="仿宋" w:eastAsia="仿宋" w:cs="仿宋"/>
                <w:bCs/>
                <w:sz w:val="28"/>
                <w:szCs w:val="28"/>
                <w:highlight w:val="none"/>
                <w:lang w:val="en-US" w:eastAsia="zh-CN"/>
              </w:rPr>
            </w:r>
            <w:r/>
          </w:p>
          <w:p>
            <w:pPr>
              <w:pStyle w:val="649"/>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经理</w:t>
            </w:r>
            <w:r>
              <w:rPr>
                <w:rFonts w:hint="eastAsia" w:ascii="仿宋" w:hAnsi="仿宋" w:eastAsia="仿宋" w:cs="仿宋"/>
                <w:bCs/>
                <w:sz w:val="28"/>
                <w:szCs w:val="28"/>
                <w:highlight w:val="none"/>
              </w:rPr>
            </w:r>
            <w:r/>
          </w:p>
        </w:tc>
        <w:tc>
          <w:tcPr>
            <w:tcW w:w="1046" w:type="dxa"/>
            <w:vAlign w:val="center"/>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r>
            <w:r/>
          </w:p>
        </w:tc>
        <w:tc>
          <w:tcPr>
            <w:tcW w:w="5996"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男女不限，年龄40周岁（含）以下，本科及以上学历，持物业管理类证书、中级及以上消防设施操作员证或中级及以上建（构）筑物消防员证</w:t>
            </w:r>
            <w:r>
              <w:rPr>
                <w:rFonts w:hint="eastAsia" w:ascii="仿宋" w:hAnsi="仿宋" w:eastAsia="仿宋" w:cs="仿宋"/>
                <w:bCs/>
                <w:sz w:val="28"/>
                <w:szCs w:val="28"/>
                <w:highlight w:val="none"/>
              </w:rPr>
            </w:r>
            <w:r/>
          </w:p>
        </w:tc>
      </w:tr>
      <w:tr>
        <w:trPr>
          <w:trHeight w:val="618"/>
        </w:trPr>
        <w:tc>
          <w:tcPr>
            <w:tcW w:w="1423" w:type="dxa"/>
            <w:vAlign w:val="center"/>
            <w:vMerge w:val="restart"/>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基本服务</w:t>
            </w:r>
            <w:r>
              <w:rPr>
                <w:rFonts w:hint="eastAsia" w:ascii="仿宋" w:hAnsi="仿宋" w:eastAsia="仿宋" w:cs="仿宋"/>
                <w:bCs/>
                <w:sz w:val="28"/>
                <w:szCs w:val="28"/>
                <w:highlight w:val="none"/>
                <w:lang w:val="en-US" w:eastAsia="zh-CN"/>
              </w:rPr>
            </w:r>
            <w:r/>
          </w:p>
        </w:tc>
        <w:tc>
          <w:tcPr>
            <w:tcW w:w="1197"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内勤</w:t>
            </w:r>
            <w:r>
              <w:rPr>
                <w:rFonts w:hint="eastAsia" w:ascii="仿宋" w:hAnsi="仿宋" w:eastAsia="仿宋" w:cs="仿宋"/>
                <w:bCs/>
                <w:sz w:val="28"/>
                <w:szCs w:val="28"/>
                <w:highlight w:val="none"/>
                <w:lang w:val="en-US" w:eastAsia="zh-CN"/>
              </w:rPr>
            </w:r>
            <w:r/>
          </w:p>
        </w:tc>
        <w:tc>
          <w:tcPr>
            <w:tcW w:w="1046" w:type="dxa"/>
            <w:vAlign w:val="center"/>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lang w:val="en-US" w:eastAsia="zh-CN"/>
              </w:rPr>
            </w:r>
            <w:r/>
          </w:p>
        </w:tc>
        <w:tc>
          <w:tcPr>
            <w:tcW w:w="5996" w:type="dxa"/>
            <w:vAlign w:val="center"/>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男女不限，年龄30周岁（含）以下</w:t>
            </w:r>
            <w:r>
              <w:rPr>
                <w:rFonts w:hint="eastAsia" w:ascii="仿宋" w:hAnsi="仿宋" w:eastAsia="仿宋" w:cs="仿宋"/>
                <w:bCs/>
                <w:sz w:val="28"/>
                <w:szCs w:val="28"/>
                <w:highlight w:val="none"/>
                <w:lang w:val="en-US" w:eastAsia="zh-CN"/>
              </w:rPr>
            </w:r>
            <w:r/>
          </w:p>
        </w:tc>
      </w:tr>
      <w:tr>
        <w:trPr>
          <w:trHeight w:val="810"/>
        </w:trPr>
        <w:tc>
          <w:tcPr>
            <w:tcW w:w="1423" w:type="dxa"/>
            <w:vAlign w:val="center"/>
            <w:vMerge w:val="continue"/>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r>
            <w:r/>
          </w:p>
        </w:tc>
        <w:tc>
          <w:tcPr>
            <w:tcW w:w="1197"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客服</w:t>
            </w:r>
            <w:r>
              <w:rPr>
                <w:rFonts w:hint="eastAsia" w:ascii="仿宋" w:hAnsi="仿宋" w:eastAsia="仿宋" w:cs="仿宋"/>
                <w:bCs/>
                <w:sz w:val="28"/>
                <w:szCs w:val="28"/>
                <w:highlight w:val="none"/>
                <w:lang w:val="en-US" w:eastAsia="zh-CN"/>
              </w:rPr>
            </w:r>
            <w:r/>
          </w:p>
        </w:tc>
        <w:tc>
          <w:tcPr>
            <w:tcW w:w="1046" w:type="dxa"/>
            <w:vAlign w:val="center"/>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6</w:t>
            </w:r>
            <w:r>
              <w:rPr>
                <w:rFonts w:hint="eastAsia" w:ascii="仿宋" w:hAnsi="仿宋" w:eastAsia="仿宋" w:cs="仿宋"/>
                <w:bCs/>
                <w:sz w:val="28"/>
                <w:szCs w:val="28"/>
                <w:highlight w:val="none"/>
                <w:lang w:val="en-US" w:eastAsia="zh-CN"/>
              </w:rPr>
            </w:r>
            <w:r/>
          </w:p>
        </w:tc>
        <w:tc>
          <w:tcPr>
            <w:tcW w:w="5996" w:type="dxa"/>
            <w:vAlign w:val="center"/>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女，年龄40周岁（含）以下，大专及以上学历</w:t>
            </w:r>
            <w:r>
              <w:rPr>
                <w:rFonts w:hint="eastAsia" w:ascii="仿宋" w:hAnsi="仿宋" w:eastAsia="仿宋" w:cs="仿宋"/>
                <w:bCs/>
                <w:sz w:val="28"/>
                <w:szCs w:val="28"/>
                <w:highlight w:val="none"/>
                <w:lang w:val="en-US" w:eastAsia="zh-CN"/>
              </w:rPr>
            </w:r>
            <w:r/>
          </w:p>
        </w:tc>
      </w:tr>
      <w:tr>
        <w:trPr>
          <w:trHeight w:val="500"/>
        </w:trPr>
        <w:tc>
          <w:tcPr>
            <w:tcW w:w="1423"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会议服务</w:t>
            </w:r>
            <w:r>
              <w:rPr>
                <w:rFonts w:hint="eastAsia" w:ascii="仿宋" w:hAnsi="仿宋" w:eastAsia="仿宋" w:cs="仿宋"/>
                <w:bCs/>
                <w:sz w:val="28"/>
                <w:szCs w:val="28"/>
                <w:highlight w:val="none"/>
                <w:lang w:val="en-US" w:eastAsia="zh-CN"/>
              </w:rPr>
            </w:r>
            <w:r/>
          </w:p>
        </w:tc>
        <w:tc>
          <w:tcPr>
            <w:tcW w:w="1197"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会务员</w:t>
            </w:r>
            <w:r>
              <w:rPr>
                <w:rFonts w:hint="eastAsia" w:ascii="仿宋" w:hAnsi="仿宋" w:eastAsia="仿宋" w:cs="仿宋"/>
                <w:bCs/>
                <w:sz w:val="28"/>
                <w:szCs w:val="28"/>
                <w:highlight w:val="none"/>
              </w:rPr>
            </w:r>
            <w:r/>
          </w:p>
        </w:tc>
        <w:tc>
          <w:tcPr>
            <w:tcW w:w="1046" w:type="dxa"/>
            <w:vAlign w:val="center"/>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2</w:t>
            </w:r>
            <w:r>
              <w:rPr>
                <w:rFonts w:hint="eastAsia" w:ascii="仿宋" w:hAnsi="仿宋" w:eastAsia="仿宋" w:cs="仿宋"/>
                <w:bCs/>
                <w:sz w:val="28"/>
                <w:szCs w:val="28"/>
                <w:highlight w:val="none"/>
              </w:rPr>
            </w:r>
            <w:r/>
          </w:p>
        </w:tc>
        <w:tc>
          <w:tcPr>
            <w:tcW w:w="5996" w:type="dxa"/>
            <w:vAlign w:val="center"/>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女，年龄40周岁（含）以下，大专及以上学历，持普通话水平测试二级乙等及以上等级证书，其中至少1人持普通话水平测试二级甲等及以上等级证书</w:t>
            </w:r>
            <w:r>
              <w:rPr>
                <w:rFonts w:hint="eastAsia" w:ascii="仿宋" w:hAnsi="仿宋" w:eastAsia="仿宋" w:cs="仿宋"/>
                <w:bCs/>
                <w:sz w:val="28"/>
                <w:szCs w:val="28"/>
                <w:highlight w:val="none"/>
              </w:rPr>
            </w:r>
            <w:r/>
          </w:p>
        </w:tc>
      </w:tr>
      <w:tr>
        <w:trPr>
          <w:trHeight w:val="270"/>
        </w:trPr>
        <w:tc>
          <w:tcPr>
            <w:tcW w:w="1423"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公共设施设备维护服务</w:t>
            </w:r>
            <w:r>
              <w:rPr>
                <w:rFonts w:hint="eastAsia" w:ascii="仿宋" w:hAnsi="仿宋" w:eastAsia="仿宋" w:cs="仿宋"/>
                <w:bCs/>
                <w:sz w:val="28"/>
                <w:szCs w:val="28"/>
                <w:highlight w:val="none"/>
                <w:lang w:val="en-US" w:eastAsia="zh-CN"/>
              </w:rPr>
            </w:r>
            <w:r/>
          </w:p>
        </w:tc>
        <w:tc>
          <w:tcPr>
            <w:tcW w:w="1197"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lang w:val="en-US"/>
              </w:rPr>
            </w:pPr>
            <w:r>
              <w:rPr>
                <w:rFonts w:hint="eastAsia" w:ascii="仿宋" w:hAnsi="仿宋" w:eastAsia="仿宋" w:cs="仿宋"/>
                <w:bCs/>
                <w:sz w:val="28"/>
                <w:szCs w:val="28"/>
                <w:highlight w:val="none"/>
                <w:lang w:val="en-US" w:eastAsia="zh-CN"/>
              </w:rPr>
              <w:t xml:space="preserve">水电工</w:t>
            </w:r>
            <w:r>
              <w:rPr>
                <w:rFonts w:hint="eastAsia" w:ascii="仿宋" w:hAnsi="仿宋" w:eastAsia="仿宋" w:cs="仿宋"/>
                <w:bCs/>
                <w:sz w:val="28"/>
                <w:szCs w:val="28"/>
                <w:highlight w:val="none"/>
                <w:lang w:val="en-US"/>
              </w:rPr>
            </w:r>
            <w:r/>
          </w:p>
        </w:tc>
        <w:tc>
          <w:tcPr>
            <w:tcW w:w="1046" w:type="dxa"/>
            <w:vAlign w:val="center"/>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r>
            <w:r/>
          </w:p>
        </w:tc>
        <w:tc>
          <w:tcPr>
            <w:tcW w:w="5996" w:type="dxa"/>
            <w:vAlign w:val="center"/>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男，年龄55周岁（含）以下，同时持特种作业操作证-高压电工作业证及低压电工作业证</w:t>
            </w:r>
            <w:r>
              <w:rPr>
                <w:rFonts w:hint="eastAsia" w:ascii="仿宋" w:hAnsi="仿宋" w:eastAsia="仿宋" w:cs="仿宋"/>
                <w:bCs/>
                <w:sz w:val="28"/>
                <w:szCs w:val="28"/>
                <w:highlight w:val="none"/>
              </w:rPr>
            </w:r>
            <w:r/>
          </w:p>
        </w:tc>
      </w:tr>
      <w:tr>
        <w:trPr>
          <w:trHeight w:val="270"/>
        </w:trPr>
        <w:tc>
          <w:tcPr>
            <w:tcW w:w="1423"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保洁服务</w:t>
            </w:r>
            <w:r>
              <w:rPr>
                <w:rFonts w:hint="eastAsia" w:ascii="仿宋" w:hAnsi="仿宋" w:eastAsia="仿宋" w:cs="仿宋"/>
                <w:bCs/>
                <w:sz w:val="28"/>
                <w:szCs w:val="28"/>
                <w:highlight w:val="none"/>
                <w:lang w:val="en-US" w:eastAsia="zh-CN"/>
              </w:rPr>
            </w:r>
            <w:r/>
          </w:p>
          <w:p>
            <w:pPr>
              <w:pStyle w:val="649"/>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（3人有餐费）</w:t>
            </w:r>
            <w:r>
              <w:rPr>
                <w:rFonts w:hint="eastAsia" w:ascii="仿宋" w:hAnsi="仿宋" w:eastAsia="仿宋" w:cs="仿宋"/>
                <w:bCs/>
                <w:sz w:val="28"/>
                <w:szCs w:val="28"/>
                <w:highlight w:val="none"/>
                <w:lang w:val="en-US" w:eastAsia="zh-CN"/>
              </w:rPr>
            </w:r>
            <w:r/>
          </w:p>
        </w:tc>
        <w:tc>
          <w:tcPr>
            <w:tcW w:w="1197"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保洁员</w:t>
            </w:r>
            <w:r>
              <w:rPr>
                <w:rFonts w:hint="eastAsia" w:ascii="仿宋" w:hAnsi="仿宋" w:eastAsia="仿宋" w:cs="仿宋"/>
                <w:bCs/>
                <w:sz w:val="28"/>
                <w:szCs w:val="28"/>
                <w:highlight w:val="none"/>
                <w:lang w:val="en-US" w:eastAsia="zh-CN"/>
              </w:rPr>
            </w:r>
            <w:r/>
          </w:p>
        </w:tc>
        <w:tc>
          <w:tcPr>
            <w:tcW w:w="1046" w:type="dxa"/>
            <w:vAlign w:val="center"/>
            <w:textDirection w:val="lrTb"/>
            <w:noWrap w:val="false"/>
          </w:tcPr>
          <w:p>
            <w:pPr>
              <w:pStyle w:val="649"/>
              <w:jc w:val="center"/>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12</w:t>
            </w:r>
            <w:r>
              <w:rPr>
                <w:rFonts w:hint="eastAsia" w:ascii="仿宋" w:hAnsi="仿宋" w:eastAsia="仿宋" w:cs="仿宋"/>
                <w:bCs/>
                <w:sz w:val="28"/>
                <w:szCs w:val="28"/>
                <w:highlight w:val="none"/>
                <w:lang w:val="en-US" w:eastAsia="zh-CN"/>
              </w:rPr>
            </w:r>
            <w:r/>
          </w:p>
        </w:tc>
        <w:tc>
          <w:tcPr>
            <w:tcW w:w="5996" w:type="dxa"/>
            <w:vAlign w:val="center"/>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男女不限，年龄60周岁（含）以下</w:t>
            </w:r>
            <w:r>
              <w:rPr>
                <w:rFonts w:hint="eastAsia" w:ascii="仿宋" w:hAnsi="仿宋" w:eastAsia="仿宋" w:cs="仿宋"/>
                <w:bCs/>
                <w:sz w:val="28"/>
                <w:szCs w:val="28"/>
                <w:highlight w:val="none"/>
              </w:rPr>
            </w:r>
            <w:r/>
          </w:p>
        </w:tc>
      </w:tr>
      <w:tr>
        <w:trPr>
          <w:trHeight w:val="540"/>
        </w:trPr>
        <w:tc>
          <w:tcPr>
            <w:tcW w:w="1423" w:type="dxa"/>
            <w:vAlign w:val="center"/>
            <w:vMerge w:val="restart"/>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保安服务</w:t>
            </w:r>
            <w:r>
              <w:rPr>
                <w:rFonts w:hint="eastAsia" w:ascii="仿宋" w:hAnsi="仿宋" w:eastAsia="仿宋" w:cs="仿宋"/>
                <w:bCs/>
                <w:sz w:val="28"/>
                <w:szCs w:val="28"/>
                <w:highlight w:val="none"/>
                <w:lang w:val="en-US" w:eastAsia="zh-CN"/>
              </w:rPr>
            </w:r>
            <w:r/>
          </w:p>
        </w:tc>
        <w:tc>
          <w:tcPr>
            <w:tcW w:w="1197"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车管员</w:t>
            </w:r>
            <w:r>
              <w:rPr>
                <w:rFonts w:hint="eastAsia" w:ascii="仿宋" w:hAnsi="仿宋" w:eastAsia="仿宋" w:cs="仿宋"/>
                <w:bCs/>
                <w:sz w:val="28"/>
                <w:szCs w:val="28"/>
                <w:highlight w:val="none"/>
              </w:rPr>
            </w:r>
            <w:r/>
          </w:p>
        </w:tc>
        <w:tc>
          <w:tcPr>
            <w:tcW w:w="1046" w:type="dxa"/>
            <w:vAlign w:val="center"/>
            <w:textDirection w:val="lrTb"/>
            <w:noWrap w:val="false"/>
          </w:tcPr>
          <w:p>
            <w:pPr>
              <w:pStyle w:val="649"/>
              <w:jc w:val="center"/>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8</w:t>
            </w:r>
            <w:r>
              <w:rPr>
                <w:rFonts w:hint="eastAsia" w:ascii="仿宋" w:hAnsi="仿宋" w:eastAsia="仿宋" w:cs="仿宋"/>
                <w:bCs/>
                <w:sz w:val="28"/>
                <w:szCs w:val="28"/>
                <w:highlight w:val="none"/>
                <w:lang w:val="en-US" w:eastAsia="zh-CN"/>
              </w:rPr>
            </w:r>
            <w:r/>
          </w:p>
        </w:tc>
        <w:tc>
          <w:tcPr>
            <w:tcW w:w="5996" w:type="dxa"/>
            <w:vAlign w:val="center"/>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男，年龄50周岁（含）以下，持有效期内的机动车驾驶证，其中至少1人持A1驾驶证且驾龄满10年及以上，至少有1人为退伍军人</w:t>
            </w:r>
            <w:r>
              <w:rPr>
                <w:rFonts w:hint="eastAsia" w:ascii="仿宋" w:hAnsi="仿宋" w:eastAsia="仿宋" w:cs="仿宋"/>
                <w:bCs/>
                <w:sz w:val="28"/>
                <w:szCs w:val="28"/>
                <w:highlight w:val="none"/>
              </w:rPr>
            </w:r>
            <w:r/>
          </w:p>
        </w:tc>
      </w:tr>
      <w:tr>
        <w:trPr>
          <w:trHeight w:val="540"/>
        </w:trPr>
        <w:tc>
          <w:tcPr>
            <w:tcW w:w="1423" w:type="dxa"/>
            <w:vAlign w:val="center"/>
            <w:vMerge w:val="continue"/>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r>
            <w:r/>
          </w:p>
        </w:tc>
        <w:tc>
          <w:tcPr>
            <w:tcW w:w="1197"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门岗</w:t>
            </w:r>
            <w:r>
              <w:rPr>
                <w:rFonts w:hint="eastAsia" w:ascii="仿宋" w:hAnsi="仿宋" w:eastAsia="仿宋" w:cs="仿宋"/>
                <w:bCs/>
                <w:sz w:val="28"/>
                <w:szCs w:val="28"/>
                <w:highlight w:val="none"/>
              </w:rPr>
            </w:r>
            <w:r/>
          </w:p>
        </w:tc>
        <w:tc>
          <w:tcPr>
            <w:tcW w:w="1046" w:type="dxa"/>
            <w:vAlign w:val="center"/>
            <w:textDirection w:val="lrTb"/>
            <w:noWrap w:val="false"/>
          </w:tcPr>
          <w:p>
            <w:pPr>
              <w:pStyle w:val="649"/>
              <w:ind w:firstLine="560"/>
              <w:jc w:val="center"/>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8</w:t>
            </w:r>
            <w:r>
              <w:rPr>
                <w:rFonts w:hint="eastAsia" w:ascii="仿宋" w:hAnsi="仿宋" w:eastAsia="仿宋" w:cs="仿宋"/>
                <w:bCs/>
                <w:sz w:val="28"/>
                <w:szCs w:val="28"/>
                <w:highlight w:val="none"/>
              </w:rPr>
            </w:r>
            <w:r/>
          </w:p>
        </w:tc>
        <w:tc>
          <w:tcPr>
            <w:tcW w:w="5996" w:type="dxa"/>
            <w:vAlign w:val="center"/>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男，年龄60周岁（含）以下，均需持公安部门颁发的保安员证</w:t>
            </w:r>
            <w:r>
              <w:rPr>
                <w:rFonts w:hint="eastAsia" w:ascii="仿宋" w:hAnsi="仿宋" w:eastAsia="仿宋" w:cs="仿宋"/>
                <w:bCs/>
                <w:sz w:val="28"/>
                <w:szCs w:val="28"/>
                <w:highlight w:val="none"/>
              </w:rPr>
            </w:r>
            <w:r/>
          </w:p>
        </w:tc>
      </w:tr>
      <w:tr>
        <w:trPr>
          <w:trHeight w:val="540"/>
        </w:trPr>
        <w:tc>
          <w:tcPr>
            <w:tcW w:w="1423" w:type="dxa"/>
            <w:vAlign w:val="center"/>
            <w:vMerge w:val="continue"/>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r>
            <w:r/>
          </w:p>
        </w:tc>
        <w:tc>
          <w:tcPr>
            <w:tcW w:w="1197" w:type="dxa"/>
            <w:vAlign w:val="center"/>
            <w:textDirection w:val="lrTb"/>
            <w:noWrap w:val="false"/>
          </w:tcPr>
          <w:p>
            <w:pPr>
              <w:pStyle w:val="649"/>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巡逻岗</w:t>
            </w:r>
            <w:r>
              <w:rPr>
                <w:rFonts w:hint="eastAsia" w:ascii="仿宋" w:hAnsi="仿宋" w:eastAsia="仿宋" w:cs="仿宋"/>
                <w:bCs/>
                <w:sz w:val="28"/>
                <w:szCs w:val="28"/>
                <w:highlight w:val="none"/>
              </w:rPr>
            </w:r>
            <w:r/>
          </w:p>
        </w:tc>
        <w:tc>
          <w:tcPr>
            <w:tcW w:w="1046" w:type="dxa"/>
            <w:vAlign w:val="center"/>
            <w:textDirection w:val="lrTb"/>
            <w:noWrap w:val="false"/>
          </w:tcPr>
          <w:p>
            <w:pPr>
              <w:pStyle w:val="649"/>
              <w:jc w:val="center"/>
              <w:spacing w:line="360" w:lineRule="auto"/>
              <w:shd w:val="clear" w:color="auto" w:fill="auto"/>
              <w:rPr>
                <w:rFonts w:ascii="仿宋" w:hAnsi="仿宋" w:eastAsia="仿宋" w:cs="仿宋"/>
                <w:bCs/>
                <w:sz w:val="28"/>
                <w:szCs w:val="28"/>
                <w:highlight w:val="none"/>
                <w:lang w:val="en-US"/>
              </w:rPr>
            </w:pPr>
            <w:r>
              <w:rPr>
                <w:rFonts w:hint="eastAsia" w:ascii="仿宋" w:hAnsi="仿宋" w:eastAsia="仿宋" w:cs="仿宋"/>
                <w:bCs/>
                <w:sz w:val="28"/>
                <w:szCs w:val="28"/>
                <w:highlight w:val="none"/>
                <w:lang w:val="en-US" w:eastAsia="zh-CN"/>
              </w:rPr>
              <w:t xml:space="preserve">22</w:t>
            </w:r>
            <w:r>
              <w:rPr>
                <w:rFonts w:ascii="仿宋" w:hAnsi="仿宋" w:eastAsia="仿宋" w:cs="仿宋"/>
                <w:bCs/>
                <w:sz w:val="28"/>
                <w:szCs w:val="28"/>
                <w:highlight w:val="none"/>
                <w:lang w:val="en-US"/>
              </w:rPr>
            </w:r>
            <w:r/>
          </w:p>
        </w:tc>
        <w:tc>
          <w:tcPr>
            <w:tcW w:w="5996" w:type="dxa"/>
            <w:vAlign w:val="center"/>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男女不限，年龄40周岁（含）以下，至少有2人为退伍军人</w:t>
            </w:r>
            <w:r>
              <w:rPr>
                <w:rFonts w:hint="eastAsia" w:ascii="仿宋" w:hAnsi="仿宋" w:eastAsia="仿宋" w:cs="仿宋"/>
                <w:bCs/>
                <w:sz w:val="28"/>
                <w:szCs w:val="28"/>
                <w:highlight w:val="none"/>
              </w:rPr>
            </w:r>
            <w:r/>
          </w:p>
        </w:tc>
      </w:tr>
      <w:tr>
        <w:trPr>
          <w:trHeight w:val="270"/>
        </w:trPr>
        <w:tc>
          <w:tcPr>
            <w:gridSpan w:val="2"/>
            <w:tcW w:w="2620" w:type="dxa"/>
            <w:vAlign w:val="center"/>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总计</w:t>
            </w:r>
            <w:r>
              <w:rPr>
                <w:rFonts w:hint="eastAsia" w:ascii="仿宋" w:hAnsi="仿宋" w:eastAsia="仿宋" w:cs="仿宋"/>
                <w:bCs/>
                <w:sz w:val="28"/>
                <w:szCs w:val="28"/>
                <w:highlight w:val="none"/>
              </w:rPr>
            </w:r>
            <w:r/>
          </w:p>
        </w:tc>
        <w:tc>
          <w:tcPr>
            <w:tcW w:w="1046" w:type="dxa"/>
            <w:vAlign w:val="center"/>
            <w:textDirection w:val="lrTb"/>
            <w:noWrap w:val="false"/>
          </w:tcPr>
          <w:p>
            <w:pPr>
              <w:pStyle w:val="649"/>
              <w:jc w:val="center"/>
              <w:spacing w:line="360" w:lineRule="auto"/>
              <w:shd w:val="clear" w:color="auto" w:fill="auto"/>
              <w:rPr>
                <w:rFonts w:ascii="仿宋" w:hAnsi="仿宋" w:eastAsia="仿宋" w:cs="仿宋"/>
                <w:bCs/>
                <w:sz w:val="28"/>
                <w:szCs w:val="28"/>
                <w:highlight w:val="none"/>
                <w:lang w:val="en-US"/>
              </w:rPr>
            </w:pPr>
            <w:r>
              <w:rPr>
                <w:rFonts w:hint="eastAsia" w:ascii="仿宋" w:hAnsi="仿宋" w:eastAsia="仿宋" w:cs="仿宋"/>
                <w:bCs/>
                <w:sz w:val="28"/>
                <w:szCs w:val="28"/>
                <w:highlight w:val="none"/>
                <w:lang w:val="en-US" w:eastAsia="zh-CN"/>
              </w:rPr>
              <w:t xml:space="preserve">61</w:t>
            </w:r>
            <w:r>
              <w:rPr>
                <w:rFonts w:ascii="仿宋" w:hAnsi="仿宋" w:eastAsia="仿宋" w:cs="仿宋"/>
                <w:bCs/>
                <w:sz w:val="28"/>
                <w:szCs w:val="28"/>
                <w:highlight w:val="none"/>
                <w:lang w:val="en-US"/>
              </w:rPr>
            </w:r>
            <w:r/>
          </w:p>
        </w:tc>
        <w:tc>
          <w:tcPr>
            <w:tcW w:w="5996" w:type="dxa"/>
            <w:vAlign w:val="center"/>
            <w:textDirection w:val="lrTb"/>
            <w:noWrap w:val="false"/>
          </w:tcPr>
          <w:p>
            <w:pPr>
              <w:pStyle w:val="649"/>
              <w:ind w:firstLine="560"/>
              <w:jc w:val="both"/>
              <w:spacing w:line="360" w:lineRule="auto"/>
              <w:shd w:val="clear" w:color="auto" w:fil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bl>
    <w:p>
      <w:pPr>
        <w:pStyle w:val="649"/>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49"/>
        <w:ind w:firstLine="562"/>
        <w:spacing w:line="520" w:lineRule="exact"/>
        <w:shd w:val="clear" w:color="auto" w:fil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注：</w:t>
      </w:r>
      <w:r>
        <w:rPr>
          <w:rFonts w:hint="eastAsia" w:ascii="仿宋" w:hAnsi="仿宋" w:eastAsia="仿宋" w:cs="仿宋"/>
          <w:b/>
          <w:bCs/>
          <w:sz w:val="28"/>
          <w:szCs w:val="28"/>
          <w:highlight w:val="none"/>
        </w:rPr>
      </w:r>
      <w:r/>
    </w:p>
    <w:p>
      <w:pPr>
        <w:pStyle w:val="649"/>
        <w:ind w:firstLine="562"/>
        <w:spacing w:line="520" w:lineRule="exact"/>
        <w:shd w:val="clear" w:color="auto" w:fil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w:t>
      </w:r>
      <w:r>
        <w:rPr>
          <w:rFonts w:hint="eastAsia" w:ascii="仿宋" w:hAnsi="仿宋" w:eastAsia="仿宋" w:cs="仿宋"/>
          <w:b/>
          <w:bCs/>
          <w:sz w:val="28"/>
          <w:szCs w:val="28"/>
          <w:highlight w:val="none"/>
          <w:lang w:val="en-US" w:eastAsia="zh-CN"/>
        </w:rPr>
        <w:t xml:space="preserve">供应商承诺中标后按照以上人员进行配置，</w:t>
      </w:r>
      <w:r>
        <w:rPr>
          <w:rFonts w:hint="eastAsia" w:ascii="仿宋" w:hAnsi="仿宋" w:eastAsia="仿宋" w:cs="仿宋"/>
          <w:b/>
          <w:bCs/>
          <w:sz w:val="28"/>
          <w:szCs w:val="28"/>
          <w:highlight w:val="none"/>
        </w:rPr>
        <w:t xml:space="preserve">若中标人未能遵循此要求，擅自变更人员配置，且未提前获得招标人书面批准同意，招标人有权视其中标行为失去效力，依法依规取消其中标资格，并追究相应责任。*投标人提供相关承诺书并加盖公章扫描上传至电子投标文件中，否则投标文件无效。</w:t>
      </w:r>
      <w:r>
        <w:rPr>
          <w:rFonts w:hint="eastAsia" w:ascii="仿宋" w:hAnsi="仿宋" w:eastAsia="仿宋" w:cs="仿宋"/>
          <w:b/>
          <w:bCs/>
          <w:sz w:val="28"/>
          <w:szCs w:val="28"/>
          <w:highlight w:val="none"/>
        </w:rPr>
      </w:r>
      <w:r/>
    </w:p>
    <w:p>
      <w:pPr>
        <w:pStyle w:val="649"/>
        <w:ind w:firstLine="562"/>
        <w:spacing w:line="520" w:lineRule="exact"/>
        <w:shd w:val="clear" w:color="auto" w:fil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2、</w:t>
      </w:r>
      <w:r>
        <w:rPr>
          <w:rFonts w:hint="eastAsia" w:ascii="仿宋" w:hAnsi="仿宋" w:eastAsia="仿宋" w:cs="仿宋"/>
          <w:b/>
          <w:bCs/>
          <w:sz w:val="28"/>
          <w:szCs w:val="28"/>
          <w:highlight w:val="none"/>
        </w:rPr>
        <w:t xml:space="preserve">各类物业工作人员应参加相关的专业知识培训，中标服务单位必须对所录用人员严格政审，保证录用人员没有刑事犯罪记录，持体检证明及相应专业岗位资格证。中标物业单位所录用人员必须符合国家相关的法律法规的要求（包括国家劳动合同法和地方相关管理规定），所有用工人员须甲方认可后方可录用，录用后须到甲方备案。</w:t>
      </w:r>
      <w:r>
        <w:rPr>
          <w:rFonts w:hint="eastAsia" w:ascii="仿宋" w:hAnsi="仿宋" w:eastAsia="仿宋" w:cs="仿宋"/>
          <w:b/>
          <w:bCs/>
          <w:sz w:val="28"/>
          <w:szCs w:val="28"/>
          <w:highlight w:val="none"/>
        </w:rPr>
      </w:r>
      <w:r/>
    </w:p>
    <w:p>
      <w:pPr>
        <w:pStyle w:val="649"/>
        <w:ind w:firstLine="562"/>
        <w:spacing w:line="520" w:lineRule="exact"/>
        <w:shd w:val="clear" w:color="auto" w:fil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4.3 项目经理要求：项目经理1人。</w:t>
      </w:r>
      <w:r>
        <w:rPr>
          <w:rFonts w:hint="eastAsia" w:ascii="仿宋" w:hAnsi="仿宋" w:eastAsia="仿宋" w:cs="仿宋"/>
          <w:b/>
          <w:bCs/>
          <w:sz w:val="28"/>
          <w:szCs w:val="28"/>
          <w:highlight w:val="none"/>
        </w:rPr>
      </w:r>
      <w:r/>
    </w:p>
    <w:p>
      <w:pPr>
        <w:pStyle w:val="649"/>
        <w:ind w:firstLine="560"/>
        <w:spacing w:line="520" w:lineRule="exact"/>
        <w:shd w:val="clear" w:color="auto" w:fill="auto"/>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项目经理必须为投标人正式员工。投标时须上传项目经理的居民身份证扫描件加盖</w:t>
      </w:r>
      <w:r>
        <w:rPr>
          <w:rFonts w:hint="eastAsia" w:ascii="仿宋" w:hAnsi="仿宋" w:eastAsia="仿宋" w:cs="仿宋"/>
          <w:sz w:val="28"/>
          <w:szCs w:val="28"/>
          <w:highlight w:val="none"/>
          <w:lang w:val="en-US" w:eastAsia="zh-CN"/>
        </w:rPr>
        <w:t xml:space="preserve">电子</w:t>
      </w:r>
      <w:r>
        <w:rPr>
          <w:rFonts w:hint="eastAsia" w:ascii="仿宋" w:hAnsi="仿宋" w:eastAsia="仿宋" w:cs="仿宋"/>
          <w:sz w:val="28"/>
          <w:szCs w:val="28"/>
          <w:highlight w:val="none"/>
        </w:rPr>
        <w:t xml:space="preserve">公章，提供与本单位签订的劳动合同扫描件加盖</w:t>
      </w:r>
      <w:r>
        <w:rPr>
          <w:rFonts w:hint="eastAsia" w:ascii="仿宋" w:hAnsi="仿宋" w:eastAsia="仿宋" w:cs="仿宋"/>
          <w:sz w:val="28"/>
          <w:szCs w:val="28"/>
          <w:highlight w:val="none"/>
          <w:lang w:val="en-US" w:eastAsia="zh-CN"/>
        </w:rPr>
        <w:t xml:space="preserve">电子</w:t>
      </w:r>
      <w:r>
        <w:rPr>
          <w:rFonts w:hint="eastAsia" w:ascii="仿宋" w:hAnsi="仿宋" w:eastAsia="仿宋" w:cs="仿宋"/>
          <w:sz w:val="28"/>
          <w:szCs w:val="28"/>
          <w:highlight w:val="none"/>
        </w:rPr>
        <w:t xml:space="preserve">公章，投标前任意一个月社保缴费证明本单位为其缴纳社会保险证明，两者缺一不可。</w:t>
      </w:r>
      <w:r>
        <w:rPr>
          <w:rFonts w:hint="eastAsia" w:ascii="仿宋" w:hAnsi="仿宋" w:eastAsia="仿宋" w:cs="仿宋"/>
          <w:bCs/>
          <w:sz w:val="28"/>
          <w:szCs w:val="28"/>
          <w:highlight w:val="none"/>
        </w:rPr>
      </w:r>
      <w:r/>
    </w:p>
    <w:p>
      <w:pPr>
        <w:pStyle w:val="665"/>
        <w:spacing w:line="520" w:lineRule="exact"/>
        <w:rPr>
          <w:rFonts w:hint="eastAsia" w:ascii="仿宋" w:hAnsi="仿宋" w:eastAsia="仿宋" w:cs="仿宋"/>
          <w:sz w:val="28"/>
          <w:szCs w:val="28"/>
          <w:highlight w:val="none"/>
          <w:lang w:val="en-US" w:eastAsia="zh-CN"/>
        </w:rPr>
      </w:pPr>
      <w:r>
        <w:rPr>
          <w:rFonts w:hint="eastAsia" w:ascii="仿宋" w:hAnsi="仿宋" w:eastAsia="仿宋" w:cs="仿宋"/>
          <w:b/>
          <w:bCs w:val="0"/>
          <w:sz w:val="28"/>
          <w:szCs w:val="28"/>
          <w:highlight w:val="none"/>
          <w:lang w:val="en-US" w:eastAsia="zh-CN"/>
        </w:rPr>
        <w:t xml:space="preserve">二、服务期：</w:t>
      </w:r>
      <w:r>
        <w:rPr>
          <w:rFonts w:hint="eastAsia" w:ascii="仿宋" w:hAnsi="仿宋" w:eastAsia="仿宋" w:cs="仿宋"/>
          <w:sz w:val="28"/>
          <w:szCs w:val="28"/>
          <w:highlight w:val="none"/>
          <w:lang w:val="en-US" w:eastAsia="zh-CN"/>
        </w:rPr>
        <w:t xml:space="preserve">一年</w:t>
      </w:r>
      <w:r>
        <w:rPr>
          <w:rFonts w:hint="eastAsia" w:ascii="仿宋" w:hAnsi="仿宋" w:eastAsia="仿宋" w:cs="仿宋"/>
          <w:sz w:val="28"/>
          <w:szCs w:val="28"/>
          <w:highlight w:val="none"/>
          <w:lang w:val="en-US" w:eastAsia="zh-CN"/>
        </w:rPr>
      </w:r>
      <w:r/>
    </w:p>
    <w:p>
      <w:pPr>
        <w:pStyle w:val="665"/>
        <w:spacing w:line="520" w:lineRule="exact"/>
        <w:rPr>
          <w:rFonts w:hint="eastAsia" w:ascii="仿宋" w:hAnsi="仿宋" w:eastAsia="仿宋" w:cs="仿宋"/>
          <w:b/>
          <w:bCs w:val="0"/>
          <w:sz w:val="28"/>
          <w:szCs w:val="28"/>
          <w:highlight w:val="none"/>
        </w:rPr>
      </w:pPr>
      <w:r>
        <w:rPr>
          <w:rFonts w:hint="eastAsia" w:ascii="仿宋" w:hAnsi="仿宋" w:eastAsia="仿宋" w:cs="仿宋"/>
          <w:b/>
          <w:bCs w:val="0"/>
          <w:sz w:val="28"/>
          <w:szCs w:val="28"/>
          <w:highlight w:val="none"/>
          <w:lang w:val="en-US" w:eastAsia="zh-CN"/>
        </w:rPr>
        <w:t xml:space="preserve">三、</w:t>
      </w:r>
      <w:r>
        <w:rPr>
          <w:rFonts w:hint="eastAsia" w:ascii="仿宋" w:hAnsi="仿宋" w:eastAsia="仿宋" w:cs="仿宋"/>
          <w:b/>
          <w:bCs w:val="0"/>
          <w:sz w:val="28"/>
          <w:szCs w:val="28"/>
          <w:highlight w:val="none"/>
        </w:rPr>
        <w:t xml:space="preserve">商务部分</w:t>
      </w:r>
      <w:r>
        <w:rPr>
          <w:rFonts w:hint="eastAsia" w:ascii="仿宋" w:hAnsi="仿宋" w:eastAsia="仿宋" w:cs="仿宋"/>
          <w:b/>
          <w:bCs w:val="0"/>
          <w:sz w:val="28"/>
          <w:szCs w:val="28"/>
          <w:highlight w:val="none"/>
        </w:rPr>
      </w:r>
      <w:r/>
    </w:p>
    <w:p>
      <w:pPr>
        <w:pStyle w:val="649"/>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（一）</w:t>
      </w:r>
      <w:r>
        <w:rPr>
          <w:rFonts w:hint="eastAsia" w:ascii="仿宋" w:hAnsi="仿宋" w:eastAsia="仿宋" w:cs="仿宋"/>
          <w:sz w:val="28"/>
          <w:szCs w:val="28"/>
          <w:highlight w:val="none"/>
          <w:lang w:val="en-US" w:eastAsia="zh-CN"/>
        </w:rPr>
        <w:t xml:space="preserve">服务期</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一年</w:t>
      </w:r>
      <w:r>
        <w:rPr>
          <w:rFonts w:hint="eastAsia" w:ascii="仿宋" w:hAnsi="仿宋" w:eastAsia="仿宋" w:cs="仿宋"/>
          <w:sz w:val="28"/>
          <w:szCs w:val="28"/>
          <w:highlight w:val="none"/>
          <w:lang w:eastAsia="zh-CN"/>
        </w:rPr>
      </w:r>
      <w:r/>
    </w:p>
    <w:p>
      <w:pPr>
        <w:pStyle w:val="649"/>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w:t>
      </w:r>
      <w:r>
        <w:rPr>
          <w:rFonts w:hint="eastAsia" w:ascii="仿宋" w:hAnsi="仿宋" w:eastAsia="仿宋" w:cs="仿宋"/>
          <w:sz w:val="28"/>
          <w:szCs w:val="28"/>
          <w:highlight w:val="none"/>
          <w:lang w:val="en-US" w:eastAsia="zh-CN"/>
        </w:rPr>
        <w:t xml:space="preserve">服务</w:t>
      </w:r>
      <w:r>
        <w:rPr>
          <w:rFonts w:hint="eastAsia" w:ascii="仿宋" w:hAnsi="仿宋" w:eastAsia="仿宋" w:cs="仿宋"/>
          <w:sz w:val="28"/>
          <w:szCs w:val="28"/>
          <w:highlight w:val="none"/>
        </w:rPr>
        <w:t xml:space="preserve">地点:由采购人指定。</w:t>
      </w:r>
      <w:r>
        <w:rPr>
          <w:rFonts w:hint="eastAsia" w:ascii="仿宋" w:hAnsi="仿宋" w:eastAsia="仿宋" w:cs="仿宋"/>
          <w:sz w:val="28"/>
          <w:szCs w:val="28"/>
          <w:highlight w:val="none"/>
        </w:rPr>
      </w:r>
      <w:r/>
    </w:p>
    <w:p>
      <w:pPr>
        <w:pStyle w:val="649"/>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付款方式:合同签订生效后支付当月的40%作为预付款，余款按月支付（中标价减叁万元除以12个月，如考核存在扣除费用，亦应扣减）。采购人每月根据考核结果，支付成交供应商每月物业服务费。次月支付上月物业服务费。</w:t>
      </w:r>
      <w:r>
        <w:rPr>
          <w:rFonts w:hint="eastAsia" w:ascii="仿宋" w:hAnsi="仿宋" w:eastAsia="仿宋" w:cs="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49"/>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49"/>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49"/>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65"/>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65"/>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65"/>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65"/>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6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6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  </w:t>
      </w:r>
      <w:r>
        <w:rPr>
          <w:rFonts w:hint="eastAsia" w:ascii="黑体" w:hAnsi="黑体" w:eastAsia="黑体"/>
          <w:b/>
          <w:bCs/>
          <w:sz w:val="36"/>
          <w:szCs w:val="36"/>
          <w:highlight w:val="none"/>
        </w:rPr>
      </w:r>
      <w:r/>
    </w:p>
    <w:p>
      <w:pPr>
        <w:pStyle w:val="665"/>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665"/>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665"/>
        <w:rPr>
          <w:rFonts w:hint="eastAsia" w:ascii="黑体" w:hAnsi="黑体" w:eastAsia="黑体"/>
          <w:sz w:val="32"/>
          <w:highlight w:val="none"/>
        </w:rPr>
      </w:pPr>
      <w:r>
        <w:rPr>
          <w:rFonts w:hint="eastAsia" w:ascii="黑体" w:hAnsi="黑体" w:eastAsia="黑体"/>
          <w:sz w:val="32"/>
          <w:highlight w:val="none"/>
        </w:rPr>
      </w:r>
      <w:r/>
    </w:p>
    <w:p>
      <w:pPr>
        <w:pStyle w:val="665"/>
        <w:rPr>
          <w:rFonts w:hint="eastAsia" w:ascii="黑体" w:hAnsi="黑体" w:eastAsia="黑体"/>
          <w:sz w:val="32"/>
          <w:highlight w:val="none"/>
        </w:rPr>
      </w:pPr>
      <w:r>
        <w:rPr>
          <w:rFonts w:hint="eastAsia" w:ascii="黑体" w:hAnsi="黑体" w:eastAsia="黑体"/>
          <w:sz w:val="32"/>
          <w:highlight w:val="none"/>
        </w:rPr>
      </w:r>
      <w:r/>
    </w:p>
    <w:p>
      <w:pPr>
        <w:pStyle w:val="649"/>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rPr>
          <w:rFonts w:hint="eastAsia" w:ascii="黑体" w:hAnsi="黑体" w:eastAsia="黑体"/>
          <w:b/>
          <w:bCs/>
          <w:sz w:val="36"/>
          <w:highlight w:val="none"/>
        </w:rPr>
      </w:r>
      <w:r/>
    </w:p>
    <w:p>
      <w:pPr>
        <w:pStyle w:val="665"/>
        <w:rPr>
          <w:rFonts w:hint="eastAsia" w:ascii="黑体" w:hAnsi="黑体" w:eastAsia="黑体"/>
          <w:sz w:val="32"/>
          <w:highlight w:val="none"/>
        </w:rPr>
      </w:pPr>
      <w:r>
        <w:rPr>
          <w:rFonts w:hint="eastAsia" w:ascii="黑体" w:hAnsi="黑体" w:eastAsia="黑体"/>
          <w:sz w:val="32"/>
          <w:highlight w:val="none"/>
        </w:rPr>
      </w:r>
      <w:r/>
    </w:p>
    <w:p>
      <w:pPr>
        <w:pStyle w:val="66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66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665"/>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rPr>
          <w:rFonts w:ascii="黑体" w:hAnsi="黑体" w:eastAsia="黑体"/>
          <w:b/>
          <w:sz w:val="36"/>
          <w:szCs w:val="24"/>
          <w:highlight w:val="none"/>
        </w:rPr>
      </w:r>
      <w:r/>
    </w:p>
    <w:p>
      <w:pPr>
        <w:pStyle w:val="649"/>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49"/>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49"/>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49"/>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49"/>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49"/>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rPr>
          <w:rFonts w:hint="eastAsia" w:ascii="黑体" w:hAnsi="黑体" w:eastAsia="黑体"/>
          <w:b/>
          <w:bCs/>
          <w:sz w:val="32"/>
          <w:highlight w:val="none"/>
        </w:rPr>
      </w:r>
      <w:r/>
    </w:p>
    <w:p>
      <w:pPr>
        <w:pStyle w:val="665"/>
        <w:ind w:firstLine="1904"/>
        <w:rPr>
          <w:rFonts w:hint="eastAsia" w:ascii="黑体" w:hAnsi="黑体" w:eastAsia="黑体"/>
          <w:sz w:val="32"/>
          <w:highlight w:val="none"/>
        </w:rPr>
      </w:pPr>
      <w:r>
        <w:rPr>
          <w:rFonts w:hint="eastAsia" w:ascii="黑体" w:hAnsi="黑体" w:eastAsia="黑体"/>
          <w:sz w:val="32"/>
          <w:highlight w:val="none"/>
        </w:rPr>
      </w:r>
      <w:r/>
    </w:p>
    <w:p>
      <w:pPr>
        <w:pStyle w:val="665"/>
        <w:ind w:firstLine="1904"/>
        <w:rPr>
          <w:rFonts w:hint="eastAsia" w:ascii="黑体" w:hAnsi="黑体" w:eastAsia="黑体"/>
          <w:sz w:val="32"/>
          <w:highlight w:val="none"/>
        </w:rPr>
      </w:pPr>
      <w:r>
        <w:rPr>
          <w:rFonts w:hint="eastAsia" w:ascii="黑体" w:hAnsi="黑体" w:eastAsia="黑体"/>
          <w:sz w:val="32"/>
          <w:highlight w:val="none"/>
        </w:rPr>
      </w:r>
      <w:r/>
    </w:p>
    <w:p>
      <w:pPr>
        <w:pStyle w:val="665"/>
        <w:ind w:firstLine="1904"/>
        <w:rPr>
          <w:rFonts w:hint="eastAsia" w:ascii="黑体" w:hAnsi="黑体" w:eastAsia="黑体"/>
          <w:sz w:val="32"/>
          <w:highlight w:val="none"/>
        </w:rPr>
      </w:pPr>
      <w:r>
        <w:rPr>
          <w:rFonts w:hint="eastAsia" w:ascii="黑体" w:hAnsi="黑体" w:eastAsia="黑体"/>
          <w:sz w:val="32"/>
          <w:highlight w:val="none"/>
        </w:rPr>
      </w:r>
      <w:r/>
    </w:p>
    <w:p>
      <w:pPr>
        <w:pStyle w:val="665"/>
        <w:ind w:firstLine="1904"/>
        <w:rPr>
          <w:rFonts w:hint="eastAsia" w:ascii="黑体" w:hAnsi="黑体" w:eastAsia="黑体"/>
          <w:sz w:val="32"/>
          <w:highlight w:val="none"/>
        </w:rPr>
      </w:pPr>
      <w:r>
        <w:rPr>
          <w:rFonts w:hint="eastAsia" w:ascii="黑体" w:hAnsi="黑体" w:eastAsia="黑体"/>
          <w:sz w:val="32"/>
          <w:highlight w:val="none"/>
        </w:rPr>
      </w:r>
      <w:r/>
    </w:p>
    <w:p>
      <w:pPr>
        <w:pStyle w:val="665"/>
        <w:ind w:firstLine="2645"/>
        <w:rPr>
          <w:rFonts w:hint="eastAsia" w:ascii="黑体" w:hAnsi="黑体" w:eastAsia="黑体"/>
          <w:b/>
          <w:sz w:val="32"/>
          <w:highlight w:val="none"/>
        </w:rPr>
      </w:pPr>
      <w:r>
        <w:rPr>
          <w:rFonts w:hint="eastAsia" w:ascii="黑体" w:hAnsi="黑体" w:eastAsia="黑体"/>
          <w:b/>
          <w:sz w:val="36"/>
          <w:szCs w:val="24"/>
          <w:highlight w:val="none"/>
        </w:rPr>
        <w:t xml:space="preserve">二0二</w:t>
      </w:r>
      <w:r>
        <w:rPr>
          <w:rFonts w:hint="eastAsia" w:ascii="黑体" w:hAnsi="黑体" w:eastAsia="黑体"/>
          <w:b/>
          <w:sz w:val="36"/>
          <w:szCs w:val="24"/>
          <w:highlight w:val="none"/>
          <w:lang w:val="en-US" w:eastAsia="zh-CN"/>
        </w:rPr>
        <w:t xml:space="preserve">六</w:t>
      </w:r>
      <w:r>
        <w:rPr>
          <w:rFonts w:hint="eastAsia" w:ascii="黑体" w:hAnsi="黑体" w:eastAsia="黑体"/>
          <w:b/>
          <w:sz w:val="36"/>
          <w:szCs w:val="24"/>
          <w:highlight w:val="none"/>
        </w:rPr>
        <w:t xml:space="preserve">年    月    日</w:t>
      </w:r>
      <w:r>
        <w:rPr>
          <w:rFonts w:hint="eastAsia" w:ascii="黑体" w:hAnsi="黑体" w:eastAsia="黑体"/>
          <w:b/>
          <w:sz w:val="32"/>
          <w:highlight w:val="none"/>
        </w:rPr>
      </w:r>
      <w:r/>
    </w:p>
    <w:p>
      <w:pPr>
        <w:pStyle w:val="649"/>
        <w:spacing w:line="640" w:lineRule="exact"/>
        <w:rPr>
          <w:rFonts w:hint="eastAsia" w:ascii="宋体" w:hAnsi="宋体"/>
          <w:sz w:val="28"/>
          <w:szCs w:val="28"/>
          <w:highlight w:val="none"/>
        </w:rPr>
      </w:pPr>
      <w:r>
        <w:rPr>
          <w:rFonts w:hint="eastAsia" w:ascii="宋体" w:hAnsi="宋体"/>
          <w:sz w:val="28"/>
          <w:szCs w:val="28"/>
          <w:highlight w:val="none"/>
        </w:rPr>
      </w:r>
      <w:r/>
    </w:p>
    <w:p>
      <w:pPr>
        <w:pStyle w:val="649"/>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49"/>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一、谈判函</w:t>
      </w:r>
      <w:r>
        <w:rPr>
          <w:rFonts w:hint="eastAsia" w:ascii="仿宋" w:hAnsi="仿宋" w:eastAsia="仿宋"/>
          <w:b/>
          <w:bCs/>
          <w:sz w:val="32"/>
          <w:szCs w:val="32"/>
          <w:highlight w:val="none"/>
        </w:rPr>
      </w:r>
      <w:r/>
    </w:p>
    <w:p>
      <w:pPr>
        <w:pStyle w:val="649"/>
        <w:spacing w:line="64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盱眙县人民法院</w:t>
      </w:r>
      <w:r>
        <w:rPr>
          <w:rFonts w:hint="eastAsia" w:ascii="仿宋" w:hAnsi="仿宋" w:eastAsia="仿宋"/>
          <w:sz w:val="28"/>
          <w:highlight w:val="none"/>
        </w:rPr>
        <w:t xml:space="preserve">:</w:t>
      </w:r>
      <w:r>
        <w:rPr>
          <w:rFonts w:hint="eastAsia" w:ascii="仿宋" w:hAnsi="仿宋" w:eastAsia="仿宋"/>
          <w:sz w:val="28"/>
          <w:highlight w:val="none"/>
        </w:rPr>
      </w:r>
      <w:r/>
    </w:p>
    <w:p>
      <w:pPr>
        <w:pStyle w:val="716"/>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谈判文件（包括更正公告，如果有的话）收悉，我们经详细审阅和研究，现决定参加本项目谈判。</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w:t>
      </w:r>
      <w:r>
        <w:rPr>
          <w:rFonts w:hint="eastAsia" w:ascii="仿宋" w:hAnsi="仿宋" w:eastAsia="仿宋"/>
          <w:sz w:val="28"/>
          <w:szCs w:val="28"/>
          <w:highlight w:val="none"/>
        </w:rPr>
        <w:t xml:space="preserve">全权处理本次项目谈判的有关事宜。</w:t>
      </w:r>
      <w:r>
        <w:rPr>
          <w:rFonts w:hint="eastAsia" w:ascii="仿宋" w:hAnsi="仿宋" w:eastAsia="仿宋"/>
          <w:sz w:val="28"/>
          <w:szCs w:val="28"/>
          <w:highlight w:val="none"/>
        </w:rPr>
      </w:r>
      <w:r/>
    </w:p>
    <w:p>
      <w:pPr>
        <w:pStyle w:val="649"/>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649"/>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716"/>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3、按照谈判文件中规定各项要求，我方愿以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元）的谈判总报价并按谈判文件的规定要求提供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rPr>
          <w:rFonts w:hint="eastAsia" w:ascii="仿宋" w:hAnsi="仿宋" w:eastAsia="仿宋"/>
          <w:sz w:val="28"/>
          <w:szCs w:val="28"/>
          <w:highlight w:val="none"/>
        </w:rPr>
      </w:r>
      <w:r/>
    </w:p>
    <w:p>
      <w:pPr>
        <w:pStyle w:val="649"/>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4、如果我们成交，我们将按谈判文件规定的时间提供货物和服务</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49"/>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谈判文件中第17条规定，本响应文件的有效期为从谈判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highlight w:val="none"/>
        </w:rPr>
      </w:r>
      <w:r/>
    </w:p>
    <w:p>
      <w:pPr>
        <w:pStyle w:val="649"/>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6、我们同意向贵方提供贵方可能要求的与谈判有关的任何证据或资料</w:t>
      </w:r>
      <w:r>
        <w:rPr>
          <w:rFonts w:hint="eastAsia" w:ascii="仿宋" w:hAnsi="仿宋" w:eastAsia="仿宋"/>
          <w:sz w:val="28"/>
          <w:highlight w:val="none"/>
        </w:rPr>
        <w:t xml:space="preserve">，并保证所提供的都是真实的、准确的。</w:t>
      </w:r>
      <w:r>
        <w:rPr>
          <w:rFonts w:hint="eastAsia" w:ascii="仿宋" w:hAnsi="仿宋" w:eastAsia="仿宋"/>
          <w:sz w:val="28"/>
          <w:szCs w:val="28"/>
          <w:highlight w:val="none"/>
        </w:rPr>
      </w:r>
      <w:r/>
    </w:p>
    <w:p>
      <w:pPr>
        <w:pStyle w:val="649"/>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一旦我方成交，我方将按照谈判文件的规定，严格履行合同的责任和义务，并保证按谈判文件中规定的时间内提供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rPr>
          <w:rFonts w:hint="eastAsia" w:ascii="仿宋" w:hAnsi="仿宋" w:eastAsia="仿宋"/>
          <w:sz w:val="28"/>
          <w:szCs w:val="28"/>
          <w:highlight w:val="none"/>
        </w:rPr>
      </w:r>
      <w:r/>
    </w:p>
    <w:p>
      <w:pPr>
        <w:pStyle w:val="649"/>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pStyle w:val="649"/>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716"/>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rPr>
          <w:rFonts w:hint="eastAsia" w:ascii="仿宋" w:hAnsi="仿宋" w:eastAsia="仿宋"/>
          <w:sz w:val="28"/>
          <w:highlight w:val="none"/>
          <w:u w:val="single"/>
        </w:rPr>
      </w:r>
      <w:r/>
    </w:p>
    <w:p>
      <w:pPr>
        <w:pStyle w:val="716"/>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649"/>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665"/>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sz w:val="28"/>
          <w:szCs w:val="24"/>
          <w:highlight w:val="none"/>
        </w:rPr>
      </w:r>
      <w:r/>
    </w:p>
    <w:p>
      <w:pPr>
        <w:pStyle w:val="649"/>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49"/>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49"/>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49"/>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lang w:val="en-US" w:eastAsia="zh-CN"/>
        </w:rPr>
        <w:t xml:space="preserve">二</w:t>
      </w:r>
      <w:r>
        <w:rPr>
          <w:rFonts w:hint="eastAsia" w:ascii="仿宋" w:hAnsi="仿宋" w:eastAsia="仿宋"/>
          <w:b/>
          <w:bCs/>
          <w:sz w:val="32"/>
          <w:szCs w:val="32"/>
          <w:highlight w:val="none"/>
        </w:rPr>
        <w:t xml:space="preserve">、资质审查时供应商必须提交的资格证明文件</w:t>
      </w:r>
      <w:r>
        <w:rPr>
          <w:rFonts w:hint="eastAsia" w:ascii="仿宋" w:hAnsi="仿宋" w:eastAsia="仿宋"/>
          <w:b/>
          <w:bCs/>
          <w:sz w:val="32"/>
          <w:szCs w:val="32"/>
          <w:highlight w:val="none"/>
        </w:rPr>
      </w:r>
      <w:r/>
    </w:p>
    <w:p>
      <w:pPr>
        <w:pStyle w:val="665"/>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rPr>
          <w:rFonts w:hint="eastAsia" w:ascii="仿宋" w:hAnsi="仿宋" w:eastAsia="仿宋"/>
          <w:b/>
          <w:bCs/>
          <w:sz w:val="32"/>
          <w:szCs w:val="32"/>
          <w:highlight w:val="none"/>
        </w:rPr>
      </w:r>
      <w:r/>
    </w:p>
    <w:p>
      <w:pPr>
        <w:pStyle w:val="649"/>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49"/>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49"/>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649"/>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64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color w:val="000000"/>
          <w:sz w:val="28"/>
          <w:szCs w:val="28"/>
          <w:highlight w:val="none"/>
          <w:lang w:val="zh-CN"/>
        </w:rPr>
        <w:t xml:space="preserve">投标人还须提供下列资料</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（2）</w:t>
      </w:r>
      <w:r>
        <w:rPr>
          <w:rFonts w:hint="eastAsia" w:ascii="仿宋" w:hAnsi="仿宋" w:eastAsia="仿宋"/>
          <w:sz w:val="28"/>
          <w:szCs w:val="28"/>
          <w:highlight w:val="none"/>
        </w:rPr>
      </w:r>
      <w:r/>
    </w:p>
    <w:p>
      <w:pPr>
        <w:pStyle w:val="649"/>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2557"/>
        <w:spacing w:line="440" w:lineRule="exact"/>
        <w:rPr>
          <w:rFonts w:hint="eastAsia" w:ascii="仿宋" w:hAnsi="仿宋" w:eastAsia="仿宋"/>
          <w:b/>
          <w:sz w:val="32"/>
          <w:szCs w:val="32"/>
          <w:highlight w:val="none"/>
        </w:rPr>
      </w:pPr>
      <w:r/>
      <w:bookmarkStart w:id="33" w:name="_Toc157775454"/>
      <w:r>
        <w:rPr>
          <w:rFonts w:hint="eastAsia" w:ascii="仿宋" w:hAnsi="仿宋" w:eastAsia="仿宋"/>
          <w:b/>
          <w:sz w:val="32"/>
          <w:szCs w:val="32"/>
          <w:highlight w:val="none"/>
          <w:lang w:val="en-US" w:eastAsia="zh-CN"/>
        </w:rPr>
        <w:t xml:space="preserve">三</w:t>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rPr>
      </w:r>
      <w:r/>
    </w:p>
    <w:p>
      <w:pPr>
        <w:pStyle w:val="649"/>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649"/>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649"/>
        <w:ind w:firstLine="2891"/>
        <w:spacing w:line="640" w:lineRule="exact"/>
        <w:rPr>
          <w:rFonts w:ascii="仿宋" w:hAnsi="仿宋" w:eastAsia="仿宋" w:cs="楷体_GB2312"/>
          <w:b/>
          <w:bCs/>
          <w:sz w:val="32"/>
          <w:szCs w:val="32"/>
          <w:highlight w:val="none"/>
          <w:lang w:val="zh-CN"/>
        </w:rPr>
      </w:pPr>
      <w:r/>
      <w:bookmarkEnd w:id="33"/>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649"/>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649"/>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649"/>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649"/>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649"/>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pStyle w:val="649"/>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pStyle w:val="649"/>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716"/>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649"/>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参加谈判的，必须附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身份证扫描件加盖供应商电子签章。</w:t>
      </w:r>
      <w:r>
        <w:rPr>
          <w:rFonts w:hint="eastAsia" w:ascii="仿宋" w:hAnsi="仿宋" w:eastAsia="仿宋"/>
          <w:color w:val="000000"/>
          <w:sz w:val="28"/>
          <w:szCs w:val="28"/>
          <w:highlight w:val="none"/>
        </w:rPr>
        <w:t xml:space="preserve">法定代表人授权其他人参加谈判的，仅需填写“授权委托书”。</w:t>
      </w:r>
      <w:r>
        <w:rPr>
          <w:rFonts w:hint="eastAsia" w:ascii="仿宋" w:hAnsi="仿宋" w:eastAsia="仿宋"/>
          <w:bCs/>
          <w:color w:val="000000"/>
          <w:sz w:val="28"/>
          <w:szCs w:val="28"/>
          <w:highlight w:val="none"/>
        </w:rPr>
      </w:r>
      <w:r/>
    </w:p>
    <w:p>
      <w:pPr>
        <w:pStyle w:val="649"/>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49"/>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49"/>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49"/>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649"/>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649"/>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val="en-US" w:eastAsia="zh-CN"/>
        </w:rPr>
        <w:t xml:space="preserve">盱眙县人民法院</w:t>
      </w:r>
      <w:r>
        <w:rPr>
          <w:rFonts w:hint="eastAsia" w:ascii="仿宋" w:hAnsi="仿宋" w:eastAsia="仿宋"/>
          <w:bCs/>
          <w:color w:val="000000"/>
          <w:sz w:val="30"/>
          <w:szCs w:val="28"/>
          <w:highlight w:val="none"/>
        </w:rPr>
        <w:t xml:space="preserve">:</w:t>
      </w:r>
      <w:r>
        <w:rPr>
          <w:rFonts w:hint="eastAsia" w:ascii="仿宋" w:hAnsi="仿宋" w:eastAsia="仿宋"/>
          <w:bCs/>
          <w:color w:val="000000"/>
          <w:sz w:val="30"/>
          <w:szCs w:val="28"/>
          <w:highlight w:val="non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val="en-US" w:eastAsia="zh-CN"/>
        </w:rPr>
        <w:t xml:space="preserve">盱眙县人民法院</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649"/>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49"/>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49"/>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649"/>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受托人参加谈判的，必须附受托人身份证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件加盖供应商电子签章。</w:t>
      </w:r>
      <w:r>
        <w:rPr>
          <w:rFonts w:hint="eastAsia" w:ascii="仿宋" w:hAnsi="仿宋" w:eastAsia="仿宋"/>
          <w:color w:val="000000"/>
          <w:sz w:val="28"/>
          <w:szCs w:val="28"/>
          <w:highlight w:val="none"/>
        </w:rPr>
        <w:t xml:space="preserve">法定代表人直接参加谈判的，仅需填写“法定代表人资格证明”。</w:t>
      </w:r>
      <w:r>
        <w:rPr>
          <w:rFonts w:hint="eastAsia" w:ascii="仿宋" w:hAnsi="仿宋" w:eastAsia="仿宋"/>
          <w:color w:val="000000"/>
          <w:sz w:val="28"/>
          <w:szCs w:val="28"/>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ind w:firstLine="3213"/>
        <w:spacing w:line="520" w:lineRule="exact"/>
        <w:rPr>
          <w:rFonts w:hint="eastAsia" w:ascii="仿宋" w:hAnsi="仿宋" w:eastAsia="仿宋"/>
          <w:b/>
          <w:bCs/>
          <w:sz w:val="32"/>
          <w:highlight w:val="none"/>
          <w:lang w:val="zh-CN"/>
        </w:rPr>
      </w:pPr>
      <w:r>
        <w:rPr>
          <w:rFonts w:hint="eastAsia" w:ascii="仿宋" w:hAnsi="仿宋" w:eastAsia="仿宋"/>
          <w:b/>
          <w:bCs/>
          <w:sz w:val="32"/>
          <w:highlight w:val="none"/>
          <w:lang w:val="zh-CN"/>
        </w:rPr>
        <w:t xml:space="preserve">承   诺  书</w:t>
      </w:r>
      <w:r>
        <w:rPr>
          <w:rFonts w:hint="eastAsia" w:ascii="仿宋" w:hAnsi="仿宋" w:eastAsia="仿宋"/>
          <w:b/>
          <w:bCs/>
          <w:sz w:val="32"/>
          <w:highlight w:val="none"/>
          <w:lang w:val="zh-CN"/>
        </w:rPr>
      </w:r>
      <w:r/>
    </w:p>
    <w:p>
      <w:pPr>
        <w:pStyle w:val="649"/>
        <w:ind w:firstLine="140"/>
        <w:jc w:val="left"/>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（采购单位）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649"/>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我方在项目名称:                      （项目编号:       ）的招标过程中，做如下承诺:</w:t>
      </w:r>
      <w:r>
        <w:rPr>
          <w:rFonts w:hint="eastAsia" w:ascii="仿宋" w:hAnsi="仿宋" w:eastAsia="仿宋" w:cs="仿宋"/>
          <w:sz w:val="28"/>
          <w:szCs w:val="28"/>
          <w:highlight w:val="none"/>
        </w:rPr>
      </w:r>
      <w:r/>
    </w:p>
    <w:p>
      <w:pPr>
        <w:pStyle w:val="649"/>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一、我方企业完全具备履行合同所必须的设备和专业技术能力；</w:t>
      </w:r>
      <w:r>
        <w:rPr>
          <w:rFonts w:hint="eastAsia" w:ascii="仿宋" w:hAnsi="仿宋" w:eastAsia="仿宋" w:cs="仿宋"/>
          <w:sz w:val="28"/>
          <w:szCs w:val="28"/>
          <w:highlight w:val="none"/>
        </w:rPr>
      </w:r>
      <w:r/>
    </w:p>
    <w:p>
      <w:pPr>
        <w:pStyle w:val="649"/>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二、我方参加政府采购活动前3年内在经营活动中没有重大违法记录（因违法经营受到刑事处罚或者责令停产停业、吊销许可证或者执照、较大数额罚款等行政处罚）。</w:t>
      </w:r>
      <w:r>
        <w:rPr>
          <w:rFonts w:hint="eastAsia" w:ascii="仿宋" w:hAnsi="仿宋" w:eastAsia="仿宋" w:cs="仿宋"/>
          <w:sz w:val="28"/>
          <w:szCs w:val="28"/>
          <w:highlight w:val="none"/>
        </w:rPr>
      </w:r>
      <w:r/>
    </w:p>
    <w:p>
      <w:pPr>
        <w:pStyle w:val="649"/>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三、我公司与参加本次采购活动的其他单位不存在单位负责人为同一人的情况，也不存在控股、管理关系的情况；</w:t>
      </w:r>
      <w:r>
        <w:rPr>
          <w:rFonts w:hint="eastAsia" w:ascii="仿宋" w:hAnsi="仿宋" w:eastAsia="仿宋" w:cs="仿宋"/>
          <w:sz w:val="28"/>
          <w:szCs w:val="28"/>
          <w:highlight w:val="none"/>
        </w:rPr>
      </w:r>
      <w:r/>
    </w:p>
    <w:p>
      <w:pPr>
        <w:pStyle w:val="649"/>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四、我公司没有为本采购项目提供整体设计、规范编制或者项目管理、监理、检测等服务；</w:t>
      </w:r>
      <w:r>
        <w:rPr>
          <w:rFonts w:hint="eastAsia" w:ascii="仿宋" w:hAnsi="仿宋" w:eastAsia="仿宋" w:cs="仿宋"/>
          <w:sz w:val="28"/>
          <w:szCs w:val="28"/>
          <w:highlight w:val="none"/>
        </w:rPr>
      </w:r>
      <w:r/>
    </w:p>
    <w:p>
      <w:pPr>
        <w:pStyle w:val="649"/>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五、我方保证上述信息的真实和准确，并愿意承担因我方就此弄虚作假所引起的一切法律后果，并自愿接受相关监管部门作出的任何处罚。</w:t>
      </w:r>
      <w:r>
        <w:rPr>
          <w:rFonts w:hint="eastAsia" w:ascii="仿宋" w:hAnsi="仿宋" w:eastAsia="仿宋" w:cs="仿宋"/>
          <w:sz w:val="28"/>
          <w:szCs w:val="28"/>
          <w:highlight w:val="none"/>
        </w:rPr>
      </w:r>
      <w:r/>
    </w:p>
    <w:p>
      <w:pPr>
        <w:pStyle w:val="649"/>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49"/>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特此承诺！</w:t>
      </w:r>
      <w:r>
        <w:rPr>
          <w:rFonts w:hint="eastAsia" w:ascii="仿宋" w:hAnsi="仿宋" w:eastAsia="仿宋" w:cs="仿宋"/>
          <w:sz w:val="28"/>
          <w:szCs w:val="28"/>
          <w:highlight w:val="none"/>
        </w:rPr>
      </w:r>
      <w:r/>
    </w:p>
    <w:p>
      <w:pPr>
        <w:pStyle w:val="649"/>
        <w:ind w:right="42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649"/>
        <w:ind w:right="42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法定代表人(负责人）或委托代理人（签字或盖章）:          </w:t>
      </w:r>
      <w:r>
        <w:rPr>
          <w:rFonts w:hint="eastAsia" w:ascii="仿宋" w:hAnsi="仿宋" w:eastAsia="仿宋" w:cs="仿宋"/>
          <w:sz w:val="28"/>
          <w:szCs w:val="28"/>
          <w:highlight w:val="none"/>
        </w:rPr>
      </w:r>
      <w:r/>
    </w:p>
    <w:p>
      <w:pPr>
        <w:pStyle w:val="649"/>
        <w:ind w:right="42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649"/>
        <w:ind w:right="420"/>
        <w:jc w:val="center"/>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供应商:（盖单位公章）              </w:t>
      </w:r>
      <w:r>
        <w:rPr>
          <w:rFonts w:hint="eastAsia" w:ascii="仿宋" w:hAnsi="仿宋" w:eastAsia="仿宋" w:cs="仿宋"/>
          <w:sz w:val="28"/>
          <w:szCs w:val="28"/>
          <w:highlight w:val="none"/>
        </w:rPr>
      </w:r>
      <w:r/>
    </w:p>
    <w:p>
      <w:pPr>
        <w:pStyle w:val="649"/>
        <w:ind w:firstLine="280"/>
        <w:jc w:val="center"/>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695"/>
        <w:rPr>
          <w:rFonts w:hint="eastAsia" w:ascii="仿宋" w:hAnsi="仿宋" w:eastAsia="仿宋" w:cs="仿宋"/>
          <w:sz w:val="28"/>
          <w:szCs w:val="28"/>
        </w:rPr>
      </w:pPr>
      <w:r>
        <w:rPr>
          <w:rFonts w:hint="eastAsia" w:ascii="仿宋" w:hAnsi="仿宋" w:eastAsia="仿宋" w:cs="仿宋"/>
          <w:sz w:val="28"/>
          <w:szCs w:val="28"/>
          <w:highlight w:val="none"/>
        </w:rPr>
        <w:t xml:space="preserve">                            日 期:  年   月   日</w:t>
      </w:r>
      <w:r>
        <w:rPr>
          <w:rFonts w:hint="eastAsia" w:ascii="仿宋" w:hAnsi="仿宋" w:eastAsia="仿宋" w:cs="仿宋"/>
          <w:sz w:val="28"/>
          <w:szCs w:val="28"/>
        </w:rPr>
      </w:r>
      <w:r/>
    </w:p>
    <w:p>
      <w:pPr>
        <w:pStyle w:val="649"/>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649"/>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649"/>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b/>
          <w:sz w:val="32"/>
          <w:szCs w:val="32"/>
          <w:highlight w:val="none"/>
          <w:lang w:val="en-US" w:eastAsia="zh-CN"/>
        </w:rPr>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val="en-US" w:eastAsia="zh-CN"/>
        </w:rPr>
        <w:t xml:space="preserve">四</w:t>
      </w:r>
      <w:r>
        <w:rPr>
          <w:rFonts w:hint="eastAsia" w:ascii="仿宋" w:hAnsi="仿宋" w:eastAsia="仿宋"/>
          <w:b/>
          <w:sz w:val="32"/>
          <w:szCs w:val="32"/>
          <w:highlight w:val="none"/>
          <w:lang w:val="en-US" w:eastAsia="zh-CN"/>
        </w:rPr>
      </w:r>
      <w:r/>
    </w:p>
    <w:p>
      <w:pPr>
        <w:pStyle w:val="649"/>
        <w:jc w:val="both"/>
        <w:spacing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649"/>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符合《政府采购法》第二十二条规定条件的声明函</w:t>
      </w:r>
      <w:r>
        <w:rPr>
          <w:rFonts w:hint="eastAsia" w:ascii="仿宋" w:hAnsi="仿宋" w:eastAsia="仿宋"/>
          <w:b/>
          <w:bCs/>
          <w:sz w:val="32"/>
          <w:highlight w:val="none"/>
        </w:rPr>
      </w:r>
      <w:r/>
    </w:p>
    <w:p>
      <w:pPr>
        <w:pStyle w:val="676"/>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盱眙县人民法院</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649"/>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649"/>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649"/>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49"/>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49"/>
        <w:jc w:val="right"/>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49"/>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649"/>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sz w:val="28"/>
          <w:szCs w:val="28"/>
          <w:highlight w:val="none"/>
        </w:rPr>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val="en-US" w:eastAsia="zh-CN"/>
        </w:rPr>
        <w:t xml:space="preserve">五</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649"/>
        <w:numPr>
          <w:ilvl w:val="0"/>
          <w:numId w:val="2"/>
        </w:numPr>
        <w:jc w:val="center"/>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企业声明函（货物类）</w:t>
      </w:r>
      <w:r>
        <w:rPr>
          <w:rFonts w:hint="eastAsia" w:ascii="仿宋" w:hAnsi="仿宋" w:eastAsia="仿宋"/>
          <w:b/>
          <w:bCs/>
          <w:sz w:val="32"/>
          <w:szCs w:val="32"/>
          <w:highlight w:val="none"/>
        </w:rPr>
      </w:r>
      <w:r/>
    </w:p>
    <w:p>
      <w:pPr>
        <w:pStyle w:val="67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盱眙县人民法院</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67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bCs/>
          <w:color w:val="000000"/>
          <w:sz w:val="28"/>
          <w:szCs w:val="28"/>
          <w:highlight w:val="none"/>
        </w:rPr>
      </w:r>
      <w:r/>
    </w:p>
    <w:p>
      <w:pPr>
        <w:pStyle w:val="67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67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676"/>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67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67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76"/>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rPr>
          <w:rFonts w:hint="eastAsia" w:ascii="仿宋" w:hAnsi="仿宋" w:eastAsia="仿宋"/>
          <w:bCs/>
          <w:color w:val="000000"/>
          <w:sz w:val="24"/>
          <w:highlight w:val="none"/>
        </w:rPr>
      </w:r>
      <w:r/>
    </w:p>
    <w:p>
      <w:pPr>
        <w:pStyle w:val="676"/>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649"/>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（二）企业声明函（服务）</w:t>
      </w:r>
      <w:r>
        <w:rPr>
          <w:rFonts w:hint="eastAsia" w:ascii="仿宋" w:hAnsi="仿宋" w:eastAsia="仿宋"/>
          <w:b/>
          <w:bCs/>
          <w:sz w:val="32"/>
          <w:szCs w:val="32"/>
          <w:highlight w:val="none"/>
        </w:rPr>
      </w:r>
      <w:r/>
    </w:p>
    <w:p>
      <w:pPr>
        <w:pStyle w:val="67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盱眙县人民法院</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67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highlight w:val="none"/>
        </w:rPr>
      </w:r>
      <w:r/>
    </w:p>
    <w:p>
      <w:pPr>
        <w:pStyle w:val="67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7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76"/>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67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67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76"/>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rPr>
          <w:rFonts w:hint="eastAsia" w:ascii="仿宋" w:hAnsi="仿宋" w:eastAsia="仿宋"/>
          <w:bCs/>
          <w:color w:val="000000"/>
          <w:sz w:val="24"/>
          <w:highlight w:val="none"/>
        </w:rPr>
      </w:r>
      <w:r/>
    </w:p>
    <w:p>
      <w:pPr>
        <w:pStyle w:val="676"/>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676"/>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676"/>
        <w:ind w:firstLine="643"/>
        <w:jc w:val="left"/>
        <w:spacing w:line="520" w:lineRule="exact"/>
        <w:rPr>
          <w:rFonts w:hint="eastAsia" w:ascii="仿宋" w:hAnsi="仿宋" w:eastAsia="仿宋"/>
          <w:b/>
          <w:sz w:val="32"/>
          <w:szCs w:val="32"/>
          <w:highlight w:val="none"/>
          <w:lang w:eastAsia="zh-CN"/>
        </w:rPr>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val="en-US" w:eastAsia="zh-CN"/>
        </w:rPr>
        <w:t xml:space="preserve">六</w:t>
      </w:r>
      <w:r>
        <w:rPr>
          <w:rFonts w:hint="eastAsia" w:ascii="仿宋" w:hAnsi="仿宋" w:eastAsia="仿宋"/>
          <w:b/>
          <w:sz w:val="32"/>
          <w:szCs w:val="32"/>
          <w:highlight w:val="none"/>
          <w:lang w:eastAsia="zh-CN"/>
        </w:rPr>
      </w:r>
      <w:r/>
    </w:p>
    <w:p>
      <w:pPr>
        <w:pStyle w:val="649"/>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676"/>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盱眙县人民法院</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676"/>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676"/>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676"/>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676"/>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676"/>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49"/>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64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
    <w:panose1 w:val="02010609060101010101"/>
  </w:font>
  <w:font w:name="Symbol">
    <w:panose1 w:val="05050102010706020507"/>
  </w:font>
  <w:font w:name="Wingdings">
    <w:panose1 w:val="05000000000000000000"/>
  </w:font>
  <w:font w:name="Calibri">
    <w:panose1 w:val="020F0502020204030204"/>
  </w:font>
  <w:font w:name="华文行楷">
    <w:panose1 w:val="02010800040101010101"/>
  </w:font>
  <w:font w:name="仿宋">
    <w:panose1 w:val="02010609060101010101"/>
  </w:font>
  <w:font w:name="Tahoma">
    <w:panose1 w:val="020B0604030504040204"/>
  </w:font>
  <w:font w:name="方正仿宋简体">
    <w:panose1 w:val="020B050302020202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tabs>
        <w:tab w:val="center" w:pos="4153" w:leader="none"/>
        <w:tab w:val="right" w:pos="8306" w:leader="none"/>
      </w:tabs>
      <w:rPr>
        <w:rStyle w:val="656"/>
      </w:rPr>
      <w:framePr w:wrap="around" w:vAnchor="text" w:hAnchor="margin" w:xAlign="center" w:yAlign="top"/>
    </w:pPr>
    <w:r>
      <w:fldChar w:fldCharType="begin"/>
    </w:r>
    <w:r>
      <w:rPr>
        <w:rStyle w:val="656"/>
      </w:rPr>
      <w:instrText xml:space="preserve">PAGE  </w:instrText>
    </w:r>
    <w:r>
      <w:fldChar w:fldCharType="separate"/>
    </w:r>
    <w:r>
      <w:rPr>
        <w:rStyle w:val="656"/>
      </w:rPr>
      <w:t xml:space="preserve">8</w:t>
    </w:r>
    <w:r>
      <w:fldChar w:fldCharType="end"/>
    </w:r>
    <w:r>
      <w:rPr>
        <w:rStyle w:val="656"/>
      </w:rPr>
    </w:r>
    <w:r/>
  </w:p>
  <w:p>
    <w:pPr>
      <w:pStyle w:val="67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tabs>
        <w:tab w:val="center" w:pos="4153" w:leader="none"/>
        <w:tab w:val="right" w:pos="8306" w:leader="none"/>
      </w:tabs>
      <w:rPr>
        <w:rStyle w:val="656"/>
      </w:rPr>
      <w:framePr w:wrap="around" w:vAnchor="text" w:hAnchor="margin" w:xAlign="center" w:yAlign="top"/>
    </w:pPr>
    <w:r>
      <w:fldChar w:fldCharType="begin"/>
    </w:r>
    <w:r>
      <w:rPr>
        <w:rStyle w:val="656"/>
      </w:rPr>
      <w:instrText xml:space="preserve">PAGE  </w:instrText>
    </w:r>
    <w:r>
      <w:fldChar w:fldCharType="end"/>
    </w:r>
    <w:r>
      <w:rPr>
        <w:rStyle w:val="656"/>
      </w:rPr>
    </w:r>
    <w:r/>
  </w:p>
  <w:p>
    <w:pPr>
      <w:pStyle w:val="6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项目竞争性谈判文件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50"/>
      <w:isLgl w:val="false"/>
      <w:suff w:val="tab"/>
      <w:lvlText w:val="%1"/>
      <w:lvlJc w:val="left"/>
      <w:pPr>
        <w:pStyle w:val="649"/>
        <w:ind w:left="432" w:hanging="432"/>
        <w:tabs>
          <w:tab w:val="num" w:pos="432" w:leader="none"/>
        </w:tabs>
      </w:pPr>
    </w:lvl>
    <w:lvl w:ilvl="1">
      <w:start w:val="1"/>
      <w:numFmt w:val="decimal"/>
      <w:isLgl w:val="false"/>
      <w:suff w:val="tab"/>
      <w:lvlText w:val="%1.%2"/>
      <w:lvlJc w:val="left"/>
      <w:pPr>
        <w:pStyle w:val="649"/>
        <w:ind w:left="576" w:hanging="576"/>
        <w:tabs>
          <w:tab w:val="num" w:pos="576" w:leader="none"/>
        </w:tabs>
      </w:pPr>
    </w:lvl>
    <w:lvl w:ilvl="2">
      <w:start w:val="1"/>
      <w:numFmt w:val="decimal"/>
      <w:pStyle w:val="651"/>
      <w:isLgl w:val="false"/>
      <w:suff w:val="tab"/>
      <w:lvlText w:val="%1.%2.%3"/>
      <w:lvlJc w:val="left"/>
      <w:pPr>
        <w:pStyle w:val="649"/>
        <w:ind w:left="720" w:hanging="720"/>
        <w:tabs>
          <w:tab w:val="num" w:pos="720" w:leader="none"/>
        </w:tabs>
      </w:pPr>
    </w:lvl>
    <w:lvl w:ilvl="3">
      <w:start w:val="1"/>
      <w:numFmt w:val="decimal"/>
      <w:isLgl w:val="false"/>
      <w:suff w:val="tab"/>
      <w:lvlText w:val="%1.%2.%3.%4"/>
      <w:lvlJc w:val="left"/>
      <w:pPr>
        <w:pStyle w:val="649"/>
        <w:ind w:left="864" w:hanging="864"/>
        <w:tabs>
          <w:tab w:val="num" w:pos="864" w:leader="none"/>
        </w:tabs>
      </w:pPr>
    </w:lvl>
    <w:lvl w:ilvl="4">
      <w:start w:val="1"/>
      <w:numFmt w:val="decimal"/>
      <w:isLgl w:val="false"/>
      <w:suff w:val="tab"/>
      <w:lvlText w:val="%1.%2.%3.%4.%5"/>
      <w:lvlJc w:val="left"/>
      <w:pPr>
        <w:pStyle w:val="649"/>
        <w:ind w:left="1008" w:hanging="1008"/>
        <w:tabs>
          <w:tab w:val="num" w:pos="1008" w:leader="none"/>
        </w:tabs>
      </w:pPr>
    </w:lvl>
    <w:lvl w:ilvl="5">
      <w:start w:val="1"/>
      <w:numFmt w:val="decimal"/>
      <w:isLgl w:val="false"/>
      <w:suff w:val="tab"/>
      <w:lvlText w:val="%1.%2.%3.%4.%5.%6"/>
      <w:lvlJc w:val="left"/>
      <w:pPr>
        <w:pStyle w:val="649"/>
        <w:ind w:left="1152" w:hanging="1152"/>
        <w:tabs>
          <w:tab w:val="num" w:pos="1152" w:leader="none"/>
        </w:tabs>
      </w:pPr>
    </w:lvl>
    <w:lvl w:ilvl="6">
      <w:start w:val="1"/>
      <w:numFmt w:val="decimal"/>
      <w:isLgl w:val="false"/>
      <w:suff w:val="tab"/>
      <w:lvlText w:val="%1.%2.%3.%4.%5.%6.%7"/>
      <w:lvlJc w:val="left"/>
      <w:pPr>
        <w:pStyle w:val="649"/>
        <w:ind w:left="1296" w:hanging="1296"/>
        <w:tabs>
          <w:tab w:val="num" w:pos="1296" w:leader="none"/>
        </w:tabs>
      </w:pPr>
    </w:lvl>
    <w:lvl w:ilvl="7">
      <w:start w:val="1"/>
      <w:numFmt w:val="decimal"/>
      <w:isLgl w:val="false"/>
      <w:suff w:val="tab"/>
      <w:lvlText w:val="%1.%2.%3.%4.%5.%6.%7.%8"/>
      <w:lvlJc w:val="left"/>
      <w:pPr>
        <w:pStyle w:val="649"/>
        <w:ind w:left="1440" w:hanging="1440"/>
        <w:tabs>
          <w:tab w:val="num" w:pos="1440" w:leader="none"/>
        </w:tabs>
      </w:pPr>
    </w:lvl>
    <w:lvl w:ilvl="8">
      <w:start w:val="1"/>
      <w:numFmt w:val="decimal"/>
      <w:isLgl w:val="false"/>
      <w:suff w:val="tab"/>
      <w:lvlText w:val="%1.%2.%3.%4.%5.%6.%7.%8.%9"/>
      <w:lvlJc w:val="left"/>
      <w:pPr>
        <w:pStyle w:val="649"/>
        <w:ind w:left="1584" w:hanging="1584"/>
        <w:tabs>
          <w:tab w:val="num" w:pos="1584" w:leader="none"/>
        </w:tabs>
      </w:pPr>
    </w:lvl>
  </w:abstractNum>
  <w:abstractNum w:abstractNumId="1">
    <w:multiLevelType w:val="hybridMultilevel"/>
    <w:lvl w:ilvl="0">
      <w:start w:val="1"/>
      <w:numFmt w:val="chineseCounting"/>
      <w:isLgl w:val="false"/>
      <w:suff w:val="nothing"/>
      <w:lvlText w:val="（%1）"/>
      <w:lvlJc w:val="left"/>
      <w:pPr>
        <w:pStyle w:val="6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51"/>
    <w:link w:val="649"/>
    <w:qFormat/>
    <w:pPr>
      <w:jc w:val="both"/>
      <w:widowControl w:val="off"/>
    </w:pPr>
    <w:rPr>
      <w:sz w:val="21"/>
      <w:szCs w:val="24"/>
      <w:lang w:val="en-US" w:eastAsia="zh-CN" w:bidi="ar-SA"/>
    </w:rPr>
  </w:style>
  <w:style w:type="paragraph" w:styleId="650">
    <w:name w:val="标题 1"/>
    <w:basedOn w:val="649"/>
    <w:next w:val="649"/>
    <w:link w:val="649"/>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651">
    <w:name w:val="标题 3"/>
    <w:basedOn w:val="649"/>
    <w:next w:val="649"/>
    <w:link w:val="649"/>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652">
    <w:name w:val="默认段落字体"/>
    <w:next w:val="652"/>
    <w:link w:val="649"/>
    <w:semiHidden/>
  </w:style>
  <w:style w:type="table" w:styleId="653">
    <w:name w:val="普通表格"/>
    <w:next w:val="653"/>
    <w:link w:val="649"/>
    <w:semiHidden/>
    <w:tblPr/>
  </w:style>
  <w:style w:type="character" w:styleId="654">
    <w:name w:val="已访问的超链接"/>
    <w:next w:val="654"/>
    <w:link w:val="649"/>
    <w:rPr>
      <w:color w:val="800080"/>
      <w:u w:val="single"/>
    </w:rPr>
  </w:style>
  <w:style w:type="character" w:styleId="655">
    <w:name w:val="超链接"/>
    <w:next w:val="655"/>
    <w:link w:val="649"/>
    <w:rPr>
      <w:color w:val="0000ff"/>
      <w:u w:val="single"/>
    </w:rPr>
  </w:style>
  <w:style w:type="character" w:styleId="656">
    <w:name w:val="页码"/>
    <w:next w:val="656"/>
    <w:link w:val="649"/>
  </w:style>
  <w:style w:type="character" w:styleId="657">
    <w:name w:val="纯文本 Char"/>
    <w:next w:val="657"/>
    <w:link w:val="665"/>
    <w:rPr>
      <w:rFonts w:ascii="宋体" w:hAnsi="Courier New" w:eastAsia="宋体"/>
      <w:sz w:val="21"/>
      <w:lang w:val="en-US" w:eastAsia="zh-CN" w:bidi="ar-SA"/>
    </w:rPr>
  </w:style>
  <w:style w:type="character" w:styleId="658">
    <w:name w:val="正文首行缩进 2 Char"/>
    <w:basedOn w:val="659"/>
    <w:next w:val="658"/>
    <w:link w:val="687"/>
  </w:style>
  <w:style w:type="character" w:styleId="659">
    <w:name w:val="正文文本缩进 Char"/>
    <w:next w:val="659"/>
    <w:link w:val="666"/>
    <w:rPr>
      <w:sz w:val="21"/>
      <w:szCs w:val="24"/>
    </w:rPr>
  </w:style>
  <w:style w:type="character" w:styleId="660">
    <w:name w:val="正文缩进 Char"/>
    <w:next w:val="660"/>
    <w:link w:val="676"/>
    <w:rPr>
      <w:sz w:val="21"/>
      <w:szCs w:val="24"/>
    </w:rPr>
  </w:style>
  <w:style w:type="character" w:styleId="661">
    <w:name w:val="纯文本 Char1, Char Char,普通文字 Char Char,纯文本 Char Char,小 Char1"/>
    <w:next w:val="661"/>
    <w:link w:val="649"/>
    <w:rPr>
      <w:rFonts w:ascii="宋体" w:hAnsi="Courier New"/>
      <w:sz w:val="21"/>
    </w:rPr>
  </w:style>
  <w:style w:type="paragraph" w:styleId="662">
    <w:name w:val="xl41"/>
    <w:basedOn w:val="649"/>
    <w:next w:val="662"/>
    <w:link w:val="649"/>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63">
    <w:name w:val="批注文字"/>
    <w:basedOn w:val="649"/>
    <w:next w:val="663"/>
    <w:link w:val="649"/>
    <w:qFormat/>
    <w:pPr>
      <w:jc w:val="left"/>
    </w:pPr>
    <w:rPr>
      <w:rFonts w:cs="Times New Roman"/>
      <w:szCs w:val="24"/>
    </w:rPr>
  </w:style>
  <w:style w:type="paragraph" w:styleId="664">
    <w:name w:val="页眉"/>
    <w:basedOn w:val="649"/>
    <w:next w:val="664"/>
    <w:link w:val="649"/>
    <w:pPr>
      <w:jc w:val="center"/>
      <w:tabs>
        <w:tab w:val="center" w:pos="4153" w:leader="none"/>
        <w:tab w:val="right" w:pos="8306" w:leader="none"/>
      </w:tabs>
      <w:pBdr>
        <w:bottom w:val="single" w:color="000000" w:sz="6" w:space="1"/>
      </w:pBdr>
    </w:pPr>
    <w:rPr>
      <w:sz w:val="18"/>
      <w:szCs w:val="18"/>
    </w:rPr>
  </w:style>
  <w:style w:type="paragraph" w:styleId="665">
    <w:name w:val="纯文本"/>
    <w:basedOn w:val="649"/>
    <w:next w:val="649"/>
    <w:link w:val="657"/>
    <w:rPr>
      <w:rFonts w:ascii="宋体" w:hAnsi="Courier New"/>
      <w:szCs w:val="20"/>
    </w:rPr>
  </w:style>
  <w:style w:type="paragraph" w:styleId="666">
    <w:name w:val="正文文本缩进"/>
    <w:basedOn w:val="649"/>
    <w:next w:val="687"/>
    <w:link w:val="659"/>
    <w:pPr>
      <w:ind w:left="420"/>
      <w:spacing w:after="120"/>
    </w:pPr>
  </w:style>
  <w:style w:type="paragraph" w:styleId="667">
    <w:name w:val="xl58"/>
    <w:basedOn w:val="649"/>
    <w:next w:val="667"/>
    <w:link w:val="64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668">
    <w:name w:val="xl76"/>
    <w:basedOn w:val="649"/>
    <w:next w:val="668"/>
    <w:link w:val="649"/>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669">
    <w:name w:val="正文文本"/>
    <w:basedOn w:val="649"/>
    <w:next w:val="669"/>
    <w:link w:val="649"/>
    <w:pPr>
      <w:jc w:val="center"/>
    </w:pPr>
    <w:rPr>
      <w:rFonts w:eastAsia="仿宋_GB2312"/>
      <w:sz w:val="28"/>
    </w:rPr>
  </w:style>
  <w:style w:type="paragraph" w:styleId="670">
    <w:name w:val=" Char Char Char Char Char Char Char Char"/>
    <w:basedOn w:val="649"/>
    <w:next w:val="670"/>
    <w:link w:val="649"/>
    <w:pPr>
      <w:jc w:val="left"/>
      <w:spacing w:after="160" w:line="240" w:lineRule="exact"/>
      <w:widowControl/>
    </w:pPr>
    <w:rPr>
      <w:rFonts w:ascii="Verdana" w:hAnsi="Verdana"/>
      <w:sz w:val="20"/>
      <w:szCs w:val="20"/>
      <w:lang w:eastAsia="en-US"/>
    </w:rPr>
  </w:style>
  <w:style w:type="paragraph" w:styleId="671">
    <w:name w:val="页脚"/>
    <w:basedOn w:val="649"/>
    <w:next w:val="671"/>
    <w:link w:val="649"/>
    <w:pPr>
      <w:jc w:val="left"/>
      <w:tabs>
        <w:tab w:val="center" w:pos="4153" w:leader="none"/>
        <w:tab w:val="right" w:pos="8306" w:leader="none"/>
      </w:tabs>
    </w:pPr>
    <w:rPr>
      <w:sz w:val="18"/>
      <w:szCs w:val="18"/>
    </w:rPr>
  </w:style>
  <w:style w:type="paragraph" w:styleId="672">
    <w:name w:val="正文文本 3"/>
    <w:basedOn w:val="649"/>
    <w:next w:val="672"/>
    <w:link w:val="649"/>
    <w:pPr>
      <w:jc w:val="center"/>
    </w:pPr>
    <w:rPr>
      <w:rFonts w:eastAsia="黑体"/>
      <w:sz w:val="72"/>
    </w:rPr>
  </w:style>
  <w:style w:type="paragraph" w:styleId="673">
    <w:name w:val="日期"/>
    <w:basedOn w:val="649"/>
    <w:next w:val="649"/>
    <w:link w:val="649"/>
    <w:pPr>
      <w:ind w:left="100"/>
    </w:pPr>
    <w:rPr>
      <w:rFonts w:ascii="黑体" w:eastAsia="黑体"/>
      <w:sz w:val="72"/>
    </w:rPr>
  </w:style>
  <w:style w:type="paragraph" w:styleId="674">
    <w:name w:val="font13"/>
    <w:basedOn w:val="649"/>
    <w:next w:val="674"/>
    <w:link w:val="649"/>
    <w:pPr>
      <w:jc w:val="left"/>
      <w:spacing w:before="100" w:beforeAutospacing="1" w:after="100" w:afterAutospacing="1"/>
      <w:widowControl/>
    </w:pPr>
    <w:rPr>
      <w:rFonts w:eastAsia="Arial Unicode MS"/>
      <w:b/>
      <w:bCs/>
      <w:sz w:val="18"/>
      <w:szCs w:val="18"/>
    </w:rPr>
  </w:style>
  <w:style w:type="paragraph" w:styleId="675">
    <w:name w:val="文档结构图"/>
    <w:basedOn w:val="649"/>
    <w:next w:val="675"/>
    <w:link w:val="649"/>
    <w:semiHidden/>
    <w:pPr>
      <w:shd w:val="clear" w:color="auto" w:fill="000080"/>
    </w:pPr>
  </w:style>
  <w:style w:type="paragraph" w:styleId="676">
    <w:name w:val="正文缩进"/>
    <w:basedOn w:val="649"/>
    <w:next w:val="649"/>
    <w:link w:val="660"/>
    <w:pPr>
      <w:ind w:firstLine="420"/>
    </w:pPr>
  </w:style>
  <w:style w:type="paragraph" w:styleId="677">
    <w:name w:val="默认段落字体 Para Char Char Char Char Char Char Char Char Char1 Char Char Char Char Char Char Char"/>
    <w:basedOn w:val="675"/>
    <w:next w:val="677"/>
    <w:link w:val="649"/>
    <w:rPr>
      <w:rFonts w:ascii="Tahoma" w:hAnsi="Tahoma"/>
      <w:sz w:val="24"/>
    </w:rPr>
  </w:style>
  <w:style w:type="paragraph" w:styleId="678">
    <w:name w:val="xl39"/>
    <w:basedOn w:val="649"/>
    <w:next w:val="678"/>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79">
    <w:name w:val="普通(网站)"/>
    <w:basedOn w:val="649"/>
    <w:next w:val="679"/>
    <w:link w:val="649"/>
    <w:uiPriority w:val="99"/>
    <w:unhideWhenUsed/>
    <w:pPr>
      <w:jc w:val="left"/>
      <w:spacing w:before="100" w:beforeAutospacing="1" w:after="100" w:afterAutospacing="1"/>
    </w:pPr>
    <w:rPr>
      <w:sz w:val="24"/>
      <w:szCs w:val="20"/>
    </w:rPr>
  </w:style>
  <w:style w:type="paragraph" w:styleId="680">
    <w:name w:val="批注框文本"/>
    <w:basedOn w:val="649"/>
    <w:next w:val="680"/>
    <w:link w:val="649"/>
    <w:semiHidden/>
    <w:rPr>
      <w:sz w:val="18"/>
      <w:szCs w:val="18"/>
    </w:rPr>
  </w:style>
  <w:style w:type="paragraph" w:styleId="681">
    <w:name w:val="正文文本缩进 3"/>
    <w:basedOn w:val="649"/>
    <w:next w:val="681"/>
    <w:link w:val="649"/>
    <w:pPr>
      <w:ind w:firstLine="435"/>
    </w:pPr>
    <w:rPr>
      <w:rFonts w:ascii="仿宋_GB2312" w:hAnsi="宋体" w:eastAsia="仿宋_GB2312"/>
      <w:sz w:val="28"/>
    </w:rPr>
  </w:style>
  <w:style w:type="paragraph" w:styleId="682">
    <w:name w:val="xl60"/>
    <w:basedOn w:val="649"/>
    <w:next w:val="682"/>
    <w:link w:val="64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683">
    <w:name w:val="xl46"/>
    <w:basedOn w:val="649"/>
    <w:next w:val="683"/>
    <w:link w:val="649"/>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684">
    <w:name w:val="xl28"/>
    <w:basedOn w:val="649"/>
    <w:next w:val="684"/>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85">
    <w:name w:val="正文文本 2"/>
    <w:basedOn w:val="649"/>
    <w:next w:val="685"/>
    <w:link w:val="649"/>
    <w:rPr>
      <w:rFonts w:ascii="仿宋_GB2312" w:eastAsia="仿宋_GB2312"/>
      <w:sz w:val="28"/>
    </w:rPr>
  </w:style>
  <w:style w:type="paragraph" w:styleId="686">
    <w:name w:val="正文文本缩进 2"/>
    <w:basedOn w:val="649"/>
    <w:next w:val="686"/>
    <w:link w:val="649"/>
    <w:pPr>
      <w:ind w:right="-2" w:firstLine="540"/>
      <w:tabs>
        <w:tab w:val="left" w:pos="9741" w:leader="none"/>
      </w:tabs>
    </w:pPr>
    <w:rPr>
      <w:rFonts w:eastAsia="仿宋_GB2312"/>
      <w:sz w:val="28"/>
    </w:rPr>
  </w:style>
  <w:style w:type="paragraph" w:styleId="687">
    <w:name w:val="正文首行缩进 2"/>
    <w:basedOn w:val="666"/>
    <w:next w:val="649"/>
    <w:link w:val="658"/>
    <w:pPr>
      <w:ind w:firstLine="420"/>
    </w:pPr>
  </w:style>
  <w:style w:type="paragraph" w:styleId="688">
    <w:name w:val="索引 4"/>
    <w:basedOn w:val="649"/>
    <w:next w:val="649"/>
    <w:link w:val="649"/>
    <w:uiPriority w:val="99"/>
    <w:unhideWhenUsed/>
    <w:qFormat/>
  </w:style>
  <w:style w:type="paragraph" w:styleId="689">
    <w:name w:val="xl78"/>
    <w:basedOn w:val="649"/>
    <w:next w:val="689"/>
    <w:link w:val="64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690">
    <w:name w:val="文本块"/>
    <w:basedOn w:val="649"/>
    <w:next w:val="690"/>
    <w:link w:val="649"/>
    <w:pPr>
      <w:ind w:left="420" w:right="33"/>
      <w:jc w:val="left"/>
    </w:pPr>
    <w:rPr>
      <w:sz w:val="24"/>
      <w:szCs w:val="20"/>
    </w:rPr>
  </w:style>
  <w:style w:type="paragraph" w:styleId="691">
    <w:name w:val="xl29"/>
    <w:basedOn w:val="649"/>
    <w:next w:val="691"/>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2">
    <w:name w:val="font9"/>
    <w:basedOn w:val="649"/>
    <w:next w:val="692"/>
    <w:link w:val="649"/>
    <w:pPr>
      <w:jc w:val="left"/>
      <w:spacing w:before="100" w:beforeAutospacing="1" w:after="100" w:afterAutospacing="1"/>
      <w:widowControl/>
    </w:pPr>
    <w:rPr>
      <w:rFonts w:eastAsia="Arial Unicode MS"/>
      <w:b/>
      <w:bCs/>
      <w:color w:val="000000"/>
      <w:sz w:val="18"/>
      <w:szCs w:val="18"/>
    </w:rPr>
  </w:style>
  <w:style w:type="paragraph" w:styleId="693">
    <w:name w:val="[Normal]"/>
    <w:next w:val="693"/>
    <w:link w:val="649"/>
    <w:qFormat/>
    <w:rPr>
      <w:rFonts w:ascii="方正仿宋简体" w:hAnsi="Times New Roman" w:eastAsia="方正仿宋简体" w:cs="Courier New"/>
      <w:sz w:val="24"/>
      <w:szCs w:val="22"/>
      <w:lang w:val="zh-CN" w:eastAsia="zh-CN" w:bidi="ar-SA"/>
    </w:rPr>
  </w:style>
  <w:style w:type="paragraph" w:styleId="694">
    <w:name w:val=" Char"/>
    <w:basedOn w:val="675"/>
    <w:next w:val="694"/>
    <w:link w:val="649"/>
    <w:pPr>
      <w:spacing w:line="360" w:lineRule="auto"/>
    </w:pPr>
    <w:rPr>
      <w:rFonts w:ascii="Tahoma" w:hAnsi="Tahoma"/>
      <w:sz w:val="24"/>
    </w:rPr>
  </w:style>
  <w:style w:type="paragraph" w:styleId="695">
    <w:name w:val="首行缩进"/>
    <w:basedOn w:val="649"/>
    <w:next w:val="695"/>
    <w:link w:val="649"/>
    <w:qFormat/>
    <w:pPr>
      <w:ind w:firstLine="420"/>
      <w:spacing w:line="360" w:lineRule="auto"/>
    </w:pPr>
    <w:rPr>
      <w:sz w:val="20"/>
    </w:rPr>
  </w:style>
  <w:style w:type="paragraph" w:styleId="696">
    <w:name w:val="xl36"/>
    <w:basedOn w:val="649"/>
    <w:next w:val="696"/>
    <w:link w:val="649"/>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697">
    <w:name w:val="xl61"/>
    <w:basedOn w:val="649"/>
    <w:next w:val="697"/>
    <w:link w:val="649"/>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698">
    <w:name w:val="信息标题1"/>
    <w:basedOn w:val="649"/>
    <w:next w:val="649"/>
    <w:link w:val="649"/>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699">
    <w:name w:val="xl79"/>
    <w:basedOn w:val="649"/>
    <w:next w:val="699"/>
    <w:link w:val="649"/>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700">
    <w:name w:val="xl70"/>
    <w:basedOn w:val="649"/>
    <w:next w:val="700"/>
    <w:link w:val="649"/>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01">
    <w:name w:val="xl38"/>
    <w:basedOn w:val="649"/>
    <w:next w:val="701"/>
    <w:link w:val="6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02">
    <w:name w:val="xl74"/>
    <w:basedOn w:val="649"/>
    <w:next w:val="702"/>
    <w:link w:val="649"/>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3">
    <w:name w:val="font7"/>
    <w:basedOn w:val="649"/>
    <w:next w:val="703"/>
    <w:link w:val="649"/>
    <w:pPr>
      <w:jc w:val="left"/>
      <w:spacing w:before="100" w:beforeAutospacing="1" w:after="100" w:afterAutospacing="1"/>
      <w:widowControl/>
    </w:pPr>
    <w:rPr>
      <w:rFonts w:eastAsia="Arial Unicode MS"/>
      <w:sz w:val="18"/>
      <w:szCs w:val="18"/>
    </w:rPr>
  </w:style>
  <w:style w:type="paragraph" w:styleId="704">
    <w:name w:val="xl57"/>
    <w:basedOn w:val="649"/>
    <w:next w:val="704"/>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705">
    <w:name w:val="xl83"/>
    <w:basedOn w:val="649"/>
    <w:next w:val="705"/>
    <w:link w:val="649"/>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06">
    <w:name w:val="font10"/>
    <w:basedOn w:val="649"/>
    <w:next w:val="706"/>
    <w:link w:val="649"/>
    <w:pPr>
      <w:jc w:val="left"/>
      <w:spacing w:before="100" w:beforeAutospacing="1" w:after="100" w:afterAutospacing="1"/>
      <w:widowControl/>
    </w:pPr>
    <w:rPr>
      <w:rFonts w:eastAsia="Arial Unicode MS"/>
      <w:sz w:val="18"/>
      <w:szCs w:val="18"/>
    </w:rPr>
  </w:style>
  <w:style w:type="paragraph" w:styleId="707">
    <w:name w:val="font8"/>
    <w:basedOn w:val="649"/>
    <w:next w:val="707"/>
    <w:link w:val="649"/>
    <w:pPr>
      <w:jc w:val="left"/>
      <w:spacing w:before="100" w:beforeAutospacing="1" w:after="100" w:afterAutospacing="1"/>
      <w:widowControl/>
    </w:pPr>
    <w:rPr>
      <w:rFonts w:eastAsia="Arial Unicode MS"/>
      <w:sz w:val="18"/>
      <w:szCs w:val="18"/>
    </w:rPr>
  </w:style>
  <w:style w:type="paragraph" w:styleId="708">
    <w:name w:val="xl45"/>
    <w:basedOn w:val="649"/>
    <w:next w:val="708"/>
    <w:link w:val="649"/>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709">
    <w:name w:val="xl80"/>
    <w:basedOn w:val="649"/>
    <w:next w:val="709"/>
    <w:link w:val="649"/>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710">
    <w:name w:val="font6"/>
    <w:basedOn w:val="649"/>
    <w:next w:val="710"/>
    <w:link w:val="649"/>
    <w:pPr>
      <w:jc w:val="left"/>
      <w:spacing w:before="100" w:beforeAutospacing="1" w:after="100" w:afterAutospacing="1"/>
      <w:widowControl/>
    </w:pPr>
    <w:rPr>
      <w:rFonts w:eastAsia="Arial Unicode MS"/>
      <w:sz w:val="18"/>
      <w:szCs w:val="18"/>
    </w:rPr>
  </w:style>
  <w:style w:type="paragraph" w:styleId="711">
    <w:name w:val="xl49"/>
    <w:basedOn w:val="649"/>
    <w:next w:val="711"/>
    <w:link w:val="64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12">
    <w:name w:val="xl67"/>
    <w:basedOn w:val="649"/>
    <w:next w:val="712"/>
    <w:link w:val="649"/>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13">
    <w:name w:val="font5"/>
    <w:basedOn w:val="649"/>
    <w:next w:val="713"/>
    <w:link w:val="649"/>
    <w:pPr>
      <w:jc w:val="left"/>
      <w:spacing w:before="100" w:beforeAutospacing="1" w:after="100" w:afterAutospacing="1"/>
      <w:widowControl/>
    </w:pPr>
    <w:rPr>
      <w:rFonts w:hint="eastAsia" w:ascii="宋体" w:hAnsi="宋体"/>
      <w:sz w:val="18"/>
      <w:szCs w:val="18"/>
    </w:rPr>
  </w:style>
  <w:style w:type="paragraph" w:styleId="714">
    <w:name w:val="xl81"/>
    <w:basedOn w:val="649"/>
    <w:next w:val="714"/>
    <w:link w:val="649"/>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715">
    <w:name w:val="xl84"/>
    <w:basedOn w:val="649"/>
    <w:next w:val="715"/>
    <w:link w:val="649"/>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16">
    <w:name w:val="普通正文"/>
    <w:basedOn w:val="649"/>
    <w:next w:val="716"/>
    <w:link w:val="649"/>
    <w:pPr>
      <w:ind w:firstLine="480"/>
      <w:jc w:val="left"/>
      <w:spacing w:before="120" w:after="120" w:line="360" w:lineRule="auto"/>
    </w:pPr>
    <w:rPr>
      <w:rFonts w:ascii="Arial" w:hAnsi="Arial"/>
      <w:sz w:val="24"/>
    </w:rPr>
  </w:style>
  <w:style w:type="paragraph" w:styleId="717">
    <w:name w:val="xl34"/>
    <w:basedOn w:val="649"/>
    <w:next w:val="717"/>
    <w:link w:val="649"/>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18">
    <w:name w:val="xl31"/>
    <w:basedOn w:val="649"/>
    <w:next w:val="718"/>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19">
    <w:name w:val="xl65"/>
    <w:basedOn w:val="649"/>
    <w:next w:val="719"/>
    <w:link w:val="649"/>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720">
    <w:name w:val="xl56"/>
    <w:basedOn w:val="649"/>
    <w:next w:val="720"/>
    <w:link w:val="649"/>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21">
    <w:name w:val="xl85"/>
    <w:basedOn w:val="649"/>
    <w:next w:val="721"/>
    <w:link w:val="649"/>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722">
    <w:name w:val="xl48"/>
    <w:basedOn w:val="649"/>
    <w:next w:val="722"/>
    <w:link w:val="649"/>
    <w:pPr>
      <w:jc w:val="center"/>
      <w:spacing w:before="100" w:beforeAutospacing="1" w:after="100" w:afterAutospacing="1"/>
      <w:widowControl/>
    </w:pPr>
    <w:rPr>
      <w:rFonts w:ascii="Arial Unicode MS" w:hAnsi="Arial Unicode MS" w:eastAsia="Arial Unicode MS"/>
      <w:sz w:val="28"/>
      <w:szCs w:val="28"/>
    </w:rPr>
  </w:style>
  <w:style w:type="paragraph" w:styleId="723">
    <w:name w:val="xl52"/>
    <w:basedOn w:val="649"/>
    <w:next w:val="723"/>
    <w:link w:val="649"/>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24">
    <w:name w:val="xl68"/>
    <w:basedOn w:val="649"/>
    <w:next w:val="724"/>
    <w:link w:val="649"/>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25">
    <w:name w:val=" Char Char Char Char Char Char Char Char Char Char Char Char Char"/>
    <w:basedOn w:val="649"/>
    <w:next w:val="725"/>
    <w:link w:val="649"/>
    <w:pPr>
      <w:jc w:val="left"/>
      <w:spacing w:after="160" w:line="240" w:lineRule="exact"/>
      <w:widowControl/>
    </w:pPr>
    <w:rPr>
      <w:rFonts w:ascii="Verdana" w:hAnsi="Verdana"/>
      <w:sz w:val="20"/>
      <w:szCs w:val="20"/>
      <w:lang w:eastAsia="en-US"/>
    </w:rPr>
  </w:style>
  <w:style w:type="paragraph" w:styleId="726">
    <w:name w:val="xl66"/>
    <w:basedOn w:val="649"/>
    <w:next w:val="726"/>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7">
    <w:name w:val="xl82"/>
    <w:basedOn w:val="649"/>
    <w:next w:val="727"/>
    <w:link w:val="64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728">
    <w:name w:val="xl35"/>
    <w:basedOn w:val="649"/>
    <w:next w:val="728"/>
    <w:link w:val="649"/>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29">
    <w:name w:val="xl86"/>
    <w:basedOn w:val="649"/>
    <w:next w:val="729"/>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30">
    <w:name w:val="xl37"/>
    <w:basedOn w:val="649"/>
    <w:next w:val="730"/>
    <w:link w:val="649"/>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31">
    <w:name w:val="xl71"/>
    <w:basedOn w:val="649"/>
    <w:next w:val="731"/>
    <w:link w:val="649"/>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32">
    <w:name w:val="xl54"/>
    <w:basedOn w:val="649"/>
    <w:next w:val="732"/>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733">
    <w:name w:val="列出段落"/>
    <w:basedOn w:val="649"/>
    <w:next w:val="733"/>
    <w:link w:val="649"/>
    <w:uiPriority w:val="99"/>
    <w:qFormat/>
    <w:pPr>
      <w:ind w:firstLine="420"/>
    </w:pPr>
  </w:style>
  <w:style w:type="paragraph" w:styleId="734">
    <w:name w:val="xl64"/>
    <w:basedOn w:val="649"/>
    <w:next w:val="734"/>
    <w:link w:val="649"/>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735">
    <w:name w:val="xl44"/>
    <w:basedOn w:val="649"/>
    <w:next w:val="735"/>
    <w:link w:val="649"/>
    <w:pPr>
      <w:jc w:val="right"/>
      <w:spacing w:before="100" w:beforeAutospacing="1" w:after="100" w:afterAutospacing="1"/>
      <w:widowControl/>
    </w:pPr>
    <w:rPr>
      <w:rFonts w:ascii="Arial Unicode MS" w:hAnsi="Arial Unicode MS" w:eastAsia="Arial Unicode MS"/>
      <w:sz w:val="24"/>
    </w:rPr>
  </w:style>
  <w:style w:type="paragraph" w:styleId="736">
    <w:name w:val="xl59"/>
    <w:basedOn w:val="649"/>
    <w:next w:val="736"/>
    <w:link w:val="649"/>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37">
    <w:name w:val="xl75"/>
    <w:basedOn w:val="649"/>
    <w:next w:val="737"/>
    <w:link w:val="649"/>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738">
    <w:name w:val="xl63"/>
    <w:basedOn w:val="649"/>
    <w:next w:val="738"/>
    <w:link w:val="649"/>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739">
    <w:name w:val="标书正文格式"/>
    <w:next w:val="739"/>
    <w:link w:val="649"/>
    <w:pPr>
      <w:ind w:firstLine="480"/>
      <w:jc w:val="both"/>
      <w:spacing w:line="360" w:lineRule="auto"/>
    </w:pPr>
    <w:rPr>
      <w:rFonts w:ascii="宋体" w:hAnsi="宋体"/>
      <w:sz w:val="24"/>
      <w:szCs w:val="24"/>
      <w:lang w:val="en-US" w:eastAsia="zh-CN" w:bidi="ar-SA"/>
    </w:rPr>
  </w:style>
  <w:style w:type="paragraph" w:styleId="740">
    <w:name w:val="xl73"/>
    <w:basedOn w:val="649"/>
    <w:next w:val="740"/>
    <w:link w:val="649"/>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41">
    <w:name w:val="xl55"/>
    <w:basedOn w:val="649"/>
    <w:next w:val="741"/>
    <w:link w:val="649"/>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42">
    <w:name w:val="font11"/>
    <w:basedOn w:val="649"/>
    <w:next w:val="742"/>
    <w:link w:val="649"/>
    <w:pPr>
      <w:jc w:val="left"/>
      <w:spacing w:before="100" w:beforeAutospacing="1" w:after="100" w:afterAutospacing="1"/>
      <w:widowControl/>
    </w:pPr>
    <w:rPr>
      <w:rFonts w:hint="eastAsia" w:ascii="宋体" w:hAnsi="宋体"/>
      <w:color w:val="333333"/>
      <w:sz w:val="18"/>
      <w:szCs w:val="18"/>
    </w:rPr>
  </w:style>
  <w:style w:type="paragraph" w:styleId="743">
    <w:name w:val="xl43"/>
    <w:basedOn w:val="649"/>
    <w:next w:val="743"/>
    <w:link w:val="649"/>
    <w:pPr>
      <w:jc w:val="left"/>
      <w:spacing w:before="100" w:beforeAutospacing="1" w:after="100" w:afterAutospacing="1"/>
      <w:widowControl/>
    </w:pPr>
    <w:rPr>
      <w:rFonts w:ascii="Arial Unicode MS" w:hAnsi="Arial Unicode MS" w:eastAsia="Arial Unicode MS"/>
      <w:sz w:val="24"/>
    </w:rPr>
  </w:style>
  <w:style w:type="paragraph" w:styleId="744">
    <w:name w:val="xl30"/>
    <w:basedOn w:val="649"/>
    <w:next w:val="744"/>
    <w:link w:val="649"/>
    <w:pPr>
      <w:jc w:val="left"/>
      <w:spacing w:before="100" w:beforeAutospacing="1" w:after="100" w:afterAutospacing="1"/>
      <w:widowControl/>
    </w:pPr>
    <w:rPr>
      <w:rFonts w:ascii="Arial Unicode MS" w:hAnsi="Arial Unicode MS" w:eastAsia="Arial Unicode MS"/>
      <w:sz w:val="18"/>
      <w:szCs w:val="18"/>
    </w:rPr>
  </w:style>
  <w:style w:type="paragraph" w:styleId="745">
    <w:name w:val="xl47"/>
    <w:basedOn w:val="649"/>
    <w:next w:val="745"/>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746">
    <w:name w:val="xl40"/>
    <w:basedOn w:val="649"/>
    <w:next w:val="746"/>
    <w:link w:val="64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47">
    <w:name w:val="xl72"/>
    <w:basedOn w:val="649"/>
    <w:next w:val="747"/>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48">
    <w:name w:val="xl50"/>
    <w:basedOn w:val="649"/>
    <w:next w:val="748"/>
    <w:link w:val="649"/>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49">
    <w:name w:val="xl51"/>
    <w:basedOn w:val="649"/>
    <w:next w:val="749"/>
    <w:link w:val="649"/>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750">
    <w:name w:val="xl69"/>
    <w:basedOn w:val="649"/>
    <w:next w:val="750"/>
    <w:link w:val="649"/>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1">
    <w:name w:val="Default"/>
    <w:next w:val="751"/>
    <w:link w:val="649"/>
    <w:pPr>
      <w:widowControl w:val="off"/>
    </w:pPr>
    <w:rPr>
      <w:rFonts w:ascii="仿宋" w:eastAsia="仿宋" w:cs="仿宋"/>
      <w:color w:val="000000"/>
      <w:sz w:val="24"/>
      <w:szCs w:val="24"/>
      <w:lang w:val="en-US" w:eastAsia="zh-CN" w:bidi="ar-SA"/>
    </w:rPr>
  </w:style>
  <w:style w:type="paragraph" w:styleId="752">
    <w:name w:val="font12"/>
    <w:basedOn w:val="649"/>
    <w:next w:val="752"/>
    <w:link w:val="649"/>
    <w:pPr>
      <w:jc w:val="left"/>
      <w:spacing w:before="100" w:beforeAutospacing="1" w:after="100" w:afterAutospacing="1"/>
      <w:widowControl/>
    </w:pPr>
    <w:rPr>
      <w:rFonts w:eastAsia="Arial Unicode MS"/>
      <w:color w:val="333333"/>
      <w:sz w:val="18"/>
      <w:szCs w:val="18"/>
    </w:rPr>
  </w:style>
  <w:style w:type="paragraph" w:styleId="753">
    <w:name w:val="xl62"/>
    <w:basedOn w:val="649"/>
    <w:next w:val="753"/>
    <w:link w:val="649"/>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4">
    <w:name w:val="xl33"/>
    <w:basedOn w:val="649"/>
    <w:next w:val="754"/>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55">
    <w:name w:val="xl42"/>
    <w:basedOn w:val="649"/>
    <w:next w:val="755"/>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756">
    <w:name w:val="Char Char Char Char"/>
    <w:basedOn w:val="675"/>
    <w:next w:val="756"/>
    <w:link w:val="649"/>
    <w:pPr>
      <w:spacing w:line="360" w:lineRule="auto"/>
    </w:pPr>
    <w:rPr>
      <w:rFonts w:ascii="Tahoma" w:hAnsi="Tahoma"/>
      <w:sz w:val="24"/>
    </w:rPr>
  </w:style>
  <w:style w:type="paragraph" w:styleId="757">
    <w:name w:val="xl32"/>
    <w:basedOn w:val="649"/>
    <w:next w:val="757"/>
    <w:link w:val="6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8">
    <w:name w:val="Char"/>
    <w:basedOn w:val="649"/>
    <w:next w:val="758"/>
    <w:link w:val="649"/>
    <w:pPr>
      <w:tabs>
        <w:tab w:val="left" w:pos="360" w:leader="none"/>
      </w:tabs>
    </w:pPr>
    <w:rPr>
      <w:sz w:val="24"/>
    </w:rPr>
  </w:style>
  <w:style w:type="paragraph" w:styleId="759">
    <w:name w:val="xl77"/>
    <w:basedOn w:val="649"/>
    <w:next w:val="759"/>
    <w:link w:val="649"/>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60">
    <w:name w:val="xl53"/>
    <w:basedOn w:val="649"/>
    <w:next w:val="760"/>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table" w:styleId="761">
    <w:name w:val="网格型"/>
    <w:basedOn w:val="653"/>
    <w:next w:val="761"/>
    <w:link w:val="649"/>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526" w:default="1">
    <w:name w:val="Default Paragraph Font"/>
    <w:uiPriority w:val="1"/>
    <w:semiHidden/>
    <w:unhideWhenUsed/>
  </w:style>
  <w:style w:type="numbering" w:styleId="6527" w:default="1">
    <w:name w:val="No List"/>
    <w:uiPriority w:val="99"/>
    <w:semiHidden/>
    <w:unhideWhenUsed/>
  </w:style>
  <w:style w:type="table" w:styleId="65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段海曦</cp:lastModifiedBy>
  <cp:revision>2</cp:revision>
  <dcterms:created xsi:type="dcterms:W3CDTF">2024-05-10T07:09:00Z</dcterms:created>
  <dcterms:modified xsi:type="dcterms:W3CDTF">2026-08-13T08:31:31Z</dcterms:modified>
</cp:coreProperties>
</file>