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684"/>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684"/>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84"/>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市政务外网运维服务项目</w:t>
      </w:r>
      <w:r>
        <w:rPr>
          <w:rFonts w:hint="eastAsia" w:ascii="黑体" w:hAnsi="黑体" w:eastAsia="黑体"/>
          <w:b/>
          <w:sz w:val="36"/>
          <w:szCs w:val="36"/>
        </w:rPr>
      </w:r>
      <w:r/>
    </w:p>
    <w:p>
      <w:pPr>
        <w:pStyle w:val="684"/>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684"/>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4"/>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684"/>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JSZC-320800-JZCG-G2026-0063</w:t>
      </w:r>
      <w:r>
        <w:rPr>
          <w:rFonts w:hint="eastAsia" w:ascii="黑体" w:hAnsi="黑体" w:eastAsia="黑体"/>
          <w:b/>
          <w:sz w:val="36"/>
        </w:rPr>
      </w:r>
      <w:r/>
    </w:p>
    <w:p>
      <w:pPr>
        <w:pStyle w:val="684"/>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684"/>
        <w:keepLines w:val="0"/>
        <w:keepNext w:val="0"/>
        <w:pageBreakBefore w:val="0"/>
        <w:rPr>
          <w:rFonts w:ascii="黑体" w:hAnsi="黑体" w:eastAsia="黑体"/>
          <w:b/>
          <w:sz w:val="32"/>
        </w:rPr>
        <w:outlineLvl w:val="9"/>
      </w:pPr>
      <w:r>
        <w:rPr>
          <w:rFonts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684"/>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84"/>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二十九</w:t>
      </w:r>
      <w:r>
        <w:rPr>
          <w:rFonts w:hint="eastAsia" w:ascii="黑体" w:hAnsi="黑体" w:eastAsia="黑体"/>
          <w:b/>
          <w:sz w:val="36"/>
          <w:szCs w:val="36"/>
        </w:rPr>
        <w:t xml:space="preserve">日</w:t>
      </w:r>
      <w:r>
        <w:rPr>
          <w:rFonts w:hint="eastAsia" w:ascii="宋体" w:hAnsi="宋体"/>
          <w:sz w:val="24"/>
        </w:rPr>
      </w:r>
      <w:r/>
    </w:p>
    <w:p>
      <w:pPr>
        <w:pStyle w:val="684"/>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684"/>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8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受淮安市市域社会治理现代化指挥中心（淮安市大数据管理中心）       的委托，淮安市政府采购中心就市政务外网运维服务政府采购项目进行公开招标采购，现邀请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8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9062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90625"/>
                        </a:xfrm>
                        <a:prstGeom prst="rect">
                          <a:avLst/>
                        </a:prstGeom>
                        <a:solidFill>
                          <a:srgbClr val="FFFFFF"/>
                        </a:solidFill>
                        <a:ln>
                          <a:solidFill>
                            <a:srgbClr val="000000"/>
                          </a:solidFill>
                        </a:ln>
                      </wps:spPr>
                      <wps:txbx>
                        <w:txbxContent>
                          <w:p>
                            <w:pPr>
                              <w:pStyle w:val="68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val="en-US" w:eastAsia="zh-CN"/>
                              </w:rPr>
                              <w:t xml:space="preserve"> </w:t>
                            </w:r>
                            <w:r>
                              <w:rPr>
                                <w:rFonts w:hint="eastAsia" w:ascii="仿宋" w:hAnsi="仿宋" w:eastAsia="仿宋"/>
                                <w:sz w:val="28"/>
                                <w:szCs w:val="28"/>
                                <w:u w:val="single"/>
                                <w:lang w:val="en-US" w:eastAsia="zh-CN"/>
                              </w:rPr>
                              <w:t xml:space="preserve">市政务外网运维服务</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政府采购网自行免费下载招标文件，并于2026年10月21日9点30分（北京时间）前提交投标文件。</w:t>
                            </w:r>
                            <w:r>
                              <w:rPr>
                                <w:rFonts w:ascii="仿宋" w:hAnsi="仿宋" w:eastAsia="仿宋"/>
                                <w:sz w:val="28"/>
                                <w:szCs w:val="28"/>
                              </w:rPr>
                            </w:r>
                            <w:r/>
                          </w:p>
                          <w:p>
                            <w:pPr>
                              <w:pStyle w:val="684"/>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8pt;mso-wrap-distance-left:9.0pt;mso-wrap-distance-top:0.0pt;mso-wrap-distance-right:9.0pt;mso-wrap-distance-bottom:0.0pt;visibility:visible;" fillcolor="#FFFFFF" strokecolor="#000000">
                <v:textbox inset="0,0,0,0">
                  <w:txbxContent>
                    <w:p>
                      <w:pPr>
                        <w:pStyle w:val="684"/>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val="en-US" w:eastAsia="zh-CN"/>
                        </w:rPr>
                        <w:t xml:space="preserve"> </w:t>
                      </w:r>
                      <w:r>
                        <w:rPr>
                          <w:rFonts w:hint="eastAsia" w:ascii="仿宋" w:hAnsi="仿宋" w:eastAsia="仿宋"/>
                          <w:sz w:val="28"/>
                          <w:szCs w:val="28"/>
                          <w:u w:val="single"/>
                          <w:lang w:val="en-US" w:eastAsia="zh-CN"/>
                        </w:rPr>
                        <w:t xml:space="preserve">市政务外网运维服务</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政府采购网自行免费下载招标文件，并于2026年10月21日9点30分（北京时间）前提交投标文件。</w:t>
                      </w:r>
                      <w:r>
                        <w:rPr>
                          <w:rFonts w:ascii="仿宋" w:hAnsi="仿宋" w:eastAsia="仿宋"/>
                          <w:sz w:val="28"/>
                          <w:szCs w:val="28"/>
                        </w:rPr>
                      </w:r>
                      <w:r/>
                    </w:p>
                    <w:p>
                      <w:pPr>
                        <w:pStyle w:val="684"/>
                      </w:pPr>
                      <w:r/>
                      <w:r/>
                    </w:p>
                  </w:txbxContent>
                </v:textbox>
              </v:shape>
            </w:pict>
          </mc:Fallback>
        </mc:AlternateContent>
      </w:r>
      <w:r>
        <w:rPr>
          <w:rFonts w:hint="eastAsia" w:ascii="仿宋" w:hAnsi="仿宋" w:eastAsia="仿宋"/>
          <w:sz w:val="28"/>
          <w:szCs w:val="28"/>
        </w:rPr>
      </w:r>
      <w:r/>
    </w:p>
    <w:p>
      <w:pPr>
        <w:pStyle w:val="68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4"/>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4"/>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68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（一）项目编号:JSZC-320800-JZCG-G2026-0063</w:t>
      </w:r>
      <w:r>
        <w:rPr>
          <w:rFonts w:hint="eastAsia"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w:t>
      </w:r>
      <w:r>
        <w:rPr>
          <w:rFonts w:hint="eastAsia" w:ascii="仿宋" w:hAnsi="仿宋" w:eastAsia="仿宋"/>
          <w:bCs/>
          <w:sz w:val="28"/>
        </w:rPr>
        <w:t xml:space="preserve">市政务外网运维服务项目</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（三）预算金额:622.5 万元</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（四）最高限价:621.66万元</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（五）采购需求:市政务外网运维服务项目（详细内容见本招标文件第五章</w:t>
      </w:r>
      <w:r>
        <w:rPr>
          <w:rFonts w:hint="eastAsia" w:ascii="仿宋" w:hAnsi="仿宋" w:eastAsia="仿宋"/>
          <w:sz w:val="28"/>
          <w:szCs w:val="28"/>
          <w:lang w:eastAsia="zh-CN"/>
        </w:rPr>
        <w:t xml:space="preserve">采购需求</w:t>
      </w:r>
      <w:r>
        <w:rPr>
          <w:rFonts w:hint="eastAsia" w:ascii="仿宋" w:hAnsi="仿宋" w:eastAsia="仿宋"/>
          <w:sz w:val="28"/>
          <w:szCs w:val="28"/>
        </w:rPr>
        <w:t xml:space="preserve">）</w:t>
      </w:r>
      <w:r>
        <w:rPr>
          <w:rFonts w:ascii="仿宋" w:hAnsi="仿宋" w:eastAsia="仿宋"/>
          <w:sz w:val="28"/>
          <w:szCs w:val="28"/>
        </w:rPr>
      </w:r>
      <w:r/>
    </w:p>
    <w:p>
      <w:pPr>
        <w:pStyle w:val="68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（六）合同履行期限:两年    </w:t>
      </w:r>
      <w:r>
        <w:rPr>
          <w:rFonts w:hint="eastAsia" w:ascii="仿宋" w:hAnsi="仿宋" w:eastAsia="仿宋"/>
          <w:sz w:val="28"/>
          <w:szCs w:val="28"/>
        </w:rPr>
      </w:r>
      <w:r/>
    </w:p>
    <w:p>
      <w:pPr>
        <w:pStyle w:val="68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u w:val="single"/>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信息传输业。</w:t>
      </w:r>
      <w:r>
        <w:rPr>
          <w:rFonts w:ascii="仿宋" w:hAnsi="仿宋" w:eastAsia="仿宋"/>
          <w:sz w:val="28"/>
          <w:szCs w:val="28"/>
          <w:u w:val="single"/>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684"/>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84"/>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84"/>
        <w:ind w:firstLine="560"/>
        <w:keepLines w:val="0"/>
        <w:keepNext w:val="0"/>
        <w:pageBreakBefore w:val="0"/>
        <w:spacing w:line="520" w:lineRule="exact"/>
        <w:rPr>
          <w:rFonts w:ascii="仿宋" w:hAnsi="仿宋" w:eastAsia="仿宋"/>
          <w:color w:val="000000"/>
          <w:sz w:val="28"/>
          <w:szCs w:val="28"/>
          <w:lang w:val="zh-CN"/>
        </w:rPr>
        <w:outlineLvl w:val="9"/>
      </w:pPr>
      <w:r>
        <w:rPr>
          <w:rFonts w:hint="eastAsia" w:ascii="仿宋" w:hAnsi="仿宋" w:eastAsia="仿宋"/>
          <w:sz w:val="28"/>
          <w:szCs w:val="28"/>
        </w:rPr>
        <w:t xml:space="preserve">（三）本项目的特定资格要求:投标人具有《中华人民共和国基础电信业务经营许可证》证书（投标人为分公司的，须提供总公司有效的基础电信业务经营许可证和授权函）  </w:t>
      </w:r>
      <w:r>
        <w:rPr>
          <w:rFonts w:ascii="仿宋" w:hAnsi="仿宋" w:eastAsia="仿宋"/>
          <w:color w:val="000000"/>
          <w:sz w:val="28"/>
          <w:szCs w:val="28"/>
          <w:lang w:val="zh-CN"/>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84"/>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8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年10月21日上午</w:t>
      </w:r>
      <w:r>
        <w:rPr>
          <w:rFonts w:ascii="仿宋" w:hAnsi="仿宋" w:eastAsia="仿宋"/>
          <w:sz w:val="28"/>
          <w:szCs w:val="28"/>
        </w:rPr>
        <w:t xml:space="preserve">9:30</w:t>
      </w:r>
      <w:r/>
    </w:p>
    <w:p>
      <w:pPr>
        <w:pStyle w:val="68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84"/>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名称:淮安市市域社会治理现代化指挥中心</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地址:淮安市生态文旅区玉兰路6号</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联系方式:严昊 </w:t>
      </w:r>
      <w:r>
        <w:rPr>
          <w:rFonts w:hint="eastAsia" w:ascii="仿宋" w:hAnsi="仿宋" w:eastAsia="仿宋"/>
          <w:sz w:val="28"/>
          <w:szCs w:val="28"/>
          <w:lang w:val="en-US" w:eastAsia="zh-CN"/>
        </w:rPr>
        <w:t xml:space="preserve">0517-</w:t>
      </w:r>
      <w:r>
        <w:rPr>
          <w:rFonts w:hint="eastAsia" w:ascii="仿宋" w:hAnsi="仿宋" w:eastAsia="仿宋"/>
          <w:sz w:val="28"/>
          <w:szCs w:val="28"/>
        </w:rPr>
        <w:t xml:space="preserve">83611100</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王文真</w:t>
      </w:r>
      <w:r>
        <w:rPr>
          <w:rFonts w:hint="eastAsia" w:ascii="仿宋" w:hAnsi="仿宋" w:eastAsia="仿宋"/>
          <w:sz w:val="28"/>
          <w:szCs w:val="28"/>
          <w:lang w:val="en-US" w:eastAsia="zh-CN"/>
        </w:rPr>
        <w:t xml:space="preserve"> 0517-80996108</w:t>
      </w:r>
      <w:r>
        <w:rPr>
          <w:rFonts w:ascii="仿宋" w:hAnsi="仿宋" w:eastAsia="仿宋"/>
          <w:sz w:val="28"/>
          <w:szCs w:val="28"/>
          <w:lang w:val="en-US" w:eastAsia="zh-CN"/>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84"/>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684"/>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8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8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8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8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684"/>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84"/>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684"/>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684"/>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84"/>
        <w:keepLines w:val="0"/>
        <w:keepNext w:val="0"/>
        <w:pageBreakBefore w:val="0"/>
        <w:spacing w:line="520" w:lineRule="exact"/>
        <w:rPr>
          <w:rFonts w:ascii="仿宋" w:hAnsi="仿宋" w:eastAsia="仿宋"/>
          <w:sz w:val="28"/>
          <w:szCs w:val="28"/>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84"/>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84"/>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68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w:t>
      </w:r>
      <w:r>
        <w:rPr>
          <w:rFonts w:hint="eastAsia" w:ascii="仿宋" w:hAnsi="仿宋" w:eastAsia="仿宋"/>
          <w:bCs/>
          <w:sz w:val="28"/>
          <w:szCs w:val="28"/>
        </w:rPr>
        <w:t xml:space="preserve">标方式进行评审。</w:t>
      </w:r>
      <w:r>
        <w:rPr>
          <w:rFonts w:hint="eastAsia" w:ascii="仿宋" w:hAnsi="仿宋" w:eastAsia="仿宋"/>
          <w:bCs/>
          <w:sz w:val="28"/>
          <w:szCs w:val="28"/>
        </w:rPr>
      </w:r>
      <w:r/>
    </w:p>
    <w:p>
      <w:pPr>
        <w:pStyle w:val="68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84"/>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684"/>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84"/>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bookmarkStart w:id="9" w:name="_Toc20823303"/>
      <w:r/>
      <w:bookmarkStart w:id="10" w:name="_Toc16938547"/>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684"/>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bookmarkStart w:id="12" w:name="_Toc513029232"/>
      <w:r/>
      <w:bookmarkStart w:id="13" w:name="_Toc16938548"/>
      <w:r/>
      <w:bookmarkStart w:id="14" w:name="_Toc20823304"/>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bookmarkStart w:id="18" w:name="_Toc16938550"/>
      <w:r/>
      <w:bookmarkStart w:id="19" w:name="_Toc513029234"/>
      <w:r/>
      <w:bookmarkStart w:id="20" w:name="_Toc20823306"/>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bookmarkStart w:id="21" w:name="_Toc20823307"/>
      <w:r/>
      <w:bookmarkStart w:id="22" w:name="_Toc16938551"/>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投标人所投技术参数未完全满足招标文件第五章“采购需求”中的“二、总体服务内容”中标注“★”的；</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26.1.14投标人未按照招标文件第五章采购需求“★四、技术保障和服务承诺”的要求提供承诺函的；</w:t>
      </w:r>
      <w:r>
        <w:rPr>
          <w:rFonts w:hint="eastAsia" w:ascii="仿宋" w:hAnsi="仿宋" w:eastAsia="仿宋"/>
          <w:sz w:val="28"/>
          <w:szCs w:val="28"/>
          <w:highlight w:val="none"/>
          <w:lang w:val="en-US" w:eastAsia="zh-CN"/>
        </w:rPr>
      </w:r>
      <w:r/>
    </w:p>
    <w:p>
      <w:pPr>
        <w:pStyle w:val="684"/>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26.1.15</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684"/>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84"/>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684"/>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684"/>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684"/>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68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684"/>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684"/>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84"/>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84"/>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705"/>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705"/>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684"/>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节能产品</w:t>
      </w:r>
      <w:r>
        <w:rPr>
          <w:rFonts w:hint="eastAsia" w:ascii="仿宋" w:hAnsi="仿宋" w:eastAsia="仿宋"/>
          <w:sz w:val="28"/>
          <w:szCs w:val="28"/>
          <w:highlight w:val="none"/>
        </w:rPr>
        <w:t xml:space="preserve">（本项目不涉及）</w:t>
      </w:r>
      <w:r>
        <w:rPr>
          <w:rFonts w:hint="eastAsia" w:ascii="仿宋" w:hAnsi="仿宋" w:eastAsia="仿宋"/>
          <w:sz w:val="28"/>
          <w:szCs w:val="28"/>
          <w:highlight w:val="none"/>
        </w:rPr>
      </w:r>
      <w:r/>
    </w:p>
    <w:p>
      <w:pPr>
        <w:pStyle w:val="68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84"/>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684"/>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84"/>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84"/>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21"/>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21"/>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721"/>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68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684"/>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84"/>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717"/>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7"/>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2、技术部分:</w:t>
      </w:r>
      <w:r>
        <w:rPr>
          <w:rFonts w:hint="eastAsia" w:ascii="仿宋" w:hAnsi="仿宋" w:eastAsia="仿宋"/>
          <w:sz w:val="28"/>
          <w:szCs w:val="28"/>
          <w:lang w:val="en-US" w:eastAsia="zh-CN"/>
        </w:rPr>
        <w:t xml:space="preserve">40</w:t>
      </w:r>
      <w:r>
        <w:rPr>
          <w:rFonts w:hint="eastAsia" w:ascii="仿宋" w:hAnsi="仿宋" w:eastAsia="仿宋"/>
          <w:sz w:val="28"/>
          <w:szCs w:val="28"/>
        </w:rPr>
        <w:t xml:space="preserve">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（1）投标人所投技术参数完全满足招标文件第五章“采购需求”中的“</w:t>
      </w:r>
      <w:r>
        <w:rPr>
          <w:rFonts w:hint="eastAsia" w:ascii="仿宋" w:hAnsi="仿宋" w:eastAsia="仿宋"/>
          <w:sz w:val="28"/>
          <w:szCs w:val="28"/>
          <w:lang w:eastAsia="zh-CN"/>
        </w:rPr>
        <w:t xml:space="preserve">二、</w:t>
      </w:r>
      <w:r>
        <w:rPr>
          <w:rFonts w:hint="eastAsia" w:ascii="仿宋" w:hAnsi="仿宋" w:eastAsia="仿宋"/>
          <w:sz w:val="28"/>
          <w:szCs w:val="28"/>
        </w:rPr>
        <w:t xml:space="preserve">总体服务内容”中标注“★”技术参数的得40分，未完全满足的作无效投标处理。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（2）投标人所投技术参数与招标文件第五章“采购需求”中的“</w:t>
      </w:r>
      <w:r>
        <w:rPr>
          <w:rFonts w:hint="eastAsia" w:ascii="仿宋" w:hAnsi="仿宋" w:eastAsia="仿宋"/>
          <w:sz w:val="28"/>
          <w:szCs w:val="28"/>
          <w:lang w:eastAsia="zh-CN"/>
        </w:rPr>
        <w:t xml:space="preserve">二、</w:t>
      </w:r>
      <w:r>
        <w:rPr>
          <w:rFonts w:hint="eastAsia" w:ascii="仿宋" w:hAnsi="仿宋" w:eastAsia="仿宋"/>
          <w:sz w:val="28"/>
          <w:szCs w:val="28"/>
        </w:rPr>
        <w:t xml:space="preserve">总体服务内容”中未标注“★”技术参数要求相比较，以40分为基数，每有一项负偏离扣1分（共40项），扣完为止。</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34</w:t>
      </w:r>
      <w:r>
        <w:rPr>
          <w:rFonts w:hint="eastAsia" w:ascii="仿宋" w:hAnsi="仿宋" w:eastAsia="仿宋"/>
          <w:sz w:val="28"/>
          <w:szCs w:val="28"/>
        </w:rPr>
        <w:t xml:space="preserve">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投标人按照下列要求提供方案，评标小组根据投标人提供的方案进行评分，不提供分项方案或者经三分之二评标小组认定分项方案存在重大偏离的，该分项不得分。（分项方案不得超过50页）</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 （1）线路接入方案：6分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针对采购需求“（一）线路接入服务”，投标人须提供线路接入服务方案，方案包含以下内容：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　机房互联线路接入服务的线路类型、部署方式、设备端口等；</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　各接入点线路接入服务的线路类型、割接方式等；</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　互联网边界线路接入服务方案；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　线路质量保障措施和故障响应机制等。</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结构合理、内容详实、可读性高、能够满足网络安全性、稳定性和可靠性需求并具有实际操作性，优于本项目需求的得6分；方案整体完整、具备技术可行性，完全满足项目需求的得4分；方案基本符合项目服务需求的得2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（2）核心层、汇聚层、互联网区域接入方案：6分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针对采购文件“</w:t>
      </w:r>
      <w:r>
        <w:rPr>
          <w:rFonts w:hint="eastAsia" w:ascii="仿宋" w:hAnsi="仿宋" w:eastAsia="仿宋"/>
          <w:sz w:val="28"/>
          <w:szCs w:val="28"/>
          <w:lang w:eastAsia="zh-CN"/>
        </w:rPr>
        <w:t xml:space="preserve">第五章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采购需求”中“（二）核心层区域设备接入服务及升级服务”“（三）汇聚层区域设备接入服务和升级服务”“（四）互联网访问区域接入服务”，提供设备接入和升级方案，方案至少包含以下内容：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　核心层区域设备接入服务和升级方案；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　汇聚层区域设备接入服务和升级方案；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　互联网访问区域接入服务方案；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　互联网重要业务切割方案。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结构合理、内容详实、可读性高、能够满足网络安全性、稳定性和可靠性需求并具有实际操作性，优于项目需求的得6分；方案整体完整、具备技术可行性，完全满足项目需求的得4分；方案基本符合项目服务需求的得2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（3）跨机房部署方案：10分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针对采购文件“</w:t>
      </w:r>
      <w:r>
        <w:rPr>
          <w:rFonts w:hint="eastAsia" w:ascii="仿宋" w:hAnsi="仿宋" w:eastAsia="仿宋"/>
          <w:sz w:val="28"/>
          <w:szCs w:val="28"/>
          <w:lang w:eastAsia="zh-CN"/>
        </w:rPr>
        <w:t xml:space="preserve">第五章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采购需求”中“（六）跨机房部署服务”，提供跨机房部署方案，方案至少包含以下内容：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　目标机房环境及配套设施情况；</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　设备布置规划，机柜位置、动力能源、综合布线等；</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　跨机房部署整体网络拓扑，包括多机房线路接入、互联设备接入、冗余设计等内容；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　设备搬迁方案和操作流程，包括搬迁次序、包装运输要求、人员分工等内容；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⑤　网络割接具体方案，包括割接计划、操作步骤、业务影响、回退步骤等内容；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⑥　应急预案，包括跨机房设备故障处置、链路中断等典型故障场景设计、切换操作流程等内容。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结构合理、内容详实、可读性高、能够满足网络安全性、稳定性和可靠性需求，跨机房部署操作步骤、流程符合实际情况，具备实际操作性且无需中断网络业务，优于本项目需求的得10分；方案结构完整，具备技术可行性，完全满足项目需求的得6分；方案基本符合项目服务需求的得4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（4）运维管理区域接入方案：6分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针对采购文件“</w:t>
      </w:r>
      <w:r>
        <w:rPr>
          <w:rFonts w:hint="eastAsia" w:ascii="仿宋" w:hAnsi="仿宋" w:eastAsia="仿宋"/>
          <w:sz w:val="28"/>
          <w:szCs w:val="28"/>
          <w:lang w:eastAsia="zh-CN"/>
        </w:rPr>
        <w:t xml:space="preserve">第五章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采购需求”中“（五）运维管理区域设备接入服务”，提供运维管理区域接入方案，方案至少包含以下内容：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　终端设备安全接入认证机制、访问控制策略等方案；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　网络攻击流量探测、处置等方案；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　网络日志存储、溯源、巡检等方案。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④　省市县网络接入、业务专网整合等配置策略联动下发等方案。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结构合理、内容详实、可读性高、能够满足网络安全性、稳定性和可靠性需求并具有实际操作性，优于项目需求的得6分；方案整体完整、具备技术可行性，完全满足需求的得4分；方案基本符合项目服务需求的得2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（5）运维服务方案：6分</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针对采购文件“</w:t>
      </w:r>
      <w:r>
        <w:rPr>
          <w:rFonts w:hint="eastAsia" w:ascii="仿宋" w:hAnsi="仿宋" w:eastAsia="仿宋"/>
          <w:sz w:val="28"/>
          <w:szCs w:val="28"/>
          <w:lang w:eastAsia="zh-CN"/>
        </w:rPr>
        <w:t xml:space="preserve">第五章</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采购需求”中的“四、运维服务要求”中要求，提供运维服务方案，方案至少包含以下内容：</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　项目实施团队组织架构、人员配置、服务要求等方案；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　业务系统迁移、方案、托管和存量设备处置等方案；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③　驻场运维团队组织架构、全生命周期运维保障服务方案等。</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方案结构合理、内容详实、可读性高、能够满足网络安全性、稳定性和可靠性需求并具有实际操作性，优于项目需求的得6分；方案整体完整、具备技术可行性，完全满足项目需求的得4分；方案基本符合项目服务需求的得2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16</w:t>
      </w:r>
      <w:r>
        <w:rPr>
          <w:rFonts w:hint="eastAsia" w:ascii="仿宋" w:hAnsi="仿宋" w:eastAsia="仿宋"/>
          <w:sz w:val="28"/>
          <w:szCs w:val="28"/>
        </w:rPr>
        <w:t xml:space="preserve">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（1）投标人针对本项目拟派的项目负责人具有信息系统项目管理师证书得2分，本项最多得2分，不提供不得分。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（2）运维团队：（5分，同一人员有多本证书按1证计算，不同人员证书可累计得分）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①投标人针对本项目拟派的运维团队具有系统规划与管理师证书的得2分，本项最多得2分，不提供不得分；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②投标人针对本项目拟派的运维团队具有信息安全工程师、网络工程师、信创规划管理师证书每提供1个证书得1分，本项最多得3分，不提供不得分。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注：以上需提供有效证书电子件，项目组人员需提供投标人为其缴纳的2026年6月（含）以来任意一个月的社保缴纳证明材料（以社保主管部门出具的证明材料为准）</w:t>
      </w:r>
      <w:r>
        <w:rPr>
          <w:rFonts w:hint="eastAsia" w:ascii="仿宋" w:hAnsi="仿宋" w:eastAsia="仿宋"/>
          <w:sz w:val="28"/>
          <w:szCs w:val="28"/>
          <w:lang w:eastAsia="zh-CN"/>
        </w:rPr>
        <w:t xml:space="preserve">，</w:t>
      </w:r>
      <w:r>
        <w:rPr>
          <w:rFonts w:hint="eastAsia" w:ascii="仿宋" w:hAnsi="仿宋" w:eastAsia="仿宋"/>
          <w:sz w:val="28"/>
          <w:szCs w:val="28"/>
        </w:rPr>
        <w:t xml:space="preserve">未按照要求提供的不得分。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（3）投标人自2023年1月1日（以合同签订时间为准）以来具有类似网络运维服务业绩的，每提供一个得3分，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最高得9分</w:t>
      </w:r>
      <w:r>
        <w:rPr>
          <w:rFonts w:hint="eastAsia" w:ascii="仿宋" w:hAnsi="仿宋" w:eastAsia="仿宋"/>
          <w:sz w:val="28"/>
          <w:szCs w:val="28"/>
          <w:lang w:eastAsia="zh-CN"/>
        </w:rPr>
        <w:t xml:space="preserve">，不提供不得分</w:t>
      </w:r>
      <w:r>
        <w:rPr>
          <w:rFonts w:hint="eastAsia" w:ascii="仿宋" w:hAnsi="仿宋" w:eastAsia="仿宋"/>
          <w:sz w:val="28"/>
          <w:szCs w:val="28"/>
        </w:rPr>
        <w:t xml:space="preserve">。</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注：投标文件中需提供合同（合同中主要内容、标的、金额清晰可见）原件电子件和验收合格等相关资料</w:t>
      </w:r>
      <w:r>
        <w:rPr>
          <w:rFonts w:hint="eastAsia" w:ascii="仿宋" w:hAnsi="仿宋" w:eastAsia="仿宋"/>
          <w:sz w:val="28"/>
          <w:szCs w:val="28"/>
          <w:lang w:eastAsia="zh-CN"/>
        </w:rPr>
        <w:t xml:space="preserve">，</w:t>
      </w:r>
      <w:r>
        <w:rPr>
          <w:rFonts w:hint="eastAsia" w:ascii="仿宋" w:hAnsi="仿宋" w:eastAsia="仿宋"/>
          <w:sz w:val="28"/>
          <w:szCs w:val="28"/>
        </w:rPr>
        <w:t xml:space="preserve">未按照要求提供不得分。</w:t>
      </w:r>
      <w:r>
        <w:rPr>
          <w:rFonts w:hint="eastAsia" w:ascii="仿宋" w:hAnsi="仿宋" w:eastAsia="仿宋"/>
          <w:sz w:val="28"/>
          <w:szCs w:val="28"/>
        </w:rPr>
      </w:r>
      <w:r/>
    </w:p>
    <w:p>
      <w:pPr>
        <w:pStyle w:val="684"/>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84"/>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70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684"/>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705"/>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05"/>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705"/>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705"/>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705"/>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70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70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84"/>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84"/>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84"/>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84"/>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84"/>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84"/>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70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684"/>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684"/>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84"/>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84"/>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84"/>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84"/>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84"/>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84"/>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684"/>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84"/>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68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8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8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84"/>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684"/>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9"/>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70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684"/>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705"/>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70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84"/>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705"/>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采购需求</w:t>
      </w:r>
      <w:r>
        <w:rPr>
          <w:rFonts w:hint="eastAsia" w:ascii="仿宋" w:hAnsi="仿宋" w:eastAsia="仿宋"/>
          <w:b/>
          <w:bCs/>
          <w:sz w:val="36"/>
          <w:szCs w:val="36"/>
          <w:lang w:val="zh-CN"/>
        </w:rPr>
      </w:r>
      <w:r/>
    </w:p>
    <w:p>
      <w:pPr>
        <w:pStyle w:val="705"/>
        <w:keepLines w:val="0"/>
        <w:keepNext w:val="0"/>
        <w:pageBreakBefore w:val="0"/>
        <w:spacing w:line="520" w:lineRule="exact"/>
        <w:rPr>
          <w:rFonts w:hint="eastAsia" w:ascii="黑体" w:hAnsi="黑体" w:eastAsia="黑体" w:cs="黑体"/>
          <w:bCs/>
          <w:sz w:val="28"/>
          <w:szCs w:val="28"/>
          <w:lang w:eastAsia="zh-CN"/>
        </w:rPr>
        <w:outlineLvl w:val="9"/>
      </w:pPr>
      <w:r>
        <w:rPr>
          <w:rFonts w:hint="eastAsia" w:ascii="黑体" w:hAnsi="黑体" w:eastAsia="黑体" w:cs="黑体"/>
          <w:bCs/>
          <w:sz w:val="28"/>
          <w:szCs w:val="28"/>
        </w:rPr>
        <w:t xml:space="preserve">一、</w:t>
      </w:r>
      <w:r>
        <w:rPr>
          <w:rFonts w:hint="eastAsia" w:ascii="黑体" w:hAnsi="黑体" w:eastAsia="黑体" w:cs="黑体"/>
          <w:bCs/>
          <w:sz w:val="28"/>
          <w:szCs w:val="28"/>
          <w:lang w:eastAsia="zh-CN"/>
        </w:rPr>
        <w:t xml:space="preserve">项目基本情况</w:t>
      </w:r>
      <w:r>
        <w:rPr>
          <w:rFonts w:hint="eastAsia" w:ascii="黑体" w:hAnsi="黑体" w:eastAsia="黑体" w:cs="黑体"/>
          <w:bCs/>
          <w:sz w:val="28"/>
          <w:szCs w:val="28"/>
          <w:lang w:eastAsia="zh-CN"/>
        </w:rPr>
      </w:r>
      <w:r/>
    </w:p>
    <w:p>
      <w:pPr>
        <w:pStyle w:val="705"/>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rPr>
        <w:t xml:space="preserve">本项目为采购市级政务外网整体运行维护服务，服务内容包括但不限于：提供线路接入服务、网络设备接入服务、驻场运维服务、调试割接服务、跨机房部署服务和故障处理服务等。投标人须通过科学合理的网络架构设计与可靠的冗余部署策略，实现主干网络层、重点部门接入层网络双活保障。同时，投标人须全面对标省市关于新一代电子政务外网的规范建设和运行要求，确保市级政务外网全年7×24小时不间断、安全、稳定、高效运行，并根据实际工作需要和相关文件要求完成信创适配、测试评估等各项工作任务。</w:t>
      </w:r>
      <w:r>
        <w:rPr>
          <w:rFonts w:hint="eastAsia" w:ascii="仿宋" w:hAnsi="仿宋" w:eastAsia="仿宋"/>
          <w:bCs/>
          <w:sz w:val="28"/>
          <w:szCs w:val="28"/>
        </w:rPr>
      </w:r>
      <w:r/>
    </w:p>
    <w:p>
      <w:pPr>
        <w:pStyle w:val="705"/>
        <w:keepLines w:val="0"/>
        <w:keepNext w:val="0"/>
        <w:pageBreakBefore w:val="0"/>
        <w:spacing w:line="520" w:lineRule="exact"/>
        <w:rPr>
          <w:rFonts w:hint="eastAsia" w:ascii="黑体" w:hAnsi="黑体" w:eastAsia="黑体" w:cs="黑体"/>
          <w:bCs/>
          <w:sz w:val="28"/>
          <w:szCs w:val="28"/>
          <w:lang w:eastAsia="zh-CN"/>
        </w:rPr>
        <w:outlineLvl w:val="9"/>
      </w:pPr>
      <w:r>
        <w:rPr>
          <w:rFonts w:hint="eastAsia" w:ascii="黑体" w:hAnsi="黑体" w:eastAsia="黑体" w:cs="黑体"/>
          <w:bCs/>
          <w:sz w:val="28"/>
          <w:szCs w:val="28"/>
        </w:rPr>
        <w:t xml:space="preserve">二、</w:t>
      </w:r>
      <w:r>
        <w:rPr>
          <w:rFonts w:hint="eastAsia" w:ascii="黑体" w:hAnsi="黑体" w:eastAsia="黑体" w:cs="黑体"/>
          <w:bCs/>
          <w:sz w:val="28"/>
          <w:szCs w:val="28"/>
          <w:lang w:eastAsia="zh-CN"/>
        </w:rPr>
        <w:t xml:space="preserve">总体服务内容</w:t>
      </w:r>
      <w:r>
        <w:rPr>
          <w:rFonts w:hint="eastAsia" w:ascii="黑体" w:hAnsi="黑体" w:eastAsia="黑体" w:cs="黑体"/>
          <w:bCs/>
          <w:sz w:val="28"/>
          <w:szCs w:val="28"/>
          <w:lang w:eastAsia="zh-CN"/>
        </w:rPr>
      </w:r>
      <w:r/>
    </w:p>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ascii="仿宋" w:hAnsi="仿宋" w:eastAsia="仿宋" w:cs="Times New Roman"/>
          <w:bCs/>
          <w:sz w:val="28"/>
          <w:szCs w:val="28"/>
          <w:lang w:val="en-US" w:eastAsia="zh-CN" w:bidi="ar-SA"/>
        </w:rPr>
        <w:suppressLineNumbers w:val="0"/>
      </w:pPr>
      <w:r>
        <w:rPr>
          <w:rFonts w:ascii="仿宋" w:hAnsi="仿宋" w:eastAsia="仿宋" w:cs="Times New Roman"/>
          <w:bCs/>
          <w:sz w:val="28"/>
          <w:szCs w:val="28"/>
          <w:lang w:val="en-US" w:eastAsia="zh-CN" w:bidi="ar-SA"/>
        </w:rPr>
        <w:t xml:space="preserve">线路接入服务</w:t>
      </w:r>
      <w:r>
        <w:rPr>
          <w:rFonts w:ascii="仿宋" w:hAnsi="仿宋" w:eastAsia="仿宋" w:cs="Times New Roman"/>
          <w:bCs/>
          <w:sz w:val="28"/>
          <w:szCs w:val="28"/>
          <w:lang w:val="en-US" w:eastAsia="zh-CN" w:bidi="ar-SA"/>
        </w:rPr>
      </w:r>
      <w:r/>
    </w:p>
    <w:p>
      <w:pPr>
        <w:pStyle w:val="684"/>
        <w:ind w:left="0" w:right="0" w:firstLine="560"/>
        <w:jc w:val="both"/>
        <w:keepLines w:val="0"/>
        <w:keepNext w:val="0"/>
        <w:pageBreakBefore w:val="0"/>
        <w:spacing w:before="0" w:beforeAutospacing="0" w:after="0" w:afterAutospacing="0" w:line="540" w:lineRule="exact"/>
        <w:widowControl/>
        <w:rPr>
          <w:rFonts w:ascii="仿宋" w:hAnsi="仿宋" w:eastAsia="仿宋" w:cs="Times New Roman"/>
          <w:bCs/>
          <w:sz w:val="28"/>
          <w:szCs w:val="28"/>
          <w:lang w:val="en-US" w:eastAsia="zh-CN" w:bidi="ar-SA"/>
        </w:rPr>
        <w:suppressLineNumbers w:val="0"/>
      </w:pPr>
      <w:r>
        <w:rPr>
          <w:rFonts w:ascii="仿宋" w:hAnsi="仿宋" w:eastAsia="仿宋" w:cs="Times New Roman"/>
          <w:bCs/>
          <w:sz w:val="28"/>
          <w:szCs w:val="28"/>
          <w:lang w:val="en-US" w:eastAsia="zh-CN" w:bidi="ar-SA"/>
        </w:rPr>
        <w:t xml:space="preserve">投标人按需提供跨机房之间互联线路、</w:t>
      </w:r>
      <w:r>
        <w:rPr>
          <w:rFonts w:hint="eastAsia" w:ascii="仿宋" w:hAnsi="仿宋" w:eastAsia="仿宋" w:cs="Times New Roman"/>
          <w:bCs/>
          <w:sz w:val="28"/>
          <w:szCs w:val="28"/>
          <w:lang w:val="en-US" w:eastAsia="zh-CN" w:bidi="ar-SA"/>
        </w:rPr>
        <w:t xml:space="preserve">部门</w:t>
      </w:r>
      <w:r>
        <w:rPr>
          <w:rFonts w:ascii="仿宋" w:hAnsi="仿宋" w:eastAsia="仿宋" w:cs="Times New Roman"/>
          <w:bCs/>
          <w:sz w:val="28"/>
          <w:szCs w:val="28"/>
          <w:lang w:val="en-US" w:eastAsia="zh-CN" w:bidi="ar-SA"/>
        </w:rPr>
        <w:t xml:space="preserve">单位</w:t>
      </w:r>
      <w:r>
        <w:rPr>
          <w:rFonts w:hint="eastAsia" w:ascii="仿宋" w:hAnsi="仿宋" w:eastAsia="仿宋" w:cs="Times New Roman"/>
          <w:bCs/>
          <w:sz w:val="28"/>
          <w:szCs w:val="28"/>
          <w:lang w:val="en-US" w:eastAsia="zh-CN" w:bidi="ar-SA"/>
        </w:rPr>
        <w:t xml:space="preserve">线路</w:t>
      </w:r>
      <w:r>
        <w:rPr>
          <w:rFonts w:ascii="仿宋" w:hAnsi="仿宋" w:eastAsia="仿宋" w:cs="Times New Roman"/>
          <w:bCs/>
          <w:sz w:val="28"/>
          <w:szCs w:val="28"/>
          <w:lang w:val="en-US" w:eastAsia="zh-CN" w:bidi="ar-SA"/>
        </w:rPr>
        <w:t xml:space="preserve">接入服务，所有线路节点传输设备应具有日常运行状态、故障响应、资源分配和调度控制等监测管理功能，具有端到端的客户网络监控等业务功能；具备实时服务监控团队。</w:t>
      </w:r>
      <w:r>
        <w:rPr>
          <w:rFonts w:ascii="仿宋" w:hAnsi="仿宋" w:eastAsia="仿宋" w:cs="Times New Roman"/>
          <w:bCs/>
          <w:sz w:val="28"/>
          <w:szCs w:val="28"/>
          <w:lang w:val="en-US" w:eastAsia="zh-CN" w:bidi="ar-SA"/>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1673"/>
        <w:gridCol w:w="5175"/>
        <w:gridCol w:w="729"/>
        <w:gridCol w:w="650"/>
      </w:tblGrid>
      <w:tr>
        <w:trPr/>
        <w:tc>
          <w:tcPr>
            <w:tcW w:w="380"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bidi="ar"/>
              </w:rPr>
              <w:suppressLineNumbers w:val="0"/>
            </w:pPr>
            <w:r>
              <w:rPr>
                <w:rFonts w:hint="eastAsia" w:ascii="仿宋" w:hAnsi="仿宋" w:eastAsia="仿宋" w:cs="仿宋"/>
                <w:bCs w:val="0"/>
                <w:color w:val="000000"/>
                <w:sz w:val="28"/>
                <w:szCs w:val="28"/>
                <w:lang w:val="en-US" w:eastAsia="zh-CN" w:bidi="ar"/>
              </w:rPr>
              <w:t xml:space="preserve">序号</w:t>
            </w:r>
            <w:r>
              <w:rPr>
                <w:rFonts w:hint="eastAsia" w:ascii="仿宋" w:hAnsi="仿宋" w:eastAsia="仿宋" w:cs="仿宋"/>
                <w:bCs w:val="0"/>
                <w:color w:val="000000"/>
                <w:sz w:val="28"/>
                <w:szCs w:val="28"/>
                <w:lang w:bidi="ar"/>
              </w:rPr>
            </w:r>
            <w:r/>
          </w:p>
        </w:tc>
        <w:tc>
          <w:tcPr>
            <w:tcW w:w="93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suppressLineNumbers w:val="0"/>
            </w:pPr>
            <w:r>
              <w:rPr>
                <w:rFonts w:hint="eastAsia" w:ascii="仿宋" w:hAnsi="仿宋" w:eastAsia="仿宋" w:cs="仿宋"/>
                <w:color w:val="000000"/>
                <w:sz w:val="28"/>
                <w:szCs w:val="28"/>
                <w:lang w:val="en-US" w:eastAsia="zh-CN" w:bidi="ar"/>
              </w:rPr>
              <w:t xml:space="preserve">服务名称</w:t>
            </w:r>
            <w:r>
              <w:rPr>
                <w:rFonts w:hint="eastAsia" w:ascii="仿宋" w:hAnsi="仿宋" w:eastAsia="仿宋" w:cs="仿宋"/>
                <w:color w:val="000000"/>
                <w:sz w:val="28"/>
                <w:szCs w:val="28"/>
                <w:lang w:bidi="ar"/>
              </w:rPr>
            </w:r>
            <w:r/>
          </w:p>
        </w:tc>
        <w:tc>
          <w:tcPr>
            <w:tcW w:w="290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suppressLineNumbers w:val="0"/>
            </w:pPr>
            <w:r>
              <w:rPr>
                <w:rFonts w:hint="eastAsia" w:ascii="仿宋" w:hAnsi="仿宋" w:eastAsia="仿宋" w:cs="仿宋"/>
                <w:color w:val="000000"/>
                <w:sz w:val="28"/>
                <w:szCs w:val="28"/>
                <w:lang w:val="en-US" w:eastAsia="zh-CN" w:bidi="ar"/>
              </w:rPr>
              <w:t xml:space="preserve">服务要求</w:t>
            </w:r>
            <w:r>
              <w:rPr>
                <w:rFonts w:hint="eastAsia" w:ascii="仿宋" w:hAnsi="仿宋" w:eastAsia="仿宋" w:cs="仿宋"/>
                <w:color w:val="000000"/>
                <w:sz w:val="28"/>
                <w:szCs w:val="28"/>
                <w:lang w:bidi="ar"/>
              </w:rPr>
            </w:r>
            <w:r/>
          </w:p>
        </w:tc>
        <w:tc>
          <w:tcPr>
            <w:tcW w:w="40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color w:val="000000"/>
                <w:sz w:val="28"/>
                <w:szCs w:val="28"/>
                <w:lang w:bidi="ar"/>
              </w:rPr>
            </w:r>
            <w:r/>
          </w:p>
        </w:tc>
        <w:tc>
          <w:tcPr>
            <w:tcW w:w="36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color w:val="000000"/>
                <w:sz w:val="28"/>
                <w:szCs w:val="28"/>
                <w:lang w:bidi="ar"/>
              </w:rPr>
            </w:r>
            <w:r/>
          </w:p>
        </w:tc>
      </w:tr>
      <w:tr>
        <w:trPr>
          <w:trHeight w:val="784"/>
        </w:trPr>
        <w:tc>
          <w:tcPr>
            <w:tcW w:w="380"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939"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★机房互联服务</w:t>
            </w:r>
            <w:r>
              <w:rPr>
                <w:rFonts w:hint="eastAsia" w:ascii="仿宋" w:hAnsi="仿宋" w:eastAsia="仿宋" w:cs="仿宋"/>
                <w:color w:val="000000"/>
                <w:sz w:val="28"/>
                <w:szCs w:val="28"/>
              </w:rPr>
            </w:r>
            <w:r/>
          </w:p>
        </w:tc>
        <w:tc>
          <w:tcPr>
            <w:tcW w:w="2905" w:type="dxa"/>
            <w:vAlign w:val="top"/>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按需提供跨机房部署服务所需的线路，互联线路≥10条，线路带宽≥10G；</w:t>
            </w:r>
            <w:r>
              <w:rPr>
                <w:rFonts w:hint="eastAsia" w:ascii="仿宋" w:hAnsi="仿宋" w:eastAsia="仿宋" w:cs="仿宋"/>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线路提供不同传输路径冗余保护服务。</w:t>
            </w:r>
            <w:r>
              <w:rPr>
                <w:rFonts w:hint="eastAsia" w:ascii="仿宋" w:hAnsi="仿宋" w:eastAsia="仿宋" w:cs="仿宋"/>
                <w:color w:val="000000"/>
                <w:sz w:val="28"/>
                <w:szCs w:val="28"/>
                <w:lang w:bidi="ar"/>
              </w:rPr>
            </w:r>
            <w:r/>
          </w:p>
        </w:tc>
        <w:tc>
          <w:tcPr>
            <w:tcW w:w="40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1</w:t>
            </w:r>
            <w:r>
              <w:rPr>
                <w:rFonts w:hint="eastAsia" w:ascii="仿宋" w:hAnsi="仿宋" w:eastAsia="仿宋" w:cs="仿宋"/>
                <w:b/>
                <w:bCs/>
                <w:color w:val="000000"/>
                <w:sz w:val="28"/>
                <w:szCs w:val="28"/>
                <w:lang w:val="en-US" w:eastAsia="zh-CN" w:bidi="ar"/>
              </w:rPr>
              <w:t xml:space="preserve">　</w:t>
            </w:r>
            <w:r>
              <w:rPr>
                <w:rFonts w:hint="eastAsia" w:ascii="仿宋" w:hAnsi="仿宋" w:eastAsia="仿宋" w:cs="仿宋"/>
                <w:color w:val="000000"/>
                <w:sz w:val="28"/>
                <w:szCs w:val="28"/>
              </w:rPr>
            </w:r>
            <w:r/>
          </w:p>
        </w:tc>
        <w:tc>
          <w:tcPr>
            <w:tcW w:w="36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2274"/>
        </w:trPr>
        <w:tc>
          <w:tcPr>
            <w:tcW w:w="380"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tcW w:w="939"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市级单位政务外网接入服务</w:t>
            </w:r>
            <w:r>
              <w:rPr>
                <w:rFonts w:hint="eastAsia" w:ascii="仿宋" w:hAnsi="仿宋" w:eastAsia="仿宋" w:cs="仿宋"/>
                <w:color w:val="000000"/>
                <w:sz w:val="28"/>
                <w:szCs w:val="28"/>
              </w:rPr>
            </w:r>
            <w:r/>
          </w:p>
        </w:tc>
        <w:tc>
          <w:tcPr>
            <w:tcW w:w="2905" w:type="dxa"/>
            <w:vAlign w:val="center"/>
            <w:textDirection w:val="lrTb"/>
            <w:noWrap w:val="false"/>
          </w:tcPr>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1.线路通路全年可用率平均达到99.9％，误码率≤1×10</w:t>
            </w:r>
            <w:r>
              <w:rPr>
                <w:rFonts w:hint="eastAsia" w:ascii="仿宋" w:hAnsi="仿宋" w:eastAsia="仿宋" w:cs="仿宋"/>
                <w:color w:val="000000"/>
                <w:sz w:val="28"/>
                <w:szCs w:val="28"/>
                <w:vertAlign w:val="baseline"/>
                <w:lang w:val="en-US" w:eastAsia="zh-CN" w:bidi="ar"/>
              </w:rPr>
              <w:t xml:space="preserve">-7</w:t>
            </w:r>
            <w:r>
              <w:rPr>
                <w:rFonts w:hint="eastAsia" w:ascii="仿宋" w:hAnsi="仿宋" w:eastAsia="仿宋" w:cs="仿宋"/>
                <w:color w:val="000000"/>
                <w:sz w:val="28"/>
                <w:szCs w:val="28"/>
                <w:lang w:val="en-US" w:eastAsia="zh-CN" w:bidi="ar"/>
              </w:rPr>
              <w:t xml:space="preserve">，最高时延≤50ms，倒换时间≤50ms。</w:t>
            </w:r>
            <w:r>
              <w:rPr>
                <w:rFonts w:hint="eastAsia" w:ascii="仿宋" w:hAnsi="仿宋" w:eastAsia="仿宋" w:cs="仿宋"/>
                <w:bCs w:val="0"/>
                <w:color w:val="000000"/>
                <w:sz w:val="28"/>
                <w:szCs w:val="28"/>
                <w:lang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w:t>
            </w:r>
            <w:r>
              <w:rPr>
                <w:rFonts w:hint="eastAsia" w:ascii="仿宋" w:hAnsi="仿宋" w:eastAsia="仿宋" w:cs="仿宋"/>
                <w:bCs w:val="0"/>
                <w:color w:val="000000"/>
                <w:sz w:val="28"/>
                <w:szCs w:val="28"/>
                <w:lang w:val="en-US" w:eastAsia="zh-CN" w:bidi="ar"/>
              </w:rPr>
              <w:t xml:space="preserve">2.在市级政务外网现有主用接入设备和线路基础上，提供线路接入至投标人机房的割接服务，如投标人选择不复用现有线路和设备，需提供对应线路和设备的接入服务。</w:t>
            </w:r>
            <w:r>
              <w:rPr>
                <w:rFonts w:hint="eastAsia" w:ascii="仿宋" w:hAnsi="仿宋" w:eastAsia="仿宋" w:cs="仿宋"/>
                <w:bCs w:val="0"/>
                <w:color w:val="000000"/>
                <w:sz w:val="28"/>
                <w:szCs w:val="28"/>
                <w:lang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★3.在服务期内根据市级政务外网接入需求，提供新增政务外网接入单位的线路接入服务。</w:t>
            </w:r>
            <w:r>
              <w:rPr>
                <w:rFonts w:hint="eastAsia" w:ascii="仿宋" w:hAnsi="仿宋" w:eastAsia="仿宋" w:cs="仿宋"/>
                <w:bCs w:val="0"/>
                <w:color w:val="000000"/>
                <w:sz w:val="28"/>
                <w:szCs w:val="28"/>
                <w:lang w:val="en-US" w:eastAsia="zh-CN"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w:t>
            </w:r>
            <w:r>
              <w:rPr>
                <w:rFonts w:hint="eastAsia" w:ascii="仿宋" w:hAnsi="仿宋" w:eastAsia="仿宋" w:cs="仿宋"/>
                <w:bCs w:val="0"/>
                <w:color w:val="000000"/>
                <w:sz w:val="28"/>
                <w:szCs w:val="28"/>
                <w:lang w:val="en-US" w:eastAsia="zh-CN" w:bidi="ar"/>
              </w:rPr>
              <w:t xml:space="preserve">4.根据业务需求，按需提供</w:t>
            </w:r>
            <w:r>
              <w:rPr>
                <w:rFonts w:hint="eastAsia" w:ascii="仿宋" w:hAnsi="仿宋" w:eastAsia="仿宋" w:cs="仿宋"/>
                <w:color w:val="000000"/>
                <w:sz w:val="28"/>
                <w:szCs w:val="28"/>
                <w:lang w:val="en-US" w:eastAsia="zh-CN" w:bidi="ar"/>
              </w:rPr>
              <w:t xml:space="preserve">不同传输路径冗余</w:t>
            </w:r>
            <w:r>
              <w:rPr>
                <w:rFonts w:hint="eastAsia" w:ascii="仿宋" w:hAnsi="仿宋" w:eastAsia="仿宋" w:cs="仿宋"/>
                <w:bCs w:val="0"/>
                <w:color w:val="000000"/>
                <w:sz w:val="28"/>
                <w:szCs w:val="28"/>
                <w:lang w:val="en-US" w:eastAsia="zh-CN" w:bidi="ar"/>
              </w:rPr>
              <w:t xml:space="preserve">保护服务；按照接入单位业务需求分配线路带宽。</w:t>
            </w:r>
            <w:r>
              <w:rPr>
                <w:rFonts w:hint="eastAsia" w:ascii="仿宋" w:hAnsi="仿宋" w:eastAsia="仿宋" w:cs="仿宋"/>
                <w:bCs w:val="0"/>
                <w:color w:val="000000"/>
                <w:sz w:val="28"/>
                <w:szCs w:val="28"/>
                <w:lang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5.提供统一客户报障服务热线，负责电子政务外网日常故障处置和电话管理。</w:t>
            </w:r>
            <w:r>
              <w:rPr>
                <w:rFonts w:hint="eastAsia" w:ascii="仿宋" w:hAnsi="仿宋" w:eastAsia="仿宋" w:cs="仿宋"/>
                <w:bCs w:val="0"/>
                <w:color w:val="000000"/>
                <w:sz w:val="28"/>
                <w:szCs w:val="28"/>
                <w:lang w:val="en-US" w:eastAsia="zh-CN"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bidi="ar"/>
              </w:rPr>
              <w:outlineLvl w:val="9"/>
              <w:suppressLineNumbers w:val="0"/>
            </w:pPr>
            <w:r>
              <w:rPr>
                <w:rFonts w:hint="eastAsia" w:ascii="仿宋" w:hAnsi="仿宋" w:eastAsia="仿宋" w:cs="仿宋"/>
                <w:bCs w:val="0"/>
                <w:color w:val="000000"/>
                <w:sz w:val="28"/>
                <w:szCs w:val="28"/>
                <w:lang w:val="en-US" w:eastAsia="zh-CN" w:bidi="ar"/>
              </w:rPr>
              <w:t xml:space="preserve">6.为满足政务外网接入服务标准，新增政务外网接入单位需配备不低于以下参数的必要设施：接入设备千兆光口≥2个，千兆电口≥4个，支持路由功能。</w:t>
            </w:r>
            <w:r>
              <w:rPr>
                <w:rFonts w:hint="eastAsia" w:ascii="仿宋" w:hAnsi="仿宋" w:eastAsia="仿宋" w:cs="仿宋"/>
                <w:bCs w:val="0"/>
                <w:color w:val="000000"/>
                <w:sz w:val="28"/>
                <w:szCs w:val="28"/>
                <w:lang w:bidi="ar"/>
              </w:rPr>
            </w:r>
            <w:r/>
          </w:p>
        </w:tc>
        <w:tc>
          <w:tcPr>
            <w:tcW w:w="409"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bCs/>
                <w:color w:val="000000"/>
                <w:sz w:val="28"/>
                <w:szCs w:val="28"/>
              </w:rPr>
              <w:outlineLvl w:val="1"/>
              <w:suppressLineNumbers w:val="0"/>
            </w:pPr>
            <w:r>
              <w:rPr>
                <w:rFonts w:hint="eastAsia" w:ascii="仿宋" w:hAnsi="仿宋" w:eastAsia="仿宋" w:cs="仿宋"/>
                <w:bCs/>
                <w:color w:val="000000"/>
                <w:sz w:val="28"/>
                <w:szCs w:val="28"/>
                <w:lang w:val="en-US" w:eastAsia="zh-CN" w:bidi="ar"/>
              </w:rPr>
              <w:t xml:space="preserve">1</w:t>
            </w:r>
            <w:r>
              <w:rPr>
                <w:rFonts w:hint="eastAsia" w:ascii="仿宋" w:hAnsi="仿宋" w:eastAsia="仿宋" w:cs="仿宋"/>
                <w:bCs/>
                <w:color w:val="000000"/>
                <w:sz w:val="28"/>
                <w:szCs w:val="28"/>
              </w:rPr>
            </w:r>
            <w:r/>
          </w:p>
        </w:tc>
        <w:tc>
          <w:tcPr>
            <w:tcW w:w="36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Cs/>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bCs/>
                <w:color w:val="000000"/>
                <w:sz w:val="28"/>
                <w:szCs w:val="28"/>
              </w:rPr>
            </w:r>
            <w:r/>
          </w:p>
        </w:tc>
      </w:tr>
      <w:tr>
        <w:trPr>
          <w:trHeight w:val="1582"/>
        </w:trPr>
        <w:tc>
          <w:tcPr>
            <w:tcW w:w="380"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bCs/>
                <w:color w:val="000000"/>
                <w:sz w:val="28"/>
                <w:szCs w:val="28"/>
              </w:rPr>
              <w:suppressLineNumbers w:val="0"/>
            </w:pPr>
            <w:r>
              <w:rPr>
                <w:rFonts w:hint="eastAsia" w:ascii="仿宋" w:hAnsi="仿宋" w:eastAsia="仿宋" w:cs="仿宋"/>
                <w:bCs/>
                <w:color w:val="000000"/>
                <w:sz w:val="28"/>
                <w:szCs w:val="28"/>
                <w:lang w:val="en-US" w:eastAsia="zh-CN" w:bidi="ar"/>
              </w:rPr>
              <w:t xml:space="preserve">3</w:t>
            </w:r>
            <w:r>
              <w:rPr>
                <w:rFonts w:hint="eastAsia" w:ascii="仿宋" w:hAnsi="仿宋" w:eastAsia="仿宋" w:cs="仿宋"/>
                <w:bCs/>
                <w:color w:val="000000"/>
                <w:sz w:val="28"/>
                <w:szCs w:val="28"/>
              </w:rPr>
            </w:r>
            <w:r/>
          </w:p>
        </w:tc>
        <w:tc>
          <w:tcPr>
            <w:tcW w:w="939" w:type="dxa"/>
            <w:vAlign w:val="center"/>
            <w:textDirection w:val="lrTb"/>
            <w:noWrap w:val="false"/>
          </w:tcPr>
          <w:p>
            <w:pPr>
              <w:pStyle w:val="684"/>
              <w:ind w:left="0" w:right="0" w:firstLine="0"/>
              <w:jc w:val="center"/>
              <w:keepLines w:val="0"/>
              <w:keepNext w:val="0"/>
              <w:pageBreakBefore w:val="0"/>
              <w:spacing w:before="100" w:beforeAutospacing="1" w:after="100" w:afterAutospacing="1"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Cs/>
                <w:color w:val="000000"/>
                <w:sz w:val="28"/>
                <w:szCs w:val="28"/>
                <w:lang w:val="en-US" w:eastAsia="zh-CN" w:bidi="ar"/>
              </w:rPr>
              <w:t xml:space="preserve">互联网出口线路升级服务</w:t>
            </w:r>
            <w:r>
              <w:rPr>
                <w:rFonts w:hint="eastAsia" w:ascii="仿宋" w:hAnsi="仿宋" w:eastAsia="仿宋" w:cs="仿宋"/>
                <w:color w:val="000000"/>
                <w:sz w:val="28"/>
                <w:szCs w:val="28"/>
              </w:rPr>
            </w:r>
            <w:r/>
          </w:p>
        </w:tc>
        <w:tc>
          <w:tcPr>
            <w:tcW w:w="2905" w:type="dxa"/>
            <w:vAlign w:val="top"/>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为满足互联网出口线路升级服务标准，需配备不低于以下参数的必要设施：</w:t>
            </w:r>
            <w:r>
              <w:rPr>
                <w:rFonts w:hint="eastAsia" w:ascii="仿宋" w:hAnsi="仿宋" w:eastAsia="仿宋" w:cs="仿宋"/>
                <w:bCs w:val="0"/>
                <w:color w:val="000000"/>
                <w:sz w:val="28"/>
                <w:szCs w:val="28"/>
                <w:lang w:val="en-US" w:eastAsia="zh-CN"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1.提供</w:t>
            </w:r>
            <w:r>
              <w:rPr>
                <w:rFonts w:hint="eastAsia" w:ascii="仿宋" w:hAnsi="仿宋" w:eastAsia="仿宋" w:cs="仿宋"/>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60个IPv6地址、</w:t>
            </w:r>
            <w:r>
              <w:rPr>
                <w:rFonts w:hint="eastAsia" w:ascii="仿宋" w:hAnsi="仿宋" w:eastAsia="仿宋" w:cs="仿宋"/>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80个IPv4地址。</w:t>
            </w:r>
            <w:r>
              <w:rPr>
                <w:rFonts w:hint="eastAsia" w:ascii="仿宋" w:hAnsi="仿宋" w:eastAsia="仿宋" w:cs="仿宋"/>
                <w:color w:val="000000"/>
                <w:sz w:val="28"/>
                <w:szCs w:val="28"/>
                <w:lang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bidi="ar"/>
              </w:rPr>
              <w:outlineLvl w:val="9"/>
              <w:suppressLineNumbers w:val="0"/>
            </w:pPr>
            <w:r>
              <w:rPr>
                <w:rFonts w:hint="eastAsia" w:ascii="仿宋" w:hAnsi="仿宋" w:eastAsia="仿宋" w:cs="仿宋"/>
                <w:color w:val="000000"/>
                <w:sz w:val="28"/>
                <w:szCs w:val="28"/>
                <w:lang w:val="en-US" w:eastAsia="zh-CN" w:bidi="ar"/>
              </w:rPr>
              <w:t xml:space="preserve">★2.在现有互联网出口线路基础上，提供网络线路割接至投标人机房的割接服务；如投标人选择不复用现有线路，须提供互联网线路接入服务，保障全天所有互联网接入点位带宽满足实际使用需要。</w:t>
            </w:r>
            <w:r>
              <w:rPr>
                <w:rFonts w:hint="eastAsia" w:ascii="仿宋" w:hAnsi="仿宋" w:eastAsia="仿宋" w:cs="仿宋"/>
                <w:color w:val="000000"/>
                <w:sz w:val="28"/>
                <w:szCs w:val="28"/>
                <w:lang w:bidi="ar"/>
              </w:rPr>
            </w:r>
            <w:r/>
          </w:p>
        </w:tc>
        <w:tc>
          <w:tcPr>
            <w:tcW w:w="409"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outlineLvl w:val="1"/>
              <w:suppressLineNumbers w:val="0"/>
            </w:pPr>
            <w:r>
              <w:rPr>
                <w:rFonts w:hint="eastAsia" w:ascii="仿宋" w:hAnsi="仿宋" w:eastAsia="仿宋" w:cs="仿宋"/>
                <w:bCs/>
                <w:color w:val="000000"/>
                <w:sz w:val="28"/>
                <w:szCs w:val="28"/>
                <w:lang w:val="en-US" w:eastAsia="zh-CN" w:bidi="ar"/>
              </w:rPr>
              <w:t xml:space="preserve">1</w:t>
            </w:r>
            <w:r>
              <w:rPr>
                <w:rFonts w:hint="eastAsia" w:ascii="仿宋" w:hAnsi="仿宋" w:eastAsia="仿宋" w:cs="仿宋"/>
                <w:color w:val="000000"/>
                <w:sz w:val="28"/>
                <w:szCs w:val="28"/>
              </w:rPr>
            </w:r>
            <w:r/>
          </w:p>
        </w:tc>
        <w:tc>
          <w:tcPr>
            <w:tcW w:w="36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核心层区域设备接入服务及升级服务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投标人须提供备用核心设备接入服务，采用冗余双活/多活架构，确保任何单台设备或单条链路发生故障时，不影响网络使用。</w:t>
      </w:r>
      <w:r>
        <w:rPr>
          <w:rFonts w:hint="eastAsia" w:ascii="仿宋" w:hAnsi="仿宋" w:eastAsia="仿宋" w:cs="仿宋"/>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500"/>
        <w:gridCol w:w="5075"/>
        <w:gridCol w:w="776"/>
        <w:gridCol w:w="776"/>
      </w:tblGrid>
      <w:tr>
        <w:trPr>
          <w:trHeight w:val="272"/>
        </w:trPr>
        <w:tc>
          <w:tcPr>
            <w:tcW w:w="39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156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★市级备用核心设备接入服务</w:t>
            </w:r>
            <w:r>
              <w:rPr>
                <w:rFonts w:hint="eastAsia" w:ascii="仿宋" w:hAnsi="仿宋" w:eastAsia="仿宋" w:cs="仿宋"/>
                <w:color w:val="000000"/>
                <w:sz w:val="28"/>
                <w:szCs w:val="28"/>
              </w:rPr>
            </w:r>
            <w:r/>
          </w:p>
        </w:tc>
        <w:tc>
          <w:tcPr>
            <w:shd w:val="clear" w:color="auto" w:fill="ffffff"/>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为满足市级备用核心设备接入服务标准，加强市级核心网络冗余能力，需配备不低于以下参数的必要设施：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1.与现有核心设备组成冗余双活/多活架构，能够实现设备和线路自动切换，且切换过程中网络不中断；</w:t>
            </w:r>
            <w:r>
              <w:rPr>
                <w:rFonts w:hint="eastAsia" w:ascii="仿宋" w:hAnsi="仿宋" w:eastAsia="仿宋" w:cs="仿宋"/>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主控板、交换网板、业务板完全物理分离，主控板、交换网板、业务板分布在不同的物理槽位；配备独立冗余主板、冗余交换网板、冗余电源。</w:t>
            </w:r>
            <w:r>
              <w:rPr>
                <w:rFonts w:hint="eastAsia" w:ascii="仿宋" w:hAnsi="仿宋" w:eastAsia="仿宋" w:cs="仿宋"/>
                <w:color w:val="000000"/>
                <w:sz w:val="28"/>
                <w:szCs w:val="28"/>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2.交换容量≥200Tbps，包转发≥50000Mpps；配置万兆光口≥60个</w:t>
            </w:r>
            <w:r>
              <w:rPr>
                <w:rFonts w:hint="eastAsia" w:ascii="仿宋" w:hAnsi="仿宋" w:eastAsia="仿宋" w:cs="仿宋"/>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；核心路由器数量≥1个。</w:t>
            </w:r>
            <w:r>
              <w:rPr>
                <w:rFonts w:hint="eastAsia" w:ascii="仿宋" w:hAnsi="仿宋" w:eastAsia="仿宋" w:cs="仿宋"/>
                <w:color w:val="000000"/>
                <w:sz w:val="28"/>
                <w:szCs w:val="28"/>
              </w:rPr>
            </w:r>
            <w:r/>
          </w:p>
        </w:tc>
        <w:tc>
          <w:tcPr>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56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市级现有核心设备升级服务</w:t>
            </w:r>
            <w:r>
              <w:rPr>
                <w:rFonts w:hint="eastAsia" w:ascii="仿宋" w:hAnsi="仿宋" w:eastAsia="仿宋" w:cs="仿宋"/>
                <w:color w:val="000000"/>
                <w:sz w:val="28"/>
                <w:szCs w:val="28"/>
              </w:rPr>
            </w:r>
            <w:r/>
          </w:p>
        </w:tc>
        <w:tc>
          <w:tcPr>
            <w:shd w:val="clear" w:color="auto" w:fill="ffffff"/>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为满足市级现有核心设备升级服务标准，提升现网核心设备接入能力，需配备不低于以下参数的必要设施：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1.对现网核心设备提供</w:t>
            </w:r>
            <w:r>
              <w:rPr>
                <w:rFonts w:hint="eastAsia" w:ascii="仿宋" w:hAnsi="仿宋" w:eastAsia="仿宋" w:cs="仿宋"/>
                <w:bCs/>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10块冗余电源。</w:t>
            </w:r>
            <w:r>
              <w:rPr>
                <w:rFonts w:hint="eastAsia" w:ascii="仿宋" w:hAnsi="仿宋" w:eastAsia="仿宋" w:cs="仿宋"/>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2.对现网核心设备提供</w:t>
            </w:r>
            <w:r>
              <w:rPr>
                <w:rFonts w:hint="eastAsia" w:ascii="仿宋" w:hAnsi="仿宋" w:eastAsia="仿宋" w:cs="仿宋"/>
                <w:bCs/>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20个万兆光口升级服务。</w:t>
            </w:r>
            <w:r>
              <w:rPr>
                <w:rFonts w:hint="eastAsia" w:ascii="仿宋" w:hAnsi="仿宋" w:eastAsia="仿宋" w:cs="仿宋"/>
                <w:color w:val="000000"/>
                <w:sz w:val="28"/>
                <w:szCs w:val="28"/>
              </w:rPr>
            </w:r>
            <w:r/>
          </w:p>
        </w:tc>
        <w:tc>
          <w:tcPr>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汇聚层区域设备接入服务和升级服务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投标人须提供汇聚设备接入服务。与主备用核心设备实现冗余双活/多活部署，形成高可靠架构。</w:t>
      </w:r>
      <w:r>
        <w:rPr>
          <w:rFonts w:hint="eastAsia" w:ascii="仿宋" w:hAnsi="仿宋" w:eastAsia="仿宋" w:cs="仿宋"/>
          <w:bCs/>
          <w:color w:val="000000"/>
          <w:sz w:val="28"/>
          <w:szCs w:val="28"/>
          <w:lang w:val="en-US" w:eastAsia="zh-CN" w:bidi="ar"/>
        </w:rPr>
      </w:r>
      <w:r/>
    </w:p>
    <w:p>
      <w:pPr>
        <w:pStyle w:val="684"/>
        <w:ind w:left="0" w:right="0" w:firstLine="42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452"/>
        <w:gridCol w:w="4957"/>
        <w:gridCol w:w="830"/>
        <w:gridCol w:w="832"/>
      </w:tblGrid>
      <w:tr>
        <w:trPr>
          <w:trHeight w:val="272"/>
        </w:trPr>
        <w:tc>
          <w:tcPr>
            <w:tcW w:w="466"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15"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78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66"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1308"/>
        </w:trPr>
        <w:tc>
          <w:tcPr>
            <w:tcW w:w="46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81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市级汇聚设备升级服务</w:t>
            </w:r>
            <w:r>
              <w:rPr>
                <w:rFonts w:hint="eastAsia" w:ascii="仿宋" w:hAnsi="仿宋" w:eastAsia="仿宋" w:cs="仿宋"/>
                <w:color w:val="000000"/>
                <w:sz w:val="28"/>
                <w:szCs w:val="28"/>
              </w:rPr>
            </w:r>
            <w:r/>
          </w:p>
        </w:tc>
        <w:tc>
          <w:tcPr>
            <w:shd w:val="clear" w:color="auto" w:fill="ffffff"/>
            <w:tcW w:w="2783"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为满足市级汇聚设备升级服务标准，提升现有汇聚设备接入能力，需配备不低于以下参数的必要设施：</w:t>
            </w:r>
            <w:r>
              <w:rPr>
                <w:rFonts w:hint="eastAsia" w:ascii="仿宋" w:hAnsi="仿宋" w:eastAsia="仿宋" w:cs="仿宋"/>
                <w:bCs w:val="0"/>
                <w:color w:val="000000"/>
                <w:sz w:val="28"/>
                <w:szCs w:val="28"/>
                <w:lang w:val="en-US" w:eastAsia="zh-CN" w:bidi="ar"/>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1.支撑市级各部门接入政务外网，对现网汇聚设备提供</w:t>
            </w:r>
            <w:r>
              <w:rPr>
                <w:rFonts w:hint="eastAsia" w:ascii="仿宋" w:hAnsi="仿宋" w:eastAsia="仿宋" w:cs="仿宋"/>
                <w:bCs/>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200个万兆光口升级服务。</w:t>
            </w:r>
            <w:r>
              <w:rPr>
                <w:rFonts w:hint="eastAsia" w:ascii="仿宋" w:hAnsi="仿宋" w:eastAsia="仿宋" w:cs="仿宋"/>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2.对现网汇聚设备提供</w:t>
            </w:r>
            <w:r>
              <w:rPr>
                <w:rFonts w:hint="eastAsia" w:ascii="仿宋" w:hAnsi="仿宋" w:eastAsia="仿宋" w:cs="仿宋"/>
                <w:bCs/>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8块冗余电源升级服务。</w:t>
            </w:r>
            <w:r>
              <w:rPr>
                <w:rFonts w:hint="eastAsia" w:ascii="仿宋" w:hAnsi="仿宋" w:eastAsia="仿宋" w:cs="仿宋"/>
                <w:color w:val="000000"/>
                <w:sz w:val="28"/>
                <w:szCs w:val="28"/>
              </w:rPr>
            </w:r>
            <w:r/>
          </w:p>
        </w:tc>
        <w:tc>
          <w:tcPr>
            <w:tcW w:w="46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4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652"/>
        </w:trPr>
        <w:tc>
          <w:tcPr>
            <w:shd w:val="clear" w:color="auto" w:fill="ffffff"/>
            <w:tcW w:w="46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shd w:val="clear" w:color="auto" w:fill="ffffff"/>
            <w:tcW w:w="815" w:type="dxa"/>
            <w:vAlign w:val="center"/>
            <w:textDirection w:val="lrTb"/>
            <w:noWrap w:val="false"/>
          </w:tcPr>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★市级汇聚设备接入服务</w:t>
            </w:r>
            <w:r>
              <w:rPr>
                <w:rFonts w:hint="eastAsia" w:ascii="仿宋" w:hAnsi="仿宋" w:eastAsia="仿宋" w:cs="仿宋"/>
                <w:color w:val="000000"/>
                <w:sz w:val="28"/>
                <w:szCs w:val="28"/>
              </w:rPr>
            </w:r>
            <w:r/>
          </w:p>
        </w:tc>
        <w:tc>
          <w:tcPr>
            <w:tcW w:w="2783"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为满足市级汇聚设备接入服务标准，需配备不低于以下参数的必要设施：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val="en-US" w:eastAsia="zh-CN" w:bidi="ar"/>
              </w:rPr>
              <w:t xml:space="preserve">交换容量≥200Tbps，包转发≥50000Mpps；配置万兆光口≥30个；</w:t>
            </w:r>
            <w:r>
              <w:rPr>
                <w:rFonts w:hint="eastAsia" w:ascii="仿宋" w:hAnsi="仿宋" w:eastAsia="仿宋" w:cs="仿宋"/>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提供独立冗余主板和冗余电源。</w:t>
            </w:r>
            <w:r>
              <w:rPr>
                <w:rFonts w:hint="eastAsia" w:ascii="仿宋" w:hAnsi="仿宋" w:eastAsia="仿宋" w:cs="仿宋"/>
                <w:color w:val="000000"/>
                <w:sz w:val="28"/>
                <w:szCs w:val="28"/>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2.配备新增汇聚设备数量≥2个。</w:t>
            </w:r>
            <w:r>
              <w:rPr>
                <w:rFonts w:hint="eastAsia" w:ascii="仿宋" w:hAnsi="仿宋" w:eastAsia="仿宋" w:cs="仿宋"/>
                <w:color w:val="000000"/>
                <w:sz w:val="28"/>
                <w:szCs w:val="28"/>
              </w:rPr>
            </w:r>
            <w:r/>
          </w:p>
        </w:tc>
        <w:tc>
          <w:tcPr>
            <w:shd w:val="clear" w:color="auto" w:fill="ffffff"/>
            <w:tcW w:w="46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互联网访问区域接入服务</w:t>
      </w:r>
      <w:r>
        <w:rPr>
          <w:rFonts w:hint="eastAsia" w:ascii="仿宋" w:hAnsi="仿宋" w:eastAsia="仿宋" w:cs="仿宋"/>
          <w:b w:val="0"/>
          <w:bCs/>
          <w:color w:val="000000"/>
          <w:sz w:val="28"/>
          <w:szCs w:val="28"/>
          <w:lang w:val="en-US" w:eastAsia="zh-CN" w:bidi="ar"/>
        </w:rPr>
      </w:r>
      <w:r/>
    </w:p>
    <w:p>
      <w:pPr>
        <w:pStyle w:val="684"/>
        <w:ind w:left="0" w:right="0" w:firstLine="42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投标人须提供互联网访问区域内各类网络设备接入服务。</w:t>
      </w:r>
      <w:r>
        <w:rPr>
          <w:rFonts w:hint="eastAsia" w:ascii="仿宋" w:hAnsi="仿宋" w:eastAsia="仿宋" w:cs="仿宋"/>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478"/>
        <w:gridCol w:w="5056"/>
        <w:gridCol w:w="816"/>
        <w:gridCol w:w="777"/>
      </w:tblGrid>
      <w:tr>
        <w:trPr>
          <w:trHeight w:val="272"/>
        </w:trPr>
        <w:tc>
          <w:tcPr>
            <w:tcW w:w="39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95"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369"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508"/>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highlight w:val="none"/>
              </w:rPr>
              <w:suppressLineNumbers w:val="0"/>
            </w:pPr>
            <w:r>
              <w:rPr>
                <w:rFonts w:hint="eastAsia" w:ascii="仿宋" w:hAnsi="仿宋" w:eastAsia="仿宋" w:cs="仿宋"/>
                <w:b w:val="0"/>
                <w:bCs w:val="0"/>
                <w:color w:val="000000"/>
                <w:sz w:val="28"/>
                <w:szCs w:val="28"/>
                <w:highlight w:val="none"/>
                <w:lang w:val="en-US" w:eastAsia="zh-CN" w:bidi="ar"/>
              </w:rPr>
              <w:t xml:space="preserve">市级互联网访问区行为管控服务</w:t>
            </w:r>
            <w:r>
              <w:rPr>
                <w:rFonts w:hint="eastAsia" w:ascii="仿宋" w:hAnsi="仿宋" w:eastAsia="仿宋" w:cs="仿宋"/>
                <w:color w:val="000000"/>
                <w:sz w:val="28"/>
                <w:szCs w:val="28"/>
                <w:highlight w:val="none"/>
              </w:rPr>
            </w:r>
            <w:r/>
          </w:p>
        </w:tc>
        <w:tc>
          <w:tcPr>
            <w:shd w:val="clear" w:color="auto" w:fill="ffffff"/>
            <w:tcW w:w="2875"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满足市级互联网访问区行为管控服务标准，需配备不低于以下参数的必要设施：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
              </w:rPr>
              <w:t xml:space="preserve">1.吞吐量≥90Gbps，并发连接数≥5000万，新建连接数≥80万；适用带宽≥8G；配置≥8个万兆光口。</w:t>
            </w:r>
            <w:r>
              <w:rPr>
                <w:rFonts w:hint="eastAsia" w:ascii="仿宋" w:hAnsi="仿宋" w:eastAsia="仿宋" w:cs="仿宋"/>
                <w:color w:val="000000"/>
                <w:sz w:val="28"/>
                <w:szCs w:val="28"/>
                <w:highlight w:val="none"/>
              </w:rPr>
            </w:r>
            <w:r/>
          </w:p>
          <w:p>
            <w:pPr>
              <w:pStyle w:val="684"/>
              <w:keepLines w:val="0"/>
              <w:keepNext w:val="0"/>
              <w:pageBreakBefore w:val="0"/>
              <w:spacing w:after="0"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val="en-US" w:eastAsia="zh-CN" w:bidi="ar"/>
              </w:rPr>
              <w:t xml:space="preserve">支持用户统一行为管理功能；满足实际使用需求，设备数量≥2个。</w:t>
            </w:r>
            <w:r>
              <w:rPr>
                <w:rFonts w:hint="eastAsia" w:ascii="仿宋" w:hAnsi="仿宋" w:eastAsia="仿宋" w:cs="仿宋"/>
                <w:color w:val="000000"/>
                <w:sz w:val="28"/>
                <w:szCs w:val="28"/>
                <w:highlight w:val="none"/>
              </w:rPr>
            </w:r>
            <w:r/>
          </w:p>
        </w:tc>
        <w:tc>
          <w:tcPr>
            <w:tcW w:w="49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36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294"/>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市级互联网访问区流量清洗服务</w:t>
            </w:r>
            <w:r>
              <w:rPr>
                <w:rFonts w:hint="eastAsia" w:ascii="仿宋" w:hAnsi="仿宋" w:eastAsia="仿宋" w:cs="仿宋"/>
                <w:color w:val="000000"/>
                <w:sz w:val="28"/>
                <w:szCs w:val="28"/>
              </w:rPr>
            </w:r>
            <w:r/>
          </w:p>
        </w:tc>
        <w:tc>
          <w:tcPr>
            <w:shd w:val="clear" w:color="auto" w:fill="ffffff"/>
            <w:tcW w:w="2875" w:type="dxa"/>
            <w:vAlign w:val="center"/>
            <w:textDirection w:val="lrTb"/>
            <w:noWrap w:val="false"/>
          </w:tcPr>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满足实际需求，为实际在用的统一互联网出口提供异常流量清洗服务。</w:t>
            </w:r>
            <w:r>
              <w:rPr>
                <w:rFonts w:hint="eastAsia" w:ascii="仿宋" w:hAnsi="仿宋" w:eastAsia="仿宋" w:cs="仿宋"/>
                <w:color w:val="000000"/>
                <w:sz w:val="28"/>
                <w:szCs w:val="28"/>
              </w:rPr>
            </w:r>
            <w:r/>
          </w:p>
        </w:tc>
        <w:tc>
          <w:tcPr>
            <w:tcW w:w="49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tcW w:w="36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496"/>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市级互联网访问区边界接入服务</w:t>
            </w:r>
            <w:r>
              <w:rPr>
                <w:rFonts w:hint="eastAsia" w:ascii="仿宋" w:hAnsi="仿宋" w:eastAsia="仿宋" w:cs="仿宋"/>
                <w:b w:val="0"/>
                <w:bCs w:val="0"/>
                <w:color w:val="000000"/>
                <w:sz w:val="28"/>
                <w:szCs w:val="28"/>
              </w:rPr>
            </w:r>
            <w:r/>
          </w:p>
        </w:tc>
        <w:tc>
          <w:tcPr>
            <w:tcW w:w="2875"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为满足市级互联网访问区边界接入服务标准，需配备不低于以下参数的必要设施：</w:t>
            </w:r>
            <w:r>
              <w:rPr>
                <w:rFonts w:hint="eastAsia" w:ascii="仿宋" w:hAnsi="仿宋" w:eastAsia="仿宋" w:cs="仿宋"/>
                <w:bCs w:val="0"/>
                <w:color w:val="000000"/>
                <w:sz w:val="28"/>
                <w:szCs w:val="28"/>
                <w:lang w:val="en-US" w:eastAsia="zh-CN" w:bidi="ar"/>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1.网络层吞吐量≥50Gbps，IPS吞吐量≥18Gbps，≥16个万兆光接口，适用带宽≥7G。</w:t>
            </w:r>
            <w:r>
              <w:rPr>
                <w:rFonts w:hint="eastAsia" w:ascii="仿宋" w:hAnsi="仿宋" w:eastAsia="仿宋" w:cs="仿宋"/>
                <w:color w:val="000000"/>
                <w:sz w:val="28"/>
                <w:szCs w:val="28"/>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2.满足实际使用需求，接入设备数量≥2。</w:t>
            </w:r>
            <w:r>
              <w:rPr>
                <w:rFonts w:hint="eastAsia" w:ascii="仿宋" w:hAnsi="仿宋" w:eastAsia="仿宋" w:cs="仿宋"/>
                <w:color w:val="000000"/>
                <w:sz w:val="28"/>
                <w:szCs w:val="28"/>
              </w:rPr>
            </w:r>
            <w:r/>
          </w:p>
        </w:tc>
        <w:tc>
          <w:tcPr>
            <w:shd w:val="clear" w:color="auto" w:fill="ffffff"/>
            <w:tcW w:w="49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369"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运维管理区域设备接入服务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投标人须提供运维管理区域内关键管理类设备的接入服务；投标人须提供终端安全接入服务，实现市级电子政务外网与其他网络隔离和相关终端安全管理。</w:t>
      </w:r>
      <w:r>
        <w:rPr>
          <w:rFonts w:hint="eastAsia" w:ascii="仿宋" w:hAnsi="仿宋" w:eastAsia="仿宋" w:cs="仿宋"/>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507"/>
        <w:gridCol w:w="5067"/>
        <w:gridCol w:w="776"/>
        <w:gridCol w:w="777"/>
      </w:tblGrid>
      <w:tr>
        <w:trPr>
          <w:trHeight w:val="272"/>
        </w:trPr>
        <w:tc>
          <w:tcPr>
            <w:tcW w:w="38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76"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5"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936"/>
        </w:trPr>
        <w:tc>
          <w:tcPr>
            <w:tcW w:w="38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87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color w:val="000000"/>
                <w:sz w:val="28"/>
                <w:szCs w:val="28"/>
                <w:lang w:val="en-US" w:eastAsia="zh-CN" w:bidi="ar"/>
              </w:rPr>
              <w:t xml:space="preserve">★终端</w:t>
            </w:r>
            <w:r>
              <w:rPr>
                <w:rFonts w:hint="eastAsia" w:ascii="仿宋" w:hAnsi="仿宋" w:eastAsia="仿宋" w:cs="仿宋"/>
                <w:b w:val="0"/>
                <w:bCs w:val="0"/>
                <w:color w:val="000000"/>
                <w:sz w:val="28"/>
                <w:szCs w:val="28"/>
                <w:lang w:val="en-US" w:eastAsia="zh-CN" w:bidi="ar"/>
              </w:rPr>
              <w:t xml:space="preserve">安全接入服务</w:t>
            </w:r>
            <w:r>
              <w:rPr>
                <w:rFonts w:hint="eastAsia" w:ascii="仿宋" w:hAnsi="仿宋" w:eastAsia="仿宋" w:cs="仿宋"/>
                <w:b w:val="0"/>
                <w:bCs w:val="0"/>
                <w:color w:val="000000"/>
                <w:sz w:val="28"/>
                <w:szCs w:val="28"/>
              </w:rPr>
            </w:r>
            <w:r/>
          </w:p>
        </w:tc>
        <w:tc>
          <w:tcPr>
            <w:tcW w:w="2875"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为满足终端安全接入服务标准，需配备不低于以下参数的必要设施：</w:t>
            </w:r>
            <w:r>
              <w:rPr>
                <w:rFonts w:hint="eastAsia" w:ascii="仿宋" w:hAnsi="仿宋" w:eastAsia="仿宋" w:cs="仿宋"/>
                <w:color w:val="000000"/>
                <w:sz w:val="28"/>
                <w:szCs w:val="28"/>
                <w:lang w:val="en-US" w:eastAsia="zh-CN" w:bidi="ar"/>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val="en-US" w:eastAsia="zh-CN" w:bidi="ar"/>
              </w:rPr>
              <w:t xml:space="preserve">实现终端与应用访问权限的精细化管控，使用零信任技术强化用户接入认证管理，为实现多场景、多单位的终端入网提供技术支撑。</w:t>
            </w:r>
            <w:r>
              <w:rPr>
                <w:rFonts w:hint="eastAsia" w:ascii="仿宋" w:hAnsi="仿宋" w:eastAsia="仿宋" w:cs="仿宋"/>
                <w:color w:val="000000"/>
                <w:sz w:val="28"/>
                <w:szCs w:val="28"/>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val="en-US" w:eastAsia="zh-CN" w:bidi="ar"/>
              </w:rPr>
              <w:t xml:space="preserve">最大并发用户数</w:t>
            </w:r>
            <w:r>
              <w:rPr>
                <w:rFonts w:hint="eastAsia" w:ascii="仿宋" w:hAnsi="仿宋" w:eastAsia="仿宋" w:cs="仿宋"/>
                <w:color w:val="000000"/>
                <w:sz w:val="28"/>
                <w:szCs w:val="28"/>
                <w:highlight w:val="none"/>
                <w:lang w:val="en-US" w:eastAsia="zh-CN" w:bidi="ar"/>
              </w:rPr>
              <w:t xml:space="preserve">≥6000；</w:t>
            </w:r>
            <w:r>
              <w:rPr>
                <w:rFonts w:hint="eastAsia" w:ascii="仿宋" w:hAnsi="仿宋" w:eastAsia="仿宋" w:cs="仿宋"/>
                <w:color w:val="000000"/>
                <w:sz w:val="28"/>
                <w:szCs w:val="28"/>
                <w:lang w:val="en-US" w:eastAsia="zh-CN" w:bidi="ar"/>
              </w:rPr>
              <w:t xml:space="preserve">提供主备冗余服务。</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652"/>
        </w:trPr>
        <w:tc>
          <w:tcPr>
            <w:shd w:val="clear" w:color="auto" w:fill="ffffff"/>
            <w:tcW w:w="38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shd w:val="clear" w:color="auto" w:fill="ffffff"/>
            <w:tcW w:w="876" w:type="dxa"/>
            <w:vAlign w:val="center"/>
            <w:textDirection w:val="lrTb"/>
            <w:noWrap w:val="false"/>
          </w:tcPr>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w:t>
            </w:r>
            <w:r>
              <w:rPr>
                <w:rFonts w:hint="eastAsia" w:ascii="仿宋" w:hAnsi="仿宋" w:eastAsia="仿宋" w:cs="仿宋"/>
                <w:b w:val="0"/>
                <w:bCs w:val="0"/>
                <w:color w:val="000000"/>
                <w:sz w:val="28"/>
                <w:szCs w:val="28"/>
                <w:lang w:val="en-US" w:eastAsia="zh-CN" w:bidi="ar"/>
              </w:rPr>
              <w:t xml:space="preserve">市级电子政务外网网络控制升级服务</w:t>
            </w:r>
            <w:r>
              <w:rPr>
                <w:rFonts w:hint="eastAsia" w:ascii="仿宋" w:hAnsi="仿宋" w:eastAsia="仿宋" w:cs="仿宋"/>
                <w:color w:val="000000"/>
                <w:sz w:val="28"/>
                <w:szCs w:val="28"/>
              </w:rPr>
            </w:r>
            <w:r/>
          </w:p>
        </w:tc>
        <w:tc>
          <w:tcPr>
            <w:tcW w:w="2875"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为满足市级电子政务外网网络控制升级服务标准，需配备不低于以下参数的必要设施：</w:t>
            </w:r>
            <w:r>
              <w:rPr>
                <w:rFonts w:hint="eastAsia" w:ascii="仿宋" w:hAnsi="仿宋" w:eastAsia="仿宋" w:cs="仿宋"/>
                <w:bCs w:val="0"/>
                <w:color w:val="000000"/>
                <w:sz w:val="28"/>
                <w:szCs w:val="28"/>
                <w:lang w:val="en-US" w:eastAsia="zh-CN" w:bidi="ar"/>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val="en-US" w:eastAsia="zh-CN" w:bidi="ar"/>
              </w:rPr>
              <w:t xml:space="preserve">提供市级电子政务外网网络控制器备份功能，提供市级网络控制器虚拟化升级服务。</w:t>
            </w:r>
            <w:r>
              <w:rPr>
                <w:rFonts w:hint="eastAsia" w:ascii="仿宋" w:hAnsi="仿宋" w:eastAsia="仿宋" w:cs="仿宋"/>
                <w:color w:val="000000"/>
                <w:sz w:val="28"/>
                <w:szCs w:val="28"/>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2.满足实际使用需求，网络控制器虚拟化设备（与市级网络控制器兼容）≥2台；提供配套的网络接入升级服务。</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80"/>
        </w:trPr>
        <w:tc>
          <w:tcPr>
            <w:tcW w:w="38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rPr>
            </w:r>
            <w:r/>
          </w:p>
        </w:tc>
        <w:tc>
          <w:tcPr>
            <w:shd w:val="clear" w:color="auto" w:fill="ffffff"/>
            <w:tcW w:w="87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日志审计服务</w:t>
            </w:r>
            <w:r>
              <w:rPr>
                <w:rFonts w:hint="eastAsia" w:ascii="仿宋" w:hAnsi="仿宋" w:eastAsia="仿宋" w:cs="仿宋"/>
                <w:b w:val="0"/>
                <w:bCs w:val="0"/>
                <w:color w:val="000000"/>
                <w:sz w:val="28"/>
                <w:szCs w:val="28"/>
              </w:rPr>
            </w:r>
            <w:r/>
          </w:p>
        </w:tc>
        <w:tc>
          <w:tcPr>
            <w:tcW w:w="2875"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1.提供市级电子政务外网内相关设备的日志审计服务，日志保存时间≥6个月。</w:t>
            </w:r>
            <w:r>
              <w:rPr>
                <w:rFonts w:hint="eastAsia" w:ascii="仿宋" w:hAnsi="仿宋" w:eastAsia="仿宋" w:cs="仿宋"/>
                <w:color w:val="000000"/>
                <w:sz w:val="28"/>
                <w:szCs w:val="28"/>
                <w:lang w:val="en-US" w:eastAsia="zh-CN" w:bidi="ar"/>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2.支持对接设备≥500台。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跨机房部署服务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投标人提供机房环境用于跨机房部署服务，并提供冗余双活/多活互联设备的接入与运维服务，实现不同机房之间的高速、可靠、安全互通。项目实施过程中要求保持核心网络主备双活。</w:t>
      </w:r>
      <w:r>
        <w:rPr>
          <w:rFonts w:hint="eastAsia" w:ascii="仿宋" w:hAnsi="仿宋" w:eastAsia="仿宋" w:cs="仿宋"/>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500"/>
        <w:gridCol w:w="5075"/>
        <w:gridCol w:w="776"/>
        <w:gridCol w:w="776"/>
      </w:tblGrid>
      <w:tr>
        <w:trPr>
          <w:trHeight w:val="272"/>
        </w:trPr>
        <w:tc>
          <w:tcPr>
            <w:tcW w:w="39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104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云网互联区域备用设备接入服务</w:t>
            </w:r>
            <w:r>
              <w:rPr>
                <w:rFonts w:hint="eastAsia" w:ascii="仿宋" w:hAnsi="仿宋" w:eastAsia="仿宋" w:cs="仿宋"/>
                <w:color w:val="000000"/>
                <w:sz w:val="28"/>
                <w:szCs w:val="28"/>
              </w:rPr>
            </w:r>
            <w:r/>
          </w:p>
        </w:tc>
        <w:tc>
          <w:tcPr>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为满足云网互联区域备用设备接入服务标准，需配备不低于以下参数的必要设施：</w:t>
            </w:r>
            <w:r>
              <w:rPr>
                <w:rFonts w:hint="eastAsia" w:ascii="仿宋" w:hAnsi="仿宋" w:eastAsia="仿宋" w:cs="仿宋"/>
                <w:bCs w:val="0"/>
                <w:color w:val="000000"/>
                <w:sz w:val="28"/>
                <w:szCs w:val="28"/>
                <w:lang w:val="en-US" w:eastAsia="zh-CN" w:bidi="ar"/>
              </w:rPr>
            </w:r>
            <w:r/>
          </w:p>
          <w:p>
            <w:pPr>
              <w:pStyle w:val="684"/>
              <w:numPr>
                <w:ilvl w:val="0"/>
                <w:numId w:val="0"/>
              </w:numPr>
              <w:ind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1.交换容量≥4Tbps，包转发率≥2000Mpps。</w:t>
            </w:r>
            <w:r>
              <w:rPr>
                <w:rFonts w:hint="eastAsia" w:ascii="仿宋" w:hAnsi="仿宋" w:eastAsia="仿宋" w:cs="仿宋"/>
                <w:color w:val="000000"/>
                <w:sz w:val="28"/>
                <w:szCs w:val="28"/>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2.配备万兆光口</w:t>
            </w:r>
            <w:r>
              <w:rPr>
                <w:rFonts w:hint="eastAsia" w:ascii="仿宋" w:hAnsi="仿宋" w:eastAsia="仿宋" w:cs="仿宋"/>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48个；配备冗余电源；支持虚拟化部署服务。</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★跨机房部署服务</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1.服务期内，投标人按需提供机房环境租赁服务，用于跨机房部署，机房环境须满足以下要求：</w:t>
            </w:r>
            <w:r>
              <w:rPr>
                <w:rFonts w:hint="eastAsia" w:ascii="仿宋" w:hAnsi="仿宋" w:eastAsia="仿宋" w:cs="仿宋"/>
                <w:b w:val="0"/>
                <w:bCs w:val="0"/>
                <w:color w:val="000000"/>
                <w:sz w:val="28"/>
                <w:szCs w:val="28"/>
              </w:rPr>
            </w:r>
            <w:r/>
          </w:p>
          <w:p>
            <w:pPr>
              <w:pStyle w:val="684"/>
              <w:ind w:left="0" w:right="0"/>
              <w:jc w:val="both"/>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物理安全层面实行人脸识别门禁、7×24小时视频监控及定时巡视巡检。环境监控系统实时采集温湿度、水浸、烟雾等多项参数。采用双路市电接入设计，两路电源分别来自不同变电站，实现物理隔离的冗余供电。当主路市电异常时，自动切换装置可在毫秒级完成备用电路切换，确保业务零中断。后备配置大功率柴油发电机组。</w:t>
            </w:r>
            <w:r>
              <w:rPr>
                <w:rFonts w:hint="eastAsia" w:ascii="仿宋" w:hAnsi="仿宋" w:eastAsia="仿宋" w:cs="仿宋"/>
                <w:b w:val="0"/>
                <w:bCs w:val="0"/>
                <w:color w:val="000000"/>
                <w:sz w:val="28"/>
                <w:szCs w:val="28"/>
              </w:rPr>
            </w:r>
            <w:r/>
          </w:p>
          <w:p>
            <w:pPr>
              <w:pStyle w:val="684"/>
              <w:numPr>
                <w:ilvl w:val="0"/>
                <w:numId w:val="0"/>
              </w:numPr>
              <w:ind w:left="0" w:right="0" w:firstLine="0"/>
              <w:jc w:val="both"/>
              <w:keepLines w:val="0"/>
              <w:keepNext w:val="0"/>
              <w:pageBreakBefore w:val="0"/>
              <w:spacing w:before="0" w:beforeAutospacing="0" w:after="0" w:afterAutospacing="0" w:line="540" w:lineRule="exact"/>
              <w:widowControl/>
              <w:tabs>
                <w:tab w:val="left" w:pos="312" w:leader="none"/>
              </w:tabs>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2.按需提供市级政务外网核心层、汇聚层到投标人所提供机房环境的网络割接、线路接入和设备搬迁等服务，在施工过程中保障核心网络平稳运行、业务不受影响。</w:t>
            </w:r>
            <w:r>
              <w:rPr>
                <w:rFonts w:hint="eastAsia" w:ascii="仿宋" w:hAnsi="仿宋" w:eastAsia="仿宋" w:cs="仿宋"/>
                <w:b w:val="0"/>
                <w:bCs w:val="0"/>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重点网络和业务监测服务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 w:val="0"/>
          <w:bCs w:val="0"/>
          <w:color w:val="000000"/>
          <w:sz w:val="28"/>
          <w:szCs w:val="28"/>
          <w:lang w:val="en-US" w:eastAsia="zh-CN" w:bidi="ar"/>
        </w:rPr>
        <w:suppressLineNumbers w:val="0"/>
      </w:pPr>
      <w:r>
        <w:rPr>
          <w:rFonts w:hint="eastAsia" w:ascii="仿宋" w:hAnsi="仿宋" w:eastAsia="仿宋" w:cs="仿宋"/>
          <w:b w:val="0"/>
          <w:bCs w:val="0"/>
          <w:color w:val="000000"/>
          <w:sz w:val="28"/>
          <w:szCs w:val="28"/>
          <w:lang w:val="en-US" w:eastAsia="zh-CN" w:bidi="ar"/>
        </w:rPr>
        <w:t xml:space="preserve">投标人提供重点网络和业务监测服务，实现对全市政务外网网络的统一监测。</w:t>
      </w:r>
      <w:r>
        <w:rPr>
          <w:rFonts w:hint="eastAsia" w:ascii="仿宋" w:hAnsi="仿宋" w:eastAsia="仿宋" w:cs="仿宋"/>
          <w:b w:val="0"/>
          <w:bCs w:val="0"/>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 w:val="0"/>
          <w:bCs w:val="0"/>
          <w:color w:val="000000"/>
          <w:sz w:val="28"/>
          <w:szCs w:val="28"/>
          <w:lang w:val="en-US" w:eastAsia="zh-CN" w:bidi="ar"/>
        </w:rPr>
        <w:suppressLineNumbers w:val="0"/>
      </w:pPr>
      <w:r>
        <w:rPr>
          <w:rFonts w:hint="eastAsia" w:ascii="仿宋" w:hAnsi="仿宋" w:eastAsia="仿宋" w:cs="仿宋"/>
          <w:b w:val="0"/>
          <w:bCs w:val="0"/>
          <w:color w:val="000000"/>
          <w:sz w:val="28"/>
          <w:szCs w:val="28"/>
          <w:lang w:val="en-US" w:eastAsia="zh-CN" w:bidi="ar"/>
        </w:rPr>
        <w:t xml:space="preserve">主要参数：</w:t>
      </w:r>
      <w:r>
        <w:rPr>
          <w:rFonts w:hint="eastAsia" w:ascii="仿宋" w:hAnsi="仿宋" w:eastAsia="仿宋" w:cs="仿宋"/>
          <w:b w:val="0"/>
          <w:bCs w:val="0"/>
          <w:color w:val="000000"/>
          <w:sz w:val="28"/>
          <w:szCs w:val="28"/>
          <w:lang w:val="en-US" w:eastAsia="zh-CN" w:bidi="ar"/>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95"/>
        <w:gridCol w:w="5070"/>
        <w:gridCol w:w="779"/>
        <w:gridCol w:w="780"/>
      </w:tblGrid>
      <w:tr>
        <w:trPr>
          <w:trHeight w:val="272"/>
        </w:trPr>
        <w:tc>
          <w:tcPr>
            <w:tcW w:w="39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bCs/>
                <w:color w:val="000000"/>
                <w:sz w:val="28"/>
                <w:szCs w:val="28"/>
              </w:rPr>
              <w:suppressLineNumbers w:val="0"/>
            </w:pPr>
            <w:r>
              <w:rPr>
                <w:rFonts w:hint="eastAsia" w:ascii="仿宋" w:hAnsi="仿宋" w:eastAsia="仿宋" w:cs="仿宋"/>
                <w:b/>
                <w:bCs/>
                <w:color w:val="000000"/>
                <w:sz w:val="28"/>
                <w:szCs w:val="28"/>
                <w:lang w:val="en-US" w:eastAsia="zh-CN" w:bidi="ar"/>
              </w:rPr>
              <w:t xml:space="preserve">序号</w:t>
            </w:r>
            <w:r>
              <w:rPr>
                <w:rFonts w:hint="eastAsia" w:ascii="仿宋" w:hAnsi="仿宋" w:eastAsia="仿宋" w:cs="仿宋"/>
                <w:b/>
                <w:bCs/>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bCs/>
                <w:color w:val="000000"/>
                <w:sz w:val="28"/>
                <w:szCs w:val="28"/>
              </w:rPr>
              <w:suppressLineNumbers w:val="0"/>
            </w:pPr>
            <w:r>
              <w:rPr>
                <w:rFonts w:hint="eastAsia" w:ascii="仿宋" w:hAnsi="仿宋" w:eastAsia="仿宋" w:cs="仿宋"/>
                <w:b/>
                <w:bCs/>
                <w:color w:val="000000"/>
                <w:sz w:val="28"/>
                <w:szCs w:val="28"/>
                <w:lang w:val="en-US" w:eastAsia="zh-CN" w:bidi="ar"/>
              </w:rPr>
              <w:t xml:space="preserve">服务名称</w:t>
            </w:r>
            <w:r>
              <w:rPr>
                <w:rFonts w:hint="eastAsia" w:ascii="仿宋" w:hAnsi="仿宋" w:eastAsia="仿宋" w:cs="仿宋"/>
                <w:b/>
                <w:bCs/>
                <w:color w:val="000000"/>
                <w:sz w:val="28"/>
                <w:szCs w:val="28"/>
              </w:rPr>
            </w:r>
            <w:r/>
          </w:p>
        </w:tc>
        <w:tc>
          <w:tcPr>
            <w:tcW w:w="2874"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bCs/>
                <w:color w:val="000000"/>
                <w:sz w:val="28"/>
                <w:szCs w:val="28"/>
              </w:rPr>
              <w:suppressLineNumbers w:val="0"/>
            </w:pPr>
            <w:r>
              <w:rPr>
                <w:rFonts w:hint="eastAsia" w:ascii="仿宋" w:hAnsi="仿宋" w:eastAsia="仿宋" w:cs="仿宋"/>
                <w:b/>
                <w:bCs/>
                <w:color w:val="000000"/>
                <w:sz w:val="28"/>
                <w:szCs w:val="28"/>
                <w:lang w:val="en-US" w:eastAsia="zh-CN" w:bidi="ar"/>
              </w:rPr>
              <w:t xml:space="preserve">服务要求</w:t>
            </w:r>
            <w:r>
              <w:rPr>
                <w:rFonts w:hint="eastAsia" w:ascii="仿宋" w:hAnsi="仿宋" w:eastAsia="仿宋" w:cs="仿宋"/>
                <w:b/>
                <w:bCs/>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bCs/>
                <w:color w:val="000000"/>
                <w:sz w:val="28"/>
                <w:szCs w:val="28"/>
              </w:rPr>
              <w:suppressLineNumbers w:val="0"/>
            </w:pPr>
            <w:r>
              <w:rPr>
                <w:rFonts w:hint="eastAsia" w:ascii="仿宋" w:hAnsi="仿宋" w:eastAsia="仿宋" w:cs="仿宋"/>
                <w:b/>
                <w:bCs/>
                <w:color w:val="000000"/>
                <w:sz w:val="28"/>
                <w:szCs w:val="28"/>
                <w:lang w:val="en-US" w:eastAsia="zh-CN" w:bidi="ar"/>
              </w:rPr>
              <w:t xml:space="preserve">数量</w:t>
            </w:r>
            <w:r>
              <w:rPr>
                <w:rFonts w:hint="eastAsia" w:ascii="仿宋" w:hAnsi="仿宋" w:eastAsia="仿宋" w:cs="仿宋"/>
                <w:b/>
                <w:bCs/>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bCs/>
                <w:color w:val="000000"/>
                <w:sz w:val="28"/>
                <w:szCs w:val="28"/>
              </w:rPr>
              <w:suppressLineNumbers w:val="0"/>
            </w:pPr>
            <w:r>
              <w:rPr>
                <w:rFonts w:hint="eastAsia" w:ascii="仿宋" w:hAnsi="仿宋" w:eastAsia="仿宋" w:cs="仿宋"/>
                <w:b/>
                <w:bCs/>
                <w:color w:val="000000"/>
                <w:sz w:val="28"/>
                <w:szCs w:val="28"/>
                <w:lang w:val="en-US" w:eastAsia="zh-CN" w:bidi="ar"/>
              </w:rPr>
              <w:t xml:space="preserve">单位</w:t>
            </w:r>
            <w:r>
              <w:rPr>
                <w:rFonts w:hint="eastAsia" w:ascii="仿宋" w:hAnsi="仿宋" w:eastAsia="仿宋" w:cs="仿宋"/>
                <w:b/>
                <w:bCs/>
                <w:color w:val="000000"/>
                <w:sz w:val="28"/>
                <w:szCs w:val="28"/>
              </w:rPr>
            </w:r>
            <w:r/>
          </w:p>
        </w:tc>
      </w:tr>
      <w:tr>
        <w:trPr>
          <w:trHeight w:val="1575"/>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重点网络和业务监测服务</w:t>
            </w:r>
            <w:r>
              <w:rPr>
                <w:rFonts w:hint="eastAsia" w:ascii="仿宋" w:hAnsi="仿宋" w:eastAsia="仿宋" w:cs="仿宋"/>
                <w:color w:val="000000"/>
                <w:sz w:val="28"/>
                <w:szCs w:val="28"/>
              </w:rPr>
            </w:r>
            <w:r/>
          </w:p>
        </w:tc>
        <w:tc>
          <w:tcPr>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val="en-US" w:eastAsia="zh-CN" w:bidi="ar"/>
              </w:rPr>
              <w:t xml:space="preserve">提供政务外网资产管理平台服务，实现政务外网各类资产的登记与管理。</w:t>
            </w:r>
            <w:r>
              <w:rPr>
                <w:rFonts w:hint="eastAsia" w:ascii="仿宋" w:hAnsi="仿宋" w:eastAsia="仿宋" w:cs="仿宋"/>
                <w:color w:val="000000"/>
                <w:sz w:val="28"/>
                <w:szCs w:val="28"/>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lang w:val="en-US" w:eastAsia="zh-CN" w:bidi="ar"/>
              </w:rPr>
              <w:t xml:space="preserve">提供业务运行监测服务，按需对业务与网络实施7×24小时不间断监测，实时掌握运行状态。</w:t>
            </w:r>
            <w:r>
              <w:rPr>
                <w:rFonts w:hint="eastAsia" w:ascii="仿宋" w:hAnsi="仿宋" w:eastAsia="仿宋" w:cs="仿宋"/>
                <w:color w:val="000000"/>
                <w:sz w:val="28"/>
                <w:szCs w:val="28"/>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lang w:val="en-US" w:eastAsia="zh-CN" w:bidi="ar"/>
              </w:rPr>
              <w:t xml:space="preserve">提供政务外网分级监测服务，按需组织开展重点业务保障，并协同做好相关问题预警、通知与处置。</w:t>
            </w:r>
            <w:r>
              <w:rPr>
                <w:rFonts w:hint="eastAsia" w:ascii="仿宋" w:hAnsi="仿宋" w:eastAsia="仿宋" w:cs="仿宋"/>
                <w:color w:val="000000"/>
                <w:sz w:val="28"/>
                <w:szCs w:val="28"/>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val="en-US" w:eastAsia="zh-CN" w:bidi="ar"/>
              </w:rPr>
              <w:t xml:space="preserve">提供全网运行状态可视化展示服务，直观呈现全市政务外网整体运行态势和风险预警。</w:t>
            </w:r>
            <w:r>
              <w:rPr>
                <w:rFonts w:hint="eastAsia" w:ascii="仿宋" w:hAnsi="仿宋" w:eastAsia="仿宋" w:cs="仿宋"/>
                <w:color w:val="000000"/>
                <w:sz w:val="28"/>
                <w:szCs w:val="28"/>
              </w:rPr>
            </w:r>
            <w:r/>
          </w:p>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5.</w:t>
            </w:r>
            <w:r>
              <w:rPr>
                <w:rFonts w:hint="eastAsia" w:ascii="仿宋" w:hAnsi="仿宋" w:eastAsia="仿宋" w:cs="仿宋"/>
                <w:color w:val="000000"/>
                <w:sz w:val="28"/>
                <w:szCs w:val="28"/>
                <w:lang w:val="en-US" w:eastAsia="zh-CN" w:bidi="ar"/>
              </w:rPr>
              <w:t xml:space="preserve">提供告警短信服务，对监测发现的异常问题，第一时间将告警信息通过短信推送至相关人员。相关费用由投标人自行承担。</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行政中心区域网络接入服务</w:t>
      </w:r>
      <w:r>
        <w:rPr>
          <w:rFonts w:hint="eastAsia" w:ascii="仿宋" w:hAnsi="仿宋" w:eastAsia="仿宋" w:cs="仿宋"/>
          <w:b w:val="0"/>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提供行政中心区域内网络接入服务。投标人须按招标人需求，完成行政中心区域内使用政务外网的接入层设备更换、配置、布线和调试等服务工作。同步完成新交换机的上架、布线、调试及接入服务，确保行政中心内部网络性能与可靠性得到全面提升。</w:t>
      </w:r>
      <w:r>
        <w:rPr>
          <w:rFonts w:hint="eastAsia" w:ascii="仿宋" w:hAnsi="仿宋" w:eastAsia="仿宋" w:cs="仿宋"/>
          <w:bCs/>
          <w:color w:val="000000"/>
          <w:sz w:val="28"/>
          <w:szCs w:val="28"/>
          <w:lang w:val="en-US" w:eastAsia="zh-CN" w:bidi="ar"/>
        </w:rPr>
      </w:r>
      <w:r/>
    </w:p>
    <w:p>
      <w:pPr>
        <w:pStyle w:val="684"/>
        <w:ind w:left="0" w:right="0" w:firstLine="560"/>
        <w:jc w:val="both"/>
        <w:keepLines w:val="0"/>
        <w:keepNext w:val="0"/>
        <w:pageBreakBefore w:val="0"/>
        <w:spacing w:before="0" w:beforeAutospacing="0" w:after="0" w:afterAutospacing="0" w:line="540" w:lineRule="exact"/>
        <w:widowControl w:val="off"/>
        <w:rPr>
          <w:rFonts w:hint="eastAsia" w:ascii="仿宋" w:hAnsi="仿宋" w:eastAsia="仿宋" w:cs="仿宋"/>
          <w:bCs/>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主要参数：</w:t>
      </w:r>
      <w:r>
        <w:rPr>
          <w:rFonts w:hint="eastAsia" w:ascii="仿宋" w:hAnsi="仿宋" w:eastAsia="仿宋" w:cs="仿宋"/>
          <w:bCs/>
          <w:color w:val="000000"/>
          <w:sz w:val="28"/>
          <w:szCs w:val="28"/>
          <w:lang w:val="en-US" w:eastAsia="zh-CN" w:bidi="ar"/>
        </w:rPr>
      </w:r>
      <w:r/>
    </w:p>
    <w:tbl>
      <w:tblPr>
        <w:tblW w:w="49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500"/>
        <w:gridCol w:w="5074"/>
        <w:gridCol w:w="776"/>
        <w:gridCol w:w="776"/>
      </w:tblGrid>
      <w:tr>
        <w:trPr>
          <w:trHeight w:val="272"/>
        </w:trPr>
        <w:tc>
          <w:tcPr>
            <w:tcW w:w="392"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270"/>
        </w:trPr>
        <w:tc>
          <w:tcPr>
            <w:tcW w:w="392" w:type="dxa"/>
            <w:vAlign w:val="center"/>
            <w:textDirection w:val="lrTb"/>
            <w:noWrap/>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gridSpan w:val="2"/>
            <w:tcW w:w="6574" w:type="dxa"/>
            <w:vAlign w:val="center"/>
            <w:textDirection w:val="lrTb"/>
            <w:noWrap/>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433" w:type="dxa"/>
            <w:vAlign w:val="center"/>
            <w:textDirection w:val="lrTb"/>
            <w:noWrap/>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433" w:type="dxa"/>
            <w:vAlign w:val="center"/>
            <w:textDirection w:val="lrTb"/>
            <w:noWrap/>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104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行政中心区域接入升级服务</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为满足行政中心区域接入升级服务标准，需配备不低于以下参数的必要设施：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1.交换容量≥600Gbps，包转发率≥100Mpps。</w:t>
            </w:r>
            <w:r>
              <w:rPr>
                <w:rFonts w:hint="eastAsia" w:ascii="仿宋" w:hAnsi="仿宋" w:eastAsia="仿宋" w:cs="仿宋"/>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2.配备千兆电口≥48个，千兆光口≥4个。</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lang w:val="en-US" w:eastAsia="zh-CN" w:bidi="ar"/>
              </w:rPr>
              <w:t xml:space="preserve">配备接入设备≥100台。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2"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★行政中心区域汇聚接入服务</w:t>
            </w:r>
            <w:r>
              <w:rPr>
                <w:rFonts w:hint="eastAsia" w:ascii="仿宋" w:hAnsi="仿宋" w:eastAsia="仿宋" w:cs="仿宋"/>
                <w:b w:val="0"/>
                <w:bCs w:val="0"/>
                <w:color w:val="000000"/>
                <w:sz w:val="28"/>
                <w:szCs w:val="28"/>
              </w:rPr>
            </w:r>
            <w:r/>
          </w:p>
        </w:tc>
        <w:tc>
          <w:tcPr>
            <w:tcW w:w="2874" w:type="dxa"/>
            <w:vAlign w:val="center"/>
            <w:textDirection w:val="lrTb"/>
            <w:noWrap w:val="false"/>
          </w:tcPr>
          <w:p>
            <w:pPr>
              <w:pStyle w:val="684"/>
              <w:ind w:left="0" w:right="0" w:firstLine="0"/>
              <w:jc w:val="both"/>
              <w:keepLines w:val="0"/>
              <w:keepNext w:val="0"/>
              <w:pageBreakBefore w:val="0"/>
              <w:spacing w:before="0" w:beforeAutospacing="0" w:after="0" w:afterAutospacing="0" w:line="540" w:lineRule="exact"/>
              <w:widowControl/>
              <w:rPr>
                <w:rFonts w:hint="eastAsia" w:ascii="仿宋" w:hAnsi="仿宋" w:eastAsia="仿宋" w:cs="仿宋"/>
                <w:bCs w:val="0"/>
                <w:color w:val="000000"/>
                <w:sz w:val="28"/>
                <w:szCs w:val="28"/>
                <w:lang w:val="en-US" w:eastAsia="zh-CN" w:bidi="ar"/>
              </w:rPr>
              <w:outlineLvl w:val="9"/>
              <w:suppressLineNumbers w:val="0"/>
            </w:pPr>
            <w:r>
              <w:rPr>
                <w:rFonts w:hint="eastAsia" w:ascii="仿宋" w:hAnsi="仿宋" w:eastAsia="仿宋" w:cs="仿宋"/>
                <w:bCs w:val="0"/>
                <w:color w:val="000000"/>
                <w:sz w:val="28"/>
                <w:szCs w:val="28"/>
                <w:lang w:val="en-US" w:eastAsia="zh-CN" w:bidi="ar"/>
              </w:rPr>
              <w:t xml:space="preserve">为满足行政中心区域汇聚接入服务标准，需配备不低于以下参数的必要设施：</w:t>
            </w:r>
            <w:r>
              <w:rPr>
                <w:rFonts w:hint="eastAsia" w:ascii="仿宋" w:hAnsi="仿宋" w:eastAsia="仿宋" w:cs="仿宋"/>
                <w:bCs w:val="0"/>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1.交换容量≥200Tbps，转发性能≥120000Mpps，双主控；配置≥144个千兆光口，配置≥8个万兆光口。</w:t>
            </w:r>
            <w:r>
              <w:rPr>
                <w:rFonts w:hint="eastAsia" w:ascii="仿宋" w:hAnsi="仿宋" w:eastAsia="仿宋" w:cs="仿宋"/>
                <w:color w:val="000000"/>
                <w:sz w:val="28"/>
                <w:szCs w:val="28"/>
              </w:rPr>
            </w:r>
            <w:r/>
          </w:p>
          <w:p>
            <w:pPr>
              <w:pStyle w:val="684"/>
              <w:keepLines w:val="0"/>
              <w:keepNext w:val="0"/>
              <w:pageBreakBefore w:val="0"/>
              <w:spacing w:after="0" w:line="540" w:lineRule="exact"/>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2.配备冗余主板、冗余交换网板、冗余电源，实现双活部署。</w:t>
            </w:r>
            <w:r>
              <w:rPr>
                <w:rFonts w:hint="eastAsia" w:ascii="仿宋" w:hAnsi="仿宋" w:eastAsia="仿宋" w:cs="仿宋"/>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3.配备汇聚接入设备≥2台。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6"/>
        </w:numPr>
        <w:ind w:left="0" w:right="0" w:firstLine="420"/>
        <w:jc w:val="both"/>
        <w:keepLines w:val="0"/>
        <w:keepNext w:val="0"/>
        <w:pageBreakBefore w:val="0"/>
        <w:spacing w:before="0" w:beforeAutospacing="0" w:after="0" w:afterAutospacing="0" w:line="540" w:lineRule="exact"/>
        <w:widowControl/>
        <w:rPr>
          <w:rFonts w:hint="eastAsia" w:ascii="仿宋" w:hAnsi="仿宋" w:eastAsia="仿宋" w:cs="仿宋"/>
          <w:b w:val="0"/>
          <w:bCs/>
          <w:color w:val="000000"/>
          <w:sz w:val="28"/>
          <w:szCs w:val="28"/>
          <w:lang w:val="en-US" w:eastAsia="zh-CN" w:bidi="ar"/>
        </w:rPr>
        <w:suppressLineNumbers w:val="0"/>
      </w:pPr>
      <w:r>
        <w:rPr>
          <w:rFonts w:hint="eastAsia" w:ascii="仿宋" w:hAnsi="仿宋" w:eastAsia="仿宋" w:cs="仿宋"/>
          <w:b w:val="0"/>
          <w:bCs/>
          <w:color w:val="000000"/>
          <w:sz w:val="28"/>
          <w:szCs w:val="28"/>
          <w:lang w:val="en-US" w:eastAsia="zh-CN" w:bidi="ar"/>
        </w:rPr>
        <w:t xml:space="preserve">重点部门单位和重要业务系统网络接入升级服务</w:t>
      </w:r>
      <w:r>
        <w:rPr>
          <w:rFonts w:hint="eastAsia" w:ascii="仿宋" w:hAnsi="仿宋" w:eastAsia="仿宋" w:cs="仿宋"/>
          <w:b w:val="0"/>
          <w:bCs/>
          <w:color w:val="000000"/>
          <w:sz w:val="28"/>
          <w:szCs w:val="28"/>
          <w:lang w:val="en-US" w:eastAsia="zh-CN" w:bidi="ar"/>
        </w:rPr>
      </w:r>
      <w:r/>
    </w:p>
    <w:p>
      <w:pPr>
        <w:pStyle w:val="684"/>
        <w:ind w:left="0" w:right="0" w:firstLine="420"/>
        <w:jc w:val="both"/>
        <w:keepLines w:val="0"/>
        <w:keepNext w:val="0"/>
        <w:pageBreakBefore w:val="0"/>
        <w:spacing w:before="0" w:beforeAutospacing="0" w:after="0" w:afterAutospacing="0" w:line="540" w:lineRule="exact"/>
        <w:widowControl w:val="off"/>
        <w:rPr>
          <w:rFonts w:hint="eastAsia" w:ascii="仿宋" w:hAnsi="仿宋" w:eastAsia="仿宋" w:cs="仿宋"/>
          <w:bCs w:val="0"/>
          <w:color w:val="000000"/>
          <w:sz w:val="28"/>
          <w:szCs w:val="28"/>
          <w:lang w:val="en-US" w:eastAsia="zh-CN" w:bidi="ar"/>
        </w:rPr>
        <w:suppressLineNumbers w:val="0"/>
      </w:pPr>
      <w:r>
        <w:rPr>
          <w:rFonts w:hint="eastAsia" w:ascii="仿宋" w:hAnsi="仿宋" w:eastAsia="仿宋" w:cs="仿宋"/>
          <w:bCs/>
          <w:color w:val="000000"/>
          <w:sz w:val="28"/>
          <w:szCs w:val="28"/>
          <w:lang w:val="en-US" w:eastAsia="zh-CN" w:bidi="ar"/>
        </w:rPr>
        <w:t xml:space="preserve">投标人须为市级重点部门单位提供接入层设备接入服务。确保其接入层网络实现双链路、双设备冗余的双活部署模式，保障重点部门核心业务的连续性与稳定性。</w:t>
      </w:r>
      <w:r>
        <w:rPr>
          <w:rFonts w:hint="eastAsia" w:ascii="仿宋" w:hAnsi="仿宋" w:eastAsia="仿宋" w:cs="仿宋"/>
          <w:bCs w:val="0"/>
          <w:color w:val="000000"/>
          <w:sz w:val="28"/>
          <w:szCs w:val="28"/>
          <w:lang w:val="en-US" w:eastAsia="zh-CN" w:bidi="ar"/>
        </w:rPr>
        <w:t xml:space="preserve">为满足重点部门单位和重要业务系统网络接入升级服务标准，需配备不低于以下参数的必要设施：</w:t>
      </w:r>
      <w:r>
        <w:rPr>
          <w:rFonts w:hint="eastAsia" w:ascii="仿宋" w:hAnsi="仿宋" w:eastAsia="仿宋" w:cs="仿宋"/>
          <w:bCs w:val="0"/>
          <w:color w:val="000000"/>
          <w:sz w:val="28"/>
          <w:szCs w:val="28"/>
          <w:lang w:val="en-US" w:eastAsia="zh-CN" w:bidi="ar"/>
        </w:rPr>
      </w:r>
      <w:r/>
    </w:p>
    <w:tbl>
      <w:tblPr>
        <w:tblW w:w="4998"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498"/>
        <w:gridCol w:w="5076"/>
        <w:gridCol w:w="776"/>
        <w:gridCol w:w="777"/>
      </w:tblGrid>
      <w:tr>
        <w:trPr>
          <w:trHeight w:val="272"/>
        </w:trPr>
        <w:tc>
          <w:tcPr>
            <w:tcW w:w="390"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序号</w:t>
            </w:r>
            <w:r>
              <w:rPr>
                <w:rFonts w:hint="eastAsia" w:ascii="仿宋" w:hAnsi="仿宋" w:eastAsia="仿宋" w:cs="仿宋"/>
                <w:b w:val="0"/>
                <w:bCs w:val="0"/>
                <w:color w:val="000000"/>
                <w:sz w:val="28"/>
                <w:szCs w:val="28"/>
              </w:rPr>
            </w:r>
            <w:r/>
          </w:p>
        </w:tc>
        <w:tc>
          <w:tcPr>
            <w:tcW w:w="867"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服务名称</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服务要求</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数量</w:t>
            </w:r>
            <w:r>
              <w:rPr>
                <w:rFonts w:hint="eastAsia" w:ascii="仿宋" w:hAnsi="仿宋" w:eastAsia="仿宋" w:cs="仿宋"/>
                <w:b w:val="0"/>
                <w:bCs w:val="0"/>
                <w:color w:val="000000"/>
                <w:sz w:val="28"/>
                <w:szCs w:val="28"/>
              </w:rPr>
            </w:r>
            <w:r/>
          </w:p>
        </w:tc>
        <w:tc>
          <w:tcPr>
            <w:tcW w:w="433" w:type="dxa"/>
            <w:vAlign w:val="center"/>
            <w:textDirection w:val="lrTb"/>
            <w:noWrap/>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单位</w:t>
            </w:r>
            <w:r>
              <w:rPr>
                <w:rFonts w:hint="eastAsia" w:ascii="仿宋" w:hAnsi="仿宋" w:eastAsia="仿宋" w:cs="仿宋"/>
                <w:b w:val="0"/>
                <w:bCs w:val="0"/>
                <w:color w:val="000000"/>
                <w:sz w:val="28"/>
                <w:szCs w:val="28"/>
              </w:rPr>
            </w:r>
            <w:r/>
          </w:p>
        </w:tc>
      </w:tr>
      <w:tr>
        <w:trPr>
          <w:trHeight w:val="1040"/>
        </w:trPr>
        <w:tc>
          <w:tcPr>
            <w:tcW w:w="390"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重点部门出口升级服务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1.配备千兆电口≥16个，千兆光口≥8个，万兆光口≥8个，配备冗余电源。</w:t>
            </w:r>
            <w:r>
              <w:rPr>
                <w:rFonts w:hint="eastAsia" w:ascii="仿宋" w:hAnsi="仿宋" w:eastAsia="仿宋" w:cs="仿宋"/>
                <w:color w:val="000000"/>
                <w:sz w:val="28"/>
                <w:szCs w:val="28"/>
                <w:lang w:val="en-US" w:eastAsia="zh-CN" w:bidi="ar"/>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2.吞吐量≥10Gbps；并发连接数≥400万，每秒新建连接数（HTTP）≥10万。</w:t>
            </w:r>
            <w:r>
              <w:rPr>
                <w:rFonts w:hint="eastAsia" w:ascii="仿宋" w:hAnsi="仿宋" w:eastAsia="仿宋" w:cs="仿宋"/>
                <w:color w:val="000000"/>
                <w:sz w:val="28"/>
                <w:szCs w:val="28"/>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3.满足实际使用需求，提供接入设备数量≥16台。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市统计局接入升级服务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1.交换容量≥73Tbps，包转发率≥6000Mpps，IPsec吞吐量≥10G。</w:t>
            </w:r>
            <w:r>
              <w:rPr>
                <w:rFonts w:hint="eastAsia" w:ascii="仿宋" w:hAnsi="仿宋" w:eastAsia="仿宋" w:cs="仿宋"/>
                <w:color w:val="000000"/>
                <w:sz w:val="28"/>
                <w:szCs w:val="28"/>
                <w:lang w:val="en-US" w:eastAsia="zh-CN" w:bidi="ar"/>
              </w:rPr>
            </w:r>
            <w:r/>
          </w:p>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2.配备万兆光口≥4个，千兆光口≥28个，千兆电口≥16个；配备双主控和冗余电源，业务板槽位数≥8，独立交换网板≥2。</w:t>
            </w:r>
            <w:r>
              <w:rPr>
                <w:rFonts w:hint="eastAsia" w:ascii="仿宋" w:hAnsi="仿宋" w:eastAsia="仿宋" w:cs="仿宋"/>
                <w:color w:val="000000"/>
                <w:sz w:val="28"/>
                <w:szCs w:val="28"/>
              </w:rPr>
            </w:r>
            <w:r/>
          </w:p>
          <w:p>
            <w:pPr>
              <w:pStyle w:val="684"/>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3.需与统计局现网路由器组成双活架构，如不支持需提供两台设备。</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市应急局接入升级服务</w:t>
            </w:r>
            <w:r>
              <w:rPr>
                <w:rFonts w:hint="eastAsia" w:ascii="仿宋" w:hAnsi="仿宋" w:eastAsia="仿宋" w:cs="仿宋"/>
                <w:color w:val="000000"/>
                <w:sz w:val="28"/>
                <w:szCs w:val="28"/>
              </w:rPr>
            </w:r>
            <w:r/>
          </w:p>
        </w:tc>
        <w:tc>
          <w:tcPr>
            <w:tcW w:w="2876" w:type="dxa"/>
            <w:vAlign w:val="center"/>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1.交换容量≥160Tbps，包转发率≥28000Mpps；万兆光口≥8；配备双主控、冗余电源。</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2.支持与市应急局现有路由器组成双活架构，如不支持需提供两台设备并组成双活架构。</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市应急局接入升级管控服务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1.吞吐量≥2.5Gbps，最大并发连接数≥300万，每秒新建连接数≥8万，IPS吞吐量≥1.8Gbps，SSL VPN并发数≥100。</w:t>
            </w:r>
            <w:r>
              <w:rPr>
                <w:rFonts w:hint="eastAsia" w:ascii="仿宋" w:hAnsi="仿宋" w:eastAsia="仿宋" w:cs="仿宋"/>
                <w:color w:val="000000"/>
                <w:sz w:val="28"/>
                <w:szCs w:val="28"/>
                <w:lang w:val="en-US" w:eastAsia="zh-CN" w:bidi="ar"/>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2.配备SSD硬盘≥240G，千兆Combo接口≥8，千兆电口≥2，万兆光口≥2，配备冗余电源。</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3.支持与市应急局现有防火墙组成双活架构，如不支持需提供两台设备并组成双活架构。</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5</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市财政局接入升级服务</w:t>
            </w:r>
            <w:r>
              <w:rPr>
                <w:rFonts w:hint="eastAsia" w:ascii="仿宋" w:hAnsi="仿宋" w:eastAsia="仿宋" w:cs="仿宋"/>
                <w:color w:val="000000"/>
                <w:sz w:val="28"/>
                <w:szCs w:val="28"/>
              </w:rPr>
            </w:r>
            <w:r/>
          </w:p>
        </w:tc>
        <w:tc>
          <w:tcPr>
            <w:tcW w:w="2876" w:type="dxa"/>
            <w:vAlign w:val="center"/>
            <w:textDirection w:val="lrTb"/>
            <w:noWrap w:val="false"/>
          </w:tcPr>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1.交换容量≥160Tbps，包转发率≥28000Mpps。</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lang w:val="en-US" w:eastAsia="zh-CN" w:bidi="ar"/>
              </w:rPr>
              <w:suppressLineNumbers w:val="0"/>
            </w:pPr>
            <w:r>
              <w:rPr>
                <w:rFonts w:hint="eastAsia" w:ascii="仿宋" w:hAnsi="仿宋" w:eastAsia="仿宋" w:cs="仿宋"/>
                <w:color w:val="000000"/>
                <w:sz w:val="28"/>
                <w:szCs w:val="28"/>
                <w:lang w:val="en-US" w:eastAsia="zh-CN" w:bidi="ar"/>
              </w:rPr>
              <w:t xml:space="preserve">2.配备千兆电口≥20个，万兆光口≥16个；配备冗余电源。</w:t>
            </w:r>
            <w:r>
              <w:rPr>
                <w:rFonts w:hint="eastAsia" w:ascii="仿宋" w:hAnsi="仿宋" w:eastAsia="仿宋" w:cs="仿宋"/>
                <w:color w:val="000000"/>
                <w:sz w:val="28"/>
                <w:szCs w:val="28"/>
                <w:lang w:val="en-US" w:eastAsia="zh-CN" w:bidi="ar"/>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3.配备接入设备数量≥2台。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国调队接入升级服务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1.配备千兆电口≥8个，千兆光口≥2个，万兆光口≥6个；配备冗余电源和双主控；整机交换容量≥400Gbps，转发性能≥400Mpps；支持国密算法。</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★2</w:t>
            </w:r>
            <w:r>
              <w:rPr>
                <w:rFonts w:hint="eastAsia" w:ascii="仿宋" w:hAnsi="仿宋" w:eastAsia="仿宋" w:cs="仿宋"/>
                <w:color w:val="000000"/>
                <w:sz w:val="28"/>
                <w:szCs w:val="28"/>
                <w:lang w:val="en-US" w:eastAsia="zh-CN" w:bidi="ar"/>
              </w:rPr>
              <w:t xml:space="preserve">.支持被省国调队SDN控制器纳管，支持SDWAN控制器下发SRv6隧道；支持与国调队现有路由器组成双活架构，如不支持需提供两台设备并组成双活架构。</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7</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ind w:left="0" w:right="0" w:firstLine="0"/>
              <w:jc w:val="center"/>
              <w:keepLines w:val="0"/>
              <w:keepNext w:val="0"/>
              <w:pageBreakBefore w:val="0"/>
              <w:spacing w:before="0" w:beforeAutospacing="0" w:after="0" w:afterAutospacing="0" w:line="540" w:lineRule="exact"/>
              <w:widowControl/>
              <w:rPr>
                <w:rFonts w:hint="eastAsia" w:ascii="仿宋" w:hAnsi="仿宋" w:eastAsia="仿宋" w:cs="仿宋"/>
                <w:b w:val="0"/>
                <w:bCs w:val="0"/>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国调队接入升级管控服务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
              </w:rPr>
              <w:t xml:space="preserve">1. 配备10/100/1000BASE-T 接口≥8个，千兆光口≥6，万兆光口≥2 个；防火墙吞吐≥5G，并发连接≥200 万，每秒新建连接≥2.5万；配备冗余电源；支持VPN隧道国密算法，支持上网行为管理模块、防病毒模块、IPS 入侵防御模块、DDoS 攻击防护功能；支持安全审计。</w:t>
            </w:r>
            <w:r>
              <w:rPr>
                <w:rFonts w:hint="eastAsia" w:ascii="仿宋" w:hAnsi="仿宋" w:eastAsia="仿宋" w:cs="仿宋"/>
                <w:color w:val="000000"/>
                <w:sz w:val="28"/>
                <w:szCs w:val="28"/>
              </w:rPr>
            </w:r>
            <w:r/>
          </w:p>
          <w:p>
            <w:pPr>
              <w:pStyle w:val="684"/>
              <w:ind w:left="0" w:right="0" w:firstLine="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b w:val="0"/>
                <w:bCs w:val="0"/>
                <w:color w:val="000000"/>
                <w:sz w:val="28"/>
                <w:szCs w:val="28"/>
                <w:lang w:val="en-US" w:eastAsia="zh-CN" w:bidi="ar"/>
              </w:rPr>
              <w:t xml:space="preserve">★2</w:t>
            </w:r>
            <w:r>
              <w:rPr>
                <w:rFonts w:hint="eastAsia" w:ascii="仿宋" w:hAnsi="仿宋" w:eastAsia="仿宋" w:cs="仿宋"/>
                <w:color w:val="000000"/>
                <w:sz w:val="28"/>
                <w:szCs w:val="28"/>
                <w:lang w:val="en-US" w:eastAsia="zh-CN" w:bidi="ar"/>
              </w:rPr>
              <w:t xml:space="preserve">.支持SDWAN，支持被省国调队SDN控制器纳管；支持与国调队现有防火墙组成双活架构，如不支持需配备两台设备并组成双活架构。</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r>
        <w:trPr>
          <w:trHeight w:val="1040"/>
        </w:trPr>
        <w:tc>
          <w:tcPr>
            <w:tcW w:w="390"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rPr>
            </w:r>
            <w:r/>
          </w:p>
        </w:tc>
        <w:tc>
          <w:tcPr>
            <w:shd w:val="clear" w:color="auto" w:fill="ffffff"/>
            <w:tcW w:w="867" w:type="dxa"/>
            <w:vAlign w:val="center"/>
            <w:textDirection w:val="lrTb"/>
            <w:noWrap w:val="false"/>
          </w:tcPr>
          <w:p>
            <w:pPr>
              <w:pStyle w:val="684"/>
              <w:keepLines w:val="0"/>
              <w:keepNext w:val="0"/>
              <w:pageBreakBefore w:val="0"/>
              <w:spacing w:after="0" w:line="54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bidi="ar"/>
              </w:rPr>
              <w:t xml:space="preserve">重点部门接入升级服务</w:t>
            </w:r>
            <w:r>
              <w:rPr>
                <w:rFonts w:hint="eastAsia" w:ascii="仿宋" w:hAnsi="仿宋" w:eastAsia="仿宋" w:cs="仿宋"/>
                <w:b w:val="0"/>
                <w:bCs w:val="0"/>
                <w:color w:val="000000"/>
                <w:sz w:val="28"/>
                <w:szCs w:val="28"/>
              </w:rPr>
            </w:r>
            <w:r/>
          </w:p>
        </w:tc>
        <w:tc>
          <w:tcPr>
            <w:tcW w:w="2876" w:type="dxa"/>
            <w:vAlign w:val="center"/>
            <w:textDirection w:val="lrTb"/>
            <w:noWrap w:val="false"/>
          </w:tcPr>
          <w:p>
            <w:pPr>
              <w:pStyle w:val="684"/>
              <w:keepLines w:val="0"/>
              <w:keepNext w:val="0"/>
              <w:pageBreakBefore w:val="0"/>
              <w:spacing w:after="0" w:line="54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bidi="ar"/>
              </w:rPr>
              <w:t xml:space="preserve">1.交换容量≥1.3Tbps，包转发率≥280Mpps；配备千兆电口≥24个，万兆光口≥8个；配备冗余电源</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684"/>
              <w:numPr>
                <w:ilvl w:val="0"/>
                <w:numId w:val="0"/>
              </w:numPr>
              <w:ind w:left="0" w:right="0"/>
              <w:jc w:val="left"/>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2.配备接入设备数量≥10台。</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rPr>
            </w:r>
            <w:r/>
          </w:p>
        </w:tc>
        <w:tc>
          <w:tcPr>
            <w:shd w:val="clear" w:color="auto" w:fill="ffffff"/>
            <w:tcW w:w="433" w:type="dxa"/>
            <w:vAlign w:val="center"/>
            <w:textDirection w:val="lrTb"/>
            <w:noWrap w:val="false"/>
          </w:tcPr>
          <w:p>
            <w:pPr>
              <w:pStyle w:val="684"/>
              <w:ind w:left="0" w:right="0"/>
              <w:jc w:val="center"/>
              <w:keepLines w:val="0"/>
              <w:keepNext w:val="0"/>
              <w:pageBreakBefore w:val="0"/>
              <w:spacing w:before="0" w:beforeAutospacing="0" w:after="0" w:afterAutospacing="0" w:line="540" w:lineRule="exact"/>
              <w:widowControl/>
              <w:rPr>
                <w:rFonts w:hint="eastAsia" w:ascii="仿宋" w:hAnsi="仿宋" w:eastAsia="仿宋" w:cs="仿宋"/>
                <w:color w:val="000000"/>
                <w:sz w:val="28"/>
                <w:szCs w:val="28"/>
              </w:rPr>
              <w:suppressLineNumbers w:val="0"/>
            </w:pPr>
            <w:r>
              <w:rPr>
                <w:rFonts w:hint="eastAsia" w:ascii="仿宋" w:hAnsi="仿宋" w:eastAsia="仿宋" w:cs="仿宋"/>
                <w:color w:val="000000"/>
                <w:sz w:val="28"/>
                <w:szCs w:val="28"/>
                <w:lang w:val="en-US" w:eastAsia="zh-CN" w:bidi="ar"/>
              </w:rPr>
              <w:t xml:space="preserve">项</w:t>
            </w:r>
            <w:r>
              <w:rPr>
                <w:rFonts w:hint="eastAsia" w:ascii="仿宋" w:hAnsi="仿宋" w:eastAsia="仿宋" w:cs="仿宋"/>
                <w:color w:val="000000"/>
                <w:sz w:val="28"/>
                <w:szCs w:val="28"/>
              </w:rPr>
            </w:r>
            <w:r/>
          </w:p>
        </w:tc>
      </w:tr>
    </w:tbl>
    <w:p>
      <w:pPr>
        <w:pStyle w:val="684"/>
        <w:numPr>
          <w:ilvl w:val="0"/>
          <w:numId w:val="0"/>
        </w:numPr>
        <w:ind w:right="0"/>
        <w:jc w:val="both"/>
        <w:keepLines w:val="0"/>
        <w:keepNext w:val="0"/>
        <w:pageBreakBefore w:val="0"/>
        <w:spacing w:before="0" w:beforeAutospacing="0" w:after="0" w:afterAutospacing="0" w:line="540" w:lineRule="exact"/>
        <w:widowControl/>
        <w:rPr>
          <w:rFonts w:hint="eastAsia" w:ascii="黑体" w:hAnsi="黑体" w:eastAsia="黑体" w:cs="黑体"/>
          <w:b w:val="0"/>
          <w:bCs/>
          <w:color w:val="000000"/>
          <w:sz w:val="32"/>
          <w:szCs w:val="32"/>
          <w:lang w:val="en-US" w:eastAsia="zh-CN" w:bidi="ar"/>
        </w:rPr>
        <w:suppressLineNumbers w:val="0"/>
      </w:pPr>
      <w:r>
        <w:rPr>
          <w:rFonts w:hint="eastAsia" w:ascii="黑体" w:hAnsi="黑体" w:eastAsia="黑体" w:cs="黑体"/>
          <w:b w:val="0"/>
          <w:bCs/>
          <w:color w:val="000000"/>
          <w:sz w:val="32"/>
          <w:szCs w:val="32"/>
          <w:lang w:val="en-US" w:eastAsia="zh-CN" w:bidi="ar"/>
        </w:rPr>
        <w:t xml:space="preserve">三、运维保障要求</w:t>
      </w:r>
      <w:r>
        <w:rPr>
          <w:rFonts w:hint="eastAsia" w:ascii="黑体" w:hAnsi="黑体" w:eastAsia="黑体" w:cs="黑体"/>
          <w:b w:val="0"/>
          <w:bCs/>
          <w:color w:val="000000"/>
          <w:sz w:val="32"/>
          <w:szCs w:val="32"/>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按照以下要求组织项目实施团队、运维团队，进行项目施工和运维保障，提供运维保障方案。</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1.项目实施团队</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实施团队人数不少于10人，包含1名项目负责人、2名技术负责人；项目负责人负责整体工作，并满足技术</w:t>
      </w:r>
      <w:r>
        <w:rPr>
          <w:rFonts w:hint="eastAsia" w:ascii="仿宋" w:hAnsi="仿宋" w:eastAsia="仿宋" w:cs="仿宋"/>
          <w:color w:val="000000"/>
          <w:sz w:val="28"/>
          <w:szCs w:val="28"/>
          <w:lang w:val="en-US" w:eastAsia="zh-CN" w:bidi="ar"/>
        </w:rPr>
        <w:t xml:space="preserve">服务</w:t>
      </w:r>
      <w:r>
        <w:rPr>
          <w:rFonts w:ascii="仿宋" w:hAnsi="仿宋" w:eastAsia="仿宋" w:cs="仿宋"/>
          <w:color w:val="000000"/>
          <w:sz w:val="28"/>
          <w:szCs w:val="28"/>
          <w:lang w:val="en-US" w:eastAsia="zh-CN" w:bidi="ar"/>
        </w:rPr>
        <w:t xml:space="preserve">要求的各项内容</w:t>
      </w:r>
      <w:r>
        <w:rPr>
          <w:rFonts w:hint="eastAsia" w:ascii="仿宋" w:hAnsi="仿宋" w:eastAsia="仿宋" w:cs="仿宋"/>
          <w:color w:val="000000"/>
          <w:sz w:val="28"/>
          <w:szCs w:val="28"/>
          <w:lang w:val="en-US" w:eastAsia="zh-CN" w:bidi="ar"/>
        </w:rPr>
        <w:t xml:space="preserve">要求</w:t>
      </w:r>
      <w:r>
        <w:rPr>
          <w:rFonts w:ascii="仿宋" w:hAnsi="仿宋" w:eastAsia="仿宋" w:cs="仿宋"/>
          <w:color w:val="000000"/>
          <w:sz w:val="28"/>
          <w:szCs w:val="28"/>
          <w:lang w:val="en-US" w:eastAsia="zh-CN" w:bidi="ar"/>
        </w:rPr>
        <w:t xml:space="preserve">。项目技术负责人须具备较为丰富的网络通信工程建造实践经验，负责本项目的施工管理、进度控制、质量管理和安全管理等，承担本项目所涉通信线路开通方案的设计和施工、项目相关网络通信设备的安装调试，能够解决复杂的技术问题，</w:t>
      </w:r>
      <w:r>
        <w:rPr>
          <w:rFonts w:hint="eastAsia" w:ascii="仿宋" w:hAnsi="仿宋" w:eastAsia="仿宋" w:cs="仿宋"/>
          <w:color w:val="000000"/>
          <w:sz w:val="28"/>
          <w:szCs w:val="28"/>
          <w:lang w:val="en-US" w:eastAsia="zh-CN" w:bidi="ar"/>
        </w:rPr>
        <w:t xml:space="preserve">提供</w:t>
      </w:r>
      <w:r>
        <w:rPr>
          <w:rFonts w:ascii="仿宋" w:hAnsi="仿宋" w:eastAsia="仿宋" w:cs="仿宋"/>
          <w:color w:val="000000"/>
          <w:sz w:val="28"/>
          <w:szCs w:val="28"/>
          <w:lang w:val="en-US" w:eastAsia="zh-CN" w:bidi="ar"/>
        </w:rPr>
        <w:t xml:space="preserve">技术支持等工作。投标人需根据相应要求，提供实施团队服务方案。</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2.项目实施要求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（1）投标人</w:t>
      </w:r>
      <w:r>
        <w:rPr>
          <w:rFonts w:hint="eastAsia" w:ascii="仿宋" w:hAnsi="仿宋" w:eastAsia="仿宋" w:cs="仿宋"/>
          <w:color w:val="000000"/>
          <w:sz w:val="28"/>
          <w:szCs w:val="28"/>
          <w:lang w:val="en-US" w:eastAsia="zh-CN" w:bidi="ar"/>
        </w:rPr>
        <w:t xml:space="preserve">提供的相关接入、升级、部署等</w:t>
      </w:r>
      <w:r>
        <w:rPr>
          <w:rFonts w:ascii="仿宋" w:hAnsi="仿宋" w:eastAsia="仿宋" w:cs="仿宋"/>
          <w:color w:val="000000"/>
          <w:sz w:val="28"/>
          <w:szCs w:val="28"/>
          <w:lang w:val="en-US" w:eastAsia="zh-CN" w:bidi="ar"/>
        </w:rPr>
        <w:t xml:space="preserve">服务实施应与招标人业务运行错峰，不得影响政务外网业务</w:t>
      </w:r>
      <w:r>
        <w:rPr>
          <w:rFonts w:hint="eastAsia" w:ascii="仿宋" w:hAnsi="仿宋" w:eastAsia="仿宋" w:cs="仿宋"/>
          <w:color w:val="000000"/>
          <w:sz w:val="28"/>
          <w:szCs w:val="28"/>
          <w:lang w:val="en-US" w:eastAsia="zh-CN" w:bidi="ar"/>
        </w:rPr>
        <w:t xml:space="preserve">的运行使用</w:t>
      </w:r>
      <w:r>
        <w:rPr>
          <w:rFonts w:ascii="仿宋" w:hAnsi="仿宋" w:eastAsia="仿宋" w:cs="仿宋"/>
          <w:color w:val="000000"/>
          <w:sz w:val="28"/>
          <w:szCs w:val="28"/>
          <w:lang w:val="en-US" w:eastAsia="zh-CN" w:bidi="ar"/>
        </w:rPr>
        <w:t xml:space="preserve">。</w:t>
      </w:r>
      <w:r>
        <w:rPr>
          <w:rFonts w:hint="eastAsia" w:ascii="仿宋" w:hAnsi="仿宋" w:eastAsia="仿宋" w:cs="仿宋"/>
          <w:color w:val="000000"/>
          <w:sz w:val="28"/>
          <w:szCs w:val="28"/>
          <w:lang w:val="en-US" w:eastAsia="zh-CN" w:bidi="ar"/>
        </w:rPr>
        <w:t xml:space="preserve">实施</w:t>
      </w:r>
      <w:r>
        <w:rPr>
          <w:rFonts w:ascii="仿宋" w:hAnsi="仿宋" w:eastAsia="仿宋" w:cs="仿宋"/>
          <w:color w:val="000000"/>
          <w:sz w:val="28"/>
          <w:szCs w:val="28"/>
          <w:lang w:val="en-US" w:eastAsia="zh-CN" w:bidi="ar"/>
        </w:rPr>
        <w:t xml:space="preserve">割接</w:t>
      </w:r>
      <w:r>
        <w:rPr>
          <w:rFonts w:hint="eastAsia" w:ascii="仿宋" w:hAnsi="仿宋" w:eastAsia="仿宋" w:cs="仿宋"/>
          <w:color w:val="000000"/>
          <w:sz w:val="28"/>
          <w:szCs w:val="28"/>
          <w:lang w:val="en-US" w:eastAsia="zh-CN" w:bidi="ar"/>
        </w:rPr>
        <w:t xml:space="preserve">调试</w:t>
      </w:r>
      <w:r>
        <w:rPr>
          <w:rFonts w:ascii="仿宋" w:hAnsi="仿宋" w:eastAsia="仿宋" w:cs="仿宋"/>
          <w:color w:val="000000"/>
          <w:sz w:val="28"/>
          <w:szCs w:val="28"/>
          <w:lang w:val="en-US" w:eastAsia="zh-CN" w:bidi="ar"/>
        </w:rPr>
        <w:t xml:space="preserve">等可能影响招标人业务的操作时，需提前与招标人进行确认。投标人需满足技术要求的相应各项内容。投标人需根据</w:t>
      </w:r>
      <w:r>
        <w:rPr>
          <w:rFonts w:hint="eastAsia" w:ascii="仿宋" w:hAnsi="仿宋" w:eastAsia="仿宋" w:cs="仿宋"/>
          <w:color w:val="000000"/>
          <w:sz w:val="28"/>
          <w:szCs w:val="28"/>
          <w:lang w:val="en-US" w:eastAsia="zh-CN" w:bidi="ar"/>
        </w:rPr>
        <w:t xml:space="preserve">各类业务工作使用需要</w:t>
      </w:r>
      <w:r>
        <w:rPr>
          <w:rFonts w:ascii="仿宋" w:hAnsi="仿宋" w:eastAsia="仿宋" w:cs="仿宋"/>
          <w:color w:val="000000"/>
          <w:sz w:val="28"/>
          <w:szCs w:val="28"/>
          <w:lang w:val="en-US" w:eastAsia="zh-CN" w:bidi="ar"/>
        </w:rPr>
        <w:t xml:space="preserve">，提供</w:t>
      </w:r>
      <w:r>
        <w:rPr>
          <w:rFonts w:hint="eastAsia" w:ascii="仿宋" w:hAnsi="仿宋" w:eastAsia="仿宋" w:cs="仿宋"/>
          <w:color w:val="000000"/>
          <w:sz w:val="28"/>
          <w:szCs w:val="28"/>
          <w:lang w:val="en-US" w:eastAsia="zh-CN" w:bidi="ar"/>
        </w:rPr>
        <w:t xml:space="preserve">相关</w:t>
      </w:r>
      <w:r>
        <w:rPr>
          <w:rFonts w:ascii="仿宋" w:hAnsi="仿宋" w:eastAsia="仿宋" w:cs="仿宋"/>
          <w:color w:val="000000"/>
          <w:sz w:val="28"/>
          <w:szCs w:val="28"/>
          <w:lang w:val="en-US" w:eastAsia="zh-CN" w:bidi="ar"/>
        </w:rPr>
        <w:t xml:space="preserve">业务系统承载网络的切割方案。</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（2）投标人线路服务实施前需与招标人确认相应方案，实施过程中应从</w:t>
      </w:r>
      <w:r>
        <w:rPr>
          <w:rFonts w:hint="eastAsia" w:ascii="仿宋" w:hAnsi="仿宋" w:eastAsia="仿宋" w:cs="仿宋"/>
          <w:color w:val="000000"/>
          <w:sz w:val="28"/>
          <w:szCs w:val="28"/>
          <w:lang w:val="en-US" w:eastAsia="zh-CN" w:bidi="ar"/>
        </w:rPr>
        <w:t xml:space="preserve">网络实际使用需求角度出发，提供</w:t>
      </w:r>
      <w:r>
        <w:rPr>
          <w:rFonts w:ascii="仿宋" w:hAnsi="仿宋" w:eastAsia="仿宋" w:cs="仿宋"/>
          <w:color w:val="000000"/>
          <w:sz w:val="28"/>
          <w:szCs w:val="28"/>
          <w:lang w:val="en-US" w:eastAsia="zh-CN" w:bidi="ar"/>
        </w:rPr>
        <w:t xml:space="preserve">包括但不限于技术、管理</w:t>
      </w:r>
      <w:r>
        <w:rPr>
          <w:rFonts w:hint="eastAsia" w:ascii="仿宋" w:hAnsi="仿宋" w:eastAsia="仿宋" w:cs="仿宋"/>
          <w:color w:val="000000"/>
          <w:sz w:val="28"/>
          <w:szCs w:val="28"/>
          <w:lang w:val="en-US" w:eastAsia="zh-CN" w:bidi="ar"/>
        </w:rPr>
        <w:t xml:space="preserve">、应急</w:t>
      </w:r>
      <w:r>
        <w:rPr>
          <w:rFonts w:ascii="仿宋" w:hAnsi="仿宋" w:eastAsia="仿宋" w:cs="仿宋"/>
          <w:color w:val="000000"/>
          <w:sz w:val="28"/>
          <w:szCs w:val="28"/>
          <w:lang w:val="en-US" w:eastAsia="zh-CN" w:bidi="ar"/>
        </w:rPr>
        <w:t xml:space="preserve">等多</w:t>
      </w:r>
      <w:r>
        <w:rPr>
          <w:rFonts w:hint="eastAsia" w:ascii="仿宋" w:hAnsi="仿宋" w:eastAsia="仿宋" w:cs="仿宋"/>
          <w:color w:val="000000"/>
          <w:sz w:val="28"/>
          <w:szCs w:val="28"/>
          <w:lang w:val="en-US" w:eastAsia="zh-CN" w:bidi="ar"/>
        </w:rPr>
        <w:t xml:space="preserve">方面的工作方案</w:t>
      </w:r>
      <w:r>
        <w:rPr>
          <w:rFonts w:ascii="仿宋" w:hAnsi="仿宋" w:eastAsia="仿宋" w:cs="仿宋"/>
          <w:color w:val="000000"/>
          <w:sz w:val="28"/>
          <w:szCs w:val="28"/>
          <w:lang w:val="en-US" w:eastAsia="zh-CN" w:bidi="ar"/>
        </w:rPr>
        <w:t xml:space="preserve">，确保实施质量高、过程平稳、时间</w:t>
      </w:r>
      <w:r>
        <w:rPr>
          <w:rFonts w:hint="eastAsia" w:ascii="仿宋" w:hAnsi="仿宋" w:eastAsia="仿宋" w:cs="仿宋"/>
          <w:color w:val="000000"/>
          <w:sz w:val="28"/>
          <w:szCs w:val="28"/>
          <w:lang w:val="en-US" w:eastAsia="zh-CN" w:bidi="ar"/>
        </w:rPr>
        <w:t xml:space="preserve">迅速</w:t>
      </w:r>
      <w:r>
        <w:rPr>
          <w:rFonts w:ascii="仿宋" w:hAnsi="仿宋" w:eastAsia="仿宋" w:cs="仿宋"/>
          <w:color w:val="000000"/>
          <w:sz w:val="28"/>
          <w:szCs w:val="28"/>
          <w:lang w:val="en-US" w:eastAsia="zh-CN" w:bidi="ar"/>
        </w:rPr>
        <w:t xml:space="preserve">。投标人需满足技术要求的相应各项内容。投标人需根据</w:t>
      </w:r>
      <w:r>
        <w:rPr>
          <w:rFonts w:hint="eastAsia" w:ascii="仿宋" w:hAnsi="仿宋" w:eastAsia="仿宋" w:cs="仿宋"/>
          <w:color w:val="000000"/>
          <w:sz w:val="28"/>
          <w:szCs w:val="28"/>
          <w:lang w:val="en-US" w:eastAsia="zh-CN" w:bidi="ar"/>
        </w:rPr>
        <w:t xml:space="preserve">网络使用运行情况</w:t>
      </w:r>
      <w:r>
        <w:rPr>
          <w:rFonts w:ascii="仿宋" w:hAnsi="仿宋" w:eastAsia="仿宋" w:cs="仿宋"/>
          <w:color w:val="000000"/>
          <w:sz w:val="28"/>
          <w:szCs w:val="28"/>
          <w:lang w:val="en-US" w:eastAsia="zh-CN" w:bidi="ar"/>
        </w:rPr>
        <w:t xml:space="preserve">，提供项目</w:t>
      </w:r>
      <w:r>
        <w:rPr>
          <w:rFonts w:hint="eastAsia" w:ascii="仿宋" w:hAnsi="仿宋" w:eastAsia="仿宋" w:cs="仿宋"/>
          <w:color w:val="000000"/>
          <w:sz w:val="28"/>
          <w:szCs w:val="28"/>
          <w:lang w:val="en-US" w:eastAsia="zh-CN" w:bidi="ar"/>
        </w:rPr>
        <w:t xml:space="preserve">整体</w:t>
      </w:r>
      <w:r>
        <w:rPr>
          <w:rFonts w:ascii="仿宋" w:hAnsi="仿宋" w:eastAsia="仿宋" w:cs="仿宋"/>
          <w:color w:val="000000"/>
          <w:sz w:val="28"/>
          <w:szCs w:val="28"/>
          <w:lang w:val="en-US" w:eastAsia="zh-CN" w:bidi="ar"/>
        </w:rPr>
        <w:t xml:space="preserve">实施方案。</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3.市级政务外网运维保障</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须组建专业技术团队，提供所需线路和配套网络设备的全生命周期运维保障服务，内容包括但不限于：通信线路的安装、升级、故障维修、割接配合、巡检维护等一切通信线路相关事宜，包含投标人提供的机房环境维护；提供IDC区及DMZ区运行加固服务，按需提供割接服务；提供接入单位业务变更需求响应、故障</w:t>
      </w:r>
      <w:r>
        <w:rPr>
          <w:rFonts w:hint="eastAsia" w:ascii="仿宋" w:hAnsi="仿宋" w:eastAsia="仿宋" w:cs="仿宋"/>
          <w:color w:val="000000"/>
          <w:sz w:val="28"/>
          <w:szCs w:val="28"/>
          <w:lang w:val="en-US" w:eastAsia="zh-CN" w:bidi="ar"/>
        </w:rPr>
        <w:t xml:space="preserve">处置</w:t>
      </w:r>
      <w:r>
        <w:rPr>
          <w:rFonts w:ascii="仿宋" w:hAnsi="仿宋" w:eastAsia="仿宋" w:cs="仿宋"/>
          <w:color w:val="000000"/>
          <w:sz w:val="28"/>
          <w:szCs w:val="28"/>
          <w:lang w:val="en-US" w:eastAsia="zh-CN" w:bidi="ar"/>
        </w:rPr>
        <w:t xml:space="preserve">、技术咨询等服务内容；完成业务故障排查、运维工作协同等服务内容。</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4.人员驻场运维服务</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提供的机房环境须具备7*24小时的驻场运维服务，招标人有权对技术能力不达标、不服从管理的人员提出更换要求，投标人须配合完成人员调整；投标人为驻场运维人员提供专业运维工具和办公设备，运维期满后，存储类介质不返还。</w:t>
      </w:r>
      <w:r>
        <w:rPr>
          <w:rFonts w:ascii="仿宋" w:hAnsi="仿宋" w:eastAsia="仿宋" w:cs="仿宋"/>
          <w:color w:val="000000"/>
          <w:sz w:val="28"/>
          <w:szCs w:val="28"/>
          <w:lang w:val="en-US" w:eastAsia="zh-CN" w:bidi="ar"/>
        </w:rPr>
      </w:r>
      <w:r/>
    </w:p>
    <w:p>
      <w:pPr>
        <w:pStyle w:val="684"/>
        <w:ind w:firstLine="640"/>
        <w:jc w:val="both"/>
        <w:keepLines w:val="0"/>
        <w:keepNext w:val="0"/>
        <w:pageBreakBefore w:val="0"/>
        <w:spacing w:line="540" w:lineRule="exact"/>
        <w:widowControl w:val="off"/>
        <w:rPr>
          <w:rFonts w:ascii="黑体" w:hAnsi="黑体" w:eastAsia="黑体" w:cs="黑体"/>
          <w:b w:val="0"/>
          <w:bCs/>
          <w:color w:val="000000"/>
          <w:sz w:val="32"/>
          <w:szCs w:val="32"/>
          <w:lang w:val="zh-CN" w:eastAsia="zh-CN" w:bidi="ar"/>
        </w:rPr>
        <w:outlineLvl w:val="9"/>
      </w:pPr>
      <w:r>
        <w:rPr>
          <w:rFonts w:ascii="Times New Roman" w:hAnsi="Times New Roman" w:eastAsia="方正仿宋_GBK" w:cs="Times New Roman"/>
          <w:b w:val="0"/>
          <w:bCs w:val="0"/>
          <w:color w:val="000000"/>
          <w:sz w:val="32"/>
          <w:szCs w:val="32"/>
          <w:lang w:val="zh-CN" w:eastAsia="zh-CN" w:bidi="ar"/>
        </w:rPr>
        <w:t xml:space="preserve">★</w:t>
      </w:r>
      <w:r>
        <w:rPr>
          <w:rFonts w:ascii="黑体" w:hAnsi="黑体" w:eastAsia="黑体" w:cs="黑体"/>
          <w:b w:val="0"/>
          <w:bCs/>
          <w:color w:val="000000"/>
          <w:sz w:val="32"/>
          <w:szCs w:val="32"/>
          <w:lang w:val="en-US" w:eastAsia="zh-CN" w:bidi="ar"/>
        </w:rPr>
        <w:t xml:space="preserve">四、</w:t>
      </w:r>
      <w:r>
        <w:rPr>
          <w:rFonts w:ascii="黑体" w:hAnsi="黑体" w:eastAsia="黑体" w:cs="黑体"/>
          <w:b w:val="0"/>
          <w:bCs/>
          <w:color w:val="000000"/>
          <w:sz w:val="32"/>
          <w:szCs w:val="32"/>
          <w:lang w:val="zh-CN" w:eastAsia="zh-CN" w:bidi="ar"/>
        </w:rPr>
        <w:t xml:space="preserve">技术保障和服务承诺</w:t>
      </w:r>
      <w:r>
        <w:rPr>
          <w:rFonts w:ascii="黑体" w:hAnsi="黑体" w:eastAsia="黑体" w:cs="黑体"/>
          <w:b w:val="0"/>
          <w:bCs/>
          <w:color w:val="000000"/>
          <w:sz w:val="32"/>
          <w:szCs w:val="32"/>
          <w:lang w:val="zh-CN"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hint="eastAsia" w:ascii="仿宋" w:hAnsi="仿宋" w:eastAsia="仿宋" w:cs="仿宋"/>
          <w:color w:val="000000"/>
          <w:sz w:val="28"/>
          <w:szCs w:val="28"/>
          <w:lang w:val="zh-CN" w:eastAsia="zh-CN" w:bidi="ar"/>
        </w:rPr>
        <w:t xml:space="preserve">（</w:t>
      </w:r>
      <w:r>
        <w:rPr>
          <w:rFonts w:ascii="仿宋" w:hAnsi="仿宋" w:eastAsia="仿宋" w:cs="仿宋"/>
          <w:color w:val="000000"/>
          <w:sz w:val="28"/>
          <w:szCs w:val="28"/>
          <w:lang w:val="en-US" w:eastAsia="zh-CN" w:bidi="ar"/>
        </w:rPr>
        <w:t xml:space="preserve">投标人须</w:t>
      </w:r>
      <w:r>
        <w:rPr>
          <w:rFonts w:hint="eastAsia" w:ascii="仿宋" w:hAnsi="仿宋" w:eastAsia="仿宋" w:cs="仿宋"/>
          <w:color w:val="000000"/>
          <w:sz w:val="28"/>
          <w:szCs w:val="28"/>
          <w:lang w:val="en-US" w:eastAsia="zh-CN" w:bidi="ar"/>
        </w:rPr>
        <w:t xml:space="preserve">按照以下要求进行逐项承诺，</w:t>
      </w:r>
      <w:r>
        <w:rPr>
          <w:rFonts w:ascii="仿宋" w:hAnsi="仿宋" w:eastAsia="仿宋" w:cs="仿宋"/>
          <w:color w:val="000000"/>
          <w:sz w:val="28"/>
          <w:szCs w:val="28"/>
          <w:lang w:val="en-US" w:eastAsia="zh-CN" w:bidi="ar"/>
        </w:rPr>
        <w:t xml:space="preserve">提供承诺函并加盖投标人电子签章，格式由投标人自定，未提供作无效投标处理。</w:t>
      </w:r>
      <w:r>
        <w:rPr>
          <w:rFonts w:hint="eastAsia" w:ascii="仿宋" w:hAnsi="仿宋" w:eastAsia="仿宋" w:cs="仿宋"/>
          <w:color w:val="000000"/>
          <w:sz w:val="28"/>
          <w:szCs w:val="28"/>
          <w:lang w:val="zh-CN" w:eastAsia="zh-CN" w:bidi="ar"/>
        </w:rPr>
        <w:t xml:space="preserve">）</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（一）技术保障承诺</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1.线路接入服务要求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投标人需承担骨干传输线路及接入传输线路端到端的安装调试、维护管理任务，投标人提供的电子政务外网</w:t>
      </w:r>
      <w:r>
        <w:rPr>
          <w:rFonts w:hint="eastAsia" w:ascii="仿宋" w:hAnsi="仿宋" w:eastAsia="仿宋" w:cs="仿宋"/>
          <w:color w:val="000000"/>
          <w:sz w:val="28"/>
          <w:szCs w:val="28"/>
          <w:lang w:val="en-US" w:eastAsia="zh-CN" w:bidi="ar"/>
        </w:rPr>
        <w:t xml:space="preserve">整体</w:t>
      </w:r>
      <w:r>
        <w:rPr>
          <w:rFonts w:ascii="仿宋" w:hAnsi="仿宋" w:eastAsia="仿宋" w:cs="仿宋"/>
          <w:color w:val="000000"/>
          <w:sz w:val="28"/>
          <w:szCs w:val="28"/>
          <w:lang w:val="en-US" w:eastAsia="zh-CN" w:bidi="ar"/>
        </w:rPr>
        <w:t xml:space="preserve">服务</w:t>
      </w:r>
      <w:r>
        <w:rPr>
          <w:rFonts w:hint="eastAsia" w:ascii="仿宋" w:hAnsi="仿宋" w:eastAsia="仿宋" w:cs="仿宋"/>
          <w:color w:val="000000"/>
          <w:sz w:val="28"/>
          <w:szCs w:val="28"/>
          <w:lang w:val="en-US" w:eastAsia="zh-CN" w:bidi="ar"/>
        </w:rPr>
        <w:t xml:space="preserve">须</w:t>
      </w:r>
      <w:r>
        <w:rPr>
          <w:rFonts w:ascii="仿宋" w:hAnsi="仿宋" w:eastAsia="仿宋" w:cs="仿宋"/>
          <w:color w:val="000000"/>
          <w:sz w:val="28"/>
          <w:szCs w:val="28"/>
          <w:lang w:val="en-US" w:eastAsia="zh-CN" w:bidi="ar"/>
        </w:rPr>
        <w:t xml:space="preserve">满足</w:t>
      </w:r>
      <w:r>
        <w:rPr>
          <w:rFonts w:hint="eastAsia" w:ascii="仿宋" w:hAnsi="仿宋" w:eastAsia="仿宋" w:cs="仿宋"/>
          <w:color w:val="000000"/>
          <w:sz w:val="28"/>
          <w:szCs w:val="28"/>
          <w:lang w:val="en-US" w:eastAsia="zh-CN" w:bidi="ar"/>
        </w:rPr>
        <w:t xml:space="preserve">实际工作需要</w:t>
      </w:r>
      <w:r>
        <w:rPr>
          <w:rFonts w:ascii="仿宋" w:hAnsi="仿宋" w:eastAsia="仿宋" w:cs="仿宋"/>
          <w:color w:val="000000"/>
          <w:sz w:val="28"/>
          <w:szCs w:val="28"/>
          <w:lang w:val="en-US" w:eastAsia="zh-CN" w:bidi="ar"/>
        </w:rPr>
        <w:t xml:space="preserve">。</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2.设备耗材</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本项目在运维服务期内所需要使用</w:t>
      </w:r>
      <w:r>
        <w:rPr>
          <w:rFonts w:ascii="仿宋" w:hAnsi="仿宋" w:eastAsia="仿宋" w:cs="仿宋"/>
          <w:color w:val="000000"/>
          <w:sz w:val="28"/>
          <w:szCs w:val="28"/>
          <w:lang w:val="en-US" w:eastAsia="zh-CN" w:bidi="ar"/>
        </w:rPr>
        <w:t xml:space="preserve">的光模块、跳纤、尾纤、</w:t>
      </w:r>
      <w:r>
        <w:rPr>
          <w:rFonts w:hint="eastAsia" w:ascii="仿宋" w:hAnsi="仿宋" w:eastAsia="仿宋" w:cs="仿宋"/>
          <w:color w:val="000000"/>
          <w:sz w:val="28"/>
          <w:szCs w:val="28"/>
          <w:lang w:val="en-US" w:eastAsia="zh-CN" w:bidi="ar"/>
        </w:rPr>
        <w:t xml:space="preserve">网线、标签贴、水晶头、</w:t>
      </w:r>
      <w:r>
        <w:rPr>
          <w:rFonts w:ascii="仿宋" w:hAnsi="仿宋" w:eastAsia="仿宋" w:cs="仿宋"/>
          <w:color w:val="000000"/>
          <w:sz w:val="28"/>
          <w:szCs w:val="28"/>
          <w:lang w:val="en-US" w:eastAsia="zh-CN" w:bidi="ar"/>
        </w:rPr>
        <w:t xml:space="preserve">交换机等</w:t>
      </w:r>
      <w:r>
        <w:rPr>
          <w:rFonts w:hint="eastAsia" w:ascii="仿宋" w:hAnsi="仿宋" w:eastAsia="仿宋" w:cs="仿宋"/>
          <w:color w:val="000000"/>
          <w:sz w:val="28"/>
          <w:szCs w:val="28"/>
          <w:lang w:val="en-US" w:eastAsia="zh-CN" w:bidi="ar"/>
        </w:rPr>
        <w:t xml:space="preserve">配套设备、零配件和相关辅材</w:t>
      </w:r>
      <w:r>
        <w:rPr>
          <w:rFonts w:ascii="仿宋" w:hAnsi="仿宋" w:eastAsia="仿宋" w:cs="仿宋"/>
          <w:color w:val="000000"/>
          <w:sz w:val="28"/>
          <w:szCs w:val="28"/>
          <w:lang w:val="en-US" w:eastAsia="zh-CN" w:bidi="ar"/>
        </w:rPr>
        <w:t xml:space="preserve">均需</w:t>
      </w:r>
      <w:r>
        <w:rPr>
          <w:rFonts w:hint="eastAsia" w:ascii="仿宋" w:hAnsi="仿宋" w:eastAsia="仿宋" w:cs="仿宋"/>
          <w:color w:val="000000"/>
          <w:sz w:val="28"/>
          <w:szCs w:val="28"/>
          <w:lang w:val="en-US" w:eastAsia="zh-CN" w:bidi="ar"/>
        </w:rPr>
        <w:t xml:space="preserve">按照实际</w:t>
      </w:r>
      <w:r>
        <w:rPr>
          <w:rFonts w:ascii="仿宋" w:hAnsi="仿宋" w:eastAsia="仿宋" w:cs="仿宋"/>
          <w:color w:val="000000"/>
          <w:sz w:val="28"/>
          <w:szCs w:val="28"/>
          <w:lang w:val="en-US" w:eastAsia="zh-CN" w:bidi="ar"/>
        </w:rPr>
        <w:t xml:space="preserve">使用需</w:t>
      </w:r>
      <w:r>
        <w:rPr>
          <w:rFonts w:hint="eastAsia" w:ascii="仿宋" w:hAnsi="仿宋" w:eastAsia="仿宋" w:cs="仿宋"/>
          <w:color w:val="000000"/>
          <w:sz w:val="28"/>
          <w:szCs w:val="28"/>
          <w:lang w:val="en-US" w:eastAsia="zh-CN" w:bidi="ar"/>
        </w:rPr>
        <w:t xml:space="preserve">求配备（含备品备件）</w:t>
      </w:r>
      <w:r>
        <w:rPr>
          <w:rFonts w:ascii="仿宋" w:hAnsi="仿宋" w:eastAsia="仿宋" w:cs="仿宋"/>
          <w:color w:val="000000"/>
          <w:sz w:val="28"/>
          <w:szCs w:val="28"/>
          <w:lang w:val="en-US" w:eastAsia="zh-CN" w:bidi="ar"/>
        </w:rPr>
        <w:t xml:space="preserve">，不再单独</w:t>
      </w:r>
      <w:r>
        <w:rPr>
          <w:rFonts w:hint="eastAsia" w:ascii="仿宋" w:hAnsi="仿宋" w:eastAsia="仿宋" w:cs="仿宋"/>
          <w:color w:val="000000"/>
          <w:sz w:val="28"/>
          <w:szCs w:val="28"/>
          <w:lang w:val="en-US" w:eastAsia="zh-CN" w:bidi="ar"/>
        </w:rPr>
        <w:t xml:space="preserve">增加经费</w:t>
      </w:r>
      <w:r>
        <w:rPr>
          <w:rFonts w:ascii="仿宋" w:hAnsi="仿宋" w:eastAsia="仿宋" w:cs="仿宋"/>
          <w:color w:val="000000"/>
          <w:sz w:val="28"/>
          <w:szCs w:val="28"/>
          <w:lang w:val="en-US" w:eastAsia="zh-CN" w:bidi="ar"/>
        </w:rPr>
        <w:t xml:space="preserve">。</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3.SDN纳管要求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所提供的网络设备接入服务（不包括“总体服务内容的重点部门单位的网络接入升级服务”）均须被SDN控制器纳管。若不支持被市级现有SDN控制器纳管，投标人须自行提供配套的SDN控制器及冗余部署，并负责完成与省级SDN管控平台的对接工作，由此产生的相关费用和技术对接工作均由投标人自行承担。</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4.资产管理服务</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投标人须提供固定资产管理服务，对各类资产进行赋码编号，明确资产性质、年限、使用方、存放地点等基本信息，形成固定资产“一本账”。</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5.安全设备异构部署要求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投标人所提供的互联网访问区防火墙、上网行为管理、零信任等关键安全设备接入服务，须采用不少于2个品牌的异构混合部署，提升整体安全防御体系的韧性与抗风险能力。</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6.测试测评及信创要求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投标人须严格按照国家、省、市关于政务信息化的相关法规与</w:t>
      </w:r>
      <w:r>
        <w:rPr>
          <w:rFonts w:hint="eastAsia" w:ascii="仿宋" w:hAnsi="仿宋" w:eastAsia="仿宋" w:cs="仿宋"/>
          <w:color w:val="000000"/>
          <w:sz w:val="28"/>
          <w:szCs w:val="28"/>
          <w:lang w:val="en-US" w:eastAsia="zh-CN" w:bidi="ar"/>
        </w:rPr>
        <w:t xml:space="preserve">规范</w:t>
      </w:r>
      <w:r>
        <w:rPr>
          <w:rFonts w:ascii="仿宋" w:hAnsi="仿宋" w:eastAsia="仿宋" w:cs="仿宋"/>
          <w:color w:val="000000"/>
          <w:sz w:val="28"/>
          <w:szCs w:val="28"/>
          <w:lang w:val="en-US" w:eastAsia="zh-CN" w:bidi="ar"/>
        </w:rPr>
        <w:t xml:space="preserve">标准，完成服务期内的信息安全、密码应用等测试测评工作，并满足信创工作要求。</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（二）服务承诺</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1.</w:t>
      </w:r>
      <w:r>
        <w:rPr>
          <w:rFonts w:hint="eastAsia" w:ascii="仿宋" w:hAnsi="仿宋" w:eastAsia="仿宋" w:cs="仿宋"/>
          <w:color w:val="000000"/>
          <w:sz w:val="28"/>
          <w:szCs w:val="28"/>
          <w:lang w:val="en-US" w:eastAsia="zh-CN" w:bidi="ar"/>
        </w:rPr>
        <w:t xml:space="preserve">投</w:t>
      </w:r>
      <w:r>
        <w:rPr>
          <w:rFonts w:ascii="仿宋" w:hAnsi="仿宋" w:eastAsia="仿宋" w:cs="仿宋"/>
          <w:color w:val="000000"/>
          <w:sz w:val="28"/>
          <w:szCs w:val="28"/>
          <w:lang w:val="en-US" w:eastAsia="zh-CN" w:bidi="ar"/>
        </w:rPr>
        <w:t xml:space="preserve">标人承诺在本项目运维服务期内，按照市级政务外网实际业务发展需要，及时提供有关线路接入、设备接入等所有服务，不再额外增加费用。</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2.投</w:t>
      </w:r>
      <w:r>
        <w:rPr>
          <w:rFonts w:ascii="仿宋" w:hAnsi="仿宋" w:eastAsia="仿宋" w:cs="仿宋"/>
          <w:color w:val="000000"/>
          <w:sz w:val="28"/>
          <w:szCs w:val="28"/>
          <w:lang w:val="en-US" w:eastAsia="zh-CN" w:bidi="ar"/>
        </w:rPr>
        <w:t xml:space="preserve">标人</w:t>
      </w:r>
      <w:r>
        <w:rPr>
          <w:rFonts w:hint="eastAsia" w:ascii="仿宋" w:hAnsi="仿宋" w:eastAsia="仿宋" w:cs="仿宋"/>
          <w:color w:val="000000"/>
          <w:sz w:val="28"/>
          <w:szCs w:val="28"/>
          <w:lang w:val="en-US" w:eastAsia="zh-CN" w:bidi="ar"/>
        </w:rPr>
        <w:t xml:space="preserve">须提供市级</w:t>
      </w:r>
      <w:r>
        <w:rPr>
          <w:rFonts w:ascii="仿宋" w:hAnsi="仿宋" w:eastAsia="仿宋" w:cs="仿宋"/>
          <w:color w:val="000000"/>
          <w:sz w:val="28"/>
          <w:szCs w:val="28"/>
          <w:lang w:val="en-US" w:eastAsia="zh-CN" w:bidi="ar"/>
        </w:rPr>
        <w:t xml:space="preserve">政务外网7×24小时全天候</w:t>
      </w:r>
      <w:r>
        <w:rPr>
          <w:rFonts w:hint="eastAsia" w:ascii="仿宋" w:hAnsi="仿宋" w:eastAsia="仿宋" w:cs="仿宋"/>
          <w:color w:val="000000"/>
          <w:sz w:val="28"/>
          <w:szCs w:val="28"/>
          <w:lang w:val="en-US" w:eastAsia="zh-CN" w:bidi="ar"/>
        </w:rPr>
        <w:t xml:space="preserve">保障服务，包括</w:t>
      </w:r>
      <w:r>
        <w:rPr>
          <w:rFonts w:ascii="仿宋" w:hAnsi="仿宋" w:eastAsia="仿宋" w:cs="仿宋"/>
          <w:color w:val="000000"/>
          <w:sz w:val="28"/>
          <w:szCs w:val="28"/>
          <w:lang w:val="en-US" w:eastAsia="zh-CN" w:bidi="ar"/>
        </w:rPr>
        <w:t xml:space="preserve">日常运维、网络调整、链路割接、故障排查、应急抢险、重大活动保障等服务，严格落实故障处置时效，全面保障全网稳定运行。</w:t>
      </w:r>
      <w:r>
        <w:rPr>
          <w:rFonts w:hint="eastAsia" w:ascii="仿宋" w:hAnsi="仿宋" w:eastAsia="仿宋" w:cs="仿宋"/>
          <w:color w:val="000000"/>
          <w:sz w:val="28"/>
          <w:szCs w:val="28"/>
          <w:lang w:val="en-US" w:eastAsia="zh-CN" w:bidi="ar"/>
        </w:rPr>
        <w:t xml:space="preserve">同时，投标人须</w:t>
      </w:r>
      <w:r>
        <w:rPr>
          <w:rFonts w:ascii="仿宋" w:hAnsi="仿宋" w:eastAsia="仿宋" w:cs="仿宋"/>
          <w:color w:val="000000"/>
          <w:sz w:val="28"/>
          <w:szCs w:val="28"/>
          <w:lang w:val="en-US" w:eastAsia="zh-CN" w:bidi="ar"/>
        </w:rPr>
        <w:t xml:space="preserve">根据业务扩容、机构调整、专网整合等工作需要，</w:t>
      </w:r>
      <w:r>
        <w:rPr>
          <w:rFonts w:hint="eastAsia" w:ascii="仿宋" w:hAnsi="仿宋" w:eastAsia="仿宋" w:cs="仿宋"/>
          <w:color w:val="000000"/>
          <w:sz w:val="28"/>
          <w:szCs w:val="28"/>
          <w:lang w:val="en-US" w:eastAsia="zh-CN" w:bidi="ar"/>
        </w:rPr>
        <w:t xml:space="preserve">及时提供</w:t>
      </w:r>
      <w:r>
        <w:rPr>
          <w:rFonts w:ascii="仿宋" w:hAnsi="仿宋" w:eastAsia="仿宋" w:cs="仿宋"/>
          <w:color w:val="000000"/>
          <w:sz w:val="28"/>
          <w:szCs w:val="28"/>
          <w:lang w:val="en-US" w:eastAsia="zh-CN" w:bidi="ar"/>
        </w:rPr>
        <w:t xml:space="preserve">网络架构调整、</w:t>
      </w:r>
      <w:r>
        <w:rPr>
          <w:rFonts w:hint="eastAsia" w:ascii="仿宋" w:hAnsi="仿宋" w:eastAsia="仿宋" w:cs="仿宋"/>
          <w:color w:val="000000"/>
          <w:sz w:val="28"/>
          <w:szCs w:val="28"/>
          <w:lang w:val="en-US" w:eastAsia="zh-CN" w:bidi="ar"/>
        </w:rPr>
        <w:t xml:space="preserve">线路接入、网络</w:t>
      </w:r>
      <w:r>
        <w:rPr>
          <w:rFonts w:ascii="仿宋" w:hAnsi="仿宋" w:eastAsia="仿宋" w:cs="仿宋"/>
          <w:color w:val="000000"/>
          <w:sz w:val="28"/>
          <w:szCs w:val="28"/>
          <w:lang w:val="en-US" w:eastAsia="zh-CN" w:bidi="ar"/>
        </w:rPr>
        <w:t xml:space="preserve">割接、</w:t>
      </w:r>
      <w:r>
        <w:rPr>
          <w:rFonts w:hint="eastAsia" w:ascii="仿宋" w:hAnsi="仿宋" w:eastAsia="仿宋" w:cs="仿宋"/>
          <w:color w:val="000000"/>
          <w:sz w:val="28"/>
          <w:szCs w:val="28"/>
          <w:lang w:val="en-US" w:eastAsia="zh-CN" w:bidi="ar"/>
        </w:rPr>
        <w:t xml:space="preserve">带宽</w:t>
      </w:r>
      <w:r>
        <w:rPr>
          <w:rFonts w:ascii="仿宋" w:hAnsi="仿宋" w:eastAsia="仿宋" w:cs="仿宋"/>
          <w:color w:val="000000"/>
          <w:sz w:val="28"/>
          <w:szCs w:val="28"/>
          <w:lang w:val="en-US" w:eastAsia="zh-CN" w:bidi="ar"/>
        </w:rPr>
        <w:t xml:space="preserve">扩容、策略变更等</w:t>
      </w:r>
      <w:r>
        <w:rPr>
          <w:rFonts w:hint="eastAsia" w:ascii="仿宋" w:hAnsi="仿宋" w:eastAsia="仿宋" w:cs="仿宋"/>
          <w:color w:val="000000"/>
          <w:sz w:val="28"/>
          <w:szCs w:val="28"/>
          <w:lang w:val="en-US" w:eastAsia="zh-CN" w:bidi="ar"/>
        </w:rPr>
        <w:t xml:space="preserve">服务</w:t>
      </w:r>
      <w:r>
        <w:rPr>
          <w:rFonts w:ascii="仿宋" w:hAnsi="仿宋" w:eastAsia="仿宋" w:cs="仿宋"/>
          <w:color w:val="000000"/>
          <w:sz w:val="28"/>
          <w:szCs w:val="28"/>
          <w:lang w:val="en-US" w:eastAsia="zh-CN" w:bidi="ar"/>
        </w:rPr>
        <w:t xml:space="preserve">。</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3</w:t>
      </w:r>
      <w:r>
        <w:rPr>
          <w:rFonts w:ascii="仿宋" w:hAnsi="仿宋" w:eastAsia="仿宋" w:cs="仿宋"/>
          <w:color w:val="000000"/>
          <w:sz w:val="28"/>
          <w:szCs w:val="28"/>
          <w:lang w:val="en-US" w:eastAsia="zh-CN" w:bidi="ar"/>
        </w:rPr>
        <w:t xml:space="preserve">.转包分包规范</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hint="eastAsia" w:ascii="仿宋" w:hAnsi="仿宋" w:eastAsia="仿宋" w:cs="仿宋"/>
          <w:color w:val="000000"/>
          <w:sz w:val="28"/>
          <w:szCs w:val="28"/>
          <w:lang w:val="en-US" w:eastAsia="zh-CN" w:bidi="ar"/>
        </w:rPr>
        <w:t xml:space="preserve">根据数字化建设外包服务等相关文件规定，</w:t>
      </w:r>
      <w:r>
        <w:rPr>
          <w:rFonts w:ascii="仿宋" w:hAnsi="仿宋" w:eastAsia="仿宋" w:cs="仿宋"/>
          <w:color w:val="000000"/>
          <w:sz w:val="28"/>
          <w:szCs w:val="28"/>
          <w:lang w:val="en-US" w:eastAsia="zh-CN" w:bidi="ar"/>
        </w:rPr>
        <w:t xml:space="preserve">本项目禁止违规转包、分包，招标人有权查看投标人与本项目有关的所有文档资料。</w:t>
      </w:r>
      <w:r>
        <w:rPr>
          <w:rFonts w:ascii="仿宋" w:hAnsi="仿宋" w:eastAsia="仿宋" w:cs="仿宋"/>
          <w:color w:val="000000"/>
          <w:sz w:val="28"/>
          <w:szCs w:val="28"/>
          <w:lang w:val="en-US" w:eastAsia="zh-CN" w:bidi="ar"/>
        </w:rPr>
      </w:r>
      <w:r/>
    </w:p>
    <w:p>
      <w:pPr>
        <w:pStyle w:val="684"/>
        <w:ind w:firstLine="643"/>
        <w:jc w:val="both"/>
        <w:keepLines w:val="0"/>
        <w:keepNext w:val="0"/>
        <w:pageBreakBefore w:val="0"/>
        <w:spacing w:line="540" w:lineRule="exact"/>
        <w:widowControl w:val="off"/>
        <w:rPr>
          <w:rFonts w:ascii="Times New Roman" w:hAnsi="Times New Roman" w:eastAsia="方正仿宋_GBK" w:cs="Times New Roman"/>
          <w:b/>
          <w:bCs/>
          <w:color w:val="000000"/>
          <w:sz w:val="32"/>
          <w:szCs w:val="32"/>
          <w:lang w:val="zh-CN" w:eastAsia="zh-CN" w:bidi="ar"/>
        </w:rPr>
        <w:outlineLvl w:val="9"/>
      </w:pPr>
      <w:r>
        <w:rPr>
          <w:rFonts w:ascii="Times New Roman" w:hAnsi="Times New Roman" w:eastAsia="方正仿宋_GBK" w:cs="Times New Roman"/>
          <w:b/>
          <w:bCs/>
          <w:color w:val="000000"/>
          <w:sz w:val="32"/>
          <w:szCs w:val="32"/>
          <w:lang w:val="zh-CN" w:eastAsia="zh-CN" w:bidi="ar"/>
        </w:rPr>
        <w:t xml:space="preserve">五、履约验收基本要求</w:t>
      </w:r>
      <w:r>
        <w:rPr>
          <w:rFonts w:ascii="Times New Roman" w:hAnsi="Times New Roman" w:eastAsia="方正仿宋_GBK" w:cs="Times New Roman"/>
          <w:b/>
          <w:bCs/>
          <w:color w:val="000000"/>
          <w:sz w:val="32"/>
          <w:szCs w:val="32"/>
          <w:lang w:val="zh-CN" w:eastAsia="zh-CN" w:bidi="ar"/>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投标人严格执行分级故障处理时效机制，所有网络故障需第一时间响应、快速闭环处置，具体处理故障要求和服务费用扣除要求如下：</w:t>
      </w:r>
      <w:r>
        <w:rPr>
          <w:rFonts w:ascii="仿宋" w:hAnsi="仿宋" w:eastAsia="仿宋" w:cs="仿宋"/>
          <w:color w:val="000000"/>
          <w:sz w:val="28"/>
          <w:szCs w:val="28"/>
          <w:lang w:val="en-US" w:eastAsia="zh-CN" w:bidi="ar"/>
        </w:rPr>
      </w:r>
      <w:r/>
    </w:p>
    <w:p>
      <w:pPr>
        <w:pStyle w:val="684"/>
        <w:ind w:firstLine="560"/>
        <w:keepLines w:val="0"/>
        <w:keepNext w:val="0"/>
        <w:pageBreakBefore w:val="0"/>
        <w:spacing w:after="0" w:line="520" w:lineRule="exact"/>
        <w:widowControl w:val="off"/>
        <w:rPr>
          <w:rFonts w:ascii="Times New Roman" w:hAnsi="Times New Roman" w:eastAsia="方正仿宋_GBK" w:cs="Times New Roman"/>
          <w:bCs/>
          <w:color w:val="000000"/>
          <w:sz w:val="32"/>
          <w:szCs w:val="32"/>
          <w:lang w:val="en-US" w:eastAsia="zh-CN" w:bidi="ar"/>
        </w:rPr>
      </w:pPr>
      <w:r>
        <w:rPr>
          <w:rFonts w:ascii="仿宋" w:hAnsi="仿宋" w:eastAsia="仿宋" w:cs="仿宋"/>
          <w:color w:val="000000"/>
          <w:sz w:val="28"/>
          <w:szCs w:val="28"/>
          <w:lang w:val="en-US" w:eastAsia="zh-CN" w:bidi="ar"/>
        </w:rPr>
        <w:t xml:space="preserve">对于市级政务外网城域主干网络（包括互联网访问区、IDC区、DMZ区）、省市县广域网主干网络、市级重点部门单位和重要业务系统的接入网络，当发生网络故障时按照以下情况扣除服务费款：处置时间超过30分钟未满60分钟的，按照2万元/次进行扣除，处置时间超过60分钟的，按照5万元/次进行扣除；网络故障造成不良影响，网络故障被</w:t>
      </w:r>
      <w:r>
        <w:rPr>
          <w:rFonts w:hint="eastAsia" w:ascii="仿宋" w:hAnsi="仿宋" w:eastAsia="仿宋" w:cs="仿宋"/>
          <w:color w:val="000000"/>
          <w:sz w:val="28"/>
          <w:szCs w:val="28"/>
          <w:lang w:val="en-US" w:eastAsia="zh-CN" w:bidi="ar"/>
        </w:rPr>
        <w:t xml:space="preserve">省或国家</w:t>
      </w:r>
      <w:r>
        <w:rPr>
          <w:rFonts w:ascii="仿宋" w:hAnsi="仿宋" w:eastAsia="仿宋" w:cs="仿宋"/>
          <w:color w:val="000000"/>
          <w:sz w:val="28"/>
          <w:szCs w:val="28"/>
          <w:lang w:val="en-US" w:eastAsia="zh-CN" w:bidi="ar"/>
        </w:rPr>
        <w:t xml:space="preserve">通报的，分别按照</w:t>
      </w:r>
      <w:r>
        <w:rPr>
          <w:rFonts w:hint="eastAsia" w:ascii="仿宋" w:hAnsi="仿宋" w:eastAsia="仿宋" w:cs="仿宋"/>
          <w:color w:val="000000"/>
          <w:sz w:val="28"/>
          <w:szCs w:val="28"/>
          <w:lang w:val="en-US" w:eastAsia="zh-CN" w:bidi="ar"/>
        </w:rPr>
        <w:t xml:space="preserve">5</w:t>
      </w:r>
      <w:r>
        <w:rPr>
          <w:rFonts w:ascii="仿宋" w:hAnsi="仿宋" w:eastAsia="仿宋" w:cs="仿宋"/>
          <w:color w:val="000000"/>
          <w:sz w:val="28"/>
          <w:szCs w:val="28"/>
          <w:lang w:val="en-US" w:eastAsia="zh-CN" w:bidi="ar"/>
        </w:rPr>
        <w:t xml:space="preserve">万元/次和</w:t>
      </w:r>
      <w:r>
        <w:rPr>
          <w:rFonts w:hint="eastAsia" w:ascii="仿宋" w:hAnsi="仿宋" w:eastAsia="仿宋" w:cs="仿宋"/>
          <w:color w:val="000000"/>
          <w:sz w:val="28"/>
          <w:szCs w:val="28"/>
          <w:lang w:val="en-US" w:eastAsia="zh-CN" w:bidi="ar"/>
        </w:rPr>
        <w:t xml:space="preserve">10</w:t>
      </w:r>
      <w:r>
        <w:rPr>
          <w:rFonts w:ascii="仿宋" w:hAnsi="仿宋" w:eastAsia="仿宋" w:cs="仿宋"/>
          <w:color w:val="000000"/>
          <w:sz w:val="28"/>
          <w:szCs w:val="28"/>
          <w:lang w:val="en-US" w:eastAsia="zh-CN" w:bidi="ar"/>
        </w:rPr>
        <w:t xml:space="preserve">万元/次进行扣除。</w:t>
      </w:r>
      <w:r>
        <w:rPr>
          <w:rFonts w:ascii="Times New Roman" w:hAnsi="Times New Roman" w:eastAsia="方正仿宋_GBK" w:cs="Times New Roman"/>
          <w:bCs/>
          <w:color w:val="000000"/>
          <w:sz w:val="32"/>
          <w:szCs w:val="32"/>
          <w:lang w:val="en-US" w:eastAsia="zh-CN" w:bidi="ar"/>
        </w:rPr>
      </w:r>
      <w:r/>
    </w:p>
    <w:p>
      <w:pPr>
        <w:pStyle w:val="684"/>
        <w:ind w:firstLine="643"/>
        <w:jc w:val="both"/>
        <w:keepLines w:val="0"/>
        <w:keepNext w:val="0"/>
        <w:pageBreakBefore w:val="0"/>
        <w:spacing w:line="540" w:lineRule="exact"/>
        <w:widowControl w:val="off"/>
        <w:rPr>
          <w:rFonts w:ascii="Times New Roman" w:hAnsi="Times New Roman" w:eastAsia="方正仿宋_GBK" w:cs="Times New Roman"/>
          <w:b/>
          <w:bCs/>
          <w:color w:val="000000"/>
          <w:sz w:val="32"/>
          <w:szCs w:val="32"/>
          <w:lang w:val="zh-CN" w:eastAsia="zh-CN" w:bidi="ar"/>
        </w:rPr>
        <w:outlineLvl w:val="9"/>
      </w:pPr>
      <w:r>
        <w:rPr>
          <w:rFonts w:ascii="Times New Roman" w:hAnsi="Times New Roman" w:eastAsia="方正仿宋_GBK" w:cs="Times New Roman"/>
          <w:b/>
          <w:bCs/>
          <w:color w:val="000000"/>
          <w:sz w:val="32"/>
          <w:szCs w:val="32"/>
          <w:lang w:val="zh-CN" w:eastAsia="zh-CN" w:bidi="ar"/>
        </w:rPr>
        <w:t xml:space="preserve">★六、商务部分</w:t>
      </w:r>
      <w:r>
        <w:rPr>
          <w:rFonts w:ascii="Times New Roman" w:hAnsi="Times New Roman" w:eastAsia="方正仿宋_GBK" w:cs="Times New Roman"/>
          <w:b/>
          <w:bCs/>
          <w:color w:val="000000"/>
          <w:sz w:val="32"/>
          <w:szCs w:val="32"/>
          <w:lang w:val="zh-CN" w:eastAsia="zh-CN" w:bidi="ar"/>
        </w:rPr>
      </w:r>
      <w:r/>
    </w:p>
    <w:p>
      <w:pPr>
        <w:pStyle w:val="684"/>
        <w:ind w:firstLine="640"/>
        <w:keepLines w:val="0"/>
        <w:keepNext w:val="0"/>
        <w:pageBreakBefore w:val="0"/>
        <w:spacing w:after="0" w:line="540" w:lineRule="exact"/>
        <w:rPr>
          <w:rFonts w:ascii="Times New Roman" w:hAnsi="Times New Roman" w:eastAsia="方正仿宋_GBK" w:cs="Times New Roman"/>
          <w:color w:val="000000"/>
          <w:sz w:val="32"/>
          <w:szCs w:val="32"/>
        </w:rPr>
        <w:outlineLvl w:val="9"/>
      </w:pPr>
      <w:r>
        <w:rPr>
          <w:rFonts w:ascii="Times New Roman" w:hAnsi="Times New Roman" w:eastAsia="方正仿宋_GBK" w:cs="Times New Roman"/>
          <w:color w:val="000000"/>
          <w:sz w:val="32"/>
          <w:szCs w:val="32"/>
        </w:rPr>
        <w:t xml:space="preserve">（一）</w:t>
      </w:r>
      <w:r>
        <w:rPr>
          <w:rFonts w:ascii="仿宋" w:hAnsi="仿宋" w:eastAsia="仿宋" w:cs="仿宋"/>
          <w:color w:val="000000"/>
          <w:sz w:val="28"/>
          <w:szCs w:val="28"/>
          <w:lang w:val="en-US" w:eastAsia="zh-CN" w:bidi="ar"/>
        </w:rPr>
        <w:t xml:space="preserve">供货时间:合同签订后 </w:t>
      </w:r>
      <w:r>
        <w:rPr>
          <w:rFonts w:hint="eastAsia" w:ascii="仿宋" w:hAnsi="仿宋" w:eastAsia="仿宋" w:cs="仿宋"/>
          <w:color w:val="000000"/>
          <w:sz w:val="28"/>
          <w:szCs w:val="28"/>
          <w:lang w:val="en-US" w:eastAsia="zh-CN" w:bidi="ar"/>
        </w:rPr>
        <w:t xml:space="preserve">60</w:t>
      </w:r>
      <w:r>
        <w:rPr>
          <w:rFonts w:ascii="仿宋" w:hAnsi="仿宋" w:eastAsia="仿宋" w:cs="仿宋"/>
          <w:color w:val="000000"/>
          <w:sz w:val="28"/>
          <w:szCs w:val="28"/>
          <w:lang w:val="en-US" w:eastAsia="zh-CN" w:bidi="ar"/>
        </w:rPr>
        <w:t xml:space="preserve">日内供货安装调试到位。</w:t>
      </w:r>
      <w:r>
        <w:rPr>
          <w:rFonts w:ascii="Times New Roman" w:hAnsi="Times New Roman" w:eastAsia="方正仿宋_GBK" w:cs="Times New Roman"/>
          <w:color w:val="000000"/>
          <w:sz w:val="32"/>
          <w:szCs w:val="32"/>
        </w:rPr>
      </w:r>
      <w:r/>
    </w:p>
    <w:p>
      <w:pPr>
        <w:pStyle w:val="684"/>
        <w:ind w:firstLine="640"/>
        <w:keepLines w:val="0"/>
        <w:keepNext w:val="0"/>
        <w:pageBreakBefore w:val="0"/>
        <w:spacing w:after="0" w:line="540" w:lineRule="exact"/>
        <w:rPr>
          <w:rFonts w:ascii="Times New Roman" w:hAnsi="Times New Roman" w:eastAsia="方正仿宋_GBK" w:cs="Times New Roman"/>
          <w:color w:val="000000"/>
          <w:sz w:val="32"/>
          <w:szCs w:val="32"/>
        </w:rPr>
        <w:outlineLvl w:val="9"/>
      </w:pPr>
      <w:r>
        <w:rPr>
          <w:rFonts w:ascii="Times New Roman" w:hAnsi="Times New Roman" w:eastAsia="方正仿宋_GBK" w:cs="Times New Roman"/>
          <w:color w:val="000000"/>
          <w:sz w:val="32"/>
          <w:szCs w:val="32"/>
        </w:rPr>
        <w:t xml:space="preserve">（二）</w:t>
      </w:r>
      <w:r>
        <w:rPr>
          <w:rFonts w:ascii="仿宋" w:hAnsi="仿宋" w:eastAsia="仿宋" w:cs="仿宋"/>
          <w:color w:val="000000"/>
          <w:sz w:val="28"/>
          <w:szCs w:val="28"/>
          <w:lang w:val="en-US" w:eastAsia="zh-CN" w:bidi="ar"/>
        </w:rPr>
        <w:t xml:space="preserve">供货地点:由采购人指定。</w:t>
      </w:r>
      <w:r>
        <w:rPr>
          <w:rFonts w:ascii="Times New Roman" w:hAnsi="Times New Roman" w:eastAsia="方正仿宋_GBK" w:cs="Times New Roman"/>
          <w:color w:val="000000"/>
          <w:sz w:val="32"/>
          <w:szCs w:val="32"/>
        </w:rPr>
      </w:r>
      <w:r/>
    </w:p>
    <w:p>
      <w:pPr>
        <w:pStyle w:val="684"/>
        <w:ind w:firstLine="640"/>
        <w:keepLines w:val="0"/>
        <w:keepNext w:val="0"/>
        <w:pageBreakBefore w:val="0"/>
        <w:spacing w:after="0" w:line="540" w:lineRule="exact"/>
        <w:rPr>
          <w:rFonts w:ascii="Times New Roman" w:hAnsi="Times New Roman" w:eastAsia="方正仿宋_GBK" w:cs="Times New Roman"/>
          <w:color w:val="000000"/>
          <w:sz w:val="32"/>
          <w:szCs w:val="32"/>
        </w:rPr>
        <w:outlineLvl w:val="9"/>
      </w:pPr>
      <w:r>
        <w:rPr>
          <w:rFonts w:ascii="Times New Roman" w:hAnsi="Times New Roman" w:eastAsia="方正仿宋_GBK" w:cs="Times New Roman"/>
          <w:color w:val="000000"/>
          <w:sz w:val="32"/>
          <w:szCs w:val="32"/>
        </w:rPr>
        <w:t xml:space="preserve">（三）</w:t>
      </w:r>
      <w:r>
        <w:rPr>
          <w:rFonts w:ascii="仿宋" w:hAnsi="仿宋" w:eastAsia="仿宋" w:cs="仿宋"/>
          <w:color w:val="000000"/>
          <w:sz w:val="28"/>
          <w:szCs w:val="28"/>
          <w:lang w:val="en-US" w:eastAsia="zh-CN" w:bidi="ar"/>
        </w:rPr>
        <w:t xml:space="preserve">付款方式:</w:t>
      </w:r>
      <w:r>
        <w:rPr>
          <w:rFonts w:ascii="Times New Roman" w:hAnsi="Times New Roman" w:eastAsia="方正仿宋_GBK" w:cs="Times New Roman"/>
          <w:color w:val="000000"/>
          <w:sz w:val="32"/>
          <w:szCs w:val="32"/>
        </w:rPr>
      </w:r>
      <w:r/>
    </w:p>
    <w:p>
      <w:pPr>
        <w:pStyle w:val="684"/>
        <w:ind w:firstLine="560"/>
        <w:keepLines w:val="0"/>
        <w:keepNext w:val="0"/>
        <w:pageBreakBefore w:val="0"/>
        <w:spacing w:after="0" w:line="520" w:lineRule="exact"/>
        <w:widowControl w:val="off"/>
        <w:rPr>
          <w:rFonts w:ascii="仿宋" w:hAnsi="仿宋" w:eastAsia="仿宋" w:cs="仿宋"/>
          <w:color w:val="000000"/>
          <w:sz w:val="28"/>
          <w:szCs w:val="28"/>
          <w:lang w:val="en-US" w:eastAsia="zh-CN" w:bidi="ar"/>
        </w:rPr>
      </w:pPr>
      <w:r>
        <w:rPr>
          <w:rFonts w:ascii="仿宋" w:hAnsi="仿宋" w:eastAsia="仿宋" w:cs="仿宋"/>
          <w:color w:val="000000"/>
          <w:sz w:val="28"/>
          <w:szCs w:val="28"/>
          <w:lang w:val="en-US" w:eastAsia="zh-CN" w:bidi="ar"/>
        </w:rPr>
        <w:t xml:space="preserve">合同签订后，核心层和汇聚层接入升级、人员驻场等主要服务提供到位后，支付合同款50%；服务满一年，经中期验收通过后，支付合同款40%；服务满两年并经终验通过后，支付合同款10%。服务期内，如发生故障，则按照“履约验收基本要求”核减相应款项。</w:t>
      </w:r>
      <w:r>
        <w:rPr>
          <w:rFonts w:ascii="仿宋" w:hAnsi="仿宋" w:eastAsia="仿宋" w:cs="仿宋"/>
          <w:color w:val="000000"/>
          <w:sz w:val="28"/>
          <w:szCs w:val="28"/>
          <w:lang w:val="en-US" w:eastAsia="zh-CN" w:bidi="ar"/>
        </w:rPr>
      </w:r>
      <w:r/>
    </w:p>
    <w:p>
      <w:pPr>
        <w:pStyle w:val="684"/>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705"/>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70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684"/>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705"/>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705"/>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5"/>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705"/>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68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4"/>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684"/>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684"/>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684"/>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4"/>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684"/>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705"/>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705"/>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6"/>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84"/>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84"/>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none"/>
        </w:rPr>
        <w:t xml:space="preserve">15条</w:t>
      </w:r>
      <w:r>
        <w:rPr>
          <w:rFonts w:hint="eastAsia" w:ascii="仿宋" w:hAnsi="仿宋" w:eastAsia="仿宋"/>
          <w:sz w:val="28"/>
          <w:szCs w:val="28"/>
        </w:rPr>
        <w:t xml:space="preserve">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6"/>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6"/>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756"/>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6"/>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84"/>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705"/>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84"/>
        <w:numPr>
          <w:ilvl w:val="0"/>
          <w:numId w:val="7"/>
        </w:num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开标一览表</w:t>
      </w:r>
      <w:r>
        <w:rPr>
          <w:rFonts w:hint="eastAsia" w:ascii="仿宋" w:hAnsi="仿宋" w:eastAsia="仿宋"/>
          <w:b/>
          <w:sz w:val="32"/>
          <w:szCs w:val="32"/>
        </w:rPr>
      </w:r>
      <w:r/>
    </w:p>
    <w:p>
      <w:pPr>
        <w:pStyle w:val="684"/>
        <w:numPr>
          <w:ilvl w:val="0"/>
          <w:numId w:val="0"/>
        </w:numPr>
        <w:jc w:val="center"/>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val="0"/>
          <w:bCs/>
          <w:sz w:val="32"/>
          <w:szCs w:val="32"/>
          <w:lang w:eastAsia="zh-CN"/>
        </w:rPr>
        <w:t xml:space="preserve">（如本项目涉及货物报价，投标报价为本项目全部报价）</w:t>
      </w: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4"/>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84"/>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84"/>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684"/>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84"/>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84"/>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84"/>
              <w:ind w:firstLine="140"/>
              <w:keepLines w:val="0"/>
              <w:keepNext w:val="0"/>
              <w:pageBreakBefore w:val="0"/>
              <w:rPr>
                <w:rFonts w:hint="eastAsia" w:ascii="仿宋" w:hAnsi="仿宋" w:eastAsia="仿宋"/>
                <w:sz w:val="28"/>
                <w:szCs w:val="28"/>
                <w:lang w:val="en-US" w:eastAsia="zh-CN"/>
              </w:rPr>
              <w:outlineLvl w:val="9"/>
            </w:pPr>
            <w:r>
              <w:rPr>
                <w:rFonts w:hint="eastAsia" w:ascii="仿宋" w:hAnsi="仿宋" w:eastAsia="仿宋"/>
                <w:sz w:val="28"/>
                <w:szCs w:val="28"/>
              </w:rPr>
              <w:t xml:space="preserve">核心</w:t>
            </w:r>
            <w:r>
              <w:rPr>
                <w:rFonts w:hint="eastAsia" w:ascii="仿宋" w:hAnsi="仿宋" w:eastAsia="仿宋"/>
                <w:sz w:val="28"/>
                <w:szCs w:val="28"/>
                <w:lang w:eastAsia="zh-CN"/>
              </w:rPr>
              <w:t xml:space="preserve">服务</w:t>
            </w:r>
            <w:r>
              <w:rPr>
                <w:rFonts w:hint="eastAsia" w:ascii="仿宋" w:hAnsi="仿宋" w:eastAsia="仿宋"/>
                <w:sz w:val="28"/>
                <w:szCs w:val="28"/>
                <w:lang w:val="en-US" w:eastAsia="zh-CN"/>
              </w:rPr>
            </w:r>
            <w:r/>
          </w:p>
        </w:tc>
        <w:tc>
          <w:tcPr>
            <w:tcW w:w="6759" w:type="dxa"/>
            <w:vAlign w:val="center"/>
            <w:textDirection w:val="lrTb"/>
            <w:noWrap w:val="false"/>
          </w:tcPr>
          <w:p>
            <w:pPr>
              <w:pStyle w:val="684"/>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705"/>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705"/>
        <w:numPr>
          <w:ilvl w:val="0"/>
          <w:numId w:val="8"/>
        </w:numPr>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投标报价明细表</w:t>
      </w:r>
      <w:r>
        <w:rPr>
          <w:rFonts w:hint="eastAsia" w:ascii="仿宋" w:hAnsi="仿宋" w:eastAsia="仿宋"/>
          <w:b/>
          <w:sz w:val="32"/>
          <w:szCs w:val="32"/>
        </w:rPr>
      </w:r>
      <w:r/>
    </w:p>
    <w:tbl>
      <w:tblPr>
        <w:tblW w:w="9180" w:type="dxa"/>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hint="eastAsia" w:ascii="仿宋" w:hAnsi="仿宋" w:eastAsia="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774"/>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7"/>
            <w:tcMar>
              <w:left w:w="108" w:type="dxa"/>
              <w:top w:w="0" w:type="dxa"/>
              <w:right w:w="108" w:type="dxa"/>
              <w:bottom w:w="0" w:type="dxa"/>
            </w:tcMar>
            <w:tcW w:w="9180" w:type="dxa"/>
            <w:vAlign w:val="center"/>
            <w:textDirection w:val="lrTb"/>
            <w:noWrap w:val="false"/>
          </w:tcPr>
          <w:p>
            <w:pPr>
              <w:pStyle w:val="774"/>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lang w:eastAsia="zh-CN"/>
              </w:rPr>
              <w:t xml:space="preserve">服务</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r>
      <w:tr>
        <w:trPr>
          <w:trHeight w:val="1030"/>
        </w:trPr>
        <w:tc>
          <w:tcPr>
            <w:gridSpan w:val="7"/>
            <w:tcMar>
              <w:left w:w="108" w:type="dxa"/>
              <w:top w:w="0" w:type="dxa"/>
              <w:right w:w="108" w:type="dxa"/>
              <w:bottom w:w="0" w:type="dxa"/>
            </w:tcMar>
            <w:tcW w:w="9180" w:type="dxa"/>
            <w:vAlign w:val="center"/>
            <w:textDirection w:val="lrTb"/>
            <w:noWrap w:val="false"/>
          </w:tcPr>
          <w:p>
            <w:pPr>
              <w:pStyle w:val="774"/>
              <w:jc w:val="left"/>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b/>
                <w:bCs/>
                <w:color w:val="000000"/>
                <w:sz w:val="28"/>
                <w:szCs w:val="28"/>
              </w:rPr>
              <w:t xml:space="preserve">本采购包中提供的符合本国产品标准的</w:t>
            </w:r>
            <w:r>
              <w:rPr>
                <w:rFonts w:hint="eastAsia" w:ascii="方正魏碑_GBK" w:hAnsi="方正魏碑_GBK" w:eastAsia="方正魏碑_GBK" w:cs="方正魏碑_GBK"/>
                <w:b/>
                <w:bCs/>
                <w:color w:val="000000"/>
                <w:sz w:val="28"/>
                <w:szCs w:val="28"/>
                <w:lang w:eastAsia="zh-CN"/>
              </w:rPr>
              <w:t xml:space="preserve">服务</w:t>
            </w:r>
            <w:r>
              <w:rPr>
                <w:rFonts w:hint="eastAsia" w:ascii="方正魏碑_GBK" w:hAnsi="方正魏碑_GBK" w:eastAsia="方正魏碑_GBK" w:cs="方正魏碑_GBK"/>
                <w:b/>
                <w:bCs/>
                <w:color w:val="000000"/>
                <w:sz w:val="28"/>
                <w:szCs w:val="28"/>
              </w:rPr>
              <w:t xml:space="preserve">成本之和占该采购包提供的全部</w:t>
            </w:r>
            <w:r>
              <w:rPr>
                <w:rFonts w:hint="eastAsia" w:ascii="方正魏碑_GBK" w:hAnsi="方正魏碑_GBK" w:eastAsia="方正魏碑_GBK" w:cs="方正魏碑_GBK"/>
                <w:b/>
                <w:bCs/>
                <w:color w:val="000000"/>
                <w:sz w:val="28"/>
                <w:szCs w:val="28"/>
                <w:lang w:eastAsia="zh-CN"/>
              </w:rPr>
              <w:t xml:space="preserve">服务</w:t>
            </w:r>
            <w:r>
              <w:rPr>
                <w:rFonts w:hint="eastAsia" w:ascii="方正魏碑_GBK" w:hAnsi="方正魏碑_GBK" w:eastAsia="方正魏碑_GBK" w:cs="方正魏碑_GBK"/>
                <w:b/>
                <w:bCs/>
                <w:color w:val="000000"/>
                <w:sz w:val="28"/>
                <w:szCs w:val="28"/>
              </w:rPr>
              <w:t xml:space="preserve">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highlight w:val="none"/>
              </w:rPr>
            </w:r>
            <w:r/>
          </w:p>
        </w:tc>
      </w:tr>
    </w:tbl>
    <w:p>
      <w:pPr>
        <w:pStyle w:val="705"/>
        <w:numPr>
          <w:ilvl w:val="0"/>
          <w:numId w:val="0"/>
        </w:numPr>
        <w:jc w:val="both"/>
        <w:keepLines w:val="0"/>
        <w:keepNext w:val="0"/>
        <w:pageBreakBefore w:val="0"/>
        <w:widowControl w:val="off"/>
        <w:rPr>
          <w:rFonts w:hint="eastAsia" w:ascii="仿宋" w:hAnsi="仿宋" w:eastAsia="仿宋"/>
          <w:b/>
          <w:sz w:val="32"/>
          <w:szCs w:val="32"/>
          <w:lang w:eastAsia="zh-CN"/>
        </w:rPr>
        <w:outlineLvl w:val="9"/>
      </w:pPr>
      <w:r>
        <w:rPr>
          <w:rFonts w:hint="eastAsia" w:ascii="仿宋" w:hAnsi="仿宋" w:eastAsia="仿宋"/>
          <w:b/>
          <w:sz w:val="32"/>
          <w:szCs w:val="32"/>
          <w:lang w:eastAsia="zh-CN"/>
        </w:rPr>
      </w:r>
      <w:r/>
    </w:p>
    <w:p>
      <w:pPr>
        <w:pStyle w:val="705"/>
        <w:numPr>
          <w:ilvl w:val="0"/>
          <w:numId w:val="0"/>
        </w:numPr>
        <w:jc w:val="both"/>
        <w:keepLines w:val="0"/>
        <w:keepNext w:val="0"/>
        <w:pageBreakBefore w:val="0"/>
        <w:widowControl w:val="off"/>
        <w:rPr>
          <w:rFonts w:hint="eastAsia" w:ascii="仿宋" w:hAnsi="仿宋" w:eastAsia="仿宋"/>
          <w:b/>
          <w:sz w:val="32"/>
          <w:szCs w:val="32"/>
          <w:lang w:eastAsia="zh-CN"/>
        </w:rPr>
        <w:outlineLvl w:val="9"/>
      </w:pPr>
      <w:r>
        <w:rPr>
          <w:rFonts w:hint="eastAsia" w:ascii="仿宋" w:hAnsi="仿宋" w:eastAsia="仿宋"/>
          <w:b/>
          <w:sz w:val="32"/>
          <w:szCs w:val="32"/>
          <w:lang w:eastAsia="zh-CN"/>
        </w:rPr>
        <w:t xml:space="preserve">注：</w:t>
      </w:r>
      <w:r>
        <w:rPr>
          <w:rFonts w:hint="eastAsia" w:ascii="仿宋" w:hAnsi="仿宋" w:eastAsia="仿宋"/>
          <w:b/>
          <w:sz w:val="32"/>
          <w:szCs w:val="32"/>
          <w:lang w:eastAsia="zh-CN"/>
        </w:rPr>
      </w:r>
      <w:r/>
    </w:p>
    <w:p>
      <w:pPr>
        <w:pStyle w:val="705"/>
        <w:jc w:val="center"/>
        <w:keepLines w:val="0"/>
        <w:keepNext w:val="0"/>
        <w:pageBreakBefore w:val="0"/>
        <w:spacing w:line="340" w:lineRule="exact"/>
        <w:rPr>
          <w:rFonts w:hint="eastAsia" w:ascii="仿宋" w:hAnsi="仿宋" w:eastAsia="仿宋" w:cs="Calibri"/>
          <w:b/>
          <w:bCs/>
          <w:sz w:val="28"/>
          <w:szCs w:val="28"/>
          <w:lang w:eastAsia="zh-CN"/>
        </w:rPr>
        <w:outlineLvl w:val="9"/>
      </w:pPr>
      <w:r>
        <w:rPr>
          <w:rFonts w:hint="eastAsia" w:ascii="仿宋" w:hAnsi="仿宋" w:eastAsia="仿宋" w:cs="Calibri"/>
          <w:b/>
          <w:bCs/>
          <w:sz w:val="28"/>
          <w:szCs w:val="28"/>
          <w:lang w:eastAsia="zh-CN"/>
        </w:rPr>
        <w:t xml:space="preserve">涉及产品报价明细表（如有，请填写）</w:t>
      </w:r>
      <w:r>
        <w:rPr>
          <w:rFonts w:hint="eastAsia" w:ascii="仿宋" w:hAnsi="仿宋" w:eastAsia="仿宋" w:cs="Calibri"/>
          <w:b/>
          <w:bCs/>
          <w:sz w:val="28"/>
          <w:szCs w:val="28"/>
          <w:lang w:eastAsia="zh-CN"/>
        </w:rPr>
      </w:r>
      <w:r/>
    </w:p>
    <w:tbl>
      <w:tblPr>
        <w:tblW w:w="9326" w:type="dxa"/>
        <w:jc w:val="center"/>
        <w:tblInd w:w="33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21"/>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Mar>
              <w:left w:w="108" w:type="dxa"/>
              <w:top w:w="0" w:type="dxa"/>
              <w:right w:w="108" w:type="dxa"/>
              <w:bottom w:w="0" w:type="dxa"/>
            </w:tcMar>
            <w:tcW w:w="795" w:type="dxa"/>
            <w:vAlign w:val="center"/>
            <w:textDirection w:val="lrTb"/>
            <w:noWrap w:val="false"/>
          </w:tcPr>
          <w:p>
            <w:pPr>
              <w:pStyle w:val="705"/>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Mar>
              <w:left w:w="108" w:type="dxa"/>
              <w:top w:w="0" w:type="dxa"/>
              <w:right w:w="108" w:type="dxa"/>
              <w:bottom w:w="0" w:type="dxa"/>
            </w:tcMar>
            <w:tcW w:w="72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921"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705"/>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326" w:type="dxa"/>
            <w:vAlign w:val="center"/>
            <w:textDirection w:val="lrTb"/>
            <w:noWrap w:val="false"/>
          </w:tcPr>
          <w:p>
            <w:pPr>
              <w:pStyle w:val="705"/>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eastAsia="zh-CN"/>
              </w:rPr>
              <w:t xml:space="preserve">货物</w:t>
            </w:r>
            <w:r>
              <w:rPr>
                <w:rFonts w:ascii="仿宋" w:hAnsi="仿宋" w:eastAsia="仿宋"/>
                <w:sz w:val="24"/>
                <w:szCs w:val="24"/>
              </w:rPr>
              <w:t xml:space="preserve">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326" w:type="dxa"/>
            <w:vAlign w:val="center"/>
            <w:textDirection w:val="lrTb"/>
            <w:noWrap w:val="false"/>
          </w:tcPr>
          <w:p>
            <w:pPr>
              <w:pStyle w:val="705"/>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705"/>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705"/>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705"/>
        <w:numPr>
          <w:ilvl w:val="0"/>
          <w:numId w:val="9"/>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w:t>
      </w:r>
      <w:r>
        <w:rPr>
          <w:rFonts w:hint="eastAsia" w:ascii="仿宋" w:hAnsi="仿宋" w:eastAsia="仿宋"/>
          <w:sz w:val="28"/>
          <w:szCs w:val="24"/>
          <w:lang w:eastAsia="zh-CN"/>
        </w:rPr>
        <w:t xml:space="preserve">全部</w:t>
      </w:r>
      <w:r>
        <w:rPr>
          <w:rFonts w:ascii="仿宋" w:hAnsi="仿宋" w:eastAsia="仿宋"/>
          <w:sz w:val="28"/>
          <w:szCs w:val="24"/>
        </w:rPr>
        <w:t xml:space="preserve">“总报价”</w:t>
      </w:r>
      <w:r>
        <w:rPr>
          <w:rFonts w:hint="eastAsia" w:ascii="仿宋" w:hAnsi="仿宋" w:eastAsia="仿宋"/>
          <w:sz w:val="28"/>
          <w:szCs w:val="24"/>
          <w:lang w:eastAsia="zh-CN"/>
        </w:rPr>
        <w:t xml:space="preserve">之和</w:t>
      </w:r>
      <w:r>
        <w:rPr>
          <w:rFonts w:ascii="仿宋" w:hAnsi="仿宋" w:eastAsia="仿宋"/>
          <w:sz w:val="28"/>
          <w:szCs w:val="24"/>
        </w:rPr>
        <w:t xml:space="preserve">数额应当与“开标一览表”中“投标总报价”数额一致。</w:t>
      </w:r>
      <w:r>
        <w:rPr>
          <w:rFonts w:ascii="仿宋" w:hAnsi="仿宋" w:eastAsia="仿宋"/>
          <w:sz w:val="28"/>
          <w:szCs w:val="24"/>
        </w:rPr>
      </w:r>
      <w:r/>
    </w:p>
    <w:p>
      <w:pPr>
        <w:pStyle w:val="705"/>
        <w:numPr>
          <w:ilvl w:val="0"/>
          <w:numId w:val="9"/>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705"/>
        <w:numPr>
          <w:ilvl w:val="0"/>
          <w:numId w:val="9"/>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705"/>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lang w:eastAsia="zh-CN"/>
              </w:rPr>
              <w:outlineLvl w:val="9"/>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w:t>
            </w:r>
            <w:r>
              <w:rPr>
                <w:rFonts w:hint="eastAsia" w:ascii="仿宋" w:hAnsi="仿宋" w:eastAsia="仿宋" w:cs="Arial"/>
                <w:sz w:val="24"/>
                <w:lang w:eastAsia="zh-CN"/>
              </w:rPr>
              <w:t xml:space="preserve">服务</w:t>
            </w:r>
            <w:r>
              <w:rPr>
                <w:rFonts w:hint="eastAsia" w:ascii="仿宋" w:hAnsi="仿宋" w:eastAsia="仿宋" w:cs="Arial"/>
                <w:sz w:val="24"/>
              </w:rPr>
              <w:t xml:space="preserve">及相应技术参数描述</w:t>
            </w:r>
            <w:r>
              <w:rPr>
                <w:rFonts w:hint="eastAsia" w:ascii="仿宋" w:hAnsi="仿宋" w:eastAsia="仿宋" w:cs="Arial"/>
                <w:sz w:val="24"/>
              </w:rPr>
            </w:r>
            <w:r/>
          </w:p>
        </w:tc>
        <w:tc>
          <w:tcPr>
            <w:tcW w:w="1080" w:type="dxa"/>
            <w:vAlign w:val="center"/>
            <w:textDirection w:val="lrTb"/>
            <w:noWrap w:val="false"/>
          </w:tcPr>
          <w:p>
            <w:pPr>
              <w:pStyle w:val="684"/>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3237"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2346" w:type="dxa"/>
            <w:vAlign w:val="center"/>
            <w:textDirection w:val="lrTb"/>
            <w:noWrap w:val="false"/>
          </w:tcPr>
          <w:p>
            <w:pPr>
              <w:pStyle w:val="684"/>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W w:w="1080"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W w:w="1074" w:type="dxa"/>
            <w:vAlign w:val="center"/>
            <w:textDirection w:val="lrTb"/>
            <w:noWrap w:val="false"/>
          </w:tcPr>
          <w:p>
            <w:pPr>
              <w:pStyle w:val="684"/>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684"/>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84"/>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705"/>
        <w:ind w:firstLine="0"/>
        <w:jc w:val="center"/>
        <w:keepLines w:val="0"/>
        <w:keepNext w:val="0"/>
        <w:pageBreakBefore w:val="0"/>
        <w:spacing w:line="520" w:lineRule="exact"/>
        <w:widowControl w:val="off"/>
        <w:rPr>
          <w:rFonts w:hint="eastAsia" w:ascii="仿宋" w:hAnsi="仿宋" w:eastAsia="仿宋"/>
          <w:b/>
          <w:bCs/>
          <w:sz w:val="32"/>
          <w:lang w:eastAsia="zh-CN"/>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bCs/>
          <w:sz w:val="32"/>
          <w:lang w:eastAsia="zh-CN"/>
        </w:rPr>
        <w:t xml:space="preserve">人员配备表</w:t>
      </w:r>
      <w:r>
        <w:rPr>
          <w:rFonts w:hint="eastAsia" w:ascii="仿宋" w:hAnsi="仿宋" w:eastAsia="仿宋"/>
          <w:b/>
          <w:bCs/>
          <w:sz w:val="32"/>
          <w:lang w:eastAsia="zh-CN"/>
        </w:rPr>
      </w:r>
      <w:r/>
    </w:p>
    <w:p>
      <w:pPr>
        <w:pStyle w:val="705"/>
        <w:ind w:firstLine="0"/>
        <w:jc w:val="both"/>
        <w:keepLines w:val="0"/>
        <w:keepNext w:val="0"/>
        <w:pageBreakBefore w:val="0"/>
        <w:spacing w:line="520" w:lineRule="exact"/>
        <w:widowControl w:val="off"/>
        <w:rPr>
          <w:rFonts w:hint="eastAsia" w:ascii="仿宋" w:hAnsi="仿宋" w:eastAsia="仿宋"/>
          <w:b/>
          <w:bCs/>
          <w:sz w:val="32"/>
          <w:lang w:eastAsia="zh-CN"/>
        </w:rPr>
        <w:outlineLvl w:val="9"/>
      </w:pPr>
      <w:r>
        <w:rPr>
          <w:rFonts w:hint="eastAsia" w:ascii="仿宋" w:hAnsi="仿宋" w:eastAsia="仿宋"/>
          <w:b/>
          <w:bCs/>
          <w:sz w:val="32"/>
          <w:lang w:eastAsia="zh-CN"/>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636"/>
        <w:gridCol w:w="1132"/>
        <w:gridCol w:w="1663"/>
        <w:gridCol w:w="1432"/>
        <w:gridCol w:w="1537"/>
      </w:tblGrid>
      <w:tr>
        <w:trPr>
          <w:trHeight w:val="439"/>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hint="eastAsia" w:eastAsia="仿宋" w:cs="Times New Roman"/>
                <w:color w:val="000000"/>
                <w:sz w:val="24"/>
                <w:highlight w:val="none"/>
                <w:lang w:eastAsia="zh-CN"/>
              </w:rPr>
            </w:pPr>
            <w:r>
              <w:rPr>
                <w:rFonts w:ascii="Times New Roman" w:hAnsi="Times New Roman" w:eastAsia="仿宋" w:cs="Times New Roman"/>
                <w:color w:val="000000"/>
                <w:sz w:val="24"/>
                <w:highlight w:val="none"/>
              </w:rPr>
              <w:t xml:space="preserve">姓名</w:t>
            </w:r>
            <w:r>
              <w:rPr>
                <w:rFonts w:hint="eastAsia" w:eastAsia="仿宋" w:cs="Times New Roman"/>
                <w:color w:val="000000"/>
                <w:sz w:val="24"/>
                <w:highlight w:val="none"/>
                <w:lang w:eastAsia="zh-CN"/>
              </w:rPr>
            </w:r>
            <w:r/>
          </w:p>
        </w:tc>
        <w:tc>
          <w:tcPr>
            <w:tcW w:w="1663" w:type="dxa"/>
            <w:vAlign w:val="center"/>
            <w:textDirection w:val="lrTb"/>
            <w:noWrap w:val="false"/>
          </w:tcPr>
          <w:p>
            <w:pPr>
              <w:pStyle w:val="684"/>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性别</w:t>
            </w:r>
            <w:r>
              <w:rPr>
                <w:rFonts w:hint="eastAsia" w:ascii="Times New Roman" w:hAnsi="Times New Roman" w:eastAsia="仿宋" w:cs="Times New Roman"/>
                <w:color w:val="000000"/>
                <w:sz w:val="24"/>
                <w:highlight w:val="none"/>
                <w:lang w:eastAsia="zh-CN"/>
              </w:rPr>
            </w:r>
            <w:r/>
          </w:p>
        </w:tc>
        <w:tc>
          <w:tcPr>
            <w:tcW w:w="1432" w:type="dxa"/>
            <w:vAlign w:val="center"/>
            <w:textDirection w:val="lrTb"/>
            <w:noWrap w:val="false"/>
          </w:tcPr>
          <w:p>
            <w:pPr>
              <w:pStyle w:val="684"/>
              <w:jc w:val="center"/>
              <w:spacing w:line="600" w:lineRule="exact"/>
              <w:rPr>
                <w:rFonts w:hint="eastAsia" w:ascii="Times New Roman" w:hAnsi="Times New Roman" w:eastAsia="仿宋" w:cs="Times New Roman"/>
                <w:color w:val="000000"/>
                <w:sz w:val="24"/>
                <w:highlight w:val="none"/>
                <w:lang w:eastAsia="zh-CN"/>
              </w:rPr>
            </w:pPr>
            <w:r>
              <w:rPr>
                <w:rFonts w:hint="eastAsia" w:eastAsia="仿宋" w:cs="Times New Roman"/>
                <w:color w:val="000000"/>
                <w:sz w:val="24"/>
                <w:highlight w:val="none"/>
                <w:lang w:eastAsia="zh-CN"/>
              </w:rPr>
              <w:t xml:space="preserve">年龄</w:t>
            </w:r>
            <w:r>
              <w:rPr>
                <w:rFonts w:hint="eastAsia" w:ascii="Times New Roman" w:hAnsi="Times New Roman" w:eastAsia="仿宋" w:cs="Times New Roman"/>
                <w:color w:val="000000"/>
                <w:sz w:val="24"/>
                <w:highlight w:val="none"/>
                <w:lang w:eastAsia="zh-CN"/>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851"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36"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1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663"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32"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537" w:type="dxa"/>
            <w:vAlign w:val="center"/>
            <w:textDirection w:val="lrTb"/>
            <w:noWrap w:val="false"/>
          </w:tcPr>
          <w:p>
            <w:pPr>
              <w:pStyle w:val="684"/>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684"/>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lang w:eastAsia="zh-CN"/>
        </w:rPr>
        <w:t xml:space="preserve">投标人</w:t>
      </w:r>
      <w:r>
        <w:rPr>
          <w:rFonts w:ascii="仿宋" w:hAnsi="仿宋" w:eastAsia="仿宋" w:cs="Times New Roman"/>
          <w:sz w:val="28"/>
          <w:highlight w:val="none"/>
        </w:rPr>
        <w:t xml:space="preserve">：</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684"/>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684"/>
        <w:ind w:firstLine="280"/>
        <w:spacing w:line="440" w:lineRule="exact"/>
        <w:rPr>
          <w:rFonts w:hint="eastAsia" w:ascii="仿宋" w:hAnsi="仿宋" w:eastAsia="仿宋"/>
          <w:b/>
          <w:bCs/>
          <w:sz w:val="32"/>
          <w:szCs w:val="32"/>
          <w:highlight w:val="none"/>
          <w:lang w:eastAsia="zh-CN"/>
        </w:rPr>
      </w:pPr>
      <w:r>
        <w:rPr>
          <w:rFonts w:hint="eastAsia" w:ascii="仿宋" w:hAnsi="仿宋" w:eastAsia="仿宋" w:cs="Times New Roman"/>
          <w:sz w:val="28"/>
          <w:highlight w:val="none"/>
          <w:lang w:eastAsia="zh-CN"/>
        </w:rPr>
        <w:t xml:space="preserve">（行数可自行添加）</w:t>
      </w:r>
      <w:r>
        <w:rPr>
          <w:rFonts w:hint="eastAsia" w:ascii="仿宋" w:hAnsi="仿宋" w:eastAsia="仿宋"/>
          <w:b/>
          <w:bCs/>
          <w:sz w:val="32"/>
          <w:szCs w:val="32"/>
          <w:highlight w:val="none"/>
          <w:lang w:eastAsia="zh-CN"/>
        </w:rPr>
      </w:r>
      <w:r/>
    </w:p>
    <w:p>
      <w:pPr>
        <w:pStyle w:val="705"/>
        <w:ind w:firstLine="0"/>
        <w:jc w:val="both"/>
        <w:keepLines w:val="0"/>
        <w:keepNext w:val="0"/>
        <w:pageBreakBefore w:val="0"/>
        <w:spacing w:line="520" w:lineRule="exact"/>
        <w:widowControl w:val="off"/>
        <w:rPr>
          <w:rFonts w:hint="eastAsia" w:ascii="仿宋" w:hAnsi="仿宋" w:eastAsia="仿宋"/>
          <w:b/>
          <w:bCs/>
          <w:sz w:val="32"/>
          <w:lang w:eastAsia="zh-CN"/>
        </w:rPr>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outlineLvl w:val="9"/>
      </w:pPr>
      <w:r>
        <w:rPr>
          <w:rFonts w:hint="eastAsia" w:ascii="仿宋" w:hAnsi="仿宋" w:eastAsia="仿宋"/>
          <w:b/>
          <w:bCs/>
          <w:sz w:val="32"/>
          <w:lang w:eastAsia="zh-CN"/>
        </w:rPr>
      </w:r>
      <w:r/>
    </w:p>
    <w:p>
      <w:pPr>
        <w:pStyle w:val="705"/>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705"/>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4"/>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84"/>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84"/>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84"/>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olor w:val="000000"/>
          <w:sz w:val="28"/>
          <w:szCs w:val="28"/>
        </w:rPr>
        <w:t xml:space="preserve">4</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84"/>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（1）投标人</w:t>
      </w:r>
      <w:r>
        <w:rPr>
          <w:rFonts w:hint="eastAsia" w:ascii="仿宋" w:hAnsi="仿宋" w:eastAsia="仿宋" w:cs="Times New Roman"/>
          <w:sz w:val="28"/>
          <w:szCs w:val="28"/>
          <w:lang w:eastAsia="zh-CN"/>
        </w:rPr>
        <w:t xml:space="preserve">提供</w:t>
      </w:r>
      <w:r>
        <w:rPr>
          <w:rFonts w:hint="eastAsia" w:ascii="仿宋" w:hAnsi="仿宋" w:eastAsia="仿宋" w:cs="Times New Roman"/>
          <w:sz w:val="28"/>
          <w:szCs w:val="28"/>
        </w:rPr>
        <w:t xml:space="preserve">《中华人民共和国基础电信业务经营许可证》证书</w:t>
      </w:r>
      <w:r>
        <w:rPr>
          <w:rFonts w:hint="eastAsia" w:ascii="仿宋" w:hAnsi="仿宋" w:eastAsia="仿宋" w:cs="Times New Roman"/>
          <w:sz w:val="28"/>
          <w:szCs w:val="28"/>
          <w:lang w:eastAsia="zh-CN"/>
        </w:rPr>
        <w:t xml:space="preserve">扫描件加盖投标人电子签章</w:t>
      </w:r>
      <w:r>
        <w:rPr>
          <w:rFonts w:hint="eastAsia" w:ascii="仿宋" w:hAnsi="仿宋" w:eastAsia="仿宋" w:cs="Times New Roman"/>
          <w:sz w:val="28"/>
          <w:szCs w:val="28"/>
        </w:rPr>
        <w:t xml:space="preserve">（投标人为分公司的，须提供总公司有效的基础电信业务经营许可证和授权函</w:t>
      </w:r>
      <w:r>
        <w:rPr>
          <w:rFonts w:hint="eastAsia" w:ascii="仿宋" w:hAnsi="仿宋" w:eastAsia="仿宋" w:cs="Times New Roman"/>
          <w:sz w:val="28"/>
          <w:szCs w:val="28"/>
          <w:lang w:eastAsia="zh-CN"/>
        </w:rPr>
        <w:t xml:space="preserve">加盖投标人电子签章</w:t>
      </w:r>
      <w:r>
        <w:rPr>
          <w:rFonts w:hint="eastAsia" w:ascii="仿宋" w:hAnsi="仿宋" w:eastAsia="仿宋" w:cs="Times New Roman"/>
          <w:sz w:val="28"/>
          <w:szCs w:val="28"/>
        </w:rPr>
        <w:t xml:space="preserve">）  </w:t>
      </w:r>
      <w:r>
        <w:rPr>
          <w:rFonts w:hint="eastAsia" w:ascii="仿宋" w:hAnsi="仿宋" w:eastAsia="仿宋" w:cs="Times New Roman"/>
          <w:sz w:val="28"/>
          <w:szCs w:val="28"/>
        </w:rPr>
      </w:r>
      <w:r/>
    </w:p>
    <w:p>
      <w:pPr>
        <w:pStyle w:val="684"/>
        <w:ind w:firstLine="723"/>
        <w:jc w:val="both"/>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7" w:name="_Toc157775454"/>
      <w:r>
        <w:rPr>
          <w:rFonts w:hint="eastAsia" w:ascii="宋体" w:hAnsi="宋体"/>
          <w:b/>
          <w:sz w:val="36"/>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cs="Arial"/>
          <w:b/>
          <w:bCs/>
          <w:sz w:val="32"/>
        </w:rPr>
      </w:r>
      <w:r/>
    </w:p>
    <w:p>
      <w:pPr>
        <w:pStyle w:val="684"/>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84"/>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84"/>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84"/>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684"/>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4"/>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4"/>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84"/>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684"/>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684"/>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6"/>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84"/>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84"/>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84"/>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684"/>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84"/>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4"/>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84"/>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684"/>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8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84"/>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684"/>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92"/>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4"/>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84"/>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84"/>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84"/>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8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4"/>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684"/>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4"/>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84"/>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84"/>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92"/>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92"/>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8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9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92"/>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692"/>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84"/>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92"/>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9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9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92"/>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92"/>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92"/>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684"/>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4"/>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4"/>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92"/>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692"/>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692"/>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692"/>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rPr>
        <w:rStyle w:val="724"/>
      </w:rPr>
      <w:framePr w:wrap="around" w:vAnchor="text" w:hAnchor="margin" w:xAlign="center" w:y="1"/>
    </w:pPr>
    <w:r>
      <w:fldChar w:fldCharType="begin"/>
    </w:r>
    <w:r>
      <w:rPr>
        <w:rStyle w:val="724"/>
      </w:rPr>
      <w:instrText xml:space="preserve">PAGE  </w:instrText>
    </w:r>
    <w:r>
      <w:fldChar w:fldCharType="end"/>
    </w:r>
    <w:r>
      <w:rPr>
        <w:rStyle w:val="724"/>
      </w:rPr>
    </w:r>
    <w:r/>
  </w:p>
  <w:p>
    <w:pPr>
      <w:pStyle w:val="71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767"/>
      <w:isLgl w:val="false"/>
      <w:suff w:val="nothing"/>
      <w:lvlText w:val="第%1章"/>
      <w:lvlJc w:val="left"/>
      <w:pPr>
        <w:pStyle w:val="684"/>
        <w:ind w:left="640" w:firstLine="0"/>
      </w:pPr>
      <w:rPr>
        <w:rFonts w:hint="eastAsia"/>
      </w:rPr>
    </w:lvl>
    <w:lvl w:ilvl="1">
      <w:start w:val="1"/>
      <w:numFmt w:val="decimal"/>
      <w:isLgl w:val="false"/>
      <w:suff w:val="nothing"/>
      <w:lvlText w:val=""/>
      <w:lvlJc w:val="left"/>
      <w:pPr>
        <w:pStyle w:val="684"/>
        <w:ind w:left="640" w:firstLine="0"/>
      </w:pPr>
      <w:rPr>
        <w:rFonts w:hint="eastAsia"/>
      </w:rPr>
    </w:lvl>
    <w:lvl w:ilvl="2">
      <w:start w:val="1"/>
      <w:numFmt w:val="decimal"/>
      <w:isLgl w:val="false"/>
      <w:suff w:val="nothing"/>
      <w:lvlText w:val=""/>
      <w:lvlJc w:val="left"/>
      <w:pPr>
        <w:pStyle w:val="684"/>
        <w:ind w:left="640" w:firstLine="0"/>
      </w:pPr>
      <w:rPr>
        <w:rFonts w:hint="eastAsia"/>
      </w:rPr>
    </w:lvl>
    <w:lvl w:ilvl="3">
      <w:start w:val="1"/>
      <w:numFmt w:val="decimal"/>
      <w:isLgl w:val="false"/>
      <w:suff w:val="nothing"/>
      <w:lvlText w:val=""/>
      <w:lvlJc w:val="left"/>
      <w:pPr>
        <w:pStyle w:val="684"/>
        <w:ind w:left="640" w:firstLine="0"/>
      </w:pPr>
      <w:rPr>
        <w:rFonts w:hint="eastAsia"/>
      </w:rPr>
    </w:lvl>
    <w:lvl w:ilvl="4">
      <w:start w:val="1"/>
      <w:numFmt w:val="decimal"/>
      <w:isLgl w:val="false"/>
      <w:suff w:val="nothing"/>
      <w:lvlText w:val=""/>
      <w:lvlJc w:val="left"/>
      <w:pPr>
        <w:pStyle w:val="684"/>
        <w:ind w:left="640" w:firstLine="0"/>
      </w:pPr>
      <w:rPr>
        <w:rFonts w:hint="eastAsia"/>
      </w:rPr>
    </w:lvl>
    <w:lvl w:ilvl="5">
      <w:start w:val="1"/>
      <w:numFmt w:val="decimal"/>
      <w:isLgl w:val="false"/>
      <w:suff w:val="nothing"/>
      <w:lvlText w:val=""/>
      <w:lvlJc w:val="left"/>
      <w:pPr>
        <w:pStyle w:val="684"/>
        <w:ind w:left="640" w:firstLine="0"/>
      </w:pPr>
      <w:rPr>
        <w:rFonts w:hint="eastAsia"/>
      </w:rPr>
    </w:lvl>
    <w:lvl w:ilvl="6">
      <w:start w:val="1"/>
      <w:numFmt w:val="decimal"/>
      <w:isLgl w:val="false"/>
      <w:suff w:val="nothing"/>
      <w:lvlText w:val=""/>
      <w:lvlJc w:val="left"/>
      <w:pPr>
        <w:pStyle w:val="684"/>
        <w:ind w:left="640" w:firstLine="0"/>
      </w:pPr>
      <w:rPr>
        <w:rFonts w:hint="eastAsia"/>
      </w:rPr>
    </w:lvl>
    <w:lvl w:ilvl="7">
      <w:start w:val="1"/>
      <w:numFmt w:val="decimal"/>
      <w:isLgl w:val="false"/>
      <w:suff w:val="nothing"/>
      <w:lvlText w:val=""/>
      <w:lvlJc w:val="left"/>
      <w:pPr>
        <w:pStyle w:val="684"/>
        <w:ind w:left="640" w:firstLine="0"/>
      </w:pPr>
      <w:rPr>
        <w:rFonts w:hint="eastAsia"/>
      </w:rPr>
    </w:lvl>
    <w:lvl w:ilvl="8">
      <w:start w:val="1"/>
      <w:numFmt w:val="decimal"/>
      <w:isLgl w:val="false"/>
      <w:suff w:val="nothing"/>
      <w:lvlText w:val=""/>
      <w:lvlJc w:val="left"/>
      <w:pPr>
        <w:pStyle w:val="684"/>
        <w:ind w:left="640" w:firstLine="0"/>
      </w:pPr>
      <w:rPr>
        <w:rFonts w:hint="eastAsia"/>
      </w:rPr>
    </w:lvl>
  </w:abstractNum>
  <w:abstractNum w:abstractNumId="4">
    <w:multiLevelType w:val="hybridMultilevel"/>
    <w:lvl w:ilvl="0">
      <w:start w:val="3"/>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68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57"/>
      <w:isLgl w:val="false"/>
      <w:suff w:val="tab"/>
      <w:lvlText w:val="%1、"/>
      <w:lvlJc w:val="left"/>
      <w:pPr>
        <w:pStyle w:val="684"/>
        <w:ind w:left="420" w:hanging="420"/>
        <w:tabs>
          <w:tab w:val="num" w:pos="420" w:leader="none"/>
        </w:tabs>
      </w:pPr>
      <w:rPr>
        <w:rFonts w:hint="eastAsia"/>
        <w:b/>
        <w:i w:val="0"/>
      </w:rPr>
    </w:lvl>
    <w:lvl w:ilvl="1">
      <w:start w:val="1"/>
      <w:numFmt w:val="lowerLetter"/>
      <w:isLgl w:val="false"/>
      <w:suff w:val="tab"/>
      <w:lvlText w:val="%2)"/>
      <w:lvlJc w:val="left"/>
      <w:pPr>
        <w:pStyle w:val="684"/>
        <w:ind w:left="840" w:hanging="420"/>
        <w:tabs>
          <w:tab w:val="num" w:pos="840" w:leader="none"/>
        </w:tabs>
      </w:pPr>
    </w:lvl>
    <w:lvl w:ilvl="2">
      <w:start w:val="1"/>
      <w:numFmt w:val="lowerRoman"/>
      <w:isLgl w:val="false"/>
      <w:suff w:val="tab"/>
      <w:lvlText w:val="%3."/>
      <w:lvlJc w:val="right"/>
      <w:pPr>
        <w:pStyle w:val="684"/>
        <w:ind w:left="1260" w:hanging="420"/>
        <w:tabs>
          <w:tab w:val="num" w:pos="1260" w:leader="none"/>
        </w:tabs>
      </w:pPr>
    </w:lvl>
    <w:lvl w:ilvl="3">
      <w:start w:val="1"/>
      <w:numFmt w:val="decimal"/>
      <w:isLgl w:val="false"/>
      <w:suff w:val="tab"/>
      <w:lvlText w:val="%4."/>
      <w:lvlJc w:val="left"/>
      <w:pPr>
        <w:pStyle w:val="684"/>
        <w:ind w:left="1680" w:hanging="420"/>
        <w:tabs>
          <w:tab w:val="num" w:pos="1680" w:leader="none"/>
        </w:tabs>
      </w:pPr>
    </w:lvl>
    <w:lvl w:ilvl="4">
      <w:start w:val="1"/>
      <w:numFmt w:val="lowerLetter"/>
      <w:isLgl w:val="false"/>
      <w:suff w:val="tab"/>
      <w:lvlText w:val="%5)"/>
      <w:lvlJc w:val="left"/>
      <w:pPr>
        <w:pStyle w:val="684"/>
        <w:ind w:left="2100" w:hanging="420"/>
        <w:tabs>
          <w:tab w:val="num" w:pos="2100" w:leader="none"/>
        </w:tabs>
      </w:pPr>
    </w:lvl>
    <w:lvl w:ilvl="5">
      <w:start w:val="1"/>
      <w:numFmt w:val="lowerRoman"/>
      <w:isLgl w:val="false"/>
      <w:suff w:val="tab"/>
      <w:lvlText w:val="%6."/>
      <w:lvlJc w:val="right"/>
      <w:pPr>
        <w:pStyle w:val="684"/>
        <w:ind w:left="2520" w:hanging="420"/>
        <w:tabs>
          <w:tab w:val="num" w:pos="2520" w:leader="none"/>
        </w:tabs>
      </w:pPr>
    </w:lvl>
    <w:lvl w:ilvl="6">
      <w:start w:val="1"/>
      <w:numFmt w:val="decimal"/>
      <w:isLgl w:val="false"/>
      <w:suff w:val="tab"/>
      <w:lvlText w:val="%7."/>
      <w:lvlJc w:val="left"/>
      <w:pPr>
        <w:pStyle w:val="684"/>
        <w:ind w:left="2940" w:hanging="420"/>
        <w:tabs>
          <w:tab w:val="num" w:pos="2940" w:leader="none"/>
        </w:tabs>
      </w:pPr>
    </w:lvl>
    <w:lvl w:ilvl="7">
      <w:start w:val="1"/>
      <w:numFmt w:val="lowerLetter"/>
      <w:isLgl w:val="false"/>
      <w:suff w:val="tab"/>
      <w:lvlText w:val="%8)"/>
      <w:lvlJc w:val="left"/>
      <w:pPr>
        <w:pStyle w:val="684"/>
        <w:ind w:left="3360" w:hanging="420"/>
        <w:tabs>
          <w:tab w:val="num" w:pos="3360" w:leader="none"/>
        </w:tabs>
      </w:pPr>
    </w:lvl>
    <w:lvl w:ilvl="8">
      <w:start w:val="1"/>
      <w:numFmt w:val="lowerRoman"/>
      <w:isLgl w:val="false"/>
      <w:suff w:val="tab"/>
      <w:lvlText w:val="%9."/>
      <w:lvlJc w:val="right"/>
      <w:pPr>
        <w:pStyle w:val="684"/>
        <w:ind w:left="3780" w:hanging="420"/>
        <w:tabs>
          <w:tab w:val="num" w:pos="3780" w:leader="none"/>
        </w:tabs>
      </w:pPr>
    </w:lvl>
  </w:abstractNum>
  <w:abstractNum w:abstractNumId="7">
    <w:multiLevelType w:val="hybridMultilevel"/>
    <w:lvl w:ilvl="0">
      <w:start w:val="2"/>
      <w:numFmt w:val="chineseCountingThousand"/>
      <w:pStyle w:val="763"/>
      <w:isLgl w:val="false"/>
      <w:suff w:val="nothing"/>
      <w:lvlText w:val="第%1部分"/>
      <w:lvlJc w:val="center"/>
      <w:pPr>
        <w:pStyle w:val="684"/>
        <w:ind w:left="432" w:firstLine="288"/>
      </w:pPr>
      <w:rPr>
        <w:rFonts w:hint="eastAsia"/>
        <w:sz w:val="28"/>
        <w:szCs w:val="28"/>
        <w:lang w:val="en-US"/>
      </w:rPr>
    </w:lvl>
    <w:lvl w:ilvl="1">
      <w:start w:val="1"/>
      <w:numFmt w:val="chineseCountingThousand"/>
      <w:isLgl w:val="false"/>
      <w:suff w:val="nothing"/>
      <w:lvlText w:val="%2、"/>
      <w:lvlJc w:val="left"/>
      <w:pPr>
        <w:pStyle w:val="684"/>
        <w:ind w:left="360" w:firstLine="0"/>
      </w:pPr>
      <w:rPr>
        <w:rFonts w:hint="eastAsia"/>
        <w:lang w:val="en-US"/>
      </w:rPr>
    </w:lvl>
    <w:lvl w:ilvl="2">
      <w:start w:val="1"/>
      <w:numFmt w:val="chineseCountingThousand"/>
      <w:isLgl w:val="false"/>
      <w:suff w:val="nothing"/>
      <w:lvlText w:val="(%3)"/>
      <w:lvlJc w:val="left"/>
      <w:pPr>
        <w:pStyle w:val="684"/>
        <w:ind w:left="0" w:firstLine="0"/>
      </w:pPr>
      <w:rPr>
        <w:rFonts w:hint="eastAsia"/>
      </w:rPr>
    </w:lvl>
    <w:lvl w:ilvl="3">
      <w:start w:val="1"/>
      <w:numFmt w:val="decimal"/>
      <w:isLgl w:val="false"/>
      <w:suff w:val="nothing"/>
      <w:lvlText w:val="%4、"/>
      <w:lvlJc w:val="left"/>
      <w:pPr>
        <w:pStyle w:val="684"/>
        <w:ind w:left="0" w:firstLine="0"/>
      </w:pPr>
      <w:rPr>
        <w:rFonts w:hint="eastAsia"/>
      </w:rPr>
    </w:lvl>
    <w:lvl w:ilvl="4">
      <w:start w:val="1"/>
      <w:numFmt w:val="upperLetter"/>
      <w:isLgl w:val="false"/>
      <w:suff w:val="nothing"/>
      <w:lvlText w:val="%5、"/>
      <w:lvlJc w:val="left"/>
      <w:pPr>
        <w:pStyle w:val="684"/>
        <w:ind w:left="0" w:firstLine="0"/>
      </w:pPr>
      <w:rPr>
        <w:rFonts w:hint="eastAsia"/>
      </w:rPr>
    </w:lvl>
    <w:lvl w:ilvl="5">
      <w:start w:val="1"/>
      <w:numFmt w:val="decimal"/>
      <w:isLgl w:val="false"/>
      <w:suff w:val="nothing"/>
      <w:lvlText w:val=""/>
      <w:lvlJc w:val="left"/>
      <w:pPr>
        <w:pStyle w:val="684"/>
        <w:ind w:left="0" w:firstLine="0"/>
      </w:pPr>
      <w:rPr>
        <w:rFonts w:hint="eastAsia"/>
      </w:rPr>
    </w:lvl>
    <w:lvl w:ilvl="6">
      <w:start w:val="1"/>
      <w:numFmt w:val="decimal"/>
      <w:isLgl w:val="false"/>
      <w:suff w:val="nothing"/>
      <w:lvlText w:val=""/>
      <w:lvlJc w:val="left"/>
      <w:pPr>
        <w:pStyle w:val="684"/>
        <w:ind w:left="0" w:firstLine="0"/>
      </w:pPr>
      <w:rPr>
        <w:rFonts w:hint="eastAsia"/>
      </w:rPr>
    </w:lvl>
    <w:lvl w:ilvl="7">
      <w:start w:val="1"/>
      <w:numFmt w:val="decimal"/>
      <w:isLgl w:val="false"/>
      <w:suff w:val="nothing"/>
      <w:lvlText w:val=""/>
      <w:lvlJc w:val="left"/>
      <w:pPr>
        <w:pStyle w:val="684"/>
        <w:ind w:left="0" w:firstLine="0"/>
      </w:pPr>
      <w:rPr>
        <w:rFonts w:hint="eastAsia"/>
      </w:rPr>
    </w:lvl>
    <w:lvl w:ilvl="8">
      <w:start w:val="1"/>
      <w:numFmt w:val="decimal"/>
      <w:isLgl w:val="false"/>
      <w:suff w:val="nothing"/>
      <w:lvlText w:val=""/>
      <w:lvlJc w:val="left"/>
      <w:pPr>
        <w:pStyle w:val="684"/>
        <w:ind w:left="0" w:firstLine="0"/>
      </w:pPr>
      <w:rPr>
        <w:rFonts w:hint="eastAsia"/>
      </w:rPr>
    </w:lvl>
  </w:abstractNum>
  <w:abstractNum w:abstractNumId="8">
    <w:multiLevelType w:val="hybridMultilevel"/>
    <w:lvl w:ilvl="0">
      <w:start w:val="1"/>
      <w:numFmt w:val="chineseCounting"/>
      <w:isLgl w:val="false"/>
      <w:suff w:val="nothing"/>
      <w:lvlText w:val="（%1）"/>
      <w:lvlJc w:val="left"/>
      <w:pPr>
        <w:pStyle w:val="684"/>
        <w:ind w:left="0" w:firstLine="420"/>
      </w:pPr>
    </w:lvl>
    <w:lvl w:ilvl="1">
      <w:start w:val="1"/>
      <w:numFmt w:val="decimal"/>
      <w:isLgl w:val="false"/>
      <w:suff w:val="tab"/>
      <w:lvlText w:val="%2."/>
      <w:lvlJc w:val="left"/>
      <w:pPr>
        <w:pStyle w:val="684"/>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684"/>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684"/>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684"/>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684"/>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684"/>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684"/>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684"/>
        <w:ind w:left="6480" w:hanging="360"/>
        <w:tabs>
          <w:tab w:val="num" w:pos="6480" w:leader="none"/>
        </w:tabs>
      </w:pPr>
      <w:rPr>
        <w:rFonts w:ascii="Times New Roman" w:hAnsi="Times New Roman" w:cs="Times New Roman"/>
      </w:rPr>
    </w:lvl>
  </w:abstractNum>
  <w:num w:numId="1">
    <w:abstractNumId w:val="6"/>
  </w:num>
  <w:num w:numId="2">
    <w:abstractNumId w:val="7"/>
  </w:num>
  <w:num w:numId="3">
    <w:abstractNumId w:val="3"/>
  </w:num>
  <w:num w:numId="4">
    <w:abstractNumId w:val="2"/>
  </w:num>
  <w:num w:numId="5">
    <w:abstractNumId w:val="5"/>
  </w:num>
  <w:num w:numId="6">
    <w:abstractNumId w:val="8"/>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sz w:val="21"/>
      <w:szCs w:val="24"/>
      <w:lang w:val="en-US" w:eastAsia="zh-CN" w:bidi="ar-SA"/>
    </w:rPr>
  </w:style>
  <w:style w:type="paragraph" w:styleId="685">
    <w:name w:val="标题 1"/>
    <w:basedOn w:val="684"/>
    <w:next w:val="684"/>
    <w:link w:val="684"/>
    <w:uiPriority w:val="9"/>
    <w:qFormat/>
    <w:pPr>
      <w:keepLines/>
      <w:keepNext/>
      <w:spacing w:before="340" w:after="330" w:line="578" w:lineRule="auto"/>
      <w:outlineLvl w:val="0"/>
    </w:pPr>
    <w:rPr>
      <w:b/>
      <w:bCs/>
      <w:sz w:val="44"/>
      <w:szCs w:val="44"/>
    </w:rPr>
  </w:style>
  <w:style w:type="paragraph" w:styleId="686">
    <w:name w:val="标题 2"/>
    <w:basedOn w:val="684"/>
    <w:next w:val="692"/>
    <w:link w:val="684"/>
    <w:uiPriority w:val="9"/>
    <w:qFormat/>
    <w:pPr>
      <w:keepLines/>
      <w:keepNext/>
      <w:spacing w:before="260" w:after="260" w:line="413" w:lineRule="auto"/>
      <w:outlineLvl w:val="1"/>
    </w:pPr>
    <w:rPr>
      <w:rFonts w:ascii="Arial" w:hAnsi="Arial" w:eastAsia="黑体"/>
      <w:b/>
      <w:sz w:val="32"/>
      <w:szCs w:val="20"/>
    </w:rPr>
  </w:style>
  <w:style w:type="paragraph" w:styleId="687">
    <w:name w:val="标题 3"/>
    <w:basedOn w:val="684"/>
    <w:next w:val="684"/>
    <w:link w:val="684"/>
    <w:uiPriority w:val="9"/>
    <w:qFormat/>
    <w:pPr>
      <w:keepLines/>
      <w:keepNext/>
      <w:spacing w:before="260" w:after="260" w:line="413" w:lineRule="auto"/>
      <w:outlineLvl w:val="2"/>
    </w:pPr>
    <w:rPr>
      <w:rFonts w:ascii="Arial" w:hAnsi="Arial"/>
      <w:b/>
      <w:sz w:val="32"/>
      <w:szCs w:val="20"/>
    </w:rPr>
  </w:style>
  <w:style w:type="paragraph" w:styleId="688">
    <w:name w:val="标题 4"/>
    <w:basedOn w:val="684"/>
    <w:next w:val="684"/>
    <w:link w:val="694"/>
    <w:uiPriority w:val="9"/>
    <w:qFormat/>
    <w:pPr>
      <w:keepLines/>
      <w:keepNext/>
      <w:spacing w:before="280" w:after="290" w:line="376" w:lineRule="auto"/>
      <w:outlineLvl w:val="3"/>
    </w:pPr>
    <w:rPr>
      <w:rFonts w:ascii="Cambria" w:hAnsi="Cambria"/>
      <w:b/>
      <w:bCs/>
      <w:sz w:val="28"/>
      <w:szCs w:val="28"/>
    </w:rPr>
  </w:style>
  <w:style w:type="paragraph" w:styleId="689">
    <w:name w:val="标题 5"/>
    <w:basedOn w:val="684"/>
    <w:next w:val="684"/>
    <w:link w:val="695"/>
    <w:uiPriority w:val="9"/>
    <w:qFormat/>
    <w:pPr>
      <w:keepLines/>
      <w:keepNext/>
      <w:spacing w:before="280" w:after="290" w:line="376" w:lineRule="auto"/>
      <w:outlineLvl w:val="4"/>
    </w:pPr>
    <w:rPr>
      <w:b/>
      <w:bCs/>
      <w:sz w:val="28"/>
      <w:szCs w:val="28"/>
    </w:rPr>
  </w:style>
  <w:style w:type="character" w:styleId="690">
    <w:name w:val="默认段落字体"/>
    <w:next w:val="690"/>
    <w:link w:val="684"/>
    <w:semiHidden/>
  </w:style>
  <w:style w:type="table" w:styleId="691">
    <w:name w:val="普通表格"/>
    <w:next w:val="691"/>
    <w:link w:val="68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92">
    <w:name w:val="正文缩进"/>
    <w:basedOn w:val="684"/>
    <w:next w:val="692"/>
    <w:link w:val="693"/>
    <w:pPr>
      <w:ind w:firstLine="420"/>
    </w:pPr>
    <w:rPr>
      <w:szCs w:val="20"/>
    </w:rPr>
  </w:style>
  <w:style w:type="character" w:styleId="693">
    <w:name w:val="正文缩进 Char"/>
    <w:next w:val="693"/>
    <w:link w:val="692"/>
    <w:rPr>
      <w:sz w:val="21"/>
    </w:rPr>
  </w:style>
  <w:style w:type="character" w:styleId="694">
    <w:name w:val="标题 4 Char"/>
    <w:next w:val="694"/>
    <w:link w:val="688"/>
    <w:uiPriority w:val="9"/>
    <w:rPr>
      <w:rFonts w:ascii="Cambria" w:hAnsi="Cambria"/>
      <w:b/>
      <w:bCs/>
      <w:sz w:val="28"/>
      <w:szCs w:val="28"/>
    </w:rPr>
  </w:style>
  <w:style w:type="character" w:styleId="695">
    <w:name w:val="标题 5 Char"/>
    <w:next w:val="695"/>
    <w:link w:val="689"/>
    <w:uiPriority w:val="9"/>
    <w:rPr>
      <w:b/>
      <w:bCs/>
      <w:sz w:val="28"/>
      <w:szCs w:val="28"/>
    </w:rPr>
  </w:style>
  <w:style w:type="paragraph" w:styleId="696">
    <w:name w:val="题注"/>
    <w:basedOn w:val="684"/>
    <w:next w:val="684"/>
    <w:link w:val="684"/>
    <w:uiPriority w:val="35"/>
    <w:qFormat/>
    <w:pPr>
      <w:jc w:val="center"/>
      <w:spacing w:before="156" w:after="156" w:line="360" w:lineRule="auto"/>
    </w:pPr>
    <w:rPr>
      <w:rFonts w:ascii="Arial" w:hAnsi="Arial" w:cs="Arial"/>
      <w:sz w:val="24"/>
      <w:szCs w:val="20"/>
    </w:rPr>
  </w:style>
  <w:style w:type="paragraph" w:styleId="697">
    <w:name w:val="文档结构图"/>
    <w:basedOn w:val="684"/>
    <w:next w:val="697"/>
    <w:link w:val="684"/>
    <w:semiHidden/>
    <w:pPr>
      <w:shd w:val="clear" w:color="auto" w:fill="000080"/>
    </w:pPr>
  </w:style>
  <w:style w:type="paragraph" w:styleId="698">
    <w:name w:val="批注文字"/>
    <w:basedOn w:val="684"/>
    <w:next w:val="698"/>
    <w:link w:val="699"/>
    <w:uiPriority w:val="99"/>
    <w:unhideWhenUsed/>
    <w:pPr>
      <w:jc w:val="left"/>
    </w:pPr>
  </w:style>
  <w:style w:type="character" w:styleId="699">
    <w:name w:val="批注文字 Char"/>
    <w:next w:val="699"/>
    <w:link w:val="698"/>
    <w:uiPriority w:val="99"/>
    <w:rPr>
      <w:sz w:val="21"/>
      <w:szCs w:val="24"/>
    </w:rPr>
  </w:style>
  <w:style w:type="paragraph" w:styleId="700">
    <w:name w:val="正文文本 3"/>
    <w:basedOn w:val="684"/>
    <w:next w:val="700"/>
    <w:link w:val="684"/>
    <w:rPr>
      <w:rFonts w:ascii="楷体_GB2312" w:hAnsi="Arial" w:eastAsia="楷体_GB2312" w:cs="Arial"/>
      <w:b/>
      <w:bCs/>
      <w:color w:val="000000"/>
      <w:sz w:val="24"/>
    </w:rPr>
  </w:style>
  <w:style w:type="paragraph" w:styleId="701">
    <w:name w:val="正文文本"/>
    <w:basedOn w:val="684"/>
    <w:next w:val="701"/>
    <w:link w:val="68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02">
    <w:name w:val="正文文本缩进"/>
    <w:basedOn w:val="684"/>
    <w:next w:val="702"/>
    <w:link w:val="684"/>
    <w:pPr>
      <w:ind w:firstLine="630"/>
    </w:pPr>
    <w:rPr>
      <w:rFonts w:ascii="楷体_GB2312" w:eastAsia="楷体_GB2312"/>
      <w:sz w:val="32"/>
      <w:szCs w:val="20"/>
    </w:rPr>
  </w:style>
  <w:style w:type="paragraph" w:styleId="703">
    <w:name w:val="文本块"/>
    <w:basedOn w:val="684"/>
    <w:next w:val="703"/>
    <w:link w:val="684"/>
    <w:pPr>
      <w:ind w:left="420" w:right="33"/>
      <w:jc w:val="left"/>
    </w:pPr>
    <w:rPr>
      <w:sz w:val="24"/>
      <w:szCs w:val="20"/>
    </w:rPr>
  </w:style>
  <w:style w:type="paragraph" w:styleId="704">
    <w:name w:val="目录 3"/>
    <w:basedOn w:val="684"/>
    <w:next w:val="684"/>
    <w:link w:val="684"/>
    <w:semiHidden/>
    <w:pPr>
      <w:ind w:left="840"/>
      <w:spacing w:line="300" w:lineRule="auto"/>
      <w:tabs>
        <w:tab w:val="right" w:pos="9344" w:leader="dot"/>
      </w:tabs>
    </w:pPr>
    <w:rPr>
      <w:rFonts w:ascii="Arial" w:hAnsi="Arial" w:cs="Arial"/>
      <w:szCs w:val="21"/>
    </w:rPr>
  </w:style>
  <w:style w:type="paragraph" w:styleId="705">
    <w:name w:val="纯文本"/>
    <w:basedOn w:val="684"/>
    <w:next w:val="705"/>
    <w:link w:val="706"/>
    <w:rPr>
      <w:rFonts w:ascii="宋体" w:hAnsi="Courier New"/>
      <w:szCs w:val="20"/>
    </w:rPr>
  </w:style>
  <w:style w:type="character" w:styleId="706">
    <w:name w:val="纯文本 Char"/>
    <w:next w:val="706"/>
    <w:link w:val="705"/>
    <w:rPr>
      <w:rFonts w:ascii="宋体" w:hAnsi="Courier New" w:eastAsia="宋体"/>
      <w:sz w:val="21"/>
      <w:lang w:val="en-US" w:eastAsia="zh-CN" w:bidi="ar-SA"/>
    </w:rPr>
  </w:style>
  <w:style w:type="paragraph" w:styleId="707">
    <w:name w:val="正文文本缩进 2"/>
    <w:basedOn w:val="684"/>
    <w:next w:val="707"/>
    <w:link w:val="684"/>
    <w:pPr>
      <w:ind w:left="420"/>
      <w:spacing w:after="120" w:line="480" w:lineRule="auto"/>
    </w:pPr>
  </w:style>
  <w:style w:type="paragraph" w:styleId="708">
    <w:name w:val="批注框文本"/>
    <w:basedOn w:val="684"/>
    <w:next w:val="708"/>
    <w:link w:val="709"/>
    <w:rPr>
      <w:sz w:val="18"/>
      <w:szCs w:val="18"/>
    </w:rPr>
  </w:style>
  <w:style w:type="character" w:styleId="709">
    <w:name w:val="批注框文本 Char"/>
    <w:next w:val="709"/>
    <w:link w:val="708"/>
    <w:rPr>
      <w:sz w:val="18"/>
      <w:szCs w:val="18"/>
    </w:rPr>
  </w:style>
  <w:style w:type="paragraph" w:styleId="710">
    <w:name w:val="页脚"/>
    <w:basedOn w:val="684"/>
    <w:next w:val="710"/>
    <w:link w:val="711"/>
    <w:pPr>
      <w:jc w:val="left"/>
      <w:tabs>
        <w:tab w:val="center" w:pos="4153" w:leader="none"/>
        <w:tab w:val="right" w:pos="8306" w:leader="none"/>
      </w:tabs>
    </w:pPr>
    <w:rPr>
      <w:sz w:val="18"/>
      <w:szCs w:val="18"/>
    </w:rPr>
  </w:style>
  <w:style w:type="character" w:styleId="711">
    <w:name w:val="页脚 Char"/>
    <w:next w:val="711"/>
    <w:link w:val="710"/>
    <w:rPr>
      <w:sz w:val="18"/>
      <w:szCs w:val="18"/>
    </w:rPr>
  </w:style>
  <w:style w:type="paragraph" w:styleId="712">
    <w:name w:val="页眉"/>
    <w:basedOn w:val="684"/>
    <w:next w:val="712"/>
    <w:link w:val="713"/>
    <w:pPr>
      <w:jc w:val="center"/>
      <w:tabs>
        <w:tab w:val="center" w:pos="4153" w:leader="none"/>
        <w:tab w:val="right" w:pos="8306" w:leader="none"/>
      </w:tabs>
      <w:pBdr>
        <w:bottom w:val="single" w:color="000000" w:sz="6" w:space="1"/>
      </w:pBdr>
    </w:pPr>
    <w:rPr>
      <w:sz w:val="18"/>
      <w:szCs w:val="18"/>
    </w:rPr>
  </w:style>
  <w:style w:type="character" w:styleId="713">
    <w:name w:val="页眉 Char"/>
    <w:next w:val="713"/>
    <w:link w:val="712"/>
    <w:rPr>
      <w:sz w:val="18"/>
      <w:szCs w:val="18"/>
    </w:rPr>
  </w:style>
  <w:style w:type="paragraph" w:styleId="714">
    <w:name w:val="目录 1"/>
    <w:basedOn w:val="684"/>
    <w:next w:val="684"/>
    <w:link w:val="684"/>
    <w:semiHidden/>
  </w:style>
  <w:style w:type="paragraph" w:styleId="715">
    <w:name w:val="正文文本缩进 3"/>
    <w:basedOn w:val="684"/>
    <w:next w:val="715"/>
    <w:link w:val="684"/>
    <w:uiPriority w:val="99"/>
    <w:pPr>
      <w:ind w:firstLine="420"/>
    </w:pPr>
    <w:rPr>
      <w:rFonts w:eastAsia="楷体_GB2312"/>
    </w:rPr>
  </w:style>
  <w:style w:type="paragraph" w:styleId="716">
    <w:name w:val="目录 2"/>
    <w:basedOn w:val="684"/>
    <w:next w:val="684"/>
    <w:link w:val="684"/>
    <w:semiHidden/>
    <w:pPr>
      <w:ind w:left="420"/>
    </w:pPr>
    <w:rPr>
      <w:szCs w:val="20"/>
    </w:rPr>
  </w:style>
  <w:style w:type="paragraph" w:styleId="717">
    <w:name w:val="正文文本 2"/>
    <w:basedOn w:val="684"/>
    <w:next w:val="717"/>
    <w:link w:val="718"/>
    <w:pPr>
      <w:spacing w:line="440" w:lineRule="exact"/>
    </w:pPr>
    <w:rPr>
      <w:rFonts w:ascii="楷体_GB2312" w:eastAsia="楷体_GB2312"/>
      <w:sz w:val="28"/>
    </w:rPr>
  </w:style>
  <w:style w:type="character" w:styleId="718">
    <w:name w:val="正文文本 2 Char"/>
    <w:next w:val="718"/>
    <w:link w:val="717"/>
    <w:rPr>
      <w:rFonts w:ascii="楷体_GB2312" w:eastAsia="楷体_GB2312"/>
      <w:sz w:val="28"/>
      <w:szCs w:val="24"/>
    </w:rPr>
  </w:style>
  <w:style w:type="paragraph" w:styleId="719">
    <w:name w:val="批注主题"/>
    <w:basedOn w:val="698"/>
    <w:next w:val="698"/>
    <w:link w:val="720"/>
    <w:rPr>
      <w:b/>
      <w:bCs/>
    </w:rPr>
  </w:style>
  <w:style w:type="character" w:styleId="720">
    <w:name w:val="批注主题 Char"/>
    <w:next w:val="720"/>
    <w:link w:val="719"/>
    <w:rPr>
      <w:b/>
      <w:bCs/>
      <w:sz w:val="21"/>
      <w:szCs w:val="24"/>
    </w:rPr>
  </w:style>
  <w:style w:type="paragraph" w:styleId="721">
    <w:name w:val="正文首行缩进 2"/>
    <w:basedOn w:val="702"/>
    <w:next w:val="721"/>
    <w:link w:val="684"/>
    <w:pPr>
      <w:ind w:left="420" w:firstLine="420"/>
      <w:spacing w:after="120"/>
      <w:widowControl/>
    </w:pPr>
    <w:rPr>
      <w:rFonts w:ascii="仿宋_GB2312" w:eastAsia="仿宋_GB2312"/>
      <w:color w:val="ff6600"/>
      <w:sz w:val="21"/>
    </w:rPr>
  </w:style>
  <w:style w:type="table" w:styleId="722">
    <w:name w:val="网格型"/>
    <w:basedOn w:val="691"/>
    <w:next w:val="722"/>
    <w:link w:val="68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23">
    <w:name w:val="要点"/>
    <w:next w:val="723"/>
    <w:link w:val="684"/>
    <w:qFormat/>
    <w:rPr>
      <w:b w:val="0"/>
      <w:i w:val="0"/>
    </w:rPr>
  </w:style>
  <w:style w:type="character" w:styleId="724">
    <w:name w:val="页码"/>
    <w:next w:val="724"/>
    <w:link w:val="684"/>
  </w:style>
  <w:style w:type="character" w:styleId="725">
    <w:name w:val="已访问的超链接"/>
    <w:next w:val="725"/>
    <w:link w:val="684"/>
    <w:rPr>
      <w:color w:val="800080"/>
      <w:u w:val="none"/>
    </w:rPr>
  </w:style>
  <w:style w:type="character" w:styleId="726">
    <w:name w:val="强调"/>
    <w:next w:val="726"/>
    <w:link w:val="684"/>
    <w:qFormat/>
    <w:rPr>
      <w:b w:val="0"/>
      <w:i w:val="0"/>
    </w:rPr>
  </w:style>
  <w:style w:type="character" w:styleId="727">
    <w:name w:val="HTML 定义"/>
    <w:next w:val="727"/>
    <w:link w:val="684"/>
    <w:rPr>
      <w:b w:val="0"/>
      <w:i w:val="0"/>
    </w:rPr>
  </w:style>
  <w:style w:type="character" w:styleId="728">
    <w:name w:val="HTML 打字机"/>
    <w:next w:val="728"/>
    <w:link w:val="684"/>
    <w:rPr>
      <w:rFonts w:ascii="monospace" w:hAnsi="monospace" w:eastAsia="monospace" w:cs="monospace"/>
      <w:sz w:val="20"/>
    </w:rPr>
  </w:style>
  <w:style w:type="character" w:styleId="729">
    <w:name w:val="HTML 缩写"/>
    <w:next w:val="729"/>
    <w:link w:val="684"/>
  </w:style>
  <w:style w:type="character" w:styleId="730">
    <w:name w:val="HTML 变量"/>
    <w:next w:val="730"/>
    <w:link w:val="684"/>
    <w:rPr>
      <w:b w:val="0"/>
      <w:i w:val="0"/>
    </w:rPr>
  </w:style>
  <w:style w:type="character" w:styleId="731">
    <w:name w:val="超链接"/>
    <w:next w:val="731"/>
    <w:link w:val="684"/>
    <w:rPr>
      <w:color w:val="0000ff"/>
      <w:u w:val="none"/>
    </w:rPr>
  </w:style>
  <w:style w:type="character" w:styleId="732">
    <w:name w:val="HTML 代码"/>
    <w:next w:val="732"/>
    <w:link w:val="684"/>
    <w:rPr>
      <w:rFonts w:ascii="monospace" w:hAnsi="monospace" w:eastAsia="monospace" w:cs="monospace"/>
      <w:b w:val="0"/>
      <w:i w:val="0"/>
      <w:sz w:val="20"/>
    </w:rPr>
  </w:style>
  <w:style w:type="character" w:styleId="733">
    <w:name w:val="批注引用"/>
    <w:next w:val="733"/>
    <w:link w:val="684"/>
    <w:rPr>
      <w:sz w:val="21"/>
      <w:szCs w:val="21"/>
    </w:rPr>
  </w:style>
  <w:style w:type="character" w:styleId="734">
    <w:name w:val="HTML 引文"/>
    <w:next w:val="734"/>
    <w:link w:val="684"/>
    <w:rPr>
      <w:b w:val="0"/>
      <w:i w:val="0"/>
    </w:rPr>
  </w:style>
  <w:style w:type="character" w:styleId="735">
    <w:name w:val="HTML 键盘"/>
    <w:next w:val="735"/>
    <w:link w:val="684"/>
    <w:rPr>
      <w:rFonts w:ascii="monospace" w:hAnsi="monospace" w:eastAsia="monospace" w:cs="monospace"/>
      <w:sz w:val="20"/>
    </w:rPr>
  </w:style>
  <w:style w:type="character" w:styleId="736">
    <w:name w:val="HTML 样本"/>
    <w:next w:val="736"/>
    <w:link w:val="684"/>
    <w:rPr>
      <w:rFonts w:ascii="monospace" w:hAnsi="monospace" w:eastAsia="monospace" w:cs="monospace"/>
    </w:rPr>
  </w:style>
  <w:style w:type="character" w:styleId="737">
    <w:name w:val="Font Style30"/>
    <w:next w:val="737"/>
    <w:link w:val="684"/>
    <w:rPr>
      <w:rFonts w:ascii="宋体" w:eastAsia="宋体" w:cs="宋体"/>
      <w:sz w:val="14"/>
      <w:szCs w:val="14"/>
    </w:rPr>
  </w:style>
  <w:style w:type="character" w:styleId="738">
    <w:name w:val="glyphicon"/>
    <w:next w:val="738"/>
    <w:link w:val="684"/>
  </w:style>
  <w:style w:type="character" w:styleId="739">
    <w:name w:val="Font Style36"/>
    <w:next w:val="739"/>
    <w:link w:val="684"/>
    <w:rPr>
      <w:rFonts w:ascii="宋体" w:eastAsia="宋体" w:cs="宋体"/>
      <w:sz w:val="16"/>
      <w:szCs w:val="16"/>
    </w:rPr>
  </w:style>
  <w:style w:type="character" w:styleId="740">
    <w:name w:val="hour_am"/>
    <w:next w:val="740"/>
    <w:link w:val="684"/>
  </w:style>
  <w:style w:type="character" w:styleId="741">
    <w:name w:val="old"/>
    <w:next w:val="741"/>
    <w:link w:val="684"/>
    <w:rPr>
      <w:color w:val="999999"/>
    </w:rPr>
  </w:style>
  <w:style w:type="character" w:styleId="742">
    <w:name w:val="标题 2 Char,节 Char,Heading 2 Hidden Char,Heading 2 CCBS Char,H2 Char,sect 1.2 Char,H21 Char,sect 1.21 Char,H22 Char,sect 1.22 Char,H211 Char,sect 1.211 Char,H23 Char,sect 1.23 Char,H212 Char,sect 1.212 Char,2nd level Char,h2 Char,2 Char,Header 2 Char"/>
    <w:next w:val="742"/>
    <w:link w:val="684"/>
    <w:rPr>
      <w:rFonts w:ascii="Arial" w:hAnsi="Arial" w:eastAsia="黑体"/>
      <w:b/>
      <w:sz w:val="32"/>
      <w:lang w:val="en-US" w:eastAsia="zh-CN"/>
    </w:rPr>
  </w:style>
  <w:style w:type="character" w:styleId="743">
    <w:name w:val="hover"/>
    <w:next w:val="743"/>
    <w:link w:val="684"/>
    <w:rPr>
      <w:shd w:val="clear" w:color="auto" w:fill="eeeeee"/>
    </w:rPr>
  </w:style>
  <w:style w:type="character" w:styleId="744">
    <w:name w:val="hour_pm"/>
    <w:next w:val="744"/>
    <w:link w:val="684"/>
  </w:style>
  <w:style w:type="character" w:styleId="745">
    <w:name w:val="Font Style28"/>
    <w:next w:val="745"/>
    <w:link w:val="684"/>
    <w:rPr>
      <w:rFonts w:ascii="Constantia" w:hAnsi="Constantia" w:cs="Constantia"/>
      <w:sz w:val="28"/>
      <w:szCs w:val="28"/>
    </w:rPr>
  </w:style>
  <w:style w:type="character" w:styleId="746">
    <w:name w:val="Font Style29"/>
    <w:next w:val="746"/>
    <w:link w:val="684"/>
    <w:rPr>
      <w:rFonts w:ascii="Arial" w:hAnsi="Arial" w:cs="Arial"/>
      <w:sz w:val="14"/>
      <w:szCs w:val="14"/>
    </w:rPr>
  </w:style>
  <w:style w:type="character" w:styleId="747">
    <w:name w:val="Font Style37"/>
    <w:next w:val="747"/>
    <w:link w:val="684"/>
    <w:rPr>
      <w:rFonts w:ascii="Arial" w:hAnsi="Arial" w:cs="Arial"/>
      <w:sz w:val="16"/>
      <w:szCs w:val="16"/>
    </w:rPr>
  </w:style>
  <w:style w:type="character" w:styleId="748">
    <w:name w:val="Plain Text Char"/>
    <w:next w:val="748"/>
    <w:link w:val="684"/>
    <w:rPr>
      <w:rFonts w:ascii="宋体" w:hAnsi="Courier New" w:eastAsia="宋体"/>
      <w:sz w:val="21"/>
      <w:lang w:val="en-US" w:eastAsia="zh-CN" w:bidi="ar-SA"/>
    </w:rPr>
  </w:style>
  <w:style w:type="paragraph" w:styleId="749">
    <w:name w:val="Default"/>
    <w:next w:val="749"/>
    <w:link w:val="684"/>
    <w:pPr>
      <w:widowControl w:val="off"/>
    </w:pPr>
    <w:rPr>
      <w:rFonts w:ascii="仿宋" w:eastAsia="仿宋" w:cs="仿宋"/>
      <w:color w:val="000000"/>
      <w:sz w:val="24"/>
      <w:szCs w:val="24"/>
      <w:lang w:val="en-US" w:eastAsia="zh-CN" w:bidi="ar-SA"/>
    </w:rPr>
  </w:style>
  <w:style w:type="paragraph" w:styleId="750">
    <w:name w:val="默认段落字体 Para Char Char Char Char Char Char Char Char Char1 Char Char Char Char Char Char Char"/>
    <w:basedOn w:val="697"/>
    <w:next w:val="750"/>
    <w:link w:val="684"/>
    <w:rPr>
      <w:rFonts w:ascii="Tahoma" w:hAnsi="Tahoma"/>
      <w:sz w:val="24"/>
    </w:rPr>
  </w:style>
  <w:style w:type="paragraph" w:styleId="751">
    <w:name w:val="Style9"/>
    <w:basedOn w:val="684"/>
    <w:next w:val="751"/>
    <w:link w:val="684"/>
    <w:pPr>
      <w:jc w:val="left"/>
    </w:pPr>
    <w:rPr>
      <w:rFonts w:ascii="宋体"/>
      <w:sz w:val="24"/>
    </w:rPr>
  </w:style>
  <w:style w:type="paragraph" w:styleId="752">
    <w:name w:val="Char"/>
    <w:basedOn w:val="684"/>
    <w:next w:val="752"/>
    <w:link w:val="684"/>
    <w:pPr>
      <w:tabs>
        <w:tab w:val="left" w:pos="360" w:leader="none"/>
      </w:tabs>
    </w:pPr>
    <w:rPr>
      <w:sz w:val="24"/>
    </w:rPr>
  </w:style>
  <w:style w:type="paragraph" w:styleId="753">
    <w:name w:val=" Char Char Char1 Char Char Char Char"/>
    <w:basedOn w:val="684"/>
    <w:next w:val="753"/>
    <w:link w:val="684"/>
    <w:pPr>
      <w:jc w:val="left"/>
      <w:spacing w:after="160" w:line="240" w:lineRule="exact"/>
      <w:widowControl/>
    </w:pPr>
    <w:rPr>
      <w:rFonts w:ascii="宋体" w:hAnsi="宋体"/>
      <w:b/>
      <w:sz w:val="28"/>
      <w:szCs w:val="28"/>
    </w:rPr>
  </w:style>
  <w:style w:type="paragraph" w:styleId="754">
    <w:name w:val="Style10"/>
    <w:basedOn w:val="684"/>
    <w:next w:val="754"/>
    <w:link w:val="684"/>
    <w:pPr>
      <w:jc w:val="left"/>
    </w:pPr>
    <w:rPr>
      <w:rFonts w:ascii="宋体"/>
      <w:sz w:val="24"/>
    </w:rPr>
  </w:style>
  <w:style w:type="paragraph" w:styleId="755">
    <w:name w:val="首行缩进"/>
    <w:basedOn w:val="684"/>
    <w:next w:val="755"/>
    <w:link w:val="684"/>
    <w:qFormat/>
    <w:pPr>
      <w:ind w:firstLine="420"/>
      <w:spacing w:line="360" w:lineRule="auto"/>
    </w:pPr>
    <w:rPr>
      <w:sz w:val="20"/>
    </w:rPr>
  </w:style>
  <w:style w:type="paragraph" w:styleId="756">
    <w:name w:val="普通正文"/>
    <w:basedOn w:val="684"/>
    <w:next w:val="756"/>
    <w:link w:val="684"/>
    <w:pPr>
      <w:ind w:firstLine="480"/>
      <w:jc w:val="left"/>
      <w:spacing w:before="120" w:after="120" w:line="360" w:lineRule="auto"/>
    </w:pPr>
    <w:rPr>
      <w:rFonts w:ascii="Arial" w:hAnsi="Arial"/>
      <w:sz w:val="24"/>
    </w:rPr>
  </w:style>
  <w:style w:type="paragraph" w:styleId="757">
    <w:name w:val="要点标题"/>
    <w:basedOn w:val="684"/>
    <w:next w:val="757"/>
    <w:link w:val="684"/>
    <w:pPr>
      <w:numPr>
        <w:ilvl w:val="0"/>
        <w:numId w:val="1"/>
      </w:numPr>
      <w:jc w:val="left"/>
      <w:tabs>
        <w:tab w:val="left" w:pos="420" w:leader="none"/>
      </w:tabs>
    </w:pPr>
    <w:rPr>
      <w:rFonts w:ascii="宋体" w:hAnsi="宋体"/>
      <w:b/>
      <w:sz w:val="24"/>
    </w:rPr>
  </w:style>
  <w:style w:type="paragraph" w:styleId="758">
    <w:name w:val="文档正文"/>
    <w:basedOn w:val="684"/>
    <w:next w:val="758"/>
    <w:link w:val="684"/>
    <w:pPr>
      <w:ind w:firstLine="567"/>
      <w:spacing w:line="480" w:lineRule="atLeast"/>
    </w:pPr>
    <w:rPr>
      <w:rFonts w:ascii="仿宋_GB2312"/>
      <w:szCs w:val="20"/>
    </w:rPr>
  </w:style>
  <w:style w:type="paragraph" w:styleId="759">
    <w:name w:val="Char Char Char Char"/>
    <w:basedOn w:val="697"/>
    <w:next w:val="759"/>
    <w:link w:val="684"/>
    <w:pPr>
      <w:spacing w:line="360" w:lineRule="auto"/>
    </w:pPr>
    <w:rPr>
      <w:rFonts w:ascii="Tahoma" w:hAnsi="Tahoma"/>
      <w:sz w:val="24"/>
    </w:rPr>
  </w:style>
  <w:style w:type="paragraph" w:styleId="760">
    <w:name w:val=" Char"/>
    <w:basedOn w:val="684"/>
    <w:next w:val="760"/>
    <w:link w:val="684"/>
    <w:pPr>
      <w:ind w:left="420" w:hanging="420"/>
      <w:jc w:val="left"/>
      <w:tabs>
        <w:tab w:val="left" w:pos="420" w:leader="none"/>
      </w:tabs>
    </w:pPr>
    <w:rPr>
      <w:szCs w:val="20"/>
    </w:rPr>
  </w:style>
  <w:style w:type="paragraph" w:styleId="761">
    <w:name w:val="正文（无缩进）"/>
    <w:basedOn w:val="684"/>
    <w:next w:val="761"/>
    <w:link w:val="684"/>
    <w:qFormat/>
    <w:pPr>
      <w:spacing w:line="360" w:lineRule="auto"/>
    </w:pPr>
    <w:rPr>
      <w:rFonts w:ascii="Calibri" w:hAnsi="Calibri"/>
      <w:sz w:val="24"/>
      <w:szCs w:val="21"/>
    </w:rPr>
  </w:style>
  <w:style w:type="paragraph" w:styleId="762">
    <w:name w:val="Style11"/>
    <w:basedOn w:val="684"/>
    <w:next w:val="762"/>
    <w:link w:val="684"/>
    <w:pPr>
      <w:jc w:val="left"/>
      <w:spacing w:line="446" w:lineRule="exact"/>
    </w:pPr>
    <w:rPr>
      <w:rFonts w:ascii="宋体"/>
      <w:sz w:val="24"/>
    </w:rPr>
  </w:style>
  <w:style w:type="paragraph" w:styleId="763">
    <w:name w:val="样式1"/>
    <w:basedOn w:val="684"/>
    <w:next w:val="763"/>
    <w:link w:val="684"/>
    <w:pPr>
      <w:numPr>
        <w:ilvl w:val="0"/>
        <w:numId w:val="2"/>
      </w:numPr>
      <w:tabs>
        <w:tab w:val="left" w:pos="1110" w:leader="none"/>
      </w:tabs>
    </w:pPr>
    <w:rPr>
      <w:rFonts w:ascii="宋体" w:hAnsi="宋体"/>
      <w:szCs w:val="21"/>
    </w:rPr>
  </w:style>
  <w:style w:type="paragraph" w:styleId="764">
    <w:name w:val="_Style 56"/>
    <w:basedOn w:val="697"/>
    <w:next w:val="764"/>
    <w:link w:val="684"/>
    <w:pPr>
      <w:spacing w:line="436" w:lineRule="exact"/>
    </w:pPr>
    <w:rPr>
      <w:szCs w:val="20"/>
    </w:rPr>
  </w:style>
  <w:style w:type="paragraph" w:styleId="765">
    <w:name w:val="Char Char1 Char Char Char Char Char Char"/>
    <w:basedOn w:val="684"/>
    <w:next w:val="765"/>
    <w:link w:val="684"/>
    <w:pPr>
      <w:jc w:val="center"/>
      <w:widowControl/>
    </w:pPr>
    <w:rPr>
      <w:rFonts w:ascii="宋体" w:hAnsi="宋体"/>
      <w:b/>
      <w:sz w:val="24"/>
      <w:lang w:eastAsia="en-US"/>
    </w:rPr>
  </w:style>
  <w:style w:type="paragraph" w:styleId="766">
    <w:name w:val="Char1"/>
    <w:basedOn w:val="684"/>
    <w:next w:val="766"/>
    <w:link w:val="684"/>
    <w:pPr>
      <w:ind w:left="840" w:hanging="420"/>
      <w:tabs>
        <w:tab w:val="left" w:pos="840" w:leader="none"/>
      </w:tabs>
    </w:pPr>
    <w:rPr>
      <w:sz w:val="24"/>
    </w:rPr>
  </w:style>
  <w:style w:type="paragraph" w:styleId="767">
    <w:name w:val="我的样式"/>
    <w:basedOn w:val="685"/>
    <w:next w:val="684"/>
    <w:link w:val="684"/>
    <w:pPr>
      <w:numPr>
        <w:ilvl w:val="0"/>
        <w:numId w:val="3"/>
      </w:numPr>
      <w:spacing w:line="360" w:lineRule="auto"/>
    </w:pPr>
    <w:rPr>
      <w:rFonts w:ascii="仿宋_GB2312" w:eastAsia="仿宋_GB2312"/>
      <w:sz w:val="32"/>
      <w:szCs w:val="30"/>
    </w:rPr>
  </w:style>
  <w:style w:type="paragraph" w:styleId="768">
    <w:name w:val="表格正文"/>
    <w:next w:val="768"/>
    <w:link w:val="684"/>
    <w:pPr>
      <w:spacing w:line="0" w:lineRule="atLeast"/>
    </w:pPr>
    <w:rPr>
      <w:sz w:val="24"/>
      <w:szCs w:val="24"/>
      <w:lang w:val="en-US" w:eastAsia="zh-CN" w:bidi="he-IL"/>
    </w:rPr>
  </w:style>
  <w:style w:type="paragraph" w:styleId="769">
    <w:name w:val=" Char Char Char Char Char Char Char Char Char Char Char Char Char"/>
    <w:basedOn w:val="684"/>
    <w:next w:val="769"/>
    <w:link w:val="684"/>
    <w:pPr>
      <w:jc w:val="left"/>
      <w:spacing w:after="160" w:line="240" w:lineRule="exact"/>
      <w:widowControl/>
    </w:pPr>
    <w:rPr>
      <w:rFonts w:ascii="Verdana" w:hAnsi="Verdana"/>
      <w:sz w:val="20"/>
      <w:szCs w:val="20"/>
      <w:lang w:eastAsia="en-US"/>
    </w:rPr>
  </w:style>
  <w:style w:type="paragraph" w:styleId="770">
    <w:name w:val="标题1"/>
    <w:basedOn w:val="685"/>
    <w:next w:val="684"/>
    <w:link w:val="684"/>
    <w:pPr>
      <w:numPr>
        <w:ilvl w:val="0"/>
        <w:numId w:val="2"/>
      </w:numPr>
      <w:jc w:val="left"/>
      <w:spacing w:line="578" w:lineRule="atLeast"/>
    </w:pPr>
  </w:style>
  <w:style w:type="paragraph" w:styleId="771">
    <w:name w:val="正文（缩进） Char1"/>
    <w:basedOn w:val="684"/>
    <w:next w:val="771"/>
    <w:link w:val="684"/>
    <w:pPr>
      <w:ind w:firstLine="480"/>
      <w:spacing w:before="156" w:after="156" w:line="360" w:lineRule="auto"/>
    </w:pPr>
    <w:rPr>
      <w:sz w:val="24"/>
    </w:rPr>
  </w:style>
  <w:style w:type="paragraph" w:styleId="772">
    <w:name w:val="修订"/>
    <w:next w:val="772"/>
    <w:link w:val="684"/>
    <w:uiPriority w:val="99"/>
    <w:semiHidden/>
    <w:rPr>
      <w:sz w:val="21"/>
      <w:szCs w:val="24"/>
      <w:lang w:val="en-US" w:eastAsia="zh-CN" w:bidi="ar-SA"/>
    </w:rPr>
  </w:style>
  <w:style w:type="paragraph" w:styleId="773">
    <w:name w:val="Style12"/>
    <w:basedOn w:val="684"/>
    <w:next w:val="773"/>
    <w:link w:val="684"/>
    <w:pPr>
      <w:jc w:val="left"/>
    </w:pPr>
    <w:rPr>
      <w:rFonts w:ascii="宋体"/>
      <w:sz w:val="24"/>
    </w:rPr>
  </w:style>
  <w:style w:type="paragraph" w:styleId="774">
    <w:name w:val="纯文本1"/>
    <w:basedOn w:val="684"/>
    <w:next w:val="774"/>
    <w:link w:val="684"/>
    <w:qFormat/>
    <w:rPr>
      <w:rFonts w:ascii="宋体" w:hAnsi="Courier New"/>
      <w:szCs w:val="20"/>
    </w:rPr>
  </w:style>
  <w:style w:type="character" w:styleId="11735" w:default="1">
    <w:name w:val="Default Paragraph Font"/>
    <w:uiPriority w:val="1"/>
    <w:semiHidden/>
    <w:unhideWhenUsed/>
  </w:style>
  <w:style w:type="numbering" w:styleId="11736" w:default="1">
    <w:name w:val="No List"/>
    <w:uiPriority w:val="99"/>
    <w:semiHidden/>
    <w:unhideWhenUsed/>
  </w:style>
  <w:style w:type="table" w:styleId="117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王文真</cp:lastModifiedBy>
  <cp:revision>3</cp:revision>
  <dcterms:created xsi:type="dcterms:W3CDTF">2024-01-08T08:47:00Z</dcterms:created>
  <dcterms:modified xsi:type="dcterms:W3CDTF">2026-09-29T08:33:26Z</dcterms:modified>
</cp:coreProperties>
</file>