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仿宋"/>
          <w:color w:val="000000"/>
          <w:spacing w:val="24"/>
          <w:sz w:val="72"/>
          <w:szCs w:val="72"/>
          <w:highlight w:val="none"/>
        </w:rPr>
      </w:pPr>
      <w:r>
        <w:rPr>
          <w:rFonts w:hint="eastAsia" w:ascii="仿宋" w:hAnsi="仿宋" w:eastAsia="仿宋" w:cs="仿宋"/>
          <w:color w:val="000000"/>
          <w:spacing w:val="24"/>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t xml:space="preserve">公 开 招 标 文 件</w:t>
      </w:r>
      <w:r/>
    </w:p>
    <w:p>
      <w:pPr>
        <w:ind w:left="162"/>
        <w:jc w:val="center"/>
        <w:spacing w:line="1040" w:lineRule="exact"/>
        <w:rPr>
          <w:rFonts w:hint="eastAsia" w:ascii="仿宋" w:hAnsi="仿宋" w:eastAsia="仿宋" w:cs="仿宋"/>
          <w:b/>
          <w:color w:val="000000"/>
          <w:sz w:val="40"/>
          <w:szCs w:val="40"/>
          <w:highlight w:val="none"/>
        </w:rPr>
      </w:pPr>
      <w:r>
        <w:rPr>
          <w:rFonts w:hint="eastAsia" w:ascii="仿宋" w:hAnsi="仿宋" w:eastAsia="仿宋" w:cs="仿宋"/>
          <w:b/>
          <w:color w:val="000000"/>
          <w:sz w:val="40"/>
          <w:szCs w:val="40"/>
          <w:highlight w:val="none"/>
        </w:rPr>
      </w:r>
      <w:r/>
    </w:p>
    <w:p>
      <w:pPr>
        <w:pStyle w:val="642"/>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646"/>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lang w:val="en-US"/>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left="0" w:firstLine="361"/>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：热工、电学</w:t>
      </w:r>
      <w:r>
        <w:rPr>
          <w:rFonts w:hint="eastAsia" w:ascii="仿宋" w:hAnsi="仿宋" w:eastAsia="仿宋" w:cs="仿宋"/>
          <w:b/>
          <w:sz w:val="36"/>
          <w:szCs w:val="36"/>
          <w:highlight w:val="none"/>
          <w:lang w:val="en-US" w:eastAsia="zh-CN"/>
        </w:rPr>
        <w:t xml:space="preserve">及</w:t>
      </w:r>
      <w:r>
        <w:rPr>
          <w:rFonts w:hint="eastAsia" w:ascii="仿宋" w:hAnsi="仿宋" w:eastAsia="仿宋" w:cs="仿宋"/>
          <w:b/>
          <w:sz w:val="36"/>
          <w:szCs w:val="36"/>
          <w:highlight w:val="none"/>
          <w:lang w:eastAsia="zh-CN"/>
        </w:rPr>
        <w:t xml:space="preserve">容量检定装置采购项目</w:t>
      </w:r>
      <w:r/>
    </w:p>
    <w:p>
      <w:pPr>
        <w:ind w:left="0" w:firstLine="361"/>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：JSZC-320800-HWYW-G2026-0006</w:t>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   标   </w:t>
      </w:r>
      <w:r>
        <w:rPr>
          <w:rFonts w:hint="eastAsia" w:ascii="仿宋" w:hAnsi="仿宋" w:eastAsia="仿宋" w:cs="仿宋"/>
          <w:b/>
          <w:sz w:val="36"/>
          <w:szCs w:val="36"/>
          <w:highlight w:val="none"/>
        </w:rPr>
        <w:t xml:space="preserve">人</w:t>
      </w:r>
      <w:r>
        <w:rPr>
          <w:rFonts w:hint="eastAsia" w:ascii="仿宋" w:hAnsi="仿宋" w:eastAsia="仿宋" w:cs="仿宋"/>
          <w:b/>
          <w:sz w:val="36"/>
          <w:szCs w:val="36"/>
          <w:highlight w:val="none"/>
          <w:lang w:eastAsia="zh-CN"/>
        </w:rPr>
        <w:t xml:space="preserve">：淮安市计量测试中心</w:t>
      </w:r>
      <w:r/>
    </w:p>
    <w:p>
      <w:pPr>
        <w:ind w:left="2525" w:hanging="1807"/>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val="en-US" w:eastAsia="zh-CN"/>
        </w:rPr>
        <w:t xml:space="preserve">招标</w:t>
      </w:r>
      <w:r>
        <w:rPr>
          <w:rFonts w:hint="eastAsia" w:ascii="仿宋" w:hAnsi="仿宋" w:eastAsia="仿宋" w:cs="仿宋"/>
          <w:b/>
          <w:sz w:val="36"/>
          <w:szCs w:val="36"/>
          <w:highlight w:val="none"/>
        </w:rPr>
        <w:t xml:space="preserve">代理机构：</w:t>
      </w:r>
      <w:r>
        <w:rPr>
          <w:rFonts w:hint="eastAsia" w:ascii="仿宋" w:hAnsi="仿宋" w:eastAsia="仿宋" w:cs="仿宋"/>
          <w:b/>
          <w:sz w:val="36"/>
          <w:szCs w:val="36"/>
          <w:highlight w:val="none"/>
          <w:lang w:eastAsia="zh-CN"/>
        </w:rPr>
        <w:t xml:space="preserve">淮安友旺管理咨询有限公司</w:t>
      </w:r>
      <w:r/>
    </w:p>
    <w:p>
      <w:pPr>
        <w:jc w:val="center"/>
        <w:keepLines w:val="0"/>
        <w:keepNext w:val="0"/>
        <w:pageBreakBefore w:val="0"/>
        <w:spacing w:line="600" w:lineRule="exact"/>
        <w:tabs>
          <w:tab w:val="center" w:pos="5215" w:leader="none"/>
        </w:tabs>
        <w:rPr>
          <w:rFonts w:hint="eastAsia" w:ascii="仿宋" w:hAnsi="仿宋" w:eastAsia="仿宋" w:cs="仿宋"/>
          <w:b/>
          <w:sz w:val="36"/>
          <w:szCs w:val="36"/>
          <w:highlight w:val="none"/>
          <w:lang w:eastAsia="zh-CN"/>
        </w:rPr>
        <w:outlineLvl w:val="9"/>
      </w:pPr>
      <w:r>
        <w:rPr>
          <w:rFonts w:hint="eastAsia" w:ascii="仿宋" w:hAnsi="仿宋" w:eastAsia="仿宋" w:cs="仿宋"/>
          <w:b/>
          <w:sz w:val="36"/>
          <w:szCs w:val="36"/>
          <w:highlight w:val="none"/>
          <w:lang w:eastAsia="zh-CN"/>
        </w:rPr>
      </w:r>
      <w:r/>
    </w:p>
    <w:p>
      <w:pPr>
        <w:jc w:val="center"/>
        <w:keepLines w:val="0"/>
        <w:keepNext w:val="0"/>
        <w:pageBreakBefore w:val="0"/>
        <w:spacing w:line="600" w:lineRule="exact"/>
        <w:tabs>
          <w:tab w:val="center" w:pos="5215" w:leader="none"/>
        </w:tabs>
        <w:rPr>
          <w:rFonts w:hint="eastAsia" w:ascii="仿宋" w:hAnsi="仿宋" w:eastAsia="仿宋" w:cs="仿宋"/>
          <w:sz w:val="24"/>
          <w:highlight w:val="none"/>
        </w:rPr>
        <w:outlineLvl w:val="9"/>
      </w:pP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九</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lang w:val="en-US" w:eastAsia="zh-CN"/>
        </w:rPr>
        <w:t xml:space="preserve">十八</w:t>
      </w:r>
      <w:r>
        <w:rPr>
          <w:rFonts w:hint="eastAsia" w:ascii="仿宋" w:hAnsi="仿宋" w:eastAsia="仿宋" w:cs="仿宋"/>
          <w:b/>
          <w:sz w:val="36"/>
          <w:szCs w:val="36"/>
          <w:highlight w:val="none"/>
        </w:rPr>
        <w:t xml:space="preserve">日</w:t>
      </w:r>
      <w:r/>
    </w:p>
    <w:p>
      <w:pPr>
        <w:jc w:val="center"/>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lang w:val="en-US" w:eastAsia="zh-CN"/>
        </w:rPr>
        <w:t xml:space="preserve">第一章</w:t>
      </w:r>
      <w:r>
        <w:rPr>
          <w:rFonts w:hint="eastAsia" w:ascii="仿宋" w:hAnsi="仿宋" w:eastAsia="仿宋" w:cs="仿宋"/>
          <w:b/>
          <w:color w:val="000000"/>
          <w:sz w:val="36"/>
          <w:szCs w:val="36"/>
          <w:highlight w:val="none"/>
        </w:rPr>
        <w:t xml:space="preserve"> </w:t>
      </w:r>
      <w:bookmarkStart w:id="0" w:name="OLE_LINK1"/>
      <w:r>
        <w:rPr>
          <w:rFonts w:hint="eastAsia" w:ascii="仿宋" w:hAnsi="仿宋" w:eastAsia="仿宋" w:cs="仿宋"/>
          <w:b/>
          <w:color w:val="000000"/>
          <w:sz w:val="36"/>
          <w:szCs w:val="36"/>
          <w:highlight w:val="none"/>
          <w:lang w:val="en-US" w:eastAsia="zh-CN"/>
        </w:rPr>
        <w:t xml:space="preserve">投标邀请</w:t>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1071880</wp:posOffset>
                </wp:positionV>
                <wp:extent cx="5761355" cy="1170305"/>
                <wp:effectExtent l="4445" t="4445"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7030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热工、电学容量检定装置采购项目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0.8pt;mso-position-horizontal:absolute;mso-position-vertical-relative:text;margin-top:84.4pt;mso-position-vertical:absolute;width:453.6pt;height:92.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热工、电学容量检定装置采购项目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rPr>
          <w:rFonts w:hint="eastAsia" w:ascii="仿宋" w:hAnsi="仿宋" w:eastAsia="仿宋" w:cs="仿宋"/>
          <w:color w:val="000000"/>
          <w:sz w:val="28"/>
          <w:szCs w:val="28"/>
          <w:highlight w:val="none"/>
          <w:lang w:val="zh-CN"/>
        </w:rPr>
        <w:t xml:space="preserve">受</w:t>
      </w:r>
      <w:r>
        <w:rPr>
          <w:rFonts w:hint="eastAsia" w:ascii="仿宋" w:hAnsi="仿宋" w:eastAsia="仿宋" w:cs="仿宋"/>
          <w:color w:val="000000"/>
          <w:sz w:val="28"/>
          <w:szCs w:val="28"/>
          <w:highlight w:val="none"/>
          <w:lang w:eastAsia="zh-CN"/>
        </w:rPr>
        <w:t xml:space="preserve">淮安市计量测试中心</w:t>
      </w:r>
      <w:r>
        <w:rPr>
          <w:rFonts w:hint="eastAsia" w:ascii="仿宋" w:hAnsi="仿宋" w:eastAsia="仿宋" w:cs="仿宋"/>
          <w:color w:val="000000"/>
          <w:sz w:val="28"/>
          <w:szCs w:val="28"/>
          <w:highlight w:val="none"/>
          <w:lang w:val="zh-CN"/>
        </w:rPr>
        <w:t xml:space="preserve">的委托，淮安友旺管理咨询有限公司就热工、电学及容量检定装置采购项目进行</w:t>
      </w:r>
      <w:r>
        <w:rPr>
          <w:rFonts w:hint="eastAsia" w:ascii="仿宋" w:hAnsi="仿宋" w:eastAsia="仿宋" w:cs="仿宋"/>
          <w:color w:val="000000"/>
          <w:sz w:val="28"/>
          <w:szCs w:val="28"/>
          <w:highlight w:val="none"/>
          <w:lang w:val="en-US" w:eastAsia="zh-CN"/>
        </w:rPr>
        <w:t xml:space="preserve">公开招标</w:t>
      </w:r>
      <w:r>
        <w:rPr>
          <w:rFonts w:hint="eastAsia" w:ascii="仿宋" w:hAnsi="仿宋" w:eastAsia="仿宋" w:cs="仿宋"/>
          <w:color w:val="000000"/>
          <w:sz w:val="28"/>
          <w:szCs w:val="28"/>
          <w:highlight w:val="none"/>
          <w:lang w:val="zh-CN"/>
        </w:rPr>
        <w:t xml:space="preserve">采购，现邀请符合条件的投标人参加投标。</w:t>
      </w:r>
      <w:bookmarkStart w:id="1" w:name="_Toc28359012"/>
      <w:r/>
      <w:bookmarkStart w:id="2" w:name="_Toc28359089"/>
      <w:r/>
      <w:bookmarkStart w:id="3" w:name="_Toc35393798"/>
      <w:r/>
      <w:bookmarkStart w:id="4" w:name="_Toc35393629"/>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bookmarkEnd w:id="1"/>
      <w:r/>
      <w:bookmarkEnd w:id="2"/>
      <w:r/>
      <w:bookmarkEnd w:id="3"/>
      <w:r/>
      <w:bookmarkEnd w:id="4"/>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项目编号：JSZC-320800-HWYW-G2026-0006</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项目名称：</w:t>
      </w:r>
      <w:r>
        <w:rPr>
          <w:rFonts w:hint="eastAsia" w:ascii="仿宋" w:hAnsi="仿宋" w:eastAsia="仿宋" w:cs="仿宋"/>
          <w:b w:val="0"/>
          <w:bCs w:val="0"/>
          <w:color w:val="000000"/>
          <w:sz w:val="28"/>
          <w:szCs w:val="28"/>
          <w:highlight w:val="none"/>
          <w:lang w:eastAsia="zh-CN"/>
        </w:rPr>
        <w:t xml:space="preserve">热工、电学及容量检定装置采购项目</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（三）</w:t>
      </w:r>
      <w:r>
        <w:rPr>
          <w:rFonts w:hint="eastAsia" w:ascii="仿宋" w:hAnsi="仿宋" w:eastAsia="仿宋" w:cs="仿宋"/>
          <w:b w:val="0"/>
          <w:bCs w:val="0"/>
          <w:color w:val="000000"/>
          <w:sz w:val="28"/>
          <w:szCs w:val="28"/>
          <w:highlight w:val="none"/>
        </w:rPr>
        <w:t xml:space="preserve">预算金额：</w:t>
      </w:r>
      <w:r>
        <w:rPr>
          <w:rFonts w:hint="eastAsia" w:ascii="仿宋" w:hAnsi="仿宋" w:eastAsia="仿宋" w:cs="仿宋"/>
          <w:b w:val="0"/>
          <w:bCs w:val="0"/>
          <w:color w:val="000000"/>
          <w:sz w:val="28"/>
          <w:szCs w:val="28"/>
          <w:highlight w:val="none"/>
          <w:lang w:val="en-US" w:eastAsia="zh-CN"/>
        </w:rPr>
        <w:t xml:space="preserve">175</w:t>
      </w:r>
      <w:r>
        <w:rPr>
          <w:rFonts w:hint="eastAsia" w:ascii="仿宋" w:hAnsi="仿宋" w:eastAsia="仿宋" w:cs="仿宋"/>
          <w:b w:val="0"/>
          <w:bCs w:val="0"/>
          <w:color w:val="000000"/>
          <w:sz w:val="28"/>
          <w:szCs w:val="28"/>
          <w:highlight w:val="none"/>
          <w:lang w:eastAsia="zh-CN"/>
        </w:rPr>
        <w:t xml:space="preserve">万元</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（四）</w:t>
      </w:r>
      <w:r>
        <w:rPr>
          <w:rFonts w:hint="eastAsia" w:ascii="仿宋" w:hAnsi="仿宋" w:eastAsia="仿宋" w:cs="仿宋"/>
          <w:b w:val="0"/>
          <w:bCs w:val="0"/>
          <w:color w:val="000000"/>
          <w:sz w:val="28"/>
          <w:szCs w:val="28"/>
          <w:highlight w:val="none"/>
        </w:rPr>
        <w:t xml:space="preserve">最高限价：</w:t>
      </w:r>
      <w:r>
        <w:rPr>
          <w:rFonts w:hint="eastAsia" w:ascii="仿宋" w:hAnsi="仿宋" w:eastAsia="仿宋" w:cs="仿宋"/>
          <w:b w:val="0"/>
          <w:bCs w:val="0"/>
          <w:color w:val="000000"/>
          <w:sz w:val="28"/>
          <w:szCs w:val="28"/>
          <w:highlight w:val="none"/>
          <w:lang w:val="en-US" w:eastAsia="zh-CN"/>
        </w:rPr>
        <w:t xml:space="preserve">175万元</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（五）</w:t>
      </w:r>
      <w:r>
        <w:rPr>
          <w:rFonts w:hint="eastAsia" w:ascii="仿宋" w:hAnsi="仿宋" w:eastAsia="仿宋" w:cs="仿宋"/>
          <w:b w:val="0"/>
          <w:bCs w:val="0"/>
          <w:color w:val="000000"/>
          <w:sz w:val="28"/>
          <w:szCs w:val="28"/>
          <w:highlight w:val="none"/>
        </w:rPr>
        <w:t xml:space="preserve">采购需求：</w:t>
      </w:r>
      <w:r>
        <w:rPr>
          <w:rFonts w:hint="eastAsia" w:ascii="仿宋" w:hAnsi="仿宋" w:eastAsia="仿宋" w:cs="仿宋"/>
          <w:b w:val="0"/>
          <w:bCs w:val="0"/>
          <w:color w:val="000000"/>
          <w:sz w:val="28"/>
          <w:szCs w:val="28"/>
          <w:highlight w:val="none"/>
          <w:lang w:eastAsia="zh-CN"/>
        </w:rPr>
        <w:t xml:space="preserve">热工、电学及容量检定装置采购项目，具体详见第</w:t>
      </w: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lang w:eastAsia="zh-CN"/>
        </w:rPr>
        <w:t xml:space="preserve">章项目采购需求。</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（六）</w:t>
      </w:r>
      <w:r>
        <w:rPr>
          <w:rFonts w:hint="eastAsia" w:ascii="仿宋" w:hAnsi="仿宋" w:eastAsia="仿宋" w:cs="仿宋"/>
          <w:b w:val="0"/>
          <w:bCs w:val="0"/>
          <w:color w:val="000000"/>
          <w:sz w:val="28"/>
          <w:szCs w:val="28"/>
          <w:highlight w:val="none"/>
        </w:rPr>
        <w:t xml:space="preserve">合同履行期限：</w:t>
      </w:r>
      <w:r>
        <w:rPr>
          <w:rFonts w:hint="eastAsia" w:ascii="仿宋" w:hAnsi="仿宋" w:eastAsia="仿宋" w:cs="仿宋"/>
          <w:b w:val="0"/>
          <w:bCs w:val="0"/>
          <w:color w:val="000000"/>
          <w:sz w:val="28"/>
          <w:szCs w:val="28"/>
          <w:highlight w:val="none"/>
          <w:lang w:val="en-US" w:eastAsia="zh-CN"/>
        </w:rPr>
        <w:t xml:space="preserve">6个月</w:t>
      </w:r>
      <w:r>
        <w:rPr>
          <w:rFonts w:hint="eastAsia" w:ascii="仿宋" w:hAnsi="仿宋" w:eastAsia="仿宋" w:cs="仿宋"/>
          <w:b w:val="0"/>
          <w:bCs w:val="0"/>
          <w:color w:val="00000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（七）</w:t>
      </w:r>
      <w:r>
        <w:rPr>
          <w:rFonts w:hint="eastAsia" w:ascii="仿宋" w:hAnsi="仿宋" w:eastAsia="仿宋" w:cs="仿宋"/>
          <w:b w:val="0"/>
          <w:bCs w:val="0"/>
          <w:color w:val="000000"/>
          <w:sz w:val="28"/>
          <w:szCs w:val="28"/>
          <w:highlight w:val="none"/>
        </w:rPr>
        <w:t xml:space="preserve">本项目（是/否）接受联合体：否。</w:t>
      </w:r>
      <w:r/>
    </w:p>
    <w:p>
      <w:pPr>
        <w:ind w:firstLine="565"/>
        <w:keepLines w:val="0"/>
        <w:keepNext w:val="0"/>
        <w:pageBreakBefore w:val="0"/>
        <w:spacing w:line="360" w:lineRule="auto"/>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val="0"/>
          <w:bCs w:val="0"/>
          <w:sz w:val="28"/>
          <w:szCs w:val="28"/>
          <w:highlight w:val="none"/>
        </w:rPr>
        <w:t xml:space="preserve">八）本项目采购标的对应的中小企业划分标准所属行业为</w:t>
      </w:r>
      <w:r>
        <w:rPr>
          <w:rFonts w:hint="eastAsia" w:ascii="仿宋" w:hAnsi="仿宋" w:eastAsia="仿宋" w:cs="仿宋"/>
          <w:b w:val="0"/>
          <w:bCs w:val="0"/>
          <w:sz w:val="28"/>
          <w:szCs w:val="28"/>
          <w:highlight w:val="none"/>
          <w:u w:val="single"/>
          <w:lang w:val="en-US" w:eastAsia="zh-CN"/>
        </w:rPr>
        <w:t xml:space="preserve">其他未列明行业</w:t>
      </w:r>
      <w:r>
        <w:rPr>
          <w:rFonts w:hint="eastAsia" w:ascii="仿宋" w:hAnsi="仿宋" w:eastAsia="仿宋" w:cs="仿宋"/>
          <w:b w:val="0"/>
          <w:bCs w:val="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bookmarkStart w:id="5" w:name="_Toc35393630"/>
      <w:r/>
      <w:bookmarkStart w:id="6" w:name="_Toc28359013"/>
      <w:r/>
      <w:bookmarkStart w:id="7" w:name="_Toc35393799"/>
      <w:r/>
      <w:bookmarkStart w:id="8" w:name="_Toc28359090"/>
      <w:r>
        <w:rPr>
          <w:rFonts w:hint="eastAsia" w:ascii="仿宋" w:hAnsi="仿宋" w:eastAsia="仿宋" w:cs="仿宋"/>
          <w:b w:val="0"/>
          <w:bCs w:val="0"/>
          <w:color w:val="000000"/>
          <w:sz w:val="28"/>
          <w:szCs w:val="28"/>
          <w:highlight w:val="none"/>
        </w:rPr>
        <w:t xml:space="preserve">二、申请人的资格要求：</w:t>
      </w:r>
      <w:bookmarkEnd w:id="5"/>
      <w:r/>
      <w:bookmarkEnd w:id="6"/>
      <w:r/>
      <w:bookmarkEnd w:id="7"/>
      <w:r/>
      <w:bookmarkEnd w:id="8"/>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（一）满足《中华人民共和国政府采购法》第二十二条规定：</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本项目按照以下第</w:t>
      </w:r>
      <w:r>
        <w:rPr>
          <w:rFonts w:hint="eastAsia" w:ascii="仿宋" w:hAnsi="仿宋" w:eastAsia="仿宋" w:cs="仿宋"/>
          <w:b w:val="0"/>
          <w:bCs w:val="0"/>
          <w:color w:val="000000"/>
          <w:sz w:val="28"/>
          <w:szCs w:val="28"/>
          <w:highlight w:val="none"/>
          <w:u w:val="single"/>
          <w:shd w:val="clear" w:color="auto" w:fill="ffffff"/>
          <w:lang w:val="en-US" w:eastAsia="zh-CN"/>
        </w:rPr>
        <w:t xml:space="preserve"> 1 </w:t>
      </w:r>
      <w:r>
        <w:rPr>
          <w:rFonts w:hint="eastAsia" w:ascii="仿宋" w:hAnsi="仿宋" w:eastAsia="仿宋" w:cs="仿宋"/>
          <w:b w:val="0"/>
          <w:bCs w:val="0"/>
          <w:color w:val="000000"/>
          <w:sz w:val="28"/>
          <w:szCs w:val="28"/>
          <w:highlight w:val="none"/>
          <w:shd w:val="clear" w:color="auto" w:fill="ffffff"/>
        </w:rPr>
        <w:t xml:space="preserve">种方式落实政府采购促进中小企业发展的要求：</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本项目为专门面向中小企业采购的项目。</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本项目通过以下第（ ）种方式预留部分采购份额采购中小企业服务：</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（1）本项目要求供应商以联合体形式参加，中小企业合同金额应当达到的比例为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 %（两项比例均应符合《政府采购促进中小企业发展管理办法》第八条规定）。</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（2）本项目要求供应商进行合同分包，中小企业合同金额应当达到的比例为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%（两项比例均应符合《政府采购促进中小企业发展管理办法》第八条规定）。</w:t>
      </w:r>
      <w:r/>
    </w:p>
    <w:p>
      <w:pPr>
        <w:pStyle w:val="643"/>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shd w:val="clear" w:color="auto" w:fill="ffffff"/>
        </w:rPr>
        <w:t xml:space="preserve">3</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本项目为非预留份额的采购项目，对小微企业报价给予扣除，用扣除后的价格参加评审，具体详见第二章“供应商须知”第30项。</w:t>
      </w:r>
      <w:r/>
    </w:p>
    <w:p>
      <w:pPr>
        <w:ind w:firstLine="560"/>
        <w:keepLines w:val="0"/>
        <w:keepNext w:val="0"/>
        <w:pageBreakBefore w:val="0"/>
        <w:spacing w:line="360" w:lineRule="auto"/>
        <w:rPr>
          <w:rFonts w:hint="eastAsia" w:ascii="仿宋" w:hAnsi="仿宋" w:eastAsia="仿宋" w:cs="仿宋"/>
          <w:b w:val="0"/>
          <w:bCs w:val="0"/>
          <w:sz w:val="28"/>
          <w:szCs w:val="28"/>
          <w:highlight w:val="none"/>
          <w:lang w:val="zh-CN"/>
        </w:rPr>
        <w:outlineLvl w:val="9"/>
      </w:pPr>
      <w:r>
        <w:rPr>
          <w:rFonts w:hint="eastAsia" w:ascii="仿宋" w:hAnsi="仿宋" w:eastAsia="仿宋" w:cs="仿宋"/>
          <w:b w:val="0"/>
          <w:bCs w:val="0"/>
          <w:sz w:val="28"/>
          <w:szCs w:val="28"/>
          <w:highlight w:val="none"/>
        </w:rPr>
        <w:t xml:space="preserve">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pStyle w:val="639"/>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（三）本项目的特定资格要求：</w:t>
      </w:r>
      <w:r>
        <w:rPr>
          <w:rFonts w:hint="eastAsia" w:ascii="仿宋" w:hAnsi="仿宋" w:eastAsia="仿宋" w:cs="仿宋"/>
          <w:b w:val="0"/>
          <w:bCs w:val="0"/>
          <w:color w:val="000000"/>
          <w:sz w:val="28"/>
          <w:szCs w:val="28"/>
          <w:highlight w:val="none"/>
          <w:lang w:val="en-US" w:eastAsia="zh-CN" w:bidi="ar-SA"/>
        </w:rPr>
        <w:t xml:space="preserve">无</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9" w:name="_Toc28359014"/>
      <w:r/>
      <w:bookmarkStart w:id="10" w:name="_Toc35393631"/>
      <w:r/>
      <w:bookmarkStart w:id="11" w:name="_Toc28359091"/>
      <w:r/>
      <w:bookmarkStart w:id="12" w:name="_Toc35393800"/>
      <w:r>
        <w:rPr>
          <w:rFonts w:hint="eastAsia" w:ascii="仿宋" w:hAnsi="仿宋" w:eastAsia="仿宋" w:cs="仿宋"/>
          <w:b w:val="0"/>
          <w:bCs w:val="0"/>
          <w:color w:val="000000"/>
          <w:sz w:val="28"/>
          <w:szCs w:val="28"/>
          <w:highlight w:val="none"/>
        </w:rPr>
        <w:t xml:space="preserve">三、获取</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w:t>
      </w:r>
      <w:bookmarkEnd w:id="9"/>
      <w:r/>
      <w:bookmarkEnd w:id="10"/>
      <w:r/>
      <w:bookmarkEnd w:id="11"/>
      <w:r/>
      <w:bookmarkEnd w:id="12"/>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3" w:name="_Toc28359015"/>
      <w:r/>
      <w:bookmarkStart w:id="14" w:name="_Toc35393632"/>
      <w:r/>
      <w:bookmarkStart w:id="15" w:name="_Toc28359092"/>
      <w:r/>
      <w:bookmarkStart w:id="16" w:name="_Toc35393801"/>
      <w:r>
        <w:rPr>
          <w:rFonts w:hint="eastAsia" w:ascii="仿宋" w:hAnsi="仿宋" w:eastAsia="仿宋" w:cs="仿宋"/>
          <w:b w:val="0"/>
          <w:bCs w:val="0"/>
          <w:sz w:val="28"/>
          <w:szCs w:val="28"/>
          <w:highlight w:val="none"/>
        </w:rPr>
        <w:t xml:space="preserve">（一）</w:t>
      </w:r>
      <w:r>
        <w:rPr>
          <w:rFonts w:hint="eastAsia" w:ascii="仿宋" w:hAnsi="仿宋" w:eastAsia="仿宋" w:cs="仿宋"/>
          <w:b w:val="0"/>
          <w:bCs w:val="0"/>
          <w:color w:val="000000"/>
          <w:sz w:val="28"/>
          <w:szCs w:val="28"/>
          <w:highlight w:val="none"/>
        </w:rPr>
        <w:t xml:space="preserve">时间：自</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文件公告发布之日起5个工作日。</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地点：方式：在“淮安市政府采购网”自行免费下载招标文件。</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w:t>
      </w:r>
      <w:bookmarkEnd w:id="13"/>
      <w:r/>
      <w:bookmarkEnd w:id="14"/>
      <w:r/>
      <w:bookmarkEnd w:id="15"/>
      <w:r/>
      <w:bookmarkEnd w:id="16"/>
      <w:r/>
      <w:bookmarkStart w:id="17" w:name="_Toc28359093"/>
      <w:r/>
      <w:bookmarkStart w:id="18" w:name="_Toc35393633"/>
      <w:r/>
      <w:bookmarkStart w:id="19" w:name="_Toc35393802"/>
      <w:r/>
      <w:bookmarkStart w:id="20" w:name="_Toc28359016"/>
      <w:r>
        <w:rPr>
          <w:rFonts w:hint="eastAsia" w:ascii="仿宋" w:hAnsi="仿宋" w:eastAsia="仿宋" w:cs="仿宋"/>
          <w:b w:val="0"/>
          <w:bCs w:val="0"/>
          <w:color w:val="000000"/>
          <w:sz w:val="28"/>
          <w:szCs w:val="28"/>
          <w:highlight w:val="none"/>
        </w:rPr>
        <w:t xml:space="preserve">提交</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文件截止时间、</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时间和地点</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文件上传截止时间及</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时间：2026年</w:t>
      </w:r>
      <w:r>
        <w:rPr>
          <w:rFonts w:hint="eastAsia" w:ascii="仿宋" w:hAnsi="仿宋" w:eastAsia="仿宋" w:cs="仿宋"/>
          <w:b w:val="0"/>
          <w:bCs w:val="0"/>
          <w:color w:val="000000"/>
          <w:sz w:val="28"/>
          <w:szCs w:val="28"/>
          <w:highlight w:val="none"/>
          <w:lang w:val="en-US" w:eastAsia="zh-CN"/>
        </w:rPr>
        <w:t xml:space="preserve">10</w:t>
      </w:r>
      <w:r>
        <w:rPr>
          <w:rFonts w:hint="eastAsia" w:ascii="仿宋" w:hAnsi="仿宋" w:eastAsia="仿宋" w:cs="仿宋"/>
          <w:b w:val="0"/>
          <w:bCs w:val="0"/>
          <w:color w:val="000000"/>
          <w:sz w:val="28"/>
          <w:szCs w:val="28"/>
          <w:highlight w:val="none"/>
        </w:rPr>
        <w:t xml:space="preserve">月</w:t>
      </w:r>
      <w:r>
        <w:rPr>
          <w:rFonts w:hint="eastAsia" w:ascii="仿宋" w:hAnsi="仿宋" w:eastAsia="仿宋" w:cs="仿宋"/>
          <w:b w:val="0"/>
          <w:bCs w:val="0"/>
          <w:color w:val="000000"/>
          <w:sz w:val="28"/>
          <w:szCs w:val="28"/>
          <w:highlight w:val="none"/>
          <w:lang w:val="en-US" w:eastAsia="zh-CN"/>
        </w:rPr>
        <w:t xml:space="preserve">19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rPr>
        <w:t xml:space="preserve">日</w:t>
      </w:r>
      <w:r>
        <w:rPr>
          <w:rFonts w:hint="eastAsia" w:ascii="仿宋" w:hAnsi="仿宋" w:eastAsia="仿宋" w:cs="仿宋"/>
          <w:b w:val="0"/>
          <w:bCs w:val="0"/>
          <w:color w:val="000000"/>
          <w:sz w:val="28"/>
          <w:szCs w:val="28"/>
          <w:highlight w:val="none"/>
          <w:lang w:val="en-US" w:eastAsia="zh-CN"/>
        </w:rPr>
        <w:t xml:space="preserve">14</w:t>
      </w:r>
      <w:r>
        <w:rPr>
          <w:rFonts w:hint="eastAsia" w:ascii="仿宋" w:hAnsi="仿宋" w:eastAsia="仿宋" w:cs="仿宋"/>
          <w:b w:val="0"/>
          <w:bCs w:val="0"/>
          <w:color w:val="000000"/>
          <w:sz w:val="28"/>
          <w:szCs w:val="28"/>
          <w:highlight w:val="none"/>
        </w:rPr>
        <w:t xml:space="preserve">时</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0分；</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投标文件上传地址：“苏采云”政府采购交易</w:t>
      </w:r>
      <w:r>
        <w:rPr>
          <w:rFonts w:hint="eastAsia" w:ascii="仿宋" w:hAnsi="仿宋" w:eastAsia="仿宋" w:cs="仿宋"/>
          <w:b w:val="0"/>
          <w:bCs w:val="0"/>
          <w:sz w:val="28"/>
          <w:szCs w:val="28"/>
          <w:highlight w:val="none"/>
        </w:rPr>
        <w:t xml:space="preserve">系统网上开标大厅。</w:t>
      </w:r>
      <w:bookmarkEnd w:id="17"/>
      <w:bookmarkEnd w:id="18"/>
      <w:bookmarkEnd w:id="19"/>
      <w:bookmarkEnd w:id="20"/>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21" w:name="_Toc35393803"/>
      <w:r/>
      <w:bookmarkStart w:id="22" w:name="_Toc28359094"/>
      <w:r/>
      <w:bookmarkStart w:id="23" w:name="_Toc35393634"/>
      <w:r/>
      <w:bookmarkStart w:id="24" w:name="_Toc28359017"/>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rPr>
        <w:t xml:space="preserve">、公告期限</w:t>
      </w:r>
      <w:bookmarkEnd w:id="21"/>
      <w:r/>
      <w:bookmarkEnd w:id="22"/>
      <w:r/>
      <w:bookmarkEnd w:id="23"/>
      <w:r/>
      <w:bookmarkEnd w:id="24"/>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自本公告发布之日起5个工作日。</w:t>
      </w:r>
      <w:r/>
    </w:p>
    <w:p>
      <w:pPr>
        <w:ind w:firstLine="484"/>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六</w:t>
      </w:r>
      <w:r>
        <w:rPr>
          <w:rFonts w:hint="eastAsia" w:ascii="仿宋" w:hAnsi="仿宋" w:eastAsia="仿宋" w:cs="仿宋"/>
          <w:b w:val="0"/>
          <w:bCs w:val="0"/>
          <w:color w:val="000000"/>
          <w:sz w:val="28"/>
          <w:szCs w:val="28"/>
          <w:highlight w:val="none"/>
        </w:rPr>
        <w:t xml:space="preserve">、其他补充事宜</w:t>
      </w:r>
      <w:r/>
    </w:p>
    <w:p>
      <w:pPr>
        <w:ind w:firstLine="565"/>
        <w:keepLines w:val="0"/>
        <w:keepNext w:val="0"/>
        <w:pageBreakBefore w:val="0"/>
        <w:spacing w:line="360" w:lineRule="auto"/>
        <w:widowControl w:val="off"/>
        <w:rPr>
          <w:rFonts w:hint="eastAsia" w:ascii="仿宋" w:hAnsi="仿宋" w:eastAsia="仿宋" w:cs="仿宋"/>
          <w:sz w:val="28"/>
          <w:szCs w:val="28"/>
          <w:highlight w:val="none"/>
        </w:rPr>
        <w:outlineLvl w:val="9"/>
      </w:pPr>
      <w:r/>
      <w:bookmarkStart w:id="25" w:name="_Toc35393636"/>
      <w:r/>
      <w:bookmarkStart w:id="26" w:name="_Toc28359095"/>
      <w:r/>
      <w:bookmarkStart w:id="27" w:name="_Toc28359018"/>
      <w:r/>
      <w:bookmarkStart w:id="28" w:name="_Toc35393805"/>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、凡对本次采购提出询问，请按以下方式联系。</w:t>
      </w:r>
      <w:bookmarkEnd w:id="25"/>
      <w:r/>
      <w:bookmarkEnd w:id="26"/>
      <w:r/>
      <w:bookmarkEnd w:id="27"/>
      <w:r/>
      <w:bookmarkEnd w:id="28"/>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bookmarkStart w:id="29" w:name="_Toc28359096"/>
      <w:r/>
      <w:bookmarkStart w:id="30" w:name="_Toc35393806"/>
      <w:r/>
      <w:bookmarkStart w:id="31" w:name="_Toc35393637"/>
      <w:r/>
      <w:bookmarkStart w:id="32" w:name="_Toc28359019"/>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人信息</w:t>
      </w:r>
      <w:bookmarkEnd w:id="29"/>
      <w:r/>
      <w:bookmarkEnd w:id="30"/>
      <w:r/>
      <w:bookmarkEnd w:id="31"/>
      <w:r/>
      <w:bookmarkEnd w:id="32"/>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淮安市计量测试中心</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w:t>
      </w:r>
      <w:r>
        <w:rPr>
          <w:rFonts w:hint="eastAsia" w:ascii="仿宋" w:hAnsi="仿宋" w:eastAsia="仿宋" w:cs="仿宋"/>
          <w:sz w:val="28"/>
          <w:szCs w:val="28"/>
          <w:highlight w:val="none"/>
          <w:lang w:val="en-US" w:eastAsia="zh-CN"/>
        </w:rPr>
        <w:t xml:space="preserve">淮安市工业园区永济西路6号</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w:t>
      </w:r>
      <w:bookmarkStart w:id="33" w:name="_Toc35393638"/>
      <w:r/>
      <w:bookmarkStart w:id="34" w:name="_Toc35393807"/>
      <w:r/>
      <w:bookmarkStart w:id="35" w:name="_Toc28359020"/>
      <w:r/>
      <w:bookmarkStart w:id="36" w:name="_Toc28359097"/>
      <w:r>
        <w:rPr>
          <w:rFonts w:hint="eastAsia" w:ascii="仿宋" w:hAnsi="仿宋" w:eastAsia="仿宋" w:cs="仿宋"/>
          <w:color w:val="000000"/>
          <w:sz w:val="28"/>
          <w:szCs w:val="28"/>
          <w:highlight w:val="none"/>
        </w:rPr>
        <w:t xml:space="preserve">刘旭</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电    话：18360711044</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代理机构信息</w:t>
      </w:r>
      <w:bookmarkEnd w:id="33"/>
      <w:r/>
      <w:bookmarkEnd w:id="34"/>
      <w:r/>
      <w:bookmarkEnd w:id="35"/>
      <w:r/>
      <w:bookmarkEnd w:id="36"/>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淮安友旺管理咨询有限公司</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址：淮安市经开区海口路留学生创业园（西北门）一号楼21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室</w:t>
      </w:r>
      <w:r/>
    </w:p>
    <w:p>
      <w:pPr>
        <w:ind w:firstLine="482"/>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龚莹莹</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电    话：19552386618</w:t>
      </w:r>
      <w:bookmarkEnd w:id="0"/>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八、其他</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 本次招标不收取投标保证金。</w:t>
      </w:r>
      <w:r/>
    </w:p>
    <w:p>
      <w:pPr>
        <w:ind w:firstLine="482"/>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b/>
          <w:color w:val="000000"/>
          <w:sz w:val="28"/>
          <w:szCs w:val="28"/>
          <w:highlight w:val="none"/>
        </w:rPr>
        <w:outlineLvl w:val="0"/>
      </w:pPr>
      <w:r>
        <w:rPr>
          <w:rFonts w:hint="eastAsia" w:ascii="仿宋" w:hAnsi="仿宋" w:eastAsia="仿宋" w:cs="仿宋"/>
          <w:b/>
          <w:bCs/>
          <w:color w:val="000000"/>
          <w:sz w:val="28"/>
          <w:szCs w:val="28"/>
          <w:highlight w:val="none"/>
        </w:rPr>
        <w:br w:type="page" w:clear="all"/>
      </w:r>
      <w:r>
        <w:rPr>
          <w:rFonts w:hint="eastAsia" w:ascii="仿宋" w:hAnsi="仿宋" w:eastAsia="仿宋" w:cs="仿宋"/>
          <w:b/>
          <w:sz w:val="36"/>
          <w:szCs w:val="36"/>
          <w:highlight w:val="none"/>
        </w:rPr>
        <w:t xml:space="preserve">第二章  供应商须知</w:t>
      </w:r>
      <w:r/>
    </w:p>
    <w:p>
      <w:pPr>
        <w:keepLines w:val="0"/>
        <w:keepNext w:val="0"/>
        <w:pageBreakBefore w:val="0"/>
        <w:spacing w:line="48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一、总则</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1.适用范围</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本招标文件仅适用于本次投标邀请中所述项目的采购。</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2.合格的投标人</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 满足第一章投标邀请中投标人资格要求的规定。 </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 满足招标文件中实质性条款的规定。</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3.适用法律</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 《中华人民共和国政府采购法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政府采购货物和服务招标投标管理办法》等有关法律、规章和规定等。</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4.投标费用</w:t>
      </w:r>
      <w:r/>
    </w:p>
    <w:p>
      <w:pPr>
        <w:ind w:firstLine="5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供应商应自行承担所有与参加投标有关的费用。不论投标的结果如何，</w:t>
      </w:r>
      <w:r>
        <w:rPr>
          <w:rFonts w:hint="eastAsia" w:ascii="仿宋" w:hAnsi="仿宋" w:eastAsia="仿宋" w:cs="仿宋"/>
          <w:sz w:val="28"/>
          <w:szCs w:val="28"/>
          <w:highlight w:val="none"/>
          <w:lang w:eastAsia="zh-CN"/>
        </w:rPr>
        <w:t xml:space="preserve">淮安友旺管理咨询有限公司</w:t>
      </w:r>
      <w:r>
        <w:rPr>
          <w:rFonts w:hint="eastAsia" w:ascii="仿宋" w:hAnsi="仿宋" w:eastAsia="仿宋" w:cs="仿宋"/>
          <w:sz w:val="28"/>
          <w:szCs w:val="28"/>
          <w:highlight w:val="none"/>
        </w:rPr>
        <w:t xml:space="preserve">（以下简称采购代理机构）和</w:t>
      </w:r>
      <w:r>
        <w:rPr>
          <w:rFonts w:hint="eastAsia" w:ascii="仿宋" w:hAnsi="仿宋" w:eastAsia="仿宋" w:cs="仿宋"/>
          <w:sz w:val="28"/>
          <w:szCs w:val="28"/>
          <w:highlight w:val="none"/>
          <w:lang w:eastAsia="zh-CN"/>
        </w:rPr>
        <w:t xml:space="preserve">淮安市计量测试中心</w:t>
      </w:r>
      <w:r>
        <w:rPr>
          <w:rFonts w:hint="eastAsia" w:ascii="仿宋" w:hAnsi="仿宋" w:eastAsia="仿宋" w:cs="仿宋"/>
          <w:sz w:val="28"/>
          <w:szCs w:val="28"/>
          <w:highlight w:val="none"/>
        </w:rPr>
        <w:t xml:space="preserve">（以下简称采购人）在任何情况下均无义务和责任承担这些费用。</w:t>
      </w:r>
      <w:r/>
    </w:p>
    <w:p>
      <w:pPr>
        <w:ind w:firstLine="555"/>
        <w:keepLines w:val="0"/>
        <w:keepNext w:val="0"/>
        <w:pageBreakBefore w:val="0"/>
        <w:spacing w:line="480" w:lineRule="exact"/>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rPr>
        <w:t xml:space="preserve">4.2</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本次代理服务费按照苏政采协〔2024〕20号文收取，由成交供应商在领取成交通知书前向代理机构一次性付清。各供应商在报价时必须将以上费用包含在磋商报价中，但不需要单独列项计取。</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5.招标</w:t>
      </w:r>
      <w:r>
        <w:rPr>
          <w:rFonts w:hint="eastAsia" w:ascii="仿宋" w:hAnsi="仿宋" w:eastAsia="仿宋" w:cs="仿宋"/>
          <w:sz w:val="28"/>
          <w:szCs w:val="28"/>
          <w:highlight w:val="none"/>
        </w:rPr>
        <w:t xml:space="preserve">文件的约束力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一旦参加本项目采购活动，即被认为接受了本</w:t>
      </w:r>
      <w:r>
        <w:rPr>
          <w:rFonts w:hint="eastAsia" w:ascii="仿宋" w:hAnsi="仿宋" w:eastAsia="仿宋" w:cs="仿宋"/>
          <w:sz w:val="28"/>
          <w:szCs w:val="28"/>
          <w:highlight w:val="none"/>
          <w:lang w:eastAsia="zh-CN"/>
        </w:rPr>
        <w:t xml:space="preserve">招标</w:t>
      </w:r>
      <w:r>
        <w:rPr>
          <w:rFonts w:hint="eastAsia" w:ascii="仿宋" w:hAnsi="仿宋" w:eastAsia="仿宋" w:cs="仿宋"/>
          <w:sz w:val="28"/>
          <w:szCs w:val="28"/>
          <w:highlight w:val="none"/>
        </w:rPr>
        <w:t xml:space="preserve">文件的规定和约束。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w:t>
      </w:r>
      <w:r>
        <w:rPr>
          <w:rFonts w:hint="eastAsia" w:ascii="仿宋" w:hAnsi="仿宋" w:eastAsia="仿宋" w:cs="仿宋"/>
          <w:sz w:val="28"/>
          <w:szCs w:val="28"/>
          <w:highlight w:val="none"/>
        </w:rPr>
        <w:t xml:space="preserve">招标文件由以下部分组成</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投标邀请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供应商须知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评审方法与评审标准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合同格式及条款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项目采购需求</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投标文件</w:t>
      </w:r>
      <w:r>
        <w:rPr>
          <w:rFonts w:hint="eastAsia" w:ascii="仿宋" w:hAnsi="仿宋" w:eastAsia="仿宋" w:cs="仿宋"/>
          <w:sz w:val="28"/>
          <w:szCs w:val="28"/>
          <w:highlight w:val="none"/>
          <w:lang w:val="en-US" w:eastAsia="zh-CN"/>
        </w:rPr>
        <w:t xml:space="preserve">格式</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7.1在投标截止时间十五日前，采购代理机构可主动或在解答供应商提出的澄清问题时对招标文件用更正公告的方式进行修正。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7.2对招标文件的更正将在淮安市政府采购网进行公告，更正公告将作为招标文件的组成部分，对所有参加本次投标的供应商都具有约束力。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7.3为使供应商有足够的时间按招标文件的更正要求修正投标文件，采购代理机构有权按照相关法定的要求推迟投标截止时间和开标日期。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keepLines w:val="0"/>
        <w:keepNext w:val="0"/>
        <w:pageBreakBefore w:val="0"/>
        <w:spacing w:line="480" w:lineRule="exact"/>
        <w:rPr>
          <w:rFonts w:hint="eastAsia" w:ascii="仿宋" w:hAnsi="仿宋" w:eastAsia="仿宋" w:cs="仿宋"/>
          <w:sz w:val="28"/>
          <w:szCs w:val="28"/>
          <w:highlight w:val="none"/>
        </w:rPr>
      </w:pPr>
      <w:r/>
      <w:bookmarkStart w:id="37" w:name="_Toc462564073"/>
      <w:r/>
      <w:bookmarkStart w:id="38" w:name="_Toc16938530"/>
      <w:r/>
      <w:bookmarkStart w:id="39" w:name="_Toc20823286"/>
      <w:r/>
      <w:bookmarkStart w:id="40" w:name="_Toc513029214"/>
      <w:r>
        <w:rPr>
          <w:rFonts w:hint="eastAsia" w:ascii="仿宋" w:hAnsi="仿宋" w:eastAsia="仿宋" w:cs="仿宋"/>
          <w:sz w:val="28"/>
          <w:szCs w:val="28"/>
          <w:highlight w:val="none"/>
        </w:rPr>
        <w:t xml:space="preserve">8.投标文件的语言及度量衡单位</w:t>
      </w:r>
      <w:bookmarkEnd w:id="37"/>
      <w:r/>
      <w:bookmarkEnd w:id="38"/>
      <w:r/>
      <w:bookmarkEnd w:id="39"/>
      <w:r/>
      <w:bookmarkEnd w:id="40"/>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供应商提交的投标文件以及供应商与采购人就有关投标的所有来往通知、函件和文件均应使用简体中文。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请供应商根据本招标文件的要求在指定模块中上传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的投标材料，未按招标文件要求在指定模块上传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的投标材料的，</w:t>
      </w:r>
      <w:r>
        <w:rPr>
          <w:rFonts w:hint="eastAsia" w:ascii="仿宋" w:hAnsi="仿宋" w:eastAsia="仿宋" w:cs="仿宋"/>
          <w:sz w:val="28"/>
          <w:szCs w:val="28"/>
          <w:highlight w:val="none"/>
        </w:rPr>
        <w:t xml:space="preserve">视同未提交该投标材料处理。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淮安市政府采购网”发布的招标文件不一致，请以“江苏省政府采购网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10.证明供应商及投标标的符合招标文件规定的文件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供应商应按照招标文件要求提交证明文件，证明其及投标标的符合招标文件规定。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供应商应按照招标文件规定格式填报投标分项报价表。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投标货币。投标文件中的单价和总价无特殊规定的采用人民币报价，以元为单位标注。招标文件中另有规定的按规定执行。</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供应商需对招标文件中的技术要求与商务要求逐项作出响应或偏离，并说明原因。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供应商可在投标文件中提供认为需要的其他技术文件或说明。</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供应商需根据招标文件要求提供有关售后服务的管理制度，售后服务机构的分布情况，售后服务人员的数量、素质、技术水平及售后服务的反应能力等。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供应商需根据招标文件要求提供培训计划。</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 供应商需根据招标文件要求提供所投标的的主要组成部分、功能设计、实现思路及关键技术等。</w:t>
      </w:r>
      <w:r/>
    </w:p>
    <w:p>
      <w:pPr>
        <w:keepLines w:val="0"/>
        <w:keepNext w:val="0"/>
        <w:pageBreakBefore w:val="0"/>
        <w:spacing w:line="480" w:lineRule="exact"/>
        <w:rPr>
          <w:rFonts w:hint="eastAsia" w:ascii="仿宋" w:hAnsi="仿宋" w:eastAsia="仿宋" w:cs="仿宋"/>
          <w:sz w:val="28"/>
          <w:szCs w:val="28"/>
          <w:highlight w:val="none"/>
        </w:rPr>
      </w:pPr>
      <w:r/>
      <w:bookmarkStart w:id="41" w:name="_Toc14577359"/>
      <w:r/>
      <w:bookmarkStart w:id="42" w:name="_Toc49090510"/>
      <w:r>
        <w:rPr>
          <w:rFonts w:hint="eastAsia" w:ascii="仿宋" w:hAnsi="仿宋" w:eastAsia="仿宋" w:cs="仿宋"/>
          <w:sz w:val="28"/>
          <w:szCs w:val="28"/>
          <w:highlight w:val="none"/>
        </w:rPr>
        <w:t xml:space="preserve">14.投标函和开标一览表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供应商应按照招标文件中提供的格式完整、正确填写投标函、开标一览表。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keepLines w:val="0"/>
        <w:keepNext w:val="0"/>
        <w:pageBreakBefore w:val="0"/>
        <w:spacing w:line="480" w:lineRule="exact"/>
        <w:rPr>
          <w:rFonts w:hint="eastAsia" w:ascii="仿宋" w:hAnsi="仿宋" w:eastAsia="仿宋" w:cs="仿宋"/>
          <w:sz w:val="28"/>
          <w:szCs w:val="28"/>
          <w:highlight w:val="none"/>
        </w:rPr>
      </w:pPr>
      <w:r/>
      <w:bookmarkStart w:id="43" w:name="_Toc14577360"/>
      <w:r/>
      <w:bookmarkStart w:id="44" w:name="_Toc49090511"/>
      <w:r>
        <w:rPr>
          <w:rFonts w:hint="eastAsia" w:ascii="仿宋" w:hAnsi="仿宋" w:eastAsia="仿宋" w:cs="仿宋"/>
          <w:sz w:val="28"/>
          <w:szCs w:val="28"/>
          <w:highlight w:val="none"/>
        </w:rPr>
        <w:t xml:space="preserve">15.投标有效期</w:t>
      </w:r>
      <w:bookmarkEnd w:id="43"/>
      <w:r/>
      <w:bookmarkEnd w:id="4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 投标有效期为采购人规定的开标之日后九十（90）天。投标有效期比规定短的将被视为未实质性响应招标文件而予以拒绝。</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 xml:space="preserve">17.</w:t>
      </w:r>
      <w:r>
        <w:rPr>
          <w:rFonts w:hint="eastAsia" w:ascii="仿宋" w:hAnsi="仿宋" w:eastAsia="仿宋" w:cs="仿宋"/>
          <w:sz w:val="28"/>
          <w:szCs w:val="28"/>
          <w:highlight w:val="none"/>
          <w:lang w:val="en-US" w:eastAsia="zh-CN"/>
        </w:rPr>
        <w:t xml:space="preserve">响应文件的签署</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 供应商应当按照《操作手册》规定，在投标截止时间前制作并上传电子投标文件。</w:t>
      </w:r>
      <w:r/>
    </w:p>
    <w:p>
      <w:pPr>
        <w:ind w:firstLine="560"/>
        <w:keepLines w:val="0"/>
        <w:keepNext w:val="0"/>
        <w:pageBreakBefore w:val="0"/>
        <w:spacing w:line="48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 供应商上传的电子投标文件内容不清楚或不清晰的（含扫描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val="zh-CN"/>
        </w:rPr>
        <w:t xml:space="preserve">自负。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供应商上传电子投标文件的时间不得迟于投标邀请中规定的截止时间。</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 代理公司</w:t>
      </w:r>
      <w:r>
        <w:rPr>
          <w:rFonts w:hint="eastAsia" w:ascii="仿宋" w:hAnsi="仿宋" w:eastAsia="仿宋" w:cs="仿宋"/>
          <w:sz w:val="28"/>
          <w:szCs w:val="28"/>
          <w:highlight w:val="none"/>
          <w:lang w:val="en-US" w:eastAsia="zh-CN"/>
        </w:rPr>
        <w:t xml:space="preserve">可以按照规定</w:t>
      </w:r>
      <w:r>
        <w:rPr>
          <w:rFonts w:hint="eastAsia" w:ascii="仿宋" w:hAnsi="仿宋" w:eastAsia="仿宋" w:cs="仿宋"/>
          <w:sz w:val="28"/>
          <w:szCs w:val="28"/>
          <w:highlight w:val="none"/>
        </w:rPr>
        <w:t xml:space="preserve">，通过修改招标文件有权酌情延长投标文件接收截止时间。在此情况下，供应商的所有权利和义务以及供应商受制约的截止日期均应以延长后新的截止日期为准。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 在招标文件规定的提交投标文件截止时间后上传的电子投标文件。</w:t>
      </w:r>
      <w:r/>
    </w:p>
    <w:p>
      <w:pPr>
        <w:keepLines w:val="0"/>
        <w:keepNext w:val="0"/>
        <w:pageBreakBefore w:val="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供应商在上传电子投标文件后可以对其修改或撤回，但这种修改和撤回，必须在规定的开标时间之前，具体操作方法见《操作手册》。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 供应商不得在开标时间以后修改电子投标文件。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 供应商不得在提交电子投标文件截止时间起至投标有效期满前撤回电子投标文件。</w:t>
      </w:r>
      <w:r/>
    </w:p>
    <w:p>
      <w:pPr>
        <w:keepLines w:val="0"/>
        <w:keepNext w:val="0"/>
        <w:pageBreakBefore w:val="0"/>
        <w:spacing w:line="480" w:lineRule="exact"/>
        <w:rPr>
          <w:rFonts w:hint="eastAsia" w:ascii="仿宋" w:hAnsi="仿宋" w:eastAsia="仿宋" w:cs="仿宋"/>
          <w:b/>
          <w:sz w:val="32"/>
          <w:szCs w:val="32"/>
          <w:highlight w:val="none"/>
        </w:rPr>
      </w:pPr>
      <w:r/>
      <w:bookmarkStart w:id="45" w:name="_Toc162083530"/>
      <w:r>
        <w:rPr>
          <w:rFonts w:hint="eastAsia" w:ascii="仿宋" w:hAnsi="仿宋" w:eastAsia="仿宋" w:cs="仿宋"/>
          <w:b/>
          <w:sz w:val="32"/>
          <w:szCs w:val="32"/>
          <w:highlight w:val="none"/>
        </w:rPr>
        <w:t xml:space="preserve">五、开标及评标</w:t>
      </w:r>
      <w:bookmarkEnd w:id="45"/>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 代理公司将在招标公告中规定的时间和地点组织开标。供应商应当按照《操作手册》规定，参加开标活动和在苏采云系统规定的时间内对投标文件进行解密。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 开标仪式由代理公司组织。苏采云系统将自动对项目进行开标，并宣布各供应商名称和投标价格。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 供应商在开标过程中涉及到的投标文件解密、开标结果确认等工作，应按照《操作手册》规定执行。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 供应商如果对开标过程和开标记录有疑义，应当根据《操作手册》规定提出，如苏采云系统中《开标记录表》宣布后5分钟内未提出的，视同认可开标结果。</w:t>
      </w:r>
      <w:r/>
    </w:p>
    <w:p>
      <w:pPr>
        <w:keepLines w:val="0"/>
        <w:keepNext w:val="0"/>
        <w:pageBreakBefore w:val="0"/>
        <w:spacing w:line="480" w:lineRule="exact"/>
        <w:rPr>
          <w:rFonts w:hint="eastAsia" w:ascii="仿宋" w:hAnsi="仿宋" w:eastAsia="仿宋" w:cs="仿宋"/>
          <w:sz w:val="28"/>
          <w:szCs w:val="28"/>
          <w:highlight w:val="none"/>
        </w:rPr>
      </w:pPr>
      <w:r/>
      <w:bookmarkStart w:id="46" w:name="_Toc20823303"/>
      <w:r/>
      <w:bookmarkStart w:id="47" w:name="_Toc513029231"/>
      <w:r/>
      <w:bookmarkStart w:id="48" w:name="_Toc16938547"/>
      <w:r>
        <w:rPr>
          <w:rFonts w:hint="eastAsia" w:ascii="仿宋" w:hAnsi="仿宋" w:eastAsia="仿宋" w:cs="仿宋"/>
          <w:sz w:val="28"/>
          <w:szCs w:val="28"/>
          <w:highlight w:val="none"/>
        </w:rPr>
        <w:t xml:space="preserve">22.评标委员会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 开标后，代理公司将立即组织评标委员会（以下简称评委会）进行评标。</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 评委会由采购人代表和有关技术、经济等方面的专家组成，且人员构成符合政府采购有关规定。</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 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23.</w:t>
      </w:r>
      <w:r>
        <w:rPr>
          <w:rFonts w:hint="eastAsia" w:ascii="仿宋" w:hAnsi="仿宋" w:eastAsia="仿宋" w:cs="仿宋"/>
          <w:sz w:val="28"/>
          <w:szCs w:val="28"/>
          <w:highlight w:val="none"/>
        </w:rPr>
        <w:t xml:space="preserve">评标过程的保密与公正</w:t>
      </w:r>
      <w:bookmarkEnd w:id="46"/>
      <w:r/>
      <w:bookmarkEnd w:id="47"/>
      <w:r/>
      <w:bookmarkEnd w:id="48"/>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 凡是与审查、澄清、评价和比较投标的有关资料以及授标建议等，采购人、评委、代理公司均不得向供应商或与评标无关的其他人员透露。</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 在评标过程中，供应商不得以任何行为影响评标过程，否则其投标文件将被作为无效投标文件。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代理公司和评标委员会不向未中标的供应商解释未中标原因，也不公布评标过程中的相关细节。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 采用综合评分法的项目，未中标的供应商可于中标结果公告期限届满之日起通过苏采云系统查看自己的评审得分及排序情况。</w:t>
      </w:r>
      <w:r/>
    </w:p>
    <w:p>
      <w:pPr>
        <w:keepLines w:val="0"/>
        <w:keepNext w:val="0"/>
        <w:pageBreakBefore w:val="0"/>
        <w:spacing w:line="480" w:lineRule="exact"/>
        <w:rPr>
          <w:rFonts w:hint="eastAsia" w:ascii="仿宋" w:hAnsi="仿宋" w:eastAsia="仿宋" w:cs="仿宋"/>
          <w:sz w:val="28"/>
          <w:szCs w:val="28"/>
          <w:highlight w:val="none"/>
        </w:rPr>
      </w:pPr>
      <w:r/>
      <w:bookmarkStart w:id="49" w:name="_Toc513029232"/>
      <w:r/>
      <w:bookmarkStart w:id="50" w:name="_Toc20823304"/>
      <w:r/>
      <w:bookmarkStart w:id="51" w:name="_Toc16938548"/>
      <w:r>
        <w:rPr>
          <w:rFonts w:hint="eastAsia" w:ascii="仿宋" w:hAnsi="仿宋" w:eastAsia="仿宋" w:cs="仿宋"/>
          <w:sz w:val="28"/>
          <w:szCs w:val="28"/>
          <w:highlight w:val="none"/>
          <w:lang w:eastAsia="zh-CN"/>
        </w:rPr>
        <w:t xml:space="preserve">24.</w:t>
      </w:r>
      <w:r>
        <w:rPr>
          <w:rFonts w:hint="eastAsia" w:ascii="仿宋" w:hAnsi="仿宋" w:eastAsia="仿宋" w:cs="仿宋"/>
          <w:sz w:val="28"/>
          <w:szCs w:val="28"/>
          <w:highlight w:val="none"/>
        </w:rPr>
        <w:t xml:space="preserve">投标文件的澄清</w:t>
      </w:r>
      <w:bookmarkEnd w:id="49"/>
      <w:r/>
      <w:bookmarkEnd w:id="50"/>
      <w:r/>
      <w:bookmarkEnd w:id="51"/>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2" w:name="_Toc513029233"/>
      <w:r/>
      <w:bookmarkStart w:id="53" w:name="_Toc20823305"/>
      <w:r/>
      <w:bookmarkStart w:id="54" w:name="_Toc16938549"/>
      <w:r>
        <w:rPr>
          <w:rFonts w:hint="eastAsia" w:ascii="仿宋" w:hAnsi="仿宋" w:eastAsia="仿宋" w:cs="仿宋"/>
          <w:sz w:val="28"/>
          <w:szCs w:val="28"/>
          <w:highlight w:val="none"/>
        </w:rPr>
        <w:t xml:space="preserve">24.1 评标期间，评委会对投标文件中含义不明确、同类问题表述不一致或者有明显文字和计算错误的内容，有权要求供应商作出必要的澄清、说明或者补正。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供应商的澄清、说明或者补正不得超出投标文件的范围或者改变投标文件的实质性内容。</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评委会并非对每个供应商都做澄清要求。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 接到评委会澄清、说明和补正要求的供应商如未按规定</w:t>
      </w:r>
      <w:r>
        <w:rPr>
          <w:rFonts w:hint="eastAsia" w:ascii="仿宋" w:hAnsi="仿宋" w:eastAsia="仿宋" w:cs="仿宋"/>
          <w:sz w:val="28"/>
          <w:szCs w:val="28"/>
          <w:highlight w:val="none"/>
          <w:lang w:eastAsia="zh-CN"/>
        </w:rPr>
        <w:t xml:space="preserve">作出</w:t>
      </w:r>
      <w:r>
        <w:rPr>
          <w:rFonts w:hint="eastAsia" w:ascii="仿宋" w:hAnsi="仿宋" w:eastAsia="仿宋" w:cs="仿宋"/>
          <w:sz w:val="28"/>
          <w:szCs w:val="28"/>
          <w:highlight w:val="none"/>
        </w:rPr>
        <w:t xml:space="preserve">澄清、说明和补正，其风险由供应商自行承担。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52"/>
      <w:r/>
      <w:bookmarkEnd w:id="53"/>
      <w:r/>
      <w:bookmarkEnd w:id="5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投标文件初审分为资格审查和符合性审查。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如果投标文件实质上没有响应招标文件的要求，评委会将予以拒绝，供应商不得通过修改或撤销</w:t>
      </w:r>
      <w:r>
        <w:rPr>
          <w:rFonts w:hint="eastAsia" w:ascii="仿宋" w:hAnsi="仿宋" w:eastAsia="仿宋" w:cs="仿宋"/>
          <w:sz w:val="28"/>
          <w:szCs w:val="28"/>
          <w:highlight w:val="none"/>
          <w:lang w:eastAsia="zh-CN"/>
        </w:rPr>
        <w:t xml:space="preserve">不符</w:t>
      </w:r>
      <w:r>
        <w:rPr>
          <w:rFonts w:hint="eastAsia" w:ascii="仿宋" w:hAnsi="仿宋" w:eastAsia="仿宋" w:cs="仿宋"/>
          <w:sz w:val="28"/>
          <w:szCs w:val="28"/>
          <w:highlight w:val="none"/>
        </w:rPr>
        <w:t xml:space="preserve">合要求的偏离或保留而使其投标成为实质性响应的投标。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5" w:name="_Toc16938550"/>
      <w:r/>
      <w:bookmarkStart w:id="56" w:name="_Toc20823306"/>
      <w:r/>
      <w:bookmarkStart w:id="57" w:name="_Toc513029234"/>
      <w:r>
        <w:rPr>
          <w:rFonts w:hint="eastAsia" w:ascii="仿宋" w:hAnsi="仿宋" w:eastAsia="仿宋" w:cs="仿宋"/>
          <w:sz w:val="28"/>
          <w:szCs w:val="28"/>
          <w:highlight w:val="none"/>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非单一产品采购项目，招标文件中将载明其中的核心产品。多家供应商提供的核心产品品牌相同的，按前两款规定处理。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 供应商在开、评标全过程中应</w:t>
      </w:r>
      <w:r>
        <w:rPr>
          <w:rFonts w:hint="eastAsia" w:ascii="仿宋" w:hAnsi="仿宋" w:eastAsia="仿宋" w:cs="仿宋"/>
          <w:sz w:val="28"/>
          <w:szCs w:val="28"/>
          <w:highlight w:val="none"/>
          <w:lang w:eastAsia="zh-CN"/>
        </w:rPr>
        <w:t xml:space="preserve">保持通信畅通</w:t>
      </w:r>
      <w:r>
        <w:rPr>
          <w:rFonts w:hint="eastAsia" w:ascii="仿宋" w:hAnsi="仿宋" w:eastAsia="仿宋" w:cs="仿宋"/>
          <w:sz w:val="28"/>
          <w:szCs w:val="28"/>
          <w:highlight w:val="none"/>
        </w:rPr>
        <w:t xml:space="preserve">，及时登录苏采云系统查阅、答复相关信息，并安排专人与代理公司及评标委员会联系。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55"/>
      <w:r/>
      <w:bookmarkEnd w:id="56"/>
      <w:r/>
      <w:bookmarkEnd w:id="57"/>
      <w:r>
        <w:rPr>
          <w:rFonts w:hint="eastAsia" w:ascii="仿宋" w:hAnsi="仿宋" w:eastAsia="仿宋" w:cs="仿宋"/>
          <w:sz w:val="28"/>
          <w:szCs w:val="28"/>
          <w:highlight w:val="none"/>
        </w:rPr>
        <w:t xml:space="preserve">6.无效投标条款和废标条款</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8" w:name="_Toc20823307"/>
      <w:r/>
      <w:bookmarkStart w:id="59" w:name="_Toc16938551"/>
      <w:r/>
      <w:bookmarkStart w:id="60" w:name="_Toc513029235"/>
      <w:r>
        <w:rPr>
          <w:rFonts w:hint="eastAsia" w:ascii="仿宋" w:hAnsi="仿宋" w:eastAsia="仿宋" w:cs="仿宋"/>
          <w:sz w:val="28"/>
          <w:szCs w:val="28"/>
          <w:highlight w:val="none"/>
        </w:rPr>
        <w:t xml:space="preserve">26.1无效投标条款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供应商在苏采云系统规定的时间内未成功解密电子投标文件的。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供应商未按照招标文件要求上传电子投标文件的。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同一供应商提交两个（含两个）以上不同的投标报价的。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 供应商不具备招标文件中规定资格要求的。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 供应商的报价超过了采购预算或最高限价的。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 未通过符合性审查的。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不符合招标文件中规定的实质性要求和条件的。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 投标文件含有采购人不能接受的附加条件的。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 </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小组应当将其作为无效响应文件处理。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 投标文件未按照招标文件要求加盖CA电子公章的；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26.1.12 其他</w:t>
      </w:r>
      <w:r>
        <w:rPr>
          <w:rFonts w:hint="eastAsia" w:ascii="仿宋" w:hAnsi="仿宋" w:eastAsia="仿宋" w:cs="仿宋"/>
          <w:sz w:val="28"/>
          <w:szCs w:val="28"/>
          <w:highlight w:val="none"/>
          <w:lang w:eastAsia="zh-CN"/>
        </w:rPr>
        <w:t xml:space="preserve">法律法规</w:t>
      </w:r>
      <w:r>
        <w:rPr>
          <w:rFonts w:hint="eastAsia" w:ascii="仿宋" w:hAnsi="仿宋" w:eastAsia="仿宋" w:cs="仿宋"/>
          <w:sz w:val="28"/>
          <w:szCs w:val="28"/>
          <w:highlight w:val="none"/>
        </w:rPr>
        <w:t xml:space="preserve">及本招标文件规定的</w:t>
      </w:r>
      <w:r>
        <w:rPr>
          <w:rFonts w:hint="eastAsia" w:ascii="仿宋" w:hAnsi="仿宋" w:eastAsia="仿宋" w:cs="仿宋"/>
          <w:sz w:val="28"/>
          <w:szCs w:val="28"/>
          <w:highlight w:val="none"/>
          <w:lang w:eastAsia="zh-CN"/>
        </w:rPr>
        <w:t xml:space="preserve">属于</w:t>
      </w:r>
      <w:r>
        <w:rPr>
          <w:rFonts w:hint="eastAsia" w:ascii="仿宋" w:hAnsi="仿宋" w:eastAsia="仿宋" w:cs="仿宋"/>
          <w:sz w:val="28"/>
          <w:szCs w:val="28"/>
          <w:highlight w:val="none"/>
        </w:rPr>
        <w:t xml:space="preserve">无效投标的情形。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废标条款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 符合专业条件的供应商或者对招标文件作实质响应的供应商不足三家的。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 出现影响采购公正的违法、违规行为的。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 因重大变故，采购任务取消的。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 评标委员会认定招标文件存在歧义、重大缺陷导致评审工作无法进行。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w:t>
      </w:r>
      <w:r>
        <w:rPr>
          <w:rFonts w:hint="eastAsia" w:ascii="仿宋" w:hAnsi="仿宋" w:eastAsia="仿宋" w:cs="仿宋"/>
          <w:sz w:val="28"/>
          <w:szCs w:val="28"/>
          <w:highlight w:val="none"/>
          <w:lang w:eastAsia="zh-CN"/>
        </w:rPr>
        <w:t xml:space="preserve">系统故障</w:t>
      </w:r>
      <w:r>
        <w:rPr>
          <w:rFonts w:hint="eastAsia" w:ascii="仿宋" w:hAnsi="仿宋" w:eastAsia="仿宋" w:cs="仿宋"/>
          <w:sz w:val="28"/>
          <w:szCs w:val="28"/>
          <w:highlight w:val="none"/>
        </w:rPr>
        <w:t xml:space="preserve">原因造成开标不成功的。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keepLines w:val="0"/>
        <w:keepNext w:val="0"/>
        <w:pageBreakBefore w:val="0"/>
        <w:spacing w:line="480" w:lineRule="exact"/>
        <w:rPr>
          <w:rFonts w:hint="eastAsia" w:ascii="仿宋" w:hAnsi="仿宋" w:eastAsia="仿宋" w:cs="仿宋"/>
          <w:b/>
          <w:sz w:val="32"/>
          <w:szCs w:val="32"/>
          <w:highlight w:val="none"/>
        </w:rPr>
      </w:pPr>
      <w:r/>
      <w:bookmarkStart w:id="61" w:name="_Toc120614219"/>
      <w:r>
        <w:rPr>
          <w:rFonts w:hint="eastAsia" w:ascii="仿宋" w:hAnsi="仿宋" w:eastAsia="仿宋" w:cs="仿宋"/>
          <w:b/>
          <w:sz w:val="32"/>
          <w:szCs w:val="32"/>
          <w:highlight w:val="none"/>
        </w:rPr>
        <w:t xml:space="preserve">六、定标</w:t>
      </w:r>
      <w:bookmarkEnd w:id="61"/>
      <w:r/>
      <w:r/>
    </w:p>
    <w:p>
      <w:pPr>
        <w:keepLines w:val="0"/>
        <w:keepNext w:val="0"/>
        <w:pageBreakBefore w:val="0"/>
        <w:spacing w:line="480" w:lineRule="exact"/>
        <w:rPr>
          <w:rFonts w:hint="eastAsia" w:ascii="仿宋" w:hAnsi="仿宋" w:eastAsia="仿宋" w:cs="仿宋"/>
          <w:sz w:val="28"/>
          <w:szCs w:val="28"/>
          <w:highlight w:val="none"/>
        </w:rPr>
      </w:pPr>
      <w:r/>
      <w:bookmarkStart w:id="62" w:name="_Toc513029238"/>
      <w:r/>
      <w:bookmarkStart w:id="63" w:name="_Toc20823310"/>
      <w:r/>
      <w:bookmarkStart w:id="64" w:name="_Toc16938554"/>
      <w:r>
        <w:rPr>
          <w:rFonts w:hint="eastAsia" w:ascii="仿宋" w:hAnsi="仿宋" w:eastAsia="仿宋" w:cs="仿宋"/>
          <w:sz w:val="28"/>
          <w:szCs w:val="28"/>
          <w:highlight w:val="none"/>
        </w:rPr>
        <w:t xml:space="preserve">2</w:t>
      </w:r>
      <w:bookmarkEnd w:id="62"/>
      <w:r>
        <w:rPr>
          <w:rFonts w:hint="eastAsia" w:ascii="仿宋" w:hAnsi="仿宋" w:eastAsia="仿宋" w:cs="仿宋"/>
          <w:sz w:val="28"/>
          <w:szCs w:val="28"/>
          <w:highlight w:val="none"/>
        </w:rPr>
        <w:t xml:space="preserve">7.确定</w:t>
      </w:r>
      <w:bookmarkEnd w:id="63"/>
      <w:r/>
      <w:bookmarkEnd w:id="64"/>
      <w:r>
        <w:rPr>
          <w:rFonts w:hint="eastAsia" w:ascii="仿宋" w:hAnsi="仿宋" w:eastAsia="仿宋" w:cs="仿宋"/>
          <w:sz w:val="28"/>
          <w:szCs w:val="28"/>
          <w:highlight w:val="none"/>
        </w:rPr>
        <w:t xml:space="preserve">中标单位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 中标候选人的选取原则和数量见招标文件第三章规定。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采购人应根据评委会推荐的中标候选人确定中标供应商。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 代理公司将在“江苏省政府采购网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淮安市政府采购网”发布中标公告，公告期限为1个工作日。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 若有充分证据证明，中标供应商出现下列情况之一的，一经查实，将被取消中标资格：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 提供虚假材料谋取中标的。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 向采购人、代理公司行贿或者提供其他不正当利益的。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 属于本文件规定的无效条件，但在评标过程中又未被评委会发现的。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 与采购人或者其他供应商恶意串通的。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 采取不正当手段诋毁、排挤其他供应商的。</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65" w:name="_Toc200451960"/>
      <w:r>
        <w:rPr>
          <w:rFonts w:hint="eastAsia" w:ascii="仿宋" w:hAnsi="仿宋" w:eastAsia="仿宋" w:cs="仿宋"/>
          <w:sz w:val="28"/>
          <w:szCs w:val="28"/>
          <w:highlight w:val="none"/>
        </w:rPr>
        <w:t xml:space="preserve">27.5.有下列情形之一的，视为供应商串通投标，投标无效：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27.5.1不同供应商的投标文件由同一单位或者个人编制；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27.5.2不同供应商委托同一单位或者个人办理投标事宜；</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不同供应商的投标文件载明的项目管理成员或者联系人员为同一人；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27.5.4不同供应商的投标文件异常一致或者投标报价呈规律性差异；</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28.</w:t>
      </w:r>
      <w:r>
        <w:rPr>
          <w:rFonts w:hint="eastAsia" w:ascii="仿宋" w:hAnsi="仿宋" w:eastAsia="仿宋" w:cs="仿宋"/>
          <w:sz w:val="28"/>
          <w:szCs w:val="28"/>
          <w:highlight w:val="none"/>
        </w:rPr>
        <w:t xml:space="preserve">质疑处理</w:t>
      </w:r>
      <w:bookmarkEnd w:id="6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质疑供应商是指直接参加本次投标活动的供应商，未参加投标活动的供应商或在投标活动中自身权益未受到损害的供应商所提出的质疑不予受理。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质疑供应商在法定质疑期内应当一次性针对同一采购环节提出质疑，若质疑供应商针对同一环节提出两次及两次以上质疑，仅受理第一次提出的质疑。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（1）质疑供应商的名称、地址、邮编、联系人及联系电话；</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s="仿宋"/>
          <w:color w:val="auto"/>
          <w:sz w:val="28"/>
          <w:szCs w:val="28"/>
          <w:highlight w:val="none"/>
        </w:rPr>
        <w:t xml:space="preserve">期限内进行补正并重新提交质疑函，拒不补正或者超过法定期限后未重新提交质疑函的，为无效质疑，采购人有权不予受理。</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对于内容、格式符合规定的质疑函，采购人将在七个工作日内以书面形式作出答复，但质疑答复的内容不涉及商业秘密。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cs="仿宋"/>
          <w:sz w:val="28"/>
          <w:szCs w:val="28"/>
          <w:highlight w:val="none"/>
        </w:rPr>
        <w:t xml:space="preserve">应的行政处罚。</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480" w:lineRule="exact"/>
        <w:rPr>
          <w:rFonts w:hint="eastAsia" w:ascii="仿宋" w:hAnsi="仿宋" w:eastAsia="仿宋" w:cs="仿宋"/>
          <w:b/>
          <w:sz w:val="32"/>
          <w:szCs w:val="32"/>
          <w:highlight w:val="none"/>
        </w:rPr>
      </w:pPr>
      <w:r/>
      <w:bookmarkStart w:id="66" w:name="_Toc513029236"/>
      <w:r/>
      <w:bookmarkStart w:id="67" w:name="_Toc120614220"/>
      <w:r/>
      <w:bookmarkStart w:id="68" w:name="_Toc20823308"/>
      <w:r/>
      <w:bookmarkStart w:id="69" w:name="_Toc16938552"/>
      <w:r>
        <w:rPr>
          <w:rFonts w:hint="eastAsia" w:ascii="仿宋" w:hAnsi="仿宋" w:eastAsia="仿宋" w:cs="仿宋"/>
          <w:b/>
          <w:sz w:val="32"/>
          <w:szCs w:val="32"/>
          <w:highlight w:val="none"/>
        </w:rPr>
        <w:t xml:space="preserve">七、授予合同</w:t>
      </w:r>
      <w:bookmarkEnd w:id="66"/>
      <w:r/>
      <w:bookmarkEnd w:id="67"/>
      <w:r/>
      <w:bookmarkEnd w:id="68"/>
      <w:r/>
      <w:bookmarkEnd w:id="69"/>
      <w:r/>
      <w:r/>
    </w:p>
    <w:p>
      <w:pPr>
        <w:keepLines w:val="0"/>
        <w:keepNext w:val="0"/>
        <w:pageBreakBefore w:val="0"/>
        <w:spacing w:line="480" w:lineRule="exact"/>
        <w:rPr>
          <w:rFonts w:hint="eastAsia" w:ascii="仿宋" w:hAnsi="仿宋" w:eastAsia="仿宋" w:cs="仿宋"/>
          <w:sz w:val="28"/>
          <w:szCs w:val="28"/>
          <w:highlight w:val="none"/>
        </w:rPr>
      </w:pPr>
      <w:r/>
      <w:bookmarkStart w:id="70" w:name="_Toc513029237"/>
      <w:r/>
      <w:bookmarkStart w:id="71" w:name="_Toc20823309"/>
      <w:r/>
      <w:bookmarkStart w:id="72" w:name="_Toc16938553"/>
      <w:r>
        <w:rPr>
          <w:rFonts w:hint="eastAsia" w:ascii="仿宋" w:hAnsi="仿宋" w:eastAsia="仿宋" w:cs="仿宋"/>
          <w:sz w:val="28"/>
          <w:szCs w:val="28"/>
          <w:highlight w:val="none"/>
        </w:rPr>
        <w:t xml:space="preserve">30. 签订合同</w:t>
      </w:r>
      <w:r>
        <w:rPr>
          <w:rFonts w:hint="eastAsia" w:ascii="仿宋" w:hAnsi="仿宋" w:eastAsia="仿宋" w:cs="仿宋"/>
          <w:sz w:val="28"/>
          <w:szCs w:val="28"/>
          <w:highlight w:val="none"/>
        </w:rPr>
        <w:tab/>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30.l 中标供应商应当在中标通知书发出之日起三十日内，按照招标文件确定的事项与采购人签订政府采购合同。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 招标文件、中标供应商的投标文件及招标过程中有关澄清、承诺文件均应作为合同附件。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47"/>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bookmarkEnd w:id="70"/>
      <w:r/>
      <w:bookmarkEnd w:id="71"/>
      <w:r/>
      <w:bookmarkEnd w:id="72"/>
      <w:r/>
      <w:r/>
    </w:p>
    <w:p>
      <w:pPr>
        <w:keepLines w:val="0"/>
        <w:keepNext w:val="0"/>
        <w:pageBreakBefore w:val="0"/>
        <w:spacing w:line="48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 小微型企业价格扣除</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 联合体及分包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（1）供应商须按照招标文件的要求提供相应的《企业声明函》，详见招标文件第六章示范格式。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 节能产品（本项目不涉及）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 环保产品（本项目不涉及）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keepLines w:val="0"/>
        <w:keepNext w:val="0"/>
        <w:pageBreakBefore w:val="0"/>
        <w:spacing w:line="48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34.4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35．政府绿色采购</w:t>
      </w:r>
      <w:r/>
    </w:p>
    <w:p>
      <w:pPr>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648"/>
        <w:ind w:left="0" w:firstLine="560"/>
        <w:keepLines w:val="0"/>
        <w:keepNext w:val="0"/>
        <w:pageBreakBefore w:val="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648"/>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36. 履约资金扶持政策</w:t>
      </w:r>
      <w:r/>
    </w:p>
    <w:p>
      <w:pPr>
        <w:pStyle w:val="648"/>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648"/>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keepLines w:val="0"/>
        <w:keepNext w:val="0"/>
        <w:pageBreakBefore w:val="0"/>
        <w:spacing w:line="48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第三章  评标标准</w:t>
      </w:r>
      <w:r/>
    </w:p>
    <w:p>
      <w:pPr>
        <w:pStyle w:val="641"/>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cs="仿宋"/>
          <w:sz w:val="28"/>
          <w:highlight w:val="none"/>
          <w:lang w:eastAsia="zh-CN"/>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lang w:eastAsia="zh-CN"/>
        </w:rPr>
        <w:t xml:space="preserve">：</w:t>
      </w:r>
      <w:r/>
    </w:p>
    <w:tbl>
      <w:tblPr>
        <w:tblStyle w:val="636"/>
        <w:tblW w:w="5286"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497"/>
        <w:gridCol w:w="6807"/>
        <w:gridCol w:w="14"/>
        <w:gridCol w:w="673"/>
        <w:gridCol w:w="13"/>
      </w:tblGrid>
      <w:tr>
        <w:trPr/>
        <w:tc>
          <w:tcPr>
            <w:tcW w:w="695"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bCs/>
                <w:color w:val="auto"/>
                <w:sz w:val="22"/>
                <w:szCs w:val="22"/>
                <w:highlight w:val="none"/>
              </w:rPr>
              <w:t xml:space="preserve">序号</w:t>
            </w:r>
            <w:r/>
          </w:p>
        </w:tc>
        <w:tc>
          <w:tcPr>
            <w:tcW w:w="1497"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评分因素</w:t>
            </w:r>
            <w:r/>
          </w:p>
        </w:tc>
        <w:tc>
          <w:tcPr>
            <w:tcW w:w="6807"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评审细则</w:t>
            </w:r>
            <w:r/>
          </w:p>
        </w:tc>
        <w:tc>
          <w:tcPr>
            <w:gridSpan w:val="3"/>
            <w:tcW w:w="700"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分值</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投标报价</w:t>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30</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p>
        </w:tc>
        <w:tc>
          <w:tcPr>
            <w:tcW w:w="1497" w:type="dxa"/>
            <w:vAlign w:val="center"/>
            <w:textDirection w:val="lrTb"/>
            <w:noWrap/>
          </w:tcPr>
          <w:p>
            <w:pPr>
              <w:jc w:val="center"/>
              <w:spacing w:line="48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技术参数</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设备技术参数及商务要求全部满足招标要求的得满分</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在此基础上，招标文件中标注“★”的条款为实质性要求，有一项负偏离，作无效投标处理。其他</w:t>
            </w:r>
            <w:r>
              <w:rPr>
                <w:rFonts w:hint="eastAsia" w:ascii="微软雅黑" w:hAnsi="微软雅黑" w:eastAsia="微软雅黑" w:cs="微软雅黑"/>
                <w:color w:val="auto"/>
                <w:sz w:val="22"/>
                <w:szCs w:val="22"/>
                <w:highlight w:val="none"/>
              </w:rPr>
              <w:t xml:space="preserve">▲</w:t>
            </w:r>
            <w:r>
              <w:rPr>
                <w:rFonts w:hint="eastAsia" w:ascii="仿宋" w:hAnsi="仿宋" w:eastAsia="仿宋" w:cs="仿宋"/>
                <w:color w:val="auto"/>
                <w:sz w:val="22"/>
                <w:szCs w:val="22"/>
                <w:highlight w:val="none"/>
              </w:rPr>
              <w:t xml:space="preserve">非重要技术条款每有一项负偏离扣</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分，扣完为止。</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注：所有对招标文件标注★</w:t>
            </w:r>
            <w:r>
              <w:rPr>
                <w:rFonts w:hint="eastAsia" w:ascii="仿宋" w:hAnsi="仿宋" w:eastAsia="仿宋" w:cs="仿宋"/>
                <w:color w:val="auto"/>
                <w:sz w:val="22"/>
                <w:szCs w:val="22"/>
                <w:highlight w:val="none"/>
                <w:lang w:eastAsia="zh-CN"/>
              </w:rPr>
              <w:t xml:space="preserve">、</w:t>
            </w:r>
            <w:r>
              <w:rPr>
                <w:rFonts w:hint="eastAsia" w:ascii="微软雅黑" w:hAnsi="微软雅黑" w:eastAsia="微软雅黑" w:cs="微软雅黑"/>
                <w:color w:val="auto"/>
                <w:sz w:val="22"/>
                <w:szCs w:val="22"/>
                <w:highlight w:val="none"/>
              </w:rPr>
              <w:t xml:space="preserve">▲</w:t>
            </w:r>
            <w:r>
              <w:rPr>
                <w:rFonts w:hint="eastAsia" w:ascii="仿宋" w:hAnsi="仿宋" w:eastAsia="仿宋" w:cs="仿宋"/>
                <w:color w:val="auto"/>
                <w:sz w:val="22"/>
                <w:szCs w:val="22"/>
                <w:highlight w:val="none"/>
              </w:rPr>
              <w:t xml:space="preserve">的具体要求、参数、数值指标的响应，要求投标供应商必须在投标文件中提供技术支持资料（</w:t>
            </w:r>
            <w:r>
              <w:rPr>
                <w:rFonts w:hint="eastAsia" w:ascii="仿宋" w:hAnsi="仿宋" w:eastAsia="仿宋" w:cs="仿宋"/>
                <w:color w:val="auto"/>
                <w:sz w:val="22"/>
                <w:szCs w:val="22"/>
                <w:highlight w:val="none"/>
                <w:lang w:val="en-US" w:eastAsia="zh-CN"/>
              </w:rPr>
              <w:t xml:space="preserve">如：</w:t>
            </w:r>
            <w:r>
              <w:rPr>
                <w:rFonts w:hint="eastAsia" w:ascii="仿宋" w:hAnsi="仿宋" w:eastAsia="仿宋" w:cs="仿宋"/>
                <w:color w:val="auto"/>
                <w:sz w:val="22"/>
                <w:szCs w:val="22"/>
                <w:highlight w:val="none"/>
              </w:rPr>
              <w:t xml:space="preserve">公开发行的手册、彩页、官网截图、功能页面截图、检测报告、白皮书等）。</w:t>
            </w:r>
            <w:r/>
          </w:p>
        </w:tc>
        <w:tc>
          <w:tcPr>
            <w:gridSpan w:val="3"/>
            <w:tcW w:w="700" w:type="dxa"/>
            <w:vAlign w:val="center"/>
            <w:textDirection w:val="lrTb"/>
            <w:noWrap/>
          </w:tcPr>
          <w:p>
            <w:pPr>
              <w:jc w:val="center"/>
              <w:spacing w:line="48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15</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设备整体方案设计</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根据</w:t>
            </w:r>
            <w:r>
              <w:rPr>
                <w:rFonts w:hint="eastAsia" w:ascii="仿宋" w:hAnsi="仿宋" w:eastAsia="仿宋" w:cs="仿宋"/>
                <w:color w:val="auto"/>
                <w:sz w:val="22"/>
                <w:szCs w:val="22"/>
                <w:highlight w:val="none"/>
              </w:rPr>
              <w:t xml:space="preserve">装置技术方案、现场布局规划、系统设计、抗干扰措施、安全防护方案、安装调试等内容进行综合评审打分：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方案完整规范，各项设计科学合理，安全及防护措施齐全完善，安装调试流程成熟可行，完全满足相关规范及项目要求的，得 9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方案内容完整，装置、布局、防护、安装调试、建标适配等核心要素均已覆盖，主要措施到位，能够满足项目要求的，得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方案基本齐全，但部分设计细节缺失、针对性不足，仅能满足设备基础使用条件，建标适配考虑不够充分的，得 3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产品选型与规格完全匹配项目需求；执行标准明确；材质选用列明具体品牌、规格或技术参数；制造工艺描述清晰，包含关键制造工艺工序的，得10分；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产品选型与规格符合项目需求；材质选用说明材质类型；制造工艺有基本描述，得6分；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产品选型、规格、性能、材质选用或制造工艺中有任一内容低于采购文件要求的，得3分；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w:t>
            </w:r>
            <w:r/>
          </w:p>
        </w:tc>
      </w:tr>
      <w:tr>
        <w:trPr>
          <w:cantSplit/>
          <w:trHeight w:val="857"/>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w:t>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评委依据投标文件中的实施方案内容（包括但不限于项目供货实施计划、质量保障措施、风险识别及管控措施、验收保障等）进行打分：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实施方案全面具体，内容详实，供货计划、质量保障、风险管控等措施针对性强，整体优于采购文件要求的，得 9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实施方案较为全面，主要内容完整，核心措施基本到位，能够满足采购文件要求的，得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实施方案不够全面，内容偏空泛，关键措施存在缺失，不能完全满足采购文件要求的，得 3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gridAfter w:val="1"/>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w:t>
            </w:r>
            <w:r/>
          </w:p>
        </w:tc>
        <w:tc>
          <w:tcPr>
            <w:tcW w:w="1497" w:type="dxa"/>
            <w:vAlign w:val="center"/>
            <w:textDirection w:val="lrTb"/>
            <w:noWrap/>
          </w:tcPr>
          <w:p>
            <w:pP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评委根据投标文件中售后服务方案（包括但不限于服务体系、服务内容、故障解决方案、响应时间、专业技术人员保障及服务电话、备品备件保证、质保期外维保方案等方面）进行打分：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售后服务方案完整详细，有明确的售后服务机构及人员、售后服务承诺、售后服务响应及处理时间，质保期内的售后服务范围、质保期满后的售后服务范围和收费情况清晰具体，优于采购人要求的，</w:t>
            </w:r>
            <w:r>
              <w:rPr>
                <w:rFonts w:hint="eastAsia" w:ascii="仿宋" w:hAnsi="仿宋" w:eastAsia="仿宋" w:cs="仿宋"/>
                <w:bCs/>
                <w:color w:val="auto"/>
                <w:sz w:val="22"/>
                <w:szCs w:val="22"/>
                <w:highlight w:val="none"/>
              </w:rPr>
              <w:t xml:space="preserve">得9</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售后服务方案较为完整，载明售后服务机构及服务人员、售后服务承诺、售后服务响应及故障处理时间，质保期内的售后服务范围、质保期满后的售后服务范围和收费情况满足采购人基本要求的，得 6 分；售后服务体系薄弱，售后服务方案各方面内容介绍不明晰，</w:t>
            </w:r>
            <w:r>
              <w:rPr>
                <w:rFonts w:hint="eastAsia" w:ascii="仿宋" w:hAnsi="仿宋" w:eastAsia="仿宋" w:cs="仿宋"/>
                <w:bCs/>
                <w:color w:val="auto"/>
                <w:sz w:val="22"/>
                <w:szCs w:val="22"/>
                <w:highlight w:val="none"/>
              </w:rPr>
              <w:t xml:space="preserve">得3</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gridAfter w:val="1"/>
          <w:trHeight w:val="3341"/>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7</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培训方案</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评委根据投标文件中培训方案（包括但不限于培训目标、培训方法、培训内容、培训师资力量、培训时间、拟提供的培训资料等方面）进行打分：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培训内容详实丰富、科学贴合项目需求，培训形式多元灵活，方案落地性、可操作性强，培训计划详细，安排合理，优于采购人要求的，得9分；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培训内容较为丰富，设置合理合规，培训形式多样，方案具备可操作性，培训计划清晰明确，满足采购人要求的，得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培训内容简略单薄、合理性一般，培训形式单一固化，培训计划简单，形式单一，得3分；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gridAfter w:val="1"/>
          <w:trHeight w:val="1335"/>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8</w:t>
            </w:r>
            <w:r/>
          </w:p>
        </w:tc>
        <w:tc>
          <w:tcPr>
            <w:tcW w:w="1497" w:type="dxa"/>
            <w:vAlign w:val="center"/>
            <w:textDirection w:val="lrTb"/>
            <w:noWrap/>
          </w:tcPr>
          <w:p>
            <w:pPr>
              <w:ind w:right="-263" w:firstLine="440"/>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业绩</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提供2022年1月1日（含）以来，</w:t>
            </w:r>
            <w:r>
              <w:rPr>
                <w:rFonts w:hint="eastAsia" w:ascii="仿宋" w:hAnsi="仿宋" w:eastAsia="仿宋" w:cs="仿宋"/>
                <w:b/>
                <w:bCs/>
                <w:color w:val="auto"/>
                <w:sz w:val="22"/>
                <w:szCs w:val="22"/>
                <w:highlight w:val="none"/>
              </w:rPr>
              <w:t xml:space="preserve">投标人具有同型号产品（核心产品）或技术指标不低于此次招标技术要求的产品</w:t>
            </w:r>
            <w:r>
              <w:rPr>
                <w:rFonts w:hint="eastAsia" w:ascii="仿宋" w:hAnsi="仿宋" w:eastAsia="仿宋" w:cs="仿宋"/>
                <w:color w:val="auto"/>
                <w:sz w:val="22"/>
                <w:szCs w:val="22"/>
                <w:highlight w:val="none"/>
              </w:rPr>
              <w:t xml:space="preserve">在计量技术机构的销售业绩合同。每提供一份产品销售合同得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分，最高</w:t>
            </w: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分。</w:t>
            </w:r>
            <w:r>
              <w:rPr>
                <w:rFonts w:hint="eastAsia" w:ascii="仿宋" w:hAnsi="仿宋" w:eastAsia="仿宋" w:cs="仿宋"/>
                <w:b/>
                <w:bCs/>
                <w:color w:val="auto"/>
                <w:sz w:val="22"/>
                <w:szCs w:val="22"/>
                <w:highlight w:val="none"/>
              </w:rPr>
              <w:t xml:space="preserve">（提供合同复印件）</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r>
    </w:tbl>
    <w:p>
      <w:pPr>
        <w:pStyle w:val="637"/>
        <w:rPr>
          <w:rFonts w:hint="eastAsia"/>
          <w:highlight w:val="none"/>
        </w:rPr>
      </w:pPr>
      <w:r>
        <w:rPr>
          <w:rFonts w:hint="eastAsia"/>
          <w:highlight w:val="none"/>
        </w:rPr>
      </w:r>
      <w:r/>
    </w:p>
    <w:p>
      <w:pPr>
        <w:ind w:firstLine="53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jc w:val="center"/>
        <w:spacing w:line="440" w:lineRule="exact"/>
        <w:rPr>
          <w:rFonts w:hint="eastAsia" w:ascii="仿宋" w:hAnsi="仿宋" w:eastAsia="仿宋" w:cs="仿宋"/>
          <w:b/>
          <w:color w:val="000000"/>
          <w:sz w:val="30"/>
          <w:szCs w:val="30"/>
          <w:highlight w:val="none"/>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000000"/>
          <w:sz w:val="30"/>
          <w:szCs w:val="30"/>
          <w:highlight w:val="none"/>
        </w:rPr>
      </w:r>
      <w:r/>
    </w:p>
    <w:p>
      <w:pPr>
        <w:ind w:firstLine="480"/>
        <w:jc w:val="center"/>
        <w:spacing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四</w:t>
      </w:r>
      <w:r>
        <w:rPr>
          <w:rFonts w:hint="eastAsia" w:ascii="仿宋" w:hAnsi="仿宋" w:eastAsia="仿宋" w:cs="仿宋"/>
          <w:b/>
          <w:color w:val="000000"/>
          <w:sz w:val="30"/>
          <w:szCs w:val="30"/>
          <w:highlight w:val="none"/>
        </w:rPr>
        <w:t xml:space="preserve">章  合同主要条款</w:t>
      </w:r>
      <w:r/>
    </w:p>
    <w:p>
      <w:pPr>
        <w:pStyle w:val="641"/>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注：以下为</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提出成交后签订本项目合同的主要条款及通用条款，</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rPr>
        <w:t xml:space="preserve">必须实质性响应，</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不得提出实质性的修改，关于专用条款将由</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与</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结合本项目具体情况协商后签订。</w:t>
      </w:r>
      <w:r/>
    </w:p>
    <w:p>
      <w:pPr>
        <w:pStyle w:val="641"/>
        <w:ind w:firstLine="562"/>
        <w:jc w:val="center"/>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一、</w:t>
      </w:r>
      <w:r>
        <w:rPr>
          <w:rFonts w:hint="eastAsia" w:ascii="仿宋" w:hAnsi="仿宋" w:eastAsia="仿宋" w:cs="仿宋"/>
          <w:b/>
          <w:bCs w:val="0"/>
          <w:color w:val="000000"/>
          <w:sz w:val="28"/>
          <w:szCs w:val="28"/>
          <w:highlight w:val="none"/>
        </w:rPr>
        <w:t xml:space="preserve">合同格式</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买方（甲方）：</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卖方（乙方）： </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合同由买卖双方签订，并依据本项目采购文件规定，按下列合同条款买方同意购入，卖方同意卖出下列设备及服务。</w:t>
      </w:r>
      <w:r/>
    </w:p>
    <w:p>
      <w:pPr>
        <w:contextualSpacing/>
        <w:ind w:left="720" w:hanging="80"/>
        <w:jc w:val="left"/>
        <w:keepLines w:val="0"/>
        <w:keepNext w:val="0"/>
        <w:pageBreakBefore w:val="0"/>
        <w:spacing w:before="100" w:after="100"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1.设备名称、型号规格、数量及服务内容。</w:t>
      </w:r>
      <w:r/>
    </w:p>
    <w:tbl>
      <w:tblPr>
        <w:tblStyle w:val="636"/>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164"/>
        <w:gridCol w:w="623"/>
        <w:gridCol w:w="2590"/>
        <w:gridCol w:w="502"/>
        <w:gridCol w:w="1056"/>
        <w:gridCol w:w="2275"/>
      </w:tblGrid>
      <w:tr>
        <w:trPr>
          <w:jc w:val="center"/>
          <w:trHeight w:val="19"/>
        </w:trPr>
        <w:tc>
          <w:tcPr>
            <w:tcW w:w="452"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329"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产品名称</w:t>
            </w:r>
            <w:r/>
          </w:p>
        </w:tc>
        <w:tc>
          <w:tcPr>
            <w:tcW w:w="655"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型号</w:t>
            </w:r>
            <w:r/>
          </w:p>
        </w:tc>
        <w:tc>
          <w:tcPr>
            <w:tcW w:w="494"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504"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W w:w="828"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单价（元）</w:t>
            </w:r>
            <w:r/>
          </w:p>
        </w:tc>
        <w:tc>
          <w:tcPr>
            <w:tcW w:w="735"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总价（元）</w:t>
            </w:r>
            <w:r/>
          </w:p>
        </w:tc>
      </w:tr>
      <w:tr>
        <w:trPr>
          <w:jc w:val="center"/>
          <w:trHeight w:val="19"/>
        </w:trPr>
        <w:tc>
          <w:tcPr>
            <w:tcW w:w="452"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29"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5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9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50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28"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9"/>
        </w:trPr>
        <w:tc>
          <w:tcPr>
            <w:tcW w:w="452"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29"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5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9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50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28"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9"/>
        </w:trPr>
        <w:tc>
          <w:tcPr>
            <w:gridSpan w:val="4"/>
            <w:tcW w:w="5545" w:type="dxa"/>
            <w:vAlign w:val="center"/>
            <w:textDirection w:val="lrTb"/>
            <w:noWrap w:val="false"/>
          </w:tcPr>
          <w:p>
            <w:pPr>
              <w:ind w:firstLine="422"/>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合计（元）</w:t>
            </w:r>
            <w:r/>
          </w:p>
        </w:tc>
        <w:tc>
          <w:tcPr>
            <w:gridSpan w:val="3"/>
            <w:tcW w:w="3909" w:type="dxa"/>
            <w:vAlign w:val="center"/>
            <w:textDirection w:val="lrTb"/>
            <w:noWrap w:val="false"/>
          </w:tcPr>
          <w:p>
            <w:pPr>
              <w:ind w:firstLine="422"/>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w:t>
            </w:r>
            <w:r/>
          </w:p>
        </w:tc>
      </w:tr>
    </w:tbl>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2.合同总价（大写）：</w:t>
      </w:r>
      <w:r>
        <w:rPr>
          <w:rFonts w:hint="eastAsia" w:ascii="仿宋" w:hAnsi="仿宋" w:eastAsia="仿宋" w:cs="仿宋"/>
          <w:b/>
          <w:bCs/>
          <w:color w:val="auto"/>
          <w:sz w:val="28"/>
          <w:szCs w:val="28"/>
          <w:highlight w:val="none"/>
          <w:u w:val="single"/>
        </w:rPr>
        <w:t xml:space="preserve">人民币            </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（含税）</w:t>
      </w:r>
      <w:r/>
    </w:p>
    <w:p>
      <w:pPr>
        <w:ind w:left="108" w:firstLine="1680"/>
        <w:jc w:val="left"/>
        <w:keepLines w:val="0"/>
        <w:keepNext w:val="0"/>
        <w:pageBreakBefore w:val="0"/>
        <w:spacing w:line="520" w:lineRule="exact"/>
        <w:widowControl/>
        <w:tabs>
          <w:tab w:val="left" w:pos="47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（小写）：</w:t>
      </w:r>
      <w:r>
        <w:rPr>
          <w:rFonts w:hint="eastAsia" w:ascii="仿宋" w:hAnsi="仿宋" w:eastAsia="仿宋" w:cs="仿宋"/>
          <w:b/>
          <w:bCs/>
          <w:color w:val="auto"/>
          <w:sz w:val="28"/>
          <w:szCs w:val="28"/>
          <w:highlight w:val="none"/>
          <w:u w:val="single"/>
        </w:rPr>
        <w:t xml:space="preserve">￥             元。</w:t>
      </w:r>
      <w:r/>
    </w:p>
    <w:p>
      <w:pPr>
        <w:ind w:firstLine="480"/>
        <w:keepLines w:val="0"/>
        <w:keepNext w:val="0"/>
        <w:pageBreakBefore w:val="0"/>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w:t>
      </w:r>
      <w:r>
        <w:rPr>
          <w:rFonts w:hint="eastAsia" w:ascii="仿宋" w:hAnsi="仿宋" w:eastAsia="仿宋" w:cs="仿宋"/>
          <w:bCs/>
          <w:color w:val="auto"/>
          <w:sz w:val="28"/>
          <w:szCs w:val="28"/>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仿宋" w:hAnsi="仿宋" w:eastAsia="仿宋" w:cs="仿宋"/>
          <w:color w:val="auto"/>
          <w:sz w:val="28"/>
          <w:szCs w:val="28"/>
          <w:highlight w:val="none"/>
        </w:rPr>
        <w:t xml:space="preserve">。</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交付使用时间：</w:t>
      </w:r>
      <w:r>
        <w:rPr>
          <w:rFonts w:hint="eastAsia" w:ascii="仿宋" w:hAnsi="仿宋" w:eastAsia="仿宋" w:cs="仿宋"/>
          <w:color w:val="auto"/>
          <w:sz w:val="28"/>
          <w:szCs w:val="28"/>
          <w:highlight w:val="none"/>
          <w:u w:val="single"/>
        </w:rPr>
        <w:t xml:space="preserve">详见投标文件。</w:t>
      </w:r>
      <w:r/>
    </w:p>
    <w:p>
      <w:pPr>
        <w:ind w:firstLine="600"/>
        <w:keepLines w:val="0"/>
        <w:keepNext w:val="0"/>
        <w:pageBreakBefore w:val="0"/>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收货人：</w:t>
      </w:r>
      <w:r>
        <w:rPr>
          <w:rFonts w:hint="eastAsia" w:ascii="仿宋" w:hAnsi="仿宋" w:eastAsia="仿宋" w:cs="仿宋"/>
          <w:b/>
          <w:color w:val="auto"/>
          <w:sz w:val="28"/>
          <w:szCs w:val="28"/>
          <w:highlight w:val="none"/>
          <w:u w:val="single"/>
        </w:rPr>
        <w:t xml:space="preserve">淮安市计量测试中心</w:t>
      </w:r>
      <w:r>
        <w:rPr>
          <w:rFonts w:hint="eastAsia" w:ascii="仿宋" w:hAnsi="仿宋" w:eastAsia="仿宋" w:cs="仿宋"/>
          <w:color w:val="auto"/>
          <w:sz w:val="28"/>
          <w:szCs w:val="28"/>
          <w:highlight w:val="none"/>
          <w:u w:val="single"/>
        </w:rPr>
        <w:t xml:space="preserve">。</w:t>
      </w:r>
      <w:r/>
    </w:p>
    <w:p>
      <w:pPr>
        <w:ind w:firstLine="600"/>
        <w:keepLines w:val="0"/>
        <w:keepNext w:val="0"/>
        <w:pageBreakBefore w:val="0"/>
        <w:spacing w:line="520" w:lineRule="exact"/>
        <w:widowControl/>
        <w:tabs>
          <w:tab w:val="left" w:pos="-235" w:leader="none"/>
        </w:tabs>
        <w:rPr>
          <w:rFonts w:hint="eastAsia" w:ascii="仿宋" w:hAnsi="仿宋" w:eastAsia="仿宋" w:cs="仿宋"/>
          <w:b/>
          <w:color w:val="auto"/>
          <w:sz w:val="28"/>
          <w:szCs w:val="28"/>
          <w:highlight w:val="none"/>
          <w:u w:val="single"/>
        </w:rPr>
      </w:pPr>
      <w:r>
        <w:rPr>
          <w:rFonts w:hint="eastAsia" w:ascii="仿宋" w:hAnsi="仿宋" w:eastAsia="仿宋" w:cs="仿宋"/>
          <w:color w:val="auto"/>
          <w:sz w:val="28"/>
          <w:szCs w:val="28"/>
          <w:highlight w:val="none"/>
        </w:rPr>
        <w:t xml:space="preserve">5. 交货地点：</w:t>
      </w:r>
      <w:r>
        <w:rPr>
          <w:rFonts w:hint="eastAsia" w:ascii="仿宋" w:hAnsi="仿宋" w:eastAsia="仿宋" w:cs="仿宋"/>
          <w:b/>
          <w:color w:val="auto"/>
          <w:sz w:val="28"/>
          <w:szCs w:val="28"/>
          <w:highlight w:val="none"/>
          <w:u w:val="single"/>
        </w:rPr>
        <w:t xml:space="preserve">买方指定地点。</w:t>
      </w:r>
      <w:r/>
    </w:p>
    <w:p>
      <w:pPr>
        <w:ind w:firstLine="600"/>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6. 设备的制造应符合下列标准或规范并据此验收：</w:t>
      </w:r>
      <w:r>
        <w:rPr>
          <w:rFonts w:hint="eastAsia" w:ascii="仿宋" w:hAnsi="仿宋" w:eastAsia="仿宋" w:cs="仿宋"/>
          <w:b/>
          <w:color w:val="auto"/>
          <w:sz w:val="28"/>
          <w:szCs w:val="28"/>
          <w:highlight w:val="none"/>
          <w:u w:val="single"/>
        </w:rPr>
        <w:t xml:space="preserve">招标文件、投标文件、双方签订的技术协议和国家的相关标准。</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 包装要求：全部货物的外包装，必须采用防漏、防潮、防震、防锈、防盗和考虑到可能会发生的野蛮装卸等长途内陆运输及多次装卸之需要。</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 买方付款方式及期限：</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合同签订后，买方向卖方支付合同总价的40%的货款，设备、材料全部运抵交货地点，并安装结束，调试完毕，验收合格后，买方向卖方支付合同总价60%的货款。</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bidi="ar"/>
        </w:rPr>
        <w:t xml:space="preserve">卖方应在收到买方通知后开具合法有效发票，买方收到发票后支付相应款项。若因发票瑕疵导致付款延误，责任由卖方承担。</w:t>
      </w:r>
      <w:r>
        <w:rPr>
          <w:rFonts w:hint="eastAsia" w:ascii="仿宋" w:hAnsi="仿宋" w:eastAsia="仿宋" w:cs="仿宋"/>
          <w:color w:val="auto"/>
          <w:sz w:val="28"/>
          <w:szCs w:val="28"/>
          <w:highlight w:val="none"/>
        </w:rPr>
        <w:t xml:space="preserve">若产品存在质量问题，则不受该付款条件约束，应按照本合同条款其他要求以及民法典有关规定执行。</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 验收</w:t>
      </w:r>
      <w:r/>
    </w:p>
    <w:p>
      <w:pPr>
        <w:ind w:left="8" w:firstLine="650"/>
        <w:jc w:val="left"/>
        <w:keepLines w:val="0"/>
        <w:keepNext w:val="0"/>
        <w:pageBreakBefore w:val="0"/>
        <w:spacing w:line="520" w:lineRule="exact"/>
        <w:widowControl/>
        <w:tabs>
          <w:tab w:val="left" w:pos="4785" w:leader="none"/>
        </w:tabs>
        <w:rPr>
          <w:rFonts w:hint="eastAsia" w:ascii="仿宋" w:hAnsi="仿宋" w:eastAsia="仿宋" w:cs="仿宋"/>
          <w:b/>
          <w:color w:val="auto"/>
          <w:sz w:val="28"/>
          <w:szCs w:val="28"/>
          <w:highlight w:val="none"/>
          <w:u w:val="single"/>
        </w:rPr>
      </w:pPr>
      <w:r>
        <w:rPr>
          <w:rFonts w:hint="eastAsia" w:ascii="仿宋" w:hAnsi="仿宋" w:eastAsia="仿宋" w:cs="仿宋"/>
          <w:color w:val="auto"/>
          <w:sz w:val="28"/>
          <w:szCs w:val="28"/>
          <w:highlight w:val="none"/>
        </w:rPr>
        <w:t xml:space="preserve">验收标准及方式：符合</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文件、投标文件、双方签订的技术协议、国家的相关标准和规范；经采购人项目负责人确认是否达到验收标准，若符合验收标准则验收合格。</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 质保期及售后服务</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卖方所供设备、材料及安装的质量保证期：</w:t>
      </w:r>
      <w:r>
        <w:rPr>
          <w:rFonts w:hint="eastAsia" w:ascii="仿宋" w:hAnsi="仿宋" w:eastAsia="仿宋" w:cs="仿宋"/>
          <w:color w:val="auto"/>
          <w:sz w:val="28"/>
          <w:szCs w:val="28"/>
          <w:highlight w:val="none"/>
          <w:u w:val="single"/>
        </w:rPr>
        <w:t xml:space="preserve">详见投标文件要求</w:t>
      </w:r>
      <w:r>
        <w:rPr>
          <w:rFonts w:hint="eastAsia" w:ascii="仿宋" w:hAnsi="仿宋" w:eastAsia="仿宋" w:cs="仿宋"/>
          <w:color w:val="auto"/>
          <w:sz w:val="28"/>
          <w:szCs w:val="28"/>
          <w:highlight w:val="none"/>
        </w:rPr>
        <w:t xml:space="preserve">。</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 在质保期内，因买方使用不当原因出现设备故障时，卖方在接买方通知后，设备厂家工程师应在规定时限内赶到买方现场，帮助排除故障、修复或更换零部件，需购买零部件时，仅收取成本费。</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技术资料</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按投标文件技术规格、参数及其他要求中的要求提供相关资料（见附件）。</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12.货物风险承担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12.1卖方应当按照买方指定的地点交货，需要运输的货物，卖方应当妥善保障货物在运输过程中的安全。</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12.2卖方将货物运输至买方指定的地点后，应当及时通知买方进行接收，由买方进行检验。</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12.3在货物验收合格之前毁损、灭失的风险由卖方承担，因买方原因造成货物毁损、灭失的除外。</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 卖方的违约责任</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13.1卖方未按合同规定的质量要求交货，买方有权拒收，由此造成的直接损失和间接损失由卖方赔偿。</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13.2卖方逾期交付（包括整修、返工、补交或由买方提出更改、卖方承诺，但未在承诺的工期内完成等）应向买方偿付违约金，每逾期1天，按合同总价的万分之五支付违约金。</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13.3货物有合格证及说明书等资料的，在交付货物时，卖方应当一并交付合格证及说明书等资料，未交付的买方有权拒绝接收。因此造成的损失由卖方承担。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13.4卖方不能交付或不能完成合同，买方有权解除本合同并要求卖方双倍返还买方已支付的货款。</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13.5本合同所有货物的制造及安装，都必须由卖方自己或响应文件中明确的单位承担，不得分包给其他单位。否则，买方有权按卖方不能交付或不能完成合同处理。</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13.6 货物经买方验收不符合要求的，卖方应当在买方指定的时间内调换，调换后仍不符合要求的，买方有权解除合同并要求卖方赔偿因此造成的损失。</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13.7卖方履行义务不符合合同约定时，买方将扣减10%合同款。</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13.8在合同约定的质保期内，卖方未能履行合同约定的义务，卖方应按合同总价的10%支付违约金，导致买方遭受损失的，卖方应承担因此造成的全部损失。</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买方的违约责任：</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14.1买方未按合同规定的时间和要求向卖方提供技术资料等，卖方交付时间顺延。</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 卖方供给买方的设备、材料及卖方自己的施工用具，进入买方工地现场后的保管，由卖方负责；卖方在买方工地现场安装、调试、验收人员的安全、保险、食宿、交通由卖方负责。</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 卖方在设备安装、调试、验收过程中，买方提供下列条件和配合，超出下列范围的由卖方自理：无</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 合同的生效：本合同一式陆份，各份具有同等法律效力，自买卖双方签字、盖章并加盖骑缝章之日起生效。</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 合同的变更和终止：除《</w:t>
      </w:r>
      <w:r>
        <w:rPr>
          <w:rFonts w:hint="eastAsia" w:ascii="仿宋" w:hAnsi="仿宋" w:eastAsia="仿宋" w:cs="仿宋"/>
          <w:sz w:val="28"/>
          <w:szCs w:val="28"/>
          <w:highlight w:val="none"/>
        </w:rPr>
        <w:t xml:space="preserve">中华人民共和国政府采购法</w:t>
      </w:r>
      <w:r/>
      <w:r>
        <w:rPr>
          <w:rFonts w:hint="eastAsia" w:ascii="仿宋" w:hAnsi="仿宋" w:eastAsia="仿宋" w:cs="仿宋"/>
          <w:color w:val="auto"/>
          <w:sz w:val="28"/>
          <w:szCs w:val="28"/>
          <w:highlight w:val="none"/>
        </w:rPr>
        <w:t xml:space="preserve">》第50条第二款规定的情形外，本合同一经签订，买卖双方不得擅自变更、中止或终止合同。除发生法律规定的不能预见、不能避免并不能克服的客观情况外，买卖双方不得放弃或拒绝履行合同。</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未尽事宜、双方协商解决，并按《中华人民共和国民法典》的规定调整。约定履行本合同发生争议，协商不成的，交由</w:t>
      </w:r>
      <w:r>
        <w:rPr>
          <w:rFonts w:hint="eastAsia" w:ascii="仿宋" w:hAnsi="仿宋" w:eastAsia="仿宋" w:cs="仿宋"/>
          <w:color w:val="auto"/>
          <w:sz w:val="28"/>
          <w:szCs w:val="28"/>
          <w:highlight w:val="none"/>
          <w:lang w:val="en-US" w:eastAsia="zh-CN"/>
        </w:rPr>
        <w:t xml:space="preserve">淮安</w:t>
      </w:r>
      <w:r>
        <w:rPr>
          <w:rFonts w:hint="eastAsia" w:ascii="仿宋" w:hAnsi="仿宋" w:eastAsia="仿宋" w:cs="仿宋"/>
          <w:color w:val="auto"/>
          <w:sz w:val="28"/>
          <w:szCs w:val="28"/>
          <w:highlight w:val="none"/>
        </w:rPr>
        <w:t xml:space="preserve">仲裁委员会仲裁裁决。仲裁产生的仲裁费、鉴定费、保全费、担保费、律师费等合理支出由违约方承担。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8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636"/>
        <w:tblW w:w="8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7"/>
        <w:gridCol w:w="4206"/>
      </w:tblGrid>
      <w:tr>
        <w:trPr>
          <w:jc w:val="center"/>
          <w:trHeight w:val="3338"/>
        </w:trPr>
        <w:tc>
          <w:tcPr>
            <w:tcW w:w="4487" w:type="dxa"/>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买方（盖章）：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委托代理人（签字）：</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w:t>
            </w:r>
            <w:r/>
          </w:p>
        </w:tc>
        <w:tc>
          <w:tcPr>
            <w:tcW w:w="4206" w:type="dxa"/>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卖方（盖章）：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委托代理人（签字）：</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w:t>
            </w:r>
            <w:r/>
          </w:p>
        </w:tc>
      </w:tr>
    </w:tbl>
    <w:p>
      <w:pPr>
        <w:spacing w:line="360" w:lineRule="auto"/>
        <w:rPr>
          <w:rFonts w:hint="eastAsia" w:ascii="仿宋" w:hAnsi="仿宋" w:eastAsia="仿宋" w:cs="仿宋"/>
          <w:b/>
          <w:bCs/>
          <w:color w:val="000000"/>
          <w:sz w:val="44"/>
          <w:highlight w:val="none"/>
        </w:rPr>
      </w:pPr>
      <w:r>
        <w:rPr>
          <w:rFonts w:hint="eastAsia" w:ascii="仿宋" w:hAnsi="仿宋" w:eastAsia="仿宋" w:cs="仿宋"/>
          <w:b/>
          <w:bCs/>
          <w:color w:val="000000"/>
          <w:sz w:val="44"/>
          <w:highlight w:val="none"/>
        </w:rPr>
      </w:r>
      <w:r/>
    </w:p>
    <w:p>
      <w:pPr>
        <w:ind w:firstLine="0"/>
        <w:jc w:val="left"/>
        <w:spacing w:line="240" w:lineRule="auto"/>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br w:type="page" w:clear="all"/>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五</w:t>
      </w:r>
      <w:r>
        <w:rPr>
          <w:rFonts w:hint="eastAsia" w:ascii="仿宋" w:hAnsi="仿宋" w:eastAsia="仿宋" w:cs="仿宋"/>
          <w:b/>
          <w:color w:val="000000"/>
          <w:sz w:val="30"/>
          <w:szCs w:val="30"/>
          <w:highlight w:val="none"/>
        </w:rPr>
        <w:t xml:space="preserve">章  项目概况及</w:t>
      </w:r>
      <w:r>
        <w:rPr>
          <w:rFonts w:hint="eastAsia" w:ascii="仿宋" w:hAnsi="仿宋" w:eastAsia="仿宋" w:cs="仿宋"/>
          <w:b/>
          <w:color w:val="000000"/>
          <w:sz w:val="30"/>
          <w:szCs w:val="30"/>
          <w:highlight w:val="none"/>
          <w:lang w:val="en-US" w:eastAsia="zh-CN"/>
        </w:rPr>
        <w:t xml:space="preserve">采购</w:t>
      </w:r>
      <w:r>
        <w:rPr>
          <w:rFonts w:hint="eastAsia" w:ascii="仿宋" w:hAnsi="仿宋" w:eastAsia="仿宋" w:cs="仿宋"/>
          <w:b/>
          <w:color w:val="000000"/>
          <w:sz w:val="30"/>
          <w:szCs w:val="30"/>
          <w:highlight w:val="none"/>
        </w:rPr>
        <w:t xml:space="preserve">需求</w:t>
      </w:r>
      <w:r/>
    </w:p>
    <w:p>
      <w:pPr>
        <w:keepLines w:val="0"/>
        <w:keepNext w:val="0"/>
        <w:pageBreakBefore w:val="0"/>
        <w:spacing w:line="520" w:lineRule="exact"/>
        <w:widowControl w:val="off"/>
        <w:rPr>
          <w:rFonts w:hint="eastAsia" w:ascii="仿宋" w:hAnsi="仿宋" w:eastAsia="仿宋" w:cs="仿宋"/>
          <w:sz w:val="28"/>
          <w:szCs w:val="28"/>
          <w:highlight w:val="none"/>
        </w:rPr>
      </w:pPr>
      <w:r/>
      <w:bookmarkStart w:id="73" w:name="_Toc11199"/>
      <w:r/>
      <w:bookmarkEnd w:id="73"/>
      <w:r>
        <w:rPr>
          <w:rFonts w:hint="eastAsia" w:ascii="仿宋" w:hAnsi="仿宋" w:eastAsia="仿宋" w:cs="仿宋"/>
          <w:sz w:val="28"/>
          <w:szCs w:val="28"/>
          <w:highlight w:val="none"/>
        </w:rPr>
        <w:t xml:space="preserve">一、婴儿培养箱校准装置参数要求：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无线温度采集标准器：温度范围：0至85℃，温度精度：±0.1℃，温度分辨率：0.01℃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温度计：测量范围：（34.5-44.5）℃，最大允许误差：±0.05℃</w:t>
      </w:r>
      <w:r/>
    </w:p>
    <w:p>
      <w:pPr>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无线湿度采集标准器：湿度范围：（0-100）%</w:t>
      </w:r>
      <w:r>
        <w:rPr>
          <w:rFonts w:hint="eastAsia" w:ascii="仿宋" w:hAnsi="仿宋" w:eastAsia="仿宋" w:cs="仿宋"/>
          <w:sz w:val="28"/>
          <w:szCs w:val="28"/>
          <w:highlight w:val="none"/>
          <w:lang w:eastAsia="zh-CN"/>
        </w:rPr>
        <w:t xml:space="preserve">RH</w:t>
      </w:r>
      <w:r>
        <w:rPr>
          <w:rFonts w:hint="eastAsia" w:ascii="仿宋" w:hAnsi="仿宋" w:eastAsia="仿宋" w:cs="仿宋"/>
          <w:sz w:val="28"/>
          <w:szCs w:val="28"/>
          <w:highlight w:val="none"/>
        </w:rPr>
        <w:t xml:space="preserve">，湿度精度：±2%</w:t>
      </w:r>
      <w:r>
        <w:rPr>
          <w:rFonts w:hint="eastAsia" w:ascii="仿宋" w:hAnsi="仿宋" w:eastAsia="仿宋" w:cs="仿宋"/>
          <w:sz w:val="28"/>
          <w:szCs w:val="28"/>
          <w:highlight w:val="none"/>
          <w:lang w:eastAsia="zh-CN"/>
        </w:rPr>
        <w:t xml:space="preserve">RH</w:t>
      </w:r>
      <w:r>
        <w:rPr>
          <w:rFonts w:hint="eastAsia" w:ascii="仿宋" w:hAnsi="仿宋" w:eastAsia="仿宋" w:cs="仿宋"/>
          <w:sz w:val="28"/>
          <w:szCs w:val="28"/>
          <w:highlight w:val="none"/>
        </w:rPr>
        <w:t xml:space="preserve">，湿度分辨率：0.01%</w:t>
      </w:r>
      <w:r>
        <w:rPr>
          <w:rFonts w:hint="eastAsia" w:ascii="仿宋" w:hAnsi="仿宋" w:eastAsia="仿宋" w:cs="仿宋"/>
          <w:sz w:val="28"/>
          <w:szCs w:val="28"/>
          <w:highlight w:val="none"/>
          <w:lang w:eastAsia="zh-CN"/>
        </w:rPr>
        <w:t xml:space="preserve">RH</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电池规格：专用耐高温锂电池，使用寿命2年以上（2年内免费更换）；</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测量间隔：最小1秒，最高无上限；</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单个记录器存储容量≥50,000组；</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标准器与数据处理装置之间采用无线通讯方式，便于现场操作：采用非接触形式对记录器进行编程及读取，支持数据的无线实时传输功能；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专用软件：同一界面上能同时显示多条曲线，数据可直接生成规范要求的原始记录格式。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自动生成符合JJF1260-2010、JJF2180-2024校准规范原始记录。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试验装置满足JJF2180-2024校准规范中附录A的要求。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无线温度采集标准器主体高度不大于15mm，直径不大于40mm。</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检测数据能够以多种方式展示，包括数据曲线，数据列表等，历史数据库功能完备，具有多种数据检索和分析功能，有效保存原始数据并支持全部类型数据回放。</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13.无线湿度采集标准器×1；无线温度采集标准器×5；温度计×1；风速仪×1；照度计×1；声级计×1；专用软件及数据读取装置×2；实验装置×5；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附相关国家级计量证书×1套</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二、单相电能表标准装置参数要求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装置准确度等级及标准配置：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装置准确度：0.1级； 12表位；装置标准表：0.05级；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量程及容量：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输出电压量程：0～300V；电流范围：最小量程1mA，输出范围1mA~120A；输出功率：电压：200VA/相，电流： 500VA/相；电压量程：220V；电流量程：0~100A；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输出调节范围</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电压、电流调节范围：0～120%；相位调节范围：0°～360°；频率调节范围：45Hz～65Hz；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输出调节细度: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电压、电流调节细度：0.002%；相位调节细度：0.01°；频率调节细度：0.001Hz；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监视表精度: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电压、电流表精度：0.1%；相位精度：0.5°；频率监视表精度：0.01Hz；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输出功率稳定度：优于0.05%/2min；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电压、电流波形失真度：优于0.5%；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电压、电流相位差：优于0.5°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标准偏差估计值（S）：优于0.02%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10.谐波输出：谐波次数2~50次；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时间基准NZ2903N型：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频率：1Hz、500kHz（TTL电平）；稳定度：2×10-8/日；准确度：2×10-7；卫星时刻1PPS准确度：100ns。</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12.符合JJG 596-2026《电子式电能表检定规程》、JJG 597-2025《交流电能表检定装置》规程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专用计算机软件：数据处理功能：存储、各类报表打印、上网方便；可按智能电能表通用技术规范要求测试初始固有误差，各校验点可根据客户要求自由设置；能对电子式多费率电能表功能进行测试，读写电表时间、事件记录、时间日期、电量、时段、电表局编号等数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三、三相电能表检定装置参数要求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功能要求：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1.1台体准确度等级0.05级，3表位，由三相精密标准功率源、三相多功能标准表、多表位检定台、测控台、专用软件、电脑及电脑工作台等组成。</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1.2参考标准：JJG 596-2026、JJG 307-2006、JJG 597-2025等检定规程。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1.3电压和电流输出全自动量程切换，并支持自动负载匹配；具有正向、反向有功电能，无功电能等多种电能计量方法。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1.4支持自动巡检，自动短接未挂表表位；采用压接接线。</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1.5应配备移动式测控台，通过其液晶触摸屏观察或控制量值输出，方便手动检表。</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可通过485通讯端口与被检表通讯，支持698和645协议。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应配专用检定软件：支持被检表的半自动或全自动校准，支持数据管理及证书导出，软件具有单点多次测试功能，测试间隔可设置，并自动绘制误差曲线图。</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装置断电、重启后，软件支持从当前误差点进行检测。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1.9应配备光电头，用于采集光脉冲信号。</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1.10所配三相多功能标准表的功率/电能准确度为0.02级，电压测量范围：30V～528V，电流测量范围：0.2mA～120A，基波频率：45Hz～65Hz。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标准功率源技术要求：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三相电压输出范围：6 V～576 V，量程：60V、120V、240V、480V；</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2.2电压输出测量不确定度（k=2）：（200ppm*RD+50ppm*RG），短期稳定度：0.01%/min；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2.3三相电流输出范围：0.2mA～120A，量程：5mA、10mA、20mA、50mA、100mA、200mA、500mA、1A、2A、5A、10A、20A、50A、100A；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电流输出测量不确定度（k=2）：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其他量程：（200ppm*RD+50ppm*RG），短期稳定度：0.01%/min；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10mA...50mA量程：（300ppm*RD+200ppm*RG），短期稳定度：0.02%/min；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5mA量程：（400ppm*RD+300ppm*RG），短期稳定度：0.03%/min；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 电压输出负载能力：15 VA /(相·表位)，电流输出负载能力：30 VA /(相·表位)；</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2.6频率调节范围:45Hz～100Hz，测量不确定度(k=2):0.005%*RD；</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2.7相位调节范围:0～360°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2.8功率/电能输出指标：</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2.8.1功率/电能测量范围：交流电压量程与交流电流量程的组合；</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功率因数测量范围：-1.000000…0.000000…1.000000；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功率/电能最佳测量不确定度(k=2)：0.05%*RD；输出功率稳定度：0.02% / 2min；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2.8.4电能误差显示：自动，分辨率为0.0001%；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 日计时误差限：±0.05s/d；时刻准确度：±1 s；</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2.10通讯接口：RS232、RS485、LAN；供电电源：AC(220±22)V，(50±2)Hz。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交货和质保等要求：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3.1交货时，三相电能表检定装置、三相多功能标准表应由省级及以上法定计量检定机构依据相关检定规程出具合格的检定证书，如有证书不符合，视为验收不合格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四、智能数字压力校验仪及配套设备参数要求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智能数字压力校验仪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压力范围：(0~100)MPa、(0~60)MPa、(0~25)MPa、(0~10)MPa、(0~</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(0~4)MPa、(0~1.6)MPa、(</w:t>
      </w:r>
      <w:r>
        <w:rPr>
          <w:rFonts w:hint="eastAsia" w:ascii="仿宋" w:hAnsi="仿宋" w:eastAsia="仿宋" w:cs="仿宋"/>
          <w:sz w:val="28"/>
          <w:szCs w:val="28"/>
          <w:highlight w:val="none"/>
          <w:lang w:eastAsia="zh-CN"/>
        </w:rPr>
        <w:t xml:space="preserve">0~600</w:t>
      </w:r>
      <w:r>
        <w:rPr>
          <w:rFonts w:hint="eastAsia" w:ascii="仿宋" w:hAnsi="仿宋" w:eastAsia="仿宋" w:cs="仿宋"/>
          <w:sz w:val="28"/>
          <w:szCs w:val="28"/>
          <w:highlight w:val="none"/>
        </w:rPr>
        <w:t xml:space="preserve">)kPa、(0~400)kPa、(0~160)kPa、(-100~0)kPa、(0~120)kPa</w:t>
      </w:r>
      <w:r>
        <w:rPr>
          <w:rFonts w:hint="eastAsia" w:ascii="仿宋" w:hAnsi="仿宋" w:eastAsia="仿宋" w:cs="仿宋"/>
          <w:sz w:val="28"/>
          <w:szCs w:val="28"/>
          <w:highlight w:val="none"/>
          <w:lang w:eastAsia="zh-CN"/>
        </w:rPr>
        <w:t xml:space="preserve">、（0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250）MPa（0.1级，无需电测功能）</w:t>
      </w:r>
      <w:r>
        <w:rPr>
          <w:rFonts w:hint="eastAsia" w:ascii="仿宋" w:hAnsi="仿宋" w:eastAsia="仿宋" w:cs="仿宋"/>
          <w:sz w:val="28"/>
          <w:szCs w:val="28"/>
          <w:highlight w:val="none"/>
        </w:rPr>
        <w:t xml:space="preserve">；</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准确度等级：0.02级；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显示位数:4、5、6位可选；</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内置HART协议，HARTDD文件免费永久升级。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内置多种应用：模拟指针式表盘、峰峰值统计、比例缩放、滤波、去皮、压力单位切换、分辨力设置、单位转换、数据记录、数据管理等；</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压力单位：不低于20单位及5个自定义单位，满足不同场景使用；</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通讯方式：WiFi、BLE，USBType-C，支持手机APP查看实时数据，自定义采样间隔，手机全程存储时序数据，可显示实时曲线；记录可手机本地保存，一键导出Excel表格；压力曲线图可分享至手机其他应用，安卓手机+iPhoneiOS均支持；</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与现有实验室计量软件的通讯，满足系统软件的整体运行，校验仪的数据能上传至所业务系统；</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不小于8G存储空间，机身出厂固化整套规程任务模板（JJG52压力表、JJG882压力变送器规程），一键调用规程预设，自动按规程算误差、判合格、存检定记录；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支持0°、90°、180°、270°四种屏幕显示方向，适应不同操作方式需要；</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外壳材料：不锈钢，IP67防护等级；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内置电信号测量功能，电测指标（范围，准确度）：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电压测量：(-30~30)V，±(0.01%RD+1.5mV)</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电流测量：(-30~30)mA，±(0.01%RD+1.5μA)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开关检测：支持机械式和NPN、PNP电子式开关</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24V输出：24V±1%，最大带载30mA。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支持内外部供电，锂电池典型工作时间不小于12小时。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控制器真空气压泵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抽气速率：4.8m³/h；</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压力范围：（-99.5~0）kPa，支持手动调节；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噪音：≤50dB(A)；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双级整体缸体、强制油泵循环润滑，停机自动防返油，保护真空腔体；</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支持与实验室现有压力控制器电气连接，实现真空泵的自动启停。</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台式液压泵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压力范围：(0～100)MPa；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调节细度：0.1kPa；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传压介质：纯净水；</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压力连接：M20×1.5快接内螺纹(3个)；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重量：不大于12kg；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结构简单、可靠性高、操作维护方便；</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不易泄漏、升降压平稳；</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压杆式预压结构，可快速且轻松地发生所需压力值；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使用配套组件可切换至非循环工作模式，减少管路堵塞；</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全面采用不锈钢连接管路，耐腐蚀。</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智能型LNG加气机检定装置参数要求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装置扩展不确定度：≤0.3%，k=2（出具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校准证书）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重复性：≤0.15%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检定介质：液化天然气（LNG）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流量范围：1kg/min~80kg/min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额定压力：不低于1.6MPa；设计工作压力2.0MPa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环境温度：覆盖-25℃~55℃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相对湿度：覆盖35%~90%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大气压力：覆盖86kPa~106kPa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电源电压：可DC12V车载供电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整机防爆标志：Ex db ibⅡB T4 Gb</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液相质量流量计：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）准确度等级不低于0.15级，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）重复性不大于0.075%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）流量范围覆盖（20 ~80）kg/min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）须提供质量流量计出厂标定证书且出具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检定证书（投标时须提供全套样本复印件）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气相质量流量计：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1）知名品牌,需经严格筛选，并可作主标准器,且须取得厂家授权。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2）准确度等级不低于0.15级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3）重复性不大于0.075%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4）流量范围：（2.5～8）kg/min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5）须提供质量流量计出厂标定证书且出具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检定证书（投标时须提供全套样本复印件）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压力表：准确度等级不低于0.2级（出具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机壳及管路系统结构合理：采取防震、防潮、防锈措施，安全接地，液相从加液枪接口到液相流量计进口距离不大于15厘米，且不得有拐弯。</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加液枪：LNG专用加液枪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最大加注压力：1.6MPa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公称压力：2.5MPa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最大流量：190L/min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介质温度：-196°C~+50°C</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接口尺寸：M36x2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重量：4.8kg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6.</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功能要求: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（1）支持采集的图像实时识别，并自动校准采集的检测数据；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（2）支持移动终端认证接入检测，支持全自动数据采集/检定模式，手动采集/检定模式。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（3）支持一键自动生成原始记录，并给出检定结论，若不合格并给出具体原因。</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（4）PDA可生成二维码，并具有扫描提取历史数据的功能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（5）支持Excel 模版预览，导出pdf、Excel</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数据中心：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（1）处理器：性能不低于英特尔I3</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（2）内存：不少于16G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（3）硬盘：不少于500G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18.</w:t>
      </w:r>
      <w:r>
        <w:rPr>
          <w:rFonts w:hint="eastAsia" w:ascii="仿宋" w:hAnsi="仿宋" w:eastAsia="仿宋" w:cs="仿宋"/>
          <w:sz w:val="28"/>
          <w:szCs w:val="28"/>
          <w:highlight w:val="none"/>
        </w:rPr>
        <w:t xml:space="preserve">移动工作站</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内存RAM:8G/ROM:128G；具有防爆合格证；具备扫码功能；检测数据可一键发送至云端。</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19.</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装置主机与移动工作站无线连接,</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20.</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专用检定软件具备被检对象二维码生成及管理功能。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供应商应对其提供的产品进行免费培训，使采购方使用人员能够正常进行操作。</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六、加油机检定装置参数要求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本次采购设备内含2套燃油加油机智能检定装置，分别为20L、50L各一套；</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燃油加油机智能检定装置的技术指标必须满足《JJG443-2023燃油加油机》、《JJG259标准金属量器》现行有效检定规程的相关要求；检定装置须附省级或以上计量机构的检定证书。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不锈钢标准量器的要求：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额定容积:20L、50L;</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容积最大允许误差:优于±2.5×10-4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材质：S304不锈钢</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其他指标均符合《JJG259标准金属量器》的要求；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感知模块和防爆检定终端的要求：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★每套智能检定装置均包含枪口温度传感器、器内温度传感器、液位传感器及环境温湿度传感器；（须提供相应的有效证明材料（如彩页、手册、检测报告等材料）以证明技术参数及功能的有效性）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温度传感器须采用铠装四线制PT100铂电阻，测量范围为-25°～55°，最大允许误差优于±0.2℃，分辨率：0.01℃；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液位传感器采用磁致伸缩液位传感器，准确度优于0.05％，分辨率为0.01mm；</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★防爆检定终端的要求：（须提供相应的有效证明材料（如彩页、手册、检测报告等材料）以证明技术参数及功能的有效性）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套智能检定装置均配备一个防爆检定终端，检定终端包含数据采集处理电路、液晶显示屏、GPS定位模块、无线传输模块（4G、wifi、蓝牙等）、二维码识别模块、锂电池、金属壳体、金属按钮、与感知模块连接用的连接件等部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检定终端具有实时采集、处理、显示、储存检定加油机的必备参数，必备参数至少包含加油站/加油机信息（生产厂家、器具编号、铅封号、检定有效期等）、枪口温度、容器内温度、液位高度、实时流量、检定现场环境温湿度、检定地点等参数，并自动计算及判断检定结果的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终端可通过GPS定位或扫码方式快速录入被检加油枪的客户信息、标识号、油枪号、铅封号等内容；</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★感知模块和防爆检定终端均须取得防爆标志不低于ExiaⅡBT4Ga的防爆合格证；（须提供相应的有效证明材料（如检测报告等材料）以证明技术参数及功能的有效性）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加油机检定专用软件的要求：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专用软件可与每套检定装置的防爆检定终端实现远程双向通讯，传输检定任务及相关信息，获取已检任务的信息和数据，自动生成检测记录；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用软件与采购方的计量业务管理系统实现无缝对接，可实现将检测记录一键发送到业务系统生成检定原始记录和证书；（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注:带★必须满足</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文件的要求，否则按无效响应处理。</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七、标准铂铑10-铂热电偶（标准铂电阻温度计）参数要求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测量温度（-189℃~420）℃，误差：±5mK</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法定计量机构检定证书（一等标准合格）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八、PH/离子计检定仪参数要求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1.满足规程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《JJG119-2018实验室pH（酸度）计检定规程》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《JJF  1547-2015在线pH计校准规范》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《JJG  757-2018实验室离子计》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产品性能要求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具有pH、PX、PXII、mV标准信号输出功能，无需预热</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具有温度补偿和等电位设置功能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具有自动切换1G和3G高阻功能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程序化自动输出检定功能，可按JJG119规程自动输出标准信号</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具有RS232接口及计算机读取装置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技术指标</w:t>
      </w:r>
      <w:r/>
    </w:p>
    <w:tbl>
      <w:tblPr>
        <w:tblStyle w:val="64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spacing w:after="160" w:line="278" w:lineRule="auto"/>
              <w:rPr>
                <w:highlight w:val="none"/>
              </w:rPr>
            </w:pPr>
            <w:r>
              <w:rPr>
                <w:highlight w:val="none"/>
              </w:rPr>
            </w:r>
            <w:r/>
          </w:p>
        </w:tc>
        <w:tc>
          <w:tcPr>
            <w:tcW w:w="2130" w:type="dxa"/>
            <w:textDirection w:val="lrTb"/>
            <w:noWrap w:val="false"/>
          </w:tcPr>
          <w:p>
            <w:pPr>
              <w:spacing w:after="160" w:line="278" w:lineRule="auto"/>
              <w:rPr>
                <w:highlight w:val="none"/>
              </w:rPr>
            </w:pPr>
            <w:r>
              <w:rPr>
                <w:highlight w:val="none"/>
              </w:rPr>
              <w:t xml:space="preserve">输出范围</w:t>
            </w:r>
            <w:r/>
          </w:p>
        </w:tc>
        <w:tc>
          <w:tcPr>
            <w:tcW w:w="2131" w:type="dxa"/>
            <w:textDirection w:val="lrTb"/>
            <w:noWrap w:val="false"/>
          </w:tcPr>
          <w:p>
            <w:pPr>
              <w:spacing w:after="160" w:line="278" w:lineRule="auto"/>
              <w:rPr>
                <w:highlight w:val="none"/>
              </w:rPr>
            </w:pPr>
            <w:r>
              <w:rPr>
                <w:highlight w:val="none"/>
              </w:rPr>
              <w:t xml:space="preserve">分辨率</w:t>
            </w:r>
            <w:r/>
          </w:p>
        </w:tc>
        <w:tc>
          <w:tcPr>
            <w:tcW w:w="2131" w:type="dxa"/>
            <w:textDirection w:val="lrTb"/>
            <w:noWrap w:val="false"/>
          </w:tcPr>
          <w:p>
            <w:pPr>
              <w:spacing w:after="160" w:line="278" w:lineRule="auto"/>
              <w:rPr>
                <w:highlight w:val="none"/>
              </w:rPr>
            </w:pPr>
            <w:r>
              <w:rPr>
                <w:highlight w:val="none"/>
              </w:rPr>
              <w:t xml:space="preserve">允许误差</w:t>
            </w:r>
            <w:r/>
          </w:p>
        </w:tc>
      </w:tr>
      <w:tr>
        <w:trPr/>
        <w:tc>
          <w:tcPr>
            <w:tcW w:w="2130" w:type="dxa"/>
            <w:textDirection w:val="lrTb"/>
            <w:noWrap w:val="false"/>
          </w:tcPr>
          <w:p>
            <w:pPr>
              <w:spacing w:after="160" w:line="278" w:lineRule="auto"/>
              <w:rPr>
                <w:highlight w:val="none"/>
              </w:rPr>
            </w:pPr>
            <w:r>
              <w:rPr>
                <w:highlight w:val="none"/>
              </w:rPr>
              <w:t xml:space="preserve">pH输出</w:t>
            </w:r>
            <w:r/>
          </w:p>
        </w:tc>
        <w:tc>
          <w:tcPr>
            <w:tcW w:w="2130" w:type="dxa"/>
            <w:textDirection w:val="lrTb"/>
            <w:noWrap w:val="false"/>
          </w:tcPr>
          <w:p>
            <w:pPr>
              <w:spacing w:after="160" w:line="278" w:lineRule="auto"/>
              <w:rPr>
                <w:highlight w:val="none"/>
              </w:rPr>
            </w:pPr>
            <w:r>
              <w:rPr>
                <w:highlight w:val="none"/>
              </w:rPr>
              <w:t xml:space="preserve">（-3.0000-17.0000）pH</w:t>
            </w:r>
            <w:r/>
          </w:p>
        </w:tc>
        <w:tc>
          <w:tcPr>
            <w:tcW w:w="2131" w:type="dxa"/>
            <w:textDirection w:val="lrTb"/>
            <w:noWrap w:val="false"/>
          </w:tcPr>
          <w:p>
            <w:pPr>
              <w:spacing w:after="160" w:line="278" w:lineRule="auto"/>
              <w:rPr>
                <w:highlight w:val="none"/>
              </w:rPr>
            </w:pPr>
            <w:r>
              <w:rPr>
                <w:highlight w:val="none"/>
              </w:rPr>
              <w:t xml:space="preserve">0.0001  pH</w:t>
            </w:r>
            <w:r/>
          </w:p>
        </w:tc>
        <w:tc>
          <w:tcPr>
            <w:tcW w:w="2131" w:type="dxa"/>
            <w:textDirection w:val="lrTb"/>
            <w:noWrap w:val="false"/>
          </w:tcPr>
          <w:p>
            <w:pPr>
              <w:spacing w:after="0" w:line="240" w:lineRule="auto"/>
              <w:rPr>
                <w:highlight w:val="none"/>
              </w:rPr>
            </w:pPr>
            <w:r>
              <w:rPr>
                <w:highlight w:val="none"/>
              </w:rPr>
              <w:t xml:space="preserve">±0.0003  pH</w:t>
            </w:r>
            <w:r/>
          </w:p>
        </w:tc>
      </w:tr>
      <w:tr>
        <w:trPr/>
        <w:tc>
          <w:tcPr>
            <w:tcW w:w="2130" w:type="dxa"/>
            <w:textDirection w:val="lrTb"/>
            <w:noWrap w:val="false"/>
          </w:tcPr>
          <w:p>
            <w:pPr>
              <w:spacing w:after="160" w:line="278" w:lineRule="auto"/>
              <w:rPr>
                <w:highlight w:val="none"/>
              </w:rPr>
            </w:pPr>
            <w:r>
              <w:rPr>
                <w:highlight w:val="none"/>
              </w:rPr>
              <w:t xml:space="preserve">mV输出</w:t>
            </w:r>
            <w:r/>
          </w:p>
        </w:tc>
        <w:tc>
          <w:tcPr>
            <w:tcW w:w="2130" w:type="dxa"/>
            <w:textDirection w:val="lrTb"/>
            <w:noWrap w:val="false"/>
          </w:tcPr>
          <w:p>
            <w:pPr>
              <w:spacing w:after="160" w:line="278" w:lineRule="auto"/>
              <w:rPr>
                <w:highlight w:val="none"/>
              </w:rPr>
            </w:pPr>
            <w:r>
              <w:rPr>
                <w:highlight w:val="none"/>
              </w:rPr>
              <w:t xml:space="preserve">(0.000</w:t>
            </w:r>
            <w:r>
              <w:rPr>
                <w:rFonts w:hint="eastAsia"/>
                <w:highlight w:val="none"/>
              </w:rPr>
              <w:t xml:space="preserve">-</w:t>
            </w:r>
            <w:r>
              <w:rPr>
                <w:highlight w:val="none"/>
              </w:rPr>
              <w:t xml:space="preserve">±2000)mV</w:t>
            </w:r>
            <w:r/>
          </w:p>
        </w:tc>
        <w:tc>
          <w:tcPr>
            <w:tcW w:w="2131" w:type="dxa"/>
            <w:textDirection w:val="lrTb"/>
            <w:noWrap w:val="false"/>
          </w:tcPr>
          <w:p>
            <w:pPr>
              <w:spacing w:after="160" w:line="278" w:lineRule="auto"/>
              <w:rPr>
                <w:highlight w:val="none"/>
              </w:rPr>
            </w:pPr>
            <w:r>
              <w:rPr>
                <w:highlight w:val="none"/>
              </w:rPr>
              <w:t xml:space="preserve">0.001mV</w:t>
            </w:r>
            <w:r/>
          </w:p>
        </w:tc>
        <w:tc>
          <w:tcPr>
            <w:tcW w:w="2131" w:type="dxa"/>
            <w:textDirection w:val="lrTb"/>
            <w:noWrap w:val="false"/>
          </w:tcPr>
          <w:p>
            <w:pPr>
              <w:spacing w:after="0" w:line="240" w:lineRule="auto"/>
              <w:rPr>
                <w:highlight w:val="none"/>
              </w:rPr>
            </w:pPr>
            <w:r>
              <w:rPr>
                <w:highlight w:val="none"/>
              </w:rPr>
              <w:t xml:space="preserve">±0.005%FS</w:t>
            </w:r>
            <w:r/>
          </w:p>
        </w:tc>
      </w:tr>
      <w:tr>
        <w:trPr/>
        <w:tc>
          <w:tcPr>
            <w:tcW w:w="2130" w:type="dxa"/>
            <w:textDirection w:val="lrTb"/>
            <w:noWrap w:val="false"/>
          </w:tcPr>
          <w:p>
            <w:pPr>
              <w:spacing w:after="160" w:line="278" w:lineRule="auto"/>
              <w:rPr>
                <w:highlight w:val="none"/>
              </w:rPr>
            </w:pPr>
            <w:r>
              <w:rPr>
                <w:highlight w:val="none"/>
              </w:rPr>
              <w:t xml:space="preserve">高阻</w:t>
            </w:r>
            <w:r/>
          </w:p>
        </w:tc>
        <w:tc>
          <w:tcPr>
            <w:tcW w:w="2130" w:type="dxa"/>
            <w:textDirection w:val="lrTb"/>
            <w:noWrap w:val="false"/>
          </w:tcPr>
          <w:p>
            <w:pPr>
              <w:spacing w:after="160" w:line="278" w:lineRule="auto"/>
              <w:rPr>
                <w:highlight w:val="none"/>
              </w:rPr>
            </w:pPr>
            <w:r>
              <w:rPr>
                <w:highlight w:val="none"/>
              </w:rPr>
              <w:t xml:space="preserve">1G、3G</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highlight w:val="none"/>
              </w:rPr>
              <w:t xml:space="preserve">±10%</w:t>
            </w:r>
            <w:r/>
          </w:p>
        </w:tc>
      </w:tr>
      <w:tr>
        <w:trPr/>
        <w:tc>
          <w:tcPr>
            <w:tcW w:w="2130" w:type="dxa"/>
            <w:textDirection w:val="lrTb"/>
            <w:noWrap w:val="false"/>
          </w:tcPr>
          <w:p>
            <w:pPr>
              <w:spacing w:after="160" w:line="278" w:lineRule="auto"/>
              <w:rPr>
                <w:highlight w:val="none"/>
              </w:rPr>
            </w:pPr>
            <w:r>
              <w:rPr>
                <w:highlight w:val="none"/>
              </w:rPr>
              <w:t xml:space="preserve">温度补偿</w:t>
            </w:r>
            <w:r/>
          </w:p>
        </w:tc>
        <w:tc>
          <w:tcPr>
            <w:tcW w:w="2130" w:type="dxa"/>
            <w:textDirection w:val="lrTb"/>
            <w:noWrap w:val="false"/>
          </w:tcPr>
          <w:p>
            <w:pPr>
              <w:spacing w:after="160" w:line="278" w:lineRule="auto"/>
              <w:rPr>
                <w:highlight w:val="none"/>
              </w:rPr>
            </w:pPr>
            <w:r>
              <w:rPr>
                <w:highlight w:val="none"/>
              </w:rPr>
              <w:t xml:space="preserve">(0-100)℃</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highlight w:val="none"/>
              </w:rPr>
              <w:t xml:space="preserve">±0.0006pH</w:t>
            </w:r>
            <w:r/>
          </w:p>
        </w:tc>
      </w:tr>
      <w:tr>
        <w:trPr/>
        <w:tc>
          <w:tcPr>
            <w:tcW w:w="2130" w:type="dxa"/>
            <w:textDirection w:val="lrTb"/>
            <w:noWrap w:val="false"/>
          </w:tcPr>
          <w:p>
            <w:pPr>
              <w:spacing w:after="160" w:line="278" w:lineRule="auto"/>
              <w:rPr>
                <w:highlight w:val="none"/>
              </w:rPr>
            </w:pPr>
            <w:r>
              <w:rPr>
                <w:highlight w:val="none"/>
              </w:rPr>
              <w:t xml:space="preserve">pH示值稳定性</w:t>
            </w:r>
            <w:r/>
          </w:p>
        </w:tc>
        <w:tc>
          <w:tcPr>
            <w:tcW w:w="2130"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0" w:line="240" w:lineRule="auto"/>
              <w:rPr>
                <w:highlight w:val="none"/>
              </w:rPr>
            </w:pPr>
            <w:r>
              <w:rPr>
                <w:highlight w:val="none"/>
              </w:rPr>
              <w:t xml:space="preserve">±0.0002pH</w:t>
            </w:r>
            <w:r/>
          </w:p>
        </w:tc>
      </w:tr>
    </w:tbl>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4.纯水机</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出水量大于等于60L/H，出水电导率小于0.06μs/cm，出水微生物细菌小于0.1CFU/ml</w:t>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rPr>
          <w:rFonts w:hint="eastAsia" w:ascii="仿宋" w:hAnsi="仿宋" w:eastAsia="仿宋" w:cs="仿宋"/>
          <w:b/>
          <w:bCs/>
          <w:sz w:val="36"/>
          <w:highlight w:val="none"/>
        </w:rPr>
      </w:pPr>
      <w:r>
        <w:rPr>
          <w:rFonts w:hint="eastAsia" w:ascii="仿宋" w:hAnsi="仿宋" w:eastAsia="仿宋" w:cs="仿宋"/>
          <w:b/>
          <w:bCs/>
          <w:sz w:val="36"/>
          <w:highlight w:val="none"/>
        </w:rPr>
        <w:br w:type="page" w:clear="all"/>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第六章  投标文件</w:t>
      </w:r>
      <w:r/>
    </w:p>
    <w:p>
      <w:pPr>
        <w:pStyle w:val="652"/>
        <w:keepLines w:val="0"/>
        <w:keepNext w:val="0"/>
        <w:pageBreakBefore w:val="0"/>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pStyle w:val="652"/>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2"/>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2"/>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2"/>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ind w:firstLine="1084"/>
        <w:keepLines w:val="0"/>
        <w:keepNext w:val="0"/>
        <w:pageBreakBefore w:val="0"/>
        <w:spacing w:line="400" w:lineRule="exact"/>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项</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目</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名</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称</w:t>
      </w:r>
      <w:r>
        <w:rPr>
          <w:rFonts w:hint="eastAsia" w:ascii="仿宋" w:hAnsi="仿宋" w:eastAsia="仿宋" w:cs="仿宋"/>
          <w:b/>
          <w:bCs/>
          <w:sz w:val="36"/>
          <w:highlight w:val="none"/>
          <w:lang w:eastAsia="zh-CN"/>
        </w:rPr>
        <w:t xml:space="preserve">：</w:t>
      </w:r>
      <w:r/>
    </w:p>
    <w:p>
      <w:pPr>
        <w:pStyle w:val="652"/>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2"/>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652"/>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652"/>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lang w:val="en-US" w:eastAsia="zh-CN"/>
        </w:rPr>
        <w:t xml:space="preserve">项 目 </w:t>
      </w:r>
      <w:r>
        <w:rPr>
          <w:rFonts w:hint="eastAsia" w:ascii="仿宋" w:hAnsi="仿宋" w:eastAsia="仿宋" w:cs="仿宋"/>
          <w:b/>
          <w:sz w:val="36"/>
          <w:szCs w:val="24"/>
          <w:highlight w:val="none"/>
        </w:rPr>
        <w:t xml:space="preserve">编</w:t>
      </w:r>
      <w:r>
        <w:rPr>
          <w:rFonts w:hint="eastAsia" w:ascii="仿宋" w:hAnsi="仿宋" w:eastAsia="仿宋" w:cs="仿宋"/>
          <w:b/>
          <w:sz w:val="36"/>
          <w:szCs w:val="24"/>
          <w:highlight w:val="none"/>
          <w:lang w:val="en-US" w:eastAsia="zh-CN"/>
        </w:rPr>
        <w:t xml:space="preserve"> </w:t>
      </w:r>
      <w:r>
        <w:rPr>
          <w:rFonts w:hint="eastAsia" w:ascii="仿宋" w:hAnsi="仿宋" w:eastAsia="仿宋" w:cs="仿宋"/>
          <w:b/>
          <w:sz w:val="36"/>
          <w:szCs w:val="24"/>
          <w:highlight w:val="none"/>
        </w:rPr>
        <w:t xml:space="preserve">号</w:t>
      </w:r>
      <w:r>
        <w:rPr>
          <w:rFonts w:hint="eastAsia" w:ascii="仿宋" w:hAnsi="仿宋" w:eastAsia="仿宋" w:cs="仿宋"/>
          <w:b/>
          <w:sz w:val="36"/>
          <w:szCs w:val="24"/>
          <w:highlight w:val="none"/>
          <w:lang w:eastAsia="zh-CN"/>
        </w:rPr>
        <w:t xml:space="preserve">：</w:t>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rPr>
        <w:t xml:space="preserve">投标人</w:t>
      </w:r>
      <w:r>
        <w:rPr>
          <w:rFonts w:hint="eastAsia" w:ascii="仿宋" w:hAnsi="仿宋" w:eastAsia="仿宋" w:cs="仿宋"/>
          <w:b/>
          <w:bCs/>
          <w:sz w:val="36"/>
          <w:highlight w:val="none"/>
          <w:lang w:eastAsia="zh-CN"/>
        </w:rPr>
        <w:t xml:space="preserve">名称：（加盖</w:t>
      </w:r>
      <w:r>
        <w:rPr>
          <w:rFonts w:hint="eastAsia" w:ascii="仿宋" w:hAnsi="仿宋" w:eastAsia="仿宋" w:cs="仿宋"/>
          <w:b/>
          <w:bCs/>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sz w:val="36"/>
          <w:highlight w:val="none"/>
          <w:lang w:val="zh-CN" w:eastAsia="zh-CN"/>
        </w:rPr>
        <w:outlineLvl w:val="9"/>
      </w:pPr>
      <w:r>
        <w:rPr>
          <w:rFonts w:hint="eastAsia" w:ascii="仿宋" w:hAnsi="仿宋" w:eastAsia="仿宋" w:cs="仿宋"/>
          <w:b/>
          <w:bCs/>
          <w:sz w:val="36"/>
          <w:highlight w:val="none"/>
          <w:lang w:val="en-US" w:eastAsia="zh-CN"/>
        </w:rPr>
        <w:t xml:space="preserve">日       期：</w:t>
      </w:r>
      <w:r/>
    </w:p>
    <w:p>
      <w:pPr>
        <w:pStyle w:val="642"/>
        <w:ind w:left="1260"/>
        <w:jc w:val="both"/>
        <w:widowControl/>
        <w:rPr>
          <w:rFonts w:hint="eastAsia" w:ascii="仿宋" w:hAnsi="仿宋" w:eastAsia="仿宋" w:cs="仿宋"/>
          <w:sz w:val="16"/>
          <w:szCs w:val="16"/>
          <w:highlight w:val="none"/>
        </w:rPr>
      </w:pPr>
      <w:r>
        <w:rPr>
          <w:rFonts w:hint="eastAsia" w:ascii="仿宋" w:hAnsi="仿宋" w:eastAsia="仿宋" w:cs="仿宋"/>
          <w:sz w:val="16"/>
          <w:szCs w:val="16"/>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before="120" w:after="120" w:line="360" w:lineRule="auto"/>
        <w:rPr>
          <w:rFonts w:hint="eastAsia" w:ascii="仿宋" w:hAnsi="仿宋" w:eastAsia="仿宋" w:cs="仿宋"/>
          <w:b/>
          <w:szCs w:val="32"/>
          <w:highlight w:val="none"/>
        </w:rPr>
      </w:pPr>
      <w:r>
        <w:rPr>
          <w:rFonts w:hint="eastAsia" w:ascii="仿宋" w:hAnsi="仿宋" w:eastAsia="仿宋" w:cs="仿宋"/>
          <w:b/>
          <w:szCs w:val="32"/>
          <w:highlight w:val="none"/>
        </w:rPr>
        <w:br w:type="page" w:clear="all"/>
      </w:r>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投标函</w:t>
      </w:r>
      <w:r/>
    </w:p>
    <w:p>
      <w:pPr>
        <w:spacing w:before="120" w:after="12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致招标人</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u w:val="single"/>
        </w:rPr>
        <w:t xml:space="preserve">                 </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360" w:lineRule="auto"/>
        <w:rPr>
          <w:rFonts w:hint="eastAsia" w:ascii="仿宋" w:hAnsi="仿宋" w:eastAsia="仿宋" w:cs="仿宋"/>
          <w:sz w:val="28"/>
          <w:highlight w:val="none"/>
        </w:rPr>
      </w:pPr>
      <w:r>
        <w:rPr>
          <w:rFonts w:hint="eastAsia" w:ascii="仿宋" w:hAnsi="仿宋" w:eastAsia="仿宋" w:cs="仿宋"/>
          <w:sz w:val="28"/>
          <w:highlight w:val="none"/>
          <w:lang w:eastAsia="zh-CN"/>
        </w:rPr>
        <w:t xml:space="preserve">2.</w:t>
      </w:r>
      <w:r>
        <w:rPr>
          <w:rFonts w:hint="eastAsia" w:ascii="仿宋" w:hAnsi="仿宋" w:eastAsia="仿宋" w:cs="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我们同意按照招标文件第二章第15条的规定，本投标文件的有效期为从开标</w:t>
      </w:r>
      <w:r>
        <w:rPr>
          <w:rFonts w:hint="eastAsia" w:ascii="仿宋" w:hAnsi="仿宋" w:eastAsia="仿宋" w:cs="仿宋"/>
          <w:sz w:val="28"/>
          <w:szCs w:val="28"/>
          <w:highlight w:val="none"/>
          <w:lang w:eastAsia="zh-CN"/>
        </w:rPr>
        <w:t xml:space="preserve">之日起</w:t>
      </w:r>
      <w:r>
        <w:rPr>
          <w:rFonts w:hint="eastAsia" w:ascii="仿宋" w:hAnsi="仿宋" w:eastAsia="仿宋" w:cs="仿宋"/>
          <w:sz w:val="28"/>
          <w:szCs w:val="28"/>
          <w:highlight w:val="none"/>
        </w:rPr>
        <w:t xml:space="preserve">计算的九十天，在此期间，本投标文件将始终对我们具有约束力，并可随时被接受。如果我们中标，本投标文件在此期间之后将继续保持有效。</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我们同意向贵方提供贵方可能要求的与投标有关的任何证据或资料，并保证所提供的都是真实的、准确的。</w:t>
      </w:r>
      <w:r/>
    </w:p>
    <w:p>
      <w:pPr>
        <w:pStyle w:val="653"/>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7.</w:t>
      </w:r>
      <w:r>
        <w:rPr>
          <w:rFonts w:hint="eastAsia" w:ascii="仿宋" w:hAnsi="仿宋" w:eastAsia="仿宋" w:cs="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653"/>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653"/>
        <w:ind w:firstLine="3640"/>
        <w:spacing w:before="0" w:after="0"/>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u w:val="single"/>
        </w:rPr>
        <w:t xml:space="preserve">             </w:t>
      </w:r>
      <w:r/>
    </w:p>
    <w:p>
      <w:pPr>
        <w:pStyle w:val="653"/>
        <w:ind w:firstLine="364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年     月     日</w:t>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开标一览表</w:t>
      </w:r>
      <w:r/>
    </w:p>
    <w:p>
      <w:pPr>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636"/>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9"/>
        <w:gridCol w:w="6532"/>
      </w:tblGrid>
      <w:tr>
        <w:trPr>
          <w:cantSplit/>
          <w:jc w:val="center"/>
          <w:trHeight w:val="1398" w:hRule="exact"/>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项目名称</w:t>
            </w:r>
            <w:r/>
          </w:p>
        </w:tc>
        <w:tc>
          <w:tcPr>
            <w:tcW w:w="3652" w:type="pct"/>
            <w:vAlign w:val="center"/>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热工、电学及容量检定装置采购项目</w:t>
            </w:r>
            <w:r/>
          </w:p>
        </w:tc>
      </w:tr>
      <w:tr>
        <w:trPr>
          <w:cantSplit/>
          <w:jc w:val="center"/>
          <w:trHeight w:val="2261"/>
        </w:trPr>
        <w:tc>
          <w:tcPr>
            <w:tcW w:w="1347" w:type="pct"/>
            <w:vAlign w:val="center"/>
            <w:textDirection w:val="lrTb"/>
            <w:noWrap w:val="false"/>
          </w:tcPr>
          <w:p>
            <w:pPr>
              <w:jc w:val="cente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投标报价</w:t>
            </w:r>
            <w:r/>
          </w:p>
        </w:tc>
        <w:tc>
          <w:tcPr>
            <w:tcW w:w="3652" w:type="pct"/>
            <w:vAlign w:val="center"/>
            <w:textDirection w:val="lrTb"/>
            <w:noWrap w:val="false"/>
          </w:tcPr>
          <w:p>
            <w:pPr>
              <w:ind w:firstLine="140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400"/>
              <w:spacing w:line="360" w:lineRule="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元</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360" w:lineRule="auto"/>
        <w:rPr>
          <w:rFonts w:hint="eastAsia" w:ascii="仿宋" w:hAnsi="仿宋" w:eastAsia="仿宋" w:cs="仿宋"/>
          <w:sz w:val="28"/>
          <w:szCs w:val="28"/>
          <w:highlight w:val="none"/>
        </w:rPr>
      </w:pPr>
      <w:r/>
      <w:bookmarkStart w:id="74" w:name="_Toc157775459"/>
      <w:r/>
      <w:bookmarkStart w:id="75" w:name="_Toc136924766"/>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电子签章</w:t>
      </w:r>
      <w:r>
        <w:rPr>
          <w:rFonts w:hint="eastAsia" w:ascii="仿宋" w:hAnsi="仿宋" w:eastAsia="仿宋" w:cs="仿宋"/>
          <w:sz w:val="28"/>
          <w:szCs w:val="28"/>
          <w:highlight w:val="none"/>
          <w:u w:val="single"/>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法定代表人或其委托受托人（签字或签章）：</w:t>
      </w:r>
      <w:r>
        <w:rPr>
          <w:rFonts w:hint="eastAsia" w:ascii="仿宋" w:hAnsi="仿宋" w:eastAsia="仿宋" w:cs="仿宋"/>
          <w:sz w:val="28"/>
          <w:szCs w:val="28"/>
          <w:highlight w:val="none"/>
          <w:u w:val="single"/>
        </w:rPr>
        <w:t xml:space="preserve">               </w:t>
      </w:r>
      <w:r/>
    </w:p>
    <w:p>
      <w:pPr>
        <w:pStyle w:val="654"/>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654"/>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 1</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rPr>
        <w:t xml:space="preserve">投标报价总计为招标文件中投标人须知所述内容。</w:t>
      </w:r>
      <w:r/>
    </w:p>
    <w:p>
      <w:pPr>
        <w:pStyle w:val="654"/>
        <w:ind w:left="0" w:right="0"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开标一览表格式如与系统不一致，以系统为准。</w:t>
      </w:r>
      <w:r/>
    </w:p>
    <w:p>
      <w:pPr>
        <w:jc w:val="left"/>
        <w:widowControl/>
        <w:rPr>
          <w:rFonts w:hint="eastAsia" w:ascii="仿宋" w:hAnsi="仿宋" w:eastAsia="仿宋" w:cs="仿宋"/>
          <w:b/>
          <w:sz w:val="32"/>
          <w:szCs w:val="20"/>
          <w:highlight w:val="none"/>
        </w:rPr>
      </w:pPr>
      <w:r>
        <w:rPr>
          <w:rFonts w:hint="eastAsia" w:ascii="仿宋" w:hAnsi="仿宋" w:eastAsia="仿宋" w:cs="仿宋"/>
          <w:b/>
          <w:sz w:val="32"/>
          <w:highlight w:val="none"/>
        </w:rPr>
        <w:br w:type="page" w:clear="all"/>
      </w:r>
      <w:bookmarkEnd w:id="74"/>
      <w:r/>
      <w:bookmarkEnd w:id="75"/>
      <w:r/>
      <w:r/>
    </w:p>
    <w:p>
      <w:pPr>
        <w:numPr>
          <w:ilvl w:val="0"/>
          <w:numId w:val="1"/>
        </w:numPr>
        <w:jc w:val="center"/>
        <w:spacing w:before="120" w:after="120" w:line="360" w:lineRule="auto"/>
        <w:rPr>
          <w:rFonts w:hint="eastAsia" w:ascii="仿宋" w:hAnsi="仿宋" w:eastAsia="仿宋" w:cs="仿宋"/>
          <w:b/>
          <w:bCs/>
          <w:sz w:val="36"/>
          <w:szCs w:val="36"/>
          <w:highlight w:val="none"/>
        </w:rPr>
      </w:pPr>
      <w:r/>
      <w:bookmarkStart w:id="76" w:name="_Toc157775468"/>
      <w:r>
        <w:rPr>
          <w:rFonts w:hint="eastAsia" w:ascii="仿宋" w:hAnsi="仿宋" w:eastAsia="仿宋" w:cs="仿宋"/>
          <w:b/>
          <w:bCs/>
          <w:sz w:val="36"/>
          <w:szCs w:val="36"/>
          <w:highlight w:val="none"/>
        </w:rPr>
        <w:t xml:space="preserve">投标报价明细表</w:t>
      </w:r>
      <w:r/>
    </w:p>
    <w:tbl>
      <w:tblPr>
        <w:tblStyle w:val="636"/>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left"/>
              <w:keepLines w:val="0"/>
              <w:keepNext w:val="0"/>
              <w:pageBreakBefore w:val="0"/>
              <w:spacing w:line="340" w:lineRule="exact"/>
              <w:tabs>
                <w:tab w:val="left" w:pos="319"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47"/>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647"/>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投标总报价（人民币：元） </w:t>
            </w:r>
            <w:r/>
          </w:p>
        </w:tc>
      </w:tr>
    </w:tbl>
    <w:p>
      <w:pPr>
        <w:pStyle w:val="655"/>
        <w:ind w:firstLine="420"/>
        <w:jc w:val="left"/>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p>
    <w:p>
      <w:pPr>
        <w:pStyle w:val="655"/>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（加盖电子签章）    </w:t>
      </w:r>
      <w:r/>
    </w:p>
    <w:p>
      <w:pPr>
        <w:pStyle w:val="655"/>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（电子签章或电子签字）              </w:t>
      </w:r>
      <w:r/>
    </w:p>
    <w:p>
      <w:pPr>
        <w:pStyle w:val="655"/>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8"/>
          <w:highlight w:val="none"/>
        </w:rPr>
        <w:br w:type="page" w:clear="all"/>
      </w:r>
      <w:bookmarkEnd w:id="76"/>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人员配备表</w:t>
      </w:r>
      <w:r/>
    </w:p>
    <w:tbl>
      <w:tblPr>
        <w:tblStyle w:val="636"/>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blCellSpacing w:w="0" w:type="dxa"/>
          <w:trHeight w:val="480"/>
        </w:trPr>
        <w:tc>
          <w:tcPr>
            <w:shd w:val="clear" w:color="auto" w:fill="auto"/>
            <w:tcW w:w="790"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highlight w:val="none"/>
              </w:rPr>
              <w:t xml:space="preserve">序号</w:t>
            </w:r>
            <w:r/>
          </w:p>
        </w:tc>
        <w:tc>
          <w:tcPr>
            <w:shd w:val="clear" w:color="auto" w:fill="auto"/>
            <w:tcW w:w="1592"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姓名</w:t>
            </w:r>
            <w:r/>
          </w:p>
        </w:tc>
        <w:tc>
          <w:tcPr>
            <w:shd w:val="clear" w:color="auto" w:fill="auto"/>
            <w:tcW w:w="1188"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年龄</w:t>
            </w:r>
            <w:r/>
          </w:p>
        </w:tc>
        <w:tc>
          <w:tcPr>
            <w:shd w:val="clear" w:color="auto" w:fill="auto"/>
            <w:tcW w:w="955"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性别</w:t>
            </w:r>
            <w:r/>
          </w:p>
        </w:tc>
        <w:tc>
          <w:tcPr>
            <w:shd w:val="clear" w:color="auto" w:fill="auto"/>
            <w:tcW w:w="955"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职称</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相关证书</w:t>
            </w:r>
            <w:r/>
          </w:p>
        </w:tc>
        <w:tc>
          <w:tcPr>
            <w:shd w:val="clear" w:color="auto" w:fill="auto"/>
            <w:tcW w:w="2005" w:type="dxa"/>
            <w:vAlign w:val="center"/>
            <w:textDirection w:val="lrTb"/>
            <w:noWrap w:val="false"/>
          </w:tcPr>
          <w:p>
            <w:pPr>
              <w:pStyle w:val="643"/>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拟任岗位</w:t>
            </w:r>
            <w:r/>
          </w:p>
        </w:tc>
      </w:tr>
      <w:tr>
        <w:trPr>
          <w:jc w:val="center"/>
          <w:tblCellSpacing w:w="0" w:type="dxa"/>
          <w:trHeight w:val="757"/>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64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bl>
    <w:p>
      <w:pPr>
        <w:ind w:firstLine="12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（加盖电子签章）</w:t>
      </w:r>
      <w:r>
        <w:rPr>
          <w:rFonts w:hint="eastAsia" w:ascii="仿宋" w:hAnsi="仿宋" w:eastAsia="仿宋" w:cs="仿宋"/>
          <w:sz w:val="28"/>
          <w:szCs w:val="28"/>
          <w:highlight w:val="none"/>
          <w:u w:val="single"/>
        </w:rPr>
        <w:t xml:space="preserve">    </w:t>
      </w:r>
      <w:r/>
    </w:p>
    <w:p>
      <w:pPr>
        <w:ind w:firstLine="1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（电子签章或电子签字）</w:t>
      </w:r>
      <w:r>
        <w:rPr>
          <w:rFonts w:hint="eastAsia" w:ascii="仿宋" w:hAnsi="仿宋" w:eastAsia="仿宋" w:cs="仿宋"/>
          <w:sz w:val="28"/>
          <w:szCs w:val="28"/>
          <w:highlight w:val="none"/>
          <w:u w:val="single"/>
        </w:rPr>
        <w:t xml:space="preserve">    </w:t>
      </w:r>
      <w:r/>
    </w:p>
    <w:p>
      <w:pPr>
        <w:ind w:firstLine="3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注：此表为表样，行数可自行添加，但表式不变。</w:t>
      </w:r>
      <w:r>
        <w:rPr>
          <w:rFonts w:hint="eastAsia" w:ascii="仿宋" w:hAnsi="仿宋" w:eastAsia="仿宋" w:cs="仿宋"/>
          <w:sz w:val="28"/>
          <w:szCs w:val="28"/>
          <w:highlight w:val="none"/>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sz w:val="36"/>
          <w:szCs w:val="36"/>
          <w:highlight w:val="none"/>
          <w:lang w:val="en-US" w:eastAsia="zh-CN"/>
        </w:rPr>
      </w:r>
      <w:r/>
    </w:p>
    <w:p>
      <w:pPr>
        <w:pStyle w:val="643"/>
        <w:ind w:left="0" w:right="0"/>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技术条款响应偏离表</w:t>
      </w:r>
      <w:r/>
    </w:p>
    <w:tbl>
      <w:tblPr>
        <w:tblStyle w:val="636"/>
        <w:tblW w:w="0" w:type="auto"/>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1357"/>
        <w:gridCol w:w="2017"/>
        <w:gridCol w:w="2054"/>
        <w:gridCol w:w="1615"/>
        <w:gridCol w:w="736"/>
        <w:gridCol w:w="71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招标文件条目号</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招标文件要求的规格、参数</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投标响应</w:t>
            </w:r>
            <w:r/>
          </w:p>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偏离情况（+/-/=）</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证明材料页码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643"/>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bl>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投标人名称（公章）：</w:t>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法定代表人或授权代表（签字或盖章）：</w:t>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日期：    年  月  日</w:t>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77" w:name="_Toc11669"/>
      <w:r/>
      <w:bookmarkStart w:id="78" w:name="_Toc5552"/>
      <w:r/>
      <w:bookmarkStart w:id="79" w:name="_Toc10292"/>
      <w:r>
        <w:rPr>
          <w:rFonts w:hint="eastAsia" w:ascii="宋体" w:hAnsi="宋体" w:eastAsia="宋体" w:cs="宋体"/>
          <w:color w:val="000000"/>
          <w:sz w:val="21"/>
          <w:szCs w:val="21"/>
          <w:highlight w:val="none"/>
        </w:rPr>
        <w:t xml:space="preserve">说明：①此表为表样，行数可自行添加，但表式不变。</w:t>
      </w:r>
      <w:bookmarkEnd w:id="77"/>
      <w:r/>
      <w:bookmarkEnd w:id="78"/>
      <w:r/>
      <w:bookmarkEnd w:id="79"/>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②是否偏离用符号“+、=、-”分别表示正偏离、完全响应、负偏离。</w:t>
      </w:r>
      <w:r/>
    </w:p>
    <w:p>
      <w:pPr>
        <w:pStyle w:val="643"/>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③供应商必须仔细阅读本招标文件“第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 w:val="21"/>
          <w:szCs w:val="21"/>
          <w:highlight w:val="none"/>
        </w:rPr>
        <w:t xml:space="preserve">。</w:t>
      </w:r>
      <w:r/>
    </w:p>
    <w:p>
      <w:pPr>
        <w:numPr>
          <w:ilvl w:val="0"/>
          <w:numId w:val="0"/>
        </w:numPr>
        <w:jc w:val="center"/>
        <w:spacing w:before="120" w:after="120" w:line="360" w:lineRule="auto"/>
        <w:rPr>
          <w:rFonts w:hint="eastAsia" w:ascii="仿宋" w:hAnsi="仿宋" w:eastAsia="仿宋" w:cs="仿宋"/>
          <w:b/>
          <w:bCs/>
          <w:szCs w:val="32"/>
          <w:highlight w:val="none"/>
        </w:rPr>
      </w:pPr>
      <w:r>
        <w:rPr>
          <w:rFonts w:hint="eastAsia" w:ascii="仿宋" w:hAnsi="仿宋" w:eastAsia="仿宋" w:cs="仿宋"/>
          <w:b/>
          <w:bCs/>
          <w:sz w:val="36"/>
          <w:szCs w:val="36"/>
          <w:highlight w:val="none"/>
          <w:lang w:val="en-US" w:eastAsia="zh-CN"/>
        </w:rPr>
        <w:t xml:space="preserve">六、</w:t>
      </w:r>
      <w:r>
        <w:rPr>
          <w:rFonts w:hint="eastAsia" w:ascii="仿宋" w:hAnsi="仿宋" w:eastAsia="仿宋" w:cs="仿宋"/>
          <w:b/>
          <w:bCs/>
          <w:sz w:val="36"/>
          <w:szCs w:val="36"/>
          <w:highlight w:val="none"/>
        </w:rPr>
        <w:t xml:space="preserve">资质审查时投标人必须提供的资格证明文件</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bookmarkStart w:id="80" w:name="_Toc157775454"/>
      <w:r>
        <w:rPr>
          <w:rFonts w:hint="eastAsia" w:ascii="仿宋" w:hAnsi="仿宋" w:eastAsia="仿宋" w:cs="仿宋"/>
          <w:sz w:val="28"/>
          <w:szCs w:val="28"/>
          <w:highlight w:val="none"/>
          <w:lang w:val="en-US" w:eastAsia="zh-CN"/>
        </w:rPr>
        <w:t xml:space="preserve">1.提供下列材料之一：</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（1）投标人提供法定代表人资格证明（格式详见示范格式一）和法定代表人身份证（加盖CA电子签章）；</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（2）投标人提供授权委托书（格式详见示范格式二）和受托人身份证（加盖CA电子签章）。</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2.投标人符合《中华人民共和国政府采购法》第二十二条规定条件的承诺函（格式详见示范格式三）；</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3.落实政府采购政策需满足的资格要求（提供下列任一项材料即可，非专门面向中小企业或者预留份额的采购项目，本项无需提供）：</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（1）企业声明函（详见示范格式四）；</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（2）《残疾人福利性单位声明函》（详见示范格式五）；</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（3）由省级以上监狱管理局、戒毒管理局（含新疆生产建设兵团）出具的属于监狱企业的证明文件）（加盖出具单位公章的电子件）。</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.供应商未被“信用中国”网（https</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注：（1）上述相关原件，</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必须在签订合同时提交</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审查，</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未能提供上述所有原件的，则取消其</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lang w:val="zh-CN" w:eastAsia="zh-CN"/>
        </w:rPr>
        <w:t xml:space="preserve">资格。</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（2）上述是</w:t>
      </w:r>
      <w:r>
        <w:rPr>
          <w:rFonts w:hint="eastAsia" w:ascii="仿宋" w:hAnsi="仿宋" w:eastAsia="仿宋" w:cs="仿宋"/>
          <w:sz w:val="28"/>
          <w:szCs w:val="28"/>
          <w:highlight w:val="none"/>
          <w:lang w:val="en-US" w:eastAsia="zh-CN"/>
        </w:rPr>
        <w:t xml:space="preserve">评审小组</w:t>
      </w:r>
      <w:r>
        <w:rPr>
          <w:rFonts w:hint="eastAsia" w:ascii="仿宋" w:hAnsi="仿宋" w:eastAsia="仿宋" w:cs="仿宋"/>
          <w:sz w:val="28"/>
          <w:szCs w:val="28"/>
          <w:highlight w:val="none"/>
          <w:lang w:val="zh-CN" w:eastAsia="zh-CN"/>
        </w:rPr>
        <w:t xml:space="preserve">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资质审查时，</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必须提供的资格证明文件，如</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未能提供上述资格证明文件以及</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资质条件不符合</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lang w:val="zh-CN" w:eastAsia="zh-CN"/>
        </w:rPr>
        <w:t xml:space="preserve">文件要求的将取消其继续参加</w:t>
      </w:r>
      <w:r>
        <w:rPr>
          <w:rFonts w:hint="eastAsia" w:ascii="仿宋" w:hAnsi="仿宋" w:eastAsia="仿宋" w:cs="仿宋"/>
          <w:sz w:val="28"/>
          <w:szCs w:val="28"/>
          <w:highlight w:val="none"/>
          <w:lang w:val="en-US" w:eastAsia="zh-CN"/>
        </w:rPr>
        <w:t xml:space="preserve">本项目</w:t>
      </w:r>
      <w:r>
        <w:rPr>
          <w:rFonts w:hint="eastAsia" w:ascii="仿宋" w:hAnsi="仿宋" w:eastAsia="仿宋" w:cs="仿宋"/>
          <w:sz w:val="28"/>
          <w:szCs w:val="28"/>
          <w:highlight w:val="none"/>
          <w:lang w:val="zh-CN" w:eastAsia="zh-CN"/>
        </w:rPr>
        <w:t xml:space="preserve">的资格。</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所提供的资格证明材料应真实、有效，政府采购监管部门及</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保留对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提供的资格证明材料进行核查的权利。如发现</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提供虚假资格证明材料，政府采购监管部门将对其进行严肃处理。</w:t>
      </w:r>
      <w:r/>
    </w:p>
    <w:p>
      <w:pPr>
        <w:rPr>
          <w:rFonts w:hint="eastAsia" w:ascii="仿宋" w:hAnsi="仿宋" w:eastAsia="仿宋" w:cs="仿宋"/>
          <w:highlight w:val="none"/>
        </w:rPr>
      </w:pPr>
      <w:r>
        <w:rPr>
          <w:rFonts w:hint="eastAsia" w:ascii="仿宋" w:hAnsi="仿宋" w:eastAsia="仿宋" w:cs="仿宋"/>
          <w:highlight w:val="none"/>
        </w:rPr>
      </w:r>
      <w:r/>
    </w:p>
    <w:p>
      <w:pPr>
        <w:numPr>
          <w:ilvl w:val="0"/>
          <w:numId w:val="0"/>
        </w:numPr>
        <w:jc w:val="both"/>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七、</w:t>
      </w:r>
      <w:r>
        <w:rPr>
          <w:rFonts w:hint="eastAsia" w:ascii="仿宋" w:hAnsi="仿宋" w:eastAsia="仿宋" w:cs="仿宋"/>
          <w:b/>
          <w:bCs/>
          <w:sz w:val="36"/>
          <w:szCs w:val="36"/>
          <w:highlight w:val="none"/>
        </w:rPr>
        <w:t xml:space="preserve">综合评分时投标人需提供的证明文件</w:t>
      </w:r>
      <w:r/>
    </w:p>
    <w:p>
      <w:pPr>
        <w:ind w:firstLine="140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rPr>
        <w:t xml:space="preserve">根据第三章评标标准的要求提供相关材料）</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4"/>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4"/>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723"/>
        <w:jc w:val="left"/>
        <w:keepLines w:val="0"/>
        <w:keepNext w:val="0"/>
        <w:pageBreakBefore w:val="0"/>
        <w:spacing w:line="360" w:lineRule="auto"/>
        <w:widowControl/>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p>
    <w:p>
      <w:pPr>
        <w:ind w:firstLine="0"/>
        <w:jc w:val="center"/>
        <w:keepLines w:val="0"/>
        <w:keepNext w:val="0"/>
        <w:pageBreakBefore w:val="0"/>
        <w:spacing w:line="440" w:lineRule="exact"/>
        <w:widowControl w:val="off"/>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bookmarkEnd w:id="80"/>
      <w:r>
        <w:rPr>
          <w:rFonts w:hint="eastAsia" w:ascii="仿宋" w:hAnsi="仿宋" w:eastAsia="仿宋" w:cs="仿宋"/>
          <w:b/>
          <w:bCs/>
          <w:sz w:val="32"/>
          <w:szCs w:val="32"/>
          <w:highlight w:val="none"/>
          <w:lang w:val="en-US" w:eastAsia="zh-CN"/>
        </w:rPr>
        <w:t xml:space="preserve">一</w:t>
      </w:r>
      <w:r/>
    </w:p>
    <w:p>
      <w:pPr>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jc w:val="cente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    </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 </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37"/>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37"/>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37"/>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37"/>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注：投标人法定代表人</w:t>
      </w:r>
      <w:r>
        <w:rPr>
          <w:rFonts w:hint="eastAsia" w:ascii="仿宋" w:hAnsi="仿宋" w:eastAsia="仿宋" w:cs="仿宋"/>
          <w:bCs/>
          <w:sz w:val="24"/>
          <w:highlight w:val="none"/>
        </w:rPr>
        <w:t xml:space="preserve">参加投标的，必须附</w:t>
      </w:r>
      <w:r>
        <w:rPr>
          <w:rFonts w:hint="eastAsia" w:ascii="仿宋" w:hAnsi="仿宋" w:eastAsia="仿宋" w:cs="仿宋"/>
          <w:bCs/>
          <w:sz w:val="24"/>
          <w:szCs w:val="22"/>
          <w:highlight w:val="none"/>
        </w:rPr>
        <w:t xml:space="preserve">法定代表人</w:t>
      </w:r>
      <w:r>
        <w:rPr>
          <w:rFonts w:hint="eastAsia" w:ascii="仿宋" w:hAnsi="仿宋" w:eastAsia="仿宋" w:cs="仿宋"/>
          <w:bCs/>
          <w:sz w:val="24"/>
          <w:highlight w:val="none"/>
        </w:rPr>
        <w:t xml:space="preserve">身份证扫描件加盖投标人电子签章。</w:t>
      </w:r>
      <w:r>
        <w:rPr>
          <w:rFonts w:hint="eastAsia" w:ascii="仿宋" w:hAnsi="仿宋" w:eastAsia="仿宋" w:cs="仿宋"/>
          <w:sz w:val="24"/>
          <w:highlight w:val="none"/>
        </w:rPr>
        <w:t xml:space="preserve">法定代表人授权其他人参加投标的，仅需填写“授权委托书”。</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643"/>
        <w:keepLines w:val="0"/>
        <w:keepNext w:val="0"/>
        <w:spacing w:before="0" w:beforeAutospacing="0" w:after="0" w:afterAutospacing="0"/>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before="120" w:after="120" w:line="360" w:lineRule="auto"/>
        <w:rPr>
          <w:rFonts w:hint="eastAsia" w:ascii="仿宋" w:hAnsi="仿宋" w:eastAsia="仿宋" w:cs="仿宋"/>
          <w:b/>
          <w:bCs/>
          <w:sz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二</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jc w:val="center"/>
        <w:spacing w:line="360" w:lineRule="auto"/>
        <w:rPr>
          <w:rFonts w:hint="eastAsia" w:ascii="仿宋" w:hAnsi="仿宋" w:eastAsia="仿宋" w:cs="仿宋"/>
          <w:b/>
          <w:bCs/>
          <w:sz w:val="28"/>
          <w:highlight w:val="none"/>
        </w:rPr>
      </w:pPr>
      <w:r>
        <w:rPr>
          <w:rFonts w:hint="eastAsia" w:ascii="仿宋" w:hAnsi="仿宋" w:eastAsia="仿宋" w:cs="仿宋"/>
          <w:b/>
          <w:bCs/>
          <w:sz w:val="28"/>
          <w:highlight w:val="none"/>
        </w:rPr>
      </w:r>
      <w:r/>
    </w:p>
    <w:p>
      <w:pPr>
        <w:spacing w:line="520" w:lineRule="exact"/>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代表我公司参加招标人组织的（项目编号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1"/>
        <w:spacing w:line="360" w:lineRule="auto"/>
        <w:rPr>
          <w:rFonts w:hint="eastAsia" w:ascii="仿宋" w:hAnsi="仿宋" w:eastAsia="仿宋" w:cs="仿宋"/>
          <w:sz w:val="24"/>
          <w:highlight w:val="none"/>
        </w:rPr>
      </w:pPr>
      <w:r>
        <w:rPr>
          <w:rFonts w:hint="eastAsia" w:ascii="仿宋" w:hAnsi="仿宋" w:eastAsia="仿宋" w:cs="仿宋"/>
          <w:bCs/>
          <w:sz w:val="24"/>
          <w:szCs w:val="22"/>
          <w:highlight w:val="none"/>
        </w:rPr>
        <w:t xml:space="preserve">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投标人委托</w:t>
      </w:r>
      <w:r>
        <w:rPr>
          <w:rFonts w:hint="eastAsia" w:ascii="仿宋" w:hAnsi="仿宋" w:eastAsia="仿宋" w:cs="仿宋"/>
          <w:bCs/>
          <w:sz w:val="24"/>
          <w:highlight w:val="none"/>
        </w:rPr>
        <w:t xml:space="preserve">受托人参加投标的，必须附受托人身份证</w:t>
      </w:r>
      <w:r>
        <w:rPr>
          <w:rFonts w:hint="eastAsia" w:ascii="仿宋" w:hAnsi="仿宋" w:eastAsia="仿宋" w:cs="仿宋"/>
          <w:sz w:val="24"/>
          <w:highlight w:val="none"/>
        </w:rPr>
        <w:t xml:space="preserve">扫描</w:t>
      </w:r>
      <w:r>
        <w:rPr>
          <w:rFonts w:hint="eastAsia" w:ascii="仿宋" w:hAnsi="仿宋" w:eastAsia="仿宋" w:cs="仿宋"/>
          <w:bCs/>
          <w:sz w:val="24"/>
          <w:highlight w:val="none"/>
        </w:rPr>
        <w:t xml:space="preserve">件加盖投标人电子签章。</w:t>
      </w:r>
      <w:r>
        <w:rPr>
          <w:rFonts w:hint="eastAsia" w:ascii="仿宋" w:hAnsi="仿宋" w:eastAsia="仿宋" w:cs="仿宋"/>
          <w:sz w:val="24"/>
          <w:highlight w:val="none"/>
        </w:rPr>
        <w:t xml:space="preserve">法定代表人直接参加投标的，仅需填写“法定代表人资格证明”。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三</w:t>
      </w:r>
      <w:r/>
    </w:p>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符合《</w:t>
      </w:r>
      <w:r>
        <w:rPr>
          <w:rFonts w:hint="eastAsia" w:ascii="仿宋" w:hAnsi="仿宋" w:eastAsia="仿宋" w:cs="仿宋"/>
          <w:b/>
          <w:bCs/>
          <w:sz w:val="28"/>
          <w:szCs w:val="28"/>
          <w:highlight w:val="none"/>
        </w:rPr>
        <w:t xml:space="preserve">中华</w:t>
      </w:r>
      <w:r>
        <w:rPr>
          <w:rFonts w:hint="eastAsia" w:ascii="仿宋" w:hAnsi="仿宋" w:eastAsia="仿宋" w:cs="仿宋"/>
          <w:b/>
          <w:bCs/>
          <w:sz w:val="28"/>
          <w:szCs w:val="28"/>
          <w:highlight w:val="none"/>
        </w:rPr>
        <w:t xml:space="preserve">人民</w:t>
      </w:r>
      <w:r>
        <w:rPr>
          <w:rFonts w:hint="eastAsia" w:ascii="仿宋" w:hAnsi="仿宋" w:eastAsia="仿宋" w:cs="仿宋"/>
          <w:b/>
          <w:bCs/>
          <w:sz w:val="28"/>
          <w:szCs w:val="28"/>
          <w:highlight w:val="none"/>
        </w:rPr>
        <w:t xml:space="preserve">共和国</w:t>
      </w:r>
      <w:r>
        <w:rPr>
          <w:rFonts w:hint="eastAsia" w:ascii="仿宋" w:hAnsi="仿宋" w:eastAsia="仿宋" w:cs="仿宋"/>
          <w:b/>
          <w:bCs/>
          <w:sz w:val="28"/>
          <w:szCs w:val="28"/>
          <w:highlight w:val="none"/>
        </w:rPr>
        <w:t xml:space="preserve">政府采购法》第二十二条规定条件的声明函</w:t>
      </w:r>
      <w:r>
        <w:rPr>
          <w:sz w:val="28"/>
          <w:szCs w:val="28"/>
        </w:rPr>
      </w:r>
    </w:p>
    <w:p>
      <w:pPr>
        <w:jc w:val="center"/>
        <w:spacing w:line="360" w:lineRule="auto"/>
        <w:rPr>
          <w:rFonts w:hint="eastAsia" w:ascii="仿宋" w:hAnsi="仿宋" w:eastAsia="仿宋" w:cs="仿宋"/>
          <w:b/>
          <w:bCs/>
          <w:sz w:val="28"/>
          <w:szCs w:val="22"/>
          <w:highlight w:val="none"/>
        </w:rPr>
      </w:pPr>
      <w:r>
        <w:rPr>
          <w:rFonts w:hint="eastAsia" w:ascii="仿宋" w:hAnsi="仿宋" w:eastAsia="仿宋" w:cs="仿宋"/>
          <w:b/>
          <w:bCs/>
          <w:sz w:val="28"/>
          <w:szCs w:val="22"/>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我单位具有独立承担民事责任的能力；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我单位具有良好的商业信誉和健全的财务会计制度；</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我单位具有履行合同所必需的设备和专业技术能力；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我单位有依法缴纳税收和社会保障资金的良好记录；</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四</w:t>
      </w:r>
      <w:r/>
    </w:p>
    <w:p>
      <w:pPr>
        <w:numPr>
          <w:ilvl w:val="0"/>
          <w:numId w:val="0"/>
        </w:numPr>
        <w:jc w:val="center"/>
        <w:keepLines w:val="0"/>
        <w:keepNext w:val="0"/>
        <w:pageBreakBefore w:val="0"/>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企业声明函（货物类）</w:t>
      </w:r>
      <w:r/>
    </w:p>
    <w:p>
      <w:pPr>
        <w:pStyle w:val="656"/>
        <w:ind w:firstLine="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lang w:eastAsia="zh-CN"/>
        </w:rPr>
        <w:t xml:space="preserve">（</w:t>
      </w:r>
      <w:r>
        <w:rPr>
          <w:rFonts w:hint="eastAsia" w:ascii="仿宋" w:hAnsi="仿宋" w:eastAsia="仿宋" w:cs="仿宋"/>
          <w:bCs/>
          <w:color w:val="auto"/>
          <w:sz w:val="28"/>
          <w:szCs w:val="28"/>
          <w:highlight w:val="none"/>
          <w:u w:val="single"/>
          <w:lang w:val="en-US" w:eastAsia="zh-CN"/>
        </w:rPr>
        <w:t xml:space="preserve">采购人)  </w:t>
      </w:r>
      <w:r>
        <w:rPr>
          <w:rFonts w:hint="eastAsia" w:ascii="仿宋" w:hAnsi="仿宋" w:eastAsia="仿宋" w:cs="仿宋"/>
          <w:bCs/>
          <w:color w:val="auto"/>
          <w:sz w:val="28"/>
          <w:szCs w:val="28"/>
          <w:highlight w:val="none"/>
        </w:rPr>
        <w:t xml:space="preserve">:</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656"/>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cs="仿宋"/>
          <w:color w:val="auto"/>
          <w:sz w:val="28"/>
          <w:szCs w:val="28"/>
          <w:highlight w:val="none"/>
          <w:lang w:val="zh-CN"/>
        </w:rPr>
        <w:outlineLvl w:val="9"/>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640" w:lineRule="exact"/>
        <w:rPr>
          <w:rFonts w:hint="eastAsia" w:ascii="仿宋" w:hAnsi="仿宋" w:eastAsia="仿宋" w:cs="仿宋"/>
          <w:color w:val="auto"/>
          <w:sz w:val="28"/>
          <w:szCs w:val="28"/>
          <w:highlight w:val="none"/>
          <w:lang w:val="zh-CN"/>
        </w:rPr>
        <w:outlineLvl w:val="9"/>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hanging="6"/>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spacing w:before="120" w:after="120"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before="120" w:after="120" w:line="360" w:lineRule="auto"/>
        <w:rPr>
          <w:rFonts w:hint="eastAsia" w:ascii="仿宋" w:hAnsi="仿宋" w:eastAsia="仿宋" w:cs="仿宋"/>
          <w:b/>
          <w:bCs/>
          <w:sz w:val="32"/>
          <w:szCs w:val="32"/>
          <w:highlight w:val="none"/>
          <w:lang w:val="en-US" w:eastAsia="zh-CN"/>
        </w:rPr>
      </w:pPr>
      <w:r/>
      <w:bookmarkStart w:id="81" w:name="_GoBack"/>
      <w:r/>
      <w:bookmarkEnd w:id="81"/>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五</w:t>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致招标人：</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2.</w:t>
      </w:r>
      <w:r>
        <w:rPr>
          <w:rFonts w:hint="eastAsia" w:ascii="仿宋" w:hAnsi="仿宋" w:eastAsia="仿宋" w:cs="仿宋"/>
          <w:bCs/>
          <w:sz w:val="28"/>
          <w:szCs w:val="28"/>
          <w:highlight w:val="none"/>
        </w:rPr>
        <w:t xml:space="preserve">本单位参加（采购单位名称） 的（采购项目名称）采购活动提供本企业制造的货物，由本企业承担工程、提供服务，或者提供其他残疾人福利性单位制造的货物</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不包括使用非残疾人福利性单位注册商标的货物。</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eastAsia="zh-CN"/>
        </w:rPr>
        <w:t xml:space="preserve">：</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highlight w:val="none"/>
          <w:u w:val="single"/>
        </w:rPr>
        <w:t xml:space="preserve">（电子签章或电子签字）</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非</w:t>
      </w:r>
      <w:r>
        <w:rPr>
          <w:rFonts w:hint="eastAsia" w:ascii="仿宋" w:hAnsi="仿宋" w:eastAsia="仿宋" w:cs="仿宋"/>
          <w:b/>
          <w:bCs/>
          <w:sz w:val="24"/>
          <w:szCs w:val="22"/>
          <w:highlight w:val="none"/>
        </w:rPr>
        <w:t xml:space="preserve">残疾人福利性单位不</w:t>
      </w:r>
      <w:r>
        <w:rPr>
          <w:rFonts w:hint="eastAsia" w:ascii="仿宋" w:hAnsi="仿宋" w:eastAsia="仿宋" w:cs="仿宋"/>
          <w:b/>
          <w:bCs/>
          <w:sz w:val="24"/>
          <w:highlight w:val="none"/>
        </w:rPr>
        <w:t xml:space="preserve">需提供此函。</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六</w:t>
      </w:r>
      <w:r/>
    </w:p>
    <w:p>
      <w:pPr>
        <w:pStyle w:val="643"/>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b/>
          <w:bCs/>
          <w:color w:val="333333"/>
          <w:sz w:val="30"/>
          <w:szCs w:val="30"/>
          <w:highlight w:val="none"/>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p>
    <w:p>
      <w:pPr>
        <w:pStyle w:val="643"/>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rPr>
          <w:rFonts w:hint="eastAsia" w:ascii="仿宋" w:hAnsi="仿宋" w:eastAsia="仿宋" w:cs="仿宋"/>
          <w:b/>
          <w:bCs/>
          <w:color w:val="333333"/>
          <w:sz w:val="30"/>
          <w:szCs w:val="30"/>
          <w:highlight w:val="none"/>
          <w:shd w:val="clear" w:color="auto" w:fill="ffffff"/>
        </w:rPr>
        <w:t xml:space="preserve">关于符合本国产品标准的声明函</w:t>
      </w:r>
      <w:r/>
    </w:p>
    <w:p>
      <w:pPr>
        <w:pStyle w:val="643"/>
        <w:ind w:left="0" w:firstLine="420"/>
        <w:keepLines w:val="0"/>
        <w:keepNext w:val="0"/>
        <w:spacing w:before="15" w:beforeAutospacing="0" w:after="15" w:afterAutospacing="0"/>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3"/>
        <w:ind w:left="0" w:firstLine="420"/>
        <w:keepLines w:val="0"/>
        <w:keepNext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3"/>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p>
    <w:p>
      <w:pPr>
        <w:pStyle w:val="643"/>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在中国境内完成。</w:t>
      </w:r>
      <w:r/>
    </w:p>
    <w:p>
      <w:pPr>
        <w:pStyle w:val="643"/>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w:t>
      </w:r>
      <w:r/>
    </w:p>
    <w:p>
      <w:pPr>
        <w:pStyle w:val="643"/>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p>
    <w:p>
      <w:pPr>
        <w:pStyle w:val="643"/>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3"/>
        <w:jc w:val="right"/>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公司（单位）名称（加盖CA电子公章）：         </w:t>
      </w:r>
      <w:r/>
    </w:p>
    <w:p>
      <w:pPr>
        <w:pStyle w:val="643"/>
        <w:jc w:val="center"/>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日期：      年   月   日         </w:t>
      </w:r>
      <w:r/>
    </w:p>
    <w:p>
      <w:pPr>
        <w:pStyle w:val="643"/>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3"/>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3"/>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_________________</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1.产品如有型号，请在“产品名称”栏一并填写。</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2.生产厂名与厂址应与生产厂营业执照载明的相关信息保持一致。</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3.该产品的中国境内生产的组件成本占比相关要求实施前，“规定比例”栏可不填，下同。</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4.该产品的关键组件要求实施前，“关键组件”栏可不填，下同。</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5.该产品的关键工序要求实施前，“关键工序”栏可不填，下同。</w:t>
      </w:r>
      <w:r/>
    </w:p>
    <w:p>
      <w:pPr>
        <w:pStyle w:val="643"/>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6.《声明函》中标注“</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”的地方无需填写。</w:t>
      </w:r>
      <w:r>
        <w:rPr>
          <w:rFonts w:hint="eastAsia" w:ascii="仿宋" w:hAnsi="仿宋" w:eastAsia="仿宋" w:cs="仿宋"/>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highlight w:val="none"/>
        </w:rPr>
      </w:pPr>
      <w:r>
        <w:rPr>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Adobe 仿宋 Std R">
    <w:panose1 w:val="020B0503020202020204"/>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Verdana">
    <w:panose1 w:val="020B0604030504040204"/>
  </w:font>
  <w:font w:name="华文彩云">
    <w:panose1 w:val="0201080004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642"/>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64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5"/>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5"/>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5"/>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5"/>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5"/>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5"/>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5"/>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5"/>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5"/>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5"/>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5"/>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635"/>
    <w:link w:val="41"/>
    <w:uiPriority w:val="99"/>
  </w:style>
  <w:style w:type="character" w:styleId="44">
    <w:name w:val="Footer Char"/>
    <w:basedOn w:val="635"/>
    <w:link w:val="642"/>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2"/>
    <w:uiPriority w:val="99"/>
  </w:style>
  <w:style w:type="table" w:styleId="48">
    <w:name w:val="Table Grid Light"/>
    <w:basedOn w:val="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5"/>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5"/>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35" w:default="1">
    <w:name w:val="Default Paragraph Font"/>
    <w:uiPriority w:val="0"/>
    <w:semiHidden/>
    <w:qFormat/>
  </w:style>
  <w:style w:type="table" w:styleId="636" w:default="1">
    <w:name w:val="Normal Table"/>
    <w:uiPriority w:val="0"/>
    <w:semiHidden/>
    <w:qFormat/>
    <w:tblPr>
      <w:tblCellMar>
        <w:left w:w="108" w:type="dxa"/>
        <w:top w:w="0" w:type="dxa"/>
        <w:right w:w="108" w:type="dxa"/>
        <w:bottom w:w="0" w:type="dxa"/>
      </w:tblCellMar>
    </w:tblPr>
  </w:style>
  <w:style w:type="paragraph" w:styleId="637" w:customStyle="1">
    <w:name w:val="列表项目符号 21"/>
    <w:basedOn w:val="634"/>
    <w:uiPriority w:val="0"/>
    <w:qFormat/>
    <w:pPr>
      <w:ind w:left="420" w:hanging="420"/>
      <w:tabs>
        <w:tab w:val="left" w:pos="420" w:leader="none"/>
      </w:tabs>
    </w:pPr>
  </w:style>
  <w:style w:type="paragraph" w:styleId="638">
    <w:name w:val="Normal Indent"/>
    <w:basedOn w:val="634"/>
    <w:uiPriority w:val="0"/>
    <w:qFormat/>
    <w:pPr>
      <w:ind w:firstLine="200"/>
    </w:pPr>
    <w:rPr>
      <w:sz w:val="20"/>
    </w:rPr>
  </w:style>
  <w:style w:type="paragraph" w:styleId="639">
    <w:name w:val="annotation text"/>
    <w:basedOn w:val="634"/>
    <w:uiPriority w:val="0"/>
    <w:qFormat/>
    <w:pPr>
      <w:jc w:val="left"/>
    </w:pPr>
  </w:style>
  <w:style w:type="paragraph" w:styleId="640">
    <w:name w:val="Body Text"/>
    <w:basedOn w:val="63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1">
    <w:name w:val="Plain Text"/>
    <w:basedOn w:val="634"/>
    <w:uiPriority w:val="0"/>
    <w:qFormat/>
    <w:rPr>
      <w:rFonts w:ascii="宋体"/>
      <w:szCs w:val="20"/>
    </w:rPr>
  </w:style>
  <w:style w:type="paragraph" w:styleId="642">
    <w:name w:val="Footer"/>
    <w:basedOn w:val="634"/>
    <w:uiPriority w:val="0"/>
    <w:qFormat/>
    <w:pPr>
      <w:jc w:val="left"/>
      <w:tabs>
        <w:tab w:val="center" w:pos="4153" w:leader="none"/>
        <w:tab w:val="right" w:pos="8306" w:leader="none"/>
      </w:tabs>
    </w:pPr>
    <w:rPr>
      <w:rFonts w:ascii="Verdana" w:hAnsi="Verdana"/>
      <w:sz w:val="18"/>
      <w:szCs w:val="18"/>
    </w:rPr>
  </w:style>
  <w:style w:type="paragraph" w:styleId="643">
    <w:name w:val="Normal (Web)"/>
    <w:basedOn w:val="634"/>
    <w:uiPriority w:val="0"/>
    <w:qFormat/>
    <w:pPr>
      <w:jc w:val="left"/>
      <w:spacing w:before="100" w:beforeAutospacing="1" w:after="100" w:afterAutospacing="1"/>
      <w:widowControl/>
    </w:pPr>
    <w:rPr>
      <w:rFonts w:ascii="宋体" w:cs="宋体"/>
      <w:sz w:val="24"/>
    </w:rPr>
  </w:style>
  <w:style w:type="paragraph" w:styleId="644">
    <w:name w:val="Body Text First Indent"/>
    <w:basedOn w:val="640"/>
    <w:uiPriority w:val="0"/>
    <w:qFormat/>
    <w:pPr>
      <w:ind w:firstLine="200"/>
      <w:spacing w:line="360" w:lineRule="auto"/>
    </w:pPr>
    <w:rPr>
      <w:rFonts w:ascii="仿宋_GB2312" w:eastAsia="仿宋_GB2312"/>
      <w:sz w:val="30"/>
      <w:szCs w:val="30"/>
    </w:rPr>
  </w:style>
  <w:style w:type="table" w:styleId="645">
    <w:name w:val="Table Grid"/>
    <w:basedOn w:val="6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46"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647" w:customStyle="1">
    <w:name w:val="纯文本11"/>
    <w:basedOn w:val="634"/>
    <w:uiPriority w:val="0"/>
    <w:qFormat/>
    <w:rPr>
      <w:rFonts w:ascii="宋体" w:hAnsi="Courier New"/>
      <w:szCs w:val="20"/>
    </w:rPr>
  </w:style>
  <w:style w:type="paragraph" w:styleId="648" w:customStyle="1">
    <w:name w:val="正文首行缩进 21"/>
    <w:basedOn w:val="649"/>
    <w:uiPriority w:val="0"/>
    <w:qFormat/>
    <w:pPr>
      <w:ind w:left="420" w:firstLine="420"/>
      <w:spacing w:after="120"/>
      <w:widowControl/>
    </w:pPr>
    <w:rPr>
      <w:rFonts w:ascii="仿宋_GB2312" w:eastAsia="仿宋_GB2312"/>
      <w:color w:val="ff6600"/>
      <w:sz w:val="21"/>
    </w:rPr>
  </w:style>
  <w:style w:type="paragraph" w:styleId="649" w:customStyle="1">
    <w:name w:val="正文文本缩进1"/>
    <w:basedOn w:val="634"/>
    <w:uiPriority w:val="0"/>
    <w:qFormat/>
    <w:pPr>
      <w:ind w:firstLine="630"/>
    </w:pPr>
    <w:rPr>
      <w:rFonts w:ascii="楷体_GB2312" w:eastAsia="楷体_GB2312"/>
      <w:sz w:val="32"/>
      <w:szCs w:val="20"/>
    </w:rPr>
  </w:style>
  <w:style w:type="paragraph" w:styleId="650" w:customStyle="1">
    <w:name w:val="Table Paragraph"/>
    <w:basedOn w:val="634"/>
    <w:uiPriority w:val="0"/>
    <w:qFormat/>
    <w:rPr>
      <w:rFonts w:ascii="宋体" w:hAnsi="宋体" w:eastAsia="宋体" w:cs="宋体"/>
      <w:lang w:val="zh-CN" w:eastAsia="zh-CN" w:bidi="zh-CN"/>
    </w:rPr>
  </w:style>
  <w:style w:type="paragraph" w:styleId="651" w:customStyle="1">
    <w:name w:val="正文1"/>
    <w:next w:val="634"/>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652" w:customStyle="1">
    <w:name w:val="纯文本1"/>
    <w:basedOn w:val="634"/>
    <w:uiPriority w:val="0"/>
    <w:qFormat/>
    <w:rPr>
      <w:rFonts w:ascii="宋体" w:hAnsi="Courier New"/>
      <w:szCs w:val="20"/>
    </w:rPr>
  </w:style>
  <w:style w:type="paragraph" w:styleId="653" w:customStyle="1">
    <w:name w:val="普通正文"/>
    <w:basedOn w:val="634"/>
    <w:uiPriority w:val="0"/>
    <w:qFormat/>
    <w:pPr>
      <w:ind w:firstLine="480"/>
      <w:jc w:val="left"/>
      <w:spacing w:before="120" w:after="120" w:line="360" w:lineRule="auto"/>
    </w:pPr>
    <w:rPr>
      <w:rFonts w:ascii="Arial" w:hAnsi="Arial"/>
      <w:sz w:val="24"/>
    </w:rPr>
  </w:style>
  <w:style w:type="paragraph" w:styleId="654" w:customStyle="1">
    <w:name w:val="文本块1"/>
    <w:basedOn w:val="634"/>
    <w:uiPriority w:val="99"/>
    <w:qFormat/>
    <w:pPr>
      <w:ind w:left="420" w:right="33"/>
      <w:jc w:val="left"/>
    </w:pPr>
    <w:rPr>
      <w:sz w:val="24"/>
      <w:szCs w:val="20"/>
    </w:rPr>
  </w:style>
  <w:style w:type="paragraph" w:styleId="655" w:customStyle="1">
    <w:name w:val="BodyText"/>
    <w:basedOn w:val="634"/>
    <w:uiPriority w:val="0"/>
    <w:qFormat/>
    <w:pPr>
      <w:spacing w:after="120"/>
    </w:pPr>
    <w:rPr>
      <w:sz w:val="20"/>
    </w:rPr>
  </w:style>
  <w:style w:type="paragraph" w:styleId="656" w:customStyle="1">
    <w:name w:val="正文缩进1"/>
    <w:basedOn w:val="634"/>
    <w:uiPriority w:val="0"/>
    <w:qFormat/>
    <w:pPr>
      <w:ind w:firstLine="420"/>
    </w:pPr>
    <w:rPr>
      <w:szCs w:val="20"/>
    </w:rPr>
  </w:style>
  <w:style w:type="numbering" w:styleId="8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淮安友旺</cp:lastModifiedBy>
  <cp:revision>2</cp:revision>
  <dcterms:created xsi:type="dcterms:W3CDTF">2026-09-13T11:13:00Z</dcterms:created>
  <dcterms:modified xsi:type="dcterms:W3CDTF">2026-09-18T09:34:40Z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48B0765C9CA34839A68EA47464D8DF1E_11</vt:lpwstr>
  </property>
  <property fmtid="{D5CDD505-2E9C-101B-9397-08002B2CF9AE}" pid="4" name="KSOTemplateDocerSaveRecord">
    <vt:lpwstr>eyJoZGlkIjoiYWM2ZjBiYjAxODczMTE3OGIyNjAxYjE3MjhhMzRhMzQiLCJ1c2VySWQiOiIxNzI3MDkzODkyIn0=</vt:lpwstr>
  </property>
</Properties>
</file>