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10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72"/>
          <w:highlight w:val="none"/>
          <w14:textFill>
            <w14:solidFill>
              <w14:schemeClr w14:val="tx1"/>
            </w14:solidFill>
          </w14:textFill>
        </w:rPr>
        <w:t xml:space="preserve"> </w:t>
      </w:r>
      <w:r/>
    </w:p>
    <w:p>
      <w:pPr>
        <w:ind w:left="0" w:right="0" w:firstLine="0"/>
        <w:jc w:val="center"/>
        <w:spacing w:before="0" w:after="0" w:line="10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72"/>
          <w:highlight w:val="none"/>
          <w14:textFill>
            <w14:solidFill>
              <w14:schemeClr w14:val="tx1"/>
            </w14:solidFill>
          </w14:textFill>
        </w:rPr>
        <w:t xml:space="preserve">公开招标文件</w:t>
      </w:r>
      <w:r/>
    </w:p>
    <w:p>
      <w:pPr>
        <w:ind w:left="0" w:right="0" w:firstLine="0"/>
        <w:spacing w:before="0" w:after="0"/>
        <w:tabs>
          <w:tab w:val="left" w:pos="4621"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7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708"/>
        <w:jc w:val="both"/>
        <w:spacing w:before="0" w:after="0" w:line="7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项目名称:</w:t>
      </w:r>
      <w:r>
        <w:rPr>
          <w:rFonts w:hint="eastAsia" w:ascii="黑体" w:hAnsi="黑体" w:eastAsia="黑体" w:cs="黑体"/>
          <w:b/>
          <w:color w:val="000000" w:themeColor="text1"/>
          <w:sz w:val="36"/>
          <w:highlight w:val="none"/>
          <w:lang w:eastAsia="zh-CN"/>
          <w14:textFill>
            <w14:solidFill>
              <w14:schemeClr w14:val="tx1"/>
            </w14:solidFill>
          </w14:textFill>
        </w:rPr>
        <w:t xml:space="preserve">盱眙县城区中小学智慧体育建设项目</w:t>
      </w: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0"/>
        <w:jc w:val="both"/>
        <w:spacing w:before="0" w:after="0" w:line="7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708"/>
        <w:jc w:val="both"/>
        <w:spacing w:before="0" w:after="0" w:line="76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r>
      <w:r/>
    </w:p>
    <w:p>
      <w:pPr>
        <w:ind w:left="0" w:right="0" w:firstLine="708"/>
        <w:jc w:val="both"/>
        <w:spacing w:before="0" w:after="0" w:line="760" w:lineRule="atLeast"/>
        <w:rPr>
          <w:rFonts w:hint="eastAsia" w:eastAsia="黑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项目编号:</w:t>
      </w:r>
      <w:r>
        <w:rPr>
          <w:rFonts w:hint="eastAsia" w:ascii="黑体" w:hAnsi="黑体" w:eastAsia="黑体" w:cs="黑体"/>
          <w:b/>
          <w:color w:val="000000" w:themeColor="text1"/>
          <w:sz w:val="36"/>
          <w:highlight w:val="none"/>
          <w:lang w:eastAsia="zh-CN"/>
          <w14:textFill>
            <w14:solidFill>
              <w14:schemeClr w14:val="tx1"/>
            </w14:solidFill>
          </w14:textFill>
        </w:rPr>
        <w:t xml:space="preserve">JSZC-320830-ZHGC-G2026-0018</w:t>
      </w:r>
      <w:r/>
    </w:p>
    <w:p>
      <w:pPr>
        <w:ind w:left="-359" w:right="0" w:firstLine="36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rFonts w:hint="eastAsia" w:ascii="黑体" w:hAnsi="黑体" w:eastAsia="黑体" w:cs="黑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rPr>
          <w:rFonts w:hint="eastAsia" w:ascii="黑体" w:hAnsi="黑体" w:eastAsia="黑体" w:cs="黑体"/>
          <w:b/>
          <w:color w:val="000000" w:themeColor="text1"/>
          <w:sz w:val="32"/>
          <w:highlight w:val="none"/>
          <w:lang w:val="en-US" w:eastAsia="zh-CN"/>
          <w14:textFill>
            <w14:solidFill>
              <w14:schemeClr w14:val="tx1"/>
            </w14:solidFill>
          </w14:textFill>
        </w:rPr>
        <w:t xml:space="preserve">   </w:t>
      </w:r>
      <w:r/>
    </w:p>
    <w:p>
      <w:pPr>
        <w:ind w:left="0" w:right="0" w:firstLine="643"/>
        <w:jc w:val="both"/>
        <w:spacing w:before="0" w:after="0"/>
        <w:rPr>
          <w:rFonts w:hint="default" w:eastAsia="黑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32"/>
          <w:highlight w:val="none"/>
          <w:lang w:val="en-US" w:eastAsia="zh-CN"/>
          <w14:textFill>
            <w14:solidFill>
              <w14:schemeClr w14:val="tx1"/>
            </w14:solidFill>
          </w14:textFill>
        </w:rPr>
        <w:t xml:space="preserve">招  标  人：盱眙县教育体育局</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rFonts w:hint="eastAsia" w:ascii="黑体" w:hAnsi="黑体" w:eastAsia="黑体" w:cs="黑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rPr>
          <w:rFonts w:hint="eastAsia" w:ascii="黑体" w:hAnsi="黑体" w:eastAsia="黑体" w:cs="黑体"/>
          <w:b/>
          <w:color w:val="000000" w:themeColor="text1"/>
          <w:sz w:val="32"/>
          <w:highlight w:val="none"/>
          <w:lang w:val="en-US" w:eastAsia="zh-CN"/>
          <w14:textFill>
            <w14:solidFill>
              <w14:schemeClr w14:val="tx1"/>
            </w14:solidFill>
          </w14:textFill>
        </w:rPr>
        <w:t xml:space="preserve">  </w:t>
      </w:r>
      <w:r/>
    </w:p>
    <w:p>
      <w:pPr>
        <w:ind w:left="0" w:right="0" w:firstLine="0"/>
        <w:jc w:val="both"/>
        <w:spacing w:before="0" w:after="0"/>
        <w:rPr>
          <w:rFonts w:hint="eastAsia" w:ascii="黑体" w:hAnsi="黑体" w:eastAsia="黑体" w:cs="黑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32"/>
          <w:highlight w:val="none"/>
          <w:lang w:val="en-US" w:eastAsia="zh-CN"/>
          <w14:textFill>
            <w14:solidFill>
              <w14:schemeClr w14:val="tx1"/>
            </w14:solidFill>
          </w14:textFill>
        </w:rPr>
      </w:r>
      <w:r/>
    </w:p>
    <w:p>
      <w:pPr>
        <w:ind w:left="0" w:right="0" w:firstLine="321"/>
        <w:jc w:val="both"/>
        <w:spacing w:before="0" w:after="0"/>
        <w:rPr>
          <w:rFonts w:hint="default" w:eastAsia="黑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32"/>
          <w:highlight w:val="none"/>
          <w:lang w:val="en-US" w:eastAsia="zh-CN"/>
          <w14:textFill>
            <w14:solidFill>
              <w14:schemeClr w14:val="tx1"/>
            </w14:solidFill>
          </w14:textFill>
        </w:rPr>
        <w:t xml:space="preserve"> 招标代理：江苏泽豪工程咨询管理有限公司</w:t>
      </w:r>
      <w:r/>
    </w:p>
    <w:p>
      <w:pPr>
        <w:ind w:left="0" w:right="0" w:firstLine="0"/>
        <w:jc w:val="center"/>
        <w:spacing w:before="0" w:after="0" w:line="600" w:lineRule="atLeast"/>
        <w:tabs>
          <w:tab w:val="left" w:pos="5215" w:leader="none"/>
        </w:tabs>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r>
      <w:r/>
    </w:p>
    <w:p>
      <w:pPr>
        <w:ind w:left="0" w:right="0" w:firstLine="0"/>
        <w:jc w:val="center"/>
        <w:spacing w:before="0" w:after="0" w:line="600" w:lineRule="atLeast"/>
        <w:tabs>
          <w:tab w:val="left" w:pos="5215" w:leader="none"/>
        </w:tabs>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r>
      <w:r/>
    </w:p>
    <w:p>
      <w:pPr>
        <w:ind w:left="0" w:right="0" w:firstLine="0"/>
        <w:jc w:val="center"/>
        <w:spacing w:before="0" w:after="0" w:line="600" w:lineRule="atLeast"/>
        <w:tabs>
          <w:tab w:val="left" w:pos="5215"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二〇二六年</w:t>
      </w:r>
      <w:r>
        <w:rPr>
          <w:rFonts w:hint="eastAsia" w:ascii="黑体" w:hAnsi="黑体" w:eastAsia="黑体" w:cs="黑体"/>
          <w:b/>
          <w:color w:val="000000" w:themeColor="text1"/>
          <w:sz w:val="36"/>
          <w:highlight w:val="none"/>
          <w:lang w:val="en-US" w:eastAsia="zh-CN"/>
          <w14:textFill>
            <w14:solidFill>
              <w14:schemeClr w14:val="tx1"/>
            </w14:solidFill>
          </w14:textFill>
        </w:rPr>
        <w:t xml:space="preserve">九</w:t>
      </w:r>
      <w:r>
        <w:rPr>
          <w:rFonts w:ascii="黑体" w:hAnsi="黑体" w:eastAsia="黑体" w:cs="黑体"/>
          <w:b/>
          <w:color w:val="000000" w:themeColor="text1"/>
          <w:sz w:val="36"/>
          <w:highlight w:val="none"/>
          <w14:textFill>
            <w14:solidFill>
              <w14:schemeClr w14:val="tx1"/>
            </w14:solidFill>
          </w14:textFill>
        </w:rPr>
        <w:t xml:space="preserve">月</w:t>
      </w:r>
      <w:r>
        <w:rPr>
          <w:rFonts w:hint="eastAsia" w:ascii="黑体" w:hAnsi="黑体" w:eastAsia="黑体" w:cs="黑体"/>
          <w:b/>
          <w:color w:val="000000" w:themeColor="text1"/>
          <w:sz w:val="36"/>
          <w:highlight w:val="none"/>
          <w:lang w:val="en-US" w:eastAsia="zh-CN"/>
          <w14:textFill>
            <w14:solidFill>
              <w14:schemeClr w14:val="tx1"/>
            </w14:solidFill>
          </w14:textFill>
        </w:rPr>
        <w:t xml:space="preserve">十四</w:t>
      </w:r>
      <w:r>
        <w:rPr>
          <w:rFonts w:ascii="黑体" w:hAnsi="黑体" w:eastAsia="黑体" w:cs="黑体"/>
          <w:b/>
          <w:color w:val="000000" w:themeColor="text1"/>
          <w:sz w:val="36"/>
          <w:highlight w:val="none"/>
          <w14:textFill>
            <w14:solidFill>
              <w14:schemeClr w14:val="tx1"/>
            </w14:solidFill>
          </w14:textFill>
        </w:rPr>
        <w:t xml:space="preserve">日</w:t>
      </w:r>
      <w:r/>
    </w:p>
    <w:p>
      <w:pPr>
        <w:shd w:val="clear" w:color="auto"/>
        <w:rPr>
          <w:color w:val="000000" w:themeColor="text1"/>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br w:type="page" w:clear="all"/>
      </w:r>
      <w:r/>
    </w:p>
    <w:p>
      <w:pPr>
        <w:ind w:left="0" w:right="0" w:firstLine="2512"/>
        <w:jc w:val="both"/>
        <w:spacing w:before="0" w:after="0" w:line="519" w:lineRule="atLeast"/>
        <w:rPr>
          <w:rFonts w:ascii="仿宋" w:hAnsi="仿宋" w:eastAsia="仿宋" w:cs="仿宋"/>
          <w:b/>
          <w:bCs/>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第一章投标邀请</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受</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的委托，</w:t>
      </w:r>
      <w:r>
        <w:rPr>
          <w:rFonts w:hint="eastAsia" w:ascii="仿宋" w:hAnsi="仿宋" w:eastAsia="仿宋" w:cs="仿宋"/>
          <w:color w:val="000000" w:themeColor="text1"/>
          <w:sz w:val="28"/>
          <w:highlight w:val="none"/>
          <w:lang w:eastAsia="zh-CN"/>
          <w14:textFill>
            <w14:solidFill>
              <w14:schemeClr w14:val="tx1"/>
            </w14:solidFill>
          </w14:textFill>
        </w:rPr>
        <w:t xml:space="preserve">江苏泽豪工程咨询管理有限公司</w:t>
      </w:r>
      <w:r>
        <w:rPr>
          <w:rFonts w:ascii="仿宋" w:hAnsi="仿宋" w:eastAsia="仿宋" w:cs="仿宋"/>
          <w:color w:val="000000" w:themeColor="text1"/>
          <w:sz w:val="28"/>
          <w:highlight w:val="none"/>
          <w14:textFill>
            <w14:solidFill>
              <w14:schemeClr w14:val="tx1"/>
            </w14:solidFill>
          </w14:textFill>
        </w:rPr>
        <w:t xml:space="preserve">就</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盱眙县城区中小学智慧体育建设</w:t>
      </w:r>
      <w:r>
        <w:rPr>
          <w:rFonts w:ascii="仿宋" w:hAnsi="仿宋" w:eastAsia="仿宋" w:cs="仿宋"/>
          <w:color w:val="000000" w:themeColor="text1"/>
          <w:sz w:val="28"/>
          <w:highlight w:val="none"/>
          <w14:textFill>
            <w14:solidFill>
              <w14:schemeClr w14:val="tx1"/>
            </w14:solidFill>
          </w14:textFill>
        </w:rPr>
        <w:t xml:space="preserve">项目进行公开招标采购，现邀请符合条件的投标人参加投标。</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9525</wp:posOffset>
                </wp:positionH>
                <wp:positionV relativeFrom="paragraph">
                  <wp:posOffset>45720</wp:posOffset>
                </wp:positionV>
                <wp:extent cx="5456555" cy="1767205"/>
                <wp:effectExtent l="3175" t="3175" r="3175" b="317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456402" cy="1767081"/>
                        </a:xfrm>
                        <a:prstGeom prst="rect">
                          <a:avLst/>
                        </a:prstGeom>
                        <a:solidFill>
                          <a:schemeClr val="lt1"/>
                        </a:solidFill>
                        <a:ln w="6350">
                          <a:solidFill>
                            <a:prstClr val="black"/>
                          </a:solidFill>
                        </a:ln>
                      </wps:spPr>
                      <wps:txbx>
                        <w:txbxContent>
                          <w:p>
                            <w:pPr>
                              <w:ind w:left="0" w:right="0" w:firstLine="53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eastAsia="zh-CN"/>
                              </w:rPr>
                              <w:t xml:space="preserve">盱眙县城区中小学智慧体育建设项目</w:t>
                            </w:r>
                            <w:r>
                              <w:rPr>
                                <w:rFonts w:ascii="仿宋" w:hAnsi="仿宋" w:eastAsia="仿宋" w:cs="仿宋"/>
                                <w:color w:val="000000"/>
                                <w:sz w:val="28"/>
                              </w:rPr>
                              <w:t xml:space="preserve">招标项目的潜在投标人应在淮安市政府采购网（http://czj.huaian.gov.cn/col/13924_326175/index.html）自行免费下载招标文件，并于2026年</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月</w:t>
                            </w:r>
                            <w:r>
                              <w:rPr>
                                <w:rFonts w:hint="eastAsia" w:ascii="仿宋" w:hAnsi="仿宋" w:eastAsia="仿宋" w:cs="仿宋"/>
                                <w:color w:val="000000"/>
                                <w:sz w:val="28"/>
                                <w:lang w:val="en-US" w:eastAsia="zh-CN"/>
                              </w:rPr>
                              <w:t xml:space="preserve">13</w:t>
                            </w:r>
                            <w:r>
                              <w:rPr>
                                <w:rFonts w:ascii="仿宋" w:hAnsi="仿宋" w:eastAsia="仿宋" w:cs="仿宋"/>
                                <w:color w:val="000000"/>
                                <w:sz w:val="28"/>
                              </w:rPr>
                              <w:t xml:space="preserve">日</w:t>
                            </w:r>
                            <w:r>
                              <w:rPr>
                                <w:rFonts w:hint="eastAsia" w:ascii="仿宋" w:hAnsi="仿宋" w:eastAsia="仿宋" w:cs="仿宋"/>
                                <w:color w:val="000000"/>
                                <w:sz w:val="28"/>
                                <w:lang w:val="en-US" w:eastAsia="zh-CN"/>
                              </w:rPr>
                              <w:t xml:space="preserve">9</w:t>
                            </w:r>
                            <w:r>
                              <w:rPr>
                                <w:rFonts w:ascii="仿宋" w:hAnsi="仿宋" w:eastAsia="仿宋" w:cs="仿宋"/>
                                <w:color w:val="000000"/>
                                <w:sz w:val="28"/>
                              </w:rPr>
                              <w:t xml:space="preserve">点</w:t>
                            </w:r>
                            <w:r>
                              <w:rPr>
                                <w:rFonts w:hint="eastAsia" w:ascii="仿宋" w:hAnsi="仿宋" w:eastAsia="仿宋" w:cs="仿宋"/>
                                <w:color w:val="000000"/>
                                <w:sz w:val="28"/>
                                <w:lang w:val="en-US" w:eastAsia="zh-CN"/>
                              </w:rPr>
                              <w:t xml:space="preserve">00</w:t>
                            </w:r>
                            <w:r>
                              <w:rPr>
                                <w:rFonts w:ascii="仿宋" w:hAnsi="仿宋" w:eastAsia="仿宋" w:cs="仿宋"/>
                                <w:color w:val="000000"/>
                                <w:sz w:val="28"/>
                              </w:rPr>
                              <w:t xml:space="preserve">分（北京时间）前提交投标文件。</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1" o:spid="_x0000_s1" o:spt="202" type="#_x0000_t202" style="position:absolute;z-index:251659264;o:allowoverlap:true;o:allowincell:true;mso-position-horizontal-relative:text;margin-left:0.8pt;mso-position-horizontal:absolute;mso-position-vertical-relative:text;margin-top:3.6pt;mso-position-vertical:absolute;width:429.6pt;height:139.2pt;mso-wrap-distance-left:9.0pt;mso-wrap-distance-top:0.0pt;mso-wrap-distance-right:9.0pt;mso-wrap-distance-bottom:0.0pt;v-text-anchor:top;visibility:visible;" fillcolor="#FFFFFF" strokecolor="#000000" strokeweight="0.50pt">
                <v:textbox inset="0,0,0,0">
                  <w:txbxContent>
                    <w:p>
                      <w:pPr>
                        <w:ind w:left="0" w:right="0" w:firstLine="53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eastAsia="zh-CN"/>
                        </w:rPr>
                        <w:t xml:space="preserve">盱眙县城区中小学智慧体育建设项目</w:t>
                      </w:r>
                      <w:r>
                        <w:rPr>
                          <w:rFonts w:ascii="仿宋" w:hAnsi="仿宋" w:eastAsia="仿宋" w:cs="仿宋"/>
                          <w:color w:val="000000"/>
                          <w:sz w:val="28"/>
                        </w:rPr>
                        <w:t xml:space="preserve">招标项目的潜在投标人应在淮安市政府采购网（http://czj.huaian.gov.cn/col/13924_326175/index.html）自行免费下载招标文件，并于2026年</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月</w:t>
                      </w:r>
                      <w:r>
                        <w:rPr>
                          <w:rFonts w:hint="eastAsia" w:ascii="仿宋" w:hAnsi="仿宋" w:eastAsia="仿宋" w:cs="仿宋"/>
                          <w:color w:val="000000"/>
                          <w:sz w:val="28"/>
                          <w:lang w:val="en-US" w:eastAsia="zh-CN"/>
                        </w:rPr>
                        <w:t xml:space="preserve">13</w:t>
                      </w:r>
                      <w:r>
                        <w:rPr>
                          <w:rFonts w:ascii="仿宋" w:hAnsi="仿宋" w:eastAsia="仿宋" w:cs="仿宋"/>
                          <w:color w:val="000000"/>
                          <w:sz w:val="28"/>
                        </w:rPr>
                        <w:t xml:space="preserve">日</w:t>
                      </w:r>
                      <w:r>
                        <w:rPr>
                          <w:rFonts w:hint="eastAsia" w:ascii="仿宋" w:hAnsi="仿宋" w:eastAsia="仿宋" w:cs="仿宋"/>
                          <w:color w:val="000000"/>
                          <w:sz w:val="28"/>
                          <w:lang w:val="en-US" w:eastAsia="zh-CN"/>
                        </w:rPr>
                        <w:t xml:space="preserve">9</w:t>
                      </w:r>
                      <w:r>
                        <w:rPr>
                          <w:rFonts w:ascii="仿宋" w:hAnsi="仿宋" w:eastAsia="仿宋" w:cs="仿宋"/>
                          <w:color w:val="000000"/>
                          <w:sz w:val="28"/>
                        </w:rPr>
                        <w:t xml:space="preserve">点</w:t>
                      </w:r>
                      <w:r>
                        <w:rPr>
                          <w:rFonts w:hint="eastAsia" w:ascii="仿宋" w:hAnsi="仿宋" w:eastAsia="仿宋" w:cs="仿宋"/>
                          <w:color w:val="000000"/>
                          <w:sz w:val="28"/>
                          <w:lang w:val="en-US" w:eastAsia="zh-CN"/>
                        </w:rPr>
                        <w:t xml:space="preserve">00</w:t>
                      </w:r>
                      <w:r>
                        <w:rPr>
                          <w:rFonts w:ascii="仿宋" w:hAnsi="仿宋" w:eastAsia="仿宋" w:cs="仿宋"/>
                          <w:color w:val="000000"/>
                          <w:sz w:val="28"/>
                        </w:rPr>
                        <w:t xml:space="preserve">分（北京时间）前提交投标文件。</w:t>
                      </w:r>
                      <w:r/>
                    </w:p>
                  </w:txbxContent>
                </v:textbox>
              </v:shape>
            </w:pict>
          </mc:Fallback>
        </mc:AlternateContent>
      </w: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一、项目基本情况</w:t>
      </w:r>
      <w:r/>
    </w:p>
    <w:p>
      <w:pPr>
        <w:ind w:left="0" w:right="0" w:firstLine="565"/>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（一）项目编号:</w:t>
      </w:r>
      <w:r>
        <w:rPr>
          <w:rFonts w:hint="eastAsia" w:ascii="仿宋" w:hAnsi="仿宋" w:eastAsia="仿宋" w:cs="仿宋"/>
          <w:color w:val="000000" w:themeColor="text1"/>
          <w:sz w:val="28"/>
          <w:highlight w:val="none"/>
          <w:lang w:eastAsia="zh-CN"/>
          <w14:textFill>
            <w14:solidFill>
              <w14:schemeClr w14:val="tx1"/>
            </w14:solidFill>
          </w14:textFill>
        </w:rPr>
        <w:t xml:space="preserve">JSZC-320830-ZHGC-G2026-0018</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（二）项目名称:</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盱眙县城区中小学智慧体育建设项目</w:t>
      </w: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（三）预算金额:</w:t>
      </w:r>
      <w:r>
        <w:rPr>
          <w:rFonts w:hint="eastAsia" w:ascii="仿宋" w:hAnsi="仿宋" w:eastAsia="仿宋" w:cs="仿宋"/>
          <w:color w:val="000000" w:themeColor="text1"/>
          <w:sz w:val="28"/>
          <w:highlight w:val="none"/>
          <w:lang w:eastAsia="zh-CN"/>
          <w14:textFill>
            <w14:solidFill>
              <w14:schemeClr w14:val="tx1"/>
            </w14:solidFill>
          </w14:textFill>
        </w:rPr>
        <w:t xml:space="preserve">120万元</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（四）最高限价:</w:t>
      </w:r>
      <w:r>
        <w:rPr>
          <w:rFonts w:hint="eastAsia" w:ascii="仿宋" w:hAnsi="仿宋" w:eastAsia="仿宋" w:cs="仿宋"/>
          <w:color w:val="000000" w:themeColor="text1"/>
          <w:sz w:val="28"/>
          <w:highlight w:val="none"/>
          <w:lang w:eastAsia="zh-CN"/>
          <w14:textFill>
            <w14:solidFill>
              <w14:schemeClr w14:val="tx1"/>
            </w14:solidFill>
          </w14:textFill>
        </w:rPr>
        <w:t xml:space="preserve">120万元</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（五）采购需求:</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中小学生体质综合测试平台、智能操场测试系统、趣味体育测试平台</w:t>
      </w:r>
      <w:r>
        <w:rPr>
          <w:rFonts w:hint="eastAsia" w:ascii="仿宋" w:hAnsi="仿宋" w:eastAsia="仿宋" w:cs="仿宋"/>
          <w:color w:val="000000" w:themeColor="text1"/>
          <w:sz w:val="28"/>
          <w:highlight w:val="none"/>
          <w14:textFill>
            <w14:solidFill>
              <w14:schemeClr w14:val="tx1"/>
            </w14:solidFill>
          </w14:textFill>
        </w:rPr>
        <w:t xml:space="preserve">具体详见招标文件第五章项目采购需求</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（六）合同履行期限:</w:t>
      </w:r>
      <w:r>
        <w:rPr>
          <w:rFonts w:hint="eastAsia" w:ascii="仿宋" w:hAnsi="仿宋" w:eastAsia="仿宋" w:cs="仿宋"/>
          <w:color w:val="000000" w:themeColor="text1"/>
          <w:sz w:val="28"/>
          <w:highlight w:val="none"/>
          <w:lang w:eastAsia="zh-CN"/>
          <w14:textFill>
            <w14:solidFill>
              <w14:schemeClr w14:val="tx1"/>
            </w14:solidFill>
          </w14:textFill>
        </w:rPr>
        <w:t xml:space="preserve">合同签订生效后，45个日历天完成。</w:t>
      </w: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（七）本项目（</w:t>
      </w:r>
      <w:r>
        <w:rPr>
          <w:rFonts w:ascii="Arial" w:hAnsi="Arial" w:eastAsia="Arial" w:cs="Arial"/>
          <w:color w:val="000000"/>
          <w:sz w:val="28"/>
        </w:rPr>
        <w:t xml:space="preserve">×</w:t>
      </w:r>
      <w:r>
        <w:rPr>
          <w:rFonts w:ascii="仿宋" w:hAnsi="仿宋" w:eastAsia="仿宋" w:cs="仿宋"/>
          <w:color w:val="000000"/>
          <w:sz w:val="28"/>
        </w:rPr>
        <w:t xml:space="preserve">是</w:t>
      </w:r>
      <w:r>
        <w:rPr>
          <w:rFonts w:ascii="Arial" w:hAnsi="Arial" w:eastAsia="Arial" w:cs="Arial"/>
          <w:color w:val="000000"/>
          <w:sz w:val="28"/>
        </w:rPr>
        <w:t xml:space="preserve">√</w:t>
      </w:r>
      <w:r>
        <w:rPr>
          <w:rFonts w:ascii="仿宋" w:hAnsi="仿宋" w:eastAsia="仿宋" w:cs="仿宋"/>
          <w:color w:val="000000"/>
          <w:sz w:val="28"/>
        </w:rPr>
        <w:t xml:space="preserve">否</w:t>
      </w:r>
      <w:r>
        <w:rPr>
          <w:rFonts w:ascii="仿宋" w:hAnsi="仿宋" w:eastAsia="仿宋" w:cs="仿宋"/>
          <w:color w:val="000000" w:themeColor="text1"/>
          <w:sz w:val="28"/>
          <w:highlight w:val="none"/>
          <w14:textFill>
            <w14:solidFill>
              <w14:schemeClr w14:val="tx1"/>
            </w14:solidFill>
          </w14:textFill>
        </w:rPr>
        <w:t xml:space="preserve">）接受联合体投标。</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（八）本项目采购标的对应的中小企业划分标准所属行业为</w:t>
      </w:r>
      <w:r>
        <w:rPr>
          <w:rFonts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u w:val="single"/>
          <w:lang w:val="en-US" w:eastAsia="zh-CN"/>
          <w14:textFill>
            <w14:solidFill>
              <w14:schemeClr w14:val="tx1"/>
            </w14:solidFill>
          </w14:textFill>
        </w:rPr>
        <w:t xml:space="preserve">其他未列明行业</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二、申请人的资格要求:</w:t>
      </w:r>
      <w:r/>
    </w:p>
    <w:p>
      <w:pPr>
        <w:ind w:left="559"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（一）符合《中华人民共和国政府采购法》第二十二条规定；</w:t>
      </w:r>
      <w:r/>
    </w:p>
    <w:p>
      <w:pPr>
        <w:ind w:left="559"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（二）落实政府采购政策需满足的资格要求: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本项目按照以下第</w:t>
      </w:r>
      <w:r>
        <w:rPr>
          <w:rFonts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u w:val="single"/>
          <w:lang w:val="en-US" w:eastAsia="zh-CN"/>
          <w14:textFill>
            <w14:solidFill>
              <w14:schemeClr w14:val="tx1"/>
            </w14:solidFill>
          </w14:textFill>
        </w:rPr>
        <w:t xml:space="preserve">3</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种方式落实政府采购促进中小企业发展的要求：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1、本项目为专门面向中小企业采购的项目。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2、本项目通过以下第（）种方式预留部分采购份额采购中小企业服务：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（1）本项目要求投标人以联合体形式参加，中小企业合同金额应当达到的比例为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%，其中小微企业所占比例应为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%（两项比例均应符合《政府采购促进中小企业发展管理办法》第八条规定）。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（2）本项目要求投标人进行合同分包，中小企业合同金额应当达到的比例为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%，其中小微企业所占比例应为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%（两项比例均应符合《政府采购促进中小企业发展管理办法》第八条规定）。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3、本项目为非预留份额的采购项目，对小微企业报价给予扣除，用扣除后的价格参加评审，具体详见第二章“投标人须知”第33.1项。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注:监狱企业、残疾人福利性单位视同小微企业；符合中小企业划分标准的个体工商户，在政府采购活动中视同中小企业，享受政府采购支持中小企业发展政策。</w:t>
      </w:r>
      <w:r/>
    </w:p>
    <w:p>
      <w:pPr>
        <w:numPr>
          <w:ilvl w:val="0"/>
          <w:numId w:val="4"/>
        </w:num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本项目的特定资格要求:</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无</w:t>
      </w:r>
      <w:r/>
    </w:p>
    <w:p>
      <w:pPr>
        <w:numPr>
          <w:ilvl w:val="0"/>
          <w:numId w:val="0"/>
        </w:numPr>
        <w:ind w:left="560" w:right="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（四）拒绝下述条件的投标人参加本次采购活动: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1、投标人单位负责人为同一人或者存在直接控股、管理关系的不同投标人，不得同时参加同一合同项下的政府采购活动。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2、凡为采购项目提供整体设计、规范编制或者项目管理、监理、检测等服务的投标人，不得再参加本项目的采购活动。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3、投标人被“信用中国”网站、“中国政府采购网”列入失信被执行人、重大税收违法案件当事人名单、政府采购严重违法失信行为记录名单。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三、获取招标文件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（一）时间:自招标公告发布之日起五个工作日。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（二）方式：在“淮安市政府采购网”自行免费下载招标文件。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四、提交投标文件截止时间、开标时间和地点</w:t>
      </w:r>
      <w:r/>
    </w:p>
    <w:p>
      <w:pPr>
        <w:ind w:left="0"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（一）投标文件提交截止时间及开标时间:</w:t>
      </w:r>
      <w:r>
        <w:rPr>
          <w:rFonts w:ascii="仿宋" w:hAnsi="仿宋" w:eastAsia="仿宋" w:cs="仿宋"/>
          <w:color w:val="000000"/>
          <w:sz w:val="28"/>
        </w:rPr>
        <w:t xml:space="preserve">2026年</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月</w:t>
      </w:r>
      <w:r>
        <w:rPr>
          <w:rFonts w:hint="eastAsia" w:ascii="仿宋" w:hAnsi="仿宋" w:eastAsia="仿宋" w:cs="仿宋"/>
          <w:color w:val="000000"/>
          <w:sz w:val="28"/>
          <w:lang w:val="en-US" w:eastAsia="zh-CN"/>
        </w:rPr>
        <w:t xml:space="preserve">13</w:t>
      </w:r>
      <w:r>
        <w:rPr>
          <w:rFonts w:ascii="仿宋" w:hAnsi="仿宋" w:eastAsia="仿宋" w:cs="仿宋"/>
          <w:color w:val="000000"/>
          <w:sz w:val="28"/>
        </w:rPr>
        <w:t xml:space="preserve">日</w:t>
      </w:r>
      <w:r>
        <w:rPr>
          <w:rFonts w:hint="eastAsia" w:ascii="仿宋" w:hAnsi="仿宋" w:eastAsia="仿宋" w:cs="仿宋"/>
          <w:color w:val="000000"/>
          <w:sz w:val="28"/>
          <w:lang w:val="en-US" w:eastAsia="zh-CN"/>
        </w:rPr>
        <w:t xml:space="preserve">9</w:t>
      </w:r>
      <w:r>
        <w:rPr>
          <w:rFonts w:ascii="仿宋" w:hAnsi="仿宋" w:eastAsia="仿宋" w:cs="仿宋"/>
          <w:color w:val="000000"/>
          <w:sz w:val="28"/>
        </w:rPr>
        <w:t xml:space="preserve">点</w:t>
      </w:r>
      <w:r>
        <w:rPr>
          <w:rFonts w:hint="eastAsia" w:ascii="仿宋" w:hAnsi="仿宋" w:eastAsia="仿宋" w:cs="仿宋"/>
          <w:color w:val="000000"/>
          <w:sz w:val="28"/>
          <w:lang w:val="en-US" w:eastAsia="zh-CN"/>
        </w:rPr>
        <w:t xml:space="preserve">00</w:t>
      </w:r>
      <w:r>
        <w:rPr>
          <w:rFonts w:ascii="仿宋" w:hAnsi="仿宋" w:eastAsia="仿宋" w:cs="仿宋"/>
          <w:color w:val="000000"/>
          <w:sz w:val="28"/>
        </w:rPr>
        <w:t xml:space="preserve">分</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（二）投标文件上传地址：“苏采云”政府采购交易系统网上开标大厅。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五、公告期限</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自本公告发布之日起五个工作日。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六、其他补充事宜</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本项目仅采购非进口产品（注:本文件所称进口产品是指通过中国海关报关验放进入中国境内且产自关境外的产品）。</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七、对本次采购提出询问，请按以下方式联系。</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1、采购人联系方式</w:t>
      </w:r>
      <w:r/>
    </w:p>
    <w:p>
      <w:pPr>
        <w:ind w:left="0" w:right="0" w:firstLine="56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名称:</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地址:</w:t>
      </w:r>
      <w:r>
        <w:rPr>
          <w:rFonts w:hint="eastAsia" w:ascii="仿宋" w:hAnsi="仿宋" w:eastAsia="仿宋" w:cs="仿宋"/>
          <w:color w:val="000000" w:themeColor="text1"/>
          <w:sz w:val="28"/>
          <w:highlight w:val="none"/>
          <w14:textFill>
            <w14:solidFill>
              <w14:schemeClr w14:val="tx1"/>
            </w14:solidFill>
          </w14:textFill>
        </w:rPr>
        <w:t xml:space="preserve">淮安市盱眙县都梁北路9号</w:t>
      </w:r>
      <w:r/>
    </w:p>
    <w:p>
      <w:pPr>
        <w:ind w:left="0" w:right="0" w:firstLine="56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联系方式：</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蒋胜梅  </w:t>
      </w:r>
      <w:r>
        <w:rPr>
          <w:rFonts w:hint="eastAsia" w:ascii="仿宋" w:hAnsi="仿宋" w:eastAsia="仿宋" w:cs="仿宋"/>
          <w:color w:val="000000" w:themeColor="text1"/>
          <w:sz w:val="28"/>
          <w:highlight w:val="none"/>
          <w:lang w:eastAsia="zh-CN"/>
          <w14:textFill>
            <w14:solidFill>
              <w14:schemeClr w14:val="tx1"/>
            </w14:solidFill>
          </w14:textFill>
        </w:rPr>
        <w:t xml:space="preserve">15949156289</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2、采购代理机构信息</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rPr>
        <w:t xml:space="preserve">名称：</w:t>
      </w:r>
      <w:r>
        <w:rPr>
          <w:rFonts w:hint="eastAsia" w:ascii="仿宋" w:hAnsi="仿宋" w:eastAsia="仿宋"/>
          <w:sz w:val="28"/>
          <w:szCs w:val="28"/>
          <w:highlight w:val="none"/>
          <w:lang w:val="en-US" w:eastAsia="zh-CN"/>
        </w:rPr>
        <w:t xml:space="preserve">江苏泽豪工程咨询管理有限公司</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地址：盱眙县中澳生态城商业区52号楼206室</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联系方式：</w:t>
      </w:r>
      <w:r>
        <w:rPr>
          <w:rFonts w:hint="eastAsia" w:ascii="仿宋" w:hAnsi="仿宋" w:eastAsia="仿宋"/>
          <w:sz w:val="28"/>
          <w:szCs w:val="28"/>
          <w:highlight w:val="none"/>
          <w:lang w:val="en-US" w:eastAsia="zh-CN"/>
        </w:rPr>
        <w:t xml:space="preserve">吴小玄 </w:t>
      </w:r>
      <w:r>
        <w:rPr>
          <w:rFonts w:hint="eastAsia" w:ascii="仿宋" w:hAnsi="仿宋" w:eastAsia="仿宋"/>
          <w:sz w:val="28"/>
          <w:szCs w:val="28"/>
          <w:highlight w:val="none"/>
          <w:lang w:val="en-US"/>
        </w:rPr>
        <w:t xml:space="preserve">电话：15261779247</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3、项目联系方式</w:t>
      </w:r>
      <w:r/>
    </w:p>
    <w:p>
      <w:pPr>
        <w:ind w:left="0" w:right="0" w:firstLine="565"/>
        <w:jc w:val="both"/>
        <w:spacing w:before="0" w:after="0" w:line="519" w:lineRule="atLeast"/>
        <w:rPr>
          <w:rFonts w:hint="eastAsia" w:ascii="仿宋" w:hAnsi="仿宋" w:eastAsia="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highlight w:val="none"/>
          <w:lang w:val="en-US"/>
        </w:rPr>
        <w:t xml:space="preserve">项目联系人：</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蒋胜梅 </w:t>
      </w:r>
      <w:r>
        <w:rPr>
          <w:rFonts w:hint="eastAsia" w:ascii="仿宋" w:hAnsi="仿宋" w:eastAsia="仿宋" w:cs="仿宋"/>
          <w:color w:val="000000" w:themeColor="text1"/>
          <w:sz w:val="28"/>
          <w:highlight w:val="none"/>
          <w:lang w:eastAsia="zh-CN"/>
          <w14:textFill>
            <w14:solidFill>
              <w14:schemeClr w14:val="tx1"/>
            </w14:solidFill>
          </w14:textFill>
        </w:rPr>
        <w:t xml:space="preserve">15949156289</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八、其他</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2.有关本次招标的事项若存在变动或修改，敬请及时关注</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招标人</w:t>
      </w:r>
      <w:r>
        <w:rPr>
          <w:rFonts w:ascii="仿宋" w:hAnsi="仿宋" w:eastAsia="仿宋" w:cs="仿宋"/>
          <w:color w:val="000000" w:themeColor="text1"/>
          <w:sz w:val="28"/>
          <w:highlight w:val="none"/>
          <w14:textFill>
            <w14:solidFill>
              <w14:schemeClr w14:val="tx1"/>
            </w14:solidFill>
          </w14:textFill>
        </w:rPr>
        <w:t xml:space="preserve">在“淮安市政府采购网”发布的更正公告。</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3.本次招标不收取投标保证金。</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第二章投标人须知</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一、总则</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1.适用范围</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本招标文件仅适用于本次投标邀请中所述项目的采购。</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2.合格的投标人</w:t>
      </w:r>
      <w:r/>
    </w:p>
    <w:p>
      <w:pPr>
        <w:ind w:left="0" w:right="0" w:firstLine="555"/>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2.1满足第一章投标邀请中投标人资格要求的规定。</w:t>
      </w:r>
      <w:r/>
    </w:p>
    <w:p>
      <w:pPr>
        <w:ind w:left="0" w:right="0" w:firstLine="55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2.2满足招标文件中实质性条款的规定。</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3.适用法律</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3.1《中华人民共和国政府采购法》《中华人民共和国政府采购法实施条例》《政府采购货物和服务招标投标管理办法》等有关法律、规章和规定等。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3.2在本项目政府采购活动过程中，如果所执行的标准有更新的，按照最新标准执行。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4.投标费用</w:t>
      </w:r>
      <w:r/>
    </w:p>
    <w:p>
      <w:pPr>
        <w:ind w:left="0" w:right="0" w:firstLine="55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4.1 投标人应自行承担所有与参加投标有关的费用。不论投标的结果如何，</w:t>
      </w:r>
      <w:r>
        <w:rPr>
          <w:rFonts w:hint="eastAsia" w:ascii="仿宋" w:hAnsi="仿宋" w:eastAsia="仿宋" w:cs="仿宋"/>
          <w:color w:val="000000" w:themeColor="text1"/>
          <w:sz w:val="28"/>
          <w:highlight w:val="none"/>
          <w:lang w:eastAsia="zh-CN"/>
          <w14:textFill>
            <w14:solidFill>
              <w14:schemeClr w14:val="tx1"/>
            </w14:solidFill>
          </w14:textFill>
        </w:rPr>
        <w:t xml:space="preserve">江苏泽豪工程咨询管理有限公司</w:t>
      </w:r>
      <w:r>
        <w:rPr>
          <w:rFonts w:ascii="仿宋" w:hAnsi="仿宋" w:eastAsia="仿宋" w:cs="仿宋"/>
          <w:color w:val="000000" w:themeColor="text1"/>
          <w:sz w:val="28"/>
          <w:highlight w:val="none"/>
          <w14:textFill>
            <w14:solidFill>
              <w14:schemeClr w14:val="tx1"/>
            </w14:solidFill>
          </w14:textFill>
        </w:rPr>
        <w:t xml:space="preserve">（以下简称采购中心）在任何情况下均无义务和责任承担这些费用。</w:t>
      </w:r>
      <w:r/>
    </w:p>
    <w:p>
      <w:pPr>
        <w:ind w:left="0" w:right="0" w:firstLine="555"/>
        <w:jc w:val="both"/>
        <w:spacing w:before="0" w:after="0" w:line="519" w:lineRule="atLeast"/>
        <w:rPr>
          <w:rFonts w:ascii="仿宋" w:hAnsi="仿宋" w:eastAsia="仿宋" w:cs="仿宋"/>
          <w:b w:val="0"/>
          <w:bCs/>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2" w:name="_GoBack"/>
      <w:r>
        <w:rPr>
          <w:rFonts w:ascii="仿宋" w:hAnsi="仿宋" w:eastAsia="仿宋" w:cs="仿宋"/>
          <w:b w:val="0"/>
          <w:bCs/>
          <w:color w:val="000000" w:themeColor="text1"/>
          <w:sz w:val="28"/>
          <w:highlight w:val="none"/>
          <w14:textFill>
            <w14:solidFill>
              <w14:schemeClr w14:val="tx1"/>
            </w14:solidFill>
          </w14:textFill>
        </w:rPr>
        <w:t xml:space="preserve">4.2 本次采购项目不得以任何形式向投标人收取标书工本费及专家评审费。</w:t>
      </w:r>
      <w:bookmarkEnd w:id="12"/>
      <w:r/>
      <w:r/>
    </w:p>
    <w:p>
      <w:pPr>
        <w:ind w:left="0" w:right="0" w:firstLine="560"/>
        <w:jc w:val="both"/>
        <w:spacing w:before="0" w:after="0" w:line="519" w:lineRule="atLeast"/>
        <w:rPr>
          <w:rFonts w:hint="eastAsia" w:ascii="仿宋" w:hAnsi="仿宋" w:eastAsia="仿宋" w:cs="仿宋"/>
          <w:b w:val="0"/>
          <w:bCs w:val="0"/>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highlight w:val="none"/>
          <w:lang w:val="en-US" w:eastAsia="zh-CN"/>
          <w14:textFill>
            <w14:solidFill>
              <w14:schemeClr w14:val="tx1"/>
            </w14:solidFill>
          </w14:textFill>
        </w:rPr>
        <w:t xml:space="preserve">4.3本次采购代理费用参照苏政采协【2024】20号关于印发《江苏省政府采购代理服务收费指导意见》的通知规定收费标准，优惠收取    11000元，由成交供应商领取中标通知书时缴纳，投标单位充分考虑报价风险计入总价且不单独立项。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5、招标文件的约束力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5.1投标人一旦参加本项目采购活动，即被认为接受了本招标文件的规定和约束。</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二、招标文件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6.招标文件由以下部分组成:</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6.1 投标邀请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6.2 投标人须知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6.3评标方法与评标标准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6.4合同格式及条款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6.5 项目采购需求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6.6 投标文件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7.招标文件的更正或补充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7.1在投标截止时间前，采购中心可以对招标文件进行修改。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7.2采购中心有权按照法定的要求推迟投标截止日期和开标日期。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7.3招标文件的修改将在江苏政府采购网、淮安市政府采购网公布，补充文件将作为招标文件的组成部分，并对投标人具有约束力。</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三、投标文件的编制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8.投标文件的语言及度量衡单位</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8.1投标人提交的投标文件以及投标人与采购中心就有关投标的所有来往通知、函件和文件均应使用简体中文。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8.2除技术性能另有规定外，投标文件所使用的度量衡单位，均须采用国家法定计量单位。</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9.投标文件构成</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9.1投标人编写的投标文件应包括资格证明文件、符合性证明文件、投标分项报价表、技术要求响应及偏离表、其他证明文件、投标函、开标一览表等部分。请投标人根据本招标文件的要求在指定模块中上传相应的投标材料，未按招标文件要求在指定模块上传相应的投标材料的，视同未提交该投标材料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9.2如标书制作工具中格式和内容与“江苏省政府采购网”、“淮安市政府采购网”发布的招标文件不一致，请以“江苏省政府采购网”、“淮安市政府采购网”发布的招标文件为准。</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10.证明投标人及投标标的符合招标文件规定的文件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10.1投标人应按照招标文件要求提交证明文件，证明其及投标标的符合招标文件规定。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10.2招标文件对证明文件无明确形式要求的，证明文件可以以文字资料、图纸和数据等形式提交。</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11.投标分项报价表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11.1投标人应按照招标文件规定格式填报投标分项报价表。</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11.2 投标货币。投标文件中的单价和总价无特殊规定的采用人民币报价，以元为单位标注。招标文件中另有规定的按规定执行。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12.技术要求响应及偏离表、商务要求响应及偏离表（如有）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12.1投标人需对招标文件中的技术要求与商务要求逐项作出响应或偏离，并说明原因。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12.2投标人可在投标文件中提供认为需要的其他技术文件或说明。</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13.服务承诺、培训计划、人员安排及其他（如有）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13.1投标人需根据招标文件要求提供有关售后服务的管理制度，售后服务机构的分布情况，售后服务人员的数量、素质、技术水平及售后服务的反应能力等。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13.2投标人需根据招标文件要求提供培训计划。</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13.3 投标人需根据招标文件要求提供所投标的的主要组成部分、功能设计、实现思路及关键技术等。</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14.投标函和开标一览表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14.1投标人应按照招标文件中提供的格式完整、正确填写投标函、开标一览表。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15.投标有效期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15.1 投标有效期为采购中心规定的开标之日后九十（90）天。投标有效期比规定短的将被视为未实质性响应招标文件而予以拒绝。</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16.投标有效期的延长</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17.方案部分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17.1 本项目评标标准中的方案部分采用</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明标</w:t>
      </w:r>
      <w:r>
        <w:rPr>
          <w:rFonts w:ascii="仿宋" w:hAnsi="仿宋" w:eastAsia="仿宋" w:cs="仿宋"/>
          <w:color w:val="000000" w:themeColor="text1"/>
          <w:sz w:val="28"/>
          <w:highlight w:val="none"/>
          <w14:textFill>
            <w14:solidFill>
              <w14:schemeClr w14:val="tx1"/>
            </w14:solidFill>
          </w14:textFill>
        </w:rPr>
        <w:t xml:space="preserve">方式进行评审。</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四、投标文件上传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18.投标文件的上传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18.1 投标人应当按照《操作手册》规定，在投标截止时间前制作并上传电子投标文件。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18.2 投标人上传的电子投标文件内容不清楚或不清晰的（含扫描件），造成无法评审或部分影响评审的，责任由投标人自负。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18.3 投标人上传电子投标文件的时间不得迟于投标邀请中规定的截止时间。</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18.4 采购中心可以按第7条规定，通过修改招标文件有权酌情延长投标文件接收截止时间。在此情况下，投标人的所有权利和义务以及投标人受制约的截止日期均应以延长后新的截止日期为准。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pPr>
      <w:r>
        <w:rPr>
          <w:rFonts w:hint="eastAsia" w:ascii="仿宋" w:hAnsi="仿宋" w:eastAsia="仿宋"/>
          <w:sz w:val="28"/>
          <w:szCs w:val="28"/>
        </w:rPr>
        <w:t xml:space="preserve">18.5中标人在领取中标通知书之前，必须提供三份与电子投标文件一致的纸质打印投标文件（打印胶装完整）。</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19.投标文件被拒绝接收的情形</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19.1 在招标文件规定的提交投标文件截止时间后上传的电子投标文件。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20.投标文件的修改和撤回</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20.1 投标人在上传电子投标文件后可以对其修改或撤回，但这种修改和撤回，必须在规定的开标时间之前，具体操作方法见《操作手册》。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20.2 投标人不得在开标时间以后修改电子投标文件。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20.3 投标人不得在提交电子投标文件截止时间起至投标有效期满前撤回电子投标文件。</w:t>
      </w:r>
      <w:r/>
    </w:p>
    <w:p>
      <w:pPr>
        <w:ind w:lef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五、开标及评标</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21.开标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21.1采购中心将在招标公告中规定的时间和地点组织开标。投标人应当按照《操作手册》规定，参加开标活动和在苏采云系统规定的时间内对投标文件进行解密。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21.2 开标仪式由采购中心组织。苏采云系统将自动对项目进行开标，并宣布各投标人名称和投标价格。</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21.3 投标人在开标过程中涉及的投标文件解密、开标结果确认等工作，应按照《操作手册》规定执行。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22.评标委员会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22.1 开标后，采购中心将立即组织评标委员会（以下简称评委会）进行评标。</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22.2评委会由采购人代表和有关技术、经济等方面的专家组成，且人员构成符合政府采购有关规定。</w:t>
      </w:r>
      <w:r/>
    </w:p>
    <w:p>
      <w:pPr>
        <w:ind w:left="0"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22.3 评委会独立工作，负责评审所有投标文件并确定中标候选人。</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23．评标过程的保密与公正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23.1 凡是与审查、澄清、评价和比较投标的有关资料以及投标建议等，采购人、评委、采购中心均不得向投标人或与评标无关的其他人员透露。</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23.2 在评标过程中，投标人不得以任何行为影响评标过程，否则其投标文件将被作为无效投标文件。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23.3 采购中心和评标委员会不向未中标的投标人解释未中标原因，也不公布评标过程中的相关细节。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24．投标文件的澄清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24.1 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投标人的澄清、说明或者补正不得超出投标文件的范围或者改变投标文件的实质性内容。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评委会并非对每个投标人都做澄清要求。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24.3接到评委会澄清、说明和补正要求的投标人如未按规定作出澄清、说明和补正，其风险由投标人自行承担。</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25.对投标文件的初审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 投标文件初审分为资格审查和符合性审查。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25.1.1资格审查：依据法律法规和招标文件的规定，由采购人对投标文件中的资格证明文件进行审查。资格审查的结论，采购人向评委会进行反馈。</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25.1.3未通过资格审查或符合性审查的投标人，采购中心将在苏采云系统中告知未通过资格审查或符合性审查的原因，评审结束后，采购中心将不再告知未通过资格审查或符合性审查的原因。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25.3 如果投标文件实质上没有响应招标文件的要求，评委会将予以拒绝，投标人不得通过修改或撤销不符合要求的偏离或保留而使其投标成为实质性响应的投标。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25.4 评委会将对确定为实质性响应的投标进行进一步审核，看其是否有计算上或累加上的算术错误，修正错误的原则如下：</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（1）投标文件中开标一览表内容与投标文件中相应内容不一致的，以开标一览表为准。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（2）大写金额和小写金额不一致的，以大写金额为准。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（3）单价金额小数点或者百分比有明显错位的，以开标一览表的总价为准，并修改单价。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（4）总价金额与按单价汇总金额不一致的，以单价金额计算结果为准。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同时出现两种以上错误的，按照前款规定的顺序修正。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非单一产品采购项目，招标文件中将载明其中的核心产品</w:t>
      </w:r>
      <w:r>
        <w:rPr>
          <w:rFonts w:ascii="仿宋" w:hAnsi="仿宋" w:eastAsia="仿宋" w:cs="仿宋"/>
          <w:b/>
          <w:bCs/>
          <w:color w:val="000000" w:themeColor="text1"/>
          <w:sz w:val="28"/>
          <w:highlight w:val="none"/>
          <w:u w:val="single"/>
          <w14:textFill>
            <w14:solidFill>
              <w14:schemeClr w14:val="tx1"/>
            </w14:solidFill>
          </w14:textFill>
        </w:rPr>
        <w:t xml:space="preserve">（</w:t>
      </w:r>
      <w:r>
        <w:rPr>
          <w:rFonts w:hint="eastAsia" w:ascii="仿宋" w:hAnsi="仿宋" w:eastAsia="仿宋" w:cs="仿宋"/>
          <w:b/>
          <w:bCs/>
          <w:color w:val="000000" w:themeColor="text1"/>
          <w:sz w:val="28"/>
          <w:highlight w:val="none"/>
          <w:u w:val="single"/>
          <w:lang w:val="en-US" w:eastAsia="zh-CN"/>
          <w14:textFill>
            <w14:solidFill>
              <w14:schemeClr w14:val="tx1"/>
            </w14:solidFill>
          </w14:textFill>
        </w:rPr>
        <w:t xml:space="preserve"> </w:t>
      </w:r>
      <w:r>
        <w:rPr>
          <w:rFonts w:ascii="仿宋" w:hAnsi="仿宋" w:eastAsia="仿宋" w:cs="仿宋"/>
          <w:b/>
          <w:bCs/>
          <w:color w:val="000000" w:themeColor="text1"/>
          <w:sz w:val="28"/>
          <w:highlight w:val="none"/>
          <w:u w:val="single"/>
          <w14:textFill>
            <w14:solidFill>
              <w14:schemeClr w14:val="tx1"/>
            </w14:solidFill>
          </w14:textFill>
        </w:rPr>
        <w:t xml:space="preserve">）</w:t>
      </w:r>
      <w:r>
        <w:rPr>
          <w:rFonts w:ascii="仿宋" w:hAnsi="仿宋" w:eastAsia="仿宋" w:cs="仿宋"/>
          <w:color w:val="000000" w:themeColor="text1"/>
          <w:sz w:val="28"/>
          <w:highlight w:val="none"/>
          <w14:textFill>
            <w14:solidFill>
              <w14:schemeClr w14:val="tx1"/>
            </w14:solidFill>
          </w14:textFill>
        </w:rPr>
        <w:t xml:space="preserve">。多家投标人提供的核心产品品牌相同的，按前两款规定处理。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25.7 投标人在开、评标全过程中应保持通讯畅通，及时登录苏采云系统查阅、答复相关信息，并安排专人与采购中心及评标委员会联系。</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26.无效投标条款和废标条款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26.1无效投标条款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26.1.1投标人在苏采云系统规定的时间内未成功解密电子投标文件的。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26.1.2 投标人未按照招标文件要求上传电子投标文件的。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26.1.3 同一投标人提交两个（含两个）以上不同的投标报价的。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26.1.4 投标人不具备招标文件中规定资格要求的。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26.1.5 投标人的报价超过了采购预算或最高限价的。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26.1.6 未通过符合性审查的。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26.1.7 不符合招标文件中规定的实质性要求和条件的（实质性要求和条件是指本招标文件中用带星号（“★”）的商务和技术要求）。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26.1.9 投标文件含有采购人不能接受的附加条件的。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26.1.10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26.1.11 按照第34.4的要求本项目中具有“强制采购”产品，但未提供经国家确定的认证机构出具的、处于有效期之内该节能产品认证证书图片的；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26.1.12 投标文件未按照招标文件要求加盖CA电子公章的。</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26.1.13 其他法律法规及本招标文件规定的属于无效投标的情形。</w:t>
      </w:r>
      <w:r/>
    </w:p>
    <w:p>
      <w:pPr>
        <w:pStyle w:val="750"/>
        <w:ind w:firstLine="560"/>
        <w:rPr>
          <w:rFonts w:hint="default" w:ascii="仿宋" w:hAnsi="仿宋" w:eastAsia="仿宋" w:cs="仿宋"/>
          <w:color w:val="000000" w:themeColor="text1"/>
          <w:sz w:val="28"/>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8"/>
          <w:szCs w:val="24"/>
          <w:highlight w:val="none"/>
          <w:lang w:val="en-US" w:eastAsia="zh-CN" w:bidi="ar-SA"/>
          <w14:textFill>
            <w14:solidFill>
              <w14:schemeClr w14:val="tx1"/>
            </w14:solidFill>
          </w14:textFill>
        </w:rPr>
        <w:t xml:space="preserve">26.1.14所投产品技术参数未完全满足招标文件第五章“技术参数”中标注“★”技术参数要求。</w:t>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26.1.17</w:t>
      </w:r>
      <w:r>
        <w:rPr>
          <w:rFonts w:hint="eastAsia" w:ascii="仿宋" w:hAnsi="仿宋" w:eastAsia="仿宋" w:cs="仿宋"/>
          <w:b/>
          <w:bCs/>
          <w:color w:val="000000"/>
          <w:sz w:val="28"/>
          <w:szCs w:val="28"/>
          <w:highlight w:val="none"/>
        </w:rPr>
        <w:t xml:space="preserve">根据《江苏省财政厅关于推动解决政府采购异常低价问题相关工作的通知》(苏财购〔2025〕62号)规定：</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(一)评审过程中出现下列情形之一的，评审委员会应当启动异常低价投标(响应)审查程序：</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1.投标(响应)报价低于采购项目预算50%的，即投标(响应)报价&lt;采购项目预算×50%;</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2.投标(响应)报价低于采购项目最高限价45%的，即投标(响应)报价&lt;采购项目最高限价×45%;</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3.评审委员会认定的供应商报价过低、有可能影响产品质量或者不能诚信履约的其他情形。</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 废标条款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26.2.1 符合专业条件的投标人或者对招标文件作实质响应的投标人不足三家的。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26.2.2 出现影响采购公正的违法、违规行为的。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26.2.3 因重大变故，采购任务取消的。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26.2.4 评标委员会认定招标文件存在歧义、重大缺陷导致评审工作无法进行。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26.2.5因苏采云系统故障原因造成开标不成功的。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26.3投标截止时间结束后参加投标的投标人不足三家的处理：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26.3.1 如出现投标截止时间结束后参加投标的投标人或者在评标期间对招标文件做出实质响应的投标人不足三家情况，按政府采购相关规定执行。</w:t>
      </w:r>
      <w:r/>
    </w:p>
    <w:p>
      <w:pPr>
        <w:ind w:lef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六、定标</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27.确定中标单位</w:t>
      </w:r>
      <w:r/>
    </w:p>
    <w:p>
      <w:pPr>
        <w:ind w:left="0" w:right="0" w:firstLine="56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27.1 中标候选人的选取原则和数量见招标文件第三章规定。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27.2采购人应根据评委会推荐的中标候选人确定中标人。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27.3采购中心将在“江苏省政府采购网”、“淮安市政府采购网”发布中标公告，公告期限为1个工作日。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 若有充分证据证明，中标人出现下列情况之一的，一经查实，将被取消中标资格：</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27.4.1 提供虚假材料谋取中标的。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27.4.2 向采购人、采购中心行贿或者提供其他不正当利益的。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27.4.3 属于本文件规定的无效条件，但在评标过程中又未被评委会发现的。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27.4.4 与采购人或者其他投标人恶意串通的。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27.4.5 采取不正当手段诋毁、排挤其他投标人的。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27.5.有下列情形之一的，视为投标人串通投标，投标无效：</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27.5.1不同投标人的投标文件由同一单位或者个人编制；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27.5.2不同投标人委托同一单位或者个人办理投标事宜；</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27.5.3不同投标人的投标文件载明的项目管理成员或者联系人员为同一人；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27.5.4不同投标人的投标文件异常一致或者投标报价呈规律性差异；</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28．质疑处理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28.2 上述应知其权益受到损害之日是指: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（1）对招标文件提出质疑的，为采购文件公告期限届满之日起计算；</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（2）对采购过程提出质疑的，为各采购程序环节结束之日起计算；</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（3）对中标结果提出质疑的，为中标结果公告期限届满之日起计算。</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28.3 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28.4 质疑投标人在法定质疑期内应当一次性针对同一采购环节提出质疑，若质疑投标人针对同一环节提出两次及两次以上质疑，仅受理第一次提出的质疑。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28.5 质疑函应当包括以下主要内容，附上相关证明材料。否则，采购中心不予受理。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（1）质疑投标人的名称、地址、邮编、联系人及联系电话；</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（2）质疑项目的名称、编号；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（3）具体、明确的质疑事项和与质疑事实相关的请求；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（4）事实依据；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（5）必要的法律依据；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（6）提起质疑的日期；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28.6 投标人（含潜在投标人）对采购方式、采购需求、投标人资格条件、评审方法与评审标准、合同文本的询问、质疑请向采购人提出，由采购人负责答复。投标人对其他事项的询问、质疑请向采购中心提出，由采购中心负责答复。</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28.7 采购中心（采购人）收到质疑函后，将对质疑的形式和内容进行审查，如质疑函内容、格式不符合规定，采购中心（采购人）将告知质疑人进行补正。质疑人应当在法定质疑期限内进行补正并重新提交质疑函，拒不补正或者超过法定期限后未重新提交质疑函的，为无效质疑，采购中心（采购人）有权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对于内容、格式符合规定的质疑函，采购中心（采购人）将在七个工作日内以电子文件的形式作出答复，但质疑答复的内容不涉及商业秘密。如果质疑投标人还需要纸质形式回复函的，需主动与采购中心（采购人）联系索取，或者在质疑函中明确提出该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29.中标通知书</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29.2 中标通知书将是合同的一个组成部分。对采购人和中标人均具有法律效力。中标通知书发出后，采购人改变中标结果的，或者中标人放弃中标项目的，应当依法承担法律责任。</w:t>
      </w:r>
      <w:r/>
    </w:p>
    <w:p>
      <w:pPr>
        <w:ind w:lef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七、授予合同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30.签订合同</w:t>
      </w:r>
      <w:r>
        <w:rPr>
          <w:rFonts w:ascii="仿宋" w:hAnsi="仿宋" w:eastAsia="仿宋" w:cs="仿宋"/>
          <w:color w:val="000000" w:themeColor="text1"/>
          <w:sz w:val="28"/>
          <w:highlight w:val="none"/>
          <w14:textFill>
            <w14:solidFill>
              <w14:schemeClr w14:val="tx1"/>
            </w14:solidFill>
          </w14:textFill>
        </w:rPr>
        <w:tab/>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30.l 中标人应当在中标通知书发出之日起三十日内，按照招标文件确定的事项与采购人签订政府采购合同。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30.2 招标文件、中标人的投标文件及招标过程中有关澄清、承诺文件均应作为合同附件。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31.货物（包含与货物相关的服务）的追加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32.履约保证金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32.1</w:t>
      </w:r>
      <w:r>
        <w:rPr>
          <w:rFonts w:ascii="仿宋" w:hAnsi="仿宋" w:eastAsia="仿宋"/>
          <w:sz w:val="28"/>
          <w:szCs w:val="28"/>
        </w:rPr>
        <w:t xml:space="preserve">乙方交纳</w:t>
      </w:r>
      <w:r>
        <w:rPr>
          <w:rFonts w:hint="eastAsia" w:ascii="仿宋" w:hAnsi="仿宋" w:eastAsia="仿宋"/>
          <w:b/>
          <w:bCs/>
          <w:sz w:val="28"/>
          <w:szCs w:val="28"/>
          <w:u w:val="single"/>
        </w:rPr>
        <w:t xml:space="preserve">合同金额的1</w:t>
      </w:r>
      <w:r>
        <w:rPr>
          <w:rFonts w:hint="eastAsia" w:ascii="仿宋" w:hAnsi="仿宋" w:eastAsia="仿宋"/>
          <w:b/>
          <w:bCs/>
          <w:sz w:val="28"/>
          <w:szCs w:val="28"/>
          <w:u w:val="single"/>
          <w:lang w:val="en-US" w:eastAsia="zh-CN"/>
        </w:rPr>
        <w:t xml:space="preserve">0</w:t>
      </w:r>
      <w:r>
        <w:rPr>
          <w:rFonts w:hint="eastAsia" w:ascii="仿宋" w:hAnsi="仿宋" w:eastAsia="仿宋"/>
          <w:b/>
          <w:bCs/>
          <w:sz w:val="28"/>
          <w:szCs w:val="28"/>
          <w:u w:val="single"/>
        </w:rPr>
        <w:t xml:space="preserve">%</w:t>
      </w:r>
      <w:r>
        <w:rPr>
          <w:rFonts w:ascii="仿宋" w:hAnsi="仿宋" w:eastAsia="仿宋"/>
          <w:sz w:val="28"/>
          <w:szCs w:val="28"/>
        </w:rPr>
        <w:t xml:space="preserve">作为本合同的履约保证金。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32.2乙方提供的履约保证金可以是人民币形式（银行本票、汇票、支票、电汇），或银行保函、担保公司的保证担保或保险公司的保证保险等多种形式。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32.3乙方选取银行保函、担保公司的保证担保或保险公司的保证保险等形式的向采购人缴纳的，如保函（担保、保险等）的约定期到期但乙方履约仍未结束的，乙方须进行续保。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32.5如乙方未能履行合同规定的义务，甲方有权从履约保证金中取得补偿。</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32.7履约保证金在合同约定期间内不予退还或者应完全有效，履约保证金在项目验收合格后无息退还给乙方。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八、政府采购政策功能落实</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33.促进中小企业发展政策</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33.1 小微型企业价格扣除</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33.1.1 对于未专门面向中小企业或者未预留份额专门面向中小企业采购的采购项目，投标人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（1）在货物采购项目中，货物由中小企业制造，即货物由中小企业生产且使用该中小企业商号或者注册商标；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33.1.2 在货物采购项目中，投标人提供的货物既有中小企业制造货物，也有大型企业制造货物的，不享受本办法规定的中小企业扶持政策。</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 联合体及分包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33.2.1 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33.2.2享受扶持政策获得政府采购合同的，小微企业不得将合同分包给大中型企业，中型企业不得将合同分包给大型企业。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33.3小微型企业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（1）投标人须按照招标文件的要求提供相应的《企业声明函》，详见招标文件第六章示范格式。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（2）企业标准请参照《政府采购促进中小企业发展管理办法》（财库〔2020〕46号）文件规定自行填写。</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33.4残疾人福利单位</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（1）残疾人福利单位需按照招标文件的要求提供《残疾人福利性单位声明函》，详见招标文件第六章示范格式。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（2）残疾人福利单位标准请参照《关于促进残疾人就业政府采购政策的通知》（财库〔2017〕141号）。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33.5监狱和戒毒企业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（2）监狱企业标准请参照《关于政府采购支持监狱企业发展有关问题的通知》（财库〔2014〕68号）。</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34.节能、环保政策</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34.1 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34.2 节能产品（本项目不涉及）</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w:t>
      </w:r>
      <w:r>
        <w:rPr>
          <w:rFonts w:ascii="仿宋" w:hAnsi="仿宋" w:eastAsia="仿宋" w:cs="仿宋"/>
          <w:color w:val="000000" w:themeColor="text1"/>
          <w:sz w:val="28"/>
          <w:highlight w:val="none"/>
          <w:u w:val="single"/>
          <w14:textFill>
            <w14:solidFill>
              <w14:schemeClr w14:val="tx1"/>
            </w14:solidFill>
          </w14:textFill>
        </w:rPr>
        <w:t xml:space="preserve"> (采购产品)</w:t>
      </w:r>
      <w:r>
        <w:rPr>
          <w:rFonts w:ascii="仿宋" w:hAnsi="仿宋" w:eastAsia="仿宋" w:cs="仿宋"/>
          <w:color w:val="000000" w:themeColor="text1"/>
          <w:sz w:val="28"/>
          <w:highlight w:val="none"/>
          <w14:textFill>
            <w14:solidFill>
              <w14:schemeClr w14:val="tx1"/>
            </w14:solidFill>
          </w14:textFill>
        </w:rPr>
        <w:t xml:space="preserve">被列入“节能产品品目清单”的，实行</w:t>
      </w:r>
      <w:r>
        <w:rPr>
          <w:rFonts w:ascii="仿宋" w:hAnsi="仿宋" w:eastAsia="仿宋" w:cs="仿宋"/>
          <w:color w:val="000000" w:themeColor="text1"/>
          <w:sz w:val="28"/>
          <w:highlight w:val="none"/>
          <w:u w:val="single"/>
          <w14:textFill>
            <w14:solidFill>
              <w14:schemeClr w14:val="tx1"/>
            </w14:solidFill>
          </w14:textFill>
        </w:rPr>
        <w:t xml:space="preserve">（优先采购/强制采购）</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34.3 环保产品（本项目不涉及）</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本项目中</w:t>
      </w:r>
      <w:r>
        <w:rPr>
          <w:rFonts w:ascii="仿宋" w:hAnsi="仿宋" w:eastAsia="仿宋" w:cs="仿宋"/>
          <w:color w:val="000000" w:themeColor="text1"/>
          <w:sz w:val="28"/>
          <w:highlight w:val="none"/>
          <w:u w:val="single"/>
          <w14:textFill>
            <w14:solidFill>
              <w14:schemeClr w14:val="tx1"/>
            </w14:solidFill>
          </w14:textFill>
        </w:rPr>
        <w:t xml:space="preserve"> (采购产品)</w:t>
      </w:r>
      <w:r>
        <w:rPr>
          <w:rFonts w:ascii="仿宋" w:hAnsi="仿宋" w:eastAsia="仿宋" w:cs="仿宋"/>
          <w:color w:val="000000" w:themeColor="text1"/>
          <w:sz w:val="28"/>
          <w:highlight w:val="none"/>
          <w14:textFill>
            <w14:solidFill>
              <w14:schemeClr w14:val="tx1"/>
            </w14:solidFill>
          </w14:textFill>
        </w:rPr>
        <w:t xml:space="preserve">被列入“环境标志产品品目清单”的，实行优先采购。</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34.4 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35．政府绿色采购</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35.1 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35.2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35.3 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36.履约资金扶持政策</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36.2 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37.采购本国产品的支持政策</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37.1 本项目政府采购活动中既有本国产品又有非本国产品参与竞争的，依法对本国产品给予价格评审优惠，对本国产品的报价给予20%的价格扣除，用扣除后的价格参与评审。</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37.2 当采购项目或者采购包中含有多种产品，投标人为该采购项目或者采购包提供的符合本国产品标准的产品成本之和占该投标人提供的全部产品成本之和的比例达到80%以上时（投标人需在“第六章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37.3 投标人需按照招标文件的要求提供《关于符合本国产品标准的声明函》（以下简称《声明函》，详见第六章“示范格式六”），如不提供将不享受本国产品价格评审优惠。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37.4 投标人需在《声明函》中逐一、准确填写产品名称、厂名、生产厂址三项信息，三项信息中任意一项未填写的视为该项产品不符合本国产品标准，不享受本国产品价格评审优惠。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注：本项目对采购本国产品给予政策支持；适用本国产品标准的货物具体是指《政</w:t>
      </w:r>
      <w:r>
        <w:rPr>
          <w:rFonts w:ascii="仿宋" w:hAnsi="仿宋" w:eastAsia="仿宋" w:cs="仿宋"/>
          <w:color w:val="000000" w:themeColor="text1"/>
          <w:sz w:val="28"/>
          <w:szCs w:val="28"/>
          <w:highlight w:val="none"/>
          <w14:textFill>
            <w14:solidFill>
              <w14:schemeClr w14:val="tx1"/>
            </w14:solidFill>
          </w14:textFill>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第三章评标方法与评标标准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一、评委会根据招标文件中规定的评标标准对投标人进行综合评审，最终按综合评审得分由高到低的顺序推荐出3名中标候选人。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四、具体标准:</w:t>
      </w:r>
      <w:r/>
    </w:p>
    <w:tbl>
      <w:tblPr>
        <w:tblStyle w:val="724"/>
        <w:tblW w:w="104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10"/>
        <w:gridCol w:w="962"/>
        <w:gridCol w:w="7361"/>
      </w:tblGrid>
      <w:tr>
        <w:trPr>
          <w:jc w:val="center"/>
        </w:trPr>
        <w:tc>
          <w:tcPr>
            <w:tcW w:w="750" w:type="dxa"/>
            <w:vAlign w:val="center"/>
            <w:textDirection w:val="lrTb"/>
            <w:noWrap w:val="false"/>
          </w:tcPr>
          <w:p>
            <w:pPr>
              <w:jc w:val="center"/>
              <w:spacing w:line="400" w:lineRule="exact"/>
              <w:rPr>
                <w:rFonts w:hint="eastAsia" w:ascii="仿宋" w:hAnsi="仿宋" w:eastAsia="仿宋" w:cs="仿宋"/>
                <w:b/>
                <w:bCs/>
                <w:sz w:val="24"/>
                <w:szCs w:val="24"/>
              </w:rPr>
            </w:pPr>
            <w:r/>
            <w:bookmarkStart w:id="0" w:name="OLE_LINK12"/>
            <w:r/>
            <w:bookmarkStart w:id="1" w:name="OLE_LINK98"/>
            <w:r/>
            <w:bookmarkStart w:id="2" w:name="OLE_LINK11"/>
            <w:r>
              <w:rPr>
                <w:rFonts w:hint="eastAsia" w:ascii="仿宋" w:hAnsi="仿宋" w:eastAsia="仿宋" w:cs="仿宋"/>
                <w:b/>
                <w:bCs/>
                <w:sz w:val="24"/>
                <w:szCs w:val="24"/>
              </w:rPr>
              <w:t xml:space="preserve">序号</w:t>
            </w:r>
            <w:r/>
          </w:p>
        </w:tc>
        <w:tc>
          <w:tcPr>
            <w:tcW w:w="1410" w:type="dxa"/>
            <w:vAlign w:val="center"/>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评审项目</w:t>
            </w:r>
            <w:r/>
          </w:p>
        </w:tc>
        <w:tc>
          <w:tcPr>
            <w:tcW w:w="962" w:type="dxa"/>
            <w:vAlign w:val="center"/>
            <w:textDirection w:val="lrTb"/>
            <w:noWrap w:val="false"/>
          </w:tcPr>
          <w:p>
            <w:pPr>
              <w:jc w:val="center"/>
              <w:spacing w:line="400" w:lineRule="exact"/>
              <w:rPr>
                <w:rFonts w:hint="eastAsia" w:ascii="仿宋" w:hAnsi="仿宋" w:eastAsia="仿宋" w:cs="仿宋"/>
                <w:b/>
                <w:bCs/>
                <w:spacing w:val="-8"/>
                <w:sz w:val="24"/>
                <w:szCs w:val="24"/>
              </w:rPr>
            </w:pPr>
            <w:r>
              <w:rPr>
                <w:rFonts w:hint="eastAsia" w:ascii="仿宋" w:hAnsi="仿宋" w:eastAsia="仿宋" w:cs="仿宋"/>
                <w:b/>
                <w:bCs/>
                <w:spacing w:val="-8"/>
                <w:sz w:val="24"/>
                <w:szCs w:val="24"/>
              </w:rPr>
              <w:t xml:space="preserve">分值</w:t>
            </w:r>
            <w:r/>
          </w:p>
        </w:tc>
        <w:tc>
          <w:tcPr>
            <w:tcW w:w="7361" w:type="dxa"/>
            <w:vAlign w:val="center"/>
            <w:textDirection w:val="lrTb"/>
            <w:noWrap w:val="false"/>
          </w:tcPr>
          <w:p>
            <w:pPr>
              <w:jc w:val="center"/>
              <w:spacing w:line="4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评分标准</w:t>
            </w:r>
            <w:r/>
          </w:p>
        </w:tc>
      </w:tr>
      <w:tr>
        <w:trPr>
          <w:jc w:val="center"/>
          <w:trHeight w:val="90"/>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投标报价</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30分</w:t>
            </w:r>
            <w:r/>
          </w:p>
        </w:tc>
        <w:tc>
          <w:tcPr>
            <w:tcW w:w="7361" w:type="dxa"/>
            <w:vAlign w:val="top"/>
            <w:textDirection w:val="lrTb"/>
            <w:noWrap w:val="false"/>
          </w:tcPr>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产品技术参数</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22分</w:t>
            </w:r>
            <w:r/>
          </w:p>
        </w:tc>
        <w:tc>
          <w:tcPr>
            <w:tcW w:w="7361" w:type="dxa"/>
            <w:vAlign w:val="center"/>
            <w:textDirection w:val="lrTb"/>
            <w:noWrap w:val="false"/>
          </w:tcPr>
          <w:p>
            <w:pPr>
              <w:ind w:firstLine="482"/>
              <w:jc w:val="left"/>
              <w:spacing w:line="560" w:lineRule="exact"/>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投标人所投产品技术参数完全满足招标文件中加“</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rPr>
              <w:t xml:space="preserve">”要求的得22分，有一项不满足扣1分，扣完为止。</w:t>
            </w:r>
            <w:r/>
          </w:p>
          <w:p>
            <w:pPr>
              <w:ind w:firstLine="480"/>
              <w:jc w:val="left"/>
              <w:spacing w:line="500" w:lineRule="exact"/>
              <w:shd w:val="clear" w:color="auto" w:fill="ffff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投标人针对本项评分内容在投标文件《技术响应偏离表》中逐条列出响应及偏离情况，（响应偏离表应如实填写，合同签订前采购人有权核实投标人所提供的产品技术参数是否满足，如核实过程中发现虚假应标的，将</w:t>
            </w:r>
            <w:r>
              <w:rPr>
                <w:rFonts w:hint="eastAsia" w:ascii="仿宋" w:hAnsi="仿宋" w:eastAsia="仿宋" w:cs="仿宋"/>
                <w:color w:val="000000"/>
                <w:sz w:val="24"/>
                <w:szCs w:val="24"/>
                <w:lang w:val="en-US" w:eastAsia="zh-CN"/>
              </w:rPr>
              <w:t xml:space="preserve">上报财政部门</w:t>
            </w:r>
            <w:r>
              <w:rPr>
                <w:rFonts w:hint="eastAsia" w:ascii="仿宋" w:hAnsi="仿宋" w:eastAsia="仿宋" w:cs="仿宋"/>
                <w:color w:val="000000"/>
                <w:sz w:val="24"/>
                <w:szCs w:val="24"/>
              </w:rPr>
              <w:t xml:space="preserve">）。</w:t>
            </w:r>
            <w:r/>
          </w:p>
        </w:tc>
      </w:tr>
      <w:tr>
        <w:trPr>
          <w:jc w:val="center"/>
          <w:trHeight w:val="90"/>
        </w:trPr>
        <w:tc>
          <w:tcPr>
            <w:tcW w:w="750" w:type="dxa"/>
            <w:vAlign w:val="center"/>
            <w:textDirection w:val="lrTb"/>
            <w:noWrap w:val="false"/>
          </w:tcPr>
          <w:p>
            <w:pPr>
              <w:jc w:val="center"/>
              <w:rPr>
                <w:rFonts w:hint="eastAsia" w:ascii="仿宋" w:hAnsi="仿宋" w:eastAsia="仿宋" w:cs="仿宋"/>
                <w:sz w:val="24"/>
                <w:szCs w:val="24"/>
              </w:rPr>
            </w:pPr>
            <w:r/>
            <w:bookmarkStart w:id="3" w:name="OLE_LINK1"/>
            <w:r>
              <w:rPr>
                <w:rFonts w:hint="eastAsia" w:ascii="仿宋" w:hAnsi="仿宋" w:eastAsia="仿宋" w:cs="仿宋"/>
                <w:sz w:val="24"/>
                <w:szCs w:val="24"/>
              </w:rPr>
              <w:t xml:space="preserve">3</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企业资质</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tc>
        <w:tc>
          <w:tcPr>
            <w:tcW w:w="7361" w:type="dxa"/>
            <w:vAlign w:val="center"/>
            <w:textDirection w:val="lrTb"/>
            <w:noWrap w:val="false"/>
          </w:tcPr>
          <w:p>
            <w:pPr>
              <w:jc w:val="left"/>
              <w:spacing w:line="500" w:lineRule="exact"/>
              <w:rPr>
                <w:rFonts w:hint="eastAsia" w:ascii="仿宋" w:hAnsi="仿宋" w:eastAsia="仿宋" w:cs="仿宋"/>
                <w:sz w:val="24"/>
                <w:szCs w:val="24"/>
                <w:highlight w:val="yellow"/>
                <w:lang w:val="zh-CN"/>
              </w:rPr>
            </w:pPr>
            <w:r>
              <w:rPr>
                <w:rFonts w:hint="eastAsia" w:ascii="仿宋" w:hAnsi="仿宋" w:eastAsia="仿宋" w:cs="仿宋"/>
                <w:sz w:val="24"/>
                <w:szCs w:val="24"/>
              </w:rPr>
              <w:t xml:space="preserve">所投产品制造商，具有学校体育赛事数据分析、运动目标状态检测识别、AI体育锻炼相关软件著作权登记证书，每提供一个得1分，共3分，未提供的不得分</w:t>
            </w:r>
            <w:bookmarkEnd w:id="3"/>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项目成员</w:t>
            </w:r>
            <w:r/>
          </w:p>
          <w:p>
            <w:pPr>
              <w:jc w:val="center"/>
              <w:rPr>
                <w:rFonts w:hint="eastAsia" w:ascii="仿宋" w:hAnsi="仿宋" w:eastAsia="仿宋" w:cs="仿宋"/>
                <w:sz w:val="24"/>
                <w:szCs w:val="24"/>
              </w:rPr>
            </w:pPr>
            <w:r>
              <w:rPr>
                <w:rFonts w:hint="eastAsia" w:ascii="仿宋" w:hAnsi="仿宋" w:eastAsia="仿宋" w:cs="仿宋"/>
                <w:sz w:val="24"/>
                <w:szCs w:val="24"/>
              </w:rPr>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7分</w:t>
            </w:r>
            <w:r/>
          </w:p>
        </w:tc>
        <w:tc>
          <w:tcPr>
            <w:tcW w:w="7361"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（1）项目团队经理具有电子信息类专业高级工程师、高级信息系统项目管理师、弱电系统工程师和人工智能训练师证书的，每有一项证书得1分，本项最高4分。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（2）项目团队人员要求具有注册信息安全管理人员（CISP）、 系统集成项目管理工程师、网络工程师，每有一项证书得1分，本项最高3分。</w:t>
            </w:r>
            <w:r/>
          </w:p>
          <w:p>
            <w:pPr>
              <w:ind w:firstLine="480"/>
              <w:jc w:val="left"/>
              <w:spacing w:line="500" w:lineRule="exact"/>
              <w:rPr>
                <w:rFonts w:hint="eastAsia" w:ascii="仿宋" w:hAnsi="仿宋" w:eastAsia="仿宋" w:cs="仿宋"/>
                <w:sz w:val="24"/>
                <w:szCs w:val="24"/>
                <w:highlight w:val="yellow"/>
              </w:rPr>
            </w:pPr>
            <w:r>
              <w:rPr>
                <w:rFonts w:hint="eastAsia" w:ascii="仿宋" w:hAnsi="仿宋" w:eastAsia="仿宋" w:cs="仿宋"/>
                <w:sz w:val="24"/>
                <w:szCs w:val="24"/>
              </w:rPr>
              <w:t xml:space="preserve">注：投标人需提供加盖公章的有效期内证书扫描件，</w:t>
            </w:r>
            <w:r>
              <w:rPr>
                <w:rFonts w:hint="eastAsia" w:ascii="仿宋" w:hAnsi="仿宋" w:eastAsia="仿宋" w:cs="仿宋"/>
                <w:sz w:val="24"/>
              </w:rPr>
              <w:t xml:space="preserve">并提供202</w:t>
            </w:r>
            <w:r>
              <w:rPr>
                <w:rFonts w:hint="eastAsia" w:ascii="仿宋" w:hAnsi="仿宋" w:eastAsia="仿宋" w:cs="仿宋"/>
                <w:sz w:val="24"/>
                <w:lang w:val="en-US" w:eastAsia="zh-CN"/>
              </w:rPr>
              <w:t xml:space="preserve">6</w:t>
            </w:r>
            <w:r>
              <w:rPr>
                <w:rFonts w:hint="eastAsia" w:ascii="仿宋" w:hAnsi="仿宋" w:eastAsia="仿宋" w:cs="仿宋"/>
                <w:sz w:val="24"/>
              </w:rPr>
              <w:t xml:space="preserve">年</w:t>
            </w:r>
            <w:r>
              <w:rPr>
                <w:rFonts w:hint="eastAsia" w:ascii="仿宋" w:hAnsi="仿宋" w:eastAsia="仿宋" w:cs="仿宋"/>
                <w:sz w:val="24"/>
                <w:lang w:val="en-US" w:eastAsia="zh-CN"/>
              </w:rPr>
              <w:t xml:space="preserve">3</w:t>
            </w:r>
            <w:r>
              <w:rPr>
                <w:rFonts w:hint="eastAsia" w:ascii="仿宋" w:hAnsi="仿宋" w:eastAsia="仿宋" w:cs="仿宋"/>
                <w:sz w:val="24"/>
              </w:rPr>
              <w:t xml:space="preserve">月以来任意1个月由社保部门出具的投标人为其缴纳的社保缴费证明。</w:t>
            </w:r>
            <w:r>
              <w:rPr>
                <w:rFonts w:hint="eastAsia" w:ascii="仿宋" w:hAnsi="仿宋" w:eastAsia="仿宋" w:cs="仿宋"/>
                <w:sz w:val="24"/>
                <w:szCs w:val="24"/>
              </w:rPr>
              <w:t xml:space="preserve">同一人员有多项证书不允许重复使用、不重复得分。</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1410" w:type="dxa"/>
            <w:vAlign w:val="center"/>
            <w:textDirection w:val="lrTb"/>
            <w:noWrap w:val="false"/>
          </w:tcPr>
          <w:p>
            <w:pPr>
              <w:jc w:val="center"/>
              <w:rPr>
                <w:rFonts w:hint="eastAsia" w:ascii="仿宋" w:hAnsi="仿宋" w:eastAsia="仿宋" w:cs="仿宋"/>
                <w:strike/>
                <w:sz w:val="24"/>
                <w:szCs w:val="24"/>
              </w:rPr>
            </w:pPr>
            <w:r>
              <w:rPr>
                <w:rFonts w:hint="eastAsia" w:ascii="仿宋" w:hAnsi="仿宋" w:eastAsia="仿宋" w:cs="仿宋"/>
                <w:sz w:val="24"/>
                <w:szCs w:val="24"/>
              </w:rPr>
              <w:t xml:space="preserve">技术方案</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20分</w:t>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tc>
        <w:tc>
          <w:tcPr>
            <w:tcW w:w="7361"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1.深化设计方案（5分）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供应商根据本项目“深化设计方案”，方案内容至少包含：①数据融合与平台对接能力方案；②智慧操场部署合理性方案；③</w:t>
            </w:r>
            <w:r>
              <w:rPr>
                <w:rFonts w:hint="eastAsia" w:ascii="仿宋" w:hAnsi="仿宋" w:eastAsia="仿宋" w:cs="仿宋"/>
                <w:color w:val="000000"/>
                <w:sz w:val="24"/>
                <w:szCs w:val="24"/>
                <w:lang w:bidi="ar"/>
              </w:rPr>
              <w:t xml:space="preserve">AI户外体锻仓空间深化设计</w:t>
            </w:r>
            <w:r>
              <w:rPr>
                <w:rFonts w:hint="eastAsia" w:ascii="仿宋" w:hAnsi="仿宋" w:eastAsia="仿宋" w:cs="仿宋"/>
                <w:sz w:val="24"/>
                <w:szCs w:val="24"/>
              </w:rPr>
              <w:t xml:space="preserve">方案；④AI体育锻炼智能机（壁挂）空间深化方案；⑤整体深化优化增值方案。</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2.项目实施方案（5分）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供应商根据本项目“项目实施方案”，方案内容至少包含：①项目总体概述；②供货组织架构与人员配置；③包装与运输方案；④到货验收方案；⑤项目实施保障增值方案。</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3.数据存储方（5分）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供应商根据本项目“数据存储方案”，方案内容至少包含：①数据对接与共享方案；②软硬件产品提供与集成方案；③安全权限管控方案；④日常运维方案；⑤扩容扩展管方案。</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4.售后服务方（5分）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供应商根据本项目“售后服务方案”，方案内容至少包含：①质保期服务承诺；②培训服务方案；③超质保期服务；④备品备件供应；⑤服务质量保障。</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功能演示</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分</w:t>
            </w:r>
            <w:r/>
          </w:p>
        </w:tc>
        <w:tc>
          <w:tcPr>
            <w:tcW w:w="7361" w:type="dxa"/>
            <w:vAlign w:val="center"/>
            <w:textDirection w:val="lrTb"/>
            <w:noWrap w:val="false"/>
          </w:tcPr>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投标人提供平台、智慧操场、AI体育锻炼智能机（壁挂）、AI户外体锻仓设备的视频演示情况综合评分，</w:t>
            </w:r>
            <w:r>
              <w:rPr>
                <w:rFonts w:hint="eastAsia" w:ascii="仿宋" w:hAnsi="仿宋" w:eastAsia="仿宋" w:cs="仿宋"/>
                <w:bCs/>
                <w:sz w:val="24"/>
                <w:szCs w:val="24"/>
              </w:rPr>
              <w:t xml:space="preserve">并由供应商授权代表现场演示讲解。</w:t>
            </w:r>
            <w:r>
              <w:rPr>
                <w:rFonts w:hint="eastAsia" w:ascii="仿宋" w:hAnsi="仿宋" w:eastAsia="仿宋" w:cs="仿宋"/>
                <w:sz w:val="24"/>
                <w:szCs w:val="24"/>
              </w:rPr>
              <w:t xml:space="preserve">每满足一小项，得1分，最多得</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分。不演示或演示不完整，不得分。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1.平台（3分）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投标人须提供平台功能的演示视频，应显示：</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①平台支持体育大单元教学计划生成，含设计思路、学情分析、学习目标、单元内容等。（1分）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②在平台里输入基本信息，可自动输出完整的体育教案，教案包含重难点、学习目标、教学内容、组队与队形的图片或图形。（1分）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③支持体育问题在线智能问答，问答范围覆盖体育教学、运动训练、体能提升等。（1分）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bookmarkStart w:id="4" w:name="OLE_LINK47"/>
            <w:r/>
            <w:bookmarkStart w:id="5" w:name="OLE_LINK48"/>
            <w:r>
              <w:rPr>
                <w:rFonts w:hint="eastAsia" w:ascii="仿宋" w:hAnsi="仿宋" w:eastAsia="仿宋" w:cs="仿宋"/>
                <w:sz w:val="24"/>
                <w:szCs w:val="24"/>
              </w:rPr>
              <w:t xml:space="preserve">智慧操场</w:t>
            </w:r>
            <w:bookmarkEnd w:id="4"/>
            <w:r/>
            <w:bookmarkEnd w:id="5"/>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bookmarkStart w:id="6" w:name="OLE_LINK49"/>
            <w:r/>
            <w:bookmarkStart w:id="7" w:name="OLE_LINK53"/>
            <w:r>
              <w:rPr>
                <w:rFonts w:hint="eastAsia" w:ascii="仿宋" w:hAnsi="仿宋" w:eastAsia="仿宋" w:cs="仿宋"/>
                <w:sz w:val="24"/>
                <w:szCs w:val="24"/>
              </w:rPr>
              <w:t xml:space="preserve"> 投标人须提供AI智慧操场跑步设备的演示视频，应显示：</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①学生通过终点后，显示屏可立即显示成绩并语音播报，显示屏实时更新学生测试报告和冲线的视频回放。</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②支持立定跳远、仰卧起坐、跳绳项目，在设备上能直接进行上述项目区域设置，每个项目区域设置功能画面能显示跑道区域实景。（</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bookmarkEnd w:id="6"/>
            <w:r/>
            <w:bookmarkEnd w:id="7"/>
            <w:r>
              <w:rPr>
                <w:rFonts w:hint="eastAsia" w:ascii="仿宋" w:hAnsi="仿宋" w:eastAsia="仿宋" w:cs="仿宋"/>
                <w:sz w:val="24"/>
                <w:szCs w:val="24"/>
              </w:rPr>
              <w:t xml:space="preserve">）</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3.AI体育锻炼智能机（壁挂）（4分）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投标人须提供AI体育锻炼智能机（壁挂）的演示视频，应显示：</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①支持体能训练项目数量≥20个，运动过程中显示人体关节点，运动完成后实时显示运动成绩、运动消耗、运动时间、运动曲线。（1分）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②具备篮球高位运球、篮球中位运球、篮球低位运球、篮球交叉运球等项目，演示上述项目的运动过程，运动过程中设备屏幕画面显示人体关节点、实时积分，以及运动倒计时。（1分）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③具备联机PK（联机比拼）功能，联机设备数量不低于2台，单台设备屏幕画面能显示比拼方的头像，运动个数以及运动倒计时。（1分）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④具备课间操、武术操、八段锦等项目，演示上述项目运动过程，设备屏幕画面显示运动得分。1分）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4.AI户外体锻仓（</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bookmarkStart w:id="8" w:name="OLE_LINK27"/>
            <w:r/>
            <w:bookmarkStart w:id="9" w:name="OLE_LINK26"/>
            <w:r>
              <w:rPr>
                <w:rFonts w:hint="eastAsia" w:ascii="仿宋" w:hAnsi="仿宋" w:eastAsia="仿宋" w:cs="仿宋"/>
                <w:sz w:val="24"/>
                <w:szCs w:val="24"/>
              </w:rPr>
              <w:t xml:space="preserve">投标人须提供户外体锻仓应用视频演示，视频应体现：</w:t>
            </w:r>
            <w:bookmarkEnd w:id="8"/>
            <w:r/>
            <w:bookmarkEnd w:id="9"/>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①活动创建、项目选择、学生参与、成绩记录、排行展示或结果反馈；（</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②活动管理流程设计合理，操作便利，学生参与比赛的交互界面友好等过程。（</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投标人需按照招标文件规定的演示内容制作演示视频文件，对智慧体育设施的参数提供相应的演示视频，演示视频中的演示形式须是目前正在运行的真实环境或模拟环境,</w:t>
            </w:r>
            <w:r>
              <w:rPr>
                <w:rFonts w:hint="eastAsia" w:ascii="仿宋" w:hAnsi="仿宋" w:eastAsia="仿宋" w:cs="仿宋"/>
                <w:bCs/>
                <w:sz w:val="24"/>
                <w:szCs w:val="24"/>
              </w:rPr>
              <w:t xml:space="preserve"> 严禁使用 PPT、静态图片、虚拟动画替代。</w:t>
            </w:r>
            <w:r>
              <w:rPr>
                <w:rFonts w:hint="eastAsia" w:ascii="仿宋" w:hAnsi="仿宋" w:eastAsia="仿宋" w:cs="仿宋"/>
                <w:sz w:val="24"/>
                <w:szCs w:val="24"/>
              </w:rPr>
              <w:t xml:space="preserve">视频文件的格式为*.mp4 或*.avi，投标人须将视频文件分段压缩为*.zip 文件上传(单个文件不得大于 50M，所有文件总共不得大于300M)。文件上传方式见《操作手册》规定，上传的演示视频将作为投标文件的组成部分，视频时长总计不超过15分钟。</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类似业绩</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3分</w:t>
            </w:r>
            <w:r/>
          </w:p>
        </w:tc>
        <w:tc>
          <w:tcPr>
            <w:tcW w:w="7361" w:type="dxa"/>
            <w:vAlign w:val="center"/>
            <w:textDirection w:val="lrTb"/>
            <w:noWrap w:val="false"/>
          </w:tcPr>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投标人自202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年1月1日（含）以来（以合同签订日期为准）</w:t>
            </w:r>
            <w:r>
              <w:rPr>
                <w:rFonts w:hint="eastAsia" w:ascii="仿宋" w:hAnsi="仿宋" w:eastAsia="仿宋" w:cs="仿宋"/>
                <w:sz w:val="24"/>
                <w:szCs w:val="24"/>
                <w:lang w:val="en-US" w:eastAsia="zh-CN"/>
              </w:rPr>
              <w:t xml:space="preserve">承建过</w:t>
            </w:r>
            <w:r>
              <w:rPr>
                <w:rFonts w:hint="eastAsia" w:ascii="仿宋" w:hAnsi="仿宋" w:eastAsia="仿宋" w:cs="仿宋"/>
                <w:sz w:val="24"/>
                <w:szCs w:val="24"/>
              </w:rPr>
              <w:t xml:space="preserve">类似</w:t>
            </w:r>
            <w:r>
              <w:rPr>
                <w:rFonts w:hint="eastAsia" w:ascii="仿宋" w:hAnsi="仿宋" w:eastAsia="仿宋" w:cs="仿宋"/>
                <w:sz w:val="24"/>
                <w:szCs w:val="24"/>
                <w:lang w:val="en-US" w:eastAsia="zh-CN"/>
              </w:rPr>
              <w:t xml:space="preserve">智慧校园</w:t>
            </w:r>
            <w:r>
              <w:rPr>
                <w:rFonts w:hint="eastAsia" w:ascii="仿宋" w:hAnsi="仿宋" w:eastAsia="仿宋" w:cs="仿宋"/>
                <w:sz w:val="24"/>
                <w:szCs w:val="24"/>
              </w:rPr>
              <w:t xml:space="preserve">项目业绩</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，每提供一个业绩得1分，本项最高得3分。</w:t>
            </w:r>
            <w:r/>
          </w:p>
          <w:p>
            <w:pPr>
              <w:ind w:firstLine="482"/>
              <w:spacing w:line="500" w:lineRule="exact"/>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注：须提供合同原件扫描件</w:t>
            </w:r>
            <w:r>
              <w:rPr>
                <w:rFonts w:hint="eastAsia" w:ascii="仿宋" w:hAnsi="仿宋" w:eastAsia="仿宋" w:cs="仿宋"/>
                <w:b/>
                <w:bCs/>
                <w:sz w:val="24"/>
                <w:szCs w:val="24"/>
              </w:rPr>
              <w:t xml:space="preserve">和中标通知书，</w:t>
            </w:r>
            <w:r>
              <w:rPr>
                <w:rFonts w:hint="eastAsia" w:ascii="仿宋" w:hAnsi="仿宋" w:eastAsia="仿宋" w:cs="仿宋"/>
                <w:b/>
                <w:bCs/>
                <w:sz w:val="24"/>
                <w:szCs w:val="24"/>
                <w:lang w:val="zh-CN"/>
              </w:rPr>
              <w:t xml:space="preserve">否则该项不得分。</w:t>
            </w:r>
            <w:bookmarkEnd w:id="0"/>
            <w:r/>
            <w:bookmarkEnd w:id="1"/>
            <w:r/>
            <w:bookmarkEnd w:id="2"/>
            <w:r/>
            <w:r/>
          </w:p>
        </w:tc>
      </w:tr>
    </w:tbl>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第四章合同格式及条款</w:t>
      </w:r>
      <w:r/>
    </w:p>
    <w:p>
      <w:pPr>
        <w:ind w:left="0" w:right="0" w:firstLine="560"/>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left="0" w:right="0" w:firstLine="3066"/>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3066"/>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一、合同格式</w:t>
      </w:r>
      <w:r/>
    </w:p>
    <w:p>
      <w:pPr>
        <w:ind w:left="0" w:right="0" w:firstLine="0"/>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乙方:</w:t>
      </w:r>
      <w:r/>
    </w:p>
    <w:p>
      <w:pPr>
        <w:ind w:left="0" w:right="0" w:firstLine="63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甲、乙双方根据项目编号的</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采购项目公开招标采购结果及招标文件的要求,经协商一致,达成如下购销合同:</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一、货物及数量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本合同所提供的货物及数量详见“项目采购需求”。</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二、合同金额</w:t>
      </w:r>
      <w:r/>
    </w:p>
    <w:p>
      <w:pPr>
        <w:ind w:left="0" w:right="0" w:firstLine="49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本合同的总金额(大写)为___________元人民币，分项价格详见乙方提交的投标报价明细表。</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三、供货时间和地点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本合同供货时间和地点在招标文件中有明确规定。</w:t>
      </w:r>
      <w:r/>
    </w:p>
    <w:p>
      <w:pPr>
        <w:ind w:left="-357"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四、付款</w:t>
      </w:r>
      <w:r/>
    </w:p>
    <w:p>
      <w:pPr>
        <w:ind w:left="0" w:right="0" w:firstLine="560"/>
        <w:jc w:val="both"/>
        <w:spacing w:before="0" w:after="0" w:line="519" w:lineRule="atLeas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合同签订生效后预付40%作为预付款，设备安装调试全部完成</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验收合格后一次性付清</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五、验收</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甲方按招标文件相关要求进行。如需委托第三方验收，第三方是指:，验收费用由乙方承担。因乙方交付的货物不符合标准导致甲方重复支出的验收费用，由乙方承担。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六、履约保证金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1、乙方交纳人民币_________元作为本合同的履约保证金。</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ascii="仿宋" w:hAnsi="仿宋" w:eastAsia="仿宋" w:cs="仿宋"/>
          <w:color w:val="000000" w:themeColor="text1"/>
          <w:sz w:val="28"/>
          <w:highlight w:val="none"/>
          <w14:textFill>
            <w14:solidFill>
              <w14:schemeClr w14:val="tx1"/>
            </w14:solidFill>
          </w14:textFill>
        </w:rPr>
        <w:t xml:space="preserve">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ascii="仿宋" w:hAnsi="仿宋" w:eastAsia="仿宋" w:cs="仿宋"/>
          <w:color w:val="000000" w:themeColor="text1"/>
          <w:sz w:val="28"/>
          <w:highlight w:val="none"/>
          <w14:textFill>
            <w14:solidFill>
              <w14:schemeClr w14:val="tx1"/>
            </w14:solidFill>
          </w14:textFill>
        </w:rPr>
        <w:t xml:space="preserve">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4、</w:t>
      </w:r>
      <w:r>
        <w:rPr>
          <w:rFonts w:ascii="仿宋" w:hAnsi="仿宋" w:eastAsia="仿宋" w:cs="仿宋"/>
          <w:color w:val="000000" w:themeColor="text1"/>
          <w:sz w:val="28"/>
          <w:highlight w:val="none"/>
          <w14:textFill>
            <w14:solidFill>
              <w14:schemeClr w14:val="tx1"/>
            </w14:solidFill>
          </w14:textFill>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5、如乙方未能履行合同规定的义务，甲方有权从履约保证金中取得补偿。</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7、履约保证金在合同约定期间内不予退还或者应完全有效，履约保证金在项目验收合格后无息退还给乙方。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七、合同纠纷处理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本合同执行过程中发生纠纷，由甲乙双方协商解决，若协商不成，作如下</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处理: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1、申请仲裁。选定仲裁机构为淮安仲裁委员会。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2、提起诉讼。约定由采购人所在地法院管辖。 </w:t>
      </w:r>
      <w:r/>
    </w:p>
    <w:p>
      <w:pPr>
        <w:ind w:left="0"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八、合同生效及其它</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本合同经甲、乙双方加盖电子签章后生效。如有变动，必须经甲方、乙方协商一致后，方可更改。</w:t>
      </w:r>
      <w:r/>
    </w:p>
    <w:p>
      <w:pPr>
        <w:ind w:left="0"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九、组成本合同的文件包括</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1、合同格式及条款；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2、招标文件和乙方的投标文件；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3、中标通知书；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4、甲乙双方商定的其他必要文件。 上述合同文件内容互为补充，如有不明确，由甲方负责解释。</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    方:                         乙    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单位盖章:（电子签章）             单位盖章:（电子签章）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代表签字:                         代表签字:</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签订日期:                         签订日期:</w:t>
      </w:r>
      <w:r/>
    </w:p>
    <w:p>
      <w:pPr>
        <w:ind w:left="0" w:right="0" w:firstLine="0"/>
        <w:jc w:val="both"/>
        <w:spacing w:before="0" w:after="0" w:line="640"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p>
    <w:p>
      <w:pPr>
        <w:ind w:left="0" w:right="0" w:firstLine="3113"/>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3113"/>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二、合同条款</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1.定义</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本合同中下列术语应解释为:</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（1）“合同”系指甲方和乙方（以下简称合同双方）签署的、合同格式中列明的合同双方所达成的协议，包括所有的附件、附录和构成合同的所有文件。</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（2）“合同价”系指根据合同规定，乙方在完全履行合同义务后甲方应支付给乙方的价格。</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（3）“货物（含软件及相关服务）”系指乙方按合同要求，须向甲方提供的一切设备、机械、仪表、备件、工具、技术及手册等有关材料。</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（4）“服务”系指根据合同规定乙方承担与供货有关的所有辅助服务，如运输、保险以及其它的服务，如安装、调试、提供技术援助、培训和其他类似的义务。</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（5）“甲方”系指购买货物（含软件及相关服务）的单位。</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（6）“乙方”系指根据合同规定提供货物（含软件及相关服务）和服务的投标人。</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2.技术规范</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3.专利权</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4.包装要求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4.1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4.3每件包装箱内应附一份详细装箱单和质量合格证。</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5.装运标志</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5.1乙方应在每一包装箱邻接的四侧用不褪色的油漆以醒目的中文字样做出下列标记: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（1）收货人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（2）合同号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（3）装运标志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（4）收货人代号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（5）目的地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（6）货物（含软件及相关服务）名称、品目号和箱号</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（7）毛重／净重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（8）尺寸（长X宽X高，以厘米计）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6.付款方式</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6.1本合同以人民币付款。</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6.2乙方应按照与甲方签订的合同规定交货。交货后乙方向甲方提供下列单据，甲方按合同规定审核后付款:</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（1）发票；</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（2）制造厂家出具的质量检验证书等；</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（3）装箱单；</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（4）验收合格证；</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（5）使用方加盖公章证明货物交付使用合格的验收表。</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6.3甲方将按招标文件中规定的付款方式安排付款。</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7.伴随服务</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7.1乙方应按照国家有关规定和合同中所附的服务承诺提供服务。</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7.2除第7.1条规定外，乙方还应提供下列服务: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（1）货物的现场安装和启动监督；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（2）提供货物组装和维修所需的工具；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（3）在合同中乙方承诺的期限内对所提供货物实施运行监督、维修，但前提条件是该服务并不能免除乙方在质量保证期内应承担的义务；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（4）在项目交货现场就货物的安装、启动、运行、维护对甲方人员进行培训。</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7.3伴随服务的费用应含在合同价中，不单独进行支付。</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8.质量保证</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8.3乙方在收到通知后三十天内应免费维修或更换有缺陷的货物（含软件及相关服务）或部件。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8.4如果乙方在收到通知后三十天内没有弥补缺陷，甲方可采取必要的补救措施，但风险和费用将由乙方承担。</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8.5除合同专用条款规定外，合同项下货物（含软件及相关服务）的质量保证期为自货物（含软件及相关服务）通过最终验收起12个月。</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9.检验及安装</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9.3如果货物（含软件及相关服务）的质量和规格与合同不符，或在第11条规定的质量保证期内证实货物（含软件及相关服务）是有缺陷的，包括潜在的缺陷或使用不符合要求的材料，甲方将有权向乙方提出索赔。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9.4甲方有权提出在货物（含软件及相关服务）制造过程中派人到制造厂进行监造，乙方有义务为甲方监造人员提供方便。</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9.5制造厂对所供货物（含软件及相关服务）进行机械运转试验和性能试验时，必须提前通知甲方。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9.6货物（含软件及相关服务）的安装按招标文件要求进行。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10.索赔</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10.1除责任应由保险公司或运输部门承担的之外，甲方有权根据甲方按检验标准自己检验的结果或当地商检部门出具的商检证书向乙方提出索赔。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10.2在第 8条和第9条规定的检验期和质量保证期内，如果乙方对甲方提出的索赔和差异负有责任，乙方应按照甲方同意的下列一种或多种方式解决索赔事宜:</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（2）根据货物（含软件及相关服务）的低劣程度、损坏程度以及甲方遭受损失的数额，经买卖双方商定降低货物（含软件及相关服务）的价格。</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11.拖延交货</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11.1 乙方应按照合同专用条款中规定的交货期交货和提供服务。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11.2如果乙方毫无理由地拖延交货，将受到以下制裁:没收履约保证金，加收违约损失赔偿</w:t>
      </w:r>
      <w:r>
        <w:rPr>
          <w:rFonts w:ascii="仿宋" w:hAnsi="仿宋" w:eastAsia="仿宋" w:cs="仿宋"/>
          <w:color w:val="000000" w:themeColor="text1"/>
          <w:sz w:val="28"/>
          <w:highlight w:val="none"/>
          <w:u w:val="single"/>
          <w14:textFill>
            <w14:solidFill>
              <w14:schemeClr w14:val="tx1"/>
            </w14:solidFill>
          </w14:textFill>
        </w:rPr>
        <w:t xml:space="preserve">和／或</w:t>
      </w:r>
      <w:r>
        <w:rPr>
          <w:rFonts w:ascii="仿宋" w:hAnsi="仿宋" w:eastAsia="仿宋" w:cs="仿宋"/>
          <w:color w:val="000000" w:themeColor="text1"/>
          <w:sz w:val="28"/>
          <w:highlight w:val="none"/>
          <w14:textFill>
            <w14:solidFill>
              <w14:schemeClr w14:val="tx1"/>
            </w14:solidFill>
          </w14:textFill>
        </w:rPr>
        <w:t xml:space="preserve">终止合同。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12.误期赔偿</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13.不可抗力</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14.税费</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14.1中国政府根据现行税法规定对甲方征收的与本合同有关的一切税费，均由甲方负担。</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14.2中国政府根据现行税法规定对乙方征收的与本合同有关的一切税费均由乙方负担。</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15.仲裁</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15.1 买卖双方应通过友好协商，解决在执行本合同中所发生的或与本合同有关的一切争端，如果协商仍得不到解决，任何一方均可按《中华人民共和国民法典》规定提交调解和仲裁。 </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15.2仲裁裁决应为终局裁决，对双方均具有约束力。 </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15.3仲裁费除仲裁机构另有裁决外应由败诉方负担。</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15.4在仲裁期间，除正在进行仲裁的部分外，合同其他部分继续执行。</w:t>
      </w:r>
      <w:r>
        <w:rPr>
          <w:rFonts w:ascii="仿宋" w:hAnsi="仿宋" w:eastAsia="仿宋" w:cs="仿宋"/>
          <w:b/>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16.违约终止合同</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（1）如果乙方未能在合同规定的期限或甲方同意延期的限期内提供全部或部分货物（含软件及相关服务）；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（2）如果乙方未能履行合同规定的其它义务。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17.破产中止合同</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17.1如果乙方破产或无清偿能力，甲方可在任何时候以书面形式通知乙方终止合同而不给乙方补偿。该终止合同将不损害或影响甲方和使用方已经采取或将要采取的任何行动或补救措施的权力。</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18.转让</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18.1除甲方事先书面同意外，乙方不得部分转让或全部转让其应履行的合同义务。</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19.合同生效及其它</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江苏泽豪工程咨询管理有限公司</w:t>
      </w:r>
      <w:r>
        <w:rPr>
          <w:rFonts w:ascii="仿宋" w:hAnsi="仿宋" w:eastAsia="仿宋" w:cs="仿宋"/>
          <w:color w:val="000000" w:themeColor="text1"/>
          <w:sz w:val="28"/>
          <w:szCs w:val="28"/>
          <w:highlight w:val="none"/>
          <w14:textFill>
            <w14:solidFill>
              <w14:schemeClr w14:val="tx1"/>
            </w14:solidFill>
          </w14:textFill>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19.2本合同经甲、乙双方加盖电子签章后生效。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19.3合同货物交付使用后所发生的合同纠纷，甲方与乙方进行处理。</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19.4如需修改或补充合同内容，应经乙方、甲方协商，签署书面修改或补充协议。该协议将作为本合同不可分割的一部分。</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19.5本合同应按照中华人民共和国现行法律进行解释。</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第五章项目采购需求</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项目拟为</w:t>
      </w:r>
      <w:r>
        <w:rPr>
          <w:rFonts w:hint="eastAsia" w:ascii="宋体" w:hAnsi="宋体" w:cs="宋体"/>
          <w:sz w:val="24"/>
          <w:szCs w:val="20"/>
        </w:rPr>
        <w:t xml:space="preserve">6</w:t>
      </w:r>
      <w:r>
        <w:rPr>
          <w:rFonts w:hint="eastAsia" w:ascii="宋体" w:hAnsi="宋体" w:eastAsia="Arial" w:cs="宋体"/>
          <w:sz w:val="24"/>
          <w:szCs w:val="20"/>
        </w:rPr>
        <w:t xml:space="preserve">所学校选配</w:t>
      </w:r>
      <w:bookmarkStart w:id="10" w:name="OLE_LINK23"/>
      <w:r/>
      <w:bookmarkStart w:id="11" w:name="OLE_LINK22"/>
      <w:r>
        <w:rPr>
          <w:rFonts w:hint="eastAsia" w:ascii="宋体" w:hAnsi="宋体" w:eastAsia="Arial" w:cs="宋体"/>
          <w:sz w:val="24"/>
          <w:szCs w:val="20"/>
        </w:rPr>
        <w:t xml:space="preserve">智慧体</w:t>
      </w:r>
      <w:r>
        <w:rPr>
          <w:rFonts w:hint="eastAsia" w:ascii="宋体" w:hAnsi="宋体" w:cs="宋体"/>
          <w:sz w:val="24"/>
          <w:szCs w:val="20"/>
        </w:rPr>
        <w:t xml:space="preserve">育</w:t>
      </w:r>
      <w:r>
        <w:rPr>
          <w:rFonts w:hint="eastAsia" w:ascii="宋体" w:hAnsi="宋体" w:eastAsia="Arial" w:cs="宋体"/>
          <w:sz w:val="24"/>
          <w:szCs w:val="20"/>
        </w:rPr>
        <w:t xml:space="preserve">等设备</w:t>
      </w:r>
      <w:bookmarkEnd w:id="10"/>
      <w:r/>
      <w:bookmarkEnd w:id="11"/>
      <w:r>
        <w:rPr>
          <w:rFonts w:hint="eastAsia" w:ascii="宋体" w:hAnsi="宋体" w:cs="宋体"/>
          <w:sz w:val="24"/>
          <w:szCs w:val="20"/>
        </w:rPr>
        <w:t xml:space="preserve">；</w:t>
      </w:r>
      <w:r/>
    </w:p>
    <w:p>
      <w:pPr>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基本情况如下：</w:t>
      </w:r>
      <w:r/>
    </w:p>
    <w:p>
      <w:pPr>
        <w:numPr>
          <w:ilvl w:val="0"/>
          <w:numId w:val="5"/>
        </w:num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符合《中小学体育场地建设标准》，满足中小学体育课堂、大课间活动常态化使用需求；</w:t>
      </w:r>
      <w:r>
        <w:rPr>
          <w:rFonts w:hint="eastAsia" w:ascii="宋体" w:hAnsi="宋体" w:cs="宋体"/>
          <w:sz w:val="24"/>
          <w:szCs w:val="20"/>
        </w:rPr>
        <w:br/>
      </w:r>
      <w:r>
        <w:rPr>
          <w:rFonts w:hint="eastAsia" w:ascii="宋体" w:hAnsi="宋体" w:cs="宋体"/>
          <w:sz w:val="24"/>
          <w:szCs w:val="20"/>
        </w:rPr>
        <w:t xml:space="preserve">    2. 计时精度符合国家学生体质健康标准测试要求；</w:t>
      </w:r>
      <w:r/>
    </w:p>
    <w:p>
      <w:pPr>
        <w:pStyle w:val="725"/>
        <w:numPr>
          <w:ilvl w:val="0"/>
          <w:numId w:val="0"/>
        </w:numPr>
        <w:ind w:firstLine="480"/>
        <w:rPr>
          <w:rFonts w:hint="default"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3.采购参数及要求</w:t>
      </w:r>
      <w:r/>
    </w:p>
    <w:tbl>
      <w:tblPr>
        <w:tblStyle w:val="724"/>
        <w:tblpPr w:horzAnchor="page" w:tblpX="764" w:vertAnchor="text" w:tblpY="499" w:leftFromText="180" w:topFromText="0" w:rightFromText="180" w:bottomFromText="0"/>
        <w:tblW w:w="107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035"/>
        <w:gridCol w:w="1230"/>
        <w:gridCol w:w="5370"/>
        <w:gridCol w:w="720"/>
        <w:gridCol w:w="810"/>
        <w:gridCol w:w="765"/>
      </w:tblGrid>
      <w:tr>
        <w:trPr>
          <w:trHeight w:val="106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序号</w:t>
            </w:r>
            <w:r/>
          </w:p>
        </w:tc>
        <w:tc>
          <w:tcPr>
            <w:tcW w:w="1035"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项目</w:t>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设备清单</w:t>
            </w:r>
            <w:r/>
          </w:p>
        </w:tc>
        <w:tc>
          <w:tcPr>
            <w:tcW w:w="537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技术参数及指标</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数量</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单位</w:t>
            </w:r>
            <w:r/>
          </w:p>
        </w:tc>
        <w:tc>
          <w:tcPr>
            <w:tcW w:w="76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备注</w:t>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W w:w="1035" w:type="dxa"/>
            <w:vAlign w:val="center"/>
            <w:vMerge w:val="restart"/>
            <w:textDirection w:val="lrTb"/>
            <w:noWrap/>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平台部署</w:t>
            </w:r>
            <w:r/>
          </w:p>
        </w:tc>
        <w:tc>
          <w:tcPr>
            <w:tcW w:w="1230" w:type="dxa"/>
            <w:vAlign w:val="center"/>
            <w:textDirection w:val="lrTb"/>
            <w:noWrap w:val="false"/>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县级平台部署</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1.提供县级体育数据概览，支持县级体育数据可视化统计分析。包含体育测试数据、体育锻炼数据的多维体育数据汇总综合分析。</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2.支持县级覆盖学校地图展示。</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3.支持全县覆盖学校数、覆盖学生数统计。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4.支持全县整体运动时长、参与度统计。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5.支持全县整体测试人次、合格率，成绩等级分布统计。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6.支持全县运动人次时间分布趋势图显示。</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7.支持查询全县各学校运动时长排行。</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8.支持查询全县各学校运动参与度排行。</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9.提供全县各学校学生人数、运动人次、运动时长、学生参与度数据。</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10.提供全县各学校体育数据概览，支持校级体育数据可视化统计分析。包含体育测试数据、体育锻炼数据的多维体育数据汇总综合分析。</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11.支持全县各学校整体使用人次统计，学生参与度等整体统计。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12.支持全县各学校根据体育测试数据自动生成可视化图表，包含测试人数，测试学生参与度，测试成绩合格率，测试成绩平均分等数据，并支持按年级维度统计。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13.支持全县各学校根据体育锻炼数据自动生成可视化图表，包含运动人次，运动时长等数据，并支持按年级、项目多维度统计。</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14.支持全县各学校查看各项目校级排行榜与运动记录。</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W w:w="1035" w:type="dxa"/>
            <w:vAlign w:val="center"/>
            <w:vMerge w:val="continue"/>
            <w:textDirection w:val="lrTb"/>
            <w:noWrap/>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1230" w:type="dxa"/>
            <w:vAlign w:val="center"/>
            <w:textDirection w:val="lrTb"/>
            <w:noWrap w:val="false"/>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校级数据管控平台</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1.支持对学校信息进行设置和维护；</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2.支持学期时间自动更新，学校可根据情况手动修改。</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3.支持对学校组织（年级、班级）架构进行设置和维护；</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4.支持对学校系统用户进行管理，设置权限。</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5.支持批量导入或手动逐个添加学生信息；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6.支持对学生信息进行设置，包括个人信息、学籍信息、家庭信息。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7.支持学生人脸数据导入，上传学生照片，学生照片和信息下发至设备上，用于学生测试或锻炼时进行人脸识别；</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8.支持教师人脸数据导入，上传教师照片，教师照片和信息下发至设备上，用于教师查看运动数据进行人脸识别；</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9.支持查看采集数据进度、性别比例和审核通过情况。</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10.普通体测：实现对体测数据的查询、统计和分析功能，便于跟踪学生体质变化；</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11.国家体测：支持测试计划创建，管理学生的体育考试成绩，支持成绩的录入、修改、查询和分析。</w:t>
            </w:r>
            <w:r/>
          </w:p>
          <w:p>
            <w:pPr>
              <w:jc w:val="left"/>
              <w:widowControl/>
              <w:rPr>
                <w:rFonts w:hint="eastAsia" w:ascii="宋体" w:hAnsi="宋体" w:cs="宋体"/>
                <w:color w:val="000000"/>
                <w:sz w:val="20"/>
                <w:szCs w:val="20"/>
                <w:highlight w:val="yellow"/>
                <w:lang w:bidi="ar"/>
              </w:rPr>
            </w:pPr>
            <w:r>
              <w:rPr>
                <w:rFonts w:hint="eastAsia" w:ascii="宋体" w:hAnsi="宋体" w:cs="宋体"/>
                <w:color w:val="000000"/>
                <w:sz w:val="20"/>
                <w:szCs w:val="20"/>
                <w:lang w:bidi="ar"/>
              </w:rPr>
              <w:t xml:space="preserve">▲12.体测数据：支持全校体测数据、班级数据记录与展示，包含：参与人数、总人数和中考班级数、已完成人数、已完成班级、未完成班级数、未完成人数、免测人数、优秀率、优良率、合格率、不合格率且支持校级、年级、班级体育锻炼数据展示，包括：运动人数、男女运动比例、运动总时长、各人均运动时长、各项目运动人数、各项目运动参与占比</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（提供具有 CMA或 CNAS 标识的检测报告复印件加盖</w:t>
            </w:r>
            <w:r>
              <w:rPr>
                <w:rFonts w:hint="eastAsia" w:ascii="宋体" w:hAnsi="宋体" w:eastAsia="宋体" w:cs="宋体"/>
                <w:color w:val="000000"/>
                <w:sz w:val="20"/>
                <w:szCs w:val="20"/>
                <w:highlight w:val="none"/>
                <w:lang w:val="en-US" w:eastAsia="zh-CN" w:bidi="ar"/>
              </w:rPr>
              <w:t xml:space="preserve">投标人公章</w:t>
            </w:r>
            <w:r>
              <w:rPr>
                <w:rFonts w:hint="eastAsia" w:ascii="宋体" w:hAnsi="宋体" w:eastAsia="宋体" w:cs="宋体"/>
                <w:color w:val="000000"/>
                <w:sz w:val="20"/>
                <w:szCs w:val="20"/>
                <w:highlight w:val="none"/>
                <w:lang w:bidi="ar"/>
              </w:rPr>
              <w:t xml:space="preserve">）</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13.支持查询赛事信息，包括：赛事类型、赛事状态、赛事封面创建时间等；</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15.支持设置赛事名称、赛事项目、赛事时间范围、赛事内容介绍、赛事项目和规则维护</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r>
            <w:r/>
          </w:p>
        </w:tc>
      </w:tr>
      <w:tr>
        <w:trPr>
          <w:trHeight w:val="740"/>
        </w:trPr>
        <w:tc>
          <w:tcPr>
            <w:tcW w:w="780"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0"/>
                <w:szCs w:val="20"/>
                <w:lang w:bidi="ar"/>
              </w:rPr>
              <w:t xml:space="preserve">教研平台</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1.支持依托体育教育垂类大模型AI自动生成体育教案，输入基本信息，输出完整的体育教案表格教案含重难点、学习目标、教学内容、组队与队形的图片或图形。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2.支持体育大单元教学计划生成，含设计思路、学情分析、学习目标、单元内容等。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3.体育教案模板自定义须支持内置教案模板选择及自定义模板上传。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4.支持体育教案生成内容的在线文本、队形图的在线编辑。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5.体育教案队形图支持单张队形图重新生成。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6.个人模式支持基于个体体能状况、技能基础的个性化运动计划生成。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7.群体模式支持基于班级/年级体测数据批量导入，自动分层生成训练方案。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8.支持文件批量导入群体体测成绩，生成班级或年级整体分析报告。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9.支持按性别、年级输入单项或多项体测成绩，生成个人单次分析报告。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10.支持个人体测历史成绩追踪，生成多次成绩对比分析报告。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11.生成内容文件支持 HTML、PDF、Word 等多种格式导出。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12.支持体育在线智能问答，问答范围覆盖体育教学、运动训练、体能提升等专业领域。</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0"/>
                <w:szCs w:val="20"/>
                <w:lang w:bidi="ar"/>
              </w:rPr>
              <w:t xml:space="preserve">数据共享平台</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1.系统提供运动数据查看、账号管理等功能，具有教师端和学生端。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2.教师端提供运动记录、排行榜、学生数据和体育作业管理等功能。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3.教师端提供学生运动记录查询功能，查询内容包含学生体测项目测试数据、学生体能项目运动数据，运动数据能够搜索、筛选和导出。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4.教师端提供运动排行榜查询功能，查询内容包含体测项目排行、体能项目排行，排行数据支持筛选、分享。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5.教师端提供学生数据查询功能，查询内容包含不同年级班级学生的运动时长、日均运动时间、体育报告。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6.教师端提供体育作业管理功能，教师能够创建、查看体育作业。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7.教师端提供班级运动数据查询，查询内容包含测试人次、合格率、测试等级分布、测试平均分、锻炼次数、锻炼时长分布等数据。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8.教师端提供学生信息管理，包含增加、删除和修改学生信息。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9.学生端提供体测成绩查询功能，能够按项目查看学生的测试成绩，可分模式赛选学生成绩。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10.学生端提供在校锻炼的统计数据，包含校内锻炼趋势图、锻炼记录。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11.学生端提供体育作业功能，能够展示布置的体育作业及作业完成情况。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12.学生端提供在线体能项目训练功能，能运动的项目的≥10种，包含但不限于跳绳、开合跳、高抬腿。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13.学生端提供的体能训练项目包含标准动作示范视频、运动说明、运动排名等内容。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14.学生端提供在线趣味锻炼项目，项目数量≥2个。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15.学生端提供体育报告在线查询功能。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16.学生端提供知识在线问答功能，用户可以在线参与体育相关的知识问题。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17.学生端提供账号管理功能，具备添加账号、绑定解除等功能。</w:t>
            </w:r>
            <w:r/>
          </w:p>
        </w:tc>
        <w:tc>
          <w:tcPr>
            <w:tcW w:w="720" w:type="dxa"/>
            <w:vAlign w:val="center"/>
            <w:textDirection w:val="lrTb"/>
            <w:noWrap/>
          </w:tcPr>
          <w:p>
            <w:pPr>
              <w:jc w:val="center"/>
              <w:widowControl/>
              <w:rPr>
                <w:rFonts w:hint="eastAsia" w:ascii="宋体" w:hAnsi="宋体" w:eastAsia="宋体" w:cs="宋体"/>
                <w:b/>
                <w:bCs/>
                <w:color w:val="000000"/>
                <w:sz w:val="24"/>
                <w:lang w:eastAsia="zh-CN" w:bidi="ar"/>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W w:w="1035" w:type="dxa"/>
            <w:vAlign w:val="center"/>
            <w:vMerge w:val="restart"/>
            <w:textDirection w:val="lrTb"/>
            <w:noWrap/>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AI体锻类</w:t>
            </w:r>
            <w:r/>
          </w:p>
        </w:tc>
        <w:tc>
          <w:tcPr>
            <w:tcW w:w="1230" w:type="dxa"/>
            <w:vAlign w:val="center"/>
            <w:textDirection w:val="lrTb"/>
            <w:noWrap w:val="false"/>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AI户外体锻仓</w:t>
            </w:r>
            <w:r/>
          </w:p>
        </w:tc>
        <w:tc>
          <w:tcPr>
            <w:tcW w:w="537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一、软件参数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1.基于计算机视觉实现人体姿态估计、人脸与手势检测算法，实现人脸识别认证、举手启动运动，运动过程分析和运动成绩计数；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2.系统提供多种模式，包括：体锻模块、体测模块、竞技场、游戏模式、竞赛模式和排行榜，满足学生日常锻炼、体育测试、课后活动及竞赛需要；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3.单摄像头可支持≥10人同时运动，全程无感运动，学生人脸识别、举手即可开始测试；</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▲4.体测模块支持如下项目测试：支持≥10人跳绳、≥1人跳远、≥6人仰卧起坐、≥2人引体向上、≥6人坐位体前屈；</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▲5.体锻模式支持：跳绳、高抬腿、开合跳、深蹲、蹲跳、前后跳、单脚跳、侧弓箭步、后弓箭步、扩胸运动、振臂运动、纵跳摸高等项目，所有体锻项目支持≥10人同时锻炼；</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6.标准体测模式，教师可一键发起测试，测试结果支持实时下载；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7.支持运动过程视频分析，在个人档案中呈现针对性分析数据，支持通过大模型提供智能分析，大模型针对用户运动数据提供分析和运动处方指引，并可查看个人历史成绩趋势；</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▲8.支持人机对战功能，包括跳绳、仰卧起坐、开合跳、高抬腿等体测体锻项目，运动测试设置五档难度等级配置，根据测试成绩自动匹配下次挑战难度等级；</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9.支持自由运动模式，学生可通过手势选择运动项目，无需教师陪同；</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10.排行榜支持以班级、年级、校级维度进行个人排名，可区分男生、女生排行，确保成绩排名公平；支持校内各班级运动数据排名，助力教师掌握学生运动状况；</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搭载专业智慧体育AI大模型，参数量27B，可全程实现运动动作智能识别、违规行为精准判定、运动成绩智能核算，同时基于学生运动数据完成动作规范性评价、体能水平研判，智能分析运动短板并输出专业运动评价结果，保障体测体锻数据精准、评价科学客观；</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12.支持随来随测功能，各测试位之间相互独立、互不影响，各测试位的运动时间、运动成绩独立显示；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▲13.支持游戏模式，至少提供7个体感游戏，支持单人、双人、三人等不同人数同时进行游戏项目；体感游戏支持通过特定姿势动作操控游戏角色完成相应操作，同时支持VR模式，实时显示测试者动作姿势；</w:t>
            </w:r>
            <w:r/>
          </w:p>
          <w:p>
            <w:pPr>
              <w:jc w:val="left"/>
              <w:widowControl/>
              <w:rPr>
                <w:rFonts w:hint="eastAsia" w:ascii="宋体" w:hAnsi="宋体" w:cs="宋体"/>
                <w:color w:val="000000"/>
                <w:sz w:val="20"/>
                <w:szCs w:val="20"/>
              </w:rPr>
            </w:pPr>
            <w:r>
              <w:rPr>
                <w:rFonts w:hint="eastAsia" w:ascii="宋体" w:hAnsi="宋体" w:cs="宋体"/>
                <w:color w:val="000000"/>
                <w:sz w:val="20"/>
                <w:szCs w:val="20"/>
                <w:highlight w:val="none"/>
              </w:rPr>
              <w:t xml:space="preserve">备注：以上加▲项须提供功能截图并加盖投标人公章。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二、硬件参数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1.外壳采用≥1.5mmSGCC镀锌钢板，内层喷涂富锌底粉，表层喷涂户外专用塑粉保护；</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2.防护等级≥IP66；（提供封面具有 CMA或 CNAS 标识的第三方检测报告复印件加盖制造商公章进行佐证）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3.采用≥6mm超白钢化玻璃，透光率≥97%，具备较强抗撞击性；</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4.配备高亮度宽温液晶显示屏，屏幕尺寸≥65寸；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5.设备配备双摄像机，可分别检测不同的运动项目；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6.亮度≥2000nits，满足阳光下清晰可视；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7.配置不低于8核国产化CPU处理器；算力≥6TOPS；内存≥8GB；存储≥128GB；</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default" w:ascii="宋体" w:hAnsi="宋体" w:eastAsia="宋体" w:cs="宋体"/>
                <w:color w:val="000000"/>
                <w:sz w:val="24"/>
                <w:lang w:val="en-US" w:eastAsia="zh-CN" w:bidi="ar"/>
              </w:rPr>
            </w:pPr>
            <w:r>
              <w:rPr>
                <w:rFonts w:hint="default" w:ascii="宋体" w:hAnsi="宋体" w:eastAsia="宋体" w:cs="宋体"/>
                <w:color w:val="000000"/>
                <w:sz w:val="24"/>
                <w:lang w:val="en-US" w:eastAsia="zh-CN" w:bidi="ar"/>
              </w:rPr>
            </w:r>
            <w:r/>
          </w:p>
        </w:tc>
      </w:tr>
      <w:tr>
        <w:trPr>
          <w:trHeight w:val="9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eastAsia="宋体" w:cs="宋体"/>
                <w:color w:val="000000"/>
                <w:sz w:val="20"/>
                <w:szCs w:val="20"/>
                <w:lang w:bidi="ar"/>
              </w:rPr>
              <w:t xml:space="preserve">AI体育锻炼智能机（壁挂）</w:t>
            </w:r>
            <w:r/>
          </w:p>
        </w:tc>
        <w:tc>
          <w:tcPr>
            <w:tcW w:w="5370" w:type="dxa"/>
            <w:vAlign w:val="center"/>
            <w:textDirection w:val="lrTb"/>
            <w:noWrap w:val="false"/>
          </w:tcPr>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1.显示尺寸：≥32英寸电容触摸式</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2.分辨率：≥1920×1080、显示比例：16:9、对比度：≥1200:1、刷新率：≥60Hz、亮度：≥350nit</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3.处理器：国产芯片，核心数量≥8核，主频≥2.0GHz、内存：≥4GB、存储:≥128GB、摄像头像素:≥500w、支持10M/100M/1000M自适应以太网、RJ45网口≥1个、喇叭功率：≥10W、</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4.设备具备的体能训练项目，项目数量≥20个，体能训练项目运动过程中显示人体关节点，运动完成后实时显示运动成绩、运动消耗、运动时间、运动曲线。</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5.体能训练项目类型包含但不限于蹲跳类、平衡类、跑步类、跳绳类，其中蹲跳类项目数量≥10个。</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6.体能训练项目按身体锻炼部位分类，身体部位类别包含但不限于上肢、下肢、腰腹、全身，各类别项目排序方式包含但不限于最新、热门、默认。</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7.体能训练项目具备明确的运动指导提示，提示内容包含但不限于动作示范视频、训练目标、肌肉训练部位、体测目标、互动规则。</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8.体能训练项目的运动模式包含但不限于单人锻炼、双人竞技、多人接力、多设备联机竞技。</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9.体能训练项目支持单人锻炼模式，功能包含但不限于运动时长选择、运动中动作提示、运动中成绩显示。</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10.体能训练项目支持双人竞技模式，功能包含但不限于运动时长选择、运动中双人运动成绩显示、运动结束后胜方显示。</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11.体能训练项目支持多设备联机锻炼模式，联机数量≥5台，具备时长选择、模式选择等功能。</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12.体能训练项目的多设备联机锻炼模式支持多种竞技模式，包含但不限于双人组队竞技、个人竞技等。</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13.设备具备趣味锻炼项目，项目数量≥10个，项目运动过程中显示人体关节点、项目倒计时、实时成绩，运动完成后实时显示运动成绩、运动消耗。</w:t>
            </w:r>
            <w:r/>
          </w:p>
          <w:p>
            <w:pP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▲14.趣味锻炼项目中包含体育同其他学科融合的跨学科项目，包含但不限于语文、地理、英语、数学等学科，跨学科设计项目数量≥5项。</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15.设备具备专项训练项目，项目数量≥10个。</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▲16.设备具备的武术类训练项目≥3项。</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17.专项训练项目明确的运动指导提示，提示内容包含但不限于动作示范视频、动作说明。</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18.专项训练项目由多个独立的分节动作组成，训练模式支持分节单独训练和所有分节动作依次训练。</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19.专项训练项目运动过程中显示动作示范视频、人体关节点、运动倒计时和实时评分，运动完成后显示运动时长、运动评分。</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20.设备具备球类训练项目，项目数量≥8项。</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21.设备基于视觉技术实现身份认证、成绩判定，全程无需人工干预。</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备注：以上加▲项须提供功能截图并加盖投标人公章。</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w:t>
            </w:r>
            <w:r/>
          </w:p>
        </w:tc>
        <w:tc>
          <w:tcPr>
            <w:tcW w:w="1035" w:type="dxa"/>
            <w:vAlign w:val="center"/>
            <w:vMerge w:val="restart"/>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AI跑步类</w:t>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AI</w:t>
            </w:r>
            <w:r>
              <w:rPr>
                <w:rFonts w:hint="eastAsia" w:ascii="宋体" w:hAnsi="宋体" w:cs="宋体"/>
                <w:color w:val="000000"/>
                <w:sz w:val="24"/>
                <w:lang w:val="en-US" w:eastAsia="zh-CN" w:bidi="ar"/>
              </w:rPr>
              <w:t xml:space="preserve">短跑</w:t>
            </w:r>
            <w:r>
              <w:rPr>
                <w:rFonts w:hint="eastAsia" w:ascii="宋体" w:hAnsi="宋体" w:cs="宋体"/>
                <w:color w:val="000000"/>
                <w:sz w:val="24"/>
                <w:lang w:bidi="ar"/>
              </w:rPr>
              <w:t xml:space="preserve">测试智能机</w:t>
            </w:r>
            <w:r/>
          </w:p>
        </w:tc>
        <w:tc>
          <w:tcPr>
            <w:tcW w:w="5370"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尺寸：≥32英寸电容触摸、分辨率：≥1920×1080、亮度：≥2000nit、刷新率：≥60Hz、对比度：≥1200：1、处理器：采用国产芯片，核心数量≥8核，主频最高达2.4GHz、内存：≥4GB、存储：≥128GB、RJ45网口≥1个、摄像机像素≥800w，内存≥2GB，存储≥16GB，算力≥10TOPS</w:t>
            </w:r>
            <w:r/>
          </w:p>
          <w:p>
            <w:p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▲2.外壳</w:t>
            </w:r>
            <w:r>
              <w:rPr>
                <w:rFonts w:hint="eastAsia" w:ascii="宋体" w:hAnsi="宋体" w:cs="宋体"/>
                <w:color w:val="000000"/>
                <w:sz w:val="20"/>
                <w:szCs w:val="20"/>
                <w:highlight w:val="none"/>
                <w:lang w:val="en-US" w:eastAsia="zh-CN" w:bidi="ar"/>
              </w:rPr>
              <w:t xml:space="preserve">满足</w:t>
            </w:r>
            <w:r>
              <w:rPr>
                <w:rFonts w:hint="eastAsia" w:ascii="宋体" w:hAnsi="宋体" w:eastAsia="宋体" w:cs="宋体"/>
                <w:color w:val="000000"/>
                <w:sz w:val="20"/>
                <w:szCs w:val="20"/>
                <w:highlight w:val="none"/>
                <w:lang w:bidi="ar"/>
              </w:rPr>
              <w:t xml:space="preserve">GB/T20138-2023</w:t>
            </w:r>
            <w:r>
              <w:rPr>
                <w:rFonts w:hint="eastAsia" w:ascii="宋体" w:hAnsi="宋体" w:cs="宋体"/>
                <w:color w:val="000000"/>
                <w:sz w:val="20"/>
                <w:szCs w:val="20"/>
                <w:highlight w:val="none"/>
                <w:lang w:bidi="ar"/>
              </w:rPr>
              <w:t xml:space="preserve">对外界机械碰撞等级≥IK08</w:t>
            </w:r>
            <w:r>
              <w:rPr>
                <w:rFonts w:hint="eastAsia" w:ascii="宋体" w:hAnsi="宋体" w:cs="宋体"/>
                <w:color w:val="000000"/>
                <w:sz w:val="20"/>
                <w:szCs w:val="20"/>
                <w:highlight w:val="none"/>
                <w:lang w:val="en-US" w:eastAsia="zh-CN" w:bidi="ar"/>
              </w:rPr>
              <w:t xml:space="preserve">的</w:t>
            </w:r>
            <w:r>
              <w:rPr>
                <w:rFonts w:hint="eastAsia" w:ascii="宋体" w:hAnsi="宋体" w:cs="宋体"/>
                <w:color w:val="000000"/>
                <w:sz w:val="20"/>
                <w:szCs w:val="20"/>
                <w:highlight w:val="none"/>
                <w:lang w:bidi="ar"/>
              </w:rPr>
              <w:t xml:space="preserve">防护</w:t>
            </w:r>
            <w:r>
              <w:rPr>
                <w:rFonts w:hint="eastAsia" w:ascii="宋体" w:hAnsi="宋体" w:cs="宋体"/>
                <w:color w:val="000000"/>
                <w:sz w:val="20"/>
                <w:szCs w:val="20"/>
                <w:highlight w:val="none"/>
                <w:lang w:val="en-US" w:eastAsia="zh-CN" w:bidi="ar"/>
              </w:rPr>
              <w:t xml:space="preserve">标准</w:t>
            </w:r>
            <w:r>
              <w:rPr>
                <w:rFonts w:hint="eastAsia" w:ascii="宋体" w:hAnsi="宋体" w:cs="宋体"/>
                <w:color w:val="000000"/>
                <w:sz w:val="20"/>
                <w:szCs w:val="20"/>
                <w:highlight w:val="none"/>
                <w:lang w:eastAsia="zh-CN" w:bidi="ar"/>
              </w:rPr>
              <w:t xml:space="preserve">。</w:t>
            </w:r>
            <w:r/>
          </w:p>
          <w:p>
            <w:pPr>
              <w:numPr>
                <w:ilvl w:val="0"/>
                <w:numId w:val="6"/>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外壳防护等级（防尘防水）：≥IP56，其中防尘等级IP5X，防水等级IPX6。</w:t>
            </w:r>
            <w:r/>
          </w:p>
          <w:p>
            <w:pPr>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▲4.设备电源端口应能承受浪涌（冲击）抗扰度</w:t>
            </w:r>
            <w:r>
              <w:rPr>
                <w:rFonts w:hint="eastAsia" w:ascii="宋体" w:hAnsi="宋体" w:cs="宋体"/>
                <w:color w:val="000000"/>
                <w:sz w:val="20"/>
                <w:szCs w:val="20"/>
                <w:highlight w:val="none"/>
                <w:lang w:val="en-US" w:eastAsia="zh-CN" w:bidi="ar"/>
              </w:rPr>
              <w:t xml:space="preserve">应满足</w:t>
            </w:r>
            <w:r>
              <w:rPr>
                <w:rFonts w:hint="eastAsia" w:ascii="宋体" w:hAnsi="宋体" w:eastAsia="宋体" w:cs="宋体"/>
                <w:color w:val="000000"/>
                <w:sz w:val="20"/>
                <w:szCs w:val="20"/>
                <w:highlight w:val="none"/>
                <w:lang w:bidi="ar"/>
              </w:rPr>
              <w:t xml:space="preserve">GB/T17626.5-2019</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标准的A类。</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.设备内置多目标视觉分析算法，短跑项目可同时容纳≥8名人员并行测试，同步完成动作捕捉与成绩计算。</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.支持50米、50*8折返跑；设备通过视觉算法，在运动过程中智能识别抢跑、踩线等违规动作。</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.设备具备短跑项目自动检录功能，该功能基于视觉算法，当运动员在道次上举手时，设备自动进行视觉识别并完成检录。</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.短跑项目提供训练模式和测试模式，训练模式下自动发令，测试模式下可通过点击屏幕手动发令。</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.设备具备通过视觉算法实现体育测试，体育测试项目数量≥3项，包含但不限于跳绳≥8人、立定跳远≥1人、仰卧起坐≥6人。</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0</w:t>
            </w:r>
            <w:r>
              <w:rPr>
                <w:rFonts w:hint="eastAsia" w:ascii="宋体" w:hAnsi="宋体" w:cs="宋体"/>
                <w:color w:val="000000"/>
                <w:sz w:val="20"/>
                <w:szCs w:val="20"/>
                <w:highlight w:val="none"/>
                <w:lang w:bidi="ar"/>
              </w:rPr>
              <w:t xml:space="preserve">.计量要求</w:t>
            </w:r>
            <w:r>
              <w:rPr>
                <w:rFonts w:hint="eastAsia" w:ascii="宋体" w:hAnsi="宋体" w:cs="宋体"/>
                <w:color w:val="000000"/>
                <w:sz w:val="20"/>
                <w:szCs w:val="20"/>
                <w:highlight w:val="none"/>
                <w:lang w:val="en-US" w:eastAsia="zh-CN" w:bidi="ar"/>
              </w:rPr>
              <w:t xml:space="preserve">需</w:t>
            </w:r>
            <w:r>
              <w:rPr>
                <w:rFonts w:hint="eastAsia" w:ascii="宋体" w:hAnsi="宋体" w:cs="宋体"/>
                <w:color w:val="000000"/>
                <w:sz w:val="20"/>
                <w:szCs w:val="20"/>
                <w:highlight w:val="none"/>
                <w:lang w:bidi="ar"/>
              </w:rPr>
              <w:t xml:space="preserve">满足</w:t>
            </w:r>
            <w:r>
              <w:rPr>
                <w:rFonts w:hint="default" w:ascii="宋体" w:hAnsi="宋体" w:eastAsia="宋体" w:cs="宋体"/>
                <w:color w:val="000000"/>
                <w:sz w:val="20"/>
                <w:szCs w:val="20"/>
                <w:highlight w:val="none"/>
                <w:lang w:val="en-US" w:eastAsia="zh-CN" w:bidi="ar"/>
              </w:rPr>
              <w:t xml:space="preserve">GB/T19851.12-2025</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的检测标准</w:t>
            </w:r>
            <w:r>
              <w:rPr>
                <w:rFonts w:hint="eastAsia" w:ascii="宋体" w:hAnsi="宋体" w:cs="宋体"/>
                <w:color w:val="000000"/>
                <w:sz w:val="20"/>
                <w:szCs w:val="20"/>
                <w:highlight w:val="none"/>
                <w:lang w:bidi="ar"/>
              </w:rPr>
              <w:t xml:space="preserve">：立定跳远示值误差±1cm，同一测量参数多次测量结果之差≤1cm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跳绳项目计量要求满足：示值误差±1次，同一测量参数多次测量结果之差≤1次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仰卧起坐项目计量要求满足：示值误差±1次，同一测量参数多次测量结果之差≤1次；设备可通过AI视觉算法自动输出体能项目成绩,拥有的项目数量≥12项，项目支持≥8人同时运动，项目计量要求：示值误差±1次，同一测量参数多次测量结果之差≤1次。</w:t>
            </w:r>
            <w:r/>
          </w:p>
          <w:p>
            <w:pPr>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11.</w:t>
            </w:r>
            <w:r>
              <w:rPr>
                <w:rFonts w:hint="eastAsia" w:ascii="宋体" w:hAnsi="宋体" w:cs="宋体"/>
                <w:color w:val="000000"/>
                <w:sz w:val="20"/>
                <w:szCs w:val="20"/>
                <w:highlight w:val="none"/>
                <w:lang w:bidi="ar"/>
              </w:rPr>
              <w:t xml:space="preserve">断网续传：运动记录联网自动上传，支持断点续传功能，确保在网络不稳定或中断后，上传可从中断处继续，无需重新开始。</w:t>
            </w:r>
            <w:r/>
          </w:p>
          <w:p>
            <w:pPr>
              <w:jc w:val="left"/>
              <w:widowControl/>
              <w:rPr>
                <w:rFonts w:hint="eastAsia" w:ascii="宋体" w:hAnsi="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加</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项需</w:t>
            </w:r>
            <w:r>
              <w:rPr>
                <w:rFonts w:hint="eastAsia" w:ascii="宋体" w:hAnsi="宋体" w:eastAsia="宋体" w:cs="宋体"/>
                <w:color w:val="000000"/>
                <w:sz w:val="20"/>
                <w:szCs w:val="20"/>
                <w:highlight w:val="none"/>
                <w:lang w:bidi="ar"/>
              </w:rPr>
              <w:t xml:space="preserve">提供具有 CMA或 CNAS 标识的检测报告复印件加盖</w:t>
            </w:r>
            <w:r>
              <w:rPr>
                <w:rFonts w:hint="eastAsia" w:ascii="宋体" w:hAnsi="宋体" w:eastAsia="宋体" w:cs="宋体"/>
                <w:color w:val="000000"/>
                <w:sz w:val="20"/>
                <w:szCs w:val="20"/>
                <w:highlight w:val="none"/>
                <w:lang w:val="en-US" w:eastAsia="zh-CN" w:bidi="ar"/>
              </w:rPr>
              <w:t xml:space="preserve">投标人公章</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3</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eastAsia="宋体" w:cs="宋体"/>
                <w:color w:val="000000"/>
                <w:sz w:val="20"/>
                <w:szCs w:val="20"/>
                <w:lang w:bidi="ar"/>
              </w:rPr>
              <w:t xml:space="preserve">AI长跑测试智能机</w:t>
            </w:r>
            <w:r/>
          </w:p>
        </w:tc>
        <w:tc>
          <w:tcPr>
            <w:tcW w:w="5370" w:type="dxa"/>
            <w:vAlign w:val="center"/>
            <w:textDirection w:val="lrTb"/>
            <w:noWrap w:val="false"/>
          </w:tcPr>
          <w:p>
            <w:pPr>
              <w:numPr>
                <w:ilvl w:val="0"/>
                <w:numId w:val="7"/>
              </w:num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尺寸：≥32英寸电容触摸、分辨率：≥1920×1080、亮度：≥2000nit、.刷新率：≥60Hz、对比度：≥1200：1、处理器：采用国产芯片，核心数量≥8核，主频最高达2.4GHz、内存：≥4GB、存储：≥128GB、RJ45网口≥1个、摄像机像素≥800w，内存≥2GB，存储≥16GB，算力≥10TOPS</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2.外壳对外界机械碰撞的防护等级：≥IK08；</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3.外壳防护等级（防尘防水）：≥IP56，其中防尘等级IP5X，防水等级IPX6。</w:t>
            </w:r>
            <w:r/>
          </w:p>
          <w:p>
            <w:pPr>
              <w:numPr>
                <w:ilvl w:val="0"/>
                <w:numId w:val="8"/>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设备电源端口应能承受浪涌（冲击）抗扰度试验，检测结果达到A。</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▲5.计量要求</w:t>
            </w:r>
            <w:r>
              <w:rPr>
                <w:rFonts w:hint="eastAsia" w:ascii="宋体" w:hAnsi="宋体" w:cs="宋体"/>
                <w:color w:val="000000"/>
                <w:sz w:val="20"/>
                <w:szCs w:val="20"/>
                <w:highlight w:val="none"/>
                <w:lang w:val="en-US" w:eastAsia="zh-CN" w:bidi="ar"/>
              </w:rPr>
              <w:t xml:space="preserve">需</w:t>
            </w:r>
            <w:r>
              <w:rPr>
                <w:rFonts w:hint="eastAsia" w:ascii="宋体" w:hAnsi="宋体" w:cs="宋体"/>
                <w:color w:val="000000"/>
                <w:sz w:val="20"/>
                <w:szCs w:val="20"/>
                <w:highlight w:val="none"/>
                <w:lang w:bidi="ar"/>
              </w:rPr>
              <w:t xml:space="preserve">满足</w:t>
            </w:r>
            <w:r>
              <w:rPr>
                <w:rFonts w:hint="default" w:ascii="宋体" w:hAnsi="宋体" w:eastAsia="宋体" w:cs="宋体"/>
                <w:color w:val="000000"/>
                <w:sz w:val="20"/>
                <w:szCs w:val="20"/>
                <w:highlight w:val="none"/>
                <w:lang w:val="en-US" w:eastAsia="zh-CN" w:bidi="ar"/>
              </w:rPr>
              <w:t xml:space="preserve">GB/T19851.12-2025</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的检测标准</w:t>
            </w:r>
            <w:r>
              <w:rPr>
                <w:rFonts w:hint="eastAsia" w:ascii="宋体" w:hAnsi="宋体" w:cs="宋体"/>
                <w:color w:val="000000"/>
                <w:sz w:val="20"/>
                <w:szCs w:val="20"/>
                <w:highlight w:val="none"/>
                <w:lang w:bidi="ar"/>
              </w:rPr>
              <w:t xml:space="preserve">：中长跑示值误差±1s，同一测量参数多次测量结果之差≤1s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立定跳远项目计量要求满足：示值误差±1cm，同一测量参数多次测量结果之差≤1cm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跳绳项目计量要求满足：示值误差±1次，同一测量参数多次测量结果之差≤1次；示值误差±0.1s，同一测量参数多次测量结果之差≤0.1s。</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提供具有 CMA或 CNAS 标识的检测报告复印件加盖</w:t>
            </w:r>
            <w:r>
              <w:rPr>
                <w:rFonts w:hint="eastAsia" w:ascii="宋体" w:hAnsi="宋体" w:eastAsia="宋体" w:cs="宋体"/>
                <w:color w:val="000000"/>
                <w:sz w:val="20"/>
                <w:szCs w:val="20"/>
                <w:highlight w:val="none"/>
                <w:lang w:val="en-US" w:eastAsia="zh-CN" w:bidi="ar"/>
              </w:rPr>
              <w:t xml:space="preserve">投标人公章）</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6.设备通过视觉算法实现长跑项目测试，项目包含800米或1000米。</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7.测试者在设备前举手识别检录，教师点击设备屏幕发令。</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8.设备具备分组发令功能，可以连续多组检录和发令，单次发令人数≥50人，连续发令组数≥10组。</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9.设备具备跑步项目在测试过程中测试设备实时显示学生身份认证界面、测试准备、运动圈数、测试成绩的功能。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10.设备具备查看跑步项目的运动记录、运动视频、运动项目报告的功能。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11.800米或1000米项目完成后自动生成运动分析报告，报告能在测试设备查看，报告维度包含但不限于测试成绩、平均速度、每圈配速、点评与建议、肌群状态分析、运动切片图。</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12.设备具备在无外网连接的情况下，实现检录、发令、违规判定、成绩计算、运动记录和项目报告查看等功能。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13.设备具备通过视觉算法实现体育测试的功能，拥有的体育测试项目数量≥3项，包含但不限于跳绳（≥8人）、立定跳远、仰卧起坐（≥6人）。</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14.项目测试完成后自动生成运动分析报告，报告在测试设备端查看，报告维度包含但不限于测试成绩、运动参数、运动曲线、点评与建议、肌群状态分析、动作切片图。</w:t>
            </w:r>
            <w:r/>
          </w:p>
          <w:p>
            <w:pPr>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15.</w:t>
            </w:r>
            <w:r>
              <w:rPr>
                <w:rFonts w:hint="eastAsia" w:ascii="宋体" w:hAnsi="宋体" w:cs="宋体"/>
                <w:color w:val="000000"/>
                <w:sz w:val="20"/>
                <w:szCs w:val="20"/>
                <w:highlight w:val="none"/>
                <w:lang w:bidi="ar"/>
              </w:rPr>
              <w:t xml:space="preserve">设备支持将运动项目设置为赛事模式；赛事模式下，运动者在设定的比赛时间内自主参赛，自动完成赛事排名，排名维度包含但不限于个人、性别、班级。</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16.</w:t>
            </w:r>
            <w:r>
              <w:rPr>
                <w:rFonts w:hint="eastAsia" w:ascii="宋体" w:hAnsi="宋体" w:cs="宋体"/>
                <w:color w:val="000000"/>
                <w:sz w:val="20"/>
                <w:szCs w:val="20"/>
                <w:highlight w:val="none"/>
                <w:lang w:bidi="ar"/>
              </w:rPr>
              <w:t xml:space="preserve">跑步、立定跳远、仰卧起坐、跳绳等项目能在测试设备上进行项目运动区域设置，每个项目运动区域设置画面能显示跑道区域实景。</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21.断网续传：运动记录联网自动上传，支持断点续传功能，确保在网络不稳定或中断后，上传可从中断处继续，无需重新开始。</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w:t>
            </w:r>
            <w:r/>
          </w:p>
        </w:tc>
        <w:tc>
          <w:tcPr>
            <w:tcW w:w="1035"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AI体测类</w:t>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智能体质测试仪</w:t>
            </w:r>
            <w:r/>
          </w:p>
        </w:tc>
        <w:tc>
          <w:tcPr>
            <w:tcW w:w="537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1.显示：≥19英寸电容触摸屏，分辨率≥1920*1080、内存：≥2GB、存储：≥32GB、摄像头：≥500万像素内置摄像头。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2.身份识别：通过视觉识别技术，实现人员检录。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3.高精度超声波无接触式测量，实现温差补偿，测量结果精准。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4.身高测量范围：20cm－210cm。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5.身高测量精度：±0.5cm，分度值：0.5cm或0.1cm（可调）。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6.体重测量方式：精密平衡梁电阻应变式传感器。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7.体重测量范围：1.0-500kg。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8.体重测量精度：±0.1kg，分度值：0.1kg。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9.肺活量测量范围：0～9999ml。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10.肺活量测量精度：±3%，分度值：1mL。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11.肺活量使用方式：一次尽力吸气后，再尽力呼出的气体总量来进行测量。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12.接口：RJ45网口。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13.数据：测试数据自动上传到体育数据平台。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14.电源电压：AC100V-240V（50Hz/60Hz）。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15.外观设计：测量、显示、打印一体化，自带小轮方便移动。</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w:t>
            </w:r>
            <w:r/>
          </w:p>
        </w:tc>
        <w:tc>
          <w:tcPr>
            <w:tcW w:w="1035" w:type="dxa"/>
            <w:vAlign w:val="center"/>
            <w:vMerge w:val="restart"/>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配件及施工</w:t>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仰卧起坐</w:t>
            </w:r>
            <w:r/>
          </w:p>
        </w:tc>
        <w:tc>
          <w:tcPr>
            <w:tcW w:w="537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0</wp:posOffset>
                      </wp:positionV>
                      <wp:extent cx="635" cy="0"/>
                      <wp:effectExtent l="0" t="0" r="0" b="0"/>
                      <wp:wrapNone/>
                      <wp:docPr id="3" name="组合 1073742850"/>
                      <wp:cNvGraphicFramePr/>
                      <a:graphic xmlns:a="http://schemas.openxmlformats.org/drawingml/2006/main">
                        <a:graphicData uri="http://schemas.microsoft.com/office/word/2010/wordprocessingGroup">
                          <wpg:wgp>
                            <wpg:cNvGrpSpPr/>
                            <wpg:grpSpPr bwMode="auto">
                              <a:xfrm>
                                <a:off x="2998470" y="4432300"/>
                                <a:ext cx="635" cy="0"/>
                                <a:chOff x="7159353" y="2361293"/>
                                <a:chExt cx="2658110" cy="2287905"/>
                              </a:xfrm>
                            </wpg:grpSpPr>
                            <pic:pic xmlns:pic="http://schemas.openxmlformats.org/drawingml/2006/picture">
                              <pic:nvPicPr>
                                <pic:cNvPr id="10158" name="图片 2" descr="安防监控杆"/>
                                <pic:cNvPicPr>
                                  <a:picLocks noChangeAspect="1"/>
                                </pic:cNvPicPr>
                                <pic:nvPr/>
                              </pic:nvPicPr>
                              <pic:blipFill>
                                <a:blip r:embed="rId13"/>
                                <a:stretch/>
                              </pic:blipFill>
                              <pic:spPr bwMode="auto">
                                <a:xfrm>
                                  <a:off x="8449038" y="2386058"/>
                                  <a:ext cx="620395" cy="2263140"/>
                                </a:xfrm>
                                <a:prstGeom prst="rect">
                                  <a:avLst/>
                                </a:prstGeom>
                                <a:noFill/>
                                <a:ln w="9525">
                                  <a:noFill/>
                                </a:ln>
                                <a:effectLst/>
                              </pic:spPr>
                            </pic:pic>
                            <pic:pic xmlns:pic="http://schemas.openxmlformats.org/drawingml/2006/picture">
                              <pic:nvPicPr>
                                <pic:cNvPr id="10159" name="图片 3" descr="侧面@1x"/>
                                <pic:cNvPicPr>
                                  <a:picLocks noChangeAspect="1"/>
                                </pic:cNvPicPr>
                                <pic:nvPr/>
                              </pic:nvPicPr>
                              <pic:blipFill>
                                <a:blip r:embed="rId14"/>
                                <a:stretch/>
                              </pic:blipFill>
                              <pic:spPr bwMode="auto">
                                <a:xfrm>
                                  <a:off x="7159353" y="3038838"/>
                                  <a:ext cx="824230" cy="1600200"/>
                                </a:xfrm>
                                <a:prstGeom prst="rect">
                                  <a:avLst/>
                                </a:prstGeom>
                                <a:noFill/>
                                <a:ln w="9525">
                                  <a:noFill/>
                                </a:ln>
                                <a:effectLst/>
                              </pic:spPr>
                            </pic:pic>
                            <pic:pic xmlns:pic="http://schemas.openxmlformats.org/drawingml/2006/picture">
                              <pic:nvPicPr>
                                <pic:cNvPr id="10160" name="图片 4" descr="安防监控杆"/>
                                <pic:cNvPicPr>
                                  <a:picLocks noChangeAspect="1"/>
                                </pic:cNvPicPr>
                                <pic:nvPr/>
                              </pic:nvPicPr>
                              <pic:blipFill>
                                <a:blip r:embed="rId13"/>
                                <a:stretch/>
                              </pic:blipFill>
                              <pic:spPr bwMode="auto">
                                <a:xfrm>
                                  <a:off x="8817973" y="2377168"/>
                                  <a:ext cx="620395" cy="2259965"/>
                                </a:xfrm>
                                <a:prstGeom prst="rect">
                                  <a:avLst/>
                                </a:prstGeom>
                                <a:noFill/>
                                <a:ln w="9525">
                                  <a:noFill/>
                                </a:ln>
                                <a:effectLst/>
                              </pic:spPr>
                            </pic:pic>
                            <pic:pic xmlns:pic="http://schemas.openxmlformats.org/drawingml/2006/picture">
                              <pic:nvPicPr>
                                <pic:cNvPr id="10161" name="图片 5" descr="安防监控杆"/>
                                <pic:cNvPicPr>
                                  <a:picLocks noChangeAspect="1"/>
                                </pic:cNvPicPr>
                                <pic:nvPr/>
                              </pic:nvPicPr>
                              <pic:blipFill>
                                <a:blip r:embed="rId13"/>
                                <a:stretch/>
                              </pic:blipFill>
                              <pic:spPr bwMode="auto">
                                <a:xfrm>
                                  <a:off x="9197068" y="2361293"/>
                                  <a:ext cx="620395" cy="2266315"/>
                                </a:xfrm>
                                <a:prstGeom prst="rect">
                                  <a:avLst/>
                                </a:prstGeom>
                                <a:noFill/>
                                <a:ln w="9525">
                                  <a:noFill/>
                                </a:ln>
                                <a:effectLst/>
                              </pic:spPr>
                            </pic:pic>
                            <pic:pic xmlns:pic="http://schemas.openxmlformats.org/drawingml/2006/picture">
                              <pic:nvPicPr>
                                <pic:cNvPr id="10162" name="图片 6" descr="侧面@1x"/>
                                <pic:cNvPicPr>
                                  <a:picLocks noChangeAspect="1"/>
                                </pic:cNvPicPr>
                                <pic:nvPr/>
                              </pic:nvPicPr>
                              <pic:blipFill>
                                <a:blip r:embed="rId14"/>
                                <a:stretch/>
                              </pic:blipFill>
                              <pic:spPr bwMode="auto">
                                <a:xfrm>
                                  <a:off x="7764508" y="3048998"/>
                                  <a:ext cx="827405" cy="1600200"/>
                                </a:xfrm>
                                <a:prstGeom prst="rect">
                                  <a:avLst/>
                                </a:prstGeom>
                                <a:noFill/>
                                <a:ln w="9525">
                                  <a:noFill/>
                                </a:ln>
                                <a:effectLst/>
                              </pic:spPr>
                            </pic:pic>
                          </wpg:wgp>
                        </a:graphicData>
                      </a:graphic>
                    </wp:anchor>
                  </w:drawing>
                </mc:Choice>
                <mc:Fallback>
                  <w:pict>
                    <v:group id="group 2" o:spid="_x0000_s0000" style="position:absolute;z-index:251660288;o:allowoverlap:true;o:allowincell:true;mso-position-horizontal-relative:text;margin-left:0.3pt;mso-position-horizontal:absolute;mso-position-vertical-relative:text;margin-top:0.0pt;mso-position-vertical:absolute;width:0.0pt;height:0.0pt;mso-wrap-distance-left:9.0pt;mso-wrap-distance-top:0.0pt;mso-wrap-distance-right:9.0pt;mso-wrap-distance-bottom:0.0pt;" coordorigin="71593,23612" coordsize="26581,228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84490;top:23860;width:6203;height:22631;"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left:71593;top:30388;width:8242;height:16002;" stroked="f" strokeweight="0.75pt">
                        <v:path textboxrect="0,0,0,0"/>
                        <v:imagedata r:id="rId1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left:88179;top:23771;width:6203;height:22599;"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left:91970;top:23612;width:6203;height:22663;"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left:77645;top:30489;width:8274;height:16002;" stroked="f" strokeweight="0.75pt">
                        <v:path textboxrect="0,0,0,0"/>
                        <v:imagedata r:id="rId14" o:title=""/>
                      </v:shape>
                    </v:group>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wp:posOffset>
                      </wp:positionH>
                      <wp:positionV relativeFrom="paragraph">
                        <wp:posOffset>0</wp:posOffset>
                      </wp:positionV>
                      <wp:extent cx="635" cy="0"/>
                      <wp:effectExtent l="0" t="0" r="0" b="0"/>
                      <wp:wrapNone/>
                      <wp:docPr id="4" name="组合 1073742851"/>
                      <wp:cNvGraphicFramePr/>
                      <a:graphic xmlns:a="http://schemas.openxmlformats.org/drawingml/2006/main">
                        <a:graphicData uri="http://schemas.microsoft.com/office/word/2010/wordprocessingGroup">
                          <wpg:wgp>
                            <wpg:cNvGrpSpPr/>
                            <wpg:grpSpPr bwMode="auto">
                              <a:xfrm>
                                <a:off x="2998470" y="4432300"/>
                                <a:ext cx="635" cy="0"/>
                                <a:chOff x="7159353" y="2361293"/>
                                <a:chExt cx="2658110" cy="2287905"/>
                              </a:xfrm>
                            </wpg:grpSpPr>
                            <pic:pic xmlns:pic="http://schemas.openxmlformats.org/drawingml/2006/picture">
                              <pic:nvPicPr>
                                <pic:cNvPr id="10164" name="图片 8" descr="安防监控杆"/>
                                <pic:cNvPicPr>
                                  <a:picLocks noChangeAspect="1"/>
                                </pic:cNvPicPr>
                                <pic:nvPr/>
                              </pic:nvPicPr>
                              <pic:blipFill>
                                <a:blip r:embed="rId13"/>
                                <a:stretch/>
                              </pic:blipFill>
                              <pic:spPr bwMode="auto">
                                <a:xfrm>
                                  <a:off x="8449038" y="2386058"/>
                                  <a:ext cx="620395" cy="2263140"/>
                                </a:xfrm>
                                <a:prstGeom prst="rect">
                                  <a:avLst/>
                                </a:prstGeom>
                                <a:noFill/>
                                <a:ln w="9525">
                                  <a:noFill/>
                                </a:ln>
                                <a:effectLst/>
                              </pic:spPr>
                            </pic:pic>
                            <pic:pic xmlns:pic="http://schemas.openxmlformats.org/drawingml/2006/picture">
                              <pic:nvPicPr>
                                <pic:cNvPr id="10165" name="图片 9" descr="侧面@1x"/>
                                <pic:cNvPicPr>
                                  <a:picLocks noChangeAspect="1"/>
                                </pic:cNvPicPr>
                                <pic:nvPr/>
                              </pic:nvPicPr>
                              <pic:blipFill>
                                <a:blip r:embed="rId14"/>
                                <a:stretch/>
                              </pic:blipFill>
                              <pic:spPr bwMode="auto">
                                <a:xfrm>
                                  <a:off x="7159353" y="3038838"/>
                                  <a:ext cx="824230" cy="1600200"/>
                                </a:xfrm>
                                <a:prstGeom prst="rect">
                                  <a:avLst/>
                                </a:prstGeom>
                                <a:noFill/>
                                <a:ln w="9525">
                                  <a:noFill/>
                                </a:ln>
                                <a:effectLst/>
                              </pic:spPr>
                            </pic:pic>
                            <pic:pic xmlns:pic="http://schemas.openxmlformats.org/drawingml/2006/picture">
                              <pic:nvPicPr>
                                <pic:cNvPr id="10166" name="图片 10" descr="安防监控杆"/>
                                <pic:cNvPicPr>
                                  <a:picLocks noChangeAspect="1"/>
                                </pic:cNvPicPr>
                                <pic:nvPr/>
                              </pic:nvPicPr>
                              <pic:blipFill>
                                <a:blip r:embed="rId13"/>
                                <a:stretch/>
                              </pic:blipFill>
                              <pic:spPr bwMode="auto">
                                <a:xfrm>
                                  <a:off x="8817973" y="2377168"/>
                                  <a:ext cx="620395" cy="2259965"/>
                                </a:xfrm>
                                <a:prstGeom prst="rect">
                                  <a:avLst/>
                                </a:prstGeom>
                                <a:noFill/>
                                <a:ln w="9525">
                                  <a:noFill/>
                                </a:ln>
                                <a:effectLst/>
                              </pic:spPr>
                            </pic:pic>
                            <pic:pic xmlns:pic="http://schemas.openxmlformats.org/drawingml/2006/picture">
                              <pic:nvPicPr>
                                <pic:cNvPr id="10167" name="图片 11" descr="安防监控杆"/>
                                <pic:cNvPicPr>
                                  <a:picLocks noChangeAspect="1"/>
                                </pic:cNvPicPr>
                                <pic:nvPr/>
                              </pic:nvPicPr>
                              <pic:blipFill>
                                <a:blip r:embed="rId13"/>
                                <a:stretch/>
                              </pic:blipFill>
                              <pic:spPr bwMode="auto">
                                <a:xfrm>
                                  <a:off x="9197068" y="2361293"/>
                                  <a:ext cx="620395" cy="2266315"/>
                                </a:xfrm>
                                <a:prstGeom prst="rect">
                                  <a:avLst/>
                                </a:prstGeom>
                                <a:noFill/>
                                <a:ln w="9525">
                                  <a:noFill/>
                                </a:ln>
                                <a:effectLst/>
                              </pic:spPr>
                            </pic:pic>
                            <pic:pic xmlns:pic="http://schemas.openxmlformats.org/drawingml/2006/picture">
                              <pic:nvPicPr>
                                <pic:cNvPr id="10168" name="图片 12" descr="侧面@1x"/>
                                <pic:cNvPicPr>
                                  <a:picLocks noChangeAspect="1"/>
                                </pic:cNvPicPr>
                                <pic:nvPr/>
                              </pic:nvPicPr>
                              <pic:blipFill>
                                <a:blip r:embed="rId14"/>
                                <a:stretch/>
                              </pic:blipFill>
                              <pic:spPr bwMode="auto">
                                <a:xfrm>
                                  <a:off x="7764508" y="3048998"/>
                                  <a:ext cx="827405" cy="1600200"/>
                                </a:xfrm>
                                <a:prstGeom prst="rect">
                                  <a:avLst/>
                                </a:prstGeom>
                                <a:noFill/>
                                <a:ln w="9525">
                                  <a:noFill/>
                                </a:ln>
                                <a:effectLst/>
                              </pic:spPr>
                            </pic:pic>
                          </wpg:wgp>
                        </a:graphicData>
                      </a:graphic>
                    </wp:anchor>
                  </w:drawing>
                </mc:Choice>
                <mc:Fallback>
                  <w:pict>
                    <v:group id="group 8" o:spid="_x0000_s0000" style="position:absolute;z-index:251661312;o:allowoverlap:true;o:allowincell:true;mso-position-horizontal-relative:text;margin-left:0.3pt;mso-position-horizontal:absolute;mso-position-vertical-relative:text;margin-top:0.0pt;mso-position-vertical:absolute;width:0.0pt;height:0.0pt;mso-wrap-distance-left:9.0pt;mso-wrap-distance-top:0.0pt;mso-wrap-distance-right:9.0pt;mso-wrap-distance-bottom:0.0pt;" coordorigin="71593,23612" coordsize="26581,228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left:84490;top:23860;width:6203;height:22631;"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left:71593;top:30388;width:8242;height:16002;" stroked="f" strokeweight="0.75pt">
                        <v:path textboxrect="0,0,0,0"/>
                        <v:imagedata r:id="rId1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left:88179;top:23771;width:6203;height:22599;"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left:91970;top:23612;width:6203;height:22663;"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left:77645;top:30489;width:8274;height:16002;" stroked="f" strokeweight="0.75pt">
                        <v:path textboxrect="0,0,0,0"/>
                        <v:imagedata r:id="rId14" o:title=""/>
                      </v:shape>
                    </v:group>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wp:posOffset>
                      </wp:positionH>
                      <wp:positionV relativeFrom="paragraph">
                        <wp:posOffset>168910</wp:posOffset>
                      </wp:positionV>
                      <wp:extent cx="0" cy="300990"/>
                      <wp:effectExtent l="0" t="0" r="0" b="0"/>
                      <wp:wrapNone/>
                      <wp:docPr id="5" name="组合 1073742852"/>
                      <wp:cNvGraphicFramePr/>
                      <a:graphic xmlns:a="http://schemas.openxmlformats.org/drawingml/2006/main">
                        <a:graphicData uri="http://schemas.microsoft.com/office/word/2010/wordprocessingGroup">
                          <wpg:wgp>
                            <wpg:cNvGrpSpPr/>
                            <wpg:grpSpPr bwMode="auto">
                              <a:xfrm>
                                <a:off x="2998470" y="4601210"/>
                                <a:ext cx="0" cy="300990"/>
                                <a:chOff x="7159353" y="2361293"/>
                                <a:chExt cx="2658110" cy="2287905"/>
                              </a:xfrm>
                            </wpg:grpSpPr>
                            <pic:pic xmlns:pic="http://schemas.openxmlformats.org/drawingml/2006/picture">
                              <pic:nvPicPr>
                                <pic:cNvPr id="10170" name="图片 14" descr="安防监控杆"/>
                                <pic:cNvPicPr>
                                  <a:picLocks noChangeAspect="1"/>
                                </pic:cNvPicPr>
                                <pic:nvPr/>
                              </pic:nvPicPr>
                              <pic:blipFill>
                                <a:blip r:embed="rId13"/>
                                <a:stretch/>
                              </pic:blipFill>
                              <pic:spPr bwMode="auto">
                                <a:xfrm>
                                  <a:off x="8449038" y="2386058"/>
                                  <a:ext cx="620395" cy="2263140"/>
                                </a:xfrm>
                                <a:prstGeom prst="rect">
                                  <a:avLst/>
                                </a:prstGeom>
                                <a:noFill/>
                                <a:ln w="9525">
                                  <a:noFill/>
                                </a:ln>
                                <a:effectLst/>
                              </pic:spPr>
                            </pic:pic>
                            <pic:pic xmlns:pic="http://schemas.openxmlformats.org/drawingml/2006/picture">
                              <pic:nvPicPr>
                                <pic:cNvPr id="10171" name="图片 15" descr="侧面@1x"/>
                                <pic:cNvPicPr>
                                  <a:picLocks noChangeAspect="1"/>
                                </pic:cNvPicPr>
                                <pic:nvPr/>
                              </pic:nvPicPr>
                              <pic:blipFill>
                                <a:blip r:embed="rId14"/>
                                <a:stretch/>
                              </pic:blipFill>
                              <pic:spPr bwMode="auto">
                                <a:xfrm>
                                  <a:off x="7159353" y="3038838"/>
                                  <a:ext cx="824230" cy="1600200"/>
                                </a:xfrm>
                                <a:prstGeom prst="rect">
                                  <a:avLst/>
                                </a:prstGeom>
                                <a:noFill/>
                                <a:ln w="9525">
                                  <a:noFill/>
                                </a:ln>
                                <a:effectLst/>
                              </pic:spPr>
                            </pic:pic>
                            <pic:pic xmlns:pic="http://schemas.openxmlformats.org/drawingml/2006/picture">
                              <pic:nvPicPr>
                                <pic:cNvPr id="10172" name="图片 16" descr="安防监控杆"/>
                                <pic:cNvPicPr>
                                  <a:picLocks noChangeAspect="1"/>
                                </pic:cNvPicPr>
                                <pic:nvPr/>
                              </pic:nvPicPr>
                              <pic:blipFill>
                                <a:blip r:embed="rId13"/>
                                <a:stretch/>
                              </pic:blipFill>
                              <pic:spPr bwMode="auto">
                                <a:xfrm>
                                  <a:off x="8817973" y="2377168"/>
                                  <a:ext cx="620395" cy="2259965"/>
                                </a:xfrm>
                                <a:prstGeom prst="rect">
                                  <a:avLst/>
                                </a:prstGeom>
                                <a:noFill/>
                                <a:ln w="9525">
                                  <a:noFill/>
                                </a:ln>
                                <a:effectLst/>
                              </pic:spPr>
                            </pic:pic>
                            <pic:pic xmlns:pic="http://schemas.openxmlformats.org/drawingml/2006/picture">
                              <pic:nvPicPr>
                                <pic:cNvPr id="10173" name="图片 17" descr="安防监控杆"/>
                                <pic:cNvPicPr>
                                  <a:picLocks noChangeAspect="1"/>
                                </pic:cNvPicPr>
                                <pic:nvPr/>
                              </pic:nvPicPr>
                              <pic:blipFill>
                                <a:blip r:embed="rId13"/>
                                <a:stretch/>
                              </pic:blipFill>
                              <pic:spPr bwMode="auto">
                                <a:xfrm>
                                  <a:off x="9197068" y="2361293"/>
                                  <a:ext cx="620395" cy="2266315"/>
                                </a:xfrm>
                                <a:prstGeom prst="rect">
                                  <a:avLst/>
                                </a:prstGeom>
                                <a:noFill/>
                                <a:ln w="9525">
                                  <a:noFill/>
                                </a:ln>
                                <a:effectLst/>
                              </pic:spPr>
                            </pic:pic>
                            <pic:pic xmlns:pic="http://schemas.openxmlformats.org/drawingml/2006/picture">
                              <pic:nvPicPr>
                                <pic:cNvPr id="10174" name="图片 18" descr="侧面@1x"/>
                                <pic:cNvPicPr>
                                  <a:picLocks noChangeAspect="1"/>
                                </pic:cNvPicPr>
                                <pic:nvPr/>
                              </pic:nvPicPr>
                              <pic:blipFill>
                                <a:blip r:embed="rId14"/>
                                <a:stretch/>
                              </pic:blipFill>
                              <pic:spPr bwMode="auto">
                                <a:xfrm>
                                  <a:off x="7764508" y="3048998"/>
                                  <a:ext cx="827405" cy="1600200"/>
                                </a:xfrm>
                                <a:prstGeom prst="rect">
                                  <a:avLst/>
                                </a:prstGeom>
                                <a:noFill/>
                                <a:ln w="9525">
                                  <a:noFill/>
                                </a:ln>
                                <a:effectLst/>
                              </pic:spPr>
                            </pic:pic>
                          </wpg:wgp>
                        </a:graphicData>
                      </a:graphic>
                    </wp:anchor>
                  </w:drawing>
                </mc:Choice>
                <mc:Fallback>
                  <w:pict>
                    <v:group id="group 14" o:spid="_x0000_s0000" style="position:absolute;z-index:251662336;o:allowoverlap:true;o:allowincell:true;mso-position-horizontal-relative:text;margin-left:0.3pt;mso-position-horizontal:absolute;mso-position-vertical-relative:text;margin-top:13.3pt;mso-position-vertical:absolute;width:0.0pt;height:23.7pt;mso-wrap-distance-left:9.0pt;mso-wrap-distance-top:0.0pt;mso-wrap-distance-right:9.0pt;mso-wrap-distance-bottom:0.0pt;" coordorigin="71593,23612" coordsize="26581,228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left:84490;top:23860;width:6203;height:22631;"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left:71593;top:30388;width:8242;height:16002;" stroked="f" strokeweight="0.75pt">
                        <v:path textboxrect="0,0,0,0"/>
                        <v:imagedata r:id="rId1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left:88179;top:23771;width:6203;height:22599;"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left:91970;top:23612;width:6203;height:22663;"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77645;top:30489;width:8274;height:16002;" stroked="f" strokeweight="0.75pt">
                        <v:path textboxrect="0,0,0,0"/>
                        <v:imagedata r:id="rId14" o:title=""/>
                      </v:shape>
                    </v:group>
                  </w:pict>
                </mc:Fallback>
              </mc:AlternateContent>
            </w:r>
            <w:r>
              <w:rPr>
                <w:rFonts w:hint="eastAsia" w:ascii="宋体" w:hAnsi="宋体" w:cs="宋体"/>
                <w:color w:val="000000"/>
                <w:sz w:val="20"/>
                <w:szCs w:val="20"/>
                <w:lang w:bidi="ar"/>
              </w:rPr>
              <w:t xml:space="preserve">1.符合国家体测标准要求；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2.中考/体测专用仰卧起坐板，带加厚泡面支撑挡杆，可搭配室内体锻设备、体锻仓或体测一体机使用。</w:t>
            </w:r>
            <w:r/>
          </w:p>
        </w:tc>
        <w:tc>
          <w:tcPr>
            <w:tcW w:w="720"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w:t>
            </w:r>
            <w:r/>
          </w:p>
        </w:tc>
        <w:tc>
          <w:tcPr>
            <w:tcW w:w="1035" w:type="dxa"/>
            <w:vAlign w:val="center"/>
            <w:vMerge w:val="continue"/>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测试立杆、配电箱、及其他配件</w:t>
            </w:r>
            <w:r/>
          </w:p>
        </w:tc>
        <w:tc>
          <w:tcPr>
            <w:tcW w:w="5370"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1、适用于跑步测试、跑圈锻炼、球类测试等项目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2、立柱高度≥3米，横臂长度根据场地环境和项目需求定制。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3、材质为加厚铁管柱，工业烤漆，外表镀锌防腐。</w:t>
            </w:r>
            <w:r/>
          </w:p>
        </w:tc>
        <w:tc>
          <w:tcPr>
            <w:tcW w:w="720"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highlight w:val="none"/>
                <w:lang w:val="en-US" w:eastAsia="zh-CN" w:bidi="ar"/>
              </w:rPr>
              <w:t xml:space="preserve">10</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w:t>
            </w:r>
            <w:r/>
          </w:p>
        </w:tc>
        <w:tc>
          <w:tcPr>
            <w:tcW w:w="1035" w:type="dxa"/>
            <w:vAlign w:val="center"/>
            <w:vMerge w:val="continue"/>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施工及辅材</w:t>
            </w:r>
            <w:r/>
          </w:p>
        </w:tc>
        <w:tc>
          <w:tcPr>
            <w:tcW w:w="5370"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预埋、开槽、布线回填及调试</w:t>
            </w:r>
            <w:r/>
          </w:p>
        </w:tc>
        <w:tc>
          <w:tcPr>
            <w:tcW w:w="720"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bl>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t xml:space="preserve">第六章投标文件</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1084"/>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项 目 名 称:</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1066"/>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1066"/>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招 标 编 号:</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1066"/>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投标人名称:（加盖CA电子公章）</w:t>
      </w:r>
      <w:r/>
    </w:p>
    <w:p>
      <w:pPr>
        <w:ind w:left="0" w:right="0" w:firstLine="1066"/>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1066"/>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日期：</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一、投标函</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70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关于采购项目（项目编号:          ）招标文件（包括更正公告、如果有的话）收悉，我们经详细审阅和研究，现决定参加投标。同时，正式授权下述签字人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（姓名和职务）代表</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（投标人单位名称），全权处理本次项目投标的有关事宜。</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1、我公司没有为本项目提供整体设计、规范编制或者项目管理、监理、检测等服务。</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3、我们接受招标文件的所有的条款和规定。</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5、我们理解，你们无义务必须接受投标价最低的投标。同时也理解你们不承担我们本次投标的费用。</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6、我们同意向贵方提供贵方可能要求的与投标有关的任何证据或资料，并保证所提供的都是真实的、准确的。</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7、一旦我方中标，我方将根据招标文件的规定，严格履行合同的责任和义务，并保证在按招标文件中规定的时间内供货，并完成项目的施工、调试、交付买方验收、使用。</w:t>
      </w:r>
      <w:r/>
    </w:p>
    <w:p>
      <w:pPr>
        <w:ind w:left="0" w:right="560" w:firstLine="294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560" w:firstLine="294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投标人名称（电子签章）:</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560" w:firstLine="294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地址:</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邮编:</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560" w:firstLine="42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电话:</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传真:</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560" w:firstLine="42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3036"/>
        <w:jc w:val="both"/>
        <w:spacing w:before="19"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3036"/>
        <w:jc w:val="both"/>
        <w:spacing w:before="19"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二、开标一览表</w:t>
      </w:r>
      <w:r/>
    </w:p>
    <w:p>
      <w:pPr>
        <w:ind w:left="0" w:right="0" w:firstLine="3036"/>
        <w:jc w:val="both"/>
        <w:spacing w:before="19"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w:t>
      </w:r>
      <w:r/>
    </w:p>
    <w:tbl>
      <w:tblPr>
        <w:tblStyle w:val="745"/>
        <w:tblW w:w="84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投标报价</w:t>
            </w:r>
            <w:r/>
          </w:p>
          <w:p>
            <w:pPr>
              <w:ind w:left="0" w:right="0" w:firstLine="0"/>
              <w:jc w:val="center"/>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val="false"/>
          </w:tcPr>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（小写）</w:t>
            </w:r>
            <w:r>
              <w:rPr>
                <w:rFonts w:ascii="宋体" w:hAnsi="宋体" w:eastAsia="宋体" w:cs="宋体"/>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14:textFill>
                  <w14:solidFill>
                    <w14:schemeClr w14:val="tx1"/>
                  </w14:solidFill>
                </w14:textFill>
              </w:rPr>
              <w:t xml:space="preserve"> </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（大写）人民币</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佰</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拾</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佰</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拾</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元整</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14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核心品牌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val="false"/>
          </w:tcPr>
          <w:p>
            <w:pPr>
              <w:ind w:left="0" w:right="0" w:firstLine="154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tc>
      </w:tr>
    </w:tbl>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三、投标报价明细表</w:t>
      </w:r>
      <w:r/>
    </w:p>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bl>
      <w:tblPr>
        <w:tblStyle w:val="74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221"/>
        <w:gridCol w:w="819"/>
        <w:gridCol w:w="1163"/>
        <w:gridCol w:w="1049"/>
        <w:gridCol w:w="761"/>
        <w:gridCol w:w="962"/>
        <w:gridCol w:w="991"/>
        <w:gridCol w:w="833"/>
        <w:gridCol w:w="77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spacing w:before="0" w:after="0" w:line="340" w:lineRule="atLeast"/>
              <w:tabs>
                <w:tab w:val="left" w:pos="319"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分项总价</w:t>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103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投标总报价（人民币：元） </w:t>
            </w:r>
            <w:r/>
          </w:p>
        </w:tc>
      </w:tr>
      <w:tr>
        <w:trPr>
          <w:trHeight w:val="103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40" w:lineRule="atLeast"/>
              <w:rPr>
                <w:rFonts w:ascii="华文仿宋" w:hAnsi="华文仿宋" w:cs="华文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b/>
                <w:color w:val="000000" w:themeColor="text1"/>
                <w:sz w:val="28"/>
                <w:highlight w:val="none"/>
                <w14:textFill>
                  <w14:solidFill>
                    <w14:schemeClr w14:val="tx1"/>
                  </w14:solidFill>
                </w14:textFill>
              </w:rPr>
              <w:t xml:space="preserve">本采购包中提供的符合本国产品标准的产品成本之和占该采购包提供的全部产品成本之和的比例为</w:t>
            </w:r>
            <w:r>
              <w:rPr>
                <w:rFonts w:ascii="华文仿宋" w:hAnsi="华文仿宋" w:eastAsia="Arial" w:cs="华文仿宋"/>
                <w:b/>
                <w:color w:val="000000" w:themeColor="text1"/>
                <w:sz w:val="28"/>
                <w:highlight w:val="none"/>
                <w:u w:val="single"/>
                <w14:textFill>
                  <w14:solidFill>
                    <w14:schemeClr w14:val="tx1"/>
                  </w14:solidFill>
                </w14:textFill>
              </w:rPr>
              <w:t xml:space="preserve">      </w:t>
            </w:r>
            <w:r>
              <w:rPr>
                <w:rFonts w:ascii="华文仿宋" w:hAnsi="华文仿宋" w:eastAsia="华文仿宋" w:cs="华文仿宋"/>
                <w:b/>
                <w:color w:val="000000" w:themeColor="text1"/>
                <w:sz w:val="28"/>
                <w:highlight w:val="none"/>
                <w14:textFill>
                  <w14:solidFill>
                    <w14:schemeClr w14:val="tx1"/>
                  </w14:solidFill>
                </w14:textFill>
              </w:rPr>
              <w:t xml:space="preserve">%。</w:t>
            </w:r>
            <w:r/>
          </w:p>
        </w:tc>
      </w:tr>
    </w:tbl>
    <w:p>
      <w:pPr>
        <w:ind w:left="0" w:right="0" w:firstLine="411"/>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411"/>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9"/>
        </w:numPr>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“投标分项报价表”中“投标总报价”数额应当与“开标一览表”中“投标总报价”数额一致。</w:t>
      </w:r>
      <w:r/>
    </w:p>
    <w:p>
      <w:pPr>
        <w:numPr>
          <w:ilvl w:val="0"/>
          <w:numId w:val="9"/>
        </w:numPr>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numPr>
          <w:ilvl w:val="0"/>
          <w:numId w:val="9"/>
        </w:numPr>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投标人需认真填写本报价表，尤其注意规格型号的准确填写。</w:t>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四、技术要求响应偏离表</w:t>
      </w:r>
      <w:r/>
    </w:p>
    <w:tbl>
      <w:tblPr>
        <w:tblStyle w:val="745"/>
        <w:tblW w:w="88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项目采购需求中主要技术</w:t>
            </w:r>
            <w:r/>
          </w:p>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所投产品规格、型号及相应技术参数描述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偏离情况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备注</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bl>
    <w:p>
      <w:pPr>
        <w:ind w:left="0" w:right="0" w:firstLine="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注:（1）是否偏离用符号“+、=、-”分别表示正偏离、完全响应、负偏离。 </w:t>
      </w:r>
      <w:r/>
    </w:p>
    <w:p>
      <w:pPr>
        <w:ind w:left="0" w:right="0" w:firstLine="42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五、资质审查时投标人必须提供的资格证明文件</w:t>
      </w:r>
      <w:r/>
    </w:p>
    <w:p>
      <w:pPr>
        <w:ind w:left="0" w:right="0" w:firstLine="551"/>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1、提供下列材料之一:</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（1）投标人提供法定代表人资格证明（格式详见示范格式一）和法定代表人身份证（加盖CA电子签章）；</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（2）投标人提供授权委托书（格式详见示范格式二）和受托人身份证（加盖CA电子签章）。</w:t>
      </w:r>
      <w:r/>
    </w:p>
    <w:p>
      <w:pPr>
        <w:ind w:left="0" w:right="0" w:firstLine="7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2、投标人符合《中华人民共和国政府采购法》第二十二条规定条件的承诺函（格式详见示范格式三）；</w:t>
      </w:r>
      <w:r/>
    </w:p>
    <w:p>
      <w:pPr>
        <w:ind w:left="0" w:right="0" w:firstLine="7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3、落实政府采购政策需满足的资格要求（提供下列任一项材料即可，非专门面向中小企业或者预留份额的采购项目，本项无需提供）: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（1）企业声明函（详见示范格式四）；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（2）《残疾人福利性单位声明函》（详见示范格式五）；</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（3）由省级以上监狱管理局、戒毒管理局（含新疆生产建设兵团）出具的属于监狱企业的证明文件）（加盖出具单位公章的电子件）。</w:t>
      </w:r>
      <w:r/>
    </w:p>
    <w:p>
      <w:pPr>
        <w:ind w:firstLine="560"/>
        <w:spacing w:line="520" w:lineRule="exact"/>
        <w:rPr>
          <w:rFonts w:hint="default" w:ascii="仿宋" w:hAnsi="仿宋" w:eastAsia="仿宋"/>
          <w:sz w:val="28"/>
          <w:szCs w:val="28"/>
          <w:lang w:val="en-US" w:eastAsia="zh-CN"/>
        </w:rPr>
      </w:pPr>
      <w:r>
        <w:rPr>
          <w:rFonts w:ascii="仿宋" w:hAnsi="仿宋" w:eastAsia="仿宋" w:cs="仿宋"/>
          <w:color w:val="000000" w:themeColor="text1"/>
          <w:sz w:val="28"/>
          <w:highlight w:val="none"/>
          <w14:textFill>
            <w14:solidFill>
              <w14:schemeClr w14:val="tx1"/>
            </w14:solidFill>
          </w14:textFill>
        </w:rPr>
        <w:t xml:space="preserve">4、根据本项目的特定资格要求</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无</w:t>
      </w:r>
      <w:r/>
    </w:p>
    <w:p>
      <w:pPr>
        <w:ind w:left="0" w:right="0" w:firstLine="72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723"/>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六、综合评分时投标人需提供的证明文件</w:t>
      </w:r>
      <w:r/>
    </w:p>
    <w:p>
      <w:pPr>
        <w:ind w:left="0" w:right="0" w:firstLine="84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（投标人根据第三章评标标准的要求提供相关材料）</w:t>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七、示范格式</w:t>
      </w:r>
      <w:r/>
    </w:p>
    <w:p>
      <w:pPr>
        <w:ind w:left="0" w:right="0" w:firstLine="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示范格式一</w:t>
      </w:r>
      <w:r/>
    </w:p>
    <w:p>
      <w:pPr>
        <w:ind w:left="0" w:right="0" w:firstLine="257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w:t>
      </w:r>
      <w:r/>
    </w:p>
    <w:p>
      <w:pPr>
        <w:ind w:left="0" w:right="0" w:firstLine="2891"/>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法定代表人资格证明</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单位名称:</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地址:</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姓名:     性别:      年龄:      职务:</w:t>
      </w:r>
      <w:r/>
    </w:p>
    <w:p>
      <w:pPr>
        <w:ind w:left="1"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系</w:t>
      </w:r>
      <w:r>
        <w:rPr>
          <w:rFonts w:ascii="仿宋" w:hAnsi="仿宋" w:eastAsia="仿宋" w:cs="仿宋"/>
          <w:color w:val="000000" w:themeColor="text1"/>
          <w:sz w:val="28"/>
          <w:highlight w:val="none"/>
          <w:u w:val="single"/>
          <w14:textFill>
            <w14:solidFill>
              <w14:schemeClr w14:val="tx1"/>
            </w14:solidFill>
          </w14:textFill>
        </w:rPr>
        <w:t xml:space="preserve"> （投标人单位名称）</w:t>
      </w:r>
      <w:r>
        <w:rPr>
          <w:rFonts w:ascii="仿宋" w:hAnsi="仿宋" w:eastAsia="仿宋" w:cs="仿宋"/>
          <w:color w:val="000000" w:themeColor="text1"/>
          <w:sz w:val="28"/>
          <w:highlight w:val="none"/>
          <w14:textFill>
            <w14:solidFill>
              <w14:schemeClr w14:val="tx1"/>
            </w14:solidFill>
          </w14:textFill>
        </w:rPr>
        <w:t xml:space="preserve">的法定代表人。为参与</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项目，签署上述项目的投标文件、进行招标、签署合同和处理与之有关的一切事务。</w:t>
      </w:r>
      <w:r/>
    </w:p>
    <w:p>
      <w:pPr>
        <w:ind w:left="0" w:right="0" w:firstLine="28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28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特此证明。</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4760" w:right="560" w:hanging="182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注:投标人法定代表人参加投标的，必须附法定代表人身份证扫描件加盖投标人电子签章。</w:t>
      </w:r>
      <w:r/>
    </w:p>
    <w:p>
      <w:pPr>
        <w:ind w:left="-359" w:right="0" w:firstLine="357"/>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359" w:right="0" w:firstLine="357"/>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示范格式二</w:t>
      </w:r>
      <w:r/>
    </w:p>
    <w:p>
      <w:pPr>
        <w:ind w:left="0" w:right="0" w:firstLine="321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授权委托书</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t xml:space="preserve">致</w:t>
      </w:r>
      <w:r>
        <w:rPr>
          <w:rFonts w:hint="eastAsia" w:ascii="仿宋" w:hAnsi="仿宋" w:eastAsia="仿宋" w:cs="仿宋"/>
          <w:color w:val="000000" w:themeColor="text1"/>
          <w:sz w:val="30"/>
          <w:highlight w:val="none"/>
          <w:lang w:eastAsia="zh-CN"/>
          <w14:textFill>
            <w14:solidFill>
              <w14:schemeClr w14:val="tx1"/>
            </w14:solidFill>
          </w14:textFill>
        </w:rPr>
        <w:t xml:space="preserve">盱眙县教育体育局</w:t>
      </w:r>
      <w:r>
        <w:rPr>
          <w:rFonts w:ascii="仿宋" w:hAnsi="仿宋" w:eastAsia="仿宋" w:cs="仿宋"/>
          <w:color w:val="000000" w:themeColor="text1"/>
          <w:sz w:val="30"/>
          <w:highlight w:val="none"/>
          <w14:textFill>
            <w14:solidFill>
              <w14:schemeClr w14:val="tx1"/>
            </w14:solidFill>
          </w14:textFill>
        </w:rPr>
        <w:t xml:space="preserve">:</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本授权书宣告:</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委托方:</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地址:</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法定代表人:</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受托人:姓名</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性别:</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出生日期: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所在单位:</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职务:</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身 份 证:</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联系方式:</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兹委托受托人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代表我公司参加</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组织的（项目编号:          ）    采购项目的政府采购活动，受托人有权在该招标活动中，以我单位的名义签署投标函和投标文件，与采购中心协商、澄清、解释，签订合同书并执行一切与此有关的事项。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受托人在办理上述事宜过程中以其自己的名义所签署的所有文件我公司均予以承认。受托人无转委托权。</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委托期限:至上述事宜处理完毕止。</w:t>
      </w:r>
      <w:r/>
    </w:p>
    <w:p>
      <w:pPr>
        <w:ind w:left="0" w:right="0" w:firstLine="6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359"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注:投标人委托受托人参加投标的，必须附受托人身份证扫描件加盖投标人电子签章。</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示范格式三</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w:t>
      </w:r>
      <w:r/>
    </w:p>
    <w:p>
      <w:pPr>
        <w:ind w:left="0" w:right="0" w:firstLine="0"/>
        <w:jc w:val="center"/>
        <w:spacing w:before="0" w:after="0" w:line="519" w:lineRule="atLeast"/>
        <w:rPr>
          <w:rFonts w:ascii="仿宋" w:hAnsi="仿宋" w:eastAsia="仿宋" w:cs="仿宋"/>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符合《中华人民共和国政府采购法》第二十二条规定条件的</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声明函</w:t>
      </w:r>
      <w:r/>
    </w:p>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84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我公司参加贵中心组织实施的（项目编号:      ）    采购项目的政府采购活动。针对《中华人民共和国政府采购法》第二十二条规定做出如下声明：</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1、我单位具有独立承担民事责任的能力；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2、我单位具有良好的商业信誉和健全的财务会计制度；</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3、我单位具有履行合同所必需的设备和专业技术能力；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4、我单位有依法缴纳税收和社会保障资金的良好记录；</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6、我单位满足法律、行政法规规定的其他条件。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right"/>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承诺人: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示范格式四</w:t>
      </w: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企业声明函（货物类）</w:t>
      </w:r>
      <w:r/>
    </w:p>
    <w:p>
      <w:pPr>
        <w:ind w:left="0" w:right="0" w:firstLine="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00"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本公司郑重声明，根据《政府采购促进中小企业发展管理办法》（财库﹝2020﹞46号）的规定，本公司参加</w:t>
      </w:r>
      <w:r>
        <w:rPr>
          <w:rFonts w:ascii="仿宋" w:hAnsi="仿宋" w:eastAsia="仿宋" w:cs="仿宋"/>
          <w:color w:val="000000" w:themeColor="text1"/>
          <w:sz w:val="28"/>
          <w:highlight w:val="none"/>
          <w:u w:val="single"/>
          <w14:textFill>
            <w14:solidFill>
              <w14:schemeClr w14:val="tx1"/>
            </w14:solidFill>
          </w14:textFill>
        </w:rPr>
        <w:t xml:space="preserve">（单位名称）</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（项目名称）</w:t>
      </w:r>
      <w:r>
        <w:rPr>
          <w:rFonts w:ascii="仿宋" w:hAnsi="仿宋" w:eastAsia="仿宋" w:cs="仿宋"/>
          <w:color w:val="000000" w:themeColor="text1"/>
          <w:sz w:val="28"/>
          <w:highlight w:val="none"/>
          <w14:textFill>
            <w14:solidFill>
              <w14:schemeClr w14:val="tx1"/>
            </w14:solidFill>
          </w14:textFill>
        </w:rPr>
        <w:t xml:space="preserve">采购活动，提供的货物全部由符合政策要求的中小企业制造。相关企业的具体情况如下：</w:t>
      </w:r>
      <w:r/>
    </w:p>
    <w:p>
      <w:pPr>
        <w:ind w:left="0" w:right="0" w:firstLine="560"/>
        <w:jc w:val="both"/>
        <w:spacing w:before="0" w:after="0" w:line="600"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w:t>
      </w:r>
      <w:r>
        <w:rPr>
          <w:rFonts w:ascii="仿宋" w:hAnsi="仿宋" w:eastAsia="仿宋" w:cs="仿宋"/>
          <w:color w:val="000000" w:themeColor="text1"/>
          <w:sz w:val="28"/>
          <w:highlight w:val="none"/>
          <w:u w:val="single"/>
          <w14:textFill>
            <w14:solidFill>
              <w14:schemeClr w14:val="tx1"/>
            </w14:solidFill>
          </w14:textFill>
        </w:rPr>
        <w:t xml:space="preserve">（标的名称）</w:t>
      </w:r>
      <w:r>
        <w:rPr>
          <w:rFonts w:ascii="仿宋" w:hAnsi="仿宋" w:eastAsia="仿宋" w:cs="仿宋"/>
          <w:color w:val="000000" w:themeColor="text1"/>
          <w:sz w:val="28"/>
          <w:highlight w:val="none"/>
          <w14:textFill>
            <w14:solidFill>
              <w14:schemeClr w14:val="tx1"/>
            </w14:solidFill>
          </w14:textFill>
        </w:rPr>
        <w:t xml:space="preserve"> ，属于</w:t>
      </w:r>
      <w:r>
        <w:rPr>
          <w:rFonts w:ascii="仿宋" w:hAnsi="仿宋" w:eastAsia="仿宋" w:cs="仿宋"/>
          <w:color w:val="000000" w:themeColor="text1"/>
          <w:sz w:val="28"/>
          <w:highlight w:val="none"/>
          <w:u w:val="single"/>
          <w14:textFill>
            <w14:solidFill>
              <w14:schemeClr w14:val="tx1"/>
            </w14:solidFill>
          </w14:textFill>
        </w:rPr>
        <w:t xml:space="preserve">（采购文件中明确的所属行业）</w:t>
      </w:r>
      <w:r>
        <w:rPr>
          <w:rFonts w:ascii="仿宋" w:hAnsi="仿宋" w:eastAsia="仿宋" w:cs="仿宋"/>
          <w:color w:val="000000" w:themeColor="text1"/>
          <w:sz w:val="28"/>
          <w:highlight w:val="none"/>
          <w14:textFill>
            <w14:solidFill>
              <w14:schemeClr w14:val="tx1"/>
            </w14:solidFill>
          </w14:textFill>
        </w:rPr>
        <w:t xml:space="preserve">行业；制造商为（企业名称），从业人员</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人，营业收入为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万元，资产总额为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万元，属于（中型企业、小型企业、微型企业）；</w:t>
      </w:r>
      <w:r/>
    </w:p>
    <w:p>
      <w:pPr>
        <w:ind w:left="0" w:right="0" w:firstLine="560"/>
        <w:jc w:val="both"/>
        <w:spacing w:before="0" w:after="0" w:line="600"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w:t>
      </w:r>
      <w:r>
        <w:rPr>
          <w:rFonts w:ascii="仿宋" w:hAnsi="仿宋" w:eastAsia="仿宋" w:cs="仿宋"/>
          <w:color w:val="000000" w:themeColor="text1"/>
          <w:sz w:val="28"/>
          <w:highlight w:val="none"/>
          <w:u w:val="single"/>
          <w14:textFill>
            <w14:solidFill>
              <w14:schemeClr w14:val="tx1"/>
            </w14:solidFill>
          </w14:textFill>
        </w:rPr>
        <w:t xml:space="preserve"> （标的名称）</w:t>
      </w:r>
      <w:r>
        <w:rPr>
          <w:rFonts w:ascii="仿宋" w:hAnsi="仿宋" w:eastAsia="仿宋" w:cs="仿宋"/>
          <w:color w:val="000000" w:themeColor="text1"/>
          <w:sz w:val="28"/>
          <w:highlight w:val="none"/>
          <w14:textFill>
            <w14:solidFill>
              <w14:schemeClr w14:val="tx1"/>
            </w14:solidFill>
          </w14:textFill>
        </w:rPr>
        <w:t xml:space="preserve"> ，属于（采购文件中明确的所属行业）行业；制造商为（企业名称），从业人员</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人，营业收入为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万元，资产总额为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万元，属于（中型企业、小型企业、微型企业）。</w:t>
      </w:r>
      <w:r/>
    </w:p>
    <w:p>
      <w:pPr>
        <w:ind w:left="0" w:right="0" w:firstLine="56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highlight w:val="none"/>
          <w14:textFill>
            <w14:solidFill>
              <w14:schemeClr w14:val="tx1"/>
            </w14:solidFill>
          </w14:textFill>
        </w:rPr>
        <w:t xml:space="preserve">……</w:t>
      </w:r>
      <w:r/>
    </w:p>
    <w:p>
      <w:pPr>
        <w:ind w:left="0" w:right="0" w:firstLine="56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本企业对上述声明内容的真实性负责。如有虚假，将依法承担相应责任。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注：从业人员、营业收入、资产总额填报上一年度数据，无上一年度数据的新成立企业可不填报。</w:t>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示范格式五</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残疾人福利性单位声明函</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1、根据《财政部民政部中国残疾人联合会关于促进残疾人就业政府采购政策的通知》（财库〔2017〕141号）规定的划分标准，本公司为残疾人福利性企业。</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注:本公司对上述声明的真实性负责。如有虚假，将依法承担相应责任。</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565"/>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注:非残疾人福利性单位不需提供此函。</w:t>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示范格式六</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关于符合本国产品标准的声明函（采购包号：**）</w:t>
      </w:r>
      <w:r/>
    </w:p>
    <w:p>
      <w:pPr>
        <w:ind w:left="0" w:right="0" w:firstLine="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36"/>
          <w:highlight w:val="none"/>
          <w:u w:val="single"/>
          <w:vertAlign w:val="superscript"/>
          <w14:textFill>
            <w14:solidFill>
              <w14:schemeClr w14:val="tx1"/>
            </w14:solidFill>
          </w14:textFill>
        </w:rPr>
        <w:t xml:space="preserve">1</w:t>
      </w:r>
      <w:r>
        <w:rPr>
          <w:rFonts w:ascii="仿宋" w:hAnsi="仿宋" w:eastAsia="仿宋" w:cs="仿宋"/>
          <w:color w:val="000000" w:themeColor="text1"/>
          <w:sz w:val="28"/>
          <w:highlight w:val="none"/>
          <w14:textFill>
            <w14:solidFill>
              <w14:schemeClr w14:val="tx1"/>
            </w14:solidFill>
          </w14:textFill>
        </w:rPr>
        <w:t xml:space="preserve">，生产厂为</w:t>
      </w:r>
      <w:r>
        <w:rPr>
          <w:rFonts w:ascii="仿宋" w:hAnsi="仿宋" w:eastAsia="仿宋" w:cs="仿宋"/>
          <w:color w:val="000000" w:themeColor="text1"/>
          <w:sz w:val="28"/>
          <w:highlight w:val="none"/>
          <w:u w:val="single"/>
          <w14:textFill>
            <w14:solidFill>
              <w14:schemeClr w14:val="tx1"/>
            </w14:solidFill>
          </w14:textFill>
        </w:rPr>
        <w:t xml:space="preserve">（厂名）</w:t>
      </w:r>
      <w:r>
        <w:rPr>
          <w:rFonts w:ascii="仿宋" w:hAnsi="仿宋" w:eastAsia="仿宋" w:cs="仿宋"/>
          <w:color w:val="000000" w:themeColor="text1"/>
          <w:sz w:val="36"/>
          <w:highlight w:val="none"/>
          <w:vertAlign w:val="superscript"/>
          <w14:textFill>
            <w14:solidFill>
              <w14:schemeClr w14:val="tx1"/>
            </w14:solidFill>
          </w14:textFill>
        </w:rPr>
        <w:t xml:space="preserve">2</w:t>
      </w:r>
      <w:r>
        <w:rPr>
          <w:rFonts w:ascii="仿宋" w:hAnsi="仿宋" w:eastAsia="仿宋" w:cs="仿宋"/>
          <w:color w:val="000000" w:themeColor="text1"/>
          <w:sz w:val="28"/>
          <w:highlight w:val="none"/>
          <w14:textFill>
            <w14:solidFill>
              <w14:schemeClr w14:val="tx1"/>
            </w14:solidFill>
          </w14:textFill>
        </w:rPr>
        <w:t xml:space="preserve">，厂址为</w:t>
      </w:r>
      <w:r>
        <w:rPr>
          <w:rFonts w:ascii="仿宋" w:hAnsi="仿宋" w:eastAsia="仿宋" w:cs="仿宋"/>
          <w:color w:val="000000" w:themeColor="text1"/>
          <w:sz w:val="28"/>
          <w:highlight w:val="none"/>
          <w:u w:val="single"/>
          <w14:textFill>
            <w14:solidFill>
              <w14:schemeClr w14:val="tx1"/>
            </w14:solidFill>
          </w14:textFill>
        </w:rPr>
        <w:t xml:space="preserve">（生产厂址）</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 的中国境内生产的组件成本占比≥</w:t>
      </w:r>
      <w:r>
        <w:rPr>
          <w:rFonts w:ascii="仿宋" w:hAnsi="仿宋" w:eastAsia="仿宋" w:cs="仿宋"/>
          <w:color w:val="000000" w:themeColor="text1"/>
          <w:sz w:val="28"/>
          <w:highlight w:val="none"/>
          <w:u w:val="single"/>
          <w14:textFill>
            <w14:solidFill>
              <w14:schemeClr w14:val="tx1"/>
            </w14:solidFill>
          </w14:textFill>
        </w:rPr>
        <w:t xml:space="preserve">（规定比例）</w:t>
      </w:r>
      <w:r>
        <w:rPr>
          <w:rFonts w:ascii="仿宋" w:hAnsi="仿宋" w:eastAsia="仿宋" w:cs="仿宋"/>
          <w:color w:val="000000" w:themeColor="text1"/>
          <w:sz w:val="32"/>
          <w:highlight w:val="none"/>
          <w:vertAlign w:val="superscript"/>
          <w14:textFill>
            <w14:solidFill>
              <w14:schemeClr w14:val="tx1"/>
            </w14:solidFill>
          </w14:textFill>
        </w:rPr>
        <w:t xml:space="preserve">3</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（关键组件）</w:t>
      </w:r>
      <w:r>
        <w:rPr>
          <w:rFonts w:ascii="仿宋" w:hAnsi="仿宋" w:eastAsia="仿宋" w:cs="仿宋"/>
          <w:color w:val="000000" w:themeColor="text1"/>
          <w:sz w:val="32"/>
          <w:highlight w:val="none"/>
          <w:vertAlign w:val="superscript"/>
          <w14:textFill>
            <w14:solidFill>
              <w14:schemeClr w14:val="tx1"/>
            </w14:solidFill>
          </w14:textFill>
        </w:rPr>
        <w:t xml:space="preserve">4</w:t>
      </w:r>
      <w:r>
        <w:rPr>
          <w:rFonts w:ascii="仿宋" w:hAnsi="仿宋" w:eastAsia="仿宋" w:cs="仿宋"/>
          <w:color w:val="000000" w:themeColor="text1"/>
          <w:sz w:val="28"/>
          <w:highlight w:val="none"/>
          <w14:textFill>
            <w14:solidFill>
              <w14:schemeClr w14:val="tx1"/>
            </w14:solidFill>
          </w14:textFill>
        </w:rPr>
        <w:t xml:space="preserve">在中国境内生产。</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（关键工序）</w:t>
      </w:r>
      <w:r>
        <w:rPr>
          <w:rFonts w:ascii="仿宋" w:hAnsi="仿宋" w:eastAsia="仿宋" w:cs="仿宋"/>
          <w:color w:val="000000" w:themeColor="text1"/>
          <w:sz w:val="36"/>
          <w:highlight w:val="none"/>
          <w:vertAlign w:val="superscript"/>
          <w14:textFill>
            <w14:solidFill>
              <w14:schemeClr w14:val="tx1"/>
            </w14:solidFill>
          </w14:textFill>
        </w:rPr>
        <w:t xml:space="preserve">5</w:t>
      </w:r>
      <w:r>
        <w:rPr>
          <w:rFonts w:ascii="仿宋" w:hAnsi="仿宋" w:eastAsia="仿宋" w:cs="仿宋"/>
          <w:color w:val="000000" w:themeColor="text1"/>
          <w:sz w:val="28"/>
          <w:highlight w:val="none"/>
          <w14:textFill>
            <w14:solidFill>
              <w14:schemeClr w14:val="tx1"/>
            </w14:solidFill>
          </w14:textFill>
        </w:rPr>
        <w:t xml:space="preserve">在中国境内完成。</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，生产厂为</w:t>
      </w:r>
      <w:r>
        <w:rPr>
          <w:rFonts w:ascii="仿宋" w:hAnsi="仿宋" w:eastAsia="仿宋" w:cs="仿宋"/>
          <w:color w:val="000000" w:themeColor="text1"/>
          <w:sz w:val="28"/>
          <w:highlight w:val="none"/>
          <w:u w:val="single"/>
          <w14:textFill>
            <w14:solidFill>
              <w14:schemeClr w14:val="tx1"/>
            </w14:solidFill>
          </w14:textFill>
        </w:rPr>
        <w:t xml:space="preserve">（厂名）</w:t>
      </w:r>
      <w:r>
        <w:rPr>
          <w:rFonts w:ascii="仿宋" w:hAnsi="仿宋" w:eastAsia="仿宋" w:cs="仿宋"/>
          <w:color w:val="000000" w:themeColor="text1"/>
          <w:sz w:val="28"/>
          <w:highlight w:val="none"/>
          <w14:textFill>
            <w14:solidFill>
              <w14:schemeClr w14:val="tx1"/>
            </w14:solidFill>
          </w14:textFill>
        </w:rPr>
        <w:t xml:space="preserve">，厂址为</w:t>
      </w:r>
      <w:r>
        <w:rPr>
          <w:rFonts w:ascii="仿宋" w:hAnsi="仿宋" w:eastAsia="仿宋" w:cs="仿宋"/>
          <w:color w:val="000000" w:themeColor="text1"/>
          <w:sz w:val="28"/>
          <w:highlight w:val="none"/>
          <w:u w:val="single"/>
          <w14:textFill>
            <w14:solidFill>
              <w14:schemeClr w14:val="tx1"/>
            </w14:solidFill>
          </w14:textFill>
        </w:rPr>
        <w:t xml:space="preserve">（生产厂址）</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的中国境内生产的组件成本占比≥</w:t>
      </w:r>
      <w:r>
        <w:rPr>
          <w:rFonts w:ascii="仿宋" w:hAnsi="仿宋" w:eastAsia="仿宋" w:cs="仿宋"/>
          <w:color w:val="000000" w:themeColor="text1"/>
          <w:sz w:val="28"/>
          <w:highlight w:val="none"/>
          <w:u w:val="single"/>
          <w14:textFill>
            <w14:solidFill>
              <w14:schemeClr w14:val="tx1"/>
            </w14:solidFill>
          </w14:textFill>
        </w:rPr>
        <w:t xml:space="preserve">（规定比例）</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（关键组件）</w:t>
      </w:r>
      <w:r>
        <w:rPr>
          <w:rFonts w:ascii="仿宋" w:hAnsi="仿宋" w:eastAsia="仿宋" w:cs="仿宋"/>
          <w:color w:val="000000" w:themeColor="text1"/>
          <w:sz w:val="28"/>
          <w:highlight w:val="none"/>
          <w14:textFill>
            <w14:solidFill>
              <w14:schemeClr w14:val="tx1"/>
            </w14:solidFill>
          </w14:textFill>
        </w:rPr>
        <w:t xml:space="preserve">在中国境内生产。</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（关键工序）</w:t>
      </w:r>
      <w:r>
        <w:rPr>
          <w:rFonts w:ascii="仿宋" w:hAnsi="仿宋" w:eastAsia="仿宋" w:cs="仿宋"/>
          <w:color w:val="000000" w:themeColor="text1"/>
          <w:sz w:val="28"/>
          <w:highlight w:val="none"/>
          <w14:textFill>
            <w14:solidFill>
              <w14:schemeClr w14:val="tx1"/>
            </w14:solidFill>
          </w14:textFill>
        </w:rPr>
        <w:t xml:space="preserve">在中国境内完成。</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本公司（单位）对上述声明内容的真实性负责。如有虚假，愿承担相应法律责任。</w:t>
      </w:r>
      <w:r/>
    </w:p>
    <w:p>
      <w:pPr>
        <w:ind w:left="0" w:right="0" w:firstLine="4933"/>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公司（单位）名称（盖章）：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　   年　  月　  日         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注：1.产品如有型号，请在“产品名称”栏一并填写。</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2.生产厂名与厂址应与生产厂营业执照载明的相关信息保持一致。</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3.该产品的中国境内生产的组件成本占比相关要求实施前，“规定比例”栏可不填，下同。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4.该产品的关键组件要求实施前，“关键组件”栏可不填，下同。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5.该产品的关键工序要求实施前，“关键工序”栏可不填，下同。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仿宋">
    <w:panose1 w:val="0201060906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Constantia">
    <w:panose1 w:val="02030602050306030303"/>
  </w:font>
  <w:font w:name="华文彩云">
    <w:panose1 w:val="02010800040101010101"/>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8"/>
      </w:rPr>
      <w:framePr w:wrap="around" w:vAnchor="text" w:hAnchor="margin" w:xAlign="center" w:y="1"/>
    </w:pPr>
    <w:r>
      <w:fldChar w:fldCharType="begin"/>
    </w:r>
    <w:r>
      <w:rPr>
        <w:rStyle w:val="938"/>
      </w:rP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hint="eastAsia" w:ascii="仿宋" w:hAnsi="仿宋" w:eastAsia="仿宋" w:cs="仿宋"/>
        <w:b/>
        <w:bCs/>
        <w:sz w:val="30"/>
        <w:szCs w:val="30"/>
      </w:rPr>
      <w:pBdr>
        <w:bottom w:val="single" w:color="auto" w:sz="4" w:space="0"/>
      </w:pBdr>
    </w:pPr>
    <w:r>
      <w:rPr>
        <w:rFonts w:hint="eastAsia" w:ascii="仿宋" w:hAnsi="仿宋" w:eastAsia="仿宋" w:cs="仿宋"/>
        <w:b/>
        <w:bCs/>
        <w:sz w:val="30"/>
        <w:szCs w:val="30"/>
      </w:rPr>
      <w:t xml:space="preserve">淮安市政府采购项目公开招标文件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Thousand"/>
      <w:pStyle w:val="98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1"/>
      <w:numFmt w:val="chineseCountingThousand"/>
      <w:pStyle w:val="97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7"/>
  </w:num>
  <w:num w:numId="3">
    <w:abstractNumId w:val="2"/>
  </w:num>
  <w:num w:numId="4">
    <w:abstractNumId w:val="6"/>
  </w:num>
  <w:num w:numId="5">
    <w:abstractNumId w:val="5"/>
  </w:num>
  <w:num w:numId="6">
    <w:abstractNumId w:val="0"/>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25"/>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name w:val="Heading 1"/>
    <w:basedOn w:val="713"/>
    <w:next w:val="713"/>
    <w:link w:val="751"/>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52"/>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4"/>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5"/>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6"/>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8"/>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9"/>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Layout w:type="fixed"/>
      <w:tblCellMar>
        <w:left w:w="108" w:type="dxa"/>
        <w:top w:w="0" w:type="dxa"/>
        <w:right w:w="108" w:type="dxa"/>
        <w:bottom w:w="0" w:type="dxa"/>
      </w:tblCellMar>
    </w:tblPr>
  </w:style>
  <w:style w:type="paragraph" w:styleId="725" w:customStyle="1">
    <w:name w:val="首行缩进"/>
    <w:basedOn w:val="713"/>
    <w:uiPriority w:val="0"/>
    <w:qFormat/>
    <w:pPr>
      <w:ind w:firstLine="420"/>
      <w:spacing w:line="360" w:lineRule="auto"/>
    </w:pPr>
    <w:rPr>
      <w:sz w:val="20"/>
    </w:rPr>
  </w:style>
  <w:style w:type="paragraph" w:styleId="726">
    <w:name w:val="toc 7"/>
    <w:basedOn w:val="713"/>
    <w:next w:val="713"/>
    <w:uiPriority w:val="39"/>
    <w:unhideWhenUsed/>
    <w:qFormat/>
    <w:pPr>
      <w:ind w:left="1701" w:right="0" w:firstLine="0"/>
      <w:spacing w:after="57"/>
    </w:pPr>
  </w:style>
  <w:style w:type="paragraph" w:styleId="727">
    <w:name w:val="Normal Indent"/>
    <w:basedOn w:val="713"/>
    <w:uiPriority w:val="0"/>
    <w:qFormat/>
    <w:pPr>
      <w:ind w:firstLine="420"/>
    </w:pPr>
    <w:rPr>
      <w:szCs w:val="20"/>
    </w:rPr>
  </w:style>
  <w:style w:type="paragraph" w:styleId="728">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Body Text"/>
    <w:basedOn w:val="713"/>
    <w:next w:val="72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0">
    <w:name w:val="toc 5"/>
    <w:basedOn w:val="713"/>
    <w:next w:val="713"/>
    <w:uiPriority w:val="39"/>
    <w:unhideWhenUsed/>
    <w:qFormat/>
    <w:pPr>
      <w:ind w:left="1134" w:right="0" w:firstLine="0"/>
      <w:spacing w:after="57"/>
    </w:pPr>
  </w:style>
  <w:style w:type="paragraph" w:styleId="731">
    <w:name w:val="toc 3"/>
    <w:basedOn w:val="713"/>
    <w:next w:val="713"/>
    <w:uiPriority w:val="39"/>
    <w:unhideWhenUsed/>
    <w:qFormat/>
    <w:pPr>
      <w:ind w:left="567" w:right="0" w:firstLine="0"/>
      <w:spacing w:after="57"/>
    </w:pPr>
  </w:style>
  <w:style w:type="paragraph" w:styleId="732">
    <w:name w:val="toc 8"/>
    <w:basedOn w:val="713"/>
    <w:next w:val="713"/>
    <w:uiPriority w:val="39"/>
    <w:unhideWhenUsed/>
    <w:qFormat/>
    <w:pPr>
      <w:ind w:left="1984" w:right="0" w:firstLine="0"/>
      <w:spacing w:after="57"/>
    </w:pPr>
  </w:style>
  <w:style w:type="paragraph" w:styleId="733">
    <w:name w:val="endnote text"/>
    <w:basedOn w:val="713"/>
    <w:link w:val="897"/>
    <w:uiPriority w:val="99"/>
    <w:semiHidden/>
    <w:unhideWhenUsed/>
    <w:qFormat/>
    <w:pPr>
      <w:spacing w:after="0" w:line="240" w:lineRule="auto"/>
    </w:pPr>
    <w:rPr>
      <w:sz w:val="20"/>
    </w:rPr>
  </w:style>
  <w:style w:type="paragraph" w:styleId="734">
    <w:name w:val="Footer"/>
    <w:basedOn w:val="713"/>
    <w:link w:val="770"/>
    <w:uiPriority w:val="99"/>
    <w:unhideWhenUsed/>
    <w:qFormat/>
    <w:pPr>
      <w:spacing w:after="0" w:line="240" w:lineRule="auto"/>
      <w:tabs>
        <w:tab w:val="center" w:pos="7143" w:leader="none"/>
        <w:tab w:val="right" w:pos="14287" w:leader="none"/>
      </w:tabs>
    </w:pPr>
  </w:style>
  <w:style w:type="paragraph" w:styleId="735">
    <w:name w:val="Header"/>
    <w:basedOn w:val="713"/>
    <w:link w:val="768"/>
    <w:uiPriority w:val="99"/>
    <w:unhideWhenUsed/>
    <w:qFormat/>
    <w:pPr>
      <w:spacing w:after="0" w:line="240" w:lineRule="auto"/>
      <w:tabs>
        <w:tab w:val="center" w:pos="7143" w:leader="none"/>
        <w:tab w:val="right" w:pos="14287" w:leader="none"/>
      </w:tabs>
    </w:pPr>
  </w:style>
  <w:style w:type="paragraph" w:styleId="736">
    <w:name w:val="toc 1"/>
    <w:basedOn w:val="713"/>
    <w:next w:val="713"/>
    <w:uiPriority w:val="39"/>
    <w:unhideWhenUsed/>
    <w:qFormat/>
    <w:pPr>
      <w:ind w:left="0" w:right="0" w:firstLine="0"/>
      <w:spacing w:after="57"/>
    </w:pPr>
  </w:style>
  <w:style w:type="paragraph" w:styleId="737">
    <w:name w:val="toc 4"/>
    <w:basedOn w:val="713"/>
    <w:next w:val="713"/>
    <w:uiPriority w:val="39"/>
    <w:unhideWhenUsed/>
    <w:qFormat/>
    <w:pPr>
      <w:ind w:left="850" w:right="0" w:firstLine="0"/>
      <w:spacing w:after="57"/>
    </w:pPr>
  </w:style>
  <w:style w:type="paragraph" w:styleId="738">
    <w:name w:val="Subtitle"/>
    <w:basedOn w:val="713"/>
    <w:next w:val="713"/>
    <w:link w:val="763"/>
    <w:uiPriority w:val="11"/>
    <w:qFormat/>
    <w:pPr>
      <w:spacing w:before="200" w:after="200"/>
    </w:pPr>
    <w:rPr>
      <w:sz w:val="24"/>
      <w:szCs w:val="24"/>
    </w:rPr>
  </w:style>
  <w:style w:type="paragraph" w:styleId="739">
    <w:name w:val="footnote text"/>
    <w:basedOn w:val="713"/>
    <w:link w:val="896"/>
    <w:uiPriority w:val="99"/>
    <w:semiHidden/>
    <w:unhideWhenUsed/>
    <w:qFormat/>
    <w:pPr>
      <w:spacing w:after="40" w:line="240" w:lineRule="auto"/>
    </w:pPr>
    <w:rPr>
      <w:sz w:val="18"/>
    </w:rPr>
  </w:style>
  <w:style w:type="paragraph" w:styleId="740">
    <w:name w:val="toc 6"/>
    <w:basedOn w:val="713"/>
    <w:next w:val="713"/>
    <w:uiPriority w:val="39"/>
    <w:unhideWhenUsed/>
    <w:qFormat/>
    <w:pPr>
      <w:ind w:left="1417" w:right="0" w:firstLine="0"/>
      <w:spacing w:after="57"/>
    </w:pPr>
  </w:style>
  <w:style w:type="paragraph" w:styleId="741">
    <w:name w:val="table of figures"/>
    <w:basedOn w:val="713"/>
    <w:next w:val="713"/>
    <w:uiPriority w:val="99"/>
    <w:unhideWhenUsed/>
    <w:qFormat/>
    <w:pPr>
      <w:spacing w:after="0" w:afterAutospacing="0"/>
    </w:pPr>
  </w:style>
  <w:style w:type="paragraph" w:styleId="742">
    <w:name w:val="toc 2"/>
    <w:basedOn w:val="713"/>
    <w:next w:val="713"/>
    <w:uiPriority w:val="39"/>
    <w:unhideWhenUsed/>
    <w:qFormat/>
    <w:pPr>
      <w:ind w:left="283" w:right="0" w:firstLine="0"/>
      <w:spacing w:after="57"/>
    </w:pPr>
  </w:style>
  <w:style w:type="paragraph" w:styleId="743">
    <w:name w:val="toc 9"/>
    <w:basedOn w:val="713"/>
    <w:next w:val="713"/>
    <w:uiPriority w:val="39"/>
    <w:unhideWhenUsed/>
    <w:qFormat/>
    <w:pPr>
      <w:ind w:left="2268" w:right="0" w:firstLine="0"/>
      <w:spacing w:after="57"/>
    </w:pPr>
  </w:style>
  <w:style w:type="paragraph" w:styleId="744">
    <w:name w:val="Title"/>
    <w:basedOn w:val="713"/>
    <w:next w:val="713"/>
    <w:link w:val="762"/>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paragraph" w:styleId="74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750" w:customStyle="1">
    <w:name w:val="BodyText1"/>
    <w:basedOn w:val="713"/>
    <w:uiPriority w:val="0"/>
    <w:qFormat/>
    <w:pPr>
      <w:jc w:val="both"/>
      <w:spacing w:after="120"/>
    </w:pPr>
  </w:style>
  <w:style w:type="character" w:styleId="751" w:customStyle="1">
    <w:name w:val="Heading 1 Char"/>
    <w:link w:val="714"/>
    <w:uiPriority w:val="9"/>
    <w:qFormat/>
    <w:rPr>
      <w:rFonts w:ascii="Arial" w:hAnsi="Arial" w:eastAsia="Arial" w:cs="Arial"/>
      <w:sz w:val="40"/>
      <w:szCs w:val="40"/>
    </w:rPr>
  </w:style>
  <w:style w:type="character" w:styleId="752" w:customStyle="1">
    <w:name w:val="Heading 2 Char"/>
    <w:link w:val="715"/>
    <w:uiPriority w:val="9"/>
    <w:qFormat/>
    <w:rPr>
      <w:rFonts w:ascii="Arial" w:hAnsi="Arial" w:eastAsia="Arial" w:cs="Arial"/>
      <w:sz w:val="34"/>
    </w:rPr>
  </w:style>
  <w:style w:type="character" w:styleId="753" w:customStyle="1">
    <w:name w:val="Heading 3 Char"/>
    <w:link w:val="716"/>
    <w:uiPriority w:val="9"/>
    <w:qFormat/>
    <w:rPr>
      <w:rFonts w:ascii="Arial" w:hAnsi="Arial" w:eastAsia="Arial" w:cs="Arial"/>
      <w:sz w:val="30"/>
      <w:szCs w:val="30"/>
    </w:rPr>
  </w:style>
  <w:style w:type="character" w:styleId="754" w:customStyle="1">
    <w:name w:val="Heading 4 Char"/>
    <w:link w:val="717"/>
    <w:uiPriority w:val="9"/>
    <w:qFormat/>
    <w:rPr>
      <w:rFonts w:ascii="Arial" w:hAnsi="Arial" w:eastAsia="Arial" w:cs="Arial"/>
      <w:b/>
      <w:bCs/>
      <w:sz w:val="26"/>
      <w:szCs w:val="26"/>
    </w:rPr>
  </w:style>
  <w:style w:type="character" w:styleId="755" w:customStyle="1">
    <w:name w:val="Heading 5 Char"/>
    <w:link w:val="718"/>
    <w:uiPriority w:val="9"/>
    <w:qFormat/>
    <w:rPr>
      <w:rFonts w:ascii="Arial" w:hAnsi="Arial" w:eastAsia="Arial" w:cs="Arial"/>
      <w:b/>
      <w:bCs/>
      <w:sz w:val="24"/>
      <w:szCs w:val="24"/>
    </w:rPr>
  </w:style>
  <w:style w:type="character" w:styleId="756" w:customStyle="1">
    <w:name w:val="Heading 6 Char"/>
    <w:link w:val="719"/>
    <w:uiPriority w:val="9"/>
    <w:qFormat/>
    <w:rPr>
      <w:rFonts w:ascii="Arial" w:hAnsi="Arial" w:eastAsia="Arial" w:cs="Arial"/>
      <w:b/>
      <w:bCs/>
      <w:sz w:val="22"/>
      <w:szCs w:val="22"/>
    </w:rPr>
  </w:style>
  <w:style w:type="character" w:styleId="757" w:customStyle="1">
    <w:name w:val="Heading 7 Char"/>
    <w:link w:val="720"/>
    <w:uiPriority w:val="9"/>
    <w:qFormat/>
    <w:rPr>
      <w:rFonts w:ascii="Arial" w:hAnsi="Arial" w:eastAsia="Arial" w:cs="Arial"/>
      <w:b/>
      <w:bCs/>
      <w:i/>
      <w:iCs/>
      <w:sz w:val="22"/>
      <w:szCs w:val="22"/>
    </w:rPr>
  </w:style>
  <w:style w:type="character" w:styleId="758" w:customStyle="1">
    <w:name w:val="Heading 8 Char"/>
    <w:link w:val="721"/>
    <w:uiPriority w:val="9"/>
    <w:qFormat/>
    <w:rPr>
      <w:rFonts w:ascii="Arial" w:hAnsi="Arial" w:eastAsia="Arial" w:cs="Arial"/>
      <w:i/>
      <w:iCs/>
      <w:sz w:val="22"/>
      <w:szCs w:val="22"/>
    </w:rPr>
  </w:style>
  <w:style w:type="character" w:styleId="759" w:customStyle="1">
    <w:name w:val="Heading 9 Char"/>
    <w:link w:val="722"/>
    <w:uiPriority w:val="9"/>
    <w:qFormat/>
    <w:rPr>
      <w:rFonts w:ascii="Arial" w:hAnsi="Arial" w:eastAsia="Arial" w:cs="Arial"/>
      <w:i/>
      <w:iCs/>
      <w:sz w:val="21"/>
      <w:szCs w:val="21"/>
    </w:rPr>
  </w:style>
  <w:style w:type="paragraph" w:styleId="760">
    <w:name w:val="List Paragraph"/>
    <w:basedOn w:val="713"/>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4"/>
    <w:uiPriority w:val="10"/>
    <w:qFormat/>
    <w:rPr>
      <w:sz w:val="48"/>
      <w:szCs w:val="48"/>
    </w:rPr>
  </w:style>
  <w:style w:type="character" w:styleId="763" w:customStyle="1">
    <w:name w:val="Subtitle Char"/>
    <w:link w:val="738"/>
    <w:uiPriority w:val="11"/>
    <w:qFormat/>
    <w:rPr>
      <w:sz w:val="24"/>
      <w:szCs w:val="24"/>
    </w:rPr>
  </w:style>
  <w:style w:type="paragraph" w:styleId="764">
    <w:name w:val="Quote"/>
    <w:basedOn w:val="713"/>
    <w:next w:val="713"/>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3"/>
    <w:next w:val="713"/>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5"/>
    <w:uiPriority w:val="99"/>
    <w:qFormat/>
  </w:style>
  <w:style w:type="character" w:styleId="769" w:customStyle="1">
    <w:name w:val="Footer Char"/>
    <w:link w:val="734"/>
    <w:uiPriority w:val="99"/>
    <w:qFormat/>
  </w:style>
  <w:style w:type="character" w:styleId="770" w:customStyle="1">
    <w:name w:val="Caption Char"/>
    <w:link w:val="734"/>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9"/>
    <w:uiPriority w:val="99"/>
    <w:qFormat/>
    <w:rPr>
      <w:sz w:val="18"/>
    </w:rPr>
  </w:style>
  <w:style w:type="character" w:styleId="897" w:customStyle="1">
    <w:name w:val="Endnote Text Char"/>
    <w:link w:val="733"/>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13"/>
    <w:next w:val="713"/>
    <w:uiPriority w:val="9"/>
    <w:qFormat/>
    <w:pPr>
      <w:keepLines/>
      <w:keepNext/>
      <w:spacing w:before="340" w:after="330" w:line="578" w:lineRule="auto"/>
      <w:outlineLvl w:val="0"/>
    </w:pPr>
    <w:rPr>
      <w:b/>
      <w:bCs/>
      <w:sz w:val="44"/>
      <w:szCs w:val="44"/>
    </w:rPr>
  </w:style>
  <w:style w:type="paragraph" w:styleId="900" w:customStyle="1">
    <w:name w:val="标题 21"/>
    <w:basedOn w:val="713"/>
    <w:next w:val="901"/>
    <w:uiPriority w:val="9"/>
    <w:qFormat/>
    <w:pPr>
      <w:keepLines/>
      <w:keepNext/>
      <w:spacing w:before="260" w:after="260" w:line="413" w:lineRule="auto"/>
      <w:outlineLvl w:val="1"/>
    </w:pPr>
    <w:rPr>
      <w:rFonts w:ascii="Arial" w:hAnsi="Arial" w:eastAsia="黑体"/>
      <w:b/>
      <w:sz w:val="32"/>
      <w:szCs w:val="20"/>
    </w:rPr>
  </w:style>
  <w:style w:type="paragraph" w:styleId="901" w:customStyle="1">
    <w:name w:val="正文缩进1"/>
    <w:basedOn w:val="713"/>
    <w:link w:val="907"/>
    <w:uiPriority w:val="0"/>
    <w:qFormat/>
    <w:pPr>
      <w:ind w:firstLine="420"/>
    </w:pPr>
    <w:rPr>
      <w:szCs w:val="20"/>
    </w:rPr>
  </w:style>
  <w:style w:type="paragraph" w:styleId="902" w:customStyle="1">
    <w:name w:val="标题 31"/>
    <w:basedOn w:val="713"/>
    <w:next w:val="713"/>
    <w:uiPriority w:val="9"/>
    <w:qFormat/>
    <w:pPr>
      <w:keepLines/>
      <w:keepNext/>
      <w:spacing w:before="260" w:after="260" w:line="413" w:lineRule="auto"/>
      <w:outlineLvl w:val="2"/>
    </w:pPr>
    <w:rPr>
      <w:rFonts w:ascii="Arial" w:hAnsi="Arial"/>
      <w:b/>
      <w:sz w:val="32"/>
      <w:szCs w:val="20"/>
    </w:rPr>
  </w:style>
  <w:style w:type="paragraph" w:styleId="903" w:customStyle="1">
    <w:name w:val="标题 41"/>
    <w:basedOn w:val="713"/>
    <w:next w:val="713"/>
    <w:link w:val="908"/>
    <w:uiPriority w:val="9"/>
    <w:qFormat/>
    <w:pPr>
      <w:keepLines/>
      <w:keepNext/>
      <w:spacing w:before="280" w:after="290" w:line="376" w:lineRule="auto"/>
      <w:outlineLvl w:val="3"/>
    </w:pPr>
    <w:rPr>
      <w:rFonts w:ascii="Cambria" w:hAnsi="Cambria"/>
      <w:b/>
      <w:bCs/>
      <w:sz w:val="28"/>
      <w:szCs w:val="28"/>
    </w:rPr>
  </w:style>
  <w:style w:type="paragraph" w:styleId="904" w:customStyle="1">
    <w:name w:val="标题 51"/>
    <w:basedOn w:val="713"/>
    <w:next w:val="713"/>
    <w:link w:val="909"/>
    <w:uiPriority w:val="9"/>
    <w:qFormat/>
    <w:pPr>
      <w:keepLines/>
      <w:keepNext/>
      <w:spacing w:before="280" w:after="290" w:line="376" w:lineRule="auto"/>
      <w:outlineLvl w:val="4"/>
    </w:pPr>
    <w:rPr>
      <w:b/>
      <w:bCs/>
      <w:sz w:val="28"/>
      <w:szCs w:val="28"/>
    </w:rPr>
  </w:style>
  <w:style w:type="character" w:styleId="905" w:customStyle="1">
    <w:name w:val="默认段落字体1"/>
    <w:link w:val="713"/>
    <w:uiPriority w:val="0"/>
    <w:semiHidden/>
    <w:qFormat/>
  </w:style>
  <w:style w:type="table" w:styleId="906"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7" w:customStyle="1">
    <w:name w:val="正文缩进 Char"/>
    <w:link w:val="901"/>
    <w:uiPriority w:val="0"/>
    <w:qFormat/>
    <w:rPr>
      <w:sz w:val="21"/>
    </w:rPr>
  </w:style>
  <w:style w:type="character" w:styleId="908" w:customStyle="1">
    <w:name w:val="标题 4 Char"/>
    <w:link w:val="903"/>
    <w:uiPriority w:val="9"/>
    <w:qFormat/>
    <w:rPr>
      <w:rFonts w:ascii="Cambria" w:hAnsi="Cambria"/>
      <w:b/>
      <w:bCs/>
      <w:sz w:val="28"/>
      <w:szCs w:val="28"/>
    </w:rPr>
  </w:style>
  <w:style w:type="character" w:styleId="909" w:customStyle="1">
    <w:name w:val="标题 5 Char"/>
    <w:link w:val="904"/>
    <w:uiPriority w:val="9"/>
    <w:qFormat/>
    <w:rPr>
      <w:b/>
      <w:bCs/>
      <w:sz w:val="28"/>
      <w:szCs w:val="28"/>
    </w:rPr>
  </w:style>
  <w:style w:type="paragraph" w:styleId="910" w:customStyle="1">
    <w:name w:val="题注1"/>
    <w:basedOn w:val="713"/>
    <w:next w:val="713"/>
    <w:uiPriority w:val="35"/>
    <w:qFormat/>
    <w:pPr>
      <w:jc w:val="center"/>
      <w:spacing w:before="156" w:after="156" w:line="360" w:lineRule="auto"/>
    </w:pPr>
    <w:rPr>
      <w:rFonts w:ascii="Arial" w:hAnsi="Arial" w:cs="Arial"/>
      <w:sz w:val="24"/>
      <w:szCs w:val="20"/>
    </w:rPr>
  </w:style>
  <w:style w:type="paragraph" w:styleId="911" w:customStyle="1">
    <w:name w:val="文档结构图1"/>
    <w:basedOn w:val="713"/>
    <w:uiPriority w:val="0"/>
    <w:semiHidden/>
    <w:qFormat/>
    <w:pPr>
      <w:shd w:val="clear" w:color="auto" w:fill="000080"/>
    </w:pPr>
  </w:style>
  <w:style w:type="paragraph" w:styleId="912" w:customStyle="1">
    <w:name w:val="批注文字1"/>
    <w:basedOn w:val="713"/>
    <w:link w:val="913"/>
    <w:uiPriority w:val="99"/>
    <w:unhideWhenUsed/>
    <w:qFormat/>
    <w:pPr>
      <w:jc w:val="left"/>
    </w:pPr>
  </w:style>
  <w:style w:type="character" w:styleId="913" w:customStyle="1">
    <w:name w:val="批注文字 Char"/>
    <w:link w:val="912"/>
    <w:uiPriority w:val="99"/>
    <w:qFormat/>
    <w:rPr>
      <w:sz w:val="21"/>
      <w:szCs w:val="24"/>
    </w:rPr>
  </w:style>
  <w:style w:type="paragraph" w:styleId="914" w:customStyle="1">
    <w:name w:val="正文文本 31"/>
    <w:basedOn w:val="713"/>
    <w:uiPriority w:val="0"/>
    <w:qFormat/>
    <w:rPr>
      <w:rFonts w:ascii="楷体_GB2312" w:hAnsi="Arial" w:eastAsia="楷体_GB2312" w:cs="Arial"/>
      <w:b/>
      <w:bCs/>
      <w:color w:val="000000"/>
      <w:sz w:val="24"/>
    </w:rPr>
  </w:style>
  <w:style w:type="paragraph" w:styleId="915" w:customStyle="1">
    <w:name w:val="正文文本11"/>
    <w:basedOn w:val="71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6" w:customStyle="1">
    <w:name w:val="正文文本缩进1"/>
    <w:basedOn w:val="713"/>
    <w:uiPriority w:val="0"/>
    <w:qFormat/>
    <w:pPr>
      <w:ind w:firstLine="630"/>
    </w:pPr>
    <w:rPr>
      <w:rFonts w:ascii="楷体_GB2312" w:eastAsia="楷体_GB2312"/>
      <w:sz w:val="32"/>
      <w:szCs w:val="20"/>
    </w:rPr>
  </w:style>
  <w:style w:type="paragraph" w:styleId="917" w:customStyle="1">
    <w:name w:val="文本块1"/>
    <w:basedOn w:val="713"/>
    <w:uiPriority w:val="0"/>
    <w:qFormat/>
    <w:pPr>
      <w:ind w:left="420" w:right="33"/>
      <w:jc w:val="left"/>
    </w:pPr>
    <w:rPr>
      <w:sz w:val="24"/>
      <w:szCs w:val="20"/>
    </w:rPr>
  </w:style>
  <w:style w:type="paragraph" w:styleId="918" w:customStyle="1">
    <w:name w:val="目录 31"/>
    <w:basedOn w:val="713"/>
    <w:next w:val="713"/>
    <w:uiPriority w:val="0"/>
    <w:semiHidden/>
    <w:qFormat/>
    <w:pPr>
      <w:ind w:left="840"/>
      <w:spacing w:line="300" w:lineRule="auto"/>
      <w:tabs>
        <w:tab w:val="right" w:pos="9344" w:leader="dot"/>
      </w:tabs>
    </w:pPr>
    <w:rPr>
      <w:rFonts w:ascii="Arial" w:hAnsi="Arial" w:cs="Arial"/>
      <w:szCs w:val="21"/>
    </w:rPr>
  </w:style>
  <w:style w:type="paragraph" w:styleId="919" w:customStyle="1">
    <w:name w:val="纯文本11"/>
    <w:basedOn w:val="713"/>
    <w:link w:val="920"/>
    <w:uiPriority w:val="0"/>
    <w:qFormat/>
    <w:rPr>
      <w:rFonts w:ascii="宋体" w:hAnsi="Courier New"/>
      <w:szCs w:val="20"/>
    </w:rPr>
  </w:style>
  <w:style w:type="character" w:styleId="920" w:customStyle="1">
    <w:name w:val="纯文本 Char"/>
    <w:link w:val="919"/>
    <w:uiPriority w:val="0"/>
    <w:qFormat/>
    <w:rPr>
      <w:rFonts w:ascii="宋体" w:hAnsi="Courier New" w:eastAsia="宋体"/>
      <w:sz w:val="21"/>
      <w:lang w:val="en-US" w:eastAsia="zh-CN" w:bidi="ar-SA"/>
    </w:rPr>
  </w:style>
  <w:style w:type="paragraph" w:styleId="921" w:customStyle="1">
    <w:name w:val="正文文本缩进 21"/>
    <w:basedOn w:val="713"/>
    <w:uiPriority w:val="0"/>
    <w:qFormat/>
    <w:pPr>
      <w:ind w:left="420"/>
      <w:spacing w:after="120" w:line="480" w:lineRule="auto"/>
    </w:pPr>
  </w:style>
  <w:style w:type="paragraph" w:styleId="922" w:customStyle="1">
    <w:name w:val="批注框文本1"/>
    <w:basedOn w:val="713"/>
    <w:link w:val="923"/>
    <w:uiPriority w:val="0"/>
    <w:qFormat/>
    <w:rPr>
      <w:sz w:val="18"/>
      <w:szCs w:val="18"/>
    </w:rPr>
  </w:style>
  <w:style w:type="character" w:styleId="923" w:customStyle="1">
    <w:name w:val="批注框文本 Char"/>
    <w:link w:val="922"/>
    <w:uiPriority w:val="0"/>
    <w:qFormat/>
    <w:rPr>
      <w:sz w:val="18"/>
      <w:szCs w:val="18"/>
    </w:rPr>
  </w:style>
  <w:style w:type="paragraph" w:styleId="924" w:customStyle="1">
    <w:name w:val="页脚1"/>
    <w:basedOn w:val="713"/>
    <w:link w:val="925"/>
    <w:uiPriority w:val="0"/>
    <w:qFormat/>
    <w:pPr>
      <w:jc w:val="left"/>
      <w:tabs>
        <w:tab w:val="center" w:pos="4153" w:leader="none"/>
        <w:tab w:val="right" w:pos="8306" w:leader="none"/>
      </w:tabs>
    </w:pPr>
    <w:rPr>
      <w:sz w:val="18"/>
      <w:szCs w:val="18"/>
    </w:rPr>
  </w:style>
  <w:style w:type="character" w:styleId="925" w:customStyle="1">
    <w:name w:val="页脚 Char"/>
    <w:link w:val="924"/>
    <w:uiPriority w:val="0"/>
    <w:qFormat/>
    <w:rPr>
      <w:sz w:val="18"/>
      <w:szCs w:val="18"/>
    </w:rPr>
  </w:style>
  <w:style w:type="paragraph" w:styleId="926" w:customStyle="1">
    <w:name w:val="页眉1"/>
    <w:basedOn w:val="713"/>
    <w:link w:val="927"/>
    <w:uiPriority w:val="0"/>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Char"/>
    <w:link w:val="926"/>
    <w:uiPriority w:val="0"/>
    <w:qFormat/>
    <w:rPr>
      <w:sz w:val="18"/>
      <w:szCs w:val="18"/>
    </w:rPr>
  </w:style>
  <w:style w:type="paragraph" w:styleId="928" w:customStyle="1">
    <w:name w:val="目录 11"/>
    <w:basedOn w:val="713"/>
    <w:next w:val="713"/>
    <w:uiPriority w:val="0"/>
    <w:semiHidden/>
    <w:qFormat/>
  </w:style>
  <w:style w:type="paragraph" w:styleId="929" w:customStyle="1">
    <w:name w:val="正文文本缩进 31"/>
    <w:basedOn w:val="713"/>
    <w:uiPriority w:val="99"/>
    <w:qFormat/>
    <w:pPr>
      <w:ind w:firstLine="420"/>
    </w:pPr>
    <w:rPr>
      <w:rFonts w:eastAsia="楷体_GB2312"/>
    </w:rPr>
  </w:style>
  <w:style w:type="paragraph" w:styleId="930" w:customStyle="1">
    <w:name w:val="目录 21"/>
    <w:basedOn w:val="713"/>
    <w:next w:val="713"/>
    <w:uiPriority w:val="0"/>
    <w:semiHidden/>
    <w:qFormat/>
    <w:pPr>
      <w:ind w:left="420"/>
    </w:pPr>
    <w:rPr>
      <w:szCs w:val="20"/>
    </w:rPr>
  </w:style>
  <w:style w:type="paragraph" w:styleId="931" w:customStyle="1">
    <w:name w:val="正文文本 211"/>
    <w:basedOn w:val="713"/>
    <w:link w:val="932"/>
    <w:uiPriority w:val="0"/>
    <w:qFormat/>
    <w:pPr>
      <w:spacing w:line="440" w:lineRule="exact"/>
    </w:pPr>
    <w:rPr>
      <w:rFonts w:ascii="楷体_GB2312" w:eastAsia="楷体_GB2312"/>
      <w:sz w:val="28"/>
    </w:rPr>
  </w:style>
  <w:style w:type="character" w:styleId="932" w:customStyle="1">
    <w:name w:val="正文文本 2 Char"/>
    <w:link w:val="931"/>
    <w:uiPriority w:val="0"/>
    <w:qFormat/>
    <w:rPr>
      <w:rFonts w:ascii="楷体_GB2312" w:eastAsia="楷体_GB2312"/>
      <w:sz w:val="28"/>
      <w:szCs w:val="24"/>
    </w:rPr>
  </w:style>
  <w:style w:type="paragraph" w:styleId="933" w:customStyle="1">
    <w:name w:val="批注主题1"/>
    <w:basedOn w:val="912"/>
    <w:next w:val="912"/>
    <w:link w:val="934"/>
    <w:uiPriority w:val="0"/>
    <w:qFormat/>
    <w:rPr>
      <w:b/>
      <w:bCs/>
    </w:rPr>
  </w:style>
  <w:style w:type="character" w:styleId="934" w:customStyle="1">
    <w:name w:val="批注主题 Char"/>
    <w:link w:val="933"/>
    <w:uiPriority w:val="0"/>
    <w:qFormat/>
    <w:rPr>
      <w:b/>
      <w:bCs/>
      <w:sz w:val="21"/>
      <w:szCs w:val="24"/>
    </w:rPr>
  </w:style>
  <w:style w:type="paragraph" w:styleId="935" w:customStyle="1">
    <w:name w:val="正文首行缩进 21"/>
    <w:basedOn w:val="916"/>
    <w:uiPriority w:val="0"/>
    <w:qFormat/>
    <w:pPr>
      <w:ind w:left="420" w:firstLine="420"/>
      <w:spacing w:after="120"/>
      <w:widowControl/>
    </w:pPr>
    <w:rPr>
      <w:rFonts w:ascii="仿宋_GB2312" w:eastAsia="仿宋_GB2312"/>
      <w:color w:val="ff6600"/>
      <w:sz w:val="21"/>
    </w:rPr>
  </w:style>
  <w:style w:type="table" w:styleId="936" w:customStyle="1">
    <w:name w:val="网格型1"/>
    <w:basedOn w:val="90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7" w:customStyle="1">
    <w:name w:val="要点1"/>
    <w:link w:val="713"/>
    <w:uiPriority w:val="0"/>
    <w:qFormat/>
  </w:style>
  <w:style w:type="character" w:styleId="938" w:customStyle="1">
    <w:name w:val="页码1"/>
    <w:link w:val="713"/>
    <w:uiPriority w:val="0"/>
    <w:qFormat/>
  </w:style>
  <w:style w:type="character" w:styleId="939" w:customStyle="1">
    <w:name w:val="已访问的超链接1"/>
    <w:link w:val="713"/>
    <w:uiPriority w:val="0"/>
    <w:qFormat/>
    <w:rPr>
      <w:color w:val="800080"/>
      <w:u w:val="none"/>
    </w:rPr>
  </w:style>
  <w:style w:type="character" w:styleId="940" w:customStyle="1">
    <w:name w:val="强调1"/>
    <w:link w:val="713"/>
    <w:uiPriority w:val="0"/>
    <w:qFormat/>
  </w:style>
  <w:style w:type="character" w:styleId="941" w:customStyle="1">
    <w:name w:val="HTML 定义1"/>
    <w:link w:val="713"/>
    <w:uiPriority w:val="0"/>
    <w:qFormat/>
  </w:style>
  <w:style w:type="character" w:styleId="942" w:customStyle="1">
    <w:name w:val="HTML 打字机1"/>
    <w:link w:val="713"/>
    <w:uiPriority w:val="0"/>
    <w:qFormat/>
    <w:rPr>
      <w:rFonts w:ascii="monospace" w:hAnsi="monospace" w:eastAsia="monospace" w:cs="monospace"/>
      <w:sz w:val="20"/>
    </w:rPr>
  </w:style>
  <w:style w:type="character" w:styleId="943" w:customStyle="1">
    <w:name w:val="HTML 缩写1"/>
    <w:link w:val="713"/>
    <w:uiPriority w:val="0"/>
    <w:qFormat/>
  </w:style>
  <w:style w:type="character" w:styleId="944" w:customStyle="1">
    <w:name w:val="HTML 变量1"/>
    <w:link w:val="713"/>
    <w:uiPriority w:val="0"/>
    <w:qFormat/>
  </w:style>
  <w:style w:type="character" w:styleId="945" w:customStyle="1">
    <w:name w:val="超链接1"/>
    <w:link w:val="713"/>
    <w:uiPriority w:val="0"/>
    <w:qFormat/>
    <w:rPr>
      <w:color w:val="0000ff"/>
      <w:u w:val="none"/>
    </w:rPr>
  </w:style>
  <w:style w:type="character" w:styleId="946" w:customStyle="1">
    <w:name w:val="HTML 代码1"/>
    <w:link w:val="713"/>
    <w:uiPriority w:val="0"/>
    <w:qFormat/>
    <w:rPr>
      <w:rFonts w:ascii="monospace" w:hAnsi="monospace" w:eastAsia="monospace" w:cs="monospace"/>
      <w:sz w:val="20"/>
    </w:rPr>
  </w:style>
  <w:style w:type="character" w:styleId="947" w:customStyle="1">
    <w:name w:val="批注引用1"/>
    <w:link w:val="713"/>
    <w:uiPriority w:val="0"/>
    <w:qFormat/>
    <w:rPr>
      <w:sz w:val="21"/>
      <w:szCs w:val="21"/>
    </w:rPr>
  </w:style>
  <w:style w:type="character" w:styleId="948" w:customStyle="1">
    <w:name w:val="HTML 引文1"/>
    <w:link w:val="713"/>
    <w:uiPriority w:val="0"/>
    <w:qFormat/>
  </w:style>
  <w:style w:type="character" w:styleId="949" w:customStyle="1">
    <w:name w:val="HTML 键盘1"/>
    <w:link w:val="713"/>
    <w:uiPriority w:val="0"/>
    <w:qFormat/>
    <w:rPr>
      <w:rFonts w:ascii="monospace" w:hAnsi="monospace" w:eastAsia="monospace" w:cs="monospace"/>
      <w:sz w:val="20"/>
    </w:rPr>
  </w:style>
  <w:style w:type="character" w:styleId="950" w:customStyle="1">
    <w:name w:val="HTML 样本1"/>
    <w:link w:val="713"/>
    <w:uiPriority w:val="0"/>
    <w:qFormat/>
    <w:rPr>
      <w:rFonts w:ascii="monospace" w:hAnsi="monospace" w:eastAsia="monospace" w:cs="monospace"/>
    </w:rPr>
  </w:style>
  <w:style w:type="character" w:styleId="951" w:customStyle="1">
    <w:name w:val="Font Style30"/>
    <w:link w:val="713"/>
    <w:uiPriority w:val="0"/>
    <w:qFormat/>
    <w:rPr>
      <w:rFonts w:ascii="宋体" w:eastAsia="宋体" w:cs="宋体"/>
      <w:sz w:val="14"/>
      <w:szCs w:val="14"/>
    </w:rPr>
  </w:style>
  <w:style w:type="character" w:styleId="952" w:customStyle="1">
    <w:name w:val="glyphicon"/>
    <w:link w:val="713"/>
    <w:uiPriority w:val="0"/>
    <w:qFormat/>
  </w:style>
  <w:style w:type="character" w:styleId="953" w:customStyle="1">
    <w:name w:val="Font Style36"/>
    <w:link w:val="713"/>
    <w:uiPriority w:val="0"/>
    <w:qFormat/>
    <w:rPr>
      <w:rFonts w:ascii="宋体" w:eastAsia="宋体" w:cs="宋体"/>
      <w:sz w:val="16"/>
      <w:szCs w:val="16"/>
    </w:rPr>
  </w:style>
  <w:style w:type="character" w:styleId="954" w:customStyle="1">
    <w:name w:val="hour_am"/>
    <w:link w:val="713"/>
    <w:uiPriority w:val="0"/>
    <w:qFormat/>
  </w:style>
  <w:style w:type="character" w:styleId="955" w:customStyle="1">
    <w:name w:val="old"/>
    <w:link w:val="713"/>
    <w:uiPriority w:val="0"/>
    <w:qFormat/>
    <w:rPr>
      <w:color w:val="999999"/>
    </w:rPr>
  </w:style>
  <w:style w:type="character" w:styleId="956" w:customStyle="1">
    <w:name w:val="标题 2 Char"/>
    <w:link w:val="713"/>
    <w:uiPriority w:val="0"/>
    <w:qFormat/>
    <w:rPr>
      <w:rFonts w:ascii="Arial" w:hAnsi="Arial" w:eastAsia="黑体"/>
      <w:b/>
      <w:sz w:val="32"/>
      <w:lang w:val="en-US" w:eastAsia="zh-CN"/>
    </w:rPr>
  </w:style>
  <w:style w:type="character" w:styleId="957" w:customStyle="1">
    <w:name w:val="hover"/>
    <w:link w:val="713"/>
    <w:uiPriority w:val="0"/>
    <w:qFormat/>
    <w:rPr>
      <w:shd w:val="clear" w:color="auto" w:fill="eeeeee"/>
    </w:rPr>
  </w:style>
  <w:style w:type="character" w:styleId="958" w:customStyle="1">
    <w:name w:val="hour_pm"/>
    <w:link w:val="713"/>
    <w:uiPriority w:val="0"/>
    <w:qFormat/>
  </w:style>
  <w:style w:type="character" w:styleId="959" w:customStyle="1">
    <w:name w:val="Font Style28"/>
    <w:link w:val="713"/>
    <w:uiPriority w:val="0"/>
    <w:qFormat/>
    <w:rPr>
      <w:rFonts w:ascii="Constantia" w:hAnsi="Constantia" w:cs="Constantia"/>
      <w:sz w:val="28"/>
      <w:szCs w:val="28"/>
    </w:rPr>
  </w:style>
  <w:style w:type="character" w:styleId="960" w:customStyle="1">
    <w:name w:val="Font Style29"/>
    <w:link w:val="713"/>
    <w:uiPriority w:val="0"/>
    <w:qFormat/>
    <w:rPr>
      <w:rFonts w:ascii="Arial" w:hAnsi="Arial" w:cs="Arial"/>
      <w:sz w:val="14"/>
      <w:szCs w:val="14"/>
    </w:rPr>
  </w:style>
  <w:style w:type="character" w:styleId="961" w:customStyle="1">
    <w:name w:val="Font Style37"/>
    <w:link w:val="713"/>
    <w:uiPriority w:val="0"/>
    <w:qFormat/>
    <w:rPr>
      <w:rFonts w:ascii="Arial" w:hAnsi="Arial" w:cs="Arial"/>
      <w:sz w:val="16"/>
      <w:szCs w:val="16"/>
    </w:rPr>
  </w:style>
  <w:style w:type="character" w:styleId="962" w:customStyle="1">
    <w:name w:val="Plain Text Char"/>
    <w:link w:val="713"/>
    <w:uiPriority w:val="0"/>
    <w:qFormat/>
    <w:rPr>
      <w:rFonts w:ascii="宋体" w:hAnsi="Courier New" w:eastAsia="宋体"/>
      <w:sz w:val="21"/>
      <w:lang w:val="en-US" w:eastAsia="zh-CN" w:bidi="ar-SA"/>
    </w:rPr>
  </w:style>
  <w:style w:type="paragraph" w:styleId="96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4" w:customStyle="1">
    <w:name w:val="默认段落字体 Para Char Char Char Char Char Char Char Char Char1 Char Char Char Char Char Char Char"/>
    <w:basedOn w:val="911"/>
    <w:uiPriority w:val="0"/>
    <w:qFormat/>
    <w:rPr>
      <w:rFonts w:ascii="Tahoma" w:hAnsi="Tahoma"/>
      <w:sz w:val="24"/>
    </w:rPr>
  </w:style>
  <w:style w:type="paragraph" w:styleId="965" w:customStyle="1">
    <w:name w:val="Style9"/>
    <w:basedOn w:val="713"/>
    <w:uiPriority w:val="0"/>
    <w:qFormat/>
    <w:pPr>
      <w:jc w:val="left"/>
    </w:pPr>
    <w:rPr>
      <w:rFonts w:ascii="宋体"/>
      <w:sz w:val="24"/>
    </w:rPr>
  </w:style>
  <w:style w:type="paragraph" w:styleId="966" w:customStyle="1">
    <w:name w:val="Char"/>
    <w:basedOn w:val="713"/>
    <w:uiPriority w:val="0"/>
    <w:qFormat/>
    <w:pPr>
      <w:tabs>
        <w:tab w:val="left" w:pos="360" w:leader="none"/>
      </w:tabs>
    </w:pPr>
    <w:rPr>
      <w:sz w:val="24"/>
    </w:rPr>
  </w:style>
  <w:style w:type="paragraph" w:styleId="967" w:customStyle="1">
    <w:name w:val=" Char Char Char1 Char Char Char Char"/>
    <w:basedOn w:val="713"/>
    <w:uiPriority w:val="0"/>
    <w:qFormat/>
    <w:pPr>
      <w:jc w:val="left"/>
      <w:spacing w:after="160" w:line="240" w:lineRule="exact"/>
      <w:widowControl/>
    </w:pPr>
    <w:rPr>
      <w:rFonts w:ascii="宋体" w:hAnsi="宋体"/>
      <w:b/>
      <w:sz w:val="28"/>
      <w:szCs w:val="28"/>
    </w:rPr>
  </w:style>
  <w:style w:type="paragraph" w:styleId="968" w:customStyle="1">
    <w:name w:val="Style10"/>
    <w:basedOn w:val="713"/>
    <w:uiPriority w:val="0"/>
    <w:qFormat/>
    <w:pPr>
      <w:jc w:val="left"/>
    </w:pPr>
    <w:rPr>
      <w:rFonts w:ascii="宋体"/>
      <w:sz w:val="24"/>
    </w:rPr>
  </w:style>
  <w:style w:type="paragraph" w:styleId="969" w:customStyle="1">
    <w:name w:val="普通正文"/>
    <w:basedOn w:val="713"/>
    <w:uiPriority w:val="0"/>
    <w:qFormat/>
    <w:pPr>
      <w:ind w:firstLine="480"/>
      <w:jc w:val="left"/>
      <w:spacing w:before="120" w:after="120" w:line="360" w:lineRule="auto"/>
    </w:pPr>
    <w:rPr>
      <w:rFonts w:ascii="Arial" w:hAnsi="Arial"/>
      <w:sz w:val="24"/>
    </w:rPr>
  </w:style>
  <w:style w:type="paragraph" w:styleId="970" w:customStyle="1">
    <w:name w:val="要点标题"/>
    <w:basedOn w:val="713"/>
    <w:uiPriority w:val="0"/>
    <w:qFormat/>
    <w:pPr>
      <w:numPr>
        <w:ilvl w:val="0"/>
        <w:numId w:val="1"/>
      </w:numPr>
      <w:jc w:val="left"/>
    </w:pPr>
    <w:rPr>
      <w:rFonts w:ascii="宋体" w:hAnsi="宋体"/>
      <w:b/>
      <w:sz w:val="24"/>
    </w:rPr>
  </w:style>
  <w:style w:type="paragraph" w:styleId="971" w:customStyle="1">
    <w:name w:val="文档正文"/>
    <w:basedOn w:val="713"/>
    <w:uiPriority w:val="0"/>
    <w:qFormat/>
    <w:pPr>
      <w:ind w:firstLine="567"/>
      <w:spacing w:line="480" w:lineRule="atLeast"/>
    </w:pPr>
    <w:rPr>
      <w:rFonts w:ascii="仿宋_GB2312"/>
      <w:szCs w:val="20"/>
    </w:rPr>
  </w:style>
  <w:style w:type="paragraph" w:styleId="972" w:customStyle="1">
    <w:name w:val="Char Char Char Char"/>
    <w:basedOn w:val="911"/>
    <w:uiPriority w:val="0"/>
    <w:qFormat/>
    <w:pPr>
      <w:spacing w:line="360" w:lineRule="auto"/>
    </w:pPr>
    <w:rPr>
      <w:rFonts w:ascii="Tahoma" w:hAnsi="Tahoma"/>
      <w:sz w:val="24"/>
    </w:rPr>
  </w:style>
  <w:style w:type="paragraph" w:styleId="973" w:customStyle="1">
    <w:name w:val=" Char"/>
    <w:basedOn w:val="713"/>
    <w:uiPriority w:val="0"/>
    <w:qFormat/>
    <w:pPr>
      <w:ind w:left="420" w:hanging="420"/>
      <w:jc w:val="left"/>
      <w:tabs>
        <w:tab w:val="left" w:pos="420" w:leader="none"/>
      </w:tabs>
    </w:pPr>
    <w:rPr>
      <w:szCs w:val="20"/>
    </w:rPr>
  </w:style>
  <w:style w:type="paragraph" w:styleId="974" w:customStyle="1">
    <w:name w:val="正文（无缩进）"/>
    <w:basedOn w:val="713"/>
    <w:uiPriority w:val="0"/>
    <w:qFormat/>
    <w:pPr>
      <w:spacing w:line="360" w:lineRule="auto"/>
    </w:pPr>
    <w:rPr>
      <w:rFonts w:ascii="Calibri" w:hAnsi="Calibri"/>
      <w:sz w:val="24"/>
      <w:szCs w:val="21"/>
    </w:rPr>
  </w:style>
  <w:style w:type="paragraph" w:styleId="975" w:customStyle="1">
    <w:name w:val="Style11"/>
    <w:basedOn w:val="713"/>
    <w:uiPriority w:val="0"/>
    <w:qFormat/>
    <w:pPr>
      <w:jc w:val="left"/>
      <w:spacing w:line="446" w:lineRule="exact"/>
    </w:pPr>
    <w:rPr>
      <w:rFonts w:ascii="宋体"/>
      <w:sz w:val="24"/>
    </w:rPr>
  </w:style>
  <w:style w:type="paragraph" w:styleId="976" w:customStyle="1">
    <w:name w:val="样式1"/>
    <w:basedOn w:val="713"/>
    <w:uiPriority w:val="0"/>
    <w:qFormat/>
    <w:pPr>
      <w:numPr>
        <w:ilvl w:val="0"/>
        <w:numId w:val="2"/>
      </w:numPr>
      <w:tabs>
        <w:tab w:val="left" w:pos="1110" w:leader="none"/>
      </w:tabs>
    </w:pPr>
    <w:rPr>
      <w:rFonts w:ascii="宋体" w:hAnsi="宋体"/>
      <w:szCs w:val="21"/>
    </w:rPr>
  </w:style>
  <w:style w:type="paragraph" w:styleId="977" w:customStyle="1">
    <w:name w:val="_Style 56"/>
    <w:basedOn w:val="911"/>
    <w:uiPriority w:val="0"/>
    <w:qFormat/>
    <w:pPr>
      <w:spacing w:line="436" w:lineRule="exact"/>
    </w:pPr>
    <w:rPr>
      <w:szCs w:val="20"/>
    </w:rPr>
  </w:style>
  <w:style w:type="paragraph" w:styleId="978" w:customStyle="1">
    <w:name w:val="Char Char1 Char Char Char Char Char Char"/>
    <w:basedOn w:val="713"/>
    <w:uiPriority w:val="0"/>
    <w:qFormat/>
    <w:pPr>
      <w:jc w:val="center"/>
      <w:widowControl/>
    </w:pPr>
    <w:rPr>
      <w:rFonts w:ascii="宋体" w:hAnsi="宋体"/>
      <w:b/>
      <w:sz w:val="24"/>
      <w:lang w:eastAsia="en-US"/>
    </w:rPr>
  </w:style>
  <w:style w:type="paragraph" w:styleId="979" w:customStyle="1">
    <w:name w:val="Char1"/>
    <w:basedOn w:val="713"/>
    <w:uiPriority w:val="0"/>
    <w:qFormat/>
    <w:pPr>
      <w:ind w:left="840" w:hanging="420"/>
      <w:tabs>
        <w:tab w:val="left" w:pos="840" w:leader="none"/>
      </w:tabs>
    </w:pPr>
    <w:rPr>
      <w:sz w:val="24"/>
    </w:rPr>
  </w:style>
  <w:style w:type="paragraph" w:styleId="980" w:customStyle="1">
    <w:name w:val="我的样式"/>
    <w:basedOn w:val="899"/>
    <w:next w:val="713"/>
    <w:uiPriority w:val="0"/>
    <w:qFormat/>
    <w:pPr>
      <w:numPr>
        <w:ilvl w:val="0"/>
        <w:numId w:val="3"/>
      </w:numPr>
      <w:spacing w:line="360" w:lineRule="auto"/>
    </w:pPr>
    <w:rPr>
      <w:rFonts w:ascii="仿宋_GB2312" w:eastAsia="仿宋_GB2312"/>
      <w:sz w:val="32"/>
      <w:szCs w:val="30"/>
    </w:rPr>
  </w:style>
  <w:style w:type="paragraph" w:styleId="98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2" w:customStyle="1">
    <w:name w:val=" Char Char Char Char Char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983" w:customStyle="1">
    <w:name w:val="标题1"/>
    <w:basedOn w:val="899"/>
    <w:next w:val="713"/>
    <w:uiPriority w:val="0"/>
    <w:qFormat/>
    <w:pPr>
      <w:numPr>
        <w:ilvl w:val="0"/>
        <w:numId w:val="2"/>
      </w:numPr>
      <w:jc w:val="left"/>
      <w:spacing w:line="578" w:lineRule="atLeast"/>
    </w:pPr>
  </w:style>
  <w:style w:type="paragraph" w:styleId="984" w:customStyle="1">
    <w:name w:val="正文（缩进） Char1"/>
    <w:basedOn w:val="713"/>
    <w:uiPriority w:val="0"/>
    <w:qFormat/>
    <w:pPr>
      <w:ind w:firstLine="480"/>
      <w:spacing w:before="156" w:after="156" w:line="360" w:lineRule="auto"/>
    </w:pPr>
    <w:rPr>
      <w:sz w:val="24"/>
    </w:rPr>
  </w:style>
  <w:style w:type="paragraph" w:styleId="985"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6" w:customStyle="1">
    <w:name w:val="Style12"/>
    <w:basedOn w:val="713"/>
    <w:uiPriority w:val="0"/>
    <w:qFormat/>
    <w:pPr>
      <w:jc w:val="left"/>
    </w:pPr>
    <w:rPr>
      <w:rFonts w:ascii="宋体"/>
      <w:sz w:val="24"/>
    </w:rPr>
  </w:style>
  <w:style w:type="paragraph" w:styleId="987" w:customStyle="1">
    <w:name w:val="纯文本1"/>
    <w:basedOn w:val="713"/>
    <w:uiPriority w:val="0"/>
    <w:qFormat/>
    <w:rPr>
      <w:rFonts w:ascii="宋体" w:hAnsi="Courier New"/>
      <w:szCs w:val="20"/>
    </w:rPr>
  </w:style>
  <w:style w:type="paragraph" w:styleId="988" w:customStyle="1">
    <w:name w:val="正文1"/>
    <w:basedOn w:val="989"/>
    <w:uiPriority w:val="0"/>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989" w:customStyle="1">
    <w:name w:val="正文111"/>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文本缩进11"/>
    <w:basedOn w:val="989"/>
    <w:uiPriority w:val="0"/>
    <w:qFormat/>
    <w:pPr>
      <w:ind w:firstLine="425"/>
      <w:spacing w:line="360" w:lineRule="auto"/>
    </w:pPr>
  </w:style>
  <w:style w:type="character" w:styleId="991" w:customStyle="1">
    <w:name w:val="NormalCharacter1"/>
    <w:link w:val="713"/>
    <w:uiPriority w:val="0"/>
    <w:semiHidden/>
    <w:qFormat/>
    <w:rPr>
      <w:sz w:val="21"/>
      <w:szCs w:val="24"/>
      <w:lang w:val="en-US" w:eastAsia="zh-CN" w:bidi="ar-SA"/>
    </w:rPr>
  </w:style>
  <w:style w:type="paragraph" w:styleId="992" w:customStyle="1">
    <w:name w:val="正文文本1"/>
    <w:basedOn w:val="713"/>
    <w:next w:val="71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93" w:customStyle="1">
    <w:name w:val="正文文本 21"/>
    <w:basedOn w:val="713"/>
    <w:uiPriority w:val="0"/>
    <w:qFormat/>
    <w:pPr>
      <w:spacing w:line="440" w:lineRule="exact"/>
    </w:pPr>
    <w:rPr>
      <w:rFonts w:ascii="楷体_GB2312" w:eastAsia="楷体_GB2312"/>
      <w:sz w:val="28"/>
    </w:rPr>
  </w:style>
  <w:style w:type="paragraph" w:styleId="994" w:customStyle="1">
    <w:name w:val="Table Text"/>
    <w:basedOn w:val="713"/>
    <w:uiPriority w:val="0"/>
    <w:semiHidden/>
    <w:qFormat/>
    <w:rPr>
      <w:rFonts w:ascii="宋体" w:hAnsi="宋体" w:eastAsia="宋体" w:cs="宋体"/>
      <w:sz w:val="20"/>
      <w:szCs w:val="20"/>
      <w:lang w:val="en-US" w:eastAsia="en-US" w:bidi="ar-SA"/>
    </w:rPr>
  </w:style>
  <w:style w:type="table" w:styleId="995" w:customStyle="1">
    <w:name w:val="Table Normal"/>
    <w:uiPriority w:val="0"/>
    <w:semiHidden/>
    <w:unhideWhenUsed/>
    <w:qFormat/>
    <w:tblPr>
      <w:tblLayout w:type="fixed"/>
      <w:tblCellMar>
        <w:left w:w="0" w:type="dxa"/>
        <w:top w:w="0" w:type="dxa"/>
        <w:right w:w="0" w:type="dxa"/>
        <w:bottom w:w="0" w:type="dxa"/>
      </w:tblCellMar>
    </w:tbl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袁小平（盱眙）</cp:lastModifiedBy>
  <cp:revision>8</cp:revision>
  <dcterms:created xsi:type="dcterms:W3CDTF">2024-01-08T08:47:00Z</dcterms:created>
  <dcterms:modified xsi:type="dcterms:W3CDTF">2026-09-14T07:22:32Z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KSOTemplateDocerSaveRecord">
    <vt:lpwstr>eyJoZGlkIjoiOWZhMDNmYmNjNzcwMDYwN2JiNzk4MDc4ZjlkZWYzYjMiLCJ1c2VySWQiOiIyMzg2MDQ0ODQifQ==</vt:lpwstr>
  </property>
  <property fmtid="{D5CDD505-2E9C-101B-9397-08002B2CF9AE}" pid="4" name="ICV">
    <vt:lpwstr>008A303FA99145ED813171C84F141E80</vt:lpwstr>
  </property>
</Properties>
</file>