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default"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项目编号：JSZC-320830-HADY-C2026-0007 </w:t>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lang w:eastAsia="zh-CN"/>
        </w:rPr>
      </w:pPr>
      <w:r>
        <w:rPr>
          <w:rFonts w:hint="eastAsia" w:ascii="仿宋" w:hAnsi="仿宋" w:eastAsia="仿宋" w:cs="仿宋"/>
          <w:b/>
          <w:color w:val="auto"/>
          <w:sz w:val="36"/>
          <w:szCs w:val="36"/>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08"/>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项目名称：盱眙港口、产业园及道路建设PPP项目解约及善后处置专项法律服务采购</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人：盱眙县司法局</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采购代理机构：淮安德誉工程项目管理有限公司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72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盱眙县司法局</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淮安德誉工程项目管理有限公司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JSZC-320830-HADY-C2026-0007</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盱眙港口、产业园及道路建设PPP项目解约及善后处置专项法律服务采购，</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140万元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37"/>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10</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12</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w:t>
            </w:r>
            <w:r>
              <w:rPr>
                <w:rFonts w:hint="eastAsia" w:ascii="仿宋" w:hAnsi="仿宋" w:eastAsia="仿宋" w:cs="仿宋"/>
                <w:color w:val="0000ff"/>
                <w:sz w:val="24"/>
                <w:szCs w:val="24"/>
                <w:highlight w:val="none"/>
                <w:lang w:val="en-US" w:eastAsia="zh-CN"/>
              </w:rPr>
              <w:t xml:space="preserve">201</w:t>
            </w:r>
            <w:r>
              <w:rPr>
                <w:rFonts w:hint="eastAsia" w:ascii="仿宋" w:hAnsi="仿宋" w:eastAsia="仿宋" w:cs="仿宋"/>
                <w:color w:val="auto"/>
                <w:sz w:val="24"/>
                <w:szCs w:val="24"/>
                <w:highlight w:val="none"/>
                <w:lang w:val="en-US" w:eastAsia="zh-CN"/>
              </w:rPr>
              <w:t xml:space="preserve">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本次招标的代理费参照江苏省招标投标协会苏招协〔2022〕2号《江苏省招标代理收费的指导意见》文件优惠收取6500元，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盱眙港口、产业园及道路建设PPP项目解约及善后处置专项法律服务采购JSZC-320830-HADY-C2026-0007采购项目的潜在供应商应在苏采云政府采购一体化平台（江苏政府采购网或淮安市政府采购网）获取采购文件，并于2026-</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 </w:t>
      </w:r>
      <w:r>
        <w:rPr>
          <w:rFonts w:hint="eastAsia" w:ascii="仿宋" w:hAnsi="仿宋" w:eastAsia="仿宋" w:cs="仿宋"/>
          <w:color w:val="auto"/>
          <w:sz w:val="24"/>
          <w:szCs w:val="24"/>
          <w:highlight w:val="none"/>
          <w:lang w:eastAsia="zh-CN"/>
        </w:rPr>
        <w:t xml:space="preserve"> 09:00 （北京时间）前提交响应文件。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bookmarkStart w:id="38" w:name="_GoBack"/>
      <w:r/>
      <w:bookmarkEnd w:id="3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：JSZC-320830-HADY-C2026-0007</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盱眙港口、产业园及道路建设PPP项目解约及善后处置专项法律服务采购</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rPr>
        <w:t xml:space="preserve">预算金额</w:t>
      </w: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140万元。</w:t>
      </w:r>
      <w:r/>
    </w:p>
    <w:p>
      <w:pPr>
        <w:ind w:firstLine="480"/>
        <w:keepLines w:val="0"/>
        <w:keepNext w:val="0"/>
        <w:pageBreakBefore w:val="0"/>
        <w:spacing w:line="380" w:lineRule="exact"/>
        <w:widowControl w:val="off"/>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rPr>
        <w:t xml:space="preserve">最高限价</w:t>
      </w: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140万元。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2" w:name="OLE_LINK73"/>
      <w:r/>
      <w:bookmarkStart w:id="3" w:name="OLE_LINK43"/>
      <w:r>
        <w:rPr>
          <w:rFonts w:hint="eastAsia" w:ascii="仿宋" w:hAnsi="仿宋" w:eastAsia="仿宋" w:cs="仿宋"/>
          <w:color w:val="auto"/>
          <w:sz w:val="24"/>
          <w:szCs w:val="24"/>
          <w:highlight w:val="none"/>
          <w:lang w:eastAsia="zh-CN"/>
        </w:rPr>
        <w:t xml:space="preserve">盱眙港口、产业园及道路建设PPP项目解约及善后处置专项法律服务采购，</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bookmarkEnd w:id="2"/>
      <w:r/>
      <w:bookmarkEnd w:id="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0000ff"/>
          <w:sz w:val="24"/>
          <w:szCs w:val="24"/>
          <w:highlight w:val="none"/>
        </w:rPr>
        <w:t xml:space="preserve">自合同签订之日起，至盱眙港口、产业园及道路建设PPP项目解约、资产清算、履约责任追究、项目后续矛盾纠纷化解等全部事项处理完毕为止。本项目预估服务周期</w:t>
      </w:r>
      <w:r>
        <w:rPr>
          <w:rFonts w:hint="eastAsia" w:ascii="仿宋" w:hAnsi="仿宋" w:eastAsia="仿宋" w:cs="仿宋"/>
          <w:color w:val="0000ff"/>
          <w:sz w:val="24"/>
          <w:szCs w:val="24"/>
          <w:highlight w:val="none"/>
          <w:lang w:val="en-US" w:eastAsia="zh-CN"/>
        </w:rPr>
        <w:t xml:space="preserve">24</w:t>
      </w:r>
      <w:r>
        <w:rPr>
          <w:rFonts w:hint="eastAsia" w:ascii="仿宋" w:hAnsi="仿宋" w:eastAsia="仿宋" w:cs="仿宋"/>
          <w:color w:val="0000ff"/>
          <w:sz w:val="24"/>
          <w:szCs w:val="24"/>
          <w:highlight w:val="none"/>
        </w:rPr>
        <w:t xml:space="preserve">个月</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rPr>
        <w:t xml:space="preserve">若到期相关事项尚未办结，</w:t>
      </w:r>
      <w:r>
        <w:rPr>
          <w:rFonts w:hint="eastAsia" w:ascii="仿宋" w:hAnsi="仿宋" w:eastAsia="仿宋" w:cs="仿宋"/>
          <w:color w:val="0000ff"/>
          <w:sz w:val="24"/>
          <w:szCs w:val="24"/>
          <w:highlight w:val="none"/>
          <w:lang w:val="en-US" w:eastAsia="zh-CN"/>
        </w:rPr>
        <w:t xml:space="preserve">服务期限相应顺延</w:t>
      </w:r>
      <w:r>
        <w:rPr>
          <w:rFonts w:hint="eastAsia" w:ascii="仿宋" w:hAnsi="仿宋" w:eastAsia="仿宋" w:cs="仿宋"/>
          <w:color w:val="0000ff"/>
          <w:sz w:val="24"/>
          <w:szCs w:val="24"/>
          <w:highlight w:val="none"/>
        </w:rPr>
        <w:t xml:space="preserve">；若全部工作事项提前办结，则服务自动终止。</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4"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5" w:name="OLE_LINK50"/>
      <w:r>
        <w:rPr>
          <w:rFonts w:hint="eastAsia" w:ascii="仿宋" w:hAnsi="仿宋" w:eastAsia="仿宋" w:cs="仿宋"/>
          <w:color w:val="auto"/>
          <w:sz w:val="24"/>
          <w:szCs w:val="24"/>
          <w:highlight w:val="none"/>
          <w:lang w:val="en-US" w:eastAsia="zh-CN"/>
        </w:rPr>
        <w:t xml:space="preserve">2.</w:t>
      </w:r>
      <w:bookmarkEnd w:id="5"/>
      <w:r/>
      <w:bookmarkStart w:id="6" w:name="OLE_LINK51"/>
      <w:r>
        <w:rPr>
          <w:rFonts w:hint="eastAsia" w:ascii="仿宋" w:hAnsi="仿宋" w:eastAsia="仿宋" w:cs="仿宋"/>
          <w:color w:val="auto"/>
          <w:sz w:val="24"/>
          <w:szCs w:val="24"/>
          <w:highlight w:val="none"/>
        </w:rPr>
        <w:t xml:space="preserve">供应商提供下列材料之一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rPr>
        <w:t xml:space="preserve">（1）律师事务所</w:t>
      </w:r>
      <w:r>
        <w:rPr>
          <w:rFonts w:hint="eastAsia" w:ascii="仿宋" w:hAnsi="仿宋" w:eastAsia="仿宋" w:cs="仿宋"/>
          <w:color w:val="0000ff"/>
          <w:sz w:val="24"/>
          <w:szCs w:val="24"/>
          <w:highlight w:val="none"/>
          <w:lang w:val="en-US" w:eastAsia="zh-CN"/>
        </w:rPr>
        <w:t xml:space="preserve">负责人</w:t>
      </w:r>
      <w:r>
        <w:rPr>
          <w:rFonts w:hint="eastAsia" w:ascii="仿宋" w:hAnsi="仿宋" w:eastAsia="仿宋" w:cs="仿宋"/>
          <w:color w:val="0000ff"/>
          <w:sz w:val="24"/>
          <w:szCs w:val="24"/>
          <w:highlight w:val="none"/>
        </w:rPr>
        <w:t xml:space="preserve">资格证明（格式详见示范格式一）和负责人身份证（加盖CA电子签章）</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rPr>
        <w:t xml:space="preserve">（2）授权委托书（格式详见示范格式二）和受托人身份证（加盖CA电子签章）。</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bookmarkEnd w:id="6"/>
      <w:r>
        <w:rPr>
          <w:rFonts w:hint="eastAsia" w:ascii="仿宋" w:hAnsi="仿宋" w:eastAsia="仿宋" w:cs="仿宋"/>
          <w:color w:val="0000ff"/>
          <w:sz w:val="24"/>
          <w:szCs w:val="24"/>
          <w:highlight w:val="none"/>
        </w:rPr>
        <w:t xml:space="preserve">供应商须为依法设立并有效存续的律师事务所，持有司法行政机关颁发的有效的《律师事务所执业许可证》（扫描件上传至电子响应文件）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7"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上述失信行为记录名单的，将视为资格审查不通过。</w:t>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8"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9" w:name="OLE_LINK55"/>
      <w:r>
        <w:rPr>
          <w:rFonts w:hint="eastAsia" w:ascii="仿宋" w:hAnsi="仿宋" w:eastAsia="仿宋" w:cs="仿宋"/>
          <w:color w:val="auto"/>
          <w:sz w:val="24"/>
          <w:szCs w:val="24"/>
          <w:highlight w:val="none"/>
        </w:rPr>
        <w:t xml:space="preserve">本项目为专门面向中小企业采购的项目。</w:t>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w:t>
      </w:r>
      <w:r>
        <w:rPr>
          <w:rFonts w:hint="eastAsia" w:ascii="仿宋" w:hAnsi="仿宋" w:eastAsia="仿宋" w:cs="仿宋"/>
          <w:color w:val="auto"/>
          <w:sz w:val="24"/>
          <w:szCs w:val="24"/>
          <w:highlight w:val="none"/>
          <w:u w:val="none"/>
        </w:rPr>
        <w:t xml:space="preserve">业为</w:t>
      </w:r>
      <w:r>
        <w:rPr>
          <w:rFonts w:hint="eastAsia" w:ascii="仿宋" w:hAnsi="仿宋" w:eastAsia="仿宋" w:cs="仿宋"/>
          <w:color w:val="0000ff"/>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0000ff"/>
          <w:sz w:val="24"/>
          <w:szCs w:val="24"/>
          <w:highlight w:val="none"/>
          <w:lang w:val="en-US" w:eastAsia="zh-CN"/>
        </w:rPr>
        <w:t xml:space="preserve">本项目的特定资格要求：</w:t>
      </w:r>
      <w:bookmarkStart w:id="10" w:name="OLE_LINK74"/>
      <w:r>
        <w:rPr>
          <w:rFonts w:hint="eastAsia" w:ascii="仿宋" w:hAnsi="仿宋" w:eastAsia="仿宋" w:cs="仿宋"/>
          <w:color w:val="0000ff"/>
          <w:sz w:val="24"/>
          <w:szCs w:val="24"/>
          <w:highlight w:val="none"/>
          <w:lang w:val="en-US" w:eastAsia="zh-CN"/>
        </w:rPr>
        <w:t xml:space="preserve">无</w:t>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0"/>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1"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1"/>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w:t>
      </w:r>
      <w:bookmarkStart w:id="12"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12"/>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3"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19"/>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4" w:name="OLE_LINK79"/>
      <w:r/>
      <w:bookmarkStart w:id="15"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单位名称：盱眙县司法局</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单位地址：盱眙县盱城街道天鹅湖路8号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联系人：王康煜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联系电话：13852335643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单位名称：淮安德誉工程项目管理有限公司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单位地址：盱眙县二山路2-4号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联系人：李方玉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w:t>
      </w:r>
      <w:r>
        <w:rPr>
          <w:rFonts w:hint="eastAsia" w:ascii="宋体" w:hAnsi="宋体" w:cs="宋体"/>
          <w:color w:val="auto"/>
          <w:sz w:val="24"/>
          <w:szCs w:val="24"/>
          <w:highlight w:val="none"/>
          <w:lang w:eastAsia="zh-CN"/>
        </w:rPr>
        <w:t xml:space="preserve">0517-88332298</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项目联系人：李方玉</w:t>
      </w:r>
      <w:r/>
    </w:p>
    <w:p>
      <w:pPr>
        <w:ind w:firstLine="480"/>
        <w:keepLines w:val="0"/>
        <w:keepNext w:val="0"/>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电话：</w:t>
      </w:r>
      <w:r>
        <w:rPr>
          <w:rFonts w:hint="eastAsia" w:ascii="宋体" w:hAnsi="宋体" w:cs="宋体"/>
          <w:color w:val="auto"/>
          <w:sz w:val="24"/>
          <w:szCs w:val="24"/>
          <w:highlight w:val="none"/>
          <w:lang w:eastAsia="zh-CN"/>
        </w:rPr>
        <w:t xml:space="preserve">0517-88332298</w:t>
      </w:r>
      <w:r>
        <w:rPr>
          <w:rFonts w:hint="eastAsia" w:ascii="仿宋" w:hAnsi="仿宋" w:eastAsia="仿宋" w:cs="仿宋"/>
          <w:color w:val="auto"/>
          <w:sz w:val="24"/>
          <w:szCs w:val="24"/>
          <w:highlight w:val="none"/>
          <w:lang w:val="en-US" w:eastAsia="zh-CN"/>
        </w:rPr>
        <w:t xml:space="preserve"> </w:t>
      </w:r>
      <w:bookmarkEnd w:id="1"/>
      <w:r/>
      <w:bookmarkEnd w:id="14"/>
      <w:r/>
      <w:bookmarkEnd w:id="15"/>
      <w:r/>
      <w:r/>
    </w:p>
    <w:p>
      <w:pPr>
        <w:jc w:val="both"/>
        <w:pageBreakBefore w:val="0"/>
        <w:spacing w:line="380" w:lineRule="exact"/>
        <w:rPr>
          <w:rFonts w:hint="eastAsia" w:ascii="仿宋" w:hAnsi="仿宋" w:eastAsia="仿宋" w:cs="仿宋"/>
          <w:b/>
          <w:color w:val="auto"/>
          <w:sz w:val="30"/>
          <w:szCs w:val="30"/>
          <w:highlight w:val="none"/>
        </w:rPr>
        <w:outlineLvl w:val="0"/>
      </w:pPr>
      <w:r/>
      <w:bookmarkStart w:id="16" w:name="OLE_LINK21"/>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17"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17"/>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0000ff"/>
          <w:sz w:val="24"/>
          <w:szCs w:val="24"/>
          <w:highlight w:val="none"/>
          <w:lang w:eastAsia="zh-CN"/>
        </w:rPr>
        <w:t xml:space="preserve">淮安德誉工程项目管理有限公司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000000"/>
          <w:sz w:val="24"/>
          <w:szCs w:val="24"/>
          <w:highlight w:val="none"/>
        </w:rPr>
        <w:t xml:space="preserve">江苏省政府采购网、</w:t>
      </w:r>
      <w:r>
        <w:rPr>
          <w:rFonts w:hint="eastAsia" w:ascii="仿宋" w:hAnsi="仿宋" w:eastAsia="仿宋" w:cs="仿宋"/>
          <w:color w:val="000000"/>
          <w:sz w:val="24"/>
          <w:szCs w:val="24"/>
          <w:highlight w:val="none"/>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前期现场勘查费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资料收集与梳理费、</w:t>
      </w:r>
      <w:r>
        <w:rPr>
          <w:rFonts w:hint="eastAsia" w:ascii="仿宋" w:hAnsi="仿宋" w:eastAsia="仿宋" w:cs="仿宋"/>
          <w:color w:val="auto"/>
          <w:sz w:val="24"/>
          <w:szCs w:val="24"/>
          <w:highlight w:val="none"/>
          <w:lang w:val="en-US" w:eastAsia="zh-CN"/>
        </w:rPr>
        <w:t xml:space="preserve">安全风险评估</w:t>
      </w:r>
      <w:r>
        <w:rPr>
          <w:rFonts w:hint="eastAsia" w:ascii="仿宋" w:hAnsi="仿宋" w:eastAsia="仿宋" w:cs="仿宋"/>
          <w:color w:val="auto"/>
          <w:sz w:val="24"/>
          <w:szCs w:val="24"/>
          <w:highlight w:val="none"/>
        </w:rPr>
        <w:t xml:space="preserve">报告编制费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评审及修改费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技术咨询及现场配合费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成果交付及资料归档费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人员及办公费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差旅、</w:t>
      </w:r>
      <w:r>
        <w:rPr>
          <w:rFonts w:hint="eastAsia" w:ascii="仿宋" w:hAnsi="仿宋" w:eastAsia="仿宋" w:cs="仿宋"/>
          <w:color w:val="auto"/>
          <w:sz w:val="24"/>
          <w:szCs w:val="24"/>
          <w:highlight w:val="none"/>
        </w:rPr>
        <w:t xml:space="preserve">税费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其他相关费用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约定服务所需的其他辅助费用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18" w:name="_Toc4104"/>
      <w:r>
        <w:rPr>
          <w:rFonts w:hint="eastAsia" w:ascii="仿宋" w:hAnsi="仿宋" w:eastAsia="仿宋" w:cs="仿宋"/>
          <w:bCs/>
          <w:color w:val="auto"/>
          <w:sz w:val="24"/>
          <w:szCs w:val="24"/>
          <w:highlight w:val="none"/>
        </w:rPr>
        <w:t xml:space="preserve">10.技术要求响应偏离</w:t>
      </w:r>
      <w:bookmarkEnd w:id="18"/>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30"/>
          <w:rFonts w:hint="eastAsia" w:ascii="仿宋" w:hAnsi="仿宋" w:eastAsia="仿宋" w:cs="仿宋"/>
          <w:color w:val="auto"/>
          <w:sz w:val="24"/>
          <w:szCs w:val="24"/>
          <w:highlight w:val="none"/>
          <w:lang w:val="zh-CN"/>
        </w:rPr>
        <w:t xml:space="preserve">www.creditchina.gov.cn</w:t>
      </w:r>
      <w:r>
        <w:rPr>
          <w:rStyle w:val="930"/>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30"/>
          <w:rFonts w:hint="eastAsia" w:ascii="仿宋" w:hAnsi="仿宋" w:eastAsia="仿宋" w:cs="仿宋"/>
          <w:color w:val="auto"/>
          <w:sz w:val="24"/>
          <w:szCs w:val="24"/>
          <w:highlight w:val="none"/>
          <w:lang w:val="zh-CN"/>
        </w:rPr>
        <w:t xml:space="preserve">www.ccgp.gov.cn</w:t>
      </w:r>
      <w:r>
        <w:rPr>
          <w:rStyle w:val="930"/>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0000ff"/>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19"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0"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0"/>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19"/>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1"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w:t>
      </w:r>
      <w:r>
        <w:rPr>
          <w:rFonts w:hint="eastAsia" w:ascii="仿宋" w:hAnsi="仿宋" w:eastAsia="仿宋" w:cs="仿宋"/>
          <w:color w:val="0000ff"/>
          <w:sz w:val="24"/>
          <w:szCs w:val="24"/>
          <w:highlight w:val="none"/>
        </w:rPr>
        <w:t xml:space="preserve">荐出3名成交</w:t>
      </w:r>
      <w:r>
        <w:rPr>
          <w:rFonts w:hint="eastAsia" w:ascii="仿宋" w:hAnsi="仿宋" w:eastAsia="仿宋" w:cs="仿宋"/>
          <w:color w:val="auto"/>
          <w:sz w:val="24"/>
          <w:szCs w:val="24"/>
          <w:highlight w:val="none"/>
        </w:rPr>
        <w:t xml:space="preserve">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w:t>
      </w:r>
      <w:r>
        <w:rPr>
          <w:rFonts w:hint="eastAsia" w:ascii="仿宋" w:hAnsi="仿宋" w:eastAsia="仿宋" w:cs="仿宋"/>
          <w:color w:val="0000ff"/>
          <w:sz w:val="24"/>
          <w:szCs w:val="24"/>
          <w:highlight w:val="none"/>
          <w:lang w:val="en-US" w:eastAsia="zh-CN"/>
        </w:rPr>
        <w:t xml:space="preserve">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2" w:name="_Toc16743"/>
      <w:r>
        <w:rPr>
          <w:rFonts w:hint="eastAsia" w:ascii="仿宋" w:hAnsi="仿宋" w:eastAsia="仿宋" w:cs="仿宋"/>
          <w:color w:val="auto"/>
          <w:sz w:val="24"/>
          <w:szCs w:val="24"/>
          <w:highlight w:val="none"/>
        </w:rPr>
        <w:t xml:space="preserve">（3）具体、明确的质疑事项和与质疑事实相关的请求；</w:t>
      </w:r>
      <w:bookmarkEnd w:id="2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3" w:name="_Toc20203"/>
      <w:r>
        <w:rPr>
          <w:rFonts w:hint="eastAsia" w:ascii="仿宋" w:hAnsi="仿宋" w:eastAsia="仿宋" w:cs="仿宋"/>
          <w:color w:val="auto"/>
          <w:sz w:val="24"/>
          <w:szCs w:val="24"/>
          <w:highlight w:val="none"/>
        </w:rPr>
        <w:t xml:space="preserve">（4）事实依据；</w:t>
      </w:r>
      <w:bookmarkEnd w:id="2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4" w:name="_Toc18795"/>
      <w:r>
        <w:rPr>
          <w:rFonts w:hint="eastAsia" w:ascii="仿宋" w:hAnsi="仿宋" w:eastAsia="仿宋" w:cs="仿宋"/>
          <w:color w:val="auto"/>
          <w:sz w:val="24"/>
          <w:szCs w:val="24"/>
          <w:highlight w:val="none"/>
        </w:rPr>
        <w:t xml:space="preserve">（5）必要的法律依据；</w:t>
      </w:r>
      <w:bookmarkEnd w:id="24"/>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5" w:name="_Toc6388"/>
      <w:r>
        <w:rPr>
          <w:rFonts w:hint="eastAsia" w:ascii="仿宋" w:hAnsi="仿宋" w:eastAsia="仿宋" w:cs="仿宋"/>
          <w:color w:val="auto"/>
          <w:sz w:val="24"/>
          <w:szCs w:val="24"/>
          <w:highlight w:val="none"/>
        </w:rPr>
        <w:t xml:space="preserve">（6）提起质疑的日期；</w:t>
      </w:r>
      <w:bookmarkEnd w:id="25"/>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912"/>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8"/>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28"/>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728"/>
        <w:tblW w:w="9308"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704"/>
        <w:gridCol w:w="1702"/>
        <w:gridCol w:w="1659"/>
        <w:gridCol w:w="3835"/>
        <w:gridCol w:w="704"/>
        <w:gridCol w:w="704"/>
      </w:tblGrid>
      <w:tr>
        <w:trPr>
          <w:jc w:val="center"/>
          <w:trHeight w:val="0"/>
          <w:tblHeader/>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序号</w:t>
            </w:r>
            <w:r/>
          </w:p>
        </w:tc>
        <w:tc>
          <w:tcPr>
            <w:tcMar>
              <w:left w:w="120" w:type="dxa"/>
              <w:top w:w="60" w:type="dxa"/>
              <w:right w:w="120" w:type="dxa"/>
              <w:bottom w:w="30" w:type="dxa"/>
            </w:tcMar>
            <w:tcW w:w="1702"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评分因素</w:t>
            </w:r>
            <w:r/>
          </w:p>
        </w:tc>
        <w:tc>
          <w:tcPr>
            <w:tcMar>
              <w:left w:w="120" w:type="dxa"/>
              <w:top w:w="60" w:type="dxa"/>
              <w:right w:w="120" w:type="dxa"/>
              <w:bottom w:w="30" w:type="dxa"/>
            </w:tcMar>
            <w:tcW w:w="1659"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评审子项</w:t>
            </w:r>
            <w:r/>
          </w:p>
        </w:tc>
        <w:tc>
          <w:tcPr>
            <w:tcMar>
              <w:left w:w="120" w:type="dxa"/>
              <w:top w:w="60" w:type="dxa"/>
              <w:right w:w="120" w:type="dxa"/>
              <w:bottom w:w="30" w:type="dxa"/>
            </w:tcMar>
            <w:tcW w:w="3835"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评审标准</w:t>
            </w:r>
            <w:r/>
          </w:p>
        </w:tc>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分值</w:t>
            </w:r>
            <w:r/>
          </w:p>
        </w:tc>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投标报价（10分）</w:t>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投标报价</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所有通过评审的最后有效投标报价的最低报价为评标基准价，其价格分为满分。其他投标人的价格分按照下列公式计算（小数点保留两位）：</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投标报价得分＝（评标基准价/最后投标报价）×10分。</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技术部分（4</w:t>
            </w:r>
            <w:r>
              <w:rPr>
                <w:rFonts w:hint="eastAsia" w:ascii="方正仿宋_GB2312" w:hAnsi="方正仿宋_GB2312" w:eastAsia="方正仿宋_GB2312" w:cs="方正仿宋_GB2312"/>
                <w:sz w:val="28"/>
                <w:szCs w:val="28"/>
                <w:lang w:val="en-US" w:eastAsia="zh-CN"/>
              </w:rPr>
              <w:t xml:space="preserve">6</w:t>
            </w:r>
            <w:r>
              <w:rPr>
                <w:rFonts w:hint="eastAsia" w:ascii="方正仿宋_GB2312" w:hAnsi="方正仿宋_GB2312" w:eastAsia="方正仿宋_GB2312" w:cs="方正仿宋_GB2312"/>
                <w:sz w:val="28"/>
                <w:szCs w:val="28"/>
              </w:rPr>
              <w:t xml:space="preserve">分）</w:t>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总体服务思路与组织架构</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评审要点：针对本 PPP 项目解约善后全周期服务，阐述整体服务工作思路、项目组织架构、人员岗位职责、工作协同机制，匹配本项目服务周期长、事项复杂、涉及谈判清算、涉访涉诉的项目特点。</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8</w:t>
            </w:r>
            <w:r>
              <w:rPr>
                <w:rFonts w:hint="eastAsia" w:ascii="方正仿宋_GB2312" w:hAnsi="方正仿宋_GB2312" w:eastAsia="方正仿宋_GB2312" w:cs="方正仿宋_GB2312"/>
                <w:sz w:val="28"/>
                <w:szCs w:val="28"/>
              </w:rPr>
              <w:t xml:space="preserve">分：服务思路贴合本 PPP 项目解约清算、资产处置、矛盾化解全周期特点；组织架构完整，团队分工清晰，主办、协办、档案辅助人员岗位职责划分明确；工作统筹、内外对接、证据材料管理、成果输出等岗位职责清晰；对项目重难点（解约谈判、价款清算、资产移交、信访纠纷）有预判，整体思路完整、可落地。</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6</w:t>
            </w:r>
            <w:r>
              <w:rPr>
                <w:rFonts w:hint="eastAsia" w:ascii="方正仿宋_GB2312" w:hAnsi="方正仿宋_GB2312" w:eastAsia="方正仿宋_GB2312" w:cs="方正仿宋_GB2312"/>
                <w:sz w:val="28"/>
                <w:szCs w:val="28"/>
              </w:rPr>
              <w:t xml:space="preserve"> 分：服务思路基本满足项目需求；组织架构基本齐全，有人员分工，但岗位职责划分较为笼统；对项目重难点有简单提及，但分析深度不足。</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2</w:t>
            </w:r>
            <w:r>
              <w:rPr>
                <w:rFonts w:hint="eastAsia" w:ascii="方正仿宋_GB2312" w:hAnsi="方正仿宋_GB2312" w:eastAsia="方正仿宋_GB2312" w:cs="方正仿宋_GB2312"/>
                <w:sz w:val="28"/>
                <w:szCs w:val="28"/>
              </w:rPr>
              <w:t xml:space="preserve">分：服务思路简单笼统，未结合本 PPP 解约项目特点；组织架构残缺，岗位职责模糊；大量套用通用法律服务模板。</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不提供不得分</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PPP解约全流程服务方案</w:t>
            </w:r>
            <w:r/>
          </w:p>
        </w:tc>
        <w:tc>
          <w:tcPr>
            <w:tcMar>
              <w:left w:w="120" w:type="dxa"/>
              <w:top w:w="60" w:type="dxa"/>
              <w:right w:w="120" w:type="dxa"/>
              <w:bottom w:w="30" w:type="dxa"/>
            </w:tcMar>
            <w:tcW w:w="3835" w:type="dxa"/>
            <w:vAlign w:val="center"/>
            <w:textDirection w:val="lrTb"/>
            <w:noWrap w:val="false"/>
          </w:tcPr>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对照采购需求 10 项核心服务内容，评审方案完整性、针对性、实操性。</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16 分：完整覆盖采购需求全部 10 项法律服务内容；各环节工作流程清晰，工作输出成果明确；针对本项目解约谈判、法律文书起草审核、债务梳理法律意见、行政程序合规把关、涉诉涉访应对、善后处置等均有具体工作举措；对投资价款清算、资产清点评估移交等环节，明确律师提供法律审核、风险提示、文书把关的具体方式和协作机制；方案翔实，具备可操作性。</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12分：覆盖大部分服务环节，主要工作内容均有响应，但部分环节工作举措较为简单，缺少具体工作输出、流程设计；个别采购需求服务点存在缺失。</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6分：方案内容单薄，仅简单罗列服务名称；多个采购需求核心服务环节缺失；大量套用通用模板，缺少本项目针对性。</w:t>
            </w:r>
            <w:r/>
          </w:p>
          <w:p>
            <w:pPr>
              <w:pStyle w:val="751"/>
              <w:keepLines w:val="0"/>
              <w:keepNext w:val="0"/>
              <w:widowControl/>
              <w:rPr>
                <w:rFonts w:hint="eastAsia" w:ascii="方正仿宋_GB2312" w:hAnsi="方正仿宋_GB2312" w:eastAsia="方正仿宋_GB2312" w:cs="方正仿宋_GB2312"/>
                <w:sz w:val="28"/>
                <w:szCs w:val="28"/>
              </w:rPr>
              <w:suppressLineNumbers w:val="0"/>
            </w:pPr>
            <w:r>
              <w:rPr>
                <w:rFonts w:hint="eastAsia" w:ascii="方正仿宋_GB2312" w:hAnsi="方正仿宋_GB2312" w:eastAsia="方正仿宋_GB2312" w:cs="方正仿宋_GB2312"/>
                <w:sz w:val="28"/>
                <w:szCs w:val="28"/>
                <w:lang w:val="en-US" w:eastAsia="zh-CN" w:bidi="ar-SA"/>
              </w:rPr>
              <w:t xml:space="preserve">不提供不得分</w:t>
            </w:r>
            <w:r>
              <w:t xml:space="preserve">。</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风险识别与防控预案</w:t>
            </w:r>
            <w:r/>
          </w:p>
        </w:tc>
        <w:tc>
          <w:tcPr>
            <w:tcMar>
              <w:left w:w="120" w:type="dxa"/>
              <w:top w:w="60" w:type="dxa"/>
              <w:right w:w="120" w:type="dxa"/>
              <w:bottom w:w="30" w:type="dxa"/>
            </w:tcMar>
            <w:tcW w:w="3835" w:type="dxa"/>
            <w:vAlign w:val="center"/>
            <w:textDirection w:val="lrTb"/>
            <w:noWrap w:val="false"/>
          </w:tcPr>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评审要点：针对项目解约全流程，识别合同违约界定、价款清算中的法律争议、资产移交中的法律障碍、债务纠纷、行政程序合规、信访维稳、复议诉讼、国有资产保护等各类法律及实务风险，配套对应的预警、处置、化解、应急工作预案。</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12 分：能够全面识别本项目解约过程主要法律及实务风险，包括合同解除效力风险、价款清算中的法律依据及计算争议风险、资产移交中的权属及程序合法性风险、各类债务纠纷法律风险、行政程序合规风险、信访舆情风险、复议诉讼风险、国有资产损失风险；针对识别出的风险，逐条对应制定可落地的法律预警、处置、化解及应急预案，预案完整可行。</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8 分：能够识别大部分主要风险，但部分关键风险识别缺失；有风险应对措施，但措施偏原则性，实操性一般。</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4 分：识别风险数量少，仅少量简单风险；仅罗列风险点，未配套对应的处置、应急预案。</w:t>
            </w:r>
            <w:r/>
          </w:p>
          <w:p>
            <w:pPr>
              <w:pStyle w:val="751"/>
              <w:keepLines w:val="0"/>
              <w:keepNext w:val="0"/>
              <w:widowControl/>
              <w:rPr>
                <w:rFonts w:hint="eastAsia" w:ascii="方正仿宋_GB2312" w:hAnsi="方正仿宋_GB2312" w:eastAsia="方正仿宋_GB2312" w:cs="方正仿宋_GB2312"/>
                <w:sz w:val="28"/>
                <w:szCs w:val="28"/>
                <w:lang w:val="en-US" w:eastAsia="zh-CN" w:bidi="ar-SA"/>
              </w:rPr>
              <w:suppressLineNumbers w:val="0"/>
            </w:pPr>
            <w:r>
              <w:rPr>
                <w:rFonts w:hint="eastAsia" w:ascii="方正仿宋_GB2312" w:hAnsi="方正仿宋_GB2312" w:eastAsia="方正仿宋_GB2312" w:cs="方正仿宋_GB2312"/>
                <w:sz w:val="28"/>
                <w:szCs w:val="28"/>
                <w:lang w:val="en-US" w:eastAsia="zh-CN" w:bidi="ar-SA"/>
              </w:rPr>
              <w:t xml:space="preserve">不提供不得分。</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2</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服务质量内控制度</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评审要点：针对本专项法律服务，建立案件会商研判、工作台账管理、成果报告报送、案件质量复核、档案管理、保密管理等内部质量管控机制。</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 分：建立完整的服务内控制度：包含项目会商研判机制、工作台账管理、定期报告报送、法律文书 / 法律意见质量复核、档案归集管理、保密管理；各项制度明确工作流程、工作要求，完整可落地。</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 分：具备会商、台账、报告、复核等核心制度，但部分制度内容简单，缺少具体执行流程。</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 分：仅简单提及相关制度名称，无具体实施内容，制度笼统。</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不提供不得分</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商务及项目团队实力（4</w:t>
            </w: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分）</w:t>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律所综合执业实力</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color w:val="e54c5e" w:themeColor="accent6"/>
                <w:sz w:val="28"/>
                <w:szCs w:val="28"/>
                <w14:textFill>
                  <w14:solidFill>
                    <w14:schemeClr w14:val="accent6"/>
                  </w14:solidFill>
                </w14:textFill>
              </w:rPr>
            </w:pP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律所综合执业实力（</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12</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 分）</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highlight w:val="yellow"/>
              </w:rPr>
            </w:pPr>
            <w:r>
              <w:rPr>
                <w:rFonts w:hint="eastAsia" w:ascii="方正仿宋_GB2312" w:hAnsi="方正仿宋_GB2312" w:eastAsia="方正仿宋_GB2312" w:cs="方正仿宋_GB2312"/>
                <w:sz w:val="28"/>
                <w:szCs w:val="28"/>
                <w:highlight w:val="yellow"/>
              </w:rPr>
              <w:t xml:space="preserve">供应商近3年（自采购公告发布之日起倒推，以合同签订日期为准）具有政府投资项目、重大建设项目或项目解约、清算、资产处置等类似法律服务业绩，每提供1个有效业绩得4分，最多</w:t>
            </w:r>
            <w:r>
              <w:rPr>
                <w:rFonts w:hint="eastAsia" w:ascii="方正仿宋_GB2312" w:hAnsi="方正仿宋_GB2312" w:eastAsia="方正仿宋_GB2312" w:cs="方正仿宋_GB2312"/>
                <w:sz w:val="28"/>
                <w:szCs w:val="28"/>
                <w:highlight w:val="yellow"/>
                <w:lang w:val="en-US" w:eastAsia="zh-CN"/>
              </w:rPr>
              <w:t xml:space="preserve">3</w:t>
            </w:r>
            <w:r>
              <w:rPr>
                <w:rFonts w:hint="eastAsia" w:ascii="方正仿宋_GB2312" w:hAnsi="方正仿宋_GB2312" w:eastAsia="方正仿宋_GB2312" w:cs="方正仿宋_GB2312"/>
                <w:sz w:val="28"/>
                <w:szCs w:val="28"/>
                <w:highlight w:val="yellow"/>
              </w:rPr>
              <w:t xml:space="preserve">个，满分</w:t>
            </w:r>
            <w:r>
              <w:rPr>
                <w:rFonts w:hint="eastAsia" w:ascii="方正仿宋_GB2312" w:hAnsi="方正仿宋_GB2312" w:eastAsia="方正仿宋_GB2312" w:cs="方正仿宋_GB2312"/>
                <w:sz w:val="28"/>
                <w:szCs w:val="28"/>
                <w:highlight w:val="yellow"/>
                <w:lang w:val="en-US" w:eastAsia="zh-CN"/>
              </w:rPr>
              <w:t xml:space="preserve">12</w:t>
            </w:r>
            <w:r>
              <w:rPr>
                <w:rFonts w:hint="eastAsia" w:ascii="方正仿宋_GB2312" w:hAnsi="方正仿宋_GB2312" w:eastAsia="方正仿宋_GB2312" w:cs="方正仿宋_GB2312"/>
                <w:sz w:val="28"/>
                <w:szCs w:val="28"/>
                <w:highlight w:val="yellow"/>
              </w:rPr>
              <w:t xml:space="preserve">分。</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highlight w:val="yellow"/>
              </w:rPr>
            </w:pPr>
            <w:r>
              <w:rPr>
                <w:rFonts w:hint="eastAsia" w:ascii="方正仿宋_GB2312" w:hAnsi="方正仿宋_GB2312" w:eastAsia="方正仿宋_GB2312" w:cs="方正仿宋_GB2312"/>
                <w:sz w:val="28"/>
                <w:szCs w:val="28"/>
                <w:highlight w:val="yellow"/>
              </w:rPr>
              <w:t xml:space="preserve">证明材料：须提供合同关键页（含首页、服务内容页、签章页），清晰体现项目名称、服务内容、供应商名称及签订日期；涉密项目可提供脱敏版本，但须同时提供委托人出具的业绩证明函。无法体现服务内容的业绩不计分。</w:t>
            </w:r>
            <w:r/>
          </w:p>
          <w:p>
            <w:pPr>
              <w:ind w:left="0" w:right="0" w:firstLine="0"/>
              <w:jc w:val="lef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default"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12</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项目主办人员多领域政府法务业绩</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评审对象为响应文件列明的项目主办人员。6类领域关：</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1.行政诉讼案件代理</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2.重大</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民商事案件代理</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3.</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政府重大合同审查；</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4.</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重大行政</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事项</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法律论证；</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5.涉</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法信访矛盾化解</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法律服务；</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6.政府重大项目法律服务。</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本项满分12分，业绩覆盖上述6类，每一类计2分。</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注：1.本项为加分择优项，不作为资格条件，无相关经验不扣分、不导致响应无效。</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2.佐证材料：业绩时限为近5年（自磋商公告发布之日起倒推）</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行政</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民事诉讼</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案件代理</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提供法律文书；对</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政府合同审查、重大决策</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法律意见、政府重大项目</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、信访</w:t>
            </w:r>
            <w:r>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t xml:space="preserve">涉法项目法律服务</w:t>
            </w:r>
            <w:r>
              <w:rPr>
                <w:rFonts w:hint="eastAsia" w:ascii="方正仿宋_GB2312" w:hAnsi="方正仿宋_GB2312" w:eastAsia="方正仿宋_GB2312" w:cs="方正仿宋_GB2312"/>
                <w:b w:val="0"/>
                <w:bCs w:val="0"/>
                <w:color w:val="e54c5e" w:themeColor="accent6"/>
                <w:sz w:val="28"/>
                <w:szCs w:val="28"/>
                <w:lang w:eastAsia="zh-CN"/>
                <w14:textFill>
                  <w14:solidFill>
                    <w14:schemeClr w14:val="accent6"/>
                  </w14:solidFill>
                </w14:textFill>
              </w:rPr>
              <w:t xml:space="preserve">，</w:t>
            </w:r>
            <w:r>
              <w:rPr>
                <w:rFonts w:hint="eastAsia" w:ascii="方正仿宋_GB2312" w:hAnsi="方正仿宋_GB2312" w:eastAsia="方正仿宋_GB2312" w:cs="方正仿宋_GB2312"/>
                <w:b w:val="0"/>
                <w:bCs w:val="0"/>
                <w:color w:val="e54c5e" w:themeColor="accent6"/>
                <w:sz w:val="28"/>
                <w:szCs w:val="28"/>
                <w14:textFill>
                  <w14:solidFill>
                    <w14:schemeClr w14:val="accent6"/>
                  </w14:solidFill>
                </w14:textFill>
              </w:rPr>
              <w:t xml:space="preserve">可提供正式法律意见书</w:t>
            </w:r>
            <w:r>
              <w:rPr>
                <w:rFonts w:hint="eastAsia" w:ascii="方正仿宋_GB2312" w:hAnsi="方正仿宋_GB2312" w:eastAsia="方正仿宋_GB2312" w:cs="方正仿宋_GB2312"/>
                <w:b w:val="0"/>
                <w:bCs w:val="0"/>
                <w:color w:val="e54c5e" w:themeColor="accent6"/>
                <w:sz w:val="28"/>
                <w:szCs w:val="28"/>
                <w:lang w:val="en-US" w:eastAsia="zh-CN"/>
                <w14:textFill>
                  <w14:solidFill>
                    <w14:schemeClr w14:val="accent6"/>
                  </w14:solidFill>
                </w14:textFill>
              </w:rPr>
              <w:t xml:space="preserve">/法律分析报告等</w:t>
            </w:r>
            <w:r>
              <w:rPr>
                <w:rFonts w:hint="eastAsia" w:ascii="方正仿宋_GB2312" w:hAnsi="方正仿宋_GB2312" w:eastAsia="方正仿宋_GB2312" w:cs="方正仿宋_GB2312"/>
                <w:b w:val="0"/>
                <w:bCs w:val="0"/>
                <w:color w:val="e54c5e" w:themeColor="accent6"/>
                <w:sz w:val="28"/>
                <w:szCs w:val="28"/>
                <w14:textFill>
                  <w14:solidFill>
                    <w14:schemeClr w14:val="accent6"/>
                  </w14:solidFill>
                </w14:textFill>
              </w:rPr>
              <w:t xml:space="preserve">；涉密项目可提供脱敏版本。所有材料须加盖供应商公章，未提供佐证材料业绩不予认定。</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团队其他成员人员配置</w:t>
            </w:r>
            <w:r/>
          </w:p>
        </w:tc>
        <w:tc>
          <w:tcPr>
            <w:tcMar>
              <w:left w:w="120" w:type="dxa"/>
              <w:top w:w="60" w:type="dxa"/>
              <w:right w:w="120" w:type="dxa"/>
              <w:bottom w:w="30" w:type="dxa"/>
            </w:tcMar>
            <w:tcW w:w="3835" w:type="dxa"/>
            <w:vAlign w:val="center"/>
            <w:textDirection w:val="lrTb"/>
            <w:noWrap w:val="false"/>
          </w:tcPr>
          <w:p>
            <w:pPr>
              <w:numPr>
                <w:ilvl w:val="0"/>
                <w:numId w:val="0"/>
              </w:num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1.</w:t>
            </w:r>
            <w:r>
              <w:rPr>
                <w:rFonts w:hint="eastAsia" w:ascii="方正仿宋_GB2312" w:hAnsi="方正仿宋_GB2312" w:eastAsia="方正仿宋_GB2312" w:cs="方正仿宋_GB2312"/>
                <w:sz w:val="28"/>
                <w:szCs w:val="28"/>
              </w:rPr>
              <w:t xml:space="preserve">专职协办律师 2名：两名协办律师执业年限均≥5 年得 6 分；1 名≥5 年且另一名≥3 年得 3 分；两名均≥3 年得 1 分；不满足上述条件不得分。专职辅助档案律师 1 名：执业年限≥3 年得 </w:t>
            </w: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 分；执业年限≥1 年得 1 分；无不得分。</w:t>
            </w:r>
            <w:r/>
          </w:p>
          <w:p>
            <w:pPr>
              <w:numPr>
                <w:ilvl w:val="0"/>
                <w:numId w:val="0"/>
              </w:numPr>
              <w:ind w:left="0" w:right="0" w:firstLine="0"/>
              <w:jc w:val="lef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须提供律师执业证扫描件</w:t>
            </w:r>
            <w:r>
              <w:rPr>
                <w:rFonts w:hint="eastAsia" w:ascii="方正仿宋_GB2312" w:hAnsi="方正仿宋_GB2312" w:eastAsia="方正仿宋_GB2312" w:cs="方正仿宋_GB2312"/>
                <w:sz w:val="28"/>
                <w:szCs w:val="28"/>
                <w:lang w:val="en-US" w:eastAsia="zh-CN"/>
              </w:rPr>
              <w:t xml:space="preserve">加盖公章</w:t>
            </w:r>
            <w:r>
              <w:rPr>
                <w:rFonts w:hint="eastAsia" w:ascii="方正仿宋_GB2312" w:hAnsi="方正仿宋_GB2312" w:eastAsia="方正仿宋_GB2312" w:cs="方正仿宋_GB2312"/>
                <w:sz w:val="28"/>
                <w:szCs w:val="28"/>
                <w:lang w:eastAsia="zh-CN"/>
              </w:rPr>
              <w:t xml:space="preserve">。</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val="en-US" w:eastAsia="zh-CN"/>
              </w:rPr>
              <w:t xml:space="preserve">9</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项目负责人执业资历</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 xml:space="preserve">项目负责人执业年限≥15年得</w:t>
            </w:r>
            <w:r>
              <w:rPr>
                <w:rFonts w:hint="eastAsia" w:ascii="方正仿宋_GB2312" w:hAnsi="方正仿宋_GB2312" w:eastAsia="方正仿宋_GB2312" w:cs="方正仿宋_GB2312"/>
                <w:sz w:val="28"/>
                <w:szCs w:val="28"/>
                <w:lang w:val="en-US" w:eastAsia="zh-CN"/>
              </w:rPr>
              <w:t xml:space="preserve">7</w:t>
            </w:r>
            <w:r>
              <w:rPr>
                <w:rFonts w:hint="eastAsia" w:ascii="方正仿宋_GB2312" w:hAnsi="方正仿宋_GB2312" w:eastAsia="方正仿宋_GB2312" w:cs="方正仿宋_GB2312"/>
                <w:sz w:val="28"/>
                <w:szCs w:val="28"/>
              </w:rPr>
              <w:t xml:space="preserve">分；10‑14年得4分；5‑9年得2分；不满5年得0分。以律师执业证发证日期至磋商截止日计算。须提供律师执业证扫描件</w:t>
            </w:r>
            <w:r>
              <w:rPr>
                <w:rFonts w:hint="eastAsia" w:ascii="方正仿宋_GB2312" w:hAnsi="方正仿宋_GB2312" w:eastAsia="方正仿宋_GB2312" w:cs="方正仿宋_GB2312"/>
                <w:sz w:val="28"/>
                <w:szCs w:val="28"/>
                <w:lang w:val="en-US" w:eastAsia="zh-CN"/>
              </w:rPr>
              <w:t xml:space="preserve">加盖公章</w:t>
            </w:r>
            <w:r>
              <w:rPr>
                <w:rFonts w:hint="eastAsia" w:ascii="方正仿宋_GB2312" w:hAnsi="方正仿宋_GB2312" w:eastAsia="方正仿宋_GB2312" w:cs="方正仿宋_GB2312"/>
                <w:sz w:val="28"/>
                <w:szCs w:val="28"/>
                <w:lang w:eastAsia="zh-CN"/>
              </w:rPr>
              <w:t xml:space="preserve">。</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7</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r>
      <w:tr>
        <w:trPr>
          <w:jc w:val="center"/>
          <w:trHeight w:val="0"/>
        </w:trPr>
        <w:tc>
          <w:tcPr>
            <w:tcMar>
              <w:left w:w="120" w:type="dxa"/>
              <w:top w:w="60" w:type="dxa"/>
              <w:right w:w="120" w:type="dxa"/>
              <w:bottom w:w="30" w:type="dxa"/>
            </w:tcMar>
            <w:tcW w:w="704" w:type="dxa"/>
            <w:vAlign w:val="center"/>
            <w:textDirection w:val="lrTb"/>
            <w:noWrap w:val="false"/>
          </w:tcPr>
          <w:p>
            <w:pPr>
              <w:ind w:left="0" w:right="0" w:firstLine="0"/>
              <w:jc w:val="center"/>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702"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Mar>
              <w:left w:w="120" w:type="dxa"/>
              <w:top w:w="60" w:type="dxa"/>
              <w:right w:w="120" w:type="dxa"/>
              <w:bottom w:w="30" w:type="dxa"/>
            </w:tcMar>
            <w:tcW w:w="1659"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t xml:space="preserve">其他</w:t>
            </w:r>
            <w:r/>
          </w:p>
        </w:tc>
        <w:tc>
          <w:tcPr>
            <w:tcMar>
              <w:left w:w="120" w:type="dxa"/>
              <w:top w:w="60" w:type="dxa"/>
              <w:right w:w="120" w:type="dxa"/>
              <w:bottom w:w="30" w:type="dxa"/>
            </w:tcMar>
            <w:tcW w:w="3835" w:type="dxa"/>
            <w:vAlign w:val="center"/>
            <w:textDirection w:val="lrTb"/>
            <w:noWrap w:val="false"/>
          </w:tcPr>
          <w:p>
            <w:pPr>
              <w:ind w:left="0" w:right="0" w:firstLine="0"/>
              <w:jc w:val="lef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 xml:space="preserve">供应商被列入</w:t>
            </w:r>
            <w:r>
              <w:rPr>
                <w:rFonts w:hint="eastAsia" w:ascii="方正仿宋_GB2312" w:hAnsi="方正仿宋_GB2312" w:eastAsia="方正仿宋_GB2312" w:cs="方正仿宋_GB2312"/>
                <w:sz w:val="28"/>
                <w:szCs w:val="28"/>
                <w:lang w:val="en-US" w:eastAsia="zh-CN"/>
              </w:rPr>
              <w:t xml:space="preserve">中</w:t>
            </w:r>
            <w:r>
              <w:rPr>
                <w:rFonts w:hint="eastAsia" w:ascii="方正仿宋_GB2312" w:hAnsi="方正仿宋_GB2312" w:eastAsia="方正仿宋_GB2312" w:cs="方正仿宋_GB2312"/>
                <w:sz w:val="28"/>
                <w:szCs w:val="28"/>
              </w:rPr>
              <w:t xml:space="preserve">级人民法院及以上破产管理人名册的，</w:t>
            </w:r>
            <w:r>
              <w:rPr>
                <w:rFonts w:hint="eastAsia" w:ascii="方正仿宋_GB2312" w:hAnsi="方正仿宋_GB2312" w:eastAsia="方正仿宋_GB2312" w:cs="方正仿宋_GB2312"/>
                <w:sz w:val="28"/>
                <w:szCs w:val="28"/>
                <w:lang w:val="en-US" w:eastAsia="zh-CN"/>
              </w:rPr>
              <w:t xml:space="preserve">二级及以上</w:t>
            </w:r>
            <w:r>
              <w:rPr>
                <w:rFonts w:hint="eastAsia" w:ascii="方正仿宋_GB2312" w:hAnsi="方正仿宋_GB2312" w:eastAsia="方正仿宋_GB2312" w:cs="方正仿宋_GB2312"/>
                <w:sz w:val="28"/>
                <w:szCs w:val="28"/>
              </w:rPr>
              <w:t xml:space="preserve">得 </w:t>
            </w: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lang w:val="en-US" w:eastAsia="zh-CN"/>
              </w:rPr>
              <w:t xml:space="preserve">三级得2分，</w:t>
            </w:r>
            <w:r>
              <w:rPr>
                <w:rFonts w:hint="eastAsia" w:ascii="方正仿宋_GB2312" w:hAnsi="方正仿宋_GB2312" w:eastAsia="方正仿宋_GB2312" w:cs="方正仿宋_GB2312"/>
                <w:sz w:val="28"/>
                <w:szCs w:val="28"/>
              </w:rPr>
              <w:t xml:space="preserve">未入册的不得分。须提供法院出具的入册</w:t>
            </w:r>
            <w:r>
              <w:rPr>
                <w:rFonts w:hint="eastAsia" w:ascii="方正仿宋_GB2312" w:hAnsi="方正仿宋_GB2312" w:eastAsia="方正仿宋_GB2312" w:cs="方正仿宋_GB2312"/>
                <w:sz w:val="28"/>
                <w:szCs w:val="28"/>
                <w:lang w:val="en-US" w:eastAsia="zh-CN"/>
              </w:rPr>
              <w:t xml:space="preserve">公告</w:t>
            </w:r>
            <w:r>
              <w:rPr>
                <w:rFonts w:hint="eastAsia" w:ascii="方正仿宋_GB2312" w:hAnsi="方正仿宋_GB2312" w:eastAsia="方正仿宋_GB2312" w:cs="方正仿宋_GB2312"/>
                <w:sz w:val="28"/>
                <w:szCs w:val="28"/>
              </w:rPr>
              <w:t xml:space="preserve">页面（含供应商名称）扫描件</w:t>
            </w:r>
            <w:r>
              <w:rPr>
                <w:rFonts w:hint="eastAsia" w:ascii="方正仿宋_GB2312" w:hAnsi="方正仿宋_GB2312" w:eastAsia="方正仿宋_GB2312" w:cs="方正仿宋_GB2312"/>
                <w:sz w:val="28"/>
                <w:szCs w:val="28"/>
                <w:lang w:val="en-US" w:eastAsia="zh-CN"/>
              </w:rPr>
              <w:t xml:space="preserve">加盖供应商公章</w:t>
            </w:r>
            <w:r>
              <w:rPr>
                <w:rFonts w:hint="eastAsia" w:ascii="方正仿宋_GB2312" w:hAnsi="方正仿宋_GB2312" w:eastAsia="方正仿宋_GB2312" w:cs="方正仿宋_GB2312"/>
                <w:sz w:val="28"/>
                <w:szCs w:val="28"/>
                <w:lang w:eastAsia="zh-CN"/>
              </w:rPr>
              <w:t xml:space="preserve">（区域不限）</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4</w:t>
            </w:r>
            <w:r/>
          </w:p>
        </w:tc>
        <w:tc>
          <w:tcPr>
            <w:tcMar>
              <w:left w:w="120" w:type="dxa"/>
              <w:top w:w="60" w:type="dxa"/>
              <w:right w:w="120" w:type="dxa"/>
              <w:bottom w:w="30" w:type="dxa"/>
            </w:tcMar>
            <w:tcW w:w="704" w:type="dxa"/>
            <w:vAlign w:val="center"/>
            <w:textDirection w:val="lrTb"/>
            <w:noWrap w:val="false"/>
          </w:tcPr>
          <w:p>
            <w:pPr>
              <w:ind w:left="0" w:right="0" w:firstLine="0"/>
              <w:jc w:val="right"/>
              <w:keepNext/>
              <w:spacing w:before="120" w:after="120" w:line="240"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r>
    </w:tbl>
    <w:p>
      <w:pPr>
        <w:ind w:firstLine="539"/>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16"/>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26" w:name="OLE_LINK12"/>
      <w:r>
        <w:rPr>
          <w:rFonts w:hint="eastAsia" w:ascii="仿宋" w:hAnsi="仿宋" w:eastAsia="仿宋" w:cs="仿宋"/>
          <w:b/>
          <w:color w:val="auto"/>
          <w:sz w:val="30"/>
          <w:szCs w:val="30"/>
          <w:highlight w:val="none"/>
          <w:lang w:val="en-US" w:eastAsia="zh-CN"/>
        </w:rPr>
        <w:t xml:space="preserve">项目采购需求</w:t>
      </w:r>
      <w:bookmarkEnd w:id="26"/>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jc w:val="left"/>
        <w:spacing w:before="380" w:after="140" w:line="288" w:lineRule="auto"/>
        <w:rPr>
          <w:rFonts w:hint="eastAsia" w:ascii="方正仿宋_GB2312" w:hAnsi="方正仿宋_GB2312" w:eastAsia="方正仿宋_GB2312" w:cs="方正仿宋_GB2312"/>
          <w:sz w:val="28"/>
          <w:szCs w:val="28"/>
        </w:rPr>
        <w:outlineLvl w:val="0"/>
      </w:pPr>
      <w:r/>
      <w:bookmarkStart w:id="27" w:name="heading_23"/>
      <w:r>
        <w:rPr>
          <w:rFonts w:hint="eastAsia" w:ascii="方正仿宋_GB2312" w:hAnsi="方正仿宋_GB2312" w:eastAsia="方正仿宋_GB2312" w:cs="方正仿宋_GB2312"/>
          <w:b/>
          <w:sz w:val="28"/>
          <w:szCs w:val="28"/>
        </w:rPr>
        <w:t xml:space="preserve">第四章 项目采购需求</w:t>
      </w:r>
      <w:bookmarkEnd w:id="27"/>
      <w:r/>
      <w:r/>
    </w:p>
    <w:p>
      <w:pPr>
        <w:ind w:left="0"/>
        <w:jc w:val="left"/>
        <w:spacing w:before="320" w:after="120" w:line="288" w:lineRule="auto"/>
        <w:rPr>
          <w:rFonts w:hint="eastAsia" w:ascii="方正仿宋_GB2312" w:hAnsi="方正仿宋_GB2312" w:eastAsia="方正仿宋_GB2312" w:cs="方正仿宋_GB2312"/>
          <w:sz w:val="28"/>
          <w:szCs w:val="28"/>
        </w:rPr>
        <w:outlineLvl w:val="1"/>
      </w:pPr>
      <w:r/>
      <w:bookmarkStart w:id="28" w:name="heading_24"/>
      <w:r>
        <w:rPr>
          <w:rFonts w:hint="eastAsia" w:ascii="方正仿宋_GB2312" w:hAnsi="方正仿宋_GB2312" w:eastAsia="方正仿宋_GB2312" w:cs="方正仿宋_GB2312"/>
          <w:b/>
          <w:sz w:val="28"/>
          <w:szCs w:val="28"/>
        </w:rPr>
        <w:t xml:space="preserve">一、项目概况</w:t>
      </w:r>
      <w:bookmarkEnd w:id="28"/>
      <w:r/>
      <w:r/>
    </w:p>
    <w:p>
      <w:pPr>
        <w:ind w:left="0"/>
        <w:jc w:val="left"/>
        <w:spacing w:before="120" w:after="120" w:line="288" w:lineRule="auto"/>
        <w:rPr>
          <w:rFonts w:hint="eastAsia" w:ascii="方正仿宋_GB2312" w:hAnsi="方正仿宋_GB2312" w:eastAsia="方正仿宋_GB2312" w:cs="方正仿宋_GB2312"/>
          <w:color w:val="e54c5e" w:themeColor="accent6"/>
          <w:sz w:val="28"/>
          <w:szCs w:val="28"/>
          <w:lang w:eastAsia="zh-CN"/>
          <w14:textFill>
            <w14:solidFill>
              <w14:schemeClr w14:val="accent6"/>
            </w14:solidFill>
          </w14:textFill>
        </w:rPr>
      </w:pPr>
      <w:r>
        <w:rPr>
          <w:rFonts w:hint="eastAsia" w:ascii="方正仿宋_GB2312" w:hAnsi="方正仿宋_GB2312" w:eastAsia="方正仿宋_GB2312" w:cs="方正仿宋_GB2312"/>
          <w:sz w:val="28"/>
          <w:szCs w:val="28"/>
        </w:rPr>
        <w:t xml:space="preserve">（一）项目名称：盱眙港口、产业园及道路建设PPP项目解约及善后处置专项法律服务采购。</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（二）采购方式：竞争性磋商。</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（三）预算金额及最高限价：140万元（报价高于最高限价的，视为重大偏差，作废标处理）。</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（四）服务期限：</w:t>
      </w:r>
      <w:r>
        <w:rPr>
          <w:rFonts w:hint="eastAsia" w:ascii="方正仿宋_GB2312" w:hAnsi="方正仿宋_GB2312" w:eastAsia="方正仿宋_GB2312" w:cs="方正仿宋_GB2312"/>
          <w:color w:val="ff0000"/>
          <w:sz w:val="28"/>
          <w:szCs w:val="28"/>
        </w:rPr>
        <w:t xml:space="preserve">自合同签订之日起，至盱眙港口、产业园及道路建设PPP项目解约、资产清算、履约责任追究、项目后续矛盾纠纷化解等全部事项处理完毕为止</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本项目预估服务周期</w:t>
      </w:r>
      <w:r>
        <w:rPr>
          <w:rFonts w:hint="eastAsia" w:ascii="方正仿宋_GB2312" w:hAnsi="方正仿宋_GB2312" w:eastAsia="方正仿宋_GB2312" w:cs="方正仿宋_GB2312"/>
          <w:b/>
          <w:color w:val="e54c5e" w:themeColor="accent6"/>
          <w:sz w:val="28"/>
          <w:szCs w:val="28"/>
          <w:lang w:val="en-US" w:eastAsia="zh-CN"/>
          <w14:textFill>
            <w14:solidFill>
              <w14:schemeClr w14:val="accent6"/>
            </w14:solidFill>
          </w14:textFill>
        </w:rPr>
        <w:t xml:space="preserve">24</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个月</w:t>
      </w:r>
      <w:r>
        <w:rPr>
          <w:rFonts w:hint="eastAsia" w:ascii="方正仿宋_GB2312" w:hAnsi="方正仿宋_GB2312" w:eastAsia="方正仿宋_GB2312" w:cs="方正仿宋_GB2312"/>
          <w:b/>
          <w:color w:val="e54c5e" w:themeColor="accent6"/>
          <w:sz w:val="28"/>
          <w:szCs w:val="28"/>
          <w:lang w:eastAsia="zh-CN"/>
          <w14:textFill>
            <w14:solidFill>
              <w14:schemeClr w14:val="accent6"/>
            </w14:solidFill>
          </w14:textFill>
        </w:rPr>
        <w:t xml:space="preserve">，</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若到期相关事项尚未办结，</w:t>
      </w:r>
      <w:r>
        <w:rPr>
          <w:rFonts w:hint="eastAsia" w:ascii="方正仿宋_GB2312" w:hAnsi="方正仿宋_GB2312" w:eastAsia="方正仿宋_GB2312" w:cs="方正仿宋_GB2312"/>
          <w:b/>
          <w:color w:val="e54c5e" w:themeColor="accent6"/>
          <w:sz w:val="28"/>
          <w:szCs w:val="28"/>
          <w:lang w:val="en-US" w:eastAsia="zh-CN"/>
          <w14:textFill>
            <w14:solidFill>
              <w14:schemeClr w14:val="accent6"/>
            </w14:solidFill>
          </w14:textFill>
        </w:rPr>
        <w:t xml:space="preserve">服务期限相应顺延</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；若全部工作事项提前办结，则服务自动终止。</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（五）服务地点：盱眙县境内。</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本项目不要求供应商在盱眙本地设立分支机构；成交后，成交供应商承诺至少安排4名团队人员驻盱眙现场提供服务。</w:t>
      </w:r>
      <w:r/>
    </w:p>
    <w:p>
      <w:pPr>
        <w:ind w:left="0"/>
        <w:jc w:val="left"/>
        <w:spacing w:before="320" w:after="120" w:line="288" w:lineRule="auto"/>
        <w:rPr>
          <w:rFonts w:hint="eastAsia" w:ascii="方正仿宋_GB2312" w:hAnsi="方正仿宋_GB2312" w:eastAsia="方正仿宋_GB2312" w:cs="方正仿宋_GB2312"/>
          <w:sz w:val="28"/>
          <w:szCs w:val="28"/>
        </w:rPr>
        <w:outlineLvl w:val="1"/>
      </w:pPr>
      <w:r/>
      <w:bookmarkStart w:id="29" w:name="heading_25"/>
      <w:r>
        <w:rPr>
          <w:rFonts w:hint="eastAsia" w:ascii="方正仿宋_GB2312" w:hAnsi="方正仿宋_GB2312" w:eastAsia="方正仿宋_GB2312" w:cs="方正仿宋_GB2312"/>
          <w:b/>
          <w:sz w:val="28"/>
          <w:szCs w:val="28"/>
        </w:rPr>
        <w:t xml:space="preserve">二、采购内容（核心法律服务内容）</w:t>
      </w:r>
      <w:bookmarkEnd w:id="29"/>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成交供应商应为盱眙港口、产业园及道路建设PPP项目解约及善后处置提供全过程、专业化、精细化专项法律服务，具体包括但不限于以下内容：</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（一）项目解约前期研判</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全面梳理原PPP项目合同、补充协议、招投标文件、批复文件、绩效方案、财政论证资料等，核查项目履约现状、违约事实、政策变动依据，出具项目解约法律研判意见书，明确解约法定事由、约定事由合法性及各类可行解决实施路径。</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（二）事实核查与责任界定</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协助梳理政企双方履约情况、违约行为、资金到位等情况，依法划分政府方责任、社会资本方责任、第三方责任，明确过错比例与责任承担方式。</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（三）解约谈判方案制定</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拟定多套解约处置方案（友好协商解除、单方依法解除、调解终止、仲裁诉讼解除），制定谈判策略、底线标准、风险预案，指导采购人开展谈判</w:t>
      </w:r>
      <w:r>
        <w:rPr>
          <w:rFonts w:hint="eastAsia" w:ascii="方正仿宋_GB2312" w:hAnsi="方正仿宋_GB2312" w:eastAsia="方正仿宋_GB2312" w:cs="方正仿宋_GB2312"/>
          <w:sz w:val="28"/>
          <w:szCs w:val="28"/>
          <w:lang w:eastAsia="zh-CN"/>
        </w:rPr>
        <w:t xml:space="preserve">等</w:t>
      </w:r>
      <w:r>
        <w:rPr>
          <w:rFonts w:hint="eastAsia" w:ascii="方正仿宋_GB2312" w:hAnsi="方正仿宋_GB2312" w:eastAsia="方正仿宋_GB2312" w:cs="方正仿宋_GB2312"/>
          <w:sz w:val="28"/>
          <w:szCs w:val="28"/>
        </w:rPr>
        <w:t xml:space="preserve">。</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（四）解约相关文书起草审核</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color w:val="ff0000"/>
          <w:sz w:val="28"/>
          <w:szCs w:val="28"/>
        </w:rPr>
        <w:t xml:space="preserve">起草、修订、审核《PPP项目提前终止协议》《项目退场协议》《资产移交协议》《价款结算确认书》《债务清偿协议》等全套法律文书，严控条款漏洞与赔付风险。</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（五）项目投资及价款清算法律服务</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协助核对项目实际投资额、已完成工程量、融资成本、建设期投入、运营支出、已拨付资金、未付款项、违约金、赔偿金、残值价值等，依法提出合法合规法律意见。</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（六）资产清点、评估与移交法律指导</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color w:val="ff0000"/>
          <w:sz w:val="28"/>
          <w:szCs w:val="28"/>
        </w:rPr>
        <w:t xml:space="preserve">指导开展</w:t>
      </w:r>
      <w:r>
        <w:rPr>
          <w:rFonts w:hint="eastAsia" w:ascii="方正仿宋_GB2312" w:hAnsi="方正仿宋_GB2312" w:eastAsia="方正仿宋_GB2312" w:cs="方正仿宋_GB2312"/>
          <w:sz w:val="28"/>
          <w:szCs w:val="28"/>
        </w:rPr>
        <w:t xml:space="preserve">项目实物资产、在建工程、设备设施、档案资料、权属证件清点核查，明确资产归属、移交标准、过户流程、权属变更法律流程，保障国有资产完整收回</w:t>
      </w:r>
      <w:r>
        <w:rPr>
          <w:rFonts w:hint="eastAsia" w:ascii="方正仿宋_GB2312" w:hAnsi="方正仿宋_GB2312" w:eastAsia="方正仿宋_GB2312" w:cs="方正仿宋_GB2312"/>
          <w:sz w:val="28"/>
          <w:szCs w:val="28"/>
          <w:lang w:val="en-US" w:eastAsia="zh-CN"/>
        </w:rPr>
        <w:t xml:space="preserve">等</w:t>
      </w:r>
      <w:r>
        <w:rPr>
          <w:rFonts w:hint="eastAsia" w:ascii="方正仿宋_GB2312" w:hAnsi="方正仿宋_GB2312" w:eastAsia="方正仿宋_GB2312" w:cs="方正仿宋_GB2312"/>
          <w:sz w:val="28"/>
          <w:szCs w:val="28"/>
        </w:rPr>
        <w:t xml:space="preserve">。</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（七）融资及债务梳理处置</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梳理项目银行贷款、信托融资、股东借款、分包欠款、农民工工资、材料欠款等各类债务关系，出具债务梳理法律意见，协助协调金融机构完成贷款承接、提前还款、债务平移等事宜。</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（八）行政程序及内部合规把关</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协助完成项目解约内部请示、集体研究、财政审核、上级报备、公示公告等流程，确保解约程序符合政府议事规则及财政监管要求。</w:t>
      </w:r>
      <w:r/>
    </w:p>
    <w:p>
      <w:pPr>
        <w:ind w:left="0"/>
        <w:jc w:val="left"/>
        <w:spacing w:before="120" w:after="120" w:line="288"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（九）涉诉涉访风险化解</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针对解约引发的异议、投诉、信访、舆情进行法律疏导</w:t>
      </w:r>
      <w:r>
        <w:rPr>
          <w:rFonts w:hint="eastAsia" w:ascii="方正仿宋_GB2312" w:hAnsi="方正仿宋_GB2312" w:eastAsia="方正仿宋_GB2312" w:cs="方正仿宋_GB2312"/>
          <w:sz w:val="28"/>
          <w:szCs w:val="28"/>
          <w:lang w:val="en-US" w:eastAsia="zh-CN"/>
        </w:rPr>
        <w:t xml:space="preserve">等</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color w:val="ff0000"/>
          <w:sz w:val="28"/>
          <w:szCs w:val="28"/>
          <w:lang w:val="en-US" w:eastAsia="zh-CN"/>
        </w:rPr>
        <w:t xml:space="preserve">处理</w:t>
      </w:r>
      <w:r>
        <w:rPr>
          <w:rFonts w:hint="eastAsia" w:ascii="方正仿宋_GB2312" w:hAnsi="方正仿宋_GB2312" w:eastAsia="方正仿宋_GB2312" w:cs="方正仿宋_GB2312"/>
          <w:color w:val="ff0000"/>
          <w:sz w:val="28"/>
          <w:szCs w:val="28"/>
        </w:rPr>
        <w:t xml:space="preserve">行政复议、行政诉讼、民事诉讼、商事仲裁</w:t>
      </w:r>
      <w:r>
        <w:rPr>
          <w:rFonts w:hint="eastAsia" w:ascii="方正仿宋_GB2312" w:hAnsi="方正仿宋_GB2312" w:eastAsia="方正仿宋_GB2312" w:cs="方正仿宋_GB2312"/>
          <w:color w:val="ff0000"/>
          <w:sz w:val="28"/>
          <w:szCs w:val="28"/>
          <w:lang w:val="en-US" w:eastAsia="zh-CN"/>
        </w:rPr>
        <w:t xml:space="preserve">等</w:t>
      </w:r>
      <w:r>
        <w:rPr>
          <w:rFonts w:hint="eastAsia" w:ascii="方正仿宋_GB2312" w:hAnsi="方正仿宋_GB2312" w:eastAsia="方正仿宋_GB2312" w:cs="方正仿宋_GB2312"/>
          <w:color w:val="ff0000"/>
          <w:sz w:val="28"/>
          <w:szCs w:val="28"/>
        </w:rPr>
        <w:t xml:space="preserve">。</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（十）善后遗留问题处置</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处理项目解约后工程收尾、维保责任、质保义务、人员分流、合同善后、分包及劳务纠纷</w:t>
      </w:r>
      <w:r>
        <w:rPr>
          <w:rFonts w:hint="eastAsia" w:ascii="方正仿宋_GB2312" w:hAnsi="方正仿宋_GB2312" w:eastAsia="方正仿宋_GB2312" w:cs="方正仿宋_GB2312"/>
          <w:sz w:val="28"/>
          <w:szCs w:val="28"/>
          <w:lang w:eastAsia="zh-CN"/>
        </w:rPr>
        <w:t xml:space="preserve">，提供兜底</w:t>
      </w:r>
      <w:r>
        <w:rPr>
          <w:rFonts w:hint="eastAsia" w:ascii="方正仿宋_GB2312" w:hAnsi="方正仿宋_GB2312" w:eastAsia="方正仿宋_GB2312" w:cs="方正仿宋_GB2312"/>
          <w:sz w:val="28"/>
          <w:szCs w:val="28"/>
        </w:rPr>
        <w:t xml:space="preserve">法律意见。</w:t>
      </w:r>
      <w:r/>
    </w:p>
    <w:p>
      <w:pPr>
        <w:ind w:left="0"/>
        <w:jc w:val="left"/>
        <w:spacing w:before="320" w:after="120" w:line="288" w:lineRule="auto"/>
        <w:rPr>
          <w:rFonts w:hint="eastAsia" w:ascii="方正仿宋_GB2312" w:hAnsi="方正仿宋_GB2312" w:eastAsia="方正仿宋_GB2312" w:cs="方正仿宋_GB2312"/>
          <w:sz w:val="28"/>
          <w:szCs w:val="28"/>
        </w:rPr>
        <w:outlineLvl w:val="1"/>
      </w:pPr>
      <w:r/>
      <w:bookmarkStart w:id="30" w:name="heading_26"/>
      <w:r>
        <w:rPr>
          <w:rFonts w:hint="eastAsia" w:ascii="方正仿宋_GB2312" w:hAnsi="方正仿宋_GB2312" w:eastAsia="方正仿宋_GB2312" w:cs="方正仿宋_GB2312"/>
          <w:b/>
          <w:sz w:val="28"/>
          <w:szCs w:val="28"/>
        </w:rPr>
        <w:t xml:space="preserve">三、</w:t>
      </w:r>
      <w:bookmarkEnd w:id="30"/>
      <w:r/>
      <w:bookmarkStart w:id="31" w:name="heading_27"/>
      <w:r>
        <w:rPr>
          <w:rFonts w:hint="eastAsia" w:ascii="方正仿宋_GB2312" w:hAnsi="方正仿宋_GB2312" w:eastAsia="方正仿宋_GB2312" w:cs="方正仿宋_GB2312"/>
          <w:b/>
          <w:sz w:val="28"/>
          <w:szCs w:val="28"/>
        </w:rPr>
        <w:t xml:space="preserve">律师事务所基本条件</w:t>
      </w:r>
      <w:bookmarkEnd w:id="31"/>
      <w:r/>
      <w:r/>
    </w:p>
    <w:p>
      <w:pPr>
        <w:ind w:left="0"/>
        <w:jc w:val="left"/>
        <w:spacing w:before="120" w:after="120" w:line="288"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1.依法设立并有效存续，持有司法行政机关颁发的有效的《律师事务所执业许可证》。</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2.</w:t>
      </w:r>
      <w:r>
        <w:rPr>
          <w:rFonts w:hint="eastAsia" w:ascii="方正仿宋_GB2312" w:hAnsi="方正仿宋_GB2312" w:eastAsia="方正仿宋_GB2312" w:cs="方正仿宋_GB2312"/>
          <w:color w:val="e54c5e" w:themeColor="accent6"/>
          <w:sz w:val="28"/>
          <w:szCs w:val="28"/>
          <w:highlight w:val="yellow"/>
          <w14:textFill>
            <w14:solidFill>
              <w14:schemeClr w14:val="accent6"/>
            </w14:solidFill>
          </w14:textFill>
        </w:rPr>
        <w:t xml:space="preserve">需组建专属服务团队，未经采购人书面同意不得擅自更换服务团队人员。项目协办律师、助理律师在服务期间，如出现业务能力不足、工作态度懈怠、响应不及时、不能胜任本项目工作、服务质量不达标等情形，采购人有权书面要求成交供应商无条件更换团队人员，成交供应商须在3个工作日内完成人员调换，且不得因此增加任何服务费用、不得影响项目整体服务进度；</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.单位负责人及服务团队人员与盱眙县交通运输局、本PPP项目社会资本方、关联企业无利害关系、无代理冲突</w:t>
      </w:r>
      <w:r>
        <w:rPr>
          <w:rFonts w:hint="eastAsia" w:ascii="方正仿宋_GB2312" w:hAnsi="方正仿宋_GB2312" w:eastAsia="方正仿宋_GB2312" w:cs="方正仿宋_GB2312"/>
          <w:sz w:val="28"/>
          <w:szCs w:val="28"/>
          <w:lang w:eastAsia="zh-CN"/>
        </w:rPr>
        <w:t xml:space="preserve">。</w:t>
      </w:r>
      <w:r/>
    </w:p>
    <w:p>
      <w:pPr>
        <w:ind w:left="0"/>
        <w:jc w:val="left"/>
        <w:spacing w:before="320" w:after="120" w:line="288" w:lineRule="auto"/>
        <w:rPr>
          <w:rFonts w:hint="eastAsia" w:ascii="方正仿宋_GB2312" w:hAnsi="方正仿宋_GB2312" w:eastAsia="方正仿宋_GB2312" w:cs="方正仿宋_GB2312"/>
          <w:sz w:val="28"/>
          <w:szCs w:val="28"/>
          <w:lang w:eastAsia="zh-CN"/>
        </w:rPr>
        <w:outlineLvl w:val="1"/>
      </w:pPr>
      <w:r/>
      <w:bookmarkStart w:id="32" w:name="heading_29"/>
      <w:r>
        <w:rPr>
          <w:rFonts w:hint="eastAsia" w:ascii="方正仿宋_GB2312" w:hAnsi="方正仿宋_GB2312" w:eastAsia="方正仿宋_GB2312" w:cs="方正仿宋_GB2312"/>
          <w:b/>
          <w:sz w:val="28"/>
          <w:szCs w:val="28"/>
        </w:rPr>
        <w:t xml:space="preserve">四、</w:t>
      </w:r>
      <w:r>
        <w:rPr>
          <w:rFonts w:hint="eastAsia" w:ascii="方正仿宋_GB2312" w:hAnsi="方正仿宋_GB2312" w:eastAsia="方正仿宋_GB2312" w:cs="方正仿宋_GB2312"/>
          <w:b/>
          <w:sz w:val="28"/>
          <w:szCs w:val="28"/>
          <w:highlight w:val="yellow"/>
        </w:rPr>
        <w:t xml:space="preserve">服务标准与质量要求</w:t>
      </w:r>
      <w:bookmarkEnd w:id="32"/>
      <w:r>
        <w:rPr>
          <w:rFonts w:hint="eastAsia" w:ascii="方正仿宋_GB2312" w:hAnsi="方正仿宋_GB2312" w:eastAsia="方正仿宋_GB2312" w:cs="方正仿宋_GB2312"/>
          <w:b/>
          <w:sz w:val="28"/>
          <w:szCs w:val="28"/>
          <w:highlight w:val="yellow"/>
          <w:lang w:eastAsia="zh-CN"/>
        </w:rPr>
        <w:t xml:space="preserve">（</w:t>
      </w:r>
      <w:r>
        <w:rPr>
          <w:rFonts w:hint="eastAsia" w:ascii="方正仿宋_GB2312" w:hAnsi="方正仿宋_GB2312" w:eastAsia="方正仿宋_GB2312" w:cs="方正仿宋_GB2312"/>
          <w:b/>
          <w:sz w:val="28"/>
          <w:szCs w:val="28"/>
          <w:highlight w:val="yellow"/>
          <w:lang w:val="en-US" w:eastAsia="zh-CN"/>
        </w:rPr>
        <w:t xml:space="preserve">供应商须提供承诺书格式自拟上传至投标文件</w:t>
      </w:r>
      <w:r>
        <w:rPr>
          <w:rFonts w:hint="eastAsia" w:ascii="方正仿宋_GB2312" w:hAnsi="方正仿宋_GB2312" w:eastAsia="方正仿宋_GB2312" w:cs="方正仿宋_GB2312"/>
          <w:b/>
          <w:sz w:val="28"/>
          <w:szCs w:val="28"/>
          <w:highlight w:val="yellow"/>
          <w:lang w:eastAsia="zh-CN"/>
        </w:rPr>
        <w:t xml:space="preserve">）</w:t>
      </w:r>
      <w:r/>
    </w:p>
    <w:p>
      <w:pPr>
        <w:ind w:left="0"/>
        <w:jc w:val="left"/>
        <w:spacing w:before="120" w:after="120" w:line="288"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（一）成交供应商应严格遵守《中华人民共和国律师法》《律师执业行为规范》等法律法规及行业规范，恪守律师职业道德和执业纪律。</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（二）成交供应商应根据采购人工作需要，及时响应并提供法律服务</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；对紧急事项应在</w:t>
      </w:r>
      <w:r>
        <w:rPr>
          <w:rFonts w:hint="eastAsia" w:ascii="方正仿宋_GB2312" w:hAnsi="方正仿宋_GB2312" w:eastAsia="方正仿宋_GB2312" w:cs="方正仿宋_GB2312"/>
          <w:color w:val="e54c5e" w:themeColor="accent6"/>
          <w:sz w:val="28"/>
          <w:szCs w:val="28"/>
          <w:lang w:val="en-US" w:eastAsia="zh-CN"/>
          <w14:textFill>
            <w14:solidFill>
              <w14:schemeClr w14:val="accent6"/>
            </w14:solidFill>
          </w14:textFill>
        </w:rPr>
        <w:t xml:space="preserve">1</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小时内响应，一般事项应在24小时内响应。</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sz w:val="28"/>
          <w:szCs w:val="28"/>
        </w:rPr>
        <w:t xml:space="preserve">（三）成交供应商出具的法律意见、起草的法律文书应合法合规、逻辑严密、表述准确，符合采购人实际工作需要。</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（四）成交供应商应对服务过程中知悉的国家秘密、商业秘密及个人隐私严格保密，未经采购人书面同意不得向任何第三方披露。</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（五）成交供应商应建立服务台账，完整记录服务事项、处理过程、工作成果等，服务期满后向采购人移交全部工作成果及档案资料。</w:t>
      </w:r>
      <w:r/>
    </w:p>
    <w:p>
      <w:pPr>
        <w:ind w:left="0"/>
        <w:jc w:val="left"/>
        <w:spacing w:before="320" w:after="120" w:line="288" w:lineRule="auto"/>
        <w:rPr>
          <w:rFonts w:hint="eastAsia" w:ascii="方正仿宋_GB2312" w:hAnsi="方正仿宋_GB2312" w:eastAsia="方正仿宋_GB2312" w:cs="方正仿宋_GB2312"/>
          <w:sz w:val="28"/>
          <w:szCs w:val="28"/>
        </w:rPr>
        <w:outlineLvl w:val="1"/>
      </w:pPr>
      <w:r/>
      <w:bookmarkStart w:id="33" w:name="heading_30"/>
      <w:r>
        <w:rPr>
          <w:rFonts w:hint="eastAsia" w:ascii="方正仿宋_GB2312" w:hAnsi="方正仿宋_GB2312" w:eastAsia="方正仿宋_GB2312" w:cs="方正仿宋_GB2312"/>
          <w:b/>
          <w:sz w:val="28"/>
          <w:szCs w:val="28"/>
        </w:rPr>
        <w:t xml:space="preserve">五、付款方式</w:t>
      </w:r>
      <w:bookmarkEnd w:id="33"/>
      <w:r/>
      <w:r/>
    </w:p>
    <w:p>
      <w:pPr>
        <w:ind w:left="0"/>
        <w:jc w:val="left"/>
        <w:spacing w:before="120" w:after="120" w:line="288" w:lineRule="auto"/>
        <w:rPr>
          <w:rFonts w:hint="eastAsia" w:ascii="方正仿宋_GB2312" w:hAnsi="方正仿宋_GB2312" w:eastAsia="方正仿宋_GB2312" w:cs="方正仿宋_GB2312"/>
          <w:color w:val="e54c5e" w:themeColor="accent6"/>
          <w:sz w:val="28"/>
          <w:szCs w:val="28"/>
          <w14:textFill>
            <w14:solidFill>
              <w14:schemeClr w14:val="accent6"/>
            </w14:solidFill>
          </w14:textFill>
        </w:rPr>
      </w:pP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（一）合同签订且服务团队进场后，采购人支付合同总金额的40%作为预付款；</w:t>
      </w:r>
      <w:r/>
    </w:p>
    <w:p>
      <w:pPr>
        <w:ind w:left="0"/>
        <w:jc w:val="left"/>
        <w:spacing w:before="120" w:after="120" w:line="288" w:lineRule="auto"/>
        <w:rPr>
          <w:rFonts w:hint="eastAsia" w:ascii="方正仿宋_GB2312" w:hAnsi="方正仿宋_GB2312" w:eastAsia="方正仿宋_GB2312" w:cs="方正仿宋_GB2312"/>
          <w:color w:val="e54c5e" w:themeColor="accent6"/>
          <w:sz w:val="28"/>
          <w:szCs w:val="28"/>
          <w14:textFill>
            <w14:solidFill>
              <w14:schemeClr w14:val="accent6"/>
            </w14:solidFill>
          </w14:textFill>
        </w:rPr>
      </w:pP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（二）项目解约协议签订、资产移交完成后，采购人支付至合同总金额的80%；</w:t>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14:textFill>
            <w14:solidFill>
              <w14:schemeClr w14:val="accent6"/>
            </w14:solidFill>
          </w14:textFill>
        </w:rPr>
        <w:t xml:space="preserve">（三）全部服务事项处理完毕，经采购人验收合格后，支付剩余20%尾款。</w:t>
      </w:r>
      <w:r/>
    </w:p>
    <w:p>
      <w:pPr>
        <w:ind w:left="0"/>
        <w:jc w:val="left"/>
        <w:spacing w:before="320" w:after="120" w:line="288" w:lineRule="auto"/>
        <w:rPr>
          <w:rFonts w:hint="eastAsia" w:ascii="方正仿宋_GB2312" w:hAnsi="方正仿宋_GB2312" w:eastAsia="方正仿宋_GB2312" w:cs="方正仿宋_GB2312"/>
          <w:sz w:val="28"/>
          <w:szCs w:val="28"/>
        </w:rPr>
        <w:outlineLvl w:val="1"/>
      </w:pPr>
      <w:r/>
      <w:bookmarkStart w:id="34" w:name="heading_31"/>
      <w:r>
        <w:rPr>
          <w:rFonts w:hint="eastAsia" w:ascii="方正仿宋_GB2312" w:hAnsi="方正仿宋_GB2312" w:eastAsia="方正仿宋_GB2312" w:cs="方正仿宋_GB2312"/>
          <w:b/>
          <w:sz w:val="28"/>
          <w:szCs w:val="28"/>
        </w:rPr>
        <w:t xml:space="preserve">六、其他要求</w:t>
      </w:r>
      <w:bookmarkEnd w:id="34"/>
      <w:r/>
      <w:r/>
    </w:p>
    <w:p>
      <w:pPr>
        <w:ind w:left="0"/>
        <w:jc w:val="left"/>
        <w:spacing w:before="120" w:after="120" w:line="288" w:lineRule="auto"/>
        <w:rPr>
          <w:rFonts w:hint="eastAsia" w:ascii="仿宋" w:hAnsi="仿宋" w:eastAsia="仿宋" w:cs="仿宋"/>
          <w:b/>
          <w:bCs w:val="0"/>
          <w:color w:val="auto"/>
          <w:sz w:val="30"/>
          <w:szCs w:val="30"/>
          <w:highlight w:val="none"/>
          <w:lang w:val="en-US" w:eastAsia="zh-CN"/>
        </w:rPr>
      </w:pPr>
      <w:r>
        <w:rPr>
          <w:rFonts w:hint="eastAsia" w:ascii="方正仿宋_GB2312" w:hAnsi="方正仿宋_GB2312" w:eastAsia="方正仿宋_GB2312" w:cs="方正仿宋_GB2312"/>
          <w:sz w:val="28"/>
          <w:szCs w:val="28"/>
        </w:rPr>
        <w:t xml:space="preserve">（一）本项目不接受联合体响应。</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（二）成交供应商不得将本项目服务内容转包或分包给第三方。</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（三）成交供应商在服务过程中因过错给采购人造成损失的，应依法承担赔偿责任。</w:t>
      </w:r>
      <w:r>
        <w:rPr>
          <w:rFonts w:hint="eastAsia" w:ascii="方正仿宋_GB2312" w:hAnsi="方正仿宋_GB2312" w:eastAsia="方正仿宋_GB2312" w:cs="方正仿宋_GB2312"/>
          <w:sz w:val="28"/>
          <w:szCs w:val="28"/>
        </w:rPr>
        <w:br/>
      </w:r>
      <w:r>
        <w:rPr>
          <w:rFonts w:hint="eastAsia" w:ascii="方正仿宋_GB2312" w:hAnsi="方正仿宋_GB2312" w:eastAsia="方正仿宋_GB2312" w:cs="方正仿宋_GB2312"/>
          <w:sz w:val="28"/>
          <w:szCs w:val="28"/>
        </w:rPr>
        <w:t xml:space="preserve">（四）未尽事宜，由采购人与成交供应商在服务合同中另行约定。</w:t>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r>
      <w:r/>
    </w:p>
    <w:p>
      <w:pPr>
        <w:ind w:left="0"/>
        <w:jc w:val="center"/>
        <w:spacing w:before="120" w:after="120" w:line="288" w:lineRule="auto"/>
        <w:rPr>
          <w:rFonts w:hint="eastAsia" w:ascii="方正仿宋_GB2312" w:hAnsi="方正仿宋_GB2312" w:eastAsia="方正仿宋_GB2312" w:cs="方正仿宋_GB2312"/>
          <w:b/>
          <w:bCs/>
          <w:color w:val="0000ff"/>
          <w:sz w:val="28"/>
          <w:szCs w:val="28"/>
          <w:lang w:val="en-US" w:eastAsia="zh-CN"/>
        </w:rPr>
      </w:pPr>
      <w:r>
        <w:rPr>
          <w:rFonts w:hint="eastAsia" w:ascii="方正仿宋_GB2312" w:hAnsi="方正仿宋_GB2312" w:eastAsia="方正仿宋_GB2312" w:cs="方正仿宋_GB2312"/>
          <w:b/>
          <w:bCs/>
          <w:color w:val="0000ff"/>
          <w:sz w:val="28"/>
          <w:szCs w:val="28"/>
          <w:lang w:val="en-US" w:eastAsia="zh-CN"/>
        </w:rPr>
        <w:t xml:space="preserve">盱眙港口、产业园及道路建设PPP项目情况</w:t>
      </w:r>
      <w:r/>
    </w:p>
    <w:p>
      <w:pPr>
        <w:ind w:left="0"/>
        <w:jc w:val="left"/>
        <w:spacing w:before="120" w:after="120" w:line="288"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一、基本情况</w:t>
      </w:r>
      <w:r/>
    </w:p>
    <w:p>
      <w:pPr>
        <w:ind w:left="0"/>
        <w:jc w:val="left"/>
        <w:spacing w:before="120" w:after="120" w:line="288" w:lineRule="auto"/>
        <w:rPr>
          <w:rFonts w:hint="default"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盱眙港口、产业园及道路建设PPP项目于2017年4月，由省政府采购中心组织公开招标，由江苏迦南</w:t>
      </w:r>
      <w:r>
        <w:rPr>
          <w:rFonts w:hint="default" w:ascii="方正仿宋_GB2312" w:hAnsi="方正仿宋_GB2312" w:eastAsia="方正仿宋_GB2312" w:cs="方正仿宋_GB2312"/>
          <w:sz w:val="28"/>
          <w:szCs w:val="28"/>
        </w:rPr>
        <w:t xml:space="preserve">投资发展有限公司联合体</w:t>
      </w:r>
      <w:r>
        <w:rPr>
          <w:rFonts w:hint="default" w:ascii="方正仿宋_GB2312" w:hAnsi="方正仿宋_GB2312" w:eastAsia="方正仿宋_GB2312" w:cs="方正仿宋_GB2312"/>
          <w:sz w:val="28"/>
          <w:szCs w:val="28"/>
          <w:lang w:val="en-US" w:eastAsia="zh-CN"/>
        </w:rPr>
        <w:t xml:space="preserve">中标</w:t>
      </w:r>
      <w:r>
        <w:rPr>
          <w:rFonts w:hint="default" w:ascii="方正仿宋_GB2312" w:hAnsi="方正仿宋_GB2312" w:eastAsia="方正仿宋_GB2312" w:cs="方正仿宋_GB2312"/>
          <w:sz w:val="28"/>
          <w:szCs w:val="28"/>
          <w:lang w:eastAsia="zh-CN"/>
        </w:rPr>
        <w:t xml:space="preserve">，</w:t>
      </w:r>
      <w:r>
        <w:rPr>
          <w:rFonts w:hint="default" w:ascii="方正仿宋_GB2312" w:hAnsi="方正仿宋_GB2312" w:eastAsia="方正仿宋_GB2312" w:cs="方正仿宋_GB2312"/>
          <w:sz w:val="28"/>
          <w:szCs w:val="28"/>
          <w:lang w:val="en-US" w:eastAsia="zh-CN"/>
        </w:rPr>
        <w:t xml:space="preserve">盱眙县政府委托</w:t>
      </w:r>
      <w:r>
        <w:rPr>
          <w:rFonts w:hint="default" w:ascii="方正仿宋_GB2312" w:hAnsi="方正仿宋_GB2312" w:eastAsia="方正仿宋_GB2312" w:cs="方正仿宋_GB2312"/>
          <w:sz w:val="28"/>
          <w:szCs w:val="28"/>
        </w:rPr>
        <w:t xml:space="preserve">盱眙县交通运输局依据中标通知书签署《PPP协议（草签版）》、组建项目公司</w:t>
      </w:r>
      <w:r>
        <w:rPr>
          <w:rFonts w:hint="default" w:ascii="方正仿宋_GB2312" w:hAnsi="方正仿宋_GB2312" w:eastAsia="方正仿宋_GB2312" w:cs="方正仿宋_GB2312"/>
          <w:sz w:val="28"/>
          <w:szCs w:val="28"/>
          <w:lang w:eastAsia="zh-CN"/>
        </w:rPr>
        <w:t xml:space="preserve">，</w:t>
      </w:r>
      <w:r>
        <w:rPr>
          <w:rFonts w:hint="default" w:ascii="方正仿宋_GB2312" w:hAnsi="方正仿宋_GB2312" w:eastAsia="方正仿宋_GB2312" w:cs="方正仿宋_GB2312"/>
          <w:sz w:val="28"/>
          <w:szCs w:val="28"/>
          <w:lang w:val="en-US" w:eastAsia="zh-CN"/>
        </w:rPr>
        <w:t xml:space="preserve">成立了盱眙县泗州港务有限公司，全面负责和推进相关项目建设、施工。</w:t>
      </w:r>
      <w:r/>
    </w:p>
    <w:p>
      <w:pPr>
        <w:ind w:left="0"/>
        <w:jc w:val="left"/>
        <w:spacing w:before="120" w:after="120" w:line="288" w:lineRule="auto"/>
        <w:rPr>
          <w:rFonts w:hint="default"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相关股东构成：社会资本方：江苏迦南投资发展有限公司，占股89.918%、泰州港务公司占股0.082%，政府方：盱眙交通旅游控股占股10%</w:t>
      </w:r>
      <w:r>
        <w:rPr>
          <w:rFonts w:hint="eastAsia" w:ascii="方正仿宋_GB2312" w:hAnsi="方正仿宋_GB2312" w:eastAsia="方正仿宋_GB2312" w:cs="方正仿宋_GB2312"/>
          <w:sz w:val="28"/>
          <w:szCs w:val="28"/>
          <w:lang w:val="en-US" w:eastAsia="zh-CN"/>
        </w:rPr>
        <w:t xml:space="preserve">。</w:t>
      </w:r>
      <w:r>
        <w:rPr>
          <w:rFonts w:hint="default" w:ascii="方正仿宋_GB2312" w:hAnsi="方正仿宋_GB2312" w:eastAsia="方正仿宋_GB2312" w:cs="方正仿宋_GB2312"/>
          <w:sz w:val="28"/>
          <w:szCs w:val="28"/>
          <w:lang w:val="en-US" w:eastAsia="zh-CN"/>
        </w:rPr>
        <w:t xml:space="preserve">项目总投资54.47亿元，项目注册资本金比例为25%，金额为13.619亿元，其余由项目公司融资。项目资本金共到</w:t>
      </w:r>
      <w:r>
        <w:rPr>
          <w:rFonts w:hint="eastAsia" w:ascii="方正仿宋_GB2312" w:hAnsi="方正仿宋_GB2312" w:eastAsia="方正仿宋_GB2312" w:cs="方正仿宋_GB2312"/>
          <w:sz w:val="28"/>
          <w:szCs w:val="28"/>
          <w:lang w:val="en-US" w:eastAsia="zh-CN"/>
        </w:rPr>
        <w:t xml:space="preserve">账</w:t>
      </w:r>
      <w:r>
        <w:rPr>
          <w:rFonts w:hint="default" w:ascii="方正仿宋_GB2312" w:hAnsi="方正仿宋_GB2312" w:eastAsia="方正仿宋_GB2312" w:cs="方正仿宋_GB2312"/>
          <w:sz w:val="28"/>
          <w:szCs w:val="28"/>
          <w:lang w:val="en-US" w:eastAsia="zh-CN"/>
        </w:rPr>
        <w:t xml:space="preserve">5.84亿元。其中：迦南公司5.28亿元、盱眙交通控股0.55亿元、泰州港务公司0.01亿元。</w:t>
      </w:r>
      <w:r/>
    </w:p>
    <w:p>
      <w:pPr>
        <w:ind w:left="0"/>
        <w:jc w:val="left"/>
        <w:spacing w:before="120" w:after="120" w:line="288"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val="en-US" w:eastAsia="zh-CN"/>
        </w:rPr>
        <w:t xml:space="preserve">在PPP框架下，</w:t>
      </w:r>
      <w:r>
        <w:rPr>
          <w:rFonts w:hint="default" w:ascii="方正仿宋_GB2312" w:hAnsi="方正仿宋_GB2312" w:eastAsia="方正仿宋_GB2312" w:cs="方正仿宋_GB2312"/>
          <w:sz w:val="28"/>
          <w:szCs w:val="28"/>
        </w:rPr>
        <w:t xml:space="preserve">港口码头</w:t>
      </w:r>
      <w:r>
        <w:rPr>
          <w:rFonts w:hint="default" w:ascii="方正仿宋_GB2312" w:hAnsi="方正仿宋_GB2312" w:eastAsia="方正仿宋_GB2312" w:cs="方正仿宋_GB2312"/>
          <w:sz w:val="28"/>
          <w:szCs w:val="28"/>
          <w:lang w:eastAsia="zh-CN"/>
        </w:rPr>
        <w:t xml:space="preserve">、</w:t>
      </w:r>
      <w:r>
        <w:rPr>
          <w:rFonts w:hint="default" w:ascii="方正仿宋_GB2312" w:hAnsi="方正仿宋_GB2312" w:eastAsia="方正仿宋_GB2312" w:cs="方正仿宋_GB2312"/>
          <w:sz w:val="28"/>
          <w:szCs w:val="28"/>
          <w:lang w:val="en-US" w:eastAsia="zh-CN"/>
        </w:rPr>
        <w:t xml:space="preserve">产业园</w:t>
      </w:r>
      <w:r>
        <w:rPr>
          <w:rFonts w:hint="eastAsia" w:ascii="方正仿宋_GB2312" w:hAnsi="方正仿宋_GB2312" w:eastAsia="方正仿宋_GB2312" w:cs="方正仿宋_GB2312"/>
          <w:sz w:val="28"/>
          <w:szCs w:val="28"/>
          <w:lang w:val="en-US" w:eastAsia="zh-CN"/>
        </w:rPr>
        <w:t xml:space="preserve">及道路建设实施了部分工程，形成了一定的工程量，后因</w:t>
      </w:r>
      <w:r>
        <w:rPr>
          <w:rFonts w:hint="default" w:ascii="方正仿宋_GB2312" w:hAnsi="方正仿宋_GB2312" w:eastAsia="方正仿宋_GB2312" w:cs="方正仿宋_GB2312"/>
          <w:sz w:val="28"/>
          <w:szCs w:val="28"/>
        </w:rPr>
        <w:t xml:space="preserve">融资无法到位</w:t>
      </w:r>
      <w:r>
        <w:rPr>
          <w:rFonts w:hint="default" w:ascii="方正仿宋_GB2312" w:hAnsi="方正仿宋_GB2312" w:eastAsia="方正仿宋_GB2312" w:cs="方正仿宋_GB2312"/>
          <w:sz w:val="28"/>
          <w:szCs w:val="28"/>
          <w:lang w:val="en-US" w:eastAsia="zh-CN"/>
        </w:rPr>
        <w:t xml:space="preserve">并</w:t>
      </w:r>
      <w:r>
        <w:rPr>
          <w:rFonts w:hint="default" w:ascii="方正仿宋_GB2312" w:hAnsi="方正仿宋_GB2312" w:eastAsia="方正仿宋_GB2312" w:cs="方正仿宋_GB2312"/>
          <w:sz w:val="28"/>
          <w:szCs w:val="28"/>
        </w:rPr>
        <w:t xml:space="preserve">全面停</w:t>
      </w:r>
      <w:r>
        <w:rPr>
          <w:rFonts w:hint="eastAsia" w:ascii="方正仿宋_GB2312" w:hAnsi="方正仿宋_GB2312" w:eastAsia="方正仿宋_GB2312" w:cs="方正仿宋_GB2312"/>
          <w:sz w:val="28"/>
          <w:szCs w:val="28"/>
        </w:rPr>
        <w:t xml:space="preserve">工，</w:t>
      </w:r>
      <w:r>
        <w:rPr>
          <w:rFonts w:hint="default" w:ascii="方正仿宋_GB2312" w:hAnsi="方正仿宋_GB2312" w:eastAsia="方正仿宋_GB2312" w:cs="方正仿宋_GB2312"/>
          <w:sz w:val="28"/>
          <w:szCs w:val="28"/>
        </w:rPr>
        <w:t xml:space="preserve">2024年</w:t>
      </w:r>
      <w:r>
        <w:rPr>
          <w:rFonts w:hint="eastAsia" w:ascii="方正仿宋_GB2312" w:hAnsi="方正仿宋_GB2312" w:eastAsia="方正仿宋_GB2312" w:cs="方正仿宋_GB2312"/>
          <w:sz w:val="28"/>
          <w:szCs w:val="28"/>
        </w:rPr>
        <w:t xml:space="preserve">2月26日经县委</w:t>
      </w:r>
      <w:r>
        <w:rPr>
          <w:rFonts w:hint="eastAsia" w:ascii="方正仿宋_GB2312" w:hAnsi="方正仿宋_GB2312" w:eastAsia="方正仿宋_GB2312" w:cs="方正仿宋_GB2312"/>
          <w:sz w:val="28"/>
          <w:szCs w:val="28"/>
          <w:lang w:eastAsia="zh-CN"/>
        </w:rPr>
        <w:t xml:space="preserve">常委会会议</w:t>
      </w:r>
      <w:r>
        <w:rPr>
          <w:rFonts w:hint="eastAsia" w:ascii="方正仿宋_GB2312" w:hAnsi="方正仿宋_GB2312" w:eastAsia="方正仿宋_GB2312" w:cs="方正仿宋_GB2312"/>
          <w:sz w:val="28"/>
          <w:szCs w:val="28"/>
        </w:rPr>
        <w:t xml:space="preserve">研究同意解除PPP项目合作；3月1日，县交通局发出合作协议解除通知书</w:t>
      </w:r>
      <w:r>
        <w:rPr>
          <w:rFonts w:hint="eastAsia" w:ascii="方正仿宋_GB2312" w:hAnsi="方正仿宋_GB2312" w:eastAsia="方正仿宋_GB2312" w:cs="方正仿宋_GB2312"/>
          <w:sz w:val="28"/>
          <w:szCs w:val="28"/>
          <w:lang w:eastAsia="zh-CN"/>
        </w:rPr>
        <w:t xml:space="preserve">。</w:t>
      </w:r>
      <w:r/>
    </w:p>
    <w:p>
      <w:pPr>
        <w:ind w:left="0"/>
        <w:jc w:val="left"/>
        <w:spacing w:before="120" w:after="120" w:line="288"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相关问题及需求</w:t>
      </w:r>
      <w:r/>
    </w:p>
    <w:p>
      <w:pPr>
        <w:ind w:left="0"/>
        <w:jc w:val="left"/>
        <w:spacing w:before="120" w:after="120" w:line="288"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主要是两大类：一是原PPP协议解除及解除后续问题处置，包括但不限于</w:t>
      </w:r>
      <w:r>
        <w:rPr>
          <w:rFonts w:hint="eastAsia" w:ascii="方正仿宋_GB2312" w:hAnsi="方正仿宋_GB2312" w:eastAsia="方正仿宋_GB2312" w:cs="方正仿宋_GB2312"/>
          <w:sz w:val="28"/>
          <w:szCs w:val="28"/>
          <w:lang w:val="en-US" w:eastAsia="zh-CN"/>
        </w:rPr>
        <w:t xml:space="preserve">：原PPP协议解除的效力、违约责任认定、厘清政府方与社会资本方各自投入与资产清算及责任、原PPP框架下实施或形成的资产、手续等移交、相关未履行完毕合同纠纷、职工欠薪、工程项目保证金等涉诉涉访问题；二是港口码头、产业园及道路等项目建设推进问题处置，包括但不限于：不再以PPP模式继续推进港口码头建设的路径、原审批手续的承接、建设主体的变更方式、已施工工程量的处置及原施工队伍清场等问题和项目实施有关的设计、监理、检测等服务保障合同及费用的处置、后续项目建设质量监督等提供专业的法律咨询意见方案和专职的法律保障服务。</w:t>
      </w:r>
      <w:r/>
    </w:p>
    <w:p>
      <w:pPr>
        <w:ind w:left="0"/>
        <w:jc w:val="left"/>
        <w:spacing w:before="120" w:after="120" w:line="288"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p>
      <w:pPr>
        <w:ind w:left="0"/>
        <w:jc w:val="left"/>
        <w:spacing w:before="120" w:after="120" w:line="288" w:lineRule="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p>
      <w:pPr>
        <w:jc w:val="cente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r>
      <w:r/>
    </w:p>
    <w:p>
      <w:pPr>
        <w:jc w:val="cente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r>
      <w:r/>
    </w:p>
    <w:p>
      <w:pPr>
        <w:jc w:val="center"/>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720"/>
        <w:ind w:left="0" w:firstLine="0"/>
        <w:jc w:val="center"/>
        <w:pageBreakBefore w:val="0"/>
        <w:spacing w:before="0" w:after="0" w:line="380" w:lineRule="exact"/>
        <w:rPr>
          <w:rFonts w:ascii="宋体" w:hAnsi="宋体" w:eastAsia="宋体" w:cs="宋体"/>
          <w:color w:val="000000"/>
          <w:sz w:val="24"/>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bookmarkStart w:id="35" w:name="_Toc498006745"/>
      <w:r/>
      <w:bookmarkEnd w:id="35"/>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第一部分 合同协议</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合同编号：________________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甲方（采购人）：盱眙县司法局</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统一社会信用代码：________________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法定代表人/负责人：________________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地址：________________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联系电话：________________</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乙方（成交供应商）：________________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执业许可证号：________________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负责人：________________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地址：________________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联系电话：________________</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根据《中华人民共和国民法典》《中华人民共和国政府采购法》《中华人民共和国律师法》等相关法律法规规定，甲乙双方在平等、自愿、协商一致的基础上，就甲方委托乙方办理盱眙港口、产业园及道路建设PPP项目解约及善后处置专项法律服务事宜，订立本合同，以资共同遵守。</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第一条 服务内容</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乙方接受甲方委托，指派专属律师团队为盱眙港口、产业园及道路建设PPP项目解约及善后处置提供全过程、专业化、精细化专项法律服务，具体内容同本磋商文件第四章采购需求。</w:t>
      </w:r>
      <w:r/>
    </w:p>
    <w:p>
      <w:pPr>
        <w:ind w:left="0" w:right="0" w:firstLine="480"/>
        <w:jc w:val="both"/>
        <w:spacing w:before="0" w:after="0" w:line="400" w:lineRule="atLeast"/>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第二条 服务团队</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（一）乙方应组建专属服务团队承办本项目，团队成员包括：</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1.主办律师1名：执业证号：</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2.协办律师2名：执业证号：</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br/>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3.其他团队成员1名：   ，执业证号。</w:t>
      </w:r>
      <w:r/>
    </w:p>
    <w:p>
      <w:pPr>
        <w:ind w:right="0"/>
        <w:jc w:val="both"/>
        <w:spacing w:before="0" w:after="0" w:line="400" w:lineRule="atLeast"/>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（二）</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成交供应商应在合同签订后 5 个工作日内安排不少于 4 名服务团队人员进驻盱眙县现场办公，直至本项目服务事项全部处理完毕；其中外地律师须向甲方提交公安机关核发的</w:t>
      </w:r>
      <w:r>
        <w:rPr>
          <w:rFonts w:hint="eastAsia" w:ascii="方正仿宋_GB2312" w:hAnsi="方正仿宋_GB2312" w:eastAsia="方正仿宋_GB2312" w:cs="方正仿宋_GB2312"/>
          <w:color w:val="e54c5e" w:themeColor="accent6"/>
          <w:sz w:val="28"/>
          <w:szCs w:val="28"/>
          <w:highlight w:val="yellow"/>
          <w:lang w:val="en-US" w:eastAsia="zh-CN"/>
          <w14:textFill>
            <w14:solidFill>
              <w14:schemeClr w14:val="accent6"/>
            </w14:solidFill>
          </w14:textFill>
        </w:rPr>
        <w:t xml:space="preserve">有效暂住证或居住</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证明。</w:t>
      </w:r>
      <w:r/>
    </w:p>
    <w:p>
      <w:pPr>
        <w:ind w:right="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（三）未经甲方书面同意，乙方不得擅自更换服务团队人员。确需更换的，应提前7个工作日书面通知甲方，且替换人员的执业资历、专业能力不得低于原人员。</w:t>
      </w:r>
      <w:r/>
    </w:p>
    <w:p>
      <w:pPr>
        <w:ind w:right="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（四）乙方团队成员与盱眙县交通运输局、本PPP项目社会资本方及关联企业无利害关系、无代理冲突；近3年未因执业行为受到司法行政机关行政处罚或律师协会行业处分。</w:t>
      </w:r>
      <w:r/>
    </w:p>
    <w:p>
      <w:pPr>
        <w:ind w:left="0" w:right="0" w:firstLine="480"/>
        <w:jc w:val="both"/>
        <w:spacing w:before="0" w:after="0" w:line="400" w:lineRule="atLeast"/>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第三条 服务期限</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ff0000"/>
          <w:sz w:val="28"/>
          <w:szCs w:val="28"/>
        </w:rPr>
        <w:t xml:space="preserve">自合同签订之日起，至盱眙港口、产业园及道路建设PPP项目解约、资产清算、履约责任追究、项目后续矛盾纠纷化解等全部事项处理完毕为止</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本项目预估服务周期</w:t>
      </w:r>
      <w:r>
        <w:rPr>
          <w:rFonts w:hint="eastAsia" w:ascii="方正仿宋_GB2312" w:hAnsi="方正仿宋_GB2312" w:eastAsia="方正仿宋_GB2312" w:cs="方正仿宋_GB2312"/>
          <w:b/>
          <w:color w:val="e54c5e" w:themeColor="accent6"/>
          <w:sz w:val="28"/>
          <w:szCs w:val="28"/>
          <w:lang w:val="en-US" w:eastAsia="zh-CN"/>
          <w14:textFill>
            <w14:solidFill>
              <w14:schemeClr w14:val="accent6"/>
            </w14:solidFill>
          </w14:textFill>
        </w:rPr>
        <w:t xml:space="preserve">24</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个月</w:t>
      </w:r>
      <w:r>
        <w:rPr>
          <w:rFonts w:hint="eastAsia" w:ascii="方正仿宋_GB2312" w:hAnsi="方正仿宋_GB2312" w:eastAsia="方正仿宋_GB2312" w:cs="方正仿宋_GB2312"/>
          <w:b/>
          <w:color w:val="e54c5e" w:themeColor="accent6"/>
          <w:sz w:val="28"/>
          <w:szCs w:val="28"/>
          <w:lang w:eastAsia="zh-CN"/>
          <w14:textFill>
            <w14:solidFill>
              <w14:schemeClr w14:val="accent6"/>
            </w14:solidFill>
          </w14:textFill>
        </w:rPr>
        <w:t xml:space="preserve">，</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若到期相关事项尚未办结，</w:t>
      </w:r>
      <w:r>
        <w:rPr>
          <w:rFonts w:hint="eastAsia" w:ascii="方正仿宋_GB2312" w:hAnsi="方正仿宋_GB2312" w:eastAsia="方正仿宋_GB2312" w:cs="方正仿宋_GB2312"/>
          <w:b/>
          <w:color w:val="e54c5e" w:themeColor="accent6"/>
          <w:sz w:val="28"/>
          <w:szCs w:val="28"/>
          <w:lang w:val="en-US" w:eastAsia="zh-CN"/>
          <w14:textFill>
            <w14:solidFill>
              <w14:schemeClr w14:val="accent6"/>
            </w14:solidFill>
          </w14:textFill>
        </w:rPr>
        <w:t xml:space="preserve">服务期限相应顺延</w:t>
      </w:r>
      <w:r>
        <w:rPr>
          <w:rFonts w:hint="eastAsia" w:ascii="方正仿宋_GB2312" w:hAnsi="方正仿宋_GB2312" w:eastAsia="方正仿宋_GB2312" w:cs="方正仿宋_GB2312"/>
          <w:b/>
          <w:color w:val="e54c5e" w:themeColor="accent6"/>
          <w:sz w:val="28"/>
          <w:szCs w:val="28"/>
          <w14:textFill>
            <w14:solidFill>
              <w14:schemeClr w14:val="accent6"/>
            </w14:solidFill>
          </w14:textFill>
        </w:rPr>
        <w:t xml:space="preserve">；若全部工作事项提前办结，则服务自动终止。</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第四条 服务标准与要求</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（一）乙方应严格遵守《中华人民共和国律师法》《律师执业行为规范》等法律法规及行业规范，恪守律师职业道德和执业纪律。</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（二）乙方应根据甲方工作需要及时响应：对紧急事项应在1小时内响应，一般事项应在24小时内响应。</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（三）乙方出具的法律意见、起草的法律文书应合法合规、逻辑严密、表述准确，符合甲方实际工作需要。</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（四）乙方应建立服务台账，完整记录服务事项、处理过程、工作成果等，服务期满后向甲方移交全部工作成果及档案资料。</w:t>
      </w:r>
      <w:r/>
    </w:p>
    <w:p>
      <w:pPr>
        <w:ind w:left="0" w:right="0" w:firstLine="480"/>
        <w:jc w:val="both"/>
        <w:spacing w:before="0" w:after="0" w:line="400"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第五条 合同金额与付款方式</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合同总金额：人民币________元（大写：________元整），该价格为固定总价，包含乙方为完成本合同项下全部服务内容所需的一切费用（含人员费用、差旅费、办公费、税费、代理服务费等），甲方无需另行支付其他费用。</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（二）付款方式：</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000000"/>
          <w:sz w:val="28"/>
          <w:szCs w:val="28"/>
        </w:rPr>
        <w:t xml:space="preserve">1.预付款：合同签订且乙方服务团队进场开展工作后15个工作日内，甲方向乙方支付合同总金额的40%，即人民币________元；</w:t>
      </w:r>
      <w:r/>
    </w:p>
    <w:p>
      <w:pPr>
        <w:ind w:right="0"/>
        <w:jc w:val="both"/>
        <w:spacing w:before="0" w:after="0" w:line="400"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2.进度款：项目解约协议签订、资产移交完成后15个工作日内，甲方向乙方支付至合同总金额的80%（含已付预付款），即人民币________元；</w:t>
      </w:r>
      <w:r/>
    </w:p>
    <w:p>
      <w:pPr>
        <w:ind w:right="0"/>
        <w:jc w:val="both"/>
        <w:spacing w:before="0" w:after="0" w:line="400" w:lineRule="atLeast"/>
        <w:rPr>
          <w:rFonts w:hint="eastAsia" w:ascii="方正仿宋_GB2312" w:hAnsi="方正仿宋_GB2312" w:eastAsia="方正仿宋_GB2312" w:cs="方正仿宋_GB2312"/>
          <w:color w:val="e54c5e" w:themeColor="accent6"/>
          <w:sz w:val="28"/>
          <w:szCs w:val="28"/>
          <w14:textFill>
            <w14:solidFill>
              <w14:schemeClr w14:val="accent6"/>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3.尾款：全部服务事项处理完毕，经甲方验收合格后15个工作日内，甲方向乙方支付剩余20%尾款，即人民币________元。</w:t>
      </w:r>
      <w:r/>
    </w:p>
    <w:p>
      <w:pPr>
        <w:ind w:right="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（三）乙方应在甲方每次付款前向甲方开具合法有效的增值税发票，甲方收到发票后按约定付款。</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第六条 甲方权利义务</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（一）甲方有权对乙方的服务工作进行监督、检查，提出合理意见和要求。</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（二）甲方应向乙方如实提供与项目相关的文件、资料和信息，为乙方开展工作提供必要的协助和配合。</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（三）甲方应按本合同约定及时支付服务费用。</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（四）甲方不得要求乙方从事违反法律法规及律师执业规范的活动。</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第七条 乙方权利义务</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（一）乙方有权要求甲方提供与服务事项相关的文件、资料和必要协助。</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（二）乙方应按本合同约定勤勉尽责地提供法律服务，维护甲方合法权益。</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（三）乙方应对服务过程中知悉的国家秘密、商业秘密、工作秘密及个人隐私严格保密，未经甲方书面同意不得向任何第三方披露。保密义务在本合同终止后持续有效。</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（四）乙方不得将本合同项下服务内容转包或分包给第三方。</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（五）乙方在服务过程中发现重大风险或问题的，应及时向甲方书面报告并提出应对建议。</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第八条 违约责任</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（一）甲方未按合同约定支付服务费用的，每逾期一日，应按逾期付款金额的万分之三向乙方支付违约金。</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乙方未按约定提供法律服务或服务质量不符合约定的，甲方有权要求乙方限期整改；逾期未整改或整改后仍不符合约定的，甲方有权解除合同，乙方应退还已收取的未对应服务部分的费用，并按合同总金额的10%向甲方支付违约金。</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（三）乙方擅自更换服务团队人员的，甲方有权要求乙方立即纠正，并按每人次</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20000元</w:t>
      </w:r>
      <w:r>
        <w:rPr>
          <w:rFonts w:hint="eastAsia" w:ascii="方正仿宋_GB2312" w:hAnsi="方正仿宋_GB2312" w:eastAsia="方正仿宋_GB2312" w:cs="方正仿宋_GB2312"/>
          <w:color w:val="auto"/>
          <w:sz w:val="28"/>
          <w:szCs w:val="28"/>
          <w:highlight w:val="none"/>
          <w:lang w:val="en-US" w:eastAsia="zh-CN"/>
        </w:rPr>
        <w:t xml:space="preserve">向甲方支付违约金。</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（四）乙方违反保密义务的，应赔偿由此给甲方造成的全部损失。</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（五）因乙方过错给甲方造成损失的，由乙方应依法承担赔偿责任。</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第九条 合同变更与解除</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（一）本合同经甲乙双方协商一致，可以书面形式变更或解除。</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（二）有下列情形之一的，甲方有权单方解除合同：</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1.乙方服务质量严重不符合约定，经催告后仍未整改的；</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2.乙方擅自转包或分包服务内容的；</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3.乙方团队成员未能提供驻场服务或发生执业冲突情形，视为影响项目正常推进的；</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br/>
      </w:r>
      <w:r>
        <w:rPr>
          <w:rFonts w:hint="eastAsia" w:ascii="方正仿宋_GB2312" w:hAnsi="方正仿宋_GB2312" w:eastAsia="方正仿宋_GB2312" w:cs="方正仿宋_GB2312"/>
          <w:color w:val="auto"/>
          <w:sz w:val="28"/>
          <w:szCs w:val="28"/>
          <w:highlight w:val="none"/>
          <w:lang w:val="en-US" w:eastAsia="zh-CN"/>
        </w:rPr>
        <w:t xml:space="preserve">4.因不可抗力致使合同目的无法实现的。</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（三）合同解除后，双方应按乙方实际完成的工作量结算服务费用，乙方应配合甲方做好工作交接。</w:t>
      </w:r>
      <w:r/>
    </w:p>
    <w:p>
      <w:pPr>
        <w:ind w:left="0" w:right="0" w:firstLine="480"/>
        <w:jc w:val="both"/>
        <w:spacing w:before="0" w:after="0" w:line="400" w:lineRule="atLeast"/>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第十条 争议解决</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本合同履行过程中发生争议，甲乙双方应友好协商解决；协商不成的，</w:t>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任何一方均有权向淮安仲裁委申请仲裁。</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第十一条 履约保证金</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e54c5e" w:themeColor="accent6"/>
          <w:sz w:val="28"/>
          <w:szCs w:val="28"/>
          <w:highlight w:val="none"/>
          <w:lang w:val="en-US" w:eastAsia="zh-CN"/>
          <w14:textFill>
            <w14:solidFill>
              <w14:schemeClr w14:val="accent6"/>
            </w14:solidFill>
          </w14:textFill>
        </w:rPr>
        <w:t xml:space="preserve">1.合同签订前乙方向甲方缴纳合同价的1%为本合同的履约保证金。</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3.乙方选取银行保函、担保公司的保证担保或保险公司的保证保险等形式向采购人缴纳的，如保函（担保、保险等）的约定期到期但乙方履约仍未结束的，乙方须进行续保。</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5.如乙方未能履行合同规定的义务，甲方有权从履约保证金中取得补偿。</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6.履约保证金在本项目全部服务事项办结、甲方履约验收合格后5个工作日内，无息退还给乙方；逾期退还的，按中国人民银行同期贷款基准利率上浮20%后的利率支付超期资金占用费，但因乙方自身原因导致无法及时退还的除外。</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第十二条 其他</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（一）本合同未尽事宜，甲乙双方可另行签订补充协议，补充协议与本合同具有同等法律效力。</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（二）本合同一式6份，甲方执2份，乙方执2份，代理机构2份，具有同等法律效力。</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（三）本合同自甲乙双方法定代表人/负责人或授权代表签字并加盖公章之日起生效。</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（以下无正文）</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甲方（盖章）：________________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法定代表人/负责人或授权代表（签字）：________________</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签订日期：______年____月____日</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乙方（盖章）：律师事务所</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负责人或授权代表（签字）：</w:t>
      </w:r>
      <w:r>
        <w:rPr>
          <w:rFonts w:hint="eastAsia" w:ascii="方正仿宋_GB2312" w:hAnsi="方正仿宋_GB2312" w:eastAsia="方正仿宋_GB2312" w:cs="方正仿宋_GB2312"/>
          <w:color w:val="auto"/>
          <w:sz w:val="28"/>
          <w:szCs w:val="28"/>
          <w:highlight w:val="none"/>
          <w:lang w:val="en-US" w:eastAsia="zh-CN"/>
        </w:rPr>
        <w:br/>
      </w:r>
      <w:r>
        <w:rPr>
          <w:rFonts w:hint="eastAsia" w:ascii="方正仿宋_GB2312" w:hAnsi="方正仿宋_GB2312" w:eastAsia="方正仿宋_GB2312" w:cs="方正仿宋_GB2312"/>
          <w:color w:val="auto"/>
          <w:sz w:val="28"/>
          <w:szCs w:val="28"/>
          <w:highlight w:val="none"/>
          <w:lang w:val="en-US" w:eastAsia="zh-CN"/>
        </w:rPr>
        <w:t xml:space="preserve">签订日期：______年____月____日</w:t>
      </w:r>
      <w:r/>
    </w:p>
    <w:p>
      <w:pPr>
        <w:ind w:left="0" w:right="0" w:firstLine="480"/>
        <w:jc w:val="both"/>
        <w:spacing w:before="0" w:after="0" w:line="400" w:lineRule="atLeas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r>
      <w:r/>
    </w:p>
    <w:p>
      <w:pPr>
        <w:ind w:left="0" w:right="0" w:firstLine="0"/>
        <w:jc w:val="center"/>
        <w:spacing w:before="240" w:after="240" w:line="559" w:lineRule="atLeast"/>
        <w:shd w:val="clear" w:color="ffffff" w:fill="ffff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rPr>
        <w:t xml:space="preserve">政府采购廉政监督承诺书</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一、采购人承诺</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2.细化政府采购预算编制，严格预算执行，科学合理确定采购需求，不擅自提高采购标准，严禁超需要、无预算或超预算采购。</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3.不非法干预、影响政府采购评审活动，不对供应商实行差别待遇和歧视待遇。不在开标前泄露政府采购项目相关情况</w:t>
      </w:r>
      <w:r>
        <w:rPr>
          <w:rFonts w:hint="eastAsia" w:ascii="方正仿宋_GB2312" w:hAnsi="方正仿宋_GB2312" w:eastAsia="方正仿宋_GB2312" w:cs="方正仿宋_GB2312"/>
          <w:color w:val="000000"/>
          <w:sz w:val="28"/>
          <w:szCs w:val="28"/>
          <w:lang w:eastAsia="zh-CN"/>
        </w:rPr>
        <w:t xml:space="preserve">，影响</w:t>
      </w:r>
      <w:r>
        <w:rPr>
          <w:rFonts w:hint="eastAsia" w:ascii="方正仿宋_GB2312" w:hAnsi="方正仿宋_GB2312" w:eastAsia="方正仿宋_GB2312" w:cs="方正仿宋_GB2312"/>
          <w:color w:val="000000"/>
          <w:sz w:val="28"/>
          <w:szCs w:val="28"/>
        </w:rPr>
        <w:t xml:space="preserve">公平竞争。</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5.不恶意串通操纵政府采购活动。</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6.认真执行双方签订的政府采购合同文件，自觉按合同办事。根据合同履行情况，及时开展履约验收，及时支付采购资金。</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7.坚持公开透明，及时准确做好政府采购全流程信息公开，采购活动全程留痕，采购资料记录全面完整。</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8.依法依规处理政府采购质疑和投诉。</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9.不发生其他有悖于政府采购公开、公平、公正和诚实原则的行为，自觉接受财政、监察、审计等有关单位的监督。</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10.如违反以上承诺</w:t>
      </w:r>
      <w:r>
        <w:rPr>
          <w:rFonts w:hint="eastAsia" w:ascii="方正仿宋_GB2312" w:hAnsi="方正仿宋_GB2312" w:eastAsia="方正仿宋_GB2312" w:cs="方正仿宋_GB2312"/>
          <w:color w:val="000000"/>
          <w:sz w:val="28"/>
          <w:szCs w:val="28"/>
          <w:lang w:eastAsia="zh-CN"/>
        </w:rPr>
        <w:t xml:space="preserve">，自</w:t>
      </w:r>
      <w:r>
        <w:rPr>
          <w:rFonts w:hint="eastAsia" w:ascii="方正仿宋_GB2312" w:hAnsi="方正仿宋_GB2312" w:eastAsia="方正仿宋_GB2312" w:cs="方正仿宋_GB2312"/>
          <w:color w:val="000000"/>
          <w:sz w:val="28"/>
          <w:szCs w:val="28"/>
        </w:rPr>
        <w:t xml:space="preserve">愿接受监管部门依照相关法律法规处理并承担相应的法律责任。</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二、供应商承诺</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1.自觉遵守国家和省、市关于政府采购管理以及廉洁从业的各项规定。</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4.认真执行双方签订的政府采购合同文件，自觉按合同办事。不违规将政府采购合同转包。诚信、</w:t>
      </w:r>
      <w:r>
        <w:rPr>
          <w:rFonts w:hint="eastAsia" w:ascii="方正仿宋_GB2312" w:hAnsi="方正仿宋_GB2312" w:eastAsia="方正仿宋_GB2312" w:cs="方正仿宋_GB2312"/>
          <w:color w:val="000000"/>
          <w:sz w:val="28"/>
          <w:szCs w:val="28"/>
          <w:lang w:eastAsia="zh-CN"/>
        </w:rPr>
        <w:t xml:space="preserve">真实</w:t>
      </w:r>
      <w:r>
        <w:rPr>
          <w:rFonts w:hint="eastAsia" w:ascii="方正仿宋_GB2312" w:hAnsi="方正仿宋_GB2312" w:eastAsia="方正仿宋_GB2312" w:cs="方正仿宋_GB2312"/>
          <w:color w:val="000000"/>
          <w:sz w:val="28"/>
          <w:szCs w:val="28"/>
        </w:rPr>
        <w:t xml:space="preserve">、全面履行自身合同义务，不擅自变更、中止或者终止政府采购合同。</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5.不提供假冒伪劣产品。</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6.依法依规、有凭有据开展政府采购质疑和投诉。</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7.如违反《中华人民共和国政府采购法》及相关法律法规，自觉接受政府采购监管部门依法依规处理。</w:t>
      </w:r>
      <w:r/>
    </w:p>
    <w:p>
      <w:pPr>
        <w:ind w:left="0" w:right="0" w:firstLine="48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 </w:t>
      </w:r>
      <w:r/>
    </w:p>
    <w:p>
      <w:pPr>
        <w:ind w:left="-708" w:right="0" w:firstLine="720"/>
        <w:jc w:val="both"/>
        <w:spacing w:before="0" w:after="0" w:line="360" w:lineRule="auto"/>
        <w:tabs>
          <w:tab w:val="left" w:pos="1960" w:leader="none"/>
        </w:tabs>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采 购 人（盖章）：                      中标、成交供应商（盖章）：</w:t>
      </w:r>
      <w:r/>
    </w:p>
    <w:p>
      <w:pPr>
        <w:ind w:left="-288" w:right="0" w:firstLine="240"/>
        <w:jc w:val="both"/>
        <w:spacing w:before="0" w:after="0" w:line="360" w:lineRule="auto"/>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单位负责人或授权代表（签字）：           单位负责人或授权代表（签字）：</w:t>
      </w:r>
      <w:r/>
    </w:p>
    <w:p>
      <w:pPr>
        <w:ind w:left="-288" w:right="0" w:firstLine="240"/>
        <w:jc w:val="both"/>
        <w:spacing w:before="0" w:after="0" w:line="360" w:lineRule="auto"/>
        <w:rPr>
          <w:rFonts w:hint="eastAsia" w:ascii="仿宋" w:hAnsi="仿宋" w:eastAsia="仿宋" w:cs="仿宋"/>
          <w:b/>
          <w:color w:val="auto"/>
          <w:sz w:val="40"/>
          <w:szCs w:val="4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日 期：  年  月  日                    日 期：  年  月  日   </w:t>
      </w: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737"/>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37"/>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737"/>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3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3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9"/>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39"/>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26"/>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2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2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26"/>
        <w:numPr>
          <w:ilvl w:val="0"/>
          <w:numId w:val="3"/>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26"/>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2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2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2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2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2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26"/>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26"/>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26"/>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right="0" w:firstLine="2942"/>
        <w:jc w:val="both"/>
        <w:spacing w:before="0" w:after="0" w:line="439"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负责人（委托受托人）签字或盖章：</w:t>
      </w:r>
      <w:r/>
    </w:p>
    <w:p>
      <w:pPr>
        <w:pStyle w:val="737"/>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37"/>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51"/>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51"/>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51"/>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51"/>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分包号：分包号</w:t>
      </w:r>
      <w:r/>
    </w:p>
    <w:tbl>
      <w:tblPr>
        <w:tblStyle w:val="72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51"/>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51"/>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sz w:val="32"/>
          <w:szCs w:val="32"/>
          <w:highlight w:val="none"/>
        </w:rPr>
        <w:br w:type="page" w:clear="all"/>
      </w:r>
      <w:r/>
    </w:p>
    <w:p>
      <w:pPr>
        <w:ind w:left="0" w:right="0" w:firstLine="90"/>
        <w:jc w:val="center"/>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lang w:val="en-US" w:eastAsia="zh-CN"/>
        </w:rPr>
        <w:t xml:space="preserve">三</w:t>
      </w:r>
      <w:r>
        <w:rPr>
          <w:rFonts w:ascii="宋体" w:hAnsi="宋体" w:eastAsia="宋体" w:cs="宋体"/>
          <w:b/>
          <w:color w:val="000000"/>
          <w:sz w:val="28"/>
        </w:rPr>
        <w:t xml:space="preserve">、拟参与本项目服务人员一览表</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144"/>
        <w:gridCol w:w="1110"/>
        <w:gridCol w:w="1110"/>
        <w:gridCol w:w="1110"/>
        <w:gridCol w:w="1023"/>
        <w:gridCol w:w="1354"/>
        <w:gridCol w:w="1345"/>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140"/>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40"/>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32"/>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bl>
    <w:p>
      <w:pPr>
        <w:ind w:left="0" w:right="0" w:firstLine="56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注：如果行数不够，请自行增加。</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投标供应商名称：     （加盖公章）     </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负责人或其委托受托人签字（或盖章）：</w:t>
      </w:r>
      <w:r/>
    </w:p>
    <w:p>
      <w:pPr>
        <w:pStyle w:val="944"/>
        <w:ind w:left="0" w:right="0" w:firstLine="0"/>
        <w:jc w:val="right"/>
        <w:spacing w:before="0" w:after="0" w:line="3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年     月    日</w:t>
      </w:r>
      <w:r/>
    </w:p>
    <w:p>
      <w:pPr>
        <w:rPr>
          <w:rFonts w:ascii="宋体" w:hAnsi="宋体" w:eastAsia="宋体" w:cs="宋体"/>
          <w:color w:val="000000"/>
          <w:sz w:val="28"/>
        </w:rPr>
      </w:pPr>
      <w:r>
        <w:rPr>
          <w:rFonts w:ascii="宋体" w:hAnsi="宋体" w:eastAsia="宋体" w:cs="宋体"/>
          <w:color w:val="000000"/>
          <w:sz w:val="28"/>
        </w:rPr>
      </w:r>
      <w:r/>
    </w:p>
    <w:p>
      <w:pPr>
        <w:pStyle w:val="719"/>
        <w:rPr>
          <w:rFonts w:ascii="宋体" w:hAnsi="宋体" w:eastAsia="宋体" w:cs="宋体"/>
          <w:color w:val="000000"/>
          <w:sz w:val="28"/>
        </w:rPr>
      </w:pPr>
      <w:r>
        <w:rPr>
          <w:rFonts w:ascii="宋体" w:hAnsi="宋体" w:eastAsia="宋体" w:cs="宋体"/>
          <w:color w:val="000000"/>
          <w:sz w:val="28"/>
        </w:rPr>
      </w:r>
      <w:r/>
    </w:p>
    <w:p>
      <w:pPr>
        <w:rPr>
          <w:rFonts w:ascii="宋体" w:hAnsi="宋体" w:eastAsia="宋体" w:cs="宋体"/>
          <w:color w:val="000000"/>
          <w:sz w:val="28"/>
        </w:rPr>
      </w:pPr>
      <w:r>
        <w:rPr>
          <w:rFonts w:ascii="宋体" w:hAnsi="宋体" w:eastAsia="宋体" w:cs="宋体"/>
          <w:color w:val="000000"/>
          <w:sz w:val="28"/>
        </w:rPr>
      </w:r>
      <w:r/>
    </w:p>
    <w:p>
      <w:pPr>
        <w:pStyle w:val="719"/>
        <w:rPr>
          <w:rFonts w:ascii="宋体" w:hAnsi="宋体" w:eastAsia="宋体" w:cs="宋体"/>
          <w:color w:val="000000"/>
          <w:sz w:val="28"/>
        </w:rPr>
      </w:pPr>
      <w:r>
        <w:rPr>
          <w:rFonts w:ascii="宋体" w:hAnsi="宋体" w:eastAsia="宋体" w:cs="宋体"/>
          <w:color w:val="000000"/>
          <w:sz w:val="28"/>
        </w:rPr>
      </w:r>
      <w:r/>
    </w:p>
    <w:p>
      <w:pPr>
        <w:rPr>
          <w:rFonts w:ascii="宋体" w:hAnsi="宋体" w:eastAsia="宋体" w:cs="宋体"/>
          <w:color w:val="000000"/>
          <w:sz w:val="28"/>
        </w:rPr>
      </w:pPr>
      <w:r>
        <w:rPr>
          <w:rFonts w:ascii="宋体" w:hAnsi="宋体" w:eastAsia="宋体" w:cs="宋体"/>
          <w:color w:val="000000"/>
          <w:sz w:val="28"/>
        </w:rPr>
      </w:r>
      <w:r/>
    </w:p>
    <w:p>
      <w:pPr>
        <w:pStyle w:val="719"/>
      </w:p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737"/>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23"/>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pStyle w:val="923"/>
        <w:ind w:firstLine="480"/>
        <w:jc w:val="left"/>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（各</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pStyle w:val="923"/>
        <w:ind w:firstLine="480"/>
        <w:jc w:val="left"/>
        <w:pageBreakBefore w:val="0"/>
        <w:spacing w:line="380" w:lineRule="exact"/>
        <w:rPr>
          <w:rFonts w:hint="eastAsia" w:ascii="仿宋" w:hAnsi="仿宋" w:eastAsia="仿宋" w:cs="仿宋"/>
          <w:b w:val="0"/>
          <w:bCs w:val="0"/>
          <w:color w:val="auto"/>
          <w:sz w:val="24"/>
          <w:szCs w:val="24"/>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b w:val="0"/>
          <w:bCs w:val="0"/>
          <w:color w:val="auto"/>
          <w:sz w:val="24"/>
          <w:szCs w:val="24"/>
          <w:highlight w:val="none"/>
        </w:rPr>
        <w:t xml:space="preserve">（如需上传</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资料，可在“招标文件的其他材料”模块中上传相关材料，格式由投标人自定，加盖投标人电子签章）</w:t>
      </w:r>
      <w:r/>
    </w:p>
    <w:p>
      <w:pPr>
        <w:jc w:val="left"/>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4"/>
          <w:highlight w:val="none"/>
        </w:rPr>
        <w:t xml:space="preserve"> </w:t>
      </w:r>
      <w:r/>
    </w:p>
    <w:p>
      <w:pPr>
        <w:ind w:left="0" w:right="0" w:firstLine="4434"/>
        <w:jc w:val="right"/>
        <w:spacing w:before="0" w:after="0" w:line="64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ascii="宋体" w:hAnsi="宋体" w:eastAsia="宋体" w:cs="宋体"/>
          <w:color w:val="333333"/>
          <w:sz w:val="24"/>
        </w:rPr>
        <w:t xml:space="preserve">投标供应商</w:t>
      </w:r>
      <w:r>
        <w:rPr>
          <w:rFonts w:ascii="宋体" w:hAnsi="宋体" w:eastAsia="宋体" w:cs="宋体"/>
          <w:color w:val="000000"/>
          <w:sz w:val="24"/>
        </w:rPr>
        <w:t xml:space="preserve">名称：</w:t>
      </w:r>
      <w:r>
        <w:rPr>
          <w:rFonts w:ascii="宋体" w:hAnsi="宋体" w:eastAsia="宋体" w:cs="宋体"/>
          <w:color w:val="000000"/>
          <w:sz w:val="24"/>
          <w:u w:val="single"/>
        </w:rPr>
        <w:t xml:space="preserve"> （加盖电子签章）  </w:t>
      </w:r>
      <w:r/>
    </w:p>
    <w:p>
      <w:pPr>
        <w:ind w:left="0" w:right="0" w:firstLine="456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w:t>
      </w:r>
      <w:r/>
    </w:p>
    <w:p>
      <w:pPr>
        <w:pStyle w:val="737"/>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37"/>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left="0" w:right="0" w:firstLine="480"/>
        <w:jc w:val="both"/>
        <w:spacing w:before="0" w:after="0" w:line="640" w:lineRule="atLeast"/>
        <w:rPr>
          <w:rFonts w:ascii="Segoe UI Emoji" w:hAnsi="Segoe UI Emoji" w:eastAsia="Segoe UI Emoji" w:cs="Segoe UI Emoji"/>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供应商负责人参加</w:t>
      </w:r>
      <w:r>
        <w:rPr>
          <w:rFonts w:hint="eastAsia" w:ascii="仿宋" w:hAnsi="仿宋" w:eastAsia="仿宋" w:cs="仿宋"/>
          <w:b/>
          <w:bCs w:val="0"/>
          <w:color w:val="auto"/>
          <w:sz w:val="28"/>
          <w:highlight w:val="none"/>
          <w:lang w:val="en-US" w:eastAsia="zh-CN"/>
        </w:rPr>
        <w:t xml:space="preserve">投标</w:t>
      </w:r>
      <w:r>
        <w:rPr>
          <w:rFonts w:hint="eastAsia" w:ascii="仿宋" w:hAnsi="仿宋" w:eastAsia="仿宋" w:cs="仿宋"/>
          <w:b/>
          <w:bCs w:val="0"/>
          <w:color w:val="auto"/>
          <w:sz w:val="28"/>
          <w:highlight w:val="none"/>
        </w:rPr>
        <w:t xml:space="preserve">的，必须附负责人身份证扫描件上传电子响应文件。负责人授权其他人参加谈判的，仅需填写</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授权委托书</w:t>
      </w:r>
      <w:r>
        <w:rPr>
          <w:rFonts w:hint="eastAsia" w:ascii="仿宋" w:hAnsi="仿宋" w:eastAsia="仿宋" w:cs="仿宋"/>
          <w:b/>
          <w:bCs w:val="0"/>
          <w:color w:val="auto"/>
          <w:sz w:val="28"/>
          <w:highlight w:val="none"/>
          <w:lang w:eastAsia="zh-CN"/>
        </w:rPr>
        <w:t xml:space="preserve">”</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ageBreakBefore w:val="0"/>
        <w:spacing w:line="480" w:lineRule="exact"/>
        <w:widowControl w:val="off"/>
        <w:rPr>
          <w:rFonts w:hint="eastAsia" w:ascii="仿宋" w:hAnsi="仿宋" w:eastAsia="仿宋" w:cs="仿宋"/>
          <w:color w:val="auto"/>
          <w:sz w:val="24"/>
          <w:szCs w:val="24"/>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auto"/>
          <w:sz w:val="32"/>
          <w:highlight w:val="none"/>
        </w:rPr>
        <w:br w:type="page" w:clear="all"/>
      </w:r>
      <w:r/>
    </w:p>
    <w:p>
      <w:pPr>
        <w:pStyle w:val="926"/>
        <w:ind w:left="0" w:right="560" w:firstLine="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720"/>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left="0" w:right="0" w:firstLine="3518"/>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w:t>
      </w:r>
      <w:r>
        <w:rPr>
          <w:rFonts w:ascii="宋体" w:hAnsi="宋体" w:eastAsia="宋体" w:cs="宋体"/>
          <w:color w:val="000000"/>
          <w:sz w:val="24"/>
        </w:rPr>
        <w:t xml:space="preserve">：</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本授权书宣告：</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委托方：                        地址：</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负责</w:t>
      </w:r>
      <w:r>
        <w:rPr>
          <w:rFonts w:ascii="宋体" w:hAnsi="宋体" w:eastAsia="宋体" w:cs="宋体"/>
          <w:color w:val="000000"/>
          <w:sz w:val="24"/>
        </w:rPr>
        <w:t xml:space="preserve">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     姓名：    性别：   出生日期：  年   月  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所在单位：                      职务：</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                        联系方式：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兹委托受托人代表我</w:t>
      </w:r>
      <w:r>
        <w:rPr>
          <w:rFonts w:hint="eastAsia" w:ascii="宋体" w:hAnsi="宋体" w:cs="宋体"/>
          <w:color w:val="000000"/>
          <w:sz w:val="24"/>
          <w:lang w:val="en-US" w:eastAsia="zh-CN"/>
        </w:rPr>
        <w:t xml:space="preserve">单位</w:t>
      </w:r>
      <w:r>
        <w:rPr>
          <w:rFonts w:ascii="宋体" w:hAnsi="宋体" w:eastAsia="宋体" w:cs="宋体"/>
          <w:color w:val="000000"/>
          <w:sz w:val="24"/>
        </w:rPr>
        <w:t xml:space="preserve">参加</w:t>
      </w:r>
      <w:r>
        <w:rPr>
          <w:rFonts w:ascii="宋体" w:hAnsi="宋体" w:eastAsia="宋体" w:cs="宋体"/>
          <w:color w:val="000000"/>
          <w:sz w:val="24"/>
          <w:u w:val="single"/>
        </w:rPr>
        <w:t xml:space="preserve">（采购人）</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（项目编号:      ）</w:t>
      </w:r>
      <w:r>
        <w:rPr>
          <w:rFonts w:ascii="宋体" w:hAnsi="宋体" w:eastAsia="宋体" w:cs="宋体"/>
          <w:color w:val="000000"/>
          <w:sz w:val="24"/>
        </w:rPr>
        <w:t xml:space="preserve">采购项目的政府采购活动，受托人有权在该</w:t>
      </w:r>
      <w:r>
        <w:rPr>
          <w:rFonts w:hint="eastAsia" w:ascii="宋体" w:hAnsi="宋体" w:eastAsia="宋体" w:cs="宋体"/>
          <w:color w:val="000000"/>
          <w:sz w:val="24"/>
          <w:lang w:val="en-US" w:eastAsia="zh-CN"/>
        </w:rPr>
        <w:t xml:space="preserve">磋商</w:t>
      </w:r>
      <w:r>
        <w:rPr>
          <w:rFonts w:ascii="宋体" w:hAnsi="宋体" w:eastAsia="宋体" w:cs="宋体"/>
          <w:color w:val="000000"/>
          <w:sz w:val="24"/>
        </w:rPr>
        <w:t xml:space="preserve">活动中，以我单位的名义签署</w:t>
      </w:r>
      <w:r>
        <w:rPr>
          <w:rFonts w:hint="eastAsia" w:ascii="宋体" w:hAnsi="宋体" w:eastAsia="宋体" w:cs="宋体"/>
          <w:color w:val="000000"/>
          <w:sz w:val="24"/>
          <w:lang w:val="en-US" w:eastAsia="zh-CN"/>
        </w:rPr>
        <w:t xml:space="preserve">磋商</w:t>
      </w:r>
      <w:r>
        <w:rPr>
          <w:rFonts w:ascii="宋体" w:hAnsi="宋体" w:eastAsia="宋体" w:cs="宋体"/>
          <w:color w:val="000000"/>
          <w:sz w:val="24"/>
        </w:rPr>
        <w:t xml:space="preserve">函和响应文件，与采购人或代理机构协商、澄清、解释，签订合同书并执行一切与此有关的事项。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受托人在办理上述事宜过程中以其自己的名义所签署的所有文件我</w:t>
      </w:r>
      <w:r>
        <w:rPr>
          <w:rFonts w:hint="eastAsia" w:ascii="宋体" w:hAnsi="宋体" w:cs="宋体"/>
          <w:color w:val="000000"/>
          <w:sz w:val="24"/>
          <w:lang w:val="en-US" w:eastAsia="zh-CN"/>
        </w:rPr>
        <w:t xml:space="preserve">单位</w:t>
      </w:r>
      <w:r>
        <w:rPr>
          <w:rFonts w:ascii="宋体" w:hAnsi="宋体" w:eastAsia="宋体" w:cs="宋体"/>
          <w:color w:val="000000"/>
          <w:sz w:val="24"/>
        </w:rPr>
        <w:t xml:space="preserve">均予以承认。受托人无转委托权。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委托期限：至上述事宜处理完毕止。</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委托单位</w:t>
      </w:r>
      <w:r>
        <w:rPr>
          <w:rFonts w:ascii="宋体" w:hAnsi="宋体" w:eastAsia="宋体" w:cs="宋体"/>
          <w:color w:val="000000"/>
          <w:sz w:val="24"/>
          <w:u w:val="single"/>
        </w:rPr>
        <w:t xml:space="preserve">      （电子签章）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注:供应商委托受托人参加</w:t>
      </w:r>
      <w:r>
        <w:rPr>
          <w:rFonts w:hint="eastAsia" w:ascii="宋体" w:hAnsi="宋体" w:eastAsia="宋体" w:cs="宋体"/>
          <w:color w:val="000000"/>
          <w:sz w:val="24"/>
          <w:lang w:val="en-US" w:eastAsia="zh-CN"/>
        </w:rPr>
        <w:t xml:space="preserve">投标</w:t>
      </w:r>
      <w:r>
        <w:rPr>
          <w:rFonts w:ascii="宋体" w:hAnsi="宋体" w:eastAsia="宋体" w:cs="宋体"/>
          <w:color w:val="000000"/>
          <w:sz w:val="24"/>
        </w:rPr>
        <w:t xml:space="preserve">的，必须附受托人身份证上传至电子响应文件。</w:t>
      </w:r>
      <w:r>
        <w:rPr>
          <w:rFonts w:hint="eastAsia" w:ascii="宋体" w:hAnsi="宋体" w:cs="宋体"/>
          <w:color w:val="000000"/>
          <w:sz w:val="24"/>
          <w:lang w:val="en-US" w:eastAsia="zh-CN"/>
        </w:rPr>
        <w:t xml:space="preserve">负责</w:t>
      </w:r>
      <w:r>
        <w:rPr>
          <w:rFonts w:ascii="宋体" w:hAnsi="宋体" w:eastAsia="宋体" w:cs="宋体"/>
          <w:color w:val="000000"/>
          <w:sz w:val="24"/>
        </w:rPr>
        <w:t xml:space="preserve">人直接参加</w:t>
      </w:r>
      <w:r>
        <w:rPr>
          <w:rFonts w:hint="eastAsia" w:ascii="宋体" w:hAnsi="宋体" w:eastAsia="宋体" w:cs="宋体"/>
          <w:color w:val="000000"/>
          <w:sz w:val="24"/>
          <w:lang w:val="en-US" w:eastAsia="zh-CN"/>
        </w:rPr>
        <w:t xml:space="preserve">投标</w:t>
      </w:r>
      <w:r>
        <w:rPr>
          <w:rFonts w:ascii="宋体" w:hAnsi="宋体" w:eastAsia="宋体" w:cs="宋体"/>
          <w:color w:val="000000"/>
          <w:sz w:val="24"/>
        </w:rPr>
        <w:t xml:space="preserve">的，仅需填写“</w:t>
      </w:r>
      <w:r>
        <w:rPr>
          <w:rFonts w:hint="eastAsia" w:ascii="宋体" w:hAnsi="宋体" w:cs="宋体"/>
          <w:color w:val="000000"/>
          <w:sz w:val="24"/>
          <w:lang w:val="en-US" w:eastAsia="zh-CN"/>
        </w:rPr>
        <w:t xml:space="preserve">负责人</w:t>
      </w:r>
      <w:r>
        <w:rPr>
          <w:rFonts w:ascii="宋体" w:hAnsi="宋体" w:eastAsia="宋体" w:cs="宋体"/>
          <w:color w:val="000000"/>
          <w:sz w:val="24"/>
        </w:rPr>
        <w:t xml:space="preserve">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20"/>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08"/>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420" w:firstLine="0"/>
        <w:jc w:val="right"/>
        <w:spacing w:before="0" w:after="0" w:line="340"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szCs w:val="24"/>
          <w:highlight w:val="none"/>
          <w:lang w:val="en-US" w:eastAsia="zh-CN" w:bidi="ar-SA"/>
        </w:rPr>
        <w:t xml:space="preserve">负责人或委托代理人（签字或盖章）：          </w:t>
      </w:r>
      <w:r/>
    </w:p>
    <w:p>
      <w:pPr>
        <w:ind w:left="0" w:right="420" w:firstLine="0"/>
        <w:jc w:val="right"/>
        <w:spacing w:before="0" w:after="0" w:line="340"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 </w:t>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 投标供应商名称：（盖单位公章）  </w:t>
      </w:r>
      <w:r>
        <w:rPr>
          <w:rFonts w:hint="eastAsia" w:ascii="仿宋" w:hAnsi="仿宋" w:eastAsia="仿宋" w:cs="仿宋"/>
          <w:color w:val="auto"/>
          <w:sz w:val="24"/>
          <w:highlight w:val="none"/>
        </w:rPr>
        <w:t xml:space="preserve">    </w:t>
      </w:r>
      <w:r/>
    </w:p>
    <w:p>
      <w:pPr>
        <w:pStyle w:val="737"/>
        <w:jc w:val="right"/>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720"/>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36" w:name="_Toc49352288"/>
      <w:r/>
      <w:bookmarkStart w:id="37"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36"/>
      <w:r/>
      <w:bookmarkEnd w:id="37"/>
      <w:r/>
      <w:r/>
    </w:p>
    <w:p>
      <w:pPr>
        <w:jc w:val="center"/>
        <w:pageBreakBefore w:val="0"/>
        <w:spacing w:line="3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 </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（采购编号）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项目（项目名称）（采购包号：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w:t>
      </w:r>
      <w:r>
        <w:rPr>
          <w:rFonts w:hint="eastAsia" w:ascii="仿宋" w:hAnsi="仿宋" w:eastAsia="仿宋" w:cs="仿宋"/>
          <w:bCs/>
          <w:color w:val="auto"/>
          <w:sz w:val="28"/>
          <w:szCs w:val="28"/>
          <w:highlight w:val="none"/>
        </w:rPr>
        <w:t xml:space="preserve">采购活动，服务全部由符合政策要求的中小企业承接。相关企业的具体情况如下：</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73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20"/>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3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51"/>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）采购活动由本单位承担工程。</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5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51"/>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30"/>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pStyle w:val="923"/>
        <w:ind w:left="0" w:firstLine="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41"/>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19"/>
    <w:link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name w:val="Heading 1"/>
    <w:basedOn w:val="717"/>
    <w:next w:val="717"/>
    <w:link w:val="758"/>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20">
    <w:name w:val="Heading 3"/>
    <w:basedOn w:val="717"/>
    <w:next w:val="717"/>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21">
    <w:name w:val="Heading 4"/>
    <w:basedOn w:val="717"/>
    <w:next w:val="717"/>
    <w:uiPriority w:val="0"/>
    <w:qFormat/>
    <w:pPr>
      <w:keepLines/>
      <w:keepNext/>
      <w:spacing w:before="280" w:after="290" w:line="372" w:lineRule="auto"/>
      <w:outlineLvl w:val="3"/>
    </w:pPr>
    <w:rPr>
      <w:rFonts w:ascii="Arial" w:hAnsi="Arial" w:eastAsia="黑体"/>
      <w:b/>
      <w:bCs/>
      <w:sz w:val="28"/>
      <w:szCs w:val="28"/>
    </w:rPr>
  </w:style>
  <w:style w:type="paragraph" w:styleId="722">
    <w:name w:val="Heading 5"/>
    <w:basedOn w:val="717"/>
    <w:next w:val="717"/>
    <w:link w:val="762"/>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3"/>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5"/>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6"/>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0"/>
    <w:semiHidden/>
    <w:qFormat/>
  </w:style>
  <w:style w:type="table" w:styleId="728" w:default="1">
    <w:name w:val="Normal Table"/>
    <w:uiPriority w:val="0"/>
    <w:semiHidden/>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Normal Indent"/>
    <w:basedOn w:val="717"/>
    <w:next w:val="717"/>
    <w:uiPriority w:val="0"/>
    <w:qFormat/>
    <w:pPr>
      <w:ind w:firstLine="200"/>
    </w:pPr>
    <w:rPr>
      <w:sz w:val="20"/>
    </w:rPr>
  </w:style>
  <w:style w:type="paragraph" w:styleId="731">
    <w:name w:val="Caption"/>
    <w:basedOn w:val="717"/>
    <w:next w:val="71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2">
    <w:name w:val="toa heading"/>
    <w:basedOn w:val="717"/>
    <w:next w:val="717"/>
    <w:uiPriority w:val="0"/>
    <w:qFormat/>
    <w:pPr>
      <w:spacing w:before="120" w:beforeAutospacing="0"/>
    </w:pPr>
    <w:rPr>
      <w:rFonts w:ascii="Arial" w:hAnsi="Arial"/>
      <w:sz w:val="24"/>
    </w:rPr>
  </w:style>
  <w:style w:type="paragraph" w:styleId="733">
    <w:name w:val="Body Text"/>
    <w:basedOn w:val="717"/>
    <w:uiPriority w:val="0"/>
    <w:qFormat/>
    <w:pPr>
      <w:jc w:val="center"/>
    </w:pPr>
    <w:rPr>
      <w:rFonts w:eastAsia="仿宋_GB2312"/>
      <w:sz w:val="28"/>
    </w:rPr>
  </w:style>
  <w:style w:type="paragraph" w:styleId="734">
    <w:name w:val="List Bullet 2"/>
    <w:basedOn w:val="717"/>
    <w:uiPriority w:val="0"/>
    <w:qFormat/>
    <w:pPr>
      <w:numPr>
        <w:ilvl w:val="0"/>
        <w:numId w:val="1"/>
      </w:numPr>
    </w:pPr>
  </w:style>
  <w:style w:type="paragraph" w:styleId="735">
    <w:name w:val="toc 5"/>
    <w:basedOn w:val="717"/>
    <w:next w:val="717"/>
    <w:uiPriority w:val="39"/>
    <w:unhideWhenUsed/>
    <w:qFormat/>
    <w:pPr>
      <w:ind w:left="1134" w:right="0" w:firstLine="0"/>
      <w:spacing w:after="57"/>
    </w:pPr>
  </w:style>
  <w:style w:type="paragraph" w:styleId="736">
    <w:name w:val="toc 3"/>
    <w:basedOn w:val="717"/>
    <w:next w:val="717"/>
    <w:uiPriority w:val="39"/>
    <w:unhideWhenUsed/>
    <w:qFormat/>
    <w:pPr>
      <w:ind w:left="567" w:right="0" w:firstLine="0"/>
      <w:spacing w:after="57"/>
    </w:pPr>
  </w:style>
  <w:style w:type="paragraph" w:styleId="737">
    <w:name w:val="Plain Text"/>
    <w:basedOn w:val="717"/>
    <w:uiPriority w:val="0"/>
    <w:qFormat/>
    <w:rPr>
      <w:rFonts w:ascii="宋体"/>
      <w:szCs w:val="20"/>
    </w:rPr>
  </w:style>
  <w:style w:type="paragraph" w:styleId="738">
    <w:name w:val="toc 8"/>
    <w:basedOn w:val="717"/>
    <w:next w:val="717"/>
    <w:uiPriority w:val="39"/>
    <w:unhideWhenUsed/>
    <w:qFormat/>
    <w:pPr>
      <w:ind w:left="1984" w:right="0" w:firstLine="0"/>
      <w:spacing w:after="57"/>
    </w:pPr>
  </w:style>
  <w:style w:type="paragraph" w:styleId="739">
    <w:name w:val="Body Text Indent 2"/>
    <w:basedOn w:val="717"/>
    <w:uiPriority w:val="0"/>
    <w:qFormat/>
    <w:pPr>
      <w:ind w:right="-1" w:firstLine="540"/>
      <w:tabs>
        <w:tab w:val="left" w:pos="9741" w:leader="none"/>
      </w:tabs>
    </w:pPr>
    <w:rPr>
      <w:rFonts w:eastAsia="仿宋_GB2312"/>
      <w:sz w:val="28"/>
    </w:rPr>
  </w:style>
  <w:style w:type="paragraph" w:styleId="740">
    <w:name w:val="endnote text"/>
    <w:basedOn w:val="717"/>
    <w:link w:val="903"/>
    <w:uiPriority w:val="99"/>
    <w:semiHidden/>
    <w:unhideWhenUsed/>
    <w:qFormat/>
    <w:pPr>
      <w:spacing w:after="0" w:line="240" w:lineRule="auto"/>
    </w:pPr>
    <w:rPr>
      <w:sz w:val="20"/>
    </w:rPr>
  </w:style>
  <w:style w:type="paragraph" w:styleId="741">
    <w:name w:val="Footer"/>
    <w:basedOn w:val="717"/>
    <w:uiPriority w:val="0"/>
    <w:qFormat/>
    <w:pPr>
      <w:jc w:val="left"/>
      <w:tabs>
        <w:tab w:val="center" w:pos="4153" w:leader="none"/>
        <w:tab w:val="right" w:pos="8306" w:leader="none"/>
      </w:tabs>
    </w:pPr>
    <w:rPr>
      <w:rFonts w:ascii="Verdana" w:hAnsi="Verdana"/>
      <w:sz w:val="18"/>
      <w:szCs w:val="18"/>
    </w:rPr>
  </w:style>
  <w:style w:type="paragraph" w:styleId="742">
    <w:name w:val="Header"/>
    <w:basedOn w:val="71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3">
    <w:name w:val="toc 1"/>
    <w:basedOn w:val="717"/>
    <w:next w:val="717"/>
    <w:uiPriority w:val="39"/>
    <w:unhideWhenUsed/>
    <w:qFormat/>
    <w:pPr>
      <w:ind w:left="0" w:right="0" w:firstLine="0"/>
      <w:spacing w:after="57"/>
    </w:pPr>
  </w:style>
  <w:style w:type="paragraph" w:styleId="744">
    <w:name w:val="toc 4"/>
    <w:basedOn w:val="717"/>
    <w:next w:val="717"/>
    <w:uiPriority w:val="39"/>
    <w:unhideWhenUsed/>
    <w:qFormat/>
    <w:pPr>
      <w:ind w:left="850" w:right="0" w:firstLine="0"/>
      <w:spacing w:after="57"/>
    </w:pPr>
  </w:style>
  <w:style w:type="paragraph" w:styleId="745">
    <w:name w:val="Subtitle"/>
    <w:basedOn w:val="717"/>
    <w:next w:val="717"/>
    <w:link w:val="769"/>
    <w:uiPriority w:val="11"/>
    <w:qFormat/>
    <w:pPr>
      <w:spacing w:before="200" w:after="200"/>
    </w:pPr>
    <w:rPr>
      <w:sz w:val="24"/>
      <w:szCs w:val="24"/>
    </w:rPr>
  </w:style>
  <w:style w:type="paragraph" w:styleId="746">
    <w:name w:val="footnote text"/>
    <w:basedOn w:val="717"/>
    <w:link w:val="902"/>
    <w:uiPriority w:val="99"/>
    <w:semiHidden/>
    <w:unhideWhenUsed/>
    <w:qFormat/>
    <w:pPr>
      <w:spacing w:after="40" w:line="240" w:lineRule="auto"/>
    </w:pPr>
    <w:rPr>
      <w:sz w:val="18"/>
    </w:rPr>
  </w:style>
  <w:style w:type="paragraph" w:styleId="747">
    <w:name w:val="toc 6"/>
    <w:basedOn w:val="717"/>
    <w:next w:val="717"/>
    <w:uiPriority w:val="0"/>
    <w:qFormat/>
    <w:pPr>
      <w:ind w:left="1050"/>
      <w:jc w:val="left"/>
    </w:pPr>
    <w:rPr>
      <w:sz w:val="18"/>
      <w:szCs w:val="18"/>
    </w:rPr>
  </w:style>
  <w:style w:type="paragraph" w:styleId="748">
    <w:name w:val="table of figures"/>
    <w:basedOn w:val="717"/>
    <w:next w:val="717"/>
    <w:uiPriority w:val="99"/>
    <w:unhideWhenUsed/>
    <w:qFormat/>
    <w:pPr>
      <w:spacing w:after="0" w:afterAutospacing="0"/>
    </w:pPr>
  </w:style>
  <w:style w:type="paragraph" w:styleId="749">
    <w:name w:val="toc 2"/>
    <w:basedOn w:val="717"/>
    <w:next w:val="717"/>
    <w:uiPriority w:val="0"/>
    <w:unhideWhenUsed/>
    <w:qFormat/>
    <w:pPr>
      <w:ind w:left="283"/>
      <w:spacing w:after="57"/>
    </w:pPr>
  </w:style>
  <w:style w:type="paragraph" w:styleId="750">
    <w:name w:val="toc 9"/>
    <w:basedOn w:val="717"/>
    <w:next w:val="717"/>
    <w:uiPriority w:val="39"/>
    <w:unhideWhenUsed/>
    <w:qFormat/>
    <w:pPr>
      <w:ind w:left="2268" w:right="0" w:firstLine="0"/>
      <w:spacing w:after="57"/>
    </w:pPr>
  </w:style>
  <w:style w:type="paragraph" w:styleId="751">
    <w:name w:val="Normal (Web)"/>
    <w:basedOn w:val="717"/>
    <w:uiPriority w:val="0"/>
    <w:qFormat/>
    <w:pPr>
      <w:ind w:left="0" w:right="0"/>
      <w:jc w:val="left"/>
      <w:spacing w:before="0" w:beforeAutospacing="1" w:after="0" w:afterAutospacing="1"/>
    </w:pPr>
    <w:rPr>
      <w:sz w:val="24"/>
      <w:lang w:val="en-US" w:eastAsia="zh-CN" w:bidi="ar"/>
    </w:rPr>
  </w:style>
  <w:style w:type="paragraph" w:styleId="752">
    <w:name w:val="Title"/>
    <w:basedOn w:val="717"/>
    <w:next w:val="717"/>
    <w:link w:val="768"/>
    <w:uiPriority w:val="10"/>
    <w:qFormat/>
    <w:pPr>
      <w:contextualSpacing/>
      <w:spacing w:before="300" w:after="200"/>
    </w:pPr>
    <w:rPr>
      <w:sz w:val="48"/>
      <w:szCs w:val="48"/>
    </w:rPr>
  </w:style>
  <w:style w:type="table" w:styleId="75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7"/>
    <w:uiPriority w:val="0"/>
    <w:qFormat/>
    <w:rPr>
      <w:b/>
    </w:rPr>
  </w:style>
  <w:style w:type="character" w:styleId="755">
    <w:name w:val="endnote reference"/>
    <w:basedOn w:val="727"/>
    <w:uiPriority w:val="99"/>
    <w:semiHidden/>
    <w:unhideWhenUsed/>
    <w:qFormat/>
    <w:rPr>
      <w:vertAlign w:val="superscript"/>
    </w:rPr>
  </w:style>
  <w:style w:type="character" w:styleId="756">
    <w:name w:val="Hyperlink"/>
    <w:uiPriority w:val="99"/>
    <w:unhideWhenUsed/>
    <w:qFormat/>
    <w:rPr>
      <w:color w:val="0026e5" w:themeColor="hyperlink"/>
      <w:u w:val="single"/>
      <w14:textFill>
        <w14:solidFill>
          <w14:schemeClr w14:val="hlink"/>
        </w14:solidFill>
      </w14:textFill>
    </w:rPr>
  </w:style>
  <w:style w:type="character" w:styleId="757">
    <w:name w:val="footnote reference"/>
    <w:basedOn w:val="727"/>
    <w:uiPriority w:val="99"/>
    <w:unhideWhenUsed/>
    <w:qFormat/>
    <w:rPr>
      <w:vertAlign w:val="superscript"/>
    </w:rPr>
  </w:style>
  <w:style w:type="character" w:styleId="758" w:customStyle="1">
    <w:name w:val="Heading 1 Char"/>
    <w:basedOn w:val="727"/>
    <w:link w:val="718"/>
    <w:uiPriority w:val="9"/>
    <w:qFormat/>
    <w:rPr>
      <w:rFonts w:ascii="Arial" w:hAnsi="Arial" w:eastAsia="Arial" w:cs="Arial"/>
      <w:sz w:val="40"/>
      <w:szCs w:val="40"/>
    </w:rPr>
  </w:style>
  <w:style w:type="character" w:styleId="759" w:customStyle="1">
    <w:name w:val="Heading 2 Char"/>
    <w:basedOn w:val="727"/>
    <w:uiPriority w:val="9"/>
    <w:qFormat/>
    <w:rPr>
      <w:rFonts w:ascii="Arial" w:hAnsi="Arial" w:eastAsia="Arial" w:cs="Arial"/>
      <w:sz w:val="34"/>
    </w:rPr>
  </w:style>
  <w:style w:type="character" w:styleId="760" w:customStyle="1">
    <w:name w:val="Heading 3 Char"/>
    <w:basedOn w:val="727"/>
    <w:uiPriority w:val="9"/>
    <w:qFormat/>
    <w:rPr>
      <w:rFonts w:ascii="Arial" w:hAnsi="Arial" w:eastAsia="Arial" w:cs="Arial"/>
      <w:sz w:val="30"/>
      <w:szCs w:val="30"/>
    </w:rPr>
  </w:style>
  <w:style w:type="character" w:styleId="761" w:customStyle="1">
    <w:name w:val="Heading 4 Char"/>
    <w:basedOn w:val="727"/>
    <w:uiPriority w:val="9"/>
    <w:qFormat/>
    <w:rPr>
      <w:rFonts w:ascii="Arial" w:hAnsi="Arial" w:eastAsia="Arial" w:cs="Arial"/>
      <w:b/>
      <w:bCs/>
      <w:sz w:val="26"/>
      <w:szCs w:val="26"/>
    </w:rPr>
  </w:style>
  <w:style w:type="character" w:styleId="762" w:customStyle="1">
    <w:name w:val="Heading 5 Char"/>
    <w:basedOn w:val="727"/>
    <w:link w:val="722"/>
    <w:uiPriority w:val="9"/>
    <w:qFormat/>
    <w:rPr>
      <w:rFonts w:ascii="Arial" w:hAnsi="Arial" w:eastAsia="Arial" w:cs="Arial"/>
      <w:b/>
      <w:bCs/>
      <w:sz w:val="24"/>
      <w:szCs w:val="24"/>
    </w:rPr>
  </w:style>
  <w:style w:type="character" w:styleId="763" w:customStyle="1">
    <w:name w:val="Heading 6 Char"/>
    <w:basedOn w:val="727"/>
    <w:link w:val="723"/>
    <w:uiPriority w:val="9"/>
    <w:qFormat/>
    <w:rPr>
      <w:rFonts w:ascii="Arial" w:hAnsi="Arial" w:eastAsia="Arial" w:cs="Arial"/>
      <w:b/>
      <w:bCs/>
      <w:sz w:val="22"/>
      <w:szCs w:val="22"/>
    </w:rPr>
  </w:style>
  <w:style w:type="character" w:styleId="764" w:customStyle="1">
    <w:name w:val="Heading 7 Char"/>
    <w:basedOn w:val="727"/>
    <w:link w:val="724"/>
    <w:uiPriority w:val="9"/>
    <w:qFormat/>
    <w:rPr>
      <w:rFonts w:ascii="Arial" w:hAnsi="Arial" w:eastAsia="Arial" w:cs="Arial"/>
      <w:b/>
      <w:bCs/>
      <w:i/>
      <w:iCs/>
      <w:sz w:val="22"/>
      <w:szCs w:val="22"/>
    </w:rPr>
  </w:style>
  <w:style w:type="character" w:styleId="765" w:customStyle="1">
    <w:name w:val="Heading 8 Char"/>
    <w:basedOn w:val="727"/>
    <w:link w:val="725"/>
    <w:uiPriority w:val="9"/>
    <w:qFormat/>
    <w:rPr>
      <w:rFonts w:ascii="Arial" w:hAnsi="Arial" w:eastAsia="Arial" w:cs="Arial"/>
      <w:i/>
      <w:iCs/>
      <w:sz w:val="22"/>
      <w:szCs w:val="22"/>
    </w:rPr>
  </w:style>
  <w:style w:type="character" w:styleId="766" w:customStyle="1">
    <w:name w:val="Heading 9 Char"/>
    <w:basedOn w:val="727"/>
    <w:link w:val="726"/>
    <w:uiPriority w:val="9"/>
    <w:qFormat/>
    <w:rPr>
      <w:rFonts w:ascii="Arial" w:hAnsi="Arial" w:eastAsia="Arial" w:cs="Arial"/>
      <w:i/>
      <w:iCs/>
      <w:sz w:val="21"/>
      <w:szCs w:val="21"/>
    </w:r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basedOn w:val="727"/>
    <w:link w:val="752"/>
    <w:uiPriority w:val="10"/>
    <w:qFormat/>
    <w:rPr>
      <w:sz w:val="48"/>
      <w:szCs w:val="48"/>
    </w:rPr>
  </w:style>
  <w:style w:type="character" w:styleId="769" w:customStyle="1">
    <w:name w:val="Subtitle Char"/>
    <w:basedOn w:val="727"/>
    <w:link w:val="745"/>
    <w:uiPriority w:val="11"/>
    <w:qFormat/>
    <w:rPr>
      <w:sz w:val="24"/>
      <w:szCs w:val="24"/>
    </w:rPr>
  </w:style>
  <w:style w:type="paragraph" w:styleId="770">
    <w:name w:val="Quote"/>
    <w:basedOn w:val="717"/>
    <w:next w:val="717"/>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7"/>
    <w:next w:val="717"/>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27"/>
    <w:uiPriority w:val="99"/>
    <w:qFormat/>
  </w:style>
  <w:style w:type="character" w:styleId="775" w:customStyle="1">
    <w:name w:val="Footer Char"/>
    <w:basedOn w:val="727"/>
    <w:uiPriority w:val="99"/>
    <w:qFormat/>
  </w:style>
  <w:style w:type="character" w:styleId="776" w:customStyle="1">
    <w:name w:val="Caption Char"/>
    <w:uiPriority w:val="99"/>
    <w:qFormat/>
  </w:style>
  <w:style w:type="table" w:styleId="777"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7"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6" w:customStyle="1">
    <w:name w:val="Grid Table 4 - Accent 2"/>
    <w:basedOn w:val="72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7" w:customStyle="1">
    <w:name w:val="Grid Table 4 - Accent 3"/>
    <w:basedOn w:val="72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8" w:customStyle="1">
    <w:name w:val="Grid Table 4 - Accent 4"/>
    <w:basedOn w:val="72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9" w:customStyle="1">
    <w:name w:val="Grid Table 4 - Accent 5"/>
    <w:basedOn w:val="72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0" w:customStyle="1">
    <w:name w:val="Grid Table 4 - Accent 6"/>
    <w:basedOn w:val="72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1"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3"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4"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5"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6"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7"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8"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2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2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2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72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2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4" w:customStyle="1">
    <w:name w:val="Grid Table 6 Colorful - Accent 6"/>
    <w:basedOn w:val="72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5"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2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2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2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2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2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2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9"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2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1" w:customStyle="1">
    <w:name w:val="List Table 2 - Accent 2"/>
    <w:basedOn w:val="72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2" w:customStyle="1">
    <w:name w:val="List Table 2 - Accent 3"/>
    <w:basedOn w:val="72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3" w:customStyle="1">
    <w:name w:val="List Table 2 - Accent 4"/>
    <w:basedOn w:val="72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4" w:customStyle="1">
    <w:name w:val="List Table 2 - Accent 5"/>
    <w:basedOn w:val="72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5" w:customStyle="1">
    <w:name w:val="List Table 2 - Accent 6"/>
    <w:basedOn w:val="72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6"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8" w:customStyle="1">
    <w:name w:val="List Table 3 - Accent 2"/>
    <w:basedOn w:val="72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3"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5" w:customStyle="1">
    <w:name w:val="List Table 4 - Accent 2"/>
    <w:basedOn w:val="72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6" w:customStyle="1">
    <w:name w:val="List Table 4 - Accent 3"/>
    <w:basedOn w:val="72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7" w:customStyle="1">
    <w:name w:val="List Table 4 - Accent 4"/>
    <w:basedOn w:val="72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8" w:customStyle="1">
    <w:name w:val="List Table 4 - Accent 5"/>
    <w:basedOn w:val="72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9" w:customStyle="1">
    <w:name w:val="List Table 4 - Accent 6"/>
    <w:basedOn w:val="72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0"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2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2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2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2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2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2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2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9" w:customStyle="1">
    <w:name w:val="List Table 6 Colorful - Accent 2"/>
    <w:basedOn w:val="72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0" w:customStyle="1">
    <w:name w:val="List Table 6 Colorful - Accent 3"/>
    <w:basedOn w:val="72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1" w:customStyle="1">
    <w:name w:val="List Table 6 Colorful - Accent 4"/>
    <w:basedOn w:val="72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2" w:customStyle="1">
    <w:name w:val="List Table 6 Colorful - Accent 5"/>
    <w:basedOn w:val="72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3" w:customStyle="1">
    <w:name w:val="List Table 6 Colorful - Accent 6"/>
    <w:basedOn w:val="72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4"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2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2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2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2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2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2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3"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4"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5"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6"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7"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8"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2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0" w:customStyle="1">
    <w:name w:val="Bordered &amp; Lined - Accent 2"/>
    <w:basedOn w:val="72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1" w:customStyle="1">
    <w:name w:val="Bordered &amp; Lined - Accent 3"/>
    <w:basedOn w:val="72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2" w:customStyle="1">
    <w:name w:val="Bordered &amp; Lined - Accent 4"/>
    <w:basedOn w:val="72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3" w:customStyle="1">
    <w:name w:val="Bordered &amp; Lined - Accent 5"/>
    <w:basedOn w:val="72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4" w:customStyle="1">
    <w:name w:val="Bordered &amp; Lined - Accent 6"/>
    <w:basedOn w:val="72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5"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2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7" w:customStyle="1">
    <w:name w:val="Bordered - Accent 2"/>
    <w:basedOn w:val="72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8" w:customStyle="1">
    <w:name w:val="Bordered - Accent 3"/>
    <w:basedOn w:val="72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9" w:customStyle="1">
    <w:name w:val="Bordered - Accent 4"/>
    <w:basedOn w:val="72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0" w:customStyle="1">
    <w:name w:val="Bordered - Accent 5"/>
    <w:basedOn w:val="72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1" w:customStyle="1">
    <w:name w:val="Bordered - Accent 6"/>
    <w:basedOn w:val="72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2" w:customStyle="1">
    <w:name w:val="Footnote Text Char"/>
    <w:link w:val="746"/>
    <w:uiPriority w:val="99"/>
    <w:qFormat/>
    <w:rPr>
      <w:sz w:val="18"/>
    </w:rPr>
  </w:style>
  <w:style w:type="character" w:styleId="903" w:customStyle="1">
    <w:name w:val="Endnote Text Char"/>
    <w:link w:val="740"/>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正文文本11"/>
    <w:basedOn w:val="717"/>
    <w:next w:val="717"/>
    <w:uiPriority w:val="0"/>
    <w:semiHidden/>
    <w:qFormat/>
    <w:rPr>
      <w:rFonts w:ascii="Arial" w:hAnsi="Arial" w:eastAsia="Arial" w:cs="Arial"/>
      <w:sz w:val="21"/>
      <w:szCs w:val="21"/>
      <w:lang w:val="en-US" w:eastAsia="en-US" w:bidi="ar-SA"/>
    </w:rPr>
  </w:style>
  <w:style w:type="paragraph" w:styleId="906" w:customStyle="1">
    <w:name w:val="首行缩进"/>
    <w:basedOn w:val="717"/>
    <w:uiPriority w:val="0"/>
    <w:qFormat/>
    <w:pPr>
      <w:ind w:firstLine="420"/>
      <w:spacing w:line="360" w:lineRule="auto"/>
    </w:pPr>
    <w:rPr>
      <w:sz w:val="20"/>
    </w:rPr>
  </w:style>
  <w:style w:type="paragraph" w:styleId="907" w:customStyle="1">
    <w:name w:val="信息标题1"/>
    <w:basedOn w:val="717"/>
    <w:next w:val="71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8" w:customStyle="1">
    <w:name w:val="段"/>
    <w:basedOn w:val="909"/>
    <w:next w:val="717"/>
    <w:uiPriority w:val="0"/>
    <w:qFormat/>
    <w:pPr>
      <w:ind w:firstLine="200"/>
      <w:jc w:val="both"/>
    </w:pPr>
    <w:rPr>
      <w:rFonts w:hint="default" w:ascii="宋体" w:hAnsi="Times New Roman" w:eastAsia="宋体" w:cs="Times New Roman"/>
      <w:sz w:val="21"/>
      <w:szCs w:val="22"/>
    </w:rPr>
  </w:style>
  <w:style w:type="paragraph" w:styleId="909" w:customStyle="1">
    <w:name w:val="正文13"/>
    <w:next w:val="91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正文首行缩进1"/>
    <w:basedOn w:val="911"/>
    <w:next w:val="912"/>
    <w:uiPriority w:val="0"/>
    <w:qFormat/>
    <w:pPr>
      <w:ind w:firstLine="420"/>
      <w:spacing w:after="120"/>
      <w:tabs>
        <w:tab w:val="left" w:pos="2020" w:leader="none"/>
        <w:tab w:val="center" w:pos="4535" w:leader="none"/>
      </w:tabs>
    </w:pPr>
    <w:rPr>
      <w:sz w:val="21"/>
    </w:rPr>
  </w:style>
  <w:style w:type="paragraph" w:styleId="911" w:customStyle="1">
    <w:name w:val="正文文本1"/>
    <w:basedOn w:val="717"/>
    <w:next w:val="717"/>
    <w:uiPriority w:val="0"/>
    <w:qFormat/>
    <w:pPr>
      <w:jc w:val="center"/>
    </w:pPr>
    <w:rPr>
      <w:rFonts w:eastAsia="仿宋_GB2312"/>
      <w:sz w:val="28"/>
    </w:rPr>
  </w:style>
  <w:style w:type="paragraph" w:styleId="912" w:customStyle="1">
    <w:name w:val="正文首行缩进 211"/>
    <w:basedOn w:val="913"/>
    <w:uiPriority w:val="99"/>
    <w:qFormat/>
    <w:pPr>
      <w:ind w:firstLine="420"/>
    </w:pPr>
    <w:rPr>
      <w:sz w:val="24"/>
    </w:rPr>
  </w:style>
  <w:style w:type="paragraph" w:styleId="913" w:customStyle="1">
    <w:name w:val="正文文本缩进11"/>
    <w:basedOn w:val="914"/>
    <w:uiPriority w:val="99"/>
    <w:qFormat/>
    <w:pPr>
      <w:ind w:firstLine="538"/>
    </w:pPr>
    <w:rPr>
      <w:sz w:val="28"/>
    </w:rPr>
  </w:style>
  <w:style w:type="paragraph" w:styleId="914" w:customStyle="1">
    <w:name w:val="正文112"/>
    <w:next w:val="91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一级条标题"/>
    <w:basedOn w:val="916"/>
    <w:next w:val="90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basedOn w:val="717"/>
    <w:next w:val="717"/>
    <w:uiPriority w:val="99"/>
    <w:qFormat/>
    <w:pPr>
      <w:jc w:val="center"/>
      <w:spacing w:before="158" w:after="153" w:line="1292" w:lineRule="atLeast"/>
      <w:widowControl/>
    </w:pPr>
    <w:rPr>
      <w:rFonts w:ascii="Arial" w:eastAsia="黑体" w:cs="黑体"/>
      <w:sz w:val="31"/>
      <w:szCs w:val="22"/>
      <w:lang w:eastAsia="en-US"/>
    </w:rPr>
  </w:style>
  <w:style w:type="paragraph" w:styleId="917"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18" w:customStyle="1">
    <w:name w:val="标题 21"/>
    <w:basedOn w:val="717"/>
    <w:next w:val="717"/>
    <w:uiPriority w:val="0"/>
    <w:qFormat/>
    <w:pPr>
      <w:keepLines/>
      <w:keepNext/>
      <w:spacing w:before="260" w:after="260" w:line="413" w:lineRule="auto"/>
      <w:outlineLvl w:val="1"/>
    </w:pPr>
    <w:rPr>
      <w:rFonts w:ascii="Arial" w:hAnsi="Arial" w:eastAsia="黑体"/>
      <w:b/>
      <w:sz w:val="32"/>
      <w:szCs w:val="20"/>
    </w:rPr>
  </w:style>
  <w:style w:type="paragraph" w:styleId="919"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920" w:customStyle="1">
    <w:name w:val="Table Text"/>
    <w:basedOn w:val="717"/>
    <w:uiPriority w:val="0"/>
    <w:semiHidden/>
    <w:qFormat/>
    <w:rPr>
      <w:rFonts w:ascii="宋体" w:hAnsi="宋体" w:eastAsia="宋体" w:cs="宋体"/>
      <w:sz w:val="24"/>
      <w:szCs w:val="24"/>
      <w:lang w:val="en-US" w:eastAsia="en-US" w:bidi="ar-SA"/>
    </w:rPr>
  </w:style>
  <w:style w:type="table" w:styleId="921" w:customStyle="1">
    <w:name w:val="Table Normal"/>
    <w:uiPriority w:val="0"/>
    <w:unhideWhenUsed/>
    <w:qFormat/>
    <w:tblPr>
      <w:tblCellMar>
        <w:left w:w="0" w:type="dxa"/>
        <w:top w:w="0" w:type="dxa"/>
        <w:right w:w="0" w:type="dxa"/>
        <w:bottom w:w="0" w:type="dxa"/>
      </w:tblCellMar>
    </w:tblPr>
  </w:style>
  <w:style w:type="paragraph" w:styleId="922" w:customStyle="1">
    <w:name w:val="正文_0"/>
    <w:basedOn w:val="717"/>
    <w:uiPriority w:val="0"/>
    <w:qFormat/>
    <w:rPr>
      <w:rFonts w:ascii="Times New Roman" w:hAnsi="Times New Roman" w:eastAsia="宋体" w:cs="Times New Roman"/>
    </w:rPr>
  </w:style>
  <w:style w:type="paragraph" w:styleId="923" w:customStyle="1">
    <w:name w:val="正文1"/>
    <w:basedOn w:val="924"/>
    <w:next w:val="717"/>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24" w:customStyle="1">
    <w:name w:val="样式1"/>
    <w:basedOn w:val="717"/>
    <w:uiPriority w:val="0"/>
    <w:qFormat/>
    <w:pPr>
      <w:ind w:left="432" w:firstLine="288"/>
      <w:tabs>
        <w:tab w:val="left" w:pos="1110" w:leader="none"/>
      </w:tabs>
    </w:pPr>
    <w:rPr>
      <w:rFonts w:ascii="宋体" w:hAnsi="宋体"/>
      <w:szCs w:val="21"/>
    </w:rPr>
  </w:style>
  <w:style w:type="paragraph" w:styleId="925" w:customStyle="1">
    <w:name w:val="List Paragraph"/>
    <w:basedOn w:val="717"/>
    <w:uiPriority w:val="0"/>
    <w:qFormat/>
    <w:pPr>
      <w:ind w:firstLine="200"/>
    </w:pPr>
    <w:rPr>
      <w:rFonts w:ascii="Calibri" w:hAnsi="Calibri"/>
      <w:szCs w:val="22"/>
    </w:rPr>
  </w:style>
  <w:style w:type="paragraph" w:styleId="926" w:customStyle="1">
    <w:name w:val="普通正文"/>
    <w:basedOn w:val="717"/>
    <w:uiPriority w:val="0"/>
    <w:qFormat/>
    <w:pPr>
      <w:ind w:firstLine="480"/>
      <w:jc w:val="left"/>
      <w:spacing w:before="120" w:after="120" w:line="360" w:lineRule="auto"/>
    </w:pPr>
    <w:rPr>
      <w:rFonts w:ascii="Arial" w:hAnsi="Arial"/>
      <w:sz w:val="24"/>
    </w:rPr>
  </w:style>
  <w:style w:type="paragraph" w:styleId="927" w:customStyle="1">
    <w:name w:val="批注文字1"/>
    <w:basedOn w:val="717"/>
    <w:uiPriority w:val="0"/>
    <w:qFormat/>
    <w:pPr>
      <w:jc w:val="left"/>
    </w:pPr>
  </w:style>
  <w:style w:type="paragraph" w:styleId="928" w:customStyle="1">
    <w:name w:val="正文首行缩进 21"/>
    <w:basedOn w:val="929"/>
    <w:uiPriority w:val="0"/>
    <w:qFormat/>
    <w:pPr>
      <w:ind w:firstLine="420"/>
    </w:pPr>
  </w:style>
  <w:style w:type="paragraph" w:styleId="929" w:customStyle="1">
    <w:name w:val="正文文本缩进1"/>
    <w:basedOn w:val="717"/>
    <w:uiPriority w:val="0"/>
    <w:qFormat/>
    <w:pPr>
      <w:ind w:left="420"/>
      <w:spacing w:after="120"/>
    </w:pPr>
  </w:style>
  <w:style w:type="character" w:styleId="930" w:customStyle="1">
    <w:name w:val="超链接1"/>
    <w:link w:val="717"/>
    <w:uiPriority w:val="0"/>
    <w:qFormat/>
    <w:rPr>
      <w:rFonts w:ascii="Times New Roman" w:hAnsi="Times New Roman" w:eastAsia="宋体" w:cs="Times New Roman"/>
      <w:sz w:val="21"/>
      <w:szCs w:val="24"/>
      <w:lang w:val="en-US" w:eastAsia="zh-CN" w:bidi="ar-SA"/>
    </w:rPr>
  </w:style>
  <w:style w:type="table" w:styleId="931" w:customStyle="1">
    <w:name w:val="网格型1"/>
    <w:basedOn w:val="93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32" w:customStyle="1">
    <w:name w:val="普通表格1"/>
    <w:uiPriority w:val="0"/>
    <w:semiHidden/>
    <w:qFormat/>
    <w:tblPr/>
  </w:style>
  <w:style w:type="character" w:styleId="933" w:customStyle="1">
    <w:name w:val="font21"/>
    <w:basedOn w:val="727"/>
    <w:uiPriority w:val="0"/>
    <w:qFormat/>
    <w:rPr>
      <w:rFonts w:hint="eastAsia" w:ascii="黑体" w:hAnsi="宋体" w:eastAsia="黑体" w:cs="黑体"/>
      <w:color w:val="000000"/>
      <w:sz w:val="21"/>
      <w:szCs w:val="21"/>
      <w:u w:val="none"/>
    </w:rPr>
  </w:style>
  <w:style w:type="character" w:styleId="934" w:customStyle="1">
    <w:name w:val="font71"/>
    <w:basedOn w:val="727"/>
    <w:uiPriority w:val="0"/>
    <w:qFormat/>
    <w:rPr>
      <w:rFonts w:hint="eastAsia" w:ascii="宋体" w:hAnsi="宋体" w:eastAsia="宋体" w:cs="宋体"/>
      <w:color w:val="000000"/>
      <w:sz w:val="21"/>
      <w:szCs w:val="21"/>
      <w:u w:val="none"/>
    </w:rPr>
  </w:style>
  <w:style w:type="character" w:styleId="935" w:customStyle="1">
    <w:name w:val="font81"/>
    <w:basedOn w:val="727"/>
    <w:uiPriority w:val="0"/>
    <w:qFormat/>
    <w:rPr>
      <w:rFonts w:hint="eastAsia" w:ascii="黑体" w:hAnsi="宋体" w:eastAsia="黑体" w:cs="黑体"/>
      <w:color w:val="ff6600"/>
      <w:sz w:val="21"/>
      <w:szCs w:val="21"/>
      <w:u w:val="none"/>
    </w:rPr>
  </w:style>
  <w:style w:type="character" w:styleId="936" w:customStyle="1">
    <w:name w:val="font01"/>
    <w:basedOn w:val="727"/>
    <w:uiPriority w:val="0"/>
    <w:qFormat/>
    <w:rPr>
      <w:rFonts w:hint="default" w:ascii="Arial" w:hAnsi="Arial" w:cs="Arial"/>
      <w:color w:val="000000"/>
      <w:sz w:val="20"/>
      <w:szCs w:val="20"/>
      <w:u w:val="none"/>
    </w:rPr>
  </w:style>
  <w:style w:type="character" w:styleId="937" w:customStyle="1">
    <w:name w:val="font51"/>
    <w:basedOn w:val="727"/>
    <w:uiPriority w:val="0"/>
    <w:qFormat/>
    <w:rPr>
      <w:rFonts w:hint="eastAsia" w:ascii="宋体" w:hAnsi="宋体" w:eastAsia="宋体" w:cs="宋体"/>
      <w:color w:val="000000"/>
      <w:sz w:val="22"/>
      <w:szCs w:val="22"/>
      <w:u w:val="none"/>
    </w:rPr>
  </w:style>
  <w:style w:type="paragraph" w:styleId="938" w:customStyle="1">
    <w:name w:val="正文文本111"/>
    <w:basedOn w:val="717"/>
    <w:next w:val="939"/>
    <w:uiPriority w:val="0"/>
    <w:qFormat/>
    <w:pPr>
      <w:jc w:val="center"/>
    </w:pPr>
    <w:rPr>
      <w:rFonts w:eastAsia="仿宋_GB2312"/>
      <w:sz w:val="28"/>
    </w:rPr>
  </w:style>
  <w:style w:type="paragraph" w:styleId="939" w:customStyle="1">
    <w:name w:val="目录 21"/>
    <w:basedOn w:val="717"/>
    <w:next w:val="717"/>
    <w:uiPriority w:val="39"/>
    <w:qFormat/>
    <w:pPr>
      <w:ind w:left="210"/>
    </w:pPr>
    <w:rPr>
      <w:smallCaps/>
    </w:rPr>
  </w:style>
  <w:style w:type="paragraph" w:styleId="940" w:customStyle="1">
    <w:name w:val="样式 样式 左侧:  2 字符 + 左侧:  0.85 厘米 首行缩进:  2 字符1"/>
    <w:basedOn w:val="717"/>
    <w:uiPriority w:val="0"/>
    <w:qFormat/>
    <w:pPr>
      <w:ind w:left="482" w:firstLine="200"/>
    </w:pPr>
    <w:rPr>
      <w:rFonts w:ascii="Times New Roman" w:hAnsi="Times New Roman" w:cs="宋体"/>
      <w:szCs w:val="20"/>
    </w:rPr>
  </w:style>
  <w:style w:type="character" w:styleId="941" w:customStyle="1">
    <w:name w:val="font91"/>
    <w:basedOn w:val="727"/>
    <w:uiPriority w:val="0"/>
    <w:qFormat/>
    <w:rPr>
      <w:rFonts w:hint="eastAsia" w:ascii="宋体" w:hAnsi="宋体" w:eastAsia="宋体" w:cs="宋体"/>
      <w:color w:val="000000"/>
      <w:sz w:val="20"/>
      <w:szCs w:val="20"/>
      <w:u w:val="none"/>
    </w:rPr>
  </w:style>
  <w:style w:type="character" w:styleId="942" w:customStyle="1">
    <w:name w:val="font101"/>
    <w:basedOn w:val="727"/>
    <w:uiPriority w:val="0"/>
    <w:qFormat/>
    <w:rPr>
      <w:rFonts w:hint="eastAsia" w:ascii="宋体" w:hAnsi="宋体" w:eastAsia="宋体" w:cs="宋体"/>
      <w:b/>
      <w:bCs/>
      <w:color w:val="000000"/>
      <w:sz w:val="20"/>
      <w:szCs w:val="20"/>
      <w:u w:val="none"/>
    </w:rPr>
  </w:style>
  <w:style w:type="character" w:styleId="943" w:customStyle="1">
    <w:name w:val="font41"/>
    <w:basedOn w:val="727"/>
    <w:uiPriority w:val="0"/>
    <w:qFormat/>
    <w:rPr>
      <w:rFonts w:hint="eastAsia" w:ascii="宋体" w:hAnsi="宋体" w:eastAsia="宋体" w:cs="宋体"/>
      <w:color w:val="000000"/>
      <w:sz w:val="20"/>
      <w:szCs w:val="20"/>
      <w:u w:val="none"/>
    </w:rPr>
  </w:style>
  <w:style w:type="paragraph" w:styleId="944" w:customStyle="1">
    <w:name w:val="Heading 2"/>
    <w:basedOn w:val="717"/>
    <w:next w:val="717"/>
    <w:uiPriority w:val="9"/>
    <w:unhideWhenUsed/>
    <w:qFormat/>
    <w:pPr>
      <w:keepLines/>
      <w:keepNext/>
      <w:spacing w:before="360" w:after="200"/>
      <w:outlineLvl w:val="1"/>
    </w:pPr>
    <w:rPr>
      <w:rFonts w:ascii="Arial" w:hAnsi="Arial" w:eastAsia="Arial" w:cs="Arial"/>
      <w:sz w:val="34"/>
    </w:rPr>
  </w:style>
  <w:style w:type="numbering" w:styleId="6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李方玉1</cp:lastModifiedBy>
  <cp:revision>4</cp:revision>
  <dcterms:created xsi:type="dcterms:W3CDTF">2024-03-14T00:27:00Z</dcterms:created>
  <dcterms:modified xsi:type="dcterms:W3CDTF">2026-09-21T08:09:43Z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261030190705435C972576AF60654F96_13</vt:lpwstr>
  </property>
  <property fmtid="{D5CDD505-2E9C-101B-9397-08002B2CF9AE}" pid="4" name="KSOTemplateDocerSaveRecord">
    <vt:lpwstr>eyJoZGlkIjoiMTY1MDU5NGU1Nzc4MWUxODY2OTQzMTk3ODlmNDIwMzIiLCJ1c2VySWQiOiI0NjA3NjAxNTgifQ==</vt:lpwstr>
  </property>
</Properties>
</file>