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985"/>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985"/>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985"/>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淮安市公路事业发展中心2027-2028年综合通信（数字专线）服务采购项目</w:t>
      </w:r>
      <w:r>
        <w:rPr>
          <w:rFonts w:hint="eastAsia" w:ascii="黑体" w:hAnsi="黑体" w:eastAsia="黑体"/>
          <w:b/>
          <w:sz w:val="36"/>
          <w:szCs w:val="36"/>
        </w:rPr>
      </w:r>
      <w:r/>
    </w:p>
    <w:p>
      <w:pPr>
        <w:pStyle w:val="985"/>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985"/>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85"/>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JSZC-320800-JZCG-G2026-0056</w:t>
      </w:r>
      <w:r>
        <w:rPr>
          <w:rFonts w:hint="eastAsia" w:ascii="黑体" w:hAnsi="黑体" w:eastAsia="黑体"/>
          <w:b/>
          <w:sz w:val="36"/>
        </w:rPr>
      </w:r>
      <w:r/>
    </w:p>
    <w:p>
      <w:pPr>
        <w:pStyle w:val="985"/>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985"/>
        <w:keepLines w:val="0"/>
        <w:keepNext w:val="0"/>
        <w:pageBreakBefore w:val="0"/>
        <w:rPr>
          <w:rFonts w:ascii="黑体" w:hAnsi="黑体" w:eastAsia="黑体"/>
          <w:b/>
          <w:sz w:val="32"/>
        </w:rPr>
        <w:outlineLvl w:val="9"/>
      </w:pPr>
      <w:r>
        <w:rPr>
          <w:rFonts w:ascii="黑体" w:hAnsi="黑体" w:eastAsia="黑体"/>
          <w:b/>
          <w:sz w:val="3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985"/>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九</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十七</w:t>
      </w:r>
      <w:r>
        <w:rPr>
          <w:rFonts w:hint="eastAsia" w:ascii="黑体" w:hAnsi="黑体" w:eastAsia="黑体"/>
          <w:b/>
          <w:sz w:val="36"/>
          <w:szCs w:val="36"/>
        </w:rPr>
        <w:t xml:space="preserve">日</w:t>
      </w:r>
      <w:r>
        <w:rPr>
          <w:rFonts w:hint="eastAsia" w:ascii="宋体" w:hAnsi="宋体"/>
          <w:sz w:val="24"/>
        </w:rPr>
      </w:r>
      <w:r/>
    </w:p>
    <w:p>
      <w:pPr>
        <w:pStyle w:val="985"/>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985"/>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98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w:t>
      </w:r>
      <w:r>
        <w:rPr>
          <w:rFonts w:ascii="Times New Roman" w:hAnsi="Times New Roman" w:eastAsia="仿宋" w:cs="Times New Roman"/>
          <w:sz w:val="28"/>
          <w:szCs w:val="28"/>
        </w:rPr>
        <w:t xml:space="preserve">淮安市公路事业发展中心</w:t>
      </w:r>
      <w:r>
        <w:rPr>
          <w:rFonts w:hint="eastAsia" w:ascii="仿宋" w:hAnsi="仿宋" w:eastAsia="仿宋"/>
          <w:sz w:val="28"/>
        </w:rPr>
        <w:t xml:space="preserve">的委托，淮安市政府采购中心就淮安市公路事业发展中心2027-2028年综合通信（数字专线）服务采购项目进行公开招标采购，现邀请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98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51066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5761355" cy="1510665"/>
                        </a:xfrm>
                        <a:prstGeom prst="rect">
                          <a:avLst/>
                        </a:prstGeom>
                        <a:solidFill>
                          <a:srgbClr val="FFFFFF"/>
                        </a:solidFill>
                        <a:ln>
                          <a:solidFill>
                            <a:srgbClr val="000000"/>
                          </a:solidFill>
                        </a:ln>
                      </wps:spPr>
                      <wps:txbx>
                        <w:txbxContent>
                          <w:p>
                            <w:pPr>
                              <w:pStyle w:val="98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淮安市公路事业发展中心2027-2028年综合通信（数字专线）服务采购项目 </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985"/>
                            </w:pPr>
                            <w:r/>
                            <w:r/>
                          </w:p>
                        </w:txbxContent>
                      </wps:txbx>
                      <wps:bodyPr wrap="square" upright="1"/>
                    </wps:wsp>
                  </a:graphicData>
                </a:graphic>
              </wp:anchor>
            </w:drawing>
          </mc:Choice>
          <mc:Fallback>
            <w:pict>
              <v:shape id="shape 3" o:spid="_x0000_s3" o:spt="1" type="#_x0000_t1" style="position:absolute;z-index:524288;o:allowoverlap:true;o:allowincell:true;mso-position-horizontal-relative:text;margin-left:-1.7pt;mso-position-horizontal:absolute;mso-position-vertical-relative:text;margin-top:9.5pt;mso-position-vertical:absolute;width:453.6pt;height:118.9pt;mso-wrap-distance-left:9.0pt;mso-wrap-distance-top:0.0pt;mso-wrap-distance-right:9.0pt;mso-wrap-distance-bottom:0.0pt;visibility:visible;" fillcolor="#FFFFFF" strokecolor="#000000">
                <v:textbox inset="0,0,0,0">
                  <w:txbxContent>
                    <w:p>
                      <w:pPr>
                        <w:pStyle w:val="98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淮安市公路事业发展中心2027-2028年综合通信（数字专线）服务采购项目 </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985"/>
                      </w:pPr>
                      <w:r/>
                      <w:r/>
                    </w:p>
                  </w:txbxContent>
                </v:textbox>
              </v:shape>
            </w:pict>
          </mc:Fallback>
        </mc:AlternateContent>
      </w:r>
      <w:r>
        <w:rPr>
          <w:rFonts w:hint="eastAsia" w:ascii="仿宋" w:hAnsi="仿宋" w:eastAsia="仿宋"/>
          <w:sz w:val="28"/>
          <w:szCs w:val="28"/>
        </w:rPr>
      </w:r>
      <w:r/>
    </w:p>
    <w:p>
      <w:pPr>
        <w:pStyle w:val="98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8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85"/>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85"/>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98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98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（一）项目编号:JSZC-320800-JZCG-G2026-0056</w:t>
      </w:r>
      <w:r>
        <w:rPr>
          <w:rFonts w:hint="eastAsia"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（二）项目名称:淮安市公路事业发展中心2027-2028年综合通信（数字专线）服务采购项目</w:t>
      </w:r>
      <w:r>
        <w:rPr>
          <w:rFonts w:hint="eastAsia" w:ascii="仿宋" w:hAnsi="仿宋" w:eastAsia="仿宋"/>
          <w:bCs/>
          <w:sz w:val="28"/>
        </w:rPr>
        <w:t xml:space="preserve"> </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440</w:t>
      </w:r>
      <w:r>
        <w:rPr>
          <w:rFonts w:hint="eastAsia" w:ascii="仿宋" w:hAnsi="仿宋" w:eastAsia="仿宋"/>
          <w:sz w:val="28"/>
          <w:szCs w:val="28"/>
        </w:rPr>
        <w:t xml:space="preserve">万元</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440</w:t>
      </w:r>
      <w:r>
        <w:rPr>
          <w:rFonts w:hint="eastAsia" w:ascii="仿宋" w:hAnsi="仿宋" w:eastAsia="仿宋"/>
          <w:sz w:val="28"/>
          <w:szCs w:val="28"/>
        </w:rPr>
        <w:t xml:space="preserve">万元（其中第一标段最高限价为236万元，第二标段最高限价为204万元）</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w:t>
      </w:r>
      <w:r>
        <w:rPr>
          <w:rFonts w:ascii="Times New Roman" w:hAnsi="Times New Roman" w:eastAsia="仿宋" w:cs="Times New Roman"/>
          <w:sz w:val="28"/>
          <w:szCs w:val="28"/>
        </w:rPr>
        <w:t xml:space="preserve">本次共需采购</w:t>
      </w:r>
      <w:r>
        <w:rPr>
          <w:rFonts w:ascii="Times New Roman" w:hAnsi="Times New Roman" w:eastAsia="仿宋" w:cs="Times New Roman"/>
          <w:sz w:val="28"/>
          <w:szCs w:val="28"/>
          <w:lang w:val="en-US" w:eastAsia="zh-CN"/>
        </w:rPr>
        <w:t xml:space="preserve">658</w:t>
      </w:r>
      <w:r>
        <w:rPr>
          <w:rFonts w:ascii="Times New Roman" w:hAnsi="Times New Roman" w:eastAsia="仿宋" w:cs="Times New Roman"/>
          <w:sz w:val="28"/>
          <w:szCs w:val="28"/>
        </w:rPr>
        <w:t xml:space="preserve">条专线，分成2个标段实施采购；一标段需采购</w:t>
      </w:r>
      <w:r>
        <w:rPr>
          <w:rFonts w:hint="eastAsia" w:ascii="Times New Roman" w:hAnsi="Times New Roman" w:eastAsia="仿宋" w:cs="Times New Roman"/>
          <w:sz w:val="28"/>
          <w:szCs w:val="28"/>
          <w:lang w:val="en-US" w:eastAsia="zh-CN"/>
        </w:rPr>
        <w:t xml:space="preserve">404</w:t>
      </w:r>
      <w:r>
        <w:rPr>
          <w:rFonts w:ascii="Times New Roman" w:hAnsi="Times New Roman" w:eastAsia="仿宋" w:cs="Times New Roman"/>
          <w:sz w:val="28"/>
          <w:szCs w:val="28"/>
        </w:rPr>
        <w:t xml:space="preserve">条专线、二标段需采购</w:t>
      </w:r>
      <w:r>
        <w:rPr>
          <w:rFonts w:hint="eastAsia" w:ascii="Times New Roman" w:hAnsi="Times New Roman" w:eastAsia="仿宋" w:cs="Times New Roman"/>
          <w:sz w:val="28"/>
          <w:szCs w:val="28"/>
          <w:lang w:val="en-US" w:eastAsia="zh-CN"/>
        </w:rPr>
        <w:t xml:space="preserve">254</w:t>
      </w:r>
      <w:r>
        <w:rPr>
          <w:rFonts w:ascii="Times New Roman" w:hAnsi="Times New Roman" w:eastAsia="仿宋" w:cs="Times New Roman"/>
          <w:sz w:val="28"/>
          <w:szCs w:val="28"/>
        </w:rPr>
        <w:t xml:space="preserve">条专线。详见第五章项目采购需求。</w:t>
      </w:r>
      <w:r>
        <w:rPr>
          <w:rFonts w:ascii="仿宋" w:hAnsi="仿宋" w:eastAsia="仿宋"/>
          <w:sz w:val="28"/>
          <w:szCs w:val="28"/>
        </w:rPr>
      </w:r>
      <w:r/>
    </w:p>
    <w:p>
      <w:pPr>
        <w:pStyle w:val="985"/>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投标人可投任一标段，也可投</w:t>
      </w:r>
      <w:r>
        <w:rPr>
          <w:rFonts w:ascii="Times New Roman" w:hAnsi="Times New Roman" w:eastAsia="仿宋" w:cs="Times New Roman"/>
          <w:sz w:val="28"/>
          <w:szCs w:val="28"/>
          <w:lang w:val="en-US" w:eastAsia="zh-CN"/>
        </w:rPr>
        <w:t xml:space="preserve">两</w:t>
      </w:r>
      <w:r>
        <w:rPr>
          <w:rFonts w:ascii="Times New Roman" w:hAnsi="Times New Roman" w:eastAsia="仿宋" w:cs="Times New Roman"/>
          <w:sz w:val="28"/>
          <w:szCs w:val="28"/>
        </w:rPr>
        <w:t xml:space="preserve">个标段，但只能中标一个标段。</w:t>
      </w:r>
      <w:r>
        <w:rPr>
          <w:rFonts w:hint="eastAsia" w:ascii="Times New Roman" w:hAnsi="Times New Roman" w:eastAsia="仿宋" w:cs="Times New Roman"/>
          <w:sz w:val="28"/>
          <w:szCs w:val="28"/>
        </w:rPr>
        <w:t xml:space="preserve">在合同签订之前，若某标段因质疑、投诉等事项导致中标结果改变的，不影响其余标段的中标结果。</w:t>
      </w:r>
      <w:r>
        <w:rPr>
          <w:rFonts w:ascii="Times New Roman" w:hAnsi="Times New Roman" w:eastAsia="仿宋" w:cs="Times New Roman"/>
          <w:sz w:val="28"/>
          <w:szCs w:val="28"/>
        </w:rPr>
      </w:r>
      <w:r/>
    </w:p>
    <w:p>
      <w:pPr>
        <w:pStyle w:val="98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w:t>
      </w:r>
      <w:r>
        <w:rPr>
          <w:rFonts w:ascii="Times New Roman" w:hAnsi="Times New Roman" w:eastAsia="仿宋" w:cs="Times New Roman"/>
          <w:sz w:val="28"/>
          <w:szCs w:val="28"/>
          <w:lang w:val="en-US" w:eastAsia="zh-CN"/>
        </w:rPr>
        <w:t xml:space="preserve">线路</w:t>
      </w:r>
      <w:r>
        <w:rPr>
          <w:rFonts w:hint="eastAsia" w:ascii="Times New Roman" w:hAnsi="Times New Roman" w:eastAsia="仿宋" w:cs="Times New Roman"/>
          <w:sz w:val="28"/>
          <w:szCs w:val="28"/>
          <w:lang w:val="en-US" w:eastAsia="zh-CN"/>
        </w:rPr>
        <w:t xml:space="preserve">租赁</w:t>
      </w:r>
      <w:r>
        <w:rPr>
          <w:rFonts w:ascii="Times New Roman" w:hAnsi="Times New Roman" w:eastAsia="仿宋" w:cs="Times New Roman"/>
          <w:sz w:val="28"/>
          <w:szCs w:val="28"/>
          <w:lang w:val="en-US" w:eastAsia="zh-CN"/>
        </w:rPr>
        <w:t xml:space="preserve">自</w:t>
      </w:r>
      <w:r>
        <w:rPr>
          <w:rFonts w:hint="eastAsia" w:ascii="Times New Roman" w:hAnsi="Times New Roman" w:eastAsia="仿宋" w:cs="Times New Roman"/>
          <w:sz w:val="28"/>
          <w:szCs w:val="28"/>
          <w:lang w:val="en-US" w:eastAsia="zh-CN"/>
        </w:rPr>
        <w:t xml:space="preserve">2027年1月1日</w:t>
      </w:r>
      <w:r>
        <w:rPr>
          <w:rFonts w:ascii="Times New Roman" w:hAnsi="Times New Roman" w:eastAsia="仿宋" w:cs="Times New Roman"/>
          <w:sz w:val="28"/>
          <w:szCs w:val="28"/>
          <w:lang w:val="en-US" w:eastAsia="zh-CN"/>
        </w:rPr>
        <w:t xml:space="preserve">起至202</w:t>
      </w:r>
      <w:r>
        <w:rPr>
          <w:rFonts w:hint="eastAsia"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lang w:val="en-US" w:eastAsia="zh-CN"/>
        </w:rPr>
        <w:t xml:space="preserve">年12月31日止</w:t>
      </w:r>
      <w:r>
        <w:rPr>
          <w:rFonts w:hint="eastAsia" w:ascii="Times New Roman" w:hAnsi="Times New Roman" w:eastAsia="仿宋" w:cs="Times New Roman"/>
          <w:sz w:val="28"/>
          <w:szCs w:val="28"/>
          <w:lang w:val="en-US" w:eastAsia="zh-CN"/>
        </w:rPr>
        <w:t xml:space="preserve">。</w:t>
      </w:r>
      <w:r>
        <w:rPr>
          <w:rFonts w:hint="eastAsia" w:ascii="仿宋" w:hAnsi="仿宋" w:eastAsia="仿宋"/>
          <w:sz w:val="28"/>
          <w:szCs w:val="28"/>
        </w:rPr>
      </w:r>
      <w:r/>
    </w:p>
    <w:p>
      <w:pPr>
        <w:pStyle w:val="98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其他</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rPr>
      </w:r>
      <w:r/>
    </w:p>
    <w:p>
      <w:pPr>
        <w:pStyle w:val="98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985"/>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985"/>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8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8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8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8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985"/>
        <w:ind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val="en-US" w:eastAsia="zh-CN"/>
        </w:rPr>
        <w:t xml:space="preserve">无。</w:t>
      </w:r>
      <w:r>
        <w:rPr>
          <w:rFonts w:hint="eastAsia" w:ascii="仿宋" w:hAnsi="仿宋" w:eastAsia="仿宋"/>
          <w:color w:val="000000"/>
          <w:sz w:val="28"/>
          <w:szCs w:val="28"/>
          <w:lang w:val="en-US" w:eastAsia="zh-CN"/>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985"/>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985"/>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98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985"/>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rPr>
        <w:t xml:space="preserve">四、提</w:t>
      </w:r>
      <w:r>
        <w:rPr>
          <w:rFonts w:hint="eastAsia" w:ascii="仿宋" w:hAnsi="仿宋" w:eastAsia="仿宋"/>
          <w:sz w:val="28"/>
          <w:szCs w:val="28"/>
          <w:highlight w:val="none"/>
        </w:rPr>
        <w:t xml:space="preserve">交投标文件截止时间、开标时间和地点</w:t>
      </w:r>
      <w:r>
        <w:rPr>
          <w:rFonts w:ascii="仿宋" w:hAnsi="仿宋" w:eastAsia="仿宋"/>
          <w:sz w:val="28"/>
          <w:szCs w:val="28"/>
          <w:highlight w:val="none"/>
        </w:rPr>
      </w:r>
      <w:r/>
    </w:p>
    <w:p>
      <w:pPr>
        <w:pStyle w:val="985"/>
        <w:ind w:firstLine="28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日上午</w:t>
      </w:r>
      <w:r>
        <w:rPr>
          <w:rFonts w:hint="eastAsia" w:ascii="仿宋" w:hAnsi="仿宋" w:eastAsia="仿宋"/>
          <w:sz w:val="28"/>
          <w:szCs w:val="28"/>
          <w:highlight w:val="none"/>
          <w:lang w:val="en-US" w:eastAsia="zh-CN"/>
        </w:rPr>
        <w:t xml:space="preserve">09:30。</w:t>
      </w:r>
      <w:r>
        <w:rPr>
          <w:rFonts w:hint="eastAsia" w:ascii="仿宋" w:hAnsi="仿宋" w:eastAsia="仿宋"/>
          <w:sz w:val="28"/>
          <w:szCs w:val="28"/>
          <w:highlight w:val="none"/>
          <w:lang w:val="en-US" w:eastAsia="zh-CN"/>
        </w:rPr>
      </w:r>
      <w:r/>
    </w:p>
    <w:p>
      <w:pPr>
        <w:pStyle w:val="985"/>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（二）投标文件上传地址</w:t>
      </w:r>
      <w:r>
        <w:rPr>
          <w:rFonts w:hint="eastAsia" w:ascii="仿宋" w:hAnsi="仿宋" w:eastAsia="仿宋"/>
          <w:sz w:val="28"/>
          <w:szCs w:val="28"/>
        </w:rPr>
        <w:t xml:space="preserve">：“苏采云”政府采购交易系统网上开标大厅。</w:t>
      </w:r>
      <w:r>
        <w:rPr>
          <w:rFonts w:ascii="仿宋" w:hAnsi="仿宋" w:eastAsia="仿宋"/>
          <w:sz w:val="28"/>
          <w:szCs w:val="28"/>
        </w:rPr>
      </w:r>
      <w:r/>
    </w:p>
    <w:p>
      <w:pPr>
        <w:pStyle w:val="98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98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98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w:t>
      </w:r>
      <w:r>
        <w:rPr>
          <w:rFonts w:ascii="Times New Roman" w:hAnsi="Times New Roman" w:eastAsia="仿宋" w:cs="Times New Roman"/>
          <w:sz w:val="28"/>
          <w:szCs w:val="28"/>
        </w:rPr>
        <w:t xml:space="preserve">淮安市公路事业发展中心</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w:t>
      </w:r>
      <w:r>
        <w:rPr>
          <w:rFonts w:ascii="Times New Roman" w:hAnsi="Times New Roman" w:eastAsia="仿宋" w:cs="Times New Roman"/>
          <w:sz w:val="28"/>
          <w:szCs w:val="28"/>
        </w:rPr>
        <w:t xml:space="preserve">江苏省淮安市清江浦区淮海北路75号</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w:t>
      </w:r>
      <w:r>
        <w:rPr>
          <w:rFonts w:hint="eastAsia" w:ascii="Times New Roman" w:hAnsi="Times New Roman" w:eastAsia="仿宋" w:cs="Times New Roman"/>
          <w:sz w:val="28"/>
          <w:szCs w:val="28"/>
          <w:lang w:val="en-US" w:eastAsia="zh-CN"/>
        </w:rPr>
        <w:t xml:space="preserve">谢宇</w:t>
      </w:r>
      <w:r>
        <w:rPr>
          <w:rFonts w:ascii="Times New Roman" w:hAnsi="Times New Roman" w:eastAsia="仿宋" w:cs="Times New Roman"/>
          <w:sz w:val="28"/>
          <w:szCs w:val="28"/>
          <w:lang w:val="en-US" w:eastAsia="zh-CN"/>
        </w:rPr>
        <w:t xml:space="preserve">  0517-83941691</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席雨渲  0517-80996050</w:t>
      </w:r>
      <w:r>
        <w:rPr>
          <w:rFonts w:ascii="仿宋" w:hAnsi="仿宋" w:eastAsia="仿宋"/>
          <w:sz w:val="28"/>
          <w:szCs w:val="28"/>
          <w:lang w:val="en-US" w:eastAsia="zh-CN"/>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985"/>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rPr>
          <w:rFonts w:hint="eastAsia"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985"/>
        <w:jc w:val="center"/>
        <w:keepLines w:val="0"/>
        <w:keepNext w:val="0"/>
        <w:pageBreakBefore w:val="0"/>
        <w:spacing w:line="520" w:lineRule="exact"/>
        <w:widowControl w:val="off"/>
        <w:rPr>
          <w:rFonts w:hint="eastAsia" w:ascii="仿宋" w:hAnsi="仿宋" w:eastAsia="仿宋"/>
          <w:b/>
          <w:sz w:val="36"/>
          <w:szCs w:val="36"/>
          <w:lang w:eastAsia="zh-CN"/>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lang w:eastAsia="zh-CN"/>
        </w:rPr>
        <w:t xml:space="preserve">（</w:t>
      </w:r>
      <w:r>
        <w:rPr>
          <w:rFonts w:hint="eastAsia" w:ascii="仿宋" w:hAnsi="仿宋" w:eastAsia="仿宋"/>
          <w:b/>
          <w:sz w:val="36"/>
          <w:szCs w:val="36"/>
          <w:lang w:val="en-US" w:eastAsia="zh-CN"/>
        </w:rPr>
        <w:t xml:space="preserve">两标段均适用</w:t>
      </w:r>
      <w:r>
        <w:rPr>
          <w:rFonts w:hint="eastAsia" w:ascii="仿宋" w:hAnsi="仿宋" w:eastAsia="仿宋"/>
          <w:b/>
          <w:sz w:val="36"/>
          <w:szCs w:val="36"/>
          <w:lang w:eastAsia="zh-CN"/>
        </w:rPr>
        <w:t xml:space="preserve">）</w:t>
      </w:r>
      <w:r>
        <w:rPr>
          <w:rFonts w:hint="eastAsia" w:ascii="仿宋" w:hAnsi="仿宋" w:eastAsia="仿宋"/>
          <w:b/>
          <w:sz w:val="36"/>
          <w:szCs w:val="36"/>
          <w:lang w:eastAsia="zh-CN"/>
        </w:rPr>
      </w:r>
      <w:r/>
    </w:p>
    <w:p>
      <w:pPr>
        <w:pStyle w:val="98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985"/>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985"/>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985"/>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985"/>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985"/>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985"/>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985"/>
        <w:keepLines w:val="0"/>
        <w:keepNext w:val="0"/>
        <w:pageBreakBefore w:val="0"/>
        <w:spacing w:line="520" w:lineRule="exact"/>
        <w:rPr>
          <w:rFonts w:ascii="仿宋" w:hAnsi="仿宋" w:eastAsia="仿宋"/>
          <w:sz w:val="28"/>
          <w:szCs w:val="28"/>
        </w:rPr>
        <w:outlineLvl w:val="9"/>
      </w:pPr>
      <w:r/>
      <w:bookmarkStart w:id="0" w:name="_Toc16938530"/>
      <w:r/>
      <w:bookmarkStart w:id="1" w:name="_Toc20823286"/>
      <w:r/>
      <w:bookmarkStart w:id="2" w:name="_Toc462564073"/>
      <w:r/>
      <w:bookmarkStart w:id="3" w:name="_Toc513029214"/>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985"/>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985"/>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98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rPr>
        <w:t xml:space="preserve">明标</w:t>
      </w:r>
      <w:r>
        <w:rPr>
          <w:rFonts w:hint="eastAsia" w:ascii="仿宋" w:hAnsi="仿宋" w:eastAsia="仿宋"/>
          <w:bCs/>
          <w:sz w:val="28"/>
          <w:szCs w:val="28"/>
        </w:rPr>
        <w:t xml:space="preserve">方式进行评审。</w:t>
      </w:r>
      <w:r>
        <w:rPr>
          <w:rFonts w:hint="eastAsia" w:ascii="仿宋" w:hAnsi="仿宋" w:eastAsia="仿宋"/>
          <w:bCs/>
          <w:sz w:val="28"/>
          <w:szCs w:val="28"/>
        </w:rPr>
      </w:r>
      <w:r/>
    </w:p>
    <w:p>
      <w:pPr>
        <w:pStyle w:val="98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985"/>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985"/>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985"/>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bookmarkStart w:id="9" w:name="_Toc20823303"/>
      <w:r/>
      <w:bookmarkStart w:id="10" w:name="_Toc513029231"/>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985"/>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bookmarkStart w:id="12" w:name="_Toc20823304"/>
      <w:r/>
      <w:bookmarkStart w:id="13" w:name="_Toc16938548"/>
      <w:r/>
      <w:bookmarkStart w:id="14"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16938549"/>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20823306"/>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w:t>
      </w:r>
      <w:r>
        <w:rPr>
          <w:rFonts w:ascii="仿宋" w:hAnsi="仿宋" w:eastAsia="仿宋"/>
          <w:sz w:val="28"/>
          <w:szCs w:val="28"/>
          <w:highlight w:val="none"/>
        </w:rPr>
        <w:t xml:space="preserve">投标人不作为中标候选人。</w:t>
      </w:r>
      <w:r>
        <w:rPr>
          <w:rFonts w:ascii="仿宋" w:hAnsi="仿宋" w:eastAsia="仿宋"/>
          <w:sz w:val="28"/>
          <w:szCs w:val="28"/>
          <w:highlight w:val="none"/>
        </w:rPr>
      </w:r>
      <w:r/>
    </w:p>
    <w:p>
      <w:pPr>
        <w:pStyle w:val="985"/>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98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98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985"/>
        <w:ind w:firstLine="560"/>
        <w:keepLines w:val="0"/>
        <w:keepNext w:val="0"/>
        <w:pageBreakBefore w:val="0"/>
        <w:spacing w:line="520" w:lineRule="exact"/>
        <w:rPr>
          <w:rFonts w:ascii="仿宋" w:hAnsi="仿宋" w:eastAsia="仿宋"/>
          <w:sz w:val="28"/>
          <w:szCs w:val="28"/>
          <w:highlight w:val="none"/>
        </w:rPr>
        <w:outlineLvl w:val="9"/>
      </w:pPr>
      <w:r/>
      <w:bookmarkStart w:id="21" w:name="_Toc20823307"/>
      <w:r/>
      <w:bookmarkStart w:id="22" w:name="_Toc16938551"/>
      <w:r/>
      <w:bookmarkStart w:id="23" w:name="_Toc513029235"/>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w:t>
      </w:r>
      <w:r>
        <w:rPr>
          <w:rFonts w:hint="eastAsia" w:ascii="仿宋" w:hAnsi="仿宋" w:eastAsia="仿宋"/>
          <w:sz w:val="28"/>
          <w:szCs w:val="28"/>
        </w:rPr>
        <w:t xml:space="preserve">有效期之内该节能产品认证证书图片的；</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26.1.14 投标人未完全按照第五章项目采购需求中“二、技术要求”标注</w:t>
      </w:r>
      <w:r>
        <w:rPr>
          <w:rFonts w:hint="eastAsia" w:ascii="仿宋" w:hAnsi="仿宋" w:eastAsia="仿宋"/>
          <w:sz w:val="28"/>
          <w:szCs w:val="28"/>
        </w:rPr>
        <w:t xml:space="preserve">星号（“★”）</w:t>
      </w:r>
      <w:r>
        <w:rPr>
          <w:rFonts w:hint="eastAsia" w:ascii="仿宋" w:hAnsi="仿宋" w:eastAsia="仿宋"/>
          <w:sz w:val="28"/>
          <w:szCs w:val="28"/>
          <w:lang w:val="en-US" w:eastAsia="zh-CN"/>
        </w:rPr>
        <w:t xml:space="preserve">要求提供承诺函的。</w:t>
      </w:r>
      <w:r>
        <w:rPr>
          <w:rFonts w:ascii="仿宋" w:hAnsi="仿宋" w:eastAsia="仿宋"/>
          <w:sz w:val="28"/>
          <w:szCs w:val="28"/>
          <w:lang w:val="en-US" w:eastAsia="zh-CN"/>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t xml:space="preserve">26.1.1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 投标</w:t>
      </w:r>
      <w:r>
        <w:rPr>
          <w:rFonts w:hint="eastAsia" w:ascii="仿宋" w:hAnsi="仿宋" w:eastAsia="仿宋"/>
          <w:sz w:val="28"/>
          <w:szCs w:val="28"/>
        </w:rPr>
        <w:t xml:space="preserve">人在前标段中作为中标人的。</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985"/>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985"/>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985"/>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985"/>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985"/>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985"/>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985"/>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513029236"/>
      <w:r/>
      <w:bookmarkStart w:id="31" w:name="_Toc16938552"/>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985"/>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513029237"/>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1006"/>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lang w:val="en-US" w:eastAsia="zh-CN" w:bidi="ar-SA"/>
        </w:rPr>
      </w:r>
      <w:r/>
    </w:p>
    <w:p>
      <w:pPr>
        <w:pStyle w:val="1006"/>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985"/>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w:t>
      </w:r>
      <w:r>
        <w:rPr>
          <w:rFonts w:hint="eastAsia" w:ascii="仿宋" w:hAnsi="仿宋" w:eastAsia="仿宋"/>
          <w:sz w:val="28"/>
          <w:szCs w:val="28"/>
          <w:highlight w:val="none"/>
        </w:rPr>
        <w:t xml:space="preserve">实施政府优先采购或强制采购。</w:t>
      </w:r>
      <w:r>
        <w:rPr>
          <w:rFonts w:hint="eastAsia" w:ascii="仿宋" w:hAnsi="仿宋" w:eastAsia="仿宋"/>
          <w:sz w:val="28"/>
          <w:szCs w:val="28"/>
          <w:highlight w:val="none"/>
        </w:rPr>
      </w:r>
      <w:r/>
    </w:p>
    <w:p>
      <w:pPr>
        <w:pStyle w:val="98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98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8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98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98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w:t>
      </w:r>
      <w:r>
        <w:rPr>
          <w:rFonts w:hint="eastAsia" w:ascii="仿宋" w:hAnsi="仿宋" w:eastAsia="仿宋"/>
          <w:sz w:val="28"/>
          <w:szCs w:val="28"/>
        </w:rPr>
        <w:t xml:space="preserve">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985"/>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985"/>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985"/>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1022"/>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10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985"/>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10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10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1022"/>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10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10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10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10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10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1022"/>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985"/>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lang w:eastAsia="zh-CN"/>
        </w:rPr>
        <w:t xml:space="preserve">（</w:t>
      </w:r>
      <w:r>
        <w:rPr>
          <w:rFonts w:hint="eastAsia" w:ascii="仿宋" w:hAnsi="仿宋" w:eastAsia="仿宋"/>
          <w:b/>
          <w:sz w:val="36"/>
          <w:szCs w:val="36"/>
          <w:lang w:val="en-US" w:eastAsia="zh-CN"/>
        </w:rPr>
        <w:t xml:space="preserve">两标段均适用</w:t>
      </w:r>
      <w:r>
        <w:rPr>
          <w:rFonts w:hint="eastAsia" w:ascii="仿宋" w:hAnsi="仿宋" w:eastAsia="仿宋"/>
          <w:b/>
          <w:sz w:val="36"/>
          <w:szCs w:val="36"/>
          <w:lang w:eastAsia="zh-CN"/>
        </w:rPr>
        <w:t xml:space="preserve">）</w:t>
      </w:r>
      <w:r>
        <w:rPr>
          <w:rFonts w:hint="eastAsia" w:ascii="仿宋" w:hAnsi="仿宋" w:eastAsia="仿宋"/>
          <w:b/>
          <w:sz w:val="36"/>
          <w:szCs w:val="36"/>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hint="eastAsia" w:ascii="仿宋" w:hAnsi="仿宋" w:eastAsia="仿宋"/>
          <w:sz w:val="28"/>
          <w:szCs w:val="28"/>
        </w:rPr>
      </w:r>
      <w:r/>
    </w:p>
    <w:p>
      <w:pPr>
        <w:pStyle w:val="10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各标段按综合评审后得分由高到低顺序排列，每个标段分别选取排名第一的投标人作为中标候选人，投标人可选择其中一个或</w:t>
      </w:r>
      <w:r>
        <w:rPr>
          <w:rFonts w:hint="eastAsia" w:ascii="仿宋" w:hAnsi="仿宋" w:eastAsia="仿宋" w:cs="Times New Roman"/>
          <w:lang w:val="en-US" w:eastAsia="zh-CN"/>
        </w:rPr>
        <w:t xml:space="preserve">两</w:t>
      </w:r>
      <w:r>
        <w:rPr>
          <w:rFonts w:hint="eastAsia" w:ascii="仿宋" w:hAnsi="仿宋" w:eastAsia="仿宋" w:cs="Times New Roman"/>
        </w:rPr>
        <w:t xml:space="preserve">个标段投标，但最多只能中一个标段。选取中标候选人按照标段顺序原则进行：如首先按照一标段综合评审得分排名第一的投标人确定为一标段中标候选人，确定后如该投标人同时投了二标段，则该投标人在后续标段中作无效投标处理，后续包按剩余投标人得分重新排序确定中标候选人，以此类推。若某标段剩余投标人不足三家，则该标段作废标处理。</w:t>
      </w:r>
      <w:r>
        <w:rPr>
          <w:rFonts w:hint="eastAsia" w:ascii="仿宋" w:hAnsi="仿宋" w:eastAsia="仿宋" w:cs="Times New Roman"/>
        </w:rPr>
      </w:r>
      <w:r/>
    </w:p>
    <w:p>
      <w:pPr>
        <w:pStyle w:val="98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985"/>
        <w:ind w:firstLine="4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1、价格:</w:t>
      </w:r>
      <w:r>
        <w:rPr>
          <w:rFonts w:ascii="Times New Roman" w:hAnsi="Times New Roman" w:eastAsia="仿宋" w:cs="Times New Roman"/>
          <w:sz w:val="28"/>
          <w:szCs w:val="28"/>
          <w:lang w:val="en-US" w:eastAsia="zh-CN"/>
        </w:rPr>
        <w:t xml:space="preserve">10</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1018"/>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采用低价优先法计算，即满足招标文件要求且投标价格最低的投标报价为评标基准价，其价格分为满分。其他投标人的价格分统一按照下列公式计算（小数点保留两位）:</w:t>
      </w:r>
      <w:r>
        <w:rPr>
          <w:rFonts w:ascii="Times New Roman" w:hAnsi="Times New Roman" w:eastAsia="仿宋" w:cs="Times New Roman"/>
          <w:sz w:val="28"/>
          <w:szCs w:val="28"/>
        </w:rPr>
      </w:r>
      <w:r/>
    </w:p>
    <w:p>
      <w:pPr>
        <w:pStyle w:val="1018"/>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投标报价得分＝（评标基准价/投标报价）×</w:t>
      </w:r>
      <w:r>
        <w:rPr>
          <w:rFonts w:ascii="Times New Roman" w:hAnsi="Times New Roman" w:eastAsia="仿宋" w:cs="Times New Roman"/>
          <w:sz w:val="28"/>
          <w:szCs w:val="28"/>
          <w:lang w:val="en-US" w:eastAsia="zh-CN"/>
        </w:rPr>
        <w:t xml:space="preserve">10</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rPr>
        <w:t xml:space="preserve">2、方案部分:</w:t>
      </w:r>
      <w:r>
        <w:rPr>
          <w:rFonts w:ascii="Times New Roman" w:hAnsi="Times New Roman" w:eastAsia="仿宋" w:cs="Times New Roman"/>
          <w:sz w:val="28"/>
          <w:szCs w:val="28"/>
          <w:lang w:val="en-US" w:eastAsia="zh-CN"/>
        </w:rPr>
        <w:t xml:space="preserve">44</w:t>
      </w:r>
      <w:r>
        <w:rPr>
          <w:rFonts w:ascii="Times New Roman" w:hAnsi="Times New Roman" w:eastAsia="仿宋" w:cs="Times New Roman"/>
          <w:sz w:val="28"/>
          <w:szCs w:val="28"/>
        </w:rPr>
        <w:t xml:space="preserve">分</w:t>
      </w:r>
      <w:r>
        <w:rPr>
          <w:rFonts w:ascii="Times New Roman" w:hAnsi="Times New Roman" w:eastAsia="仿宋" w:cs="Times New Roman"/>
          <w:sz w:val="28"/>
          <w:szCs w:val="28"/>
          <w:lang w:eastAsia="zh-CN"/>
        </w:rPr>
      </w:r>
      <w:r/>
    </w:p>
    <w:p>
      <w:pPr>
        <w:pStyle w:val="985"/>
        <w:ind w:firstLine="560"/>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rPr>
        <w:t xml:space="preserve">评审委员会根据投标人提供的方案进行评分，不提供分项方案的或者经三分之二评审委员会认定分项方案存在重大偏差的，分项不得分</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eastAsia="zh-CN"/>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（1）总体方案设计（8分）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总体方案至少包括专线组网方式、组网设备配置、专线网络拓扑组网图，结合本项目外场点位分布，阐述专网架构、带宽分配、网络隔离、低时延可靠性实现思路。根据方案</w:t>
      </w:r>
      <w:r>
        <w:rPr>
          <w:rFonts w:ascii="Times New Roman" w:hAnsi="Times New Roman" w:eastAsia="仿宋" w:cs="Times New Roman"/>
          <w:sz w:val="28"/>
          <w:szCs w:val="28"/>
          <w:lang w:val="en-US" w:eastAsia="zh-CN"/>
        </w:rPr>
        <w:t xml:space="preserve">详略程度</w:t>
      </w:r>
      <w:r>
        <w:rPr>
          <w:rFonts w:ascii="Times New Roman" w:hAnsi="Times New Roman" w:eastAsia="仿宋" w:cs="Times New Roman"/>
          <w:sz w:val="28"/>
          <w:szCs w:val="28"/>
        </w:rPr>
        <w:t xml:space="preserve">进行打分，方案</w:t>
      </w:r>
      <w:r>
        <w:rPr>
          <w:rFonts w:ascii="Times New Roman" w:hAnsi="Times New Roman" w:eastAsia="仿宋" w:cs="Times New Roman"/>
          <w:sz w:val="28"/>
          <w:szCs w:val="28"/>
          <w:lang w:val="en-US" w:eastAsia="zh-CN"/>
        </w:rPr>
        <w:t xml:space="preserve">详细</w:t>
      </w:r>
      <w:r>
        <w:rPr>
          <w:rFonts w:ascii="Times New Roman" w:hAnsi="Times New Roman" w:eastAsia="仿宋" w:cs="Times New Roman"/>
          <w:sz w:val="28"/>
          <w:szCs w:val="28"/>
        </w:rPr>
        <w:t xml:space="preserve">得8分，方案较</w:t>
      </w:r>
      <w:r>
        <w:rPr>
          <w:rFonts w:ascii="Times New Roman" w:hAnsi="Times New Roman" w:eastAsia="仿宋" w:cs="Times New Roman"/>
          <w:sz w:val="28"/>
          <w:szCs w:val="28"/>
          <w:lang w:val="en-US" w:eastAsia="zh-CN"/>
        </w:rPr>
        <w:t xml:space="preserve">详细</w:t>
      </w:r>
      <w:r>
        <w:rPr>
          <w:rFonts w:ascii="Times New Roman" w:hAnsi="Times New Roman" w:eastAsia="仿宋" w:cs="Times New Roman"/>
          <w:sz w:val="28"/>
          <w:szCs w:val="28"/>
        </w:rPr>
        <w:t xml:space="preserve">得5分，方案一般</w:t>
      </w:r>
      <w:r>
        <w:rPr>
          <w:rFonts w:ascii="Times New Roman" w:hAnsi="Times New Roman" w:eastAsia="仿宋" w:cs="Times New Roman"/>
          <w:sz w:val="28"/>
          <w:szCs w:val="28"/>
          <w:lang w:val="en-US" w:eastAsia="zh-CN"/>
        </w:rPr>
        <w:t xml:space="preserve">详细</w:t>
      </w:r>
      <w:r>
        <w:rPr>
          <w:rFonts w:ascii="Times New Roman" w:hAnsi="Times New Roman" w:eastAsia="仿宋" w:cs="Times New Roman"/>
          <w:sz w:val="28"/>
          <w:szCs w:val="28"/>
        </w:rPr>
        <w:t xml:space="preserve">得3分。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（2）项目施工组织设计（18分）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1）项目人员安排配置（6分）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项目人员安排配置至少包括本项目项目经理、项目施工的人员组成、岗位职责、网络与信息安全职责，满足招标文件人员配置数量要求，明确各岗位针对专线开通、故障处置、点位巡检的分工。根据方案</w:t>
      </w:r>
      <w:r>
        <w:rPr>
          <w:rFonts w:ascii="Times New Roman" w:hAnsi="Times New Roman" w:eastAsia="仿宋" w:cs="Times New Roman"/>
          <w:sz w:val="28"/>
          <w:szCs w:val="28"/>
          <w:lang w:val="en-US" w:eastAsia="zh-CN"/>
        </w:rPr>
        <w:t xml:space="preserve">详略程度</w:t>
      </w:r>
      <w:r>
        <w:rPr>
          <w:rFonts w:ascii="Times New Roman" w:hAnsi="Times New Roman" w:eastAsia="仿宋" w:cs="Times New Roman"/>
          <w:sz w:val="28"/>
          <w:szCs w:val="28"/>
        </w:rPr>
        <w:t xml:space="preserve">进行打分，方案</w:t>
      </w:r>
      <w:r>
        <w:rPr>
          <w:rFonts w:ascii="Times New Roman" w:hAnsi="Times New Roman" w:eastAsia="仿宋" w:cs="Times New Roman"/>
          <w:sz w:val="28"/>
          <w:szCs w:val="28"/>
          <w:lang w:val="en-US" w:eastAsia="zh-CN"/>
        </w:rPr>
        <w:t xml:space="preserve">详细</w:t>
      </w:r>
      <w:r>
        <w:rPr>
          <w:rFonts w:ascii="Times New Roman" w:hAnsi="Times New Roman" w:eastAsia="仿宋" w:cs="Times New Roman"/>
          <w:sz w:val="28"/>
          <w:szCs w:val="28"/>
        </w:rPr>
        <w:t xml:space="preserve">得</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分，方案较</w:t>
      </w:r>
      <w:r>
        <w:rPr>
          <w:rFonts w:ascii="Times New Roman" w:hAnsi="Times New Roman" w:eastAsia="仿宋" w:cs="Times New Roman"/>
          <w:sz w:val="28"/>
          <w:szCs w:val="28"/>
          <w:lang w:val="en-US" w:eastAsia="zh-CN"/>
        </w:rPr>
        <w:t xml:space="preserve">详细</w:t>
      </w:r>
      <w:r>
        <w:rPr>
          <w:rFonts w:ascii="Times New Roman" w:hAnsi="Times New Roman" w:eastAsia="仿宋" w:cs="Times New Roman"/>
          <w:sz w:val="28"/>
          <w:szCs w:val="28"/>
        </w:rPr>
        <w:t xml:space="preserve">得</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分，方案一般</w:t>
      </w:r>
      <w:r>
        <w:rPr>
          <w:rFonts w:ascii="Times New Roman" w:hAnsi="Times New Roman" w:eastAsia="仿宋" w:cs="Times New Roman"/>
          <w:sz w:val="28"/>
          <w:szCs w:val="28"/>
          <w:lang w:val="en-US" w:eastAsia="zh-CN"/>
        </w:rPr>
        <w:t xml:space="preserve">详细</w:t>
      </w:r>
      <w:r>
        <w:rPr>
          <w:rFonts w:ascii="Times New Roman" w:hAnsi="Times New Roman" w:eastAsia="仿宋" w:cs="Times New Roman"/>
          <w:sz w:val="28"/>
          <w:szCs w:val="28"/>
        </w:rPr>
        <w:t xml:space="preserve">得</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2）项目实施进度安排（6分）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项目项目实施进度安排至少包括专线开通进度计划表、前期资源摸排准备工作、点位开通进场协调计划、30天全部开通保障措施，根据方案</w:t>
      </w:r>
      <w:r>
        <w:rPr>
          <w:rFonts w:ascii="Times New Roman" w:hAnsi="Times New Roman" w:eastAsia="仿宋" w:cs="Times New Roman"/>
          <w:sz w:val="28"/>
          <w:szCs w:val="28"/>
          <w:lang w:val="en-US" w:eastAsia="zh-CN"/>
        </w:rPr>
        <w:t xml:space="preserve">详略程度</w:t>
      </w:r>
      <w:r>
        <w:rPr>
          <w:rFonts w:ascii="Times New Roman" w:hAnsi="Times New Roman" w:eastAsia="仿宋" w:cs="Times New Roman"/>
          <w:sz w:val="28"/>
          <w:szCs w:val="28"/>
        </w:rPr>
        <w:t xml:space="preserve">进行打分，方案详细得6分，方案较详细得4分，方案一般详细得2分。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3）项目管理（6分）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项目管理需包含专线业务风险控制管理、开通及运行质量保障措施、网络与信息安全管理措施，针对外场点位多、分布散特点说明风险识别、问题处置手段。根据方案</w:t>
      </w:r>
      <w:r>
        <w:rPr>
          <w:rFonts w:ascii="Times New Roman" w:hAnsi="Times New Roman" w:eastAsia="仿宋" w:cs="Times New Roman"/>
          <w:sz w:val="28"/>
          <w:szCs w:val="28"/>
          <w:lang w:val="en-US" w:eastAsia="zh-CN"/>
        </w:rPr>
        <w:t xml:space="preserve">详略程度</w:t>
      </w:r>
      <w:r>
        <w:rPr>
          <w:rFonts w:ascii="Times New Roman" w:hAnsi="Times New Roman" w:eastAsia="仿宋" w:cs="Times New Roman"/>
          <w:sz w:val="28"/>
          <w:szCs w:val="28"/>
        </w:rPr>
        <w:t xml:space="preserve">进行打分，方案详细得6分，方案较详细得4分，方案一般详细得2分。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hint="eastAsia" w:ascii="Times New Roman" w:hAnsi="Times New Roman" w:eastAsia="仿宋" w:cs="Times New Roman"/>
          <w:sz w:val="28"/>
          <w:szCs w:val="28"/>
          <w:lang w:eastAsia="zh-CN"/>
        </w:rPr>
        <w:outlineLvl w:val="9"/>
      </w:pPr>
      <w:r>
        <w:rPr>
          <w:rFonts w:ascii="Times New Roman" w:hAnsi="Times New Roman" w:eastAsia="仿宋" w:cs="Times New Roman"/>
          <w:sz w:val="28"/>
          <w:szCs w:val="28"/>
        </w:rPr>
        <w:t xml:space="preserve">（3）网络运维监控管理方案（10分）</w:t>
      </w:r>
      <w:r>
        <w:rPr>
          <w:rFonts w:hint="eastAsia" w:ascii="Times New Roman" w:hAnsi="Times New Roman" w:eastAsia="仿宋" w:cs="Times New Roman"/>
          <w:sz w:val="28"/>
          <w:szCs w:val="28"/>
          <w:lang w:eastAsia="zh-CN"/>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项目运维管理方案至少包括专线资产管理、专网线路及接入设备监控机制、外场点位线路巡检方案、运行日志留存与分析、故障告警管理及推送机制；方案中需包含监控平台功能截图和功能说明等，根据方案</w:t>
      </w:r>
      <w:r>
        <w:rPr>
          <w:rFonts w:ascii="Times New Roman" w:hAnsi="Times New Roman" w:eastAsia="仿宋" w:cs="Times New Roman"/>
          <w:sz w:val="28"/>
          <w:szCs w:val="28"/>
          <w:lang w:val="en-US" w:eastAsia="zh-CN"/>
        </w:rPr>
        <w:t xml:space="preserve">详略程度</w:t>
      </w:r>
      <w:r>
        <w:rPr>
          <w:rFonts w:ascii="Times New Roman" w:hAnsi="Times New Roman" w:eastAsia="仿宋" w:cs="Times New Roman"/>
          <w:sz w:val="28"/>
          <w:szCs w:val="28"/>
        </w:rPr>
        <w:t xml:space="preserve">进行打分，方案详细得</w:t>
      </w:r>
      <w:r>
        <w:rPr>
          <w:rFonts w:ascii="Times New Roman" w:hAnsi="Times New Roman" w:eastAsia="仿宋" w:cs="Times New Roman"/>
          <w:sz w:val="28"/>
          <w:szCs w:val="28"/>
          <w:lang w:val="en-US" w:eastAsia="zh-CN"/>
        </w:rPr>
        <w:t xml:space="preserve">10</w:t>
      </w:r>
      <w:r>
        <w:rPr>
          <w:rFonts w:ascii="Times New Roman" w:hAnsi="Times New Roman" w:eastAsia="仿宋" w:cs="Times New Roman"/>
          <w:sz w:val="28"/>
          <w:szCs w:val="28"/>
        </w:rPr>
        <w:t xml:space="preserve">分，方案较详细得</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分，方案一般详细得</w:t>
      </w:r>
      <w:r>
        <w:rPr>
          <w:rFonts w:hint="eastAsia"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（4）售后服务（8分）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售后服务方案至少包括专线运维服务体系、故障分级响应与修复机制、特大故障应急预案、重保服务、线路迁移、线路数量变更处置措施，完全响应招标文件1小时响应、故障处置时限、巡检、迁移、可用率考核等服务要求。根据方案</w:t>
      </w:r>
      <w:r>
        <w:rPr>
          <w:rFonts w:ascii="Times New Roman" w:hAnsi="Times New Roman" w:eastAsia="仿宋" w:cs="Times New Roman"/>
          <w:sz w:val="28"/>
          <w:szCs w:val="28"/>
          <w:lang w:val="en-US" w:eastAsia="zh-CN"/>
        </w:rPr>
        <w:t xml:space="preserve">详略程度</w:t>
      </w:r>
      <w:r>
        <w:rPr>
          <w:rFonts w:ascii="Times New Roman" w:hAnsi="Times New Roman" w:eastAsia="仿宋" w:cs="Times New Roman"/>
          <w:sz w:val="28"/>
          <w:szCs w:val="28"/>
        </w:rPr>
        <w:t xml:space="preserve">进行打分，方案详细得</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分，方案较详细得</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分，方案一般详细得</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、商务部分:</w:t>
      </w:r>
      <w:r>
        <w:rPr>
          <w:rFonts w:ascii="Times New Roman" w:hAnsi="Times New Roman" w:eastAsia="仿宋" w:cs="Times New Roman"/>
          <w:sz w:val="28"/>
          <w:szCs w:val="28"/>
          <w:lang w:val="en-US" w:eastAsia="zh-CN"/>
        </w:rPr>
        <w:t xml:space="preserve">40</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（1）投标人具有有效期内ISO9001质量管理体系认证、ISO27001信息安全管理体系认证、GB/T27922售后服务认证证书的，每提供一项得4分，本项最多得12分，没有不得分。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（2）投标人具有信息系统业务安全服务资质证书CCIA一级资质的得5分，没有不得分。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（3）投标人具有ITSS信息技术服务标准符合性证书（咨询设计）证书的得5分，没有不得分。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（4）投标人针对本项目拟派的项目经理具有一级建造师（机电工程）、高级工程师（电子信息工程）、信息系统项目管理师证书的，每提供一个得3分，本项最多9分，没有不得分。（该项评分项目</w:t>
      </w:r>
      <w:r>
        <w:rPr>
          <w:rFonts w:hint="eastAsia" w:ascii="Times New Roman" w:hAnsi="Times New Roman" w:eastAsia="仿宋" w:cs="Times New Roman"/>
          <w:sz w:val="28"/>
          <w:szCs w:val="28"/>
          <w:lang w:val="en-US" w:eastAsia="zh-CN"/>
        </w:rPr>
        <w:t xml:space="preserve">经理</w:t>
      </w:r>
      <w:r>
        <w:rPr>
          <w:rFonts w:ascii="Times New Roman" w:hAnsi="Times New Roman" w:eastAsia="仿宋" w:cs="Times New Roman"/>
          <w:sz w:val="28"/>
          <w:szCs w:val="28"/>
        </w:rPr>
        <w:t xml:space="preserve">限为同一人，需提供相关证书及供应商自2026年1月以来为其缴纳的任意1个月的社保证明，不提供不得分）。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投标人针对本项目拟派的项目技术负责人具有一级建造师（机电工程）、CISP注册信息安全专业人员、ITSSIT服务工程师证书的，每提供1类证书得3分，本项最多得9分，没有不得分。（该项评分项目技术负责人限为同一人，需提供相关证书及供应商自2026年1月以来为其缴纳的任意1个月的社保证明，不提供不得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、售后服务:</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hint="eastAsia" w:ascii="仿宋" w:hAnsi="仿宋" w:eastAsia="仿宋" w:cs="Times New Roman"/>
          <w:sz w:val="28"/>
          <w:szCs w:val="28"/>
        </w:rPr>
        <w:outlineLvl w:val="9"/>
      </w:pPr>
      <w:r>
        <w:rPr>
          <w:rFonts w:ascii="Times New Roman" w:hAnsi="Times New Roman" w:eastAsia="仿宋" w:cs="Times New Roman"/>
          <w:sz w:val="28"/>
          <w:szCs w:val="28"/>
          <w:lang w:val="en-US" w:eastAsia="zh-CN"/>
        </w:rPr>
        <w:t xml:space="preserve">投标人</w:t>
      </w:r>
      <w:r>
        <w:rPr>
          <w:rFonts w:ascii="Times New Roman" w:hAnsi="Times New Roman" w:eastAsia="仿宋" w:cs="Times New Roman"/>
          <w:sz w:val="28"/>
          <w:szCs w:val="28"/>
        </w:rPr>
        <w:t xml:space="preserve">承诺提供全年无节假日7*24服务，接到故障报修后1小时内响应，一般故障3小时内解决，重大故障6小时内解决，</w:t>
      </w:r>
      <w:r>
        <w:rPr>
          <w:rFonts w:ascii="Times New Roman" w:hAnsi="Times New Roman" w:eastAsia="仿宋" w:cs="Times New Roman"/>
          <w:sz w:val="28"/>
          <w:szCs w:val="28"/>
          <w:lang w:val="en-US" w:eastAsia="zh-CN"/>
        </w:rPr>
        <w:t xml:space="preserve">提供承诺函（格式自拟）并加盖投标人电子签章的</w:t>
      </w:r>
      <w:r>
        <w:rPr>
          <w:rFonts w:ascii="Times New Roman" w:hAnsi="Times New Roman" w:eastAsia="仿宋" w:cs="Times New Roman"/>
          <w:sz w:val="28"/>
          <w:szCs w:val="28"/>
        </w:rPr>
        <w:t xml:space="preserve">得6分</w:t>
      </w:r>
      <w:r>
        <w:rPr>
          <w:rFonts w:ascii="Times New Roman" w:hAnsi="Times New Roman" w:eastAsia="仿宋" w:cs="Times New Roman"/>
          <w:sz w:val="28"/>
          <w:szCs w:val="28"/>
          <w:lang w:val="en-US" w:eastAsia="zh-CN"/>
        </w:rPr>
        <w:t xml:space="preserve">，</w:t>
      </w:r>
      <w:r>
        <w:rPr>
          <w:rFonts w:ascii="Times New Roman" w:hAnsi="Times New Roman" w:eastAsia="仿宋" w:cs="Times New Roman"/>
          <w:sz w:val="28"/>
          <w:szCs w:val="28"/>
        </w:rPr>
        <w:t xml:space="preserve">不承诺不得分</w:t>
      </w:r>
      <w:r>
        <w:rPr>
          <w:rFonts w:hint="eastAsia" w:ascii="仿宋" w:hAnsi="仿宋" w:eastAsia="仿宋" w:cs="Times New Roman"/>
          <w:sz w:val="28"/>
          <w:szCs w:val="28"/>
        </w:rPr>
        <w:t xml:space="preserve">。</w:t>
      </w:r>
      <w:r>
        <w:rPr>
          <w:rFonts w:hint="eastAsia" w:ascii="仿宋" w:hAnsi="仿宋" w:eastAsia="仿宋" w:cs="Times New Roman"/>
          <w:sz w:val="28"/>
          <w:szCs w:val="28"/>
        </w:rPr>
      </w:r>
      <w:r/>
    </w:p>
    <w:p>
      <w:pPr>
        <w:pStyle w:val="985"/>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lang w:eastAsia="zh-CN"/>
        </w:rPr>
        <w:t xml:space="preserve">（</w:t>
      </w:r>
      <w:r>
        <w:rPr>
          <w:rFonts w:hint="eastAsia" w:ascii="仿宋" w:hAnsi="仿宋" w:eastAsia="仿宋"/>
          <w:b/>
          <w:sz w:val="36"/>
          <w:szCs w:val="36"/>
          <w:lang w:val="en-US" w:eastAsia="zh-CN"/>
        </w:rPr>
        <w:t xml:space="preserve">两标段均适用</w:t>
      </w:r>
      <w:r>
        <w:rPr>
          <w:rFonts w:hint="eastAsia" w:ascii="仿宋" w:hAnsi="仿宋" w:eastAsia="仿宋"/>
          <w:b/>
          <w:sz w:val="36"/>
          <w:szCs w:val="36"/>
          <w:lang w:eastAsia="zh-CN"/>
        </w:rPr>
        <w:t xml:space="preserve">）</w:t>
      </w:r>
      <w:r>
        <w:rPr>
          <w:rFonts w:hint="eastAsia" w:ascii="仿宋" w:hAnsi="仿宋" w:eastAsia="仿宋"/>
          <w:b/>
          <w:sz w:val="36"/>
          <w:szCs w:val="36"/>
        </w:rPr>
      </w:r>
      <w:r/>
    </w:p>
    <w:p>
      <w:pPr>
        <w:pStyle w:val="985"/>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1006"/>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1006"/>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985"/>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100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1006"/>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1006"/>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1006"/>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1006"/>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1006"/>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1006"/>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1006"/>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1006"/>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100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985"/>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985"/>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985"/>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985"/>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985"/>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98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100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10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10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10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1006"/>
        <w:keepLines w:val="0"/>
        <w:keepNext w:val="0"/>
        <w:pageBreakBefore w:val="0"/>
        <w:spacing w:line="520" w:lineRule="exact"/>
        <w:rPr>
          <w:rFonts w:hint="eastAsia" w:ascii="宋体" w:hAnsi="宋体"/>
          <w:sz w:val="28"/>
          <w:szCs w:val="28"/>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宋体" w:hAnsi="宋体"/>
          <w:sz w:val="28"/>
          <w:szCs w:val="28"/>
        </w:rPr>
      </w:r>
      <w:r/>
    </w:p>
    <w:p>
      <w:pPr>
        <w:pStyle w:val="985"/>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98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98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98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98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98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98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985"/>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98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98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985"/>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985"/>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985"/>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98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98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98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98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98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98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98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98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98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985"/>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985"/>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98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98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98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985"/>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985"/>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98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98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98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985"/>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98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98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985"/>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985"/>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985"/>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985"/>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985"/>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985"/>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105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105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105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105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100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10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100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100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100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985"/>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1006"/>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10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10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98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1006"/>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985"/>
        <w:jc w:val="center"/>
        <w:keepLines w:val="0"/>
        <w:keepNext w:val="0"/>
        <w:pageBreakBefore w:val="0"/>
        <w:spacing w:line="56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第一标段</w:t>
      </w:r>
      <w:r>
        <w:rPr>
          <w:rFonts w:hint="eastAsia" w:ascii="宋体" w:hAnsi="宋体" w:eastAsia="宋体" w:cs="宋体"/>
          <w:b/>
          <w:bCs/>
          <w:sz w:val="28"/>
          <w:szCs w:val="28"/>
        </w:rPr>
      </w:r>
      <w:r/>
    </w:p>
    <w:p>
      <w:pPr>
        <w:pStyle w:val="1078"/>
        <w:numPr>
          <w:ilvl w:val="0"/>
          <w:numId w:val="6"/>
        </w:numPr>
        <w:ind w:firstLine="5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采购项目概况:</w:t>
      </w:r>
      <w:r>
        <w:rPr>
          <w:rFonts w:hint="eastAsia" w:ascii="仿宋" w:hAnsi="仿宋" w:eastAsia="仿宋" w:cs="仿宋"/>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lang w:eastAsia="zh-CN"/>
        </w:rPr>
        <w:t xml:space="preserve">近年来，随着我市国省道路网监控、科技兴安等项目的开展，中心陆续建设了大量外场监测设施，同步配套实施了相应的数字专线。目前专线租赁合同部分已到期或于未来</w:t>
      </w:r>
      <w:r>
        <w:rPr>
          <w:rFonts w:ascii="Times New Roman" w:hAnsi="Times New Roman" w:eastAsia="仿宋" w:cs="Times New Roman"/>
          <w:sz w:val="28"/>
          <w:szCs w:val="28"/>
          <w:lang w:val="en-US" w:eastAsia="zh-CN"/>
        </w:rPr>
        <w:t xml:space="preserve">几个月</w:t>
      </w:r>
      <w:r>
        <w:rPr>
          <w:rFonts w:ascii="Times New Roman" w:hAnsi="Times New Roman" w:eastAsia="仿宋" w:cs="Times New Roman"/>
          <w:sz w:val="28"/>
          <w:szCs w:val="28"/>
          <w:lang w:eastAsia="zh-CN"/>
        </w:rPr>
        <w:t xml:space="preserve">陆续到期，其中202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lang w:eastAsia="zh-CN"/>
        </w:rPr>
        <w:t xml:space="preserve">年底到期的有</w:t>
      </w:r>
      <w:r>
        <w:rPr>
          <w:rFonts w:ascii="Times New Roman" w:hAnsi="Times New Roman" w:eastAsia="仿宋" w:cs="Times New Roman"/>
          <w:sz w:val="28"/>
          <w:szCs w:val="28"/>
          <w:lang w:val="en-US" w:eastAsia="zh-CN"/>
        </w:rPr>
        <w:t xml:space="preserve">618</w:t>
      </w:r>
      <w:r>
        <w:rPr>
          <w:rFonts w:ascii="Times New Roman" w:hAnsi="Times New Roman" w:eastAsia="仿宋" w:cs="Times New Roman"/>
          <w:sz w:val="28"/>
          <w:szCs w:val="28"/>
          <w:lang w:eastAsia="zh-CN"/>
        </w:rPr>
        <w:t xml:space="preserve">条，</w:t>
      </w:r>
      <w:r>
        <w:rPr>
          <w:rFonts w:ascii="Times New Roman" w:hAnsi="Times New Roman" w:eastAsia="仿宋" w:cs="Times New Roman"/>
          <w:sz w:val="28"/>
          <w:szCs w:val="28"/>
          <w:lang w:val="en-US" w:eastAsia="zh-CN"/>
        </w:rPr>
        <w:t xml:space="preserve">再预留40条路网监测设施、科技兴安等新建线路</w:t>
      </w:r>
      <w:r>
        <w:rPr>
          <w:rFonts w:ascii="Times New Roman" w:hAnsi="Times New Roman" w:eastAsia="仿宋" w:cs="Times New Roman"/>
          <w:sz w:val="28"/>
          <w:szCs w:val="28"/>
          <w:lang w:eastAsia="zh-CN"/>
        </w:rPr>
        <w:t xml:space="preserve">，因此本次共需采购</w:t>
      </w:r>
      <w:r>
        <w:rPr>
          <w:rFonts w:ascii="Times New Roman" w:hAnsi="Times New Roman" w:eastAsia="仿宋" w:cs="Times New Roman"/>
          <w:sz w:val="28"/>
          <w:szCs w:val="28"/>
          <w:lang w:val="en-US" w:eastAsia="zh-CN"/>
        </w:rPr>
        <w:t xml:space="preserve">658</w:t>
      </w:r>
      <w:r>
        <w:rPr>
          <w:rFonts w:ascii="Times New Roman" w:hAnsi="Times New Roman" w:eastAsia="仿宋" w:cs="Times New Roman"/>
          <w:sz w:val="28"/>
          <w:szCs w:val="28"/>
          <w:lang w:eastAsia="zh-CN"/>
        </w:rPr>
        <w:t xml:space="preserve">条专线，分成2个标段实施采购，</w:t>
      </w:r>
      <w:r>
        <w:rPr>
          <w:rFonts w:ascii="Times New Roman" w:hAnsi="Times New Roman" w:eastAsia="仿宋" w:cs="Times New Roman"/>
          <w:sz w:val="28"/>
          <w:szCs w:val="28"/>
          <w:highlight w:val="none"/>
        </w:rPr>
        <w:t xml:space="preserve">项目</w:t>
      </w:r>
      <w:r>
        <w:rPr>
          <w:rFonts w:ascii="Times New Roman" w:hAnsi="Times New Roman" w:eastAsia="仿宋" w:cs="Times New Roman"/>
          <w:sz w:val="28"/>
          <w:szCs w:val="28"/>
          <w:highlight w:val="none"/>
          <w:lang w:eastAsia="zh-CN"/>
        </w:rPr>
        <w:t xml:space="preserve">总</w:t>
      </w:r>
      <w:r>
        <w:rPr>
          <w:rFonts w:ascii="Times New Roman" w:hAnsi="Times New Roman" w:eastAsia="仿宋" w:cs="Times New Roman"/>
          <w:sz w:val="28"/>
          <w:szCs w:val="28"/>
          <w:highlight w:val="none"/>
        </w:rPr>
        <w:t xml:space="preserve">预算为</w:t>
      </w:r>
      <w:r>
        <w:rPr>
          <w:rFonts w:ascii="Times New Roman" w:hAnsi="Times New Roman" w:eastAsia="仿宋" w:cs="Times New Roman"/>
          <w:sz w:val="28"/>
          <w:szCs w:val="28"/>
          <w:highlight w:val="none"/>
          <w:lang w:val="en-US" w:eastAsia="zh-CN"/>
        </w:rPr>
        <w:t xml:space="preserve">440</w:t>
      </w:r>
      <w:r>
        <w:rPr>
          <w:rFonts w:ascii="Times New Roman" w:hAnsi="Times New Roman" w:eastAsia="仿宋" w:cs="Times New Roman"/>
          <w:sz w:val="28"/>
          <w:szCs w:val="28"/>
          <w:highlight w:val="none"/>
        </w:rPr>
        <w:t xml:space="preserve">万元。</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hint="eastAsia" w:ascii="仿宋" w:hAnsi="仿宋" w:eastAsia="仿宋" w:cs="仿宋"/>
          <w:sz w:val="28"/>
          <w:szCs w:val="28"/>
          <w:highlight w:val="none"/>
          <w:lang w:eastAsia="zh-CN"/>
        </w:rPr>
      </w:pPr>
      <w:r>
        <w:rPr>
          <w:rFonts w:ascii="Times New Roman" w:hAnsi="Times New Roman" w:eastAsia="仿宋" w:cs="Times New Roman"/>
          <w:sz w:val="28"/>
          <w:szCs w:val="28"/>
          <w:highlight w:val="none"/>
          <w:lang w:eastAsia="zh-CN"/>
        </w:rPr>
        <w:t xml:space="preserve">本项目采购的数字专线为专网线路，传输介质为光纤，线路带宽</w:t>
      </w:r>
      <w:r>
        <w:rPr>
          <w:rFonts w:ascii="Times New Roman" w:hAnsi="Times New Roman" w:eastAsia="仿宋" w:cs="Times New Roman"/>
          <w:sz w:val="28"/>
          <w:szCs w:val="28"/>
          <w:highlight w:val="none"/>
          <w:lang w:val="en-US" w:eastAsia="zh-CN"/>
        </w:rPr>
        <w:t xml:space="preserve">大部分为</w:t>
      </w:r>
      <w:r>
        <w:rPr>
          <w:rFonts w:ascii="Times New Roman" w:hAnsi="Times New Roman" w:eastAsia="仿宋" w:cs="Times New Roman"/>
          <w:sz w:val="28"/>
          <w:szCs w:val="28"/>
          <w:highlight w:val="none"/>
          <w:lang w:eastAsia="zh-CN"/>
        </w:rPr>
        <w:t xml:space="preserve">50M和100M，覆盖淮安市全部普通国省干线公路沿线路网运行监测设施点位，涉及淮阴区、清江浦区、洪泽区、盱眙县、金湖县、涟水县、淮安区、开发区等多个县区，涵盖G205、G233、G235、G343、G344等20余条国省道及多条省道、县道，总里程超过700公里。专网线路需在30天内完成开通，并与现有线路平台无缝对接，各标段专网线路的接口标准、汇聚方案需完全统一，且需与采购人现有路网监测平台实现系统级对接。</w:t>
      </w:r>
      <w:r>
        <w:rPr>
          <w:rFonts w:ascii="Times New Roman" w:hAnsi="Times New Roman" w:eastAsia="仿宋" w:cs="Times New Roman"/>
          <w:sz w:val="28"/>
          <w:szCs w:val="28"/>
          <w:highlight w:val="none"/>
          <w:lang w:val="en-US" w:eastAsia="zh-CN"/>
        </w:rPr>
        <w:t xml:space="preserve">要求运营商</w:t>
      </w:r>
      <w:r>
        <w:rPr>
          <w:rFonts w:ascii="Times New Roman" w:hAnsi="Times New Roman" w:eastAsia="仿宋" w:cs="Times New Roman"/>
          <w:sz w:val="28"/>
          <w:szCs w:val="28"/>
          <w:highlight w:val="none"/>
          <w:lang w:eastAsia="zh-CN"/>
        </w:rPr>
        <w:t xml:space="preserve">具备成规模网络基础设施，</w:t>
      </w:r>
      <w:r>
        <w:rPr>
          <w:rFonts w:ascii="Times New Roman" w:hAnsi="Times New Roman" w:eastAsia="仿宋" w:cs="Times New Roman"/>
          <w:sz w:val="28"/>
          <w:szCs w:val="28"/>
          <w:highlight w:val="none"/>
          <w:lang w:val="en-US" w:eastAsia="zh-CN"/>
        </w:rPr>
        <w:t xml:space="preserve">且</w:t>
      </w:r>
      <w:r>
        <w:rPr>
          <w:rFonts w:ascii="Times New Roman" w:hAnsi="Times New Roman" w:eastAsia="仿宋" w:cs="Times New Roman"/>
          <w:sz w:val="28"/>
          <w:szCs w:val="28"/>
          <w:highlight w:val="none"/>
          <w:lang w:eastAsia="zh-CN"/>
        </w:rPr>
        <w:t xml:space="preserve">拥有成熟的多业务承载平台和丰富的政企专线组网经验，可保障系统对接的技术可行性和数据一致性；</w:t>
      </w:r>
      <w:r>
        <w:rPr>
          <w:rFonts w:hint="eastAsia" w:ascii="仿宋" w:hAnsi="仿宋" w:eastAsia="仿宋" w:cs="仿宋"/>
          <w:sz w:val="28"/>
          <w:szCs w:val="28"/>
          <w:highlight w:val="none"/>
          <w:lang w:eastAsia="zh-CN"/>
        </w:rPr>
        <w:t xml:space="preserve">同时需提供7×24小时全天候运行维护和应急保障服务，保障路网监测视频数据传输的稳定可靠。本项目为通信网络专线服务采购，需依托覆盖全市的光纤传输网络提供数字专线服务，对服务商的网络覆盖能力、基础设施条件、运维保障体系均有较高门槛，数字专线（专网线路）服务需依托自有光纤传输网络基础设施提供，服务商须持有相应电信业务经营许可资质、</w:t>
      </w:r>
      <w:r>
        <w:rPr>
          <w:rFonts w:hint="eastAsia" w:ascii="仿宋" w:hAnsi="仿宋" w:eastAsia="仿宋" w:cs="仿宋"/>
          <w:sz w:val="28"/>
          <w:szCs w:val="28"/>
          <w:highlight w:val="none"/>
          <w:lang w:val="en-US" w:eastAsia="zh-CN"/>
        </w:rPr>
        <w:t xml:space="preserve">质量管理体系认证、信息技术服务标准符合性证书和信息系统业务安全服务资质</w:t>
      </w:r>
      <w:r>
        <w:rPr>
          <w:rFonts w:hint="eastAsia" w:ascii="仿宋" w:hAnsi="仿宋" w:eastAsia="仿宋" w:cs="仿宋"/>
          <w:sz w:val="28"/>
          <w:szCs w:val="28"/>
          <w:highlight w:val="none"/>
          <w:lang w:eastAsia="zh-CN"/>
        </w:rPr>
        <w:t xml:space="preserve">，并具备覆盖淮安全市域的光纤传输网络和接入网点的建设与运维能力。</w:t>
      </w:r>
      <w:r>
        <w:rPr>
          <w:rFonts w:hint="eastAsia" w:ascii="仿宋" w:hAnsi="仿宋" w:eastAsia="仿宋" w:cs="仿宋"/>
          <w:sz w:val="28"/>
          <w:szCs w:val="28"/>
          <w:highlight w:val="none"/>
          <w:lang w:eastAsia="zh-CN"/>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lang w:eastAsia="zh-CN"/>
        </w:rPr>
        <w:t xml:space="preserve">本</w:t>
      </w:r>
      <w:r>
        <w:rPr>
          <w:rFonts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lang w:eastAsia="zh-CN"/>
        </w:rPr>
        <w:t xml:space="preserve">需采购</w:t>
      </w:r>
      <w:r>
        <w:rPr>
          <w:rFonts w:ascii="Times New Roman" w:hAnsi="Times New Roman" w:eastAsia="仿宋" w:cs="Times New Roman"/>
          <w:sz w:val="28"/>
          <w:szCs w:val="28"/>
          <w:lang w:val="en-US" w:eastAsia="zh-CN"/>
        </w:rPr>
        <w:t xml:space="preserve">404</w:t>
      </w:r>
      <w:r>
        <w:rPr>
          <w:rFonts w:ascii="Times New Roman" w:hAnsi="Times New Roman" w:eastAsia="仿宋" w:cs="Times New Roman"/>
          <w:sz w:val="28"/>
          <w:szCs w:val="28"/>
          <w:lang w:eastAsia="zh-CN"/>
        </w:rPr>
        <w:t xml:space="preserve">条专线</w:t>
      </w: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lang w:eastAsia="zh-CN"/>
        </w:rPr>
        <w:t xml:space="preserve">预算为</w:t>
      </w:r>
      <w:r>
        <w:rPr>
          <w:rFonts w:ascii="Times New Roman" w:hAnsi="Times New Roman" w:eastAsia="仿宋" w:cs="Times New Roman"/>
          <w:sz w:val="28"/>
          <w:szCs w:val="28"/>
          <w:highlight w:val="none"/>
          <w:lang w:val="en-US" w:eastAsia="zh-CN"/>
        </w:rPr>
        <w:t xml:space="preserve">236万元，最高限价为236万元</w:t>
      </w: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hint="eastAsia" w:ascii="仿宋" w:hAnsi="仿宋" w:eastAsia="仿宋" w:cs="仿宋"/>
          <w:sz w:val="28"/>
          <w:szCs w:val="28"/>
          <w:highlight w:val="none"/>
        </w:rPr>
      </w:pPr>
      <w:r>
        <w:rPr>
          <w:rFonts w:ascii="Times New Roman" w:hAnsi="Times New Roman" w:eastAsia="仿宋" w:cs="Times New Roman"/>
          <w:sz w:val="28"/>
          <w:szCs w:val="28"/>
          <w:highlight w:val="none"/>
          <w:lang w:eastAsia="zh-CN"/>
        </w:rPr>
        <w:t xml:space="preserve">服务期</w:t>
      </w:r>
      <w:r>
        <w:rPr>
          <w:rFonts w:ascii="Times New Roman" w:hAnsi="Times New Roman" w:eastAsia="仿宋" w:cs="Times New Roman"/>
          <w:sz w:val="28"/>
          <w:szCs w:val="28"/>
          <w:lang w:val="en-US" w:eastAsia="zh-CN"/>
        </w:rPr>
        <w:t xml:space="preserve">自2027年1月1日起至2028年12月31日止</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r>
      <w:r/>
    </w:p>
    <w:p>
      <w:pPr>
        <w:pStyle w:val="1078"/>
        <w:ind w:firstLine="560"/>
        <w:keepLines w:val="0"/>
        <w:keepNext w:val="0"/>
        <w:pageBreakBefore w:val="0"/>
        <w:spacing w:line="560" w:lineRule="exact"/>
        <w:widowControl w:val="off"/>
        <w:rPr>
          <w:rFonts w:hint="eastAsia" w:ascii="仿宋" w:hAnsi="仿宋" w:eastAsia="仿宋" w:cs="仿宋"/>
          <w:b/>
          <w:bCs/>
          <w:sz w:val="28"/>
          <w:szCs w:val="28"/>
        </w:rPr>
      </w:pPr>
      <w:r>
        <w:rPr>
          <w:rFonts w:hint="eastAsia" w:ascii="仿宋" w:hAnsi="仿宋" w:eastAsia="仿宋"/>
          <w:sz w:val="28"/>
          <w:szCs w:val="28"/>
        </w:rPr>
        <w:t xml:space="preserve">★</w:t>
      </w:r>
      <w:r>
        <w:rPr>
          <w:rFonts w:hint="eastAsia" w:ascii="仿宋" w:hAnsi="仿宋" w:eastAsia="仿宋" w:cs="仿宋"/>
          <w:sz w:val="28"/>
          <w:szCs w:val="28"/>
        </w:rPr>
        <w:t xml:space="preserve">二、技术要求:</w:t>
      </w:r>
      <w:r>
        <w:rPr>
          <w:rFonts w:hint="eastAsia" w:ascii="仿宋" w:hAnsi="仿宋" w:eastAsia="仿宋" w:cs="仿宋"/>
          <w:b/>
          <w:bCs/>
          <w:sz w:val="28"/>
          <w:szCs w:val="28"/>
        </w:rPr>
      </w:r>
      <w:r/>
    </w:p>
    <w:p>
      <w:pPr>
        <w:pStyle w:val="1078"/>
        <w:ind w:firstLine="5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1、专线要求</w:t>
      </w:r>
      <w:r>
        <w:rPr>
          <w:rFonts w:hint="eastAsia" w:ascii="仿宋" w:hAnsi="仿宋" w:eastAsia="仿宋" w:cs="仿宋"/>
          <w:sz w:val="28"/>
          <w:szCs w:val="28"/>
        </w:rPr>
      </w:r>
      <w:r/>
    </w:p>
    <w:p>
      <w:pPr>
        <w:pStyle w:val="1078"/>
        <w:ind w:firstLine="5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传输介质:光纤</w:t>
      </w:r>
      <w:r>
        <w:rPr>
          <w:rFonts w:hint="eastAsia" w:ascii="仿宋" w:hAnsi="仿宋" w:eastAsia="仿宋" w:cs="仿宋"/>
          <w:sz w:val="28"/>
          <w:szCs w:val="28"/>
        </w:rPr>
      </w:r>
      <w:r/>
    </w:p>
    <w:p>
      <w:pPr>
        <w:pStyle w:val="1078"/>
        <w:ind w:firstLine="5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线路类型:专网线路</w:t>
      </w:r>
      <w:r>
        <w:rPr>
          <w:rFonts w:hint="eastAsia" w:ascii="仿宋" w:hAnsi="仿宋" w:eastAsia="仿宋" w:cs="仿宋"/>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带宽:线路带宽为50M</w:t>
      </w:r>
      <w:r>
        <w:rPr>
          <w:rFonts w:ascii="Times New Roman" w:hAnsi="Times New Roman" w:eastAsia="仿宋" w:cs="Times New Roman"/>
          <w:sz w:val="28"/>
          <w:szCs w:val="28"/>
          <w:lang w:eastAsia="zh-CN"/>
        </w:rPr>
        <w:t xml:space="preserve">和</w:t>
      </w:r>
      <w:r>
        <w:rPr>
          <w:rFonts w:ascii="Times New Roman" w:hAnsi="Times New Roman" w:eastAsia="仿宋" w:cs="Times New Roman"/>
          <w:sz w:val="28"/>
          <w:szCs w:val="28"/>
          <w:lang w:val="en-US" w:eastAsia="zh-CN"/>
        </w:rPr>
        <w:t xml:space="preserve">裸纤</w:t>
      </w:r>
      <w:r>
        <w:rPr>
          <w:rFonts w:ascii="Times New Roman" w:hAnsi="Times New Roman" w:eastAsia="仿宋" w:cs="Times New Roman"/>
          <w:sz w:val="28"/>
          <w:szCs w:val="28"/>
        </w:rPr>
        <w:t xml:space="preserve">（详见《淮安市国省干线公路路网运行监测设施点位</w:t>
      </w:r>
      <w:r>
        <w:rPr>
          <w:rFonts w:ascii="Times New Roman" w:hAnsi="Times New Roman" w:eastAsia="仿宋" w:cs="Times New Roman"/>
          <w:sz w:val="28"/>
          <w:szCs w:val="28"/>
          <w:lang w:val="en-US" w:eastAsia="zh-CN"/>
        </w:rPr>
        <w:t xml:space="preserve">一览表1</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数量:共</w:t>
      </w:r>
      <w:r>
        <w:rPr>
          <w:rFonts w:ascii="Times New Roman" w:hAnsi="Times New Roman" w:eastAsia="仿宋" w:cs="Times New Roman"/>
          <w:sz w:val="28"/>
          <w:szCs w:val="28"/>
          <w:lang w:val="en-US" w:eastAsia="zh-CN"/>
        </w:rPr>
        <w:t xml:space="preserve">404</w:t>
      </w:r>
      <w:r>
        <w:rPr>
          <w:rFonts w:ascii="Times New Roman" w:hAnsi="Times New Roman" w:eastAsia="仿宋" w:cs="Times New Roman"/>
          <w:sz w:val="28"/>
          <w:szCs w:val="28"/>
        </w:rPr>
        <w:t xml:space="preserve">条</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汇聚地点:详见《淮安市国省干线公路路网运行监测设施点位一览表</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2、其他技术要求</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2.1、线路指标特性需符合国家标准</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2.2、专网线路两端接口类型为以太网接口，物理接口可选为光口或电口。</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2.3、专网线路必须保证传输网络的低时延，同时保证通信线路的先进性和可靠性。</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2.4、本项目中所涉及到的除光缆之外的应用层（如:路由器）之前的道路沿线落地点接入设备，由成交供应商免费提供。</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2.5、本项目所涉及到的采购方线路接入设备（如路由器）之前所需的硬件设备、线缆，由供应商免费提供。</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2.6、由于本次工程采用一杆两球的设置原则，供应商应保证每个点位提供不少于4个以太网接口，以便通讯传输及后期扩展。</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、开通要求</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开通工期为30天，自合同生效后次日开始计算。（注:开通即网络互联互通）</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hint="eastAsia" w:ascii="仿宋" w:hAnsi="仿宋" w:eastAsia="仿宋" w:cs="仿宋"/>
          <w:sz w:val="28"/>
          <w:szCs w:val="28"/>
          <w:highlight w:val="none"/>
        </w:rPr>
      </w:pP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lang w:val="en-US" w:eastAsia="zh-CN"/>
        </w:rPr>
        <w:t xml:space="preserve">2</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新开通专网线路和现有线路平台无缝对接，采购单位负责系统对接的协调工作，供应商提供系统对接的技术支持，对接产生的费用由供应商来承担并包含在此次投标报价中</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1078"/>
        <w:ind w:firstLine="560"/>
        <w:keepLines w:val="0"/>
        <w:keepNext w:val="0"/>
        <w:pageBreakBefore w:val="0"/>
        <w:spacing w:line="5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4、团队人员要求</w:t>
      </w:r>
      <w:r>
        <w:rPr>
          <w:rFonts w:hint="eastAsia" w:ascii="仿宋" w:hAnsi="仿宋" w:eastAsia="仿宋" w:cs="仿宋"/>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项目经理岗位职责</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（1）全面负责本国省干线专网专线租赁项目合同履约全流程管理，严格落实招标文件及合同全部要求，对项目进度、交付质量、网络安全、服务履约负第一管理责任。</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（2）统筹项目人员资源配置，管理业务联系人、巡检运维人员，明确各岗位职责与网络信息安全职责，落实人员到岗，统筹协调内部网络、资源、运维班组开展点位资源摸排、专线开通工作。</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（3）编制项目实施总体计划，落实合同生效后 30 天完成全部专线互联互通开通的工期目标；管控各外场点位开通进度，识别项目风险点，制定风险处置措施，定期向采购人报送项目周报、月报，及时报告项目重大问题。</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（4）作为与采购人总对接人，负责业务沟通协调，受理采购人线路变更、线路迁移、数量增减等业务需求，牵头组织需求评估、方案落地。</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（5）统筹专线开通验收组织工作，配合甲方完成开通确认、资料交接；负责项目台账管理，做好点位、线路信息、开通记录归档。</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（6）统筹故障处置、重大重保保障工作，发生重大网络故障时统一协调资源，监督故障响应、处置时效满足招标文件 SLA 要求（1 小时响应、故障限时修复、特大故障应急恢复）。</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（7）落实网络与信息安全管理要求，组织开展项目内部安全交底，监督运维作业安全规范执行。</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技术负责人岗位职责</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1）为本专线租赁项目技术总负责人，全面负责项目技术方案审核把关，包括专线组网架构、网络拓扑、带宽分配、点位接入硬件选型、网络隔离、低时延可靠性方案，确保技术方案完全响应招标文件技术参数要求。</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（2）负责外场点位专线接入技术把关，落实每个点位不少于 4 个以太网接口、免费提供路由器之前接入硬件及配套线缆等技术要求；审核设备选型、技术参数，保障外场点位部署可行性。</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（3）牵头负责新专线与采购人现有平台无缝对接技术工作，编制对接技术方案、测试方案，负责对接过程技术问题排查、调试，承担对接全部技术保障。</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（4）负责网络监控、告警推送、巡检技术方案审核；对专线运行指标、月可用率指标做技术管控；指导运维人员开展线路巡检、日志分析、资产管理。</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（5）负责疑难故障技术分析定位，针对专线中断、性能劣化等复杂故障制定技术处置方案；编制特大故障、重大活动重保技术应急预案。</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（6）对专线开通、迁移变更实施进行技术交底，解决实施过程中各类技术难点，审核开通测试报告、巡检报告、运维技术文档。</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lang w:val="en-US" w:eastAsia="zh-CN"/>
        </w:rPr>
        <w:t xml:space="preserve">7</w:t>
      </w:r>
      <w:r>
        <w:rPr>
          <w:rFonts w:ascii="Times New Roman" w:hAnsi="Times New Roman" w:eastAsia="仿宋" w:cs="Times New Roman"/>
          <w:sz w:val="28"/>
          <w:szCs w:val="28"/>
          <w:highlight w:val="none"/>
        </w:rPr>
        <w:t xml:space="preserve">）监督网络安全技术措施落实，确保专网通信符合通信行业安全规范；配合采购人开展技术答疑、技术核查。</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lang w:val="en-US" w:eastAsia="zh-CN"/>
        </w:rPr>
        <w:t xml:space="preserve">8</w:t>
      </w:r>
      <w:r>
        <w:rPr>
          <w:rFonts w:ascii="Times New Roman" w:hAnsi="Times New Roman" w:eastAsia="仿宋" w:cs="Times New Roman"/>
          <w:sz w:val="28"/>
          <w:szCs w:val="28"/>
          <w:highlight w:val="none"/>
        </w:rPr>
        <w:t xml:space="preserve">）配合项目经理完成项目验收技术资料编制，完成其他技术相关工作。</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lang w:val="en-US" w:eastAsia="zh-CN"/>
        </w:rPr>
      </w:pPr>
      <w:r>
        <w:rPr>
          <w:rFonts w:ascii="Times New Roman" w:hAnsi="Times New Roman" w:eastAsia="仿宋" w:cs="Times New Roman"/>
          <w:sz w:val="28"/>
          <w:szCs w:val="28"/>
        </w:rPr>
        <w:t xml:space="preserve">★</w:t>
      </w:r>
      <w:r>
        <w:rPr>
          <w:rFonts w:ascii="Times New Roman" w:hAnsi="Times New Roman" w:eastAsia="仿宋" w:cs="Times New Roman"/>
          <w:sz w:val="28"/>
          <w:szCs w:val="28"/>
          <w:highlight w:val="none"/>
          <w:lang w:val="en-US" w:eastAsia="zh-CN"/>
        </w:rPr>
        <w:t xml:space="preserve">注：投标人参加投标时须针对以上技术要求进行逐项承诺（承诺函格式自拟并加盖投标人电子签章，不承诺作无效投标处理）</w:t>
      </w:r>
      <w:r>
        <w:rPr>
          <w:rFonts w:ascii="Times New Roman" w:hAnsi="Times New Roman" w:eastAsia="仿宋" w:cs="Times New Roman"/>
          <w:sz w:val="28"/>
          <w:szCs w:val="28"/>
          <w:highlight w:val="none"/>
          <w:lang w:val="en-US" w:eastAsia="zh-CN"/>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lang w:val="en-US" w:eastAsia="zh-CN"/>
        </w:rPr>
        <w:t xml:space="preserve">三</w:t>
      </w:r>
      <w:r>
        <w:rPr>
          <w:rFonts w:ascii="Times New Roman" w:hAnsi="Times New Roman" w:eastAsia="仿宋" w:cs="Times New Roman"/>
          <w:sz w:val="28"/>
          <w:szCs w:val="28"/>
        </w:rPr>
        <w:t xml:space="preserve">、服务要求</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bookmarkStart w:id="36" w:name="_Hlk526927679"/>
      <w:r>
        <w:rPr>
          <w:rFonts w:ascii="Times New Roman" w:hAnsi="Times New Roman" w:eastAsia="仿宋" w:cs="Times New Roman"/>
          <w:sz w:val="28"/>
          <w:szCs w:val="28"/>
        </w:rPr>
        <w:t xml:space="preserve">1、配备业务联系人一名，巡检人员四名，接到故障报修后1小时内响应，一般故障3小时内解决，重大故障6小时内解决。有应对重大故障的应急预案，如遇3小时内无法解决的特大故障则启动应急预案，2小时内恢复专网及专线。巡检维修人员负责前端点位设备和线路巡检及维护，每周至少一次，每月四次，提供人工确认后台数据服务、定期巡检（自备车辆）。</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w:t>
      </w:r>
      <w:bookmarkEnd w:id="36"/>
      <w:r>
        <w:rPr>
          <w:rFonts w:ascii="Times New Roman" w:hAnsi="Times New Roman" w:eastAsia="仿宋" w:cs="Times New Roman"/>
          <w:sz w:val="28"/>
          <w:szCs w:val="28"/>
        </w:rPr>
        <w:t xml:space="preserve">专网线路使用需求发生改变时，采购人有权按实际需要减少或暂停使用线路，并按实际租赁条数付费。</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、采购人提出线路迁移申请的，提前三天告知，成交供应商应在15日内迁移到位。</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在排除不可抗力和非供应商责任的情况下，专网线路月可用率（月无故障时间/月总时间）95%以上为合格，采购人全额支付费用；专网线路可用率在85%-95%的，采购人有权酌情扣减月度租赁费；专网线路可用率低于85%的，采购人有权拒付当月租赁费。</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lang w:val="en-US" w:eastAsia="zh-CN"/>
        </w:rPr>
        <w:t xml:space="preserve">四</w:t>
      </w:r>
      <w:r>
        <w:rPr>
          <w:rFonts w:ascii="Times New Roman" w:hAnsi="Times New Roman" w:eastAsia="仿宋" w:cs="Times New Roman"/>
          <w:sz w:val="28"/>
          <w:szCs w:val="28"/>
        </w:rPr>
        <w:t xml:space="preserve">、商务部分</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（一）服务时间:</w:t>
      </w:r>
      <w:r>
        <w:rPr>
          <w:rFonts w:ascii="Times New Roman" w:hAnsi="Times New Roman" w:eastAsia="仿宋" w:cs="Times New Roman"/>
          <w:sz w:val="28"/>
          <w:szCs w:val="28"/>
          <w:lang w:val="en-US" w:eastAsia="zh-CN"/>
        </w:rPr>
        <w:t xml:space="preserve">线路服务时间自2027年1月1日起至2028年12月31日止。</w:t>
      </w:r>
      <w:r>
        <w:rPr>
          <w:rFonts w:ascii="Times New Roman" w:hAnsi="Times New Roman" w:eastAsia="仿宋" w:cs="Times New Roman"/>
          <w:sz w:val="28"/>
          <w:szCs w:val="28"/>
        </w:rPr>
        <w:t xml:space="preserve">服务期满后，经采购人考核满意后可续签。</w:t>
      </w:r>
      <w:r>
        <w:rPr>
          <w:rFonts w:ascii="Times New Roman" w:hAnsi="Times New Roman" w:eastAsia="仿宋" w:cs="Times New Roman"/>
          <w:sz w:val="28"/>
          <w:szCs w:val="28"/>
        </w:rPr>
      </w:r>
      <w:r/>
    </w:p>
    <w:p>
      <w:pPr>
        <w:pStyle w:val="1078"/>
        <w:ind w:firstLine="28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（二）服务地点:采购人指定</w:t>
      </w:r>
      <w:r>
        <w:rPr>
          <w:rFonts w:ascii="Times New Roman" w:hAnsi="Times New Roman" w:eastAsia="仿宋" w:cs="Times New Roman"/>
          <w:sz w:val="28"/>
          <w:szCs w:val="28"/>
        </w:rPr>
      </w:r>
      <w:r/>
    </w:p>
    <w:p>
      <w:pPr>
        <w:pStyle w:val="985"/>
        <w:ind w:firstLine="28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（三）付款方式: </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hint="eastAsia" w:ascii="仿宋" w:hAnsi="仿宋" w:eastAsia="仿宋" w:cs="仿宋"/>
          <w:sz w:val="28"/>
          <w:szCs w:val="28"/>
        </w:rPr>
      </w:pPr>
      <w:r>
        <w:rPr>
          <w:rFonts w:ascii="Times New Roman" w:hAnsi="Times New Roman" w:eastAsia="仿宋" w:cs="Times New Roman"/>
          <w:sz w:val="28"/>
          <w:szCs w:val="28"/>
        </w:rPr>
        <w:t xml:space="preserve">1）合同内线路经甲方书面确认开通后，</w:t>
      </w:r>
      <w:r>
        <w:rPr>
          <w:rFonts w:hint="eastAsia" w:ascii="仿宋" w:hAnsi="仿宋" w:eastAsia="仿宋" w:cs="仿宋"/>
          <w:sz w:val="28"/>
          <w:szCs w:val="28"/>
        </w:rPr>
        <w:t xml:space="preserve">方可进入费用结算，计费时间从甲方书面开通确认后次月1日起计算。</w:t>
      </w:r>
      <w:r>
        <w:rPr>
          <w:rFonts w:hint="eastAsia" w:ascii="仿宋" w:hAnsi="仿宋" w:eastAsia="仿宋" w:cs="仿宋"/>
          <w:sz w:val="28"/>
          <w:szCs w:val="28"/>
        </w:rPr>
      </w:r>
      <w:r/>
    </w:p>
    <w:p>
      <w:pPr>
        <w:pStyle w:val="1078"/>
        <w:ind w:firstLine="5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2）双方按每壹个月为一结算期，按照实际线路条数，乘以线路单价，</w:t>
      </w:r>
      <w:r>
        <w:rPr>
          <w:rFonts w:hint="eastAsia" w:ascii="仿宋" w:hAnsi="仿宋" w:eastAsia="仿宋" w:cs="仿宋"/>
          <w:sz w:val="28"/>
          <w:szCs w:val="28"/>
          <w:lang w:val="en-US" w:eastAsia="zh-CN"/>
        </w:rPr>
        <w:t xml:space="preserve">计算出总价，</w:t>
      </w:r>
      <w:r>
        <w:rPr>
          <w:rFonts w:hint="eastAsia" w:ascii="仿宋" w:hAnsi="仿宋" w:eastAsia="仿宋" w:cs="仿宋"/>
          <w:sz w:val="28"/>
          <w:szCs w:val="28"/>
        </w:rPr>
        <w:t xml:space="preserve">结算上月费用。</w:t>
      </w:r>
      <w:r>
        <w:rPr>
          <w:rFonts w:hint="eastAsia" w:ascii="仿宋" w:hAnsi="仿宋" w:eastAsia="仿宋" w:cs="仿宋"/>
          <w:sz w:val="28"/>
          <w:szCs w:val="28"/>
        </w:rPr>
      </w:r>
      <w:r/>
    </w:p>
    <w:p>
      <w:pPr>
        <w:pStyle w:val="1078"/>
        <w:ind w:firstLine="5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3）每月10号前乙方须将费用明细表报甲方（电子版或纸质），甲方确定支付金额并反馈乙方，乙方根据甲方确认的金额开具发票，甲方收到发票后30日内完成支付。</w:t>
      </w:r>
      <w:r>
        <w:rPr>
          <w:rFonts w:hint="eastAsia" w:ascii="仿宋" w:hAnsi="仿宋" w:eastAsia="仿宋" w:cs="仿宋"/>
          <w:sz w:val="28"/>
          <w:szCs w:val="28"/>
        </w:rPr>
      </w:r>
      <w:r/>
    </w:p>
    <w:p>
      <w:pPr>
        <w:pStyle w:val="985"/>
        <w:keepLines w:val="0"/>
        <w:keepNext w:val="0"/>
        <w:pageBreakBefore w:val="0"/>
        <w:spacing w:line="520" w:lineRule="exact"/>
        <w:rPr>
          <w:rFonts w:hint="eastAsia" w:ascii="仿宋" w:hAnsi="仿宋" w:eastAsia="仿宋"/>
          <w:sz w:val="28"/>
          <w:szCs w:val="28"/>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仿宋" w:hAnsi="仿宋" w:eastAsia="仿宋"/>
          <w:sz w:val="28"/>
          <w:szCs w:val="28"/>
        </w:rPr>
      </w:r>
      <w:r/>
    </w:p>
    <w:p>
      <w:pPr>
        <w:pStyle w:val="1084"/>
        <w:ind w:firstLine="562"/>
        <w:jc w:val="center"/>
        <w:spacing w:line="520" w:lineRule="exact"/>
        <w:rPr>
          <w:rFonts w:hint="eastAsia" w:ascii="仿宋" w:hAnsi="仿宋" w:eastAsia="仿宋"/>
          <w:sz w:val="28"/>
          <w:szCs w:val="28"/>
        </w:rPr>
      </w:pPr>
      <w:r>
        <w:rPr>
          <w:rFonts w:hint="eastAsia" w:ascii="宋体" w:hAnsi="宋体" w:eastAsia="宋体" w:cs="宋体"/>
          <w:b/>
          <w:bCs/>
          <w:sz w:val="28"/>
          <w:szCs w:val="28"/>
        </w:rPr>
        <w:t xml:space="preserve">淮安市国省干线公路路网运行监测设施点位一览表</w:t>
      </w:r>
      <w:r>
        <w:rPr>
          <w:rFonts w:hint="eastAsia" w:ascii="宋体" w:hAnsi="宋体" w:cs="宋体"/>
          <w:b/>
          <w:bCs/>
          <w:sz w:val="28"/>
          <w:szCs w:val="28"/>
          <w:lang w:val="en-US" w:eastAsia="zh-CN"/>
        </w:rPr>
        <w:t xml:space="preserve">1</w:t>
      </w:r>
      <w:r>
        <w:rPr>
          <w:rFonts w:hint="eastAsia" w:ascii="仿宋" w:hAnsi="仿宋" w:eastAsia="仿宋"/>
          <w:sz w:val="28"/>
          <w:szCs w:val="28"/>
        </w:rPr>
      </w:r>
      <w:r/>
    </w:p>
    <w:tbl>
      <w:tblPr>
        <w:tblpPr w:horzAnchor="page" w:tblpX="1748" w:vertAnchor="text" w:tblpY="511" w:leftFromText="180" w:topFromText="0" w:rightFromText="180" w:bottomFromText="0"/>
        <w:tblW w:w="131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2033"/>
        <w:gridCol w:w="6222"/>
        <w:gridCol w:w="1578"/>
        <w:gridCol w:w="1311"/>
        <w:gridCol w:w="1200"/>
      </w:tblGrid>
      <w:tr>
        <w:trPr>
          <w:trHeight w:val="52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framePr w:vAnchor="text" w:hAnchor="page" w:x="1748" w:y="511"/>
              <w:suppressLineNumbers w:val="0"/>
            </w:pPr>
            <w:r>
              <w:rPr>
                <w:rStyle w:val="1079"/>
                <w:rFonts w:ascii="Times New Roman" w:hAnsi="Times New Roman" w:eastAsia="宋体" w:cs="Times New Roman"/>
                <w:sz w:val="20"/>
                <w:szCs w:val="20"/>
                <w:lang w:val="en-US" w:eastAsia="zh-CN" w:bidi="ar"/>
              </w:rPr>
              <w:t xml:space="preserve">序号</w:t>
            </w:r>
            <w:r>
              <w:rPr>
                <w:rFonts w:ascii="Times New Roman" w:hAnsi="Times New Roman" w:eastAsia="宋体" w:cs="Times New Roman"/>
                <w:b/>
                <w:bCs/>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framePr w:vAnchor="text" w:hAnchor="page" w:x="1748" w:y="511"/>
              <w:suppressLineNumbers w:val="0"/>
            </w:pPr>
            <w:r>
              <w:rPr>
                <w:rStyle w:val="1079"/>
                <w:rFonts w:ascii="Times New Roman" w:hAnsi="Times New Roman" w:eastAsia="宋体" w:cs="Times New Roman"/>
                <w:sz w:val="20"/>
                <w:szCs w:val="20"/>
                <w:lang w:val="en-US" w:eastAsia="zh-CN" w:bidi="ar"/>
              </w:rPr>
              <w:t xml:space="preserve">线路</w:t>
            </w:r>
            <w:r>
              <w:rPr>
                <w:rFonts w:ascii="Times New Roman" w:hAnsi="Times New Roman" w:eastAsia="宋体" w:cs="Times New Roman"/>
                <w:b/>
                <w:bCs/>
                <w:i w:val="0"/>
                <w:iCs w:val="0"/>
                <w:color w:val="000000"/>
                <w:sz w:val="20"/>
                <w:szCs w:val="20"/>
                <w:u w:val="none"/>
              </w:rPr>
            </w:r>
            <w:r/>
          </w:p>
        </w:tc>
        <w:tc>
          <w:tcPr>
            <w:tcW w:w="6222" w:type="dxa"/>
            <w:vAlign w:val="center"/>
            <w:textDirection w:val="lrTb"/>
            <w:noWrap/>
          </w:tcPr>
          <w:p>
            <w:pPr>
              <w:pStyle w:val="985"/>
              <w:jc w:val="center"/>
              <w:keepLines w:val="0"/>
              <w:keepNext w:val="0"/>
              <w:widowControl/>
              <w:rPr>
                <w:rFonts w:ascii="Times New Roman" w:hAnsi="Times New Roman" w:eastAsia="宋体" w:cs="Times New Roman"/>
                <w:b/>
                <w:bCs/>
                <w:i w:val="0"/>
                <w:iCs w:val="0"/>
                <w:color w:val="000000"/>
                <w:sz w:val="20"/>
                <w:szCs w:val="20"/>
                <w:u w:val="none"/>
              </w:rPr>
              <w:framePr w:vAnchor="text" w:hAnchor="page" w:x="1748" w:y="511"/>
              <w:suppressLineNumbers w:val="0"/>
            </w:pPr>
            <w:r>
              <w:rPr>
                <w:rFonts w:ascii="Times New Roman" w:hAnsi="Times New Roman" w:eastAsia="宋体" w:cs="Times New Roman"/>
                <w:b/>
                <w:bCs/>
                <w:i w:val="0"/>
                <w:iCs w:val="0"/>
                <w:color w:val="000000"/>
                <w:sz w:val="20"/>
                <w:szCs w:val="20"/>
                <w:u w:val="none"/>
                <w:lang w:val="en-US" w:eastAsia="zh-CN" w:bidi="ar"/>
              </w:rPr>
              <w:t xml:space="preserve">信息科点位名称</w:t>
            </w:r>
            <w:r>
              <w:rPr>
                <w:rFonts w:ascii="Times New Roman" w:hAnsi="Times New Roman" w:eastAsia="宋体" w:cs="Times New Roman"/>
                <w:b/>
                <w:bCs/>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framePr w:vAnchor="text" w:hAnchor="page" w:x="1748" w:y="511"/>
              <w:suppressLineNumbers w:val="0"/>
            </w:pPr>
            <w:r>
              <w:rPr>
                <w:rStyle w:val="1079"/>
                <w:rFonts w:ascii="Times New Roman" w:hAnsi="Times New Roman" w:eastAsia="宋体" w:cs="Times New Roman"/>
                <w:sz w:val="20"/>
                <w:szCs w:val="20"/>
                <w:lang w:val="en-US" w:eastAsia="zh-CN" w:bidi="ar"/>
              </w:rPr>
              <w:t xml:space="preserve">所属县区</w:t>
            </w:r>
            <w:r>
              <w:rPr>
                <w:rFonts w:ascii="Times New Roman" w:hAnsi="Times New Roman" w:eastAsia="宋体" w:cs="Times New Roman"/>
                <w:b/>
                <w:bCs/>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framePr w:vAnchor="text" w:hAnchor="page" w:x="1748" w:y="511"/>
              <w:suppressLineNumbers w:val="0"/>
            </w:pPr>
            <w:r>
              <w:rPr>
                <w:rStyle w:val="1079"/>
                <w:rFonts w:ascii="Times New Roman" w:hAnsi="Times New Roman" w:eastAsia="宋体" w:cs="Times New Roman"/>
                <w:sz w:val="20"/>
                <w:szCs w:val="20"/>
                <w:lang w:val="en-US" w:eastAsia="zh-CN" w:bidi="ar"/>
              </w:rPr>
              <w:t xml:space="preserve">带宽</w:t>
            </w:r>
            <w:r>
              <w:rPr>
                <w:rFonts w:ascii="Times New Roman" w:hAnsi="Times New Roman" w:eastAsia="宋体" w:cs="Times New Roman"/>
                <w:b/>
                <w:bCs/>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framePr w:vAnchor="text" w:hAnchor="page" w:x="1748" w:y="511"/>
              <w:suppressLineNumbers w:val="0"/>
            </w:pPr>
            <w:r>
              <w:rPr>
                <w:rStyle w:val="1079"/>
                <w:rFonts w:ascii="Times New Roman" w:hAnsi="Times New Roman" w:eastAsia="宋体" w:cs="Times New Roman"/>
                <w:sz w:val="20"/>
                <w:szCs w:val="20"/>
                <w:lang w:val="en-US" w:eastAsia="zh-CN" w:bidi="ar"/>
              </w:rPr>
              <w:t xml:space="preserve">租期（月）</w:t>
            </w:r>
            <w:r>
              <w:rPr>
                <w:rFonts w:ascii="Times New Roman" w:hAnsi="Times New Roman" w:eastAsia="宋体" w:cs="Times New Roman"/>
                <w:b/>
                <w:bCs/>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0"/>
                <w:rFonts w:ascii="Times New Roman" w:hAnsi="Times New Roman" w:eastAsia="宋体" w:cs="Times New Roman"/>
                <w:sz w:val="20"/>
                <w:szCs w:val="20"/>
                <w:lang w:val="en-US" w:eastAsia="zh-CN" w:bidi="ar"/>
              </w:rPr>
              <w:t xml:space="preserve">G205</w:t>
            </w:r>
            <w:r>
              <w:rPr>
                <w:rStyle w:val="1081"/>
                <w:rFonts w:ascii="Times New Roman" w:hAnsi="Times New Roman" w:eastAsia="宋体" w:cs="Times New Roman"/>
                <w:sz w:val="20"/>
                <w:szCs w:val="20"/>
                <w:lang w:val="en-US" w:eastAsia="zh-CN" w:bidi="ar"/>
              </w:rPr>
              <w:t xml:space="preserve">山深线</w:t>
            </w:r>
            <w:r>
              <w:rPr>
                <w:rStyle w:val="1080"/>
                <w:rFonts w:ascii="Times New Roman" w:hAnsi="Times New Roman" w:eastAsia="宋体" w:cs="Times New Roman"/>
                <w:sz w:val="20"/>
                <w:szCs w:val="20"/>
                <w:lang w:val="en-US" w:eastAsia="zh-CN" w:bidi="ar"/>
              </w:rPr>
              <w:t xml:space="preserve">-</w:t>
            </w:r>
            <w:r>
              <w:rPr>
                <w:rStyle w:val="1081"/>
                <w:rFonts w:ascii="Times New Roman" w:hAnsi="Times New Roman" w:eastAsia="宋体" w:cs="Times New Roman"/>
                <w:sz w:val="20"/>
                <w:szCs w:val="20"/>
                <w:lang w:val="en-US" w:eastAsia="zh-CN" w:bidi="ar"/>
              </w:rPr>
              <w:t xml:space="preserve">六塘河大桥</w:t>
            </w:r>
            <w:r>
              <w:rPr>
                <w:rStyle w:val="1080"/>
                <w:rFonts w:ascii="Times New Roman" w:hAnsi="Times New Roman" w:eastAsia="宋体" w:cs="Times New Roman"/>
                <w:sz w:val="20"/>
                <w:szCs w:val="20"/>
                <w:lang w:val="en-US" w:eastAsia="zh-CN" w:bidi="ar"/>
              </w:rPr>
              <w:t xml:space="preserve">K1091+475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G205山深线-徐溜镇谷庄K1092+497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G205山深线-徐溜镇倪园头村K1093+690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G205山深线-徐溜镇于庄K1095+200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G205山深线-七支路南侧弯道K1097+025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G205山深线-徐溜镇入口北K1098+400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G205山深线-X302交叉口K1101+170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G205山深线-徐溜镇茶棚村K1102+565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G205山深线-涧桥中桥北侧K1104+518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G205山深线-五里北侧K1106+715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G205山深线-五里南侧弯道K1108+580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G205山深线-五里交调站K1109+860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G205山深线-丁集镇石茶摊K1111+800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G205山深线-丁集镇丁集村K1113+305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G205山深线-丁集镇劳动村K1114+120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G205山深线-丁集立交北K1114+767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G205山深线-丁集立交南K1115+400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G205山深线-丁集镇农庄村K1116+370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G205山深线-老G205交叉口南K1117+238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G205山深线-王家营宋庄K1119+000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G205山深线-杨庄交调站K1119+300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G205山深线-王家营崔庄K1119+932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G205山深线-长江西路交叉南侧弯道K1121+490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G205山深线-王家营长安村K1122+526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G205山深线-黄河路交叉口南K1125+015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G205山深线-古黄河大桥K1125+733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G205山深线-淮海西路交叉口南K1126+511</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G205山深线-京杭运河大桥北K1128+713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G205山深线-京杭运河大桥南K1130+160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G205山深线-明远路交叉口K1131+588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G205山深线-城南交调站K1132+265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G205山深线-西安路交叉口东北角K1134+850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G205山深线-西安路交叉口西南角K1134+874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G205山深线-武墩街道办事处K1136+600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G205山深线-宁连公路交叉口K1138+370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G205山深线-和平交调站K1145+000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G205山深线-灌溉总渠南K1151+204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G205山深线-黄集交调站K1155+900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G205山深线-黄集街道K1157+033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G205山深线-黄集街道孙庄村K1159+700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G205山深线-S348交叉口北K1164+977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G205山深线-东双沟镇K1175+288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G205山深线-东双沟交调站K1176+702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G205山深线-三河赵集村K1181+878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G205山深线-三河大桥K1188+433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G205山深线-观音寺交调站K1192+190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G205山深线-汪木排河大桥南K1195+460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G205山深线-金湖立交K1197+016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G205山深线-马坝镇刘长庄K1200+130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G205山深线-黄花塘镇杨湖K1208+680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G205山深线-苏皖交界K1216+347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G233克黄线-肖八线交叉口南K1411+920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G233克黄线-高沟镇顺河村K1413+390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G233克黄线-高沟交调站K1414+800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G233克黄线-高沟桥K1416+345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G233克黄线-高沟镇大胡窑 K1417+200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G233克黄线-S326交叉口南K1418+740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G233克黄线-高沟镇三口村 K1420+488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G233克黄线-三口桥北K1422+123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G233克黄线-前进北侧K1423+430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G233克黄线-前进南侧K1425+400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G233克黄线-岔庙K1426+900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G233克黄线-梁岔镇前潘庄K1428+432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G233克黄线-梁岔镇前庄K1430+280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G233克黄线-梁岔镇黄安村K1431+500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G233克黄线-梁岔镇河西庄K1433+342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G233克黄线-梁岔镇周徐组K1435+500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G233克黄线-成集交调站K1437+106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G233克黄线-涟麻路交叉口K1438+723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G233克黄线-成集镇左庄K1440+902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G233克黄线-老郑线交叉南K1442+503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G233克黄线-老西线交叉北K1443+720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G233克黄线-老张集工业园K1445+640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G233克黄线-京沪高速上跨桥北K1446+750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G233克黄线-淮高镇小楼庄K1449+700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G233克黄线-淮高镇大兴村K1451+588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G233克黄线-棉花庄交调站K1454+700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G233克黄线-棉花桥K1456+625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G233克黄线-淮高镇鑫园村K1457+493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G233克黄线-G343交叉口K1459+300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G233克黄线-S503交叉口K1461+200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G233克黄线-南昌路交叉口K1463+103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3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G233克黄线-S247交叉口K1464+000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G233克黄线-广州路交叉口K1465+100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G233克黄线-飞耀路交叉口K1466+200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G233克黄线-新渡交调站K1467+493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G233克黄线-康马路交叉口东K1468+456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G233克黄线-盐河大桥西北K1471+000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G233克黄线-盐河大桥北侧K1471+100（桥下监控）</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G233克黄线-盐河大桥南侧K1471+950（桥下监控）</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G233克黄线-盐河大桥南K1472+383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G233克黄线-古黄河大桥东南K1473+378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G233克黄线-南马厂陈小荡村K1475+407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G233克黄线-经济开发区交调点K1476+500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G233克黄线-迎宾大道高架立交北侧K1477+406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 克黄线-景观河中桥K1480+610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G233克黄线-东站高架出入口南K1481+996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G233克黄线-新长铁路大桥北侧K1482+550（桥下监控）</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G233克黄线-新长铁路大桥北侧K1482+800（桥下监控）</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G233克黄线-新长铁路大桥K1483+152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G233克黄线-海棠大道交叉口K1485+088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G233克黄线-苏北灌溉总渠大桥北K1486+788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G233克黄线-苏北灌溉总渠大桥上中间带K1487+690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G233克黄线-S328交叉南K1488+716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G233克黄线-石塘镇张兴创业园K1490+675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G233克黄线-石塘镇胡庄K1492+500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G233克黄线-跨宿淮盐桥北K1494+720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G233克黄线-跨宿淮盐桥南K1495+650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G233克黄线-平桥镇大后村K1497+095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G233克黄线-上河交调站K1498+457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G233克黄线-平桥镇铁匠庄K1499+287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G233克黄线-平桥镇谭庄K1500+900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G233克黄线-平桥镇王沟村K1502+200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G233克黄线-平桥镇东风村K1503+400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G233克黄线-淮扬交界K1505+450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G235新海线-管仲交调站K172+643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G235新海线-团结河桥K179+200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G235新海线-G344交叉南K181+400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G235新海线-溜子河大桥K185+520-3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G235新海线-淮河三桥北K188+900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G235新海线-古桑街道洪郢K193+160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G235新海线-古桑街道马场组K194+700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G235新海线-S248叉口西K196+190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G235新海线-黄营桥K198+250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G235新海线-桂五镇星星村K202+353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G235新海线-四十里桥K208+740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G235新海线-天泉湖交调站K215+460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G235新海线-王店桥K217+050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G235新海线-S601交叉口K218+098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G235新海线-罗筐坝桥K220+300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G235新海线-范墩桥K222+100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G235新海线-苏皖省界K222+987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G343大卢线-宁九路交叉弯道处K227+000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G343大卢线-丁刘路交叉弯道处K228+955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G343大卢线-丁集立交东K229+630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G343大卢线-丁集立交桥上K230+210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G343大卢线-丁集立交匝道K230+950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G343大卢线-渔沟交调站K233+012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G343大卢线-渔沟镇卢华村K233+866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G343大卢线-淮沭新河大桥东K235+145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G343大卢线-淮沭新河大桥中K236+691</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G343大卢线-淮沭新河大桥西K237+707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G343大卢线-渔沟镇渔蒋村K238+270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G343大卢线-S429交叉口西K240+270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G343大卢线-渔沟镇赵庄村K241+400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G343大卢线-渔沟镇陈庄村K242+438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G343大卢线-渔沟镇韩圩村K244+711</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G343大卢线-淮宿交界K246+100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G344东灵线-银涂镇宝应湖村K171+800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G344东灵线-银涂镇大汕子K174+000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G344东灵线-惠民路交叉口K181+805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G344东灵线-银涂镇银集K183+400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G344东灵线-银集交调站K184+500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G344东灵线-银涂镇双河K186+500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G344东灵线-银涂镇刘圩K189+400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G344东灵线-银涂镇沈庄K191+900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G344东灵线-金湖大桥西K196+875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G344东灵线-黎城街道双坝K199+550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G344东灵线-黎城交调站K203+002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G344东灵线-戴楼街道韦庄K205+600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G344东灵线-戴楼街道王庄K207+600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G344东灵线-戴楼交调站K211+216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G344东灵线-戴楼街道衡庄K214+100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G344东灵线-戴楼街道崔庄西路K217+000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G344东灵线-戴楼街道南行K219+850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G344东灵线-马坝镇马庵村K231+100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G344东灵线-发展大道交叉口东K232+454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G344东灵线-马坝镇涧庄K235+100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G344东灵线-马坝镇三塘K237+150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G344东灵线-穆店镇小庙庄K243+100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G344东灵线维桥交调站-K245+685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G344东灵线-盱城交调站K256+800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S235灌和线-高沟镇灰墩万庄K18+350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S235灌和线-尚庄交调站K19+000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S235灌和线-高沟镇灰墩村K21+867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S235灌和线-S326交叉口南K23+960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S235灌和线-九支排涝河桥K26+117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S235灌和线-红窑交调站K30+175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S235灌和线-红窑镇东园村K34+600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S235灌和线-红窑镇邵庄村K37+003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S235灌和线-S346交叉口K42+938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S235灌和线-朱码街道樊卜村K45+300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S235灌和线-北环路交叉口K47+745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S235灌和线-钦工镇陈庄村K62+643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S235灌和线-钦工镇后姚村K65+807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S235灌和线-钦工大桥K70+179</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S235灌和线-钦工交调站K72+326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S247淮六线-王兴交调站K2+000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S247淮六线-G233交叉口K4+530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S247淮六线-盐河大桥K6+900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S247淮六线-跨新长铁路大桥K13+450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S247淮六线-灌溉总渠北K34+450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S247淮六线-灌溉总渠大桥上K35+300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S247淮六线-灌溉总渠大桥南K36+280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S247淮六线-范集镇南墩子庄K37+495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S247淮六线-S350北交叉口K40+982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S247淮六线-范集镇张码交调站K42+495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S247淮六线-范集镇小戴庄K44+788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S247淮六线-S350南交叉口K46+680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S247淮六线-岔河镇荡朱村K48+100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S247淮六线-S348交叉口北侧K50+050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S247淮六线-白马湖景区交调站K54+600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S247淮六线-岔河镇杨庄K55+600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S247淮六线-岔河镇桃园村K58+000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S247淮六线-吕良镇朱庄K62+300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S247淮六线-洪金北干渠桥K63+430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S247淮六线-吕良镇于圩村K65+050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S247淮六线-与X205吕良线交叉K67+272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S247淮六线-吕良镇陈庄K68+200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S247淮六线-金北街道王河K71+698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S247淮六线-X203交叉南K73+739</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S247淮六线-金北交调站K73+784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S247淮六线-淮金大桥上K76+005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S247淮六线-淮河西路交叉西北K79+900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S247淮六线-建设西路交叉口K81+257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S247淮六线-戴楼街道乘凉树K86+740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S247淮六线-戴楼街道罗庄K90+940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S326陈沭线-灰墩韩庄K84+130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S326陈沭线-灰墩大胡庄K86+111</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S326陈沭线-高沟交调站K88+600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S326陈沭线-高沟镇刘吴庄K90+355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S326陈沭线-高沟镇高沟中学K92+510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S326陈沭线-高沟镇今世缘广 场K94+561</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S326陈沭线-高沟镇西李庄K96+400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S326陈沭线-南六塘河大桥K98+335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S326陈沭线-兴庄交调站K98+360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S326陈沭线-Y251交叉口K100+000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S326陈沭线-北六塘河大桥南K100+495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S327滨淮线-盐城界K72+500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S327滨淮线-石湖镇王七庄K73+604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S327滨淮线-石湖交调站K79+220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S327滨淮线-S329交叉口K80+595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S327滨淮线-唐集镇周程村K84+454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S327滨淮线-X105交叉口K87+980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S327滨淮线-一帆河桥K93+700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S327滨淮线-大东镇小王庄K96+740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S327滨淮线-大东镇陈大庄村K100+204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S327滨淮线-X306交叉口K103+100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S327滨淮线-李集交调站K104+997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S327滨淮线-S346交叉口K107+230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S327滨淮线-涟城街道牌坊社区K109+835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S327滨淮线-机场路交叉口K120+546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S327滨淮线-保滩街道肖渡村K122+280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S327滨淮线-兴保路交叉口K125+178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S327滨淮线-保滩街道洪荡村K128+218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S327滨淮线-南马厂大道交叉南侧K130+578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S327滨淮线-保滩交调站K132+322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S327滨淮线-福兴建材城西南K133+678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S327滨淮线-淮涟村委会中间带K134+820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S327滨淮线-古黄河大桥K135+843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S328扁淮线-淮安阜宁界K97+466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9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S328扁淮线-复兴交调站K98+200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S328扁淮线-振兴路交叉口K101+796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S328扁淮线-复兴镇墩郎村K105+707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S328扁淮线-博里镇渔市洞K109+308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S328扁淮线-博里镇秦桥K113+367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S328扁淮线-朱桥交调站K117+145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S328扁淮线-新长铁路桥交叉口K119+600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S328扁淮线-京沪高速上跨桥K123+800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S328扁淮线-G233互通枢纽K124+588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S328扁淮线-石塘镇靖庄K126+425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S328扁淮线-入海水道桥交叉口K130+480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S328扁淮线-石塘镇曙光路西侧弯道K130+646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S328扁淮线-淮江公路交叉口K131+982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S328扁淮线-运南闸路口K132+226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S328扁淮线-漕运镇三堡K133+526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S328扁淮线-新河大桥K135+176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S328扁淮线-漕运镇西朱洼村K137+544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S328扁淮线-林集交调站K139+942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S328扁淮线-漕运镇腾码村K141+973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S328扁淮线-漕运镇林集K145+050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S329射沭涟线-唐集镇汤码村K102+218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S329射沭涟线-唐集交调站K103+522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前锋镇墩塘</w:t>
            </w:r>
            <w:r>
              <w:rPr>
                <w:rStyle w:val="1083"/>
                <w:rFonts w:ascii="Times New Roman" w:hAnsi="Times New Roman" w:eastAsia="宋体" w:cs="Times New Roman"/>
                <w:sz w:val="20"/>
                <w:szCs w:val="20"/>
                <w:lang w:val="en-US" w:eastAsia="zh-CN" w:bidi="ar"/>
              </w:rPr>
              <w:t xml:space="preserve">K154+950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郑圩交调</w:t>
            </w:r>
            <w:r>
              <w:rPr>
                <w:rStyle w:val="1083"/>
                <w:rFonts w:ascii="Times New Roman" w:hAnsi="Times New Roman" w:eastAsia="宋体" w:cs="Times New Roman"/>
                <w:sz w:val="20"/>
                <w:szCs w:val="20"/>
                <w:lang w:val="en-US" w:eastAsia="zh-CN" w:bidi="ar"/>
              </w:rPr>
              <w:t xml:space="preserve">K155+105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前锋镇邱金沟村</w:t>
            </w:r>
            <w:r>
              <w:rPr>
                <w:rStyle w:val="1083"/>
                <w:rFonts w:ascii="Times New Roman" w:hAnsi="Times New Roman" w:eastAsia="宋体" w:cs="Times New Roman"/>
                <w:sz w:val="20"/>
                <w:szCs w:val="20"/>
                <w:lang w:val="en-US" w:eastAsia="zh-CN" w:bidi="ar"/>
              </w:rPr>
              <w:t xml:space="preserve">K162+600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S331丹宝明线-穆店镇桥南村G344叉口南K228+110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S331丹宝明线-穆店镇良种场综合K229+640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S331丹宝明线-穆店镇车棚村车东K231+100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S331丹宝明线-穆店镇车棚村良湖新扬高速下穿西南K232+600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S331丹宝明线-穆店镇陈小营北K234+100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S331丹宝明线-穆店镇团结小区新副东北K235+580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S331丹宝明线-古桑街道陶吕营东方大道叉口东K237+050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S331丹宝明线-古桑街道乐园村K238+610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S331丹宝明线-古桑街道关帝村办公室K240+050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S331丹宝明线-古桑街道董湖村大郢组K241+540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古桑乡磨涧村</w:t>
            </w:r>
            <w:r>
              <w:rPr>
                <w:rStyle w:val="1083"/>
                <w:rFonts w:ascii="Times New Roman" w:hAnsi="Times New Roman" w:eastAsia="宋体" w:cs="Times New Roman"/>
                <w:sz w:val="20"/>
                <w:szCs w:val="20"/>
                <w:lang w:val="en-US" w:eastAsia="zh-CN" w:bidi="ar"/>
              </w:rPr>
              <w:t xml:space="preserve">K250+367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河桥镇涧东村</w:t>
            </w:r>
            <w:r>
              <w:rPr>
                <w:rStyle w:val="1083"/>
                <w:rFonts w:ascii="Times New Roman" w:hAnsi="Times New Roman" w:eastAsia="宋体" w:cs="Times New Roman"/>
                <w:sz w:val="20"/>
                <w:szCs w:val="20"/>
                <w:lang w:val="en-US" w:eastAsia="zh-CN" w:bidi="ar"/>
              </w:rPr>
              <w:t xml:space="preserve">K253+421</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河桥镇黄龙村</w:t>
            </w:r>
            <w:r>
              <w:rPr>
                <w:rStyle w:val="1083"/>
                <w:rFonts w:ascii="Times New Roman" w:hAnsi="Times New Roman" w:eastAsia="宋体" w:cs="Times New Roman"/>
                <w:sz w:val="20"/>
                <w:szCs w:val="20"/>
                <w:lang w:val="en-US" w:eastAsia="zh-CN" w:bidi="ar"/>
              </w:rPr>
              <w:t xml:space="preserve">K254+502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河桥镇茅草滩</w:t>
            </w:r>
            <w:r>
              <w:rPr>
                <w:rStyle w:val="1083"/>
                <w:rFonts w:ascii="Times New Roman" w:hAnsi="Times New Roman" w:eastAsia="宋体" w:cs="Times New Roman"/>
                <w:sz w:val="20"/>
                <w:szCs w:val="20"/>
                <w:lang w:val="en-US" w:eastAsia="zh-CN" w:bidi="ar"/>
              </w:rPr>
              <w:t xml:space="preserve">K255+620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河桥交调点</w:t>
            </w:r>
            <w:r>
              <w:rPr>
                <w:rStyle w:val="1083"/>
                <w:rFonts w:ascii="Times New Roman" w:hAnsi="Times New Roman" w:eastAsia="宋体" w:cs="Times New Roman"/>
                <w:sz w:val="20"/>
                <w:szCs w:val="20"/>
                <w:lang w:val="en-US" w:eastAsia="zh-CN" w:bidi="ar"/>
              </w:rPr>
              <w:t xml:space="preserve">K258+763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9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河桥镇王庄村</w:t>
            </w:r>
            <w:r>
              <w:rPr>
                <w:rStyle w:val="1083"/>
                <w:rFonts w:ascii="Times New Roman" w:hAnsi="Times New Roman" w:eastAsia="宋体" w:cs="Times New Roman"/>
                <w:sz w:val="20"/>
                <w:szCs w:val="20"/>
                <w:lang w:val="en-US" w:eastAsia="zh-CN" w:bidi="ar"/>
              </w:rPr>
              <w:t xml:space="preserve">K262+620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S346涟宿线-朱码街道支河村K0+696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S346涟宿线-X104交叉口K2+357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S346涟宿线-盐河大桥东K3+710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S346涟宿线-盐河大桥西K4+798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S346涟宿线-朱码交调站K5+000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S348</w:t>
            </w:r>
            <w:r>
              <w:rPr>
                <w:rStyle w:val="1082"/>
                <w:rFonts w:ascii="Times New Roman" w:hAnsi="Times New Roman" w:eastAsia="宋体" w:cs="Times New Roman"/>
                <w:sz w:val="20"/>
                <w:szCs w:val="20"/>
                <w:lang w:val="en-US" w:eastAsia="zh-CN" w:bidi="ar"/>
              </w:rPr>
              <w:t xml:space="preserve">临洪线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朱坝交调站</w:t>
            </w:r>
            <w:r>
              <w:rPr>
                <w:rStyle w:val="1083"/>
                <w:rFonts w:ascii="Times New Roman" w:hAnsi="Times New Roman" w:eastAsia="宋体" w:cs="Times New Roman"/>
                <w:sz w:val="20"/>
                <w:szCs w:val="20"/>
                <w:lang w:val="en-US" w:eastAsia="zh-CN" w:bidi="ar"/>
              </w:rPr>
              <w:t xml:space="preserve">K191+670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S348</w:t>
            </w:r>
            <w:r>
              <w:rPr>
                <w:rStyle w:val="1082"/>
                <w:rFonts w:ascii="Times New Roman" w:hAnsi="Times New Roman" w:eastAsia="宋体" w:cs="Times New Roman"/>
                <w:sz w:val="20"/>
                <w:szCs w:val="20"/>
                <w:lang w:val="en-US" w:eastAsia="zh-CN" w:bidi="ar"/>
              </w:rPr>
              <w:t xml:space="preserve">临洪线</w:t>
            </w: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与</w:t>
            </w:r>
            <w:r>
              <w:rPr>
                <w:rStyle w:val="1083"/>
                <w:rFonts w:ascii="Times New Roman" w:hAnsi="Times New Roman" w:eastAsia="宋体" w:cs="Times New Roman"/>
                <w:sz w:val="20"/>
                <w:szCs w:val="20"/>
                <w:lang w:val="en-US" w:eastAsia="zh-CN" w:bidi="ar"/>
              </w:rPr>
              <w:t xml:space="preserve">S348</w:t>
            </w:r>
            <w:r>
              <w:rPr>
                <w:rStyle w:val="1082"/>
                <w:rFonts w:ascii="Times New Roman" w:hAnsi="Times New Roman" w:eastAsia="宋体" w:cs="Times New Roman"/>
                <w:sz w:val="20"/>
                <w:szCs w:val="20"/>
                <w:lang w:val="en-US" w:eastAsia="zh-CN" w:bidi="ar"/>
              </w:rPr>
              <w:t xml:space="preserve">交叉</w:t>
            </w:r>
            <w:r>
              <w:rPr>
                <w:rStyle w:val="1083"/>
                <w:rFonts w:ascii="Times New Roman" w:hAnsi="Times New Roman" w:eastAsia="宋体" w:cs="Times New Roman"/>
                <w:sz w:val="20"/>
                <w:szCs w:val="20"/>
                <w:lang w:val="en-US" w:eastAsia="zh-CN" w:bidi="ar"/>
              </w:rPr>
              <w:t xml:space="preserve">K195+629</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宝洪线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林集镇白马湖社区</w:t>
            </w:r>
            <w:r>
              <w:rPr>
                <w:rStyle w:val="1083"/>
                <w:rFonts w:ascii="Times New Roman" w:hAnsi="Times New Roman" w:eastAsia="宋体" w:cs="Times New Roman"/>
                <w:sz w:val="20"/>
                <w:szCs w:val="20"/>
                <w:lang w:val="en-US" w:eastAsia="zh-CN" w:bidi="ar"/>
              </w:rPr>
              <w:t xml:space="preserve">K18+392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宝洪线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白马湖农场</w:t>
            </w:r>
            <w:r>
              <w:rPr>
                <w:rStyle w:val="1083"/>
                <w:rFonts w:ascii="Times New Roman" w:hAnsi="Times New Roman" w:eastAsia="宋体" w:cs="Times New Roman"/>
                <w:sz w:val="20"/>
                <w:szCs w:val="20"/>
                <w:lang w:val="en-US" w:eastAsia="zh-CN" w:bidi="ar"/>
              </w:rPr>
              <w:t xml:space="preserve">K21+016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宝洪线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黄集镇白马湖景区</w:t>
            </w:r>
            <w:r>
              <w:rPr>
                <w:rStyle w:val="1083"/>
                <w:rFonts w:ascii="Times New Roman" w:hAnsi="Times New Roman" w:eastAsia="宋体" w:cs="Times New Roman"/>
                <w:sz w:val="20"/>
                <w:szCs w:val="20"/>
                <w:lang w:val="en-US" w:eastAsia="zh-CN" w:bidi="ar"/>
              </w:rPr>
              <w:t xml:space="preserve">K31+560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宝洪线</w:t>
            </w: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与</w:t>
            </w:r>
            <w:r>
              <w:rPr>
                <w:rStyle w:val="1083"/>
                <w:rFonts w:ascii="Times New Roman" w:hAnsi="Times New Roman" w:eastAsia="宋体" w:cs="Times New Roman"/>
                <w:sz w:val="20"/>
                <w:szCs w:val="20"/>
                <w:lang w:val="en-US" w:eastAsia="zh-CN" w:bidi="ar"/>
              </w:rPr>
              <w:t xml:space="preserve">X201</w:t>
            </w:r>
            <w:r>
              <w:rPr>
                <w:rStyle w:val="1082"/>
                <w:rFonts w:ascii="Times New Roman" w:hAnsi="Times New Roman" w:eastAsia="宋体" w:cs="Times New Roman"/>
                <w:sz w:val="20"/>
                <w:szCs w:val="20"/>
                <w:lang w:val="en-US" w:eastAsia="zh-CN" w:bidi="ar"/>
              </w:rPr>
              <w:t xml:space="preserve">交叉</w:t>
            </w:r>
            <w:r>
              <w:rPr>
                <w:rStyle w:val="1083"/>
                <w:rFonts w:ascii="Times New Roman" w:hAnsi="Times New Roman" w:eastAsia="宋体" w:cs="Times New Roman"/>
                <w:sz w:val="20"/>
                <w:szCs w:val="20"/>
                <w:lang w:val="en-US" w:eastAsia="zh-CN" w:bidi="ar"/>
              </w:rPr>
              <w:t xml:space="preserve">K34+505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宝洪线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浔河大桥</w:t>
            </w:r>
            <w:r>
              <w:rPr>
                <w:rStyle w:val="1083"/>
                <w:rFonts w:ascii="Times New Roman" w:hAnsi="Times New Roman" w:eastAsia="宋体" w:cs="Times New Roman"/>
                <w:sz w:val="20"/>
                <w:szCs w:val="20"/>
                <w:lang w:val="en-US" w:eastAsia="zh-CN" w:bidi="ar"/>
              </w:rPr>
              <w:t xml:space="preserve">K36+504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宝洪线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岔河交调点</w:t>
            </w:r>
            <w:r>
              <w:rPr>
                <w:rStyle w:val="1083"/>
                <w:rFonts w:ascii="Times New Roman" w:hAnsi="Times New Roman" w:eastAsia="宋体" w:cs="Times New Roman"/>
                <w:sz w:val="20"/>
                <w:szCs w:val="20"/>
                <w:lang w:val="en-US" w:eastAsia="zh-CN" w:bidi="ar"/>
              </w:rPr>
              <w:t xml:space="preserve">K38+474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宝洪线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朱坝镇马棚村</w:t>
            </w:r>
            <w:r>
              <w:rPr>
                <w:rStyle w:val="1083"/>
                <w:rFonts w:ascii="Times New Roman" w:hAnsi="Times New Roman" w:eastAsia="宋体" w:cs="Times New Roman"/>
                <w:sz w:val="20"/>
                <w:szCs w:val="20"/>
                <w:lang w:val="en-US" w:eastAsia="zh-CN" w:bidi="ar"/>
              </w:rPr>
              <w:t xml:space="preserve">K42+370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宝洪线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灌溉总渠大桥</w:t>
            </w:r>
            <w:r>
              <w:rPr>
                <w:rStyle w:val="1083"/>
                <w:rFonts w:ascii="Times New Roman" w:hAnsi="Times New Roman" w:eastAsia="宋体" w:cs="Times New Roman"/>
                <w:sz w:val="20"/>
                <w:szCs w:val="20"/>
                <w:lang w:val="en-US" w:eastAsia="zh-CN" w:bidi="ar"/>
              </w:rPr>
              <w:t xml:space="preserve">K55+207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S520石塘互通连接线-S328立交南K0+507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S520石塘互通连接线-石塘交调站K2+100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S520石塘互通连接线-G1516盐洛高速石塘出入口K3+700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S429凌桥互通连接线-义和村K0+780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S429凌桥互通连接线-后荡八组K8+400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S429凌桥互通连接线-与X304交叉口K9+800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S429凌桥互通连接线-下穿宿淮铁路北K12+010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S429凌桥互通连接线-G343交叉口K14+100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S429凌桥互通连接线-渔沟交调站K17+280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S429凌桥互通连接线-跨宿淮高速大桥南K25+510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S429凌桥互通连接线-豆瓣集大桥北K30+380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S429凌桥互通连接线-豆瓣集大桥南K31+400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S429凌桥互通连接线-古黄河大桥K32+880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S429凌桥互通连接线-汪庄K34+150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S429凌桥互通连接线-南果林村K35+600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S429凌桥互通连接线-与X308交叉口K37+090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S429凌桥互通连接线-老陈庄K38+890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S429凌桥互通连接线-林庄K40+400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S429凌桥互通连接线-与韩陈路交叉口K41+950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S503淮安机场连接线-X102交叉口K0+000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S503淮安机场连接线-清涟水大道交叉口K2+000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S503淮安机场连接线-迎宾大道交叉中分带K3+210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S503淮安机场连接线-机场路交叉中分带K4+228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S503淮安机场连接线-纬四路交叉口K6+504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S503淮安机场连接线-机场连接线交调站K8+270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S503淮安机场连接线-跨京沪高速大桥北K10+300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S503淮安机场连接线-跨京沪高速大桥南K11+329</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S503淮安机场连接线-桃高路交叉南侧K13+002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S503淮安机场连接线-淮高镇顾庄村K15+025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S503淮安机场连接线-淮高镇刘河村K16+830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S503淮安机场连接线-跨宁连高速大桥北K18+600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S503淮安机场连接线-跨宁连高速大桥南K19+700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0"/>
                <w:rFonts w:ascii="Times New Roman" w:hAnsi="Times New Roman" w:eastAsia="宋体" w:cs="Times New Roman"/>
                <w:sz w:val="20"/>
                <w:szCs w:val="20"/>
                <w:lang w:val="en-US" w:eastAsia="zh-CN" w:bidi="ar"/>
              </w:rPr>
              <w:t xml:space="preserve">S523</w:t>
            </w:r>
            <w:r>
              <w:rPr>
                <w:rStyle w:val="1081"/>
                <w:rFonts w:ascii="Times New Roman" w:hAnsi="Times New Roman" w:eastAsia="宋体" w:cs="Times New Roman"/>
                <w:sz w:val="20"/>
                <w:szCs w:val="20"/>
                <w:lang w:val="en-US" w:eastAsia="zh-CN" w:bidi="ar"/>
              </w:rPr>
              <w:t xml:space="preserve">洪泽湖至荷花荡公路</w:t>
            </w:r>
            <w:r>
              <w:rPr>
                <w:rStyle w:val="1080"/>
                <w:rFonts w:ascii="Times New Roman" w:hAnsi="Times New Roman" w:eastAsia="宋体" w:cs="Times New Roman"/>
                <w:sz w:val="20"/>
                <w:szCs w:val="20"/>
                <w:lang w:val="en-US" w:eastAsia="zh-CN" w:bidi="ar"/>
              </w:rPr>
              <w:t xml:space="preserve">-</w:t>
            </w:r>
            <w:r>
              <w:rPr>
                <w:rStyle w:val="1081"/>
                <w:rFonts w:ascii="Times New Roman" w:hAnsi="Times New Roman" w:eastAsia="宋体" w:cs="Times New Roman"/>
                <w:sz w:val="20"/>
                <w:szCs w:val="20"/>
                <w:lang w:val="en-US" w:eastAsia="zh-CN" w:bidi="ar"/>
              </w:rPr>
              <w:t xml:space="preserve">三河交调站</w:t>
            </w:r>
            <w:r>
              <w:rPr>
                <w:rStyle w:val="1080"/>
                <w:rFonts w:ascii="Times New Roman" w:hAnsi="Times New Roman" w:eastAsia="宋体" w:cs="Times New Roman"/>
                <w:sz w:val="20"/>
                <w:szCs w:val="20"/>
                <w:lang w:val="en-US" w:eastAsia="zh-CN" w:bidi="ar"/>
              </w:rPr>
              <w:t xml:space="preserve">K5+350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0"/>
                <w:rFonts w:ascii="Times New Roman" w:hAnsi="Times New Roman" w:eastAsia="宋体" w:cs="Times New Roman"/>
                <w:sz w:val="20"/>
                <w:szCs w:val="20"/>
                <w:lang w:val="en-US" w:eastAsia="zh-CN" w:bidi="ar"/>
              </w:rPr>
              <w:t xml:space="preserve">S523</w:t>
            </w:r>
            <w:r>
              <w:rPr>
                <w:rStyle w:val="1081"/>
                <w:rFonts w:ascii="Times New Roman" w:hAnsi="Times New Roman" w:eastAsia="宋体" w:cs="Times New Roman"/>
                <w:sz w:val="20"/>
                <w:szCs w:val="20"/>
                <w:lang w:val="en-US" w:eastAsia="zh-CN" w:bidi="ar"/>
              </w:rPr>
              <w:t xml:space="preserve">洪泽湖至荷花荡公路</w:t>
            </w:r>
            <w:r>
              <w:rPr>
                <w:rStyle w:val="1080"/>
                <w:rFonts w:ascii="Times New Roman" w:hAnsi="Times New Roman" w:eastAsia="宋体" w:cs="Times New Roman"/>
                <w:sz w:val="20"/>
                <w:szCs w:val="20"/>
                <w:lang w:val="en-US" w:eastAsia="zh-CN" w:bidi="ar"/>
              </w:rPr>
              <w:t xml:space="preserve">-</w:t>
            </w:r>
            <w:r>
              <w:rPr>
                <w:rStyle w:val="1081"/>
                <w:rFonts w:ascii="Times New Roman" w:hAnsi="Times New Roman" w:eastAsia="宋体" w:cs="Times New Roman"/>
                <w:sz w:val="20"/>
                <w:szCs w:val="20"/>
                <w:lang w:val="en-US" w:eastAsia="zh-CN" w:bidi="ar"/>
              </w:rPr>
              <w:t xml:space="preserve">共和交调站</w:t>
            </w:r>
            <w:r>
              <w:rPr>
                <w:rStyle w:val="1080"/>
                <w:rFonts w:ascii="Times New Roman" w:hAnsi="Times New Roman" w:eastAsia="宋体" w:cs="Times New Roman"/>
                <w:sz w:val="20"/>
                <w:szCs w:val="20"/>
                <w:lang w:val="en-US" w:eastAsia="zh-CN" w:bidi="ar"/>
              </w:rPr>
              <w:t xml:space="preserve">K11+200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0"/>
                <w:rFonts w:ascii="Times New Roman" w:hAnsi="Times New Roman" w:eastAsia="宋体" w:cs="Times New Roman"/>
                <w:sz w:val="20"/>
                <w:szCs w:val="20"/>
                <w:lang w:val="en-US" w:eastAsia="zh-CN" w:bidi="ar"/>
              </w:rPr>
              <w:t xml:space="preserve">S523</w:t>
            </w:r>
            <w:r>
              <w:rPr>
                <w:rStyle w:val="1081"/>
                <w:rFonts w:ascii="Times New Roman" w:hAnsi="Times New Roman" w:eastAsia="宋体" w:cs="Times New Roman"/>
                <w:sz w:val="20"/>
                <w:szCs w:val="20"/>
                <w:lang w:val="en-US" w:eastAsia="zh-CN" w:bidi="ar"/>
              </w:rPr>
              <w:t xml:space="preserve">洪泽湖至荷花荡公路</w:t>
            </w:r>
            <w:r>
              <w:rPr>
                <w:rStyle w:val="1080"/>
                <w:rFonts w:ascii="Times New Roman" w:hAnsi="Times New Roman" w:eastAsia="宋体" w:cs="Times New Roman"/>
                <w:sz w:val="20"/>
                <w:szCs w:val="20"/>
                <w:lang w:val="en-US" w:eastAsia="zh-CN" w:bidi="ar"/>
              </w:rPr>
              <w:t xml:space="preserve">-</w:t>
            </w:r>
            <w:r>
              <w:rPr>
                <w:rStyle w:val="1081"/>
                <w:rFonts w:ascii="Times New Roman" w:hAnsi="Times New Roman" w:eastAsia="宋体" w:cs="Times New Roman"/>
                <w:sz w:val="20"/>
                <w:szCs w:val="20"/>
                <w:lang w:val="en-US" w:eastAsia="zh-CN" w:bidi="ar"/>
              </w:rPr>
              <w:t xml:space="preserve">洪泽与金湖交界东</w:t>
            </w:r>
            <w:r>
              <w:rPr>
                <w:rStyle w:val="1080"/>
                <w:rFonts w:ascii="Times New Roman" w:hAnsi="Times New Roman" w:eastAsia="宋体" w:cs="Times New Roman"/>
                <w:sz w:val="20"/>
                <w:szCs w:val="20"/>
                <w:lang w:val="en-US" w:eastAsia="zh-CN" w:bidi="ar"/>
              </w:rPr>
              <w:t xml:space="preserve">K18+100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0"/>
                <w:rFonts w:ascii="Times New Roman" w:hAnsi="Times New Roman" w:eastAsia="宋体" w:cs="Times New Roman"/>
                <w:sz w:val="20"/>
                <w:szCs w:val="20"/>
                <w:lang w:val="en-US" w:eastAsia="zh-CN" w:bidi="ar"/>
              </w:rPr>
              <w:t xml:space="preserve">S523</w:t>
            </w:r>
            <w:r>
              <w:rPr>
                <w:rStyle w:val="1081"/>
                <w:rFonts w:ascii="Times New Roman" w:hAnsi="Times New Roman" w:eastAsia="宋体" w:cs="Times New Roman"/>
                <w:sz w:val="20"/>
                <w:szCs w:val="20"/>
                <w:lang w:val="en-US" w:eastAsia="zh-CN" w:bidi="ar"/>
              </w:rPr>
              <w:t xml:space="preserve">洪泽湖至荷花荡公路</w:t>
            </w:r>
            <w:r>
              <w:rPr>
                <w:rStyle w:val="1080"/>
                <w:rFonts w:ascii="Times New Roman" w:hAnsi="Times New Roman" w:eastAsia="宋体" w:cs="Times New Roman"/>
                <w:sz w:val="20"/>
                <w:szCs w:val="20"/>
                <w:lang w:val="en-US" w:eastAsia="zh-CN" w:bidi="ar"/>
              </w:rPr>
              <w:t xml:space="preserve">-</w:t>
            </w:r>
            <w:r>
              <w:rPr>
                <w:rStyle w:val="1081"/>
                <w:rFonts w:ascii="Times New Roman" w:hAnsi="Times New Roman" w:eastAsia="宋体" w:cs="Times New Roman"/>
                <w:sz w:val="20"/>
                <w:szCs w:val="20"/>
                <w:lang w:val="en-US" w:eastAsia="zh-CN" w:bidi="ar"/>
              </w:rPr>
              <w:t xml:space="preserve">振兴路交叉口</w:t>
            </w:r>
            <w:r>
              <w:rPr>
                <w:rStyle w:val="1080"/>
                <w:rFonts w:ascii="Times New Roman" w:hAnsi="Times New Roman" w:eastAsia="宋体" w:cs="Times New Roman"/>
                <w:sz w:val="20"/>
                <w:szCs w:val="20"/>
                <w:lang w:val="en-US" w:eastAsia="zh-CN" w:bidi="ar"/>
              </w:rPr>
              <w:t xml:space="preserve">K20+200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S601旧洪线-黄花塘镇翟庄K1+064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S601旧洪线-黄花塘徐家岗K2+902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S601旧洪线-平原南路交叉口K5+000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S601旧洪线-旧铺交调站K7+012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S601旧洪线-G235交叉西侧K15+040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S601旧洪线-天泉湖镇夏营K16+070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S601旧洪线-天泉湖镇腾岗K17+550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S601旧洪线-天泉湖镇铁山寺加油站东侧K19+110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S601旧洪线-天泉湖镇陡山村K20+650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S601旧洪线-天泉湖镇铁山寺景区入口东侧K22+070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X234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X234苏钦线-茭陵交调站K11+635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XZ01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XZ01涟钦线-X234交叉口K0+100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X247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X247林官线-官塘交调点K2+879</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江苏淮安洪泽区G25长深高速洪泽出入口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江苏淮安淮安区G1516盐洛高速车桥出入口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江苏淮安淮安区G2京沪高速淮安东出入口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江苏淮安淮阴区G1516盐洛高速淮安西出入口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江苏淮安淮阴区G25长深高速丁集出入口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江苏淮安淮阴区G25长深高速淮阴出入口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江苏淮安淮阴区G2京沪高速淮安北出入口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江苏淮安淮阴区G2京沪高速刘老庄出入口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江苏淮安淮阴区KG1516盐洛高速凌桥出入口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江苏淮安开发区G2京沪高速淮安出入口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S326陈沭线-公兴河桥K87+100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江苏淮安涟水县G25长深高速高沟出入口2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江苏淮安涟水县G25长深高速淮安机场出入口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江苏淮安涟水县G25长深高速涟水出入口1</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江苏淮安清江浦区G1516盐洛高速淮安南出入口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江苏淮安盱眙县G25长深高速马坝西出入口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江苏淮安盱眙县S49新扬高速黄花塘出入口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江苏淮安盱眙县S49新扬高速盱眙北出入口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2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北京路办公区</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北京路办公区专线</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裸纤</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G205江苏淮安淮阴区徐溜服务区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G233江苏淮安涟水县成集工区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G233江苏淮安淮阴区棉花工区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S327江苏淮安涟水县K132+322保滩工区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380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S235江苏淮安淮安区钦工工区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381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江苏淮安盱眙县养护应急基地（S331新港工区）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382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S328漕运停车区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383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S327唐集停车区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4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384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S331盱眙县打石山工区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4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385</w:t>
            </w:r>
            <w:r>
              <w:rPr>
                <w:rFonts w:ascii="Times New Roman" w:hAnsi="Times New Roman" w:eastAsia="宋体" w:cs="Times New Roman"/>
                <w:i w:val="0"/>
                <w:iCs w:val="0"/>
                <w:color w:val="000000"/>
                <w:sz w:val="20"/>
                <w:szCs w:val="20"/>
                <w:u w:val="none"/>
                <w:lang w:val="en-US" w:eastAsia="zh-CN" w:bidi="ar"/>
              </w:rPr>
            </w:r>
            <w:r/>
          </w:p>
        </w:tc>
        <w:tc>
          <w:tcPr>
            <w:tcW w:w="2033" w:type="dxa"/>
            <w:vAlign w:val="center"/>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科技兴安</w:t>
            </w:r>
            <w:r>
              <w:rPr>
                <w:rStyle w:val="1082"/>
                <w:rFonts w:ascii="Times New Roman" w:hAnsi="Times New Roman" w:eastAsia="宋体" w:cs="Times New Roman"/>
                <w:sz w:val="20"/>
                <w:szCs w:val="20"/>
                <w:lang w:val="en-US" w:eastAsia="zh-CN" w:bidi="ar"/>
              </w:rPr>
            </w:r>
            <w:r/>
          </w:p>
        </w:tc>
        <w:tc>
          <w:tcPr>
            <w:tcW w:w="6222" w:type="dxa"/>
            <w:vAlign w:val="center"/>
            <w:vMerge w:val="restart"/>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预留20条路网监测设施、科技兴安</w:t>
            </w:r>
            <w:r>
              <w:rPr>
                <w:rFonts w:hint="eastAsia" w:ascii="Times New Roman" w:hAnsi="Times New Roman" w:eastAsia="宋体" w:cs="Times New Roman"/>
                <w:i w:val="0"/>
                <w:iCs w:val="0"/>
                <w:color w:val="000000"/>
                <w:sz w:val="20"/>
                <w:szCs w:val="20"/>
                <w:u w:val="none"/>
                <w:lang w:val="en-US" w:eastAsia="zh-CN" w:bidi="ar"/>
              </w:rPr>
              <w:t xml:space="preserve">等新建线路</w:t>
            </w:r>
            <w:r>
              <w:rPr>
                <w:rFonts w:ascii="Times New Roman" w:hAnsi="Times New Roman" w:eastAsia="宋体" w:cs="Times New Roman"/>
                <w:i w:val="0"/>
                <w:iCs w:val="0"/>
                <w:color w:val="000000"/>
                <w:sz w:val="20"/>
                <w:szCs w:val="20"/>
                <w:u w:val="none"/>
                <w:lang w:val="en-US" w:eastAsia="zh-CN" w:bidi="ar"/>
              </w:rPr>
            </w:r>
            <w:r/>
          </w:p>
        </w:tc>
        <w:tc>
          <w:tcPr>
            <w:tcW w:w="1578" w:type="dxa"/>
            <w:vAlign w:val="center"/>
            <w:vMerge w:val="restart"/>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以实际</w:t>
            </w:r>
            <w:r>
              <w:rPr>
                <w:rFonts w:hint="eastAsia" w:ascii="Times New Roman" w:hAnsi="Times New Roman" w:eastAsia="宋体" w:cs="Times New Roman"/>
                <w:i w:val="0"/>
                <w:iCs w:val="0"/>
                <w:color w:val="000000"/>
                <w:sz w:val="20"/>
                <w:szCs w:val="20"/>
                <w:u w:val="none"/>
                <w:lang w:val="en-US" w:eastAsia="zh-CN" w:bidi="ar"/>
              </w:rPr>
              <w:t xml:space="preserve">使用</w:t>
            </w:r>
            <w:r>
              <w:rPr>
                <w:rFonts w:ascii="Times New Roman" w:hAnsi="Times New Roman" w:eastAsia="宋体" w:cs="Times New Roman"/>
                <w:i w:val="0"/>
                <w:iCs w:val="0"/>
                <w:color w:val="000000"/>
                <w:sz w:val="20"/>
                <w:szCs w:val="20"/>
                <w:u w:val="none"/>
                <w:lang w:val="en-US" w:eastAsia="zh-CN" w:bidi="ar"/>
              </w:rPr>
              <w:t xml:space="preserve">情况为准</w:t>
            </w:r>
            <w:r>
              <w:rPr>
                <w:rStyle w:val="1082"/>
                <w:rFonts w:ascii="Times New Roman" w:hAnsi="Times New Roman" w:eastAsia="宋体" w:cs="Times New Roman"/>
                <w:sz w:val="20"/>
                <w:szCs w:val="20"/>
                <w:lang w:val="en-US" w:eastAsia="zh-CN" w:bidi="ar"/>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lang w:val="en-US" w:eastAsia="zh-CN" w:bidi="ar"/>
              </w:rPr>
            </w:r>
            <w:r/>
          </w:p>
        </w:tc>
        <w:tc>
          <w:tcPr>
            <w:tcW w:w="1200" w:type="dxa"/>
            <w:vAlign w:val="center"/>
            <w:vMerge w:val="restart"/>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以实际</w:t>
            </w:r>
            <w:r>
              <w:rPr>
                <w:rFonts w:hint="eastAsia" w:ascii="Times New Roman" w:hAnsi="Times New Roman" w:eastAsia="宋体" w:cs="Times New Roman"/>
                <w:i w:val="0"/>
                <w:iCs w:val="0"/>
                <w:color w:val="000000"/>
                <w:sz w:val="20"/>
                <w:szCs w:val="20"/>
                <w:u w:val="none"/>
                <w:lang w:val="en-US" w:eastAsia="zh-CN" w:bidi="ar"/>
              </w:rPr>
              <w:t xml:space="preserve">使用</w:t>
            </w:r>
            <w:r>
              <w:rPr>
                <w:rFonts w:ascii="Times New Roman" w:hAnsi="Times New Roman" w:eastAsia="宋体" w:cs="Times New Roman"/>
                <w:i w:val="0"/>
                <w:iCs w:val="0"/>
                <w:color w:val="000000"/>
                <w:sz w:val="20"/>
                <w:szCs w:val="20"/>
                <w:u w:val="none"/>
                <w:lang w:val="en-US" w:eastAsia="zh-CN" w:bidi="ar"/>
              </w:rPr>
              <w:t xml:space="preserve">情况为准</w:t>
            </w:r>
            <w:r>
              <w:rPr>
                <w:rFonts w:ascii="Times New Roman" w:hAnsi="Times New Roman" w:eastAsia="宋体" w:cs="Times New Roman"/>
                <w:i w:val="0"/>
                <w:iCs w:val="0"/>
                <w:color w:val="000000"/>
                <w:sz w:val="20"/>
                <w:szCs w:val="20"/>
                <w:u w:val="none"/>
                <w:lang w:val="en-US" w:eastAsia="zh-CN" w:bidi="ar"/>
              </w:rPr>
            </w:r>
            <w:r/>
          </w:p>
        </w:tc>
      </w:tr>
      <w:tr>
        <w:trPr>
          <w:trHeight w:val="44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w:t>
            </w:r>
            <w:r>
              <w:rPr>
                <w:rFonts w:ascii="Times New Roman" w:hAnsi="Times New Roman" w:eastAsia="宋体" w:cs="Times New Roman"/>
                <w:i w:val="0"/>
                <w:iCs w:val="0"/>
                <w:color w:val="000000"/>
                <w:sz w:val="20"/>
                <w:szCs w:val="20"/>
                <w:u w:val="none"/>
                <w:lang w:val="en-US" w:eastAsia="zh-CN" w:bidi="ar"/>
              </w:rPr>
            </w:r>
            <w:r/>
          </w:p>
        </w:tc>
        <w:tc>
          <w:tcPr>
            <w:tcW w:w="2033" w:type="dxa"/>
            <w:vAlign w:val="center"/>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科技兴安</w:t>
            </w:r>
            <w:r>
              <w:rPr>
                <w:rStyle w:val="1082"/>
                <w:rFonts w:ascii="Times New Roman" w:hAnsi="Times New Roman" w:eastAsia="宋体" w:cs="Times New Roman"/>
                <w:sz w:val="20"/>
                <w:szCs w:val="20"/>
                <w:lang w:val="en-US" w:eastAsia="zh-CN" w:bidi="ar"/>
              </w:rPr>
            </w:r>
            <w:r/>
          </w:p>
        </w:tc>
        <w:tc>
          <w:tcPr>
            <w:tcW w:w="6222" w:type="dxa"/>
            <w:vAlign w:val="center"/>
            <w:vMerge w:val="continue"/>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r>
            <w:r/>
          </w:p>
        </w:tc>
        <w:tc>
          <w:tcPr>
            <w:tcW w:w="1578" w:type="dxa"/>
            <w:vAlign w:val="center"/>
            <w:vMerge w:val="continue"/>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framePr w:vAnchor="text" w:hAnchor="page" w:x="1748" w:y="511"/>
              <w:suppressLineNumbers w:val="0"/>
            </w:pPr>
            <w:r>
              <w:rPr>
                <w:rStyle w:val="1082"/>
                <w:rFonts w:ascii="Times New Roman" w:hAnsi="Times New Roman" w:eastAsia="宋体" w:cs="Times New Roman"/>
                <w:sz w:val="20"/>
                <w:szCs w:val="20"/>
                <w:lang w:val="en-US" w:eastAsia="zh-CN" w:bidi="ar"/>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lang w:val="en-US" w:eastAsia="zh-CN" w:bidi="ar"/>
              </w:rPr>
            </w:r>
            <w:r/>
          </w:p>
        </w:tc>
        <w:tc>
          <w:tcPr>
            <w:tcW w:w="1200" w:type="dxa"/>
            <w:vAlign w:val="center"/>
            <w:vMerge w:val="continue"/>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r>
            <w:r/>
          </w:p>
        </w:tc>
      </w:tr>
      <w:tr>
        <w:trPr>
          <w:trHeight w:val="44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404</w:t>
            </w:r>
            <w:r>
              <w:rPr>
                <w:rFonts w:ascii="Times New Roman" w:hAnsi="Times New Roman" w:eastAsia="宋体" w:cs="Times New Roman"/>
                <w:i w:val="0"/>
                <w:iCs w:val="0"/>
                <w:color w:val="000000"/>
                <w:sz w:val="20"/>
                <w:szCs w:val="20"/>
                <w:u w:val="none"/>
                <w:lang w:val="en-US" w:eastAsia="zh-CN" w:bidi="ar"/>
              </w:rPr>
            </w:r>
            <w:r/>
          </w:p>
        </w:tc>
        <w:tc>
          <w:tcPr>
            <w:tcW w:w="2033" w:type="dxa"/>
            <w:vAlign w:val="center"/>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科技兴安</w:t>
            </w:r>
            <w:r>
              <w:rPr>
                <w:rStyle w:val="1082"/>
                <w:rFonts w:ascii="Times New Roman" w:hAnsi="Times New Roman" w:eastAsia="宋体" w:cs="Times New Roman"/>
                <w:sz w:val="20"/>
                <w:szCs w:val="20"/>
                <w:lang w:val="en-US" w:eastAsia="zh-CN" w:bidi="ar"/>
              </w:rPr>
            </w:r>
            <w:r/>
          </w:p>
        </w:tc>
        <w:tc>
          <w:tcPr>
            <w:tcW w:w="6222" w:type="dxa"/>
            <w:vAlign w:val="center"/>
            <w:vMerge w:val="continue"/>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r>
            <w:r/>
          </w:p>
        </w:tc>
        <w:tc>
          <w:tcPr>
            <w:tcW w:w="1578" w:type="dxa"/>
            <w:vAlign w:val="center"/>
            <w:vMerge w:val="continue"/>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framePr w:vAnchor="text" w:hAnchor="page" w:x="1748" w:y="511"/>
              <w:suppressLineNumbers w:val="0"/>
            </w:pPr>
            <w:r>
              <w:rPr>
                <w:rStyle w:val="1082"/>
                <w:rFonts w:ascii="Times New Roman" w:hAnsi="Times New Roman" w:eastAsia="宋体" w:cs="Times New Roman"/>
                <w:sz w:val="20"/>
                <w:szCs w:val="20"/>
                <w:lang w:val="en-US" w:eastAsia="zh-CN" w:bidi="ar"/>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lang w:val="en-US" w:eastAsia="zh-CN" w:bidi="ar"/>
              </w:rPr>
            </w:r>
            <w:r/>
          </w:p>
        </w:tc>
        <w:tc>
          <w:tcPr>
            <w:tcW w:w="1200" w:type="dxa"/>
            <w:vAlign w:val="center"/>
            <w:vMerge w:val="continue"/>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r>
            <w:r/>
          </w:p>
        </w:tc>
      </w:tr>
    </w:tbl>
    <w:p>
      <w:pPr>
        <w:pStyle w:val="1084"/>
        <w:jc w:val="both"/>
        <w:spacing w:line="520" w:lineRule="exact"/>
        <w:rPr>
          <w:rFonts w:hint="eastAsia" w:ascii="宋体" w:hAnsi="宋体" w:cs="宋体"/>
          <w:b/>
          <w:bCs/>
          <w:sz w:val="28"/>
          <w:szCs w:val="28"/>
          <w:lang w:val="en-US" w:eastAsia="zh-CN"/>
        </w:rPr>
        <w:sectPr>
          <w:footerReference w:type="default" r:id="rId13"/>
          <w:footnotePr/>
          <w:endnotePr/>
          <w:type w:val="nextPage"/>
          <w:pgSz w:w="16838" w:h="11906" w:orient="landscape"/>
          <w:pgMar w:top="1797" w:right="1560" w:bottom="1418" w:left="1440" w:header="851" w:footer="992" w:gutter="0"/>
          <w:pgNumType w:start="1"/>
          <w:cols w:num="1" w:sep="0" w:space="1701" w:equalWidth="1"/>
          <w:docGrid w:linePitch="360"/>
        </w:sectPr>
      </w:pPr>
      <w:r>
        <w:rPr>
          <w:rFonts w:hint="eastAsia" w:ascii="宋体" w:hAnsi="宋体" w:cs="宋体"/>
          <w:b/>
          <w:bCs/>
          <w:sz w:val="28"/>
          <w:szCs w:val="28"/>
          <w:lang w:val="en-US" w:eastAsia="zh-CN"/>
        </w:rPr>
      </w:r>
      <w:r/>
    </w:p>
    <w:p>
      <w:pPr>
        <w:pStyle w:val="1078"/>
        <w:rPr>
          <w:rFonts w:hint="eastAsia" w:hAnsi="宋体"/>
          <w:b/>
          <w:bCs/>
          <w:sz w:val="44"/>
          <w:szCs w:val="44"/>
        </w:rPr>
      </w:pPr>
      <w:r>
        <w:rPr>
          <w:rFonts w:hint="eastAsia" w:hAnsi="宋体"/>
          <w:b/>
          <w:bCs/>
          <w:sz w:val="44"/>
          <w:szCs w:val="44"/>
        </w:rPr>
      </w:r>
      <w:r/>
    </w:p>
    <w:p>
      <w:pPr>
        <w:pStyle w:val="1084"/>
        <w:jc w:val="center"/>
        <w:spacing w:line="520" w:lineRule="exact"/>
        <w:rPr>
          <w:rFonts w:hint="eastAsia" w:ascii="仿宋" w:hAnsi="仿宋" w:eastAsia="仿宋" w:cs="仿宋"/>
          <w:b/>
          <w:bCs/>
          <w:sz w:val="28"/>
          <w:szCs w:val="28"/>
        </w:rPr>
      </w:pPr>
      <w:r>
        <w:rPr>
          <w:rFonts w:hint="eastAsia" w:ascii="仿宋" w:hAnsi="仿宋" w:eastAsia="仿宋" w:cs="仿宋"/>
          <w:b/>
          <w:bCs/>
          <w:sz w:val="28"/>
          <w:szCs w:val="28"/>
        </w:rPr>
        <w:t xml:space="preserve">第二标段</w:t>
      </w:r>
      <w:r>
        <w:rPr>
          <w:rFonts w:hint="eastAsia" w:ascii="仿宋" w:hAnsi="仿宋" w:eastAsia="仿宋" w:cs="仿宋"/>
          <w:b/>
          <w:bCs/>
          <w:sz w:val="28"/>
          <w:szCs w:val="28"/>
        </w:rPr>
      </w:r>
      <w:r/>
    </w:p>
    <w:p>
      <w:pPr>
        <w:pStyle w:val="1078"/>
        <w:numPr>
          <w:ilvl w:val="0"/>
          <w:numId w:val="7"/>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采购项目概况:</w:t>
      </w:r>
      <w:r>
        <w:rPr>
          <w:rFonts w:hint="eastAsia" w:ascii="仿宋" w:hAnsi="仿宋" w:eastAsia="仿宋" w:cs="仿宋"/>
          <w:sz w:val="28"/>
          <w:szCs w:val="28"/>
        </w:rPr>
      </w:r>
      <w:r/>
    </w:p>
    <w:p>
      <w:pPr>
        <w:pStyle w:val="1078"/>
        <w:numPr>
          <w:ilvl w:val="0"/>
          <w:numId w:val="0"/>
        </w:numPr>
        <w:ind w:firstLine="560"/>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近年来，随着我市国省道路网监控、科技兴安等项目的开展，中心陆续建设了大量外场监测设施，同步配套实施了相应的数字专线。目前专线租赁合同部分已到期或于未来几个月陆续到期，其中2026年底到期的有618条，再预留40条路网监测设施、科技兴安等新建线路，因此本次共需采购658条专线，分成2个标段实施采购，项目总预算为440万元。</w:t>
      </w:r>
      <w:r>
        <w:rPr>
          <w:rFonts w:hint="eastAsia" w:ascii="仿宋" w:hAnsi="仿宋" w:eastAsia="仿宋" w:cs="仿宋"/>
          <w:sz w:val="28"/>
          <w:szCs w:val="28"/>
          <w:highlight w:val="none"/>
          <w:lang w:eastAsia="zh-CN"/>
        </w:rPr>
      </w:r>
      <w:r/>
    </w:p>
    <w:p>
      <w:pPr>
        <w:pStyle w:val="1078"/>
        <w:numPr>
          <w:ilvl w:val="0"/>
          <w:numId w:val="0"/>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highlight w:val="none"/>
          <w:lang w:eastAsia="zh-CN"/>
        </w:rPr>
        <w:t xml:space="preserve">本项目采购的数字专线为专网线路，传</w:t>
      </w:r>
      <w:r>
        <w:rPr>
          <w:rFonts w:hint="eastAsia" w:ascii="仿宋" w:hAnsi="仿宋" w:eastAsia="仿宋" w:cs="仿宋"/>
          <w:sz w:val="28"/>
          <w:szCs w:val="28"/>
          <w:highlight w:val="none"/>
          <w:lang w:eastAsia="zh-CN"/>
        </w:rPr>
        <w:t xml:space="preserve">输介质为光纤，线路带宽大部分为50M和100M，覆盖淮安市全部普通国省干线公路沿线路网运行监测设施点位，涉及淮阴区、清江浦区、洪泽区、盱眙县、金湖县、涟水县、淮安区、开发区等多个县区，涵盖G205、G233、G235、G343、G344等20余条国省道及多条省道、县道，总里程超过700公里。专网线路需在30天内完成开通，并与现有线路平台无缝对接，各标段专网线路的接口标准、汇聚方案需完全统一，且需与采购人现有路网监测平台实现系统级对接。要求运营商具备成规模网络基础设施，且拥有成熟的多业务承载平台和丰富的政企专</w:t>
      </w:r>
      <w:r>
        <w:rPr>
          <w:rFonts w:hint="eastAsia" w:ascii="仿宋" w:hAnsi="仿宋" w:eastAsia="仿宋" w:cs="仿宋"/>
          <w:sz w:val="28"/>
          <w:szCs w:val="28"/>
          <w:highlight w:val="none"/>
          <w:lang w:eastAsia="zh-CN"/>
        </w:rPr>
        <w:t xml:space="preserve">线组网经验，可保障系统对接的技术可行性和数据一致性；同时需提供7×24小时全天候运行维护和应急保障服务，保障路网监测视频数据传输的稳定可靠。本项目为通信网络专线服务采购，需依托覆盖全市的光纤传输网络提供数字专线服务，对服务商的网络覆盖能力、基础设施条件、运维保障体系均有较高门槛，数字专线（专网线路）服务需依托自有光纤传输网络基础设施提供，服务商须持有相应电信业务经营许可资质、质量管理体系认证、信息技术服务标准符合性证书和信息系统业务安全服务资质，并具备覆盖淮安全市域的光纤传输网络和接入网点的建设与运维能力。</w:t>
      </w:r>
      <w:r>
        <w:rPr>
          <w:rFonts w:hint="eastAsia" w:ascii="仿宋" w:hAnsi="仿宋" w:eastAsia="仿宋" w:cs="仿宋"/>
          <w:sz w:val="28"/>
          <w:szCs w:val="28"/>
        </w:rPr>
      </w:r>
      <w:r/>
    </w:p>
    <w:p>
      <w:pPr>
        <w:pStyle w:val="1078"/>
        <w:ind w:firstLine="560"/>
        <w:spacing w:line="52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lang w:eastAsia="zh-CN"/>
        </w:rPr>
        <w:t xml:space="preserve">本</w:t>
      </w:r>
      <w:r>
        <w:rPr>
          <w:rFonts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lang w:eastAsia="zh-CN"/>
        </w:rPr>
        <w:t xml:space="preserve">需采购</w:t>
      </w:r>
      <w:r>
        <w:rPr>
          <w:rFonts w:ascii="Times New Roman" w:hAnsi="Times New Roman" w:eastAsia="仿宋" w:cs="Times New Roman"/>
          <w:sz w:val="28"/>
          <w:szCs w:val="28"/>
          <w:lang w:val="en-US" w:eastAsia="zh-CN"/>
        </w:rPr>
        <w:t xml:space="preserve">254</w:t>
      </w:r>
      <w:r>
        <w:rPr>
          <w:rFonts w:ascii="Times New Roman" w:hAnsi="Times New Roman" w:eastAsia="仿宋" w:cs="Times New Roman"/>
          <w:sz w:val="28"/>
          <w:szCs w:val="28"/>
          <w:lang w:eastAsia="zh-CN"/>
        </w:rPr>
        <w:t xml:space="preserve">条专线</w:t>
      </w: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lang w:eastAsia="zh-CN"/>
        </w:rPr>
        <w:t xml:space="preserve">预算为</w:t>
      </w:r>
      <w:r>
        <w:rPr>
          <w:rFonts w:ascii="Times New Roman" w:hAnsi="Times New Roman" w:eastAsia="仿宋" w:cs="Times New Roman"/>
          <w:sz w:val="28"/>
          <w:szCs w:val="28"/>
          <w:highlight w:val="none"/>
          <w:lang w:val="en-US" w:eastAsia="zh-CN"/>
        </w:rPr>
        <w:t xml:space="preserve">204万元，最高限价为204万元</w:t>
      </w: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rPr>
      </w:r>
      <w:r/>
    </w:p>
    <w:p>
      <w:pPr>
        <w:pStyle w:val="1078"/>
        <w:spacing w:line="52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lang w:eastAsia="zh-CN"/>
        </w:rPr>
        <w:t xml:space="preserve">服务期</w:t>
      </w:r>
      <w:r>
        <w:rPr>
          <w:rFonts w:ascii="Times New Roman" w:hAnsi="Times New Roman" w:eastAsia="仿宋" w:cs="Times New Roman"/>
          <w:sz w:val="28"/>
          <w:szCs w:val="28"/>
          <w:lang w:val="en-US" w:eastAsia="zh-CN"/>
        </w:rPr>
        <w:t xml:space="preserve">自2027年1月1日起至2028年12月31日止</w:t>
      </w: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rPr>
      </w:r>
      <w:r/>
    </w:p>
    <w:p>
      <w:pPr>
        <w:pStyle w:val="1078"/>
        <w:ind w:firstLine="560"/>
        <w:spacing w:line="520" w:lineRule="exact"/>
        <w:rPr>
          <w:rFonts w:hint="eastAsia" w:ascii="仿宋" w:hAnsi="仿宋" w:eastAsia="仿宋" w:cs="仿宋"/>
          <w:sz w:val="28"/>
          <w:szCs w:val="28"/>
        </w:rPr>
      </w:pPr>
      <w:r>
        <w:rPr>
          <w:rFonts w:hint="eastAsia" w:ascii="仿宋" w:hAnsi="仿宋" w:eastAsia="仿宋"/>
          <w:sz w:val="28"/>
          <w:szCs w:val="28"/>
        </w:rPr>
        <w:t xml:space="preserve">★</w:t>
      </w:r>
      <w:r>
        <w:rPr>
          <w:rFonts w:hint="eastAsia" w:ascii="仿宋" w:hAnsi="仿宋" w:eastAsia="仿宋" w:cs="仿宋"/>
          <w:sz w:val="28"/>
          <w:szCs w:val="28"/>
        </w:rPr>
        <w:t xml:space="preserve">二、技术要求:</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1、专线要求</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传输介质:光纤</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线路类型:专网线路</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带宽:线路带宽为</w:t>
      </w:r>
      <w:r>
        <w:rPr>
          <w:rFonts w:ascii="Times New Roman" w:hAnsi="Times New Roman" w:eastAsia="仿宋_GB2312" w:cs="Times New Roman"/>
          <w:sz w:val="32"/>
          <w:szCs w:val="32"/>
          <w:highlight w:val="none"/>
          <w:lang w:val="en-US" w:eastAsia="zh-CN" w:bidi="ar-SA"/>
        </w:rPr>
        <w:t xml:space="preserve">50M</w:t>
      </w:r>
      <w:r>
        <w:rPr>
          <w:rFonts w:hint="eastAsia" w:ascii="Times New Roman" w:hAnsi="Times New Roman" w:eastAsia="仿宋_GB2312" w:cs="Times New Roman"/>
          <w:sz w:val="32"/>
          <w:szCs w:val="32"/>
          <w:highlight w:val="none"/>
          <w:lang w:val="en-US" w:eastAsia="zh-CN" w:bidi="ar-SA"/>
        </w:rPr>
        <w:t xml:space="preserve">、100M、200M</w:t>
      </w:r>
      <w:r>
        <w:rPr>
          <w:rFonts w:ascii="Times New Roman" w:hAnsi="Times New Roman" w:eastAsia="仿宋_GB2312" w:cs="Times New Roman"/>
          <w:sz w:val="32"/>
          <w:szCs w:val="32"/>
          <w:highlight w:val="none"/>
          <w:lang w:val="en-US" w:eastAsia="zh-CN" w:bidi="ar-SA"/>
        </w:rPr>
        <w:t xml:space="preserve">和100</w:t>
      </w:r>
      <w:r>
        <w:rPr>
          <w:rFonts w:hint="eastAsia" w:ascii="Times New Roman" w:hAnsi="Times New Roman" w:eastAsia="仿宋_GB2312" w:cs="Times New Roman"/>
          <w:sz w:val="32"/>
          <w:szCs w:val="32"/>
          <w:highlight w:val="none"/>
          <w:lang w:val="en-US" w:eastAsia="zh-CN" w:bidi="ar-SA"/>
        </w:rPr>
        <w:t xml:space="preserve">0</w:t>
      </w:r>
      <w:r>
        <w:rPr>
          <w:rFonts w:ascii="Times New Roman" w:hAnsi="Times New Roman" w:eastAsia="仿宋_GB2312" w:cs="Times New Roman"/>
          <w:sz w:val="32"/>
          <w:szCs w:val="32"/>
          <w:highlight w:val="none"/>
          <w:lang w:val="en-US" w:eastAsia="zh-CN" w:bidi="ar-SA"/>
        </w:rPr>
        <w:t xml:space="preserve">M</w:t>
      </w:r>
      <w:r>
        <w:rPr>
          <w:rFonts w:hint="eastAsia" w:ascii="仿宋" w:hAnsi="仿宋" w:eastAsia="仿宋" w:cs="仿宋"/>
          <w:sz w:val="28"/>
          <w:szCs w:val="28"/>
        </w:rPr>
        <w:t xml:space="preserve">（详见《淮安市</w:t>
      </w:r>
      <w:r>
        <w:rPr>
          <w:rFonts w:hint="eastAsia" w:ascii="仿宋" w:hAnsi="仿宋" w:eastAsia="仿宋" w:cs="仿宋"/>
          <w:sz w:val="28"/>
          <w:szCs w:val="28"/>
          <w:lang w:val="en-US" w:eastAsia="zh-CN"/>
        </w:rPr>
        <w:t xml:space="preserve">国省干线公路</w:t>
      </w:r>
      <w:r>
        <w:rPr>
          <w:rFonts w:hint="eastAsia" w:ascii="仿宋" w:hAnsi="仿宋" w:eastAsia="仿宋" w:cs="仿宋"/>
          <w:sz w:val="28"/>
          <w:szCs w:val="28"/>
        </w:rPr>
        <w:t xml:space="preserve">路网</w:t>
      </w:r>
      <w:r>
        <w:rPr>
          <w:rFonts w:hint="eastAsia" w:ascii="仿宋" w:hAnsi="仿宋" w:eastAsia="仿宋" w:cs="仿宋"/>
          <w:sz w:val="28"/>
          <w:szCs w:val="28"/>
          <w:lang w:val="en-US" w:eastAsia="zh-CN"/>
        </w:rPr>
        <w:t xml:space="preserve">运行监测设施</w:t>
      </w:r>
      <w:r>
        <w:rPr>
          <w:rFonts w:hint="eastAsia" w:ascii="仿宋" w:hAnsi="仿宋" w:eastAsia="仿宋" w:cs="仿宋"/>
          <w:sz w:val="28"/>
          <w:szCs w:val="28"/>
        </w:rPr>
        <w:t xml:space="preserve">点位一览表</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数量:共</w:t>
      </w:r>
      <w:r>
        <w:rPr>
          <w:rFonts w:hint="eastAsia" w:ascii="仿宋" w:hAnsi="仿宋" w:eastAsia="仿宋" w:cs="仿宋"/>
          <w:sz w:val="28"/>
          <w:szCs w:val="28"/>
          <w:lang w:val="en-US" w:eastAsia="zh-CN"/>
        </w:rPr>
        <w:t xml:space="preserve">254</w:t>
      </w:r>
      <w:r>
        <w:rPr>
          <w:rFonts w:hint="eastAsia" w:ascii="仿宋" w:hAnsi="仿宋" w:eastAsia="仿宋" w:cs="仿宋"/>
          <w:sz w:val="28"/>
          <w:szCs w:val="28"/>
        </w:rPr>
        <w:t xml:space="preserve">条</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汇聚地点:详见《淮安市</w:t>
      </w:r>
      <w:r>
        <w:rPr>
          <w:rFonts w:hint="eastAsia" w:ascii="仿宋" w:hAnsi="仿宋" w:eastAsia="仿宋" w:cs="仿宋"/>
          <w:sz w:val="28"/>
          <w:szCs w:val="28"/>
          <w:lang w:val="en-US" w:eastAsia="zh-CN"/>
        </w:rPr>
        <w:t xml:space="preserve">国省干线公路</w:t>
      </w:r>
      <w:r>
        <w:rPr>
          <w:rFonts w:hint="eastAsia" w:ascii="仿宋" w:hAnsi="仿宋" w:eastAsia="仿宋" w:cs="仿宋"/>
          <w:sz w:val="28"/>
          <w:szCs w:val="28"/>
        </w:rPr>
        <w:t xml:space="preserve">路网</w:t>
      </w:r>
      <w:r>
        <w:rPr>
          <w:rFonts w:hint="eastAsia" w:ascii="仿宋" w:hAnsi="仿宋" w:eastAsia="仿宋" w:cs="仿宋"/>
          <w:sz w:val="28"/>
          <w:szCs w:val="28"/>
          <w:lang w:val="en-US" w:eastAsia="zh-CN"/>
        </w:rPr>
        <w:t xml:space="preserve">运行监测设施</w:t>
      </w:r>
      <w:r>
        <w:rPr>
          <w:rFonts w:hint="eastAsia" w:ascii="仿宋" w:hAnsi="仿宋" w:eastAsia="仿宋" w:cs="仿宋"/>
          <w:sz w:val="28"/>
          <w:szCs w:val="28"/>
        </w:rPr>
        <w:t xml:space="preserve">点位一览表</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2、其他技术要求</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2.1、线路指标特性需符合国家标准</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2.2、专网线路两端接口类型为以太网接口，物理接口可选为光口或电口。</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2.3、专网线路必须保证传输网络的低时延，同时保证通信线路的先进性和可靠性。</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2.4、本项目中所涉及到的除光缆之外的应用层（如:路由器）之前的道路沿线落地点接入设备，由成交供应商免费提供。</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2.5、本项目所涉及到的采购方线路接入设备（如路由器）之前所需的硬件设备、线缆，由供应商免费提供。</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2.6、由于本次工程采用一杆两球的设置原则，供应商应保证每个点位提供不少于4个</w:t>
      </w:r>
      <w:r>
        <w:rPr>
          <w:rFonts w:hint="eastAsia" w:ascii="仿宋" w:hAnsi="仿宋" w:eastAsia="仿宋" w:cs="仿宋"/>
          <w:sz w:val="28"/>
          <w:szCs w:val="28"/>
          <w:highlight w:val="none"/>
        </w:rPr>
        <w:t xml:space="preserve">以太网接口，以便通讯传输及后期扩展。</w:t>
      </w:r>
      <w:r>
        <w:rPr>
          <w:rFonts w:hint="eastAsia" w:ascii="仿宋" w:hAnsi="仿宋" w:eastAsia="仿宋" w:cs="仿宋"/>
          <w:sz w:val="28"/>
          <w:szCs w:val="28"/>
          <w:highlight w:val="none"/>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开通要求</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开通工期为30天，自合同生效后次日开始计算。（注:开通即网络互联互通）</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新开通数字电路和现有线路平台无缝对接，采购单位负责系统对接的协调工作，供应商提供系统对接的技术支持，对接产生的费用由供应商来承担并包含在此次投标报价中。</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4、团队人员要求</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项目经理岗位职责</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（1）全面负责本国省干线专网专线租赁项目合同履约全流程管理，严格落实招标文件及合同全部要求，对项目进度、交付质量、网络安全、服务履约负第一管理责任。</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（2）统筹项目人员资源配置，管理业务联系人、巡检运维人员，明确各岗位职责与网络信息安全职责，落实人员到岗，统筹协调内部网络、资源、运维班组开展点位资源摸排、专线开通工作。</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（3）编制项目实施总体计划，落实合同生效后 30 天完成全部专线互联互通开通的工期目标；管控各外场点位开通进度，识别项目风险点，制定风险处置措施，定期向采购人报送项目周报、月报，及时报告项目重大问题。</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（4）作为与采购人总对接人，负责业务沟通协调，受理采购人线路变更、线路迁移、数量增减等业务需求，牵头组织需求评估、方案落地。</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（5）统筹专线开通验收组织工作，配合甲方完成开通确认、资料交接；负责项目台账管理，做好点位、线路信息、开通记录归档。</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（6）统筹故障处置、重大重保保障工作，发生重大网络故障时统一协调资源，监督故障响应、处置时效满足招标文件 SLA 要求（1 小时响应、故障限时修复、特大故障应急恢复）。</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（7）落实网络与信息安全管理要求，组织开展项目内部安全交底，监督运维作业安全规范执行。</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技术负责人岗位职责</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为本专线租赁项目技术总负责人，全面负责项目技术方案审核把关，包括专线组网架构、网络拓扑、带宽分配、点位接入硬件选型、网络隔离、低时延可靠性方案，确保技术方案完全响应招标文件技术参数要求。</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（2）负责外场点位专线接入技术把关，落实每个点位不少于 4 个以太网接口、免费提供路由器之前接入硬件及配套线缆等技术要求；审核设备选型、技术参数，保障外场点位部署可行性。</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（3）牵头负责新专线与采购人现有平台无缝对接技术工作，编制对接技术方案、测试方案，负责对接过程技术问题排查、调试，承担对接全部技术保障。</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（4）负责网络监控、告警推送、巡检技术方案审核；对专线运行指标、月可用率指标做技术管控；指导运维人员开展线路巡检、日志分析、资产管理。</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（5）负责疑难故障技术分析定位，针对专线中断、性能劣化等复杂故障制定技术处置方案；编制特大故障、重大活动重保技术应急预案。</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（6）对专线开通、迁移变更实施进行技术交底，解决实施过程中各类技术难点，审核开通测试报告、巡检报告、运维技术文档。</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）监督网络安全技术措施落实，确保专网通信符合通信行业安全规范；配合采购人开展技术答疑、技术核查。</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）配合项目经理完成项目验收技术资料编制，完成其他技术相关工作。</w:t>
      </w:r>
      <w:r>
        <w:rPr>
          <w:rFonts w:hint="eastAsia" w:ascii="仿宋" w:hAnsi="仿宋" w:eastAsia="仿宋" w:cs="仿宋"/>
          <w:sz w:val="28"/>
          <w:szCs w:val="28"/>
        </w:rPr>
      </w:r>
      <w:r/>
    </w:p>
    <w:p>
      <w:pPr>
        <w:pStyle w:val="1078"/>
        <w:ind w:firstLine="5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sz w:val="28"/>
          <w:szCs w:val="28"/>
        </w:rPr>
        <w:t xml:space="preserve">★</w:t>
      </w:r>
      <w:r>
        <w:rPr>
          <w:rFonts w:hint="eastAsia" w:ascii="仿宋" w:hAnsi="仿宋" w:eastAsia="仿宋" w:cs="仿宋"/>
          <w:sz w:val="28"/>
          <w:szCs w:val="28"/>
          <w:highlight w:val="none"/>
          <w:lang w:val="en-US" w:eastAsia="zh-CN"/>
        </w:rPr>
        <w:t xml:space="preserve">注：投标人参加投标时须针对以上技术要求进行逐项承诺（承诺函格式自拟并加盖投标人电子签章，不承诺作无效投标处理）</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、服务要求</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配备业务联系人一名，巡检人员四名，接到故障报修后1小时内响应，一般故障3小时内解决，重大故障6小时内解决。有应对重大故障的应急预案，如遇3小时内无法解决的特大故障则启动应急预案，2小时内恢复专网及专线。巡检维修人员负责前端点位设备和线路巡检及维护，每周至少一次，每月四次，提供人工确认后台数据服务、定期巡检（自备车辆）。</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2、数字电路使用需求发生改变时，采购人有权按实际需要减少或暂停使用线路，并按实际租赁条数付费。</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、采购人提出线路迁移申请的，提前三天告知，成交供应商应在15日内迁移到位。</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在排除不可抗力和非供应商责任的情况下，数字电路月可用率（月无故障时间/月总时间）95%以上为合格，采购人全额支付费用；数字电路可用率在85%-95%的，采购人有权酌情扣减月度租赁费；数字电路可用率低于85%的，采购人有权拒付当月租赁费。</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、商务部分</w:t>
      </w:r>
      <w:r>
        <w:rPr>
          <w:rFonts w:hint="eastAsia" w:ascii="仿宋" w:hAnsi="仿宋" w:eastAsia="仿宋" w:cs="仿宋"/>
          <w:sz w:val="28"/>
          <w:szCs w:val="28"/>
        </w:rPr>
      </w:r>
      <w:r/>
    </w:p>
    <w:p>
      <w:pPr>
        <w:pStyle w:val="1078"/>
        <w:ind w:firstLine="280"/>
        <w:spacing w:line="520" w:lineRule="exact"/>
        <w:rPr>
          <w:rFonts w:ascii="Times New Roman" w:hAnsi="Times New Roman" w:eastAsia="仿宋" w:cs="Times New Roman"/>
          <w:sz w:val="28"/>
          <w:szCs w:val="28"/>
        </w:rPr>
      </w:pPr>
      <w:r>
        <w:rPr>
          <w:rFonts w:ascii="Times New Roman" w:hAnsi="Times New Roman" w:eastAsia="仿宋" w:cs="Times New Roman"/>
          <w:sz w:val="28"/>
          <w:szCs w:val="28"/>
        </w:rPr>
        <w:t xml:space="preserve">（一）服务时间:</w:t>
      </w:r>
      <w:r>
        <w:rPr>
          <w:rFonts w:ascii="Times New Roman" w:hAnsi="Times New Roman" w:eastAsia="仿宋" w:cs="Times New Roman"/>
          <w:sz w:val="28"/>
          <w:szCs w:val="28"/>
          <w:lang w:val="en-US" w:eastAsia="zh-CN"/>
        </w:rPr>
        <w:t xml:space="preserve">线路服务自2027年1月1日起至2028年12月31日止。</w:t>
      </w:r>
      <w:r>
        <w:rPr>
          <w:rFonts w:ascii="Times New Roman" w:hAnsi="Times New Roman" w:eastAsia="仿宋" w:cs="Times New Roman"/>
          <w:sz w:val="28"/>
          <w:szCs w:val="28"/>
        </w:rPr>
        <w:t xml:space="preserve">服务期满</w:t>
      </w:r>
      <w:r>
        <w:rPr>
          <w:rFonts w:ascii="Times New Roman" w:hAnsi="Times New Roman" w:eastAsia="仿宋" w:cs="Times New Roman"/>
          <w:sz w:val="28"/>
          <w:szCs w:val="28"/>
          <w:lang w:val="en-US" w:eastAsia="zh-CN"/>
        </w:rPr>
        <w:t xml:space="preserve">后</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经</w:t>
      </w:r>
      <w:r>
        <w:rPr>
          <w:rFonts w:ascii="Times New Roman" w:hAnsi="Times New Roman" w:eastAsia="仿宋" w:cs="Times New Roman"/>
          <w:sz w:val="28"/>
          <w:szCs w:val="28"/>
        </w:rPr>
        <w:t xml:space="preserve">采购人考核满意后可续签。</w:t>
      </w:r>
      <w:r>
        <w:rPr>
          <w:rFonts w:ascii="Times New Roman" w:hAnsi="Times New Roman" w:eastAsia="仿宋" w:cs="Times New Roman"/>
          <w:sz w:val="28"/>
          <w:szCs w:val="28"/>
        </w:rPr>
      </w:r>
      <w:r/>
    </w:p>
    <w:p>
      <w:pPr>
        <w:pStyle w:val="1078"/>
        <w:ind w:firstLine="280"/>
        <w:jc w:val="left"/>
        <w:spacing w:line="520" w:lineRule="exact"/>
        <w:rPr>
          <w:rFonts w:ascii="Times New Roman" w:hAnsi="Times New Roman" w:eastAsia="仿宋" w:cs="Times New Roman"/>
          <w:sz w:val="28"/>
          <w:szCs w:val="28"/>
        </w:rPr>
      </w:pPr>
      <w:r>
        <w:rPr>
          <w:rFonts w:ascii="Times New Roman" w:hAnsi="Times New Roman" w:eastAsia="仿宋" w:cs="Times New Roman"/>
          <w:sz w:val="28"/>
          <w:szCs w:val="28"/>
        </w:rPr>
        <w:t xml:space="preserve">（二）服务地点:采购人指定</w:t>
      </w:r>
      <w:r>
        <w:rPr>
          <w:rFonts w:ascii="Times New Roman" w:hAnsi="Times New Roman" w:eastAsia="仿宋" w:cs="Times New Roman"/>
          <w:sz w:val="28"/>
          <w:szCs w:val="28"/>
        </w:rPr>
      </w:r>
      <w:r/>
    </w:p>
    <w:p>
      <w:pPr>
        <w:pStyle w:val="985"/>
        <w:ind w:firstLine="280"/>
        <w:jc w:val="left"/>
        <w:keepLines w:val="0"/>
        <w:keepNext w:val="0"/>
        <w:pageBreakBefore w:val="0"/>
        <w:spacing w:line="52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（三）付款方式: </w:t>
      </w:r>
      <w:r>
        <w:rPr>
          <w:rFonts w:ascii="Times New Roman" w:hAnsi="Times New Roman" w:eastAsia="仿宋" w:cs="Times New Roman"/>
          <w:sz w:val="28"/>
          <w:szCs w:val="28"/>
        </w:rPr>
      </w:r>
      <w:r/>
    </w:p>
    <w:p>
      <w:pPr>
        <w:pStyle w:val="985"/>
        <w:ind w:firstLine="420"/>
        <w:jc w:val="left"/>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1）合同内线路经甲方书面确认开通后，方可进入费用结算，计费时间从甲方书面开通确认后次月1日起计算。</w:t>
      </w:r>
      <w:r>
        <w:rPr>
          <w:rFonts w:ascii="Times New Roman" w:hAnsi="Times New Roman" w:eastAsia="仿宋" w:cs="Times New Roman"/>
          <w:sz w:val="28"/>
          <w:szCs w:val="28"/>
        </w:rPr>
      </w:r>
      <w:r/>
    </w:p>
    <w:p>
      <w:pPr>
        <w:pStyle w:val="1078"/>
        <w:ind w:firstLine="420"/>
        <w:jc w:val="left"/>
        <w:keepLines w:val="0"/>
        <w:keepNext w:val="0"/>
        <w:pageBreakBefore w:val="0"/>
        <w:spacing w:line="52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2）双方按每壹个月为一结算期，按照实际线路条数，乘以线路单价，</w:t>
      </w:r>
      <w:r>
        <w:rPr>
          <w:rFonts w:ascii="Times New Roman" w:hAnsi="Times New Roman" w:eastAsia="仿宋" w:cs="Times New Roman"/>
          <w:sz w:val="28"/>
          <w:szCs w:val="28"/>
          <w:lang w:val="en-US" w:eastAsia="zh-CN"/>
        </w:rPr>
        <w:t xml:space="preserve">计算出总价，</w:t>
      </w:r>
      <w:r>
        <w:rPr>
          <w:rFonts w:ascii="Times New Roman" w:hAnsi="Times New Roman" w:eastAsia="仿宋" w:cs="Times New Roman"/>
          <w:sz w:val="28"/>
          <w:szCs w:val="28"/>
        </w:rPr>
        <w:t xml:space="preserve">结算上月费用。</w:t>
      </w:r>
      <w:r>
        <w:rPr>
          <w:rFonts w:ascii="Times New Roman" w:hAnsi="Times New Roman" w:eastAsia="仿宋" w:cs="Times New Roman"/>
          <w:sz w:val="28"/>
          <w:szCs w:val="28"/>
        </w:rPr>
      </w:r>
      <w:r/>
    </w:p>
    <w:p>
      <w:pPr>
        <w:pStyle w:val="1052"/>
        <w:ind w:firstLine="420"/>
        <w:jc w:val="left"/>
        <w:keepLines w:val="0"/>
        <w:keepNext w:val="0"/>
        <w:pageBreakBefore w:val="0"/>
        <w:spacing w:line="52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3）每月10号前乙方须将费用明细表报甲方（电子版或纸质），甲方确定支付金额并反馈乙方，乙方根据甲方确认的金额开具发票，甲方收到发票后30日内完成支付。</w:t>
      </w:r>
      <w:r>
        <w:rPr>
          <w:rFonts w:ascii="Times New Roman" w:hAnsi="Times New Roman" w:eastAsia="仿宋" w:cs="Times New Roman"/>
          <w:sz w:val="28"/>
          <w:szCs w:val="28"/>
        </w:rPr>
      </w:r>
      <w:r/>
    </w:p>
    <w:p>
      <w:pPr>
        <w:pStyle w:val="1052"/>
        <w:jc w:val="left"/>
        <w:rPr>
          <w:rFonts w:hint="eastAsia" w:ascii="仿宋" w:hAnsi="仿宋" w:eastAsia="仿宋" w:cs="仿宋"/>
          <w:sz w:val="28"/>
          <w:szCs w:val="28"/>
        </w:rPr>
        <w:sectPr>
          <w:footnotePr/>
          <w:endnotePr/>
          <w:type w:val="nextPage"/>
          <w:pgSz w:w="11906" w:h="16838" w:orient="portrait"/>
          <w:pgMar w:top="1560" w:right="1418" w:bottom="1440" w:left="1797" w:header="851" w:footer="992" w:gutter="0"/>
          <w:pgNumType w:start="1"/>
          <w:cols w:num="1" w:sep="0" w:space="1701" w:equalWidth="1"/>
          <w:docGrid w:linePitch="360"/>
        </w:sectPr>
      </w:pPr>
      <w:r>
        <w:rPr>
          <w:rFonts w:hint="eastAsia" w:ascii="仿宋" w:hAnsi="仿宋" w:eastAsia="仿宋" w:cs="仿宋"/>
          <w:sz w:val="28"/>
          <w:szCs w:val="28"/>
        </w:rPr>
      </w:r>
      <w:r/>
    </w:p>
    <w:p>
      <w:pPr>
        <w:pStyle w:val="1052"/>
        <w:jc w:val="left"/>
        <w:rPr>
          <w:rFonts w:hint="eastAsia" w:ascii="仿宋" w:hAnsi="仿宋" w:eastAsia="仿宋" w:cs="仿宋"/>
          <w:sz w:val="28"/>
          <w:szCs w:val="28"/>
        </w:rPr>
      </w:pPr>
      <w:r>
        <w:rPr>
          <w:rFonts w:hint="eastAsia" w:ascii="仿宋" w:hAnsi="仿宋" w:eastAsia="仿宋" w:cs="仿宋"/>
          <w:sz w:val="28"/>
          <w:szCs w:val="28"/>
        </w:rPr>
      </w:r>
      <w:r/>
    </w:p>
    <w:p>
      <w:pPr>
        <w:pStyle w:val="1084"/>
        <w:ind w:firstLine="562"/>
        <w:jc w:val="center"/>
        <w:keepNext/>
        <w:spacing w:line="520" w:lineRule="exact"/>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淮安市国省干线公路路网运行监测设施点位一览表</w:t>
      </w:r>
      <w:r>
        <w:rPr>
          <w:rFonts w:hint="eastAsia" w:ascii="宋体" w:hAnsi="宋体" w:cs="宋体"/>
          <w:b/>
          <w:bCs/>
          <w:sz w:val="28"/>
          <w:szCs w:val="28"/>
          <w:lang w:val="en-US" w:eastAsia="zh-CN"/>
        </w:rPr>
        <w:t xml:space="preserve">2</w:t>
      </w:r>
      <w:r>
        <w:rPr>
          <w:rFonts w:hint="eastAsia" w:ascii="宋体" w:hAnsi="宋体" w:eastAsia="宋体" w:cs="宋体"/>
          <w:b/>
          <w:bCs/>
          <w:sz w:val="28"/>
          <w:szCs w:val="28"/>
          <w:lang w:eastAsia="zh-CN"/>
        </w:rPr>
      </w:r>
      <w:r/>
    </w:p>
    <w:tbl>
      <w:tblPr>
        <w:tblW w:w="13156"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896"/>
        <w:gridCol w:w="5675"/>
        <w:gridCol w:w="1784"/>
        <w:gridCol w:w="1856"/>
        <w:gridCol w:w="1133"/>
      </w:tblGrid>
      <w:tr>
        <w:trPr>
          <w:trHeight w:val="52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suppressLineNumbers w:val="0"/>
            </w:pPr>
            <w:r>
              <w:rPr>
                <w:rStyle w:val="1079"/>
                <w:rFonts w:ascii="Times New Roman" w:hAnsi="Times New Roman" w:eastAsia="宋体" w:cs="Times New Roman"/>
                <w:sz w:val="20"/>
                <w:szCs w:val="20"/>
                <w:lang w:val="en-US" w:eastAsia="zh-CN" w:bidi="ar"/>
              </w:rPr>
              <w:t xml:space="preserve">序号</w:t>
            </w:r>
            <w:r>
              <w:rPr>
                <w:rFonts w:ascii="Times New Roman" w:hAnsi="Times New Roman" w:eastAsia="宋体" w:cs="Times New Roman"/>
                <w:b/>
                <w:bCs/>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suppressLineNumbers w:val="0"/>
            </w:pPr>
            <w:r>
              <w:rPr>
                <w:rStyle w:val="1079"/>
                <w:rFonts w:ascii="Times New Roman" w:hAnsi="Times New Roman" w:eastAsia="宋体" w:cs="Times New Roman"/>
                <w:sz w:val="20"/>
                <w:szCs w:val="20"/>
                <w:lang w:val="en-US" w:eastAsia="zh-CN" w:bidi="ar"/>
              </w:rPr>
              <w:t xml:space="preserve">线路</w:t>
            </w:r>
            <w:r>
              <w:rPr>
                <w:rFonts w:ascii="Times New Roman" w:hAnsi="Times New Roman" w:eastAsia="宋体" w:cs="Times New Roman"/>
                <w:b/>
                <w:bCs/>
                <w:i w:val="0"/>
                <w:iCs w:val="0"/>
                <w:color w:val="000000"/>
                <w:sz w:val="20"/>
                <w:szCs w:val="20"/>
                <w:u w:val="none"/>
              </w:rPr>
            </w:r>
            <w:r/>
          </w:p>
        </w:tc>
        <w:tc>
          <w:tcPr>
            <w:tcW w:w="5675" w:type="dxa"/>
            <w:vAlign w:val="center"/>
            <w:textDirection w:val="lrTb"/>
            <w:noWrap/>
          </w:tcPr>
          <w:p>
            <w:pPr>
              <w:pStyle w:val="985"/>
              <w:jc w:val="center"/>
              <w:keepLines w:val="0"/>
              <w:keepNext w:val="0"/>
              <w:widowControl/>
              <w:rPr>
                <w:rFonts w:ascii="Times New Roman" w:hAnsi="Times New Roman" w:eastAsia="宋体" w:cs="Times New Roman"/>
                <w:b/>
                <w:bCs/>
                <w:i w:val="0"/>
                <w:iCs w:val="0"/>
                <w:color w:val="000000"/>
                <w:sz w:val="20"/>
                <w:szCs w:val="20"/>
                <w:u w:val="none"/>
              </w:rPr>
              <w:suppressLineNumbers w:val="0"/>
            </w:pPr>
            <w:r>
              <w:rPr>
                <w:rFonts w:ascii="Times New Roman" w:hAnsi="Times New Roman" w:eastAsia="宋体" w:cs="Times New Roman"/>
                <w:b/>
                <w:bCs/>
                <w:i w:val="0"/>
                <w:iCs w:val="0"/>
                <w:color w:val="000000"/>
                <w:sz w:val="20"/>
                <w:szCs w:val="20"/>
                <w:u w:val="none"/>
                <w:lang w:val="en-US" w:eastAsia="zh-CN" w:bidi="ar"/>
              </w:rPr>
              <w:t xml:space="preserve">信息科点位名称</w:t>
            </w:r>
            <w:r>
              <w:rPr>
                <w:rFonts w:ascii="Times New Roman" w:hAnsi="Times New Roman" w:eastAsia="宋体" w:cs="Times New Roman"/>
                <w:b/>
                <w:bCs/>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suppressLineNumbers w:val="0"/>
            </w:pPr>
            <w:r>
              <w:rPr>
                <w:rStyle w:val="1079"/>
                <w:rFonts w:ascii="Times New Roman" w:hAnsi="Times New Roman" w:eastAsia="宋体" w:cs="Times New Roman"/>
                <w:sz w:val="20"/>
                <w:szCs w:val="20"/>
                <w:lang w:val="en-US" w:eastAsia="zh-CN" w:bidi="ar"/>
              </w:rPr>
              <w:t xml:space="preserve">所属县区</w:t>
            </w:r>
            <w:r>
              <w:rPr>
                <w:rFonts w:ascii="Times New Roman" w:hAnsi="Times New Roman" w:eastAsia="宋体" w:cs="Times New Roman"/>
                <w:b/>
                <w:bCs/>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suppressLineNumbers w:val="0"/>
            </w:pPr>
            <w:r>
              <w:rPr>
                <w:rStyle w:val="1079"/>
                <w:rFonts w:ascii="Times New Roman" w:hAnsi="Times New Roman" w:eastAsia="宋体" w:cs="Times New Roman"/>
                <w:sz w:val="20"/>
                <w:szCs w:val="20"/>
                <w:lang w:val="en-US" w:eastAsia="zh-CN" w:bidi="ar"/>
              </w:rPr>
              <w:t xml:space="preserve">带宽</w:t>
            </w:r>
            <w:r>
              <w:rPr>
                <w:rFonts w:ascii="Times New Roman" w:hAnsi="Times New Roman" w:eastAsia="宋体" w:cs="Times New Roman"/>
                <w:b/>
                <w:bCs/>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suppressLineNumbers w:val="0"/>
            </w:pPr>
            <w:r>
              <w:rPr>
                <w:rStyle w:val="1079"/>
                <w:rFonts w:ascii="Times New Roman" w:hAnsi="Times New Roman" w:eastAsia="宋体" w:cs="Times New Roman"/>
                <w:sz w:val="20"/>
                <w:szCs w:val="20"/>
                <w:lang w:val="en-US" w:eastAsia="zh-CN" w:bidi="ar"/>
              </w:rPr>
              <w:t xml:space="preserve">租期（月）</w:t>
            </w:r>
            <w:r>
              <w:rPr>
                <w:rFonts w:ascii="Times New Roman" w:hAnsi="Times New Roman" w:eastAsia="宋体" w:cs="Times New Roman"/>
                <w:b/>
                <w:bCs/>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G205山深线-徐溜服务区K1099+440-1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G205山深线-盐河大桥K1123+369-1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G205山深线-淮海西路交叉口K1126+380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G205山深线-漕运西路交叉口南K1127+600-1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G205山深线-京杭运河特大桥K1129+345</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Style w:val="1038"/>
                <w:rFonts w:ascii="Times New Roman" w:hAnsi="Times New Roman" w:eastAsia="宋体" w:cs="Times New Roman"/>
                <w:sz w:val="20"/>
                <w:szCs w:val="20"/>
                <w:lang w:val="en-US" w:eastAsia="zh-CN" w:bidi="ar"/>
              </w:rPr>
              <w:t xml:space="preserve">山深线</w:t>
            </w:r>
            <w:r>
              <w:rPr>
                <w:rFonts w:ascii="Times New Roman" w:hAnsi="Times New Roman" w:eastAsia="宋体" w:cs="Times New Roman"/>
                <w:i w:val="0"/>
                <w:iCs w:val="0"/>
                <w:color w:val="000000"/>
                <w:sz w:val="20"/>
                <w:szCs w:val="20"/>
                <w:u w:val="none"/>
                <w:lang w:val="en-US" w:eastAsia="zh-CN" w:bidi="ar"/>
              </w:rPr>
              <w:t xml:space="preserve">-</w:t>
            </w:r>
            <w:r>
              <w:rPr>
                <w:rStyle w:val="1038"/>
                <w:rFonts w:ascii="Times New Roman" w:hAnsi="Times New Roman" w:eastAsia="宋体" w:cs="Times New Roman"/>
                <w:sz w:val="20"/>
                <w:szCs w:val="20"/>
                <w:lang w:val="en-US" w:eastAsia="zh-CN" w:bidi="ar"/>
              </w:rPr>
              <w:t xml:space="preserve">京杭运河大桥南</w:t>
            </w:r>
            <w:r>
              <w:rPr>
                <w:rFonts w:ascii="Times New Roman" w:hAnsi="Times New Roman" w:eastAsia="宋体" w:cs="Times New Roman"/>
                <w:i w:val="0"/>
                <w:iCs w:val="0"/>
                <w:color w:val="000000"/>
                <w:sz w:val="20"/>
                <w:szCs w:val="20"/>
                <w:u w:val="none"/>
                <w:lang w:val="en-US" w:eastAsia="zh-CN" w:bidi="ar"/>
              </w:rPr>
              <w:t xml:space="preserve">K1130+160-1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G205山深线-金象路大桥南侧K1131+805（桥下监控）</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G205山深线-武墩王庄村K1133+700-1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G205山深线-管养交界处K1135+602-1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G205山深线-和平镇齐湖村K1143+253</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G205山深线-和平镇新农村K1148+194</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G205山深线-灌溉总渠特大桥北K1149+697</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G205山深线-灌溉总渠特大桥上K1150+684</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G205山深线-浔河大桥北K1166+753</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G205山深线-三河大桥北K1186+610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G205山深线-汪木排河大桥北K1194+910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G205山深线-军部大道交叉口南K1212+100-1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G205山深线-新街交调站K1216+000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G233克黄线-淮高镇洪涯村K1448+185-1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G233克黄线-淮高镇胡庄K1452+900-1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G233克黄线-丁集联络线交调站K1462+000-1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G233克黄线-S247交叉口K1464+000-1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G233克黄线-长江东路交叉口K1470+295-1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G233克黄线-淮河东路交叉口K1469+500-1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G235新海线-淮宿交界K154+400-1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G235新海线-新溜子河大桥北K183+735-1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G235新海线-溜子河大桥南K186+502-1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G235新海线-淮河三桥北K188+000-1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G235新海线-淮河三桥南K189+919-1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G235新海线-淮河三桥交调站K191+100-1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G235新海线-S331交叉口北侧K192+170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G344东灵线-淮安扬州界K169+362-1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G344东灵线-X201交叉口K176+810-1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G344东灵线-银涂镇衢北庄弯道K179+600-1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G344东灵线-银涂服务区K185+000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G344东灵线-S331交叉口K190+846-1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G344东灵线-金湖大桥东K193+100-1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G344东灵线-金湖大桥上K194+490-1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G344东灵线-金湖大桥中K196+010-1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G344东灵线-X103交叉东侧K200+720-1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G344东灵线-衡阳南路K203+922-1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 S22盐蚌高速金湖出入口（S247南交叉）K206+650-1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G344东灵线-S247北交叉口K210+000-2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G344东灵线-金湖立交交叉口K221+556-1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G344东灵线-马坝立交交叉口K229+440-1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G344东灵线-马坝交调点K238+900-1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G344东灵线-马坝镇旧街村K239+811-1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G344东灵线-S331交叉西侧K245+300-1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G344东灵线-盱眙车管所K247+300-1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G344东灵线-淮河大桥东侧桥上K258+650-1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Style w:val="1038"/>
                <w:rFonts w:ascii="Times New Roman" w:hAnsi="Times New Roman" w:eastAsia="宋体" w:cs="Times New Roman"/>
                <w:sz w:val="20"/>
                <w:szCs w:val="20"/>
                <w:lang w:val="en-US" w:eastAsia="zh-CN" w:bidi="ar"/>
              </w:rPr>
              <w:t xml:space="preserve">东灵线</w:t>
            </w:r>
            <w:r>
              <w:rPr>
                <w:rFonts w:ascii="Times New Roman" w:hAnsi="Times New Roman" w:eastAsia="宋体" w:cs="Times New Roman"/>
                <w:i w:val="0"/>
                <w:iCs w:val="0"/>
                <w:color w:val="000000"/>
                <w:sz w:val="20"/>
                <w:szCs w:val="20"/>
                <w:u w:val="none"/>
                <w:lang w:val="en-US" w:eastAsia="zh-CN" w:bidi="ar"/>
              </w:rPr>
              <w:t xml:space="preserve">-</w:t>
            </w:r>
            <w:r>
              <w:rPr>
                <w:rStyle w:val="1038"/>
                <w:rFonts w:ascii="Times New Roman" w:hAnsi="Times New Roman" w:eastAsia="宋体" w:cs="Times New Roman"/>
                <w:sz w:val="20"/>
                <w:szCs w:val="20"/>
                <w:lang w:val="en-US" w:eastAsia="zh-CN" w:bidi="ar"/>
              </w:rPr>
              <w:t xml:space="preserve">淮河大桥西侧桥头</w:t>
            </w:r>
            <w:r>
              <w:rPr>
                <w:rFonts w:ascii="Times New Roman" w:hAnsi="Times New Roman" w:eastAsia="宋体" w:cs="Times New Roman"/>
                <w:i w:val="0"/>
                <w:iCs w:val="0"/>
                <w:color w:val="000000"/>
                <w:sz w:val="20"/>
                <w:szCs w:val="20"/>
                <w:u w:val="none"/>
                <w:lang w:val="en-US" w:eastAsia="zh-CN" w:bidi="ar"/>
              </w:rPr>
              <w:t xml:space="preserve">K259+085-2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G344东灵线-K178+965 行人过街</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G344东灵线-K190+200 行人过街</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G344东灵线-K192+223 行人过街</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 灌和线-七支排涝河桥K29+460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S235灌和线-高沟镇尹荡村村委会K20+100-1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S235灌和线-红窑镇姜庄K28+100-1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S235灌和线-红窑镇李庄村K32+490-1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S235灌和线-红窑镇花庄村K39+000-1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S235灌和线-朱码街道王二庄村K41+000-1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S235灌和线-朱码街道薛庄K44+200-1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S235灌和线-保滩街道宋保大桥K57+640-2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S235灌和线-钦工镇谷尹村K58+930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S235灌和线-谷庄交调站K59+080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S235灌和线-钦工镇邵庄K60+680-1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S235灌和线-宋集K64+253-1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S235灌和线-钦工镇贾庄K68+173-1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S235灌和线-席桥工业园区K74+603-1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S235灌和线-山阳街道席桥K76+683-1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S247淮六线-灌溉总渠大桥K35+800（桥下监控）</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S247淮六线-范集镇实联大道北K39+200-1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S247淮六线-浔河大桥北K51+542-1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S247淮六线-浔河大桥南K52+495-1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S247淮六线-岔河镇张庄K54+045-1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S247淮六线-草泽河大桥K60+519-1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S247淮六线-金北停车区K69+117-1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S247淮六线-淮金大桥北K74+802-1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S247淮六线-淮金大桥中K77+174-1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S247淮六线-淮金大桥南K78+442-2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S247淮六线-罗庄交调站K92+140-1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S326陈沭线-G233交叉口K95+400-1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S327滨淮线-石湖镇五斗沟桥K74+950-1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3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S327滨淮线-唐集镇丁庄K77+100-1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S327滨淮线-唐集镇联富村K82+400-1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S327滨淮线-黄营镇小新庄K86+300-1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S327滨淮线-黄营镇王舍K89+900-1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S327滨淮线-黄营镇王庄K91+950-1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S327滨淮线-大东镇刘大庄K95+500-1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S327滨淮线-大东镇镇南村高庄K98+600-1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S327滨淮线-李集镇小高庄K101+700-1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S327滨淮线-红日大道交叉口K108+280-1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S327滨淮线-古淮河水利闸桥K110+940-1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S327滨淮线-钦工镇沿六河大桥K112+150-1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S327滨淮线-钦工镇小邵庄K112+910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S327滨淮线-钦工镇后徐庄K114+420-1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S327滨淮线-钦工镇谷小庄K115+610-1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S327滨淮线-S235交叉口K116+610-1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S327滨淮线-保滩街道王场K123+828-1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Style w:val="1038"/>
                <w:rFonts w:ascii="Times New Roman" w:hAnsi="Times New Roman" w:eastAsia="宋体" w:cs="Times New Roman"/>
                <w:sz w:val="20"/>
                <w:szCs w:val="20"/>
                <w:lang w:val="en-US" w:eastAsia="zh-CN" w:bidi="ar"/>
              </w:rPr>
              <w:t xml:space="preserve">滨淮线</w:t>
            </w:r>
            <w:r>
              <w:rPr>
                <w:rFonts w:ascii="Times New Roman" w:hAnsi="Times New Roman" w:eastAsia="宋体" w:cs="Times New Roman"/>
                <w:i w:val="0"/>
                <w:iCs w:val="0"/>
                <w:color w:val="000000"/>
                <w:sz w:val="20"/>
                <w:szCs w:val="20"/>
                <w:u w:val="none"/>
                <w:lang w:val="en-US" w:eastAsia="zh-CN" w:bidi="ar"/>
              </w:rPr>
              <w:t xml:space="preserve">-</w:t>
            </w:r>
            <w:r>
              <w:rPr>
                <w:rStyle w:val="1038"/>
                <w:rFonts w:ascii="Times New Roman" w:hAnsi="Times New Roman" w:eastAsia="宋体" w:cs="Times New Roman"/>
                <w:sz w:val="20"/>
                <w:szCs w:val="20"/>
                <w:lang w:val="en-US" w:eastAsia="zh-CN" w:bidi="ar"/>
              </w:rPr>
              <w:t xml:space="preserve">保滩街道郑庄</w:t>
            </w:r>
            <w:r>
              <w:rPr>
                <w:rFonts w:ascii="Times New Roman" w:hAnsi="Times New Roman" w:eastAsia="宋体" w:cs="Times New Roman"/>
                <w:i w:val="0"/>
                <w:iCs w:val="0"/>
                <w:color w:val="000000"/>
                <w:sz w:val="20"/>
                <w:szCs w:val="20"/>
                <w:u w:val="none"/>
                <w:lang w:val="en-US" w:eastAsia="zh-CN" w:bidi="ar"/>
              </w:rPr>
              <w:t xml:space="preserve">K126+678-1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S327滨淮线-K135+260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S327滨淮线-K134+900（下行）</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S327滨淮线-K134+380（下行）</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S327滨淮线-K126+000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S327滨淮线-K133+150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S327滨淮线-K133+050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S327滨淮线-K120+700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S327滨淮线-K134+900（上行）</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S327滨淮线-K134+380（上行）</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S328扁淮线-复兴镇黄东村K99+500-1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S328扁淮线-复兴镇李王庄K103+330-2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S328扁淮线-博里镇边舍村K107+700-1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S328扁淮线-博里镇新庄K111+400-1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S328扁淮线-X305交叉口K115+400-1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S328扁淮线-博里镇郭兴村K118+400-1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S328-扁淮线-朱桥镇石唐村K121+600-1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S328扁淮线-石塘镇岳桥村K128+210-1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S328扁淮线-石塘镇运南闸北侧弯道K131+200-1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S328扁淮线-石塘镇运东闸K131+560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S328扁淮线-运南闸K132+230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S328扁淮线-漕运镇新庄K135+690-1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S328扁淮线-漕运镇朱洼村K136+740-1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S328扁淮线-漕运镇周湾K138+680-1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S328扁淮线-漕运镇小后庄K140+300-1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S328扁淮线-漕运镇花庄K144+000-1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S331江苏淮安金湖县K157+890下行前锋镇花沟村</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S331江苏淮安金湖县K159+700下行</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S331丹宝明线-前锋镇淮阳村K169+190-2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S331丹宝明线-乌龙渡大桥北K171+240-1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S331丹宝明线-乌龙渡大桥南K172+550-2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S331丹宝明线-穆店交调点K234+800-2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S331丹宝明线-河桥镇黄花村K249+630-2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S331丹宝明线-石山水泥厂弯道K253+750-2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S331丹宝明线-河桥弯道K264+400-2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S331丹宝明线-洪山弯道K266+200-2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S331丹宝明线-洪山交调站K268+150-1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S331丹宝明线-苏皖省界K270+470-2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S348临洪线-淮安盐城市界K118+950-1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S348临洪线-博里交调站K121+050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S348临洪线-陶晗村K121+300-2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S348临洪线-新民村K122+600-1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S348临洪线-X203交叉口K124+175-2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S348临洪线-车桥镇花巷村K138+900-1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S348临洪线-车桥镇陈桥村K140+500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S348临洪线-施河镇戚河村K142+200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S348临洪线-施河镇人民路交叉东侧K143+840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S348临洪线-施河镇施舍村K145+600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S348临洪线-施河镇南圩K147+400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S348临洪线-施河镇灌庄村K149+000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S348临洪线-施河镇高坝桥村K150+800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S348临洪线-京沪高速大桥西K153+675-1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S348临洪线-G233交叉口东K154+835-1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S348临洪线-上河镇于楼K156+550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S348临洪线-京杭运河特大桥东K158+350-1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S348临洪线-京杭运河特大桥西K160+300-1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S348临洪线-漕运镇双沟村K162+200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S348临洪线-漕运镇牛路村K164+200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S348临洪线-新河大桥K166+000-1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S348临洪线-后韩庄K167+600-1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S348临洪线-小吕K169+100-1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S348临洪线-于南河桥K170+600-1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S348临洪线-大问村K171+900-1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S348临洪线-浮沟庄K173+400-1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S348临洪线-与S247交叉口K174+800-2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S348临洪线-X201交叉口K184+910-1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S348临洪线-新队K186+500-1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S348临洪线-张安村K188+700-1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S348临洪线-富民村K190+600-1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S348临洪线-黄褚村K192+900-1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S348临洪线-陶后庄K194+500-1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S348临洪线-G205交叉口西K196+600-1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S348临洪线-与S350交叉口K197+981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XZ02林范线-建场北路交叉口K19+790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XZ02林范线-范集镇加油站K23+470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XZ02黄朱线-X202交叉口K30+750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XZ02黄朱线-幸福桥K32+980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XZ02黄朱线-唐曹村K40+000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XZ02黄朱线-赵庄K44+350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XZ02黄朱线-黄山路交叉口K46+000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XZ02黄朱线-朱坝集镇K46+400-1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洪泽湖至荷花荡公路-与规划 S330 交叉 K0+300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洪泽湖至荷花荡公路-与 X306 交叉 K3+600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洪泽湖至荷花荡公路-严庄 K6+800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洪泽湖至荷花荡公路-与 G205 交叉 K8+450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洪泽湖至荷花荡公路-跨管道桥 K9+700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洪泽湖至荷花荡公路-邓庄 K12+200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洪泽湖至荷花荡公路-小赵庄 K13+600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洪泽湖至荷花荡公路-新集村 K15+100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洪泽湖至荷花荡公路-雷庄 K16+600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S523洪泽湖至荷花荡公路-邬南路交叉口K21+750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S523洪泽湖至荷花荡公路-S247交叉口K24+200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S523洪泽湖至荷花荡公路-老三河桥K25+930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S523洪泽湖至荷花荡公路-幸福港桥K27+900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S523洪泽湖至荷花荡公路-潘庄K29</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S523洪泽湖至荷花荡公路-吕良交调站-K26+700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S523洪泽湖至荷花荡公路-避尘沟桥K31+600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S523洪泽湖至荷花荡公路-张家集K33+850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S523洪泽湖至荷花荡公路-前进村K35+200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S503江苏淮安淮阴区跨京沪高速大桥情报板</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S503江苏淮安淮阴区跨宁连高速大桥情报板</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江苏淮安洪泽区G25长深高速五里牌出入口</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S348江苏淮安淮安区K152+400上行京沪高速大桥</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江苏淮安金湖县S22盐蚌高速金湖出入口</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X306江苏淮安盱眙县G25长深高速铁山寺出入口</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江苏淮安盱眙县S22盐蚌高速东阳出入口</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G344江苏淮安盱眙县K250+810下行S49新扬高速盱眙出入口</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G235江苏淮安盱眙县K167+230上行S49新扬高速管仲出入口</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上级单位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淮安市交通运输局</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上级单位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淮安市交通运输局</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淮海路办公区</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中心互联网宽带</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北京路办公区</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北京路一楼路网中心</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下属单位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直属公路管理站</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下属单位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淮阴区公路事业发展中心</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下属单位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涟水县公路事业发展中心</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下属单位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淮安区公路事业发展中心</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下属单位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洪泽区公路事业发展中心</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下属单位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金湖县公路事业发展中心</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下属单位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盱眙县公路事业发展中心</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淮阴区养护应急基地（G205丁集工区、停车区）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S429江苏淮安淮阴区马头工区（停车区）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涟水县养护应急基地（S235涟城工区）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S346江苏淮安涟水县朱码工区（停车区）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淮安市养护应急处置中心（G205和平工区）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淮安区养护应急基地（S328淮阜工区）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洪泽区养护应急基地（S350岔河工区、停车区）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G344江苏淮安金湖县银涂工区、停车区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金湖县养护应急基地（G344黎城工区、停车区）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G344江苏淮安金湖县银集服务区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S331江苏淮安盱眙县洪山停车区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视频上云</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中心视频上云服务互联网线路1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视频上云</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中心视频上云服务互联网线路2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视频上云</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中心视频上云服务互联网线路3</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视频上云</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中心视频上云服务互联网线路4</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视频上云</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中心视频上云服务互联网线路5</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视频上云</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中心视频上云服务互联网线路6</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4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235</w:t>
            </w:r>
            <w:r>
              <w:rPr>
                <w:rFonts w:ascii="Times New Roman" w:hAnsi="Times New Roman" w:eastAsia="宋体" w:cs="Times New Roman"/>
                <w:i w:val="0"/>
                <w:iCs w:val="0"/>
                <w:color w:val="000000"/>
                <w:sz w:val="20"/>
                <w:szCs w:val="20"/>
                <w:u w:val="none"/>
                <w:lang w:val="en-US" w:eastAsia="zh-CN" w:bidi="ar"/>
              </w:rPr>
            </w:r>
            <w:r/>
          </w:p>
        </w:tc>
        <w:tc>
          <w:tcPr>
            <w:tcW w:w="1896" w:type="dxa"/>
            <w:vAlign w:val="center"/>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suppressLineNumbers w:val="0"/>
            </w:pPr>
            <w:r>
              <w:rPr>
                <w:rStyle w:val="1082"/>
                <w:rFonts w:ascii="Times New Roman" w:hAnsi="Times New Roman" w:eastAsia="宋体" w:cs="Times New Roman"/>
                <w:sz w:val="20"/>
                <w:szCs w:val="20"/>
                <w:lang w:val="en-US" w:eastAsia="zh-CN" w:bidi="ar"/>
              </w:rPr>
              <w:t xml:space="preserve">科技兴安</w:t>
            </w:r>
            <w:r>
              <w:rPr>
                <w:rStyle w:val="1082"/>
                <w:rFonts w:ascii="Times New Roman" w:hAnsi="Times New Roman" w:eastAsia="宋体" w:cs="Times New Roman"/>
                <w:sz w:val="20"/>
                <w:szCs w:val="20"/>
                <w:lang w:val="en-US" w:eastAsia="zh-CN" w:bidi="ar"/>
              </w:rPr>
            </w:r>
            <w:r/>
          </w:p>
        </w:tc>
        <w:tc>
          <w:tcPr>
            <w:tcW w:w="5675" w:type="dxa"/>
            <w:vAlign w:val="center"/>
            <w:vMerge w:val="restart"/>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预留20条路网监测设施、科技兴安</w:t>
            </w:r>
            <w:r>
              <w:rPr>
                <w:rFonts w:hint="eastAsia" w:ascii="Times New Roman" w:hAnsi="Times New Roman" w:eastAsia="宋体" w:cs="Times New Roman"/>
                <w:i w:val="0"/>
                <w:iCs w:val="0"/>
                <w:color w:val="000000"/>
                <w:sz w:val="20"/>
                <w:szCs w:val="20"/>
                <w:u w:val="none"/>
                <w:lang w:val="en-US" w:eastAsia="zh-CN" w:bidi="ar"/>
              </w:rPr>
              <w:t xml:space="preserve">等新建线路</w:t>
            </w:r>
            <w:r>
              <w:rPr>
                <w:rFonts w:ascii="Times New Roman" w:hAnsi="Times New Roman" w:eastAsia="宋体" w:cs="Times New Roman"/>
                <w:i w:val="0"/>
                <w:iCs w:val="0"/>
                <w:color w:val="000000"/>
                <w:sz w:val="20"/>
                <w:szCs w:val="20"/>
                <w:u w:val="none"/>
                <w:lang w:val="en-US" w:eastAsia="zh-CN" w:bidi="ar"/>
              </w:rPr>
            </w:r>
            <w:r/>
          </w:p>
        </w:tc>
        <w:tc>
          <w:tcPr>
            <w:tcW w:w="1784" w:type="dxa"/>
            <w:vAlign w:val="center"/>
            <w:vMerge w:val="restart"/>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以实际</w:t>
            </w:r>
            <w:r>
              <w:rPr>
                <w:rFonts w:hint="eastAsia" w:ascii="Times New Roman" w:hAnsi="Times New Roman" w:eastAsia="宋体" w:cs="Times New Roman"/>
                <w:i w:val="0"/>
                <w:iCs w:val="0"/>
                <w:color w:val="000000"/>
                <w:sz w:val="20"/>
                <w:szCs w:val="20"/>
                <w:u w:val="none"/>
                <w:lang w:val="en-US" w:eastAsia="zh-CN" w:bidi="ar"/>
              </w:rPr>
              <w:t xml:space="preserve">使用</w:t>
            </w:r>
            <w:r>
              <w:rPr>
                <w:rFonts w:ascii="Times New Roman" w:hAnsi="Times New Roman" w:eastAsia="宋体" w:cs="Times New Roman"/>
                <w:i w:val="0"/>
                <w:iCs w:val="0"/>
                <w:color w:val="000000"/>
                <w:sz w:val="20"/>
                <w:szCs w:val="20"/>
                <w:u w:val="none"/>
                <w:lang w:val="en-US" w:eastAsia="zh-CN" w:bidi="ar"/>
              </w:rPr>
              <w:t xml:space="preserve">情况为准</w:t>
            </w:r>
            <w:r>
              <w:rPr>
                <w:rStyle w:val="1082"/>
                <w:rFonts w:ascii="Times New Roman" w:hAnsi="Times New Roman" w:eastAsia="宋体" w:cs="Times New Roman"/>
                <w:sz w:val="20"/>
                <w:szCs w:val="20"/>
                <w:lang w:val="en-US" w:eastAsia="zh-CN" w:bidi="ar"/>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lang w:val="en-US" w:eastAsia="zh-CN" w:bidi="ar"/>
              </w:rPr>
            </w:r>
            <w:r/>
          </w:p>
        </w:tc>
        <w:tc>
          <w:tcPr>
            <w:tcW w:w="1133" w:type="dxa"/>
            <w:vAlign w:val="center"/>
            <w:vMerge w:val="restart"/>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以实际</w:t>
            </w:r>
            <w:r>
              <w:rPr>
                <w:rFonts w:hint="eastAsia" w:ascii="Times New Roman" w:hAnsi="Times New Roman" w:eastAsia="宋体" w:cs="Times New Roman"/>
                <w:i w:val="0"/>
                <w:iCs w:val="0"/>
                <w:color w:val="000000"/>
                <w:sz w:val="20"/>
                <w:szCs w:val="20"/>
                <w:u w:val="none"/>
                <w:lang w:val="en-US" w:eastAsia="zh-CN" w:bidi="ar"/>
              </w:rPr>
              <w:t xml:space="preserve">使用</w:t>
            </w:r>
            <w:r>
              <w:rPr>
                <w:rFonts w:ascii="Times New Roman" w:hAnsi="Times New Roman" w:eastAsia="宋体" w:cs="Times New Roman"/>
                <w:i w:val="0"/>
                <w:iCs w:val="0"/>
                <w:color w:val="000000"/>
                <w:sz w:val="20"/>
                <w:szCs w:val="20"/>
                <w:u w:val="none"/>
                <w:lang w:val="en-US" w:eastAsia="zh-CN" w:bidi="ar"/>
              </w:rPr>
              <w:t xml:space="preserve">情况为准</w:t>
            </w:r>
            <w:r>
              <w:rPr>
                <w:rFonts w:ascii="Times New Roman" w:hAnsi="Times New Roman" w:eastAsia="宋体" w:cs="Times New Roman"/>
                <w:i w:val="0"/>
                <w:iCs w:val="0"/>
                <w:color w:val="000000"/>
                <w:sz w:val="20"/>
                <w:szCs w:val="20"/>
                <w:u w:val="none"/>
                <w:lang w:val="en-US" w:eastAsia="zh-CN" w:bidi="ar"/>
              </w:rPr>
            </w:r>
            <w:r/>
          </w:p>
        </w:tc>
      </w:tr>
      <w:tr>
        <w:trPr>
          <w:trHeight w:val="44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w:t>
            </w:r>
            <w:r>
              <w:rPr>
                <w:rFonts w:ascii="Times New Roman" w:hAnsi="Times New Roman" w:eastAsia="宋体" w:cs="Times New Roman"/>
                <w:i w:val="0"/>
                <w:iCs w:val="0"/>
                <w:color w:val="000000"/>
                <w:sz w:val="20"/>
                <w:szCs w:val="20"/>
                <w:u w:val="none"/>
                <w:lang w:val="en-US" w:eastAsia="zh-CN" w:bidi="ar"/>
              </w:rPr>
            </w:r>
            <w:r/>
          </w:p>
        </w:tc>
        <w:tc>
          <w:tcPr>
            <w:tcW w:w="1896" w:type="dxa"/>
            <w:vAlign w:val="center"/>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suppressLineNumbers w:val="0"/>
            </w:pPr>
            <w:r>
              <w:rPr>
                <w:rStyle w:val="1082"/>
                <w:rFonts w:ascii="Times New Roman" w:hAnsi="Times New Roman" w:eastAsia="宋体" w:cs="Times New Roman"/>
                <w:sz w:val="20"/>
                <w:szCs w:val="20"/>
                <w:lang w:val="en-US" w:eastAsia="zh-CN" w:bidi="ar"/>
              </w:rPr>
              <w:t xml:space="preserve">科技兴安</w:t>
            </w:r>
            <w:r>
              <w:rPr>
                <w:rStyle w:val="1082"/>
                <w:rFonts w:ascii="Times New Roman" w:hAnsi="Times New Roman" w:eastAsia="宋体" w:cs="Times New Roman"/>
                <w:sz w:val="20"/>
                <w:szCs w:val="20"/>
                <w:lang w:val="en-US" w:eastAsia="zh-CN" w:bidi="ar"/>
              </w:rPr>
            </w:r>
            <w:r/>
          </w:p>
        </w:tc>
        <w:tc>
          <w:tcPr>
            <w:tcW w:w="5675" w:type="dxa"/>
            <w:vAlign w:val="center"/>
            <w:vMerge w:val="continue"/>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r>
            <w:r/>
          </w:p>
        </w:tc>
        <w:tc>
          <w:tcPr>
            <w:tcW w:w="1784" w:type="dxa"/>
            <w:vAlign w:val="center"/>
            <w:vMerge w:val="continue"/>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suppressLineNumbers w:val="0"/>
            </w:pPr>
            <w:r>
              <w:rPr>
                <w:rStyle w:val="1082"/>
                <w:rFonts w:ascii="Times New Roman" w:hAnsi="Times New Roman" w:eastAsia="宋体" w:cs="Times New Roman"/>
                <w:sz w:val="20"/>
                <w:szCs w:val="20"/>
                <w:lang w:val="en-US" w:eastAsia="zh-CN" w:bidi="ar"/>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lang w:val="en-US" w:eastAsia="zh-CN" w:bidi="ar"/>
              </w:rPr>
            </w:r>
            <w:r/>
          </w:p>
        </w:tc>
        <w:tc>
          <w:tcPr>
            <w:tcW w:w="1133" w:type="dxa"/>
            <w:vAlign w:val="center"/>
            <w:vMerge w:val="continue"/>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r>
            <w:r/>
          </w:p>
        </w:tc>
      </w:tr>
      <w:tr>
        <w:trPr>
          <w:trHeight w:val="44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254</w:t>
            </w:r>
            <w:r>
              <w:rPr>
                <w:rFonts w:ascii="Times New Roman" w:hAnsi="Times New Roman" w:eastAsia="宋体" w:cs="Times New Roman"/>
                <w:i w:val="0"/>
                <w:iCs w:val="0"/>
                <w:color w:val="000000"/>
                <w:sz w:val="20"/>
                <w:szCs w:val="20"/>
                <w:u w:val="none"/>
                <w:lang w:val="en-US" w:eastAsia="zh-CN" w:bidi="ar"/>
              </w:rPr>
            </w:r>
            <w:r/>
          </w:p>
        </w:tc>
        <w:tc>
          <w:tcPr>
            <w:tcW w:w="1896" w:type="dxa"/>
            <w:vAlign w:val="center"/>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suppressLineNumbers w:val="0"/>
            </w:pPr>
            <w:r>
              <w:rPr>
                <w:rStyle w:val="1082"/>
                <w:rFonts w:ascii="Times New Roman" w:hAnsi="Times New Roman" w:eastAsia="宋体" w:cs="Times New Roman"/>
                <w:sz w:val="20"/>
                <w:szCs w:val="20"/>
                <w:lang w:val="en-US" w:eastAsia="zh-CN" w:bidi="ar"/>
              </w:rPr>
              <w:t xml:space="preserve">科技兴安</w:t>
            </w:r>
            <w:r>
              <w:rPr>
                <w:rStyle w:val="1082"/>
                <w:rFonts w:ascii="Times New Roman" w:hAnsi="Times New Roman" w:eastAsia="宋体" w:cs="Times New Roman"/>
                <w:sz w:val="20"/>
                <w:szCs w:val="20"/>
                <w:lang w:val="en-US" w:eastAsia="zh-CN" w:bidi="ar"/>
              </w:rPr>
            </w:r>
            <w:r/>
          </w:p>
        </w:tc>
        <w:tc>
          <w:tcPr>
            <w:tcW w:w="5675" w:type="dxa"/>
            <w:vAlign w:val="center"/>
            <w:vMerge w:val="continue"/>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r>
            <w:r/>
          </w:p>
        </w:tc>
        <w:tc>
          <w:tcPr>
            <w:tcW w:w="1784" w:type="dxa"/>
            <w:vAlign w:val="center"/>
            <w:vMerge w:val="continue"/>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suppressLineNumbers w:val="0"/>
            </w:pPr>
            <w:r>
              <w:rPr>
                <w:rStyle w:val="1082"/>
                <w:rFonts w:ascii="Times New Roman" w:hAnsi="Times New Roman" w:eastAsia="宋体" w:cs="Times New Roman"/>
                <w:sz w:val="20"/>
                <w:szCs w:val="20"/>
                <w:lang w:val="en-US" w:eastAsia="zh-CN" w:bidi="ar"/>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lang w:val="en-US" w:eastAsia="zh-CN" w:bidi="ar"/>
              </w:rPr>
            </w:r>
            <w:r/>
          </w:p>
        </w:tc>
        <w:tc>
          <w:tcPr>
            <w:tcW w:w="1133" w:type="dxa"/>
            <w:vAlign w:val="center"/>
            <w:vMerge w:val="continue"/>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r>
            <w:r/>
          </w:p>
        </w:tc>
      </w:tr>
    </w:tbl>
    <w:p>
      <w:pPr>
        <w:pStyle w:val="1052"/>
        <w:jc w:val="left"/>
        <w:rPr>
          <w:rFonts w:hint="eastAsia" w:ascii="仿宋" w:hAnsi="仿宋" w:eastAsia="仿宋" w:cs="仿宋"/>
          <w:sz w:val="28"/>
          <w:szCs w:val="28"/>
        </w:rPr>
      </w:pPr>
      <w:r>
        <w:rPr>
          <w:rFonts w:hint="eastAsia" w:ascii="仿宋" w:hAnsi="仿宋" w:eastAsia="仿宋" w:cs="仿宋"/>
          <w:sz w:val="28"/>
          <w:szCs w:val="28"/>
        </w:rPr>
      </w:r>
      <w:r/>
    </w:p>
    <w:p>
      <w:pPr>
        <w:pStyle w:val="1052"/>
        <w:jc w:val="left"/>
        <w:rPr>
          <w:rFonts w:hint="eastAsia" w:ascii="仿宋" w:hAnsi="仿宋" w:eastAsia="仿宋" w:cs="仿宋"/>
          <w:sz w:val="28"/>
          <w:szCs w:val="28"/>
        </w:rPr>
      </w:pPr>
      <w:r>
        <w:rPr>
          <w:rFonts w:hint="eastAsia" w:ascii="仿宋" w:hAnsi="仿宋" w:eastAsia="仿宋" w:cs="仿宋"/>
          <w:sz w:val="28"/>
          <w:szCs w:val="28"/>
        </w:rPr>
      </w:r>
      <w:r/>
    </w:p>
    <w:p>
      <w:pPr>
        <w:pStyle w:val="1052"/>
        <w:jc w:val="left"/>
        <w:rPr>
          <w:rFonts w:hint="eastAsia" w:ascii="仿宋" w:hAnsi="仿宋" w:eastAsia="仿宋" w:cs="仿宋"/>
          <w:sz w:val="28"/>
          <w:szCs w:val="28"/>
        </w:rPr>
      </w:pPr>
      <w:r>
        <w:rPr>
          <w:rFonts w:hint="eastAsia" w:ascii="仿宋" w:hAnsi="仿宋" w:eastAsia="仿宋" w:cs="仿宋"/>
          <w:sz w:val="28"/>
          <w:szCs w:val="28"/>
        </w:rPr>
      </w:r>
      <w:r/>
    </w:p>
    <w:p>
      <w:pPr>
        <w:pStyle w:val="1052"/>
        <w:jc w:val="left"/>
        <w:rPr>
          <w:rFonts w:hint="eastAsia" w:ascii="仿宋" w:hAnsi="仿宋" w:eastAsia="仿宋" w:cs="仿宋"/>
          <w:sz w:val="28"/>
          <w:szCs w:val="28"/>
        </w:rPr>
        <w:sectPr>
          <w:footnotePr/>
          <w:endnotePr/>
          <w:type w:val="nextPage"/>
          <w:pgSz w:w="16838" w:h="11906" w:orient="landscape"/>
          <w:pgMar w:top="1797" w:right="1560" w:bottom="1418" w:left="1440" w:header="851" w:footer="992" w:gutter="0"/>
          <w:pgNumType w:start="1"/>
          <w:cols w:num="1" w:sep="0" w:space="1701" w:equalWidth="1"/>
          <w:docGrid w:linePitch="360"/>
        </w:sectPr>
      </w:pPr>
      <w:r>
        <w:rPr>
          <w:rFonts w:hint="eastAsia" w:ascii="仿宋" w:hAnsi="仿宋" w:eastAsia="仿宋" w:cs="仿宋"/>
          <w:sz w:val="28"/>
          <w:szCs w:val="28"/>
        </w:rPr>
      </w:r>
      <w:r/>
    </w:p>
    <w:p>
      <w:pPr>
        <w:pStyle w:val="1006"/>
        <w:jc w:val="center"/>
        <w:keepLines w:val="0"/>
        <w:keepNext w:val="0"/>
        <w:pageBreakBefore w:val="0"/>
        <w:spacing w:line="52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投标文件（两标段均适用）</w:t>
      </w:r>
      <w:r>
        <w:rPr>
          <w:rFonts w:hint="eastAsia" w:ascii="黑体" w:hAnsi="黑体" w:eastAsia="黑体"/>
          <w:b/>
          <w:bCs/>
          <w:sz w:val="36"/>
        </w:rPr>
      </w:r>
      <w:r/>
    </w:p>
    <w:p>
      <w:pPr>
        <w:pStyle w:val="1006"/>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100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100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100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100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85"/>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100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100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1006"/>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1006"/>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985"/>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85"/>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85"/>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85"/>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985"/>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985"/>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85"/>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85"/>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1006"/>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1006"/>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1059"/>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985"/>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985"/>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105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105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w:t>
      </w:r>
      <w:r>
        <w:rPr>
          <w:rFonts w:hint="eastAsia" w:ascii="仿宋" w:hAnsi="仿宋" w:eastAsia="仿宋"/>
          <w:sz w:val="28"/>
          <w:szCs w:val="28"/>
          <w:highlight w:val="none"/>
        </w:rPr>
        <w:t xml:space="preserve">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w:t>
      </w:r>
      <w:r>
        <w:rPr>
          <w:rFonts w:hint="eastAsia" w:ascii="仿宋" w:hAnsi="仿宋" w:eastAsia="仿宋"/>
          <w:sz w:val="28"/>
          <w:szCs w:val="28"/>
        </w:rPr>
        <w:t xml:space="preserve">投标文件将始终对我们具有约束力，并可随时被接受。如果我们中标，本投标文件在此期间之后将继续保持有效。</w:t>
      </w:r>
      <w:r>
        <w:rPr>
          <w:rFonts w:hint="eastAsia" w:ascii="仿宋" w:hAnsi="仿宋" w:eastAsia="仿宋"/>
          <w:sz w:val="28"/>
          <w:szCs w:val="28"/>
        </w:rPr>
      </w:r>
      <w:r/>
    </w:p>
    <w:p>
      <w:pPr>
        <w:pStyle w:val="105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105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105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1059"/>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1059"/>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1059"/>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985"/>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1006"/>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985"/>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985"/>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985"/>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985"/>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985"/>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985"/>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985"/>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985"/>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985"/>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985"/>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1006"/>
        <w:keepLines w:val="0"/>
        <w:keepNext w:val="0"/>
        <w:pageBreakBefore w:val="0"/>
        <w:rPr>
          <w:rFonts w:hint="eastAsia" w:hAnsi="宋体"/>
          <w:b/>
          <w:sz w:val="32"/>
          <w:szCs w:val="32"/>
        </w:rPr>
        <w:outlineLvl w:val="9"/>
      </w:pPr>
      <w:r/>
      <w:bookmarkStart w:id="37" w:name="_Toc157775468"/>
      <w:r>
        <w:rPr>
          <w:rFonts w:hint="eastAsia" w:hAnsi="宋体"/>
          <w:b/>
          <w:sz w:val="32"/>
          <w:szCs w:val="32"/>
        </w:rPr>
      </w:r>
      <w:r/>
    </w:p>
    <w:p>
      <w:pPr>
        <w:pStyle w:val="1006"/>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1006"/>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w:t>
            </w:r>
            <w:r>
              <w:rPr>
                <w:rFonts w:ascii="仿宋" w:hAnsi="仿宋" w:eastAsia="仿宋"/>
                <w:sz w:val="24"/>
                <w:szCs w:val="24"/>
              </w:rPr>
              <w:t xml:space="preserve">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服务内容</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hint="eastAsia" w:ascii="仿宋" w:hAnsi="仿宋" w:eastAsia="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服务地点</w:t>
            </w:r>
            <w:r>
              <w:rPr>
                <w:rFonts w:hint="eastAsia" w:ascii="仿宋" w:hAnsi="仿宋" w:eastAsia="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4" w:type="dxa"/>
            <w:vAlign w:val="center"/>
            <w:textDirection w:val="lrTb"/>
            <w:noWrap w:val="false"/>
          </w:tcPr>
          <w:p>
            <w:pPr>
              <w:pStyle w:val="1006"/>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磋商</w:t>
            </w:r>
            <w:r>
              <w:rPr>
                <w:rFonts w:ascii="仿宋" w:hAnsi="仿宋" w:eastAsia="仿宋"/>
                <w:sz w:val="24"/>
                <w:szCs w:val="24"/>
              </w:rPr>
              <w:t xml:space="preserve">总报价（人民币：元）</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top"/>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bl>
    <w:p>
      <w:pPr>
        <w:pStyle w:val="1006"/>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1006"/>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w:t>
      </w:r>
      <w:r>
        <w:rPr>
          <w:rFonts w:hint="eastAsia" w:ascii="仿宋" w:hAnsi="仿宋" w:eastAsia="仿宋"/>
          <w:sz w:val="28"/>
          <w:szCs w:val="24"/>
          <w:lang w:val="en-US" w:eastAsia="zh-CN"/>
        </w:rPr>
        <w:t xml:space="preserve">服务</w:t>
      </w:r>
      <w:r>
        <w:rPr>
          <w:rFonts w:ascii="仿宋" w:hAnsi="仿宋" w:eastAsia="仿宋"/>
          <w:sz w:val="28"/>
          <w:szCs w:val="24"/>
        </w:rPr>
        <w:t xml:space="preserve">（包含与</w:t>
      </w:r>
      <w:r>
        <w:rPr>
          <w:rFonts w:hint="eastAsia" w:ascii="仿宋" w:hAnsi="仿宋" w:eastAsia="仿宋"/>
          <w:sz w:val="28"/>
          <w:szCs w:val="24"/>
          <w:lang w:val="en-US" w:eastAsia="zh-CN"/>
        </w:rPr>
        <w:t xml:space="preserve">服务</w:t>
      </w:r>
      <w:r>
        <w:rPr>
          <w:rFonts w:ascii="仿宋" w:hAnsi="仿宋" w:eastAsia="仿宋"/>
          <w:sz w:val="28"/>
          <w:szCs w:val="24"/>
        </w:rPr>
        <w:t xml:space="preserve">相关的</w:t>
      </w:r>
      <w:r>
        <w:rPr>
          <w:rFonts w:hint="eastAsia" w:ascii="仿宋" w:hAnsi="仿宋" w:eastAsia="仿宋"/>
          <w:sz w:val="28"/>
          <w:szCs w:val="24"/>
          <w:lang w:val="en-US" w:eastAsia="zh-CN"/>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rPr>
          <w:rFonts w:ascii="仿宋" w:hAnsi="仿宋" w:eastAsia="仿宋"/>
          <w:sz w:val="28"/>
          <w:szCs w:val="24"/>
        </w:rPr>
      </w:r>
      <w:r/>
    </w:p>
    <w:p>
      <w:pPr>
        <w:pStyle w:val="1006"/>
        <w:ind w:firstLine="411"/>
        <w:spacing w:line="440" w:lineRule="exact"/>
        <w:rPr>
          <w:rFonts w:ascii="仿宋" w:hAnsi="仿宋" w:eastAsia="仿宋"/>
          <w:sz w:val="28"/>
          <w:szCs w:val="24"/>
        </w:rPr>
      </w:pPr>
      <w:r>
        <w:rPr>
          <w:rFonts w:ascii="仿宋" w:hAnsi="仿宋" w:eastAsia="仿宋"/>
          <w:sz w:val="28"/>
          <w:szCs w:val="24"/>
        </w:rPr>
      </w:r>
      <w:r/>
    </w:p>
    <w:p>
      <w:pPr>
        <w:pStyle w:val="1006"/>
        <w:jc w:val="center"/>
        <w:keepLines w:val="0"/>
        <w:keepNext w:val="0"/>
        <w:pageBreakBefore w:val="0"/>
        <w:spacing w:line="440" w:lineRule="exact"/>
        <w:rPr>
          <w:rFonts w:ascii="仿宋" w:hAnsi="仿宋" w:eastAsia="仿宋"/>
          <w:b/>
          <w:sz w:val="32"/>
          <w:lang w:val="en-US" w:eastAsia="zh-CN"/>
        </w:rPr>
        <w:outlineLvl w:val="9"/>
      </w:pPr>
      <w:r>
        <w:rPr>
          <w:rFonts w:hint="eastAsia" w:ascii="仿宋" w:hAnsi="仿宋" w:eastAsia="仿宋"/>
          <w:b/>
          <w:sz w:val="32"/>
        </w:rPr>
        <w:br w:type="page" w:clear="all"/>
      </w:r>
      <w:r>
        <w:rPr>
          <w:rFonts w:hint="eastAsia" w:ascii="仿宋" w:hAnsi="仿宋" w:eastAsia="仿宋"/>
          <w:b/>
          <w:sz w:val="32"/>
        </w:rPr>
        <w:t xml:space="preserve">四、</w:t>
      </w:r>
      <w:r>
        <w:rPr>
          <w:rFonts w:hint="eastAsia" w:ascii="仿宋" w:hAnsi="仿宋" w:eastAsia="仿宋"/>
          <w:b/>
          <w:sz w:val="32"/>
          <w:lang w:val="en-US" w:eastAsia="zh-CN"/>
        </w:rPr>
        <w:t xml:space="preserve">人员</w:t>
      </w:r>
      <w:r>
        <w:rPr>
          <w:rFonts w:hint="eastAsia" w:ascii="仿宋" w:hAnsi="仿宋" w:eastAsia="仿宋"/>
          <w:b/>
          <w:sz w:val="32"/>
          <w:lang w:val="en-US" w:eastAsia="zh-CN"/>
        </w:rPr>
        <w:t xml:space="preserve">配备表</w:t>
      </w:r>
      <w:r>
        <w:rPr>
          <w:rFonts w:ascii="仿宋" w:hAnsi="仿宋" w:eastAsia="仿宋"/>
          <w:b/>
          <w:sz w:val="32"/>
          <w:lang w:val="en-US" w:eastAsia="zh-CN"/>
        </w:rPr>
      </w:r>
      <w:r/>
    </w:p>
    <w:tbl>
      <w:tblPr>
        <w:tblW w:w="8666" w:type="dxa"/>
        <w:jc w:val="center"/>
        <w:tblInd w:w="-15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1364"/>
        <w:gridCol w:w="1431"/>
        <w:gridCol w:w="1569"/>
        <w:gridCol w:w="1638"/>
        <w:gridCol w:w="1479"/>
      </w:tblGrid>
      <w:tr>
        <w:trPr>
          <w:trHeight w:val="547"/>
        </w:trPr>
        <w:tc>
          <w:tcPr>
            <w:tcW w:w="1185" w:type="dxa"/>
            <w:vAlign w:val="center"/>
            <w:textDirection w:val="lrTb"/>
            <w:noWrap w:val="false"/>
          </w:tcPr>
          <w:p>
            <w:pPr>
              <w:pStyle w:val="985"/>
              <w:jc w:val="center"/>
              <w:spacing w:line="520" w:lineRule="exact"/>
              <w:rPr>
                <w:rFonts w:ascii="仿宋" w:hAnsi="仿宋" w:eastAsia="仿宋" w:cs="仿宋"/>
                <w:sz w:val="28"/>
                <w:szCs w:val="28"/>
              </w:rPr>
            </w:pPr>
            <w:r/>
            <w:bookmarkEnd w:id="37"/>
            <w:r>
              <w:rPr>
                <w:rFonts w:hint="eastAsia" w:ascii="仿宋" w:hAnsi="仿宋" w:eastAsia="仿宋" w:cs="仿宋"/>
                <w:sz w:val="28"/>
                <w:szCs w:val="28"/>
              </w:rPr>
              <w:t xml:space="preserve">序号</w:t>
            </w:r>
            <w:r>
              <w:rPr>
                <w:rFonts w:ascii="仿宋" w:hAnsi="仿宋" w:eastAsia="仿宋" w:cs="仿宋"/>
                <w:sz w:val="28"/>
                <w:szCs w:val="28"/>
              </w:rPr>
            </w:r>
            <w:r/>
          </w:p>
        </w:tc>
        <w:tc>
          <w:tcPr>
            <w:tcW w:w="1364" w:type="dxa"/>
            <w:vAlign w:val="center"/>
            <w:textDirection w:val="lrTb"/>
            <w:noWrap w:val="false"/>
          </w:tcPr>
          <w:p>
            <w:pPr>
              <w:pStyle w:val="985"/>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1431" w:type="dxa"/>
            <w:vAlign w:val="center"/>
            <w:textDirection w:val="lrTb"/>
            <w:noWrap w:val="false"/>
          </w:tcPr>
          <w:p>
            <w:pPr>
              <w:pStyle w:val="985"/>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rPr>
                <w:rFonts w:ascii="仿宋" w:hAnsi="仿宋" w:eastAsia="仿宋" w:cs="仿宋"/>
                <w:sz w:val="28"/>
                <w:szCs w:val="28"/>
              </w:rPr>
            </w:r>
            <w:r/>
          </w:p>
        </w:tc>
        <w:tc>
          <w:tcPr>
            <w:tcW w:w="1569" w:type="dxa"/>
            <w:vAlign w:val="center"/>
            <w:textDirection w:val="lrTb"/>
            <w:noWrap w:val="false"/>
          </w:tcPr>
          <w:p>
            <w:pPr>
              <w:pStyle w:val="985"/>
              <w:jc w:val="center"/>
              <w:spacing w:line="520" w:lineRule="exact"/>
              <w:tabs>
                <w:tab w:val="left" w:pos="497" w:leader="none"/>
              </w:tabs>
              <w:rPr>
                <w:rFonts w:ascii="仿宋" w:hAnsi="仿宋" w:eastAsia="仿宋" w:cs="仿宋"/>
                <w:sz w:val="28"/>
                <w:szCs w:val="28"/>
              </w:rPr>
            </w:pPr>
            <w:r>
              <w:rPr>
                <w:rFonts w:hint="eastAsia" w:ascii="仿宋" w:hAnsi="仿宋" w:eastAsia="仿宋" w:cs="仿宋"/>
                <w:sz w:val="28"/>
                <w:szCs w:val="28"/>
              </w:rPr>
              <w:t xml:space="preserve">工作经历</w:t>
            </w:r>
            <w:r>
              <w:rPr>
                <w:rFonts w:ascii="仿宋" w:hAnsi="仿宋" w:eastAsia="仿宋" w:cs="仿宋"/>
                <w:sz w:val="28"/>
                <w:szCs w:val="28"/>
              </w:rPr>
            </w:r>
            <w:r/>
          </w:p>
        </w:tc>
        <w:tc>
          <w:tcPr>
            <w:tcW w:w="1638" w:type="dxa"/>
            <w:vAlign w:val="center"/>
            <w:textDirection w:val="lrTb"/>
            <w:noWrap w:val="false"/>
          </w:tcPr>
          <w:p>
            <w:pPr>
              <w:pStyle w:val="985"/>
              <w:jc w:val="cente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1479" w:type="dxa"/>
            <w:vAlign w:val="center"/>
            <w:textDirection w:val="lrTb"/>
            <w:noWrap w:val="false"/>
          </w:tcPr>
          <w:p>
            <w:pPr>
              <w:pStyle w:val="985"/>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91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r>
        <w:trPr>
          <w:trHeight w:val="92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bl>
    <w:p>
      <w:pPr>
        <w:pStyle w:val="985"/>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pStyle w:val="985"/>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供应商</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985"/>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法定代表人或授权委托人:</w:t>
      </w:r>
      <w:r>
        <w:rPr>
          <w:rFonts w:hint="eastAsia" w:ascii="仿宋" w:hAnsi="仿宋" w:eastAsia="仿宋" w:cs="Times New Roman"/>
          <w:sz w:val="28"/>
          <w:u w:val="single"/>
        </w:rPr>
        <w:t xml:space="preserve">（电子签章或电子签字）</w:t>
      </w:r>
      <w:r>
        <w:rPr>
          <w:rFonts w:ascii="仿宋" w:hAnsi="仿宋" w:eastAsia="仿宋" w:cs="Times New Roman"/>
          <w:sz w:val="28"/>
          <w:szCs w:val="28"/>
        </w:rPr>
      </w:r>
      <w:r/>
    </w:p>
    <w:p>
      <w:pPr>
        <w:pStyle w:val="1006"/>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1006"/>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98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8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85"/>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985"/>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98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985"/>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8"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985"/>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985"/>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985"/>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985"/>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985"/>
        <w:ind w:firstLine="2891"/>
        <w:keepLines w:val="0"/>
        <w:keepNext w:val="0"/>
        <w:pageBreakBefore w:val="0"/>
        <w:spacing w:line="640" w:lineRule="exact"/>
        <w:rPr>
          <w:rFonts w:ascii="仿宋" w:hAnsi="仿宋" w:eastAsia="仿宋" w:cs="楷体_GB2312"/>
          <w:b/>
          <w:bCs/>
          <w:sz w:val="32"/>
          <w:szCs w:val="32"/>
          <w:lang w:val="zh-CN"/>
        </w:rPr>
        <w:outlineLvl w:val="9"/>
      </w:pPr>
      <w:r/>
      <w:bookmarkEnd w:id="38"/>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985"/>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985"/>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985"/>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985"/>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985"/>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985"/>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985"/>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985"/>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985"/>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98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1059"/>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98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985"/>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985"/>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985"/>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985"/>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98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98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85"/>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8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98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8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8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985"/>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98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985"/>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98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985"/>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85"/>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985"/>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985"/>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98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98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985"/>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93"/>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85"/>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98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98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98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98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985"/>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985"/>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985"/>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85"/>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85"/>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8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985"/>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985"/>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993"/>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9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99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9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93"/>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9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9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985"/>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8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93"/>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93"/>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93"/>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985"/>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93"/>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93"/>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93"/>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93"/>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93"/>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93"/>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985"/>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8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85"/>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93"/>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93"/>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93"/>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4"/>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25"/>
      </w:rPr>
      <w:framePr w:wrap="around" w:vAnchor="text" w:hAnchor="margin" w:xAlign="center" w:y="1"/>
    </w:pPr>
    <w:r>
      <w:fldChar w:fldCharType="begin"/>
    </w:r>
    <w:r>
      <w:rPr>
        <w:rStyle w:val="1025"/>
      </w:rPr>
      <w:instrText xml:space="preserve">PAGE  </w:instrText>
    </w:r>
    <w:r>
      <w:fldChar w:fldCharType="end"/>
    </w:r>
    <w:r>
      <w:rPr>
        <w:rStyle w:val="1025"/>
      </w:rPr>
    </w:r>
    <w:r/>
  </w:p>
  <w:p>
    <w:pPr>
      <w:pStyle w:val="101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985"/>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98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8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8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85"/>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9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70"/>
      <w:isLgl w:val="false"/>
      <w:suff w:val="nothing"/>
      <w:lvlText w:val="第%1章"/>
      <w:lvlJc w:val="left"/>
      <w:pPr>
        <w:pStyle w:val="985"/>
        <w:ind w:left="640" w:firstLine="0"/>
      </w:pPr>
      <w:rPr>
        <w:rFonts w:hint="eastAsia"/>
      </w:rPr>
    </w:lvl>
    <w:lvl w:ilvl="1">
      <w:start w:val="1"/>
      <w:numFmt w:val="decimal"/>
      <w:isLgl w:val="false"/>
      <w:suff w:val="nothing"/>
      <w:lvlText w:val=""/>
      <w:lvlJc w:val="left"/>
      <w:pPr>
        <w:pStyle w:val="985"/>
        <w:ind w:left="640" w:firstLine="0"/>
      </w:pPr>
      <w:rPr>
        <w:rFonts w:hint="eastAsia"/>
      </w:rPr>
    </w:lvl>
    <w:lvl w:ilvl="2">
      <w:start w:val="1"/>
      <w:numFmt w:val="decimal"/>
      <w:isLgl w:val="false"/>
      <w:suff w:val="nothing"/>
      <w:lvlText w:val=""/>
      <w:lvlJc w:val="left"/>
      <w:pPr>
        <w:pStyle w:val="985"/>
        <w:ind w:left="640" w:firstLine="0"/>
      </w:pPr>
      <w:rPr>
        <w:rFonts w:hint="eastAsia"/>
      </w:rPr>
    </w:lvl>
    <w:lvl w:ilvl="3">
      <w:start w:val="1"/>
      <w:numFmt w:val="decimal"/>
      <w:isLgl w:val="false"/>
      <w:suff w:val="nothing"/>
      <w:lvlText w:val=""/>
      <w:lvlJc w:val="left"/>
      <w:pPr>
        <w:pStyle w:val="985"/>
        <w:ind w:left="640" w:firstLine="0"/>
      </w:pPr>
      <w:rPr>
        <w:rFonts w:hint="eastAsia"/>
      </w:rPr>
    </w:lvl>
    <w:lvl w:ilvl="4">
      <w:start w:val="1"/>
      <w:numFmt w:val="decimal"/>
      <w:isLgl w:val="false"/>
      <w:suff w:val="nothing"/>
      <w:lvlText w:val=""/>
      <w:lvlJc w:val="left"/>
      <w:pPr>
        <w:pStyle w:val="985"/>
        <w:ind w:left="640" w:firstLine="0"/>
      </w:pPr>
      <w:rPr>
        <w:rFonts w:hint="eastAsia"/>
      </w:rPr>
    </w:lvl>
    <w:lvl w:ilvl="5">
      <w:start w:val="1"/>
      <w:numFmt w:val="decimal"/>
      <w:isLgl w:val="false"/>
      <w:suff w:val="nothing"/>
      <w:lvlText w:val=""/>
      <w:lvlJc w:val="left"/>
      <w:pPr>
        <w:pStyle w:val="985"/>
        <w:ind w:left="640" w:firstLine="0"/>
      </w:pPr>
      <w:rPr>
        <w:rFonts w:hint="eastAsia"/>
      </w:rPr>
    </w:lvl>
    <w:lvl w:ilvl="6">
      <w:start w:val="1"/>
      <w:numFmt w:val="decimal"/>
      <w:isLgl w:val="false"/>
      <w:suff w:val="nothing"/>
      <w:lvlText w:val=""/>
      <w:lvlJc w:val="left"/>
      <w:pPr>
        <w:pStyle w:val="985"/>
        <w:ind w:left="640" w:firstLine="0"/>
      </w:pPr>
      <w:rPr>
        <w:rFonts w:hint="eastAsia"/>
      </w:rPr>
    </w:lvl>
    <w:lvl w:ilvl="7">
      <w:start w:val="1"/>
      <w:numFmt w:val="decimal"/>
      <w:isLgl w:val="false"/>
      <w:suff w:val="nothing"/>
      <w:lvlText w:val=""/>
      <w:lvlJc w:val="left"/>
      <w:pPr>
        <w:pStyle w:val="985"/>
        <w:ind w:left="640" w:firstLine="0"/>
      </w:pPr>
      <w:rPr>
        <w:rFonts w:hint="eastAsia"/>
      </w:rPr>
    </w:lvl>
    <w:lvl w:ilvl="8">
      <w:start w:val="1"/>
      <w:numFmt w:val="decimal"/>
      <w:isLgl w:val="false"/>
      <w:suff w:val="nothing"/>
      <w:lvlText w:val=""/>
      <w:lvlJc w:val="left"/>
      <w:pPr>
        <w:pStyle w:val="985"/>
        <w:ind w:left="640" w:firstLine="0"/>
      </w:pPr>
      <w:rPr>
        <w:rFonts w:hint="eastAsia"/>
      </w:rPr>
    </w:lvl>
  </w:abstractNum>
  <w:abstractNum w:abstractNumId="3">
    <w:multiLevelType w:val="hybridMultilevel"/>
    <w:lvl w:ilvl="0">
      <w:start w:val="1"/>
      <w:numFmt w:val="chineseCounting"/>
      <w:isLgl w:val="false"/>
      <w:suff w:val="nothing"/>
      <w:lvlText w:val="%1、"/>
      <w:lvlJc w:val="left"/>
      <w:pPr>
        <w:pStyle w:val="985"/>
      </w:pPr>
      <w:rPr>
        <w:rFonts w:hint="eastAsia"/>
      </w:r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985"/>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060"/>
      <w:isLgl w:val="false"/>
      <w:suff w:val="tab"/>
      <w:lvlText w:val="%1、"/>
      <w:lvlJc w:val="left"/>
      <w:pPr>
        <w:pStyle w:val="985"/>
        <w:ind w:left="420" w:hanging="420"/>
        <w:tabs>
          <w:tab w:val="num" w:pos="420" w:leader="none"/>
        </w:tabs>
      </w:pPr>
      <w:rPr>
        <w:rFonts w:hint="eastAsia"/>
        <w:b/>
        <w:i w:val="0"/>
      </w:rPr>
    </w:lvl>
    <w:lvl w:ilvl="1">
      <w:start w:val="1"/>
      <w:numFmt w:val="lowerLetter"/>
      <w:isLgl w:val="false"/>
      <w:suff w:val="tab"/>
      <w:lvlText w:val="%2)"/>
      <w:lvlJc w:val="left"/>
      <w:pPr>
        <w:pStyle w:val="985"/>
        <w:ind w:left="840" w:hanging="420"/>
        <w:tabs>
          <w:tab w:val="num" w:pos="840" w:leader="none"/>
        </w:tabs>
      </w:pPr>
    </w:lvl>
    <w:lvl w:ilvl="2">
      <w:start w:val="1"/>
      <w:numFmt w:val="lowerRoman"/>
      <w:isLgl w:val="false"/>
      <w:suff w:val="tab"/>
      <w:lvlText w:val="%3."/>
      <w:lvlJc w:val="right"/>
      <w:pPr>
        <w:pStyle w:val="985"/>
        <w:ind w:left="1260" w:hanging="420"/>
        <w:tabs>
          <w:tab w:val="num" w:pos="1260" w:leader="none"/>
        </w:tabs>
      </w:pPr>
    </w:lvl>
    <w:lvl w:ilvl="3">
      <w:start w:val="1"/>
      <w:numFmt w:val="decimal"/>
      <w:isLgl w:val="false"/>
      <w:suff w:val="tab"/>
      <w:lvlText w:val="%4."/>
      <w:lvlJc w:val="left"/>
      <w:pPr>
        <w:pStyle w:val="985"/>
        <w:ind w:left="1680" w:hanging="420"/>
        <w:tabs>
          <w:tab w:val="num" w:pos="1680" w:leader="none"/>
        </w:tabs>
      </w:pPr>
    </w:lvl>
    <w:lvl w:ilvl="4">
      <w:start w:val="1"/>
      <w:numFmt w:val="lowerLetter"/>
      <w:isLgl w:val="false"/>
      <w:suff w:val="tab"/>
      <w:lvlText w:val="%5)"/>
      <w:lvlJc w:val="left"/>
      <w:pPr>
        <w:pStyle w:val="985"/>
        <w:ind w:left="2100" w:hanging="420"/>
        <w:tabs>
          <w:tab w:val="num" w:pos="2100" w:leader="none"/>
        </w:tabs>
      </w:pPr>
    </w:lvl>
    <w:lvl w:ilvl="5">
      <w:start w:val="1"/>
      <w:numFmt w:val="lowerRoman"/>
      <w:isLgl w:val="false"/>
      <w:suff w:val="tab"/>
      <w:lvlText w:val="%6."/>
      <w:lvlJc w:val="right"/>
      <w:pPr>
        <w:pStyle w:val="985"/>
        <w:ind w:left="2520" w:hanging="420"/>
        <w:tabs>
          <w:tab w:val="num" w:pos="2520" w:leader="none"/>
        </w:tabs>
      </w:pPr>
    </w:lvl>
    <w:lvl w:ilvl="6">
      <w:start w:val="1"/>
      <w:numFmt w:val="decimal"/>
      <w:isLgl w:val="false"/>
      <w:suff w:val="tab"/>
      <w:lvlText w:val="%7."/>
      <w:lvlJc w:val="left"/>
      <w:pPr>
        <w:pStyle w:val="985"/>
        <w:ind w:left="2940" w:hanging="420"/>
        <w:tabs>
          <w:tab w:val="num" w:pos="2940" w:leader="none"/>
        </w:tabs>
      </w:pPr>
    </w:lvl>
    <w:lvl w:ilvl="7">
      <w:start w:val="1"/>
      <w:numFmt w:val="lowerLetter"/>
      <w:isLgl w:val="false"/>
      <w:suff w:val="tab"/>
      <w:lvlText w:val="%8)"/>
      <w:lvlJc w:val="left"/>
      <w:pPr>
        <w:pStyle w:val="985"/>
        <w:ind w:left="3360" w:hanging="420"/>
        <w:tabs>
          <w:tab w:val="num" w:pos="3360" w:leader="none"/>
        </w:tabs>
      </w:pPr>
    </w:lvl>
    <w:lvl w:ilvl="8">
      <w:start w:val="1"/>
      <w:numFmt w:val="lowerRoman"/>
      <w:isLgl w:val="false"/>
      <w:suff w:val="tab"/>
      <w:lvlText w:val="%9."/>
      <w:lvlJc w:val="right"/>
      <w:pPr>
        <w:pStyle w:val="985"/>
        <w:ind w:left="3780" w:hanging="420"/>
        <w:tabs>
          <w:tab w:val="num" w:pos="3780" w:leader="none"/>
        </w:tabs>
      </w:pPr>
    </w:lvl>
  </w:abstractNum>
  <w:abstractNum w:abstractNumId="6">
    <w:multiLevelType w:val="hybridMultilevel"/>
    <w:lvl w:ilvl="0">
      <w:start w:val="2"/>
      <w:numFmt w:val="chineseCountingThousand"/>
      <w:pStyle w:val="1066"/>
      <w:isLgl w:val="false"/>
      <w:suff w:val="nothing"/>
      <w:lvlText w:val="第%1部分"/>
      <w:lvlJc w:val="center"/>
      <w:pPr>
        <w:pStyle w:val="985"/>
        <w:ind w:left="432" w:firstLine="288"/>
      </w:pPr>
      <w:rPr>
        <w:rFonts w:hint="eastAsia"/>
        <w:sz w:val="28"/>
        <w:szCs w:val="28"/>
        <w:lang w:val="en-US"/>
      </w:rPr>
    </w:lvl>
    <w:lvl w:ilvl="1">
      <w:start w:val="1"/>
      <w:numFmt w:val="chineseCountingThousand"/>
      <w:isLgl w:val="false"/>
      <w:suff w:val="nothing"/>
      <w:lvlText w:val="%2、"/>
      <w:lvlJc w:val="left"/>
      <w:pPr>
        <w:pStyle w:val="985"/>
        <w:ind w:left="360" w:firstLine="0"/>
      </w:pPr>
      <w:rPr>
        <w:rFonts w:hint="eastAsia"/>
        <w:lang w:val="en-US"/>
      </w:rPr>
    </w:lvl>
    <w:lvl w:ilvl="2">
      <w:start w:val="1"/>
      <w:numFmt w:val="chineseCountingThousand"/>
      <w:isLgl w:val="false"/>
      <w:suff w:val="nothing"/>
      <w:lvlText w:val="(%3)"/>
      <w:lvlJc w:val="left"/>
      <w:pPr>
        <w:pStyle w:val="985"/>
        <w:ind w:left="0" w:firstLine="0"/>
      </w:pPr>
      <w:rPr>
        <w:rFonts w:hint="eastAsia"/>
      </w:rPr>
    </w:lvl>
    <w:lvl w:ilvl="3">
      <w:start w:val="1"/>
      <w:numFmt w:val="decimal"/>
      <w:isLgl w:val="false"/>
      <w:suff w:val="nothing"/>
      <w:lvlText w:val="%4、"/>
      <w:lvlJc w:val="left"/>
      <w:pPr>
        <w:pStyle w:val="985"/>
        <w:ind w:left="0" w:firstLine="0"/>
      </w:pPr>
      <w:rPr>
        <w:rFonts w:hint="eastAsia"/>
      </w:rPr>
    </w:lvl>
    <w:lvl w:ilvl="4">
      <w:start w:val="1"/>
      <w:numFmt w:val="upperLetter"/>
      <w:isLgl w:val="false"/>
      <w:suff w:val="nothing"/>
      <w:lvlText w:val="%5、"/>
      <w:lvlJc w:val="left"/>
      <w:pPr>
        <w:pStyle w:val="985"/>
        <w:ind w:left="0" w:firstLine="0"/>
      </w:pPr>
      <w:rPr>
        <w:rFonts w:hint="eastAsia"/>
      </w:rPr>
    </w:lvl>
    <w:lvl w:ilvl="5">
      <w:start w:val="1"/>
      <w:numFmt w:val="decimal"/>
      <w:isLgl w:val="false"/>
      <w:suff w:val="nothing"/>
      <w:lvlText w:val=""/>
      <w:lvlJc w:val="left"/>
      <w:pPr>
        <w:pStyle w:val="985"/>
        <w:ind w:left="0" w:firstLine="0"/>
      </w:pPr>
      <w:rPr>
        <w:rFonts w:hint="eastAsia"/>
      </w:rPr>
    </w:lvl>
    <w:lvl w:ilvl="6">
      <w:start w:val="1"/>
      <w:numFmt w:val="decimal"/>
      <w:isLgl w:val="false"/>
      <w:suff w:val="nothing"/>
      <w:lvlText w:val=""/>
      <w:lvlJc w:val="left"/>
      <w:pPr>
        <w:pStyle w:val="985"/>
        <w:ind w:left="0" w:firstLine="0"/>
      </w:pPr>
      <w:rPr>
        <w:rFonts w:hint="eastAsia"/>
      </w:rPr>
    </w:lvl>
    <w:lvl w:ilvl="7">
      <w:start w:val="1"/>
      <w:numFmt w:val="decimal"/>
      <w:isLgl w:val="false"/>
      <w:suff w:val="nothing"/>
      <w:lvlText w:val=""/>
      <w:lvlJc w:val="left"/>
      <w:pPr>
        <w:pStyle w:val="985"/>
        <w:ind w:left="0" w:firstLine="0"/>
      </w:pPr>
      <w:rPr>
        <w:rFonts w:hint="eastAsia"/>
      </w:rPr>
    </w:lvl>
    <w:lvl w:ilvl="8">
      <w:start w:val="1"/>
      <w:numFmt w:val="decimal"/>
      <w:isLgl w:val="false"/>
      <w:suff w:val="nothing"/>
      <w:lvlText w:val=""/>
      <w:lvlJc w:val="left"/>
      <w:pPr>
        <w:pStyle w:val="985"/>
        <w:ind w:left="0" w:firstLine="0"/>
      </w:pPr>
      <w:rPr>
        <w:rFonts w:hint="eastAsia"/>
      </w:rPr>
    </w:lvl>
  </w:abstractNum>
  <w:num w:numId="1">
    <w:abstractNumId w:val="5"/>
  </w:num>
  <w:num w:numId="2">
    <w:abstractNumId w:val="6"/>
  </w:num>
  <w:num w:numId="3">
    <w:abstractNumId w:val="2"/>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name w:val="Heading 1"/>
    <w:basedOn w:val="985"/>
    <w:next w:val="985"/>
    <w:link w:val="808"/>
    <w:uiPriority w:val="9"/>
    <w:qFormat/>
    <w:pPr>
      <w:keepLines/>
      <w:keepNext/>
      <w:spacing w:before="480" w:after="200"/>
      <w:outlineLvl w:val="0"/>
    </w:pPr>
    <w:rPr>
      <w:rFonts w:ascii="Arial" w:hAnsi="Arial" w:eastAsia="Arial" w:cs="Arial"/>
      <w:sz w:val="40"/>
      <w:szCs w:val="40"/>
    </w:rPr>
  </w:style>
  <w:style w:type="character" w:styleId="808">
    <w:name w:val="Heading 1 Char"/>
    <w:link w:val="807"/>
    <w:uiPriority w:val="9"/>
    <w:rPr>
      <w:rFonts w:ascii="Arial" w:hAnsi="Arial" w:eastAsia="Arial" w:cs="Arial"/>
      <w:sz w:val="40"/>
      <w:szCs w:val="40"/>
    </w:rPr>
  </w:style>
  <w:style w:type="paragraph" w:styleId="809">
    <w:name w:val="Heading 2"/>
    <w:basedOn w:val="985"/>
    <w:next w:val="985"/>
    <w:link w:val="810"/>
    <w:uiPriority w:val="9"/>
    <w:unhideWhenUsed/>
    <w:qFormat/>
    <w:pPr>
      <w:keepLines/>
      <w:keepNext/>
      <w:spacing w:before="360" w:after="200"/>
      <w:outlineLvl w:val="1"/>
    </w:pPr>
    <w:rPr>
      <w:rFonts w:ascii="Arial" w:hAnsi="Arial" w:eastAsia="Arial" w:cs="Arial"/>
      <w:sz w:val="34"/>
    </w:rPr>
  </w:style>
  <w:style w:type="character" w:styleId="810">
    <w:name w:val="Heading 2 Char"/>
    <w:link w:val="809"/>
    <w:uiPriority w:val="9"/>
    <w:rPr>
      <w:rFonts w:ascii="Arial" w:hAnsi="Arial" w:eastAsia="Arial" w:cs="Arial"/>
      <w:sz w:val="34"/>
    </w:rPr>
  </w:style>
  <w:style w:type="paragraph" w:styleId="811">
    <w:name w:val="Heading 3"/>
    <w:basedOn w:val="985"/>
    <w:next w:val="985"/>
    <w:link w:val="812"/>
    <w:uiPriority w:val="9"/>
    <w:unhideWhenUsed/>
    <w:qFormat/>
    <w:pPr>
      <w:keepLines/>
      <w:keepNext/>
      <w:spacing w:before="320" w:after="200"/>
      <w:outlineLvl w:val="2"/>
    </w:pPr>
    <w:rPr>
      <w:rFonts w:ascii="Arial" w:hAnsi="Arial" w:eastAsia="Arial" w:cs="Arial"/>
      <w:sz w:val="30"/>
      <w:szCs w:val="30"/>
    </w:rPr>
  </w:style>
  <w:style w:type="character" w:styleId="812">
    <w:name w:val="Heading 3 Char"/>
    <w:link w:val="811"/>
    <w:uiPriority w:val="9"/>
    <w:rPr>
      <w:rFonts w:ascii="Arial" w:hAnsi="Arial" w:eastAsia="Arial" w:cs="Arial"/>
      <w:sz w:val="30"/>
      <w:szCs w:val="30"/>
    </w:rPr>
  </w:style>
  <w:style w:type="paragraph" w:styleId="813">
    <w:name w:val="Heading 4"/>
    <w:basedOn w:val="985"/>
    <w:next w:val="985"/>
    <w:link w:val="814"/>
    <w:uiPriority w:val="9"/>
    <w:unhideWhenUsed/>
    <w:qFormat/>
    <w:pPr>
      <w:keepLines/>
      <w:keepNext/>
      <w:spacing w:before="320" w:after="200"/>
      <w:outlineLvl w:val="3"/>
    </w:pPr>
    <w:rPr>
      <w:rFonts w:ascii="Arial" w:hAnsi="Arial" w:eastAsia="Arial" w:cs="Arial"/>
      <w:b/>
      <w:bCs/>
      <w:sz w:val="26"/>
      <w:szCs w:val="26"/>
    </w:rPr>
  </w:style>
  <w:style w:type="character" w:styleId="814">
    <w:name w:val="Heading 4 Char"/>
    <w:link w:val="813"/>
    <w:uiPriority w:val="9"/>
    <w:rPr>
      <w:rFonts w:ascii="Arial" w:hAnsi="Arial" w:eastAsia="Arial" w:cs="Arial"/>
      <w:b/>
      <w:bCs/>
      <w:sz w:val="26"/>
      <w:szCs w:val="26"/>
    </w:rPr>
  </w:style>
  <w:style w:type="paragraph" w:styleId="815">
    <w:name w:val="Heading 5"/>
    <w:basedOn w:val="985"/>
    <w:next w:val="985"/>
    <w:link w:val="816"/>
    <w:uiPriority w:val="9"/>
    <w:unhideWhenUsed/>
    <w:qFormat/>
    <w:pPr>
      <w:keepLines/>
      <w:keepNext/>
      <w:spacing w:before="320" w:after="200"/>
      <w:outlineLvl w:val="4"/>
    </w:pPr>
    <w:rPr>
      <w:rFonts w:ascii="Arial" w:hAnsi="Arial" w:eastAsia="Arial" w:cs="Arial"/>
      <w:b/>
      <w:bCs/>
      <w:sz w:val="24"/>
      <w:szCs w:val="24"/>
    </w:rPr>
  </w:style>
  <w:style w:type="character" w:styleId="816">
    <w:name w:val="Heading 5 Char"/>
    <w:link w:val="815"/>
    <w:uiPriority w:val="9"/>
    <w:rPr>
      <w:rFonts w:ascii="Arial" w:hAnsi="Arial" w:eastAsia="Arial" w:cs="Arial"/>
      <w:b/>
      <w:bCs/>
      <w:sz w:val="24"/>
      <w:szCs w:val="24"/>
    </w:rPr>
  </w:style>
  <w:style w:type="paragraph" w:styleId="817">
    <w:name w:val="Heading 6"/>
    <w:basedOn w:val="985"/>
    <w:next w:val="985"/>
    <w:link w:val="818"/>
    <w:uiPriority w:val="9"/>
    <w:unhideWhenUsed/>
    <w:qFormat/>
    <w:pPr>
      <w:keepLines/>
      <w:keepNext/>
      <w:spacing w:before="320" w:after="200"/>
      <w:outlineLvl w:val="5"/>
    </w:pPr>
    <w:rPr>
      <w:rFonts w:ascii="Arial" w:hAnsi="Arial" w:eastAsia="Arial" w:cs="Arial"/>
      <w:b/>
      <w:bCs/>
      <w:sz w:val="22"/>
      <w:szCs w:val="22"/>
    </w:rPr>
  </w:style>
  <w:style w:type="character" w:styleId="818">
    <w:name w:val="Heading 6 Char"/>
    <w:link w:val="817"/>
    <w:uiPriority w:val="9"/>
    <w:rPr>
      <w:rFonts w:ascii="Arial" w:hAnsi="Arial" w:eastAsia="Arial" w:cs="Arial"/>
      <w:b/>
      <w:bCs/>
      <w:sz w:val="22"/>
      <w:szCs w:val="22"/>
    </w:rPr>
  </w:style>
  <w:style w:type="paragraph" w:styleId="819">
    <w:name w:val="Heading 7"/>
    <w:basedOn w:val="985"/>
    <w:next w:val="985"/>
    <w:link w:val="820"/>
    <w:uiPriority w:val="9"/>
    <w:unhideWhenUsed/>
    <w:qFormat/>
    <w:pPr>
      <w:keepLines/>
      <w:keepNext/>
      <w:spacing w:before="320" w:after="200"/>
      <w:outlineLvl w:val="6"/>
    </w:pPr>
    <w:rPr>
      <w:rFonts w:ascii="Arial" w:hAnsi="Arial" w:eastAsia="Arial" w:cs="Arial"/>
      <w:b/>
      <w:bCs/>
      <w:i/>
      <w:iCs/>
      <w:sz w:val="22"/>
      <w:szCs w:val="22"/>
    </w:rPr>
  </w:style>
  <w:style w:type="character" w:styleId="820">
    <w:name w:val="Heading 7 Char"/>
    <w:link w:val="819"/>
    <w:uiPriority w:val="9"/>
    <w:rPr>
      <w:rFonts w:ascii="Arial" w:hAnsi="Arial" w:eastAsia="Arial" w:cs="Arial"/>
      <w:b/>
      <w:bCs/>
      <w:i/>
      <w:iCs/>
      <w:sz w:val="22"/>
      <w:szCs w:val="22"/>
    </w:rPr>
  </w:style>
  <w:style w:type="paragraph" w:styleId="821">
    <w:name w:val="Heading 8"/>
    <w:basedOn w:val="985"/>
    <w:next w:val="985"/>
    <w:link w:val="822"/>
    <w:uiPriority w:val="9"/>
    <w:unhideWhenUsed/>
    <w:qFormat/>
    <w:pPr>
      <w:keepLines/>
      <w:keepNext/>
      <w:spacing w:before="320" w:after="200"/>
      <w:outlineLvl w:val="7"/>
    </w:pPr>
    <w:rPr>
      <w:rFonts w:ascii="Arial" w:hAnsi="Arial" w:eastAsia="Arial" w:cs="Arial"/>
      <w:i/>
      <w:iCs/>
      <w:sz w:val="22"/>
      <w:szCs w:val="22"/>
    </w:rPr>
  </w:style>
  <w:style w:type="character" w:styleId="822">
    <w:name w:val="Heading 8 Char"/>
    <w:link w:val="821"/>
    <w:uiPriority w:val="9"/>
    <w:rPr>
      <w:rFonts w:ascii="Arial" w:hAnsi="Arial" w:eastAsia="Arial" w:cs="Arial"/>
      <w:i/>
      <w:iCs/>
      <w:sz w:val="22"/>
      <w:szCs w:val="22"/>
    </w:rPr>
  </w:style>
  <w:style w:type="paragraph" w:styleId="823">
    <w:name w:val="Heading 9"/>
    <w:basedOn w:val="985"/>
    <w:next w:val="985"/>
    <w:link w:val="824"/>
    <w:uiPriority w:val="9"/>
    <w:unhideWhenUsed/>
    <w:qFormat/>
    <w:pPr>
      <w:keepLines/>
      <w:keepNext/>
      <w:spacing w:before="320" w:after="200"/>
      <w:outlineLvl w:val="8"/>
    </w:pPr>
    <w:rPr>
      <w:rFonts w:ascii="Arial" w:hAnsi="Arial" w:eastAsia="Arial" w:cs="Arial"/>
      <w:i/>
      <w:iCs/>
      <w:sz w:val="21"/>
      <w:szCs w:val="21"/>
    </w:rPr>
  </w:style>
  <w:style w:type="character" w:styleId="824">
    <w:name w:val="Heading 9 Char"/>
    <w:link w:val="823"/>
    <w:uiPriority w:val="9"/>
    <w:rPr>
      <w:rFonts w:ascii="Arial" w:hAnsi="Arial" w:eastAsia="Arial" w:cs="Arial"/>
      <w:i/>
      <w:iCs/>
      <w:sz w:val="21"/>
      <w:szCs w:val="21"/>
    </w:rPr>
  </w:style>
  <w:style w:type="paragraph" w:styleId="825">
    <w:name w:val="List Paragraph"/>
    <w:basedOn w:val="985"/>
    <w:uiPriority w:val="34"/>
    <w:qFormat/>
    <w:pPr>
      <w:contextualSpacing/>
      <w:ind w:left="720"/>
    </w:pPr>
  </w:style>
  <w:style w:type="paragraph" w:styleId="826">
    <w:name w:val="No Spacing"/>
    <w:uiPriority w:val="1"/>
    <w:qFormat/>
    <w:pPr>
      <w:spacing w:before="0" w:after="0" w:line="240" w:lineRule="auto"/>
    </w:pPr>
  </w:style>
  <w:style w:type="paragraph" w:styleId="827">
    <w:name w:val="Title"/>
    <w:basedOn w:val="985"/>
    <w:next w:val="985"/>
    <w:link w:val="828"/>
    <w:uiPriority w:val="10"/>
    <w:qFormat/>
    <w:pPr>
      <w:contextualSpacing/>
      <w:spacing w:before="300" w:after="200"/>
    </w:pPr>
    <w:rPr>
      <w:sz w:val="48"/>
      <w:szCs w:val="48"/>
    </w:rPr>
  </w:style>
  <w:style w:type="character" w:styleId="828">
    <w:name w:val="Title Char"/>
    <w:link w:val="827"/>
    <w:uiPriority w:val="10"/>
    <w:rPr>
      <w:sz w:val="48"/>
      <w:szCs w:val="48"/>
    </w:rPr>
  </w:style>
  <w:style w:type="paragraph" w:styleId="829">
    <w:name w:val="Subtitle"/>
    <w:basedOn w:val="985"/>
    <w:next w:val="985"/>
    <w:link w:val="830"/>
    <w:uiPriority w:val="11"/>
    <w:qFormat/>
    <w:pPr>
      <w:spacing w:before="200" w:after="200"/>
    </w:pPr>
    <w:rPr>
      <w:sz w:val="24"/>
      <w:szCs w:val="24"/>
    </w:rPr>
  </w:style>
  <w:style w:type="character" w:styleId="830">
    <w:name w:val="Subtitle Char"/>
    <w:link w:val="829"/>
    <w:uiPriority w:val="11"/>
    <w:rPr>
      <w:sz w:val="24"/>
      <w:szCs w:val="24"/>
    </w:rPr>
  </w:style>
  <w:style w:type="paragraph" w:styleId="831">
    <w:name w:val="Quote"/>
    <w:basedOn w:val="985"/>
    <w:next w:val="985"/>
    <w:link w:val="832"/>
    <w:uiPriority w:val="29"/>
    <w:qFormat/>
    <w:pPr>
      <w:ind w:left="720" w:right="720"/>
    </w:pPr>
    <w:rPr>
      <w:i/>
    </w:rPr>
  </w:style>
  <w:style w:type="character" w:styleId="832">
    <w:name w:val="Quote Char"/>
    <w:link w:val="831"/>
    <w:uiPriority w:val="29"/>
    <w:rPr>
      <w:i/>
    </w:rPr>
  </w:style>
  <w:style w:type="paragraph" w:styleId="833">
    <w:name w:val="Intense Quote"/>
    <w:basedOn w:val="985"/>
    <w:next w:val="985"/>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paragraph" w:styleId="835">
    <w:name w:val="Header"/>
    <w:basedOn w:val="985"/>
    <w:link w:val="836"/>
    <w:uiPriority w:val="99"/>
    <w:unhideWhenUsed/>
    <w:pPr>
      <w:spacing w:after="0" w:line="240" w:lineRule="auto"/>
      <w:tabs>
        <w:tab w:val="center" w:pos="7143" w:leader="none"/>
        <w:tab w:val="right" w:pos="14287" w:leader="none"/>
      </w:tabs>
    </w:pPr>
  </w:style>
  <w:style w:type="character" w:styleId="836">
    <w:name w:val="Header Char"/>
    <w:link w:val="835"/>
    <w:uiPriority w:val="99"/>
  </w:style>
  <w:style w:type="paragraph" w:styleId="837">
    <w:name w:val="Footer"/>
    <w:basedOn w:val="985"/>
    <w:link w:val="840"/>
    <w:uiPriority w:val="99"/>
    <w:unhideWhenUsed/>
    <w:pPr>
      <w:spacing w:after="0" w:line="240" w:lineRule="auto"/>
      <w:tabs>
        <w:tab w:val="center" w:pos="7143" w:leader="none"/>
        <w:tab w:val="right" w:pos="14287" w:leader="none"/>
      </w:tabs>
    </w:pPr>
  </w:style>
  <w:style w:type="character" w:styleId="838">
    <w:name w:val="Footer Char"/>
    <w:link w:val="837"/>
    <w:uiPriority w:val="99"/>
  </w:style>
  <w:style w:type="paragraph" w:styleId="839">
    <w:name w:val="Caption"/>
    <w:basedOn w:val="985"/>
    <w:next w:val="985"/>
    <w:uiPriority w:val="35"/>
    <w:semiHidden/>
    <w:unhideWhenUsed/>
    <w:qFormat/>
    <w:pPr>
      <w:spacing w:line="276" w:lineRule="auto"/>
    </w:pPr>
    <w:rPr>
      <w:b/>
      <w:bCs/>
      <w:color w:val="4f81bd" w:themeColor="accent1"/>
      <w:sz w:val="18"/>
      <w:szCs w:val="18"/>
    </w:rPr>
  </w:style>
  <w:style w:type="character" w:styleId="840">
    <w:name w:val="Caption Char"/>
    <w:basedOn w:val="839"/>
    <w:link w:val="837"/>
    <w:uiPriority w:val="99"/>
  </w:style>
  <w:style w:type="table" w:styleId="8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7">
    <w:name w:val="Hyperlink"/>
    <w:uiPriority w:val="99"/>
    <w:unhideWhenUsed/>
    <w:rPr>
      <w:color w:val="0000ff" w:themeColor="hyperlink"/>
      <w:u w:val="single"/>
    </w:rPr>
  </w:style>
  <w:style w:type="paragraph" w:styleId="968">
    <w:name w:val="footnote text"/>
    <w:basedOn w:val="985"/>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uiPriority w:val="99"/>
    <w:unhideWhenUsed/>
    <w:rPr>
      <w:vertAlign w:val="superscript"/>
    </w:rPr>
  </w:style>
  <w:style w:type="paragraph" w:styleId="971">
    <w:name w:val="endnote text"/>
    <w:basedOn w:val="985"/>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uiPriority w:val="99"/>
    <w:semiHidden/>
    <w:unhideWhenUsed/>
    <w:rPr>
      <w:vertAlign w:val="superscript"/>
    </w:rPr>
  </w:style>
  <w:style w:type="paragraph" w:styleId="974">
    <w:name w:val="toc 1"/>
    <w:basedOn w:val="985"/>
    <w:next w:val="985"/>
    <w:uiPriority w:val="39"/>
    <w:unhideWhenUsed/>
    <w:pPr>
      <w:ind w:left="0" w:right="0" w:firstLine="0"/>
      <w:spacing w:after="57"/>
    </w:pPr>
  </w:style>
  <w:style w:type="paragraph" w:styleId="975">
    <w:name w:val="toc 2"/>
    <w:basedOn w:val="985"/>
    <w:next w:val="985"/>
    <w:uiPriority w:val="39"/>
    <w:unhideWhenUsed/>
    <w:pPr>
      <w:ind w:left="283" w:right="0" w:firstLine="0"/>
      <w:spacing w:after="57"/>
    </w:pPr>
  </w:style>
  <w:style w:type="paragraph" w:styleId="976">
    <w:name w:val="toc 3"/>
    <w:basedOn w:val="985"/>
    <w:next w:val="985"/>
    <w:uiPriority w:val="39"/>
    <w:unhideWhenUsed/>
    <w:pPr>
      <w:ind w:left="567" w:right="0" w:firstLine="0"/>
      <w:spacing w:after="57"/>
    </w:p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85"/>
    <w:link w:val="985"/>
    <w:qFormat/>
    <w:pPr>
      <w:jc w:val="both"/>
      <w:widowControl w:val="off"/>
    </w:pPr>
    <w:rPr>
      <w:sz w:val="21"/>
      <w:szCs w:val="24"/>
      <w:lang w:val="en-US" w:eastAsia="zh-CN" w:bidi="ar-SA"/>
    </w:rPr>
  </w:style>
  <w:style w:type="paragraph" w:styleId="986">
    <w:name w:val="标题 1"/>
    <w:basedOn w:val="985"/>
    <w:next w:val="985"/>
    <w:link w:val="985"/>
    <w:uiPriority w:val="9"/>
    <w:qFormat/>
    <w:pPr>
      <w:keepLines/>
      <w:keepNext/>
      <w:spacing w:before="340" w:after="330" w:line="578" w:lineRule="auto"/>
      <w:outlineLvl w:val="0"/>
    </w:pPr>
    <w:rPr>
      <w:b/>
      <w:bCs/>
      <w:sz w:val="44"/>
      <w:szCs w:val="44"/>
    </w:rPr>
  </w:style>
  <w:style w:type="paragraph" w:styleId="987">
    <w:name w:val="标题 2"/>
    <w:basedOn w:val="985"/>
    <w:next w:val="993"/>
    <w:link w:val="985"/>
    <w:uiPriority w:val="9"/>
    <w:qFormat/>
    <w:pPr>
      <w:keepLines/>
      <w:keepNext/>
      <w:spacing w:before="260" w:after="260" w:line="413" w:lineRule="auto"/>
      <w:outlineLvl w:val="1"/>
    </w:pPr>
    <w:rPr>
      <w:rFonts w:ascii="Arial" w:hAnsi="Arial" w:eastAsia="黑体"/>
      <w:b/>
      <w:sz w:val="32"/>
      <w:szCs w:val="20"/>
    </w:rPr>
  </w:style>
  <w:style w:type="paragraph" w:styleId="988">
    <w:name w:val="标题 3"/>
    <w:basedOn w:val="985"/>
    <w:next w:val="985"/>
    <w:link w:val="985"/>
    <w:uiPriority w:val="9"/>
    <w:qFormat/>
    <w:pPr>
      <w:keepLines/>
      <w:keepNext/>
      <w:spacing w:before="260" w:after="260" w:line="413" w:lineRule="auto"/>
      <w:outlineLvl w:val="2"/>
    </w:pPr>
    <w:rPr>
      <w:rFonts w:ascii="Arial" w:hAnsi="Arial"/>
      <w:b/>
      <w:sz w:val="32"/>
      <w:szCs w:val="20"/>
    </w:rPr>
  </w:style>
  <w:style w:type="paragraph" w:styleId="989">
    <w:name w:val="标题 4"/>
    <w:basedOn w:val="985"/>
    <w:next w:val="985"/>
    <w:link w:val="995"/>
    <w:uiPriority w:val="9"/>
    <w:qFormat/>
    <w:pPr>
      <w:keepLines/>
      <w:keepNext/>
      <w:spacing w:before="280" w:after="290" w:line="376" w:lineRule="auto"/>
      <w:outlineLvl w:val="3"/>
    </w:pPr>
    <w:rPr>
      <w:rFonts w:ascii="Cambria" w:hAnsi="Cambria"/>
      <w:b/>
      <w:bCs/>
      <w:sz w:val="28"/>
      <w:szCs w:val="28"/>
    </w:rPr>
  </w:style>
  <w:style w:type="paragraph" w:styleId="990">
    <w:name w:val="标题 5"/>
    <w:basedOn w:val="985"/>
    <w:next w:val="985"/>
    <w:link w:val="996"/>
    <w:uiPriority w:val="9"/>
    <w:qFormat/>
    <w:pPr>
      <w:keepLines/>
      <w:keepNext/>
      <w:spacing w:before="280" w:after="290" w:line="376" w:lineRule="auto"/>
      <w:outlineLvl w:val="4"/>
    </w:pPr>
    <w:rPr>
      <w:b/>
      <w:bCs/>
      <w:sz w:val="28"/>
      <w:szCs w:val="28"/>
    </w:rPr>
  </w:style>
  <w:style w:type="character" w:styleId="991">
    <w:name w:val="默认段落字体"/>
    <w:next w:val="991"/>
    <w:link w:val="985"/>
    <w:semiHidden/>
  </w:style>
  <w:style w:type="table" w:styleId="992">
    <w:name w:val="普通表格"/>
    <w:next w:val="992"/>
    <w:link w:val="985"/>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93">
    <w:name w:val="正文缩进"/>
    <w:basedOn w:val="985"/>
    <w:next w:val="993"/>
    <w:link w:val="994"/>
    <w:pPr>
      <w:ind w:firstLine="420"/>
    </w:pPr>
    <w:rPr>
      <w:szCs w:val="20"/>
    </w:rPr>
  </w:style>
  <w:style w:type="character" w:styleId="994">
    <w:name w:val="正文缩进 Char"/>
    <w:next w:val="994"/>
    <w:link w:val="993"/>
    <w:rPr>
      <w:sz w:val="21"/>
    </w:rPr>
  </w:style>
  <w:style w:type="character" w:styleId="995">
    <w:name w:val="标题 4 Char"/>
    <w:next w:val="995"/>
    <w:link w:val="989"/>
    <w:uiPriority w:val="9"/>
    <w:rPr>
      <w:rFonts w:ascii="Cambria" w:hAnsi="Cambria"/>
      <w:b/>
      <w:bCs/>
      <w:sz w:val="28"/>
      <w:szCs w:val="28"/>
    </w:rPr>
  </w:style>
  <w:style w:type="character" w:styleId="996">
    <w:name w:val="标题 5 Char"/>
    <w:next w:val="996"/>
    <w:link w:val="990"/>
    <w:uiPriority w:val="9"/>
    <w:rPr>
      <w:b/>
      <w:bCs/>
      <w:sz w:val="28"/>
      <w:szCs w:val="28"/>
    </w:rPr>
  </w:style>
  <w:style w:type="paragraph" w:styleId="997">
    <w:name w:val="题注"/>
    <w:basedOn w:val="985"/>
    <w:next w:val="985"/>
    <w:link w:val="985"/>
    <w:uiPriority w:val="35"/>
    <w:qFormat/>
    <w:pPr>
      <w:jc w:val="center"/>
      <w:spacing w:before="156" w:after="156" w:line="360" w:lineRule="auto"/>
    </w:pPr>
    <w:rPr>
      <w:rFonts w:ascii="Arial" w:hAnsi="Arial" w:cs="Arial"/>
      <w:sz w:val="24"/>
      <w:szCs w:val="20"/>
    </w:rPr>
  </w:style>
  <w:style w:type="paragraph" w:styleId="998">
    <w:name w:val="文档结构图"/>
    <w:basedOn w:val="985"/>
    <w:next w:val="998"/>
    <w:link w:val="985"/>
    <w:semiHidden/>
    <w:pPr>
      <w:shd w:val="clear" w:color="auto" w:fill="000080"/>
    </w:pPr>
  </w:style>
  <w:style w:type="paragraph" w:styleId="999">
    <w:name w:val="批注文字"/>
    <w:basedOn w:val="985"/>
    <w:next w:val="999"/>
    <w:link w:val="1000"/>
    <w:uiPriority w:val="99"/>
    <w:unhideWhenUsed/>
    <w:pPr>
      <w:jc w:val="left"/>
    </w:pPr>
  </w:style>
  <w:style w:type="character" w:styleId="1000">
    <w:name w:val="批注文字 Char"/>
    <w:next w:val="1000"/>
    <w:link w:val="999"/>
    <w:uiPriority w:val="99"/>
    <w:rPr>
      <w:sz w:val="21"/>
      <w:szCs w:val="24"/>
    </w:rPr>
  </w:style>
  <w:style w:type="paragraph" w:styleId="1001">
    <w:name w:val="正文文本 3"/>
    <w:basedOn w:val="985"/>
    <w:next w:val="1001"/>
    <w:link w:val="985"/>
    <w:rPr>
      <w:rFonts w:ascii="楷体_GB2312" w:hAnsi="Arial" w:eastAsia="楷体_GB2312" w:cs="Arial"/>
      <w:b/>
      <w:bCs/>
      <w:color w:val="000000"/>
      <w:sz w:val="24"/>
    </w:rPr>
  </w:style>
  <w:style w:type="paragraph" w:styleId="1002">
    <w:name w:val="正文文本"/>
    <w:basedOn w:val="985"/>
    <w:next w:val="1002"/>
    <w:link w:val="985"/>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003">
    <w:name w:val="正文文本缩进"/>
    <w:basedOn w:val="985"/>
    <w:next w:val="1003"/>
    <w:link w:val="985"/>
    <w:pPr>
      <w:ind w:firstLine="630"/>
    </w:pPr>
    <w:rPr>
      <w:rFonts w:ascii="楷体_GB2312" w:eastAsia="楷体_GB2312"/>
      <w:sz w:val="32"/>
      <w:szCs w:val="20"/>
    </w:rPr>
  </w:style>
  <w:style w:type="paragraph" w:styleId="1004">
    <w:name w:val="文本块"/>
    <w:basedOn w:val="985"/>
    <w:next w:val="1004"/>
    <w:link w:val="985"/>
    <w:pPr>
      <w:ind w:left="420" w:right="33"/>
      <w:jc w:val="left"/>
    </w:pPr>
    <w:rPr>
      <w:sz w:val="24"/>
      <w:szCs w:val="20"/>
    </w:rPr>
  </w:style>
  <w:style w:type="paragraph" w:styleId="1005">
    <w:name w:val="目录 3"/>
    <w:basedOn w:val="985"/>
    <w:next w:val="985"/>
    <w:link w:val="985"/>
    <w:semiHidden/>
    <w:pPr>
      <w:ind w:left="840"/>
      <w:spacing w:line="300" w:lineRule="auto"/>
      <w:tabs>
        <w:tab w:val="right" w:pos="9344" w:leader="dot"/>
      </w:tabs>
    </w:pPr>
    <w:rPr>
      <w:rFonts w:ascii="Arial" w:hAnsi="Arial" w:cs="Arial"/>
      <w:szCs w:val="21"/>
    </w:rPr>
  </w:style>
  <w:style w:type="paragraph" w:styleId="1006">
    <w:name w:val="纯文本"/>
    <w:basedOn w:val="985"/>
    <w:next w:val="1006"/>
    <w:link w:val="1007"/>
    <w:rPr>
      <w:rFonts w:ascii="宋体" w:hAnsi="Courier New"/>
      <w:szCs w:val="20"/>
    </w:rPr>
  </w:style>
  <w:style w:type="character" w:styleId="1007">
    <w:name w:val="纯文本 Char"/>
    <w:next w:val="1007"/>
    <w:link w:val="1006"/>
    <w:rPr>
      <w:rFonts w:ascii="宋体" w:hAnsi="Courier New" w:eastAsia="宋体"/>
      <w:sz w:val="21"/>
      <w:lang w:val="en-US" w:eastAsia="zh-CN" w:bidi="ar-SA"/>
    </w:rPr>
  </w:style>
  <w:style w:type="paragraph" w:styleId="1008">
    <w:name w:val="正文文本缩进 2"/>
    <w:basedOn w:val="985"/>
    <w:next w:val="1008"/>
    <w:link w:val="985"/>
    <w:pPr>
      <w:ind w:left="420"/>
      <w:spacing w:after="120" w:line="480" w:lineRule="auto"/>
    </w:pPr>
  </w:style>
  <w:style w:type="paragraph" w:styleId="1009">
    <w:name w:val="批注框文本"/>
    <w:basedOn w:val="985"/>
    <w:next w:val="1009"/>
    <w:link w:val="1010"/>
    <w:rPr>
      <w:sz w:val="18"/>
      <w:szCs w:val="18"/>
    </w:rPr>
  </w:style>
  <w:style w:type="character" w:styleId="1010">
    <w:name w:val="批注框文本 Char"/>
    <w:next w:val="1010"/>
    <w:link w:val="1009"/>
    <w:rPr>
      <w:sz w:val="18"/>
      <w:szCs w:val="18"/>
    </w:rPr>
  </w:style>
  <w:style w:type="paragraph" w:styleId="1011">
    <w:name w:val="页脚"/>
    <w:basedOn w:val="985"/>
    <w:next w:val="1011"/>
    <w:link w:val="1012"/>
    <w:pPr>
      <w:jc w:val="left"/>
      <w:tabs>
        <w:tab w:val="center" w:pos="4153" w:leader="none"/>
        <w:tab w:val="right" w:pos="8306" w:leader="none"/>
      </w:tabs>
    </w:pPr>
    <w:rPr>
      <w:sz w:val="18"/>
      <w:szCs w:val="18"/>
    </w:rPr>
  </w:style>
  <w:style w:type="character" w:styleId="1012">
    <w:name w:val="页脚 Char"/>
    <w:next w:val="1012"/>
    <w:link w:val="1011"/>
    <w:rPr>
      <w:sz w:val="18"/>
      <w:szCs w:val="18"/>
    </w:rPr>
  </w:style>
  <w:style w:type="paragraph" w:styleId="1013">
    <w:name w:val="页眉"/>
    <w:basedOn w:val="985"/>
    <w:next w:val="1013"/>
    <w:link w:val="1014"/>
    <w:pPr>
      <w:jc w:val="center"/>
      <w:tabs>
        <w:tab w:val="center" w:pos="4153" w:leader="none"/>
        <w:tab w:val="right" w:pos="8306" w:leader="none"/>
      </w:tabs>
      <w:pBdr>
        <w:bottom w:val="single" w:color="000000" w:sz="6" w:space="1"/>
      </w:pBdr>
    </w:pPr>
    <w:rPr>
      <w:sz w:val="18"/>
      <w:szCs w:val="18"/>
    </w:rPr>
  </w:style>
  <w:style w:type="character" w:styleId="1014">
    <w:name w:val="页眉 Char"/>
    <w:next w:val="1014"/>
    <w:link w:val="1013"/>
    <w:rPr>
      <w:sz w:val="18"/>
      <w:szCs w:val="18"/>
    </w:rPr>
  </w:style>
  <w:style w:type="paragraph" w:styleId="1015">
    <w:name w:val="目录 1"/>
    <w:basedOn w:val="985"/>
    <w:next w:val="985"/>
    <w:link w:val="985"/>
    <w:semiHidden/>
  </w:style>
  <w:style w:type="paragraph" w:styleId="1016">
    <w:name w:val="正文文本缩进 3"/>
    <w:basedOn w:val="985"/>
    <w:next w:val="1016"/>
    <w:link w:val="985"/>
    <w:uiPriority w:val="99"/>
    <w:pPr>
      <w:ind w:firstLine="420"/>
    </w:pPr>
    <w:rPr>
      <w:rFonts w:eastAsia="楷体_GB2312"/>
    </w:rPr>
  </w:style>
  <w:style w:type="paragraph" w:styleId="1017">
    <w:name w:val="目录 2"/>
    <w:basedOn w:val="985"/>
    <w:next w:val="985"/>
    <w:link w:val="985"/>
    <w:semiHidden/>
    <w:pPr>
      <w:ind w:left="420"/>
    </w:pPr>
    <w:rPr>
      <w:szCs w:val="20"/>
    </w:rPr>
  </w:style>
  <w:style w:type="paragraph" w:styleId="1018">
    <w:name w:val="正文文本 2"/>
    <w:basedOn w:val="985"/>
    <w:next w:val="1018"/>
    <w:link w:val="1019"/>
    <w:pPr>
      <w:spacing w:line="440" w:lineRule="exact"/>
    </w:pPr>
    <w:rPr>
      <w:rFonts w:ascii="楷体_GB2312" w:eastAsia="楷体_GB2312"/>
      <w:sz w:val="28"/>
    </w:rPr>
  </w:style>
  <w:style w:type="character" w:styleId="1019">
    <w:name w:val="正文文本 2 Char"/>
    <w:next w:val="1019"/>
    <w:link w:val="1018"/>
    <w:rPr>
      <w:rFonts w:ascii="楷体_GB2312" w:eastAsia="楷体_GB2312"/>
      <w:sz w:val="28"/>
      <w:szCs w:val="24"/>
    </w:rPr>
  </w:style>
  <w:style w:type="paragraph" w:styleId="1020">
    <w:name w:val="批注主题"/>
    <w:basedOn w:val="999"/>
    <w:next w:val="999"/>
    <w:link w:val="1021"/>
    <w:rPr>
      <w:b/>
      <w:bCs/>
    </w:rPr>
  </w:style>
  <w:style w:type="character" w:styleId="1021">
    <w:name w:val="批注主题 Char"/>
    <w:next w:val="1021"/>
    <w:link w:val="1020"/>
    <w:rPr>
      <w:b/>
      <w:bCs/>
      <w:sz w:val="21"/>
      <w:szCs w:val="24"/>
    </w:rPr>
  </w:style>
  <w:style w:type="paragraph" w:styleId="1022">
    <w:name w:val="正文首行缩进 2"/>
    <w:basedOn w:val="1003"/>
    <w:next w:val="1022"/>
    <w:link w:val="985"/>
    <w:pPr>
      <w:ind w:left="420" w:firstLine="420"/>
      <w:spacing w:after="120"/>
      <w:widowControl/>
    </w:pPr>
    <w:rPr>
      <w:rFonts w:ascii="仿宋_GB2312" w:eastAsia="仿宋_GB2312"/>
      <w:color w:val="ff6600"/>
      <w:sz w:val="21"/>
    </w:rPr>
  </w:style>
  <w:style w:type="table" w:styleId="1023">
    <w:name w:val="网格型"/>
    <w:basedOn w:val="992"/>
    <w:next w:val="1023"/>
    <w:link w:val="985"/>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1024">
    <w:name w:val="要点"/>
    <w:next w:val="1024"/>
    <w:link w:val="985"/>
    <w:qFormat/>
    <w:rPr>
      <w:b w:val="0"/>
      <w:i w:val="0"/>
    </w:rPr>
  </w:style>
  <w:style w:type="character" w:styleId="1025">
    <w:name w:val="页码"/>
    <w:next w:val="1025"/>
    <w:link w:val="985"/>
  </w:style>
  <w:style w:type="character" w:styleId="1026">
    <w:name w:val="已访问的超链接"/>
    <w:next w:val="1026"/>
    <w:link w:val="985"/>
    <w:rPr>
      <w:color w:val="800080"/>
      <w:u w:val="none"/>
    </w:rPr>
  </w:style>
  <w:style w:type="character" w:styleId="1027">
    <w:name w:val="强调"/>
    <w:next w:val="1027"/>
    <w:link w:val="985"/>
    <w:qFormat/>
    <w:rPr>
      <w:b w:val="0"/>
      <w:i w:val="0"/>
    </w:rPr>
  </w:style>
  <w:style w:type="character" w:styleId="1028">
    <w:name w:val="HTML 定义"/>
    <w:next w:val="1028"/>
    <w:link w:val="985"/>
    <w:rPr>
      <w:b w:val="0"/>
      <w:i w:val="0"/>
    </w:rPr>
  </w:style>
  <w:style w:type="character" w:styleId="1029">
    <w:name w:val="HTML 打字机"/>
    <w:next w:val="1029"/>
    <w:link w:val="985"/>
    <w:rPr>
      <w:rFonts w:ascii="monospace" w:hAnsi="monospace" w:eastAsia="monospace" w:cs="monospace"/>
      <w:sz w:val="20"/>
    </w:rPr>
  </w:style>
  <w:style w:type="character" w:styleId="1030">
    <w:name w:val="HTML 缩写"/>
    <w:next w:val="1030"/>
    <w:link w:val="985"/>
  </w:style>
  <w:style w:type="character" w:styleId="1031">
    <w:name w:val="HTML 变量"/>
    <w:next w:val="1031"/>
    <w:link w:val="985"/>
    <w:rPr>
      <w:b w:val="0"/>
      <w:i w:val="0"/>
    </w:rPr>
  </w:style>
  <w:style w:type="character" w:styleId="1032">
    <w:name w:val="超链接"/>
    <w:next w:val="1032"/>
    <w:link w:val="985"/>
    <w:rPr>
      <w:color w:val="0000ff"/>
      <w:u w:val="none"/>
    </w:rPr>
  </w:style>
  <w:style w:type="character" w:styleId="1033">
    <w:name w:val="HTML 代码"/>
    <w:next w:val="1033"/>
    <w:link w:val="985"/>
    <w:rPr>
      <w:rFonts w:ascii="monospace" w:hAnsi="monospace" w:eastAsia="monospace" w:cs="monospace"/>
      <w:b w:val="0"/>
      <w:i w:val="0"/>
      <w:sz w:val="20"/>
    </w:rPr>
  </w:style>
  <w:style w:type="character" w:styleId="1034">
    <w:name w:val="批注引用"/>
    <w:next w:val="1034"/>
    <w:link w:val="985"/>
    <w:rPr>
      <w:sz w:val="21"/>
      <w:szCs w:val="21"/>
    </w:rPr>
  </w:style>
  <w:style w:type="character" w:styleId="1035">
    <w:name w:val="HTML 引文"/>
    <w:next w:val="1035"/>
    <w:link w:val="985"/>
    <w:rPr>
      <w:b w:val="0"/>
      <w:i w:val="0"/>
    </w:rPr>
  </w:style>
  <w:style w:type="character" w:styleId="1036">
    <w:name w:val="HTML 键盘"/>
    <w:next w:val="1036"/>
    <w:link w:val="985"/>
    <w:rPr>
      <w:rFonts w:ascii="monospace" w:hAnsi="monospace" w:eastAsia="monospace" w:cs="monospace"/>
      <w:sz w:val="20"/>
    </w:rPr>
  </w:style>
  <w:style w:type="character" w:styleId="1037">
    <w:name w:val="HTML 样本"/>
    <w:next w:val="1037"/>
    <w:link w:val="985"/>
    <w:rPr>
      <w:rFonts w:ascii="monospace" w:hAnsi="monospace" w:eastAsia="monospace" w:cs="monospace"/>
    </w:rPr>
  </w:style>
  <w:style w:type="character" w:styleId="1038">
    <w:name w:val="font121"/>
    <w:basedOn w:val="1039"/>
    <w:next w:val="1038"/>
    <w:link w:val="985"/>
    <w:qFormat/>
    <w:rPr>
      <w:rFonts w:hint="eastAsia" w:ascii="宋体" w:hAnsi="宋体" w:eastAsia="宋体" w:cs="宋体"/>
      <w:color w:val="000000"/>
      <w:sz w:val="20"/>
      <w:szCs w:val="20"/>
      <w:u w:val="none"/>
    </w:rPr>
  </w:style>
  <w:style w:type="character" w:styleId="1039">
    <w:name w:val="默认段落字体1"/>
    <w:next w:val="1039"/>
    <w:link w:val="985"/>
    <w:semiHidden/>
    <w:qFormat/>
  </w:style>
  <w:style w:type="character" w:styleId="1040">
    <w:name w:val="Font Style30"/>
    <w:next w:val="1040"/>
    <w:link w:val="985"/>
    <w:rPr>
      <w:rFonts w:ascii="宋体" w:eastAsia="宋体" w:cs="宋体"/>
      <w:sz w:val="14"/>
      <w:szCs w:val="14"/>
    </w:rPr>
  </w:style>
  <w:style w:type="character" w:styleId="1041">
    <w:name w:val="glyphicon"/>
    <w:next w:val="1041"/>
    <w:link w:val="985"/>
  </w:style>
  <w:style w:type="character" w:styleId="1042">
    <w:name w:val="Font Style36"/>
    <w:next w:val="1042"/>
    <w:link w:val="985"/>
    <w:rPr>
      <w:rFonts w:ascii="宋体" w:eastAsia="宋体" w:cs="宋体"/>
      <w:sz w:val="16"/>
      <w:szCs w:val="16"/>
    </w:rPr>
  </w:style>
  <w:style w:type="character" w:styleId="1043">
    <w:name w:val="hour_am"/>
    <w:next w:val="1043"/>
    <w:link w:val="985"/>
  </w:style>
  <w:style w:type="character" w:styleId="1044">
    <w:name w:val="old"/>
    <w:next w:val="1044"/>
    <w:link w:val="985"/>
    <w:rPr>
      <w:color w:val="999999"/>
    </w:rPr>
  </w:style>
  <w:style w:type="character" w:styleId="1045">
    <w:name w:val="标题 2 Char,节 Char,Heading 2 Hidden Char,Heading 2 CCBS Char,H2 Char,sect 1.2 Char,H21 Char,sect 1.21 Char,H22 Char,sect 1.22 Char,H211 Char,sect 1.211 Char,H23 Char,sect 1.23 Char,H212 Char,sect 1.212 Char,2nd level Char,h2 Char,2 Char,Header 2 Char"/>
    <w:next w:val="1045"/>
    <w:link w:val="985"/>
    <w:rPr>
      <w:rFonts w:ascii="Arial" w:hAnsi="Arial" w:eastAsia="黑体"/>
      <w:b/>
      <w:sz w:val="32"/>
      <w:lang w:val="en-US" w:eastAsia="zh-CN"/>
    </w:rPr>
  </w:style>
  <w:style w:type="character" w:styleId="1046">
    <w:name w:val="hover"/>
    <w:next w:val="1046"/>
    <w:link w:val="985"/>
    <w:rPr>
      <w:shd w:val="clear" w:color="auto" w:fill="eeeeee"/>
    </w:rPr>
  </w:style>
  <w:style w:type="character" w:styleId="1047">
    <w:name w:val="hour_pm"/>
    <w:next w:val="1047"/>
    <w:link w:val="985"/>
  </w:style>
  <w:style w:type="character" w:styleId="1048">
    <w:name w:val="Font Style28"/>
    <w:next w:val="1048"/>
    <w:link w:val="985"/>
    <w:rPr>
      <w:rFonts w:ascii="Constantia" w:hAnsi="Constantia" w:cs="Constantia"/>
      <w:sz w:val="28"/>
      <w:szCs w:val="28"/>
    </w:rPr>
  </w:style>
  <w:style w:type="character" w:styleId="1049">
    <w:name w:val="Font Style29"/>
    <w:next w:val="1049"/>
    <w:link w:val="985"/>
    <w:rPr>
      <w:rFonts w:ascii="Arial" w:hAnsi="Arial" w:cs="Arial"/>
      <w:sz w:val="14"/>
      <w:szCs w:val="14"/>
    </w:rPr>
  </w:style>
  <w:style w:type="character" w:styleId="1050">
    <w:name w:val="Font Style37"/>
    <w:next w:val="1050"/>
    <w:link w:val="985"/>
    <w:rPr>
      <w:rFonts w:ascii="Arial" w:hAnsi="Arial" w:cs="Arial"/>
      <w:sz w:val="16"/>
      <w:szCs w:val="16"/>
    </w:rPr>
  </w:style>
  <w:style w:type="character" w:styleId="1051">
    <w:name w:val="Plain Text Char"/>
    <w:next w:val="1051"/>
    <w:link w:val="985"/>
    <w:rPr>
      <w:rFonts w:ascii="宋体" w:hAnsi="Courier New" w:eastAsia="宋体"/>
      <w:sz w:val="21"/>
      <w:lang w:val="en-US" w:eastAsia="zh-CN" w:bidi="ar-SA"/>
    </w:rPr>
  </w:style>
  <w:style w:type="paragraph" w:styleId="1052">
    <w:name w:val="Default"/>
    <w:next w:val="1052"/>
    <w:link w:val="985"/>
    <w:pPr>
      <w:widowControl w:val="off"/>
    </w:pPr>
    <w:rPr>
      <w:rFonts w:ascii="仿宋" w:eastAsia="仿宋" w:cs="仿宋"/>
      <w:color w:val="000000"/>
      <w:sz w:val="24"/>
      <w:szCs w:val="24"/>
      <w:lang w:val="en-US" w:eastAsia="zh-CN" w:bidi="ar-SA"/>
    </w:rPr>
  </w:style>
  <w:style w:type="paragraph" w:styleId="1053">
    <w:name w:val="默认段落字体 Para Char Char Char Char Char Char Char Char Char1 Char Char Char Char Char Char Char"/>
    <w:basedOn w:val="998"/>
    <w:next w:val="1053"/>
    <w:link w:val="985"/>
    <w:rPr>
      <w:rFonts w:ascii="Tahoma" w:hAnsi="Tahoma"/>
      <w:sz w:val="24"/>
    </w:rPr>
  </w:style>
  <w:style w:type="paragraph" w:styleId="1054">
    <w:name w:val="Style9"/>
    <w:basedOn w:val="985"/>
    <w:next w:val="1054"/>
    <w:link w:val="985"/>
    <w:pPr>
      <w:jc w:val="left"/>
    </w:pPr>
    <w:rPr>
      <w:rFonts w:ascii="宋体"/>
      <w:sz w:val="24"/>
    </w:rPr>
  </w:style>
  <w:style w:type="paragraph" w:styleId="1055">
    <w:name w:val="Char"/>
    <w:basedOn w:val="985"/>
    <w:next w:val="1055"/>
    <w:link w:val="985"/>
    <w:pPr>
      <w:tabs>
        <w:tab w:val="left" w:pos="360" w:leader="none"/>
      </w:tabs>
    </w:pPr>
    <w:rPr>
      <w:sz w:val="24"/>
    </w:rPr>
  </w:style>
  <w:style w:type="paragraph" w:styleId="1056">
    <w:name w:val=" Char Char Char1 Char Char Char Char"/>
    <w:basedOn w:val="985"/>
    <w:next w:val="1056"/>
    <w:link w:val="985"/>
    <w:pPr>
      <w:jc w:val="left"/>
      <w:spacing w:after="160" w:line="240" w:lineRule="exact"/>
      <w:widowControl/>
    </w:pPr>
    <w:rPr>
      <w:rFonts w:ascii="宋体" w:hAnsi="宋体"/>
      <w:b/>
      <w:sz w:val="28"/>
      <w:szCs w:val="28"/>
    </w:rPr>
  </w:style>
  <w:style w:type="paragraph" w:styleId="1057">
    <w:name w:val="Style10"/>
    <w:basedOn w:val="985"/>
    <w:next w:val="1057"/>
    <w:link w:val="985"/>
    <w:pPr>
      <w:jc w:val="left"/>
    </w:pPr>
    <w:rPr>
      <w:rFonts w:ascii="宋体"/>
      <w:sz w:val="24"/>
    </w:rPr>
  </w:style>
  <w:style w:type="paragraph" w:styleId="1058">
    <w:name w:val="首行缩进"/>
    <w:basedOn w:val="985"/>
    <w:next w:val="1058"/>
    <w:link w:val="985"/>
    <w:qFormat/>
    <w:pPr>
      <w:ind w:firstLine="420"/>
      <w:spacing w:line="360" w:lineRule="auto"/>
    </w:pPr>
    <w:rPr>
      <w:sz w:val="20"/>
    </w:rPr>
  </w:style>
  <w:style w:type="paragraph" w:styleId="1059">
    <w:name w:val="普通正文"/>
    <w:basedOn w:val="985"/>
    <w:next w:val="1059"/>
    <w:link w:val="985"/>
    <w:pPr>
      <w:ind w:firstLine="480"/>
      <w:jc w:val="left"/>
      <w:spacing w:before="120" w:after="120" w:line="360" w:lineRule="auto"/>
    </w:pPr>
    <w:rPr>
      <w:rFonts w:ascii="Arial" w:hAnsi="Arial"/>
      <w:sz w:val="24"/>
    </w:rPr>
  </w:style>
  <w:style w:type="paragraph" w:styleId="1060">
    <w:name w:val="要点标题"/>
    <w:basedOn w:val="985"/>
    <w:next w:val="1060"/>
    <w:link w:val="985"/>
    <w:pPr>
      <w:numPr>
        <w:ilvl w:val="0"/>
        <w:numId w:val="1"/>
      </w:numPr>
      <w:jc w:val="left"/>
      <w:tabs>
        <w:tab w:val="left" w:pos="420" w:leader="none"/>
      </w:tabs>
    </w:pPr>
    <w:rPr>
      <w:rFonts w:ascii="宋体" w:hAnsi="宋体"/>
      <w:b/>
      <w:sz w:val="24"/>
    </w:rPr>
  </w:style>
  <w:style w:type="paragraph" w:styleId="1061">
    <w:name w:val="文档正文"/>
    <w:basedOn w:val="985"/>
    <w:next w:val="1061"/>
    <w:link w:val="985"/>
    <w:pPr>
      <w:ind w:firstLine="567"/>
      <w:spacing w:line="480" w:lineRule="atLeast"/>
    </w:pPr>
    <w:rPr>
      <w:rFonts w:ascii="仿宋_GB2312"/>
      <w:szCs w:val="20"/>
    </w:rPr>
  </w:style>
  <w:style w:type="paragraph" w:styleId="1062">
    <w:name w:val="Char Char Char Char"/>
    <w:basedOn w:val="998"/>
    <w:next w:val="1062"/>
    <w:link w:val="985"/>
    <w:pPr>
      <w:spacing w:line="360" w:lineRule="auto"/>
    </w:pPr>
    <w:rPr>
      <w:rFonts w:ascii="Tahoma" w:hAnsi="Tahoma"/>
      <w:sz w:val="24"/>
    </w:rPr>
  </w:style>
  <w:style w:type="paragraph" w:styleId="1063">
    <w:name w:val=" Char"/>
    <w:basedOn w:val="985"/>
    <w:next w:val="1063"/>
    <w:link w:val="985"/>
    <w:pPr>
      <w:ind w:left="420" w:hanging="420"/>
      <w:jc w:val="left"/>
      <w:tabs>
        <w:tab w:val="left" w:pos="420" w:leader="none"/>
      </w:tabs>
    </w:pPr>
    <w:rPr>
      <w:szCs w:val="20"/>
    </w:rPr>
  </w:style>
  <w:style w:type="paragraph" w:styleId="1064">
    <w:name w:val="正文（无缩进）"/>
    <w:basedOn w:val="985"/>
    <w:next w:val="1064"/>
    <w:link w:val="985"/>
    <w:qFormat/>
    <w:pPr>
      <w:spacing w:line="360" w:lineRule="auto"/>
    </w:pPr>
    <w:rPr>
      <w:rFonts w:ascii="Calibri" w:hAnsi="Calibri"/>
      <w:sz w:val="24"/>
      <w:szCs w:val="21"/>
    </w:rPr>
  </w:style>
  <w:style w:type="paragraph" w:styleId="1065">
    <w:name w:val="Style11"/>
    <w:basedOn w:val="985"/>
    <w:next w:val="1065"/>
    <w:link w:val="985"/>
    <w:pPr>
      <w:jc w:val="left"/>
      <w:spacing w:line="446" w:lineRule="exact"/>
    </w:pPr>
    <w:rPr>
      <w:rFonts w:ascii="宋体"/>
      <w:sz w:val="24"/>
    </w:rPr>
  </w:style>
  <w:style w:type="paragraph" w:styleId="1066">
    <w:name w:val="样式1"/>
    <w:basedOn w:val="985"/>
    <w:next w:val="1066"/>
    <w:link w:val="985"/>
    <w:pPr>
      <w:numPr>
        <w:ilvl w:val="0"/>
        <w:numId w:val="2"/>
      </w:numPr>
      <w:tabs>
        <w:tab w:val="left" w:pos="1110" w:leader="none"/>
      </w:tabs>
    </w:pPr>
    <w:rPr>
      <w:rFonts w:ascii="宋体" w:hAnsi="宋体"/>
      <w:szCs w:val="21"/>
    </w:rPr>
  </w:style>
  <w:style w:type="paragraph" w:styleId="1067">
    <w:name w:val="_Style 56"/>
    <w:basedOn w:val="998"/>
    <w:next w:val="1067"/>
    <w:link w:val="985"/>
    <w:pPr>
      <w:spacing w:line="436" w:lineRule="exact"/>
    </w:pPr>
    <w:rPr>
      <w:szCs w:val="20"/>
    </w:rPr>
  </w:style>
  <w:style w:type="paragraph" w:styleId="1068">
    <w:name w:val="Char Char1 Char Char Char Char Char Char"/>
    <w:basedOn w:val="985"/>
    <w:next w:val="1068"/>
    <w:link w:val="985"/>
    <w:pPr>
      <w:jc w:val="center"/>
      <w:widowControl/>
    </w:pPr>
    <w:rPr>
      <w:rFonts w:ascii="宋体" w:hAnsi="宋体"/>
      <w:b/>
      <w:sz w:val="24"/>
      <w:lang w:eastAsia="en-US"/>
    </w:rPr>
  </w:style>
  <w:style w:type="paragraph" w:styleId="1069">
    <w:name w:val="Char1"/>
    <w:basedOn w:val="985"/>
    <w:next w:val="1069"/>
    <w:link w:val="985"/>
    <w:pPr>
      <w:ind w:left="840" w:hanging="420"/>
      <w:tabs>
        <w:tab w:val="left" w:pos="840" w:leader="none"/>
      </w:tabs>
    </w:pPr>
    <w:rPr>
      <w:sz w:val="24"/>
    </w:rPr>
  </w:style>
  <w:style w:type="paragraph" w:styleId="1070">
    <w:name w:val="我的样式"/>
    <w:basedOn w:val="986"/>
    <w:next w:val="985"/>
    <w:link w:val="985"/>
    <w:pPr>
      <w:numPr>
        <w:ilvl w:val="0"/>
        <w:numId w:val="3"/>
      </w:numPr>
      <w:spacing w:line="360" w:lineRule="auto"/>
    </w:pPr>
    <w:rPr>
      <w:rFonts w:ascii="仿宋_GB2312" w:eastAsia="仿宋_GB2312"/>
      <w:sz w:val="32"/>
      <w:szCs w:val="30"/>
    </w:rPr>
  </w:style>
  <w:style w:type="paragraph" w:styleId="1071">
    <w:name w:val="表格正文"/>
    <w:next w:val="1071"/>
    <w:link w:val="985"/>
    <w:pPr>
      <w:spacing w:line="0" w:lineRule="atLeast"/>
    </w:pPr>
    <w:rPr>
      <w:sz w:val="24"/>
      <w:szCs w:val="24"/>
      <w:lang w:val="en-US" w:eastAsia="zh-CN" w:bidi="he-IL"/>
    </w:rPr>
  </w:style>
  <w:style w:type="paragraph" w:styleId="1072">
    <w:name w:val=" Char Char Char Char Char Char Char Char Char Char Char Char Char"/>
    <w:basedOn w:val="985"/>
    <w:next w:val="1072"/>
    <w:link w:val="985"/>
    <w:pPr>
      <w:jc w:val="left"/>
      <w:spacing w:after="160" w:line="240" w:lineRule="exact"/>
      <w:widowControl/>
    </w:pPr>
    <w:rPr>
      <w:rFonts w:ascii="Verdana" w:hAnsi="Verdana"/>
      <w:sz w:val="20"/>
      <w:szCs w:val="20"/>
      <w:lang w:eastAsia="en-US"/>
    </w:rPr>
  </w:style>
  <w:style w:type="paragraph" w:styleId="1073">
    <w:name w:val="标题1"/>
    <w:basedOn w:val="986"/>
    <w:next w:val="985"/>
    <w:link w:val="985"/>
    <w:pPr>
      <w:numPr>
        <w:ilvl w:val="0"/>
        <w:numId w:val="2"/>
      </w:numPr>
      <w:jc w:val="left"/>
      <w:spacing w:line="578" w:lineRule="atLeast"/>
    </w:pPr>
  </w:style>
  <w:style w:type="paragraph" w:styleId="1074">
    <w:name w:val="正文（缩进） Char1"/>
    <w:basedOn w:val="985"/>
    <w:next w:val="1074"/>
    <w:link w:val="985"/>
    <w:pPr>
      <w:ind w:firstLine="480"/>
      <w:spacing w:before="156" w:after="156" w:line="360" w:lineRule="auto"/>
    </w:pPr>
    <w:rPr>
      <w:sz w:val="24"/>
    </w:rPr>
  </w:style>
  <w:style w:type="paragraph" w:styleId="1075">
    <w:name w:val="修订"/>
    <w:next w:val="1075"/>
    <w:link w:val="985"/>
    <w:uiPriority w:val="99"/>
    <w:semiHidden/>
    <w:rPr>
      <w:sz w:val="21"/>
      <w:szCs w:val="24"/>
      <w:lang w:val="en-US" w:eastAsia="zh-CN" w:bidi="ar-SA"/>
    </w:rPr>
  </w:style>
  <w:style w:type="paragraph" w:styleId="1076">
    <w:name w:val="Style12"/>
    <w:basedOn w:val="985"/>
    <w:next w:val="1076"/>
    <w:link w:val="985"/>
    <w:pPr>
      <w:jc w:val="left"/>
    </w:pPr>
    <w:rPr>
      <w:rFonts w:ascii="宋体"/>
      <w:sz w:val="24"/>
    </w:rPr>
  </w:style>
  <w:style w:type="paragraph" w:styleId="1077">
    <w:name w:val="列表项目符号 21"/>
    <w:basedOn w:val="985"/>
    <w:next w:val="1077"/>
    <w:link w:val="985"/>
    <w:qFormat/>
    <w:pPr>
      <w:ind w:left="420" w:hanging="420"/>
      <w:tabs>
        <w:tab w:val="left" w:pos="420" w:leader="none"/>
      </w:tabs>
    </w:pPr>
  </w:style>
  <w:style w:type="paragraph" w:styleId="1078">
    <w:name w:val="纯文本1"/>
    <w:basedOn w:val="985"/>
    <w:next w:val="1078"/>
    <w:link w:val="985"/>
    <w:qFormat/>
    <w:rPr>
      <w:rFonts w:ascii="宋体" w:hAnsi="Courier New"/>
      <w:szCs w:val="20"/>
    </w:rPr>
  </w:style>
  <w:style w:type="character" w:styleId="1079">
    <w:name w:val="font41"/>
    <w:basedOn w:val="1039"/>
    <w:next w:val="1079"/>
    <w:link w:val="985"/>
    <w:qFormat/>
    <w:rPr>
      <w:sz w:val="21"/>
      <w:szCs w:val="24"/>
      <w:lang w:val="en-US" w:eastAsia="zh-CN" w:bidi="ar-SA"/>
    </w:rPr>
  </w:style>
  <w:style w:type="character" w:styleId="1080">
    <w:name w:val="font51"/>
    <w:basedOn w:val="1039"/>
    <w:next w:val="1080"/>
    <w:link w:val="985"/>
    <w:qFormat/>
    <w:rPr>
      <w:rFonts w:ascii="Arial" w:hAnsi="Arial" w:cs="Arial"/>
      <w:color w:val="000000"/>
      <w:sz w:val="20"/>
      <w:szCs w:val="20"/>
      <w:u w:val="none"/>
    </w:rPr>
  </w:style>
  <w:style w:type="character" w:styleId="1081">
    <w:name w:val="font101"/>
    <w:basedOn w:val="1039"/>
    <w:next w:val="1081"/>
    <w:link w:val="985"/>
    <w:qFormat/>
    <w:rPr>
      <w:rFonts w:hint="eastAsia" w:ascii="宋体" w:hAnsi="宋体" w:eastAsia="宋体" w:cs="宋体"/>
      <w:color w:val="000000"/>
      <w:sz w:val="20"/>
      <w:szCs w:val="20"/>
      <w:u w:val="none"/>
    </w:rPr>
  </w:style>
  <w:style w:type="character" w:styleId="1082">
    <w:name w:val="font71"/>
    <w:basedOn w:val="1039"/>
    <w:next w:val="1082"/>
    <w:link w:val="985"/>
    <w:qFormat/>
    <w:rPr>
      <w:rFonts w:hint="eastAsia" w:ascii="宋体" w:hAnsi="宋体" w:eastAsia="宋体" w:cs="宋体"/>
      <w:color w:val="000000"/>
      <w:sz w:val="20"/>
      <w:szCs w:val="20"/>
      <w:u w:val="none"/>
    </w:rPr>
  </w:style>
  <w:style w:type="character" w:styleId="1083">
    <w:name w:val="font21"/>
    <w:basedOn w:val="1039"/>
    <w:next w:val="1083"/>
    <w:link w:val="985"/>
    <w:qFormat/>
    <w:rPr>
      <w:rFonts w:ascii="Times New Roman" w:hAnsi="Times New Roman" w:cs="Times New Roman"/>
      <w:color w:val="000000"/>
      <w:sz w:val="20"/>
      <w:szCs w:val="20"/>
      <w:u w:val="none"/>
    </w:rPr>
  </w:style>
  <w:style w:type="paragraph" w:styleId="1084">
    <w:name w:val="p0"/>
    <w:basedOn w:val="985"/>
    <w:next w:val="1084"/>
    <w:link w:val="985"/>
    <w:qFormat/>
    <w:pPr>
      <w:widowControl/>
    </w:pPr>
    <w:rPr>
      <w:szCs w:val="20"/>
    </w:rPr>
  </w:style>
  <w:style w:type="paragraph" w:styleId="1085">
    <w:name w:val="页脚1"/>
    <w:basedOn w:val="985"/>
    <w:next w:val="1085"/>
    <w:link w:val="985"/>
    <w:qFormat/>
    <w:pPr>
      <w:jc w:val="left"/>
      <w:tabs>
        <w:tab w:val="center" w:pos="4153" w:leader="none"/>
        <w:tab w:val="right" w:pos="8306" w:leader="none"/>
      </w:tabs>
    </w:pPr>
    <w:rPr>
      <w:sz w:val="18"/>
      <w:szCs w:val="18"/>
    </w:rPr>
  </w:style>
  <w:style w:type="character" w:styleId="1086" w:default="1">
    <w:name w:val="Default Paragraph Font"/>
    <w:uiPriority w:val="1"/>
    <w:semiHidden/>
    <w:unhideWhenUsed/>
  </w:style>
  <w:style w:type="numbering" w:styleId="1087" w:default="1">
    <w:name w:val="No List"/>
    <w:uiPriority w:val="99"/>
    <w:semiHidden/>
    <w:unhideWhenUsed/>
  </w:style>
  <w:style w:type="table" w:styleId="1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5</cp:revision>
  <dcterms:created xsi:type="dcterms:W3CDTF">2024-01-08T08:47:00Z</dcterms:created>
  <dcterms:modified xsi:type="dcterms:W3CDTF">2026-09-20T02:10:52Z</dcterms:modified>
</cp:coreProperties>
</file>