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color w:val="auto"/>
          <w:sz w:val="72"/>
          <w:szCs w:val="72"/>
          <w:highlight w:val="none"/>
        </w:rPr>
      </w:pPr>
      <w:r>
        <w:rPr>
          <w:rFonts w:hint="eastAsia" w:ascii="楷体" w:hAnsi="楷体" w:eastAsia="楷体"/>
          <w:b/>
          <w:color w:val="auto"/>
          <w:sz w:val="72"/>
          <w:szCs w:val="72"/>
          <w:highlight w:val="none"/>
        </w:rPr>
      </w:r>
      <w:r/>
    </w:p>
    <w:p>
      <w:pPr>
        <w:jc w:val="center"/>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jc w:val="center"/>
        <w:spacing w:line="104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 开 招 标 文 件</w:t>
      </w:r>
      <w:r/>
    </w:p>
    <w:p>
      <w:pPr>
        <w:jc w:val="left"/>
        <w:tabs>
          <w:tab w:val="center" w:pos="4621" w:leader="none"/>
        </w:tabs>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2529" w:hanging="1811"/>
        <w:spacing w:line="760" w:lineRule="exact"/>
        <w:rPr>
          <w:rFonts w:hint="eastAsia" w:ascii="宋体" w:hAnsi="宋体" w:eastAsia="宋体" w:cs="宋体"/>
          <w:b/>
          <w:color w:val="auto"/>
          <w:sz w:val="36"/>
          <w:highlight w:val="none"/>
        </w:rPr>
      </w:pPr>
      <w:r>
        <w:rPr>
          <w:rFonts w:hint="eastAsia" w:ascii="宋体" w:hAnsi="宋体" w:eastAsia="宋体" w:cs="宋体"/>
          <w:b/>
          <w:color w:val="auto"/>
          <w:sz w:val="36"/>
          <w:szCs w:val="36"/>
          <w:highlight w:val="none"/>
        </w:rPr>
        <w:t xml:space="preserve">项目名称:</w:t>
      </w:r>
      <w:r>
        <w:rPr>
          <w:rFonts w:hint="eastAsia" w:ascii="宋体" w:hAnsi="宋体" w:cs="宋体"/>
          <w:b/>
          <w:color w:val="auto"/>
          <w:sz w:val="36"/>
          <w:szCs w:val="36"/>
          <w:highlight w:val="none"/>
          <w:lang w:eastAsia="zh-CN"/>
        </w:rPr>
        <w:t xml:space="preserve">盱眙县第二高级中学教育教学装备采购项目</w:t>
      </w:r>
      <w:r>
        <w:rPr>
          <w:rFonts w:hint="eastAsia" w:ascii="宋体" w:hAnsi="宋体" w:eastAsia="宋体" w:cs="宋体"/>
          <w:b/>
          <w:color w:val="auto"/>
          <w:sz w:val="36"/>
          <w:szCs w:val="36"/>
          <w:highlight w:val="none"/>
        </w:rPr>
        <w:t xml:space="preserve"> </w:t>
      </w:r>
      <w:r/>
    </w:p>
    <w:p>
      <w:pPr>
        <w:ind w:firstLine="708"/>
        <w:spacing w:line="7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项目编号: </w:t>
      </w:r>
      <w:r>
        <w:rPr>
          <w:rFonts w:hint="eastAsia" w:ascii="宋体" w:hAnsi="宋体" w:cs="宋体"/>
          <w:b/>
          <w:color w:val="auto"/>
          <w:sz w:val="36"/>
          <w:highlight w:val="none"/>
          <w:lang w:eastAsia="zh-CN"/>
        </w:rPr>
        <w:t xml:space="preserve">JSZC-320830-JTGS-G2026-0050</w:t>
      </w:r>
      <w:r/>
    </w:p>
    <w:p>
      <w:pPr>
        <w:ind w:firstLine="708"/>
        <w:spacing w:line="760" w:lineRule="exac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rPr>
        <w:t xml:space="preserve">采 购</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人：</w:t>
      </w:r>
      <w:r>
        <w:rPr>
          <w:rFonts w:hint="eastAsia" w:ascii="宋体" w:hAnsi="宋体" w:cs="宋体"/>
          <w:b/>
          <w:color w:val="auto"/>
          <w:sz w:val="36"/>
          <w:highlight w:val="none"/>
          <w:lang w:val="en-US" w:eastAsia="zh-CN"/>
        </w:rPr>
        <w:t xml:space="preserve">盱眙县第二高级中学</w:t>
      </w:r>
      <w:r/>
    </w:p>
    <w:p>
      <w:pPr>
        <w:ind w:firstLine="708"/>
        <w:spacing w:line="760" w:lineRule="exac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896"/>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rPr>
          <w:rFonts w:hint="eastAsia"/>
          <w:highlight w:val="none"/>
          <w:lang w:val="en-US" w:eastAsia="zh-CN"/>
        </w:rPr>
      </w:pPr>
      <w:r>
        <w:rPr>
          <w:rFonts w:hint="eastAsia"/>
          <w:highlight w:val="none"/>
          <w:lang w:val="en-US" w:eastAsia="zh-CN"/>
        </w:rPr>
      </w:r>
      <w:r/>
    </w:p>
    <w:p>
      <w:pPr>
        <w:ind w:firstLine="708"/>
        <w:spacing w:line="760" w:lineRule="exact"/>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val="en-US" w:eastAsia="zh-CN"/>
        </w:rPr>
        <w:t xml:space="preserve">采购</w:t>
      </w:r>
      <w:r>
        <w:rPr>
          <w:rFonts w:hint="eastAsia" w:ascii="宋体" w:hAnsi="宋体" w:eastAsia="宋体" w:cs="宋体"/>
          <w:b/>
          <w:color w:val="auto"/>
          <w:sz w:val="36"/>
          <w:highlight w:val="none"/>
        </w:rPr>
        <w:t xml:space="preserve">代理机构：</w:t>
      </w:r>
      <w:r>
        <w:rPr>
          <w:rFonts w:hint="eastAsia" w:ascii="宋体" w:hAnsi="宋体" w:cs="宋体"/>
          <w:b/>
          <w:color w:val="auto"/>
          <w:sz w:val="36"/>
          <w:highlight w:val="none"/>
          <w:lang w:eastAsia="zh-CN"/>
        </w:rPr>
        <w:t xml:space="preserve">江苏骏通建设项目管理咨询有限公司</w:t>
      </w:r>
      <w:r/>
    </w:p>
    <w:p>
      <w:pPr>
        <w:pStyle w:val="878"/>
        <w:rPr>
          <w:rFonts w:hint="eastAsia"/>
          <w:color w:val="auto"/>
          <w:highlight w:val="none"/>
        </w:rPr>
      </w:pPr>
      <w:r>
        <w:rPr>
          <w:rFonts w:hint="eastAsia"/>
          <w:color w:val="auto"/>
          <w:highlight w:val="none"/>
        </w:rPr>
      </w:r>
      <w:r/>
    </w:p>
    <w:p>
      <w:pPr>
        <w:jc w:val="center"/>
        <w:spacing w:line="600" w:lineRule="exact"/>
        <w:tabs>
          <w:tab w:val="center" w:pos="5215" w:leader="none"/>
        </w:tabs>
        <w:rPr>
          <w:rFonts w:hint="eastAsia" w:ascii="仿宋" w:hAnsi="仿宋" w:eastAsia="仿宋"/>
          <w:b/>
          <w:color w:val="auto"/>
          <w:sz w:val="36"/>
          <w:szCs w:val="36"/>
          <w:highlight w:val="none"/>
        </w:rPr>
      </w:pPr>
      <w:r>
        <w:rPr>
          <w:rFonts w:hint="eastAsia" w:ascii="宋体" w:hAnsi="宋体" w:eastAsia="宋体" w:cs="宋体"/>
          <w:b/>
          <w:color w:val="auto"/>
          <w:sz w:val="36"/>
          <w:szCs w:val="36"/>
          <w:highlight w:val="none"/>
        </w:rPr>
        <w:t xml:space="preserve">二0二</w:t>
      </w:r>
      <w:r>
        <w:rPr>
          <w:rFonts w:hint="eastAsia" w:ascii="宋体" w:hAnsi="宋体" w:cs="宋体"/>
          <w:b/>
          <w:color w:val="auto"/>
          <w:sz w:val="36"/>
          <w:szCs w:val="36"/>
          <w:highlight w:val="none"/>
          <w:lang w:val="en-US" w:eastAsia="zh-CN"/>
        </w:rPr>
        <w:t xml:space="preserve">六</w:t>
      </w:r>
      <w:r>
        <w:rPr>
          <w:rFonts w:hint="eastAsia" w:ascii="宋体" w:hAnsi="宋体" w:eastAsia="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十</w:t>
      </w:r>
      <w:r>
        <w:rPr>
          <w:rFonts w:hint="eastAsia" w:ascii="宋体" w:hAnsi="宋体" w:eastAsia="宋体" w:cs="宋体"/>
          <w:b/>
          <w:color w:val="auto"/>
          <w:sz w:val="36"/>
          <w:szCs w:val="36"/>
          <w:highlight w:val="none"/>
        </w:rPr>
        <w:t xml:space="preserve">月</w:t>
      </w:r>
      <w:r/>
    </w:p>
    <w:p>
      <w:pPr>
        <w:ind w:firstLine="3190"/>
        <w:jc w:val="both"/>
        <w:spacing w:line="52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3190"/>
        <w:jc w:val="both"/>
        <w:spacing w:line="52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9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highlight w:val="none"/>
        </w:rPr>
      </w:pPr>
      <w:r>
        <w:rPr>
          <w:rFonts w:hint="eastAsia"/>
          <w:highlight w:val="none"/>
        </w:rPr>
      </w:r>
      <w:r/>
    </w:p>
    <w:p>
      <w:pPr>
        <w:jc w:val="center"/>
        <w:spacing w:line="360" w:lineRule="auto"/>
        <w:tabs>
          <w:tab w:val="left" w:pos="8786" w:leader="none"/>
        </w:tabs>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r>
      <w:r/>
    </w:p>
    <w:p>
      <w:pPr>
        <w:jc w:val="center"/>
        <w:spacing w:line="360" w:lineRule="auto"/>
        <w:tabs>
          <w:tab w:val="left" w:pos="8786" w:leader="none"/>
        </w:tabs>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前附表</w:t>
      </w:r>
      <w:r/>
    </w:p>
    <w:tbl>
      <w:tblPr>
        <w:tblStyle w:val="881"/>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2001"/>
        <w:gridCol w:w="6559"/>
      </w:tblGrid>
      <w:tr>
        <w:trPr>
          <w:jc w:val="center"/>
          <w:trHeight w:val="347"/>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名</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zh-CN"/>
              </w:rPr>
              <w:t xml:space="preserve">称</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内      容</w:t>
            </w:r>
            <w:r/>
          </w:p>
        </w:tc>
      </w:tr>
      <w:tr>
        <w:trPr>
          <w:jc w:val="center"/>
          <w:trHeight w:val="389"/>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盱眙县第二高级中学</w:t>
            </w:r>
            <w:r/>
          </w:p>
        </w:tc>
      </w:tr>
      <w:tr>
        <w:trPr>
          <w:jc w:val="center"/>
          <w:trHeight w:val="349"/>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江苏骏通建设项目管理咨询有限公司</w:t>
            </w:r>
            <w:r/>
          </w:p>
        </w:tc>
      </w:tr>
      <w:tr>
        <w:trPr>
          <w:jc w:val="center"/>
          <w:trHeight w:val="286"/>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JSZC-320830-JTGS-G2026-0050</w:t>
            </w:r>
            <w:r/>
          </w:p>
        </w:tc>
      </w:tr>
      <w:tr>
        <w:trPr>
          <w:jc w:val="center"/>
          <w:trHeight w:val="547"/>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numPr>
                <w:ilvl w:val="0"/>
                <w:numId w:val="0"/>
              </w:numPr>
              <w:jc w:val="both"/>
              <w:pageBreakBefore w:val="0"/>
              <w:spacing w:line="38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eastAsia="zh-CN"/>
              </w:rPr>
              <w:t xml:space="preserve">盱眙县第二高级中学教育教学装备采购项目，</w:t>
            </w:r>
            <w:r>
              <w:rPr>
                <w:rFonts w:hint="eastAsia" w:ascii="宋体" w:hAnsi="宋体" w:eastAsia="宋体" w:cs="宋体"/>
                <w:color w:val="auto"/>
                <w:sz w:val="24"/>
                <w:szCs w:val="24"/>
                <w:highlight w:val="none"/>
              </w:rPr>
              <w:t xml:space="preserve">具体详见</w:t>
            </w:r>
            <w:r>
              <w:rPr>
                <w:rFonts w:hint="eastAsia" w:ascii="宋体" w:hAnsi="宋体" w:cs="宋体"/>
                <w:color w:val="auto"/>
                <w:sz w:val="24"/>
                <w:szCs w:val="24"/>
                <w:highlight w:val="none"/>
                <w:lang w:val="en-US" w:eastAsia="zh-CN"/>
              </w:rPr>
              <w:t xml:space="preserve">清单。</w:t>
            </w:r>
            <w:r/>
          </w:p>
        </w:tc>
      </w:tr>
      <w:tr>
        <w:trPr>
          <w:jc w:val="center"/>
          <w:trHeight w:val="332"/>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 xml:space="preserve">285.7万元</w:t>
            </w:r>
            <w:r/>
          </w:p>
        </w:tc>
      </w:tr>
      <w:tr>
        <w:trPr>
          <w:jc w:val="center"/>
          <w:trHeight w:val="362"/>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五十</w:t>
            </w:r>
            <w:r>
              <w:rPr>
                <w:rFonts w:hint="eastAsia" w:ascii="宋体" w:hAnsi="宋体" w:eastAsia="宋体" w:cs="宋体"/>
                <w:color w:val="auto"/>
                <w:sz w:val="24"/>
                <w:szCs w:val="24"/>
                <w:highlight w:val="none"/>
              </w:rPr>
              <w:t xml:space="preserve">日历天</w:t>
            </w:r>
            <w:r/>
          </w:p>
        </w:tc>
      </w:tr>
      <w:tr>
        <w:trPr>
          <w:jc w:val="center"/>
          <w:trHeight w:val="367"/>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pStyle w:val="886"/>
              <w:numPr>
                <w:ilvl w:val="0"/>
                <w:numId w:val="0"/>
              </w:num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付款方式</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预付款为合同总价的40%，待工程机械、人工进场后支付（付款前乙方须提供等额无条件银行保函，有效期至相关职能部门全部竣工验收合格），工程交工验收合格后付至合同价的80%，同时扣回已付的预付款；第三方审计部门审计结束后付至审定价的97%，余款待1年质保期后一次性付清。</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文件获取</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登录</w:t>
            </w:r>
            <w:r>
              <w:rPr>
                <w:rFonts w:hint="eastAsia" w:ascii="宋体" w:hAnsi="宋体" w:eastAsia="宋体" w:cs="宋体"/>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auto"/>
                <w:sz w:val="24"/>
                <w:szCs w:val="24"/>
                <w:highlight w:val="none"/>
                <w:lang w:eastAsia="zh-CN"/>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448"/>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b/>
                <w:color w:val="auto"/>
                <w:sz w:val="24"/>
                <w:szCs w:val="24"/>
                <w:highlight w:val="none"/>
              </w:rPr>
            </w:pPr>
            <w:r/>
            <w:bookmarkStart w:id="0" w:name="OLE_LINK76"/>
            <w:r>
              <w:rPr>
                <w:rFonts w:hint="eastAsia" w:ascii="宋体" w:hAnsi="宋体" w:cs="宋体"/>
                <w:bCs/>
                <w:color w:val="c00000"/>
                <w:sz w:val="24"/>
                <w:szCs w:val="24"/>
                <w:highlight w:val="none"/>
                <w:shd w:val="clear" w:color="auto" w:fill="ffffff"/>
                <w:lang w:eastAsia="zh-CN"/>
              </w:rPr>
              <w:t xml:space="preserve">202</w:t>
            </w:r>
            <w:r>
              <w:rPr>
                <w:rFonts w:hint="eastAsia" w:ascii="宋体" w:hAnsi="宋体" w:cs="宋体"/>
                <w:bCs/>
                <w:color w:val="c00000"/>
                <w:sz w:val="24"/>
                <w:szCs w:val="24"/>
                <w:highlight w:val="none"/>
                <w:shd w:val="clear" w:color="auto" w:fill="ffffff"/>
                <w:lang w:val="en-US" w:eastAsia="zh-CN"/>
              </w:rPr>
              <w:t xml:space="preserve">6</w:t>
            </w:r>
            <w:r>
              <w:rPr>
                <w:rFonts w:hint="eastAsia" w:ascii="宋体" w:hAnsi="宋体" w:cs="宋体"/>
                <w:bCs/>
                <w:color w:val="c00000"/>
                <w:sz w:val="24"/>
                <w:szCs w:val="24"/>
                <w:highlight w:val="none"/>
                <w:shd w:val="clear" w:color="auto" w:fill="ffffff"/>
                <w:lang w:eastAsia="zh-CN"/>
              </w:rPr>
              <w:t xml:space="preserve">年</w:t>
            </w:r>
            <w:r>
              <w:rPr>
                <w:rFonts w:hint="eastAsia" w:ascii="宋体" w:hAnsi="宋体" w:cs="宋体"/>
                <w:bCs/>
                <w:color w:val="c00000"/>
                <w:sz w:val="24"/>
                <w:szCs w:val="24"/>
                <w:highlight w:val="none"/>
                <w:shd w:val="clear" w:color="auto" w:fill="ffffff"/>
                <w:lang w:val="en-US" w:eastAsia="zh-CN"/>
              </w:rPr>
              <w:t xml:space="preserve">11月12日</w:t>
            </w:r>
            <w:r>
              <w:rPr>
                <w:rFonts w:hint="eastAsia" w:ascii="宋体" w:hAnsi="宋体" w:eastAsia="宋体" w:cs="宋体"/>
                <w:bCs/>
                <w:color w:val="c00000"/>
                <w:sz w:val="24"/>
                <w:szCs w:val="24"/>
                <w:highlight w:val="none"/>
                <w:shd w:val="clear" w:color="auto" w:fill="ffffff"/>
              </w:rPr>
              <w:t xml:space="preserve">09点00分</w:t>
            </w:r>
            <w:r>
              <w:rPr>
                <w:rFonts w:hint="eastAsia" w:ascii="宋体" w:hAnsi="宋体" w:eastAsia="宋体" w:cs="宋体"/>
                <w:b/>
                <w:color w:val="c00000"/>
                <w:sz w:val="24"/>
                <w:szCs w:val="24"/>
                <w:highlight w:val="none"/>
              </w:rPr>
              <w:t xml:space="preserve">（北京时间）</w:t>
            </w:r>
            <w:bookmarkEnd w:id="0"/>
            <w:r/>
            <w:r/>
          </w:p>
        </w:tc>
      </w:tr>
      <w:tr>
        <w:trPr>
          <w:jc w:val="center"/>
          <w:trHeight w:val="8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 xml:space="preserve">本次采购项目招标代理费</w:t>
            </w:r>
            <w:r>
              <w:rPr>
                <w:rFonts w:hint="eastAsia" w:ascii="宋体" w:hAnsi="宋体" w:cs="宋体"/>
                <w:color w:val="auto"/>
                <w:sz w:val="24"/>
                <w:szCs w:val="24"/>
                <w:highlight w:val="none"/>
                <w:u w:val="single"/>
                <w:lang w:val="en-US" w:eastAsia="zh-CN"/>
              </w:rPr>
              <w:t xml:space="preserve">7500</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，由成交供应商在成交通知书发出前向采购代理机构一次性付清。</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w:t>
            </w:r>
            <w:r>
              <w:rPr>
                <w:rFonts w:hint="eastAsia" w:ascii="宋体" w:hAnsi="宋体" w:eastAsia="宋体" w:cs="宋体"/>
                <w:color w:val="auto"/>
                <w:sz w:val="24"/>
                <w:szCs w:val="24"/>
                <w:highlight w:val="none"/>
                <w:lang w:val="en-US" w:eastAsia="zh-CN"/>
              </w:rPr>
              <w:t xml:space="preserve">处</w:t>
            </w:r>
            <w:r>
              <w:rPr>
                <w:rFonts w:hint="eastAsia" w:ascii="宋体" w:hAnsi="宋体" w:eastAsia="宋体" w:cs="宋体"/>
                <w:color w:val="auto"/>
                <w:sz w:val="24"/>
                <w:szCs w:val="24"/>
                <w:highlight w:val="none"/>
              </w:rPr>
              <w:t xml:space="preserve">领取</w:t>
            </w:r>
            <w:r/>
          </w:p>
        </w:tc>
      </w:tr>
      <w:tr>
        <w:trPr>
          <w:jc w:val="center"/>
          <w:trHeight w:val="368"/>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详见采购公告要求</w:t>
            </w:r>
            <w:r/>
          </w:p>
        </w:tc>
      </w:tr>
      <w:tr>
        <w:trPr>
          <w:jc w:val="center"/>
          <w:trHeight w:val="391"/>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left"/>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综合评分法</w:t>
            </w:r>
            <w:r/>
          </w:p>
        </w:tc>
      </w:tr>
    </w:tbl>
    <w:p>
      <w:pPr>
        <w:ind w:firstLine="3190"/>
        <w:jc w:val="both"/>
        <w:spacing w:line="52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9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9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3190"/>
        <w:jc w:val="both"/>
        <w:spacing w:line="52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第一章   投标邀请</w:t>
      </w:r>
      <w:r/>
    </w:p>
    <w:p>
      <w:pPr>
        <w:ind w:left="1" w:firstLine="4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lang w:val="en-US" w:eastAsia="zh-CN"/>
        </w:rPr>
        <w:t xml:space="preserve">盱眙县第二高级中学</w:t>
      </w:r>
      <w:r>
        <w:rPr>
          <w:rFonts w:hint="eastAsia" w:ascii="宋体" w:hAnsi="宋体" w:eastAsia="宋体" w:cs="宋体"/>
          <w:color w:val="auto"/>
          <w:sz w:val="24"/>
          <w:szCs w:val="24"/>
          <w:highlight w:val="none"/>
        </w:rPr>
        <w:t xml:space="preserve">的委托，淮安市政府采购中心就</w:t>
      </w:r>
      <w:r>
        <w:rPr>
          <w:rFonts w:hint="eastAsia" w:ascii="宋体" w:hAnsi="宋体" w:cs="宋体"/>
          <w:color w:val="auto"/>
          <w:sz w:val="24"/>
          <w:szCs w:val="24"/>
          <w:highlight w:val="none"/>
          <w:u w:val="single"/>
          <w:lang w:eastAsia="zh-CN"/>
        </w:rPr>
        <w:t xml:space="preserve">盱眙县第二高级中学教育教学装备采购项目</w:t>
      </w:r>
      <w:r>
        <w:rPr>
          <w:rFonts w:hint="eastAsia" w:ascii="宋体" w:hAnsi="宋体" w:eastAsia="宋体" w:cs="宋体"/>
          <w:color w:val="auto"/>
          <w:sz w:val="24"/>
          <w:szCs w:val="24"/>
          <w:highlight w:val="none"/>
        </w:rPr>
        <w:t xml:space="preserve">进行公开招标采购，现邀请符合条件的投标人参加投标。</w:t>
      </w:r>
      <w:r/>
    </w:p>
    <w:p>
      <w:pPr>
        <w:ind w:left="1" w:firstLine="4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-285115</wp:posOffset>
                </wp:positionH>
                <wp:positionV relativeFrom="paragraph">
                  <wp:posOffset>131445</wp:posOffset>
                </wp:positionV>
                <wp:extent cx="6287135" cy="871855"/>
                <wp:effectExtent l="4445" t="4445" r="13970" b="19050"/>
                <wp:wrapNone/>
                <wp:docPr id="1" name="矩形 1"/>
                <wp:cNvGraphicFramePr/>
                <a:graphic xmlns:a="http://schemas.openxmlformats.org/drawingml/2006/main">
                  <a:graphicData uri="http://schemas.microsoft.com/office/word/2010/wordprocessingShape">
                    <wps:wsp>
                      <wps:cNvPr id="0" name=""/>
                      <wps:cNvSpPr/>
                      <wps:spPr bwMode="auto">
                        <a:xfrm>
                          <a:off x="0" y="0"/>
                          <a:ext cx="6287135" cy="8718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403"/>
                              <w:spacing w:line="360" w:lineRule="auto"/>
                              <w:rPr>
                                <w:rFonts w:ascii="仿宋" w:hAnsi="仿宋" w:eastAsia="仿宋"/>
                                <w:sz w:val="21"/>
                                <w:szCs w:val="21"/>
                                <w:highlight w:val="none"/>
                              </w:rPr>
                            </w:pPr>
                            <w:r>
                              <w:rPr>
                                <w:rFonts w:hint="eastAsia" w:ascii="宋体" w:hAnsi="宋体" w:eastAsia="宋体" w:cs="宋体"/>
                                <w:sz w:val="21"/>
                                <w:szCs w:val="21"/>
                                <w:highlight w:val="none"/>
                              </w:rPr>
                              <w:t xml:space="preserve">项目概况:</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盱眙县第二高级中学教育教学装备采购项目</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招标项目的潜在投标人应在淮安市政府采购网（http://czj.huaian.gov.cn/col/13924_326175/index.html）自行免费下载招标文件，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c00000"/>
                                <w:sz w:val="21"/>
                                <w:szCs w:val="21"/>
                                <w:highlight w:val="none"/>
                                <w:lang w:val="en-US" w:eastAsia="zh-CN"/>
                              </w:rPr>
                              <w:t xml:space="preserve">202</w:t>
                            </w:r>
                            <w:r>
                              <w:rPr>
                                <w:rFonts w:hint="eastAsia" w:ascii="宋体" w:hAnsi="宋体" w:cs="宋体"/>
                                <w:color w:val="c00000"/>
                                <w:sz w:val="21"/>
                                <w:szCs w:val="21"/>
                                <w:highlight w:val="none"/>
                                <w:lang w:val="en-US" w:eastAsia="zh-CN"/>
                              </w:rPr>
                              <w:t xml:space="preserve">6</w:t>
                            </w:r>
                            <w:r>
                              <w:rPr>
                                <w:rFonts w:hint="eastAsia" w:ascii="宋体" w:hAnsi="宋体" w:eastAsia="宋体" w:cs="宋体"/>
                                <w:color w:val="c00000"/>
                                <w:sz w:val="21"/>
                                <w:szCs w:val="21"/>
                                <w:highlight w:val="none"/>
                              </w:rPr>
                              <w:t xml:space="preserve">年</w:t>
                            </w:r>
                            <w:r>
                              <w:rPr>
                                <w:rFonts w:hint="eastAsia" w:ascii="宋体" w:hAnsi="宋体" w:cs="宋体"/>
                                <w:color w:val="c00000"/>
                                <w:sz w:val="21"/>
                                <w:szCs w:val="21"/>
                                <w:highlight w:val="none"/>
                                <w:lang w:val="en-US" w:eastAsia="zh-CN"/>
                              </w:rPr>
                              <w:t xml:space="preserve">11</w:t>
                            </w:r>
                            <w:r>
                              <w:rPr>
                                <w:rFonts w:hint="eastAsia" w:ascii="宋体" w:hAnsi="宋体" w:eastAsia="宋体" w:cs="宋体"/>
                                <w:color w:val="c00000"/>
                                <w:sz w:val="21"/>
                                <w:szCs w:val="21"/>
                                <w:highlight w:val="none"/>
                                <w:lang w:val="en-US" w:eastAsia="zh-CN"/>
                              </w:rPr>
                              <w:t xml:space="preserve">月</w:t>
                            </w:r>
                            <w:r>
                              <w:rPr>
                                <w:rFonts w:hint="eastAsia" w:ascii="宋体" w:hAnsi="宋体" w:cs="宋体"/>
                                <w:color w:val="c00000"/>
                                <w:sz w:val="21"/>
                                <w:szCs w:val="21"/>
                                <w:highlight w:val="none"/>
                                <w:lang w:val="en-US" w:eastAsia="zh-CN"/>
                              </w:rPr>
                              <w:t xml:space="preserve">12</w:t>
                            </w:r>
                            <w:r>
                              <w:rPr>
                                <w:rFonts w:hint="eastAsia" w:ascii="宋体" w:hAnsi="宋体" w:eastAsia="宋体" w:cs="宋体"/>
                                <w:color w:val="c00000"/>
                                <w:sz w:val="21"/>
                                <w:szCs w:val="21"/>
                                <w:highlight w:val="none"/>
                                <w:lang w:val="en-US" w:eastAsia="zh-CN"/>
                              </w:rPr>
                              <w:t xml:space="preserve">日09</w:t>
                            </w:r>
                            <w:r>
                              <w:rPr>
                                <w:rFonts w:hint="eastAsia" w:ascii="宋体" w:hAnsi="宋体" w:eastAsia="宋体" w:cs="宋体"/>
                                <w:color w:val="c00000"/>
                                <w:sz w:val="21"/>
                                <w:szCs w:val="21"/>
                                <w:highlight w:val="none"/>
                              </w:rPr>
                              <w:t xml:space="preserve">点 </w:t>
                            </w:r>
                            <w:r>
                              <w:rPr>
                                <w:rFonts w:hint="eastAsia" w:ascii="宋体" w:hAnsi="宋体" w:eastAsia="宋体" w:cs="宋体"/>
                                <w:color w:val="c00000"/>
                                <w:sz w:val="21"/>
                                <w:szCs w:val="21"/>
                                <w:highlight w:val="none"/>
                                <w:lang w:val="en-US" w:eastAsia="zh-CN"/>
                              </w:rPr>
                              <w:t xml:space="preserve">00</w:t>
                            </w:r>
                            <w:r>
                              <w:rPr>
                                <w:rFonts w:hint="eastAsia" w:ascii="宋体" w:hAnsi="宋体" w:eastAsia="宋体" w:cs="宋体"/>
                                <w:color w:val="c00000"/>
                                <w:sz w:val="21"/>
                                <w:szCs w:val="21"/>
                                <w:highlight w:val="none"/>
                              </w:rPr>
                              <w:t xml:space="preserve">分</w:t>
                            </w:r>
                            <w:r>
                              <w:rPr>
                                <w:rFonts w:hint="eastAsia" w:ascii="宋体" w:hAnsi="宋体" w:eastAsia="宋体" w:cs="宋体"/>
                                <w:color w:val="auto"/>
                                <w:sz w:val="21"/>
                                <w:szCs w:val="21"/>
                                <w:highlight w:val="none"/>
                              </w:rPr>
                              <w:t xml:space="preserve">（北</w:t>
                            </w:r>
                            <w:r>
                              <w:rPr>
                                <w:rFonts w:hint="eastAsia" w:ascii="宋体" w:hAnsi="宋体" w:eastAsia="宋体" w:cs="宋体"/>
                                <w:sz w:val="21"/>
                                <w:szCs w:val="21"/>
                                <w:highlight w:val="none"/>
                              </w:rPr>
                              <w:t xml:space="preserve">京时间）前提交投标文件。</w:t>
                            </w:r>
                            <w:r/>
                          </w:p>
                        </w:txbxContent>
                      </wps:txbx>
                      <wps:bodyPr upright="1"/>
                    </wps:wsp>
                  </a:graphicData>
                </a:graphic>
              </wp:anchor>
            </w:drawing>
          </mc:Choice>
          <mc:Fallback>
            <w:pict>
              <v:shape id="shape 0" o:spid="_x0000_s0" o:spt="1" type="#_x0000_t1" style="position:absolute;z-index:251659264;o:allowoverlap:true;o:allowincell:true;mso-position-horizontal-relative:text;margin-left:-22.4pt;mso-position-horizontal:absolute;mso-position-vertical-relative:text;margin-top:10.3pt;mso-position-vertical:absolute;width:495.0pt;height:68.6pt;mso-wrap-distance-left:0.0pt;mso-wrap-distance-top:0.0pt;mso-wrap-distance-right:0.0pt;mso-wrap-distance-bottom:0.0pt;visibility:visible;" fillcolor="#FFFFFF" strokecolor="#000000" strokeweight="0.75pt">
                <v:stroke dashstyle="solid"/>
                <v:textbox inset="0,0,0,0">
                  <w:txbxContent>
                    <w:p>
                      <w:pPr>
                        <w:ind w:firstLine="403"/>
                        <w:spacing w:line="360" w:lineRule="auto"/>
                        <w:rPr>
                          <w:rFonts w:ascii="仿宋" w:hAnsi="仿宋" w:eastAsia="仿宋"/>
                          <w:sz w:val="21"/>
                          <w:szCs w:val="21"/>
                          <w:highlight w:val="none"/>
                        </w:rPr>
                      </w:pPr>
                      <w:r>
                        <w:rPr>
                          <w:rFonts w:hint="eastAsia" w:ascii="宋体" w:hAnsi="宋体" w:eastAsia="宋体" w:cs="宋体"/>
                          <w:sz w:val="21"/>
                          <w:szCs w:val="21"/>
                          <w:highlight w:val="none"/>
                        </w:rPr>
                        <w:t xml:space="preserve">项目概况:</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盱眙县第二高级中学教育教学装备采购项目</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招标项目的潜在投标人应在淮安市政府采购网（http://czj.huaian.gov.cn/col/13924_326175/index.html）自行免费下载招标文件，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c00000"/>
                          <w:sz w:val="21"/>
                          <w:szCs w:val="21"/>
                          <w:highlight w:val="none"/>
                          <w:lang w:val="en-US" w:eastAsia="zh-CN"/>
                        </w:rPr>
                        <w:t xml:space="preserve">202</w:t>
                      </w:r>
                      <w:r>
                        <w:rPr>
                          <w:rFonts w:hint="eastAsia" w:ascii="宋体" w:hAnsi="宋体" w:cs="宋体"/>
                          <w:color w:val="c00000"/>
                          <w:sz w:val="21"/>
                          <w:szCs w:val="21"/>
                          <w:highlight w:val="none"/>
                          <w:lang w:val="en-US" w:eastAsia="zh-CN"/>
                        </w:rPr>
                        <w:t xml:space="preserve">6</w:t>
                      </w:r>
                      <w:r>
                        <w:rPr>
                          <w:rFonts w:hint="eastAsia" w:ascii="宋体" w:hAnsi="宋体" w:eastAsia="宋体" w:cs="宋体"/>
                          <w:color w:val="c00000"/>
                          <w:sz w:val="21"/>
                          <w:szCs w:val="21"/>
                          <w:highlight w:val="none"/>
                        </w:rPr>
                        <w:t xml:space="preserve">年</w:t>
                      </w:r>
                      <w:r>
                        <w:rPr>
                          <w:rFonts w:hint="eastAsia" w:ascii="宋体" w:hAnsi="宋体" w:cs="宋体"/>
                          <w:color w:val="c00000"/>
                          <w:sz w:val="21"/>
                          <w:szCs w:val="21"/>
                          <w:highlight w:val="none"/>
                          <w:lang w:val="en-US" w:eastAsia="zh-CN"/>
                        </w:rPr>
                        <w:t xml:space="preserve">11</w:t>
                      </w:r>
                      <w:r>
                        <w:rPr>
                          <w:rFonts w:hint="eastAsia" w:ascii="宋体" w:hAnsi="宋体" w:eastAsia="宋体" w:cs="宋体"/>
                          <w:color w:val="c00000"/>
                          <w:sz w:val="21"/>
                          <w:szCs w:val="21"/>
                          <w:highlight w:val="none"/>
                          <w:lang w:val="en-US" w:eastAsia="zh-CN"/>
                        </w:rPr>
                        <w:t xml:space="preserve">月</w:t>
                      </w:r>
                      <w:r>
                        <w:rPr>
                          <w:rFonts w:hint="eastAsia" w:ascii="宋体" w:hAnsi="宋体" w:cs="宋体"/>
                          <w:color w:val="c00000"/>
                          <w:sz w:val="21"/>
                          <w:szCs w:val="21"/>
                          <w:highlight w:val="none"/>
                          <w:lang w:val="en-US" w:eastAsia="zh-CN"/>
                        </w:rPr>
                        <w:t xml:space="preserve">12</w:t>
                      </w:r>
                      <w:r>
                        <w:rPr>
                          <w:rFonts w:hint="eastAsia" w:ascii="宋体" w:hAnsi="宋体" w:eastAsia="宋体" w:cs="宋体"/>
                          <w:color w:val="c00000"/>
                          <w:sz w:val="21"/>
                          <w:szCs w:val="21"/>
                          <w:highlight w:val="none"/>
                          <w:lang w:val="en-US" w:eastAsia="zh-CN"/>
                        </w:rPr>
                        <w:t xml:space="preserve">日09</w:t>
                      </w:r>
                      <w:r>
                        <w:rPr>
                          <w:rFonts w:hint="eastAsia" w:ascii="宋体" w:hAnsi="宋体" w:eastAsia="宋体" w:cs="宋体"/>
                          <w:color w:val="c00000"/>
                          <w:sz w:val="21"/>
                          <w:szCs w:val="21"/>
                          <w:highlight w:val="none"/>
                        </w:rPr>
                        <w:t xml:space="preserve">点 </w:t>
                      </w:r>
                      <w:r>
                        <w:rPr>
                          <w:rFonts w:hint="eastAsia" w:ascii="宋体" w:hAnsi="宋体" w:eastAsia="宋体" w:cs="宋体"/>
                          <w:color w:val="c00000"/>
                          <w:sz w:val="21"/>
                          <w:szCs w:val="21"/>
                          <w:highlight w:val="none"/>
                          <w:lang w:val="en-US" w:eastAsia="zh-CN"/>
                        </w:rPr>
                        <w:t xml:space="preserve">00</w:t>
                      </w:r>
                      <w:r>
                        <w:rPr>
                          <w:rFonts w:hint="eastAsia" w:ascii="宋体" w:hAnsi="宋体" w:eastAsia="宋体" w:cs="宋体"/>
                          <w:color w:val="c00000"/>
                          <w:sz w:val="21"/>
                          <w:szCs w:val="21"/>
                          <w:highlight w:val="none"/>
                        </w:rPr>
                        <w:t xml:space="preserve">分</w:t>
                      </w:r>
                      <w:r>
                        <w:rPr>
                          <w:rFonts w:hint="eastAsia" w:ascii="宋体" w:hAnsi="宋体" w:eastAsia="宋体" w:cs="宋体"/>
                          <w:color w:val="auto"/>
                          <w:sz w:val="21"/>
                          <w:szCs w:val="21"/>
                          <w:highlight w:val="none"/>
                        </w:rPr>
                        <w:t xml:space="preserve">（北</w:t>
                      </w:r>
                      <w:r>
                        <w:rPr>
                          <w:rFonts w:hint="eastAsia" w:ascii="宋体" w:hAnsi="宋体" w:eastAsia="宋体" w:cs="宋体"/>
                          <w:sz w:val="21"/>
                          <w:szCs w:val="21"/>
                          <w:highlight w:val="none"/>
                        </w:rPr>
                        <w:t xml:space="preserve">京时间）前提交投标文件。</w:t>
                      </w:r>
                      <w:r/>
                    </w:p>
                  </w:txbxContent>
                </v:textbox>
              </v:shape>
            </w:pict>
          </mc:Fallback>
        </mc:AlternateContent>
      </w:r>
      <w:r/>
    </w:p>
    <w:p>
      <w:pPr>
        <w:ind w:left="1" w:firstLine="4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7"/>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（一）项目编号:</w:t>
      </w:r>
      <w:r>
        <w:rPr>
          <w:rFonts w:hint="eastAsia" w:ascii="宋体" w:hAnsi="宋体" w:cs="宋体"/>
          <w:color w:val="auto"/>
          <w:sz w:val="24"/>
          <w:szCs w:val="24"/>
          <w:highlight w:val="none"/>
          <w:lang w:eastAsia="zh-CN"/>
        </w:rPr>
        <w:t xml:space="preserve">JSZC-320830-JTGS-G2026-0050</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u w:val="none"/>
          <w:lang w:eastAsia="zh-CN"/>
        </w:rPr>
        <w:t xml:space="preserve">盱眙县第二高级中学教育教学装备采购项目</w:t>
      </w:r>
      <w:r>
        <w:rPr>
          <w:rFonts w:hint="eastAsia" w:ascii="宋体" w:hAnsi="宋体" w:eastAsia="宋体" w:cs="宋体"/>
          <w:bCs/>
          <w:color w:val="auto"/>
          <w:sz w:val="24"/>
          <w:szCs w:val="24"/>
          <w:highlight w:val="none"/>
        </w:rPr>
        <w:t xml:space="preserve"> </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（三）预算金额:</w:t>
      </w:r>
      <w:r>
        <w:rPr>
          <w:rFonts w:hint="eastAsia" w:ascii="宋体" w:hAnsi="宋体" w:cs="宋体"/>
          <w:color w:val="auto"/>
          <w:sz w:val="24"/>
          <w:szCs w:val="24"/>
          <w:highlight w:val="none"/>
          <w:lang w:val="en-US" w:eastAsia="zh-CN"/>
        </w:rPr>
        <w:t xml:space="preserve">285.7万</w:t>
      </w:r>
      <w:r>
        <w:rPr>
          <w:rFonts w:hint="eastAsia" w:ascii="宋体" w:hAnsi="宋体" w:eastAsia="宋体" w:cs="宋体"/>
          <w:color w:val="auto"/>
          <w:sz w:val="24"/>
          <w:szCs w:val="24"/>
          <w:highlight w:val="none"/>
          <w:lang w:val="en-US" w:eastAsia="zh-CN"/>
        </w:rPr>
        <w:t xml:space="preserve">元</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（四）最高限价:</w:t>
      </w:r>
      <w:r>
        <w:rPr>
          <w:rFonts w:hint="eastAsia" w:ascii="宋体" w:hAnsi="宋体" w:cs="宋体"/>
          <w:color w:val="auto"/>
          <w:sz w:val="24"/>
          <w:szCs w:val="24"/>
          <w:highlight w:val="none"/>
          <w:lang w:val="en-US" w:eastAsia="zh-CN"/>
        </w:rPr>
        <w:t xml:space="preserve">285.7万</w:t>
      </w:r>
      <w:r>
        <w:rPr>
          <w:rFonts w:hint="eastAsia" w:ascii="宋体" w:hAnsi="宋体" w:eastAsia="宋体" w:cs="宋体"/>
          <w:color w:val="auto"/>
          <w:sz w:val="24"/>
          <w:szCs w:val="24"/>
          <w:highlight w:val="none"/>
          <w:lang w:val="en-US" w:eastAsia="zh-CN"/>
        </w:rPr>
        <w:t xml:space="preserve">元</w:t>
      </w:r>
      <w:r/>
    </w:p>
    <w:p>
      <w:pPr>
        <w:ind w:firstLine="484"/>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 xml:space="preserve">（五）采购需求:</w:t>
      </w:r>
      <w:r>
        <w:rPr>
          <w:rFonts w:hint="eastAsia" w:ascii="宋体" w:hAnsi="宋体" w:cs="宋体"/>
          <w:color w:val="auto"/>
          <w:sz w:val="24"/>
          <w:szCs w:val="24"/>
          <w:highlight w:val="none"/>
          <w:u w:val="none"/>
          <w:lang w:eastAsia="zh-CN"/>
        </w:rPr>
        <w:t xml:space="preserve">盱眙县第二高级中学教育教学装备采购项目</w:t>
      </w:r>
      <w:r/>
    </w:p>
    <w:p>
      <w:pPr>
        <w:ind w:firstLine="484"/>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（六）合同履行期限: </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日历天</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（七）本项目（</w:t>
      </w: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是</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否）接受联合体投标。</w:t>
      </w:r>
      <w:r/>
    </w:p>
    <w:p>
      <w:pPr>
        <w:ind w:firstLine="487"/>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left="55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（一）符合《中华人民共和国政府采购法》第二十二条规定；</w:t>
      </w:r>
      <w:r/>
    </w:p>
    <w:p>
      <w:pPr>
        <w:pStyle w:val="897"/>
        <w:numPr>
          <w:ilvl w:val="0"/>
          <w:numId w:val="1"/>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提供有效的营业执照</w:t>
      </w:r>
      <w:r>
        <w:rPr>
          <w:rFonts w:hint="eastAsia" w:ascii="宋体" w:hAnsi="宋体" w:eastAsia="宋体" w:cs="宋体"/>
          <w:color w:val="auto"/>
          <w:sz w:val="24"/>
          <w:szCs w:val="24"/>
          <w:highlight w:val="none"/>
          <w:lang w:eastAsia="zh-CN"/>
        </w:rPr>
        <w:t xml:space="preserve">（扫描件上传至电子标书，并加盖投标人电子签章）；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法定代表人证明或授权委托书（扫描件上传至电子标书，并加盖投标人电子签章）；</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3、承诺书（格式按照示范格式三要求，扫描件上传至电子标书，并加盖投标人电子签章）；</w:t>
      </w:r>
      <w:r/>
    </w:p>
    <w:p>
      <w:pPr>
        <w:ind w:left="55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（二）落实政府采购政策需满足的资格要求:</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zh-CN"/>
        </w:rPr>
        <w:t xml:space="preserve">以下第</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lang w:val="zh-CN"/>
        </w:rPr>
        <w:t xml:space="preserve">种方式落实政府采购促进中小企业发展的要求：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本项目为专门面向中小企业采购的项目。</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本项目通过以下第（</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）种方式预留部分采购份额</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zh-CN"/>
        </w:rPr>
        <w:t xml:space="preserve">中小企业</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（1）本项目要求供应商以联合体形式参加，中小企业合同金额应当达到的比例为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60</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（两项比例均应符合《政府采购促进中小企业发展管理办法》第八条规定）。</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（2）本项目要求供应商进行合同分包，中小企业合同金额应当达到的比例为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（两项比例均应符合《政府采购促进中小企业发展管理办法》第八条规定）。</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b/>
          <w:bCs/>
          <w:color w:val="auto"/>
          <w:sz w:val="24"/>
          <w:szCs w:val="24"/>
          <w:highlight w:val="none"/>
          <w:lang w:val="zh-CN"/>
        </w:rPr>
        <w:t xml:space="preserve">本项目为非预留份额的采购项目，</w:t>
      </w:r>
      <w:r>
        <w:rPr>
          <w:rFonts w:hint="eastAsia" w:ascii="宋体" w:hAnsi="宋体" w:eastAsia="宋体" w:cs="宋体"/>
          <w:b/>
          <w:bCs/>
          <w:color w:val="auto"/>
          <w:sz w:val="24"/>
          <w:szCs w:val="24"/>
          <w:highlight w:val="none"/>
        </w:rPr>
        <w:t xml:space="preserve">对小微企业报价给予扣除，用扣除后的价格参加评审，具体详见第二章“投标人须知”第32.1项</w:t>
      </w:r>
      <w:r>
        <w:rPr>
          <w:rFonts w:hint="eastAsia" w:ascii="宋体" w:hAnsi="宋体" w:eastAsia="宋体" w:cs="宋体"/>
          <w:b/>
          <w:bCs/>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2"/>
        </w:numPr>
        <w:ind w:firstLine="482"/>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本项目的特定资格要求:</w:t>
      </w:r>
      <w:r/>
    </w:p>
    <w:p>
      <w:pPr>
        <w:ind w:firstLine="482"/>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投标人未被“信用中国”网（www.creditchina.gov.cn）列入失信被执行人、重大税收违法案件当事人名单、政府采购严重违法失信行为记录名单。投标人未被“中国政府采购网”（www.ccgp.gov.cn）列入政府采购严重违法失信行为记录名单。由采购人（采购代理单位）组织评委在资格审查时查询，一旦被查询存在上述失信行为记录名单的，将视为资格审查不通过。</w:t>
      </w:r>
      <w:r/>
    </w:p>
    <w:p>
      <w:pPr>
        <w:numPr>
          <w:ilvl w:val="0"/>
          <w:numId w:val="0"/>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（四）拒绝下述条件的供应商参加本次采购活动: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1、供应商单位负责人为同一人或者存在直接控股、管理关系的不同供应商，不得同时参加同一合同项下的政府采购活动。</w:t>
      </w:r>
      <w:r/>
    </w:p>
    <w:p>
      <w:pPr>
        <w:ind w:firstLine="480"/>
        <w:spacing w:line="360" w:lineRule="auto"/>
        <w:rPr>
          <w:rFonts w:hint="eastAsia" w:ascii="宋体" w:hAnsi="宋体" w:eastAsia="宋体" w:cs="宋体"/>
          <w:b/>
          <w:i/>
          <w:color w:val="auto"/>
          <w:sz w:val="24"/>
          <w:szCs w:val="24"/>
          <w:highlight w:val="none"/>
        </w:rPr>
      </w:pPr>
      <w:r>
        <w:rPr>
          <w:rFonts w:hint="eastAsia" w:ascii="宋体" w:hAnsi="宋体" w:eastAsia="宋体" w:cs="宋体"/>
          <w:color w:val="auto"/>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3、投标人被“信用中国”网站、“中国政府采购网”列入失信被执行人、重大税收违法案件当事人名单、政府采购严重违法失信行为记录名单。</w:t>
      </w:r>
      <w:r/>
    </w:p>
    <w:p>
      <w:pPr>
        <w:ind w:firstLine="487"/>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ind w:firstLine="480"/>
        <w:spacing w:line="36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c00000"/>
          <w:sz w:val="24"/>
          <w:szCs w:val="24"/>
          <w:highlight w:val="none"/>
          <w:lang w:val="en-US" w:eastAsia="zh-CN"/>
        </w:rPr>
        <w:t xml:space="preserve">202</w:t>
      </w:r>
      <w:r>
        <w:rPr>
          <w:rFonts w:hint="eastAsia" w:ascii="宋体" w:hAnsi="宋体" w:cs="宋体"/>
          <w:color w:val="c00000"/>
          <w:sz w:val="24"/>
          <w:szCs w:val="24"/>
          <w:highlight w:val="none"/>
          <w:lang w:val="en-US" w:eastAsia="zh-CN"/>
        </w:rPr>
        <w:t xml:space="preserve">6</w:t>
      </w:r>
      <w:r>
        <w:rPr>
          <w:rFonts w:hint="eastAsia" w:ascii="宋体" w:hAnsi="宋体" w:eastAsia="宋体" w:cs="宋体"/>
          <w:color w:val="c00000"/>
          <w:sz w:val="24"/>
          <w:szCs w:val="24"/>
          <w:highlight w:val="none"/>
          <w:lang w:val="en-US" w:eastAsia="zh-CN"/>
        </w:rPr>
        <w:t xml:space="preserve">年</w:t>
      </w:r>
      <w:r>
        <w:rPr>
          <w:rFonts w:hint="eastAsia" w:ascii="宋体" w:hAnsi="宋体" w:cs="宋体"/>
          <w:color w:val="c00000"/>
          <w:sz w:val="24"/>
          <w:szCs w:val="24"/>
          <w:highlight w:val="none"/>
          <w:lang w:val="en-US" w:eastAsia="zh-CN"/>
        </w:rPr>
        <w:t xml:space="preserve">10</w:t>
      </w:r>
      <w:r>
        <w:rPr>
          <w:rFonts w:hint="eastAsia" w:ascii="宋体" w:hAnsi="宋体" w:eastAsia="宋体" w:cs="宋体"/>
          <w:color w:val="c00000"/>
          <w:sz w:val="24"/>
          <w:szCs w:val="24"/>
          <w:highlight w:val="none"/>
          <w:lang w:val="en-US" w:eastAsia="zh-CN"/>
        </w:rPr>
        <w:t xml:space="preserve">月</w:t>
      </w:r>
      <w:r>
        <w:rPr>
          <w:rFonts w:hint="eastAsia" w:ascii="宋体" w:hAnsi="宋体" w:cs="宋体"/>
          <w:color w:val="c00000"/>
          <w:sz w:val="24"/>
          <w:szCs w:val="24"/>
          <w:highlight w:val="none"/>
          <w:lang w:val="en-US" w:eastAsia="zh-CN"/>
        </w:rPr>
        <w:t xml:space="preserve">22</w:t>
      </w:r>
      <w:r>
        <w:rPr>
          <w:rFonts w:hint="eastAsia" w:ascii="宋体" w:hAnsi="宋体" w:eastAsia="宋体" w:cs="宋体"/>
          <w:color w:val="c00000"/>
          <w:sz w:val="24"/>
          <w:szCs w:val="24"/>
          <w:highlight w:val="none"/>
          <w:lang w:val="en-US" w:eastAsia="zh-CN"/>
        </w:rPr>
        <w:t xml:space="preserve">日至202</w:t>
      </w:r>
      <w:r>
        <w:rPr>
          <w:rFonts w:hint="eastAsia" w:ascii="宋体" w:hAnsi="宋体" w:cs="宋体"/>
          <w:color w:val="c00000"/>
          <w:sz w:val="24"/>
          <w:szCs w:val="24"/>
          <w:highlight w:val="none"/>
          <w:lang w:val="en-US" w:eastAsia="zh-CN"/>
        </w:rPr>
        <w:t xml:space="preserve">6</w:t>
      </w:r>
      <w:r>
        <w:rPr>
          <w:rFonts w:hint="eastAsia" w:ascii="宋体" w:hAnsi="宋体" w:eastAsia="宋体" w:cs="宋体"/>
          <w:color w:val="c00000"/>
          <w:sz w:val="24"/>
          <w:szCs w:val="24"/>
          <w:highlight w:val="none"/>
          <w:lang w:val="en-US" w:eastAsia="zh-CN"/>
        </w:rPr>
        <w:t xml:space="preserve">年</w:t>
      </w:r>
      <w:r>
        <w:rPr>
          <w:rFonts w:hint="eastAsia" w:ascii="宋体" w:hAnsi="宋体" w:cs="宋体"/>
          <w:color w:val="c00000"/>
          <w:sz w:val="24"/>
          <w:szCs w:val="24"/>
          <w:highlight w:val="none"/>
          <w:lang w:val="en-US" w:eastAsia="zh-CN"/>
        </w:rPr>
        <w:t xml:space="preserve">10</w:t>
      </w:r>
      <w:r>
        <w:rPr>
          <w:rFonts w:hint="eastAsia" w:ascii="宋体" w:hAnsi="宋体" w:eastAsia="宋体" w:cs="宋体"/>
          <w:color w:val="c00000"/>
          <w:sz w:val="24"/>
          <w:szCs w:val="24"/>
          <w:highlight w:val="none"/>
          <w:lang w:val="en-US" w:eastAsia="zh-CN"/>
        </w:rPr>
        <w:t xml:space="preserve">月</w:t>
      </w:r>
      <w:r>
        <w:rPr>
          <w:rFonts w:hint="eastAsia" w:ascii="宋体" w:hAnsi="宋体" w:cs="宋体"/>
          <w:color w:val="c00000"/>
          <w:sz w:val="24"/>
          <w:szCs w:val="24"/>
          <w:highlight w:val="none"/>
          <w:lang w:val="en-US" w:eastAsia="zh-CN"/>
        </w:rPr>
        <w:t xml:space="preserve">29</w:t>
      </w:r>
      <w:r>
        <w:rPr>
          <w:rFonts w:hint="eastAsia" w:ascii="宋体" w:hAnsi="宋体" w:eastAsia="宋体" w:cs="宋体"/>
          <w:color w:val="c00000"/>
          <w:sz w:val="24"/>
          <w:szCs w:val="24"/>
          <w:highlight w:val="none"/>
          <w:lang w:val="en-US" w:eastAsia="zh-CN"/>
        </w:rPr>
        <w:t xml:space="preserve">日</w:t>
      </w:r>
      <w:r>
        <w:rPr>
          <w:rFonts w:hint="eastAsia" w:ascii="宋体" w:hAnsi="宋体" w:eastAsia="宋体" w:cs="宋体"/>
          <w:color w:val="auto"/>
          <w:sz w:val="24"/>
          <w:szCs w:val="24"/>
          <w:highlight w:val="none"/>
          <w:lang w:val="en-US" w:eastAsia="zh-CN"/>
        </w:rPr>
        <w:t xml:space="preserve">，每天上午8：30至11：30，下午14：30至17：30（北京时间，法定节假日除外）</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r>
        <w:rPr>
          <w:rFonts w:hint="eastAsia" w:ascii="宋体" w:hAnsi="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江苏省政府采购网或者淮安市政府采购网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方式：供应商</w:t>
      </w:r>
      <w:r>
        <w:rPr>
          <w:rFonts w:hint="eastAsia" w:ascii="宋体" w:hAnsi="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江</w:t>
      </w:r>
      <w:r>
        <w:rPr>
          <w:rFonts w:hint="eastAsia" w:ascii="宋体" w:hAnsi="宋体" w:cs="宋体"/>
          <w:color w:val="auto"/>
          <w:sz w:val="24"/>
          <w:szCs w:val="24"/>
          <w:highlight w:val="none"/>
          <w:lang w:eastAsia="zh-CN"/>
        </w:rPr>
        <w:t xml:space="preserve">苏省</w:t>
      </w:r>
      <w:r>
        <w:rPr>
          <w:rFonts w:hint="eastAsia" w:ascii="宋体" w:hAnsi="宋体" w:eastAsia="宋体" w:cs="宋体"/>
          <w:color w:val="auto"/>
          <w:sz w:val="24"/>
          <w:szCs w:val="24"/>
          <w:highlight w:val="none"/>
        </w:rPr>
        <w:t xml:space="preserve">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3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时间：</w:t>
      </w:r>
      <w:r>
        <w:rPr>
          <w:rFonts w:hint="eastAsia" w:ascii="宋体" w:hAnsi="宋体" w:eastAsia="宋体" w:cs="宋体"/>
          <w:color w:val="c00000"/>
          <w:sz w:val="24"/>
          <w:szCs w:val="24"/>
          <w:highlight w:val="none"/>
          <w:lang w:eastAsia="zh-CN"/>
        </w:rPr>
        <w:t xml:space="preserve">202</w:t>
      </w:r>
      <w:r>
        <w:rPr>
          <w:rFonts w:hint="eastAsia" w:ascii="宋体" w:hAnsi="宋体" w:cs="宋体"/>
          <w:color w:val="c00000"/>
          <w:sz w:val="24"/>
          <w:szCs w:val="24"/>
          <w:highlight w:val="none"/>
          <w:lang w:val="en-US" w:eastAsia="zh-CN"/>
        </w:rPr>
        <w:t xml:space="preserve">6</w:t>
      </w:r>
      <w:r>
        <w:rPr>
          <w:rFonts w:hint="eastAsia" w:ascii="宋体" w:hAnsi="宋体" w:eastAsia="宋体" w:cs="宋体"/>
          <w:color w:val="c00000"/>
          <w:sz w:val="24"/>
          <w:szCs w:val="24"/>
          <w:highlight w:val="none"/>
          <w:lang w:eastAsia="zh-CN"/>
        </w:rPr>
        <w:t xml:space="preserve">年</w:t>
      </w:r>
      <w:r>
        <w:rPr>
          <w:rFonts w:hint="eastAsia" w:ascii="宋体" w:hAnsi="宋体" w:cs="宋体"/>
          <w:color w:val="c00000"/>
          <w:sz w:val="24"/>
          <w:szCs w:val="24"/>
          <w:highlight w:val="none"/>
          <w:lang w:val="en-US" w:eastAsia="zh-CN"/>
        </w:rPr>
        <w:t xml:space="preserve">11</w:t>
      </w:r>
      <w:r>
        <w:rPr>
          <w:rFonts w:hint="eastAsia" w:ascii="宋体" w:hAnsi="宋体" w:eastAsia="宋体" w:cs="宋体"/>
          <w:color w:val="c00000"/>
          <w:sz w:val="24"/>
          <w:szCs w:val="24"/>
          <w:highlight w:val="none"/>
          <w:lang w:eastAsia="zh-CN"/>
        </w:rPr>
        <w:t xml:space="preserve">月</w:t>
      </w:r>
      <w:r>
        <w:rPr>
          <w:rFonts w:hint="eastAsia" w:ascii="宋体" w:hAnsi="宋体" w:cs="宋体"/>
          <w:color w:val="c00000"/>
          <w:sz w:val="24"/>
          <w:szCs w:val="24"/>
          <w:highlight w:val="none"/>
          <w:lang w:val="en-US" w:eastAsia="zh-CN"/>
        </w:rPr>
        <w:t xml:space="preserve">12</w:t>
      </w:r>
      <w:r>
        <w:rPr>
          <w:rFonts w:hint="eastAsia" w:ascii="宋体" w:hAnsi="宋体" w:eastAsia="宋体" w:cs="宋体"/>
          <w:color w:val="c00000"/>
          <w:sz w:val="24"/>
          <w:szCs w:val="24"/>
          <w:highlight w:val="none"/>
          <w:lang w:eastAsia="zh-CN"/>
        </w:rPr>
        <w:t xml:space="preserve">日 上午9:00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rPr>
        <w:t xml:space="preserve">：“苏采云”政府采购交易系统网上开标大厅。</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五、开启</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时间：</w:t>
      </w:r>
      <w:r>
        <w:rPr>
          <w:rFonts w:hint="eastAsia" w:ascii="宋体" w:hAnsi="宋体" w:eastAsia="宋体" w:cs="宋体"/>
          <w:b/>
          <w:bCs/>
          <w:color w:val="c00000"/>
          <w:sz w:val="24"/>
          <w:szCs w:val="24"/>
          <w:highlight w:val="none"/>
          <w:lang w:eastAsia="zh-CN"/>
        </w:rPr>
        <w:t xml:space="preserve">202</w:t>
      </w:r>
      <w:r>
        <w:rPr>
          <w:rFonts w:hint="eastAsia" w:ascii="宋体" w:hAnsi="宋体" w:cs="宋体"/>
          <w:b/>
          <w:bCs/>
          <w:color w:val="c00000"/>
          <w:sz w:val="24"/>
          <w:szCs w:val="24"/>
          <w:highlight w:val="none"/>
          <w:lang w:val="en-US" w:eastAsia="zh-CN"/>
        </w:rPr>
        <w:t xml:space="preserve">6</w:t>
      </w:r>
      <w:r>
        <w:rPr>
          <w:rFonts w:hint="eastAsia" w:ascii="宋体" w:hAnsi="宋体" w:eastAsia="宋体" w:cs="宋体"/>
          <w:b/>
          <w:bCs/>
          <w:color w:val="c00000"/>
          <w:sz w:val="24"/>
          <w:szCs w:val="24"/>
          <w:highlight w:val="none"/>
          <w:lang w:eastAsia="zh-CN"/>
        </w:rPr>
        <w:t xml:space="preserve">年</w:t>
      </w:r>
      <w:r>
        <w:rPr>
          <w:rFonts w:hint="eastAsia" w:ascii="宋体" w:hAnsi="宋体" w:cs="宋体"/>
          <w:b/>
          <w:bCs/>
          <w:color w:val="c00000"/>
          <w:sz w:val="24"/>
          <w:szCs w:val="24"/>
          <w:highlight w:val="none"/>
          <w:lang w:val="en-US" w:eastAsia="zh-CN"/>
        </w:rPr>
        <w:t xml:space="preserve">11</w:t>
      </w:r>
      <w:r>
        <w:rPr>
          <w:rFonts w:hint="eastAsia" w:ascii="宋体" w:hAnsi="宋体" w:eastAsia="宋体" w:cs="宋体"/>
          <w:b/>
          <w:bCs/>
          <w:color w:val="c00000"/>
          <w:sz w:val="24"/>
          <w:szCs w:val="24"/>
          <w:highlight w:val="none"/>
          <w:lang w:val="en-US" w:eastAsia="zh-CN"/>
        </w:rPr>
        <w:t xml:space="preserve">月</w:t>
      </w:r>
      <w:r>
        <w:rPr>
          <w:rFonts w:hint="eastAsia" w:ascii="宋体" w:hAnsi="宋体" w:cs="宋体"/>
          <w:b/>
          <w:bCs/>
          <w:color w:val="c00000"/>
          <w:sz w:val="24"/>
          <w:szCs w:val="24"/>
          <w:highlight w:val="none"/>
          <w:lang w:val="en-US" w:eastAsia="zh-CN"/>
        </w:rPr>
        <w:t xml:space="preserve">12</w:t>
      </w:r>
      <w:r>
        <w:rPr>
          <w:rFonts w:hint="eastAsia" w:ascii="宋体" w:hAnsi="宋体" w:eastAsia="宋体" w:cs="宋体"/>
          <w:b/>
          <w:bCs/>
          <w:color w:val="c00000"/>
          <w:sz w:val="24"/>
          <w:szCs w:val="24"/>
          <w:highlight w:val="none"/>
          <w:lang w:val="en-US" w:eastAsia="zh-CN"/>
        </w:rPr>
        <w:t xml:space="preserve">日</w:t>
      </w:r>
      <w:r>
        <w:rPr>
          <w:rFonts w:hint="eastAsia" w:ascii="宋体" w:hAnsi="宋体" w:eastAsia="宋体" w:cs="宋体"/>
          <w:b/>
          <w:bCs/>
          <w:color w:val="c00000"/>
          <w:sz w:val="24"/>
          <w:szCs w:val="24"/>
          <w:highlight w:val="none"/>
          <w:lang w:eastAsia="zh-CN"/>
        </w:rPr>
        <w:t xml:space="preserve">上午</w:t>
      </w:r>
      <w:r>
        <w:rPr>
          <w:rFonts w:hint="eastAsia" w:ascii="宋体" w:hAnsi="宋体" w:eastAsia="宋体" w:cs="宋体"/>
          <w:b/>
          <w:bCs/>
          <w:color w:val="c00000"/>
          <w:sz w:val="24"/>
          <w:szCs w:val="24"/>
          <w:highlight w:val="none"/>
          <w:lang w:val="en-US" w:eastAsia="zh-CN"/>
        </w:rPr>
        <w:t xml:space="preserve">9</w:t>
      </w:r>
      <w:r>
        <w:rPr>
          <w:rFonts w:hint="eastAsia" w:ascii="宋体" w:hAnsi="宋体" w:eastAsia="宋体" w:cs="宋体"/>
          <w:b/>
          <w:bCs/>
          <w:color w:val="c00000"/>
          <w:sz w:val="24"/>
          <w:szCs w:val="24"/>
          <w:highlight w:val="none"/>
          <w:lang w:eastAsia="zh-CN"/>
        </w:rPr>
        <w:t xml:space="preserve">点00分</w:t>
      </w:r>
      <w:r>
        <w:rPr>
          <w:rFonts w:hint="eastAsia" w:ascii="宋体" w:hAnsi="宋体" w:eastAsia="宋体" w:cs="宋体"/>
          <w:b/>
          <w:bCs/>
          <w:color w:val="auto"/>
          <w:sz w:val="24"/>
          <w:szCs w:val="24"/>
          <w:highlight w:val="none"/>
        </w:rPr>
        <w:t xml:space="preserve">（北京时间）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地点：淮安市公共资源交易中心盱眙分中心（具体标室见中心当日显示屏）</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、公告期限</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自本公告发布之日起五个工作日。</w:t>
      </w:r>
      <w:r/>
    </w:p>
    <w:p>
      <w:pPr>
        <w:numPr>
          <w:ilvl w:val="0"/>
          <w:numId w:val="3"/>
        </w:numPr>
        <w:ind w:firstLine="241"/>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其他补充事宜</w:t>
      </w:r>
      <w:r>
        <w:rPr>
          <w:rFonts w:hint="eastAsia" w:ascii="宋体" w:hAnsi="宋体" w:eastAsia="宋体" w:cs="宋体"/>
          <w:b/>
          <w:bCs/>
          <w:color w:val="auto"/>
          <w:sz w:val="24"/>
          <w:szCs w:val="24"/>
          <w:highlight w:val="none"/>
          <w:lang w:eastAsia="zh-CN"/>
        </w:rPr>
        <w:t xml:space="preserve">：</w:t>
      </w:r>
      <w:r/>
    </w:p>
    <w:p>
      <w:pPr>
        <w:numPr>
          <w:ilvl w:val="0"/>
          <w:numId w:val="0"/>
        </w:numPr>
        <w:ind w:firstLine="72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履约保证金：成交价的1%。</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、对本次采购提出询问，请按以下方式联系。</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1、采购人</w:t>
      </w:r>
      <w:r>
        <w:rPr>
          <w:rFonts w:hint="eastAsia" w:ascii="宋体" w:hAnsi="宋体" w:eastAsia="宋体" w:cs="宋体"/>
          <w:b/>
          <w:bCs/>
          <w:color w:val="auto"/>
          <w:sz w:val="24"/>
          <w:szCs w:val="24"/>
          <w:highlight w:val="none"/>
          <w:lang w:val="en-US" w:eastAsia="zh-CN"/>
        </w:rPr>
        <w:t xml:space="preserve">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盱眙县第二高级中学</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地址:江苏省淮安市盱眙县古桑街道 36 号</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r>
        <w:rPr>
          <w:rFonts w:hint="eastAsia" w:ascii="宋体" w:hAnsi="宋体" w:cs="宋体"/>
          <w:color w:val="auto"/>
          <w:sz w:val="24"/>
          <w:szCs w:val="24"/>
          <w:highlight w:val="none"/>
          <w:lang w:val="en-US" w:eastAsia="zh-CN"/>
        </w:rPr>
        <w:t xml:space="preserve">胡广发</w:t>
      </w: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 xml:space="preserve">13813308858</w:t>
      </w:r>
      <w:r/>
    </w:p>
    <w:p>
      <w:pPr>
        <w:ind w:firstLine="487"/>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江苏骏通建设项目管理咨询有限公司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盱眙县二山路一号四楼</w:t>
      </w:r>
      <w:r/>
    </w:p>
    <w:p>
      <w:pPr>
        <w:ind w:firstLine="484"/>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夏妍</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18932307736</w:t>
      </w:r>
      <w:r/>
    </w:p>
    <w:p>
      <w:pPr>
        <w:ind w:firstLine="487"/>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有关本次招标的事项若存在变动或修改，敬请及时关注淮安市政府采购中心在“淮安市政府采购网”发布的更正公告。</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本次招标不收取投标保证金。</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3190"/>
        <w:jc w:val="both"/>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2"/>
          <w:szCs w:val="32"/>
          <w:highlight w:val="none"/>
        </w:rPr>
        <w:t xml:space="preserve">第二章  投标人须知</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一、总则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1.适用范围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本招标文件仅适用于本次投标邀请中所述项目的采购。</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2.合格的投标人</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满足第一章投标邀请中投标人资格要求的规定。 </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满足招标文件中实质性条款的规定。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3.适用法律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《中华人民共和国政府采购法》、《中华人民共和国政府采购法实施条例》、《政府采购货物和服务招标投标管理办法》等有关法律、规章和规定等。</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4.投标费用</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4.1投标人应自行承担所有与参加投标有关的费用。不论投标的结果如何，采购人在任何情况下均无义务和责任承担这些费用。</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4.2本次采购项目不收取标书工本费和中标管理费。</w:t>
      </w:r>
      <w:r/>
    </w:p>
    <w:p>
      <w:pPr>
        <w:ind w:firstLine="555"/>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4.3本项目代理费</w:t>
      </w:r>
      <w:r>
        <w:rPr>
          <w:rFonts w:hint="eastAsia" w:ascii="宋体" w:hAnsi="宋体" w:cs="宋体"/>
          <w:color w:val="auto"/>
          <w:sz w:val="21"/>
          <w:szCs w:val="21"/>
          <w:highlight w:val="none"/>
          <w:u w:val="single"/>
          <w:lang w:val="en-US" w:eastAsia="zh-CN"/>
        </w:rPr>
        <w:t xml:space="preserve"> 7500 </w:t>
      </w:r>
      <w:r>
        <w:rPr>
          <w:rFonts w:hint="eastAsia" w:ascii="宋体" w:hAnsi="宋体" w:eastAsia="宋体" w:cs="宋体"/>
          <w:color w:val="auto"/>
          <w:sz w:val="21"/>
          <w:szCs w:val="21"/>
          <w:highlight w:val="none"/>
          <w:lang w:val="en-US" w:eastAsia="zh-CN"/>
        </w:rPr>
        <w:t xml:space="preserve">元，由成交供应商在成交通知书发出前向采购代理机构一次性付清。</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二、招标文件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5.招标文件由以下部分组成: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5.1投标邀请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5.2投标人须知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5.3合同文本</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5.4项目采购需求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5.5评标方法与评标标准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5.6投标文件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6.招标文件的澄清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6.1任何要求对招标文件进行澄清的投标人，均应在投标截止时间十日前通过以书面形式并加盖公章通知采购中心，采购中心对投标截止时间前十日收到的任何澄清要求将以书面形式予以答复。</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7.招标文件的更正或补充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7.1在投标截止时间十五日前，采购中心可主动或在解答投标人提出的澄清问题时对招标文件用更正公告的方式进行修正。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7.2对招标文件的更正将在淮安市政府采购网进行公告，更正公告将作为招标文件的组成部分，对所有参加本次投标的投标人都具有约束力。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7.3为使投标人有足够的时间按招标文件的更正要求修正投标文件，采购中心有权按照相关法定的要求推迟投标截止时间和开标日期。 </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三、投标文件的编制</w:t>
      </w:r>
      <w:r/>
    </w:p>
    <w:p>
      <w:pPr>
        <w:spacing w:line="360" w:lineRule="auto"/>
        <w:rPr>
          <w:rFonts w:hint="eastAsia" w:ascii="宋体" w:hAnsi="宋体" w:eastAsia="宋体" w:cs="宋体"/>
          <w:color w:val="auto"/>
          <w:sz w:val="21"/>
          <w:szCs w:val="21"/>
          <w:highlight w:val="none"/>
        </w:rPr>
      </w:pPr>
      <w:r/>
      <w:bookmarkStart w:id="1" w:name="_Toc462564073"/>
      <w:r/>
      <w:bookmarkStart w:id="2" w:name="_Toc513029214"/>
      <w:r/>
      <w:bookmarkStart w:id="3" w:name="_Toc20823286"/>
      <w:r/>
      <w:bookmarkStart w:id="4" w:name="_Toc16938530"/>
      <w:r>
        <w:rPr>
          <w:rFonts w:hint="eastAsia" w:ascii="宋体" w:hAnsi="宋体" w:eastAsia="宋体" w:cs="宋体"/>
          <w:color w:val="auto"/>
          <w:sz w:val="21"/>
          <w:szCs w:val="21"/>
          <w:highlight w:val="none"/>
        </w:rPr>
        <w:t xml:space="preserve">8.投标文件的语言及度量衡单位</w:t>
      </w:r>
      <w:bookmarkEnd w:id="1"/>
      <w:r/>
      <w:bookmarkEnd w:id="2"/>
      <w:r/>
      <w:bookmarkEnd w:id="3"/>
      <w:r/>
      <w:bookmarkEnd w:id="4"/>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投标人提交的投标文件以及投标人与采购中心就有关投标的所有来往通知、函件和文件均应使用简体中文。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除技术性能另有规定外，投标文件所使用的度量衡单位，均须采用国家法定计量单位。</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9.投标文件构成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投标人编写的投标文件应包括资格证明文件、符合性证明文件、投标分项报价表、技术要求响应及偏离表、其他证明文件、投标函、开标一览表等部分。</w:t>
      </w:r>
      <w:r>
        <w:rPr>
          <w:rFonts w:hint="eastAsia" w:ascii="宋体" w:hAnsi="宋体" w:eastAsia="宋体" w:cs="宋体"/>
          <w:color w:val="auto"/>
          <w:sz w:val="21"/>
          <w:szCs w:val="21"/>
          <w:highlight w:val="none"/>
          <w:lang w:val="zh-CN"/>
        </w:rPr>
        <w:t xml:space="preserve">请投标人根据本招标文件的要求在指定模块中上传响应的投标材料，未按招标文件要求在指定模块上传响应的投标材料的，</w:t>
      </w:r>
      <w:r>
        <w:rPr>
          <w:rFonts w:hint="eastAsia" w:ascii="宋体" w:hAnsi="宋体" w:eastAsia="宋体" w:cs="宋体"/>
          <w:color w:val="auto"/>
          <w:sz w:val="21"/>
          <w:szCs w:val="21"/>
          <w:highlight w:val="none"/>
        </w:rPr>
        <w:t xml:space="preserve">视同未提交该投标材料处理。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如标书制作工具中格式和内容与“淮安市政府采购网”发布的招标文件不一致，请以“淮安市政府采购网”发布的招标文件为准。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10.证明投标人及投标标的符合招标文件规定的文件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投标人应按照招标文件要求提交证明文件，证明其及投标标的符合招标文件规定。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10.2招标文件对证明文件无明确形式要求的，证明文件可以以文字资料、图纸和数据等形式提交。</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11.投标分项报价表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投标人应按照招标文件规定格式填报投标分项报价表。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11.2投标货币。投标文件中的单价和总价无特殊规定的采用人民币报价，以元为单位标注。招标文件中另有规定的按规定执行。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12.技术要求响应及偏离表、商务要求响应及偏离表（如有）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投标人需对招标文件中的技术要求与商务要求逐项作出响应或偏离，并说明原因。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投标人可在投标文件中提供认为需要的其他技术文件或说明。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13.服务承诺、培训计划、人员安排及其他（如有）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投标人需根据招标文件要求提供有关售后服务的管理制度，售后服务机构的分布情况，售后服务人员的数量、素质、技术水平及售后服务的反应能力等。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投标人需根据招标文件要求提供培训计划。</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13.3投标人需根据招标文件要求提供所投标的的主要组成部分、功能设计、实现思路及关键技术等。</w:t>
      </w:r>
      <w:r/>
    </w:p>
    <w:p>
      <w:pPr>
        <w:spacing w:line="360" w:lineRule="auto"/>
        <w:rPr>
          <w:rFonts w:hint="eastAsia" w:ascii="宋体" w:hAnsi="宋体" w:eastAsia="宋体" w:cs="宋体"/>
          <w:color w:val="auto"/>
          <w:sz w:val="21"/>
          <w:szCs w:val="21"/>
          <w:highlight w:val="none"/>
        </w:rPr>
      </w:pPr>
      <w:r/>
      <w:bookmarkStart w:id="5" w:name="_Toc14577359"/>
      <w:r/>
      <w:bookmarkStart w:id="6" w:name="_Toc49090510"/>
      <w:r>
        <w:rPr>
          <w:rFonts w:hint="eastAsia" w:ascii="宋体" w:hAnsi="宋体" w:eastAsia="宋体" w:cs="宋体"/>
          <w:color w:val="auto"/>
          <w:sz w:val="21"/>
          <w:szCs w:val="21"/>
          <w:highlight w:val="none"/>
        </w:rPr>
        <w:t xml:space="preserve">14.投标函和开标一览表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投标人应按照招标文件中提供的格式完整、正确填写投标函、开标一览表。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对于采用货币报价的项目，开标一览表中的投标总报价应与投标分项报价表中的投标总报价一致，如不一致，不作为无效投标处理，但评标时按开标一览表中价格为准。</w:t>
      </w:r>
      <w:bookmarkEnd w:id="5"/>
      <w:r/>
      <w:bookmarkEnd w:id="6"/>
      <w:r/>
      <w:r/>
    </w:p>
    <w:p>
      <w:pPr>
        <w:spacing w:line="360" w:lineRule="auto"/>
        <w:rPr>
          <w:rFonts w:hint="eastAsia" w:ascii="宋体" w:hAnsi="宋体" w:eastAsia="宋体" w:cs="宋体"/>
          <w:color w:val="auto"/>
          <w:sz w:val="21"/>
          <w:szCs w:val="21"/>
          <w:highlight w:val="none"/>
        </w:rPr>
      </w:pPr>
      <w:r/>
      <w:bookmarkStart w:id="7" w:name="_Toc49090511"/>
      <w:r/>
      <w:bookmarkStart w:id="8" w:name="_Toc14577360"/>
      <w:r>
        <w:rPr>
          <w:rFonts w:hint="eastAsia" w:ascii="宋体" w:hAnsi="宋体" w:eastAsia="宋体" w:cs="宋体"/>
          <w:color w:val="auto"/>
          <w:sz w:val="21"/>
          <w:szCs w:val="21"/>
          <w:highlight w:val="none"/>
        </w:rPr>
        <w:t xml:space="preserve">15.投标有效期</w:t>
      </w:r>
      <w:bookmarkEnd w:id="7"/>
      <w:r/>
      <w:bookmarkEnd w:id="8"/>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15.1投标有效期为采购中心规定的开标之日后六十（60）天。投标有效期比规定短的将被视为未实质性响应招标文件而予以拒绝。</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16.投标有效期的延长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17.方案部分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本项目不采用暗标方式</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17.1本项目评标标准中的方案部分采用暗标方式进行评审。</w:t>
      </w:r>
      <w:r/>
    </w:p>
    <w:p>
      <w:pPr>
        <w:ind w:firstLine="56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17.2方案部分采用暗标方式进行评审的编制要求：</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17.3供应商应按第17.2的要求编制方案，经三分之二评委认定，供应商未按第17.2的要求编制方案的，按未提供方案处理。</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四、投标文件上传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18.投标文件的上传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18.1投标人应当按照《操作手册》规定，在投标截止时间前制作并上传电子投标文件。</w:t>
      </w:r>
      <w:r/>
    </w:p>
    <w:p>
      <w:pPr>
        <w:ind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rPr>
        <w:t xml:space="preserve">18.2投标人上传的电子投标文件内容不清楚或不清晰的（含扫描</w:t>
      </w:r>
      <w:r>
        <w:rPr>
          <w:rFonts w:hint="eastAsia" w:ascii="宋体" w:hAnsi="宋体" w:eastAsia="宋体" w:cs="宋体"/>
          <w:bCs/>
          <w:color w:val="auto"/>
          <w:sz w:val="21"/>
          <w:szCs w:val="21"/>
          <w:highlight w:val="none"/>
        </w:rPr>
        <w:t xml:space="preserve">件），造成无法评审或部分影响评审的，</w:t>
      </w:r>
      <w:r>
        <w:rPr>
          <w:rFonts w:hint="eastAsia" w:ascii="宋体" w:hAnsi="宋体" w:eastAsia="宋体" w:cs="宋体"/>
          <w:bCs/>
          <w:color w:val="auto"/>
          <w:sz w:val="21"/>
          <w:szCs w:val="21"/>
          <w:highlight w:val="none"/>
          <w:lang w:val="zh-CN"/>
        </w:rPr>
        <w:t xml:space="preserve">责任由</w:t>
      </w:r>
      <w:r>
        <w:rPr>
          <w:rFonts w:hint="eastAsia" w:ascii="宋体" w:hAnsi="宋体" w:eastAsia="宋体" w:cs="宋体"/>
          <w:bCs/>
          <w:color w:val="auto"/>
          <w:sz w:val="21"/>
          <w:szCs w:val="21"/>
          <w:highlight w:val="none"/>
        </w:rPr>
        <w:t xml:space="preserve">投标人</w:t>
      </w:r>
      <w:r>
        <w:rPr>
          <w:rFonts w:hint="eastAsia" w:ascii="宋体" w:hAnsi="宋体" w:eastAsia="宋体" w:cs="宋体"/>
          <w:bCs/>
          <w:color w:val="auto"/>
          <w:sz w:val="21"/>
          <w:szCs w:val="21"/>
          <w:highlight w:val="none"/>
          <w:lang w:val="zh-CN"/>
        </w:rPr>
        <w:t xml:space="preserve">自负。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18.3投标人上传电子投标文件的时间不得迟于投标邀请中规定的截止时间。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18.4采购中心可以按第7条规定，通过修改招标文件有权酌情延长投标文件接收截止时间。在此情况下，投标人的所有权利和义务以及投标人受制约的截止日期均应以延长后新的截止日期为准。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19.投标文件被拒绝接收的情形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19.1在招标文件规定的提交投标文件截止时间后上传的电子投标文件。</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20.投标文件的修改和撤回</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19.1投标人在上传电子投标文件后可以对其修改或撤回，但这种修改和撤回，必须在规定的开标时间之前，具体操作方法见《操作手册》。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19.2投标人不得在开标时间以后修改电子投标文件。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19.3投标人不得在提交电子投标文件截止时间起至投标有效期满前撤回电子投标文件。</w:t>
      </w:r>
      <w:r/>
    </w:p>
    <w:p>
      <w:pPr>
        <w:numPr>
          <w:ilvl w:val="0"/>
          <w:numId w:val="4"/>
        </w:numPr>
        <w:spacing w:line="360" w:lineRule="auto"/>
        <w:rPr>
          <w:rFonts w:hint="eastAsia" w:ascii="宋体" w:hAnsi="宋体" w:eastAsia="宋体" w:cs="宋体"/>
          <w:b/>
          <w:color w:val="auto"/>
          <w:sz w:val="21"/>
          <w:szCs w:val="21"/>
          <w:highlight w:val="none"/>
        </w:rPr>
      </w:pPr>
      <w:r/>
      <w:bookmarkStart w:id="9" w:name="_Toc162083530"/>
      <w:r>
        <w:rPr>
          <w:rFonts w:hint="eastAsia" w:ascii="宋体" w:hAnsi="宋体" w:eastAsia="宋体" w:cs="宋体"/>
          <w:b/>
          <w:color w:val="auto"/>
          <w:sz w:val="21"/>
          <w:szCs w:val="21"/>
          <w:highlight w:val="none"/>
        </w:rPr>
        <w:t xml:space="preserve">开标及评标</w:t>
      </w:r>
      <w:bookmarkEnd w:id="9"/>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20.开标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采购中心将在招标公告中规定的时间和地点组织开标。投标人应当按照《操作手册》规定，参加开标活动和在苏采云系统规定的时间内对投标文件进行解密。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20.2开标仪式由采购中心组织。苏采云系统将自动对项目进行开标，并宣布各投标人名称和投标价格。</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20.3投标人在开标过程中涉及到的投标文件解密、开标结果确认等工作，应按照《操作手册》规定执行。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20.4投标人如果对开标过程和开标记录有疑义，应当根据《操作手册》规定提出，如苏采云系统中《开标记录表》宣布后5分钟内未提出的，视同认可开标结果。</w:t>
      </w:r>
      <w:r/>
    </w:p>
    <w:p>
      <w:pPr>
        <w:spacing w:line="360" w:lineRule="auto"/>
        <w:rPr>
          <w:rFonts w:hint="eastAsia" w:ascii="宋体" w:hAnsi="宋体" w:eastAsia="宋体" w:cs="宋体"/>
          <w:color w:val="auto"/>
          <w:sz w:val="21"/>
          <w:szCs w:val="21"/>
          <w:highlight w:val="none"/>
        </w:rPr>
      </w:pPr>
      <w:r/>
      <w:bookmarkStart w:id="10" w:name="_Toc16938547"/>
      <w:r/>
      <w:bookmarkStart w:id="11" w:name="_Toc20823303"/>
      <w:r/>
      <w:bookmarkStart w:id="12" w:name="_Toc513029231"/>
      <w:r>
        <w:rPr>
          <w:rFonts w:hint="eastAsia" w:ascii="宋体" w:hAnsi="宋体" w:eastAsia="宋体" w:cs="宋体"/>
          <w:color w:val="auto"/>
          <w:sz w:val="21"/>
          <w:szCs w:val="21"/>
          <w:highlight w:val="none"/>
        </w:rPr>
        <w:t xml:space="preserve">21.评标委员会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21.1开标后，采购中心将立即组织评标委员会（以下简称评委会）进行评标。</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21.2 评委会由采购人代表和有关技术、经济等方面的专家组成，且人员构成符合政府采购有关规定。</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21.3评委会独立工作，负责评审所有投标文件并确定</w:t>
      </w:r>
      <w:r>
        <w:rPr>
          <w:rFonts w:hint="eastAsia" w:ascii="宋体" w:hAnsi="宋体" w:eastAsia="宋体" w:cs="宋体"/>
          <w:color w:val="auto"/>
          <w:sz w:val="21"/>
          <w:szCs w:val="21"/>
          <w:highlight w:val="none"/>
          <w:lang w:eastAsia="zh-CN"/>
        </w:rPr>
        <w:t xml:space="preserve">中标候选人</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22．评标过程的保密与公正</w:t>
      </w:r>
      <w:bookmarkEnd w:id="10"/>
      <w:r/>
      <w:bookmarkEnd w:id="11"/>
      <w:r/>
      <w:bookmarkEnd w:id="12"/>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22.1凡是与审查、澄清、评价和比较投标的有关资料以及授标建议等，采购人、评委、采购中心均不得向投标人或与评标无关的其他人员透露。</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22.2在评标过程中，投标人不得以任何行为影响评标过程，否则其投标文件将被作为无效投标文件。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 采购中心和评标委员会不向未中标的投标人解释未中标原因，也不公布评标过程中的相关细节。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 采用综合评分法的项目，未中标的投标人可于中标结果公告期限届满之日起通过苏采云系统查看自己的评审得分及排序情况。</w:t>
      </w:r>
      <w:r/>
    </w:p>
    <w:p>
      <w:pPr>
        <w:spacing w:line="360" w:lineRule="auto"/>
        <w:rPr>
          <w:rFonts w:hint="eastAsia" w:ascii="宋体" w:hAnsi="宋体" w:eastAsia="宋体" w:cs="宋体"/>
          <w:color w:val="auto"/>
          <w:sz w:val="21"/>
          <w:szCs w:val="21"/>
          <w:highlight w:val="none"/>
        </w:rPr>
      </w:pPr>
      <w:r/>
      <w:bookmarkStart w:id="13" w:name="_Toc16938548"/>
      <w:r/>
      <w:bookmarkStart w:id="14" w:name="_Toc513029232"/>
      <w:r/>
      <w:bookmarkStart w:id="15" w:name="_Toc20823304"/>
      <w:r>
        <w:rPr>
          <w:rFonts w:hint="eastAsia" w:ascii="宋体" w:hAnsi="宋体" w:eastAsia="宋体" w:cs="宋体"/>
          <w:color w:val="auto"/>
          <w:sz w:val="21"/>
          <w:szCs w:val="21"/>
          <w:highlight w:val="none"/>
        </w:rPr>
        <w:t xml:space="preserve">23．投标文件的澄清</w:t>
      </w:r>
      <w:bookmarkEnd w:id="13"/>
      <w:r/>
      <w:bookmarkEnd w:id="14"/>
      <w:r/>
      <w:bookmarkEnd w:id="15"/>
      <w:r/>
      <w:r/>
    </w:p>
    <w:p>
      <w:pPr>
        <w:ind w:firstLine="420"/>
        <w:spacing w:line="360" w:lineRule="auto"/>
        <w:rPr>
          <w:rFonts w:hint="eastAsia" w:ascii="宋体" w:hAnsi="宋体" w:eastAsia="宋体" w:cs="宋体"/>
          <w:color w:val="auto"/>
          <w:sz w:val="21"/>
          <w:szCs w:val="21"/>
          <w:highlight w:val="none"/>
        </w:rPr>
      </w:pPr>
      <w:r/>
      <w:bookmarkStart w:id="16" w:name="_Toc20823305"/>
      <w:r/>
      <w:bookmarkStart w:id="17" w:name="_Toc16938549"/>
      <w:r/>
      <w:bookmarkStart w:id="18" w:name="_Toc513029233"/>
      <w:r>
        <w:rPr>
          <w:rFonts w:hint="eastAsia" w:ascii="宋体" w:hAnsi="宋体" w:eastAsia="宋体" w:cs="宋体"/>
          <w:color w:val="auto"/>
          <w:sz w:val="21"/>
          <w:szCs w:val="21"/>
          <w:highlight w:val="none"/>
        </w:rPr>
        <w:t xml:space="preserve">23.1评标期间，评委会对投标文件中含义不明确、同类问题表述不一致或者有明显文字和计算错误的内容，有权要求投标人作出必要的澄清、说明或者补正。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评委会并非对每个投标人都做澄清要求。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 接到评委会澄清、说明和补正要求的投标人如未按规定做出澄清、说明和补正，其风险由投标人自行承担。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24.对投标文件的初审</w:t>
      </w:r>
      <w:bookmarkEnd w:id="16"/>
      <w:r/>
      <w:bookmarkEnd w:id="17"/>
      <w:r/>
      <w:bookmarkEnd w:id="18"/>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24.1投标文件初审分为资格审查和符合性审查。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24.1.1 资格审查：依据法律法规和招标文件的规定，由采购人对投标文件中的资格证明文件进行审查。资格审查的结论，采购人向评委会进行反馈。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2"/>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1）联合体各方应按招标文件提供的格式签订联合体协议书，明确联合体牵头人和各方</w:t>
      </w:r>
      <w:r>
        <w:rPr>
          <w:rFonts w:hint="eastAsia" w:ascii="宋体" w:hAnsi="宋体" w:cs="宋体"/>
          <w:b w:val="0"/>
          <w:bCs w:val="0"/>
          <w:color w:val="auto"/>
          <w:sz w:val="21"/>
          <w:szCs w:val="21"/>
          <w:highlight w:val="none"/>
          <w:lang w:val="en-US" w:eastAsia="zh-CN"/>
        </w:rPr>
        <w:t xml:space="preserve">的分工与</w:t>
      </w:r>
      <w:r>
        <w:rPr>
          <w:rFonts w:hint="eastAsia" w:ascii="宋体" w:hAnsi="宋体" w:eastAsia="宋体" w:cs="宋体"/>
          <w:b w:val="0"/>
          <w:bCs w:val="0"/>
          <w:color w:val="auto"/>
          <w:sz w:val="21"/>
          <w:szCs w:val="21"/>
          <w:highlight w:val="none"/>
          <w:lang w:val="en-US" w:eastAsia="zh-CN"/>
        </w:rPr>
        <w:t xml:space="preserve">权利义务；</w:t>
      </w:r>
      <w:r/>
    </w:p>
    <w:p>
      <w:pPr>
        <w:ind w:firstLine="422"/>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（2）联合体各成员单位应当</w:t>
      </w:r>
      <w:r>
        <w:rPr>
          <w:rFonts w:hint="eastAsia" w:ascii="宋体" w:hAnsi="宋体" w:eastAsia="宋体" w:cs="宋体"/>
          <w:b w:val="0"/>
          <w:bCs w:val="0"/>
          <w:color w:val="auto"/>
          <w:sz w:val="20"/>
          <w:szCs w:val="20"/>
          <w:highlight w:val="none"/>
        </w:rPr>
        <w:t xml:space="preserve">符合</w:t>
      </w:r>
      <w:r>
        <w:rPr>
          <w:rFonts w:hint="eastAsia" w:ascii="宋体" w:hAnsi="宋体" w:eastAsia="宋体" w:cs="宋体"/>
          <w:b w:val="0"/>
          <w:bCs w:val="0"/>
          <w:color w:val="auto"/>
          <w:sz w:val="21"/>
          <w:szCs w:val="21"/>
          <w:highlight w:val="none"/>
          <w:lang w:val="en-US" w:eastAsia="zh-CN"/>
        </w:rPr>
        <w:t xml:space="preserve">《中华人民共和国政府采购法》第二十二条规定</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具备与联合体协议中约定的分工相适应的资质和能力；</w:t>
      </w:r>
      <w:r/>
    </w:p>
    <w:p>
      <w:pPr>
        <w:ind w:firstLine="422"/>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（3）联合体各方不得再以自己名义单独或参加其他联合体在同一标段中投标；</w:t>
      </w:r>
      <w:r/>
    </w:p>
    <w:p>
      <w:pPr>
        <w:ind w:firstLine="422"/>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（4）联合体各方必须指定牵头人，授权其代表所有联合体成员负责投标和合同实施阶段的主办、协调工作，并应当向招标人提交由所有联合体成员法定代表人签署的授权书；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24.1.3 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（2）大写金额和小写金额不一致的，以大写金额为准。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color w:val="auto"/>
          <w:sz w:val="21"/>
          <w:szCs w:val="21"/>
          <w:highlight w:val="none"/>
        </w:rPr>
      </w:pPr>
      <w:r/>
      <w:bookmarkStart w:id="19" w:name="_Toc20823306"/>
      <w:r/>
      <w:bookmarkStart w:id="20" w:name="_Toc513029234"/>
      <w:r/>
      <w:bookmarkStart w:id="21" w:name="_Toc16938550"/>
      <w:r>
        <w:rPr>
          <w:rFonts w:hint="eastAsia" w:ascii="宋体" w:hAnsi="宋体" w:eastAsia="宋体" w:cs="宋体"/>
          <w:color w:val="auto"/>
          <w:sz w:val="21"/>
          <w:szCs w:val="21"/>
          <w:highlight w:val="none"/>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非单一产品采购项目，招标文件中将载明其中的核心产品</w:t>
      </w:r>
      <w:r>
        <w:rPr>
          <w:rFonts w:hint="eastAsia" w:ascii="宋体" w:hAnsi="宋体" w:eastAsia="宋体" w:cs="宋体"/>
          <w:color w:val="auto"/>
          <w:sz w:val="21"/>
          <w:szCs w:val="21"/>
          <w:highlight w:val="none"/>
          <w:lang w:eastAsia="zh-CN"/>
        </w:rPr>
        <w:t xml:space="preserve">（</w:t>
      </w:r>
      <w:r>
        <w:rPr>
          <w:rFonts w:ascii="SimSun" w:hAnsi="SimSun" w:eastAsia="SimSun" w:cs="SimSun"/>
          <w:b/>
          <w:color w:val="000000"/>
          <w:sz w:val="21"/>
        </w:rPr>
        <w:t xml:space="preserve">AI智能录播主机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。多家投标人提供的核心产品品牌相同的，按前两款规定处理。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24.7投标人在开、评标全过程中应保持通讯畅通，及时登录苏采云系统查阅、答复相关信息，并安排专人与采购中心及评标委员会联系。</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24.8评标委员会认为投标人的报价属于《江苏省财政厅转发财政部关于推动解决政府采购异常低价问题的通知》(苏财购[2026]36号)异常低价情形的，将通过苏采云系统，按照苏财购[2026]36号文件要求启动异常低价投标审查程序，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bookmarkEnd w:id="19"/>
      <w:r/>
      <w:bookmarkEnd w:id="20"/>
      <w:r/>
      <w:bookmarkEnd w:id="21"/>
      <w:r>
        <w:rPr>
          <w:rFonts w:hint="eastAsia" w:ascii="宋体" w:hAnsi="宋体" w:eastAsia="宋体" w:cs="宋体"/>
          <w:color w:val="auto"/>
          <w:sz w:val="21"/>
          <w:szCs w:val="21"/>
          <w:highlight w:val="none"/>
        </w:rPr>
        <w:t xml:space="preserve">5.</w:t>
      </w:r>
      <w:r>
        <w:rPr>
          <w:rFonts w:hint="eastAsia" w:ascii="宋体" w:hAnsi="宋体" w:eastAsia="宋体" w:cs="宋体"/>
          <w:b/>
          <w:bCs/>
          <w:color w:val="auto"/>
          <w:sz w:val="21"/>
          <w:szCs w:val="21"/>
          <w:highlight w:val="none"/>
        </w:rPr>
        <w:t xml:space="preserve">无效投标条款和废标条款</w:t>
      </w:r>
      <w:r/>
    </w:p>
    <w:p>
      <w:pPr>
        <w:ind w:firstLine="420"/>
        <w:spacing w:line="360" w:lineRule="auto"/>
        <w:rPr>
          <w:rFonts w:hint="eastAsia" w:ascii="宋体" w:hAnsi="宋体" w:eastAsia="宋体" w:cs="宋体"/>
          <w:color w:val="auto"/>
          <w:sz w:val="21"/>
          <w:szCs w:val="21"/>
          <w:highlight w:val="none"/>
        </w:rPr>
      </w:pPr>
      <w:r/>
      <w:bookmarkStart w:id="22" w:name="_Toc20823307"/>
      <w:r/>
      <w:bookmarkStart w:id="23" w:name="_Toc513029235"/>
      <w:r/>
      <w:bookmarkStart w:id="24" w:name="_Toc16938551"/>
      <w:r>
        <w:rPr>
          <w:rFonts w:hint="eastAsia" w:ascii="宋体" w:hAnsi="宋体" w:eastAsia="宋体" w:cs="宋体"/>
          <w:color w:val="auto"/>
          <w:sz w:val="21"/>
          <w:szCs w:val="21"/>
          <w:highlight w:val="none"/>
        </w:rPr>
        <w:t xml:space="preserve">25.1无效投标条款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 投标人在苏采云系统规定的时间内未成功解密电子投标文件的。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 投标人未按照招标文件要求上传电子投标文件的。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25.1.3同一投标人提交两个（含两个）以上不同的投标报价的。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25.1.4投标人不具备招标文件中规定资格要求的。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25.1.5投标人的报价超过了采购预算或最高限价的。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25.1.6未通过符合性审查的。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25.1.7不符合招标文件中规定的实质性要求和条件的（实质性要求和条件是指本招标文件中用带星号（“★”）的商务和技术要求）。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25.1.9  投标文件含有采购人不能接受的附加条件的。</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25.1.10</w:t>
      </w:r>
      <w:r>
        <w:rPr>
          <w:rFonts w:hint="eastAsia" w:ascii="宋体" w:hAnsi="宋体" w:eastAsia="宋体" w:cs="宋体"/>
          <w:b w:val="0"/>
          <w:bCs w:val="0"/>
          <w:color w:val="auto"/>
          <w:sz w:val="21"/>
          <w:szCs w:val="21"/>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25.1.11按照第 34.4的要求本项目中具有“强制采购”产品，但未提供经国家确定的认证机构出具的、处于有效期之内该节能产品认证证书图片的；</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25.1.12 投标文件未按照招标文件要求加盖CA电子公章的。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其他法律、法规及本招标文件规定的属无效投标的情形。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25.2废标条款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25.2.1符合专业条件的供应商或者对招标文件作实质响应的供应商不足三家的。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25.2.2出现影响采购公正的违法、违规行为的。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25.2.3因重大变故，采购任务取消的。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25.2.4评标委员会认定招标文件存在歧义、重大缺陷导致评审工作无法进行。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25.2.5 因苏采云系统系统故障原因造成开标不成功的。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 投标截止时间结束后参加投标的供应商不足三家的处理：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25.3.1如出现投标截止时间结束后参加投标的供应商或者在评标期间对招标文件做出实质响应的供应商不足三家情况，按政府采购相关规定执行。</w:t>
      </w:r>
      <w:bookmarkEnd w:id="22"/>
      <w:r/>
      <w:bookmarkEnd w:id="23"/>
      <w:r/>
      <w:bookmarkEnd w:id="24"/>
      <w:r/>
      <w:r/>
    </w:p>
    <w:p>
      <w:pPr>
        <w:numPr>
          <w:ilvl w:val="0"/>
          <w:numId w:val="4"/>
        </w:numPr>
        <w:ind w:firstLine="482"/>
        <w:spacing w:line="360" w:lineRule="auto"/>
        <w:rPr>
          <w:rFonts w:hint="eastAsia" w:ascii="宋体" w:hAnsi="宋体" w:eastAsia="宋体" w:cs="宋体"/>
          <w:b/>
          <w:color w:val="auto"/>
          <w:sz w:val="21"/>
          <w:szCs w:val="21"/>
          <w:highlight w:val="none"/>
        </w:rPr>
      </w:pPr>
      <w:r/>
      <w:bookmarkStart w:id="25" w:name="_Toc120614219"/>
      <w:r>
        <w:rPr>
          <w:rFonts w:hint="eastAsia" w:ascii="宋体" w:hAnsi="宋体" w:eastAsia="宋体" w:cs="宋体"/>
          <w:b/>
          <w:color w:val="auto"/>
          <w:sz w:val="21"/>
          <w:szCs w:val="21"/>
          <w:highlight w:val="none"/>
        </w:rPr>
        <w:t xml:space="preserve">定标</w:t>
      </w:r>
      <w:bookmarkEnd w:id="25"/>
      <w:r/>
      <w:r/>
    </w:p>
    <w:p>
      <w:pPr>
        <w:spacing w:line="360" w:lineRule="auto"/>
        <w:rPr>
          <w:rFonts w:hint="eastAsia" w:ascii="宋体" w:hAnsi="宋体" w:eastAsia="宋体" w:cs="宋体"/>
          <w:color w:val="auto"/>
          <w:sz w:val="21"/>
          <w:szCs w:val="21"/>
          <w:highlight w:val="none"/>
        </w:rPr>
      </w:pPr>
      <w:r/>
      <w:bookmarkStart w:id="26" w:name="_Toc513029238"/>
      <w:r/>
      <w:bookmarkStart w:id="27" w:name="_Toc16938554"/>
      <w:r/>
      <w:bookmarkStart w:id="28" w:name="_Toc20823310"/>
      <w:r>
        <w:rPr>
          <w:rFonts w:hint="eastAsia" w:ascii="宋体" w:hAnsi="宋体" w:eastAsia="宋体" w:cs="宋体"/>
          <w:color w:val="auto"/>
          <w:sz w:val="21"/>
          <w:szCs w:val="21"/>
          <w:highlight w:val="none"/>
        </w:rPr>
        <w:t xml:space="preserve">2</w:t>
      </w:r>
      <w:bookmarkEnd w:id="26"/>
      <w:r>
        <w:rPr>
          <w:rFonts w:hint="eastAsia" w:ascii="宋体" w:hAnsi="宋体" w:eastAsia="宋体" w:cs="宋体"/>
          <w:color w:val="auto"/>
          <w:sz w:val="21"/>
          <w:szCs w:val="21"/>
          <w:highlight w:val="none"/>
        </w:rPr>
        <w:t xml:space="preserve">6.确定</w:t>
      </w:r>
      <w:bookmarkEnd w:id="27"/>
      <w:r/>
      <w:bookmarkEnd w:id="28"/>
      <w:r>
        <w:rPr>
          <w:rFonts w:hint="eastAsia" w:ascii="宋体" w:hAnsi="宋体" w:eastAsia="宋体" w:cs="宋体"/>
          <w:color w:val="auto"/>
          <w:sz w:val="21"/>
          <w:szCs w:val="21"/>
          <w:highlight w:val="none"/>
        </w:rPr>
        <w:t xml:space="preserve">中标单位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26.1中标候选人的选取原则和数量见招标文件第三章规定。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 采购人应根据评委会推荐的中标候选人确定中标人。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 采购中心将在“淮安市政府采购网”发布中标公告，公告期限为1个工作日。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  若有充分证据证明，中标人出现下列情况之一的，一经查实，将被取消中标资格：</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26.4.1提供虚假材料谋取中标的。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26.4.2向采购人、采购中心行贿或者提供其他不正当利益的。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26.4.3属于本文件规定的无效条件，但在评标过程中又未被评委会发现的。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26.4.4与采购人或者其他供应商恶意串通的。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26.4.5采取不正当手段诋毁、排挤其他供应商的。</w:t>
      </w:r>
      <w:r/>
    </w:p>
    <w:p>
      <w:pPr>
        <w:ind w:firstLine="420"/>
        <w:spacing w:line="360" w:lineRule="auto"/>
        <w:rPr>
          <w:rFonts w:hint="eastAsia" w:ascii="宋体" w:hAnsi="宋体" w:eastAsia="宋体" w:cs="宋体"/>
          <w:color w:val="auto"/>
          <w:sz w:val="21"/>
          <w:szCs w:val="21"/>
          <w:highlight w:val="none"/>
        </w:rPr>
      </w:pPr>
      <w:r/>
      <w:bookmarkStart w:id="29" w:name="_Toc200451960"/>
      <w:r>
        <w:rPr>
          <w:rFonts w:hint="eastAsia" w:ascii="宋体" w:hAnsi="宋体" w:eastAsia="宋体" w:cs="宋体"/>
          <w:color w:val="auto"/>
          <w:sz w:val="21"/>
          <w:szCs w:val="21"/>
          <w:highlight w:val="none"/>
        </w:rPr>
        <w:t xml:space="preserve">26.5.有下列情形之一的，视为投标人串通投标，投标无效：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26.5.1不同投标人的投标文件由同一单位或者个人编制；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26.5.2不同投标人委托同一单位或者个人办理投标事宜；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26.5.3 不同投标人的投标文件载明的项目管理成员或者联系人员为同一人；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26.5.4不同投标人的投标文件异常一致或者投标报价呈规律性差异；</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27．质疑处理</w:t>
      </w:r>
      <w:bookmarkEnd w:id="2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27.2上述应知其权益受到损害之日是指: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（1）对招标文件提出质疑的，为采购文件公告期限届满之日起计算；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（2）对采购过程提出质疑的，为各采购程序环节结束之日起计算；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（3）对中标结果提出质疑的，为中标结果公告期限届满之日起计算。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27.3质疑投标人是指直接参加本次投标活动的投标人，未参加投标活动的投标人或在投标活动中自身权益未受到损害的投标人所提出的质疑不予受理。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27.4质疑投标人在法定质疑期内应当一次性针对同一采购环节提出质疑。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27.5质疑函应当包括以下主要内容，附上相关证明材料。否则，采购中心不予受理。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（1）质疑投标人的名称、地址、邮编、联系人及联系电话；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（3）具体、明确的质疑事项和与质疑事实相关的请求；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（6）提起质疑的日期；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27.7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27.8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28.中标通知书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l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宋体" w:hAnsi="宋体" w:eastAsia="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spacing w:line="360" w:lineRule="auto"/>
        <w:rPr>
          <w:rFonts w:hint="eastAsia" w:ascii="宋体" w:hAnsi="宋体" w:eastAsia="宋体" w:cs="宋体"/>
          <w:b/>
          <w:color w:val="auto"/>
          <w:sz w:val="21"/>
          <w:szCs w:val="21"/>
          <w:highlight w:val="none"/>
        </w:rPr>
      </w:pPr>
      <w:r/>
      <w:bookmarkStart w:id="30" w:name="_Toc120614220"/>
      <w:r/>
      <w:bookmarkStart w:id="31" w:name="_Toc16938552"/>
      <w:r/>
      <w:bookmarkStart w:id="32" w:name="_Toc513029236"/>
      <w:r/>
      <w:bookmarkStart w:id="33" w:name="_Toc20823308"/>
      <w:r>
        <w:rPr>
          <w:rFonts w:hint="eastAsia" w:ascii="宋体" w:hAnsi="宋体" w:eastAsia="宋体" w:cs="宋体"/>
          <w:b/>
          <w:color w:val="auto"/>
          <w:sz w:val="21"/>
          <w:szCs w:val="21"/>
          <w:highlight w:val="none"/>
        </w:rPr>
        <w:t xml:space="preserve">授予合同</w:t>
      </w:r>
      <w:bookmarkEnd w:id="30"/>
      <w:r/>
      <w:bookmarkEnd w:id="31"/>
      <w:r/>
      <w:bookmarkEnd w:id="32"/>
      <w:r/>
      <w:bookmarkEnd w:id="33"/>
      <w:r/>
      <w:r/>
    </w:p>
    <w:p>
      <w:pPr>
        <w:spacing w:line="360" w:lineRule="auto"/>
        <w:rPr>
          <w:rFonts w:hint="eastAsia" w:ascii="宋体" w:hAnsi="宋体" w:eastAsia="宋体" w:cs="宋体"/>
          <w:color w:val="auto"/>
          <w:sz w:val="21"/>
          <w:szCs w:val="21"/>
          <w:highlight w:val="none"/>
        </w:rPr>
      </w:pPr>
      <w:r/>
      <w:bookmarkStart w:id="34" w:name="_Toc20823309"/>
      <w:r/>
      <w:bookmarkStart w:id="35" w:name="_Toc16938553"/>
      <w:r/>
      <w:bookmarkStart w:id="36" w:name="_Toc513029237"/>
      <w:r>
        <w:rPr>
          <w:rFonts w:hint="eastAsia" w:ascii="宋体" w:hAnsi="宋体" w:eastAsia="宋体" w:cs="宋体"/>
          <w:color w:val="auto"/>
          <w:sz w:val="21"/>
          <w:szCs w:val="21"/>
          <w:highlight w:val="none"/>
        </w:rPr>
        <w:t xml:space="preserve">29. 签订合同</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29.l中标人应当在中标通知书发出之日起</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29.2招标文件、中标人的投标文件及招标过程中有关澄清、承诺文件均应作为合同附件。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30.货物（包含与货物相关的服务）的追加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4"/>
      <w:r/>
      <w:bookmarkEnd w:id="35"/>
      <w:r/>
      <w:bookmarkEnd w:id="36"/>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31.政府采购履约资金扶持政策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中标供应商可凭政府采购合同办理融资贷款，详情请见江苏政府采购网“政采贷”专栏。</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八、政府采购政策功能落实</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促进中小企业发展</w:t>
      </w:r>
      <w:r>
        <w:rPr>
          <w:rFonts w:hint="eastAsia" w:ascii="宋体" w:hAnsi="宋体" w:eastAsia="宋体" w:cs="宋体"/>
          <w:color w:val="auto"/>
          <w:sz w:val="21"/>
          <w:szCs w:val="21"/>
          <w:highlight w:val="none"/>
        </w:rPr>
        <w:t xml:space="preserve">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32.1小微型企业价格扣除</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32.1.1</w:t>
      </w:r>
      <w:r>
        <w:rPr>
          <w:rFonts w:hint="eastAsia" w:ascii="宋体" w:hAnsi="宋体" w:eastAsia="宋体" w:cs="宋体"/>
          <w:b w:val="0"/>
          <w:bCs w:val="0"/>
          <w:color w:val="auto"/>
          <w:sz w:val="21"/>
          <w:szCs w:val="21"/>
          <w:highlight w:val="none"/>
          <w:lang w:val="zh-CN"/>
        </w:rPr>
        <w:t xml:space="preserve">对于未专门面向中小企业或者未预留份额专门面向中小企业采购的采购项目，供应商提供的货物或者服务</w:t>
      </w:r>
      <w:r>
        <w:rPr>
          <w:rFonts w:hint="eastAsia" w:ascii="宋体" w:hAnsi="宋体" w:eastAsia="宋体" w:cs="宋体"/>
          <w:b w:val="0"/>
          <w:bCs w:val="0"/>
          <w:color w:val="auto"/>
          <w:sz w:val="21"/>
          <w:szCs w:val="21"/>
          <w:highlight w:val="none"/>
        </w:rPr>
        <w:t xml:space="preserve">符合下列情形的，享受本办法规定的中小企业扶持政策给予小微企业报价20%的扣除，用扣除后的价格参与评审：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32.1.2在货物采购项目中，供应商提供的货物既有中小企业制造货物，也有大型企业制造货物的，不享受本办法规定的中小企业扶持政策。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32.2联合体及分包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32.2.1以联合体形式参加政府采购活动，联合体各方均为中小企业的，联合体视同中小企业。其中，联合体各方均为小微企业的，联合体视同小微企业。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32.2.2享受扶持政策获得政府采购合同的，小微企业不得将合同分包给大中型企业，中型企业不得将合同分包给大型企业。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32.3小微型企业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（1）投标人须按照招标文件的要求提供相应的《企业声明函》，详见招标文件第六章示范格式。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（2）企业标准请参照《政府采购促进中小企业发展管理办法》（财库【2020】46号）文件规定自行填写。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32.4残疾人福利单位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（1）残疾人福利单位需按照招标文件的要求提供《残疾人福利性单位声明函》，详见招标文件第六章示范格式。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（2）残疾人福利单位标准请参照《关于促进残疾人就业政府采购政策的通知》（财库〔2017〕141号）。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32.5监狱和戒毒企业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（2）监狱企业标准请参照《关于政府采购支持监狱企业发展有关问题的通知》（财库[2014]68号）。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节能、环保政策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33.2节能产品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ff"/>
          <w:sz w:val="21"/>
          <w:szCs w:val="21"/>
          <w:highlight w:val="none"/>
        </w:rPr>
        <w:t xml:space="preserve">本项目</w:t>
      </w:r>
      <w:r>
        <w:rPr>
          <w:rFonts w:hint="eastAsia" w:ascii="宋体" w:hAnsi="宋体" w:eastAsia="宋体" w:cs="宋体"/>
          <w:color w:val="0000ff"/>
          <w:sz w:val="21"/>
          <w:szCs w:val="21"/>
          <w:highlight w:val="none"/>
          <w:u w:val="single"/>
        </w:rPr>
        <w:t xml:space="preserve"> </w:t>
      </w:r>
      <w:r>
        <w:rPr>
          <w:rFonts w:hint="eastAsia" w:ascii="宋体" w:hAnsi="宋体" w:cs="宋体"/>
          <w:color w:val="0000ff"/>
          <w:sz w:val="21"/>
          <w:szCs w:val="21"/>
          <w:highlight w:val="none"/>
          <w:u w:val="single"/>
          <w:lang w:val="en-US" w:eastAsia="zh-CN"/>
        </w:rPr>
        <w:t xml:space="preserve">/</w:t>
      </w:r>
      <w:r>
        <w:rPr>
          <w:rFonts w:hint="eastAsia" w:ascii="宋体" w:hAnsi="宋体" w:eastAsia="宋体" w:cs="宋体"/>
          <w:color w:val="0000ff"/>
          <w:sz w:val="21"/>
          <w:szCs w:val="21"/>
          <w:highlight w:val="none"/>
          <w:u w:val="single"/>
          <w:lang w:val="en-US" w:eastAsia="zh-CN"/>
        </w:rPr>
        <w:t xml:space="preserve"> </w:t>
      </w:r>
      <w:r>
        <w:rPr>
          <w:rFonts w:hint="eastAsia" w:ascii="宋体" w:hAnsi="宋体" w:eastAsia="宋体" w:cs="宋体"/>
          <w:color w:val="0000ff"/>
          <w:sz w:val="21"/>
          <w:szCs w:val="21"/>
          <w:highlight w:val="none"/>
        </w:rPr>
        <w:t xml:space="preserve">被列入“节能产品品目清单”的，实行</w:t>
      </w:r>
      <w:r>
        <w:rPr>
          <w:rFonts w:hint="eastAsia" w:ascii="宋体" w:hAnsi="宋体" w:eastAsia="宋体" w:cs="宋体"/>
          <w:color w:val="0000ff"/>
          <w:sz w:val="21"/>
          <w:szCs w:val="21"/>
          <w:highlight w:val="none"/>
          <w:u w:val="single"/>
        </w:rPr>
        <w:t xml:space="preserve">（强制采购）</w:t>
      </w:r>
      <w:r>
        <w:rPr>
          <w:rFonts w:hint="eastAsia" w:ascii="宋体" w:hAnsi="宋体" w:eastAsia="宋体" w:cs="宋体"/>
          <w:color w:val="0000ff"/>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33.3环保产品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本项目不涉及</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本项目中</w:t>
      </w:r>
      <w:r>
        <w:rPr>
          <w:rFonts w:hint="eastAsia" w:ascii="宋体" w:hAnsi="宋体" w:eastAsia="宋体" w:cs="宋体"/>
          <w:color w:val="auto"/>
          <w:sz w:val="21"/>
          <w:szCs w:val="21"/>
          <w:highlight w:val="none"/>
          <w:u w:val="single"/>
        </w:rPr>
        <w:t xml:space="preserve"> (采购产品)</w:t>
      </w:r>
      <w:r>
        <w:rPr>
          <w:rFonts w:hint="eastAsia" w:ascii="宋体" w:hAnsi="宋体" w:eastAsia="宋体" w:cs="宋体"/>
          <w:color w:val="auto"/>
          <w:sz w:val="21"/>
          <w:szCs w:val="21"/>
          <w:highlight w:val="none"/>
        </w:rPr>
        <w:t xml:space="preserve">被列入“环境标志产品品目清单”的，实行优先采购。</w:t>
      </w:r>
      <w:r/>
    </w:p>
    <w:p>
      <w:pPr>
        <w:ind w:firstLine="420"/>
        <w:spacing w:line="360" w:lineRule="auto"/>
        <w:rPr>
          <w:rFonts w:hint="eastAsia"/>
          <w:color w:val="auto"/>
          <w:highlight w:val="none"/>
        </w:rPr>
      </w:pPr>
      <w:r>
        <w:rPr>
          <w:rFonts w:hint="eastAsia" w:ascii="宋体" w:hAnsi="宋体" w:eastAsia="宋体" w:cs="宋体"/>
          <w:color w:val="auto"/>
          <w:sz w:val="21"/>
          <w:szCs w:val="21"/>
          <w:highlight w:val="none"/>
        </w:rPr>
        <w:t xml:space="preserve">33.4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节能、环保产品的品目清单按照《关于印发环境标志产品政府采购品目清单的通知》（财库〔2019〕18号）、《关于印发节能产品政府采购品目清单的</w:t>
      </w:r>
      <w:r>
        <w:rPr>
          <w:rFonts w:hint="eastAsia" w:ascii="宋体" w:hAnsi="宋体" w:eastAsia="宋体" w:cs="宋体"/>
          <w:bCs/>
          <w:color w:val="auto"/>
          <w:sz w:val="21"/>
          <w:szCs w:val="21"/>
          <w:highlight w:val="none"/>
        </w:rPr>
        <w:t xml:space="preserve">通知》（财库〔2019〕19号）执行。国家对品目清单进行调整的，按照最新调整的品目清单执行。</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34．政府绿色采购</w:t>
      </w:r>
      <w:r/>
    </w:p>
    <w:p>
      <w:pPr>
        <w:ind w:firstLine="21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根据《江苏省财政厅关于加强政府绿色采购有关事项的通知》（苏财购〔2023〕65号）的要求，落实政府绿色采购相关政策，具体如下：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891"/>
        <w:ind w:left="0" w:firstLine="56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891"/>
        <w:ind w:left="0" w:firstLine="56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34.3本项目中涉及涂料、胶黏剂、油墨、清洗剂等挥发性有机物产品的，要执行国家和江苏省VOCs含量限制标准，优先使用低挥发性原辅材料，使用低VOCs含量的涂料、胶黏剂等。</w:t>
      </w:r>
      <w:r/>
    </w:p>
    <w:p>
      <w:pPr>
        <w:pStyle w:val="891"/>
        <w:ind w:left="0" w:firstLine="56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履约资金扶持政策</w:t>
      </w:r>
      <w:r/>
    </w:p>
    <w:p>
      <w:pPr>
        <w:pStyle w:val="891"/>
        <w:ind w:left="0" w:firstLine="56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91"/>
        <w:ind w:left="0" w:firstLine="560"/>
        <w:spacing w:line="360" w:lineRule="auto"/>
        <w:rPr>
          <w:rFonts w:ascii="仿宋" w:hAnsi="仿宋" w:eastAsia="仿宋"/>
          <w:color w:val="auto"/>
          <w:sz w:val="28"/>
          <w:szCs w:val="28"/>
          <w:highlight w:val="none"/>
        </w:rPr>
      </w:pPr>
      <w:r>
        <w:rPr>
          <w:rFonts w:hint="eastAsia" w:ascii="宋体" w:hAnsi="宋体" w:eastAsia="宋体" w:cs="宋体"/>
          <w:color w:val="auto"/>
          <w:sz w:val="21"/>
          <w:szCs w:val="21"/>
          <w:highlight w:val="none"/>
        </w:rPr>
        <w:t xml:space="preserve">35.2有融资贷款需求的中标人，与采购人在苏采云【合同在线签订】模块中进行合同在线签订时，【账户信息完善】的“是否融资”一栏中需选择“是”，同时完善收款账号信息和合同补充协议（融资账号）。</w:t>
      </w:r>
      <w:r/>
    </w:p>
    <w:p>
      <w:pPr>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r>
      <w:r/>
    </w:p>
    <w:p>
      <w:pPr>
        <w:pStyle w:val="896"/>
        <w:rPr>
          <w:rFonts w:hint="eastAsia"/>
          <w:color w:val="auto"/>
          <w:highlight w:val="none"/>
        </w:rPr>
      </w:pPr>
      <w:r>
        <w:rPr>
          <w:rFonts w:hint="eastAsia"/>
          <w:color w:val="auto"/>
          <w:highlight w:val="none"/>
        </w:rPr>
      </w:r>
      <w:r/>
    </w:p>
    <w:p>
      <w:pPr>
        <w:ind w:firstLine="2870"/>
        <w:spacing w:line="520" w:lineRule="exact"/>
        <w:rPr>
          <w:rFonts w:hint="eastAsia" w:ascii="仿宋" w:hAnsi="仿宋" w:eastAsia="仿宋"/>
          <w:b/>
          <w:color w:val="auto"/>
          <w:sz w:val="36"/>
          <w:szCs w:val="36"/>
          <w:highlight w:val="none"/>
        </w:rPr>
      </w:pPr>
      <w:r>
        <w:rPr>
          <w:rFonts w:hint="eastAsia" w:ascii="宋体" w:hAnsi="宋体" w:eastAsia="宋体" w:cs="宋体"/>
          <w:b/>
          <w:bCs w:val="0"/>
          <w:color w:val="auto"/>
          <w:sz w:val="36"/>
          <w:szCs w:val="36"/>
          <w:highlight w:val="none"/>
        </w:rPr>
        <w:t xml:space="preserve">第三章  评标标准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一、评委会根据招标文件中规定的评标标准对投标人进行综合评审，最终按综合评审得分由高到低的顺序推荐出3名中标候选人。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480"/>
        <w:spacing w:line="360" w:lineRule="auto"/>
        <w:rPr>
          <w:rFonts w:hint="eastAsia" w:ascii="仿宋" w:hAnsi="仿宋" w:eastAsia="仿宋"/>
          <w:color w:val="auto"/>
          <w:sz w:val="24"/>
          <w:szCs w:val="24"/>
          <w:highlight w:val="none"/>
        </w:rPr>
      </w:pPr>
      <w:r>
        <w:rPr>
          <w:rFonts w:hint="eastAsia" w:ascii="宋体" w:hAnsi="宋体" w:eastAsia="宋体" w:cs="宋体"/>
          <w:color w:val="auto"/>
          <w:sz w:val="24"/>
          <w:szCs w:val="24"/>
          <w:highlight w:val="none"/>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tbl>
      <w:tblPr>
        <w:tblStyle w:val="88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184"/>
        <w:gridCol w:w="7822"/>
      </w:tblGrid>
      <w:tr>
        <w:trPr>
          <w:jc w:val="center"/>
        </w:trPr>
        <w:tc>
          <w:tcPr>
            <w:tcW w:w="400" w:type="pct"/>
            <w:textDirection w:val="lrTb"/>
            <w:noWrap w:val="false"/>
          </w:tcPr>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序号</w:t>
            </w:r>
            <w:r/>
          </w:p>
        </w:tc>
        <w:tc>
          <w:tcPr>
            <w:tcW w:w="634" w:type="pct"/>
            <w:textDirection w:val="lrTb"/>
            <w:noWrap w:val="false"/>
          </w:tcPr>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评分项目</w:t>
            </w:r>
            <w:r/>
          </w:p>
        </w:tc>
        <w:tc>
          <w:tcPr>
            <w:tcW w:w="3964" w:type="pct"/>
            <w:vAlign w:val="center"/>
            <w:textDirection w:val="lrTb"/>
            <w:noWrap w:val="false"/>
          </w:tcPr>
          <w:p>
            <w:pPr>
              <w:ind w:firstLine="440"/>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评分标准</w:t>
            </w:r>
            <w:r/>
          </w:p>
        </w:tc>
      </w:tr>
      <w:tr>
        <w:trPr>
          <w:jc w:val="center"/>
          <w:trHeight w:val="90"/>
        </w:trPr>
        <w:tc>
          <w:tcPr>
            <w:tcW w:w="400" w:type="pct"/>
            <w:vAlign w:val="center"/>
            <w:textDirection w:val="lrTb"/>
            <w:noWrap w:val="false"/>
          </w:tcPr>
          <w:p>
            <w:pPr>
              <w:jc w:val="cente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1</w:t>
            </w:r>
            <w:r/>
          </w:p>
        </w:tc>
        <w:tc>
          <w:tcPr>
            <w:tcW w:w="634" w:type="pct"/>
            <w:vAlign w:val="center"/>
            <w:textDirection w:val="lrTb"/>
            <w:noWrap w:val="false"/>
          </w:tcPr>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投标报价30分</w:t>
            </w:r>
            <w:r/>
          </w:p>
        </w:tc>
        <w:tc>
          <w:tcPr>
            <w:tcW w:w="3964" w:type="pct"/>
            <w:textDirection w:val="lrTb"/>
            <w:noWrap w:val="false"/>
          </w:tcPr>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满足招标文件要求且投标价格最低为评标基准价，其价格分为满分。其他投标人价格分按照下列公式计算（小数点保留两位）：</w:t>
            </w:r>
            <w:r/>
          </w:p>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投标报价得分 =（评标基准价/投标报价）×30分</w:t>
            </w:r>
            <w:r/>
          </w:p>
        </w:tc>
      </w:tr>
      <w:tr>
        <w:trPr>
          <w:jc w:val="center"/>
        </w:trPr>
        <w:tc>
          <w:tcPr>
            <w:tcW w:w="400" w:type="pct"/>
            <w:vAlign w:val="center"/>
            <w:textDirection w:val="lrTb"/>
            <w:noWrap w:val="false"/>
          </w:tcPr>
          <w:p>
            <w:pPr>
              <w:jc w:val="cente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2</w:t>
            </w:r>
            <w:r/>
          </w:p>
        </w:tc>
        <w:tc>
          <w:tcPr>
            <w:tcW w:w="634" w:type="pct"/>
            <w:vAlign w:val="center"/>
            <w:textDirection w:val="lrTb"/>
            <w:noWrap w:val="false"/>
          </w:tcPr>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技术部分</w:t>
            </w:r>
            <w:r>
              <w:rPr>
                <w:rFonts w:hint="eastAsia" w:ascii="宋体" w:hAnsi="宋体"/>
                <w:color w:val="000000"/>
                <w:sz w:val="22"/>
                <w:szCs w:val="22"/>
                <w:highlight w:val="none"/>
                <w:lang w:val="en-US" w:eastAsia="zh-CN"/>
              </w:rPr>
              <w:t xml:space="preserve">25</w:t>
            </w:r>
            <w:r>
              <w:rPr>
                <w:rFonts w:hint="eastAsia" w:ascii="宋体" w:hAnsi="宋体" w:eastAsia="宋体"/>
                <w:color w:val="000000"/>
                <w:sz w:val="22"/>
                <w:szCs w:val="22"/>
                <w:highlight w:val="none"/>
              </w:rPr>
              <w:t xml:space="preserve">分</w:t>
            </w:r>
            <w:r/>
          </w:p>
          <w:p>
            <w:pPr>
              <w:ind w:firstLine="440"/>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W w:w="3964" w:type="pct"/>
            <w:textDirection w:val="lrTb"/>
            <w:noWrap w:val="false"/>
          </w:tcPr>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根据投标文件中技术指标参数的响应程度，由评委比较打分。</w:t>
            </w:r>
            <w:r/>
          </w:p>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带“★”项为重要指标，如有负偏离，则按无效投标处理；标“▲”项参数每有一项负偏离扣1分；其他项参数，每有一个负偏离扣0.5分，扣完为止。按照投标人提供的技术规格偏离表、检测报告等证明材料进行打分，《技术规格偏离表》中的内容须是投标人投标产品的真实反映，须提供采购需求中要求提供的证明材料，不提供或者提供材料不满足要求的视为负偏离。</w:t>
            </w:r>
            <w:r/>
          </w:p>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注：投标人针对本项评分内容在投标文件《技术响应偏离表》中逐条列出响应及偏离情况，（响应偏离表应如实填写，合同签订前采购人有权核实投标人所提供的产品技术参数是否满足，如核实过程中发现虚假应标的，将取消其中标资格）。</w:t>
            </w:r>
            <w:r/>
          </w:p>
        </w:tc>
      </w:tr>
      <w:tr>
        <w:trPr>
          <w:jc w:val="center"/>
          <w:trHeight w:val="702"/>
        </w:trPr>
        <w:tc>
          <w:tcPr>
            <w:tcW w:w="400" w:type="pct"/>
            <w:vAlign w:val="center"/>
            <w:textDirection w:val="lrTb"/>
            <w:noWrap w:val="false"/>
          </w:tcPr>
          <w:p>
            <w:pPr>
              <w:jc w:val="cente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3</w:t>
            </w:r>
            <w:r/>
          </w:p>
        </w:tc>
        <w:tc>
          <w:tcPr>
            <w:tcW w:w="634" w:type="pct"/>
            <w:vAlign w:val="center"/>
            <w:textDirection w:val="lrTb"/>
            <w:noWrap w:val="false"/>
          </w:tcPr>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类似业绩4分</w:t>
            </w:r>
            <w:r/>
          </w:p>
        </w:tc>
        <w:tc>
          <w:tcPr>
            <w:tcW w:w="3964" w:type="pct"/>
            <w:textDirection w:val="lrTb"/>
            <w:noWrap w:val="false"/>
          </w:tcPr>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投标人自2024年1月1日以来承接过类似项目案例的，有一个得2分，本项最多4分（提供合同、中标通知书并加盖投标人公章）。</w:t>
            </w:r>
            <w:r/>
          </w:p>
        </w:tc>
      </w:tr>
      <w:tr>
        <w:trPr>
          <w:jc w:val="center"/>
          <w:trHeight w:val="702"/>
        </w:trPr>
        <w:tc>
          <w:tcPr>
            <w:tcW w:w="400" w:type="pct"/>
            <w:vAlign w:val="center"/>
            <w:textDirection w:val="lrTb"/>
            <w:noWrap w:val="false"/>
          </w:tcPr>
          <w:p>
            <w:pPr>
              <w:jc w:val="cente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4</w:t>
            </w:r>
            <w:r/>
          </w:p>
        </w:tc>
        <w:tc>
          <w:tcPr>
            <w:tcW w:w="634" w:type="pct"/>
            <w:vAlign w:val="center"/>
            <w:textDirection w:val="lrTb"/>
            <w:noWrap w:val="false"/>
          </w:tcPr>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项目管理团队（8分）</w:t>
            </w:r>
            <w:r/>
          </w:p>
        </w:tc>
        <w:tc>
          <w:tcPr>
            <w:tcW w:w="3964" w:type="pct"/>
            <w:vAlign w:val="center"/>
            <w:textDirection w:val="lrTb"/>
            <w:noWrap w:val="false"/>
          </w:tcPr>
          <w:p>
            <w:pPr>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1.投标人针对本项目拟派的技术负责人具有人工智能训练师、教育技术工程师、数据库系统工程师、网络与信息安全管理员、智能制造能力成熟度模型培训证书，每有一类证书得1分，本项最高得5分，没有不得分。</w:t>
            </w:r>
            <w:r/>
          </w:p>
          <w:p>
            <w:pPr>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2.投标人针对本项目拟派的项目组成员具有系统集成项目管理工程师、软件工程师、售后服务工程师、每有一类证书得1分，本项最高得3分，没有不得分。</w:t>
            </w:r>
            <w:r/>
          </w:p>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注：（以上证书需提供资格证书及2026年以来为其缴纳的近</w:t>
            </w:r>
            <w:r>
              <w:rPr>
                <w:rFonts w:hint="eastAsia" w:ascii="宋体" w:hAnsi="宋体"/>
                <w:color w:val="000000"/>
                <w:sz w:val="22"/>
                <w:szCs w:val="22"/>
                <w:highlight w:val="none"/>
                <w:lang w:val="en-US" w:eastAsia="zh-CN"/>
              </w:rPr>
              <w:t xml:space="preserve">1</w:t>
            </w:r>
            <w:r>
              <w:rPr>
                <w:rFonts w:hint="eastAsia" w:ascii="宋体" w:hAnsi="宋体" w:eastAsia="宋体"/>
                <w:color w:val="000000"/>
                <w:sz w:val="22"/>
                <w:szCs w:val="22"/>
                <w:highlight w:val="none"/>
              </w:rPr>
              <w:t xml:space="preserve">个月社保证明上传电子响应文件，否则不得分）</w:t>
            </w:r>
            <w:r/>
          </w:p>
        </w:tc>
      </w:tr>
      <w:tr>
        <w:trPr>
          <w:jc w:val="center"/>
          <w:trHeight w:val="702"/>
        </w:trPr>
        <w:tc>
          <w:tcPr>
            <w:tcW w:w="400" w:type="pct"/>
            <w:vAlign w:val="center"/>
            <w:textDirection w:val="lrTb"/>
            <w:noWrap w:val="false"/>
          </w:tcPr>
          <w:p>
            <w:pPr>
              <w:jc w:val="cente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5</w:t>
            </w:r>
            <w:r/>
          </w:p>
        </w:tc>
        <w:tc>
          <w:tcPr>
            <w:tcW w:w="634" w:type="pct"/>
            <w:vAlign w:val="center"/>
            <w:textDirection w:val="lrTb"/>
            <w:noWrap w:val="false"/>
          </w:tcPr>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方案部分18分</w:t>
            </w:r>
            <w:r/>
          </w:p>
        </w:tc>
        <w:tc>
          <w:tcPr>
            <w:tcW w:w="3964" w:type="pct"/>
            <w:textDirection w:val="lrTb"/>
            <w:noWrap w:val="false"/>
          </w:tcPr>
          <w:p>
            <w:pPr>
              <w:rPr>
                <w:rFonts w:hint="eastAsia" w:ascii="宋体" w:hAnsi="宋体" w:eastAsia="宋体"/>
                <w:color w:val="000000"/>
                <w:sz w:val="22"/>
                <w:szCs w:val="22"/>
                <w:highlight w:val="none"/>
              </w:rPr>
            </w:pPr>
            <w:r>
              <w:rPr>
                <w:rFonts w:ascii="宋体" w:hAnsi="宋体" w:eastAsia="宋体"/>
                <w:color w:val="000000"/>
                <w:sz w:val="22"/>
                <w:szCs w:val="22"/>
                <w:highlight w:val="none"/>
              </w:rPr>
              <w:t xml:space="preserve">本项目采用综合评分法，由</w:t>
            </w:r>
            <w:r>
              <w:rPr>
                <w:rFonts w:hint="eastAsia" w:ascii="宋体" w:hAnsi="宋体" w:eastAsia="宋体"/>
                <w:color w:val="000000"/>
                <w:sz w:val="22"/>
                <w:szCs w:val="22"/>
                <w:highlight w:val="none"/>
              </w:rPr>
              <w:t xml:space="preserve">评标</w:t>
            </w:r>
            <w:r>
              <w:rPr>
                <w:rFonts w:ascii="宋体" w:hAnsi="宋体" w:eastAsia="宋体"/>
                <w:color w:val="000000"/>
                <w:sz w:val="22"/>
                <w:szCs w:val="22"/>
                <w:highlight w:val="none"/>
              </w:rPr>
              <w:t xml:space="preserve">小组对</w:t>
            </w:r>
            <w:r>
              <w:rPr>
                <w:rFonts w:hint="eastAsia" w:ascii="宋体" w:hAnsi="宋体" w:eastAsia="宋体"/>
                <w:color w:val="000000"/>
                <w:sz w:val="22"/>
                <w:szCs w:val="22"/>
                <w:highlight w:val="none"/>
              </w:rPr>
              <w:t xml:space="preserve">投标人</w:t>
            </w:r>
            <w:r>
              <w:rPr>
                <w:rFonts w:ascii="宋体" w:hAnsi="宋体" w:eastAsia="宋体"/>
                <w:color w:val="000000"/>
                <w:sz w:val="22"/>
                <w:szCs w:val="22"/>
                <w:highlight w:val="none"/>
              </w:rPr>
              <w:t xml:space="preserve">响应文件进行独立评审打分。各供应商须完整提供本章节约定的各项分项方案，未提交对应分项方案，或经</w:t>
            </w:r>
            <w:r>
              <w:rPr>
                <w:rFonts w:hint="eastAsia" w:ascii="宋体" w:hAnsi="宋体" w:eastAsia="宋体"/>
                <w:color w:val="000000"/>
                <w:sz w:val="22"/>
                <w:szCs w:val="22"/>
                <w:highlight w:val="none"/>
              </w:rPr>
              <w:t xml:space="preserve">评标</w:t>
            </w:r>
            <w:r>
              <w:rPr>
                <w:rFonts w:ascii="宋体" w:hAnsi="宋体" w:eastAsia="宋体"/>
                <w:color w:val="000000"/>
                <w:sz w:val="22"/>
                <w:szCs w:val="22"/>
                <w:highlight w:val="none"/>
              </w:rPr>
              <w:t xml:space="preserve">小组三分之二及以上成员认定该分项方案存在重大偏离、不满足项目实质性采购需求的，对应分项不予计分，不</w:t>
            </w:r>
            <w:bookmarkStart w:id="46" w:name="_GoBack"/>
            <w:r>
              <w:rPr>
                <w:rFonts w:ascii="宋体" w:hAnsi="宋体" w:eastAsia="宋体"/>
                <w:color w:val="000000"/>
                <w:sz w:val="22"/>
                <w:szCs w:val="22"/>
                <w:highlight w:val="none"/>
              </w:rPr>
              <w:t xml:space="preserve">作梯度打分。本部分总分</w:t>
            </w:r>
            <w:r>
              <w:rPr>
                <w:rFonts w:hint="eastAsia" w:ascii="宋体" w:hAnsi="宋体"/>
                <w:color w:val="000000"/>
                <w:sz w:val="22"/>
                <w:szCs w:val="22"/>
                <w:highlight w:val="none"/>
                <w:lang w:val="en-US" w:eastAsia="zh-CN"/>
              </w:rPr>
              <w:t xml:space="preserve">18</w:t>
            </w:r>
            <w:r>
              <w:rPr>
                <w:rFonts w:ascii="宋体" w:hAnsi="宋体" w:eastAsia="宋体"/>
                <w:color w:val="000000"/>
                <w:sz w:val="22"/>
                <w:szCs w:val="22"/>
                <w:highlight w:val="none"/>
              </w:rPr>
              <w:t xml:space="preserve">分，包含技术方案、培训方案、售后服务方案</w:t>
            </w:r>
            <w:r>
              <w:rPr>
                <w:rFonts w:hint="eastAsia" w:ascii="宋体" w:hAnsi="宋体"/>
                <w:color w:val="000000"/>
                <w:sz w:val="22"/>
                <w:szCs w:val="22"/>
                <w:highlight w:val="none"/>
                <w:lang w:val="en-US" w:eastAsia="zh-CN"/>
              </w:rPr>
              <w:t xml:space="preserve">三</w:t>
            </w:r>
            <w:r>
              <w:rPr>
                <w:rFonts w:ascii="宋体" w:hAnsi="宋体" w:eastAsia="宋体"/>
                <w:color w:val="000000"/>
                <w:sz w:val="22"/>
                <w:szCs w:val="22"/>
                <w:highlight w:val="none"/>
              </w:rPr>
              <w:t xml:space="preserve">个</w:t>
            </w:r>
            <w:r>
              <w:rPr>
                <w:rFonts w:ascii="宋体" w:hAnsi="宋体" w:eastAsia="宋体"/>
                <w:color w:val="000000"/>
                <w:sz w:val="22"/>
                <w:szCs w:val="22"/>
                <w:highlight w:val="none"/>
              </w:rPr>
              <w:t xml:space="preserve">评审分项，具体</w:t>
            </w:r>
            <w:bookmarkEnd w:id="46"/>
            <w:r>
              <w:rPr>
                <w:rFonts w:ascii="宋体" w:hAnsi="宋体" w:eastAsia="宋体"/>
                <w:color w:val="000000"/>
                <w:sz w:val="22"/>
                <w:szCs w:val="22"/>
                <w:highlight w:val="none"/>
              </w:rPr>
              <w:t xml:space="preserve">评分标准如下：</w:t>
            </w:r>
            <w:r/>
          </w:p>
          <w:p>
            <w:pPr>
              <w:rPr>
                <w:rFonts w:hint="eastAsia" w:ascii="宋体" w:hAnsi="宋体" w:eastAsia="宋体"/>
                <w:color w:val="000000"/>
                <w:sz w:val="22"/>
                <w:szCs w:val="22"/>
                <w:highlight w:val="none"/>
              </w:rPr>
            </w:pPr>
            <w:r>
              <w:rPr>
                <w:rFonts w:ascii="宋体" w:hAnsi="宋体" w:eastAsia="宋体"/>
                <w:color w:val="000000"/>
                <w:sz w:val="22"/>
                <w:szCs w:val="22"/>
                <w:highlight w:val="none"/>
              </w:rPr>
              <w:t xml:space="preserve">一、</w:t>
            </w:r>
            <w:r>
              <w:rPr>
                <w:rFonts w:ascii="宋体" w:hAnsi="宋体" w:eastAsia="宋体"/>
                <w:b/>
                <w:bCs/>
                <w:color w:val="000000"/>
                <w:sz w:val="22"/>
                <w:szCs w:val="22"/>
                <w:highlight w:val="none"/>
              </w:rPr>
              <w:t xml:space="preserve">技术方案（</w:t>
            </w:r>
            <w:r>
              <w:rPr>
                <w:rFonts w:hint="eastAsia" w:ascii="宋体" w:hAnsi="宋体" w:eastAsia="宋体"/>
                <w:b/>
                <w:bCs/>
                <w:color w:val="000000"/>
                <w:sz w:val="22"/>
                <w:szCs w:val="22"/>
                <w:highlight w:val="none"/>
              </w:rPr>
              <w:t xml:space="preserve">8</w:t>
            </w:r>
            <w:r>
              <w:rPr>
                <w:rFonts w:ascii="宋体" w:hAnsi="宋体" w:eastAsia="宋体"/>
                <w:b/>
                <w:bCs/>
                <w:color w:val="000000"/>
                <w:sz w:val="22"/>
                <w:szCs w:val="22"/>
                <w:highlight w:val="none"/>
              </w:rPr>
              <w:t xml:space="preserve">分）</w:t>
            </w:r>
            <w:r/>
          </w:p>
          <w:p>
            <w:pPr>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投标人</w:t>
            </w:r>
            <w:r>
              <w:rPr>
                <w:rFonts w:ascii="宋体" w:hAnsi="宋体" w:eastAsia="宋体"/>
                <w:color w:val="000000"/>
                <w:sz w:val="22"/>
                <w:szCs w:val="22"/>
                <w:highlight w:val="none"/>
              </w:rPr>
              <w:t xml:space="preserve">针对本项目编制专项技术方案，方案内容须完整包含项目建设目标、整体设计思想、设计依据、系统/项目拓扑图等核心内容，缺一不可。</w:t>
            </w:r>
            <w:r>
              <w:rPr>
                <w:rFonts w:hint="eastAsia" w:ascii="宋体" w:hAnsi="宋体" w:eastAsia="宋体"/>
                <w:color w:val="000000"/>
                <w:sz w:val="22"/>
                <w:szCs w:val="22"/>
                <w:highlight w:val="none"/>
              </w:rPr>
              <w:t xml:space="preserve">评标</w:t>
            </w:r>
            <w:r>
              <w:rPr>
                <w:rFonts w:ascii="宋体" w:hAnsi="宋体" w:eastAsia="宋体"/>
                <w:color w:val="000000"/>
                <w:sz w:val="22"/>
                <w:szCs w:val="22"/>
                <w:highlight w:val="none"/>
              </w:rPr>
              <w:t xml:space="preserve">小组根据方案的科学性、针对性、完整性、规范性进行综合评审打分：</w:t>
            </w:r>
            <w:r/>
          </w:p>
          <w:p>
            <w:pPr>
              <w:rPr>
                <w:rFonts w:hint="eastAsia" w:ascii="宋体" w:hAnsi="宋体" w:eastAsia="宋体"/>
                <w:color w:val="000000"/>
                <w:sz w:val="22"/>
                <w:szCs w:val="22"/>
                <w:highlight w:val="none"/>
              </w:rPr>
            </w:pPr>
            <w:r>
              <w:rPr>
                <w:rFonts w:ascii="宋体" w:hAnsi="宋体" w:eastAsia="宋体"/>
                <w:color w:val="000000"/>
                <w:sz w:val="22"/>
                <w:szCs w:val="22"/>
                <w:highlight w:val="none"/>
              </w:rPr>
              <w:t xml:space="preserve">1、方案贴合项目实际需求，整体架构科学合理、专项针对性极强，内容表述完整、数据准确、逻辑清晰、落地性强，完全满足项目建设要求的，得</w:t>
            </w:r>
            <w:r>
              <w:rPr>
                <w:rFonts w:hint="eastAsia" w:ascii="宋体" w:hAnsi="宋体" w:eastAsia="宋体"/>
                <w:color w:val="000000"/>
                <w:sz w:val="22"/>
                <w:szCs w:val="22"/>
                <w:highlight w:val="none"/>
              </w:rPr>
              <w:t xml:space="preserve">8</w:t>
            </w:r>
            <w:r>
              <w:rPr>
                <w:rFonts w:ascii="宋体" w:hAnsi="宋体" w:eastAsia="宋体"/>
                <w:color w:val="000000"/>
                <w:sz w:val="22"/>
                <w:szCs w:val="22"/>
                <w:highlight w:val="none"/>
              </w:rPr>
              <w:t xml:space="preserve">分；</w:t>
            </w:r>
            <w:r/>
          </w:p>
          <w:p>
            <w:pPr>
              <w:rPr>
                <w:rFonts w:hint="eastAsia" w:ascii="宋体" w:hAnsi="宋体" w:eastAsia="宋体"/>
                <w:color w:val="000000"/>
                <w:sz w:val="22"/>
                <w:szCs w:val="22"/>
                <w:highlight w:val="none"/>
              </w:rPr>
            </w:pPr>
            <w:r>
              <w:rPr>
                <w:rFonts w:ascii="宋体" w:hAnsi="宋体" w:eastAsia="宋体"/>
                <w:color w:val="000000"/>
                <w:sz w:val="22"/>
                <w:szCs w:val="22"/>
                <w:highlight w:val="none"/>
              </w:rPr>
              <w:t xml:space="preserve">2、方案整体合规、贴合项目需求，架构较为科学合理、具备较强针对性，内容表述较为完整、准确、清晰，基本满足项目建设要求的，得</w:t>
            </w:r>
            <w:r>
              <w:rPr>
                <w:rFonts w:hint="eastAsia" w:ascii="宋体" w:hAnsi="宋体" w:eastAsia="宋体"/>
                <w:color w:val="000000"/>
                <w:sz w:val="22"/>
                <w:szCs w:val="22"/>
                <w:highlight w:val="none"/>
              </w:rPr>
              <w:t xml:space="preserve">5</w:t>
            </w:r>
            <w:r>
              <w:rPr>
                <w:rFonts w:ascii="宋体" w:hAnsi="宋体" w:eastAsia="宋体"/>
                <w:color w:val="000000"/>
                <w:sz w:val="22"/>
                <w:szCs w:val="22"/>
                <w:highlight w:val="none"/>
              </w:rPr>
              <w:t xml:space="preserve">分；</w:t>
            </w:r>
            <w:r/>
          </w:p>
          <w:p>
            <w:pPr>
              <w:rPr>
                <w:rFonts w:ascii="宋体" w:hAnsi="宋体" w:eastAsia="宋体"/>
                <w:color w:val="000000"/>
                <w:sz w:val="22"/>
                <w:szCs w:val="22"/>
                <w:highlight w:val="none"/>
              </w:rPr>
            </w:pPr>
            <w:r>
              <w:rPr>
                <w:rFonts w:ascii="宋体" w:hAnsi="宋体" w:eastAsia="宋体"/>
                <w:color w:val="000000"/>
                <w:sz w:val="22"/>
                <w:szCs w:val="22"/>
                <w:highlight w:val="none"/>
              </w:rPr>
              <w:t xml:space="preserve">3、方案内容基本齐全，具备基础科学性与项目针对性，表述基本完整、准确、清晰，可满足项目基础建设需求的，得</w:t>
            </w:r>
            <w:r>
              <w:rPr>
                <w:rFonts w:hint="eastAsia" w:ascii="宋体" w:hAnsi="宋体" w:eastAsia="宋体"/>
                <w:color w:val="000000"/>
                <w:sz w:val="22"/>
                <w:szCs w:val="22"/>
                <w:highlight w:val="none"/>
              </w:rPr>
              <w:t xml:space="preserve">3</w:t>
            </w:r>
            <w:r>
              <w:rPr>
                <w:rFonts w:ascii="宋体" w:hAnsi="宋体" w:eastAsia="宋体"/>
                <w:color w:val="000000"/>
                <w:sz w:val="22"/>
                <w:szCs w:val="22"/>
                <w:highlight w:val="none"/>
              </w:rPr>
              <w:t xml:space="preserve">分。</w:t>
            </w:r>
            <w:r/>
          </w:p>
          <w:p>
            <w:pPr>
              <w:rPr>
                <w:rFonts w:hint="default"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不提供不得分。</w:t>
            </w:r>
            <w:r/>
          </w:p>
          <w:p>
            <w:pPr>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二</w:t>
            </w:r>
            <w:r>
              <w:rPr>
                <w:rFonts w:ascii="宋体" w:hAnsi="宋体" w:eastAsia="宋体"/>
                <w:b/>
                <w:bCs/>
                <w:color w:val="000000"/>
                <w:sz w:val="22"/>
                <w:szCs w:val="22"/>
                <w:highlight w:val="none"/>
              </w:rPr>
              <w:t xml:space="preserve">、售后服务方案（</w:t>
            </w:r>
            <w:r>
              <w:rPr>
                <w:rFonts w:hint="eastAsia" w:ascii="宋体" w:hAnsi="宋体" w:eastAsia="宋体"/>
                <w:b/>
                <w:bCs/>
                <w:color w:val="000000"/>
                <w:sz w:val="22"/>
                <w:szCs w:val="22"/>
                <w:highlight w:val="none"/>
              </w:rPr>
              <w:t xml:space="preserve">6</w:t>
            </w:r>
            <w:r>
              <w:rPr>
                <w:rFonts w:ascii="宋体" w:hAnsi="宋体" w:eastAsia="宋体"/>
                <w:b/>
                <w:bCs/>
                <w:color w:val="000000"/>
                <w:sz w:val="22"/>
                <w:szCs w:val="22"/>
                <w:highlight w:val="none"/>
              </w:rPr>
              <w:t xml:space="preserve">分）</w:t>
            </w:r>
            <w:r/>
          </w:p>
          <w:p>
            <w:pPr>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投标人</w:t>
            </w:r>
            <w:r>
              <w:rPr>
                <w:rFonts w:ascii="宋体" w:hAnsi="宋体" w:eastAsia="宋体"/>
                <w:color w:val="000000"/>
                <w:sz w:val="22"/>
                <w:szCs w:val="22"/>
                <w:highlight w:val="none"/>
              </w:rPr>
              <w:t xml:space="preserve">编制专项售后服务方案，方案须完整包含售后服务人员配置、售后响应时效、常态化跟进服务机制、各类故障分级处置解决方案、专职技术保障团队及24小时服务保障电话等核心内容。</w:t>
            </w:r>
            <w:r>
              <w:rPr>
                <w:rFonts w:hint="eastAsia" w:ascii="宋体" w:hAnsi="宋体" w:eastAsia="宋体"/>
                <w:color w:val="000000"/>
                <w:sz w:val="22"/>
                <w:szCs w:val="22"/>
                <w:highlight w:val="none"/>
              </w:rPr>
              <w:t xml:space="preserve">评标</w:t>
            </w:r>
            <w:r>
              <w:rPr>
                <w:rFonts w:ascii="宋体" w:hAnsi="宋体" w:eastAsia="宋体"/>
                <w:color w:val="000000"/>
                <w:sz w:val="22"/>
                <w:szCs w:val="22"/>
                <w:highlight w:val="none"/>
              </w:rPr>
              <w:t xml:space="preserve">小组根据方案完整性、合理性、专业性、保障性综合评审打分</w:t>
            </w:r>
            <w:r>
              <w:rPr>
                <w:rFonts w:hint="eastAsia" w:ascii="宋体" w:hAnsi="宋体" w:eastAsia="宋体"/>
                <w:color w:val="000000"/>
                <w:sz w:val="22"/>
                <w:szCs w:val="22"/>
                <w:highlight w:val="none"/>
              </w:rPr>
              <w:t xml:space="preserve">：</w:t>
            </w:r>
            <w:r/>
          </w:p>
          <w:p>
            <w:pPr>
              <w:rPr>
                <w:rFonts w:hint="eastAsia" w:ascii="宋体" w:hAnsi="宋体" w:eastAsia="宋体"/>
                <w:color w:val="000000"/>
                <w:sz w:val="22"/>
                <w:szCs w:val="22"/>
                <w:highlight w:val="none"/>
              </w:rPr>
            </w:pPr>
            <w:r>
              <w:rPr>
                <w:rFonts w:ascii="宋体" w:hAnsi="宋体" w:eastAsia="宋体"/>
                <w:color w:val="000000"/>
                <w:sz w:val="22"/>
                <w:szCs w:val="22"/>
                <w:highlight w:val="none"/>
              </w:rPr>
              <w:t xml:space="preserve">1、售后服务方案内容完整详实、架构清晰、科学合理，服务体系健全、保障机制完善、响应处置流程规范，完全满足及优于项目售后保障需求的，得</w:t>
            </w:r>
            <w:r>
              <w:rPr>
                <w:rFonts w:hint="eastAsia" w:ascii="宋体" w:hAnsi="宋体" w:eastAsia="宋体"/>
                <w:color w:val="000000"/>
                <w:sz w:val="22"/>
                <w:szCs w:val="22"/>
                <w:highlight w:val="none"/>
              </w:rPr>
              <w:t xml:space="preserve">6</w:t>
            </w:r>
            <w:r>
              <w:rPr>
                <w:rFonts w:ascii="宋体" w:hAnsi="宋体" w:eastAsia="宋体"/>
                <w:color w:val="000000"/>
                <w:sz w:val="22"/>
                <w:szCs w:val="22"/>
                <w:highlight w:val="none"/>
              </w:rPr>
              <w:t xml:space="preserve">分</w:t>
            </w:r>
            <w:r>
              <w:rPr>
                <w:rFonts w:hint="eastAsia" w:ascii="宋体" w:hAnsi="宋体" w:eastAsia="宋体"/>
                <w:color w:val="000000"/>
                <w:sz w:val="22"/>
                <w:szCs w:val="22"/>
                <w:highlight w:val="none"/>
              </w:rPr>
              <w:t xml:space="preserve">；</w:t>
            </w:r>
            <w:r/>
          </w:p>
          <w:p>
            <w:pPr>
              <w:rPr>
                <w:rFonts w:hint="eastAsia" w:ascii="宋体" w:hAnsi="宋体" w:eastAsia="宋体"/>
                <w:color w:val="000000"/>
                <w:sz w:val="22"/>
                <w:szCs w:val="22"/>
                <w:highlight w:val="none"/>
              </w:rPr>
            </w:pPr>
            <w:r>
              <w:rPr>
                <w:rFonts w:ascii="宋体" w:hAnsi="宋体" w:eastAsia="宋体"/>
                <w:color w:val="000000"/>
                <w:sz w:val="22"/>
                <w:szCs w:val="22"/>
                <w:highlight w:val="none"/>
              </w:rPr>
              <w:t xml:space="preserve">2、售后服务方案内容较为完整详实、整体合理，服务保障机制、响应处置措施较为规范，可充分满足项目售后需求的，得</w:t>
            </w:r>
            <w:r>
              <w:rPr>
                <w:rFonts w:hint="eastAsia" w:ascii="宋体" w:hAnsi="宋体" w:eastAsia="宋体"/>
                <w:color w:val="000000"/>
                <w:sz w:val="22"/>
                <w:szCs w:val="22"/>
                <w:highlight w:val="none"/>
              </w:rPr>
              <w:t xml:space="preserve">4</w:t>
            </w:r>
            <w:r>
              <w:rPr>
                <w:rFonts w:ascii="宋体" w:hAnsi="宋体" w:eastAsia="宋体"/>
                <w:color w:val="000000"/>
                <w:sz w:val="22"/>
                <w:szCs w:val="22"/>
                <w:highlight w:val="none"/>
              </w:rPr>
              <w:t xml:space="preserve">分；</w:t>
            </w:r>
            <w:r/>
          </w:p>
          <w:p>
            <w:pPr>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3、</w:t>
            </w:r>
            <w:r>
              <w:rPr>
                <w:rFonts w:ascii="宋体" w:hAnsi="宋体" w:eastAsia="宋体"/>
                <w:color w:val="000000"/>
                <w:sz w:val="22"/>
                <w:szCs w:val="22"/>
                <w:highlight w:val="none"/>
              </w:rPr>
              <w:t xml:space="preserve">售后服务方案内容基本齐全、整体合理，具备基础售后保障能力，可满足项目基本售后需求的，得</w:t>
            </w:r>
            <w:r>
              <w:rPr>
                <w:rFonts w:hint="eastAsia" w:ascii="宋体" w:hAnsi="宋体" w:eastAsia="宋体"/>
                <w:color w:val="000000"/>
                <w:sz w:val="22"/>
                <w:szCs w:val="22"/>
                <w:highlight w:val="none"/>
              </w:rPr>
              <w:t xml:space="preserve">2</w:t>
            </w:r>
            <w:r>
              <w:rPr>
                <w:rFonts w:ascii="宋体" w:hAnsi="宋体" w:eastAsia="宋体"/>
                <w:color w:val="000000"/>
                <w:sz w:val="22"/>
                <w:szCs w:val="22"/>
                <w:highlight w:val="none"/>
              </w:rPr>
              <w:t xml:space="preserve">分</w:t>
            </w:r>
            <w:r>
              <w:rPr>
                <w:rFonts w:hint="eastAsia" w:ascii="宋体" w:hAnsi="宋体" w:eastAsia="宋体"/>
                <w:color w:val="000000"/>
                <w:sz w:val="22"/>
                <w:szCs w:val="22"/>
                <w:highlight w:val="none"/>
              </w:rPr>
              <w:t xml:space="preserve">。</w:t>
            </w:r>
            <w:r/>
          </w:p>
          <w:p>
            <w:pPr>
              <w:rPr>
                <w:rFonts w:hint="eastAsia" w:ascii="宋体" w:hAnsi="宋体" w:eastAsia="宋体"/>
                <w:color w:val="000000"/>
                <w:sz w:val="22"/>
                <w:szCs w:val="22"/>
                <w:highlight w:val="none"/>
              </w:rPr>
            </w:pPr>
            <w:r>
              <w:rPr>
                <w:rFonts w:hint="eastAsia" w:ascii="宋体" w:hAnsi="宋体"/>
                <w:color w:val="000000"/>
                <w:sz w:val="22"/>
                <w:szCs w:val="22"/>
                <w:highlight w:val="none"/>
                <w:lang w:val="en-US" w:eastAsia="zh-CN"/>
              </w:rPr>
              <w:t xml:space="preserve">不提供不得分。</w:t>
            </w:r>
            <w:r/>
          </w:p>
          <w:p>
            <w:pPr>
              <w:rPr>
                <w:rFonts w:hint="eastAsia" w:ascii="宋体" w:hAnsi="宋体" w:eastAsia="宋体"/>
                <w:b/>
                <w:bCs/>
                <w:color w:val="000000"/>
                <w:sz w:val="22"/>
                <w:szCs w:val="22"/>
                <w:highlight w:val="none"/>
              </w:rPr>
            </w:pPr>
            <w:r>
              <w:rPr>
                <w:rFonts w:hint="eastAsia" w:ascii="宋体" w:hAnsi="宋体" w:eastAsia="宋体"/>
                <w:b/>
                <w:bCs/>
                <w:color w:val="000000"/>
                <w:sz w:val="22"/>
                <w:szCs w:val="22"/>
                <w:highlight w:val="none"/>
              </w:rPr>
              <w:t xml:space="preserve">三</w:t>
            </w:r>
            <w:r>
              <w:rPr>
                <w:rFonts w:ascii="宋体" w:hAnsi="宋体" w:eastAsia="宋体"/>
                <w:b/>
                <w:bCs/>
                <w:color w:val="000000"/>
                <w:sz w:val="22"/>
                <w:szCs w:val="22"/>
                <w:highlight w:val="none"/>
              </w:rPr>
              <w:t xml:space="preserve">、培训方案（</w:t>
            </w:r>
            <w:r>
              <w:rPr>
                <w:rFonts w:hint="eastAsia" w:ascii="宋体" w:hAnsi="宋体" w:eastAsia="宋体"/>
                <w:b/>
                <w:bCs/>
                <w:color w:val="000000"/>
                <w:sz w:val="22"/>
                <w:szCs w:val="22"/>
                <w:highlight w:val="none"/>
              </w:rPr>
              <w:t xml:space="preserve">4</w:t>
            </w:r>
            <w:r>
              <w:rPr>
                <w:rFonts w:ascii="宋体" w:hAnsi="宋体" w:eastAsia="宋体"/>
                <w:b/>
                <w:bCs/>
                <w:color w:val="000000"/>
                <w:sz w:val="22"/>
                <w:szCs w:val="22"/>
                <w:highlight w:val="none"/>
              </w:rPr>
              <w:t xml:space="preserve">分）</w:t>
            </w:r>
            <w:r/>
          </w:p>
          <w:p>
            <w:pPr>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投标人</w:t>
            </w:r>
            <w:r>
              <w:rPr>
                <w:rFonts w:ascii="宋体" w:hAnsi="宋体" w:eastAsia="宋体"/>
                <w:color w:val="000000"/>
                <w:sz w:val="22"/>
                <w:szCs w:val="22"/>
                <w:highlight w:val="none"/>
              </w:rPr>
              <w:t xml:space="preserve">针对本项目配套软件、系统操作、运维使用等内容，编制专项培训方案，</w:t>
            </w:r>
            <w:r>
              <w:rPr>
                <w:rFonts w:hint="eastAsia" w:ascii="宋体" w:hAnsi="宋体" w:eastAsia="宋体"/>
                <w:color w:val="000000"/>
                <w:sz w:val="22"/>
                <w:szCs w:val="22"/>
                <w:highlight w:val="none"/>
              </w:rPr>
              <w:t xml:space="preserve">评标</w:t>
            </w:r>
            <w:r>
              <w:rPr>
                <w:rFonts w:ascii="宋体" w:hAnsi="宋体" w:eastAsia="宋体"/>
                <w:color w:val="000000"/>
                <w:sz w:val="22"/>
                <w:szCs w:val="22"/>
                <w:highlight w:val="none"/>
              </w:rPr>
              <w:t xml:space="preserve">小组根据方案的完整性、针对性、规范性、实用性综合评审打分：</w:t>
            </w:r>
            <w:r/>
          </w:p>
          <w:p>
            <w:pPr>
              <w:rPr>
                <w:rFonts w:hint="eastAsia" w:ascii="宋体" w:hAnsi="宋体" w:eastAsia="宋体"/>
                <w:color w:val="000000"/>
                <w:sz w:val="22"/>
                <w:szCs w:val="22"/>
                <w:highlight w:val="none"/>
              </w:rPr>
            </w:pPr>
            <w:r>
              <w:rPr>
                <w:rFonts w:ascii="宋体" w:hAnsi="宋体" w:eastAsia="宋体"/>
                <w:color w:val="000000"/>
                <w:sz w:val="22"/>
                <w:szCs w:val="22"/>
                <w:highlight w:val="none"/>
              </w:rPr>
              <w:t xml:space="preserve">1、培训方案贴合项目岗位及使用需求，内容详实全面、覆盖完整，培训流程、课程、师资、考核等内容完善，表述准确规范、逻辑清晰、可直接落地实施的，得</w:t>
            </w:r>
            <w:r>
              <w:rPr>
                <w:rFonts w:hint="eastAsia" w:ascii="宋体" w:hAnsi="宋体" w:eastAsia="宋体"/>
                <w:color w:val="000000"/>
                <w:sz w:val="22"/>
                <w:szCs w:val="22"/>
                <w:highlight w:val="none"/>
              </w:rPr>
              <w:t xml:space="preserve">4</w:t>
            </w:r>
            <w:r>
              <w:rPr>
                <w:rFonts w:ascii="宋体" w:hAnsi="宋体" w:eastAsia="宋体"/>
                <w:color w:val="000000"/>
                <w:sz w:val="22"/>
                <w:szCs w:val="22"/>
                <w:highlight w:val="none"/>
              </w:rPr>
              <w:t xml:space="preserve">分</w:t>
            </w:r>
            <w:r/>
          </w:p>
          <w:p>
            <w:pPr>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2、</w:t>
            </w:r>
            <w:r>
              <w:rPr>
                <w:rFonts w:ascii="宋体" w:hAnsi="宋体" w:eastAsia="宋体"/>
                <w:color w:val="000000"/>
                <w:sz w:val="22"/>
                <w:szCs w:val="22"/>
                <w:highlight w:val="none"/>
              </w:rPr>
              <w:t xml:space="preserve">培训方案内容较为详实，核心培训内容齐全，表述较为完整、准确、清晰，具备较强实用性与落地性的，得</w:t>
            </w:r>
            <w:r>
              <w:rPr>
                <w:rFonts w:hint="eastAsia" w:ascii="宋体" w:hAnsi="宋体" w:eastAsia="宋体"/>
                <w:color w:val="000000"/>
                <w:sz w:val="22"/>
                <w:szCs w:val="22"/>
                <w:highlight w:val="none"/>
              </w:rPr>
              <w:t xml:space="preserve">2</w:t>
            </w:r>
            <w:r>
              <w:rPr>
                <w:rFonts w:ascii="宋体" w:hAnsi="宋体" w:eastAsia="宋体"/>
                <w:color w:val="000000"/>
                <w:sz w:val="22"/>
                <w:szCs w:val="22"/>
                <w:highlight w:val="none"/>
              </w:rPr>
              <w:t xml:space="preserve">分；</w:t>
            </w:r>
            <w:r/>
          </w:p>
          <w:p>
            <w:pPr>
              <w:rPr>
                <w:rFonts w:hint="eastAsia" w:ascii="宋体" w:hAnsi="宋体" w:eastAsia="宋体"/>
                <w:color w:val="000000"/>
                <w:sz w:val="22"/>
                <w:szCs w:val="22"/>
                <w:highlight w:val="none"/>
              </w:rPr>
            </w:pPr>
            <w:r>
              <w:rPr>
                <w:rFonts w:ascii="宋体" w:hAnsi="宋体" w:eastAsia="宋体"/>
                <w:color w:val="000000"/>
                <w:sz w:val="22"/>
                <w:szCs w:val="22"/>
                <w:highlight w:val="none"/>
              </w:rPr>
              <w:t xml:space="preserve">3、培训方案内容基本完整，核心培训模块齐全，表述基本准确、清晰，可满足项目基础培训需求的，得1分</w:t>
            </w:r>
            <w:r>
              <w:rPr>
                <w:rFonts w:hint="eastAsia" w:ascii="宋体" w:hAnsi="宋体" w:eastAsia="宋体"/>
                <w:color w:val="000000"/>
                <w:sz w:val="22"/>
                <w:szCs w:val="22"/>
                <w:highlight w:val="none"/>
              </w:rPr>
              <w:t xml:space="preserve">。</w:t>
            </w:r>
            <w:r/>
          </w:p>
          <w:p>
            <w:pPr>
              <w:rPr>
                <w:rFonts w:hint="eastAsia" w:ascii="宋体" w:hAnsi="宋体" w:eastAsia="宋体"/>
                <w:color w:val="000000"/>
                <w:sz w:val="22"/>
                <w:szCs w:val="22"/>
                <w:highlight w:val="none"/>
              </w:rPr>
            </w:pPr>
            <w:r>
              <w:rPr>
                <w:rFonts w:hint="eastAsia" w:ascii="宋体" w:hAnsi="宋体"/>
                <w:color w:val="000000"/>
                <w:sz w:val="22"/>
                <w:szCs w:val="22"/>
                <w:highlight w:val="none"/>
                <w:lang w:val="en-US" w:eastAsia="zh-CN"/>
              </w:rPr>
              <w:t xml:space="preserve">不提供不得分。</w:t>
            </w:r>
            <w:r/>
          </w:p>
        </w:tc>
      </w:tr>
      <w:tr>
        <w:trPr>
          <w:jc w:val="center"/>
        </w:trPr>
        <w:tc>
          <w:tcPr>
            <w:tcW w:w="400" w:type="pct"/>
            <w:vAlign w:val="center"/>
            <w:textDirection w:val="lrTb"/>
            <w:noWrap w:val="false"/>
          </w:tcPr>
          <w:p>
            <w:pPr>
              <w:ind w:firstLine="660"/>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6</w:t>
            </w:r>
            <w:r/>
          </w:p>
        </w:tc>
        <w:tc>
          <w:tcPr>
            <w:tcW w:w="634" w:type="pct"/>
            <w:vAlign w:val="center"/>
            <w:textDirection w:val="lrTb"/>
            <w:noWrap w:val="false"/>
          </w:tcPr>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演示部分1</w:t>
            </w:r>
            <w:r>
              <w:rPr>
                <w:rFonts w:hint="eastAsia" w:ascii="宋体" w:hAnsi="宋体"/>
                <w:color w:val="000000"/>
                <w:sz w:val="22"/>
                <w:szCs w:val="22"/>
                <w:highlight w:val="none"/>
                <w:lang w:val="en-US" w:eastAsia="zh-CN"/>
              </w:rPr>
              <w:t xml:space="preserve">5</w:t>
            </w:r>
            <w:r>
              <w:rPr>
                <w:rFonts w:hint="eastAsia" w:ascii="宋体" w:hAnsi="宋体" w:eastAsia="宋体"/>
                <w:color w:val="000000"/>
                <w:sz w:val="22"/>
                <w:szCs w:val="22"/>
                <w:highlight w:val="none"/>
              </w:rPr>
              <w:t xml:space="preserve">分</w:t>
            </w:r>
            <w:r/>
          </w:p>
        </w:tc>
        <w:tc>
          <w:tcPr>
            <w:tcW w:w="3964" w:type="pct"/>
            <w:textDirection w:val="lrTb"/>
            <w:noWrap w:val="false"/>
          </w:tcPr>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投标人所提供的演示视频需能够逐一展示下列各个功能项，不得使用PPT、FLASH演示，否则整个演示部分不得分，需演示内容共10项。经三分之二评委认定，每完整、合规提供1项有效演示视频得1</w:t>
            </w:r>
            <w:r>
              <w:rPr>
                <w:rFonts w:hint="eastAsia" w:ascii="宋体" w:hAnsi="宋体"/>
                <w:color w:val="000000"/>
                <w:sz w:val="22"/>
                <w:szCs w:val="22"/>
                <w:highlight w:val="none"/>
                <w:lang w:val="en-US" w:eastAsia="zh-CN"/>
              </w:rPr>
              <w:t xml:space="preserve">.5</w:t>
            </w:r>
            <w:r>
              <w:rPr>
                <w:rFonts w:hint="eastAsia" w:ascii="宋体" w:hAnsi="宋体" w:eastAsia="宋体"/>
                <w:color w:val="000000"/>
                <w:sz w:val="22"/>
                <w:szCs w:val="22"/>
                <w:highlight w:val="none"/>
              </w:rPr>
              <w:t xml:space="preserve">分，本项满分1</w:t>
            </w:r>
            <w:r>
              <w:rPr>
                <w:rFonts w:hint="eastAsia" w:ascii="宋体" w:hAnsi="宋体"/>
                <w:color w:val="000000"/>
                <w:sz w:val="22"/>
                <w:szCs w:val="22"/>
                <w:highlight w:val="none"/>
                <w:lang w:val="en-US" w:eastAsia="zh-CN"/>
              </w:rPr>
              <w:t xml:space="preserve">5</w:t>
            </w:r>
            <w:r>
              <w:rPr>
                <w:rFonts w:hint="eastAsia" w:ascii="宋体" w:hAnsi="宋体" w:eastAsia="宋体"/>
                <w:color w:val="000000"/>
                <w:sz w:val="22"/>
                <w:szCs w:val="22"/>
                <w:highlight w:val="none"/>
              </w:rPr>
              <w:t xml:space="preserve">分。需演示的参数内容如下：</w:t>
            </w:r>
            <w:r/>
          </w:p>
          <w:p>
            <w:pPr>
              <w:spacing w:line="360" w:lineRule="auto"/>
              <w:rPr>
                <w:rFonts w:hint="eastAsia" w:ascii="宋体" w:hAnsi="宋体" w:eastAsia="宋体"/>
                <w:b/>
                <w:bCs/>
                <w:color w:val="000000"/>
                <w:sz w:val="22"/>
                <w:szCs w:val="22"/>
                <w:highlight w:val="none"/>
              </w:rPr>
            </w:pPr>
            <w:r>
              <w:rPr>
                <w:rFonts w:hint="eastAsia" w:ascii="宋体" w:hAnsi="宋体" w:eastAsia="宋体"/>
                <w:b/>
                <w:bCs/>
                <w:color w:val="000000"/>
                <w:sz w:val="22"/>
                <w:szCs w:val="22"/>
                <w:highlight w:val="none"/>
              </w:rPr>
              <w:t xml:space="preserve">智慧教室中的录播课堂演示：</w:t>
            </w:r>
            <w:r/>
          </w:p>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1.演示在录播主机触控屏幕上，无需通过第三方检测软件即可在主机一键开启网络检测；实时检测服务</w:t>
            </w:r>
            <w:r>
              <w:rPr>
                <w:rFonts w:hint="eastAsia" w:ascii="宋体" w:hAnsi="宋体"/>
                <w:color w:val="000000"/>
                <w:sz w:val="22"/>
                <w:szCs w:val="22"/>
                <w:highlight w:val="none"/>
                <w:lang w:eastAsia="zh-CN"/>
              </w:rPr>
              <w:t xml:space="preserve">连通性</w:t>
            </w:r>
            <w:r>
              <w:rPr>
                <w:rFonts w:hint="eastAsia" w:ascii="宋体" w:hAnsi="宋体" w:eastAsia="宋体"/>
                <w:color w:val="000000"/>
                <w:sz w:val="22"/>
                <w:szCs w:val="22"/>
                <w:highlight w:val="none"/>
              </w:rPr>
              <w:t xml:space="preserve">、网络稳定性、上行速度、下行速度、网络追踪性、网卡信息等维度；以折线图方式实时呈现网络稳定性、上行速度和下行速度。</w:t>
            </w:r>
            <w:r/>
          </w:p>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2、演示录播主机无需通过第三方采集卡或者编码设备，只需一根USB线，将电脑USB接口连接到主机机身上支持UVC协议的接口，视频会议软件可识别调用录播主机接入的高清视频信号；</w:t>
            </w:r>
            <w:r/>
          </w:p>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3、演示录播主机具备专业导播能力，支持不少于15种切换特效；扫描录播主机字幕二维码可以便捷使用手机编辑文字添加字幕，无需在主机上手动输入；</w:t>
            </w:r>
            <w:r/>
          </w:p>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4、在录播系统的课堂分析报告中，演示课堂活跃热力图中的学生头像，并能够查看该学生的师生互动视频片段，以及统计该学生在本节课的上台互动、举手次数、问答次数；</w:t>
            </w:r>
            <w:r/>
          </w:p>
          <w:p>
            <w:pPr>
              <w:spacing w:line="360" w:lineRule="auto"/>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5、学生分析系统：可采集学生情绪状态数据、专注度数据、点评数据，并能够生成全班的学生成长报告，点击学生头像即可打开具体报告，并支持调整学期时间。</w:t>
            </w:r>
            <w:r/>
          </w:p>
          <w:p>
            <w:pPr>
              <w:spacing w:line="360" w:lineRule="auto"/>
              <w:rPr>
                <w:rFonts w:hint="eastAsia" w:ascii="宋体" w:hAnsi="宋体" w:eastAsia="宋体"/>
                <w:b/>
                <w:bCs/>
                <w:color w:val="000000"/>
                <w:sz w:val="22"/>
                <w:szCs w:val="22"/>
                <w:highlight w:val="none"/>
              </w:rPr>
            </w:pPr>
            <w:r>
              <w:rPr>
                <w:rFonts w:hint="eastAsia" w:ascii="宋体" w:hAnsi="宋体" w:eastAsia="宋体"/>
                <w:b/>
                <w:bCs/>
                <w:color w:val="000000"/>
                <w:sz w:val="22"/>
                <w:szCs w:val="22"/>
                <w:highlight w:val="none"/>
              </w:rPr>
              <w:t xml:space="preserve">人工智能实验室演示：</w:t>
            </w:r>
            <w:r/>
          </w:p>
          <w:p>
            <w:pPr>
              <w:spacing w:line="360" w:lineRule="auto"/>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1、人工智能教育云平台：AI工具--生成视频：</w:t>
            </w:r>
            <w:r/>
          </w:p>
          <w:p>
            <w:pPr>
              <w:spacing w:line="360" w:lineRule="auto"/>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（1）、快速上手：描述出想生成的视频内容，或上传拖拽图片，即可极速生成视频；文生视频：通过文本描述，一键即可快速生成视频；</w:t>
            </w:r>
            <w:r/>
          </w:p>
          <w:p>
            <w:pPr>
              <w:spacing w:line="360" w:lineRule="auto"/>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（2）、图生视频：通过上传或拖拽图片，一键即可快速生成视频；首尾帧生视频：输入视频的首尾帧，AI生成中间过渡帧。</w:t>
            </w:r>
            <w:r/>
          </w:p>
          <w:p>
            <w:pPr>
              <w:spacing w:line="360" w:lineRule="auto"/>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2、多模态教育大模型学习平台</w:t>
            </w:r>
            <w:r/>
          </w:p>
          <w:p>
            <w:pPr>
              <w:spacing w:line="360" w:lineRule="auto"/>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支持1.自然语言处理、2.人体关节识别、3.图像分割、4.图像深度预测、5.图像理解、6.实时目标检测、7.视频生成、8.音乐生成、9.矩形检测，共9项人工智能模型推理的应用功能。</w:t>
            </w:r>
            <w:r/>
          </w:p>
          <w:p>
            <w:pPr>
              <w:spacing w:line="360" w:lineRule="auto"/>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3、教师成长平台 </w:t>
            </w:r>
            <w:r/>
          </w:p>
          <w:p>
            <w:pPr>
              <w:spacing w:line="360" w:lineRule="auto"/>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1）、在专业学习模块，免费提供不少于28课时的教师在线课程，包含且不限于以下几大模块：机械设计课程、物联网课程、开源硬件课程、初识人工智能课程、简单机械课程、Python编程课程、人工智能通识课程、人工智能时代的核心思维和图形化编程课程。</w:t>
            </w:r>
            <w:r/>
          </w:p>
          <w:p>
            <w:pPr>
              <w:spacing w:line="360" w:lineRule="auto"/>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（2）、在课程教学模块，免费提供不少于15课时的教师在线课程学习，包含且不限于以下四大模块：人工智能课程建构的TPI模型、思维型教学理论、人工智能素养与课程构建和人工智能通识课程视频案例。</w:t>
            </w:r>
            <w:r/>
          </w:p>
          <w:p>
            <w:pPr>
              <w:spacing w:line="360" w:lineRule="auto"/>
              <w:rPr>
                <w:rFonts w:hint="eastAsia" w:ascii="宋体" w:hAnsi="宋体" w:eastAsia="宋体" w:cs="Times New Roman"/>
                <w:color w:val="000000"/>
                <w:sz w:val="22"/>
                <w:szCs w:val="22"/>
                <w:highlight w:val="none"/>
                <w:lang w:val="en-US" w:eastAsia="zh-CN"/>
              </w:rPr>
            </w:pPr>
            <w:r>
              <w:rPr>
                <w:rFonts w:hint="eastAsia" w:ascii="宋体" w:hAnsi="宋体"/>
                <w:color w:val="ff0000"/>
                <w:sz w:val="22"/>
                <w:szCs w:val="22"/>
                <w:highlight w:val="none"/>
                <w:lang w:eastAsia="zh-CN"/>
              </w:rPr>
              <w:t xml:space="preserve">各投标人须将演示文件存入U盘，密封包装，封口处加盖投标人单位公章；密封袋外侧清晰标注：项目名称、投标人全称。该U盘须按招标文件规定时间邮寄/送达至招标代理机构，逾期送达的，视为无效。</w:t>
            </w:r>
            <w:r/>
          </w:p>
        </w:tc>
      </w:tr>
    </w:tbl>
    <w:p>
      <w:pPr>
        <w:pStyle w:val="879"/>
        <w:numPr>
          <w:ilvl w:val="0"/>
          <w:numId w:val="5"/>
        </w:numPr>
        <w:ind w:left="0" w:firstLine="0"/>
        <w:jc w:val="center"/>
        <w:pageBreakBefore w:val="0"/>
        <w:spacing w:before="0" w:after="0" w:line="380" w:lineRule="exact"/>
        <w:tabs>
          <w:tab w:val="left" w:pos="720" w:leader="none"/>
        </w:tabs>
        <w:rPr>
          <w:rFonts w:hint="eastAsia" w:ascii="宋体" w:hAnsi="宋体" w:eastAsia="宋体" w:cs="宋体"/>
          <w:b w:val="0"/>
          <w:color w:val="auto"/>
          <w:sz w:val="28"/>
          <w:szCs w:val="28"/>
          <w:highlight w:val="none"/>
          <w:lang w:val="en-US" w:eastAsia="zh-CN"/>
        </w:rPr>
      </w:pP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28"/>
          <w:szCs w:val="28"/>
          <w:highlight w:val="none"/>
          <w:lang w:val="en-US" w:eastAsia="zh-CN"/>
        </w:rPr>
        <w:t xml:space="preserve">合同格式及条款（仅供参考）</w:t>
      </w:r>
      <w:r/>
    </w:p>
    <w:p>
      <w:pPr>
        <w:pStyle w:val="879"/>
        <w:numPr>
          <w:ilvl w:val="0"/>
          <w:numId w:val="0"/>
        </w:numPr>
        <w:jc w:val="both"/>
        <w:pageBreakBefore w:val="0"/>
        <w:spacing w:before="0" w:after="0" w:line="380" w:lineRule="exact"/>
        <w:tabs>
          <w:tab w:val="left" w:pos="720" w:leader="none"/>
        </w:tabs>
        <w:rPr>
          <w:rFonts w:hint="default" w:ascii="宋体" w:hAnsi="宋体" w:eastAsia="宋体" w:cs="宋体"/>
          <w:b w:val="0"/>
          <w:color w:val="auto"/>
          <w:sz w:val="32"/>
          <w:szCs w:val="32"/>
          <w:highlight w:val="none"/>
          <w:lang w:val="en-US" w:eastAsia="zh-CN"/>
        </w:rPr>
      </w:pPr>
      <w:r>
        <w:rPr>
          <w:rFonts w:hint="default" w:ascii="宋体" w:hAnsi="宋体" w:eastAsia="宋体" w:cs="宋体"/>
          <w:b w:val="0"/>
          <w:color w:val="auto"/>
          <w:sz w:val="32"/>
          <w:szCs w:val="32"/>
          <w:highlight w:val="none"/>
          <w:lang w:val="en-US" w:eastAsia="zh-CN"/>
        </w:rPr>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一、合同格式</w:t>
      </w:r>
      <w:r/>
    </w:p>
    <w:p>
      <w:pPr>
        <w:pStyle w:val="879"/>
        <w:numPr>
          <w:ilvl w:val="0"/>
          <w:numId w:val="0"/>
        </w:numPr>
        <w:jc w:val="both"/>
        <w:pageBreakBefore w:val="0"/>
        <w:spacing w:before="0" w:after="0" w:line="380" w:lineRule="exact"/>
        <w:tabs>
          <w:tab w:val="left" w:pos="720" w:leader="none"/>
        </w:tabs>
        <w:rPr>
          <w:rFonts w:hint="default"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甲方:  </w:t>
      </w:r>
      <w:r>
        <w:rPr>
          <w:rFonts w:hint="eastAsia" w:ascii="宋体" w:hAnsi="宋体" w:eastAsia="宋体" w:cs="宋体"/>
          <w:b w:val="0"/>
          <w:color w:val="auto"/>
          <w:sz w:val="21"/>
          <w:szCs w:val="21"/>
          <w:highlight w:val="none"/>
          <w:u w:val="single"/>
          <w:lang w:val="en-US" w:eastAsia="zh-CN"/>
        </w:rPr>
        <w:t xml:space="preserve">                      </w:t>
      </w:r>
      <w:r/>
    </w:p>
    <w:p>
      <w:pPr>
        <w:pStyle w:val="879"/>
        <w:numPr>
          <w:ilvl w:val="0"/>
          <w:numId w:val="0"/>
        </w:numPr>
        <w:jc w:val="both"/>
        <w:pageBreakBefore w:val="0"/>
        <w:spacing w:before="0" w:after="0" w:line="380" w:lineRule="exact"/>
        <w:tabs>
          <w:tab w:val="left" w:pos="720" w:leader="none"/>
        </w:tabs>
        <w:rPr>
          <w:rFonts w:hint="default"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lang w:val="en-US" w:eastAsia="zh-CN"/>
        </w:rPr>
        <w:t xml:space="preserve">乙方:  </w:t>
      </w:r>
      <w:r>
        <w:rPr>
          <w:rFonts w:hint="eastAsia" w:ascii="宋体" w:hAnsi="宋体" w:eastAsia="宋体" w:cs="宋体"/>
          <w:b w:val="0"/>
          <w:color w:val="auto"/>
          <w:sz w:val="21"/>
          <w:szCs w:val="21"/>
          <w:highlight w:val="none"/>
          <w:u w:val="single"/>
          <w:lang w:val="en-US" w:eastAsia="zh-CN"/>
        </w:rPr>
        <w:t xml:space="preserve">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甲、乙双方根据项目编号 </w:t>
      </w:r>
      <w:r>
        <w:rPr>
          <w:rFonts w:hint="eastAsia" w:ascii="宋体" w:hAnsi="宋体" w:eastAsia="宋体" w:cs="宋体"/>
          <w:b w:val="0"/>
          <w:color w:val="auto"/>
          <w:sz w:val="21"/>
          <w:szCs w:val="21"/>
          <w:highlight w:val="none"/>
          <w:u w:val="single"/>
          <w:lang w:val="en-US" w:eastAsia="zh-CN"/>
        </w:rPr>
        <w:t xml:space="preserve">        </w:t>
      </w:r>
      <w:r>
        <w:rPr>
          <w:rFonts w:hint="eastAsia" w:ascii="宋体" w:hAnsi="宋体" w:eastAsia="宋体" w:cs="宋体"/>
          <w:b w:val="0"/>
          <w:color w:val="auto"/>
          <w:sz w:val="21"/>
          <w:szCs w:val="21"/>
          <w:highlight w:val="none"/>
          <w:lang w:val="en-US" w:eastAsia="zh-CN"/>
        </w:rPr>
        <w:t xml:space="preserve"> 的 项目名称</w:t>
      </w:r>
      <w:r>
        <w:rPr>
          <w:rFonts w:hint="eastAsia" w:ascii="宋体" w:hAnsi="宋体" w:eastAsia="宋体" w:cs="宋体"/>
          <w:b w:val="0"/>
          <w:color w:val="auto"/>
          <w:sz w:val="21"/>
          <w:szCs w:val="21"/>
          <w:highlight w:val="none"/>
          <w:u w:val="single"/>
          <w:lang w:val="en-US" w:eastAsia="zh-CN"/>
        </w:rPr>
        <w:t xml:space="preserve">           </w:t>
      </w:r>
      <w:r>
        <w:rPr>
          <w:rFonts w:hint="eastAsia" w:ascii="宋体" w:hAnsi="宋体" w:eastAsia="宋体" w:cs="宋体"/>
          <w:b w:val="0"/>
          <w:color w:val="auto"/>
          <w:sz w:val="21"/>
          <w:szCs w:val="21"/>
          <w:highlight w:val="none"/>
          <w:lang w:val="en-US" w:eastAsia="zh-CN"/>
        </w:rPr>
        <w:t xml:space="preserve">采购项目公开招标采购结果及招标文件的要求,经协商一致,达成如下购销合同:</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一、货物及数量</w:t>
      </w:r>
      <w:r/>
    </w:p>
    <w:p>
      <w:pPr>
        <w:pStyle w:val="879"/>
        <w:numPr>
          <w:ilvl w:val="0"/>
          <w:numId w:val="0"/>
        </w:numPr>
        <w:jc w:val="both"/>
        <w:pageBreakBefore w:val="0"/>
        <w:spacing w:before="0" w:after="0" w:line="380" w:lineRule="exact"/>
        <w:tabs>
          <w:tab w:val="left" w:pos="720" w:leader="none"/>
        </w:tabs>
        <w:rPr>
          <w:rFonts w:hint="eastAsia"/>
          <w:color w:val="auto"/>
          <w:highlight w:val="none"/>
          <w:lang w:val="en-US" w:eastAsia="zh-CN"/>
        </w:rPr>
      </w:pPr>
      <w:r>
        <w:rPr>
          <w:rFonts w:hint="eastAsia" w:ascii="宋体" w:hAnsi="宋体" w:eastAsia="宋体" w:cs="宋体"/>
          <w:b w:val="0"/>
          <w:color w:val="auto"/>
          <w:sz w:val="21"/>
          <w:szCs w:val="21"/>
          <w:highlight w:val="none"/>
          <w:u w:val="single"/>
          <w:lang w:val="en-US" w:eastAsia="zh-CN"/>
        </w:rPr>
        <w:t xml:space="preserve">本合同所提供的货物及数量详见“项目采购需求”。</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二、合同金额</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本合同的总金额(大写)为___________元人民币，分项价格详见乙方提交的投标报价明细表。</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三、供货时间和地点</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u w:val="single"/>
          <w:lang w:val="en-US" w:eastAsia="zh-CN"/>
        </w:rPr>
        <w:t xml:space="preserve">本合同供货时间和地点在招标文件中有明确规定。</w:t>
      </w:r>
      <w:r/>
    </w:p>
    <w:p>
      <w:pPr>
        <w:pStyle w:val="879"/>
        <w:numPr>
          <w:ilvl w:val="0"/>
          <w:numId w:val="0"/>
        </w:numPr>
        <w:jc w:val="both"/>
        <w:pageBreakBefore w:val="0"/>
        <w:spacing w:before="0" w:after="0" w:line="380" w:lineRule="exact"/>
        <w:tabs>
          <w:tab w:val="left" w:pos="720" w:leader="none"/>
        </w:tabs>
        <w:rPr>
          <w:rFonts w:hint="default"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四、付款方式</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u w:val="single"/>
          <w:lang w:val="en-US" w:eastAsia="zh-CN"/>
        </w:rPr>
        <w:t xml:space="preserve"> </w:t>
      </w:r>
      <w:r>
        <w:rPr>
          <w:rFonts w:hint="eastAsia" w:ascii="宋体" w:hAnsi="宋体" w:cs="宋体"/>
          <w:b w:val="0"/>
          <w:color w:val="auto"/>
          <w:sz w:val="21"/>
          <w:szCs w:val="21"/>
          <w:highlight w:val="none"/>
          <w:u w:val="single"/>
          <w:lang w:val="en-US" w:eastAsia="zh-CN"/>
        </w:rPr>
        <w:t xml:space="preserve">预付款为合同总价的40%，待工程机械、人工进场后支付（付款前乙方须提供等额无条件银行保函，有效期至相关职能部门全部竣工验收合格），工程交工验收合格后付至合同价的80%，同时扣回已付的预付款；第三方审计部门审计结束后付至审定价的97%，余款待1年质保期后一次性付清。</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五、供货及验收</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1、供货要求：供应商须在批量供货前，提供招标清单内关键产品的样品，经甲方进行质量审核及功能验证合格后，方可正式供货。</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项目验收要求：甲方将组织监理单位，依据中标文件约定的技术参数与规格要求，针对产品品牌、型号、功能及实验效果的达标性进行符合性审查，并随机抽样送国家认可的第三方检测机构检测（检测费用由供应商承担）。若因产品质量不合格导致返工或延误工期，供应商须承担由此产生的一切损失（包括但不限于整改费用、违约金及教学影响赔偿等费用）。并在收到通知后48小时内响应，5个工作日内完成整改。检测不合格的复检费用均由供应商承担。</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六、履约保证金（1%）</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1、乙方交纳人民币_________元作为本合同的履约保证金。（不得超过合同金额的1%）</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乙方提供的履约保证金可以是人民币形式（银行本票、汇票、支票、电汇），或银行保函、担保公司的保证担保或保险公司的保证保险等多种形式。</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乙方选取银行保函、担保公司的保证担保或保险公司的保证保险等形式向采购人缴纳的，如保函（担保、保险等）的约定期到期但乙方履约仍未结束的，乙方须进行续保。</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5、如乙方未能履行合同规定的义务，甲方有权从履约保证金中取得补偿。</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宋体" w:hAnsi="宋体" w:eastAsia="宋体" w:cs="宋体"/>
          <w:b w:val="0"/>
          <w:color w:val="auto"/>
          <w:sz w:val="21"/>
          <w:szCs w:val="21"/>
          <w:highlight w:val="none"/>
          <w:lang w:val="en-US" w:eastAsia="zh-CN"/>
        </w:rPr>
        <w:br/>
      </w:r>
      <w:r>
        <w:rPr>
          <w:rFonts w:hint="eastAsia" w:ascii="宋体" w:hAnsi="宋体" w:eastAsia="宋体" w:cs="宋体"/>
          <w:b w:val="0"/>
          <w:color w:val="auto"/>
          <w:sz w:val="21"/>
          <w:szCs w:val="21"/>
          <w:highlight w:val="none"/>
          <w:lang w:val="en-US" w:eastAsia="zh-CN"/>
        </w:rPr>
        <w:t xml:space="preserve">7、履约保证金在合同约定期间内不予退还或者应完全有效，履约保证金在项目验收合格后无息退还给乙方。</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七、合同纠纷处理</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本合同执行过程中发生纠纷，由甲乙双方协商解决，若协商不成，作如下</w:t>
      </w:r>
      <w:r>
        <w:rPr>
          <w:rFonts w:hint="eastAsia" w:ascii="宋体" w:hAnsi="宋体" w:eastAsia="宋体" w:cs="宋体"/>
          <w:b w:val="0"/>
          <w:color w:val="auto"/>
          <w:sz w:val="21"/>
          <w:szCs w:val="21"/>
          <w:highlight w:val="none"/>
          <w:u w:val="single"/>
          <w:lang w:val="en-US" w:eastAsia="zh-CN"/>
        </w:rPr>
        <w:t xml:space="preserve">   </w:t>
      </w:r>
      <w:r>
        <w:rPr>
          <w:rFonts w:hint="eastAsia" w:ascii="宋体" w:hAnsi="宋体" w:eastAsia="宋体" w:cs="宋体"/>
          <w:b w:val="0"/>
          <w:color w:val="auto"/>
          <w:sz w:val="21"/>
          <w:szCs w:val="21"/>
          <w:highlight w:val="none"/>
          <w:lang w:val="en-US" w:eastAsia="zh-CN"/>
        </w:rPr>
        <w:t xml:space="preserve">处理: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1、申请仲裁。选定仲裁机构为淮安市仲裁委员会。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2、提起诉讼。约定由采购人所在地法院管辖。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八、合同生效及其它</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本合同经甲、乙双方加盖电子签章后生效。如有变动，必须经甲方、乙方协商一致后，方可更改。</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九、组成本合同的文件包括</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1、合同格式及条款；</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2、招标文件和乙方的投标文件；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3、中标通知书；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4、甲乙双方商定的其他必要文件。 上述合同文件内容互为补充，如有不明确，由甲方负责解释。</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r>
      <w:r/>
    </w:p>
    <w:p>
      <w:pPr>
        <w:pStyle w:val="879"/>
        <w:numPr>
          <w:ilvl w:val="0"/>
          <w:numId w:val="0"/>
        </w:numPr>
        <w:ind w:firstLine="210"/>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甲    方（公章）:                      乙    方（公章）:</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               </w:t>
      </w:r>
      <w:r/>
    </w:p>
    <w:p>
      <w:pPr>
        <w:pStyle w:val="879"/>
        <w:numPr>
          <w:ilvl w:val="0"/>
          <w:numId w:val="0"/>
        </w:numPr>
        <w:ind w:firstLine="210"/>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法定代表人或其委托代理人:              法定代表人或其委托代理人:</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r>
      <w:r/>
    </w:p>
    <w:p>
      <w:pPr>
        <w:pStyle w:val="879"/>
        <w:numPr>
          <w:ilvl w:val="0"/>
          <w:numId w:val="0"/>
        </w:numPr>
        <w:ind w:firstLine="210"/>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签定日期:                              签定日期:</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879"/>
        <w:numPr>
          <w:ilvl w:val="0"/>
          <w:numId w:val="0"/>
        </w:numPr>
        <w:ind w:firstLine="3584"/>
        <w:jc w:val="both"/>
        <w:pageBreakBefore w:val="0"/>
        <w:spacing w:before="0" w:after="0" w:line="380" w:lineRule="exact"/>
        <w:tabs>
          <w:tab w:val="left" w:pos="72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二、合同条款</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1.定义</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本合同中下列术语应解释为:</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（1）“合同”系指甲方和乙方（以下简称合同双方）签署的、合同格式中列明的合同双方所达成的协议，包括所有的附件、附录和构成合同的所有文件。</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（2）“合同价”系指根据合同规定，乙方在完全履行合同义务后甲方应支付给乙方的价格。</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（3）“货物（含软件及相关服务）”系指乙方按合同要求，须向甲方提供的一切设备、机械、仪表、备件、工具、技术及手册等有关材料。</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（4）“服务”系指根据合同规定乙方承担与供货有关的所有辅助服务，如运输、保险以及其它的服务，如安装、调试、提供技术援助、培训和其他类似的义务。</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（5）“甲方”系指购买货物（含软件及相关服务）的单位。</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（6）“乙方”系指根据合同规定提供货物（含软件及相关服务）和服务的投标人。</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2.技术规范</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3.专利权</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4.包装要求</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4.1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4.2除合同另有规定外，乙方提供的全部货物（含软件及相关服务），均应按相应的标准保护措施进行包装，使包装适应于远距离运输、防潮、防震、防锈和防粗暴装卸，确保货物（含软件及相关服务）安全无损运抵至现场。由于包装不善所引起的货物（含软件及相关服务）锈蚀、损坏和损失均由乙方承担。</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4.3每件包装箱内应附一份详细装箱单和质量合格证。</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5.装运标志</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5.1 乙方应在每一包装箱邻接的四侧用不褪色的油漆以醒目的中文字样做出下列标记: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（1）收货人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（2）合同号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（3）装运标志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（4）收货人代号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（5）目的地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（6）货物（含软件及相关服务）名称、品目号和箱号</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（7）毛重／净重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（8）尺寸（长X宽X高，以厘米计）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5.3因缺少装运标志或者装运标志不明确导致货物在运输、装卸过程中产生的损失，乙方应承担相应的过错责任。</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6.付款方式</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6.1本合同以人民币付款。</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6.2乙方应按照与甲方签订的合同规定交货。交货后乙方向甲方提供下列单据，甲方按合同规定审核后付款:</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（1）发票；</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（2）制造厂家出具的质量检验证书等；</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（3）装箱单；</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（4）验收合格证；</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（5）使用方加盖公章证明货物交付使用合格的验收表。</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6.3甲方将按招标文件中规定的付款方式安排付款。</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7.伴随服务</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7.1乙方应按照国家有关规定和合同中所附的服务承诺提供服务。</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7.2除第7.1条规定外，乙方还应提供下列服务:</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（1）货物的现场安装和启动监督；</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（2）提供货物组装和维修所需的工具；</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（3）在合同中乙方承诺的期限内对所提供货物实施运行监督、维修，但前提条件是该服务并不能免除乙方在质量保证期内应承担的义务；</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（4）在项目交货现场就货物的安装、启动、运行、维护对甲方人员进行培训。</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7.3伴随服务的费用应含在合同价中，不单独进行支付。</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8.质量保证</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8.3 乙方在收到通知后三十天内应免费维修或更换有缺陷的货物（含软件及相关服务）或部件。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8.4 如果乙方在收到通知后三十天内没有弥补缺陷，甲方可采取必要的补救措施，但风险和费用将由乙方承担。</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8.5 除合同专用条款规定外，合同项下货物（含软件及相关服务）的质量保证期为自货物（含软件及相关服务）通过最终验收起12个月。</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9.检验及安装</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9.4 甲方有权提出在货物（含软件及相关服务）制造过程中派人到制造厂进行监造，乙方有义务为甲方监造人员提供方便。</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9.5 制造厂对所供货物（含软件及相关服务）进行机械运转试验和性能试验时，必须提前通知甲方。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9.6 货物（含软件及相关服务）的安装按招标文件要求进行。</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10.索赔</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10.1 除责任应由保险公司或运输部门承担的之外，甲方有权根据甲方按检验标准自己检验的结果或当地商检部门出具的商检证书向乙方提出索赔。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10.2 在第 8条和第9条规定的检验期和质量保证期内，如果乙方对甲方提出的索赔和差异负有责任，乙方应按照甲方同意的下列一种或多种方式解决索赔事宜:</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（2）根据货物（含软件及相关服务）的低劣程度、损坏程度以及甲方遭受损失的数额，经买卖双方商定降低货物（含软件及相关服务）的价格。</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10.3 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11.拖延交货</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11.1 乙方应按照合同专用条款中规定的交货期交货和提供服务。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11.2 如果乙方毫无理由地拖延交货，将受到以下制裁:没收履约保证金，加收违约损失赔偿和／或终止合同。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12.误期赔偿</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13.不可抗力</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14.税费</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14.1中国政府根据现行税法规定对甲方征收的与本合同有关的一切税费，均由甲方负担。</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14.2中国政府根据现行税法规定对乙方征收的与本合同有关的一切税费均由乙方负担。</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15.仲裁</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15.1 买卖双方应通过友好协商，解决在执行本合同中所发生的或与本合同有关的一切争端，如果协商仍得不到解决，任何一方均可按“中华人民共和国合同法”规定提交调解和仲裁。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15.2 仲裁裁决应为终局裁决，对双方均具有约束力。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15.3 仲裁费除仲裁机构另有裁决外应由败诉方负担。</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15.4 在仲裁期间，除正在进行仲裁的部分外，合同其它部分继续执行。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16.违约终止合同</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（1）如果乙方未能在合同规定的期限或甲方同意延期的限期内提供全部或部分货物（含软件及相关服务）；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（2）如果乙方未能履行合同规定的其它义务。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17.破产中止合同</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18.转让</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    18.1 除甲方事先书面同意外，乙方不得部分转让或全部转让其应履行的合同义务。</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19.合同生效及其它</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19.2本合同经甲、乙双方加盖电子签章后生效。    </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    19.3合同货物交付使用后所发生的合同纠纷，甲方与乙方进行处理。</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    19.4如需修改或补充合同内容，应经乙方、甲方协商，签署书面修改或补充协议。该协议将作为本合同不可分割的一部分。</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19.5本合同应按照中华人民共和国的现行法律进行解释。</w:t>
      </w:r>
      <w:r/>
    </w:p>
    <w:p>
      <w:pPr>
        <w:pStyle w:val="879"/>
        <w:numPr>
          <w:ilvl w:val="0"/>
          <w:numId w:val="0"/>
        </w:numPr>
        <w:jc w:val="both"/>
        <w:pageBreakBefore w:val="0"/>
        <w:spacing w:before="0" w:after="0" w:line="380" w:lineRule="exact"/>
        <w:tabs>
          <w:tab w:val="left" w:pos="720" w:leader="none"/>
        </w:tabs>
        <w:rPr>
          <w:rFonts w:hint="eastAsia" w:ascii="宋体" w:hAnsi="宋体" w:eastAsia="宋体" w:cs="宋体"/>
          <w:b w:val="0"/>
          <w:color w:val="auto"/>
          <w:sz w:val="32"/>
          <w:szCs w:val="32"/>
          <w:highlight w:val="none"/>
          <w:lang w:val="en-US" w:eastAsia="zh-CN"/>
        </w:rPr>
      </w:pPr>
      <w:r>
        <w:rPr>
          <w:rFonts w:hint="eastAsia" w:ascii="宋体" w:hAnsi="宋体" w:eastAsia="宋体" w:cs="宋体"/>
          <w:b w:val="0"/>
          <w:color w:val="auto"/>
          <w:sz w:val="32"/>
          <w:szCs w:val="32"/>
          <w:highlight w:val="none"/>
          <w:lang w:val="en-US" w:eastAsia="zh-CN"/>
        </w:rPr>
      </w:r>
      <w:r/>
    </w:p>
    <w:p>
      <w:pPr>
        <w:pageBreakBefore w:val="0"/>
        <w:spacing w:line="380" w:lineRule="exact"/>
        <w:rPr>
          <w:rFonts w:hint="eastAsia" w:ascii="宋体" w:hAnsi="宋体" w:eastAsia="宋体" w:cs="宋体"/>
          <w:b/>
          <w:bCs/>
          <w:color w:val="auto"/>
          <w:sz w:val="32"/>
          <w:szCs w:val="32"/>
          <w:highlight w:val="none"/>
          <w:shd w:val="clear" w:color="auto" w:fill="ffffff"/>
        </w:rPr>
      </w:pPr>
      <w:r/>
      <w:bookmarkStart w:id="37" w:name="_Toc498006745"/>
      <w:r>
        <w:rPr>
          <w:rFonts w:hint="eastAsia" w:ascii="宋体" w:hAnsi="宋体" w:eastAsia="宋体" w:cs="宋体"/>
          <w:color w:val="auto"/>
          <w:sz w:val="21"/>
          <w:szCs w:val="21"/>
          <w:highlight w:val="none"/>
        </w:rPr>
        <w:br w:type="page" w:clear="all"/>
      </w:r>
      <w:bookmarkEnd w:id="37"/>
      <w:r/>
      <w:r/>
    </w:p>
    <w:p>
      <w:pPr>
        <w:pStyle w:val="890"/>
        <w:jc w:val="center"/>
        <w:spacing w:beforeAutospacing="0" w:afterAutospacing="0" w:line="560" w:lineRule="exact"/>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32"/>
          <w:szCs w:val="32"/>
          <w:highlight w:val="none"/>
          <w:shd w:val="clear" w:color="auto" w:fill="ffffff"/>
          <w:lang w:val="en-US" w:eastAsia="zh-CN"/>
        </w:rPr>
        <w:t xml:space="preserve">   </w:t>
      </w:r>
      <w:r>
        <w:rPr>
          <w:rFonts w:hint="eastAsia" w:ascii="宋体" w:hAnsi="宋体" w:eastAsia="宋体" w:cs="宋体"/>
          <w:b/>
          <w:bCs/>
          <w:color w:val="auto"/>
          <w:sz w:val="32"/>
          <w:szCs w:val="32"/>
          <w:highlight w:val="none"/>
          <w:shd w:val="clear" w:color="auto" w:fill="ffffff"/>
        </w:rPr>
        <w:t xml:space="preserve">政府采购廉政监督承诺书</w:t>
      </w:r>
      <w:r>
        <w:rPr>
          <w:rFonts w:hint="eastAsia" w:ascii="宋体" w:hAnsi="宋体" w:eastAsia="宋体" w:cs="宋体"/>
          <w:b/>
          <w:bCs/>
          <w:color w:val="auto"/>
          <w:sz w:val="21"/>
          <w:szCs w:val="21"/>
          <w:highlight w:val="none"/>
          <w:shd w:val="clear" w:color="auto" w:fill="ffffff"/>
        </w:rPr>
        <w:t xml:space="preserve">（</w:t>
      </w:r>
      <w:r>
        <w:rPr>
          <w:rFonts w:hint="eastAsia" w:ascii="宋体" w:hAnsi="宋体" w:eastAsia="宋体" w:cs="宋体"/>
          <w:b/>
          <w:bCs/>
          <w:color w:val="auto"/>
          <w:sz w:val="21"/>
          <w:szCs w:val="21"/>
          <w:highlight w:val="none"/>
        </w:rPr>
        <w:t xml:space="preserve">采购人与中标、成交供应商版</w:t>
      </w:r>
      <w:r>
        <w:rPr>
          <w:rFonts w:hint="eastAsia" w:ascii="宋体" w:hAnsi="宋体" w:eastAsia="宋体" w:cs="宋体"/>
          <w:b/>
          <w:bCs/>
          <w:color w:val="auto"/>
          <w:sz w:val="21"/>
          <w:szCs w:val="21"/>
          <w:highlight w:val="none"/>
          <w:shd w:val="clear" w:color="auto" w:fill="ffffff"/>
        </w:rPr>
        <w:t xml:space="preserve">）</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一、采购人承诺</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1.坚持“谁采购、谁负责”原则，认真落实政府采购主体责任，履行“三重一大”集体研究程序，完善政府采购内控制度，加强政府采购廉政警示和廉政教育。</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2.细化政府采购预算编制，严格预算执行，科学合理确定采购需求，不擅自提高采购标准，严禁超需要、无预算或超预算采购。</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38" w:name="_Hlk174982092"/>
      <w:r>
        <w:rPr>
          <w:rFonts w:hint="eastAsia" w:ascii="宋体" w:hAnsi="宋体" w:eastAsia="宋体" w:cs="宋体"/>
          <w:color w:val="auto"/>
          <w:sz w:val="21"/>
          <w:szCs w:val="21"/>
          <w:highlight w:val="none"/>
        </w:rPr>
        <w:t xml:space="preserve">不非法干预、影响政府采购评审活动，不对供应商实行差别待遇和歧视待遇。不在开标前泄露政府采购项目相关情况影响公平竞争。</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4.不索取、不收受供应商赠送的礼品、现金、有价证券和贵重物品。不参加供应商组织的宴请、旅游、娱乐。不得向供应商报销应当由个人承担的费用。</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5.不恶意串通操纵政府采购活动。</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6.认真执行双方签订的政府采购合同文件，自觉按合同办事。根据合同履行情况，及时开展履约验收，及时支付采购资金。</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7.坚持公开透明，及时准确做好政府采购全流程信息公开，采购活动全程留痕，采购资料记录全面完整。</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8.依法依规处理政府采购质疑和投诉。</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9.不发生其他有悖于政府采购公开、公平、公正和诚实原则的行为，自觉接受财政、监察、审计等有关单位的监督。</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10.如违反以上承诺，愿接受监管部门依照相关法律法规处理并承担相应的法律责任。</w:t>
      </w:r>
      <w:bookmarkEnd w:id="38"/>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二、供应商承诺</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1.自觉遵守国家和省、市关于政府采购管理以及廉洁从业的各项规定。</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2.坚持公平竞争、诚实守信，不与采购人、其他供应商或者代理机构恶意串通，不非法干预、影响评审过程和结果，不提供虚假材料谋取中标、成交。</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4.认真执行双方签订的政府采购合同文件，自觉按合同办事。不违规将政府采购合同转包。诚信、确实、全面履行自身合同义务，不擅自变更、中止或者终止政府采购合同。</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5.不提供假冒伪劣产品。</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6.依法依规、有凭有据开展政府采购质疑和投诉。</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7.如违反《中华人民共和国政府采购法》及相关法律法规，自觉接受政府采购监管部门依法依规处理。</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 购 人（盖章）：                      中标、成交供应商（盖章）：</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单位负责人或授权代表（签字）：          单位负责人或授权代表（签字）：</w:t>
      </w:r>
      <w:r/>
    </w:p>
    <w:p>
      <w:pPr>
        <w:ind w:firstLine="48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年  月  日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期：  年  月  日   </w:t>
      </w:r>
      <w:r/>
    </w:p>
    <w:p>
      <w:pPr>
        <w:pStyle w:val="886"/>
        <w:spacing w:line="440" w:lineRule="exact"/>
        <w:rPr>
          <w:rFonts w:hint="eastAsia" w:hAnsi="宋体"/>
          <w:b/>
          <w:bCs/>
          <w:color w:val="auto"/>
          <w:sz w:val="36"/>
          <w:szCs w:val="36"/>
          <w:highlight w:val="none"/>
        </w:rPr>
      </w:pPr>
      <w:r>
        <w:rPr>
          <w:rFonts w:hint="eastAsia" w:hAnsi="宋体"/>
          <w:b/>
          <w:bCs/>
          <w:color w:val="auto"/>
          <w:sz w:val="36"/>
          <w:szCs w:val="36"/>
          <w:highlight w:val="none"/>
        </w:rPr>
      </w:r>
      <w:r/>
    </w:p>
    <w:p>
      <w:pPr>
        <w:ind w:right="138" w:firstLine="1582"/>
        <w:jc w:val="both"/>
        <w:spacing w:before="232" w:line="288" w:lineRule="auto"/>
        <w:rPr>
          <w:rFonts w:hint="eastAsia" w:ascii="宋体" w:hAnsi="宋体" w:eastAsia="宋体" w:cs="宋体"/>
          <w:b/>
          <w:bCs/>
          <w:color w:val="auto"/>
          <w:spacing w:val="17"/>
          <w:sz w:val="36"/>
          <w:szCs w:val="36"/>
          <w:highlight w:val="none"/>
        </w:rPr>
      </w:pPr>
      <w:r>
        <w:rPr>
          <w:rFonts w:hint="eastAsia" w:ascii="宋体" w:hAnsi="宋体" w:eastAsia="宋体" w:cs="宋体"/>
          <w:b/>
          <w:bCs/>
          <w:color w:val="auto"/>
          <w:spacing w:val="17"/>
          <w:sz w:val="36"/>
          <w:szCs w:val="36"/>
          <w:highlight w:val="none"/>
        </w:rPr>
      </w:r>
      <w:r/>
    </w:p>
    <w:p>
      <w:pPr>
        <w:ind w:right="138" w:firstLine="1582"/>
        <w:jc w:val="both"/>
        <w:spacing w:before="232" w:line="288" w:lineRule="auto"/>
        <w:rPr>
          <w:rFonts w:hint="eastAsia" w:ascii="仿宋" w:hAnsi="仿宋" w:eastAsia="仿宋" w:cs="仿宋"/>
          <w:b/>
          <w:bCs/>
          <w:color w:val="auto"/>
          <w:spacing w:val="13"/>
          <w:sz w:val="36"/>
          <w:szCs w:val="36"/>
          <w:highlight w:val="none"/>
        </w:rPr>
      </w:pPr>
      <w:r>
        <w:rPr>
          <w:rFonts w:hint="eastAsia" w:ascii="宋体" w:hAnsi="宋体" w:eastAsia="宋体" w:cs="宋体"/>
          <w:b/>
          <w:bCs/>
          <w:color w:val="auto"/>
          <w:spacing w:val="17"/>
          <w:sz w:val="36"/>
          <w:szCs w:val="36"/>
          <w:highlight w:val="none"/>
        </w:rPr>
        <w:t xml:space="preserve">政府采购履约验收通知单（参考样本）</w:t>
      </w:r>
      <w:r/>
    </w:p>
    <w:p>
      <w:pPr>
        <w:ind w:right="1549"/>
        <w:spacing w:before="232" w:line="288" w:lineRule="auto"/>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 xml:space="preserve">供应商：</w:t>
      </w:r>
      <w:r/>
    </w:p>
    <w:tbl>
      <w:tblPr>
        <w:tblStyle w:val="903"/>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708" w:type="dxa"/>
            <w:textDirection w:val="lrTb"/>
            <w:noWrap w:val="false"/>
          </w:tcPr>
          <w:p>
            <w:pPr>
              <w:pStyle w:val="904"/>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560"/>
        </w:trPr>
        <w:tc>
          <w:tcPr>
            <w:tcW w:w="2610" w:type="dxa"/>
            <w:textDirection w:val="lrTb"/>
            <w:noWrap w:val="false"/>
          </w:tcPr>
          <w:p>
            <w:pPr>
              <w:ind w:left="841"/>
              <w:spacing w:before="249" w:line="211" w:lineRule="auto"/>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708" w:type="dxa"/>
            <w:textDirection w:val="lrTb"/>
            <w:noWrap w:val="false"/>
          </w:tcPr>
          <w:p>
            <w:pPr>
              <w:pStyle w:val="904"/>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559"/>
        </w:trPr>
        <w:tc>
          <w:tcPr>
            <w:tcW w:w="2610" w:type="dxa"/>
            <w:textDirection w:val="lrTb"/>
            <w:noWrap w:val="false"/>
          </w:tcPr>
          <w:p>
            <w:pPr>
              <w:ind w:left="841"/>
              <w:spacing w:before="247" w:line="213" w:lineRule="auto"/>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708" w:type="dxa"/>
            <w:textDirection w:val="lrTb"/>
            <w:noWrap w:val="false"/>
          </w:tcPr>
          <w:p>
            <w:pPr>
              <w:pStyle w:val="904"/>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560"/>
        </w:trPr>
        <w:tc>
          <w:tcPr>
            <w:tcW w:w="2610" w:type="dxa"/>
            <w:textDirection w:val="lrTb"/>
            <w:noWrap w:val="false"/>
          </w:tcPr>
          <w:p>
            <w:pPr>
              <w:ind w:left="841"/>
              <w:spacing w:before="247" w:line="212" w:lineRule="auto"/>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61" w:type="dxa"/>
            <w:textDirection w:val="lrTb"/>
            <w:noWrap w:val="false"/>
          </w:tcPr>
          <w:p>
            <w:pPr>
              <w:pStyle w:val="904"/>
              <w:rPr>
                <w:rFonts w:hint="eastAsia" w:ascii="仿宋" w:hAnsi="仿宋" w:eastAsia="仿宋" w:cs="仿宋"/>
                <w:color w:val="auto"/>
                <w:highlight w:val="none"/>
              </w:rPr>
            </w:pPr>
            <w:r>
              <w:rPr>
                <w:rFonts w:hint="eastAsia" w:ascii="仿宋" w:hAnsi="仿宋" w:eastAsia="仿宋" w:cs="仿宋"/>
                <w:color w:val="auto"/>
                <w:highlight w:val="none"/>
              </w:rPr>
            </w:r>
            <w:r/>
          </w:p>
        </w:tc>
        <w:tc>
          <w:tcPr>
            <w:tcW w:w="2139" w:type="dxa"/>
            <w:textDirection w:val="lrTb"/>
            <w:noWrap w:val="false"/>
          </w:tcPr>
          <w:p>
            <w:pPr>
              <w:ind w:left="607"/>
              <w:spacing w:before="247" w:line="213" w:lineRule="auto"/>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608" w:type="dxa"/>
            <w:textDirection w:val="lrTb"/>
            <w:noWrap w:val="false"/>
          </w:tcPr>
          <w:p>
            <w:pPr>
              <w:pStyle w:val="904"/>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559"/>
        </w:trPr>
        <w:tc>
          <w:tcPr>
            <w:tcW w:w="2610" w:type="dxa"/>
            <w:textDirection w:val="lrTb"/>
            <w:noWrap w:val="false"/>
          </w:tcPr>
          <w:p>
            <w:pPr>
              <w:ind w:left="841"/>
              <w:spacing w:before="248" w:line="212" w:lineRule="auto"/>
              <w:rPr>
                <w:rFonts w:hint="eastAsia"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61" w:type="dxa"/>
            <w:textDirection w:val="lrTb"/>
            <w:noWrap w:val="false"/>
          </w:tcPr>
          <w:p>
            <w:pPr>
              <w:pStyle w:val="904"/>
              <w:rPr>
                <w:rFonts w:hint="eastAsia" w:ascii="仿宋" w:hAnsi="仿宋" w:eastAsia="仿宋" w:cs="仿宋"/>
                <w:color w:val="auto"/>
                <w:highlight w:val="none"/>
              </w:rPr>
            </w:pPr>
            <w:r>
              <w:rPr>
                <w:rFonts w:hint="eastAsia" w:ascii="仿宋" w:hAnsi="仿宋" w:eastAsia="仿宋" w:cs="仿宋"/>
                <w:color w:val="auto"/>
                <w:highlight w:val="none"/>
              </w:rPr>
            </w:r>
            <w:r/>
          </w:p>
        </w:tc>
        <w:tc>
          <w:tcPr>
            <w:tcW w:w="2139" w:type="dxa"/>
            <w:textDirection w:val="lrTb"/>
            <w:noWrap w:val="false"/>
          </w:tcPr>
          <w:p>
            <w:pPr>
              <w:ind w:left="607"/>
              <w:spacing w:before="248" w:line="213" w:lineRule="auto"/>
              <w:rPr>
                <w:rFonts w:hint="eastAsia"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608" w:type="dxa"/>
            <w:textDirection w:val="lrTb"/>
            <w:noWrap w:val="false"/>
          </w:tcPr>
          <w:p>
            <w:pPr>
              <w:pStyle w:val="904"/>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560"/>
        </w:trPr>
        <w:tc>
          <w:tcPr>
            <w:tcW w:w="2610" w:type="dxa"/>
            <w:textDirection w:val="lrTb"/>
            <w:noWrap w:val="false"/>
          </w:tcPr>
          <w:p>
            <w:pPr>
              <w:ind w:left="960"/>
              <w:spacing w:before="248" w:line="213" w:lineRule="auto"/>
              <w:rPr>
                <w:rFonts w:hint="eastAsia"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61" w:type="dxa"/>
            <w:textDirection w:val="lrTb"/>
            <w:noWrap w:val="false"/>
          </w:tcPr>
          <w:p>
            <w:pPr>
              <w:pStyle w:val="904"/>
              <w:rPr>
                <w:rFonts w:hint="eastAsia" w:ascii="仿宋" w:hAnsi="仿宋" w:eastAsia="仿宋" w:cs="仿宋"/>
                <w:color w:val="auto"/>
                <w:highlight w:val="none"/>
              </w:rPr>
            </w:pPr>
            <w:r>
              <w:rPr>
                <w:rFonts w:hint="eastAsia" w:ascii="仿宋" w:hAnsi="仿宋" w:eastAsia="仿宋" w:cs="仿宋"/>
                <w:color w:val="auto"/>
                <w:highlight w:val="none"/>
              </w:rPr>
            </w:r>
            <w:r/>
          </w:p>
        </w:tc>
        <w:tc>
          <w:tcPr>
            <w:tcW w:w="2139" w:type="dxa"/>
            <w:textDirection w:val="lrTb"/>
            <w:noWrap w:val="false"/>
          </w:tcPr>
          <w:p>
            <w:pPr>
              <w:ind w:left="605"/>
              <w:spacing w:before="248" w:line="213" w:lineRule="auto"/>
              <w:rPr>
                <w:rFonts w:hint="eastAsia"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608" w:type="dxa"/>
            <w:textDirection w:val="lrTb"/>
            <w:noWrap w:val="false"/>
          </w:tcPr>
          <w:p>
            <w:pPr>
              <w:pStyle w:val="904"/>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560"/>
        </w:trPr>
        <w:tc>
          <w:tcPr>
            <w:gridSpan w:val="4"/>
            <w:tcW w:w="9318" w:type="dxa"/>
            <w:textDirection w:val="lrTb"/>
            <w:noWrap w:val="false"/>
          </w:tcPr>
          <w:p>
            <w:pPr>
              <w:ind w:left="3353"/>
              <w:spacing w:before="250" w:line="212" w:lineRule="auto"/>
              <w:rPr>
                <w:rFonts w:hint="eastAsia"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6033"/>
        </w:trPr>
        <w:tc>
          <w:tcPr>
            <w:gridSpan w:val="4"/>
            <w:tcW w:w="9318" w:type="dxa"/>
            <w:textDirection w:val="lrTb"/>
            <w:noWrap w:val="false"/>
          </w:tcPr>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line="24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left="5311"/>
              <w:spacing w:before="75" w:line="214" w:lineRule="auto"/>
              <w:rPr>
                <w:rFonts w:hint="eastAsia"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p>
          <w:p>
            <w:pPr>
              <w:pStyle w:val="904"/>
              <w:spacing w:line="308"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left="5128"/>
              <w:spacing w:before="75" w:line="212" w:lineRule="auto"/>
              <w:rPr>
                <w:rFonts w:hint="eastAsia"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3"/>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3"/>
                <w:sz w:val="23"/>
                <w:szCs w:val="23"/>
                <w:highlight w:val="none"/>
              </w:rPr>
              <w:t xml:space="preserve">日</w:t>
            </w:r>
            <w:r/>
          </w:p>
        </w:tc>
      </w:tr>
    </w:tbl>
    <w:p>
      <w:pPr>
        <w:pStyle w:val="886"/>
        <w:spacing w:line="440" w:lineRule="exact"/>
        <w:rPr>
          <w:rFonts w:hint="eastAsia" w:hAnsi="宋体"/>
          <w:b/>
          <w:bCs/>
          <w:color w:val="auto"/>
          <w:sz w:val="36"/>
          <w:szCs w:val="36"/>
          <w:highlight w:val="none"/>
        </w:rPr>
      </w:pPr>
      <w:r>
        <w:rPr>
          <w:rFonts w:hint="eastAsia" w:hAnsi="宋体"/>
          <w:b/>
          <w:bCs/>
          <w:color w:val="auto"/>
          <w:sz w:val="36"/>
          <w:szCs w:val="36"/>
          <w:highlight w:val="none"/>
        </w:rPr>
      </w:r>
      <w:r/>
    </w:p>
    <w:p>
      <w:pPr>
        <w:pStyle w:val="886"/>
        <w:spacing w:line="440" w:lineRule="exact"/>
        <w:rPr>
          <w:rFonts w:hint="eastAsia" w:hAnsi="宋体"/>
          <w:b/>
          <w:bCs/>
          <w:color w:val="auto"/>
          <w:sz w:val="36"/>
          <w:szCs w:val="36"/>
          <w:highlight w:val="none"/>
        </w:rPr>
      </w:pPr>
      <w:r>
        <w:rPr>
          <w:rFonts w:hint="eastAsia" w:hAnsi="宋体"/>
          <w:b/>
          <w:bCs/>
          <w:color w:val="auto"/>
          <w:sz w:val="36"/>
          <w:szCs w:val="36"/>
          <w:highlight w:val="none"/>
        </w:rPr>
      </w:r>
      <w:r/>
    </w:p>
    <w:p>
      <w:pPr>
        <w:pStyle w:val="886"/>
        <w:spacing w:line="440" w:lineRule="exact"/>
        <w:rPr>
          <w:rFonts w:hint="eastAsia" w:hAnsi="宋体"/>
          <w:b/>
          <w:bCs/>
          <w:color w:val="auto"/>
          <w:sz w:val="36"/>
          <w:szCs w:val="36"/>
          <w:highlight w:val="none"/>
        </w:rPr>
      </w:pPr>
      <w:r>
        <w:rPr>
          <w:rFonts w:hint="eastAsia" w:hAnsi="宋体"/>
          <w:b/>
          <w:bCs/>
          <w:color w:val="auto"/>
          <w:sz w:val="36"/>
          <w:szCs w:val="36"/>
          <w:highlight w:val="none"/>
        </w:rPr>
      </w:r>
      <w:r/>
    </w:p>
    <w:p>
      <w:pPr>
        <w:pStyle w:val="886"/>
        <w:spacing w:line="440" w:lineRule="exact"/>
        <w:rPr>
          <w:rFonts w:hint="eastAsia" w:hAnsi="宋体"/>
          <w:b/>
          <w:bCs/>
          <w:color w:val="auto"/>
          <w:sz w:val="36"/>
          <w:szCs w:val="36"/>
          <w:highlight w:val="none"/>
        </w:rPr>
      </w:pPr>
      <w:r>
        <w:rPr>
          <w:rFonts w:hint="eastAsia" w:hAnsi="宋体"/>
          <w:b/>
          <w:bCs/>
          <w:color w:val="auto"/>
          <w:sz w:val="36"/>
          <w:szCs w:val="36"/>
          <w:highlight w:val="none"/>
        </w:rPr>
      </w:r>
      <w:r/>
    </w:p>
    <w:p>
      <w:pPr>
        <w:pStyle w:val="886"/>
        <w:numPr>
          <w:ilvl w:val="0"/>
          <w:numId w:val="6"/>
        </w:numPr>
        <w:ind w:firstLine="3050"/>
        <w:spacing w:line="52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 项目采购需求</w:t>
      </w:r>
      <w:r/>
    </w:p>
    <w:p>
      <w:pPr>
        <w:pStyle w:val="886"/>
        <w:numPr>
          <w:ilvl w:val="0"/>
          <w:numId w:val="0"/>
        </w:numPr>
        <w:spacing w:line="52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tbl>
      <w:tblPr>
        <w:tblStyle w:val="881"/>
        <w:tblW w:w="9894" w:type="dxa"/>
        <w:tblInd w:w="-6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2"/>
        <w:gridCol w:w="927"/>
        <w:gridCol w:w="6874"/>
        <w:gridCol w:w="626"/>
        <w:gridCol w:w="925"/>
      </w:tblGrid>
      <w:tr>
        <w:trPr>
          <w:trHeight w:val="750"/>
        </w:trPr>
        <w:tc>
          <w:tcPr>
            <w:gridSpan w:val="5"/>
            <w:shd w:val="clear" w:color="auto" w:fill="auto"/>
            <w:tcBorders>
              <w:top w:val="single" w:color="000000" w:sz="4" w:space="0"/>
              <w:left w:val="single" w:color="000000" w:sz="4" w:space="0"/>
              <w:bottom w:val="single" w:color="000000" w:sz="4" w:space="0"/>
              <w:right w:val="single" w:color="000000" w:sz="4" w:space="0"/>
            </w:tcBorders>
            <w:tcW w:w="9894" w:type="dxa"/>
            <w:vAlign w:val="center"/>
            <w:textDirection w:val="lrTb"/>
            <w:noWrap/>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1、智慧教室</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技术参数功能</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单位</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rPr>
              <w:t xml:space="preserve">AI双屏互动终端</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color w:val="000000"/>
                <w:sz w:val="22"/>
                <w:szCs w:val="22"/>
                <w:highlight w:val="none"/>
              </w:rPr>
              <w:t xml:space="preserve">1.整机由两块86英寸超高清LED液晶显示屏拼接组成，采用电容触控，屏幕为全贴合方式，显示比例16:9，分辨率3840×2160，屏幕表面钢化玻璃硬度≥9H。</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2.整体外观尺寸：宽≥6200mm，高≥1200mm，厚≤113mm。整机采用全金属外壳，三拼接平面一体化设计。</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3.侧置输入接口具备≥2路HDMI、1路RS232（RJ45形态）、1路USB接口，1路音频输出、1路触控USB输出；前置输入接口≥3路USB接口（包含1路Type-C、2路USB）。</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4.整机采用电容触控技术，Windows系统和Android系统均支持≥50点触控及书写划线。</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5.整机嵌入式系统版本≥Android 15，主频≥1.6GHz，内存≥2GB，存储空间≥32GB。 </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6.整机设备内置2.2声道扬声器，前朝向发声，12W高音扬声器2个，上朝向30W中低音扬声器2个，最大功率≥84W。</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7.整机内置非独立外扩展的阵列麦克风，可用于对教室环境音频进行采集，麦克风拾音距离≥12米。</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8.整机听力模式下具备AI人声语言增强功能，支持三挡强弱调节。扩声系统语言传输指数（STIPA）≥0.75。</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10.整机上边框内置非独立摄像头，采用一体化集成设计，</w:t>
            </w:r>
            <w:r>
              <w:rPr>
                <w:rFonts w:hint="eastAsia" w:ascii="微软雅黑" w:hAnsi="微软雅黑" w:eastAsia="微软雅黑" w:cs="微软雅黑"/>
                <w:color w:val="000000"/>
                <w:sz w:val="22"/>
                <w:szCs w:val="22"/>
                <w:highlight w:val="none"/>
              </w:rPr>
              <w:t xml:space="preserve">⽀</w:t>
            </w:r>
            <w:r>
              <w:rPr>
                <w:rFonts w:hint="eastAsia" w:ascii="宋体" w:hAnsi="宋体" w:cs="宋体"/>
                <w:color w:val="000000"/>
                <w:sz w:val="22"/>
                <w:szCs w:val="22"/>
                <w:highlight w:val="none"/>
              </w:rPr>
              <w:t xml:space="preserve">持输出4:3、16:9</w:t>
            </w:r>
            <w:r>
              <w:rPr>
                <w:rFonts w:hint="eastAsia" w:ascii="微软雅黑" w:hAnsi="微软雅黑" w:eastAsia="微软雅黑" w:cs="微软雅黑"/>
                <w:color w:val="000000"/>
                <w:sz w:val="22"/>
                <w:szCs w:val="22"/>
                <w:highlight w:val="none"/>
              </w:rPr>
              <w:t xml:space="preserve">⽐</w:t>
            </w:r>
            <w:r>
              <w:rPr>
                <w:rFonts w:hint="eastAsia" w:ascii="宋体" w:hAnsi="宋体" w:cs="宋体"/>
                <w:color w:val="000000"/>
                <w:sz w:val="22"/>
                <w:szCs w:val="22"/>
                <w:highlight w:val="none"/>
              </w:rPr>
              <w:t xml:space="preserve">例的图</w:t>
            </w:r>
            <w:r>
              <w:rPr>
                <w:rFonts w:hint="eastAsia" w:ascii="微软雅黑" w:hAnsi="微软雅黑" w:eastAsia="微软雅黑" w:cs="微软雅黑"/>
                <w:color w:val="000000"/>
                <w:sz w:val="22"/>
                <w:szCs w:val="22"/>
                <w:highlight w:val="none"/>
              </w:rPr>
              <w:t xml:space="preserve">⽚</w:t>
            </w:r>
            <w:r>
              <w:rPr>
                <w:rFonts w:hint="eastAsia" w:ascii="宋体" w:hAnsi="宋体" w:cs="宋体"/>
                <w:color w:val="000000"/>
                <w:sz w:val="22"/>
                <w:szCs w:val="22"/>
                <w:highlight w:val="none"/>
              </w:rPr>
              <w:t xml:space="preserve">和视频，支持拍摄＞1600 万像素数的照片和视频，支持输出 4k 分辨率的视频。</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11.整机内置双WiFi6无线网卡，在Android和Windows系统下，可实现Wi-Fi无线上网连接、AP无线热点发射。Wi-Fi制式支持IEEE 802.11 a/b/g/n/ac/ax；支持版本Wi-Fi6。</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12.整机支持发出频率为18kHz-22kHz超声波信号，智能手机和笔记本电脑接收超声波信号后可以自动识别附近投屏设备，点击对应设备即可完成投屏操作。</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13.整机配套教学应用APP可通过wifi直连技术，近场发现附近教学大屏设备，无需扫码、账号密码输入步骤，即可直接连接并登录教学大屏设备，基于统一身份认证机制可实现其他教学软件免登录操作。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14.▲整机Windows通道支持文件传输应用，支持通过扫码、超声、wifi直连三种方式与手机进行握手连接，实现文件传输功能。（提供CNAS或CMA认证的检测机构出具的检测报告复印件并加盖投标人公章）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cs="宋体"/>
                <w:color w:val="000000"/>
                <w:sz w:val="22"/>
                <w:szCs w:val="22"/>
                <w:highlight w:val="none"/>
              </w:rPr>
              <w:t xml:space="preserve">15.整机内置AR授课工具，支持对视频展台所采集的画面中叠加动态的3D 模型。3D模型包括：动物、微生物、人体骨骼、乐器、星球、地形。</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16.整机内置AI智能体，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二、插拔式电脑模块：</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1、采用按压式卡扣，无需工具即可快速拆卸电脑模块。</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2、PC模块和整机的连接采用万兆级接口，传输速率≥10Gbps。</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3、电脑模块CPU要求：主频≥2.0GHz，8核心十二线程；配置要求：内置不低于2G独立显卡；不低于 DDR4 16GB内存，256GB SSD硬盘；接口要求：≥1路HDMI，≥3路USB。</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三、多屏互动软件：</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1.整机任一屏幕侧边栏快捷菜单均支持进行快捷多屏工具使用，包含黑板书写、显示模式切换、跨屏播放、调度中心。</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2.整机任一屏幕侧边栏快捷菜单均支持进行拼接方式切换，包含单屏常态教学、双屏联动教学。</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3.整机任一屏幕均支持通过叩击和拍击的手势快速唤起黑板软件。</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4.整机任一屏幕均支持打开黑板进行书写，黑板均支持选择、书写、板擦、撤回、加页、打开照片、保存板书、收起。</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5.整机支持切换为左右扩展显示模式，左右屏幕可显示不同的画面内容（包含音视频、浏览器、视频展台、白板软件）。</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6.支持双屏模式下，打开32:9的素材资源，自动匹配32:9的显示比例，无需调整分辨率以及比例，可一键实现全屏展示，包含图片、视频、pdf文档、ppt课件、word文档。</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7.支持课件上下页联动放映，一边屏幕放映当前课件页面，另外一边屏幕放映课件上一页面。</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8.整机任一屏幕均支持通过双手多指手势、侧边栏打开调度中心。调度中心支持展示所有屏幕当前打开的所有应用程序，可以通过点击将应用跨屏幕移动至当前屏幕展示，支持通过调度中心关闭应用。</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9.整机任一屏幕均支持可自定义图像设置，可对对比度、屏幕色温、图像亮度、亮度范围、色彩空间进行更进一步调节设置，在任一屏幕操作，同时控制多屏达成一致。</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展台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 采用≥800万像素摄像头；采用 USB电源直接供电，无需额外配置电源适配器；箱内USB连线采用隐藏式设计，箱内无可见连线且USB口下出。</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 A4大小拍摄幅面，1080P动态视频预览达到30帧/秒。</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 整机采用圆弧式设计，无锐角；托板可承重3kg，同时托板采用磁吸吸附式机构。</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 展示托板正上方具备LED补光灯补光灯开关采用触摸按键设计，同时可通过视频展台软件直接控制开关；</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color w:val="000000"/>
                <w:sz w:val="22"/>
                <w:szCs w:val="22"/>
                <w:highlight w:val="none"/>
              </w:rPr>
              <w:t xml:space="preserve">5. 摄像头支持自动对焦；摄像头部分进行外壳防护等级试验，防护等级达到IP4X级别。</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rPr>
              <w:t xml:space="preserve">AI互动终端</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整体设计</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1.整机采用边框与背板一体化冲压成型结构，上左右三边边框与背板非拼接组装结构，连接处无拼缝。整机左、右、下三边框皆具备磁吸功能，边框任意位置可吸附具备磁吸功能的书写笔。</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2.屏幕采用≥65英寸液晶显示器，采⽤LED液晶A规屏，显示⽐例16:9。显示分辨率3840*2160，可视⻆度≥178°。</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3.侧置输入接口具备≥2路HDMI、1路RS232（RJ45形态）、1路USB接口，1路音频输出、1路触控USB输出；前置输入接口≥3路USB接口（包含1路Type-C、2路USB）。</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4.整机采用红外触控技术，Windows系统和Android系统均支持≥50点触控及书写划线。</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5.整机嵌入式系统版本≥Android 15，主频≥1.6GHz。</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6.整机设备内置2.2声道扬声器，前朝向发声，12W高音扬声器2个，上朝向30W中低音扬声器2个，最大功率≥84W，全部扬声器无需打开背板即可单独拆卸。</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7.整机内置非独立外扩展的4阵列麦克风，可用于对教室环境音频进行采集，麦克风拾音距离≥12米。</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8.整机听力模式下具备AI人声语言增强功能，支持三挡强弱调节。扩声系统语言传输指数（STIPA）≥0.75。</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10.整机上边框内置非独立摄像头，采用一体化集成设计，⽀持输出4:3、16:9⽐例的图⽚和视频，支持拍摄＞1600 万像素数的照片和视频，支持输出 4k 分辨率的视频。</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11.整机内置双WiFi6无线网卡，在Android和Windows系统下，可实现Wi-Fi无线上网连接、AP无线热点发射。Wi-Fi制式支持IEEE 802.11 a/b/g/n/ac/ax；支持版本Wi-Fi6。（提供CNAS或CMA认证的检测机构出具的检测报告复印件并加盖公章）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12.整机支持发出超声波信号，智能手机和笔记本电脑接收超声波信号后可以自动识别附近投屏设备，点击对应设备即可完成投屏操作。</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13.▲整机配套教学应用APP可通过wifi直连技术，近场发现附近教学大屏设备，无需扫码、账号密码输入步骤，即可直接连接并登录教学大屏设备，基于统一身份认证机制可实现其他教学软件免登录操作。（提供CNAS或CMA认证的检测机构出具的检测报告复印件并加盖投标人公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14.整机Windows通道支持文件传输应用，支持通过扫码、超声、wifi直连三种方式与手机进行握手连接，实现文件传输功能。</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15.整机内置AR授课工具，支持对视频展台所采集的画面中叠加动态的3D 模型。3D模型包括：动物、微生物、人体骨骼、乐器、星球、地形。</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16.▲整机内置AI智能体，根据教学和学习需求可快速创建，支持个性化设定角色信息包括角色性格、技能与头像信息，支持语音和文字两种方式与智能体进行对话交互，创建的智能体可上传到本校资源进行共享使用。（提供CNAS或CMA认证的检测机构出具的检测报告复印件并加盖投标人公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二、插拔式电脑模块：</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1、采用按压式卡扣，无需工具即可快速拆卸电脑模块。</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2、PC模块和整机的连接采用万兆级接口，传输速率≥10Gbps。</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3、电脑模块CPU要求：主频≥2.0GHz，8核心十二线程；配置要求：不低于 DDR4 8GB内存，256GB SSD硬盘；接口要求：≥1路HDMI，≥3路USB。"</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研讨互动软件-教师端</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color w:val="000000"/>
                <w:sz w:val="22"/>
                <w:szCs w:val="22"/>
                <w:highlight w:val="none"/>
              </w:rPr>
              <w:t xml:space="preserve">1.自动连接小组：支持自动连接小组端，小组端初次与教师端连接配置后，教师端自动检测小组端运行状态，小组端处于开启状态时自动建立连接。</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2.班级创建：支持老师主动创建班级功能，老师可进行多班级创建，老师可在后台提前进行班级创建，创建成功后，老师登录授课端应用时即可直接进入班级列表，选择班级进入课堂，同时支持在授课端进行临时班级创建。</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3.小组管理：具备终端中控看板功能，实时显示当前教室分组信息及各终端连接状态，便于教师根据教学需要进行调整。</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4.拖拽分组：教师端支持针对小组成员手动拖拽分组，把小组成员按照实际情况做灵活调整，实现课堂分组的快速调整。</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5.随机分组：教师端支持随机分组，在小组管理的界面，点击随机分组，所有小组成员会自动重新分配。</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6.小组投屏：支持预览所有小组屏画面，并选择进行投屏，支持自定义抓取至少6个任意小组屏幕并投屏至教师端，便捷展示学生研讨成果，并对小组内容进行批注讲解。</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7.▲小组屏幕分享：支持自定义选择一个小组屏幕投屏至教师端，并广播至其他小组端屏幕，实现各小组间信息同步。（提供CNAS或CMA认证的检测机构出具的检测报告复印件并加盖投标人公章）</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8.教师端广播：最高支持教师端屏幕广播至小组端和学生端，提高信息共享效率。</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9.触控回传：教师端具备一键调起小组端电脑虚拟键盘功能，当小组端投屏后，可在教师端调起电脑的虚拟键盘，并通过触摸回传功能直接在教师端进行文字输入。</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10.互动反馈系统：互动反馈系统支持抢答、抽选功能，活跃课堂氛围。抢答可显示前三个抢答成功的学生名单。</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11.课堂报告：互动反馈系统支持一键生成课堂互动报告，包含签到人数，考勤情况，互动次数、学生参与度、题目详情、答题结果，提问记录，同时还可以课堂报告进行备注，方便后期的持续回顾和提升。</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12.统计考勤：支持无感考勤签到功能，学生连接成功进入课堂后，名字可自动显示在签到列表上，签到列表可实时统计已签到人数，并支持查看未到的人员。</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14.▲小组一键开关机：支持教师端控制一键开关机小组端屏幕（提供CNAS或CMA认证的检测机构出具的检测报告复印件并加盖投标人公章）</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15.资料分发：支持教师下载教师空间中的文档资料，一键分发给全员和小组端，提供1G免费云空间，支持的文件包含但不局限于以下格式：音视频格式，文档格式，图片格式。</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16.课堂答疑：教师端在连接状态下可实时接收到来自学生的提问，提问内容可根据老师操作自动判断为已读或者未读，并且支持问题放大全屏查看。</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17.批注分发：教师端批注功能支持在课中任意时刻对教师端内容进行批注，并且支持批注内容一键保存，自动上传到教师空间，同时支持将批注内容一键发送到全员学生端，便于学生同步查看。</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18.授课小工具：教师播放课件时，提供授课小工具，包括画笔、橡皮擦、板中板、放大镜和批注分享功能等；</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19.无线传屏：教师端工具栏支持无线传屏，点击开启无线传屏则打开传屏码，老师自带笔记本在互动教学软件输入传屏码即可进行无线传屏。</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20.随堂评价：支持老师实时发起评价调研，学生可利用个人终端对课堂进行评价打分，老师可在个人教学空间里查看包含评价平均分、累计评课数量、累计参评学生数量等多种维度评价数据，并生成评价趋势图，方便教学反思。</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研讨互动软件-小组端</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1.多端投屏：可支持至少6个学生端投屏画面同时在大屏上显示，同时显示来自Android、iOS、Windows、MacOS 等不同系统的投屏画面，并且根据连接数量自动排布。支持将六分屏画面内其中一个画面一键全屏显示，以及一键将全屏画面切换回六分屏，方便灵活讲解。</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2.9分屏投图：可支持至少9张图片同时在小组端上显示，同步显示来自Android、iOS学生端上传的图片，并且根据图片数量自动排布。支持将9分屏图片内其中一张图片一键全屏显示，以及在全屏画面下一键切换回9分屏画面，方便灵活讲解。</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头脑风暴：支持在小组端开启头脑风暴，最少支持10个组员可通过学生端将想法上传，每输入完成一个文本或图片时，小组屏可以立即展示此内容，支持多名学生同时上传想法。如存在内容发送有误，可通过学生端即时撤回。在小组屏可针对学生上传的内容进行拖动、修改边框、修改颜色、删除等操作，以对内容进行归类。支持将头脑风暴结果一键发送至学生端，实现课堂内容即时保存和随时查看。（提供CNAS或CMA认证的检测机构出具的检测报告复印件并加盖投标人公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4.黑板书写：支持小组端默认打开黑板书写功能，可自由调整笔迹颜色及笔触粗细，可新增页码、清空笔迹。支持将学生端上传的图片和投屏时的截图一键插入协作白板。</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协同书写：支持组员通过学生端加入协作书写，小组内不同学生通过任意终端，可在同一白板操作界面上实时输入笔迹、文本、等内容，并可支持学生之间的内容相互协作编辑：修改内容、拖动等。支持对文档内容进行复制粘贴。支持将协作书写一键发送至学生端，实现协作内容即时保存和随时查看。（提供CNAS或CMA认证的检测机构出具的检测报告复印件并加盖投标人公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6.录制功能：支持本地录屏功能，可将屏幕的画面和内容录制成微课并保存在本地；支持调用设备本地摄像头进行拍摄录制，并保存到本地。</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7.PPT小工具：支持小组端进入PPT放映模式后提供批注、黑板、橡皮、撤销、批注分享等工具，满足学生小组研讨的使用。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教师讲台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一、讲台技术要求</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1.讲桌的桌架型材采用钢材，表面处理选用静电喷涂技术，颜色原木色。</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2.讲桌的桌面板材，采用E0级免漆板，厚度≥25mm，颜色为白色，桌板尺寸≥1600mm×750mm。</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讲桌的桌面围桌板前部具备多层板弯曲而成的高围挡设计，表面喷漆。围挡整体颜色均匀，无明显深浅色差。高度≥80mm，可防止桌面物品滚落；桌面左右两侧前方具有和围挡同色的木凸台，厚度≥20mm，用于放置控制设备和话筒等。</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4.讲桌的机柜内置≥11U的19英寸标准机架，前后门都可以打开方便维护。前后门都具有散热孔，前门带锁。</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5.讲桌的桌面上需具备≥1个万能5孔220V电源插座、≥2 个USB接口，≥1 个抽线区域且抽线孔位≥3。</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6.讲桌的桌面需设计有一体化的显示器支架，可倾斜15°~60°，同时支架底座需具备键鼠收纳空间，用于存放键鼠设备。</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7.电脑机柜：可放置最大高515mm*宽220mm*深度440mm的电脑，前门具备散热孔，前门带锁。</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8.讲桌需具备可控制桌面升降的物理升降按键，并支持在升降过程中实时显示当前的桌面高度。</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9.讲桌需具备电动升降结构，桌面的离地总高度升降范围：725mm~1125mm，高度可调节，满足不同身高的教师使用。</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10.讲桌采用双电机两节电动升降立柱。管子尺寸：外管尺寸≥80*50mm，内管尺寸≥75*45mm，桌架最大均布载荷：≥100Kg均布。控制盒带陀螺仪功能：遇阻回退防夹保护，桌面震动和突然倾斜立刻停止升降。</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二、书写屏技术要求</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1.智能书写需采用全贴合工艺，表面需采用蚀刻AG防炫光玻璃。</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显示尺寸≧于23英寸；分辨率≧1920x1080；显示比例16：9；对比度≧1000：1；亮度≧250cd/m²；触摸采用电容和电磁触控技术，支持手指及电磁笔双重触控方式；需要支10点触控；手写分辨率不低于5080LPI，压感级别不低于8192级；</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3.需具备≧1路HDMI、≧1路VGA信号输入接口；</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4.需包含一支无源书写笔，采用电磁压感技术，响应快，笔触细腻，书写流畅；</w:t>
            </w:r>
            <w:r/>
          </w:p>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5.需支持与多媒体控制面板兼容，实现与控制面板大小屏交互，进程预览，一键切换，在交互控制面板上可以一键打开PPT、WORD、EXCEl等快捷应用功能。</w:t>
            </w:r>
            <w:r/>
          </w:p>
          <w:p>
            <w:pPr>
              <w:jc w:val="lef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6.配置教学辅助软件实现批注功能，将当前教学的重点内容进行批注；需具备板书功能，老师在画板上可以自由进行涂画和书写，支持颜色、笔迹粗细设置，支持擦除、清空、保存板书等操作。</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学生桌</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rPr>
                <w:rFonts w:hint="eastAsia"/>
                <w:highlight w:val="none"/>
              </w:rPr>
            </w:pPr>
            <w:r>
              <w:rPr>
                <w:rFonts w:hint="eastAsia"/>
                <w:highlight w:val="none"/>
                <w:lang w:val="en-US" w:eastAsia="zh-CN"/>
              </w:rPr>
              <w:t xml:space="preserve">1、</w:t>
            </w:r>
            <w:r>
              <w:rPr>
                <w:rFonts w:hint="eastAsia"/>
                <w:highlight w:val="none"/>
              </w:rPr>
              <w:t xml:space="preserve">桌面采用厚度25MM的环保等级不低于E1高密度板；桌面板所有棱边都采用弧形设计</w:t>
            </w:r>
            <w:r>
              <w:rPr>
                <w:rFonts w:hint="eastAsia"/>
                <w:highlight w:val="none"/>
                <w:lang w:eastAsia="zh-CN"/>
              </w:rPr>
              <w:t xml:space="preserve">；</w:t>
            </w:r>
            <w:r>
              <w:rPr>
                <w:rFonts w:hint="eastAsia"/>
                <w:highlight w:val="none"/>
              </w:rPr>
              <w:t xml:space="preserve">产品防潮防湿，桌面24小时灌水测试不起泡，产品无毒、无甲醛排放；桌面也可以选择表面贴三聚氰胺，侧边封边工艺。甲方根据实际需求选择。</w:t>
            </w:r>
            <w:r/>
          </w:p>
          <w:p>
            <w:pPr>
              <w:rPr>
                <w:rFonts w:hint="eastAsia"/>
                <w:highlight w:val="none"/>
              </w:rPr>
            </w:pPr>
            <w:r>
              <w:rPr>
                <w:rFonts w:hint="eastAsia"/>
                <w:highlight w:val="none"/>
              </w:rPr>
              <w:t xml:space="preserve">2.桌架：1.</w:t>
            </w:r>
            <w:r>
              <w:rPr>
                <w:rFonts w:hint="eastAsia"/>
                <w:highlight w:val="none"/>
                <w:lang w:val="en-US" w:eastAsia="zh-CN"/>
              </w:rPr>
              <w:t xml:space="preserve">2</w:t>
            </w:r>
            <w:r>
              <w:rPr>
                <w:rFonts w:hint="eastAsia"/>
                <w:highlight w:val="none"/>
              </w:rPr>
              <w:t xml:space="preserve">mm厚蛋管冷轧钢立柱，1.</w:t>
            </w:r>
            <w:r>
              <w:rPr>
                <w:rFonts w:hint="eastAsia"/>
                <w:highlight w:val="none"/>
                <w:lang w:val="en-US" w:eastAsia="zh-CN"/>
              </w:rPr>
              <w:t xml:space="preserve">0</w:t>
            </w:r>
            <w:r>
              <w:rPr>
                <w:rFonts w:hint="eastAsia"/>
                <w:highlight w:val="none"/>
              </w:rPr>
              <w:t xml:space="preserve">mm冷轧钢横梁，书网：材料为0.8mm冷轧钢架，材料表面经过防腐氧化处理和纯环氧树脂塑粉高温固化处理，具有较强的耐蚀性及承重性；</w:t>
            </w:r>
            <w:r/>
          </w:p>
          <w:p>
            <w:pPr>
              <w:rPr>
                <w:rFonts w:hint="eastAsia"/>
                <w:highlight w:val="none"/>
              </w:rPr>
            </w:pPr>
            <w:r>
              <w:rPr>
                <w:rFonts w:hint="eastAsia"/>
                <w:highlight w:val="none"/>
              </w:rPr>
              <w:t xml:space="preserve">3.挡板：挡板E1级高密度板采用15MM，封边：PVC胶边</w:t>
            </w:r>
            <w:r/>
          </w:p>
          <w:p>
            <w:pPr>
              <w:rPr>
                <w:rFonts w:hint="eastAsia"/>
                <w:highlight w:val="none"/>
              </w:rPr>
            </w:pPr>
            <w:r>
              <w:rPr>
                <w:rFonts w:hint="eastAsia"/>
                <w:highlight w:val="none"/>
              </w:rPr>
              <w:t xml:space="preserve">4.脚轮：可调节高低，带刹车，方便用户随时调节桌面平整；</w:t>
            </w:r>
            <w:r/>
          </w:p>
          <w:p>
            <w:pPr>
              <w:rPr>
                <w:rFonts w:hint="eastAsia"/>
                <w:highlight w:val="none"/>
              </w:rPr>
            </w:pPr>
            <w:r>
              <w:rPr>
                <w:rFonts w:hint="eastAsia"/>
                <w:highlight w:val="none"/>
              </w:rPr>
              <w:t xml:space="preserve">5.折叠：整个桌子可90度折叠，节省空间。简易便捷的多功能翻转桌，能够快速侧翻桌面，可快速组合，解决了占地面积，又可因空间需求来堆叠或者展开;</w:t>
            </w:r>
            <w:r/>
          </w:p>
          <w:p>
            <w:pPr>
              <w:rPr>
                <w:rFonts w:hint="eastAsia"/>
                <w:highlight w:val="none"/>
              </w:rPr>
            </w:pPr>
            <w:r>
              <w:rPr>
                <w:rFonts w:hint="eastAsia"/>
                <w:highlight w:val="none"/>
              </w:rPr>
              <w:t xml:space="preserve">6.木板颜色：多色可选或提供样品色定制；</w:t>
            </w:r>
            <w:r/>
          </w:p>
          <w:p>
            <w:pPr>
              <w:rPr>
                <w:rFonts w:hint="eastAsia"/>
                <w:highlight w:val="none"/>
                <w:lang w:val="en-US" w:eastAsia="zh-CN"/>
              </w:rPr>
            </w:pPr>
            <w:r>
              <w:rPr>
                <w:rFonts w:hint="eastAsia"/>
                <w:highlight w:val="none"/>
              </w:rPr>
              <w:t xml:space="preserve">7.平衡码：1）可固定拼接、整体移动，2）可固定桌面平整；</w:t>
            </w:r>
            <w:r>
              <w:rPr>
                <w:rFonts w:hint="eastAsia"/>
                <w:highlight w:val="none"/>
                <w:lang w:val="en-US" w:eastAsia="zh-CN"/>
              </w:rPr>
              <w:t xml:space="preserve"> </w:t>
            </w:r>
            <w:r/>
          </w:p>
          <w:p>
            <w:pPr>
              <w:rPr>
                <w:rFonts w:hint="eastAsia"/>
                <w:highlight w:val="none"/>
              </w:rPr>
            </w:pPr>
            <w:r>
              <w:rPr>
                <w:rFonts w:hint="eastAsia"/>
                <w:highlight w:val="none"/>
              </w:rPr>
              <w:t xml:space="preserve">8、旋转开关设计简单方便。内部设有滑道。装饰件：ABS材质。</w:t>
            </w:r>
            <w:r/>
          </w:p>
          <w:p>
            <w:pPr>
              <w:rPr>
                <w:rFonts w:hint="eastAsia"/>
                <w:highlight w:val="none"/>
              </w:rPr>
            </w:pPr>
            <w:r>
              <w:rPr>
                <w:rFonts w:hint="eastAsia"/>
                <w:highlight w:val="none"/>
              </w:rPr>
              <w:t xml:space="preserve">9.采用人体工程理念及个性化需求，整件产品拼接好，接缝齐整，整体颜色基本相符，过渡自然；台架有旋转折叠装置，脚轮采用的PU万向脚轮带刹车，。尺寸：750*550*750mm，六边形直径1500mm</w:t>
            </w:r>
            <w:r/>
          </w:p>
          <w:p>
            <w:pPr>
              <w:rPr>
                <w:rFonts w:hint="eastAsia" w:eastAsia="宋体"/>
                <w:highlight w:val="none"/>
                <w:lang w:eastAsia="zh-CN"/>
              </w:rPr>
            </w:pPr>
            <w:r>
              <w:rPr>
                <w:rFonts w:hint="eastAsia"/>
                <w:highlight w:val="none"/>
              </w:rPr>
              <w:t xml:space="preserve">（可以根据甲方环境，</w:t>
            </w:r>
            <w:r>
              <w:rPr>
                <w:rFonts w:hint="eastAsia"/>
                <w:highlight w:val="none"/>
                <w:lang w:val="en-US" w:eastAsia="zh-CN"/>
              </w:rPr>
              <w:t xml:space="preserve">教室实际尺寸进行调整</w:t>
            </w:r>
            <w:r>
              <w:rPr>
                <w:rFonts w:hint="eastAsia"/>
                <w:highlight w:val="none"/>
              </w:rPr>
              <w:t xml:space="preserve">）。</w:t>
            </w:r>
            <w:r>
              <w:rPr>
                <w:rFonts w:hint="eastAsia"/>
                <w:highlight w:val="none"/>
                <w:lang w:val="en-US" w:eastAsia="zh-CN"/>
              </w:rPr>
              <w:t xml:space="preserve"> </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学生椅子</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rPr>
                <w:rFonts w:hint="eastAsia" w:ascii="Times New Roman" w:hAnsi="Times New Roman" w:eastAsia="宋体" w:cs="Times New Roman"/>
                <w:highlight w:val="none"/>
              </w:rPr>
            </w:pPr>
            <w:r>
              <w:rPr>
                <w:rFonts w:hint="eastAsia"/>
                <w:highlight w:val="none"/>
              </w:rPr>
              <w:t xml:space="preserve">1</w:t>
            </w:r>
            <w:r>
              <w:rPr>
                <w:rFonts w:hint="eastAsia" w:ascii="Times New Roman" w:hAnsi="Times New Roman" w:eastAsia="宋体" w:cs="Times New Roman"/>
                <w:highlight w:val="none"/>
              </w:rPr>
              <w:t xml:space="preserve">.面料，采用优质网布面料，防磨防污性好；颜色可选，背架全新进口PA+30%玻纤</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2.辅料：采用优于或等于45#高密度、高弹力定型海绵，可防氧化、防碎，软硬适中，回弹性良好，不易变形；</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3.扶手：PA+30%玻纤扶手、耐磨</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4.架子：32.5*20.5*T1.5mm厚，Q235碳素钢</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5.功能：座板可翻起、可全折叠</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 xml:space="preserve">6.产品尺寸：</w:t>
            </w:r>
            <w:r>
              <w:rPr>
                <w:rFonts w:hint="eastAsia" w:ascii="Times New Roman" w:hAnsi="Times New Roman" w:eastAsia="宋体" w:cs="Times New Roman"/>
                <w:highlight w:val="none"/>
                <w:lang w:val="en-US" w:eastAsia="zh-CN"/>
              </w:rPr>
              <w:t xml:space="preserve">≥</w:t>
            </w:r>
            <w:r>
              <w:rPr>
                <w:rFonts w:hint="eastAsia" w:ascii="Times New Roman" w:hAnsi="Times New Roman" w:eastAsia="宋体" w:cs="Times New Roman"/>
                <w:highlight w:val="none"/>
              </w:rPr>
              <w:t xml:space="preserve">L610*W55</w:t>
            </w:r>
            <w:r>
              <w:rPr>
                <w:rFonts w:hint="eastAsia" w:ascii="Times New Roman" w:hAnsi="Times New Roman" w:eastAsia="宋体" w:cs="Times New Roman"/>
                <w:highlight w:val="none"/>
                <w:lang w:val="en-US" w:eastAsia="zh-CN"/>
              </w:rPr>
              <w:t xml:space="preserve">0</w:t>
            </w:r>
            <w:r>
              <w:rPr>
                <w:rFonts w:hint="eastAsia" w:ascii="Times New Roman" w:hAnsi="Times New Roman" w:eastAsia="宋体" w:cs="Times New Roman"/>
                <w:highlight w:val="none"/>
              </w:rPr>
              <w:t xml:space="preserve">*H835</w:t>
            </w:r>
            <w:r>
              <w:rPr>
                <w:rFonts w:hint="eastAsia" w:ascii="Times New Roman" w:hAnsi="Times New Roman" w:eastAsia="宋体" w:cs="Times New Roman"/>
                <w:highlight w:val="none"/>
                <w:lang w:val="en-US" w:eastAsia="zh-CN"/>
              </w:rPr>
              <w:t xml:space="preserve"> </w:t>
            </w:r>
            <w:r/>
          </w:p>
          <w:p>
            <w:pPr>
              <w:rPr>
                <w:rFonts w:hint="eastAsia" w:ascii="宋体" w:hAnsi="宋体" w:eastAsia="宋体" w:cs="宋体"/>
                <w:i w:val="0"/>
                <w:iCs w:val="0"/>
                <w:color w:val="000000"/>
                <w:sz w:val="22"/>
                <w:szCs w:val="22"/>
                <w:highlight w:val="none"/>
                <w:u w:val="none"/>
                <w:lang w:val="en-US" w:eastAsia="zh-CN"/>
              </w:rPr>
            </w:pPr>
            <w:r>
              <w:rPr>
                <w:rFonts w:hint="eastAsia" w:ascii="Times New Roman" w:hAnsi="Times New Roman" w:eastAsia="宋体" w:cs="Times New Roman"/>
                <w:highlight w:val="none"/>
                <w:lang w:val="en-US" w:eastAsia="zh-CN"/>
              </w:rPr>
              <w:t xml:space="preserve"> （</w:t>
            </w:r>
            <w:r>
              <w:rPr>
                <w:rFonts w:hint="eastAsia" w:ascii="Times New Roman" w:hAnsi="Times New Roman" w:eastAsia="宋体" w:cs="Times New Roman"/>
                <w:highlight w:val="none"/>
              </w:rPr>
              <w:t xml:space="preserve">可以根据甲方环境，</w:t>
            </w:r>
            <w:r>
              <w:rPr>
                <w:rFonts w:hint="eastAsia" w:ascii="Times New Roman" w:hAnsi="Times New Roman" w:eastAsia="宋体" w:cs="Times New Roman"/>
                <w:highlight w:val="none"/>
                <w:lang w:val="en-US" w:eastAsia="zh-CN"/>
              </w:rPr>
              <w:t xml:space="preserve">教室实际尺寸进行调整</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            </w:t>
            </w:r>
            <w:r>
              <w:rPr>
                <w:rFonts w:hint="eastAsia" w:ascii="宋体" w:hAnsi="宋体" w:eastAsia="宋体" w:cs="宋体"/>
                <w:i w:val="0"/>
                <w:iCs w:val="0"/>
                <w:color w:val="000000"/>
                <w:sz w:val="22"/>
                <w:szCs w:val="22"/>
                <w:highlight w:val="none"/>
                <w:u w:val="none"/>
                <w:lang w:val="en-US" w:eastAsia="zh-C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把</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学生平板（学生移动终端）</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numPr>
                <w:ilvl w:val="0"/>
                <w:numId w:val="8"/>
              </w:numPr>
              <w:jc w:val="left"/>
              <w:keepLines w:val="0"/>
              <w:keepNext w:val="0"/>
              <w:widowControl/>
              <w:rPr>
                <w:rFonts w:hint="eastAsia"/>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显示屏尺寸：≥10.95英寸，屏幕分辨率：≥1920×1200</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2.采用八核CPU，主频：≥2.0GHz</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3.内存容量：≥6GB；存储容量：≥128GB</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4.电池容量：≥8000mAh（典型值）</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5.摄像头：双摄像头，前置≥800万像素，后置≥800万像素，后摄支持文档矫正增强功能，可以倾斜拍摄文档，并进行自动矫正和文字效果显示增强</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6.接口支持：扬声器≥2个；麦克风≥2个；USB TYPE C接口≥1个；支持耳机功能；Micro SD卡接口≥1个（最大支持512GB）。</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7.WiFi：支持802.11a/b/g/n/ac（2.4G&amp;5.8GHz)；蓝牙：支持</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8.操作系统：Android 10.0或以上版本定制化操作系统，使用定制化桌面，避免与学习无关信息的干扰。</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9.屏幕支持防眩光功能；通过类纸显示标准符合性证书；蓝光危害级别为RG0无危害。</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10.护眼功能：支持距离感应功能，用户与平板距离低于设定距离时，自动弹出护眼警示；支持感光保护，自动检测环境光亮度，自动调整匹配的屏幕亮度</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11.防护设计：支持防摔，带皮套100cm掉落至地面无损坏；支持IP43防尘防水。</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12.安全设计：采用V0防火阻燃材料；支持充电保护功能。</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教师平板（教学移动终端）</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1.显示屏尺寸：≥10.95英寸，屏幕分辨率：≥1920×1200</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2.采用八核CPU，主频：≥2.0GHz</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3.内存容量：≥6GB；存储容量：≥128GB</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4.电池容量：≥8000mAh（典型值）</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5.摄像头：双摄像头，前置≥800万像素，后置≥800万像素，后摄支持文档矫正增强功能，可以倾斜拍摄文档，并进行自动矫正和文字效果显示增强</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6.接口支持：扬声器≥2个；麦克风≥2个；USB TYPE C接口≥1个；支持耳机功能；Micro SD卡接口≥1个（最大支持512GB）。</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7.WiFi：支持802.11a/b/g/n/ac（2.4G&amp;5.8GHz)；蓝牙：支持</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8.操作系统：Android 10.0或以上版本定制化操作系统。</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9.屏幕支持防眩光功能；通过类纸显示标准符合性证书；蓝光危害级别为RG0无危害。</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10.护眼功能：支持距离感应功能，用户与平板距离低于设定距离时，自动弹出护眼警示；支持感光保护，自动检测环境光亮度，自动调整匹配的屏幕亮度</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11.防护设计：支持防摔，带皮套100cm掉落至地面无损坏；支持IP43防尘防水。</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12.安全设计：采用V0防火阻燃材料；支持充电保护功能。</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互动教学系统（智慧课堂应用软件）</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color w:val="000000"/>
                <w:sz w:val="22"/>
                <w:szCs w:val="22"/>
                <w:highlight w:val="none"/>
              </w:rPr>
              <w:t xml:space="preserve">1. 教师可加入多个班级进行授课，并可在授课过程中无缝切换班级。支持教师查看当前授课班级的小组、学生在线名单及详情，支持在界面中直观显示在线、离线学生名单。</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2. 教师可将交互式课件资料下发给学生，并支持学生完成点击、拖拽、批注等操作。教师可通过屏幕截图或实时画面了解学生作答情况及课堂笔记。支持分组下发交互式课件，能够针对不同学生组别一键推送课件不同页码的内容。</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3. 教师可下发游戏化互动题目，包括分类、填空、配对、双人竞赛等类型，学生通过终端作答后，教师端可收集全班学生每一个选项的答题正确率及错误学生名单。</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4. 听课模式下学生可将作业、试卷等用现场拍照或调用图库方式即时上传教师授课端。教师授课端可选择随机或指定学生照片进行展示，并支持对每张图片进行标注等操作。</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5. 支持自习模式、听课模式便捷切换；自习模式下，学生可自主查阅资料；听课模式下，教师可管控学生设备，并支持在管控状态下进行互动。</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6. 支持无走动巡堂，可采集不少于4个学生的屏幕，采集过程学生屏幕自动管控，支持更换、增删学生屏幕的操作，帮助教师快速总览学生学习情况。</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7. 支持教师发起课堂即时问答，支持预设题目数量、答题时间，并推送相应题干内容至学生端供学生作答，支持单选题、多选题、判断题等多种题型。答题过程中实时统计答题进度、预设正确答案、作答及未作答学生名单。答题结束后以学生或小组形式汇总各题各选项的选择名单及题目正确率。</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8. 支持课堂选人回答功能，支持学生抢答、教师随机抽选等方式。</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9. ▲支持学生通过终端发表个人观点，可输入不少于6条观点。教师端可自动生成观点文字排布图，并支持筛选词频展示主流观点。支持按照观点相同人数进行排序展示。支持随机抽选单个学生展示其观点。（提供CNAS或CMA认证的检测机构出具的检测报告复印件并加盖投标人公章）</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10. 支持教师调用精品题库进行随堂小测，可预设答题时间，并在小测结束后自动批改客观题；全程提供作答进度、正确率等数据，供教师掌控测验进度及测验重难点。</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11. 支持教师调用题库资源自定义生成答题竞赛小游戏。答题结果支持自动批改，即时展现学生答题正确率和答题时间，生成学生积分榜。</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12. 所有答题互动自动生成报告单，教师可通过移动二维码或本地下载等方式获取本节课程内所有答题互动记录。记录包括：互动次数、未参与学生、答题类型、各题各选项的选择名单、各题目正确率、生生互动评分详情等。</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13. 提供小组合作学习功能，教师可通过手动或学生自选的方式进行分组，分组后教师可分别下发一个或多个任务，学生可查看任务相关学习文件资源，小组成员可进行协同编辑。支持小组内不同学生通过不同终端在同一白板操作界面上实时输入笔迹、文本、图片等内容，并可支持学生之间相互协作编辑。支持对文档内容进行复制粘贴，支持学生对教师下发资料进行截图并插入；协作任务结束后教师可查看所有小组的任务结果并给予评价。</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14. ▲支持根据学生作答结果生成班级知识图谱；可获取知识点上下级及前序知识点关联关系，各知识点的练习量、正确率、掌握度情况；可分辨高频知识点；可查看某一知识点的下级知识点练习量、正确率、掌握度情况。（提供CNAS或CMA认证的检测机构出具的检测报告复印件并加盖投标人公章）</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15. 支持学生查看个人学习任务，学习任务按照时间轴顺序排列，并且可以按照科目、老师、学习进度及任务类型等维度进行筛选。</w:t>
            </w:r>
            <w:r>
              <w:rPr>
                <w:rFonts w:hint="eastAsia" w:ascii="宋体" w:hAnsi="宋体" w:eastAsia="宋体" w:cs="宋体"/>
                <w:i w:val="0"/>
                <w:iCs w:val="0"/>
                <w:color w:val="000000"/>
                <w:sz w:val="22"/>
                <w:szCs w:val="22"/>
                <w:highlight w:val="none"/>
                <w:u w:val="none"/>
                <w:lang w:val="en-US" w:eastAsia="zh-C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高性能AP</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1、支持802.11a/b/g/n/ac/ax标准，整机6条空间流；支持2.4G+5G+5G三射频；2.4GHz 单射频最大接入速率≥574Mbps，5GHz单射频最大接入速率≥1200Mbps，整机最大接入速率≥4176Mbps。</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2、10/100/1000M Base-T以太网口≥2个；USB接口≥1个。</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3、内置智能天线阵, 具备动态波束功能。</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4、单射频接入人数≥128，最大接入终端数量≥384个。</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5、支持IP防护等级≥IP41，工作温度：-10℃～50℃；工作湿度（非凝结）：5%~95%。</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6、支持虚拟AP技术，单频支持至少8个SSID，整机≥24个SSID，支持SSID隐藏，支持英文、中文、中英文混合SSID。</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7、室内型双频AP，胖瘦一体化，胖瘦可相互转换，出厂缺省胖AP模式。</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8、支持网关路由模式，支持PPPOE拨号、静态IP，DHCP获取三种上网方式。</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支持基于MAC地址的接入控制，包括黑名单和白名单；支持防 DDoS 攻击能力，防止系统受到流量攻击和表项资源攻击，如ICMPFLOODING、ARP FLOODING、UDP FLOODING 攻击等。</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充电柜</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1.平板电脑支持尺寸：10英寸以上</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2.平板电脑方式方向：横放</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3.平板充电数量：≥40-60位</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4.充电接口：≥220V插座</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5.柜体内部设计方便走线。</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6.柜体采用全封闭式防盗结构，安全存储。</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7.柜门采用大转角设计，方便多位同学同时取放平板。</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8.充电柜采用可移动式设计，具备万向轮，可移动。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AI智能录播主机</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硬件部分：</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主机架构：1U机架式设计，整体采用嵌入式设计、非PC与服务器工作站等架构，以保障系统运行稳定、安全。同时具备录制、直播、导播、自动跟踪、音频编码、视频编码、音频处理、视频处理、存储、点播、互动、视频会议、行为分析、物联控制、远程运维参数设置等能力。</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2.优异性能：主机采用ARM架构处理器，具备三组CPU架构，主CPU核心数≥8，内置GPU与NPU协处理器，主频≥2.4GHz；次CPU核心数≥8，主频≥1.6GHz；音频辅助CPU核心数≥4核。</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3.输入输出接口：RJ45≥11个，其中POE接口≥8，AES接口≥1，HDMI 输入≥1，HDMI 输出≥2路，双向UVC输入输出≥1路，且输入输出分辨率均支持4K@30fps、1080P@30fps。主机支持≥1数字音频DMIC输入，≥1路3.5mm MIC IN输入，≥1路3.5mm LINE IN输入，≥2路3.5mm LINE OUT输出，支持回声抑制、增益、噪声抑制与音频均衡功能。</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▲4.算力能力：主机内置独立算力卡，算力≥18TOPs（INT8）。整机所有内置等效算力总和≥24TOPs（INT8）。（提供CNAS或CMA认证的检测机构出具的检测报告复印件并加盖投标人公章）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5.算力扩展：设备主板上配置 M.2 算力扩展卡槽，支持额外算力扩展。</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6.内置音频处理器：主机内置音频处理器，具备AI降噪功能，具备AI语音识别，支撑课堂分析使用。支持音频采样率的设置，且支持AGC自动增益、ANS噪声抑制、EQ均衡、AEC回声抑制等音频处理功能。</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7.双向UVC：UVC接口可自定义设置为画面输出模式和画面采集模式，切换到采集模式后，可将USB摄像头绑定到画面通道，兼容主流视频会议软件，具备通过此接口输入音视频信号作为一路音视频进行主机录制。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▲8.AI降噪：支持设置AI降噪强度，可选择高、中、低、自定义、关闭。自定义参数支持≥100级AI降噪等级设置及≥100级传统降噪等级设置（提供CNAS或CMA认证的检测机构出具的检测报告复印件并加盖投标人公章）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9.4K视频录制：支持多路4K录制功能，支持7路4K@30fps录制或2路4K@60fps录制。</w:t>
            </w:r>
            <w:r/>
          </w:p>
          <w:p>
            <w:pPr>
              <w:numPr>
                <w:ilvl w:val="0"/>
                <w:numId w:val="9"/>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课堂AI分析：录播主机支持AI人工智能课堂行为分析能力，无需添加任何设备即可实现基于课堂上师生的行为、表情、语音等相关数据进行分析；开启后可进行课堂行为、表情、语音等相关数据分析，在平台中生成报告。报告中可查看课堂实录、课堂热力图、AI建议分析；教学行为分析及总结；问答模式、提问类型、学生应答、教师理答、问答实录分析及总结；弗兰德斯互动分析、S-T/Rt-Ch教学分析及总结、高光时刻、教研指数、AI评课、教学一致性评价。</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11.学生AI分析：录播主机支持AI人工智能学生行为分析能力，无需添加任何设备即可实现基于课堂上学生的行为、语音等相关数据进行分析；开启后可进行课堂机会公平分析，如举手被忽视、课堂少互动、积极互动等。</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12.一键检测：支持一键检测录播系统运行状态，针对异常项进行告警提示。检测内容包含：设备连接状态、网络状态、摄像机绑定状态、设备版本状态、导播跟踪配置、画面效果、声音效果。</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13.网络检测：支持录播网络状态检测，识别网络状态异常。检测内容包含：IP地址有效性、网关连通性、公网连通性、内网带宽测试、上下行网络速度和直播/互动/IOT服务连通性。</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软件部分：</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1.支持互动过程中，进行性能监控，可监控网络丢包率、上行带宽、下行带宽、最大虚拟内存、当前虚拟内存、当前物理内存、当前句柄数量、当前进程数量、当前CPU使用率。</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2.支持互动过程中，进行推流质量查看。可查看视频分辨率、视频质量、延时、丢包率、视频帧率、视频码率、音频帧率、音频码率。</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录制模式支持电影模式（导播画面）、资源模式两种，能同时支持1路电影模式加6路资源录制，实时录制合成画面、教师全景、教师特写、学生全景、学生特写、板书画面、电脑画面。可通过勾选录制对应画面，实现资源模式录制。录制的所有视频均有声音。</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4.支持云台摄像机控制，支持PTZ（云台全方位移动及镜头变倍、变焦控制），支持可调用≥9个预置位，可设置预置位≥8个。</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5.支持≥15种转场特效的选择，选择对应特效后，切换画面将应用该特效。特效过渡时间0.5～1.5秒可调。</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支持通过手机扫码实现字幕输入，可输入≥50个字符。导入后支持显示/隐藏控制，支持拖拽调节字幕任意位置，或通过≥6个预设位置调整字体位置；支持通过≥3个预设字号调整字体大小；支持通过≥5种预设颜色调整字体颜色。支持批量管理字幕，可批量勾选并删除。</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机械云台摄像机</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硬件部分：</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1.云台摄像机采用CMOS类型图像传感器，尺寸≥1/1.55英寸</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2.摄像机最大可支持8192*4608分辨率，可提供视频分辨率3840×2160并向下兼容。</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3.摄像机支持4K 60fps（3840×2160，60帧）超高清实时画面输出，输出过程中画面无拖影、丢帧、卡顿及花屏现象，单帧画面无撕裂，动态场景还原清晰流畅。</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4.HDMI视频输出接口≥1路 ，凤凰端子 RS232接口 ≥1路 ，line in接口≥1路，Type-A USB接口≥1路</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5.网络接入：RJ45网络接口≥1，并支持100M/1000M自适应以太网接入与RTSP协议网络视频输出。</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6.支持自动和手动变焦，支持≥20倍光学变焦，支持≥40倍综合变焦。</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7.要求具备机械云台可进行转动跟踪。云台水平转动范围：±170°，垂直转动范围：-35°~+90°。最大水平转动速度不小于110°/s，最大垂直转动速度不小于90°/s。</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8.云台采用无刷电机组件，磁场定向控制技术，定位精度±0.05°，20倍长焦下画面抖动＜0.2°。</w:t>
            </w:r>
            <w:r>
              <w:rPr>
                <w:rFonts w:hint="eastAsia" w:ascii="宋体" w:hAnsi="宋体" w:cs="宋体"/>
                <w:color w:val="000000"/>
                <w:sz w:val="22"/>
                <w:szCs w:val="22"/>
                <w:highlight w:val="none"/>
              </w:rPr>
              <w:br/>
            </w:r>
            <w:r>
              <w:rPr>
                <w:rFonts w:hint="default" w:hAnsi="宋体" w:cs="宋体"/>
                <w:color w:val="000000"/>
                <w:sz w:val="22"/>
                <w:szCs w:val="22"/>
                <w:highlight w:val="none"/>
                <w:lang w:val="en-US"/>
              </w:rPr>
              <w:t xml:space="preserve">▲</w:t>
            </w:r>
            <w:r>
              <w:rPr>
                <w:rFonts w:hint="eastAsia" w:ascii="宋体" w:hAnsi="宋体" w:cs="宋体"/>
                <w:color w:val="000000"/>
                <w:sz w:val="22"/>
                <w:szCs w:val="22"/>
                <w:highlight w:val="none"/>
              </w:rPr>
              <w:t xml:space="preserve">9. 采用PDAF相位对焦技术，确保云台摄像机对焦响应速度及拍摄画面清晰度。相位对焦模式下，单次对焦响应时间≤0.3s，满足快速抓拍、云台转动后即时合焦需求。PDAF相位对焦覆盖摄像机全光学变焦段，变焦过程中全程实现相位跟焦，无焦段盲区、无合焦</w:t>
            </w:r>
            <w:r>
              <w:rPr>
                <w:rFonts w:hint="default" w:ascii="宋体" w:hAnsi="宋体" w:cs="宋体"/>
                <w:color w:val="000000"/>
                <w:sz w:val="22"/>
                <w:szCs w:val="22"/>
                <w:highlight w:val="none"/>
                <w:lang w:val="en-US"/>
              </w:rPr>
              <w:t xml:space="preserve">（</w:t>
            </w:r>
            <w:r>
              <w:rPr>
                <w:rFonts w:hint="default" w:ascii="宋体" w:hAnsi="宋体" w:eastAsia="宋体" w:cs="宋体"/>
                <w:b w:val="0"/>
                <w:bCs w:val="0"/>
                <w:i w:val="0"/>
                <w:iCs w:val="0"/>
                <w:color w:val="000000"/>
                <w:sz w:val="22"/>
                <w:szCs w:val="22"/>
                <w:highlight w:val="none"/>
                <w:vertAlign w:val="baseline"/>
                <w:lang w:val="en-US" w:eastAsia="zh-CN" w:bidi="ar-SA"/>
              </w:rPr>
              <w:t xml:space="preserve">提供CNAS或CMA认证的检测机构出具的检测报告复印件并加盖投标人公章）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color w:val="000000"/>
                <w:sz w:val="22"/>
                <w:szCs w:val="22"/>
                <w:highlight w:val="none"/>
              </w:rPr>
              <w:t xml:space="preserve">10.为确保云台长期运行稳定，云台支持位置记忆，云台被外界异常碰歪后，会自动恢复原位。11.AI跟踪：要求内置跟踪算法，摄像机内无额外辅助摄像头也无需增加任何设备即可实现人像自动跟踪，包括水平运动、俯仰运动、变焦、聚焦四维实时跟踪</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软件部分：</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1.摄像机传输处理软件需采用B/S架构，支持通用浏览器直接访问进行管理。</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2.支持自动、一键式、手动白平衡、跟随全景。</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3.支持、自动、快门优先、光圈优先、手动曝光模式、跟随全景模式，在跟随全景模式下，特写摄像机的图像效果跟随全景摄像机的效果，保持两个摄像机画面风格一致。</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4.支持抗闪烁可调，可适配50hz、60hz工频灯光闪烁，支持曝光优先智能抗闪。在抗闪模式下，画面严重过曝时，会自己解除抗闪烁限制。</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5.支持摄像机云台控制，支持云台速度调节。</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6.支持对摄像机网络进行管理，包括设置IP地址/网关/DNS等，支持组播协议搜索IP地址，并修改摄像机IP。</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7.支持RTMP推流，RTSP拉流，地址可设置。</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8.支持ONVIF协议、GB28181协议。</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9.摄像机支持Tally灯,当该机位画面为导播画面时，红灯亮起。</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多目机械云台摄像机</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硬件：</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1.摄像机采用云台模组与四目摄像模组一体化集成设计，四目摄像机组件集成于云台下方，整体为一体式结构，非分体拼接设计，确保设备稳定性及安装便捷性。</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2.四目摄像模组内部集成高清定焦镜头数量4个，每个镜头具有独立CMOS传感器，传感器尺寸：1/2.75英寸≥2个，1/3.06英寸≥2个。其中至少两个摄像头像素值均5000万，另外至少两个摄像头像素值均1300万。</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default" w:ascii="宋体" w:hAnsi="宋体" w:eastAsia="宋体" w:cs="宋体"/>
                <w:b w:val="0"/>
                <w:bCs w:val="0"/>
                <w:i w:val="0"/>
                <w:iCs w:val="0"/>
                <w:color w:val="000000"/>
                <w:sz w:val="22"/>
                <w:szCs w:val="22"/>
                <w:highlight w:val="none"/>
                <w:vertAlign w:val="baseline"/>
                <w:lang w:val="en-US" w:eastAsia="zh-CN" w:bidi="ar-SA"/>
              </w:rPr>
              <w:t xml:space="preserve">▲</w:t>
            </w:r>
            <w:r>
              <w:rPr>
                <w:rFonts w:hint="eastAsia" w:ascii="宋体" w:hAnsi="宋体" w:cs="宋体"/>
                <w:color w:val="000000"/>
                <w:sz w:val="22"/>
                <w:szCs w:val="22"/>
                <w:highlight w:val="none"/>
              </w:rPr>
              <w:t xml:space="preserve">.整机具有≥5个摄像头，支持同时输出画面路数≥7路。画面包括全景主码流，全景辅码流，特写主码流，特写辅码流，超清AI全景流，≥2路超清AI长焦流。</w:t>
            </w:r>
            <w:r>
              <w:rPr>
                <w:rFonts w:hint="default" w:ascii="宋体" w:hAnsi="宋体" w:cs="宋体"/>
                <w:color w:val="000000"/>
                <w:sz w:val="22"/>
                <w:szCs w:val="22"/>
                <w:highlight w:val="none"/>
                <w:lang w:val="en-US"/>
              </w:rPr>
              <w:t xml:space="preserve">（</w:t>
            </w:r>
            <w:r>
              <w:rPr>
                <w:rFonts w:hint="default" w:ascii="宋体" w:hAnsi="宋体" w:eastAsia="宋体" w:cs="宋体"/>
                <w:b w:val="0"/>
                <w:bCs w:val="0"/>
                <w:i w:val="0"/>
                <w:iCs w:val="0"/>
                <w:color w:val="000000"/>
                <w:sz w:val="22"/>
                <w:szCs w:val="22"/>
                <w:highlight w:val="none"/>
                <w:vertAlign w:val="baseline"/>
                <w:lang w:val="en-US" w:eastAsia="zh-CN" w:bidi="ar-SA"/>
              </w:rPr>
              <w:t xml:space="preserve">提供CNAS或CMA认证的检测机构出具的检测报告复印件并加盖投标人公章）</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default" w:ascii="宋体" w:hAnsi="宋体" w:eastAsia="宋体" w:cs="宋体"/>
                <w:b w:val="0"/>
                <w:bCs w:val="0"/>
                <w:i w:val="0"/>
                <w:iCs w:val="0"/>
                <w:color w:val="000000"/>
                <w:sz w:val="22"/>
                <w:szCs w:val="22"/>
                <w:highlight w:val="none"/>
                <w:vertAlign w:val="baseline"/>
                <w:lang w:val="en-US" w:eastAsia="zh-CN" w:bidi="ar-SA"/>
              </w:rPr>
              <w:t xml:space="preserve">▲</w:t>
            </w:r>
            <w:r>
              <w:rPr>
                <w:rFonts w:hint="eastAsia" w:ascii="宋体" w:hAnsi="宋体" w:cs="宋体"/>
                <w:color w:val="000000"/>
                <w:sz w:val="22"/>
                <w:szCs w:val="22"/>
                <w:highlight w:val="none"/>
              </w:rPr>
              <w:t xml:space="preserve">摄像机内置算力4Tops</w:t>
            </w:r>
            <w:r>
              <w:rPr>
                <w:rFonts w:hint="default" w:ascii="宋体" w:hAnsi="宋体" w:cs="宋体"/>
                <w:color w:val="000000"/>
                <w:sz w:val="22"/>
                <w:szCs w:val="22"/>
                <w:highlight w:val="none"/>
                <w:lang w:val="en-US"/>
              </w:rPr>
              <w:t xml:space="preserve">（</w:t>
            </w:r>
            <w:r>
              <w:rPr>
                <w:rFonts w:hint="default" w:ascii="宋体" w:hAnsi="宋体" w:eastAsia="宋体" w:cs="宋体"/>
                <w:b w:val="0"/>
                <w:bCs w:val="0"/>
                <w:i w:val="0"/>
                <w:iCs w:val="0"/>
                <w:color w:val="000000"/>
                <w:sz w:val="22"/>
                <w:szCs w:val="22"/>
                <w:highlight w:val="none"/>
                <w:vertAlign w:val="baseline"/>
                <w:lang w:val="en-US" w:eastAsia="zh-CN" w:bidi="ar-SA"/>
              </w:rPr>
              <w:t xml:space="preserve">提供CNAS或CMA认证的检测机构出具的检测报告复印件并加盖投标人公章）</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5.机械云台可进行转动跟踪。云台水平转动范围：±170°，垂直转动范围：-90°~+90°。最大水平转动速度110°/s，最大垂直转动速度90°/s。</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6.云台采用无刷电机组件，磁场定向控制技术，定位精度±0.05°，20倍长焦下画面抖动≤0.2°。</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7.支持8*9米范围任一位置，同一时间拍摄人脸像素≥80*80。</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8.支持10*15米距离任一位置，同一时间拍摄人脸像素≥50*50。</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9.AI跟踪：要求内置跟踪算法，摄像机内无额外辅助摄像头也无需增加任何设备即可实现人像自动跟踪，包括水平运动、俯仰运动、变焦、聚焦四维实时跟踪。</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10.支持人脸检测、人形检测AI算法。</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11.支持AI抗干扰能力，保障画面始终锁定被跟踪对象，不受其他动态干扰影响。</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软件：</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 摄像机管理软件采用B/S架构，可通过通用浏览器直接登录访问与设备管理。</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 支持自动、一键式、手动白平衡、跟随全景。</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 具备自动白平衡功能，红、蓝增益参数0~100区间可调。</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 内置抗闪烁功能，兼容50Hz、60Hz工频光源抑制频闪，具备曝光优先智能抗闪策略；抗闪模式下画面出现严重过曝时，系统自动解除抗闪烁限制。</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 支持2D、3D数字降噪。</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 支持画面水平翻转、垂直翻转。</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 具备网络参数管理功能，可配置IP地址、网关、DNS；支持通过组播协议搜索设备并修改摄像机IP。</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 支持自定义地址实现RTMP推流、RTSP拉流。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color w:val="000000"/>
                <w:sz w:val="22"/>
                <w:szCs w:val="22"/>
                <w:highlight w:val="none"/>
              </w:rPr>
              <w:t xml:space="preserve">9. 设备配备Tally指示灯，当机位作为当前导播输出画面时，红色指示灯点亮。</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color w:val="000000"/>
                <w:sz w:val="22"/>
                <w:szCs w:val="22"/>
                <w:highlight w:val="none"/>
              </w:rPr>
              <w:t xml:space="preserve">课堂智能分析系统</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系统支持对教室环境的3D还原重建，形成桌椅、讲台、一体机的真实环境建模，采集到的师生互动行为自动对应到具体课桌位置；支持≥5种视角转换，正前方、左前方、右前方、左后方、右后方；通过颜色深浅表示学生参与互动的活跃程度，基于学生上台次数、举手次数、问答次数计算学生活跃程度，颜色越深则代表越活跃。（提供CNAS或CMA认证的检测机构出具的检测报告复印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2.在3D课堂孪生界面中，支持点击课堂活跃热力图中的学生头像，查看该学生的师生互动视频片段，统计该学生在本节课的上台互动、举手次数、问答次数。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3.在3D课堂孪生界面中，支持在地面上显示教师的巡堂轨迹，颜色越深代表停留时间越长。</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系统根据教学内容自动生成师生问答、课堂互动、新课标落实三个维度的课堂反馈建议，可查看全部提问、符合知识性目标的提问、不合适的提问、提问优化建议、课堂互动建议、基于新课标的亮点和改进建议。</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5.系统自动统计教师授课、师生互动、小组讨论、课堂练习的时间分布情况，支持图形可视化展示不同课堂行为的整体时间占比。</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6.系统自动统计教师授课、师生互动、小组讨论、课堂练习的时间分布情况，支持按照时序图样式展示，展示不同课堂行为发生的顺序、时长。</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系统支持通过弗兰德斯编码规则对课堂数据进行每秒1次的打点，自动计算出启发/指导比（I/D）、学生稳态比（PSSR）、教学内容比（CCR）、学生发言比（PIR）、教师提问比（TQR）的指标数值，通过雷达图呈现。（提供CNAS或CMA认证的检测机构出具的检测报告复印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系统支持最多5节课数据进行对比，实现同课异构分析，支持课堂教学质量，以及基础数据两种形式进行比较。系统将提供课程得分维度及子维度明细数据，以及基础数据（总体数据、课堂活跃图、课堂时间分配、PTA模型、学生抬头率）、学生学习（学生互动数据、学生行为分布、回答建构分类、应答时间）、教师教学（讲授数据、课堂流程重构、提问有效性、提问类型、4MAT模型、候答时间、评价类型、弗兰德斯互动分析、S-T分析、Rt-Ch分析）的对比分析，同时支持数据下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系统支持按照周期性统计，分析老师教学能力变化情况。在统计周期内，会显示老师的有效课堂数量、教学热区分布、提问有效性、教学风格、授课语速。同时通过课堂艺术、学习体验、合作探究、整体发展、目标达成、评价反馈、思维激发、课堂调控等八个维度，计算出老师的教研指数，并且可以与全国均值对比。同时系统支持将每个指数拆分到子维度统计，并形成趋势变化分析。</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系统支持上传word/pdf格式的教学设计，或者读取用户的云教案。当上传教学设计后，系统会自动识别教学设计中的教学目标、教学重难点和教学环节，并且比对课堂中真实授课的数据，从而判断对应的教学目标、教学重难点和教学环节是否达成。当系统识别出未达成，或者部分达成的时候，会有对应标识，并且给出对应的理由和AI改进建议。整体按照思维导图的形式呈现，并且支持自由缩放与拖拽。</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学生分析系统</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1.能根据开课情况，自动识别学生认真听讲、积极举手、问答问题等行为，并且课后形成AI建议给到老师。老师可以删除或者增加学生点评。</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系统自动生成周期内待关注学生列表，按照情绪波动、有点小情绪、专注度下降、表扬减少、待改进增加、以及单项待改进最多的标签显示学生头像及姓名。支持点击下钻查阅学生详情，包含待改进变化、点评变化、以及自动生成AI评语。</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3.系统依据采集到的学生情绪状态数据、专注度数据、点评数据，生成全班的学生成长报告，按照学生头像形式进行选择。点击学生头像即可打开具体报告，并支持调整学期时间。</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4.系统根据采集到的点评数据、专注度及情绪数据进行综合理解，自动生成AI评语。</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系统按照点评的统计，自动形成综合素质评价。系统将根据点评的内容，按照学习表现、品行素养、身心健康、社会实践、艺术审美五个维度构建雷达图。并且基于评价内容，生成AI评价。支持学生数值和全班均值比较。</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6.根据采集到的不同学科的专注度、愉悦度数据，系统进行学科兴趣分析，并且基于学科兴趣分析形成AI分析建议。支持点击学科下钻，查阅学科的个性化评价建议、专注度变化、情绪指数变化以及点评数据。</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7.系统支持绑定班级信息，并且设定开启定时录制能力。同时支持上传人脸信息，实现人脸绑定。支持设定AI点评项。</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资源管理平台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 支持管理员根据不同教师的工作需求创建角色，自定义该角色的名称和可试用的功能权限；支持管理员查看各角色人数。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 支持管理员对本校教师申请发布的课程进行审核，监控公开公开课程资源的质量；可拒绝课程发布，拒绝时需填写拒绝原因。若课程未通过审核，消息中心会自动通知该课程归属老师。</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 支持用户对已发布的视频进行视频打点并插入课堂评价，所评论内容需关联视频对应的时间点。</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 支持在直播结束前，修改直播的结束时间、名称、封面、课件、直播简介、聊天互动权限等设置。修改原分享的链接和二维码不变，活动调整不会导致原分享链接和二维码失效。</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 支持在创建直播时添加直播助教，助教进入工作台可进行直播间秩序维护。</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 支持用户一键生成直播海报或链接进行分享，其他用户通过扫描海报上的二维码或打开链接的方式，观看直播视频。</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 ▲支持用户在预览课件时，在课件上进行书写、擦除、移动图片素材等操作，且操作不影响原课件内容，可在开始直播前，预览主讲老师的课件。（提供CNAS或CMA认证的检测机构出具的检测报告复印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 支持教师可选择云课件与直播关联，无需上传本地文件。课件与直播关联后，用户可在活动开始时间前查看云课件。活动开始后，用户可在观看直播视频的同时在线查看已关联的云课件。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 直播开始后，可查看直播的人气峰值、观看人次、累计点赞、观众发言次数、签到人数等数据，掌握直播情况。</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 支持教师选择直播中各时段生成的回放视频，删除不必要的回放片段生成回放视频。回放视频可选择发布至专递示范课、名校网络课堂、名师示范课，其他师生可以观看。</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 支持用户通过课程、教师、学校名称关键词搜索已发布的课程资源；用户可查看最近搜索关键词记录，能再次查找相关课程。</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12. ▲支持访问平台网页观看线上课程时，直接在平台网页中参与知识配对、选词填空、趣味分类在线互动答题，完成后可直接查看答题用时和答题排行榜，并可选择继续观看视频或再玩一次。（提供CNAS或CMA认证的检测机构出具的检测报告复印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13. 支持用户通过浏览器对本地上传的视频完成在线剪辑，将视频的无效内容删除。进行剪辑后，用户可通过在线浏览窗口，实时查看剪辑内容。</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阵列麦克风及系统</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硬件部分：</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1.麦克风尺寸60*60cm，适配与标准60×60矿棉板/铝扣板天花齐平安装，采用ARM架构，CPU核心数8个，核心主频2.2GHz。</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▲2.天花麦克风内置传感器单元采用阵列布置，麦克风传感器单元数量64个。（提供CNAS或CMA认证的检测机构出具的检测报告复印件并加盖投标人公章）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3.麦克风支持2个AES数字音频接口，支持数字音频传输，最大可级联4个麦克风。</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4.具备状态指示灯，通过不同颜色、状态的指示灯显示，便于用户直观获取设备的工作状态信息。指示灯显示蓝色表示阵列麦克风处于正常工作状态，指示灯显示红色表示阵列麦克风处于无法正常拾音的状态。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5.麦克风拾音半径10m、采样率16kHz、信噪比68dB。</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6.麦克风支持POE供电，无需外置电源，简化布线和维护工作，能够通过网线实现麦克风供电、音频信号传输、参数调整。</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7.麦克风应具备内置的音频处理功能，至少包括降噪、回声抵消、混响抑制、自动增益控制、多麦融合多种音频算法，确保所拾声音音质清晰。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8.麦克风支持数字音频传输，保证音频传输不受外部环境干扰。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软件部分：</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1.支持全频自适应AI降噪技术，降噪电平≥24dB。</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2.支持全频带全双工自适应回声消除算法。</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3.支持自动增益控制。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4.支持混响抑制算法</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5.支持啸叫抑制算法。</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6.支持智能混音，可智能选择最佳麦克风采集音频。</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7.支持音频参数调节。</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8.支持动态波束成形算法</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9.支持远程OTA升级。</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10.支持连接同品牌录播主机和同品牌音频处理器作为录播音频输入设备使用，也可连接Windows系统，并为其提供音频输入。</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无线麦克风及系统</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硬件部分：</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1.麦克风支持≥1个Pogo pin接口，支持通过Pogo pin接口进行充电。整机Pogo pin接口≥2个。</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2.麦克风支持≥1个按键，可控制麦克风的开关机、静音和配对。</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3.麦克风标配充电仓，可用于充电及收纳。</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▲4.麦克风支持通过音量调节按钮调节输出音量；音量调节过程中通过麦克风一体化屏幕动态提示当前音量等级。（提供CNAS或CMA认证的检测机构出具的检测报告复印件并加盖投标人公章）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5.麦克风屏幕支持显示麦克风电池电量、麦克风配对状态、麦克风所连接的设备、显示当前麦克风接收声音强度、无线连接信号强度。</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▲6.通信保持状态下，支持在空旷环境下，有效传输距离≥100m；支持在室内使用场景下，穿墙后有效传输距离≥20m。（提供CNAS或CMA认证的检测机构出具的检测报告复印件并加盖投标人公章）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软件部分：</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1.支持降噪功能设置。</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2.支持多通道输入混音。</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3.支持啸叫抑制算法，通过算法可实现本地扩声时无啸叫现象。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4.麦克风音频编码方式采用LC3 plus。</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接收器：</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1.支持≥1个USB Type-C接口。</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2.支持≥1个3.5mm Line out音频输出接口。</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3.支持内置状态显示灯，可显示当前接收器工作状态。</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4.支持壁挂支架安装，实现0°或180°安装。</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5.供电电压DC≤5V。</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6.支持通过录播系统，实现OTA自动升级。</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7.支持通过Type-C接口实现手动升级。</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8.支持同时连接两个麦克风并工作。</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1.支持线性输入接口≥1个。</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2.支持线性输出接口≥1个。</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3.支持麦克风输入接口≥1个。</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4.支持音箱输出接口≥4对。</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5.输出功率200W*2。</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6.MIC输入灵敏度50mV，音乐输入灵敏度0.775V。</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7.频率响应20～20KHz。</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8.信噪比≥80dBA。</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9.支持直流保护、过载保护</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专业音响</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1.具备≥4个4”喇叭单元。</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2.标准阻抗：8Ω。</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3.频率响应：110Hz～16KHz。</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4.额定功率(RWS)≥60W。</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5.灵敏度：91dB(±3dB)</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6.适用于各类多媒体教室、电教室、阶梯教室、普通教室等。</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对</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电视机</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屏幕尺寸 55英寸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屏幕分辨率 超高清4K（3840x2160）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3D显示 不支持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屏幕比例 16:9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刷屏率 60HZ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背光源 直下式LED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扫描方式 逐行扫描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响应时间 4ms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支持格式（高清） 2160p /1080p/1080i/720p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有源音箱</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1.采用功放与互动音箱一体化设计，内置麦克风无线接收模块，帮助教师实现多媒体扩音以及本地扩声功能。</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2.双音箱有线连接，机箱采用塑胶材质，保护设备免受环境影响。</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3.输出额定功率≥2*15W。</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4.配置独立音频数字信号处理芯片，支持啸叫抑制功能。</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5.支持教师扩声和输入音源叠加输出。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对</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导播控制台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硬件部分：</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1.整机采用纯金属材质，全铝机身，CNC工艺，坚固耐用，质感十足，底部配备≥4个硅胶垫。</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2.采用彩色背光按键，按键数量≥29个，背光颜色≥3种，可通过不同颜色表征不同的工作状态。</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3.支持背光亮度调节，可以根据教室光线环境和用户喜好自行调节背光亮度。</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4.整机配备云台操纵杆，通过整机摇杆操作，支持不少于8个方向的云台控制，同时可通过操纵杆实现摄像机拉近拉远控制。</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5.支持一键复位功能，可通过云台操纵杆，快速将摄像机复位到开机预置位画面。</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6.整机支持≥3个控制旋钮。</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7.整机支持≥2种通信方式，可使用USB或RS422进行通信，为保证控制实时性，不接受使用TCP/UDP通信方式。</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8.整机通信接口≥2个，支持至少一个USB2.0接口，至少一个RS422接口。</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9.整机内置蜂鸣器，用户在进行导播控制时，可通过蜂鸣器实现操控状态提醒。</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软件部分：</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整机支持不少于5个预置位，支持云台预置位设定，预置位设定无需打开其他设置软件，可直接通过键盘完成预置位设定，设定后预置位即刻生效，用户设定预置位过程有灯光提示，减少用户误操作的概率，预置位调用过程中导播键盘提供灯光颜色变化提示+蜂鸣器提示，给用户最准确的操控反馈，用户可直接通过预置位调用控制录制画面切换当前选中的某个预置位，实现对拍摄角度的精准控制。</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2.支持云台摄像机控制选择，用户可以通过整机按键操作，支持≥5个摄像机通道选择，通道选择完成后，键盘操控命令仅对选中摄像机生效，不会产生串码。</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整机与录播主机操作同步，用户通过导播键盘，可以实现开始、暂停、停止、三种录制状态控制，控制实时性良好，能够做到即点即录，无需等待，控制过程导播键盘提供灯光颜色变化提示+蜂鸣器提示，给用户最准确的操控反馈。</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4.支持导播模式控制，用户可根据使用场景需要，设置当前的导播模式，整机可设置录播主机为自动导播模式和手动导播模式，满足不同场景需求。</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5.支持≥6种画面布局，包含单画面、双画面、画中画、三画面、四画面、自定义布局。</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6.支持导播控制，用户可通过整机按键操作实现导播画面选择，选中通道能够高亮显示，支持≥6个导播通道控制。</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导播显示器</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≥2K,23英寸高清显示器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912"/>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老师观摩椅</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钢制，三联；尺寸：≥长1300mm *宽1000mm *600mm</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多媒体智能终端</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1.主机、面板要求分体设计，具备控制模块、HDMI矩阵、USB矩阵、电源管理模块等。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2.需支持控制多媒体设备开关、信号切换、音量加减，一键开关系统；灯光、空调开关等教室环境设备控制管理。</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3.HDMI矩阵≧4✕6 路，HDMI输入≧4路，HDMI输出≧6路；支持4K高清信号传输，支持异步分辨率输出，画面无缝切换模；≧1路音频输入，≧2路3.5mm立体声音频输出；投标文件中提供产品接口图并加盖公章。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4.≧11路RS232通讯接口；≧1路RS485接口；≧4路DI接口；≧2路DO接口；投标文件中提供产品接口图并加盖公章。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5.USB接口：≧4路USB输入，≧4路USB输出；需要具备4×4USB矩阵切换功能，支持同步、异步切换；支持USB KVM切换功能；投标文件中提供产品接口图并加盖公章。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6.≧3路220V可控电源插座；≧4路单刀双掷开关控制端口,无源干接点输出；电源规格需满足输入:≧220V~，50Hz,10A，输出：≧220V~，50Hz,9A；</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7.需要支持EDID读取、设置，可以根据不同分辨率显示设备（投影机、显示器、触控屏等）设置EDID，要求支持4K、1080P、720P、1024*768等多种分辨率；</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控制面板</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1.采用Android 11或以上版本操作系统，不低于四核1.8G主频处理器，16G存储，4G内存；电容触摸屏，尺寸≧10英寸；分辨率≧1280x800；对比度≧800:1。</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2.具备LAN以太网通讯端口，≧1个RS485接口，≧1个USB接口，≧1个3.5mm音频输出口。</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3.显示背景、操作界面和功能按键可根据用户需求自定义编程配置，支持联动控制编程，支持个性化图片、图标、颜色配置，支持锁屏背景图设置。</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4.与多媒体智能终端配合，可以对录播、互动等设备进行管控，自定义界面和控制逻辑。</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▲5.需支持与录播系统融合，可以在控制面板上实时预览录播视频画面或对摄像头进行视频拉流显示，可以在控制面板上直接看到正在录制的视频画面（需提供功能截图并加盖投标人公章）。</w:t>
            </w:r>
            <w:r/>
          </w:p>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6.需要支持密码验证解锁功能，输入正确密码后面板解锁，开启系统。</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color w:val="000000"/>
                <w:sz w:val="22"/>
                <w:szCs w:val="22"/>
                <w:highlight w:val="none"/>
              </w:rPr>
              <w:t xml:space="preserve">7.需支持与环境检测仪对接，面板显示教室温度、湿度、二氧化碳浓度等信息。</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智能电源终端</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1.需具备≥8路开关通道输出，每路延时开启和关闭时间可自由设置(范围0~999秒)，每通道可以独立控制开启/关闭；前面板需具备≥1路辅助输出通道，该通道为直通通道，不受智能控制；</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2.需内置≥2英寸显示屏，显示电压、通道开关和设置信息等。</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3.需内置时钟芯片，可根据日期时间定时设置自动开启/关闭每一通道。</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4.需具备过压欠压保护功能，支持≥10组场景设置。</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5.需具备≥1路RS232接口、≥1路RS485接口、≥1路 TCP/IP接口；</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6.设备需支持级联。</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7.输出总电流≥16A，单路输出电流≥10A，标配3芯≥1.4米电源线。</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8.需支持选装电源滤波器。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RS232转红外学习仪</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1.红外发射器，对空调、投影机、电视机等红外控制，支持一对多设备控制。</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2.红外载波频率：15kHZ-80kHZ。</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3.红外发射角度：&lt;±20°（视环境、距离、学习情况和遥控器灵敏度而定）。</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4.红外遥控正对距离：1米-8米（视环境、角度、学习情况和遥控器灵敏度而定）。</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5.红外学习：支持学习108个按键红外码、支持学习组合键，长按键，双击按键遥控码。</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6.工作电压：5V，静态电流：10mA，发射电流峰值：1.2A。</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雷达探测器</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1.弱电宽电压供电，DC12-24V。</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2.24GHz毫米波，支持静止和运动目标检测，距离30厘米-6米可调。</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3.集成光线检测，检测亮度可调：设置不同流明值。</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4.RS485通讯，通讯距离1200米。</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5.支持多种工作模式，例如雷达+光感、单独雷达、单独光感。</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6.迷你开孔尺寸：直径35mm。</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7.铝合金外壳，避免背面外界干扰。</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8.场景联动控制，任意使能和切换工作模式。</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物联灯光开关</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1.零火线供电：AC 90-240V。</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2.开关控制输出：≥3路开关，阻性负载电流20A。</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3.需具备≥1路RS485接口，需支持RS485控制协议。</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4.铝合金按键面板，使用LK多主多从通讯协议，响应速度快且稳定</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5.需具备背光功能，开灯高亮，关灯微亮。</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6.需支持延时控制功能，长按延时30秒控制。</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7.需支持配合雷达探测器使用，有人开灯，无人关灯，节能减排，提高管理效率。</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物联环境检测</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1.教室环境在线综合指数监测仪，检测环境中的PM2.5、PM10、二氧化碳(CO2)、温度、湿度。</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2.RS485数据通讯接口，传输距离不少于100米。</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3.支持壁挂式、 吸顶式，空气动力学透气通孔，内置鼓风机加快空气流动，实时采样。</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4.2.0英寸液晶显示屏，在线实时查看检测数据。</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5.监测数据信息自动上传到物联网融合平台，统一呈现数据。</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6.技术参数：温度能隙温度传感：-40~80℃ ；湿度电容式：0~100%RH ；PM2.5激光光学： 0~1000ug/m³； PM10激光光学：0 ~ 2000ug/m³；CO2非色散红外：400~4000ppm，1ppm。</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矿棉吸音板吊顶 </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尺寸：≥600*600mm,≥50系列卡式轻钢龙骨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116.6</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平方</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静电地板</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约≥600*600*35MM有边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钢板厚度：06/05</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面层：≥ 1.2HPL防静电</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静态均布承载：≥900-1000KGS/平</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支架： 缩管支架</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横梁：加厚贴皮</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116.6</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平方</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吸音板</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教室墙体吸音板木龙骨骨架，木工板，外饰7mm厚聚酯纤维吸音板。要求不仅具有良好的吸音降噪，改善音质质量，提高语音清晰度的性能，更要保证环保无异味、无粉尘，美观大方；一般采用浅色调，宜采用浅黄色吸音板，以提供良好的视觉享受。 龙骨骨架中间填充吸音棉。</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平方</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教室隔断：尺寸约≥7*3m（含观察窗）；贴脚线，电源线、网线、高清线</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间</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≥5P:2台，≥3P:1台</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批</w:t>
            </w:r>
            <w:r/>
          </w:p>
        </w:tc>
      </w:tr>
      <w:tr>
        <w:trPr>
          <w:trHeight w:val="652"/>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Led</w:t>
            </w:r>
            <w:r>
              <w:rPr>
                <w:rFonts w:hint="eastAsia" w:ascii="宋体" w:hAnsi="宋体" w:eastAsia="宋体" w:cs="宋体"/>
                <w:i w:val="0"/>
                <w:iCs w:val="0"/>
                <w:color w:val="000000"/>
                <w:sz w:val="22"/>
                <w:szCs w:val="22"/>
                <w:highlight w:val="none"/>
                <w:u w:val="none"/>
                <w:lang w:val="en-US" w:eastAsia="zh-CN"/>
              </w:rPr>
              <w:t xml:space="preserve">灯</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≥600*600*35，≥48W</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gridSpan w:val="5"/>
            <w:shd w:val="clear" w:color="auto" w:fill="auto"/>
            <w:tcBorders>
              <w:top w:val="single" w:color="000000" w:sz="4" w:space="0"/>
              <w:left w:val="single" w:color="000000" w:sz="4" w:space="0"/>
              <w:bottom w:val="single" w:color="000000" w:sz="4" w:space="0"/>
              <w:right w:val="single" w:color="000000" w:sz="4" w:space="0"/>
            </w:tcBorders>
            <w:tcW w:w="9894" w:type="dxa"/>
            <w:vAlign w:val="center"/>
            <w:textDirection w:val="lrTb"/>
            <w:noWrap w:val="false"/>
          </w:tcPr>
          <w:p>
            <w:pPr>
              <w:jc w:val="both"/>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2、人工智能实验室</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技术参数功能</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单位</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互动终端（1）</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主频≥2.8GHz，8核心十二线程；配置要求：不低于 ≥ DDR8GB内存，≥512GB SSD硬盘；配置≥23.8寸LED显示器，分辨率≥1920*1080，</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互动终端（2）</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default" w:ascii="宋体" w:hAnsi="宋体" w:eastAsia="宋体" w:cs="宋体"/>
                <w:i w:val="0"/>
                <w:iCs w:val="0"/>
                <w:color w:val="000000"/>
                <w:sz w:val="22"/>
                <w:szCs w:val="22"/>
                <w:highlight w:val="none"/>
                <w:u w:val="none"/>
                <w:lang w:val="en-US" w:eastAsia="zh-CN"/>
              </w:rPr>
              <w:t xml:space="preserve">主频≥2.0GHz，8核心十二线程；配置要求：不低于 ≥ DDR16GB内存，≥52GB SSD硬盘；屏幕尺寸≥14.1</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24口千兆</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WiFi6无线AP 3000M双频四流双千兆室内吸顶式企业级全屋5G高速无线接入点</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AI互动显示终端</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一、整体设计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1.整机整体外观尺寸：宽≥4200mm，高≥1200mm，厚≤113mm。整机采用全金属外壳，三拼接平面一体化设计。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2.屏幕采用≥86英寸液晶显示器，采⽤LED液晶A规屏，显示⽐例16:9。显示分辨率3840*2160，可视⻆度≥178°。</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3.侧置输入接口具备≥2路HDMI、1路RS232（RJ45形态）、1路USB接口，1路音频输出、1路触控USB输出；前置输入接口≥3路USB接口（包含1路Type-C、2路USB）。</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4.整机采用电容触控技术，Windows系统和Android系统均支持≥50点触控及书写划线。（提供满足国家认可的第三方检测机构出具的检测报告复印件,并加盖供应商公章）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5.整机嵌入式系统版本≥Android 15，主频≥1.6GHz，内存≥2GB，存储空间≥32GB。</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6.整机设备内置2.2声道扬声器，前朝向发声，12W高音扬声器2个，上朝向30W中低音扬声器2个，最大功率≥84W。</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7.整机内置非独立外扩展的4阵列麦克风，可用于对教室环境音频进行采集，麦克风拾音距离≥12米。</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8.整机听力模式下具备AI人声语言增强功能，支持三挡强弱调节。扩声系统语言传输指数（STIPA）≥0.75。</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10.整机上边框内置非独立摄像头，采用一体化集成设计，⽀持输出4:3、16:9⽐例的图⽚和视频，支持拍摄＞1600 万像素数的照片和视频，支持输出4k分辨率的视频。</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11.整机内置双WiFi6无线网卡，在Android和Windows系统下，可实现Wi-Fi无线上网连接、AP无线热点发射。Wi-Fi制式支持IEEE 802.11 a/b/g/n/ac/ax；支持版本Wi-Fi6。</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12.整机支持发出频率为18kHz-22kHz超声波信号，智能手机和笔记本电脑接收超声波信号后可以自动识别附近投屏设备，点击对应设备即可完成投屏操作。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3.整机配套教学应用APP可通过wifi直连技术，近场发现附近教学大屏设备，无需扫码、账号密码输入步骤，即可直接连接并登录教学大屏设备，基于统一身份认证机制可实现其他教学软件免登录操作。</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14.整机Windows通道支持文件传输应用，支持通过扫码、超声、wifi直连三种方式与手机进行握手连接，实现文件传输功能。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15.整机内置AR授课工具，支持对视频展台所采集的画面中叠加动态的3D 模型。3D模型包括：动物、微生物、人体骨骼、乐器、星球、地形。</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16.整机内置AI智能体，根据教学和学习需求可快速创建，支持个性化设定角色信息包括角色性格、技能与头像信息，支持语音和文字两种方式与智能体进行对话交互，创建的智能体可上传到本校资源进行共享使用。</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二、插拔式电脑模块：</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1.采用按压式卡扣，无需工具即可快速拆卸电脑模块。</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2.PC模块和整机的连接采用万兆级接口，传输速率≥10Gbps。</w:t>
            </w:r>
            <w:r/>
          </w:p>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3.电脑模块CPU要求：主频≥2.0GHz，8核心十二线程；配置要求：不低于 DDR4 8GB内存，256GB SSD硬盘；接口要求：≥1路HDMI，≥3路USB。</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展台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 采用≥800万像素摄像头；采用 USB电源直接供电，无需额外配置电源适配器；箱内USB连线采用隐藏式设计，箱内无可见连线且USB口下出。</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 A4大小拍摄幅面，1080P动态视频预览达到30帧/秒。</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 整机采用圆弧式设计，无锐角；托板可承重3kg，同时托板采用磁吸吸附式机构。</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 展示托板正上方具备LED补光灯补光灯开关采用触摸按键设计，同时可通过视频展台软件直接控制开关；</w:t>
            </w:r>
            <w:r/>
          </w:p>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 摄像头支持自动对焦；摄像头部分进行外壳防护等级试验，防护等级达到IP4X级别。</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人工智能模拟实验箱</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本实验箱配备图像采集、输出模块，音频输入输出模块、边缘计算核心处理模块，覆盖大部分人工智能相关的实验场景，是一款一体化、标准化、结构化、高扩展的开放硬件实验箱。实验箱的开发板以高性能的 ESP32 - S3 芯片为主控核心，集成丰富多样的板载资源与扩展功能，为物联网开发、智能硬件原型设计等场景提供全面的硬件支持。</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一、板载主控</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1、处理器: 采用 32 位双核微处理器，支持双核并行处理</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2、尺寸:≥18x25.5mm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3、内存容量: Flash：8MB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4、支持语言: microPython等图形化编程语言</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5、通信功能: USB、低功耗蓝牙、无线WiFi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二、板载的传感器：</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板载不少于35款传感器，须包含但不限于：≥0.96</w:t>
            </w:r>
            <w:r>
              <w:rPr>
                <w:rFonts w:hint="eastAsia" w:ascii="宋体" w:hAnsi="宋体" w:eastAsia="宋体" w:cs="宋体"/>
                <w:i w:val="0"/>
                <w:iCs w:val="0"/>
                <w:color w:val="000000"/>
                <w:sz w:val="22"/>
                <w:szCs w:val="22"/>
                <w:highlight w:val="none"/>
                <w:u w:val="none"/>
                <w:lang w:val="en-US" w:eastAsia="zh-CN"/>
              </w:rPr>
              <w:t xml:space="preserve"> 英寸 OLED 显示屏​，数码管、独立按键、4×3 矩阵按键、双轴遥感、电容触摸按键、滑动变阻器​、有源蜂鸣器、无源蜂鸣器、直流风扇、大功率灯、舵机、震动马达、MP3 模块​、温湿度传感器、线性霍尔传感器、红外收发模块、碰撞开关、磁控开关、超声波传感器、紫外线传感器、声音传感器、光敏传感器、人体红外传感器、压力传感器、颜色传感器、烟雾传感器、震动传感器、RFID 模块、手势识别模块​、红外收发、全色灯、旋钮电位器、自锁开关、模拟开关​（提供满足国家认可的第三方检测机构出具的检测报告复印件并加盖投标人公章）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三、板载可实现的功能包含：</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1、≥0.96 英寸 OLED 显示屏以有机自发光材料呈现清晰画面，用于显示数据与信息；</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2、数码管通过发光二极管阵列，直观显示数字或简单字符；</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3、独立按键按下时触发特定指令，实现单点操作控制；</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4、4×3 矩阵按键以矩阵形式排列，拓展按键数量，支持多样化指令输入；</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5、双轴遥感可在两个维度上移动，输出位置信号用于方向或参数调节；</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6、电容触摸按键通过检测电容变化实现触控操作；</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7、滑动变阻器通过滑动触点改变电阻，实现模拟信号的连续调节。</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8、有源蜂鸣器自带驱动电路，通电即可发声；</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9、无源蜂鸣器需外部驱动，能产生多种频率声音；</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10、直流风扇通过直流电源驱动扇叶转动；</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11、大功率灯提供高亮度照明；</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12、舵机可精准控制转角，实现角度定位；</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13、震动马达通电后产生震动效果；</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14、MP3 模块用于播放存储的音频文件。</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15、温湿度传感器实时监测环境温湿度数据；</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16、线性霍尔传感器检测磁场强度及变化；</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17、红外收发模块用于无线数据传输与物体检测；</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18、碰撞开关受外力碰撞时触发信号；</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19、磁控开关依靠磁场控制电路通断；</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20、超声波传感器利用超声波测量物体距离；</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21、紫外线传感器检测环境中紫外线强度，常用于光照监测；</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22、声音传感器捕捉外界声音，转化为电信号供系统分析；</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23、光敏传感器感知环境光线明暗变化，输出对应电信号；</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24、人体红外传感器通过探测人体发出的红外辐射，判断人体存在与活动；</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25、压力传感器将受到的压力转换为电信号，用于重量、压力检测；</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26、颜色传感器识别物体表面颜色信息；</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27、烟雾传感器监测空气中烟雾浓度，用于火灾预警等；</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28、震动传感器检测物体震动情况，输出震动信号；</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29、RFID 模块通过无线射频识别技术，实现非接触式信息读取；</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30、手势识别模块捕捉用户手势动作，转化为设备可识别的控制指令。</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31、红外收发实现无线数据交互；</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32、全色灯通过混光呈现多种颜色，用于状态指示；</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33、旋钮电位器旋转改变电阻，调节电压或电流；</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34、自锁开关按下后保持锁定状态，控制电路通断；</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35、模拟开关用于切换模拟信号通路，用于切换主控。</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四、拓展接口：</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1、≥15个KF2510-4P引脚输入输出、I2C、GPIO、UART、5V供电输出；</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拓展接口有≥2种，当换为esp32-s3芯片时，扩展接口为两组双8pin，两组双5pin接口和综合实验箱连接；当换为k210芯片时，扩展接口为两组8pin，两组4pin接口和综合实验箱连接（提供满足国家认可的第三方检测机构出具的检测报告复印件并加盖投标人公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五、▲可扩展主控板：主控制板支持插拔式可换主控芯片，可支持ESP32 - S3 、K210（提供满足国家认可的第三方检测机构出具的检测报告复印件并加盖投标人公章）。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六、▲综合实验箱具有强大的Wi-Fi和蓝牙功能，通过可插拔的2.4G模块，可轻松实现无线数据传输和智能设备联网控制。可与编程无人机进行联动（提供满足国家认可的第三方检测机构出具的检测报告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桌面式机械臂实训平台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一、产品概述</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桌面式机械臂实训平台，采用"分层教学、循序渐进"的设计理念，兼顾低年级学生的体验认知与高年级学生的编程创想需求。系统以3+1轴桌面级机</w:t>
            </w:r>
            <w:r>
              <w:rPr>
                <w:rFonts w:hint="eastAsia" w:ascii="宋体" w:hAnsi="宋体" w:eastAsia="宋体" w:cs="宋体"/>
                <w:i w:val="0"/>
                <w:iCs w:val="0"/>
                <w:color w:val="000000"/>
                <w:sz w:val="22"/>
                <w:szCs w:val="22"/>
                <w:highlight w:val="none"/>
                <w:u w:val="none"/>
                <w:lang w:val="en-US" w:eastAsia="zh-CN"/>
              </w:rPr>
              <w:t xml:space="preserve">械臂为核心，末端集成8×8激光深度点阵与高清摄像头，支持WiFi无线编程，配套机械夹爪、写字套件、气动套件三类末端工具，可灵活切换完成搬运码垛、写字绘画、吸取分拣等多类作业任务。产品配备国产自主控制软件，支持点位示教、图形化编程、Python代码编程等多种编程方式，并可与数字孪生软件结合实现虚实联动。系统软硬件模块化、接口开放、易于二次开发，可广泛应用于初高中STEM教育、机器人创客课程、机械臂运动控制课程、Python编程课程、机器视觉应用课程等教学场景，也可与AI视觉、大模型等技术结合开展创新实践项目。</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二、整体系统功能</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（1）多模式编程交互：支持点位示教、图形化编程、Python代码编程，覆盖从入门体验到进阶开发的全阶段需求。</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（2）多末端工具切换：机械夹爪、写字套件、气动吸盘套件三类工具自由切换，适配抓取、书写、吸附等多种作业场景。</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（3）多运动模式控制：支持笛卡尔坐标模式与角度模式双控制方式，可实现快速运动、直线运动、门型轨迹、圆弧轨迹等多种运动形态。</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（4)机器视觉融合：末端集成8×8激光深度点阵与摄像头，支持OpenCV视觉应用开发，可完成二维码识别、颜色识别等视觉任务。</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(5)虚实结合演示：配套软件支持与数字孪生平台对接，实现机械臂动作的虚拟仿真与实体同步运行。</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(6)无线远程编程：通过WiFi实现PC端无线程序下载与控制，摆脱线缆束缚，提升实训便捷性。</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(7)多场景拓展适配：兼容Windows、MacOS、Linux、鸿蒙等主流操作系统，支持二次开发，可对接多类创新应用场景。</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三、产品参数：</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轴数 ≥3+1轴</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负载 大于500g</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工作范围 318mm</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重复定位精度 ±1cm</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第一轴运动参数 -140°~+190°，最大速度200°/s</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第二轴运动参数 -40°~+80°，最大速度200°/s</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第三轴运动参数 -15°~+110°，最大速度200°/s</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电源电压 100-240V，50/60Hz</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电源输入 12V/5A DC</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环境温度 -20℃~70℃</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净重（机械臂本体） 大于3.5Kg</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底座尺寸 直径大于200mm</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材料 PLA、ABS塑料</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控制器 集成式多功能控制器</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安装方式 桌面式</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末端集成模块 8×8激光深度点阵、高清摄像头</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四、末端工具配件参数</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（一）机械夹爪</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工作电压：5V</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夹取范围：0~30mm</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净重：约37g</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驱动方式：舵机PWM信号</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夹持力：约5N</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（二）写字套件</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夹取范围：7~10mm</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支持任意字体导入书写、鼠标书写复现、绘画创作</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（三）气动套件</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气泵工作电压：5V</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气泵尺寸：≥84mm × 108mm × 48mm</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气泵压力：正压120kPa，负压60kPa</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单指吸盘：重量13g，吸盘直径12mm</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3D 打印机</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1、成型技术：熔融沉积成型；</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2、最大打印尺寸(长×宽×高)不低于256×256×256 mm³；</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3、框架为塑胶和钢材构成，外壳为塑料和玻璃构成；</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4、工具头：全金属热端、硬化钢挤出机齿轮、硬化钢喷嘴，陶瓷加热座，内置工具头切刀，喷嘴最高温度不低于300 ℃、标配喷嘴直径0.4 mm，可选0.2 mm，0.6 mm，0.8 mm；</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5、机器标配双面纹理PEI打印面板，可扩展光面打印面板，热床最高温度不低于110℃；</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6、工具头最大移动速度不低于600 mm/s，工具头最大移动加速度不低于20000 mm/s²，普通热端最大流速不低于40 mm³/s；</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7、支持耗材类型：PLA、PETG、ABS、ASA、TPU、Support for PLA、Support for PLA/PETG、Support for ABS、PET、PA、PC、PVA、PLA-CF、PETG-CF、ABS-GF、ASA-CF、PA6-CF、PA6-GF、PAHT-CF、PPA-CF、PET-CF等；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8、支持热端快拆、主动振动补偿、主动流量补偿、自动热床调平；</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9、配备高清摄像头，分辨率≤1920×1080，支持实时监控和延时摄影；</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10、支持AI首层检测、炒面检测、异物检测、裹头检测、废料滑梯堵塞检测、硬件配置扫描；</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11、支持开门检测、断料检测、缠料检测、断电续打，具备监控打印机状态的健康管理系统；</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12、支持耗材用量及余料检测，支持多色打印，最多支持不少于20色；</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13、配备全闭环控制风扇系统，确保打印的高质量和可靠性；</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14、配备自适应空气循环系统，支持自适应空气循环，外吸风进气口，显著提高冷却；腔温温度保持，可达50℃，存储打印机内部热量；配备活性炭滤芯，主动过滤内部空气；</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15、配备触摸显示屏，屏幕尺寸≤5英寸，屏幕分辨率≤854×480；</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16、支持通过触摸显示屏、手机端APP、电脑端应用三种操作界面控制；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17、支持Wi-Fi通讯，支持2.4 GHz 和 5 GHz，支持协议 IEEE 802.11 a/b/g/n；</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3D打印耗材包</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PLA耗材5卷（多色），支撑材料2卷，基础PLA耗材10卷</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项</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人工智能教育云平台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1、系统采用云端的方式进行部署，方便进行维护和更新。</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2、系统基于 B/S 架构，用户通过浏览器即可访问，无需下载或安装单独的客户端软件。系统支持 IE、Google Chrome、Firefox 等主流浏览器访问；</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3、系统支持不同类型的课程资源的在线预览，包括 doc、xls、ppt、pdf 等文档类资源 png、jpg 等图片类资源，rmv、mp4等视频类资源，并且无需单独安装插件，即可在线访问所有资源；</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4、教师端：</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1）数据统计当前班级数、学生数、上课数、作品数；</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2）了解学生基本信息，支持添加班级所有作品视频及评分、查看学生课后知识点测评情况；</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3）平台支持以班级为维度记录学生每课时作品情况、测评情况、课程表现并汇总；</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4）平台支持教师管理班级学生，新增/编辑/删除等操作；</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5）平台支持教师线上批改学生作业，可从编程技术、创意表达、计算思维、艺术审美、创新思维多维度评测；</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5、学生端：</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1）平台可全面覆盖查询自己的学习课程，提交自己的作品，回顾学习还支持再编辑；</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2）平台支持知晓当前课程学习进度，方便学生进入快速学习；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3）平台支持同一页面进行视频，教案，讲义文档学习；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4）平台支持随堂测评；</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5）平台支持学生自己作品创作视频永久保存，随时复习时可查看；</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6、课程资源模块</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1）为适应中小学 STEAM/创客教育/人工智能教育，使学生操作更加简便方便教师应用，课程资源系统以模块化内容展示，首页即可对所有主题课程进行预览；</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2）课程资源包含人工智能、编程、机器人、竞赛、3D打印等主题课程，</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3）课程资源包含教学设计、教学PPT、学生用书、作品视频、搭建图、参考程序等；</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 4）课程资源以思维型教学理论为支撑进行开发，教学设计包含：教学内容分析，核心问题分解体系，教学目标，教学资源与准备和教学流程与提示≥5个环节；</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7、AI助手</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软件使用指导：平台内置详细全面的软件使用教程(解答关于教学套件相关的软件使用问题)，讲解软件操作步骤，帮助教师快速上手，轻松应对软件教学难点。教师在使用软件过程中遇到问题,可随时获得智能解答。</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硬件使用教学：针对各类信息科技硬件设备，如常见的电子模块、开发板等，提供深入的使用教学。从硬件原理剖析，到实际操作演示，全方位助力教师掌握硬件知识与使用技巧，为课堂实践教学做好充分准备。</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3）辅助课堂教学：解答关于套件编程相关的python 问题，可以作为学生的 python 学习导师,系统性的帮助学生学习python 语法。(如 Python的底层逻辑、语法结构等系统性、针对性的建立学生对于编程语言的理解)</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8、AI工具：</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1）软件平台可以根据教学目标、内容、教师风格和学生特点，自动生成教学设计和互动式教学课件；</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2）软件平台可以生成与教材版本、课标匹配的备课资料，包括教学设计模板、例题和习题等，帮助教师节省搜集整理资料的时间；</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3）软件平台可以生图：（1）快速上手：提供预设模板和示例，让新手 1 分钟出图；（2）文生图：输入文字描述即可生成对应图像，支持多种艺术风格；（3）图生图：上传参考图，或结合文本描述，改变风格或细节即可生成新图片；（4）图像编辑：局部擦除、换背景、调色等。</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 生成视频：为帮助学生更好地理解复杂的概念，可以通过简单的文字描述来生成视频内容。</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5）生文：根据输入的开头或上下文，软件平台可以生成连贯的文本内容。</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9、物联网平台</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一款适配多终端网页登录的物联网平台，具备教学管理系统，涵盖师生分级账号管控、核心控件配置、实时状态反馈等功能，支持硬件仿真、科学探究、模拟通信等实验教学需求，助力提升教学管理效率与实验教学质量。</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1）支持多终端网页直接登录，无需额外做设备适配，师生使用不同设备都能灵活操作平台。</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2）设置教师、学生双层分级账号，层级清晰，可支撑平台的精细化管理与分层操作。</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3）教师可批量添加学生信息，系统自动生成对应登录账号，提升账号管理效率。</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4）学生账号支持一键删除，退出管理流程便捷高效，无需复杂操作。</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5）支持实时监控学生账号状态，可快速查看启用、禁用情况，并进行批量调整。</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6）可集中管控平台设备与数据流转，保障设备稳定运行和数据传输安全。</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7）核心控件支持统一配置管理，可按需调整参数，适配不同教学场景。</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8）配备丰富实用的核心控件库，全面覆盖平台各类操作执行与内容展示需求。</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9）拥有完善的实时反馈机制，控件操作结果可实时同步显示，反馈及时直观。</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10）支持实时监测设备运行状态，异常情况会第一时间提醒，避免教学流程中断。</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11）传感器采集的数据可实时更新并同步展示，为教学活动提供数据支撑。</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12）科学探究实验数据可自动以图表形式记录，同时支持全屏显示，方便展示与分析结果。</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13）提供模拟通信功能，可手动发送信号，适用于通信原理教学及相关实验模拟。</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14）支持文本、图表、列表三种核心数据展示格式，可根据数据类型与教学需求灵活切换。</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多模态教育大模型学习平台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1、多模态教育大模型学习平台是特意为人工智能各阶段学习套装所研发的一款学习平台，通过该平台学生可以进行编程、后台分析处理数据，控制配套硬件完成相应的指令。</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2、为满足不同教学环境的使用，需提供学习平台的安装文件，并支持Windows、linux系统的电脑安装使用。</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3、为适应中小学人工智能教育，使学生更加简便的学习编程知识，了解传感器和执行器等相关电子元器件的使用，学习平台需满足以下要求：</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（1）支持Arduino、ESP32、K210、K230、RK3566等硬件的程序编写、编译和调试。</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（2）支持图形化编程模式、Python语言、MicroPython语言等编程模式。</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（3）图形化编程模式包含所有端口功能，支持子程序功能等可视化编程。含有控制、计算、变量、函数、数据、控制台打印6大功能模块。</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（4）支持将图形化程序实时转译成Python语言程序。</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（5）内置python，支持标准Python代码的运行。</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（6）▲支持虚拟仿真系统，支持基于ESP32-S3微控制器的MicroPytho虚拟仿真，无需实体硬件即可完成程序开发与调试（提供满足国家认可的第三方检测机构出具的检测报告复印件并加盖投标人公章）。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4、虚拟仿真系统，具有以下功能：</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（1）内置的虚拟主控板，集成多功能输入输出模块，包括按键、LCD显示屏、光敏传感器、声音传感器、磁场传感器、加速度/陀螺仪、语音识别（ASR）与语音合成（TTS）单元等。</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（2）▲可连接多种虚拟执行器，包括舵机、可编程灯带、四位数码管、水泵、风扇及单色LED灯等（提供满足国家认可的第三方检测机构出具的检测报告复印件并加盖投标人公章）。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支持丰富虚拟传感器类型，涵盖温湿度、超声波、陀螺仪、声音、压力、土壤湿度、人体红外、雨滴、紫外线、磁力、巡线、RFID读写、红外接收等模块，仿真行为与物理传感器一致（提供满足国家认可的第三方检测机构出具的检测报告复印件并加盖投标人公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（4）支持实时显示时钟，适用于图形编程与可视化教学。</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（5）集成无线通信模拟功能，支持Wi-Fi与蓝牙虚拟协议栈。提供物联网虚拟环境，支持模拟设备接入、数据传输与云端交互。支持实时时间同步与天气数据获取，可用于开发具备网络功能的综合应用项目。</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5、学习平台须具有学习管理的功能，并含有以下功能：</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教师端：</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（1）支持教师查看学生提交的编程程序情况，具有下载和回显功能。下载是将编程程序下载到本地，方便分享给他人使用。回显则是将当前的历史显示出来，供用户再次使用，避免重复编写积木逻辑。</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（2）支持教师管理和分配课程任务：按照课程课时，教师可布置包含单项选择，多项选择，判断，编程等任务。</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（3）支持学生管理功能：支持单个或批量添加学生账号；支持教师按课程课时查看学生的任务完成情况，并可以对完成情况打分写评语，也可以使用软件具身功能自助生成参考评语和参考评分。</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学生端：</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（1）支持学生下载和回显以往代码。</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（2）课程任务：支持学生报名课程，并完成对应课程的编码任务。</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6、学习平台须满足以下功能：</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支持语音识别、语音合成、声音克隆、自然语言处理、图像识别、人脸识别、人体关节识别、文字识别、车牌识别、图像分割、手势识别、货币识别、图像深度预测、图像理解、实时目标检测、图片生成、视频生成、3D生成、音乐生成、二维码识别、颜色识别、矩形检测一系列人工智能模型推理的离线应用。</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（2）支持图像分类模块、目标检测模块、实例分隔模块、时序模式识别模块、语音分类模块、文本分类、姿态分类、手势分类一系列人工智能模型训练的离线应用。</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支持2D到3D转换模块、决策树算法、专家系统演示、手写字母数字推理、手写字母数字识别、室内设计、K近邻算法、排序可视化、草稿生图、晶圆检测推理模型、晶圆检测训练模型、YOLO训练、深蹲检测一系列人工智能行业应用的离线应用（提供满足国家认可的第三方检测机构出具的检测报告复印件并加盖投标人公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（4）▲支持Excel、网络爬虫、数据库、数据可视化一系列人工智能大数据处理的离线应用（提供满足国家认可的第三方检测机构出具的检测报告复印件并加盖投标人公章）。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（5）▲支持NumPy、OpenCV、PyTorch、xlrd、csv、pandas等一系列高级扩展功能的离线应用（提供满足国家认可的第三方检测机构出具的检测报告复印件并加盖投标人公章）。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课程资源</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一、人工智能通识活动课程(高中)</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课程介绍：课程简介：本课程面向高中阶段，以人工智能基本原理、机器学习与神经网络、生成式AI及行业应用为主线，共设置4个主题、24课次。学生将通过时间线梳理、规则设计、分类实验、模型训练模拟、提示迭代、行业案例分析与方案评审等活动，理解人工智能从数据到决策的基本过程，形成数据与证据意识、系统分析能力、创新实践能力以及负责任使用人工智能的意识。</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提供不少于24课时的教学课件、学习手册、教师手册、学习配套应用等课程资源。</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课程目录：</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单元一、人工智能：从规则到学习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第1课、AI发展时间线；第2课、规则系统还是学习系统；第3课、数据、算法与算力协同挑战；第4课、设计一个迷你专家系统；第5课、算法如何解决问题；第6课、AI未来决策论坛</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单元二、机器学习与神经网络：让机器从数据中学习</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第7课、机器学习的三种学习方式；第8课、用邻近样本完成分类；第9课、搭建一张神经网络图；第10课、模型怎样从错误中学习；第11课、训练并测试一个简单模型；第12课、数据偏见与模型公平</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单元三、生成式AI：理解、创作与评估</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第13课、生成式AI从哪里来；第14课、注意力机制可视化；第15课、提示设计与输出评估；第16课、多模态生成实验；第17课、模型轻量适配体验；第18课、制定负责任的生成式AI公约</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单元四、AI行业应用：分析、设计与责任</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第19课、医疗AI：辅助而非替代；第20课、工业质检：怎样判断缺陷；第21课、交通优化：让数据支持决策；第22课、农业监测：选择合适的感知方式；第23课、金融风控：准确之外还要公平；第24课、AI行业方案评审会</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二、人工智能模拟实验箱课程</w:t>
            </w:r>
            <w:r/>
          </w:p>
          <w:p>
            <w:pPr>
              <w:numPr>
                <w:ilvl w:val="0"/>
                <w:numId w:val="1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本课程聚焦人工智能领域的模拟控制技术。通过理论与实践相结合的方式，学生将深入学习MicroPython编程语言，掌握基础编程语法，同时熟悉智能模拟控制系统的开发流程。课程采用项目驱动教学法，围绕灯光控制、环境监测、智能安防等贴近生活的应用主题设计实践项目，鼓励学生动手实践，提升解决实际问题的能力。课程难度循序渐进，从基础编程概念到复杂系统集成，逐步引导学生进入智能控制领域，激发学生对人工智能技术的兴趣，为未来在相关领域的学习与创新打下坚实基础。</w:t>
            </w:r>
            <w:r/>
          </w:p>
          <w:p>
            <w:pPr>
              <w:numPr>
                <w:ilvl w:val="0"/>
                <w:numId w:val="1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提供不少于16课时的课程资源，须包含但不限于：教案、学案、PPT等课程资源</w:t>
            </w:r>
            <w:r/>
          </w:p>
          <w:p>
            <w:pPr>
              <w:numPr>
                <w:ilvl w:val="0"/>
                <w:numId w:val="1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课程目录：</w:t>
            </w:r>
            <w:r/>
          </w:p>
          <w:p>
            <w:pPr>
              <w:numPr>
                <w:ilvl w:val="0"/>
                <w:numId w:val="1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第一单元    模拟控制入门与编程基础</w:t>
            </w:r>
            <w:r/>
          </w:p>
          <w:p>
            <w:pPr>
              <w:numPr>
                <w:ilvl w:val="0"/>
                <w:numId w:val="1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1、智能硬件入门与 LED 闪烁；2、条件语句与按键控制 LED；3、循环语句与 LED 亮度调节；4、函数定义与摇杆控制灯环</w:t>
            </w:r>
            <w:r/>
          </w:p>
          <w:p>
            <w:pPr>
              <w:numPr>
                <w:ilvl w:val="0"/>
                <w:numId w:val="1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第二单元   显示技术与信息呈现</w:t>
            </w:r>
            <w:r/>
          </w:p>
          <w:p>
            <w:pPr>
              <w:numPr>
                <w:ilvl w:val="0"/>
                <w:numId w:val="1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5、LED 灯环的七彩流光效果；6、OLED 显示的信息世界；7、数码管的数字魔方；8、环境监测显示系统集成</w:t>
            </w:r>
            <w:r/>
          </w:p>
          <w:p>
            <w:pPr>
              <w:numPr>
                <w:ilvl w:val="0"/>
                <w:numId w:val="1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第三单元   动力控制与执行器应用</w:t>
            </w:r>
            <w:r/>
          </w:p>
          <w:p>
            <w:pPr>
              <w:numPr>
                <w:ilvl w:val="0"/>
                <w:numId w:val="1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9、环境光强与震动马达的交响乐；10、声音触发的舵机保卫者；11、直流风扇的智能温控；12、智能家居的动力枢纽</w:t>
            </w:r>
            <w:r/>
          </w:p>
          <w:p>
            <w:pPr>
              <w:numPr>
                <w:ilvl w:val="0"/>
                <w:numId w:val="1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第四单元  传感器技术与系统集成</w:t>
            </w:r>
            <w:r/>
          </w:p>
          <w:p>
            <w:pPr>
              <w:numPr>
                <w:ilvl w:val="0"/>
                <w:numId w:val="10"/>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13、温湿度传感器与环境守护者；14、摇杆控制的模拟交互；15、无线通信的遥控世界；16、门禁系统的安全卫士</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教师成长平台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教师成长平台，围绕人工智能系列课程，以先进的人工智能技术为支撑，以领先的思维型教学为途径，旨在锤炼人工智能教师队伍，让教师成长为有温度的赋能者，让学生在智能时代熠熠生辉。</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1、系统采用云端的方式进行部署，方便进行维护和更新。</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2、系统基于 B/S 架构，用户通过浏览器即可访问，无需下载或安装单独的客户端软件。系统支持 IE、Google Chrome、Firefox 等主流浏览器访问；</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3、系统支持不同类型的课程资源的在线预览，包括 doc、xls、ppt、pdf 等文档类资源 png、jpg 等图片类资源，rmv、mp4等视频类资源，并且无需单独安装插件，即可在线访问所有资源；</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4、平台课程中心包含专业学习模块、课堂教学模块、学生课程模块。</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5、专业学习模块：提供人工智能、创客教育专业课程体系，从0到1让老师和学生快速了解人工智能。</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5.1在专业学习模块，免费提供不少于28课时的教师在线课程。包含且不限于以下几大模块：机械设计课程、物联网课程、开源硬件课程、初识人工智能课程、简单机械课程、Python编程课程、人工智能通识课程、人工智能时代的核心思维、图形化编程课程、生成式人工智能课程和生成式AI下的机器学习课程。</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6、课堂教学模块：深度解读人工智能课程构建与教学的原理，直接呈现多种课型的教学过程，互动研讨教学案例，生成教学智慧与机智。</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6.1在课程教学模块，免费提供不少于15课时的教师在线课程学习，包含且不限于以下四大模块：人工智能课程建构的TPI模型、思维型教学理论、人工智能素养与课程构建和人工智能通识课程视频案例。</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7、平台支持教师将自研的课程资源上传至平台，在线课程学习，在线交流互动；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8、提供优质丰富持续更新的创新课程；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9、提供创客主题社区讨论，为学生提供更多新鲜想法，扩展视野，分享经验，通过交流探讨获激发更多的创造力；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10、能实时分享教育最新资讯。</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运维服务</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设备安装完提供产品培训服务，服务具体包括带领老师学习所供设备的主要功能、操作流程、教学应用场景以及维护保养等内容，帮助老师快速了解和掌握教室产品的使用。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项</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 边台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尺寸：≥8000*450*800mm；</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2.材质：环保实木多层板或者钢制；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3.功能：既美观又便于存储收纳。</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（根据现场定制）</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组</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工具箱</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专用配套工具箱34件套，含22种必备常用工具，工具箱内定点定位，方便使用和管理。</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工具包括：电工胶布，1卷，5mPVC电工胶布；芝麻柄螺丝批，2把，6*100mmPH2# 十字一字各一支；芝麻柄螺丝批，2把，5*75mmPH1#，十字一字各一支；芝麻柄螺丝批，2把，3*150mmPH0# 十字一字各一支；钢卷尺，1把，3m*12.5mm公制白色涂脂尺带；吸锡</w:t>
            </w:r>
            <w:r>
              <w:rPr>
                <w:rFonts w:hint="eastAsia" w:ascii="宋体" w:hAnsi="宋体" w:eastAsia="宋体" w:cs="宋体"/>
                <w:i w:val="0"/>
                <w:iCs w:val="0"/>
                <w:color w:val="000000"/>
                <w:sz w:val="22"/>
                <w:szCs w:val="22"/>
                <w:highlight w:val="none"/>
                <w:u w:val="none"/>
                <w:lang w:val="en-US" w:eastAsia="zh-CN"/>
              </w:rPr>
              <w:t xml:space="preserve">器，1个，铝塑吸锡泵；剥线钳，1把，磨齿剥线钳、剥线经0.6-2.6mm、后面切线功能；刷子，1把，软毛刷；焊锡丝，1卷，1.0mm FLNX 2.0%；小钢锯，1把，配一根锯条；测电笔，1支，氖管；活动扳手，1把，8”；羊角锤，1把，0.25KG钢管柄；钢丝钳，1把，7”；尖嘴钳，1把，6"；斜口钳，1把，7"；数显万用表，1台，T830B数字；精密螺丝批，6把/套，PH00 PH0 -3.0 -2.0 -1.2；电烙铁，1把，220V50Hz60W；美工刀，1把，单发包胶；烙铁架，1付，内六角扳手1套。</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组</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学生桌</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桌面采用厚度25MM的环保等级不低于E1高密度板；桌面板所有棱边都采用弧形设计；产品防潮防湿，桌面24小时灌水测试不起泡，产品无毒、无甲醛排放；桌面也可以选择表面贴三聚氰胺，侧边封边工艺。甲方根据实际需求选择。</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2.桌架：1.2mm厚蛋管冷轧钢立柱，1.0mm冷轧钢横梁，书网：材料为0.8mm冷轧钢架，材料表面经过防腐氧化处理和纯环氧树脂塑粉高温固化处理，具有较强的耐蚀性及承重性；</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3.挡板：挡板E1级高密度板采用15MM，封边：</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（可以根据甲方环境，教室实际尺寸进行调整）。 </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学生椅子</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尺寸规格：≥33*24*45（cm）</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支架规格：主支撑脚采用≥20*20方钢管，拉挡为≥20*20方钢管，管材表面流水线静电喷塑处理，凳架常规为白色或者黑色。 （可以根据甲方环境，教室实际尺寸进行调整） </w:t>
            </w:r>
            <w:r>
              <w:rPr>
                <w:rFonts w:hint="eastAsia" w:ascii="宋体" w:hAnsi="宋体" w:eastAsia="宋体" w:cs="宋体"/>
                <w:i w:val="0"/>
                <w:iCs w:val="0"/>
                <w:color w:val="000000"/>
                <w:sz w:val="22"/>
                <w:szCs w:val="22"/>
                <w:highlight w:val="none"/>
                <w:u w:val="none"/>
                <w:lang w:val="en-US" w:eastAsia="zh-C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把</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吊顶</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石膏板走边吊顶，铝方通约≥宽50*高</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70(mm）厚度≥0.5mm、轻钢龙骨吊顶、包 括安装人工辅材</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116.6</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平方</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静电地板</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约≥600*600*35MM有边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钢板厚度：06/05</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面层：≥ 1.2HPL防静电</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静态均布承载：≥900-1000KGS/平</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支架： 缩管支架</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横梁：加厚贴皮</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116.6</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平方</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环保乳胶漆、墙面打磨、人工喷涂，一底 两面乳胶漆（包含油漆及人工）。、</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平方</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根据学校实际需求定制，提供设计方案给校方确认在定做。</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间</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窗帘及窗帘盒</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窗帘盒≥14米，窗帘≥21米（根据学校实际尺寸进行调整）</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间</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≥600*600*35，≥48W</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配套线材</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电源线、网线等</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间</w:t>
            </w:r>
            <w:r/>
          </w:p>
        </w:tc>
      </w:tr>
      <w:tr>
        <w:trPr>
          <w:trHeight w:val="735"/>
        </w:trPr>
        <w:tc>
          <w:tcPr>
            <w:gridSpan w:val="5"/>
            <w:shd w:val="clear" w:color="auto" w:fill="auto"/>
            <w:tcBorders>
              <w:top w:val="single" w:color="000000" w:sz="4" w:space="0"/>
              <w:left w:val="single" w:color="000000" w:sz="4" w:space="0"/>
              <w:bottom w:val="single" w:color="000000" w:sz="4" w:space="0"/>
              <w:right w:val="single" w:color="000000" w:sz="4" w:space="0"/>
            </w:tcBorders>
            <w:tcW w:w="9894"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3、电子班牌</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等线" w:hAnsi="等线" w:eastAsia="等线" w:cs="等线"/>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等线" w:hAnsi="等线" w:eastAsia="等线" w:cs="等线"/>
                <w:i w:val="0"/>
                <w:iCs w:val="0"/>
                <w:color w:val="000000"/>
                <w:sz w:val="20"/>
                <w:szCs w:val="20"/>
                <w:highlight w:val="none"/>
                <w:u w:val="none"/>
                <w:lang w:val="en-US" w:eastAsia="zh-CN"/>
              </w:rPr>
              <w:t xml:space="preserve">电子班牌</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1.采用21.5英寸横屏式电容显示屏，支持10点触控，屏幕分辨率≥1920*1080，显示比例16:9；屏幕亮度≥500cd/㎡。</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2.整机采用防水防尘结构设计，适用于学校教室半户外环境，防护等级不低于IP65。</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3.整机背部与墙面微距全贴合，背面与平整墙面间隙最大处≤2.5mm，保障教学环境的安全性。</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4.整机最大厚度不大于29mm。</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5.整机正面覆盖钢化玻璃。</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6.整机正面不采用贴膜方式具备防眩光功能。</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7.可拍摄不低于200W像素的照片，支持不少于5人同时进行人脸识别。可支持学生无卡考勤签到、查看个人课程表、家长留言等个人信息。</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8.整机在逆光（人像处于背景照度≥60000Lux）环境下距离≤0.5m可正常进行人脸识别。</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9.内置高灵敏度的全向麦克风，拾音半径不小于0.5m，支持学生语音留言，留言内容同步发送至家长微信。</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10.内置2.0立体声道功放，支持视频及家长留言的音频播放。</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11.刷卡器：具有内置IC卡刷卡器，支持14443协议。学生可佩带相应的终端设备完成刷卡签到、查看个人信息等操作。</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12.整机具备至少一路RJ45网络接口；具备不少于2路USB 2.0接口。</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13.整机采用内置天线设计，无任何天线外露。</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14.整机支持外接门禁控制。</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15.系统运行内存不低于2GB，存储容量不低于8GB；操作系统版本不低于Android 9.0。</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16.整机CPU≥4核，最高主频≥1.9G，操作系统版本不低于Android 9.0。</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17.整机电源采用插墙式电源适配器，适配器无需悬挂，线材上出。</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18.支持远程开关机功能，远程唤醒待机功耗≤2W。</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等线" w:hAnsi="等线" w:eastAsia="等线" w:cs="等线"/>
                <w:i w:val="0"/>
                <w:iCs w:val="0"/>
                <w:color w:val="000000"/>
                <w:sz w:val="20"/>
                <w:szCs w:val="20"/>
                <w:highlight w:val="none"/>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等线" w:hAnsi="等线" w:eastAsia="等线" w:cs="等线"/>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班牌软件</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color w:val="000000"/>
                <w:sz w:val="22"/>
                <w:szCs w:val="22"/>
                <w:highlight w:val="none"/>
              </w:rPr>
              <w:t xml:space="preserve">1.整套应用系统基于SaaS布局，应用界面采用B/S架构设计，支持学校管理者在Windows、Linux、Android、IOS等多种不同的操作系统上通过网页浏览器登陆进行所有管理指令操作。家长通过常用移动通讯应用工具即可实现家校互通，通知消息接收。</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2.系统可在后台发布班牌展示信息内容，支持照片、视频、新闻、公告、电子欢迎横幅、PDF、第三方链接等类型，内容支持图文混合排版。</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3.信息发布具备定向发布功能，可按照全校、班级层级进行定向信息推送。</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4.联动校宣：发布的校级图片、视频、新闻、公告，可同时传到班牌和一体机上展示。</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5.设置屏保模式后，班牌长时间处于无人操作状态下将自动切换至屏幕保护模式，屏保模式下可选择全校、班级相册轮播、置顶已发布公告等多种内容展示。</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6.系统内置超过150张屏保云图，分属于不同的云图库（如：卫生健康、党建文化、科普知识等），用户可以选择需要的云图库作为班牌屏保。</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7.新闻公告、相册、视频、海报功能均支持霸屏发布，在指定时间段内霸屏内容全屏展示。</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8.公告发布支持家长提交回执设置，打开需要家长回执开关后，微信公众号会实时通知家长公告消息，老师可以在小程序实时查看家长提交回执明细。</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9.支持发布校级重要公告，新增公告内容同步在全校班牌置顶展示。</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10.系统内置超过15套公告模板，可供用户发布公告时套用。</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11.系统内置不低于40套海报模板，支持用户自定义修改背景及文案。同时可以自定义管理海报分类。</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12.支持以校级或班级为单位发布事件倒计时，可编辑事件名称和倒计时截止时间，事件剩余时间在班牌实时显示，可同时发布不少于3个事件倒计时。</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13.支持发布班级值日安排，可在班牌显示当日对应的值日生名单。</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14.学生、教师可在班牌查看对应课程表；班牌智能高亮标记显示今日课程及当前进行的课程，便于学生教师查看。</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15.系统提供学生日循环考勤、单次事件考勤、课程考勤等考勤规则模式，可设置考勤事件的名称、起始时间、考勤人员范围。考勤时间段内班牌显示内容自动切换为考勤模式，实时显示应到学生、已到学生的数量及名单。</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16.人脸识别考勤功能支持离线识别，无网络环境下班牌仍可以进行人脸识别考勤。</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17.班牌可显示对应场地的历史考勤记录，可按日查看考勤事件的名称、考勤时间、考勤结果，考勤结果按准点、迟到、缺勤、请假等状态分类展示考勤名单，突出标识迟到或缺勤人员。</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18.学生考勤结果可自动推送至家长手机端，供家长查看学生考勤信息。支持考勤结束后自动推送考勤结果给管理员、班主任和任课老师，同时老师可设置关闭通知开关。</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19.支持教师授课考勤，教师通过人脸识别或手机扫描所在班级班牌的二维码完成授课考勤。考勤结果支持按日查询，可查看每名教师的打卡时间及考勤状态，总览教师授课出勤准点率等情况。针对指定课程，可设置教师与学生同时进行考勤，也可只对学生或教师单独进行考勤。</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20.教师可在手机端修改学生的考勤记录（并非使用浏览器打开指定网址）。</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等线" w:hAnsi="等线" w:eastAsia="等线" w:cs="等线"/>
                <w:i w:val="0"/>
                <w:iCs w:val="0"/>
                <w:color w:val="000000"/>
                <w:sz w:val="20"/>
                <w:szCs w:val="20"/>
                <w:highlight w:val="none"/>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点</w:t>
            </w:r>
            <w:r/>
          </w:p>
        </w:tc>
      </w:tr>
      <w:tr>
        <w:trPr>
          <w:trHeight w:val="735"/>
        </w:trPr>
        <w:tc>
          <w:tcPr>
            <w:gridSpan w:val="5"/>
            <w:shd w:val="clear" w:color="auto" w:fill="auto"/>
            <w:tcBorders>
              <w:top w:val="single" w:color="000000" w:sz="4" w:space="0"/>
              <w:left w:val="single" w:color="000000" w:sz="4" w:space="0"/>
              <w:bottom w:val="single" w:color="000000" w:sz="4" w:space="0"/>
              <w:right w:val="single" w:color="000000" w:sz="4" w:space="0"/>
            </w:tcBorders>
            <w:tcW w:w="9894"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4、会议系统</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1.阻抗：≥8Ω。</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2.高音：1.4"压缩高音单元×1；低音：8"低音×1。</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3.额定功率：≥200W；覆盖角度：(H)80°(V)60°。</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对</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1.1U机箱设计，标准XLR输入接口，和LINK输出口。</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2.电源采用开关电源技术，效率高，有效的抑制电源谐波。内置智能削峰限幅器，支持开机软启动，防止开机时向电网吸收大电流，干扰其它用电设备。 </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3.输出功率*：立体声≥8Ω ：≥350W×2；立体声4Ω：≥600W×2；桥接16Ω≥：700W ；桥接8Ω：≥1200W。</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sz w:val="22"/>
                <w:szCs w:val="22"/>
                <w:highlight w:val="none"/>
              </w:rPr>
              <w:t xml:space="preserve">1.会议主机是一款高性能会议主机。具备系统检测，可检测系统清单，并可定位故障位置。</w:t>
            </w:r>
            <w:r>
              <w:rPr>
                <w:rFonts w:hint="eastAsia" w:ascii="宋体" w:hAnsi="宋体" w:cs="宋体"/>
                <w:sz w:val="22"/>
                <w:szCs w:val="22"/>
                <w:highlight w:val="none"/>
              </w:rPr>
              <w:br/>
            </w:r>
            <w:r>
              <w:rPr>
                <w:rFonts w:hint="eastAsia" w:ascii="宋体" w:hAnsi="宋体" w:cs="宋体"/>
                <w:sz w:val="22"/>
                <w:szCs w:val="22"/>
                <w:highlight w:val="none"/>
              </w:rPr>
              <w:t xml:space="preserve">2.设备具有客户端、WEB端控制方式，通过客户端或WEB端可调节音频矩阵参数（包括EQ、音量、延时器、话筒灵敏度等）、16通道输出模式切换、开关话筒同步、中英俄法四种语言切换、控制角色分离主机。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会议话筒处理器</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sz w:val="22"/>
                <w:szCs w:val="22"/>
                <w:highlight w:val="none"/>
              </w:rPr>
              <w:t xml:space="preserve">具有自动混音功能，包括增益共享型自动混音以及门限型自动混音。具有自动增益功能，具有AFC反馈抑制功能。</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1.专业型紧凑式调音台,超低噪声离散式麦克风前置放大器和+48V幻象电源，功能强大齐全，音质动听。</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2.支持8路麦克风输入兼容6路线路输入接口，支持≥2路立体声输入接口，≥4路RCA输入，话筒接口幻象电源：+48V。≥2组立体声输出、≥4路编组输出、≥4路辅助输出、≥1个耳机监听输出、≥1个接口双路效果输出 、≥1组控制室输出、1组主混音断点插入、≥6个断点插入。具备13个60mm行程的高精密碳膜推子。</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3.内置24位DSP效果器，提供100种预设效果。</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一款高性能音频处理器，具有≥4路模拟平衡输入和≥4路模拟平衡输出。集成动态范围控制（DRC）、自动增益（AGC）、反馈抑制（AFC）、自适应降噪（ANS）、AI智能降噪、自适应回声消除（AEC）、音频滤波器（GEQ、PEQ、分频器）功能，主要应用于专业扩声场景，可以满足会议室、法庭、礼堂、多功能厅、演出、教室场所对扩声系统应用方面的需求。</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抑制器</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color w:val="000000"/>
                <w:sz w:val="22"/>
                <w:szCs w:val="22"/>
                <w:highlight w:val="none"/>
              </w:rPr>
              <w:t xml:space="preserve">1.高性能 64bit DPS处理器（1.3GHz主频），高精度 32bit/48KHz AD/DA，专业的DSP处理，提供卓越高品质声音。</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2.设备配置≥2个完全独立的反馈抑制通道，每通道均支持自适应反馈抑制（AFC）功能，传声增益提升6dB~12dB，可分别处理不同声源信号（如主讲麦克风与观众席拾音），避免多麦克风场景下的交叉啸叫干扰。</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3.具有≥2路XLR母座+≥2路TRS母座模拟输入、≥2路XLR公座+≥2路TRS母座模拟输出。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color w:val="000000"/>
                <w:sz w:val="22"/>
                <w:szCs w:val="22"/>
                <w:highlight w:val="none"/>
              </w:rPr>
              <w:t xml:space="preserve">1.支持8通道电源时序打开/关闭，每路动作延时时间：1秒，支持远程控制（上电+24V直流信号）8通道电源时序打开/关闭—当电源开关处于off位置时有效。支持配置CH1和CH2通道为受控或</w:t>
            </w:r>
            <w:r>
              <w:rPr>
                <w:rFonts w:hint="eastAsia" w:ascii="宋体" w:hAnsi="宋体" w:cs="宋体"/>
                <w:sz w:val="22"/>
                <w:szCs w:val="22"/>
                <w:highlight w:val="none"/>
              </w:rPr>
              <w:t xml:space="preserve">不受控状态。</w:t>
            </w:r>
            <w:r>
              <w:rPr>
                <w:rFonts w:hint="eastAsia" w:ascii="宋体" w:hAnsi="宋体" w:cs="宋体"/>
                <w:sz w:val="22"/>
                <w:szCs w:val="22"/>
                <w:highlight w:val="none"/>
              </w:rPr>
              <w:br/>
            </w:r>
            <w:r>
              <w:rPr>
                <w:rFonts w:hint="eastAsia" w:ascii="宋体" w:hAnsi="宋体" w:cs="宋体"/>
                <w:sz w:val="22"/>
                <w:szCs w:val="22"/>
                <w:highlight w:val="none"/>
              </w:rPr>
              <w:t xml:space="preserve">2.单个通道最大负载功率2200W，所有通道负载总功率达6000W。输出连接器：多用途电源插座。</w:t>
            </w:r>
            <w:r>
              <w:rPr>
                <w:rFonts w:hint="eastAsia" w:ascii="宋体" w:hAnsi="宋体" w:cs="宋体"/>
                <w:sz w:val="22"/>
                <w:szCs w:val="22"/>
                <w:highlight w:val="none"/>
              </w:rPr>
              <w:br/>
            </w:r>
            <w:r>
              <w:rPr>
                <w:rFonts w:hint="eastAsia" w:ascii="宋体" w:hAnsi="宋体" w:cs="宋体"/>
                <w:sz w:val="22"/>
                <w:szCs w:val="22"/>
                <w:highlight w:val="none"/>
              </w:rPr>
              <w:t xml:space="preserve">3.具有一路USB输出接口。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会议话筒</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1.单元采用数字传输链路，通过网口转六芯航空线连接到会议主机级联口供电，非压缩音频传输技术。</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2.单元具备会议发言、会议签到、声控、5段EQ调节等功能。</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3.主席单元具备关闭代表单元发言的优先权限。</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会议话筒</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1.单元采用数字传输链路，通过网口转六芯航空线连接到会议主机级联口供电，非压缩音频传输技术。</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2.单元具备会议发言、会议签到、声控、5段EQ调节等功能。</w:t>
            </w:r>
            <w:r>
              <w:rPr>
                <w:rFonts w:hint="eastAsia" w:ascii="宋体" w:hAnsi="宋体" w:eastAsia="宋体" w:cs="宋体"/>
                <w:i w:val="0"/>
                <w:iCs w:val="0"/>
                <w:color w:val="000000"/>
                <w:sz w:val="22"/>
                <w:szCs w:val="22"/>
                <w:highlight w:val="none"/>
                <w:u w:val="none"/>
                <w:lang w:val="en-US" w:eastAsia="zh-CN"/>
              </w:rPr>
              <w:br/>
            </w:r>
            <w:r>
              <w:rPr>
                <w:rFonts w:hint="eastAsia" w:ascii="宋体" w:hAnsi="宋体" w:eastAsia="宋体" w:cs="宋体"/>
                <w:i w:val="0"/>
                <w:iCs w:val="0"/>
                <w:color w:val="000000"/>
                <w:sz w:val="22"/>
                <w:szCs w:val="22"/>
                <w:highlight w:val="none"/>
                <w:u w:val="none"/>
                <w:lang w:val="en-US" w:eastAsia="zh-CN"/>
              </w:rPr>
              <w:t xml:space="preserve">3.单元具有发言计时和定时发言功能，代表机具有申请发言功能</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控制终端</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电脑模块CPU要求：不低于4核心8线程；配置要求：内置不低于2G独立显卡；不低于 DDR4 16GB内存，512GB SSD硬盘；显示器：21.8寸</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台</w:t>
            </w:r>
            <w:r/>
          </w:p>
        </w:tc>
      </w:tr>
      <w:tr>
        <w:trPr>
          <w:trHeight w:val="735"/>
        </w:trPr>
        <w:tc>
          <w:tcPr>
            <w:gridSpan w:val="5"/>
            <w:shd w:val="clear" w:color="auto" w:fill="auto"/>
            <w:tcBorders>
              <w:top w:val="single" w:color="000000" w:sz="4" w:space="0"/>
              <w:left w:val="single" w:color="000000" w:sz="4" w:space="0"/>
              <w:bottom w:val="single" w:color="000000" w:sz="4" w:space="0"/>
              <w:right w:val="single" w:color="000000" w:sz="4" w:space="0"/>
            </w:tcBorders>
            <w:tcW w:w="9894" w:type="dxa"/>
            <w:vAlign w:val="center"/>
            <w:textDirection w:val="lrTb"/>
            <w:noWrap w:val="false"/>
          </w:tcPr>
          <w:p>
            <w:pPr>
              <w:jc w:val="both"/>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5、体育器材</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1.5匹，包含打洞、支架、铜管等所有配套费用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3匹柜机，包含打洞、支架、铜管等所有配套费用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田径训练阻力牵引器</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尺寸不小于1175*620*755mm；重量不小于66.5KG；带显示屏幕（不小于7寸），可显示时间速度阻力，功率等；绳长不小于110M；一机多用，可用于短跑、跳远、跳高等多项体育运动日常训练</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跳箱</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  跳箱尺寸约：75X65X130CM  pvc防滑皮革 高密度海绵</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杠铃架</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default" w:ascii="宋体" w:hAnsi="宋体" w:eastAsia="宋体" w:cs="宋体"/>
                <w:i w:val="0"/>
                <w:iCs w:val="0"/>
                <w:color w:val="000000"/>
                <w:sz w:val="22"/>
                <w:szCs w:val="22"/>
                <w:highlight w:val="none"/>
                <w:u w:val="none"/>
                <w:lang w:val="en-US" w:eastAsia="zh-CN"/>
              </w:rPr>
              <w:t xml:space="preserve">重量</w:t>
            </w:r>
            <w:r>
              <w:rPr>
                <w:rFonts w:hint="eastAsia" w:ascii="宋体" w:hAnsi="宋体" w:eastAsia="宋体" w:cs="宋体"/>
                <w:i w:val="0"/>
                <w:iCs w:val="0"/>
                <w:color w:val="000000"/>
                <w:sz w:val="22"/>
                <w:szCs w:val="22"/>
                <w:highlight w:val="none"/>
                <w:u w:val="none"/>
                <w:lang w:val="en-US" w:eastAsia="zh-CN"/>
              </w:rPr>
              <w:t xml:space="preserve">约</w:t>
            </w:r>
            <w:r>
              <w:rPr>
                <w:rFonts w:hint="default" w:ascii="宋体" w:hAnsi="宋体" w:eastAsia="宋体" w:cs="宋体"/>
                <w:i w:val="0"/>
                <w:iCs w:val="0"/>
                <w:color w:val="000000"/>
                <w:sz w:val="22"/>
                <w:szCs w:val="22"/>
                <w:highlight w:val="none"/>
                <w:u w:val="none"/>
                <w:lang w:val="en-US" w:eastAsia="zh-CN"/>
              </w:rPr>
              <w:t xml:space="preserve">60kg(含)-65kg(含)尺寸109厘米版本类型基础版</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default" w:ascii="宋体" w:hAnsi="宋体" w:eastAsia="宋体" w:cs="宋体"/>
                <w:i w:val="0"/>
                <w:iCs w:val="0"/>
                <w:color w:val="000000"/>
                <w:sz w:val="22"/>
                <w:szCs w:val="22"/>
                <w:highlight w:val="none"/>
                <w:u w:val="none"/>
                <w:lang w:val="en-US" w:eastAsia="zh-CN"/>
              </w:rPr>
              <w:t xml:space="preserve">安装方式自立式控制方式手动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篮球</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default" w:ascii="宋体" w:hAnsi="宋体" w:eastAsia="宋体" w:cs="宋体"/>
                <w:i w:val="0"/>
                <w:iCs w:val="0"/>
                <w:color w:val="000000"/>
                <w:sz w:val="22"/>
                <w:szCs w:val="22"/>
                <w:highlight w:val="none"/>
                <w:u w:val="none"/>
                <w:lang w:val="en-US" w:eastAsia="zh-CN"/>
              </w:rPr>
              <w:t xml:space="preserve">篮球规格</w:t>
            </w:r>
            <w:r>
              <w:rPr>
                <w:rFonts w:hint="eastAsia" w:ascii="宋体" w:hAnsi="宋体" w:eastAsia="宋体" w:cs="宋体"/>
                <w:i w:val="0"/>
                <w:iCs w:val="0"/>
                <w:color w:val="000000"/>
                <w:sz w:val="22"/>
                <w:szCs w:val="22"/>
                <w:highlight w:val="none"/>
                <w:u w:val="none"/>
                <w:lang w:val="en-US" w:eastAsia="zh-CN"/>
              </w:rPr>
              <w:t xml:space="preserve">：</w:t>
            </w:r>
            <w:r>
              <w:rPr>
                <w:rFonts w:hint="default" w:ascii="宋体" w:hAnsi="宋体" w:eastAsia="宋体" w:cs="宋体"/>
                <w:i w:val="0"/>
                <w:iCs w:val="0"/>
                <w:color w:val="000000"/>
                <w:sz w:val="22"/>
                <w:szCs w:val="22"/>
                <w:highlight w:val="none"/>
                <w:u w:val="none"/>
                <w:lang w:val="en-US" w:eastAsia="zh-CN"/>
              </w:rPr>
              <w:t xml:space="preserve">七号篮球标准气压(PSI)</w:t>
            </w:r>
            <w:r>
              <w:rPr>
                <w:rFonts w:hint="eastAsia" w:ascii="宋体" w:hAnsi="宋体" w:eastAsia="宋体" w:cs="宋体"/>
                <w:i w:val="0"/>
                <w:iCs w:val="0"/>
                <w:color w:val="000000"/>
                <w:sz w:val="22"/>
                <w:szCs w:val="22"/>
                <w:highlight w:val="none"/>
                <w:u w:val="none"/>
                <w:lang w:val="en-US" w:eastAsia="zh-CN"/>
              </w:rPr>
              <w:t xml:space="preserve">：</w:t>
            </w:r>
            <w:r>
              <w:rPr>
                <w:rFonts w:hint="default" w:ascii="宋体" w:hAnsi="宋体" w:eastAsia="宋体" w:cs="宋体"/>
                <w:i w:val="0"/>
                <w:iCs w:val="0"/>
                <w:color w:val="000000"/>
                <w:sz w:val="22"/>
                <w:szCs w:val="22"/>
                <w:highlight w:val="none"/>
                <w:u w:val="none"/>
                <w:lang w:val="en-US" w:eastAsia="zh-CN"/>
              </w:rPr>
              <w:t xml:space="preserve">10帕斯卡标准周长(cm)</w:t>
            </w:r>
            <w:r>
              <w:rPr>
                <w:rFonts w:hint="eastAsia" w:ascii="宋体" w:hAnsi="宋体" w:eastAsia="宋体" w:cs="宋体"/>
                <w:i w:val="0"/>
                <w:iCs w:val="0"/>
                <w:color w:val="000000"/>
                <w:sz w:val="22"/>
                <w:szCs w:val="22"/>
                <w:highlight w:val="none"/>
                <w:u w:val="none"/>
                <w:lang w:val="en-US" w:eastAsia="zh-CN"/>
              </w:rPr>
              <w:t xml:space="preserve">：约</w:t>
            </w:r>
            <w:r>
              <w:rPr>
                <w:rFonts w:hint="default" w:ascii="宋体" w:hAnsi="宋体" w:eastAsia="宋体" w:cs="宋体"/>
                <w:i w:val="0"/>
                <w:iCs w:val="0"/>
                <w:color w:val="000000"/>
                <w:sz w:val="22"/>
                <w:szCs w:val="22"/>
                <w:highlight w:val="none"/>
                <w:u w:val="none"/>
                <w:lang w:val="en-US" w:eastAsia="zh-CN"/>
              </w:rPr>
              <w:t xml:space="preserve">75cm</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足球</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default" w:ascii="宋体" w:hAnsi="宋体" w:eastAsia="宋体" w:cs="宋体"/>
                <w:i w:val="0"/>
                <w:iCs w:val="0"/>
                <w:color w:val="000000"/>
                <w:sz w:val="22"/>
                <w:szCs w:val="22"/>
                <w:highlight w:val="none"/>
                <w:u w:val="none"/>
                <w:lang w:val="en-US" w:eastAsia="zh-CN"/>
              </w:rPr>
              <w:t xml:space="preserve">足球尺寸</w:t>
            </w:r>
            <w:r>
              <w:rPr>
                <w:rFonts w:hint="eastAsia" w:ascii="宋体" w:hAnsi="宋体" w:eastAsia="宋体" w:cs="宋体"/>
                <w:i w:val="0"/>
                <w:iCs w:val="0"/>
                <w:color w:val="000000"/>
                <w:sz w:val="22"/>
                <w:szCs w:val="22"/>
                <w:highlight w:val="none"/>
                <w:u w:val="none"/>
                <w:lang w:val="en-US" w:eastAsia="zh-CN"/>
              </w:rPr>
              <w:t xml:space="preserve">：约21.5cm</w:t>
            </w:r>
            <w:r>
              <w:rPr>
                <w:rFonts w:hint="default" w:ascii="宋体" w:hAnsi="宋体" w:eastAsia="宋体" w:cs="宋体"/>
                <w:i w:val="0"/>
                <w:iCs w:val="0"/>
                <w:color w:val="000000"/>
                <w:sz w:val="22"/>
                <w:szCs w:val="22"/>
                <w:highlight w:val="none"/>
                <w:u w:val="none"/>
                <w:lang w:val="en-US" w:eastAsia="zh-CN"/>
              </w:rPr>
              <w:t xml:space="preserve">专业训练比赛用球颜色分类</w:t>
            </w:r>
            <w:r>
              <w:rPr>
                <w:rFonts w:hint="eastAsia" w:ascii="宋体" w:hAnsi="宋体" w:eastAsia="宋体" w:cs="宋体"/>
                <w:i w:val="0"/>
                <w:iCs w:val="0"/>
                <w:color w:val="000000"/>
                <w:sz w:val="22"/>
                <w:szCs w:val="22"/>
                <w:highlight w:val="none"/>
                <w:u w:val="none"/>
                <w:lang w:val="en-US" w:eastAsia="zh-CN"/>
              </w:rPr>
              <w:t xml:space="preserve">：</w:t>
            </w:r>
            <w:r>
              <w:rPr>
                <w:rFonts w:hint="default" w:ascii="宋体" w:hAnsi="宋体" w:eastAsia="宋体" w:cs="宋体"/>
                <w:i w:val="0"/>
                <w:iCs w:val="0"/>
                <w:color w:val="000000"/>
                <w:sz w:val="22"/>
                <w:szCs w:val="22"/>
                <w:highlight w:val="none"/>
                <w:u w:val="none"/>
                <w:lang w:val="en-US" w:eastAsia="zh-CN"/>
              </w:rPr>
              <w:t xml:space="preserve">5号贴皮足球-707蓝白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排球</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直径约21cm左右 重量约260g左右  是约5号硬排</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秒表</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秒表：精度约0.01记忆10-100</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尺寸：约80*62*22mm重量：约62g电池：CR2032纽扣电池 </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短跳绳</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绳长长度约2米 材质 PVC包钢丝</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根</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长跳绳</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绳长长度约3米 材质 PVC包钢丝</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根</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移动音响</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尺寸约15英寸 </w:t>
            </w:r>
            <w:r>
              <w:rPr>
                <w:rFonts w:hint="default" w:ascii="宋体" w:hAnsi="宋体" w:eastAsia="宋体" w:cs="宋体"/>
                <w:i w:val="0"/>
                <w:iCs w:val="0"/>
                <w:color w:val="000000"/>
                <w:sz w:val="22"/>
                <w:szCs w:val="22"/>
                <w:highlight w:val="none"/>
                <w:u w:val="none"/>
                <w:lang w:val="en-US" w:eastAsia="zh-CN"/>
              </w:rPr>
              <w:t xml:space="preserve">内置锂电池3.5MM音频插口,USB,蓝牙连接</w:t>
            </w:r>
            <w:r>
              <w:rPr>
                <w:rFonts w:hint="eastAsia" w:ascii="宋体" w:hAnsi="宋体" w:eastAsia="宋体" w:cs="宋体"/>
                <w:i w:val="0"/>
                <w:iCs w:val="0"/>
                <w:color w:val="000000"/>
                <w:sz w:val="22"/>
                <w:szCs w:val="22"/>
                <w:highlight w:val="none"/>
                <w:u w:val="none"/>
                <w:lang w:val="en-US" w:eastAsia="zh-CN"/>
              </w:rPr>
              <w:t xml:space="preserve">  外壳材质：木质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起跑器</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多功能起跑器长新款铝合金起跑器约64*24*10（厚5mm）</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皮尺</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约</w:t>
            </w:r>
            <w:r>
              <w:rPr>
                <w:rFonts w:hint="default" w:ascii="宋体" w:hAnsi="宋体" w:eastAsia="宋体" w:cs="宋体"/>
                <w:i w:val="0"/>
                <w:iCs w:val="0"/>
                <w:color w:val="000000"/>
                <w:sz w:val="22"/>
                <w:szCs w:val="22"/>
                <w:highlight w:val="none"/>
                <w:u w:val="none"/>
                <w:lang w:val="en-US" w:eastAsia="zh-CN"/>
              </w:rPr>
              <w:t xml:space="preserve"> 100米</w:t>
            </w:r>
            <w:r>
              <w:rPr>
                <w:rFonts w:hint="eastAsia" w:ascii="宋体" w:hAnsi="宋体" w:eastAsia="宋体" w:cs="宋体"/>
                <w:i w:val="0"/>
                <w:iCs w:val="0"/>
                <w:color w:val="000000"/>
                <w:sz w:val="22"/>
                <w:szCs w:val="22"/>
                <w:highlight w:val="none"/>
                <w:u w:val="none"/>
                <w:lang w:val="en-US" w:eastAsia="zh-CN"/>
              </w:rPr>
              <w:t xml:space="preserve">  </w:t>
            </w:r>
            <w:r>
              <w:rPr>
                <w:rFonts w:hint="default" w:ascii="宋体" w:hAnsi="宋体" w:eastAsia="宋体" w:cs="宋体"/>
                <w:i w:val="0"/>
                <w:iCs w:val="0"/>
                <w:color w:val="000000"/>
                <w:sz w:val="22"/>
                <w:szCs w:val="22"/>
                <w:highlight w:val="none"/>
                <w:u w:val="none"/>
                <w:lang w:val="en-US" w:eastAsia="zh-CN"/>
              </w:rPr>
              <w:t xml:space="preserve">纤维尺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11人制足球门</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约7.32米长2.44米高  优质碳钢材质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7人制足球门</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约5米长2米高 优质碳钢材质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跳高架</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带轮-跳高架,红色铸铁款,跳高横杆约2米,跳高横杆约4米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跳高垫</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尺寸：约2米宽1.5米厚20厘米 外套材质加厚有机硅帆布内胆材质：高密度海绵海绵密度35/50</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1.基于数字U段的传输技术，pi/4-DQPSK调制方式，采用国产主控芯片，传输距离≥80米，接收机具有≥4路平衡输出、≥1路非平衡混音输出；具有混响、均衡、智能静音、音频加密、功率调节功能。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2.具有≥1台接收主机、≥4只手持发射机；频率范围等同或优于470MHz-510MHz、640MHz-690MHz两个频段使用。</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接收机前面板具有≥4个TFT-LCD显示屏、≥4个编码旋钮、≥4个频率扫描实体按键、≥4个红外对频实体按键、≥1个电源开关按键、≥1个二合一指示灯（红外发射管+对频指示灯）；后面板具有≥1个LINE-OUT接口、≥4个XLR-OUT接口、≥4个BNC接口、≥1个DC接口。发射机具有≥1个OLED显示屏、≥1个开关机/静音按键、≥2个工作状态指示灯。</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4.具有自动静音功能，麦克风跌落、抛掷时，毫秒级自动静音，避免冲击声；实时监测设备姿态，静置≥5秒静音，≥8分钟关机，无需手动干预。</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5.具有多档位混响调节功能，混响效果≥15625个，效果占比、回响延时、混响幅度调节，三种音效各具有≥25档调节方式。</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6.具有多频段均衡调节功能，均衡调节≥2197种，麦克风均衡器调节功能，具有高、中、低音三种调节档位，每种效果支持≥13档调节。</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7.具有长时间续航，发射机连续使用时长≥10小时。</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8.具有ID码防串扰功能，采用32位唯一ID码，用于接收和发射配对，收发ID码必须相同才能对码，能够有效防止相同频率的信号相互串台。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9.接收机具有≥4个LCD显示屏；发射机具有OLED显示屏，能够显示频率信息、音频加密状态、功率挡位、静音状态、电量格数信息。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1.失真限制输出功率（立体声8Ω，THD+N≤1%1kHz）：≥2×700W</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2.输出功率：立体声4Ω：1000W×2；桥接16Ω：1400W；桥接8Ω：2000W。</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3.总谐波失真（8Ω，1kHz）：≤0.01%</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4.增益限制的有效频率范围：20Hz～20kHz</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5.信噪比（A计权）：≥102dB</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7.标准≤1U机箱设计。</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8.内置保护电路模块，具有过压保护、欠压保护、过流保护、直流保护、输出短路保护、温控风扇功能。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9.具有≥2个LINE平衡XLR输入通道，≥2个LINE平衡XLR级联输出通道，≥2个四芯SPEAKON音响插座输出通道。</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10.具有≥三种模式：MONO/STEREO/BRIDGE，可选择切换。</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1.支持≥4路Mic输入兼容≥4路线路输入接口VN.NN19135H，话筒接口幻象电源：≥+48V，≥4组立体线性输入。</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2.具有≥1组立体声主输出、≥1组辅助输出、≥1路耳机监听输出、≥1组CD/Tape输出。</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3.每路单声道输入通道设有≥3段EQ，设有峰值LED指示灯。</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4.内置≥24位DSP效果器，提供≥100种预设效果</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音响</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1.阻抗≤8Ω</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2.频响等同或优于50Hz-20KHz</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3.额定功率≥400W</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4.水平覆盖角≥90°，垂直覆盖角≥70°</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5.高音：≥1"压缩高音单元×1</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6.低音：≥15"低音×1</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7.采用防水扬声器单元，可全天候户外防水。</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对</w:t>
            </w:r>
            <w:r/>
          </w:p>
        </w:tc>
      </w:tr>
      <w:tr>
        <w:trPr>
          <w:trHeight w:val="735"/>
        </w:trPr>
        <w:tc>
          <w:tcPr>
            <w:gridSpan w:val="5"/>
            <w:shd w:val="clear" w:color="auto" w:fill="auto"/>
            <w:tcBorders>
              <w:top w:val="single" w:color="000000" w:sz="4" w:space="0"/>
              <w:left w:val="single" w:color="000000" w:sz="4" w:space="0"/>
              <w:bottom w:val="single" w:color="000000" w:sz="4" w:space="0"/>
              <w:right w:val="single" w:color="000000" w:sz="4" w:space="0"/>
            </w:tcBorders>
            <w:tcW w:w="9894" w:type="dxa"/>
            <w:vAlign w:val="center"/>
            <w:textDirection w:val="lrTb"/>
            <w:noWrap w:val="false"/>
          </w:tcPr>
          <w:p>
            <w:pPr>
              <w:jc w:val="both"/>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6、宿舍用品</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洗衣机</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滚筒洗衣机，洗涤容量约10kg，配套辅材设施等</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单人床</w:t>
            </w:r>
            <w:r/>
          </w:p>
        </w:tc>
        <w:tc>
          <w:tcPr>
            <w:shd w:val="clear" w:color="ffffff" w:fill="ffffff"/>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rPr>
              <w:t xml:space="preserve">1、外型尺寸：</w:t>
            </w:r>
            <w:r>
              <w:rPr>
                <w:rFonts w:hint="eastAsia" w:ascii="宋体" w:hAnsi="宋体" w:eastAsia="宋体" w:cs="宋体"/>
                <w:i w:val="0"/>
                <w:iCs w:val="0"/>
                <w:color w:val="000000"/>
                <w:sz w:val="22"/>
                <w:szCs w:val="22"/>
                <w:highlight w:val="none"/>
                <w:u w:val="none"/>
                <w:lang w:val="en-US" w:eastAsia="zh-CN"/>
              </w:rPr>
              <w:t xml:space="preserve">约</w:t>
            </w:r>
            <w:r>
              <w:rPr>
                <w:rFonts w:hint="eastAsia" w:ascii="宋体" w:hAnsi="宋体" w:eastAsia="宋体" w:cs="宋体"/>
                <w:i w:val="0"/>
                <w:iCs w:val="0"/>
                <w:color w:val="000000"/>
                <w:sz w:val="20"/>
                <w:szCs w:val="20"/>
                <w:highlight w:val="none"/>
                <w:u w:val="none"/>
                <w:lang w:val="en-US" w:eastAsia="zh-CN"/>
              </w:rPr>
              <w:t xml:space="preserve">2000*900mm 。高度距地面35cm。 </w:t>
            </w:r>
            <w:r>
              <w:rPr>
                <w:rFonts w:hint="eastAsia" w:ascii="宋体" w:hAnsi="宋体" w:eastAsia="宋体" w:cs="宋体"/>
                <w:i w:val="0"/>
                <w:iCs w:val="0"/>
                <w:color w:val="000000"/>
                <w:sz w:val="20"/>
                <w:szCs w:val="20"/>
                <w:highlight w:val="none"/>
                <w:u w:val="none"/>
                <w:lang w:val="en-US" w:eastAsia="zh-CN"/>
              </w:rPr>
              <w:br/>
            </w:r>
            <w:r>
              <w:rPr>
                <w:rFonts w:hint="eastAsia" w:ascii="宋体" w:hAnsi="宋体" w:eastAsia="宋体" w:cs="宋体"/>
                <w:i w:val="0"/>
                <w:iCs w:val="0"/>
                <w:color w:val="000000"/>
                <w:sz w:val="20"/>
                <w:szCs w:val="20"/>
                <w:highlight w:val="none"/>
                <w:u w:val="none"/>
                <w:lang w:val="en-US" w:eastAsia="zh-CN"/>
              </w:rPr>
              <w:t xml:space="preserve">2、材质及规格：</w:t>
            </w:r>
            <w:r>
              <w:rPr>
                <w:rFonts w:hint="eastAsia" w:ascii="宋体" w:hAnsi="宋体" w:eastAsia="宋体" w:cs="宋体"/>
                <w:i w:val="0"/>
                <w:iCs w:val="0"/>
                <w:color w:val="000000"/>
                <w:sz w:val="20"/>
                <w:szCs w:val="20"/>
                <w:highlight w:val="none"/>
                <w:u w:val="none"/>
                <w:lang w:val="en-US" w:eastAsia="zh-CN"/>
              </w:rPr>
              <w:br/>
            </w:r>
            <w:r>
              <w:rPr>
                <w:rFonts w:hint="eastAsia" w:ascii="宋体" w:hAnsi="宋体" w:eastAsia="宋体" w:cs="宋体"/>
                <w:i w:val="0"/>
                <w:iCs w:val="0"/>
                <w:color w:val="000000"/>
                <w:sz w:val="20"/>
                <w:szCs w:val="20"/>
                <w:highlight w:val="none"/>
                <w:u w:val="none"/>
                <w:lang w:val="en-US" w:eastAsia="zh-CN"/>
              </w:rPr>
              <w:t xml:space="preserve">（1）四主立柱：采用规格50mm×50mm优质方形钢管，一次成型，壁厚净尺寸≥1.5mm；床底脚均应采用耐磨防滑护套装置。</w:t>
            </w:r>
            <w:r>
              <w:rPr>
                <w:rFonts w:hint="eastAsia" w:ascii="宋体" w:hAnsi="宋体" w:eastAsia="宋体" w:cs="宋体"/>
                <w:i w:val="0"/>
                <w:iCs w:val="0"/>
                <w:color w:val="000000"/>
                <w:sz w:val="20"/>
                <w:szCs w:val="20"/>
                <w:highlight w:val="none"/>
                <w:u w:val="none"/>
                <w:lang w:val="en-US" w:eastAsia="zh-CN"/>
              </w:rPr>
              <w:br/>
            </w:r>
            <w:r>
              <w:rPr>
                <w:rFonts w:hint="eastAsia" w:ascii="宋体" w:hAnsi="宋体" w:eastAsia="宋体" w:cs="宋体"/>
                <w:i w:val="0"/>
                <w:iCs w:val="0"/>
                <w:color w:val="000000"/>
                <w:sz w:val="20"/>
                <w:szCs w:val="20"/>
                <w:highlight w:val="none"/>
                <w:u w:val="none"/>
                <w:lang w:val="en-US" w:eastAsia="zh-CN"/>
              </w:rPr>
              <w:t xml:space="preserve">（2）床头横撑：采用规格30mm×30mm优质方钢管，壁厚净尺寸≥1.2mm。</w:t>
            </w:r>
            <w:r>
              <w:rPr>
                <w:rFonts w:hint="eastAsia" w:ascii="宋体" w:hAnsi="宋体" w:eastAsia="宋体" w:cs="宋体"/>
                <w:i w:val="0"/>
                <w:iCs w:val="0"/>
                <w:color w:val="000000"/>
                <w:sz w:val="20"/>
                <w:szCs w:val="20"/>
                <w:highlight w:val="none"/>
                <w:u w:val="none"/>
                <w:lang w:val="en-US" w:eastAsia="zh-CN"/>
              </w:rPr>
              <w:br/>
            </w:r>
            <w:r>
              <w:rPr>
                <w:rFonts w:hint="eastAsia" w:ascii="宋体" w:hAnsi="宋体" w:eastAsia="宋体" w:cs="宋体"/>
                <w:i w:val="0"/>
                <w:iCs w:val="0"/>
                <w:color w:val="000000"/>
                <w:sz w:val="20"/>
                <w:szCs w:val="20"/>
                <w:highlight w:val="none"/>
                <w:u w:val="none"/>
                <w:lang w:val="en-US" w:eastAsia="zh-CN"/>
              </w:rPr>
              <w:t xml:space="preserve">（3）床头立柱：采用规格20mm×20mm优质圆钢管，壁厚净尺寸≥1.2mm。</w:t>
            </w:r>
            <w:r>
              <w:rPr>
                <w:rFonts w:hint="eastAsia" w:ascii="宋体" w:hAnsi="宋体" w:eastAsia="宋体" w:cs="宋体"/>
                <w:i w:val="0"/>
                <w:iCs w:val="0"/>
                <w:color w:val="000000"/>
                <w:sz w:val="20"/>
                <w:szCs w:val="20"/>
                <w:highlight w:val="none"/>
                <w:u w:val="none"/>
                <w:lang w:val="en-US" w:eastAsia="zh-CN"/>
              </w:rPr>
              <w:br/>
            </w:r>
            <w:r>
              <w:rPr>
                <w:rFonts w:hint="eastAsia" w:ascii="宋体" w:hAnsi="宋体" w:eastAsia="宋体" w:cs="宋体"/>
                <w:i w:val="0"/>
                <w:iCs w:val="0"/>
                <w:color w:val="000000"/>
                <w:sz w:val="20"/>
                <w:szCs w:val="20"/>
                <w:highlight w:val="none"/>
                <w:u w:val="none"/>
                <w:lang w:val="en-US" w:eastAsia="zh-CN"/>
              </w:rPr>
              <w:t xml:space="preserve">（4）床框内横撑：采用规格25mm×25mm优质方管，壁厚净尺寸≥1.2mm，框内不少于4根横撑。</w:t>
            </w:r>
            <w:r>
              <w:rPr>
                <w:rFonts w:hint="eastAsia" w:ascii="宋体" w:hAnsi="宋体" w:eastAsia="宋体" w:cs="宋体"/>
                <w:i w:val="0"/>
                <w:iCs w:val="0"/>
                <w:color w:val="000000"/>
                <w:sz w:val="20"/>
                <w:szCs w:val="20"/>
                <w:highlight w:val="none"/>
                <w:u w:val="none"/>
                <w:lang w:val="en-US" w:eastAsia="zh-CN"/>
              </w:rPr>
              <w:br/>
            </w:r>
            <w:r>
              <w:rPr>
                <w:rFonts w:hint="eastAsia" w:ascii="宋体" w:hAnsi="宋体" w:eastAsia="宋体" w:cs="宋体"/>
                <w:i w:val="0"/>
                <w:iCs w:val="0"/>
                <w:color w:val="000000"/>
                <w:sz w:val="20"/>
                <w:szCs w:val="20"/>
                <w:highlight w:val="none"/>
                <w:u w:val="none"/>
                <w:lang w:val="en-US" w:eastAsia="zh-CN"/>
              </w:rPr>
              <w:t xml:space="preserve">（5）床板：采用厚度≥16mm，宽度≥70mm松木，两面刨光，四面刨角，床板下采用4支30×40mm松木撑连接，木撑放置在床边框的槽钢中且与床框内钢材横撑均匀分布。</w:t>
            </w:r>
            <w:r>
              <w:rPr>
                <w:rFonts w:hint="eastAsia" w:ascii="宋体" w:hAnsi="宋体" w:eastAsia="宋体" w:cs="宋体"/>
                <w:i w:val="0"/>
                <w:iCs w:val="0"/>
                <w:color w:val="000000"/>
                <w:sz w:val="20"/>
                <w:szCs w:val="20"/>
                <w:highlight w:val="none"/>
                <w:u w:val="none"/>
                <w:lang w:val="en-US" w:eastAsia="zh-CN"/>
              </w:rPr>
              <w:br/>
            </w:r>
            <w:r>
              <w:rPr>
                <w:rFonts w:hint="eastAsia" w:ascii="宋体" w:hAnsi="宋体" w:eastAsia="宋体" w:cs="宋体"/>
                <w:i w:val="0"/>
                <w:iCs w:val="0"/>
                <w:color w:val="000000"/>
                <w:sz w:val="20"/>
                <w:szCs w:val="20"/>
                <w:highlight w:val="none"/>
                <w:u w:val="none"/>
                <w:lang w:val="en-US" w:eastAsia="zh-CN"/>
              </w:rPr>
              <w:t xml:space="preserve">（6）本床安装使用穿心螺丝等安全扣件固定。</w:t>
            </w:r>
            <w:r>
              <w:rPr>
                <w:rFonts w:hint="eastAsia" w:ascii="宋体" w:hAnsi="宋体" w:eastAsia="宋体" w:cs="宋体"/>
                <w:i w:val="0"/>
                <w:iCs w:val="0"/>
                <w:color w:val="000000"/>
                <w:sz w:val="20"/>
                <w:szCs w:val="20"/>
                <w:highlight w:val="none"/>
                <w:u w:val="none"/>
                <w:lang w:val="en-US" w:eastAsia="zh-CN"/>
              </w:rPr>
              <w:br/>
            </w:r>
            <w:r>
              <w:rPr>
                <w:rFonts w:hint="eastAsia" w:ascii="宋体" w:hAnsi="宋体" w:eastAsia="宋体" w:cs="宋体"/>
                <w:i w:val="0"/>
                <w:iCs w:val="0"/>
                <w:color w:val="000000"/>
                <w:sz w:val="20"/>
                <w:szCs w:val="20"/>
                <w:highlight w:val="none"/>
                <w:u w:val="none"/>
                <w:lang w:val="en-US" w:eastAsia="zh-CN"/>
              </w:rPr>
              <w:t xml:space="preserve">（7）金属部件要求：经除油、除锈、磷化、静电喷塑(或烤漆），颜色灰白色,焊接牢固，无脱焊、虚焊和焊穿现象，要求满焊、焊点平整、线焊平直、无漏焊，光滑美观，无明显凹凸感。铁件棱边均经过仔细打磨，在接触人体的部位无突出的毛刺或刃口棱角，切边平整圆滑。</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床品</w:t>
            </w:r>
            <w:r/>
          </w:p>
        </w:tc>
        <w:tc>
          <w:tcPr>
            <w:shd w:val="clear" w:color="ffffff" w:fill="ffffff"/>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rPr>
              <w:t xml:space="preserve">含床垫、被褥、枕头、床单被套枕套等</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乒乓球桌</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 尺寸约2740*1525*760smc一体成型  防水防晒</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羽毛球架</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 材质：铁管+滑软立柱直径：约38mm壁厚：约1.2mm</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排球架</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铁管+转铁空箱约76mm外管立在直径：约60mm内管底座约：60*40*30cm高度约：1.55-2.43m（可调）净重：约40kg</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排球扣球机</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排球训练器，箱体约1.2*0.8*0.56m，箱体采用约3.0mm厚铁板折弯，约50*100*2.0mm方管拼接，箱体底部有行走轮，方便移动，立柱有约120*120*3.0mm方管，约100*100*3.0mm方管拼接成型，扣球器底部设有防撞手保护套，升降高度1.6m-2.9m，适应不同年龄段人群使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计时系统</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单机版软件（支持6种比赛）多球类</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力量拉伸训练组合</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尺寸不小于2350*2260*2250mm，配重不低于93KG，可三个工位训练互不干扰；自带多角度调节结构；单站位承重不低于120KG；坐垫上下3档、背垫前后3档可调；管材：50*70MM加粗钢管；包含所有配套费用；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3匹柜机，包含打洞、支架、铜管等所有配套费用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空调</w:t>
            </w:r>
            <w:r/>
          </w:p>
        </w:tc>
        <w:tc>
          <w:tcPr>
            <w:shd w:val="clear" w:color="ffffff" w:fill="ffffff"/>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rPr>
              <w:t xml:space="preserve">2</w:t>
            </w:r>
            <w:r>
              <w:rPr>
                <w:rFonts w:hint="eastAsia" w:ascii="宋体" w:hAnsi="宋体" w:eastAsia="宋体" w:cs="宋体"/>
                <w:i w:val="0"/>
                <w:iCs w:val="0"/>
                <w:color w:val="000000"/>
                <w:sz w:val="20"/>
                <w:szCs w:val="20"/>
                <w:highlight w:val="none"/>
                <w:u w:val="none"/>
                <w:lang w:val="en-US" w:eastAsia="zh-CN"/>
              </w:rPr>
              <w:t xml:space="preserve">匹挂机，包含打洞、支架、铜管等所有配套费用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钢制学生储物柜</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rPr>
              <w:t xml:space="preserve">旧教室钢制学生储物柜，尺寸：30*30cm，深度40cm，一间教室60个，20间教室</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基材：优质冷轧钢板，常规款柜体≥0.7mm、门板≥0.7mm</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表面处理：酸洗磷化 + 高温静电粉末喷涂，户外走廊环境防锈、耐日晒不褪色</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安全设计：所有边角圆弧防撞处理，无尖锐棱角，符合校园家具安全标准</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配置：独立钥匙锁、柜门编号标签槽、内置挂衣钩、底部可调防滑地脚</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防护：门板加强筋设计，抗挤压、不易变形</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个</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二轮巡逻车</w:t>
            </w:r>
            <w:r/>
          </w:p>
        </w:tc>
        <w:tc>
          <w:tcPr>
            <w:shd w:val="clear" w:color="ffffff" w:fill="ffffff"/>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default" w:ascii="PingFang SC" w:hAnsi="PingFang SC" w:eastAsia="PingFang SC" w:cs="PingFang SC"/>
                <w:i w:val="0"/>
                <w:iCs w:val="0"/>
                <w:caps w:val="0"/>
                <w:spacing w:val="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rPr>
              <w:t xml:space="preserve">尺寸约1850x700x1100mm，电压约60V，</w:t>
            </w:r>
            <w:r>
              <w:rPr>
                <w:rFonts w:hint="default" w:ascii="宋体" w:hAnsi="宋体" w:eastAsia="宋体" w:cs="宋体"/>
                <w:i w:val="0"/>
                <w:iCs w:val="0"/>
                <w:color w:val="000000"/>
                <w:sz w:val="21"/>
                <w:szCs w:val="21"/>
                <w:highlight w:val="none"/>
                <w:u w:val="none"/>
                <w:lang w:val="en-US" w:eastAsia="zh-CN"/>
              </w:rPr>
              <w:t xml:space="preserve">载重量</w:t>
            </w:r>
            <w:r>
              <w:rPr>
                <w:rFonts w:hint="eastAsia" w:ascii="宋体" w:hAnsi="宋体" w:eastAsia="宋体" w:cs="宋体"/>
                <w:i w:val="0"/>
                <w:iCs w:val="0"/>
                <w:color w:val="000000"/>
                <w:sz w:val="21"/>
                <w:szCs w:val="21"/>
                <w:highlight w:val="none"/>
                <w:u w:val="none"/>
                <w:lang w:val="en-US" w:eastAsia="zh-CN"/>
              </w:rPr>
              <w:t xml:space="preserve">约80KG,电池容量约：20AH</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台</w:t>
            </w:r>
            <w:r/>
          </w:p>
        </w:tc>
      </w:tr>
      <w:tr>
        <w:trPr>
          <w:trHeight w:val="735"/>
        </w:trPr>
        <w:tc>
          <w:tcPr>
            <w:gridSpan w:val="5"/>
            <w:shd w:val="clear" w:color="auto" w:fill="auto"/>
            <w:tcBorders>
              <w:top w:val="single" w:color="000000" w:sz="4" w:space="0"/>
              <w:left w:val="single" w:color="000000" w:sz="4" w:space="0"/>
              <w:bottom w:val="single" w:color="000000" w:sz="4" w:space="0"/>
              <w:right w:val="single" w:color="auto" w:sz="4" w:space="0"/>
            </w:tcBorders>
            <w:tcW w:w="9894" w:type="dxa"/>
            <w:vAlign w:val="center"/>
            <w:textDirection w:val="lrTb"/>
            <w:noWrap w:val="false"/>
          </w:tcPr>
          <w:p>
            <w:pPr>
              <w:jc w:val="both"/>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7、教学设备</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技术参数功能</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auto"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单位</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AI互动显示终端</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color w:val="000000"/>
                <w:sz w:val="22"/>
                <w:szCs w:val="22"/>
                <w:highlight w:val="none"/>
                <w:lang w:val="en-US" w:eastAsia="zh-CN"/>
              </w:rPr>
              <w:t xml:space="preserve">一、</w:t>
            </w:r>
            <w:r>
              <w:rPr>
                <w:rFonts w:hint="eastAsia" w:ascii="宋体" w:hAnsi="宋体" w:cs="宋体"/>
                <w:color w:val="000000"/>
                <w:sz w:val="22"/>
                <w:szCs w:val="22"/>
                <w:highlight w:val="none"/>
              </w:rPr>
              <w:t xml:space="preserve">整体设计</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1.整机整体外观尺寸：宽≥4200mm，高≥1200mm，厚≤113mm。整机采用全金属外壳，三拼接平面一体化设计。</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2.屏幕采用≥86英寸液晶显示器，采</w:t>
            </w:r>
            <w:r>
              <w:rPr>
                <w:rFonts w:hint="eastAsia" w:ascii="微软雅黑" w:hAnsi="微软雅黑" w:eastAsia="微软雅黑" w:cs="微软雅黑"/>
                <w:color w:val="000000"/>
                <w:sz w:val="22"/>
                <w:szCs w:val="22"/>
                <w:highlight w:val="none"/>
              </w:rPr>
              <w:t xml:space="preserve">⽤</w:t>
            </w:r>
            <w:r>
              <w:rPr>
                <w:rFonts w:hint="eastAsia" w:ascii="宋体" w:hAnsi="宋体" w:cs="宋体"/>
                <w:color w:val="000000"/>
                <w:sz w:val="22"/>
                <w:szCs w:val="22"/>
                <w:highlight w:val="none"/>
              </w:rPr>
              <w:t xml:space="preserve">LED液晶A规屏，显示</w:t>
            </w:r>
            <w:r>
              <w:rPr>
                <w:rFonts w:hint="eastAsia" w:ascii="微软雅黑" w:hAnsi="微软雅黑" w:eastAsia="微软雅黑" w:cs="微软雅黑"/>
                <w:color w:val="000000"/>
                <w:sz w:val="22"/>
                <w:szCs w:val="22"/>
                <w:highlight w:val="none"/>
              </w:rPr>
              <w:t xml:space="preserve">⽐</w:t>
            </w:r>
            <w:r>
              <w:rPr>
                <w:rFonts w:hint="eastAsia" w:ascii="宋体" w:hAnsi="宋体" w:cs="宋体"/>
                <w:color w:val="000000"/>
                <w:sz w:val="22"/>
                <w:szCs w:val="22"/>
                <w:highlight w:val="none"/>
              </w:rPr>
              <w:t xml:space="preserve">例16:9。显示分辨率3840*2160，可视</w:t>
            </w:r>
            <w:r>
              <w:rPr>
                <w:rFonts w:hint="eastAsia" w:ascii="微软雅黑" w:hAnsi="微软雅黑" w:eastAsia="微软雅黑" w:cs="微软雅黑"/>
                <w:color w:val="000000"/>
                <w:sz w:val="22"/>
                <w:szCs w:val="22"/>
                <w:highlight w:val="none"/>
              </w:rPr>
              <w:t xml:space="preserve">⻆</w:t>
            </w:r>
            <w:r>
              <w:rPr>
                <w:rFonts w:hint="eastAsia" w:ascii="宋体" w:hAnsi="宋体" w:cs="宋体"/>
                <w:color w:val="000000"/>
                <w:sz w:val="22"/>
                <w:szCs w:val="22"/>
                <w:highlight w:val="none"/>
              </w:rPr>
              <w:t xml:space="preserve">度≥178°。</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3.侧置输入接口具备≥2路HDMI、1路RS232（RJ45形态）、1路USB接口，1路音频输出、1路触控USB输出；前置输入接口≥3路USB接口（包含1路Type-C、2路USB）。</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★4.整机采用电容触控技术，Windows系统和Android系统均支持≥50点触控及书写划线。（提供具有CMA或CNAS认证的第三方检测机构出具的检测报告复印件加盖供应商公章，未提供作无效响应文件处理）</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5.整机嵌入式系统版本≥Android 15，主频≥1.6GHz，内存≥2GB，存储空间≥32GB。</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6.整机设备内置2.2声道扬声器，前朝向发声，12W高音扬声器2个，上朝向30W中低音扬声器2个，最大功率≥84W。</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7.整机内置非独立外扩展的4阵列麦克风，可用于对教室环境音频进行采集，麦克风拾音距离≥12米。</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8.整机听力模式下具备AI人声语言增强功能，支持三挡强弱调节。扩声系统语言传输指数（STIPA）≥0.75。</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提供具有CMA或CNAS认证的第三方检测机构出具的</w:t>
            </w:r>
            <w:r>
              <w:rPr>
                <w:rFonts w:hint="eastAsia" w:ascii="宋体" w:hAnsi="宋体" w:eastAsia="宋体" w:cs="宋体"/>
                <w:i w:val="0"/>
                <w:iCs w:val="0"/>
                <w:color w:val="000000"/>
                <w:sz w:val="22"/>
                <w:szCs w:val="22"/>
                <w:highlight w:val="none"/>
                <w:u w:val="none"/>
                <w:lang w:val="en-US" w:eastAsia="zh-CN"/>
              </w:rPr>
              <w:t xml:space="preserve">检测报告复印件并加盖投标人公章</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10.整机上边框内置非独立摄像头，采用一体化集成设计，</w:t>
            </w:r>
            <w:r>
              <w:rPr>
                <w:rFonts w:hint="eastAsia" w:ascii="微软雅黑" w:hAnsi="微软雅黑" w:eastAsia="微软雅黑" w:cs="微软雅黑"/>
                <w:color w:val="000000"/>
                <w:sz w:val="22"/>
                <w:szCs w:val="22"/>
                <w:highlight w:val="none"/>
              </w:rPr>
              <w:t xml:space="preserve">⽀</w:t>
            </w:r>
            <w:r>
              <w:rPr>
                <w:rFonts w:hint="eastAsia" w:ascii="宋体" w:hAnsi="宋体" w:cs="宋体"/>
                <w:color w:val="000000"/>
                <w:sz w:val="22"/>
                <w:szCs w:val="22"/>
                <w:highlight w:val="none"/>
              </w:rPr>
              <w:t xml:space="preserve">持输出4:3、16:9</w:t>
            </w:r>
            <w:r>
              <w:rPr>
                <w:rFonts w:hint="eastAsia" w:ascii="微软雅黑" w:hAnsi="微软雅黑" w:eastAsia="微软雅黑" w:cs="微软雅黑"/>
                <w:color w:val="000000"/>
                <w:sz w:val="22"/>
                <w:szCs w:val="22"/>
                <w:highlight w:val="none"/>
              </w:rPr>
              <w:t xml:space="preserve">⽐</w:t>
            </w:r>
            <w:r>
              <w:rPr>
                <w:rFonts w:hint="eastAsia" w:ascii="宋体" w:hAnsi="宋体" w:cs="宋体"/>
                <w:color w:val="000000"/>
                <w:sz w:val="22"/>
                <w:szCs w:val="22"/>
                <w:highlight w:val="none"/>
              </w:rPr>
              <w:t xml:space="preserve">例的图</w:t>
            </w:r>
            <w:r>
              <w:rPr>
                <w:rFonts w:hint="eastAsia" w:ascii="微软雅黑" w:hAnsi="微软雅黑" w:eastAsia="微软雅黑" w:cs="微软雅黑"/>
                <w:color w:val="000000"/>
                <w:sz w:val="22"/>
                <w:szCs w:val="22"/>
                <w:highlight w:val="none"/>
              </w:rPr>
              <w:t xml:space="preserve">⽚</w:t>
            </w:r>
            <w:r>
              <w:rPr>
                <w:rFonts w:hint="eastAsia" w:ascii="宋体" w:hAnsi="宋体" w:cs="宋体"/>
                <w:color w:val="000000"/>
                <w:sz w:val="22"/>
                <w:szCs w:val="22"/>
                <w:highlight w:val="none"/>
              </w:rPr>
              <w:t xml:space="preserve">和视频，支持拍摄＞1600 万像素数的照片和视频，支持输出4k分辨率的视频。</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11.整机内置双WiFi6无线网卡，在Android和Windows系统下，可实现Wi-Fi无线上网连接、AP无线热点发射。Wi-Fi制式支持IEEE 802.11 a/b/g/n/ac/ax；支持版本Wi-Fi6。</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12.整机支持发出频率为18kHz-22kHz超声波信号，智能手机和笔记本电脑接收超声波信号后可以自动识别附近投屏设备，点击对应设备即可完成投屏操作。</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13.整机配套教学应用APP可通过wifi直连技术，近场发现附近教学大屏设备，无需扫码、账号密码输入步骤，即可直接连接并登录教学大屏设备，基于统一身份认证机制可实现其他教学软件免登录操作。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14.整机Windows通道支持文件传输应用，支持通过扫码、超声、wifi直连三种方式与手机进行握手连接，实现文件传输功能。</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15.整机内置AR授课工具，支持对视频展台所采集的画面中叠加动态的3D 模型。3D模型包括：动物、微生物、人体骨骼、乐器、星球、地形。</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16.整机内置AI智能体，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二、插拔式电脑模块：</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1.采用按压式卡扣，无需工具即可快速拆卸电脑模块。</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2.PC模块和整机的连接采用万兆级接口，传输速率≥10Gbps。</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3.电脑模块CPU要求：主频≥2.0GHz，8核心十二线程；配置要求：不低于 DDR4 8GB内存，256GB SSD硬盘；接口要求：≥1路HDMI，≥3路USB。</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展台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 采用≥800万像素摄像头；采用 USB电源直接供电，无需额外配置电源适配器；箱内USB连线采用隐藏式设计，箱内无可见连线且USB口下出。</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 A4大小拍摄幅面，1080P动态视频预览达到30帧/秒。</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 整机采用圆弧式设计，无锐角；托板可承重3kg，同时托板采用磁吸吸附式机构。</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 展示托板正上方具备LED补光灯补光灯开关采用触摸按键设计，同时可通过视频展台软件直接控制开关；</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 摄像头支持自动对焦；摄像头部分进行外壳防护等级试验，防护等级达到IP4X级别。</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auto" w:sz="4" w:space="0"/>
            </w:tcBorders>
            <w:tcW w:w="9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讲台尺寸：≥长1100 mm ×宽600 mm ×高1000 mm。讲台采用上下分体式结构设计，钢板采用0.8mm-1.5mm(裸板厚度)优质冷轧钢板。上体为钢木结构组合，二侧扶手采用实木木制扶手。桌面采用18mm厚耐刮木面板制作，可以很好的防止静电、漏电，冬季老师手扶上去不冷，使用起来更人性化。桌面左、前、右三边缘凸起，防止教具滚落。采用脱脂、除酸、磷化、静电喷塑等工艺，防腐耐候性强，美观耐用。边缘及拐角采用圆弧设计，避免尖角，确保师生安全。</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3、讲台带防盗、防水、防火、防尘、散热等功能设计。</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auto"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绿板</w:t>
            </w:r>
            <w:r/>
          </w:p>
        </w:tc>
        <w:tc>
          <w:tcPr>
            <w:shd w:val="clear" w:color="ffffff" w:fill="ffffff"/>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尺寸4m*1.2m</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auto"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块</w:t>
            </w:r>
            <w:r/>
          </w:p>
        </w:tc>
      </w:tr>
      <w:tr>
        <w:trPr>
          <w:trHeight w:val="735"/>
        </w:trPr>
        <w:tc>
          <w:tcPr>
            <w:gridSpan w:val="5"/>
            <w:shd w:val="clear" w:color="auto" w:fill="auto"/>
            <w:tcBorders>
              <w:top w:val="single" w:color="000000" w:sz="4" w:space="0"/>
              <w:left w:val="single" w:color="000000" w:sz="4" w:space="0"/>
              <w:bottom w:val="single" w:color="000000" w:sz="4" w:space="0"/>
              <w:right w:val="single" w:color="auto" w:sz="4" w:space="0"/>
            </w:tcBorders>
            <w:tcW w:w="9894"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8、网络设备 </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default" w:ascii="宋体" w:hAnsi="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硬盘录像机</w:t>
            </w:r>
            <w:r/>
          </w:p>
        </w:tc>
        <w:tc>
          <w:tcPr>
            <w:shd w:val="clear" w:color="ffffff" w:fill="ffffff"/>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1、具有≥2个HDMI接口、≥2个VGA接口、≥2个RJ45 千兆网络接口；≥2个USB2.0接口、≥1个USB3.0接口、≥1个RS232接口、≥2个RS485接口（可接入RS485键盘）；具有1路音频输入接口、≥2路音频输出接口、≥16路报警输入接口、≥4路报警输出接口、可内置≥16块SATA接口硬盘</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2、支持最大接入带宽320Mbps，最大存储带宽320Mbps，最大转发带宽160Mbps</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3、可同时解码输出≥16路2MP、H.265编码、25fps、1920×1080格式的视频图像</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4、具有存储安全保障策略功能，当存储压力过高或硬盘出现性能不足时，可优先录像业务存储；（提供公安部检测报告加盖投标人公章）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5、支持本地和远程进行IPv6配置，IPv6支持设置多种模式：路由公告、自动获取、手动配置；支持以IPV6方式登录、取流、配置、检索等功能；</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6、支持本地预览权限的配置，设置权限后的通道只有登录后才会出现预览画面；支持远程预览加密，只有输入密钥才能解开视频；</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支持密码复杂度等级显示；设备密码不允许明文显示和拷贝操作；并支持通过安全问题恢复密码，密码重置功能可开启或关闭；支持设备密码口令复杂度显示且密码需满足复杂度要求才可以设置成功，密码口令中不能包含用户名、123、admin（不区分大小写）、连续四位及以上递增或递减数字（如1234、12345、4321 等）、连续四位及以上相同字符简单口令（如1111、8888、aaaa等）。（提供公安部检测报告加盖投标人公章）</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8、接入警戒摄像机，支持对 IPC 的声音和闪光参数进行配置， 支持通过移动侦测、区域入侵、越界侦测、进入区域和离开区域事件联动一个或多个 IPC 的声光报警，可以对声光联动一键撤防。</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224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default" w:ascii="宋体" w:hAnsi="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硬盘</w:t>
            </w:r>
            <w:r/>
          </w:p>
        </w:tc>
        <w:tc>
          <w:tcPr>
            <w:shd w:val="clear" w:color="ffffff" w:fill="ffffff"/>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标称容量：≥12TB</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外形规格：≥3.5-inch</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接口类型：SATA</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刻录技术：CMR</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转速：≥7200RPM</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缓存：≥512MB</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最大读取速度：≥265MB/s</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接口传输速率（最大值）：≥6.0Gb/s</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auto"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default" w:ascii="宋体" w:hAnsi="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防火墙</w:t>
            </w:r>
            <w:r/>
          </w:p>
        </w:tc>
        <w:tc>
          <w:tcPr>
            <w:shd w:val="clear" w:color="ffffff" w:fill="ffffff"/>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spacing w:after="0" w:line="240" w:lineRule="auto"/>
              <w:rPr>
                <w:rFonts w:hint="eastAsia" w:ascii="宋体" w:hAnsi="宋体" w:eastAsia="宋体" w:cs="宋体"/>
                <w:bCs/>
                <w:sz w:val="24"/>
                <w:szCs w:val="24"/>
                <w:lang w:val="en-US" w:eastAsia="zh-CN"/>
                <w14:ligatures w14:val="none"/>
              </w:rPr>
            </w:pPr>
            <w:r>
              <w:rPr>
                <w:rFonts w:hint="eastAsia" w:ascii="宋体" w:hAnsi="宋体" w:eastAsia="宋体" w:cs="宋体"/>
                <w:bCs/>
                <w:sz w:val="24"/>
                <w:szCs w:val="24"/>
                <w:lang w:val="en-US" w:eastAsia="zh-CN"/>
                <w14:ligatures w14:val="none"/>
              </w:rPr>
              <w:t xml:space="preserve">1</w:t>
            </w:r>
            <w:r>
              <w:rPr>
                <w:rFonts w:hint="eastAsia" w:ascii="宋体" w:hAnsi="宋体" w:eastAsia="宋体" w:cs="宋体"/>
                <w:bCs/>
                <w:sz w:val="24"/>
                <w:szCs w:val="24"/>
                <w14:ligatures w14:val="none"/>
              </w:rPr>
              <w:t xml:space="preserve">U机型，配置≥ </w:t>
            </w:r>
            <w:r>
              <w:rPr>
                <w:rFonts w:hint="eastAsia" w:ascii="宋体" w:hAnsi="宋体" w:eastAsia="宋体" w:cs="宋体"/>
                <w:bCs/>
                <w:sz w:val="24"/>
                <w:szCs w:val="24"/>
                <w:lang w:val="en-US" w:eastAsia="zh-CN"/>
                <w14:ligatures w14:val="none"/>
              </w:rPr>
              <w:t xml:space="preserve">8</w:t>
            </w:r>
            <w:r>
              <w:rPr>
                <w:rFonts w:hint="eastAsia" w:ascii="宋体" w:hAnsi="宋体" w:eastAsia="宋体" w:cs="宋体"/>
                <w:bCs/>
                <w:sz w:val="24"/>
                <w:szCs w:val="24"/>
                <w14:ligatures w14:val="none"/>
              </w:rPr>
              <w:t xml:space="preserve">个千兆</w:t>
            </w:r>
            <w:r>
              <w:rPr>
                <w:rFonts w:hint="eastAsia" w:ascii="宋体" w:hAnsi="宋体" w:eastAsia="宋体" w:cs="宋体"/>
                <w:bCs/>
                <w:sz w:val="24"/>
                <w:szCs w:val="24"/>
                <w:lang w:val="en-US" w:eastAsia="zh-CN"/>
                <w14:ligatures w14:val="none"/>
              </w:rPr>
              <w:t xml:space="preserve">电</w:t>
            </w:r>
            <w:r>
              <w:rPr>
                <w:rFonts w:hint="eastAsia" w:ascii="宋体" w:hAnsi="宋体" w:eastAsia="宋体" w:cs="宋体"/>
                <w:bCs/>
                <w:sz w:val="24"/>
                <w:szCs w:val="24"/>
                <w14:ligatures w14:val="none"/>
              </w:rPr>
              <w:t xml:space="preserve">口</w:t>
            </w:r>
            <w:r>
              <w:rPr>
                <w:rFonts w:hint="eastAsia" w:ascii="宋体" w:hAnsi="宋体" w:eastAsia="宋体" w:cs="宋体"/>
                <w:bCs/>
                <w:sz w:val="24"/>
                <w:szCs w:val="24"/>
                <w:lang w:eastAsia="zh-CN"/>
                <w14:ligatures w14:val="none"/>
              </w:rPr>
              <w:t xml:space="preserve">，</w:t>
            </w:r>
            <w:r>
              <w:rPr>
                <w:rFonts w:hint="eastAsia" w:ascii="宋体" w:hAnsi="宋体" w:eastAsia="宋体" w:cs="宋体"/>
                <w:bCs/>
                <w:sz w:val="24"/>
                <w:szCs w:val="24"/>
                <w14:ligatures w14:val="none"/>
              </w:rPr>
              <w:t xml:space="preserve">≥ 2</w:t>
            </w:r>
            <w:r>
              <w:rPr>
                <w:rFonts w:hint="eastAsia" w:ascii="宋体" w:hAnsi="宋体" w:eastAsia="宋体" w:cs="宋体"/>
                <w:bCs/>
                <w:sz w:val="24"/>
                <w:szCs w:val="24"/>
                <w:lang w:val="en-US" w:eastAsia="zh-CN"/>
                <w14:ligatures w14:val="none"/>
              </w:rPr>
              <w:t xml:space="preserve">万</w:t>
            </w:r>
            <w:r>
              <w:rPr>
                <w:rFonts w:hint="eastAsia" w:ascii="宋体" w:hAnsi="宋体" w:eastAsia="宋体" w:cs="宋体"/>
                <w:bCs/>
                <w:sz w:val="24"/>
                <w:szCs w:val="24"/>
                <w14:ligatures w14:val="none"/>
              </w:rPr>
              <w:t xml:space="preserve">兆光口SFP</w:t>
            </w:r>
            <w:r>
              <w:rPr>
                <w:rFonts w:hint="eastAsia" w:ascii="宋体" w:hAnsi="宋体" w:eastAsia="宋体" w:cs="宋体"/>
                <w:bCs/>
                <w:sz w:val="24"/>
                <w:szCs w:val="24"/>
                <w:lang w:val="en-US" w:eastAsia="zh-CN"/>
                <w14:ligatures w14:val="none"/>
              </w:rPr>
              <w:t xml:space="preserve">+</w:t>
            </w:r>
            <w:r>
              <w:rPr>
                <w:rFonts w:hint="eastAsia" w:ascii="宋体" w:hAnsi="宋体" w:eastAsia="宋体" w:cs="宋体"/>
                <w:bCs/>
                <w:sz w:val="24"/>
                <w:szCs w:val="24"/>
                <w14:ligatures w14:val="none"/>
              </w:rPr>
              <w:t xml:space="preserve">。内存大小</w:t>
            </w:r>
            <w:r>
              <w:rPr>
                <w:rFonts w:hint="eastAsia" w:ascii="宋体" w:hAnsi="宋体" w:eastAsia="宋体" w:cs="宋体"/>
                <w:bCs/>
                <w:sz w:val="24"/>
                <w:szCs w:val="24"/>
                <w:lang w:eastAsia="zh-CN"/>
                <w14:ligatures w14:val="none"/>
              </w:rPr>
              <w:t xml:space="preserve">≥</w:t>
            </w:r>
            <w:r>
              <w:rPr>
                <w:rFonts w:hint="eastAsia" w:ascii="宋体" w:hAnsi="宋体" w:eastAsia="宋体" w:cs="宋体"/>
                <w:bCs/>
                <w:sz w:val="24"/>
                <w:szCs w:val="24"/>
                <w14:ligatures w14:val="none"/>
              </w:rPr>
              <w:t xml:space="preserve">8G，硬盘容量</w:t>
            </w:r>
            <w:r>
              <w:rPr>
                <w:rFonts w:hint="eastAsia" w:ascii="宋体" w:hAnsi="宋体" w:eastAsia="宋体" w:cs="宋体"/>
                <w:bCs/>
                <w:sz w:val="24"/>
                <w:szCs w:val="24"/>
                <w:lang w:eastAsia="zh-CN"/>
                <w14:ligatures w14:val="none"/>
              </w:rPr>
              <w:t xml:space="preserve">≥</w:t>
            </w:r>
            <w:r>
              <w:rPr>
                <w:rFonts w:hint="eastAsia" w:ascii="宋体" w:hAnsi="宋体" w:eastAsia="宋体" w:cs="宋体"/>
                <w:bCs/>
                <w:sz w:val="24"/>
                <w:szCs w:val="24"/>
                <w14:ligatures w14:val="none"/>
              </w:rPr>
              <w:t xml:space="preserve">128G </w:t>
            </w:r>
            <w:r>
              <w:rPr>
                <w:rFonts w:hint="eastAsia" w:ascii="宋体" w:hAnsi="宋体" w:eastAsia="宋体" w:cs="宋体"/>
                <w:bCs/>
                <w:sz w:val="24"/>
                <w:szCs w:val="24"/>
                <w:lang w:val="en-US" w:eastAsia="zh-CN"/>
                <w14:ligatures w14:val="none"/>
              </w:rPr>
              <w:t xml:space="preserve">SSD</w:t>
            </w:r>
            <w:r>
              <w:rPr>
                <w:rFonts w:hint="eastAsia" w:ascii="宋体" w:hAnsi="宋体" w:eastAsia="宋体" w:cs="宋体"/>
                <w:bCs/>
                <w:sz w:val="24"/>
                <w:szCs w:val="24"/>
                <w:lang w:eastAsia="zh-CN"/>
                <w14:ligatures w14:val="none"/>
              </w:rPr>
              <w:t xml:space="preserve">，IPS吞吐量</w:t>
            </w:r>
            <w:r>
              <w:rPr>
                <w:rFonts w:hint="eastAsia" w:ascii="宋体" w:hAnsi="宋体" w:eastAsia="宋体" w:cs="宋体"/>
                <w:bCs/>
                <w:sz w:val="24"/>
                <w:szCs w:val="24"/>
                <w14:ligatures w14:val="none"/>
              </w:rPr>
              <w:t xml:space="preserve">≥</w:t>
            </w:r>
            <w:r>
              <w:rPr>
                <w:rFonts w:hint="eastAsia" w:ascii="宋体" w:hAnsi="宋体" w:eastAsia="宋体" w:cs="宋体"/>
                <w:bCs/>
                <w:sz w:val="24"/>
                <w:szCs w:val="24"/>
                <w:lang w:val="en-US" w:eastAsia="zh-CN"/>
                <w14:ligatures w14:val="none"/>
              </w:rPr>
              <w:t xml:space="preserve">1G</w:t>
            </w:r>
            <w:r>
              <w:rPr>
                <w:rFonts w:hint="eastAsia" w:ascii="宋体" w:hAnsi="宋体" w:eastAsia="宋体" w:cs="宋体"/>
                <w:bCs/>
                <w:sz w:val="24"/>
                <w:szCs w:val="24"/>
                <w:lang w:eastAsia="zh-CN"/>
                <w14:ligatures w14:val="none"/>
              </w:rPr>
              <w:t xml:space="preserve">，AV吞吐量</w:t>
            </w:r>
            <w:r>
              <w:rPr>
                <w:rFonts w:hint="eastAsia" w:ascii="宋体" w:hAnsi="宋体" w:eastAsia="宋体" w:cs="宋体"/>
                <w:bCs/>
                <w:sz w:val="24"/>
                <w:szCs w:val="24"/>
                <w14:ligatures w14:val="none"/>
              </w:rPr>
              <w:t xml:space="preserve">≥</w:t>
            </w:r>
            <w:r>
              <w:rPr>
                <w:rFonts w:hint="eastAsia" w:ascii="宋体" w:hAnsi="宋体" w:eastAsia="宋体" w:cs="宋体"/>
                <w:bCs/>
                <w:sz w:val="24"/>
                <w:szCs w:val="24"/>
                <w:lang w:val="en-US" w:eastAsia="zh-CN"/>
                <w14:ligatures w14:val="none"/>
              </w:rPr>
              <w:t xml:space="preserve">1G</w:t>
            </w:r>
            <w:r>
              <w:rPr>
                <w:rFonts w:hint="eastAsia" w:ascii="宋体" w:hAnsi="宋体" w:eastAsia="宋体" w:cs="宋体"/>
                <w:bCs/>
                <w:sz w:val="24"/>
                <w:szCs w:val="24"/>
                <w:lang w:eastAsia="zh-CN"/>
                <w14:ligatures w14:val="none"/>
              </w:rPr>
              <w:t xml:space="preserve">，</w:t>
            </w:r>
            <w:r>
              <w:rPr>
                <w:rFonts w:hint="eastAsia" w:ascii="宋体" w:hAnsi="宋体" w:eastAsia="宋体" w:cs="宋体"/>
                <w:bCs/>
                <w:sz w:val="24"/>
                <w:szCs w:val="24"/>
                <w:lang w:val="en-US" w:eastAsia="zh-CN"/>
                <w14:ligatures w14:val="none"/>
              </w:rPr>
              <w:t xml:space="preserve">网络层</w:t>
            </w:r>
            <w:r>
              <w:rPr>
                <w:rFonts w:hint="eastAsia" w:ascii="宋体" w:hAnsi="宋体" w:eastAsia="宋体" w:cs="宋体"/>
                <w:bCs/>
                <w:sz w:val="24"/>
                <w:szCs w:val="24"/>
                <w14:ligatures w14:val="none"/>
              </w:rPr>
              <w:t xml:space="preserve">吞吐量≥</w:t>
            </w:r>
            <w:r>
              <w:rPr>
                <w:rFonts w:hint="eastAsia" w:ascii="宋体" w:hAnsi="宋体" w:eastAsia="宋体" w:cs="宋体"/>
                <w:bCs/>
                <w:sz w:val="24"/>
                <w:szCs w:val="24"/>
                <w:lang w:val="en-US" w:eastAsia="zh-CN"/>
                <w14:ligatures w14:val="none"/>
              </w:rPr>
              <w:t xml:space="preserve">10</w:t>
            </w:r>
            <w:r>
              <w:rPr>
                <w:rFonts w:hint="eastAsia" w:ascii="宋体" w:hAnsi="宋体" w:eastAsia="宋体" w:cs="宋体"/>
                <w:bCs/>
                <w:sz w:val="24"/>
                <w:szCs w:val="24"/>
                <w14:ligatures w14:val="none"/>
              </w:rPr>
              <w:t xml:space="preserve">G,最大并发连接数</w:t>
            </w:r>
            <w:bookmarkStart w:id="39" w:name="OLE_LINK4"/>
            <w:r>
              <w:rPr>
                <w:rFonts w:hint="eastAsia" w:ascii="宋体" w:hAnsi="宋体" w:eastAsia="宋体" w:cs="宋体"/>
                <w:bCs/>
                <w:sz w:val="24"/>
                <w:szCs w:val="24"/>
                <w14:ligatures w14:val="none"/>
              </w:rPr>
              <w:t xml:space="preserve">≥</w:t>
            </w:r>
            <w:bookmarkEnd w:id="39"/>
            <w:r>
              <w:rPr>
                <w:rFonts w:hint="eastAsia" w:ascii="宋体" w:hAnsi="宋体" w:eastAsia="宋体" w:cs="宋体"/>
                <w:bCs/>
                <w:sz w:val="24"/>
                <w:szCs w:val="24"/>
                <w:lang w:val="en-US" w:eastAsia="zh-CN"/>
                <w14:ligatures w14:val="none"/>
              </w:rPr>
              <w:t xml:space="preserve">2</w:t>
            </w:r>
            <w:r>
              <w:rPr>
                <w:rFonts w:hint="eastAsia" w:ascii="宋体" w:hAnsi="宋体" w:eastAsia="宋体" w:cs="宋体"/>
                <w:bCs/>
                <w:sz w:val="24"/>
                <w:szCs w:val="24"/>
                <w14:ligatures w14:val="none"/>
              </w:rPr>
              <w:t xml:space="preserve">00万,</w:t>
            </w:r>
            <w:r>
              <w:rPr>
                <w:rFonts w:hint="eastAsia" w:ascii="宋体" w:hAnsi="宋体" w:eastAsia="宋体" w:cs="宋体"/>
                <w:bCs/>
                <w:sz w:val="24"/>
                <w:szCs w:val="24"/>
                <w:lang w:val="en-US" w:eastAsia="zh-CN"/>
                <w14:ligatures w14:val="none"/>
              </w:rPr>
              <w:t xml:space="preserve">最大</w:t>
            </w:r>
            <w:r>
              <w:rPr>
                <w:rFonts w:hint="eastAsia" w:ascii="宋体" w:hAnsi="宋体" w:eastAsia="宋体" w:cs="宋体"/>
                <w:bCs/>
                <w:sz w:val="24"/>
                <w:szCs w:val="24"/>
                <w14:ligatures w14:val="none"/>
              </w:rPr>
              <w:t xml:space="preserve">新建连接数≥</w:t>
            </w:r>
            <w:r>
              <w:rPr>
                <w:rFonts w:hint="eastAsia" w:ascii="宋体" w:hAnsi="宋体" w:eastAsia="宋体" w:cs="宋体"/>
                <w:bCs/>
                <w:sz w:val="24"/>
                <w:szCs w:val="24"/>
                <w:lang w:val="en-US" w:eastAsia="zh-CN"/>
                <w14:ligatures w14:val="none"/>
              </w:rPr>
              <w:t xml:space="preserve">6</w:t>
            </w:r>
            <w:r>
              <w:rPr>
                <w:rFonts w:hint="eastAsia" w:ascii="宋体" w:hAnsi="宋体" w:eastAsia="宋体" w:cs="宋体"/>
                <w:bCs/>
                <w:sz w:val="24"/>
                <w:szCs w:val="24"/>
                <w14:ligatures w14:val="none"/>
              </w:rPr>
              <w:t xml:space="preserve">万。全威胁吞吐量（不含WAF）≥</w:t>
            </w:r>
            <w:r>
              <w:rPr>
                <w:rFonts w:hint="eastAsia" w:ascii="宋体" w:hAnsi="宋体" w:eastAsia="宋体" w:cs="宋体"/>
                <w:bCs/>
                <w:sz w:val="24"/>
                <w:szCs w:val="24"/>
                <w:lang w:val="en-US" w:eastAsia="zh-CN"/>
                <w14:ligatures w14:val="none"/>
              </w:rPr>
              <w:t xml:space="preserve">8</w:t>
            </w:r>
            <w:r>
              <w:rPr>
                <w:rFonts w:hint="eastAsia" w:ascii="宋体" w:hAnsi="宋体" w:eastAsia="宋体" w:cs="宋体"/>
                <w:bCs/>
                <w:sz w:val="24"/>
                <w:szCs w:val="24"/>
                <w14:ligatures w14:val="none"/>
              </w:rPr>
              <w:t xml:space="preserve">00M，IPSec  VPN吞吐量≥</w:t>
            </w:r>
            <w:r>
              <w:rPr>
                <w:rFonts w:hint="eastAsia" w:ascii="宋体" w:hAnsi="宋体" w:eastAsia="宋体" w:cs="宋体"/>
                <w:bCs/>
                <w:sz w:val="24"/>
                <w:szCs w:val="24"/>
                <w:lang w:val="en-US" w:eastAsia="zh-CN"/>
                <w14:ligatures w14:val="none"/>
              </w:rPr>
              <w:t xml:space="preserve">50</w:t>
            </w:r>
            <w:r>
              <w:rPr>
                <w:rFonts w:hint="eastAsia" w:ascii="宋体" w:hAnsi="宋体" w:eastAsia="宋体" w:cs="宋体"/>
                <w:bCs/>
                <w:sz w:val="24"/>
                <w:szCs w:val="24"/>
                <w14:ligatures w14:val="none"/>
              </w:rPr>
              <w:t xml:space="preserve">0M。</w:t>
            </w:r>
            <w:r>
              <w:rPr>
                <w:rFonts w:hint="eastAsia" w:ascii="宋体" w:hAnsi="宋体" w:eastAsia="宋体" w:cs="宋体"/>
                <w:bCs/>
                <w:sz w:val="24"/>
                <w:szCs w:val="24"/>
                <w:lang w:eastAsia="zh-CN"/>
                <w14:ligatures w14:val="none"/>
              </w:rPr>
              <w:t xml:space="preserve">提供三年规则库升级及产品维保服务。</w:t>
            </w:r>
            <w:r/>
          </w:p>
          <w:p>
            <w:pPr>
              <w:numPr>
                <w:ilvl w:val="0"/>
                <w:numId w:val="0"/>
              </w:numPr>
              <w:spacing w:after="0" w:line="240" w:lineRule="auto"/>
              <w:rPr>
                <w:rFonts w:hint="eastAsia" w:ascii="宋体" w:hAnsi="宋体" w:eastAsia="宋体" w:cs="宋体"/>
                <w:bCs/>
                <w:sz w:val="24"/>
                <w:szCs w:val="24"/>
                <w:lang w:val="en-US" w:eastAsia="zh-CN"/>
                <w14:ligatures w14:val="none"/>
              </w:rPr>
            </w:pPr>
            <w:r>
              <w:rPr>
                <w:rFonts w:hint="eastAsia" w:ascii="宋体" w:hAnsi="宋体" w:eastAsia="宋体" w:cs="宋体"/>
                <w:bCs/>
                <w:sz w:val="24"/>
                <w:szCs w:val="24"/>
                <w:lang w:val="en-US" w:eastAsia="zh-CN" w:bidi="ar-SA"/>
                <w14:ligatures w14:val="none"/>
              </w:rPr>
              <w:t xml:space="preserve">1.</w:t>
            </w:r>
            <w:r>
              <w:rPr>
                <w:rFonts w:hint="eastAsia" w:ascii="宋体" w:hAnsi="宋体" w:eastAsia="宋体" w:cs="宋体"/>
                <w:bCs/>
                <w:sz w:val="24"/>
                <w:szCs w:val="24"/>
                <w:lang w:val="en-US" w:eastAsia="zh-CN"/>
                <w14:ligatures w14:val="none"/>
              </w:rPr>
              <w:t xml:space="preserve">产品支持路由模式、透明模式、虚拟网线模式、旁路镜像模式等多种部署方式。</w:t>
            </w:r>
            <w:r/>
          </w:p>
          <w:p>
            <w:pPr>
              <w:spacing w:after="0" w:line="240" w:lineRule="auto"/>
              <w:rPr>
                <w:rFonts w:hint="eastAsia" w:ascii="宋体" w:hAnsi="宋体" w:eastAsia="宋体" w:cs="宋体"/>
                <w:b/>
                <w:bCs w:val="0"/>
                <w:sz w:val="24"/>
                <w:szCs w:val="24"/>
                <w:lang w:val="en-US"/>
                <w14:ligatures w14:val="none"/>
              </w:rPr>
            </w:pPr>
            <w:r>
              <w:rPr>
                <w:rFonts w:hint="eastAsia" w:ascii="宋体" w:hAnsi="宋体" w:eastAsia="宋体" w:cs="宋体"/>
                <w:bCs/>
                <w:sz w:val="24"/>
                <w:szCs w:val="24"/>
                <w:lang w:val="en-US" w:eastAsia="zh-CN"/>
                <w14:ligatures w14:val="none"/>
              </w:rPr>
              <w:t xml:space="preserve">2.产品支持对不少于9000种应用的识别和控制，应用类型包括游戏、购物、图书百科、工作招聘、P2P下载、聊天工具、旅游出行、股票软件等类型应用进行检测与控制。</w:t>
            </w:r>
            <w:r>
              <w:rPr>
                <w:rFonts w:hint="eastAsia" w:ascii="宋体" w:hAnsi="宋体" w:eastAsia="宋体" w:cs="宋体"/>
                <w:b/>
                <w:bCs w:val="0"/>
                <w:sz w:val="24"/>
                <w:szCs w:val="24"/>
                <w:lang w:val="en-US" w:eastAsia="zh-CN"/>
                <w14:ligatures w14:val="none"/>
              </w:rPr>
              <w:t xml:space="preserve"> </w:t>
            </w:r>
            <w:r/>
          </w:p>
          <w:p>
            <w:pPr>
              <w:numPr>
                <w:ilvl w:val="0"/>
                <w:numId w:val="0"/>
              </w:numPr>
              <w:spacing w:after="0" w:line="240" w:lineRule="auto"/>
              <w:rPr>
                <w:rFonts w:hint="eastAsia" w:ascii="宋体" w:hAnsi="宋体" w:eastAsia="宋体" w:cs="宋体"/>
                <w:bCs/>
                <w:sz w:val="24"/>
                <w:szCs w:val="24"/>
                <w:lang w:val="en-US" w:eastAsia="zh-CN"/>
                <w14:ligatures w14:val="none"/>
              </w:rPr>
            </w:pPr>
            <w:r>
              <w:rPr>
                <w:rFonts w:hint="eastAsia" w:ascii="宋体" w:hAnsi="宋体" w:eastAsia="宋体" w:cs="宋体"/>
                <w:bCs/>
                <w:sz w:val="24"/>
                <w:szCs w:val="24"/>
                <w:lang w:val="en-US" w:eastAsia="zh-CN" w:bidi="ar-SA"/>
                <w14:ligatures w14:val="none"/>
              </w:rPr>
              <w:t xml:space="preserve">3.</w:t>
            </w:r>
            <w:r>
              <w:rPr>
                <w:rFonts w:hint="eastAsia" w:ascii="宋体" w:hAnsi="宋体" w:eastAsia="宋体" w:cs="宋体"/>
                <w:bCs/>
                <w:sz w:val="24"/>
                <w:szCs w:val="24"/>
                <w:lang w:val="en-US" w:eastAsia="zh-CN"/>
                <w14:ligatures w14:val="none"/>
              </w:rPr>
              <w:t xml:space="preserve">产品支持多维度流量控制功能，支持基于IP地址、用户、应用、时间设置流量控制策略，保证关键业务带宽日常需求。</w:t>
            </w:r>
            <w:r/>
          </w:p>
          <w:p>
            <w:pPr>
              <w:numPr>
                <w:ilvl w:val="0"/>
                <w:numId w:val="0"/>
              </w:numPr>
              <w:spacing w:after="0" w:line="240" w:lineRule="auto"/>
              <w:rPr>
                <w:rFonts w:hint="eastAsia" w:ascii="宋体" w:hAnsi="宋体" w:eastAsia="宋体" w:cs="宋体"/>
                <w:b/>
                <w:bCs w:val="0"/>
                <w:sz w:val="24"/>
                <w:szCs w:val="24"/>
                <w:lang w:val="en-US" w:eastAsia="zh-CN"/>
                <w14:ligatures w14:val="none"/>
              </w:rPr>
            </w:pPr>
            <w:r>
              <w:rPr>
                <w:rFonts w:hint="eastAsia" w:ascii="宋体" w:hAnsi="宋体" w:eastAsia="宋体" w:cs="宋体"/>
                <w:bCs/>
                <w:sz w:val="24"/>
                <w:szCs w:val="24"/>
                <w:lang w:val="en-US" w:eastAsia="zh-CN"/>
                <w14:ligatures w14:val="none"/>
              </w:rPr>
              <w:t xml:space="preserve">4.支持策略生命周期管理功能，支持对安全策略修改的时间、原因、变更类型进行统一管理，便于策略的运维与管理。</w:t>
            </w:r>
            <w:r>
              <w:rPr>
                <w:rFonts w:hint="eastAsia" w:ascii="宋体" w:hAnsi="宋体" w:eastAsia="宋体" w:cs="宋体"/>
                <w:b/>
                <w:bCs w:val="0"/>
                <w:sz w:val="24"/>
                <w:szCs w:val="24"/>
                <w:lang w:val="en-US" w:eastAsia="zh-CN"/>
                <w14:ligatures w14:val="none"/>
              </w:rPr>
              <w:t xml:space="preserve"> </w:t>
            </w:r>
            <w:r/>
          </w:p>
          <w:p>
            <w:pPr>
              <w:numPr>
                <w:ilvl w:val="0"/>
                <w:numId w:val="0"/>
              </w:numPr>
              <w:spacing w:after="0" w:line="240" w:lineRule="auto"/>
              <w:rPr>
                <w:rFonts w:hint="eastAsia" w:ascii="宋体" w:hAnsi="宋体" w:eastAsia="宋体" w:cs="宋体"/>
                <w:bCs/>
                <w:sz w:val="24"/>
                <w:szCs w:val="24"/>
                <w:lang w:val="en-US" w:eastAsia="zh-CN"/>
                <w14:ligatures w14:val="none"/>
              </w:rPr>
            </w:pPr>
            <w:r>
              <w:rPr>
                <w:rFonts w:hint="eastAsia" w:ascii="宋体" w:hAnsi="宋体" w:eastAsia="宋体" w:cs="宋体"/>
                <w:bCs/>
                <w:sz w:val="24"/>
                <w:szCs w:val="24"/>
                <w:lang w:val="en-US" w:eastAsia="zh-CN" w:bidi="ar-SA"/>
                <w14:ligatures w14:val="none"/>
              </w:rPr>
              <w:t xml:space="preserve">5.</w:t>
            </w:r>
            <w:r>
              <w:rPr>
                <w:rFonts w:hint="eastAsia" w:ascii="宋体" w:hAnsi="宋体" w:eastAsia="宋体" w:cs="宋体"/>
                <w:bCs/>
                <w:sz w:val="24"/>
                <w:szCs w:val="24"/>
                <w:lang w:val="en-US" w:eastAsia="zh-CN"/>
                <w14:ligatures w14:val="none"/>
              </w:rPr>
              <w:t xml:space="preserve">支持杀毒白名单设置，可以例外排除特定MD5和URL的病毒文件，针对特定文件不进行查杀。</w:t>
            </w:r>
            <w:r/>
          </w:p>
          <w:p>
            <w:pPr>
              <w:numPr>
                <w:ilvl w:val="0"/>
                <w:numId w:val="0"/>
              </w:numPr>
              <w:spacing w:after="0" w:line="240" w:lineRule="auto"/>
              <w:rPr>
                <w:rFonts w:hint="eastAsia" w:ascii="宋体" w:hAnsi="宋体" w:eastAsia="宋体" w:cs="宋体"/>
                <w:b/>
                <w:bCs w:val="0"/>
                <w:sz w:val="24"/>
                <w:szCs w:val="24"/>
                <w:lang w:val="en-US" w:eastAsia="zh-CN"/>
                <w14:ligatures w14:val="none"/>
              </w:rPr>
            </w:pPr>
            <w:r>
              <w:rPr>
                <w:rFonts w:hint="eastAsia" w:ascii="宋体" w:hAnsi="宋体" w:eastAsia="宋体" w:cs="宋体"/>
                <w:bCs/>
                <w:sz w:val="24"/>
                <w:szCs w:val="24"/>
                <w:lang w:val="en-US" w:eastAsia="zh-CN"/>
                <w14:ligatures w14:val="none"/>
              </w:rPr>
              <w:t xml:space="preserve">6.当主机故障时，双机切换时不丢包，并可实现双机部署下升级不断网。</w:t>
            </w:r>
            <w:bookmarkStart w:id="40" w:name="OLE_LINK6"/>
            <w:r>
              <w:rPr>
                <w:rFonts w:hint="eastAsia" w:ascii="宋体" w:hAnsi="宋体" w:eastAsia="宋体" w:cs="宋体"/>
                <w:b/>
                <w:bCs w:val="0"/>
                <w:sz w:val="24"/>
                <w:szCs w:val="24"/>
                <w:lang w:val="en-US" w:eastAsia="zh-CN"/>
                <w14:ligatures w14:val="none"/>
              </w:rPr>
              <w:t xml:space="preserve"> </w:t>
            </w:r>
            <w:r/>
          </w:p>
          <w:p>
            <w:pPr>
              <w:numPr>
                <w:ilvl w:val="0"/>
                <w:numId w:val="0"/>
              </w:numPr>
              <w:spacing w:after="0" w:line="240" w:lineRule="auto"/>
              <w:rPr>
                <w:rFonts w:hint="eastAsia" w:ascii="宋体" w:hAnsi="宋体" w:eastAsia="宋体" w:cs="宋体"/>
                <w:bCs/>
                <w:sz w:val="24"/>
                <w:szCs w:val="24"/>
                <w:lang w:val="en-US" w:eastAsia="zh-CN"/>
                <w14:ligatures w14:val="none"/>
              </w:rPr>
            </w:pPr>
            <w:r>
              <w:rPr>
                <w:rFonts w:hint="eastAsia" w:ascii="宋体" w:hAnsi="宋体" w:eastAsia="宋体" w:cs="宋体"/>
                <w:bCs/>
                <w:sz w:val="24"/>
                <w:szCs w:val="24"/>
                <w:lang w:val="en-US" w:eastAsia="zh-CN" w:bidi="ar-SA"/>
                <w14:ligatures w14:val="none"/>
              </w:rPr>
              <w:t xml:space="preserve">7.</w:t>
            </w:r>
            <w:r>
              <w:rPr>
                <w:rFonts w:hint="eastAsia" w:ascii="宋体" w:hAnsi="宋体" w:eastAsia="宋体" w:cs="宋体"/>
                <w:bCs/>
                <w:sz w:val="24"/>
                <w:szCs w:val="24"/>
                <w:lang w:val="en-US" w:eastAsia="zh-CN"/>
                <w14:ligatures w14:val="none"/>
              </w:rPr>
              <w:t xml:space="preserve">支持异常数据包攻击防御，防护类型包括IP数据块分片传输防护、Teardrop攻击防护、Smurf攻击防护、Land攻击防护、WinNuke攻击防护等攻击类型。</w:t>
            </w:r>
            <w:bookmarkEnd w:id="40"/>
            <w:r/>
            <w:r/>
          </w:p>
          <w:p>
            <w:pPr>
              <w:spacing w:after="0" w:line="240" w:lineRule="auto"/>
              <w:rPr>
                <w:rFonts w:hint="eastAsia" w:ascii="宋体" w:hAnsi="宋体" w:eastAsia="宋体" w:cs="宋体"/>
                <w:b/>
                <w:bCs w:val="0"/>
                <w:sz w:val="24"/>
                <w:szCs w:val="24"/>
                <w:lang w:val="en-US"/>
                <w14:ligatures w14:val="none"/>
              </w:rPr>
            </w:pPr>
            <w:r>
              <w:rPr>
                <w:rFonts w:hint="eastAsia" w:ascii="宋体" w:hAnsi="宋体" w:eastAsia="宋体" w:cs="宋体"/>
                <w:bCs/>
                <w:sz w:val="24"/>
                <w:szCs w:val="24"/>
                <w:lang w:val="en-US" w:eastAsia="zh-CN"/>
                <w14:ligatures w14:val="none"/>
              </w:rPr>
              <w:t xml:space="preserve">8.▲产品内置不低于13000种漏洞规则，同时支持在控制台界面通过漏洞ID、漏洞名称、危险等级、漏洞CVE标识、漏洞描述等条件查询漏洞特征信息，支持用户自定义IPS规则。</w:t>
            </w:r>
            <w:r>
              <w:rPr>
                <w:rFonts w:hint="eastAsia" w:ascii="宋体" w:hAnsi="宋体" w:eastAsia="宋体" w:cs="宋体"/>
                <w:color w:val="000000"/>
                <w:sz w:val="22"/>
                <w:szCs w:val="22"/>
                <w:highlight w:val="none"/>
                <w:lang w:val="en-US" w:eastAsia="zh-CN"/>
              </w:rPr>
              <w:t xml:space="preserve">（需提供功能截图证明</w:t>
            </w:r>
            <w:r>
              <w:rPr>
                <w:rFonts w:hint="eastAsia" w:ascii="宋体" w:hAnsi="宋体" w:eastAsia="宋体" w:cs="宋体"/>
                <w:i w:val="0"/>
                <w:iCs w:val="0"/>
                <w:color w:val="000000"/>
                <w:sz w:val="22"/>
                <w:szCs w:val="22"/>
                <w:highlight w:val="none"/>
                <w:u w:val="none"/>
                <w:lang w:val="en-US" w:eastAsia="zh-CN"/>
              </w:rPr>
              <w:t xml:space="preserve">并加盖投标人公章</w:t>
            </w:r>
            <w:r>
              <w:rPr>
                <w:rFonts w:hint="eastAsia" w:ascii="宋体" w:hAnsi="宋体" w:eastAsia="宋体" w:cs="宋体"/>
                <w:b/>
                <w:bCs w:val="0"/>
                <w:sz w:val="24"/>
                <w:szCs w:val="24"/>
                <w:lang w:val="en-US" w:eastAsia="zh-CN"/>
                <w14:ligatures w14:val="none"/>
              </w:rPr>
              <w:t xml:space="preserve">）</w:t>
            </w:r>
            <w:r>
              <w:rPr>
                <w:rFonts w:hint="eastAsia" w:ascii="宋体" w:hAnsi="宋体" w:eastAsia="宋体" w:cs="宋体"/>
                <w:b/>
                <w:bCs w:val="0"/>
                <w:color w:val="ff0000"/>
                <w:sz w:val="24"/>
                <w:szCs w:val="24"/>
                <w:lang w:val="en-US" w:eastAsia="zh-CN"/>
                <w14:ligatures w14:val="none"/>
              </w:rPr>
              <w:t xml:space="preserve"> </w:t>
            </w:r>
            <w:r/>
          </w:p>
          <w:p>
            <w:pPr>
              <w:numPr>
                <w:ilvl w:val="0"/>
                <w:numId w:val="0"/>
              </w:numPr>
              <w:spacing w:after="0" w:line="240" w:lineRule="auto"/>
              <w:rPr>
                <w:rFonts w:hint="eastAsia" w:ascii="宋体" w:hAnsi="宋体" w:eastAsia="宋体" w:cs="宋体"/>
                <w:bCs/>
                <w:sz w:val="24"/>
                <w:szCs w:val="24"/>
                <w:lang w:val="en-US" w:eastAsia="zh-CN"/>
                <w14:ligatures w14:val="none"/>
              </w:rPr>
            </w:pPr>
            <w:r>
              <w:rPr>
                <w:rFonts w:hint="eastAsia" w:ascii="宋体" w:hAnsi="宋体" w:eastAsia="宋体" w:cs="宋体"/>
                <w:bCs/>
                <w:sz w:val="24"/>
                <w:szCs w:val="24"/>
                <w:lang w:val="en-US" w:eastAsia="zh-CN" w:bidi="ar-SA"/>
                <w14:ligatures w14:val="none"/>
              </w:rPr>
              <w:t xml:space="preserve">9.</w:t>
            </w:r>
            <w:r>
              <w:rPr>
                <w:rFonts w:hint="eastAsia" w:ascii="宋体" w:hAnsi="宋体" w:eastAsia="宋体" w:cs="宋体"/>
                <w:bCs/>
                <w:sz w:val="24"/>
                <w:szCs w:val="24"/>
                <w:lang w:val="en-US" w:eastAsia="zh-CN"/>
                <w14:ligatures w14:val="none"/>
              </w:rPr>
              <w:t xml:space="preserve">支持基于IMAP、FTP、RDP、VNC、SSH、TELNET、ORACLE、MYSQL、MSSQL等应用协议进行深度检测与防护。</w:t>
            </w:r>
            <w:r/>
          </w:p>
          <w:p>
            <w:pPr>
              <w:numPr>
                <w:ilvl w:val="0"/>
                <w:numId w:val="0"/>
              </w:numPr>
              <w:spacing w:after="0" w:line="240" w:lineRule="auto"/>
              <w:rPr>
                <w:rFonts w:hint="eastAsia" w:ascii="宋体" w:hAnsi="宋体" w:eastAsia="宋体" w:cs="宋体"/>
                <w:b/>
                <w:bCs w:val="0"/>
                <w:sz w:val="24"/>
                <w:szCs w:val="24"/>
                <w:lang w:val="en-US" w:eastAsia="zh-CN"/>
                <w14:ligatures w14:val="none"/>
              </w:rPr>
            </w:pPr>
            <w:r/>
            <w:bookmarkStart w:id="41" w:name="OLE_LINK1"/>
            <w:r>
              <w:rPr>
                <w:rFonts w:hint="eastAsia" w:ascii="宋体" w:hAnsi="宋体" w:eastAsia="宋体" w:cs="宋体"/>
                <w:bCs/>
                <w:sz w:val="24"/>
                <w:szCs w:val="24"/>
                <w:lang w:val="en-US" w:eastAsia="zh-CN"/>
                <w14:ligatures w14:val="none"/>
              </w:rPr>
              <w:t xml:space="preserve">10.</w:t>
            </w:r>
            <w:bookmarkEnd w:id="41"/>
            <w:r>
              <w:rPr>
                <w:rFonts w:hint="eastAsia" w:ascii="宋体" w:hAnsi="宋体" w:eastAsia="宋体" w:cs="宋体"/>
                <w:bCs/>
                <w:sz w:val="24"/>
                <w:szCs w:val="24"/>
                <w:lang w:val="en-US" w:eastAsia="zh-CN"/>
                <w14:ligatures w14:val="none"/>
              </w:rPr>
              <w:t xml:space="preserve">产品支持云威胁情报网关技术，通过全球超过30+pop节点，实现对威胁流量就近进行实时检测&amp;拦截，实现失陷外联实时阻断，保护资产安全。</w:t>
            </w:r>
            <w:r>
              <w:rPr>
                <w:rFonts w:hint="eastAsia" w:ascii="宋体" w:hAnsi="宋体" w:eastAsia="宋体" w:cs="宋体"/>
                <w:b/>
                <w:bCs w:val="0"/>
                <w:sz w:val="24"/>
                <w:szCs w:val="24"/>
                <w:lang w:val="en-US" w:eastAsia="zh-CN"/>
                <w14:ligatures w14:val="none"/>
              </w:rPr>
              <w:t xml:space="preserve"> </w:t>
            </w:r>
            <w:r/>
          </w:p>
          <w:p>
            <w:pPr>
              <w:numPr>
                <w:ilvl w:val="0"/>
                <w:numId w:val="0"/>
              </w:numPr>
              <w:spacing w:after="0" w:line="240" w:lineRule="auto"/>
              <w:rPr>
                <w:rFonts w:hint="eastAsia" w:ascii="宋体" w:hAnsi="宋体" w:eastAsia="宋体" w:cs="宋体"/>
                <w:b/>
                <w:bCs w:val="0"/>
                <w:sz w:val="24"/>
                <w:szCs w:val="24"/>
                <w:lang w:val="en-US" w:eastAsia="zh-CN"/>
                <w14:ligatures w14:val="none"/>
              </w:rPr>
            </w:pPr>
            <w:r>
              <w:rPr>
                <w:rFonts w:hint="eastAsia" w:ascii="宋体" w:hAnsi="宋体" w:eastAsia="宋体" w:cs="宋体"/>
                <w:b/>
                <w:bCs w:val="0"/>
                <w:sz w:val="24"/>
                <w:szCs w:val="24"/>
                <w:lang w:val="en-US" w:eastAsia="zh-CN"/>
                <w14:ligatures w14:val="none"/>
              </w:rPr>
              <w:t xml:space="preserve">11.</w:t>
            </w:r>
            <w:r>
              <w:rPr>
                <w:rFonts w:hint="eastAsia" w:ascii="宋体" w:hAnsi="宋体" w:eastAsia="宋体" w:cs="宋体"/>
                <w:bCs/>
                <w:sz w:val="24"/>
                <w:szCs w:val="24"/>
                <w:lang w:val="en-US" w:eastAsia="zh-CN"/>
                <w14:ligatures w14:val="none"/>
              </w:rPr>
              <w:t xml:space="preserve">产品支持对压缩病毒文件进行检测和拦截，压缩层数支持15层及以上。</w:t>
            </w:r>
            <w:r>
              <w:rPr>
                <w:rFonts w:hint="eastAsia" w:ascii="宋体" w:hAnsi="宋体" w:eastAsia="宋体" w:cs="宋体"/>
                <w:b/>
                <w:bCs w:val="0"/>
                <w:sz w:val="24"/>
                <w:szCs w:val="24"/>
                <w:lang w:val="en-US" w:eastAsia="zh-CN"/>
                <w14:ligatures w14:val="none"/>
              </w:rPr>
              <w:t xml:space="preserve"> </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bCs/>
                <w:sz w:val="24"/>
                <w:szCs w:val="24"/>
                <w:lang w:val="en-US" w:eastAsia="zh-CN"/>
                <w14:ligatures w14:val="none"/>
              </w:rPr>
              <w:t xml:space="preserve">12.▲产品支持对不少于5000+种应用的识别和控制，应用类型包括游戏、购物、图书百科、工作招聘、P2P下载、聊天工具、旅游出行、股票软件等类型应用进行检测与控制。</w:t>
            </w:r>
            <w:r>
              <w:rPr>
                <w:rFonts w:hint="eastAsia" w:ascii="宋体" w:hAnsi="宋体" w:eastAsia="宋体" w:cs="宋体"/>
                <w:color w:val="000000"/>
                <w:sz w:val="22"/>
                <w:szCs w:val="22"/>
                <w:highlight w:val="none"/>
                <w:lang w:val="en-US" w:eastAsia="zh-CN"/>
              </w:rPr>
              <w:t xml:space="preserve">（需提供功能截图证明</w:t>
            </w:r>
            <w:r>
              <w:rPr>
                <w:rFonts w:hint="eastAsia" w:ascii="宋体" w:hAnsi="宋体" w:eastAsia="宋体" w:cs="宋体"/>
                <w:i w:val="0"/>
                <w:iCs w:val="0"/>
                <w:color w:val="000000"/>
                <w:sz w:val="22"/>
                <w:szCs w:val="22"/>
                <w:highlight w:val="none"/>
                <w:u w:val="none"/>
                <w:lang w:val="en-US" w:eastAsia="zh-CN"/>
              </w:rPr>
              <w:t xml:space="preserve">并加盖投标人公章</w:t>
            </w:r>
            <w:r>
              <w:rPr>
                <w:rFonts w:hint="eastAsia" w:ascii="宋体" w:hAnsi="宋体" w:eastAsia="宋体" w:cs="宋体"/>
                <w:b/>
                <w:bCs w:val="0"/>
                <w:sz w:val="24"/>
                <w:szCs w:val="24"/>
                <w:lang w:val="en-US" w:eastAsia="zh-CN"/>
                <w14:ligatures w14:val="none"/>
              </w:rPr>
              <w:t xml:space="preserve">）</w:t>
            </w:r>
            <w:r>
              <w:rPr>
                <w:rFonts w:hint="eastAsia" w:ascii="宋体" w:hAnsi="宋体" w:eastAsia="宋体" w:cs="宋体"/>
                <w:b/>
                <w:bCs w:val="0"/>
                <w:color w:val="ff0000"/>
                <w:sz w:val="24"/>
                <w:szCs w:val="24"/>
                <w:lang w:val="en-US" w:eastAsia="zh-CN"/>
                <w14:ligatures w14: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default" w:ascii="宋体" w:hAnsi="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上网行为管理</w:t>
            </w:r>
            <w:r/>
          </w:p>
        </w:tc>
        <w:tc>
          <w:tcPr>
            <w:shd w:val="clear" w:color="auto" w:fill="auto"/>
            <w:tcBorders>
              <w:top w:val="single" w:color="000000" w:sz="4" w:space="0"/>
              <w:left w:val="single" w:color="000000" w:sz="4" w:space="0"/>
              <w:bottom w:val="single" w:color="000000" w:sz="4" w:space="0"/>
              <w:right w:val="single" w:color="000000" w:sz="4" w:space="0"/>
            </w:tcBorders>
            <w:tcW w:w="6874" w:type="dxa"/>
            <w:vAlign w:val="center"/>
            <w:textDirection w:val="lrTb"/>
            <w:noWrap w:val="false"/>
          </w:tcPr>
          <w:p>
            <w:pPr>
              <w:spacing w:line="360" w:lineRule="atLeast"/>
              <w:widowControl/>
              <w:rPr>
                <w:rFonts w:hint="eastAsia" w:ascii="宋体" w:hAnsi="宋体" w:eastAsia="宋体" w:cs="宋体"/>
                <w:bCs/>
                <w:sz w:val="24"/>
                <w:szCs w:val="24"/>
              </w:rPr>
            </w:pPr>
            <w:r>
              <w:rPr>
                <w:rFonts w:hint="eastAsia" w:ascii="宋体" w:hAnsi="宋体" w:eastAsia="宋体" w:cs="宋体"/>
                <w:bCs/>
                <w:sz w:val="24"/>
                <w:szCs w:val="24"/>
              </w:rPr>
              <w:t xml:space="preserve">网络层吞吐量</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5.8</w:t>
            </w:r>
            <w:r>
              <w:rPr>
                <w:rFonts w:hint="eastAsia" w:ascii="宋体" w:hAnsi="宋体" w:eastAsia="宋体" w:cs="宋体"/>
                <w:bCs/>
                <w:sz w:val="24"/>
                <w:szCs w:val="24"/>
              </w:rPr>
              <w:t xml:space="preserve">Gb，应用层吞吐量</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50Mb，带宽性能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00Mb，包转发率</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90</w:t>
            </w:r>
            <w:r>
              <w:rPr>
                <w:rFonts w:hint="eastAsia" w:ascii="宋体" w:hAnsi="宋体" w:eastAsia="宋体" w:cs="宋体"/>
                <w:bCs/>
                <w:sz w:val="24"/>
                <w:szCs w:val="24"/>
              </w:rPr>
              <w:t xml:space="preserve">Kpps，支持用户数</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00，准入终端数</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00，准入终端数的扩容上限</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00</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每秒新建连接数</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10000</w:t>
            </w:r>
            <w:r>
              <w:rPr>
                <w:rFonts w:hint="eastAsia" w:ascii="宋体" w:hAnsi="宋体" w:eastAsia="宋体" w:cs="宋体"/>
                <w:bCs/>
                <w:sz w:val="24"/>
                <w:szCs w:val="24"/>
              </w:rPr>
              <w:t xml:space="preserve">，最大并发连接数</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500000</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1U，内存大小</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G，硬盘容量</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128GB MSATA</w:t>
            </w:r>
            <w:r>
              <w:rPr>
                <w:rFonts w:hint="eastAsia" w:ascii="宋体" w:hAnsi="宋体" w:eastAsia="宋体" w:cs="宋体"/>
                <w:bCs/>
                <w:sz w:val="24"/>
                <w:szCs w:val="24"/>
              </w:rPr>
              <w:t xml:space="preserve">，单电源，接口</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6千兆电口。</w:t>
            </w:r>
            <w:r>
              <w:rPr>
                <w:rFonts w:hint="eastAsia" w:ascii="宋体" w:hAnsi="宋体" w:eastAsia="宋体" w:cs="宋体"/>
                <w:bCs/>
                <w:sz w:val="24"/>
                <w:szCs w:val="24"/>
                <w:lang w:eastAsia="zh-CN"/>
              </w:rPr>
              <w:t xml:space="preserve">提供三年规则库升级及产品维保服务。</w:t>
            </w:r>
            <w:r/>
          </w:p>
          <w:p>
            <w:pPr>
              <w:spacing w:line="360" w:lineRule="atLeast"/>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1.支持路由模式、单臂模式、网桥模式、旁路模式；</w:t>
            </w:r>
            <w:r/>
          </w:p>
          <w:p>
            <w:pPr>
              <w:spacing w:line="360" w:lineRule="atLeast"/>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支持首页显示在线用户、流量分析、行为日志分析、应用流量排名、用户流量排名、资产类型分布、新设备发现趋势、TOP违规检查项、TOP违规用户、行为风险分析包括：终端接入、上网安全、系统状态、接</w:t>
            </w:r>
            <w:r>
              <w:rPr>
                <w:rFonts w:hint="eastAsia" w:ascii="宋体" w:hAnsi="宋体" w:eastAsia="宋体" w:cs="宋体"/>
                <w:bCs/>
                <w:sz w:val="24"/>
                <w:szCs w:val="24"/>
                <w:lang w:eastAsia="zh-CN"/>
              </w:rPr>
              <w:t xml:space="preserve">口</w:t>
            </w:r>
            <w:r>
              <w:rPr>
                <w:rFonts w:hint="eastAsia" w:ascii="宋体" w:hAnsi="宋体" w:eastAsia="宋体" w:cs="宋体"/>
                <w:bCs/>
                <w:sz w:val="24"/>
                <w:szCs w:val="24"/>
              </w:rPr>
              <w:t xml:space="preserve">状态；</w:t>
            </w:r>
            <w:r/>
          </w:p>
          <w:p>
            <w:pPr>
              <w:spacing w:line="360" w:lineRule="atLeast"/>
              <w:widowControl/>
              <w:rPr>
                <w:rFonts w:hint="default" w:ascii="宋体" w:hAnsi="宋体" w:eastAsia="宋体" w:cs="宋体"/>
                <w:bCs/>
                <w:color w:val="ff0000"/>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14:ligatures w14:val="none"/>
              </w:rPr>
              <w:t xml:space="preserve">▲</w:t>
            </w:r>
            <w:r>
              <w:rPr>
                <w:rFonts w:hint="eastAsia" w:ascii="宋体" w:hAnsi="宋体" w:eastAsia="宋体" w:cs="宋体"/>
                <w:bCs/>
                <w:sz w:val="24"/>
                <w:szCs w:val="24"/>
                <w:lang w:val="en-US" w:eastAsia="zh-CN"/>
              </w:rPr>
              <w:t xml:space="preserve">产品支持与本次所投产品防火墙系统实现认证联动，可以转发用户认证信息到下一代防火墙，实现单点登录</w:t>
            </w:r>
            <w:r>
              <w:rPr>
                <w:rFonts w:hint="eastAsia" w:ascii="宋体" w:hAnsi="宋体" w:eastAsia="宋体" w:cs="宋体"/>
                <w:color w:val="000000"/>
                <w:sz w:val="22"/>
                <w:szCs w:val="22"/>
                <w:highlight w:val="none"/>
                <w:lang w:val="en-US" w:eastAsia="zh-CN"/>
              </w:rPr>
              <w:t xml:space="preserve">（需提供功能截图证明</w:t>
            </w:r>
            <w:r>
              <w:rPr>
                <w:rFonts w:hint="eastAsia" w:ascii="宋体" w:hAnsi="宋体" w:eastAsia="宋体" w:cs="宋体"/>
                <w:i w:val="0"/>
                <w:iCs w:val="0"/>
                <w:color w:val="000000"/>
                <w:sz w:val="22"/>
                <w:szCs w:val="22"/>
                <w:highlight w:val="none"/>
                <w:u w:val="none"/>
                <w:lang w:val="en-US" w:eastAsia="zh-CN"/>
              </w:rPr>
              <w:t xml:space="preserve">并加盖投标人公章</w:t>
            </w:r>
            <w:r>
              <w:rPr>
                <w:rFonts w:hint="eastAsia" w:ascii="宋体" w:hAnsi="宋体" w:eastAsia="宋体" w:cs="宋体"/>
                <w:b/>
                <w:bCs w:val="0"/>
                <w:sz w:val="24"/>
                <w:szCs w:val="24"/>
                <w:lang w:val="en-US" w:eastAsia="zh-CN"/>
                <w14:ligatures w14:val="none"/>
              </w:rPr>
              <w:t xml:space="preserve">）</w:t>
            </w:r>
            <w:r>
              <w:rPr>
                <w:rFonts w:hint="eastAsia" w:ascii="宋体" w:hAnsi="宋体" w:eastAsia="宋体" w:cs="宋体"/>
                <w:b/>
                <w:bCs w:val="0"/>
                <w:color w:val="ff0000"/>
                <w:sz w:val="24"/>
                <w:szCs w:val="24"/>
                <w:lang w:val="en-US" w:eastAsia="zh-CN"/>
                <w14:ligatures w14:val="none"/>
              </w:rPr>
              <w:t xml:space="preserve"> </w:t>
            </w:r>
            <w:r>
              <w:rPr>
                <w:rFonts w:hint="eastAsia" w:ascii="宋体" w:hAnsi="宋体" w:eastAsia="宋体" w:cs="宋体"/>
                <w:b/>
                <w:bCs w:val="0"/>
                <w:sz w:val="24"/>
                <w:szCs w:val="24"/>
                <w:lang w:val="en-US" w:eastAsia="zh-CN"/>
                <w14:ligatures w14:val="none"/>
              </w:rPr>
              <w:t xml:space="preserve">  </w:t>
            </w:r>
            <w:r>
              <w:rPr>
                <w:rFonts w:hint="eastAsia" w:ascii="宋体" w:hAnsi="宋体" w:eastAsia="宋体" w:cs="宋体"/>
                <w:b/>
                <w:bCs w:val="0"/>
                <w:color w:val="ff0000"/>
                <w:sz w:val="24"/>
                <w:szCs w:val="24"/>
                <w:lang w:val="en-US" w:eastAsia="zh-CN"/>
                <w14:ligatures w14:val="none"/>
              </w:rPr>
              <w:t xml:space="preserve"> </w:t>
            </w:r>
            <w:r/>
          </w:p>
          <w:p>
            <w:pPr>
              <w:spacing w:line="360" w:lineRule="atLeast"/>
              <w:widowControl/>
              <w:rPr>
                <w:rFonts w:hint="eastAsia" w:ascii="宋体" w:hAnsi="宋体" w:eastAsia="宋体" w:cs="宋体"/>
                <w:b/>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支持通过钉钉、企业微信等第三方协同办公软件进行授权认证</w:t>
            </w:r>
            <w:r>
              <w:rPr>
                <w:rFonts w:hint="eastAsia" w:ascii="宋体" w:hAnsi="宋体" w:eastAsia="宋体" w:cs="宋体"/>
                <w:bCs/>
                <w:sz w:val="24"/>
                <w:szCs w:val="24"/>
                <w:lang w:eastAsia="zh-CN"/>
              </w:rPr>
              <w:t xml:space="preserve">。</w:t>
            </w:r>
            <w:r>
              <w:rPr>
                <w:rFonts w:hint="eastAsia" w:ascii="宋体" w:hAnsi="宋体" w:eastAsia="宋体" w:cs="宋体"/>
                <w:b/>
                <w:bCs/>
                <w:sz w:val="24"/>
                <w:szCs w:val="24"/>
                <w:lang w:val="en-US" w:eastAsia="zh-CN"/>
              </w:rPr>
              <w:t xml:space="preserve"> </w:t>
            </w:r>
            <w:r/>
          </w:p>
          <w:p>
            <w:pPr>
              <w:spacing w:line="360" w:lineRule="atLeast"/>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密码登录支持用户自注册，管理员审批后新账号可用，管理员关联了手机号码后，可以通过手机号接受自注册、终端注册、终端绑定的审批通知；</w:t>
            </w:r>
            <w:r/>
          </w:p>
          <w:p>
            <w:pPr>
              <w:spacing w:line="360" w:lineRule="atLeast"/>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6.支持账号密码+动态令牌（Authenticator APP）验证码身份认证，支持通过短信和密码绑定动态令牌；</w:t>
            </w:r>
            <w:r/>
          </w:p>
          <w:p>
            <w:pPr>
              <w:rPr>
                <w:rFonts w:hint="eastAsia" w:ascii="宋体" w:hAnsi="宋体" w:eastAsia="宋体" w:cs="宋体"/>
                <w:b/>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支持802.1x认证，可对接本地和AD域用户源进行用户名密码认证</w:t>
            </w:r>
            <w:r>
              <w:rPr>
                <w:rFonts w:hint="eastAsia" w:ascii="宋体" w:hAnsi="宋体" w:eastAsia="宋体" w:cs="宋体"/>
                <w:bCs/>
                <w:sz w:val="24"/>
                <w:szCs w:val="24"/>
                <w:lang w:eastAsia="zh-CN"/>
              </w:rPr>
              <w:t xml:space="preserve">。</w:t>
            </w:r>
            <w:r/>
          </w:p>
          <w:p>
            <w:pPr>
              <w:spacing w:line="360" w:lineRule="atLeas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支持在不同线路上，根据适用应用、生效时间、目标IP、日期、适用对象、位置来保证或者限制流量，可根据百分比或数值设置通道带宽，并支持设置各通道的优先级；</w:t>
            </w:r>
            <w:r/>
          </w:p>
          <w:p>
            <w:pPr>
              <w:spacing w:line="360" w:lineRule="atLeas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eastAsia="zh-CN"/>
              </w:rPr>
              <w:t xml:space="preserve">设备内置应用识别规则库，支持超过10000种以上应用规则数、支持超过10000种以上的应用；支持根据标签选择应用，并支持给每个应用自定义标签；支持根据标签选择一类应用做控制；支持超过4000种主流Saas应用，对Saas应用有默认分类标签，帮助客户统一配置策略。</w:t>
            </w:r>
            <w:r>
              <w:rPr>
                <w:rFonts w:hint="eastAsia" w:ascii="宋体" w:hAnsi="宋体" w:eastAsia="宋体" w:cs="宋体"/>
                <w:b/>
                <w:bCs w:val="0"/>
                <w:sz w:val="24"/>
                <w:szCs w:val="24"/>
                <w:lang w:val="en-US" w:eastAsia="zh-CN"/>
                <w14:ligatures w14:val="none"/>
              </w:rPr>
              <w:t xml:space="preserve"> </w:t>
            </w:r>
            <w:r/>
          </w:p>
          <w:p>
            <w:pPr>
              <w:spacing w:line="360" w:lineRule="atLeast"/>
              <w:widowControl/>
              <w:rPr>
                <w:rFonts w:ascii="宋体" w:hAnsi="宋体" w:eastAsia="宋体" w:cs="宋体"/>
                <w:bCs/>
                <w:sz w:val="24"/>
                <w:szCs w:val="24"/>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支持WEB/FTP/SMB类型业务的行为和内容审计，对上传/下载文件可选择只审计文件名或同时审计文件内容；</w:t>
            </w:r>
            <w:r/>
          </w:p>
          <w:p>
            <w:pPr>
              <w:spacing w:line="36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rPr>
              <w:t xml:space="preserve">支持对终端应用联网管控，可设置禁止或允许访问互联网，禁止或允许访问指定IP地址，离线时继续生效</w:t>
            </w:r>
            <w:r>
              <w:rPr>
                <w:rFonts w:hint="eastAsia" w:ascii="宋体" w:hAnsi="宋体" w:eastAsia="宋体" w:cs="宋体"/>
                <w:bCs/>
                <w:sz w:val="24"/>
                <w:szCs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92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台</w:t>
            </w:r>
            <w:r/>
          </w:p>
        </w:tc>
      </w:tr>
    </w:tbl>
    <w:p>
      <w:pPr>
        <w:ind w:firstLine="1807"/>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jc w:val="left"/>
        <w:spacing w:line="336" w:lineRule="auto"/>
        <w:rPr>
          <w:rFonts w:hint="eastAsia" w:ascii="仿宋" w:hAnsi="仿宋" w:eastAsia="仿宋" w:cs="仿宋"/>
          <w:b/>
          <w:bCs/>
          <w:sz w:val="24"/>
          <w:szCs w:val="24"/>
        </w:rPr>
      </w:pPr>
      <w:r>
        <w:rPr>
          <w:rFonts w:hint="eastAsia" w:ascii="仿宋" w:hAnsi="仿宋" w:eastAsia="仿宋" w:cs="仿宋"/>
          <w:b/>
          <w:bCs/>
          <w:sz w:val="24"/>
          <w:szCs w:val="24"/>
        </w:rPr>
        <w:t xml:space="preserve">其他要求</w:t>
      </w:r>
      <w:r/>
    </w:p>
    <w:p>
      <w:pPr>
        <w:pStyle w:val="886"/>
        <w:numPr>
          <w:ilvl w:val="0"/>
          <w:numId w:val="0"/>
        </w:numPr>
        <w:spacing w:line="520" w:lineRule="exact"/>
        <w:rPr>
          <w:rFonts w:hint="eastAsia" w:ascii="仿宋" w:hAnsi="仿宋" w:eastAsia="仿宋" w:cs="仿宋"/>
          <w:b/>
          <w:bCs/>
          <w:color w:val="auto"/>
          <w:sz w:val="28"/>
          <w:szCs w:val="28"/>
          <w:highlight w:val="none"/>
          <w:lang w:val="en-US" w:eastAsia="zh-CN"/>
        </w:rPr>
        <w:outlineLvl w:val="0"/>
      </w:pPr>
      <w:r>
        <w:rPr>
          <w:rFonts w:hint="eastAsia" w:ascii="仿宋" w:hAnsi="仿宋" w:eastAsia="仿宋" w:cs="仿宋"/>
          <w:b/>
          <w:bCs/>
          <w:color w:val="auto"/>
          <w:sz w:val="28"/>
          <w:szCs w:val="28"/>
          <w:highlight w:val="none"/>
          <w:lang w:val="en-US" w:eastAsia="zh-CN" w:bidi="ar-SA"/>
        </w:rPr>
        <w:t xml:space="preserve">交付要求</w:t>
      </w:r>
      <w:r/>
    </w:p>
    <w:p>
      <w:pPr>
        <w:pStyle w:val="886"/>
        <w:numPr>
          <w:ilvl w:val="0"/>
          <w:numId w:val="0"/>
        </w:numPr>
        <w:ind w:firstLine="560"/>
        <w:spacing w:line="520" w:lineRule="exact"/>
        <w:rPr>
          <w:rFonts w:hint="eastAsia" w:ascii="仿宋" w:hAnsi="仿宋" w:eastAsia="仿宋" w:cs="仿宋"/>
          <w:b/>
          <w:bCs/>
          <w:color w:val="auto"/>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报价应将设备与软件递送到采购文件规定的指定交货地点并完成安装与调试，项目质量应满足文件中要求的技术规范。报价需包含设备与软件的生产、包装、运输、装卸、安装调试（含辅材和人工）、质保期内服务、利润、税金及风险承担等全部费用。</w:t>
      </w:r>
      <w:r/>
    </w:p>
    <w:p>
      <w:pPr>
        <w:pStyle w:val="886"/>
        <w:numPr>
          <w:ilvl w:val="0"/>
          <w:numId w:val="0"/>
        </w:numPr>
        <w:spacing w:line="520" w:lineRule="exact"/>
        <w:rPr>
          <w:rFonts w:hint="default"/>
          <w:highlight w:val="none"/>
          <w:lang w:val="en-US" w:eastAsia="zh-CN"/>
        </w:rPr>
        <w:outlineLvl w:val="0"/>
      </w:pPr>
      <w:r>
        <w:rPr>
          <w:rFonts w:hint="eastAsia" w:ascii="仿宋" w:hAnsi="仿宋" w:eastAsia="仿宋" w:cs="仿宋"/>
          <w:b/>
          <w:bCs/>
          <w:color w:val="auto"/>
          <w:sz w:val="28"/>
          <w:szCs w:val="28"/>
          <w:highlight w:val="none"/>
        </w:rPr>
        <w:t xml:space="preserve">售后及质保期</w:t>
      </w:r>
      <w:r/>
    </w:p>
    <w:p>
      <w:pPr>
        <w:numPr>
          <w:ilvl w:val="0"/>
          <w:numId w:val="0"/>
        </w:numPr>
        <w:ind w:firstLine="560"/>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售后与质保：本项目所包含的各类软、硬件提供不低于</w:t>
      </w:r>
      <w:r>
        <w:rPr>
          <w:rFonts w:hint="eastAsia" w:ascii="仿宋" w:hAnsi="仿宋" w:eastAsia="仿宋" w:cs="仿宋"/>
          <w:sz w:val="28"/>
          <w:szCs w:val="28"/>
          <w:highlight w:val="none"/>
          <w:u w:val="single"/>
          <w:lang w:val="en-US" w:eastAsia="zh-CN"/>
        </w:rPr>
        <w:t xml:space="preserve">  3  </w:t>
      </w:r>
      <w:r>
        <w:rPr>
          <w:rFonts w:hint="eastAsia" w:ascii="仿宋" w:hAnsi="仿宋" w:eastAsia="仿宋" w:cs="仿宋"/>
          <w:sz w:val="28"/>
          <w:szCs w:val="28"/>
          <w:highlight w:val="none"/>
          <w:lang w:val="en-US" w:eastAsia="zh-CN"/>
        </w:rPr>
        <w:t xml:space="preserve">年的免费售后服务，具体内容包含：</w:t>
      </w:r>
      <w:r/>
    </w:p>
    <w:p>
      <w:pPr>
        <w:numPr>
          <w:ilvl w:val="0"/>
          <w:numId w:val="11"/>
        </w:numPr>
        <w:ind w:firstLine="560"/>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软件与硬件设备的质保；</w:t>
      </w:r>
      <w:r/>
    </w:p>
    <w:p>
      <w:pPr>
        <w:numPr>
          <w:ilvl w:val="0"/>
          <w:numId w:val="11"/>
        </w:numPr>
        <w:ind w:left="0" w:firstLine="560"/>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软件系统的操作培训服务、配套教学资源；</w:t>
      </w:r>
      <w:r/>
    </w:p>
    <w:p>
      <w:pPr>
        <w:numPr>
          <w:ilvl w:val="0"/>
          <w:numId w:val="11"/>
        </w:numPr>
        <w:ind w:left="0" w:firstLine="560"/>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提供7*24小时远程技术支持；</w:t>
      </w:r>
      <w:r/>
    </w:p>
    <w:p>
      <w:pPr>
        <w:numPr>
          <w:ilvl w:val="0"/>
          <w:numId w:val="11"/>
        </w:numPr>
        <w:ind w:left="0" w:firstLine="560"/>
        <w:keepLines w:val="0"/>
        <w:keepNext w:val="0"/>
        <w:pageBreakBefore w:val="0"/>
        <w:spacing w:line="520" w:lineRule="exact"/>
        <w:widowControl w:val="off"/>
        <w:rPr>
          <w:rFonts w:hint="default"/>
          <w:color w:val="auto"/>
          <w:highlight w:val="none"/>
          <w:lang w:val="en-US" w:eastAsia="zh-CN"/>
        </w:rPr>
      </w:pPr>
      <w:r>
        <w:rPr>
          <w:rFonts w:hint="eastAsia" w:ascii="仿宋" w:hAnsi="仿宋" w:eastAsia="仿宋" w:cs="仿宋"/>
          <w:color w:val="auto"/>
          <w:sz w:val="28"/>
          <w:szCs w:val="28"/>
          <w:highlight w:val="none"/>
          <w:lang w:val="en-US" w:eastAsia="zh-CN"/>
        </w:rPr>
        <w:t xml:space="preserve">如需现场支持，响应时间不超过48小时。</w:t>
      </w:r>
      <w:r/>
    </w:p>
    <w:p>
      <w:pPr>
        <w:pStyle w:val="886"/>
        <w:spacing w:line="520" w:lineRule="exact"/>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t xml:space="preserve">商务部分：</w:t>
      </w:r>
      <w:r/>
    </w:p>
    <w:p>
      <w:pPr>
        <w:ind w:firstLine="560"/>
        <w:spacing w:line="51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（一）交货期（含供货、安装调试）：3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日历天。</w:t>
      </w:r>
      <w:r/>
    </w:p>
    <w:p>
      <w:pPr>
        <w:ind w:firstLine="560"/>
        <w:spacing w:line="51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（二）服务地点:</w:t>
      </w:r>
      <w:r>
        <w:rPr>
          <w:rFonts w:hint="eastAsia" w:ascii="仿宋" w:hAnsi="仿宋" w:eastAsia="仿宋" w:cs="仿宋"/>
          <w:color w:val="auto"/>
          <w:sz w:val="28"/>
          <w:szCs w:val="28"/>
          <w:highlight w:val="none"/>
          <w:lang w:val="zh-CN"/>
        </w:rPr>
        <w:t xml:space="preserve">采购人指定地点</w:t>
      </w:r>
      <w:r>
        <w:rPr>
          <w:rFonts w:hint="eastAsia" w:ascii="仿宋" w:hAnsi="仿宋" w:eastAsia="仿宋" w:cs="仿宋"/>
          <w:color w:val="auto"/>
          <w:sz w:val="28"/>
          <w:szCs w:val="28"/>
          <w:highlight w:val="none"/>
        </w:rPr>
        <w:t xml:space="preserve">。</w:t>
      </w:r>
      <w:r/>
    </w:p>
    <w:p>
      <w:pPr>
        <w:ind w:firstLine="560"/>
        <w:spacing w:line="51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（三）付款方式:</w:t>
      </w:r>
      <w:r/>
    </w:p>
    <w:p>
      <w:pPr>
        <w:ind w:firstLine="560"/>
        <w:spacing w:line="520" w:lineRule="exact"/>
        <w:rPr>
          <w:rFonts w:ascii="仿宋" w:hAnsi="仿宋" w:eastAsia="仿宋" w:cs="仿宋"/>
          <w:bCs/>
          <w:color w:val="auto"/>
          <w:sz w:val="28"/>
          <w:szCs w:val="28"/>
          <w:highlight w:val="none"/>
          <w:u w:val="none"/>
        </w:rPr>
      </w:pPr>
      <w:r>
        <w:rPr>
          <w:rFonts w:hint="eastAsia" w:ascii="仿宋" w:hAnsi="仿宋" w:eastAsia="仿宋" w:cs="仿宋"/>
          <w:bCs/>
          <w:color w:val="auto"/>
          <w:sz w:val="28"/>
          <w:szCs w:val="28"/>
          <w:highlight w:val="none"/>
          <w:u w:val="none"/>
        </w:rPr>
        <w:t xml:space="preserve">安装调试完毕后，经甲方验收合格后一次性付清。</w:t>
      </w:r>
      <w:r/>
    </w:p>
    <w:p>
      <w:pPr>
        <w:ind w:firstLine="1807"/>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1807"/>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rPr>
        <w:t xml:space="preserve"> </w:t>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rPr>
        <w:t xml:space="preserve">注： </w:t>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rPr>
        <w:t xml:space="preserve">1、投标人所报价不得高于最高限制价，否则评委会有权做出投标无效处理。 </w:t>
      </w:r>
      <w:r/>
    </w:p>
    <w:p>
      <w:pPr>
        <w:jc w:val="left"/>
        <w:keepLines w:val="0"/>
        <w:keepNext w:val="0"/>
        <w:widowControl/>
        <w:rPr>
          <w:color w:val="auto"/>
          <w:highlight w:val="none"/>
        </w:rPr>
        <w:suppressLineNumbers w:val="0"/>
      </w:pPr>
      <w:r>
        <w:rPr>
          <w:rFonts w:hint="default" w:ascii="Times New Roman" w:hAnsi="Times New Roman" w:eastAsia="宋体" w:cs="Times New Roman"/>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、如果在技术参数或配置中标明了品牌或产地，则仅供参考，并非指定，投标 </w:t>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rPr>
        <w:t xml:space="preserve">人可以选用替代的方案，但这种替代整体上要优于或相当于招标文件的相关要 </w:t>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rPr>
        <w:t xml:space="preserve">求。 </w:t>
      </w:r>
      <w:r/>
    </w:p>
    <w:p>
      <w:pPr>
        <w:jc w:val="left"/>
        <w:keepLines w:val="0"/>
        <w:keepNext w:val="0"/>
        <w:widowControl/>
        <w:rPr>
          <w:color w:val="auto"/>
          <w:highlight w:val="none"/>
        </w:rPr>
        <w:suppressLineNumbers w:val="0"/>
      </w:pPr>
      <w:r>
        <w:rPr>
          <w:rFonts w:hint="default" w:ascii="Times New Roman" w:hAnsi="Times New Roman" w:eastAsia="宋体" w:cs="Times New Roman"/>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、为鼓励不同品牌的充分竞争，如某货物的某技术参数或要求属于个别品牌专 </w:t>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rPr>
        <w:t xml:space="preserve">有，则该技术参数及要求不具有限制性，投标人可对该参数或要求进行适当调整， </w:t>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rPr>
        <w:t xml:space="preserve">并应当在投标文件中说明调整的理由，且该调整须经评委会审核认可。 </w:t>
      </w:r>
      <w:r/>
    </w:p>
    <w:p>
      <w:pPr>
        <w:jc w:val="left"/>
        <w:keepLines w:val="0"/>
        <w:keepNext w:val="0"/>
        <w:widowControl/>
        <w:rPr>
          <w:color w:val="auto"/>
          <w:highlight w:val="none"/>
        </w:rPr>
        <w:suppressLineNumbers w:val="0"/>
      </w:pPr>
      <w:r>
        <w:rPr>
          <w:rFonts w:hint="default" w:ascii="Times New Roman" w:hAnsi="Times New Roman" w:eastAsia="宋体" w:cs="Times New Roman"/>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、所有描述为</w:t>
      </w:r>
      <w:r>
        <w:rPr>
          <w:rFonts w:hint="default" w:ascii="Times New Roman" w:hAnsi="Times New Roman" w:eastAsia="宋体" w:cs="Times New Roman"/>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支持</w:t>
      </w:r>
      <w:r>
        <w:rPr>
          <w:rFonts w:hint="default" w:ascii="Times New Roman" w:hAnsi="Times New Roman" w:eastAsia="宋体" w:cs="Times New Roman"/>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的，均表示具备、配置、提供、实现等意思，是要满足技 </w:t>
      </w:r>
      <w:r/>
    </w:p>
    <w:p>
      <w:pPr>
        <w:jc w:val="left"/>
        <w:keepLines w:val="0"/>
        <w:keepNext w:val="0"/>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术参数的要求。</w:t>
      </w:r>
      <w:r/>
    </w:p>
    <w:p>
      <w:pPr>
        <w:pStyle w:val="892"/>
        <w:rPr>
          <w:rFonts w:hint="eastAsia" w:ascii="黑体" w:hAnsi="黑体" w:eastAsia="黑体"/>
          <w:b/>
          <w:bCs/>
          <w:color w:val="auto"/>
          <w:sz w:val="36"/>
          <w:highlight w:val="none"/>
        </w:rPr>
      </w:pPr>
      <w:r>
        <w:rPr>
          <w:rFonts w:hint="eastAsia" w:ascii="宋体" w:hAnsi="宋体" w:eastAsia="宋体" w:cs="宋体"/>
          <w:b/>
          <w:bCs/>
          <w:color w:val="auto"/>
          <w:sz w:val="24"/>
          <w:szCs w:val="24"/>
          <w:highlight w:val="none"/>
          <w:lang w:val="en-US" w:eastAsia="zh-CN"/>
        </w:rPr>
        <w:t xml:space="preserve">5、投标人需在清单中列明所投产品的品牌名称，所有产品须征得采购人认可。</w:t>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2530"/>
        <w:jc w:val="left"/>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第六章   投  标  文  件</w:t>
      </w:r>
      <w:r/>
    </w:p>
    <w:p>
      <w:pPr>
        <w:pStyle w:val="886"/>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86"/>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6"/>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6"/>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6"/>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084"/>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p>
    <w:p>
      <w:pPr>
        <w:pStyle w:val="886"/>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6"/>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86"/>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86"/>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86"/>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86"/>
        <w:ind w:firstLine="1066"/>
        <w:rPr>
          <w:rFonts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066"/>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投 标 人:</w:t>
      </w:r>
      <w:r/>
    </w:p>
    <w:p>
      <w:pPr>
        <w:pStyle w:val="886"/>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6"/>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6"/>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6"/>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6"/>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6"/>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6"/>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6"/>
        <w:ind w:firstLine="2465"/>
        <w:rPr>
          <w:rFonts w:eastAsia="方正仿宋_GBK"/>
          <w:b/>
          <w:bCs/>
          <w:color w:val="auto"/>
          <w:sz w:val="28"/>
          <w:szCs w:val="28"/>
          <w:highlight w:val="none"/>
          <w:lang w:val="zh-CN"/>
        </w:rPr>
      </w:pPr>
      <w:r>
        <w:rPr>
          <w:rFonts w:hint="eastAsia" w:ascii="黑体" w:hAnsi="黑体" w:eastAsia="黑体"/>
          <w:b/>
          <w:color w:val="auto"/>
          <w:sz w:val="36"/>
          <w:szCs w:val="24"/>
          <w:highlight w:val="none"/>
        </w:rPr>
        <w:t xml:space="preserve">二0二</w:t>
      </w:r>
      <w:r>
        <w:rPr>
          <w:rFonts w:hint="eastAsia" w:ascii="黑体" w:hAnsi="黑体" w:eastAsia="黑体"/>
          <w:b/>
          <w:color w:val="auto"/>
          <w:sz w:val="36"/>
          <w:szCs w:val="24"/>
          <w:highlight w:val="none"/>
          <w:lang w:val="en-US" w:eastAsia="zh-CN"/>
        </w:rPr>
        <w:t xml:space="preserve">六</w:t>
      </w:r>
      <w:r>
        <w:rPr>
          <w:rFonts w:hint="eastAsia" w:ascii="黑体" w:hAnsi="黑体" w:eastAsia="黑体"/>
          <w:b/>
          <w:color w:val="auto"/>
          <w:sz w:val="36"/>
          <w:szCs w:val="24"/>
          <w:highlight w:val="none"/>
        </w:rPr>
        <w:t xml:space="preserve">年    月    日</w:t>
      </w:r>
      <w:r/>
    </w:p>
    <w:p>
      <w:pPr>
        <w:pStyle w:val="886"/>
        <w:ind w:firstLine="2875"/>
        <w:spacing w:line="6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86"/>
        <w:ind w:firstLine="3193"/>
        <w:spacing w:line="6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86"/>
        <w:ind w:firstLine="3193"/>
        <w:spacing w:line="6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一、投标函</w:t>
      </w:r>
      <w:r/>
    </w:p>
    <w:p>
      <w:pPr>
        <w:pStyle w:val="905"/>
        <w:ind w:left="0" w:firstLine="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致：                 （采购人）</w:t>
      </w:r>
      <w:r/>
    </w:p>
    <w:p>
      <w:pPr>
        <w:pStyle w:val="905"/>
        <w:ind w:firstLine="7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（投标人单位名称），</w:t>
      </w:r>
      <w:r>
        <w:rPr>
          <w:rFonts w:hint="eastAsia" w:ascii="仿宋" w:hAnsi="仿宋" w:eastAsia="仿宋"/>
          <w:color w:val="auto"/>
          <w:sz w:val="28"/>
          <w:szCs w:val="28"/>
          <w:highlight w:val="none"/>
        </w:rPr>
        <w:t xml:space="preserve">全权处理本次项目投标的有关事宜。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05"/>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3、我们接受招标文件的所有的条款和规定。</w:t>
      </w:r>
      <w:r/>
    </w:p>
    <w:p>
      <w:pPr>
        <w:pStyle w:val="905"/>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p>
    <w:p>
      <w:pPr>
        <w:pStyle w:val="905"/>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5、我们理解，你们无义务必须接受</w:t>
      </w:r>
      <w:r>
        <w:rPr>
          <w:rFonts w:hint="eastAsia" w:ascii="仿宋" w:hAnsi="仿宋" w:eastAsia="仿宋"/>
          <w:color w:val="auto"/>
          <w:sz w:val="28"/>
          <w:szCs w:val="28"/>
          <w:highlight w:val="none"/>
        </w:rPr>
        <w:t xml:space="preserve">投标价最低的投标</w:t>
      </w:r>
      <w:r>
        <w:rPr>
          <w:rFonts w:hint="eastAsia" w:ascii="仿宋" w:hAnsi="仿宋" w:eastAsia="仿宋"/>
          <w:color w:val="auto"/>
          <w:sz w:val="28"/>
          <w:szCs w:val="28"/>
          <w:highlight w:val="none"/>
        </w:rPr>
        <w:t xml:space="preserve">。同时也理解你们不承担我们本次投标的费用。</w:t>
      </w:r>
      <w:r/>
    </w:p>
    <w:p>
      <w:pPr>
        <w:pStyle w:val="905"/>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6、我们同意向贵方提供贵方可能要求的与投标有关的任何证据或资料，并保证所提供的都是真实的、准确的。</w:t>
      </w:r>
      <w:r/>
    </w:p>
    <w:p>
      <w:pPr>
        <w:pStyle w:val="905"/>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05"/>
        <w:ind w:right="560" w:firstLine="2940"/>
        <w:spacing w:before="0" w:after="0"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pStyle w:val="905"/>
        <w:ind w:right="560" w:firstLine="294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rPr>
        <w:t xml:space="preserve">投标人名称（电子签章）:</w:t>
      </w:r>
      <w:r>
        <w:rPr>
          <w:rFonts w:hint="eastAsia" w:ascii="仿宋" w:hAnsi="仿宋" w:eastAsia="仿宋"/>
          <w:color w:val="auto"/>
          <w:sz w:val="28"/>
          <w:highlight w:val="none"/>
          <w:u w:val="single"/>
        </w:rPr>
        <w:t xml:space="preserve">             </w:t>
      </w:r>
      <w:r/>
    </w:p>
    <w:p>
      <w:pPr>
        <w:pStyle w:val="905"/>
        <w:ind w:right="560" w:firstLine="294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886"/>
        <w:ind w:right="560"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86"/>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6"/>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6"/>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6"/>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6"/>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6"/>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6"/>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6"/>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6"/>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6"/>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二、开标一览表</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tbl>
      <w:tblPr>
        <w:tblStyle w:val="881"/>
        <w:tblW w:w="84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tc>
        <w:tc>
          <w:tcPr>
            <w:tcW w:w="6759" w:type="dxa"/>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2261"/>
        </w:trPr>
        <w:tc>
          <w:tcPr>
            <w:tcW w:w="1701" w:type="dxa"/>
            <w:vAlign w:val="center"/>
            <w:textDirection w:val="lrTb"/>
            <w:noWrap w:val="false"/>
          </w:tcPr>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w:t>
            </w:r>
            <w:r/>
          </w:p>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总计</w:t>
            </w:r>
            <w:r/>
          </w:p>
        </w:tc>
        <w:tc>
          <w:tcPr>
            <w:tcW w:w="6759" w:type="dxa"/>
            <w:vAlign w:val="center"/>
            <w:textDirection w:val="lrTb"/>
            <w:noWrap w:val="false"/>
          </w:tcPr>
          <w:p>
            <w:pPr>
              <w:spacing w:line="7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r>
        <w:trPr>
          <w:cantSplit/>
          <w:trHeight w:val="2261"/>
        </w:trPr>
        <w:tc>
          <w:tcPr>
            <w:tcW w:w="1701" w:type="dxa"/>
            <w:vAlign w:val="center"/>
            <w:textDirection w:val="lrTb"/>
            <w:noWrap w:val="false"/>
          </w:tcPr>
          <w:p>
            <w:pPr>
              <w:jc w:val="center"/>
              <w:spacing w:line="720" w:lineRule="exact"/>
              <w:rPr>
                <w:rFonts w:hint="eastAsia" w:ascii="仿宋" w:hAnsi="仿宋" w:eastAsia="仿宋"/>
                <w:color w:val="auto"/>
                <w:sz w:val="28"/>
                <w:szCs w:val="28"/>
                <w:highlight w:val="none"/>
              </w:rPr>
            </w:pPr>
            <w:r/>
            <w:bookmarkStart w:id="42" w:name="_Toc136924766"/>
            <w:r/>
            <w:bookmarkStart w:id="43" w:name="_Toc157775459"/>
            <w:r>
              <w:rPr>
                <w:rFonts w:hint="eastAsia" w:ascii="仿宋" w:hAnsi="仿宋" w:eastAsia="仿宋"/>
                <w:color w:val="auto"/>
                <w:sz w:val="28"/>
                <w:szCs w:val="28"/>
                <w:highlight w:val="none"/>
              </w:rPr>
              <w:t xml:space="preserve">核心品牌</w:t>
            </w:r>
            <w:r/>
          </w:p>
        </w:tc>
        <w:tc>
          <w:tcPr>
            <w:tcW w:w="6759" w:type="dxa"/>
            <w:vAlign w:val="center"/>
            <w:textDirection w:val="lrTb"/>
            <w:noWrap w:val="false"/>
          </w:tcPr>
          <w:p>
            <w:pP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bl>
    <w:p>
      <w:pPr>
        <w:ind w:firstLine="411"/>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r>
      <w:r/>
    </w:p>
    <w:p>
      <w:pPr>
        <w:ind w:firstLine="560"/>
        <w:spacing w:line="520" w:lineRule="exact"/>
        <w:rPr>
          <w:rFonts w:hint="eastAsia" w:ascii="宋体" w:hAnsi="宋体" w:cs="仿宋"/>
          <w:color w:val="auto"/>
          <w:sz w:val="28"/>
          <w:szCs w:val="28"/>
          <w:highlight w:val="none"/>
          <w:u w:val="single"/>
        </w:rPr>
      </w:pPr>
      <w:r>
        <w:rPr>
          <w:rFonts w:hint="eastAsia" w:ascii="宋体" w:hAnsi="宋体" w:cs="仿宋"/>
          <w:color w:val="auto"/>
          <w:sz w:val="28"/>
          <w:szCs w:val="28"/>
          <w:highlight w:val="none"/>
        </w:rPr>
        <w:t xml:space="preserve">投标人：</w:t>
      </w:r>
      <w:r>
        <w:rPr>
          <w:rFonts w:hint="eastAsia" w:ascii="宋体" w:hAnsi="宋体" w:cs="仿宋"/>
          <w:color w:val="auto"/>
          <w:sz w:val="28"/>
          <w:szCs w:val="28"/>
          <w:highlight w:val="none"/>
          <w:u w:val="single"/>
        </w:rPr>
        <w:t xml:space="preserve">     （</w:t>
      </w:r>
      <w:r>
        <w:rPr>
          <w:rFonts w:hint="eastAsia" w:ascii="宋体" w:hAnsi="宋体" w:cs="仿宋"/>
          <w:color w:val="auto"/>
          <w:sz w:val="28"/>
          <w:szCs w:val="28"/>
          <w:highlight w:val="none"/>
          <w:u w:val="single"/>
          <w:lang w:val="en-US" w:eastAsia="zh-CN"/>
        </w:rPr>
        <w:t xml:space="preserve">电子</w:t>
      </w:r>
      <w:r>
        <w:rPr>
          <w:rFonts w:hint="eastAsia" w:ascii="宋体" w:hAnsi="宋体" w:cs="仿宋"/>
          <w:color w:val="auto"/>
          <w:sz w:val="28"/>
          <w:szCs w:val="28"/>
          <w:highlight w:val="none"/>
          <w:u w:val="single"/>
        </w:rPr>
        <w:t xml:space="preserve">签章）     </w:t>
      </w:r>
      <w:r/>
    </w:p>
    <w:p>
      <w:pPr>
        <w:jc w:val="left"/>
        <w:spacing w:line="360" w:lineRule="auto"/>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r>
      <w:r/>
    </w:p>
    <w:p>
      <w:pPr>
        <w:ind w:firstLine="560"/>
        <w:jc w:val="left"/>
        <w:spacing w:line="360" w:lineRule="auto"/>
        <w:widowControl/>
        <w:rPr>
          <w:rFonts w:hint="eastAsia" w:ascii="宋体" w:hAnsi="宋体" w:cs="宋体"/>
          <w:color w:val="auto"/>
          <w:sz w:val="23"/>
          <w:szCs w:val="23"/>
          <w:highlight w:val="none"/>
        </w:rPr>
      </w:pPr>
      <w:r>
        <w:rPr>
          <w:rFonts w:hint="eastAsia" w:ascii="宋体" w:hAnsi="宋体" w:cs="仿宋"/>
          <w:color w:val="auto"/>
          <w:sz w:val="28"/>
          <w:szCs w:val="28"/>
          <w:highlight w:val="none"/>
        </w:rPr>
        <w:t xml:space="preserve">日期：    年   月   日</w:t>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bookmarkEnd w:id="42"/>
      <w:r/>
      <w:bookmarkEnd w:id="43"/>
      <w:r/>
      <w:r/>
    </w:p>
    <w:p>
      <w:pPr>
        <w:pStyle w:val="886"/>
        <w:ind w:firstLine="2875"/>
        <w:rPr>
          <w:rFonts w:hint="eastAsia" w:hAnsi="宋体"/>
          <w:b/>
          <w:color w:val="auto"/>
          <w:sz w:val="32"/>
          <w:szCs w:val="32"/>
          <w:highlight w:val="none"/>
        </w:rPr>
      </w:pPr>
      <w:r/>
      <w:bookmarkStart w:id="44" w:name="_Toc157775468"/>
      <w:r/>
      <w:r/>
    </w:p>
    <w:p>
      <w:pPr>
        <w:pStyle w:val="886"/>
        <w:ind w:firstLine="2875"/>
        <w:rPr>
          <w:rFonts w:hint="eastAsia" w:hAnsi="宋体"/>
          <w:b/>
          <w:color w:val="auto"/>
          <w:sz w:val="32"/>
          <w:szCs w:val="32"/>
          <w:highlight w:val="none"/>
        </w:rPr>
      </w:pPr>
      <w:r>
        <w:rPr>
          <w:rFonts w:hint="eastAsia" w:hAnsi="宋体"/>
          <w:b/>
          <w:color w:val="auto"/>
          <w:sz w:val="32"/>
          <w:szCs w:val="32"/>
          <w:highlight w:val="none"/>
        </w:rPr>
      </w:r>
      <w:r/>
    </w:p>
    <w:p>
      <w:pPr>
        <w:pStyle w:val="886"/>
        <w:rPr>
          <w:rFonts w:hint="eastAsia" w:hAnsi="宋体"/>
          <w:b/>
          <w:color w:val="auto"/>
          <w:sz w:val="32"/>
          <w:szCs w:val="32"/>
          <w:highlight w:val="none"/>
        </w:rPr>
      </w:pPr>
      <w:r>
        <w:rPr>
          <w:rFonts w:hint="eastAsia" w:hAnsi="宋体"/>
          <w:b/>
          <w:color w:val="auto"/>
          <w:sz w:val="32"/>
          <w:szCs w:val="32"/>
          <w:highlight w:val="none"/>
        </w:rPr>
      </w:r>
      <w:r/>
    </w:p>
    <w:p>
      <w:pPr>
        <w:pStyle w:val="886"/>
        <w:rPr>
          <w:rFonts w:hint="eastAsia" w:hAnsi="宋体"/>
          <w:b/>
          <w:color w:val="auto"/>
          <w:sz w:val="32"/>
          <w:szCs w:val="32"/>
          <w:highlight w:val="none"/>
        </w:rPr>
      </w:pPr>
      <w:r>
        <w:rPr>
          <w:rFonts w:hint="eastAsia" w:hAnsi="宋体"/>
          <w:b/>
          <w:color w:val="auto"/>
          <w:sz w:val="32"/>
          <w:szCs w:val="32"/>
          <w:highlight w:val="none"/>
        </w:rPr>
      </w:r>
      <w:r/>
    </w:p>
    <w:p>
      <w:pPr>
        <w:pStyle w:val="886"/>
        <w:ind w:firstLine="2875"/>
        <w:rPr>
          <w:rFonts w:hint="eastAsia" w:hAnsi="宋体"/>
          <w:b/>
          <w:color w:val="auto"/>
          <w:sz w:val="32"/>
          <w:szCs w:val="32"/>
          <w:highlight w:val="none"/>
        </w:rPr>
      </w:pPr>
      <w:r>
        <w:rPr>
          <w:rFonts w:hint="eastAsia" w:hAnsi="宋体"/>
          <w:b/>
          <w:color w:val="auto"/>
          <w:sz w:val="32"/>
          <w:szCs w:val="32"/>
          <w:highlight w:val="none"/>
        </w:rPr>
      </w:r>
      <w:r/>
    </w:p>
    <w:p>
      <w:pPr>
        <w:pStyle w:val="886"/>
        <w:ind w:firstLine="2875"/>
        <w:rPr>
          <w:rFonts w:hint="eastAsia" w:hAnsi="宋体"/>
          <w:b/>
          <w:color w:val="auto"/>
          <w:sz w:val="32"/>
          <w:szCs w:val="32"/>
          <w:highlight w:val="none"/>
        </w:rPr>
      </w:pPr>
      <w:r>
        <w:rPr>
          <w:rFonts w:hint="eastAsia" w:hAnsi="宋体"/>
          <w:b/>
          <w:color w:val="auto"/>
          <w:sz w:val="32"/>
          <w:szCs w:val="32"/>
          <w:highlight w:val="none"/>
        </w:rPr>
      </w:r>
      <w:r/>
    </w:p>
    <w:p>
      <w:pPr>
        <w:pStyle w:val="886"/>
        <w:rPr>
          <w:rFonts w:hint="eastAsia" w:hAnsi="宋体"/>
          <w:b/>
          <w:color w:val="auto"/>
          <w:sz w:val="32"/>
          <w:szCs w:val="32"/>
          <w:highlight w:val="none"/>
        </w:rPr>
      </w:pPr>
      <w:r>
        <w:rPr>
          <w:rFonts w:hint="eastAsia" w:hAnsi="宋体"/>
          <w:b/>
          <w:color w:val="auto"/>
          <w:sz w:val="32"/>
          <w:szCs w:val="32"/>
          <w:highlight w:val="none"/>
        </w:rPr>
      </w:r>
      <w:r/>
    </w:p>
    <w:p>
      <w:pPr>
        <w:pStyle w:val="886"/>
        <w:ind w:firstLine="2875"/>
        <w:rPr>
          <w:rFonts w:hint="eastAsia" w:hAnsi="宋体"/>
          <w:b/>
          <w:color w:val="auto"/>
          <w:sz w:val="32"/>
          <w:szCs w:val="32"/>
          <w:highlight w:val="none"/>
        </w:rPr>
      </w:pPr>
      <w:r>
        <w:rPr>
          <w:rFonts w:hint="eastAsia" w:hAnsi="宋体"/>
          <w:b/>
          <w:color w:val="auto"/>
          <w:sz w:val="32"/>
          <w:szCs w:val="32"/>
          <w:highlight w:val="none"/>
        </w:rPr>
      </w:r>
      <w:r/>
    </w:p>
    <w:p>
      <w:pPr>
        <w:pStyle w:val="887"/>
        <w:rPr>
          <w:rFonts w:hint="eastAsia"/>
        </w:rPr>
      </w:pPr>
      <w:r>
        <w:rPr>
          <w:rFonts w:hint="eastAsia"/>
        </w:rPr>
      </w:r>
      <w:r/>
    </w:p>
    <w:p>
      <w:pPr>
        <w:pStyle w:val="886"/>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86"/>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三、投标报价明细表</w:t>
      </w:r>
      <w:r/>
    </w:p>
    <w:p>
      <w:pPr>
        <w:pStyle w:val="886"/>
        <w:jc w:val="both"/>
        <w:spacing w:line="340" w:lineRule="exact"/>
        <w:rPr>
          <w:rFonts w:hint="default" w:ascii="仿宋" w:hAnsi="仿宋" w:eastAsia="仿宋" w:cs="Calibri"/>
          <w:b/>
          <w:bCs/>
          <w:color w:val="auto"/>
          <w:sz w:val="32"/>
          <w:szCs w:val="32"/>
          <w:highlight w:val="none"/>
          <w:lang w:val="en-US" w:eastAsia="zh-CN"/>
        </w:rPr>
      </w:pPr>
      <w:r>
        <w:rPr>
          <w:rFonts w:hint="eastAsia" w:ascii="仿宋" w:hAnsi="仿宋" w:eastAsia="仿宋" w:cs="Calibri"/>
          <w:color w:val="auto"/>
          <w:sz w:val="24"/>
          <w:szCs w:val="24"/>
          <w:highlight w:val="none"/>
          <w:lang w:val="en-US" w:eastAsia="zh-CN"/>
        </w:rPr>
        <w:t xml:space="preserve">                              </w:t>
      </w:r>
      <w:r>
        <w:rPr>
          <w:rFonts w:hint="eastAsia" w:ascii="仿宋" w:hAnsi="仿宋" w:eastAsia="仿宋" w:cs="Calibri"/>
          <w:b/>
          <w:bCs/>
          <w:color w:val="auto"/>
          <w:sz w:val="32"/>
          <w:szCs w:val="32"/>
          <w:highlight w:val="none"/>
          <w:lang w:val="en-US" w:eastAsia="zh-CN"/>
        </w:rPr>
        <w:t xml:space="preserve"> （详见采购需求）</w:t>
      </w:r>
      <w:r/>
    </w:p>
    <w:p>
      <w:pPr>
        <w:pStyle w:val="886"/>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6"/>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6"/>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t xml:space="preserve">备注：1</w:t>
      </w:r>
      <w:r>
        <w:rPr>
          <w:rFonts w:hint="eastAsia" w:ascii="仿宋" w:hAnsi="仿宋" w:eastAsia="仿宋"/>
          <w:color w:val="auto"/>
          <w:sz w:val="28"/>
          <w:szCs w:val="24"/>
          <w:highlight w:val="none"/>
        </w:rPr>
        <w:t xml:space="preserve">、投</w:t>
      </w:r>
      <w:r>
        <w:rPr>
          <w:rFonts w:ascii="仿宋" w:hAnsi="仿宋" w:eastAsia="仿宋"/>
          <w:color w:val="auto"/>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86"/>
        <w:ind w:firstLine="69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t xml:space="preserve">2</w:t>
      </w:r>
      <w:r>
        <w:rPr>
          <w:rFonts w:hint="eastAsia" w:ascii="仿宋" w:hAnsi="仿宋" w:eastAsia="仿宋"/>
          <w:color w:val="auto"/>
          <w:sz w:val="28"/>
          <w:szCs w:val="24"/>
          <w:highlight w:val="none"/>
        </w:rPr>
        <w:t xml:space="preserve">、</w:t>
      </w:r>
      <w:r>
        <w:rPr>
          <w:rFonts w:ascii="仿宋" w:hAnsi="仿宋" w:eastAsia="仿宋"/>
          <w:color w:val="auto"/>
          <w:sz w:val="28"/>
          <w:szCs w:val="24"/>
          <w:highlight w:val="none"/>
        </w:rPr>
        <w:t xml:space="preserve">“投标分项报价表”中“投标总报价”数额应当与“开标一览表”中“投标总报价”数额一致。</w:t>
      </w:r>
      <w:r/>
    </w:p>
    <w:p>
      <w:pPr>
        <w:pStyle w:val="886"/>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t xml:space="preserve"> </w:t>
      </w:r>
      <w:r/>
    </w:p>
    <w:p>
      <w:pPr>
        <w:pStyle w:val="886"/>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 </w:t>
      </w:r>
      <w:r>
        <w:rPr>
          <w:rFonts w:hint="eastAsia" w:ascii="仿宋" w:hAnsi="仿宋" w:eastAsia="仿宋"/>
          <w:color w:val="auto"/>
          <w:sz w:val="28"/>
          <w:szCs w:val="24"/>
          <w:highlight w:val="none"/>
        </w:rPr>
        <w:t xml:space="preserve">投标人：     （</w:t>
      </w:r>
      <w:r>
        <w:rPr>
          <w:rFonts w:hint="eastAsia" w:ascii="仿宋" w:hAnsi="仿宋" w:eastAsia="仿宋"/>
          <w:color w:val="auto"/>
          <w:sz w:val="28"/>
          <w:szCs w:val="24"/>
          <w:highlight w:val="none"/>
          <w:lang w:val="en-US" w:eastAsia="zh-CN"/>
        </w:rPr>
        <w:t xml:space="preserve">电子</w:t>
      </w:r>
      <w:r>
        <w:rPr>
          <w:rFonts w:hint="eastAsia" w:ascii="仿宋" w:hAnsi="仿宋" w:eastAsia="仿宋"/>
          <w:color w:val="auto"/>
          <w:sz w:val="28"/>
          <w:szCs w:val="24"/>
          <w:highlight w:val="none"/>
        </w:rPr>
        <w:t xml:space="preserve">签章）     </w:t>
      </w:r>
      <w:r/>
    </w:p>
    <w:p>
      <w:pPr>
        <w:pStyle w:val="886"/>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6"/>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日期：    年   月   日</w:t>
      </w:r>
      <w:r/>
    </w:p>
    <w:p>
      <w:pPr>
        <w:pStyle w:val="886"/>
        <w:ind w:firstLine="472"/>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highlight w:val="none"/>
        </w:rPr>
      </w:pPr>
      <w:r>
        <w:rPr>
          <w:rFonts w:hint="eastAsia"/>
          <w:highlight w:val="none"/>
        </w:rPr>
      </w:r>
      <w:r/>
    </w:p>
    <w:p>
      <w:pPr>
        <w:pStyle w:val="886"/>
        <w:jc w:val="both"/>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6"/>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t xml:space="preserve">四、技术要求</w:t>
      </w:r>
      <w:r>
        <w:rPr>
          <w:rFonts w:hint="eastAsia" w:ascii="仿宋" w:hAnsi="仿宋" w:eastAsia="仿宋"/>
          <w:b/>
          <w:color w:val="auto"/>
          <w:sz w:val="32"/>
          <w:szCs w:val="32"/>
          <w:highlight w:val="none"/>
        </w:rPr>
        <w:t xml:space="preserve">响应</w:t>
      </w:r>
      <w:r>
        <w:rPr>
          <w:rFonts w:hint="eastAsia" w:ascii="仿宋" w:hAnsi="仿宋" w:eastAsia="仿宋"/>
          <w:b/>
          <w:color w:val="auto"/>
          <w:sz w:val="32"/>
          <w:highlight w:val="none"/>
        </w:rPr>
        <w:t xml:space="preserve">偏离表</w:t>
      </w:r>
      <w:r/>
    </w:p>
    <w:tbl>
      <w:tblPr>
        <w:tblStyle w:val="881"/>
        <w:tblW w:w="88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项目采购需求中主要技术</w:t>
            </w:r>
            <w:r/>
          </w:p>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rPr>
                <w:rFonts w:hint="eastAsia" w:ascii="仿宋" w:hAnsi="仿宋" w:eastAsia="仿宋" w:cs="Arial"/>
                <w:color w:val="auto"/>
                <w:sz w:val="24"/>
                <w:highlight w:val="none"/>
              </w:rPr>
            </w:pPr>
            <w:r>
              <w:rPr>
                <w:rFonts w:ascii="仿宋" w:hAnsi="仿宋" w:eastAsia="仿宋" w:cs="Arial"/>
                <w:color w:val="auto"/>
                <w:sz w:val="24"/>
                <w:highlight w:val="none"/>
              </w:rPr>
              <w:t xml:space="preserve">偏离</w:t>
            </w:r>
            <w:r>
              <w:rPr>
                <w:rFonts w:hint="eastAsia" w:ascii="仿宋" w:hAnsi="仿宋" w:eastAsia="仿宋" w:cs="Arial"/>
                <w:color w:val="auto"/>
                <w:sz w:val="24"/>
                <w:highlight w:val="none"/>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bl>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）是否偏离用符号</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分别表示正偏离、完全响应、负偏离。</w:t>
      </w:r>
      <w:r>
        <w:rPr>
          <w:rFonts w:ascii="仿宋" w:hAnsi="仿宋" w:eastAsia="仿宋"/>
          <w:color w:val="auto"/>
          <w:sz w:val="28"/>
          <w:szCs w:val="28"/>
          <w:highlight w:val="none"/>
        </w:rPr>
        <w:t xml:space="preserve"> </w:t>
      </w:r>
      <w:r/>
    </w:p>
    <w:p>
      <w:pPr>
        <w:ind w:firstLine="420"/>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color w:val="auto"/>
          <w:sz w:val="32"/>
          <w:highlight w:val="none"/>
        </w:rPr>
      </w:pPr>
      <w:r>
        <w:rPr>
          <w:rFonts w:hint="eastAsia" w:ascii="宋体" w:hAnsi="宋体"/>
          <w:bCs/>
          <w:color w:val="auto"/>
          <w:sz w:val="32"/>
          <w:highlight w:val="none"/>
        </w:rPr>
      </w:r>
      <w:r/>
    </w:p>
    <w:p>
      <w:pPr>
        <w:pStyle w:val="885"/>
        <w:ind w:right="34"/>
        <w:jc w:val="both"/>
        <w:spacing w:before="120"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投标人：     （电子签章）     </w:t>
      </w:r>
      <w:r/>
    </w:p>
    <w:p>
      <w:pPr>
        <w:pStyle w:val="885"/>
        <w:ind w:right="34"/>
        <w:jc w:val="both"/>
        <w:spacing w:before="120" w:line="52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日期：    年   月   日</w:t>
      </w:r>
      <w:r/>
    </w:p>
    <w:p>
      <w:pPr>
        <w:pStyle w:val="885"/>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85"/>
        <w:ind w:right="34"/>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85"/>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85"/>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85"/>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85"/>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bookmarkEnd w:id="44"/>
      <w:r/>
      <w:r/>
    </w:p>
    <w:p>
      <w:pPr>
        <w:pStyle w:val="886"/>
        <w:numPr>
          <w:ilvl w:val="0"/>
          <w:numId w:val="12"/>
        </w:numPr>
        <w:ind w:left="522" w:firstLine="948"/>
        <w:spacing w:line="520" w:lineRule="exact"/>
        <w:rPr>
          <w:rFonts w:hint="eastAsia" w:ascii="仿宋" w:hAnsi="仿宋" w:eastAsia="仿宋"/>
          <w:b/>
          <w:bCs/>
          <w:color w:val="auto"/>
          <w:sz w:val="32"/>
          <w:szCs w:val="32"/>
          <w:highlight w:val="none"/>
        </w:rPr>
      </w:pP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rPr>
        <w:t xml:space="preserve">投标人必须提供的资格证明文件</w:t>
      </w:r>
      <w:r/>
    </w:p>
    <w:p>
      <w:pPr>
        <w:pStyle w:val="886"/>
        <w:numPr>
          <w:ilvl w:val="0"/>
          <w:numId w:val="0"/>
        </w:numPr>
        <w:ind w:firstLine="1606"/>
        <w:spacing w:line="52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t xml:space="preserve">（详见公告）</w:t>
      </w:r>
      <w:r/>
    </w:p>
    <w:p>
      <w:pPr>
        <w:pStyle w:val="886"/>
        <w:numPr>
          <w:ilvl w:val="0"/>
          <w:numId w:val="0"/>
        </w:num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11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根据本项目的特定资格要求，</w:t>
      </w:r>
      <w:r>
        <w:rPr>
          <w:rFonts w:hint="eastAsia" w:ascii="仿宋" w:hAnsi="仿宋" w:eastAsia="仿宋"/>
          <w:color w:val="auto"/>
          <w:sz w:val="28"/>
          <w:szCs w:val="28"/>
          <w:highlight w:val="none"/>
          <w:lang w:val="zh-CN"/>
        </w:rPr>
        <w:t xml:space="preserve">投标人还须提供下列资料</w:t>
      </w:r>
      <w:r>
        <w:rPr>
          <w:rFonts w:hint="eastAsia" w:ascii="仿宋" w:hAnsi="仿宋" w:eastAsia="仿宋"/>
          <w:color w:val="auto"/>
          <w:sz w:val="28"/>
          <w:szCs w:val="28"/>
          <w:highlight w:val="none"/>
        </w:rPr>
        <w:t xml:space="preserve">:</w:t>
      </w:r>
      <w:r/>
    </w:p>
    <w:p>
      <w:pPr>
        <w:ind w:firstLine="140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（详见公告）</w:t>
      </w:r>
      <w:r/>
    </w:p>
    <w:p>
      <w:pPr>
        <w:ind w:firstLine="1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left"/>
        <w:widowControl/>
        <w:rPr>
          <w:rFonts w:hint="eastAsia" w:ascii="宋体" w:hAnsi="宋体" w:eastAsia="宋体" w:cs="Arial"/>
          <w:b/>
          <w:bCs/>
          <w:color w:val="auto"/>
          <w:sz w:val="32"/>
          <w:highlight w:val="none"/>
          <w:lang w:val="en-US" w:eastAsia="zh-CN"/>
        </w:rPr>
      </w:pPr>
      <w:r>
        <w:rPr>
          <w:rFonts w:hint="eastAsia" w:ascii="宋体" w:hAnsi="宋体" w:eastAsia="宋体" w:cs="Arial"/>
          <w:b/>
          <w:bCs/>
          <w:color w:val="auto"/>
          <w:sz w:val="32"/>
          <w:highlight w:val="none"/>
          <w:lang w:val="en-US" w:eastAsia="zh-CN"/>
        </w:rPr>
      </w:r>
      <w:r/>
    </w:p>
    <w:p>
      <w:pPr>
        <w:ind w:firstLine="1428"/>
        <w:jc w:val="left"/>
        <w:spacing w:line="520" w:lineRule="exact"/>
        <w:widowControl/>
        <w:rPr>
          <w:rFonts w:hint="eastAsia" w:ascii="仿宋" w:hAnsi="仿宋" w:eastAsia="仿宋" w:cs="Arial"/>
          <w:b/>
          <w:bCs/>
          <w:color w:val="auto"/>
          <w:sz w:val="32"/>
          <w:highlight w:val="none"/>
        </w:rPr>
      </w:pPr>
      <w:r>
        <w:rPr>
          <w:rFonts w:ascii="宋体" w:hAnsi="宋体"/>
          <w:b/>
          <w:color w:val="auto"/>
          <w:sz w:val="36"/>
          <w:highlight w:val="none"/>
        </w:rPr>
        <w:br w:type="page" w:clear="all"/>
      </w:r>
      <w:bookmarkStart w:id="45" w:name="_Toc157775454"/>
      <w:r>
        <w:rPr>
          <w:rFonts w:hint="eastAsia" w:ascii="仿宋" w:hAnsi="仿宋" w:eastAsia="仿宋" w:cs="Arial"/>
          <w:b/>
          <w:bCs/>
          <w:color w:val="auto"/>
          <w:sz w:val="32"/>
          <w:highlight w:val="none"/>
        </w:rPr>
        <w:t xml:space="preserve">六、综合评分时投标人需提供的证明文件</w:t>
      </w:r>
      <w:r/>
    </w:p>
    <w:p>
      <w:pPr>
        <w:ind w:firstLine="840"/>
        <w:spacing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（供应商根据第三章评标标准的要求提供相关材料</w:t>
      </w:r>
      <w:r>
        <w:rPr>
          <w:rFonts w:hint="eastAsia" w:ascii="仿宋" w:hAnsi="仿宋" w:eastAsia="仿宋" w:cs="楷体_GB2312"/>
          <w:color w:val="auto"/>
          <w:sz w:val="28"/>
          <w:szCs w:val="28"/>
          <w:highlight w:val="none"/>
          <w:lang w:val="en-US" w:eastAsia="zh-CN"/>
        </w:rPr>
        <w:t xml:space="preserve">并电子签章</w:t>
      </w:r>
      <w:r>
        <w:rPr>
          <w:rFonts w:hint="eastAsia" w:ascii="仿宋" w:hAnsi="仿宋" w:eastAsia="仿宋" w:cs="楷体_GB2312"/>
          <w:color w:val="auto"/>
          <w:sz w:val="28"/>
          <w:szCs w:val="28"/>
          <w:highlight w:val="none"/>
          <w:lang w:val="zh-CN"/>
        </w:rPr>
        <w:t xml:space="preserve">）</w:t>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521"/>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七、示范格式</w:t>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bookmarkEnd w:id="45"/>
      <w:r/>
      <w:r/>
    </w:p>
    <w:p>
      <w:pPr>
        <w:ind w:firstLine="2891"/>
        <w:spacing w:line="640" w:lineRule="exact"/>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05"/>
        <w:ind w:left="4760" w:right="560" w:hanging="1820"/>
        <w:spacing w:before="0" w:after="0" w:line="52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注:投标人法定代表人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身份证扫描件加盖投标人电子签章。</w:t>
      </w:r>
      <w:r>
        <w:rPr>
          <w:rFonts w:hint="eastAsia" w:ascii="仿宋" w:hAnsi="仿宋" w:eastAsia="仿宋"/>
          <w:color w:val="auto"/>
          <w:sz w:val="28"/>
          <w:szCs w:val="28"/>
          <w:highlight w:val="none"/>
        </w:rPr>
        <w:t xml:space="preserve">法定代表人授权其他人参加投标的，仅需填写“授权委托书”。</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spacing w:line="520" w:lineRule="exact"/>
        <w:rPr>
          <w:rFonts w:hint="eastAsia" w:ascii="仿宋" w:hAnsi="仿宋" w:eastAsia="仿宋"/>
          <w:bCs/>
          <w:color w:val="auto"/>
          <w:sz w:val="30"/>
          <w:szCs w:val="28"/>
          <w:highlight w:val="none"/>
        </w:rPr>
      </w:pPr>
      <w:r>
        <w:rPr>
          <w:rFonts w:hint="eastAsia" w:ascii="仿宋" w:hAnsi="仿宋" w:eastAsia="仿宋"/>
          <w:bCs/>
          <w:color w:val="auto"/>
          <w:sz w:val="30"/>
          <w:szCs w:val="28"/>
          <w:highlight w:val="none"/>
        </w:rPr>
        <w:t xml:space="preserve">致淮安市政府采购中心:</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代表我公司参加淮安市政府采购中心组织的（项目编号: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spacing w:line="52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注:投标人委托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件加盖投标人电子签章。</w:t>
      </w:r>
      <w:r>
        <w:rPr>
          <w:rFonts w:hint="eastAsia" w:ascii="仿宋" w:hAnsi="仿宋" w:eastAsia="仿宋"/>
          <w:color w:val="auto"/>
          <w:sz w:val="28"/>
          <w:szCs w:val="28"/>
          <w:highlight w:val="none"/>
        </w:rPr>
        <w:t xml:space="preserve">法定代表人直接参加投标的，仅需填写“法定代表人资格证明”。</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lang w:eastAsia="zh-CN"/>
        </w:rPr>
      </w:pPr>
      <w:r>
        <w:rPr>
          <w:rFonts w:hint="eastAsia" w:ascii="仿宋" w:hAnsi="仿宋" w:eastAsia="仿宋"/>
          <w:b/>
          <w:bCs/>
          <w:color w:val="auto"/>
          <w:sz w:val="32"/>
          <w:highlight w:val="none"/>
          <w:lang w:val="en-US" w:eastAsia="zh-CN"/>
        </w:rPr>
        <w:t xml:space="preserve">承诺书</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（采购单位）          ：</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我公司参加贵中心组织实施的（项目编号: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jc w:val="right"/>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olor w:val="auto"/>
          <w:sz w:val="28"/>
          <w:szCs w:val="28"/>
          <w:highlight w:val="none"/>
        </w:rPr>
        <w:t xml:space="preserve">承诺人</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rPr>
          <w:rFonts w:hint="eastAsia" w:ascii="仿宋" w:hAnsi="仿宋" w:eastAsia="仿宋"/>
          <w:color w:val="auto"/>
          <w:sz w:val="28"/>
          <w:szCs w:val="28"/>
          <w:highlight w:val="none"/>
        </w:rPr>
        <w:t xml:space="preserve">                                           </w:t>
      </w:r>
      <w:r/>
    </w:p>
    <w:p>
      <w:pPr>
        <w:numPr>
          <w:ilvl w:val="0"/>
          <w:numId w:val="13"/>
        </w:numPr>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企业声明函（货物类）</w:t>
      </w:r>
      <w:r/>
    </w:p>
    <w:p>
      <w:pPr>
        <w:pStyle w:val="882"/>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（采购单位）          ：</w:t>
      </w:r>
      <w:r/>
    </w:p>
    <w:p>
      <w:pPr>
        <w:pStyle w:val="882"/>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r/>
    </w:p>
    <w:p>
      <w:pPr>
        <w:pStyle w:val="882"/>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 xml:space="preserve">（标的名称）</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 xml:space="preserve">（采购文件中明确的所属行业）</w:t>
      </w:r>
      <w:r>
        <w:rPr>
          <w:rFonts w:hint="eastAsia" w:ascii="仿宋" w:hAnsi="仿宋" w:eastAsia="仿宋"/>
          <w:bCs/>
          <w:color w:val="auto"/>
          <w:sz w:val="28"/>
          <w:szCs w:val="28"/>
          <w:highlight w:val="none"/>
        </w:rPr>
        <w:t xml:space="preserve">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82"/>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 （标的名称）</w:t>
      </w:r>
      <w:r>
        <w:rPr>
          <w:rFonts w:hint="eastAsia" w:ascii="仿宋" w:hAnsi="仿宋" w:eastAsia="仿宋"/>
          <w:bCs/>
          <w:color w:val="auto"/>
          <w:sz w:val="28"/>
          <w:szCs w:val="28"/>
          <w:highlight w:val="none"/>
        </w:rPr>
        <w:t xml:space="preserve"> ，属于（采购文件中明确的所属行业）行业；制造商为（企业名称），从业人员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82"/>
        <w:ind w:firstLine="560"/>
        <w:spacing w:line="600" w:lineRule="exact"/>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882"/>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82"/>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82"/>
        <w:ind w:firstLine="0"/>
        <w:spacing w:line="60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注：从业人员、营业收入、资产总额填报上一年度数据，无上一年度数据的新成立企业可不填报。</w:t>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82"/>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82"/>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示范格式五</w:t>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（采购单位）          ：</w:t>
      </w:r>
      <w:r/>
    </w:p>
    <w:p>
      <w:pPr>
        <w:pStyle w:val="882"/>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82"/>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82"/>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82"/>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82"/>
        <w:ind w:firstLine="560"/>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888"/>
        <w:rPr>
          <w:rFonts w:hint="eastAsia" w:ascii="宋体" w:hAnsi="宋体"/>
          <w:b/>
          <w:color w:val="auto"/>
          <w:sz w:val="30"/>
          <w:szCs w:val="30"/>
          <w:highlight w:val="none"/>
        </w:rPr>
      </w:pPr>
      <w:r>
        <w:rPr>
          <w:rFonts w:hint="eastAsia" w:ascii="宋体" w:hAnsi="宋体"/>
          <w:b/>
          <w:color w:val="auto"/>
          <w:sz w:val="30"/>
          <w:szCs w:val="30"/>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r>
      <w:r/>
    </w:p>
    <w:p>
      <w:pPr>
        <w:rPr>
          <w:b/>
          <w:bCs/>
          <w:highlight w:val="none"/>
        </w:rPr>
      </w:pPr>
      <w:r>
        <w:rPr>
          <w:b/>
          <w:bCs/>
          <w:highlight w:val="none"/>
        </w:rPr>
      </w:r>
      <w:r/>
    </w:p>
    <w:sectPr>
      <w:headerReference w:type="default" r:id="rId9"/>
      <w:footerReference w:type="default" r:id="rId10"/>
      <w:footerReference w:type="even" r:id="rId11"/>
      <w:footnotePr/>
      <w:endnotePr/>
      <w:type w:val="nextPage"/>
      <w:pgSz w:w="11906" w:h="16838" w:orient="portrait"/>
      <w:pgMar w:top="1383" w:right="1080" w:bottom="1383"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华文彩云">
    <w:panose1 w:val="02010800040101010101"/>
  </w:font>
  <w:font w:name="华文行楷">
    <w:panose1 w:val="02010800040101010101"/>
  </w:font>
  <w:font w:name="等线">
    <w:panose1 w:val="02010600030101010101"/>
  </w:font>
  <w:font w:name="仿宋">
    <w:panose1 w:val="02010609060101010101"/>
  </w:font>
  <w:font w:name="PingFang SC">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894"/>
      </w:rPr>
      <w:framePr w:wrap="around" w:vAnchor="text" w:hAnchor="margin" w:xAlign="center" w:y="1"/>
    </w:pPr>
    <w:r>
      <w:fldChar w:fldCharType="begin"/>
    </w:r>
    <w:r>
      <w:rPr>
        <w:rStyle w:val="894"/>
      </w:rPr>
      <w:instrText xml:space="preserve">PAGE  </w:instrText>
    </w:r>
    <w:r>
      <w:fldChar w:fldCharType="separate"/>
    </w:r>
    <w:r>
      <w:rPr>
        <w:rStyle w:val="894"/>
      </w:rPr>
      <w:t xml:space="preserve">50</w:t>
    </w:r>
    <w:r>
      <w:fldChar w:fldCharType="end"/>
    </w:r>
    <w:r/>
  </w:p>
  <w:p>
    <w:pPr>
      <w:pStyle w:val="8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894"/>
      </w:rPr>
      <w:framePr w:wrap="around" w:vAnchor="text" w:hAnchor="margin" w:xAlign="center" w:y="1"/>
    </w:pPr>
    <w:r>
      <w:fldChar w:fldCharType="begin"/>
    </w:r>
    <w:r>
      <w:rPr>
        <w:rStyle w:val="894"/>
      </w:rPr>
      <w:instrText xml:space="preserve">PAGE  </w:instrTex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ind w:left="5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4"/>
  </w:num>
  <w:num w:numId="4">
    <w:abstractNumId w:val="8"/>
  </w:num>
  <w:num w:numId="5">
    <w:abstractNumId w:val="0"/>
  </w:num>
  <w:num w:numId="6">
    <w:abstractNumId w:val="5"/>
  </w:num>
  <w:num w:numId="7">
    <w:abstractNumId w:val="1"/>
  </w:num>
  <w:num w:numId="8">
    <w:abstractNumId w:val="12"/>
  </w:num>
  <w:num w:numId="9">
    <w:abstractNumId w:val="7"/>
  </w:num>
  <w:num w:numId="10">
    <w:abstractNumId w:val="3"/>
  </w:num>
  <w:num w:numId="11">
    <w:abstractNumId w:val="11"/>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77"/>
    <w:next w:val="877"/>
    <w:link w:val="706"/>
    <w:uiPriority w:val="9"/>
    <w:qFormat/>
    <w:pPr>
      <w:keepLines/>
      <w:keepNext/>
      <w:spacing w:before="480" w:after="200"/>
      <w:outlineLvl w:val="0"/>
    </w:pPr>
    <w:rPr>
      <w:rFonts w:ascii="Arial" w:hAnsi="Arial" w:eastAsia="Arial" w:cs="Arial"/>
      <w:sz w:val="40"/>
      <w:szCs w:val="40"/>
    </w:rPr>
  </w:style>
  <w:style w:type="character" w:styleId="706">
    <w:name w:val="Heading 1 Char"/>
    <w:basedOn w:val="880"/>
    <w:link w:val="705"/>
    <w:uiPriority w:val="9"/>
    <w:rPr>
      <w:rFonts w:ascii="Arial" w:hAnsi="Arial" w:eastAsia="Arial" w:cs="Arial"/>
      <w:sz w:val="40"/>
      <w:szCs w:val="40"/>
    </w:rPr>
  </w:style>
  <w:style w:type="character" w:styleId="707">
    <w:name w:val="Heading 2 Char"/>
    <w:basedOn w:val="880"/>
    <w:link w:val="878"/>
    <w:uiPriority w:val="9"/>
    <w:rPr>
      <w:rFonts w:ascii="Arial" w:hAnsi="Arial" w:eastAsia="Arial" w:cs="Arial"/>
      <w:sz w:val="34"/>
    </w:rPr>
  </w:style>
  <w:style w:type="character" w:styleId="708">
    <w:name w:val="Heading 3 Char"/>
    <w:basedOn w:val="880"/>
    <w:link w:val="879"/>
    <w:uiPriority w:val="9"/>
    <w:rPr>
      <w:rFonts w:ascii="Arial" w:hAnsi="Arial" w:eastAsia="Arial" w:cs="Arial"/>
      <w:sz w:val="30"/>
      <w:szCs w:val="30"/>
    </w:rPr>
  </w:style>
  <w:style w:type="paragraph" w:styleId="709">
    <w:name w:val="Heading 4"/>
    <w:basedOn w:val="877"/>
    <w:next w:val="877"/>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basedOn w:val="880"/>
    <w:link w:val="709"/>
    <w:uiPriority w:val="9"/>
    <w:rPr>
      <w:rFonts w:ascii="Arial" w:hAnsi="Arial" w:eastAsia="Arial" w:cs="Arial"/>
      <w:b/>
      <w:bCs/>
      <w:sz w:val="26"/>
      <w:szCs w:val="26"/>
    </w:rPr>
  </w:style>
  <w:style w:type="paragraph" w:styleId="711">
    <w:name w:val="Heading 5"/>
    <w:basedOn w:val="877"/>
    <w:next w:val="877"/>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basedOn w:val="880"/>
    <w:link w:val="711"/>
    <w:uiPriority w:val="9"/>
    <w:rPr>
      <w:rFonts w:ascii="Arial" w:hAnsi="Arial" w:eastAsia="Arial" w:cs="Arial"/>
      <w:b/>
      <w:bCs/>
      <w:sz w:val="24"/>
      <w:szCs w:val="24"/>
    </w:rPr>
  </w:style>
  <w:style w:type="paragraph" w:styleId="713">
    <w:name w:val="Heading 6"/>
    <w:basedOn w:val="877"/>
    <w:next w:val="877"/>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basedOn w:val="880"/>
    <w:link w:val="713"/>
    <w:uiPriority w:val="9"/>
    <w:rPr>
      <w:rFonts w:ascii="Arial" w:hAnsi="Arial" w:eastAsia="Arial" w:cs="Arial"/>
      <w:b/>
      <w:bCs/>
      <w:sz w:val="22"/>
      <w:szCs w:val="22"/>
    </w:rPr>
  </w:style>
  <w:style w:type="paragraph" w:styleId="715">
    <w:name w:val="Heading 7"/>
    <w:basedOn w:val="877"/>
    <w:next w:val="877"/>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basedOn w:val="880"/>
    <w:link w:val="715"/>
    <w:uiPriority w:val="9"/>
    <w:rPr>
      <w:rFonts w:ascii="Arial" w:hAnsi="Arial" w:eastAsia="Arial" w:cs="Arial"/>
      <w:b/>
      <w:bCs/>
      <w:i/>
      <w:iCs/>
      <w:sz w:val="22"/>
      <w:szCs w:val="22"/>
    </w:rPr>
  </w:style>
  <w:style w:type="paragraph" w:styleId="717">
    <w:name w:val="Heading 8"/>
    <w:basedOn w:val="877"/>
    <w:next w:val="877"/>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basedOn w:val="880"/>
    <w:link w:val="717"/>
    <w:uiPriority w:val="9"/>
    <w:rPr>
      <w:rFonts w:ascii="Arial" w:hAnsi="Arial" w:eastAsia="Arial" w:cs="Arial"/>
      <w:i/>
      <w:iCs/>
      <w:sz w:val="22"/>
      <w:szCs w:val="22"/>
    </w:rPr>
  </w:style>
  <w:style w:type="paragraph" w:styleId="719">
    <w:name w:val="Heading 9"/>
    <w:basedOn w:val="877"/>
    <w:next w:val="877"/>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basedOn w:val="880"/>
    <w:link w:val="719"/>
    <w:uiPriority w:val="9"/>
    <w:rPr>
      <w:rFonts w:ascii="Arial" w:hAnsi="Arial" w:eastAsia="Arial" w:cs="Arial"/>
      <w:i/>
      <w:iCs/>
      <w:sz w:val="21"/>
      <w:szCs w:val="21"/>
    </w:rPr>
  </w:style>
  <w:style w:type="paragraph" w:styleId="721">
    <w:name w:val="List Paragraph"/>
    <w:basedOn w:val="877"/>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77"/>
    <w:next w:val="877"/>
    <w:link w:val="724"/>
    <w:uiPriority w:val="10"/>
    <w:qFormat/>
    <w:pPr>
      <w:contextualSpacing/>
      <w:spacing w:before="300" w:after="200"/>
    </w:pPr>
    <w:rPr>
      <w:sz w:val="48"/>
      <w:szCs w:val="48"/>
    </w:rPr>
  </w:style>
  <w:style w:type="character" w:styleId="724">
    <w:name w:val="Title Char"/>
    <w:basedOn w:val="880"/>
    <w:link w:val="723"/>
    <w:uiPriority w:val="10"/>
    <w:rPr>
      <w:sz w:val="48"/>
      <w:szCs w:val="48"/>
    </w:rPr>
  </w:style>
  <w:style w:type="paragraph" w:styleId="725">
    <w:name w:val="Subtitle"/>
    <w:basedOn w:val="877"/>
    <w:next w:val="877"/>
    <w:link w:val="726"/>
    <w:uiPriority w:val="11"/>
    <w:qFormat/>
    <w:pPr>
      <w:spacing w:before="200" w:after="200"/>
    </w:pPr>
    <w:rPr>
      <w:sz w:val="24"/>
      <w:szCs w:val="24"/>
    </w:rPr>
  </w:style>
  <w:style w:type="character" w:styleId="726">
    <w:name w:val="Subtitle Char"/>
    <w:basedOn w:val="880"/>
    <w:link w:val="725"/>
    <w:uiPriority w:val="11"/>
    <w:rPr>
      <w:sz w:val="24"/>
      <w:szCs w:val="24"/>
    </w:rPr>
  </w:style>
  <w:style w:type="paragraph" w:styleId="727">
    <w:name w:val="Quote"/>
    <w:basedOn w:val="877"/>
    <w:next w:val="877"/>
    <w:link w:val="728"/>
    <w:uiPriority w:val="29"/>
    <w:qFormat/>
    <w:pPr>
      <w:ind w:left="720" w:right="720"/>
    </w:pPr>
    <w:rPr>
      <w:i/>
    </w:rPr>
  </w:style>
  <w:style w:type="character" w:styleId="728">
    <w:name w:val="Quote Char"/>
    <w:link w:val="727"/>
    <w:uiPriority w:val="29"/>
    <w:rPr>
      <w:i/>
    </w:rPr>
  </w:style>
  <w:style w:type="paragraph" w:styleId="729">
    <w:name w:val="Intense Quote"/>
    <w:basedOn w:val="877"/>
    <w:next w:val="877"/>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80"/>
    <w:link w:val="889"/>
    <w:uiPriority w:val="99"/>
  </w:style>
  <w:style w:type="character" w:styleId="732">
    <w:name w:val="Footer Char"/>
    <w:basedOn w:val="880"/>
    <w:link w:val="888"/>
    <w:uiPriority w:val="99"/>
  </w:style>
  <w:style w:type="paragraph" w:styleId="733">
    <w:name w:val="Caption"/>
    <w:basedOn w:val="877"/>
    <w:next w:val="877"/>
    <w:uiPriority w:val="35"/>
    <w:semiHidden/>
    <w:unhideWhenUsed/>
    <w:qFormat/>
    <w:pPr>
      <w:spacing w:line="276" w:lineRule="auto"/>
    </w:pPr>
    <w:rPr>
      <w:b/>
      <w:bCs/>
      <w:color w:val="4f81bd" w:themeColor="accent1"/>
      <w:sz w:val="18"/>
      <w:szCs w:val="18"/>
    </w:rPr>
  </w:style>
  <w:style w:type="character" w:styleId="734">
    <w:name w:val="Caption Char"/>
    <w:basedOn w:val="733"/>
    <w:link w:val="888"/>
    <w:uiPriority w:val="99"/>
  </w:style>
  <w:style w:type="table" w:styleId="735">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7"/>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basedOn w:val="880"/>
    <w:uiPriority w:val="99"/>
    <w:unhideWhenUsed/>
    <w:rPr>
      <w:vertAlign w:val="superscript"/>
    </w:rPr>
  </w:style>
  <w:style w:type="paragraph" w:styleId="864">
    <w:name w:val="endnote text"/>
    <w:basedOn w:val="877"/>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basedOn w:val="880"/>
    <w:uiPriority w:val="99"/>
    <w:semiHidden/>
    <w:unhideWhenUsed/>
    <w:rPr>
      <w:vertAlign w:val="superscript"/>
    </w:rPr>
  </w:style>
  <w:style w:type="paragraph" w:styleId="867">
    <w:name w:val="toc 1"/>
    <w:basedOn w:val="877"/>
    <w:next w:val="877"/>
    <w:uiPriority w:val="39"/>
    <w:unhideWhenUsed/>
    <w:pPr>
      <w:ind w:left="0" w:right="0" w:firstLine="0"/>
      <w:spacing w:after="57"/>
    </w:pPr>
  </w:style>
  <w:style w:type="paragraph" w:styleId="868">
    <w:name w:val="toc 2"/>
    <w:basedOn w:val="877"/>
    <w:next w:val="877"/>
    <w:uiPriority w:val="39"/>
    <w:unhideWhenUsed/>
    <w:pPr>
      <w:ind w:left="283" w:right="0" w:firstLine="0"/>
      <w:spacing w:after="57"/>
    </w:pPr>
  </w:style>
  <w:style w:type="paragraph" w:styleId="869">
    <w:name w:val="toc 3"/>
    <w:basedOn w:val="877"/>
    <w:next w:val="877"/>
    <w:uiPriority w:val="39"/>
    <w:unhideWhenUsed/>
    <w:pPr>
      <w:ind w:left="567" w:right="0" w:firstLine="0"/>
      <w:spacing w:after="57"/>
    </w:pPr>
  </w:style>
  <w:style w:type="paragraph" w:styleId="870">
    <w:name w:val="toc 4"/>
    <w:basedOn w:val="877"/>
    <w:next w:val="877"/>
    <w:uiPriority w:val="39"/>
    <w:unhideWhenUsed/>
    <w:pPr>
      <w:ind w:left="850" w:right="0" w:firstLine="0"/>
      <w:spacing w:after="57"/>
    </w:pPr>
  </w:style>
  <w:style w:type="paragraph" w:styleId="871">
    <w:name w:val="toc 5"/>
    <w:basedOn w:val="877"/>
    <w:next w:val="877"/>
    <w:uiPriority w:val="39"/>
    <w:unhideWhenUsed/>
    <w:pPr>
      <w:ind w:left="1134"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8">
    <w:name w:val="Heading 2"/>
    <w:basedOn w:val="877"/>
    <w:next w:val="877"/>
    <w:uiPriority w:val="9"/>
    <w:qFormat/>
    <w:pPr>
      <w:keepLines/>
      <w:keepNext/>
      <w:spacing w:before="260" w:after="260" w:line="413" w:lineRule="auto"/>
      <w:outlineLvl w:val="1"/>
    </w:pPr>
    <w:rPr>
      <w:rFonts w:ascii="Arial" w:hAnsi="Arial" w:eastAsia="黑体"/>
      <w:b/>
      <w:sz w:val="32"/>
      <w:szCs w:val="20"/>
    </w:rPr>
  </w:style>
  <w:style w:type="paragraph" w:styleId="879">
    <w:name w:val="Heading 3"/>
    <w:basedOn w:val="877"/>
    <w:next w:val="877"/>
    <w:uiPriority w:val="9"/>
    <w:qFormat/>
    <w:pPr>
      <w:keepLines/>
      <w:keepNext/>
      <w:spacing w:before="260" w:after="260" w:line="413" w:lineRule="auto"/>
      <w:outlineLvl w:val="2"/>
    </w:pPr>
    <w:rPr>
      <w:rFonts w:ascii="Arial" w:hAnsi="Arial"/>
      <w:b/>
      <w:sz w:val="32"/>
      <w:szCs w:val="20"/>
    </w:rPr>
  </w:style>
  <w:style w:type="character" w:styleId="880" w:default="1">
    <w:name w:val="Default Paragraph Font"/>
    <w:uiPriority w:val="0"/>
    <w:qFormat/>
  </w:style>
  <w:style w:type="table" w:styleId="881" w:default="1">
    <w:name w:val="Normal Table"/>
    <w:uiPriority w:val="0"/>
    <w:qFormat/>
    <w:tblPr>
      <w:tblCellMar>
        <w:left w:w="108" w:type="dxa"/>
        <w:top w:w="0" w:type="dxa"/>
        <w:right w:w="108" w:type="dxa"/>
        <w:bottom w:w="0" w:type="dxa"/>
      </w:tblCellMar>
    </w:tblPr>
  </w:style>
  <w:style w:type="paragraph" w:styleId="882">
    <w:name w:val="Normal Indent"/>
    <w:basedOn w:val="877"/>
    <w:uiPriority w:val="0"/>
    <w:qFormat/>
    <w:pPr>
      <w:ind w:firstLine="420"/>
    </w:pPr>
    <w:rPr>
      <w:szCs w:val="20"/>
    </w:rPr>
  </w:style>
  <w:style w:type="paragraph" w:styleId="883">
    <w:name w:val="Body Text Indent"/>
    <w:basedOn w:val="877"/>
    <w:next w:val="884"/>
    <w:uiPriority w:val="0"/>
    <w:qFormat/>
    <w:pPr>
      <w:ind w:firstLine="630"/>
    </w:pPr>
    <w:rPr>
      <w:rFonts w:ascii="楷体_GB2312" w:eastAsia="楷体_GB2312"/>
      <w:sz w:val="32"/>
      <w:szCs w:val="20"/>
    </w:rPr>
  </w:style>
  <w:style w:type="paragraph" w:styleId="884">
    <w:name w:val="envelope return"/>
    <w:basedOn w:val="877"/>
    <w:uiPriority w:val="0"/>
    <w:qFormat/>
    <w:rPr>
      <w:rFonts w:ascii="Arial" w:hAnsi="Arial"/>
    </w:rPr>
  </w:style>
  <w:style w:type="paragraph" w:styleId="885">
    <w:name w:val="Block Text"/>
    <w:basedOn w:val="877"/>
    <w:uiPriority w:val="0"/>
    <w:qFormat/>
    <w:pPr>
      <w:ind w:left="420" w:right="33"/>
      <w:jc w:val="left"/>
    </w:pPr>
    <w:rPr>
      <w:sz w:val="24"/>
      <w:szCs w:val="20"/>
    </w:rPr>
  </w:style>
  <w:style w:type="paragraph" w:styleId="886">
    <w:name w:val="Plain Text"/>
    <w:basedOn w:val="877"/>
    <w:next w:val="887"/>
    <w:uiPriority w:val="0"/>
    <w:qFormat/>
    <w:rPr>
      <w:rFonts w:ascii="宋体" w:hAnsi="Courier New"/>
      <w:szCs w:val="20"/>
    </w:rPr>
  </w:style>
  <w:style w:type="paragraph" w:styleId="887">
    <w:name w:val="toc 6"/>
    <w:basedOn w:val="877"/>
    <w:next w:val="877"/>
    <w:uiPriority w:val="0"/>
    <w:qFormat/>
    <w:pPr>
      <w:ind w:left="1700"/>
      <w:spacing w:before="100" w:beforeAutospacing="1" w:after="100" w:afterAutospacing="1"/>
    </w:pPr>
    <w:rPr>
      <w:rFonts w:ascii="宋体" w:cs="宋体"/>
    </w:rPr>
  </w:style>
  <w:style w:type="paragraph" w:styleId="888">
    <w:name w:val="Footer"/>
    <w:basedOn w:val="877"/>
    <w:next w:val="877"/>
    <w:uiPriority w:val="0"/>
    <w:qFormat/>
    <w:pPr>
      <w:jc w:val="left"/>
      <w:tabs>
        <w:tab w:val="center" w:pos="4153" w:leader="none"/>
        <w:tab w:val="right" w:pos="8306" w:leader="none"/>
      </w:tabs>
    </w:pPr>
    <w:rPr>
      <w:sz w:val="18"/>
      <w:szCs w:val="18"/>
    </w:rPr>
  </w:style>
  <w:style w:type="paragraph" w:styleId="889">
    <w:name w:val="Header"/>
    <w:basedOn w:val="877"/>
    <w:uiPriority w:val="0"/>
    <w:qFormat/>
    <w:pPr>
      <w:jc w:val="center"/>
      <w:tabs>
        <w:tab w:val="center" w:pos="4153" w:leader="none"/>
        <w:tab w:val="right" w:pos="8306" w:leader="none"/>
      </w:tabs>
      <w:pBdr>
        <w:bottom w:val="single" w:color="auto" w:sz="6" w:space="1"/>
      </w:pBdr>
    </w:pPr>
    <w:rPr>
      <w:sz w:val="18"/>
      <w:szCs w:val="18"/>
    </w:rPr>
  </w:style>
  <w:style w:type="paragraph" w:styleId="890">
    <w:name w:val="Normal (Web)"/>
    <w:basedOn w:val="877"/>
    <w:uiPriority w:val="0"/>
    <w:qFormat/>
    <w:pPr>
      <w:ind w:left="0" w:right="0"/>
      <w:jc w:val="left"/>
      <w:spacing w:before="100" w:beforeAutospacing="1" w:after="100" w:afterAutospacing="1"/>
    </w:pPr>
    <w:rPr>
      <w:sz w:val="24"/>
      <w:lang w:val="en-US" w:eastAsia="zh-CN"/>
    </w:rPr>
  </w:style>
  <w:style w:type="paragraph" w:styleId="891">
    <w:name w:val="Body Text First Indent 2"/>
    <w:basedOn w:val="883"/>
    <w:next w:val="892"/>
    <w:uiPriority w:val="0"/>
    <w:qFormat/>
    <w:pPr>
      <w:ind w:left="420" w:firstLine="420"/>
      <w:spacing w:after="120"/>
      <w:widowControl/>
    </w:pPr>
    <w:rPr>
      <w:rFonts w:ascii="仿宋_GB2312" w:eastAsia="仿宋_GB2312"/>
      <w:color w:val="ff6600"/>
      <w:sz w:val="21"/>
    </w:rPr>
  </w:style>
  <w:style w:type="paragraph" w:styleId="892" w:customStyle="1">
    <w:name w:val="Default"/>
    <w:uiPriority w:val="0"/>
    <w:qFormat/>
    <w:pPr>
      <w:widowControl w:val="off"/>
    </w:pPr>
    <w:rPr>
      <w:rFonts w:ascii="仿宋" w:hAnsi="Times New Roman" w:eastAsia="仿宋" w:cs="仿宋"/>
      <w:color w:val="000000"/>
      <w:sz w:val="24"/>
      <w:szCs w:val="24"/>
      <w:lang w:val="en-US" w:eastAsia="zh-CN" w:bidi="ar-SA"/>
    </w:rPr>
  </w:style>
  <w:style w:type="table" w:styleId="893">
    <w:name w:val="Table Grid"/>
    <w:basedOn w:val="88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4">
    <w:name w:val="page number"/>
    <w:uiPriority w:val="0"/>
    <w:qFormat/>
  </w:style>
  <w:style w:type="paragraph" w:styleId="895" w:customStyle="1">
    <w:name w:val="正文文本11"/>
    <w:basedOn w:val="87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96" w:customStyle="1">
    <w:name w:val="段"/>
    <w:next w:val="877"/>
    <w:uiPriority w:val="0"/>
    <w:qFormat/>
    <w:pPr>
      <w:ind w:firstLine="200"/>
      <w:jc w:val="both"/>
    </w:pPr>
    <w:rPr>
      <w:rFonts w:hint="default" w:ascii="宋体" w:hAnsi="Times New Roman" w:eastAsia="宋体" w:cs="Times New Roman"/>
      <w:sz w:val="21"/>
      <w:lang w:val="en-US" w:eastAsia="zh-CN" w:bidi="ar-SA"/>
    </w:rPr>
  </w:style>
  <w:style w:type="paragraph" w:styleId="897" w:customStyle="1">
    <w:name w:val="正文1"/>
    <w:next w:val="877"/>
    <w:uiPriority w:val="0"/>
    <w:qFormat/>
    <w:pPr>
      <w:jc w:val="both"/>
    </w:pPr>
    <w:rPr>
      <w:rFonts w:ascii="Calibri" w:hAnsi="Calibri" w:eastAsia="宋体" w:cs="宋体"/>
      <w:sz w:val="21"/>
      <w:szCs w:val="21"/>
      <w:lang w:val="en-US" w:eastAsia="zh-CN" w:bidi="ar-SA"/>
    </w:rPr>
  </w:style>
  <w:style w:type="paragraph" w:styleId="898" w:customStyle="1">
    <w:name w:val="正文首行缩进 21"/>
    <w:basedOn w:val="899"/>
    <w:next w:val="892"/>
    <w:uiPriority w:val="0"/>
    <w:qFormat/>
    <w:pPr>
      <w:ind w:left="420" w:firstLine="420"/>
      <w:spacing w:after="120"/>
      <w:widowControl/>
    </w:pPr>
    <w:rPr>
      <w:rFonts w:ascii="仿宋_GB2312" w:eastAsia="仿宋_GB2312"/>
      <w:color w:val="ff6600"/>
      <w:sz w:val="21"/>
    </w:rPr>
  </w:style>
  <w:style w:type="paragraph" w:styleId="899" w:customStyle="1">
    <w:name w:val="正文文本缩进1"/>
    <w:basedOn w:val="877"/>
    <w:uiPriority w:val="0"/>
    <w:qFormat/>
    <w:pPr>
      <w:ind w:firstLine="630"/>
    </w:pPr>
    <w:rPr>
      <w:rFonts w:ascii="楷体_GB2312" w:eastAsia="楷体_GB2312"/>
      <w:sz w:val="32"/>
      <w:szCs w:val="20"/>
    </w:rPr>
  </w:style>
  <w:style w:type="paragraph" w:styleId="900" w:customStyle="1">
    <w:name w:val="寄信人地址1"/>
    <w:basedOn w:val="877"/>
    <w:uiPriority w:val="0"/>
    <w:qFormat/>
    <w:rPr>
      <w:rFonts w:ascii="Arial" w:hAnsi="Arial"/>
    </w:rPr>
  </w:style>
  <w:style w:type="paragraph" w:styleId="901"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902" w:customStyle="1">
    <w:name w:val="标题 211"/>
    <w:basedOn w:val="877"/>
    <w:next w:val="877"/>
    <w:uiPriority w:val="0"/>
    <w:qFormat/>
    <w:pPr>
      <w:jc w:val="left"/>
      <w:keepLines/>
      <w:keepNext/>
      <w:spacing w:before="120" w:after="120"/>
      <w:outlineLvl w:val="1"/>
    </w:pPr>
    <w:rPr>
      <w:rFonts w:ascii="宋体" w:hAnsi="宋体"/>
      <w:b/>
      <w:szCs w:val="24"/>
    </w:rPr>
  </w:style>
  <w:style w:type="table" w:styleId="903" w:customStyle="1">
    <w:name w:val="Table Normal"/>
    <w:uiPriority w:val="0"/>
    <w:qFormat/>
    <w:tblPr>
      <w:tblCellMar>
        <w:left w:w="0" w:type="dxa"/>
        <w:top w:w="0" w:type="dxa"/>
        <w:right w:w="0" w:type="dxa"/>
        <w:bottom w:w="0" w:type="dxa"/>
      </w:tblCellMar>
    </w:tblPr>
  </w:style>
  <w:style w:type="paragraph" w:styleId="904" w:customStyle="1">
    <w:name w:val="Table Text"/>
    <w:basedOn w:val="877"/>
    <w:uiPriority w:val="0"/>
    <w:qFormat/>
    <w:rPr>
      <w:rFonts w:ascii="宋体" w:hAnsi="宋体" w:eastAsia="宋体" w:cs="宋体"/>
      <w:sz w:val="24"/>
      <w:szCs w:val="24"/>
      <w:lang w:val="en-US" w:eastAsia="en-US" w:bidi="ar-SA"/>
    </w:rPr>
  </w:style>
  <w:style w:type="paragraph" w:styleId="905" w:customStyle="1">
    <w:name w:val="普通正文"/>
    <w:basedOn w:val="877"/>
    <w:uiPriority w:val="0"/>
    <w:qFormat/>
    <w:pPr>
      <w:ind w:firstLine="480"/>
      <w:jc w:val="left"/>
      <w:spacing w:before="120" w:after="120" w:line="360" w:lineRule="auto"/>
    </w:pPr>
    <w:rPr>
      <w:rFonts w:ascii="Arial" w:hAnsi="Arial"/>
      <w:sz w:val="24"/>
    </w:rPr>
  </w:style>
  <w:style w:type="paragraph" w:styleId="906" w:customStyle="1">
    <w:name w:val="正文首行缩进1"/>
    <w:basedOn w:val="907"/>
    <w:next w:val="908"/>
    <w:uiPriority w:val="99"/>
    <w:qFormat/>
    <w:pPr>
      <w:ind w:firstLine="420"/>
      <w:jc w:val="left"/>
      <w:tabs>
        <w:tab w:val="left" w:pos="2020" w:leader="none"/>
        <w:tab w:val="center" w:pos="4535" w:leader="none"/>
      </w:tabs>
    </w:pPr>
    <w:rPr>
      <w:sz w:val="20"/>
      <w:szCs w:val="20"/>
    </w:rPr>
  </w:style>
  <w:style w:type="paragraph" w:styleId="907" w:customStyle="1">
    <w:name w:val="正文文本1"/>
    <w:basedOn w:val="877"/>
    <w:next w:val="87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8" w:customStyle="1">
    <w:name w:val="目录 61"/>
    <w:basedOn w:val="877"/>
    <w:next w:val="877"/>
    <w:uiPriority w:val="39"/>
    <w:qFormat/>
    <w:pPr>
      <w:ind w:left="1050"/>
      <w:jc w:val="left"/>
    </w:pPr>
    <w:rPr>
      <w:sz w:val="18"/>
      <w:szCs w:val="18"/>
    </w:rPr>
  </w:style>
  <w:style w:type="character" w:styleId="909" w:customStyle="1">
    <w:name w:val="font31"/>
    <w:basedOn w:val="880"/>
    <w:uiPriority w:val="0"/>
    <w:qFormat/>
    <w:rPr>
      <w:rFonts w:hint="eastAsia" w:ascii="宋体" w:hAnsi="宋体" w:eastAsia="宋体" w:cs="宋体"/>
      <w:b/>
      <w:bCs/>
      <w:color w:val="000000"/>
      <w:sz w:val="21"/>
      <w:szCs w:val="21"/>
      <w:u w:val="none"/>
    </w:rPr>
  </w:style>
  <w:style w:type="character" w:styleId="910" w:customStyle="1">
    <w:name w:val="font41"/>
    <w:basedOn w:val="880"/>
    <w:uiPriority w:val="0"/>
    <w:qFormat/>
    <w:rPr>
      <w:rFonts w:hint="eastAsia" w:ascii="宋体" w:hAnsi="宋体" w:eastAsia="宋体" w:cs="宋体"/>
      <w:color w:val="000000"/>
      <w:sz w:val="21"/>
      <w:szCs w:val="21"/>
      <w:u w:val="none"/>
    </w:rPr>
  </w:style>
  <w:style w:type="character" w:styleId="911" w:customStyle="1">
    <w:name w:val="font21"/>
    <w:basedOn w:val="880"/>
    <w:uiPriority w:val="0"/>
    <w:qFormat/>
    <w:rPr>
      <w:rFonts w:hint="eastAsia" w:ascii="宋体" w:hAnsi="宋体" w:eastAsia="宋体" w:cs="宋体"/>
      <w:color w:val="000000"/>
      <w:sz w:val="21"/>
      <w:szCs w:val="21"/>
      <w:u w:val="none"/>
    </w:rPr>
  </w:style>
  <w:style w:type="paragraph" w:styleId="912" w:customStyle="1">
    <w:name w:val="信息标题1"/>
    <w:basedOn w:val="877"/>
    <w:next w:val="877"/>
    <w:uiPriority w:val="99"/>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13" w:customStyle="1">
    <w:name w:val="p0"/>
    <w:basedOn w:val="877"/>
    <w:uiPriority w:val="99"/>
    <w:qFormat/>
    <w:pPr>
      <w:widowControl/>
    </w:pPr>
    <w:rPr>
      <w:szCs w:val="21"/>
    </w:rPr>
  </w:style>
  <w:style w:type="numbering" w:styleId="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夏妍</cp:lastModifiedBy>
  <cp:revision>3</cp:revision>
  <dcterms:created xsi:type="dcterms:W3CDTF">2026-07-31T01:35:00Z</dcterms:created>
  <dcterms:modified xsi:type="dcterms:W3CDTF">2026-10-22T02:15:03Z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E14B1308A9A34E90A1902A6F43775BF2_13</vt:lpwstr>
  </property>
  <property fmtid="{D5CDD505-2E9C-101B-9397-08002B2CF9AE}" pid="4" name="KSOTemplateDocerSaveRecord">
    <vt:lpwstr>eyJoZGlkIjoiNGJiMWZkYTQ5ZWI0Y2YxNWRkOTg5MDIxNGQxYTRlMmYiLCJ1c2VySWQiOiIxMzMxNDg0NzA2In0=</vt:lpwstr>
  </property>
</Properties>
</file>