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color w:val="auto"/>
          <w:sz w:val="72"/>
          <w:szCs w:val="72"/>
        </w:rPr>
        <w:outlineLvl w:val="9"/>
      </w:pPr>
      <w:r>
        <w:rPr>
          <w:rFonts w:hint="eastAsia" w:ascii="楷体" w:hAnsi="楷体" w:eastAsia="楷体"/>
          <w:b/>
          <w:color w:val="auto"/>
          <w:sz w:val="72"/>
          <w:szCs w:val="72"/>
        </w:rPr>
      </w:r>
      <w:r/>
    </w:p>
    <w:p>
      <w:pPr>
        <w:jc w:val="center"/>
        <w:keepLines w:val="0"/>
        <w:keepNext w:val="0"/>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r>
      <w:r/>
    </w:p>
    <w:p>
      <w:pPr>
        <w:jc w:val="center"/>
        <w:keepLines w:val="0"/>
        <w:keepNext w:val="0"/>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color w:val="auto"/>
          <w:sz w:val="72"/>
        </w:rPr>
        <w:outlineLvl w:val="9"/>
      </w:pPr>
      <w:r>
        <w:rPr>
          <w:rFonts w:hint="eastAsia" w:ascii="黑体" w:hAnsi="黑体" w:eastAsia="黑体"/>
          <w:b/>
          <w:color w:val="auto"/>
          <w:sz w:val="7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left="2525" w:hanging="1807"/>
        <w:keepLines w:val="0"/>
        <w:keepNext w:val="0"/>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szCs w:val="36"/>
        </w:rPr>
        <w:t xml:space="preserve">项目名称:淮安市产品质量监督综合检验中心电池测试系统等采购项目</w:t>
      </w:r>
      <w:r/>
    </w:p>
    <w:p>
      <w:pPr>
        <w:keepLines w:val="0"/>
        <w:keepNext w:val="0"/>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r>
      <w:r/>
    </w:p>
    <w:p>
      <w:pPr>
        <w:ind w:firstLine="708"/>
        <w:keepLines w:val="0"/>
        <w:keepNext w:val="0"/>
        <w:pageBreakBefore w:val="0"/>
        <w:spacing w:line="760" w:lineRule="exact"/>
        <w:rPr>
          <w:rFonts w:hint="eastAsia" w:ascii="黑体" w:hAnsi="黑体" w:eastAsia="黑体"/>
          <w:b/>
          <w:color w:val="auto"/>
          <w:sz w:val="36"/>
          <w:lang w:eastAsia="zh-CN"/>
        </w:rPr>
        <w:outlineLvl w:val="9"/>
      </w:pPr>
      <w:r>
        <w:rPr>
          <w:rFonts w:hint="eastAsia" w:ascii="黑体" w:hAnsi="黑体" w:eastAsia="黑体"/>
          <w:b/>
          <w:color w:val="auto"/>
          <w:sz w:val="36"/>
        </w:rPr>
        <w:t xml:space="preserve">项目编号:</w:t>
      </w:r>
      <w:r>
        <w:rPr>
          <w:rFonts w:hint="eastAsia" w:ascii="黑体" w:hAnsi="黑体" w:eastAsia="黑体"/>
          <w:b/>
          <w:color w:val="auto"/>
          <w:sz w:val="36"/>
          <w:lang w:eastAsia="zh-CN"/>
        </w:rPr>
        <w:t xml:space="preserve">JSZC-320800-HAKJ-G2026-0002</w:t>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firstLine="1807"/>
        <w:spacing w:line="600" w:lineRule="exact"/>
        <w:rPr>
          <w:rFonts w:hint="eastAsia" w:ascii="黑体" w:hAnsi="黑体" w:eastAsia="黑体"/>
          <w:b/>
          <w:color w:val="auto"/>
          <w:sz w:val="36"/>
          <w:szCs w:val="36"/>
        </w:rPr>
      </w:pPr>
      <w:r>
        <w:rPr>
          <w:rFonts w:hint="eastAsia" w:ascii="黑体" w:hAnsi="黑体" w:eastAsia="黑体"/>
          <w:b/>
          <w:color w:val="auto"/>
          <w:sz w:val="36"/>
          <w:szCs w:val="36"/>
        </w:rPr>
      </w:r>
      <w:r/>
    </w:p>
    <w:p>
      <w:pPr>
        <w:pStyle w:val="990"/>
        <w:numPr>
          <w:ilvl w:val="0"/>
          <w:numId w:val="0"/>
        </w:numPr>
        <w:rPr>
          <w:rFonts w:hint="eastAsia"/>
          <w:color w:val="auto"/>
        </w:rPr>
      </w:pPr>
      <w:r>
        <w:rPr>
          <w:rFonts w:hint="eastAsia"/>
          <w:color w:val="auto"/>
        </w:rPr>
      </w:r>
      <w:r/>
    </w:p>
    <w:p>
      <w:pPr>
        <w:ind w:firstLine="723"/>
        <w:spacing w:line="600" w:lineRule="exact"/>
        <w:rPr>
          <w:rFonts w:ascii="黑体" w:hAnsi="黑体" w:eastAsia="黑体"/>
          <w:b/>
          <w:color w:val="auto"/>
          <w:sz w:val="36"/>
          <w:szCs w:val="36"/>
        </w:rPr>
      </w:pPr>
      <w:r>
        <w:rPr>
          <w:rFonts w:hint="eastAsia" w:ascii="黑体" w:hAnsi="黑体" w:eastAsia="黑体"/>
          <w:b/>
          <w:color w:val="auto"/>
          <w:sz w:val="36"/>
          <w:szCs w:val="36"/>
        </w:rPr>
        <w:t xml:space="preserve">采购单位：</w:t>
      </w:r>
      <w:r>
        <w:rPr>
          <w:rFonts w:hint="eastAsia" w:ascii="黑体" w:hAnsi="黑体" w:eastAsia="黑体"/>
          <w:b/>
          <w:color w:val="auto"/>
          <w:sz w:val="36"/>
          <w:szCs w:val="36"/>
          <w:lang w:eastAsia="zh-CN"/>
        </w:rPr>
        <w:t xml:space="preserve">淮安市产品质量监督综合检验中心</w:t>
      </w:r>
      <w:r/>
    </w:p>
    <w:p>
      <w:pPr>
        <w:pStyle w:val="991"/>
        <w:rPr>
          <w:rFonts w:ascii="黑体" w:hAnsi="黑体" w:eastAsia="黑体"/>
          <w:b/>
          <w:color w:val="auto"/>
          <w:sz w:val="36"/>
          <w:szCs w:val="36"/>
        </w:rPr>
      </w:pPr>
      <w:r>
        <w:rPr>
          <w:rFonts w:ascii="黑体" w:hAnsi="黑体" w:eastAsia="黑体"/>
          <w:b/>
          <w:color w:val="auto"/>
          <w:sz w:val="36"/>
          <w:szCs w:val="36"/>
        </w:rPr>
      </w:r>
      <w:r/>
    </w:p>
    <w:p>
      <w:pPr>
        <w:pStyle w:val="991"/>
        <w:ind w:firstLine="723"/>
        <w:rPr>
          <w:rFonts w:hint="default" w:eastAsia="黑体"/>
          <w:color w:val="auto"/>
          <w:lang w:val="en-US" w:eastAsia="zh-CN"/>
        </w:rPr>
      </w:pPr>
      <w:r>
        <w:rPr>
          <w:rFonts w:hint="eastAsia" w:ascii="黑体" w:hAnsi="黑体" w:eastAsia="黑体"/>
          <w:b/>
          <w:color w:val="auto"/>
          <w:sz w:val="36"/>
          <w:szCs w:val="36"/>
        </w:rPr>
        <w:t xml:space="preserve">代理机构：</w:t>
      </w:r>
      <w:r>
        <w:rPr>
          <w:rFonts w:hint="eastAsia" w:ascii="黑体" w:hAnsi="黑体" w:eastAsia="黑体"/>
          <w:b/>
          <w:color w:val="auto"/>
          <w:sz w:val="36"/>
          <w:szCs w:val="36"/>
          <w:lang w:val="en-US" w:eastAsia="zh-CN"/>
        </w:rPr>
        <w:t xml:space="preserve">江苏凯进项目管理有限公司</w:t>
      </w:r>
      <w:r/>
    </w:p>
    <w:p>
      <w:pPr>
        <w:jc w:val="center"/>
        <w:spacing w:line="600" w:lineRule="exact"/>
        <w:tabs>
          <w:tab w:val="center" w:pos="5215" w:leader="none"/>
        </w:tabs>
        <w:rPr>
          <w:rFonts w:hint="eastAsia" w:ascii="黑体" w:hAnsi="黑体" w:eastAsia="黑体"/>
          <w:b/>
          <w:color w:val="auto"/>
          <w:sz w:val="36"/>
          <w:szCs w:val="36"/>
        </w:rPr>
      </w:pPr>
      <w:r>
        <w:rPr>
          <w:rFonts w:hint="eastAsia" w:ascii="黑体" w:hAnsi="黑体" w:eastAsia="黑体"/>
          <w:b/>
          <w:color w:val="auto"/>
          <w:sz w:val="36"/>
          <w:szCs w:val="36"/>
        </w:rPr>
      </w:r>
      <w:r/>
    </w:p>
    <w:p>
      <w:pPr>
        <w:jc w:val="center"/>
        <w:spacing w:line="600" w:lineRule="exact"/>
        <w:tabs>
          <w:tab w:val="center" w:pos="5215" w:leader="none"/>
        </w:tabs>
        <w:rPr>
          <w:rFonts w:hint="eastAsia" w:ascii="仿宋" w:hAnsi="仿宋" w:eastAsia="仿宋"/>
          <w:b/>
          <w:color w:val="auto"/>
          <w:sz w:val="36"/>
          <w:szCs w:val="36"/>
        </w:rPr>
      </w:pPr>
      <w:r>
        <w:rPr>
          <w:rFonts w:hint="eastAsia" w:ascii="黑体" w:hAnsi="黑体" w:eastAsia="黑体"/>
          <w:b/>
          <w:color w:val="auto"/>
          <w:sz w:val="36"/>
          <w:szCs w:val="36"/>
        </w:rPr>
        <w:t xml:space="preserve">二0二</w:t>
      </w:r>
      <w:r>
        <w:rPr>
          <w:rFonts w:hint="eastAsia" w:ascii="黑体" w:hAnsi="黑体" w:eastAsia="黑体"/>
          <w:b/>
          <w:color w:val="auto"/>
          <w:sz w:val="36"/>
          <w:szCs w:val="36"/>
          <w:lang w:eastAsia="zh-CN"/>
        </w:rPr>
        <w:t xml:space="preserve">六</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九</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二十三</w:t>
      </w:r>
      <w:r>
        <w:rPr>
          <w:rFonts w:hint="eastAsia" w:ascii="黑体" w:hAnsi="黑体" w:eastAsia="黑体"/>
          <w:b/>
          <w:color w:val="auto"/>
          <w:sz w:val="36"/>
          <w:szCs w:val="36"/>
        </w:rPr>
        <w:t xml:space="preserve">日</w:t>
      </w:r>
      <w:r/>
    </w:p>
    <w:p>
      <w:pPr>
        <w:ind w:left="0" w:firstLine="0"/>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rPr>
          <w:rFonts w:hint="eastAsia" w:ascii="仿宋" w:hAnsi="仿宋" w:eastAsia="仿宋"/>
          <w:b/>
          <w:color w:val="auto"/>
          <w:sz w:val="36"/>
          <w:szCs w:val="36"/>
        </w:rPr>
      </w:pPr>
      <w:r>
        <w:rPr>
          <w:rFonts w:hint="eastAsia" w:ascii="仿宋" w:hAnsi="仿宋" w:eastAsia="仿宋"/>
          <w:b/>
          <w:color w:val="auto"/>
          <w:sz w:val="36"/>
          <w:szCs w:val="36"/>
        </w:rPr>
      </w:r>
      <w:r/>
    </w:p>
    <w:p>
      <w:pPr>
        <w:ind w:left="0" w:firstLine="0"/>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t xml:space="preserve">第一章  投标邀请</w:t>
      </w:r>
      <w:r/>
    </w:p>
    <w:p>
      <w:pPr>
        <w:ind w:left="0" w:firstLine="537"/>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淮安市产品质量监督综合检验中心</w:t>
      </w:r>
      <w:r>
        <w:rPr>
          <w:rFonts w:hint="eastAsia" w:ascii="仿宋" w:hAnsi="仿宋" w:eastAsia="仿宋"/>
          <w:color w:val="auto"/>
          <w:sz w:val="28"/>
        </w:rPr>
        <w:t xml:space="preserve">的委托，</w:t>
      </w:r>
      <w:r>
        <w:rPr>
          <w:rFonts w:hint="eastAsia" w:ascii="仿宋" w:hAnsi="仿宋" w:eastAsia="仿宋"/>
          <w:color w:val="auto"/>
          <w:sz w:val="28"/>
          <w:lang w:eastAsia="zh-CN"/>
        </w:rPr>
        <w:t xml:space="preserve">江苏凯进项目管理有限公司</w:t>
      </w:r>
      <w:r>
        <w:rPr>
          <w:rFonts w:hint="eastAsia" w:ascii="仿宋" w:hAnsi="仿宋" w:eastAsia="仿宋"/>
          <w:color w:val="auto"/>
          <w:sz w:val="28"/>
        </w:rPr>
        <w:t xml:space="preserve">就</w:t>
      </w:r>
      <w:r>
        <w:rPr>
          <w:rFonts w:hint="eastAsia" w:ascii="仿宋" w:hAnsi="仿宋" w:eastAsia="仿宋"/>
          <w:color w:val="auto"/>
          <w:sz w:val="28"/>
          <w:lang w:val="en-US" w:eastAsia="zh-CN"/>
        </w:rPr>
        <w:t xml:space="preserve">该单位的电池测试系统等采购项目</w:t>
      </w:r>
      <w:r>
        <w:rPr>
          <w:rFonts w:hint="eastAsia" w:ascii="仿宋" w:hAnsi="仿宋" w:eastAsia="仿宋"/>
          <w:color w:val="auto"/>
          <w:sz w:val="28"/>
        </w:rPr>
        <w:t xml:space="preserve">政府采购项目进行公开招标采购，现邀请</w:t>
      </w:r>
      <w:r>
        <w:rPr>
          <w:rFonts w:hint="eastAsia" w:ascii="仿宋" w:hAnsi="仿宋" w:eastAsia="仿宋"/>
          <w:color w:val="auto"/>
          <w:sz w:val="28"/>
          <w:szCs w:val="28"/>
        </w:rPr>
        <w:t xml:space="preserve">符合条件的投标人参加投标</w:t>
      </w:r>
      <w:r>
        <w:rPr>
          <w:rFonts w:hint="eastAsia" w:ascii="仿宋" w:hAnsi="仿宋" w:eastAsia="仿宋"/>
          <w:color w:val="auto"/>
          <w:sz w:val="28"/>
        </w:rPr>
        <w:t xml:space="preserve">。</w:t>
      </w:r>
      <w:r/>
    </w:p>
    <w:p>
      <w:pPr>
        <w:ind w:left="0" w:firstLine="537"/>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37995"/>
                <wp:effectExtent l="0" t="0" r="0" b="0"/>
                <wp:wrapNone/>
                <wp:docPr id="3" name="矩形 4"/>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淮安市产品质量监督综合检验中心电池测试系统等采购项目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1.6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淮安市产品质量监督综合检验中心电池测试系统等采购项目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560"/>
        <w:keepLines w:val="0"/>
        <w:keepNext w:val="0"/>
        <w:pageBreakBefore w:val="0"/>
        <w:spacing w:line="52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一、项目基本情况</w:t>
      </w:r>
      <w:r/>
    </w:p>
    <w:p>
      <w:pPr>
        <w:ind w:firstLine="565"/>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（一）项目编号:</w:t>
      </w:r>
      <w:r>
        <w:rPr>
          <w:rFonts w:hint="eastAsia" w:ascii="仿宋" w:hAnsi="仿宋" w:eastAsia="仿宋"/>
          <w:color w:val="auto"/>
          <w:sz w:val="28"/>
          <w:szCs w:val="28"/>
          <w:lang w:eastAsia="zh-CN"/>
        </w:rPr>
        <w:t xml:space="preserve">JSZC-320800-HAKJ-G2026-0002</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（二）项目名称:</w:t>
      </w:r>
      <w:r>
        <w:rPr>
          <w:rFonts w:hint="eastAsia" w:ascii="仿宋" w:hAnsi="仿宋" w:eastAsia="仿宋"/>
          <w:color w:val="auto"/>
          <w:sz w:val="28"/>
          <w:szCs w:val="28"/>
          <w:lang w:eastAsia="zh-CN"/>
        </w:rPr>
        <w:t xml:space="preserve">淮安市产品质量监督综合检验中心电池测试系统等采购项目</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（三）预算金额:</w:t>
      </w:r>
      <w:r>
        <w:rPr>
          <w:rFonts w:hint="eastAsia" w:ascii="仿宋" w:hAnsi="仿宋" w:eastAsia="仿宋"/>
          <w:color w:val="auto"/>
          <w:sz w:val="28"/>
          <w:szCs w:val="28"/>
          <w:lang w:val="en-US" w:eastAsia="zh-CN"/>
        </w:rPr>
        <w:t xml:space="preserve">354</w:t>
      </w:r>
      <w:r>
        <w:rPr>
          <w:rFonts w:hint="eastAsia" w:ascii="仿宋" w:hAnsi="仿宋" w:eastAsia="仿宋"/>
          <w:color w:val="auto"/>
          <w:sz w:val="28"/>
          <w:szCs w:val="28"/>
        </w:rPr>
        <w:t xml:space="preserve">万元  </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rPr>
        <w:t xml:space="preserve">（</w:t>
      </w: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354万元</w:t>
      </w:r>
      <w:r/>
    </w:p>
    <w:p>
      <w:pPr>
        <w:ind w:firstLine="565"/>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rPr>
        <w:t xml:space="preserve">（五）采购需求:</w:t>
      </w:r>
      <w:r>
        <w:rPr>
          <w:rFonts w:hint="eastAsia" w:ascii="仿宋" w:hAnsi="仿宋" w:eastAsia="仿宋"/>
          <w:color w:val="auto"/>
          <w:sz w:val="28"/>
          <w:szCs w:val="28"/>
          <w:lang w:eastAsia="zh-CN"/>
        </w:rPr>
        <w:t xml:space="preserve">淮安市产品质量监督综合检验中心电池测试系统等采购项目</w:t>
      </w:r>
      <w:r>
        <w:rPr>
          <w:rFonts w:hint="eastAsia" w:ascii="仿宋" w:hAnsi="仿宋" w:eastAsia="仿宋"/>
          <w:color w:val="auto"/>
          <w:sz w:val="28"/>
          <w:szCs w:val="28"/>
          <w:lang w:val="en-US" w:eastAsia="zh-CN"/>
        </w:rPr>
        <w:t xml:space="preserve">，详见第五章项目采购需求。</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olor w:val="auto"/>
          <w:sz w:val="28"/>
          <w:szCs w:val="28"/>
        </w:rPr>
        <w:t xml:space="preserve">（六）合同履行期限:</w:t>
      </w:r>
      <w:r>
        <w:rPr>
          <w:rFonts w:hint="eastAsia" w:ascii="仿宋" w:hAnsi="仿宋" w:eastAsia="仿宋" w:cs="Times New Roman"/>
          <w:color w:val="auto"/>
          <w:sz w:val="28"/>
          <w:szCs w:val="28"/>
          <w:lang w:eastAsia="zh-CN"/>
        </w:rPr>
        <w:t xml:space="preserve">合同签订后45日历天内完成供货安装及调试。   </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rPr>
        <w:t xml:space="preserve">（七）</w:t>
      </w:r>
      <w:r>
        <w:rPr>
          <w:rFonts w:hint="eastAsia" w:ascii="仿宋" w:hAnsi="仿宋" w:eastAsia="仿宋"/>
          <w:color w:val="auto"/>
          <w:sz w:val="28"/>
          <w:szCs w:val="28"/>
          <w:highlight w:val="none"/>
        </w:rPr>
        <w:t xml:space="preserve">本项目（</w:t>
      </w:r>
      <w:r>
        <w:rPr>
          <w:rFonts w:ascii="Wingdings 2" w:hAnsi="Wingdings 2" w:eastAsia="Wingdings 2" w:cs="Wingdings 2"/>
          <w:color w:val="auto"/>
          <w:sz w:val="28"/>
          <w:szCs w:val="28"/>
          <w:highlight w:val="none"/>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否）接受联合体投标。</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 </w:t>
      </w:r>
      <w:bookmarkStart w:id="0" w:name="bookmark132"/>
      <w:r/>
      <w:bookmarkEnd w:id="0"/>
      <w:r>
        <w:rPr>
          <w:rFonts w:hint="eastAsia" w:ascii="仿宋" w:hAnsi="仿宋" w:eastAsia="仿宋" w:cs="仿宋"/>
          <w:color w:val="auto"/>
          <w:sz w:val="28"/>
          <w:szCs w:val="28"/>
          <w:u w:val="single"/>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二、申请人的资格要求:</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本项目按照以下第</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1 </w:t>
      </w:r>
      <w:r>
        <w:rPr>
          <w:rFonts w:hint="eastAsia" w:ascii="仿宋" w:hAnsi="仿宋" w:eastAsia="仿宋"/>
          <w:color w:val="auto"/>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（1）本项目要求投标人以联合体形式参加，中小企业合同金额应当达到的比例为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（2）本项目要求投标人进行合同分包，中小企业合同金额应当达到的比例为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3、本项目为非预留份额的采购项目，</w:t>
      </w:r>
      <w:r>
        <w:rPr>
          <w:rFonts w:hint="eastAsia" w:ascii="仿宋" w:hAnsi="仿宋" w:eastAsia="仿宋"/>
          <w:color w:val="auto"/>
          <w:sz w:val="28"/>
          <w:szCs w:val="28"/>
        </w:rPr>
        <w:t xml:space="preserve">对小微企业报价给予扣除，用扣除后的价格参加评审，具体详见第二章“投标人须知”第3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auto"/>
          <w:sz w:val="28"/>
          <w:szCs w:val="28"/>
          <w:lang w:val="zh-CN" w:eastAsia="zh-CN"/>
        </w:rPr>
        <w:outlineLvl w:val="9"/>
      </w:pPr>
      <w:r>
        <w:rPr>
          <w:rFonts w:hint="eastAsia" w:ascii="仿宋" w:hAnsi="仿宋" w:eastAsia="仿宋"/>
          <w:color w:val="auto"/>
          <w:sz w:val="28"/>
          <w:szCs w:val="28"/>
        </w:rPr>
        <w:t xml:space="preserve">（三）本项目的特定资格要求:</w:t>
      </w:r>
      <w:r>
        <w:rPr>
          <w:rFonts w:hint="eastAsia" w:ascii="仿宋" w:hAnsi="仿宋" w:eastAsia="仿宋"/>
          <w:color w:val="auto"/>
          <w:sz w:val="28"/>
          <w:szCs w:val="28"/>
          <w:lang w:eastAsia="zh-CN"/>
        </w:rPr>
        <w:t xml:space="preserve">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s="宋体"/>
          <w:color w:val="auto"/>
          <w:sz w:val="28"/>
          <w:szCs w:val="28"/>
        </w:rPr>
        <w:t xml:space="preserve">（四）拒绝下述条件的</w:t>
      </w:r>
      <w:r>
        <w:rPr>
          <w:rFonts w:hint="eastAsia" w:ascii="仿宋" w:hAnsi="仿宋" w:eastAsia="仿宋" w:cs="宋体"/>
          <w:color w:val="auto"/>
          <w:sz w:val="28"/>
          <w:szCs w:val="28"/>
          <w:lang w:eastAsia="zh-CN"/>
        </w:rPr>
        <w:t xml:space="preserve">投标人</w:t>
      </w:r>
      <w:r>
        <w:rPr>
          <w:rFonts w:hint="eastAsia" w:ascii="仿宋" w:hAnsi="仿宋" w:eastAsia="仿宋" w:cs="宋体"/>
          <w:color w:val="auto"/>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单位负责人为同一人或者存在直接控股、管理关系的不同</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auto"/>
          <w:sz w:val="28"/>
          <w:szCs w:val="28"/>
        </w:rPr>
        <w:outlineLvl w:val="9"/>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三、获取招标文件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（一）投标文件提交截止时间及开标时间:202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27</w:t>
      </w:r>
      <w:r>
        <w:rPr>
          <w:rFonts w:hint="eastAsia" w:ascii="仿宋" w:hAnsi="仿宋" w:eastAsia="仿宋"/>
          <w:color w:val="auto"/>
          <w:sz w:val="28"/>
          <w:szCs w:val="28"/>
        </w:rPr>
        <w:t xml:space="preserve">日上午</w:t>
      </w:r>
      <w:r>
        <w:rPr>
          <w:rFonts w:hint="eastAsia" w:ascii="仿宋" w:hAnsi="仿宋" w:eastAsia="仿宋"/>
          <w:color w:val="auto"/>
          <w:sz w:val="28"/>
          <w:szCs w:val="28"/>
          <w:lang w:val="en-US" w:eastAsia="zh-CN"/>
        </w:rPr>
        <w:t xml:space="preserve">9</w:t>
      </w:r>
      <w:r>
        <w:rPr>
          <w:rFonts w:ascii="仿宋" w:hAnsi="仿宋" w:eastAsia="仿宋"/>
          <w:color w:val="auto"/>
          <w:sz w:val="28"/>
          <w:szCs w:val="28"/>
        </w:rPr>
        <w:t xml:space="preserve">:30</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五、公告期限</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六、其他补充事宜</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七、对本次采购提出询问，请按以下方式联系。</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1.招标人信息</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s="Times New Roman"/>
          <w:color w:val="auto"/>
          <w:sz w:val="28"/>
          <w:szCs w:val="28"/>
        </w:rPr>
        <w:t xml:space="preserve">名称：</w:t>
      </w:r>
      <w:r>
        <w:rPr>
          <w:rFonts w:hint="eastAsia" w:ascii="仿宋" w:hAnsi="仿宋" w:eastAsia="仿宋" w:cs="Times New Roman"/>
          <w:color w:val="auto"/>
          <w:sz w:val="28"/>
          <w:szCs w:val="28"/>
          <w:lang w:eastAsia="zh-CN"/>
        </w:rPr>
        <w:t xml:space="preserve">淮安市产品质量监督综合检验中心</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s="Times New Roman"/>
          <w:color w:val="auto"/>
          <w:sz w:val="28"/>
          <w:szCs w:val="28"/>
        </w:rPr>
        <w:t xml:space="preserve">地址：</w:t>
      </w:r>
      <w:r>
        <w:rPr>
          <w:rFonts w:hint="eastAsia" w:ascii="仿宋" w:hAnsi="仿宋" w:eastAsia="仿宋" w:cs="Times New Roman"/>
          <w:color w:val="auto"/>
          <w:sz w:val="28"/>
          <w:szCs w:val="28"/>
          <w:lang w:eastAsia="zh-CN"/>
        </w:rPr>
        <w:t xml:space="preserve">淮安市健康西路47号</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联系方式：郭主任</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联系电话：18012088300</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2.招标代理机构信息</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名称:江苏凯进项目管理有限公司</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地址:淮安市智慧谷B1-11楼</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联系人:</w:t>
      </w:r>
      <w:r>
        <w:rPr>
          <w:rFonts w:hint="eastAsia" w:ascii="仿宋" w:hAnsi="仿宋" w:eastAsia="仿宋" w:cs="Times New Roman"/>
          <w:color w:val="auto"/>
          <w:sz w:val="28"/>
          <w:szCs w:val="28"/>
          <w:lang w:val="en-US" w:eastAsia="zh-CN"/>
        </w:rPr>
        <w:t xml:space="preserve">王媛媛      </w:t>
      </w:r>
      <w:r>
        <w:rPr>
          <w:rFonts w:hint="eastAsia" w:ascii="仿宋" w:hAnsi="仿宋" w:eastAsia="仿宋" w:cs="Times New Roman"/>
          <w:color w:val="auto"/>
          <w:sz w:val="28"/>
          <w:szCs w:val="28"/>
        </w:rPr>
        <w:t xml:space="preserve">电话：</w:t>
      </w:r>
      <w:r>
        <w:rPr>
          <w:rFonts w:hint="eastAsia" w:ascii="仿宋" w:hAnsi="仿宋" w:eastAsia="仿宋" w:cs="Times New Roman"/>
          <w:color w:val="auto"/>
          <w:sz w:val="28"/>
          <w:szCs w:val="28"/>
          <w:lang w:val="en-US" w:eastAsia="zh-CN"/>
        </w:rPr>
        <w:t xml:space="preserve">15951265833</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3.项目联系方式</w:t>
      </w:r>
      <w:r/>
    </w:p>
    <w:p>
      <w:pPr>
        <w:ind w:firstLine="565"/>
        <w:keepLines w:val="0"/>
        <w:keepNext w:val="0"/>
        <w:pageBreakBefore w:val="0"/>
        <w:spacing w:line="520" w:lineRule="exact"/>
        <w:rPr>
          <w:rFonts w:hint="eastAsia" w:ascii="仿宋" w:hAnsi="仿宋" w:eastAsia="仿宋" w:cs="Times New Roman"/>
          <w:color w:val="auto"/>
          <w:sz w:val="28"/>
          <w:szCs w:val="28"/>
          <w:lang w:val="en-US" w:eastAsia="zh-CN"/>
        </w:rPr>
        <w:outlineLvl w:val="9"/>
      </w:pPr>
      <w:r>
        <w:rPr>
          <w:rFonts w:hint="eastAsia" w:ascii="仿宋" w:hAnsi="仿宋" w:eastAsia="仿宋" w:cs="Times New Roman"/>
          <w:color w:val="auto"/>
          <w:sz w:val="28"/>
          <w:szCs w:val="28"/>
        </w:rPr>
        <w:t xml:space="preserve">项目联系人：</w:t>
      </w:r>
      <w:r>
        <w:rPr>
          <w:rFonts w:hint="eastAsia" w:ascii="仿宋" w:hAnsi="仿宋" w:eastAsia="仿宋" w:cs="Times New Roman"/>
          <w:color w:val="auto"/>
          <w:sz w:val="28"/>
          <w:szCs w:val="28"/>
          <w:lang w:val="en-US" w:eastAsia="zh-CN"/>
        </w:rPr>
        <w:t xml:space="preserve">王媛媛 </w:t>
      </w:r>
      <w:r>
        <w:rPr>
          <w:rFonts w:hint="eastAsia" w:ascii="仿宋" w:hAnsi="仿宋" w:eastAsia="仿宋" w:cs="Times New Roman"/>
          <w:color w:val="auto"/>
          <w:sz w:val="28"/>
          <w:szCs w:val="28"/>
        </w:rPr>
        <w:t xml:space="preserve">电话：</w:t>
      </w:r>
      <w:r>
        <w:rPr>
          <w:rFonts w:hint="eastAsia" w:ascii="仿宋" w:hAnsi="仿宋" w:eastAsia="仿宋" w:cs="Times New Roman"/>
          <w:color w:val="auto"/>
          <w:sz w:val="28"/>
          <w:szCs w:val="28"/>
          <w:lang w:val="en-US" w:eastAsia="zh-CN"/>
        </w:rPr>
        <w:t xml:space="preserve">15951265833</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八、其他</w:t>
      </w:r>
      <w:r/>
    </w:p>
    <w:p>
      <w:pPr>
        <w:ind w:firstLine="565"/>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 有关本次招标的事项若存在变动或修改，敬请及时关注</w:t>
      </w:r>
      <w:r>
        <w:rPr>
          <w:rFonts w:hint="eastAsia" w:ascii="仿宋" w:hAnsi="仿宋" w:eastAsia="仿宋"/>
          <w:color w:val="auto"/>
          <w:sz w:val="28"/>
          <w:szCs w:val="28"/>
          <w:lang w:eastAsia="zh-CN"/>
        </w:rPr>
        <w:t xml:space="preserve">江苏凯进项目管理有限公司</w:t>
      </w:r>
      <w:r>
        <w:rPr>
          <w:rFonts w:hint="eastAsia" w:ascii="仿宋" w:hAnsi="仿宋" w:eastAsia="仿宋"/>
          <w:color w:val="auto"/>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color w:val="auto"/>
          <w:sz w:val="36"/>
          <w:szCs w:val="36"/>
          <w:lang w:eastAsia="zh-CN"/>
        </w:rPr>
        <w:outlineLvl w:val="9"/>
      </w:pPr>
      <w:r>
        <w:rPr>
          <w:rFonts w:hint="eastAsia" w:ascii="仿宋" w:hAnsi="仿宋" w:eastAsia="仿宋"/>
          <w:color w:val="auto"/>
          <w:sz w:val="28"/>
          <w:szCs w:val="28"/>
        </w:rPr>
        <w:br w:type="page" w:clear="all"/>
      </w:r>
      <w:r>
        <w:rPr>
          <w:rFonts w:hint="eastAsia" w:ascii="仿宋" w:hAnsi="仿宋" w:eastAsia="仿宋"/>
          <w:b/>
          <w:color w:val="auto"/>
          <w:sz w:val="36"/>
          <w:szCs w:val="36"/>
        </w:rPr>
        <w:t xml:space="preserve">第二章  投标人须知</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一、总则</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1.适用范围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2.合格的投标人</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2.2 满足招标文件中实质性条款的规定。</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3.适用法律</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 《中华人民共和国政府采购法</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中华人民共和国政府采购法实施条例</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4.投标费用</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投标人应自行承担所有与参加投标有关的费用。不论投标的结果如何，</w:t>
      </w:r>
      <w:r>
        <w:rPr>
          <w:rFonts w:hint="eastAsia" w:ascii="仿宋" w:hAnsi="仿宋" w:eastAsia="仿宋"/>
          <w:color w:val="auto"/>
          <w:sz w:val="28"/>
          <w:szCs w:val="28"/>
          <w:lang w:eastAsia="zh-CN"/>
        </w:rPr>
        <w:t xml:space="preserve">江苏凯进项目管理有限公司</w:t>
      </w:r>
      <w:r>
        <w:rPr>
          <w:rFonts w:hint="eastAsia" w:ascii="仿宋" w:hAnsi="仿宋" w:eastAsia="仿宋"/>
          <w:color w:val="auto"/>
          <w:sz w:val="28"/>
          <w:szCs w:val="28"/>
        </w:rPr>
        <w:t xml:space="preserve">（以下简称</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4.2本项目代理服务费参照苏招协【2002】002号文标准</w:t>
      </w:r>
      <w:r>
        <w:rPr>
          <w:rFonts w:hint="eastAsia" w:ascii="仿宋" w:hAnsi="仿宋" w:eastAsia="仿宋" w:cs="Times New Roman"/>
          <w:color w:val="auto"/>
          <w:sz w:val="28"/>
          <w:szCs w:val="28"/>
          <w:lang w:val="en-US" w:eastAsia="zh-CN"/>
        </w:rPr>
        <w:t xml:space="preserve">的70%</w:t>
      </w:r>
      <w:r>
        <w:rPr>
          <w:rFonts w:hint="eastAsia" w:ascii="仿宋" w:hAnsi="仿宋" w:eastAsia="仿宋" w:cs="Times New Roman"/>
          <w:color w:val="auto"/>
          <w:sz w:val="28"/>
          <w:szCs w:val="28"/>
        </w:rPr>
        <w:t xml:space="preserve">收取。因此各投标人在报价时必须将咨询费用包含在</w:t>
      </w:r>
      <w:r>
        <w:rPr>
          <w:rFonts w:hint="eastAsia" w:ascii="仿宋" w:hAnsi="仿宋" w:eastAsia="仿宋" w:cs="Times New Roman"/>
          <w:color w:val="auto"/>
          <w:sz w:val="28"/>
          <w:szCs w:val="28"/>
          <w:lang w:val="en-US" w:eastAsia="zh-CN"/>
        </w:rPr>
        <w:t xml:space="preserve">投标</w:t>
      </w:r>
      <w:r>
        <w:rPr>
          <w:rFonts w:hint="eastAsia" w:ascii="仿宋" w:hAnsi="仿宋" w:eastAsia="仿宋" w:cs="Times New Roman"/>
          <w:color w:val="auto"/>
          <w:sz w:val="28"/>
          <w:szCs w:val="28"/>
        </w:rPr>
        <w:t xml:space="preserve">报价中，不需单独列项计取。</w:t>
      </w:r>
      <w:r>
        <w:rPr>
          <w:rFonts w:hint="eastAsia" w:ascii="仿宋" w:hAnsi="仿宋" w:eastAsia="仿宋" w:cs="Times New Roman"/>
          <w:color w:val="auto"/>
          <w:sz w:val="28"/>
          <w:szCs w:val="28"/>
          <w:lang w:val="en-US" w:eastAsia="zh-CN"/>
        </w:rPr>
        <w:t xml:space="preserve">中标人</w:t>
      </w:r>
      <w:r>
        <w:rPr>
          <w:rFonts w:hint="eastAsia" w:ascii="仿宋" w:hAnsi="仿宋" w:eastAsia="仿宋" w:cs="Times New Roman"/>
          <w:color w:val="auto"/>
          <w:sz w:val="28"/>
          <w:szCs w:val="28"/>
        </w:rPr>
        <w:t xml:space="preserve">在领取成交通知书之前须向</w:t>
      </w:r>
      <w:r>
        <w:rPr>
          <w:rFonts w:hint="eastAsia" w:ascii="仿宋" w:hAnsi="仿宋" w:eastAsia="仿宋" w:cs="Times New Roman"/>
          <w:color w:val="auto"/>
          <w:sz w:val="28"/>
          <w:szCs w:val="28"/>
          <w:lang w:eastAsia="zh-CN"/>
        </w:rPr>
        <w:t xml:space="preserve">江苏凯进项目管理有限公司</w:t>
      </w:r>
      <w:r>
        <w:rPr>
          <w:rFonts w:hint="eastAsia" w:ascii="仿宋" w:hAnsi="仿宋" w:eastAsia="仿宋" w:cs="Times New Roman"/>
          <w:color w:val="auto"/>
          <w:sz w:val="28"/>
          <w:szCs w:val="28"/>
        </w:rPr>
        <w:t xml:space="preserve">支付代理服务费。</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eastAsia="zh-CN"/>
        </w:rPr>
        <w:t xml:space="preserve">招标</w:t>
      </w:r>
      <w:r>
        <w:rPr>
          <w:rFonts w:hint="eastAsia" w:ascii="仿宋" w:hAnsi="仿宋" w:eastAsia="仿宋"/>
          <w:color w:val="auto"/>
          <w:sz w:val="28"/>
          <w:szCs w:val="28"/>
        </w:rPr>
        <w:t xml:space="preserve">文件的约束力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一旦参加本项目采购活动，即被认为接受了本</w:t>
      </w:r>
      <w:r>
        <w:rPr>
          <w:rFonts w:hint="eastAsia" w:ascii="仿宋" w:hAnsi="仿宋" w:eastAsia="仿宋"/>
          <w:color w:val="auto"/>
          <w:sz w:val="28"/>
          <w:szCs w:val="28"/>
          <w:lang w:eastAsia="zh-CN"/>
        </w:rPr>
        <w:t xml:space="preserve">招标</w:t>
      </w:r>
      <w:r>
        <w:rPr>
          <w:rFonts w:hint="eastAsia" w:ascii="仿宋" w:hAnsi="仿宋" w:eastAsia="仿宋"/>
          <w:color w:val="auto"/>
          <w:sz w:val="28"/>
          <w:szCs w:val="28"/>
        </w:rPr>
        <w:t xml:space="preserve">文件的规定和约束。</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二、招标文件</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投标邀请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投标人须知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评标方法与评标标准</w:t>
      </w:r>
      <w:r>
        <w:rPr>
          <w:rFonts w:hint="eastAsia" w:ascii="仿宋" w:hAnsi="仿宋" w:eastAsia="仿宋"/>
          <w:color w:val="auto"/>
          <w:sz w:val="28"/>
          <w:szCs w:val="28"/>
          <w:lang w:val="en-US" w:eastAsia="zh-CN"/>
        </w:rPr>
        <w:t xml:space="preserve"> </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4 </w:t>
      </w:r>
      <w:r>
        <w:rPr>
          <w:rFonts w:hint="eastAsia" w:ascii="仿宋" w:hAnsi="仿宋" w:eastAsia="仿宋"/>
          <w:color w:val="auto"/>
          <w:sz w:val="28"/>
          <w:szCs w:val="28"/>
        </w:rPr>
        <w:t xml:space="preserve">合同格式及条款</w:t>
      </w:r>
      <w:r/>
    </w:p>
    <w:p>
      <w:pPr>
        <w:ind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项目采购需求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投标文件</w:t>
      </w:r>
      <w:r/>
    </w:p>
    <w:p>
      <w:pPr>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.招标文件的</w:t>
      </w:r>
      <w:r>
        <w:rPr>
          <w:rFonts w:hint="eastAsia" w:ascii="仿宋" w:hAnsi="仿宋" w:eastAsia="仿宋"/>
          <w:color w:val="auto"/>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7.1 在投标截止时间前，</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7.2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7.3 招标文件的修改将在江苏政府采购网</w:t>
      </w:r>
      <w:r>
        <w:rPr>
          <w:rFonts w:hint="eastAsia" w:ascii="仿宋" w:hAnsi="仿宋" w:eastAsia="仿宋"/>
          <w:color w:val="auto"/>
          <w:sz w:val="28"/>
          <w:szCs w:val="28"/>
          <w:lang w:eastAsia="zh-CN"/>
        </w:rPr>
        <w:t xml:space="preserve">、淮安市政府采购网</w:t>
      </w:r>
      <w:r>
        <w:rPr>
          <w:rFonts w:hint="eastAsia" w:ascii="仿宋" w:hAnsi="仿宋" w:eastAsia="仿宋"/>
          <w:color w:val="auto"/>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三、投标文件的编制</w:t>
      </w:r>
      <w:r/>
    </w:p>
    <w:p>
      <w:pPr>
        <w:keepLines w:val="0"/>
        <w:keepNext w:val="0"/>
        <w:pageBreakBefore w:val="0"/>
        <w:spacing w:line="520" w:lineRule="exact"/>
        <w:rPr>
          <w:rFonts w:ascii="仿宋" w:hAnsi="仿宋" w:eastAsia="仿宋"/>
          <w:color w:val="auto"/>
          <w:sz w:val="28"/>
          <w:szCs w:val="28"/>
        </w:rPr>
        <w:outlineLvl w:val="9"/>
      </w:pPr>
      <w:r/>
      <w:bookmarkStart w:id="1" w:name="_Toc462564073"/>
      <w:r/>
      <w:bookmarkStart w:id="2" w:name="_Toc513029214"/>
      <w:r/>
      <w:bookmarkStart w:id="3" w:name="_Toc20823286"/>
      <w:r/>
      <w:bookmarkStart w:id="4" w:name="_Toc16938530"/>
      <w:r>
        <w:rPr>
          <w:rFonts w:hint="eastAsia" w:ascii="仿宋" w:hAnsi="仿宋" w:eastAsia="仿宋"/>
          <w:color w:val="auto"/>
          <w:sz w:val="28"/>
          <w:szCs w:val="28"/>
        </w:rPr>
        <w:t xml:space="preserve">8.投标文件的语言及度量衡单位</w:t>
      </w:r>
      <w:bookmarkEnd w:id="1"/>
      <w:r/>
      <w:bookmarkEnd w:id="2"/>
      <w:r/>
      <w:bookmarkEnd w:id="3"/>
      <w:r/>
      <w:bookmarkEnd w:id="4"/>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8.1 投标人提交的投标文件以及投标人与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9.投标文件构成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lang w:val="zh-CN"/>
        </w:rPr>
        <w:t xml:space="preserve">请投标人根据本招标文件的要求在指定模块中上传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lang w:val="zh-CN"/>
        </w:rPr>
        <w:t xml:space="preserve">的投标材料，未按招标文件要求在指定模块上传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lang w:val="zh-CN"/>
        </w:rPr>
        <w:t xml:space="preserve">的投标材料的，</w:t>
      </w:r>
      <w:r>
        <w:rPr>
          <w:rFonts w:hint="eastAsia" w:ascii="仿宋" w:hAnsi="仿宋" w:eastAsia="仿宋"/>
          <w:color w:val="auto"/>
          <w:sz w:val="28"/>
          <w:szCs w:val="28"/>
        </w:rPr>
        <w:t xml:space="preserve">视同未提交该投标材料处理。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9.2 如标书制作工具中格式和内容与</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“淮安市政府采购网”发布的招标文件不一致，请以</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“淮安市政府采购网”发布的招标文件为准。</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color w:val="auto"/>
          <w:sz w:val="28"/>
          <w:szCs w:val="28"/>
        </w:rPr>
        <w:outlineLvl w:val="9"/>
      </w:pPr>
      <w:r/>
      <w:bookmarkStart w:id="5" w:name="_Toc49090510"/>
      <w:r/>
      <w:bookmarkStart w:id="6" w:name="_Toc14577359"/>
      <w:r>
        <w:rPr>
          <w:rFonts w:hint="eastAsia" w:ascii="仿宋" w:hAnsi="仿宋" w:eastAsia="仿宋"/>
          <w:color w:val="auto"/>
          <w:sz w:val="28"/>
          <w:szCs w:val="28"/>
        </w:rPr>
        <w:t xml:space="preserve">14.投标函和开标一览表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keepLines w:val="0"/>
        <w:keepNext w:val="0"/>
        <w:pageBreakBefore w:val="0"/>
        <w:spacing w:line="520" w:lineRule="exact"/>
        <w:rPr>
          <w:rFonts w:ascii="仿宋" w:hAnsi="仿宋" w:eastAsia="仿宋"/>
          <w:color w:val="auto"/>
          <w:sz w:val="28"/>
          <w:szCs w:val="28"/>
        </w:rPr>
        <w:outlineLvl w:val="9"/>
      </w:pPr>
      <w:r/>
      <w:bookmarkStart w:id="7" w:name="_Toc14577360"/>
      <w:r/>
      <w:bookmarkStart w:id="8" w:name="_Toc49090511"/>
      <w:r>
        <w:rPr>
          <w:rFonts w:hint="eastAsia" w:ascii="仿宋" w:hAnsi="仿宋" w:eastAsia="仿宋"/>
          <w:color w:val="auto"/>
          <w:sz w:val="28"/>
          <w:szCs w:val="28"/>
        </w:rPr>
        <w:t xml:space="preserve">15.投标有效期</w:t>
      </w:r>
      <w:bookmarkEnd w:id="7"/>
      <w:r/>
      <w:bookmarkEnd w:id="8"/>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15.1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投标有效期为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规定的开标之日后</w:t>
      </w:r>
      <w:r>
        <w:rPr>
          <w:rFonts w:hint="eastAsia" w:ascii="仿宋" w:hAnsi="仿宋" w:eastAsia="仿宋"/>
          <w:color w:val="auto"/>
          <w:sz w:val="28"/>
          <w:szCs w:val="28"/>
          <w:lang w:val="en-US" w:eastAsia="zh-CN"/>
        </w:rPr>
        <w:t xml:space="preserve">九</w:t>
      </w:r>
      <w:r>
        <w:rPr>
          <w:rFonts w:hint="eastAsia" w:ascii="仿宋" w:hAnsi="仿宋" w:eastAsia="仿宋"/>
          <w:color w:val="auto"/>
          <w:sz w:val="28"/>
          <w:szCs w:val="28"/>
        </w:rPr>
        <w:t xml:space="preserve">十（</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16.投标有效期的延长</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16.1在特殊情况下，</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w:t>
      </w:r>
      <w:r>
        <w:rPr>
          <w:rFonts w:hint="eastAsia" w:ascii="仿宋" w:hAnsi="仿宋" w:eastAsia="仿宋"/>
          <w:bCs/>
          <w:color w:val="auto"/>
          <w:sz w:val="28"/>
          <w:szCs w:val="28"/>
        </w:rPr>
        <w:t xml:space="preserve">本项目评标标准中的方案部分采用</w:t>
      </w:r>
      <w:r>
        <w:rPr>
          <w:rFonts w:hint="eastAsia" w:ascii="仿宋" w:hAnsi="仿宋" w:eastAsia="仿宋"/>
          <w:bCs/>
          <w:color w:val="auto"/>
          <w:sz w:val="28"/>
          <w:szCs w:val="28"/>
          <w:lang w:val="en-US" w:eastAsia="zh-CN"/>
        </w:rPr>
        <w:t xml:space="preserve">明</w:t>
      </w:r>
      <w:r>
        <w:rPr>
          <w:rFonts w:hint="eastAsia" w:ascii="仿宋" w:hAnsi="仿宋" w:eastAsia="仿宋"/>
          <w:bCs/>
          <w:color w:val="auto"/>
          <w:sz w:val="28"/>
          <w:szCs w:val="28"/>
        </w:rPr>
        <w:t xml:space="preserve">标方式进行评审。</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四、投标文件上传</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18.投标文件的上传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18.1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投标人应当按照《操作手册》规定，在投标截止时间前</w:t>
      </w:r>
      <w:r>
        <w:rPr>
          <w:rFonts w:ascii="仿宋" w:hAnsi="仿宋" w:eastAsia="仿宋"/>
          <w:color w:val="auto"/>
          <w:sz w:val="28"/>
          <w:szCs w:val="28"/>
        </w:rPr>
        <w:t xml:space="preserve">制作</w:t>
      </w:r>
      <w:r>
        <w:rPr>
          <w:rFonts w:hint="eastAsia" w:ascii="仿宋" w:hAnsi="仿宋" w:eastAsia="仿宋"/>
          <w:color w:val="auto"/>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color w:val="auto"/>
          <w:sz w:val="28"/>
          <w:szCs w:val="28"/>
          <w:lang w:val="zh-CN"/>
        </w:rPr>
        <w:outlineLvl w:val="9"/>
      </w:pPr>
      <w:r>
        <w:rPr>
          <w:rFonts w:hint="eastAsia" w:ascii="仿宋" w:hAnsi="仿宋" w:eastAsia="仿宋"/>
          <w:color w:val="auto"/>
          <w:sz w:val="28"/>
          <w:szCs w:val="28"/>
        </w:rPr>
        <w:t xml:space="preserve">18.2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投标人上传的电子投标文件内容不清楚或不清晰的（含扫描</w:t>
      </w:r>
      <w:r>
        <w:rPr>
          <w:rFonts w:hint="eastAsia" w:ascii="仿宋" w:hAnsi="仿宋" w:eastAsia="仿宋" w:cs="宋体"/>
          <w:bCs/>
          <w:color w:val="auto"/>
          <w:sz w:val="28"/>
          <w:szCs w:val="28"/>
        </w:rPr>
        <w:t xml:space="preserve">件），造成无法评审或部分影响评审的，</w:t>
      </w:r>
      <w:r>
        <w:rPr>
          <w:rFonts w:hint="eastAsia" w:ascii="仿宋" w:hAnsi="仿宋" w:eastAsia="仿宋" w:cs="宋体"/>
          <w:bCs/>
          <w:color w:val="auto"/>
          <w:sz w:val="28"/>
          <w:szCs w:val="28"/>
          <w:lang w:val="zh-CN"/>
        </w:rPr>
        <w:t xml:space="preserve">责任由</w:t>
      </w:r>
      <w:r>
        <w:rPr>
          <w:rFonts w:hint="eastAsia" w:ascii="仿宋" w:hAnsi="仿宋" w:eastAsia="仿宋" w:cs="宋体"/>
          <w:bCs/>
          <w:color w:val="auto"/>
          <w:sz w:val="28"/>
          <w:szCs w:val="28"/>
        </w:rPr>
        <w:t xml:space="preserve">投标人</w:t>
      </w:r>
      <w:r>
        <w:rPr>
          <w:rFonts w:hint="eastAsia" w:ascii="仿宋" w:hAnsi="仿宋" w:eastAsia="仿宋" w:cs="宋体"/>
          <w:bCs/>
          <w:color w:val="auto"/>
          <w:sz w:val="28"/>
          <w:szCs w:val="28"/>
          <w:lang w:val="zh-CN"/>
        </w:rPr>
        <w:t xml:space="preserve">自负。</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color w:val="auto"/>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color w:val="auto"/>
          <w:sz w:val="32"/>
          <w:szCs w:val="32"/>
        </w:rPr>
        <w:outlineLvl w:val="9"/>
      </w:pPr>
      <w:r/>
      <w:bookmarkStart w:id="9" w:name="_Toc162083530"/>
      <w:r>
        <w:rPr>
          <w:rFonts w:hint="eastAsia" w:ascii="仿宋" w:hAnsi="仿宋" w:eastAsia="仿宋"/>
          <w:b/>
          <w:color w:val="auto"/>
          <w:sz w:val="32"/>
          <w:szCs w:val="32"/>
        </w:rPr>
        <w:t xml:space="preserve">开标及评标</w:t>
      </w:r>
      <w:bookmarkEnd w:id="9"/>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.开标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.1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开标仪式由</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投标人在开标过程中</w:t>
      </w:r>
      <w:r>
        <w:rPr>
          <w:rFonts w:hint="eastAsia" w:ascii="仿宋" w:hAnsi="仿宋" w:eastAsia="仿宋"/>
          <w:color w:val="auto"/>
          <w:sz w:val="28"/>
          <w:szCs w:val="28"/>
          <w:lang w:eastAsia="zh-CN"/>
        </w:rPr>
        <w:t xml:space="preserve">涉及</w:t>
      </w:r>
      <w:r>
        <w:rPr>
          <w:rFonts w:hint="eastAsia" w:ascii="仿宋" w:hAnsi="仿宋" w:eastAsia="仿宋"/>
          <w:color w:val="auto"/>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color w:val="auto"/>
          <w:sz w:val="28"/>
          <w:szCs w:val="28"/>
        </w:rPr>
        <w:outlineLvl w:val="9"/>
      </w:pPr>
      <w:r/>
      <w:bookmarkStart w:id="10" w:name="_Toc513029231"/>
      <w:r/>
      <w:bookmarkStart w:id="11" w:name="_Toc16938547"/>
      <w:r/>
      <w:bookmarkStart w:id="12" w:name="_Toc20823303"/>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.评标委员会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将立即组织评标委员会（以下简称评委会）进行评标。</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评委会独立工作，负责评审所有投标文件并确定中标</w:t>
      </w:r>
      <w:r>
        <w:rPr>
          <w:rFonts w:hint="eastAsia" w:ascii="仿宋" w:hAnsi="仿宋" w:eastAsia="仿宋"/>
          <w:color w:val="auto"/>
          <w:sz w:val="28"/>
          <w:szCs w:val="28"/>
          <w:lang w:eastAsia="zh-CN"/>
        </w:rPr>
        <w:t xml:space="preserve">候</w:t>
      </w:r>
      <w:r>
        <w:rPr>
          <w:rFonts w:hint="eastAsia" w:ascii="仿宋" w:hAnsi="仿宋" w:eastAsia="仿宋"/>
          <w:color w:val="auto"/>
          <w:sz w:val="28"/>
          <w:szCs w:val="28"/>
        </w:rPr>
        <w:t xml:space="preserve">选人。</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．评标过程的保密与公正</w:t>
      </w:r>
      <w:bookmarkEnd w:id="10"/>
      <w:r/>
      <w:bookmarkEnd w:id="11"/>
      <w:r/>
      <w:bookmarkEnd w:id="12"/>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凡是与审查、澄清、评价和比较投标的有关资料以及</w:t>
      </w:r>
      <w:r>
        <w:rPr>
          <w:rFonts w:hint="eastAsia" w:ascii="仿宋" w:hAnsi="仿宋" w:eastAsia="仿宋"/>
          <w:color w:val="auto"/>
          <w:sz w:val="28"/>
          <w:szCs w:val="28"/>
          <w:lang w:eastAsia="zh-CN"/>
        </w:rPr>
        <w:t xml:space="preserve">投标</w:t>
      </w:r>
      <w:r>
        <w:rPr>
          <w:rFonts w:hint="eastAsia" w:ascii="仿宋" w:hAnsi="仿宋" w:eastAsia="仿宋"/>
          <w:color w:val="auto"/>
          <w:sz w:val="28"/>
          <w:szCs w:val="28"/>
        </w:rPr>
        <w:t xml:space="preserve">建议等，采购人、评委、</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color w:val="auto"/>
          <w:sz w:val="28"/>
          <w:szCs w:val="28"/>
        </w:rPr>
        <w:outlineLvl w:val="9"/>
      </w:pPr>
      <w:r/>
      <w:bookmarkStart w:id="13" w:name="_Toc20823304"/>
      <w:r/>
      <w:bookmarkStart w:id="14" w:name="_Toc16938548"/>
      <w:r/>
      <w:bookmarkStart w:id="15" w:name="_Toc513029232"/>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．投标文件的澄清</w:t>
      </w:r>
      <w:bookmarkEnd w:id="13"/>
      <w:r/>
      <w:bookmarkEnd w:id="14"/>
      <w:r/>
      <w:bookmarkEnd w:id="15"/>
      <w:r/>
      <w:r/>
    </w:p>
    <w:p>
      <w:pPr>
        <w:ind w:firstLine="560"/>
        <w:keepLines w:val="0"/>
        <w:keepNext w:val="0"/>
        <w:pageBreakBefore w:val="0"/>
        <w:spacing w:line="520" w:lineRule="exact"/>
        <w:rPr>
          <w:rFonts w:ascii="仿宋" w:hAnsi="仿宋" w:eastAsia="仿宋"/>
          <w:color w:val="auto"/>
          <w:sz w:val="28"/>
          <w:szCs w:val="28"/>
        </w:rPr>
        <w:outlineLvl w:val="9"/>
      </w:pPr>
      <w:r/>
      <w:bookmarkStart w:id="16" w:name="_Toc16938549"/>
      <w:r/>
      <w:bookmarkStart w:id="17" w:name="_Toc513029233"/>
      <w:r/>
      <w:bookmarkStart w:id="18" w:name="_Toc20823305"/>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委会并非对每个投标人都做澄清要求</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需要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进行澄清、说明和补正的，评委会将通过苏采云系统向</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.3 接到评委会澄清、说明和补正要求的投标人如未按规定</w:t>
      </w:r>
      <w:r>
        <w:rPr>
          <w:rFonts w:hint="eastAsia" w:ascii="仿宋" w:hAnsi="仿宋" w:eastAsia="仿宋"/>
          <w:color w:val="auto"/>
          <w:sz w:val="28"/>
          <w:szCs w:val="28"/>
          <w:lang w:eastAsia="zh-CN"/>
        </w:rPr>
        <w:t xml:space="preserve">作出</w:t>
      </w:r>
      <w:r>
        <w:rPr>
          <w:rFonts w:hint="eastAsia" w:ascii="仿宋" w:hAnsi="仿宋" w:eastAsia="仿宋"/>
          <w:color w:val="auto"/>
          <w:sz w:val="28"/>
          <w:szCs w:val="28"/>
        </w:rPr>
        <w:t xml:space="preserve">澄清、说明和补正，其风险由投标人自行承担。</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.对投标文件的初审</w:t>
      </w:r>
      <w:bookmarkEnd w:id="16"/>
      <w:r/>
      <w:bookmarkEnd w:id="17"/>
      <w:r/>
      <w:bookmarkEnd w:id="18"/>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查询结果留存并归档。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接受联合体的项目，两个以上的自然人、法人或者其他组织组成一个联合体，以一个</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的身份共同参加政府采购活动的</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.1.3 未通过资格审查或符合性审查的投标人，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将在苏采云系统中告知未通过资格审查或符合性审查的原因，评审结束后，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如果投标文件实质上没有响应招标文件的要求，评委会将予以拒绝，投标人不得通过修改或撤销</w:t>
      </w:r>
      <w:r>
        <w:rPr>
          <w:rFonts w:hint="eastAsia" w:ascii="仿宋" w:hAnsi="仿宋" w:eastAsia="仿宋"/>
          <w:color w:val="auto"/>
          <w:sz w:val="28"/>
          <w:szCs w:val="28"/>
          <w:lang w:eastAsia="zh-CN"/>
        </w:rPr>
        <w:t xml:space="preserve">不符</w:t>
      </w:r>
      <w:r>
        <w:rPr>
          <w:rFonts w:hint="eastAsia" w:ascii="仿宋" w:hAnsi="仿宋" w:eastAsia="仿宋"/>
          <w:color w:val="auto"/>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color w:val="auto"/>
          <w:sz w:val="28"/>
          <w:szCs w:val="28"/>
        </w:rPr>
        <w:outlineLvl w:val="9"/>
      </w:pPr>
      <w:r/>
      <w:bookmarkStart w:id="19" w:name="_Toc513029234"/>
      <w:r/>
      <w:bookmarkStart w:id="20" w:name="_Toc16938550"/>
      <w:r/>
      <w:bookmarkStart w:id="21" w:name="_Toc20823306"/>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w:t>
      </w:r>
      <w:r>
        <w:rPr>
          <w:rFonts w:hint="eastAsia" w:ascii="仿宋" w:hAnsi="仿宋" w:eastAsia="仿宋"/>
          <w:color w:val="auto"/>
          <w:sz w:val="28"/>
          <w:szCs w:val="28"/>
          <w:highlight w:val="none"/>
        </w:rPr>
        <w:t xml:space="preserve">明其中的核心产品</w:t>
      </w:r>
      <w:r>
        <w:rPr>
          <w:rFonts w:ascii="仿宋" w:hAnsi="仿宋" w:eastAsia="仿宋"/>
          <w:color w:val="auto"/>
          <w:sz w:val="28"/>
          <w:szCs w:val="28"/>
          <w:highlight w:val="none"/>
        </w:rPr>
        <w:t xml:space="preserve">。多</w:t>
      </w:r>
      <w:r>
        <w:rPr>
          <w:rFonts w:ascii="仿宋" w:hAnsi="仿宋" w:eastAsia="仿宋"/>
          <w:color w:val="auto"/>
          <w:sz w:val="28"/>
          <w:szCs w:val="28"/>
        </w:rPr>
        <w:t xml:space="preserve">家投标人提供的核心产品品牌相同的，按前两款规定处理。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投标人在开、评标全过程中应保持通讯畅通，及时登录苏采云系统查阅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及评标委员会联系。</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bookmarkEnd w:id="19"/>
      <w:r/>
      <w:bookmarkEnd w:id="20"/>
      <w:r/>
      <w:bookmarkEnd w:id="21"/>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22" w:name="_Toc513029235"/>
      <w:r/>
      <w:bookmarkStart w:id="23" w:name="_Toc20823307"/>
      <w:r/>
      <w:bookmarkStart w:id="24" w:name="_Toc16938551"/>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.1无效投标条款</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未通过符合性审查的。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不符合招标文件中</w:t>
      </w:r>
      <w:r>
        <w:rPr>
          <w:rFonts w:hint="eastAsia" w:ascii="仿宋" w:hAnsi="仿宋" w:eastAsia="仿宋"/>
          <w:color w:val="auto"/>
          <w:sz w:val="28"/>
          <w:szCs w:val="28"/>
          <w:lang w:eastAsia="zh-CN"/>
        </w:rPr>
        <w:t xml:space="preserve">第五章</w:t>
      </w:r>
      <w:r>
        <w:rPr>
          <w:rFonts w:hint="eastAsia" w:ascii="仿宋" w:hAnsi="仿宋" w:eastAsia="仿宋"/>
          <w:color w:val="auto"/>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9</w:t>
      </w:r>
      <w:r>
        <w:rPr>
          <w:rFonts w:hint="eastAsia" w:ascii="仿宋" w:hAnsi="仿宋" w:eastAsia="仿宋"/>
          <w:color w:val="auto"/>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按照第 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.4的要求本项目中具有“强制采购</w:t>
      </w:r>
      <w:r>
        <w:rPr>
          <w:rFonts w:hint="eastAsia" w:ascii="仿宋" w:hAnsi="仿宋" w:eastAsia="仿宋"/>
          <w:color w:val="auto"/>
          <w:sz w:val="28"/>
          <w:szCs w:val="28"/>
        </w:rPr>
        <w:t xml:space="preserve">”产品，但未提供经国家确定的认证机构出具的、处于有效期之内该节能产品认证证书图片的；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ascii="仿宋" w:hAnsi="仿宋" w:eastAsia="仿宋"/>
          <w:color w:val="auto"/>
          <w:sz w:val="28"/>
          <w:szCs w:val="28"/>
        </w:rPr>
        <w:t xml:space="preserve">2</w:t>
      </w:r>
      <w:r>
        <w:rPr>
          <w:rFonts w:hint="eastAsia" w:ascii="仿宋" w:hAnsi="仿宋" w:eastAsia="仿宋"/>
          <w:color w:val="auto"/>
          <w:sz w:val="28"/>
          <w:szCs w:val="28"/>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26.1.13 投标人未完全满足第五章项目采购需求“技术和服务指标要求”中带星号（“★”）的指标要求。</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highlight w:val="none"/>
          <w:lang w:val="en-US" w:eastAsia="zh-CN"/>
        </w:rPr>
        <w:t xml:space="preserve">26.1.14 投标人未完全按照第五章项目采购需求“技术和服务指标要求”中带星号（“</w:t>
      </w:r>
      <w:r>
        <w:rPr>
          <w:rFonts w:hint="eastAsia" w:ascii="仿宋" w:hAnsi="仿宋" w:eastAsia="仿宋"/>
          <w:color w:val="auto"/>
          <w:sz w:val="28"/>
          <w:szCs w:val="28"/>
          <w:lang w:val="en-US" w:eastAsia="zh-CN"/>
        </w:rPr>
        <w:t xml:space="preserve">★”）要求提供相关承诺函的。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其他</w:t>
      </w:r>
      <w:r>
        <w:rPr>
          <w:rFonts w:hint="eastAsia" w:ascii="仿宋" w:hAnsi="仿宋" w:eastAsia="仿宋"/>
          <w:color w:val="auto"/>
          <w:sz w:val="28"/>
          <w:szCs w:val="28"/>
          <w:lang w:eastAsia="zh-CN"/>
        </w:rPr>
        <w:t xml:space="preserve">法律法规</w:t>
      </w:r>
      <w:r>
        <w:rPr>
          <w:rFonts w:hint="eastAsia" w:ascii="仿宋" w:hAnsi="仿宋" w:eastAsia="仿宋"/>
          <w:color w:val="auto"/>
          <w:sz w:val="28"/>
          <w:szCs w:val="28"/>
        </w:rPr>
        <w:t xml:space="preserve">及本招标文件规定的</w:t>
      </w:r>
      <w:r>
        <w:rPr>
          <w:rFonts w:hint="eastAsia" w:ascii="仿宋" w:hAnsi="仿宋" w:eastAsia="仿宋"/>
          <w:color w:val="auto"/>
          <w:sz w:val="28"/>
          <w:szCs w:val="28"/>
          <w:lang w:eastAsia="zh-CN"/>
        </w:rPr>
        <w:t xml:space="preserve">属于</w:t>
      </w:r>
      <w:r>
        <w:rPr>
          <w:rFonts w:hint="eastAsia" w:ascii="仿宋" w:hAnsi="仿宋" w:eastAsia="仿宋"/>
          <w:color w:val="auto"/>
          <w:sz w:val="28"/>
          <w:szCs w:val="28"/>
        </w:rPr>
        <w:t xml:space="preserve">无效投标的情形。</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废标条款</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符合专业条件的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或者对招标文件作实质响应的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因重大变故，采购任务取消的。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.2.5 因苏采云</w:t>
      </w:r>
      <w:r>
        <w:rPr>
          <w:rFonts w:hint="eastAsia" w:ascii="仿宋" w:hAnsi="仿宋" w:eastAsia="仿宋"/>
          <w:color w:val="auto"/>
          <w:sz w:val="28"/>
          <w:szCs w:val="28"/>
          <w:lang w:eastAsia="zh-CN"/>
        </w:rPr>
        <w:t xml:space="preserve">系统故障</w:t>
      </w:r>
      <w:r>
        <w:rPr>
          <w:rFonts w:ascii="仿宋" w:hAnsi="仿宋" w:eastAsia="仿宋"/>
          <w:color w:val="auto"/>
          <w:sz w:val="28"/>
          <w:szCs w:val="28"/>
        </w:rPr>
        <w:t xml:space="preserve">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 投标截止时间结束后参加投标的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不足三家的处理：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如出现投标截止时间结束后参加投标的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或者在评标期间对招标文件做出实质响应的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不足三家情况，按政府采购相关规定执行。</w:t>
      </w:r>
      <w:bookmarkEnd w:id="22"/>
      <w:r/>
      <w:bookmarkEnd w:id="23"/>
      <w:r/>
      <w:bookmarkEnd w:id="24"/>
      <w:r/>
      <w:r/>
    </w:p>
    <w:p>
      <w:pPr>
        <w:numPr>
          <w:ilvl w:val="0"/>
          <w:numId w:val="4"/>
        </w:numPr>
        <w:ind w:firstLine="482"/>
        <w:keepLines w:val="0"/>
        <w:keepNext w:val="0"/>
        <w:pageBreakBefore w:val="0"/>
        <w:spacing w:line="520" w:lineRule="exact"/>
        <w:rPr>
          <w:rFonts w:ascii="仿宋" w:hAnsi="仿宋" w:eastAsia="仿宋"/>
          <w:b/>
          <w:color w:val="auto"/>
          <w:sz w:val="32"/>
          <w:szCs w:val="32"/>
        </w:rPr>
        <w:outlineLvl w:val="9"/>
      </w:pPr>
      <w:r/>
      <w:bookmarkStart w:id="25" w:name="_Toc120614219"/>
      <w:r>
        <w:rPr>
          <w:rFonts w:hint="eastAsia" w:ascii="仿宋" w:hAnsi="仿宋" w:eastAsia="仿宋"/>
          <w:b/>
          <w:color w:val="auto"/>
          <w:sz w:val="32"/>
          <w:szCs w:val="32"/>
        </w:rPr>
        <w:t xml:space="preserve">定标</w:t>
      </w:r>
      <w:bookmarkEnd w:id="25"/>
      <w:r/>
      <w:r/>
    </w:p>
    <w:p>
      <w:pPr>
        <w:keepLines w:val="0"/>
        <w:keepNext w:val="0"/>
        <w:pageBreakBefore w:val="0"/>
        <w:spacing w:line="520" w:lineRule="exact"/>
        <w:rPr>
          <w:rFonts w:ascii="仿宋" w:hAnsi="仿宋" w:eastAsia="仿宋"/>
          <w:color w:val="auto"/>
          <w:sz w:val="28"/>
          <w:szCs w:val="28"/>
        </w:rPr>
        <w:outlineLvl w:val="9"/>
      </w:pPr>
      <w:r/>
      <w:bookmarkStart w:id="26" w:name="_Toc513029238"/>
      <w:r/>
      <w:bookmarkStart w:id="27" w:name="_Toc16938554"/>
      <w:r/>
      <w:bookmarkStart w:id="28" w:name="_Toc20823310"/>
      <w:r>
        <w:rPr>
          <w:rFonts w:hint="eastAsia" w:ascii="仿宋" w:hAnsi="仿宋" w:eastAsia="仿宋"/>
          <w:color w:val="auto"/>
          <w:sz w:val="28"/>
          <w:szCs w:val="28"/>
        </w:rPr>
        <w:t xml:space="preserve">2</w:t>
      </w:r>
      <w:bookmarkEnd w:id="26"/>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.确定</w:t>
      </w:r>
      <w:bookmarkEnd w:id="27"/>
      <w:r/>
      <w:bookmarkEnd w:id="28"/>
      <w:r>
        <w:rPr>
          <w:rFonts w:hint="eastAsia" w:ascii="仿宋" w:hAnsi="仿宋" w:eastAsia="仿宋"/>
          <w:color w:val="auto"/>
          <w:sz w:val="28"/>
          <w:szCs w:val="28"/>
        </w:rPr>
        <w:t xml:space="preserve">中标单位</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提供虚假材料谋取中标的。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向采购人、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行贿或者提供其他不正当利益的。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与采购人或者其他</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恶意串通的。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采取不正当手段诋毁、排挤其他</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的。</w:t>
      </w:r>
      <w:r/>
    </w:p>
    <w:p>
      <w:pPr>
        <w:ind w:firstLine="560"/>
        <w:keepLines w:val="0"/>
        <w:keepNext w:val="0"/>
        <w:pageBreakBefore w:val="0"/>
        <w:spacing w:line="520" w:lineRule="exact"/>
        <w:rPr>
          <w:rFonts w:ascii="仿宋" w:hAnsi="仿宋" w:eastAsia="仿宋"/>
          <w:color w:val="auto"/>
          <w:sz w:val="28"/>
          <w:szCs w:val="28"/>
        </w:rPr>
        <w:outlineLvl w:val="9"/>
      </w:pPr>
      <w:r/>
      <w:bookmarkStart w:id="29" w:name="_Toc20045196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.5.4不同投标人的投标文件异常一致或者投标报价呈规律性差异；</w:t>
      </w:r>
      <w:bookmarkEnd w:id="29"/>
      <w:r/>
      <w:r/>
    </w:p>
    <w:p>
      <w:pPr>
        <w:keepLines w:val="0"/>
        <w:keepNext w:val="0"/>
        <w:pageBreakBefore w:val="0"/>
        <w:spacing w:line="520" w:lineRule="exact"/>
        <w:rPr>
          <w:rFonts w:ascii="仿宋" w:hAnsi="仿宋" w:eastAsia="仿宋" w:cs="Times New Roman"/>
          <w:color w:val="auto"/>
          <w:sz w:val="28"/>
          <w:szCs w:val="28"/>
        </w:rPr>
        <w:outlineLvl w:val="9"/>
      </w:pPr>
      <w:r>
        <w:rPr>
          <w:rFonts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．质疑处理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.1</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.3</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.4</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质疑投标人在法定质疑期内应当一次性针对同一采购环节提出质疑</w:t>
      </w:r>
      <w:r>
        <w:rPr>
          <w:rFonts w:hint="eastAsia" w:ascii="仿宋" w:hAnsi="仿宋" w:eastAsia="仿宋" w:cs="Times New Roman"/>
          <w:color w:val="auto"/>
          <w:sz w:val="28"/>
          <w:szCs w:val="28"/>
          <w:lang w:eastAsia="zh-CN"/>
        </w:rPr>
        <w:t xml:space="preserve">，</w:t>
      </w:r>
      <w:r>
        <w:rPr>
          <w:rFonts w:hint="eastAsia" w:ascii="仿宋" w:hAnsi="仿宋" w:eastAsia="仿宋" w:cs="Times New Roman"/>
          <w:color w:val="auto"/>
          <w:sz w:val="28"/>
          <w:szCs w:val="28"/>
        </w:rPr>
        <w:t xml:space="preserve">若质疑</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.5</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质疑函应当包括以下主要内容，附上相关证明材料。否则，</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（4）事实依据；</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（5）必要的法律依据；</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（6）提起质疑的日期；</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.6</w:t>
      </w:r>
      <w:r>
        <w:rPr>
          <w:rFonts w:hint="eastAsia" w:ascii="仿宋" w:hAnsi="仿宋" w:eastAsia="仿宋" w:cs="Times New Roman"/>
          <w:color w:val="auto"/>
          <w:sz w:val="28"/>
          <w:szCs w:val="28"/>
          <w:lang w:val="en-US" w:eastAsia="zh-CN"/>
        </w:rPr>
        <w:t xml:space="preserve"> 投标人</w:t>
      </w:r>
      <w:r>
        <w:rPr>
          <w:rFonts w:hint="eastAsia" w:ascii="仿宋" w:hAnsi="仿宋" w:eastAsia="仿宋" w:cs="Times New Roman"/>
          <w:color w:val="auto"/>
          <w:sz w:val="28"/>
          <w:szCs w:val="28"/>
        </w:rPr>
        <w:t xml:space="preserve">（含潜在</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）对采购方式、采购需求、</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资格条件、评审方法与评审标准、合同文本的询问、质疑请向采购人提出，由采购人负责答复。</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对其他事项的询问、质疑请向</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提出，由</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负责答复。</w:t>
      </w:r>
      <w:r/>
    </w:p>
    <w:p>
      <w:pPr>
        <w:ind w:firstLine="560"/>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.7</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收到质疑函后，将对质疑的形式和内容进行审查，如质疑函内容、格式不符合规定，</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有权不予受理。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对于内容、格式符合规定的质疑函，</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.8</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投标人提出的质疑必须有理、有据，不得恶意质疑或提交虚假质疑。否则，一经查实，</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.中标通知书</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.l</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中标结果确定后，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将向中标人发出中标通知书。请中标人在中标结果公告届满之日起30日内</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因未及时下载而造成的不利后果由中标人自行承担。</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中标通知书将是合同的一个组成部分。对采购人和中标</w:t>
      </w:r>
      <w:r>
        <w:rPr>
          <w:rFonts w:hint="eastAsia" w:ascii="仿宋" w:hAnsi="仿宋" w:eastAsia="仿宋"/>
          <w:color w:val="auto"/>
          <w:sz w:val="28"/>
          <w:szCs w:val="28"/>
          <w:lang w:eastAsia="zh-CN"/>
        </w:rPr>
        <w:t xml:space="preserve">人</w:t>
      </w:r>
      <w:r>
        <w:rPr>
          <w:rFonts w:hint="eastAsia" w:ascii="仿宋" w:hAnsi="仿宋" w:eastAsia="仿宋"/>
          <w:color w:val="auto"/>
          <w:sz w:val="28"/>
          <w:szCs w:val="28"/>
        </w:rPr>
        <w:t xml:space="preserve">均具有法律效力。中标通知书发出后，采购人改变中标结果的，或者中标</w:t>
      </w:r>
      <w:r>
        <w:rPr>
          <w:rFonts w:hint="eastAsia" w:ascii="仿宋" w:hAnsi="仿宋" w:eastAsia="仿宋"/>
          <w:color w:val="auto"/>
          <w:sz w:val="28"/>
          <w:szCs w:val="28"/>
          <w:lang w:eastAsia="zh-CN"/>
        </w:rPr>
        <w:t xml:space="preserve">人</w:t>
      </w:r>
      <w:r>
        <w:rPr>
          <w:rFonts w:hint="eastAsia" w:ascii="仿宋" w:hAnsi="仿宋" w:eastAsia="仿宋"/>
          <w:color w:val="auto"/>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color w:val="auto"/>
          <w:sz w:val="32"/>
          <w:szCs w:val="32"/>
        </w:rPr>
        <w:outlineLvl w:val="9"/>
      </w:pPr>
      <w:r/>
      <w:bookmarkStart w:id="30" w:name="_Toc20823308"/>
      <w:r/>
      <w:bookmarkStart w:id="31" w:name="_Toc513029236"/>
      <w:r/>
      <w:bookmarkStart w:id="32" w:name="_Toc16938552"/>
      <w:r/>
      <w:bookmarkStart w:id="33" w:name="_Toc120614220"/>
      <w:r>
        <w:rPr>
          <w:rFonts w:hint="eastAsia" w:ascii="仿宋" w:hAnsi="仿宋" w:eastAsia="仿宋"/>
          <w:b/>
          <w:color w:val="auto"/>
          <w:sz w:val="32"/>
          <w:szCs w:val="32"/>
        </w:rPr>
        <w:t xml:space="preserve">授予合同</w:t>
      </w:r>
      <w:bookmarkEnd w:id="30"/>
      <w:r/>
      <w:bookmarkEnd w:id="31"/>
      <w:r/>
      <w:bookmarkEnd w:id="32"/>
      <w:r/>
      <w:bookmarkEnd w:id="33"/>
      <w:r/>
      <w:r/>
    </w:p>
    <w:p>
      <w:pPr>
        <w:keepLines w:val="0"/>
        <w:keepNext w:val="0"/>
        <w:pageBreakBefore w:val="0"/>
        <w:spacing w:line="520" w:lineRule="exact"/>
        <w:rPr>
          <w:rFonts w:ascii="仿宋" w:hAnsi="仿宋" w:eastAsia="仿宋"/>
          <w:color w:val="auto"/>
          <w:sz w:val="28"/>
          <w:szCs w:val="28"/>
        </w:rPr>
        <w:outlineLvl w:val="9"/>
      </w:pPr>
      <w:r/>
      <w:bookmarkStart w:id="34" w:name="_Toc513029237"/>
      <w:r/>
      <w:bookmarkStart w:id="35" w:name="_Toc16938553"/>
      <w:r/>
      <w:bookmarkStart w:id="36" w:name="_Toc20823309"/>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 签订合同</w:t>
      </w:r>
      <w:r>
        <w:rPr>
          <w:rFonts w:hint="eastAsia" w:ascii="仿宋" w:hAnsi="仿宋" w:eastAsia="仿宋"/>
          <w:color w:val="auto"/>
          <w:sz w:val="28"/>
          <w:szCs w:val="28"/>
        </w:rPr>
        <w:tab/>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.l</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End w:id="35"/>
      <w:r/>
      <w:bookmarkEnd w:id="36"/>
      <w:r/>
      <w:r/>
    </w:p>
    <w:p>
      <w:pPr>
        <w:keepLines w:val="0"/>
        <w:keepNext w:val="0"/>
        <w:pageBreakBefore w:val="0"/>
        <w:spacing w:line="520" w:lineRule="exact"/>
        <w:rPr>
          <w:rFonts w:hint="eastAsia" w:ascii="仿宋" w:hAnsi="仿宋" w:eastAsia="仿宋"/>
          <w:b/>
          <w:bCs/>
          <w:color w:val="auto"/>
          <w:sz w:val="32"/>
          <w:szCs w:val="28"/>
        </w:rPr>
        <w:outlineLvl w:val="9"/>
      </w:pPr>
      <w:r>
        <w:rPr>
          <w:rFonts w:hint="eastAsia" w:ascii="仿宋" w:hAnsi="仿宋" w:eastAsia="仿宋"/>
          <w:b/>
          <w:bCs/>
          <w:color w:val="auto"/>
          <w:sz w:val="32"/>
          <w:szCs w:val="28"/>
        </w:rPr>
        <w:t xml:space="preserve">八、政府采购政策功能落实</w:t>
      </w:r>
      <w:r/>
    </w:p>
    <w:p>
      <w:pPr>
        <w:pStyle w:val="914"/>
        <w:ind w:left="0" w:firstLine="0"/>
        <w:spacing w:line="520" w:lineRule="exact"/>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rPr>
        <w:t xml:space="preserve">32.</w:t>
      </w:r>
      <w:r>
        <w:rPr>
          <w:rFonts w:hint="eastAsia" w:ascii="仿宋" w:hAnsi="仿宋" w:eastAsia="仿宋"/>
          <w:color w:val="auto"/>
          <w:sz w:val="28"/>
          <w:szCs w:val="28"/>
          <w:highlight w:val="none"/>
        </w:rPr>
        <w:t xml:space="preserve">履约保证金</w:t>
      </w:r>
      <w:r/>
    </w:p>
    <w:p>
      <w:pPr>
        <w:pStyle w:val="914"/>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bidi="ar-SA"/>
        </w:rPr>
        <w:t xml:space="preserve">32.1乙方交纳</w:t>
      </w:r>
      <w:r>
        <w:rPr>
          <w:rFonts w:hint="eastAsia" w:ascii="仿宋" w:hAnsi="仿宋" w:eastAsia="仿宋" w:cs="Times New Roman"/>
          <w:color w:val="auto"/>
          <w:sz w:val="28"/>
          <w:szCs w:val="28"/>
          <w:u w:val="single"/>
          <w:lang w:val="en-US" w:eastAsia="zh-CN" w:bidi="ar-SA"/>
        </w:rPr>
        <w:t xml:space="preserve">合同金额的5%</w:t>
      </w:r>
      <w:r>
        <w:rPr>
          <w:rFonts w:hint="eastAsia" w:ascii="仿宋" w:hAnsi="仿宋" w:eastAsia="仿宋" w:cs="Times New Roman"/>
          <w:color w:val="auto"/>
          <w:sz w:val="28"/>
          <w:szCs w:val="28"/>
          <w:lang w:val="en-US" w:eastAsia="zh-CN" w:bidi="ar-SA"/>
        </w:rPr>
        <w:t xml:space="preserve">作为本合同的履约保证金。（不得超过合同金额的10%）</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促进中小企业发展</w:t>
      </w:r>
      <w:r>
        <w:rPr>
          <w:rFonts w:hint="eastAsia" w:ascii="仿宋" w:hAnsi="仿宋" w:eastAsia="仿宋"/>
          <w:color w:val="auto"/>
          <w:sz w:val="28"/>
          <w:szCs w:val="28"/>
        </w:rPr>
        <w:t xml:space="preserve">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小微型企业价格扣除</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（2）在服务采购项目中，服务由中小企业承接，即提供服务的人员为中小企业依照</w:t>
      </w:r>
      <w:r>
        <w:rPr>
          <w:rFonts w:hint="eastAsia" w:ascii="仿宋" w:hAnsi="仿宋" w:eastAsia="仿宋"/>
          <w:color w:val="auto"/>
          <w:sz w:val="28"/>
          <w:szCs w:val="28"/>
          <w:highlight w:val="none"/>
        </w:rPr>
        <w:t xml:space="preserve">《中华人民共和国劳动合同法》</w:t>
      </w:r>
      <w:r>
        <w:rPr>
          <w:rFonts w:hint="eastAsia" w:ascii="仿宋" w:hAnsi="仿宋" w:eastAsia="仿宋"/>
          <w:color w:val="auto"/>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在货物采购项目中，</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联合体及分包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.3小微型企业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（2）企业标准请参照《政府采购促进中小企业发展管理办法》（财库</w:t>
      </w:r>
      <w:r>
        <w:rPr>
          <w:rFonts w:hint="eastAsia" w:ascii="仿宋" w:hAnsi="仿宋" w:eastAsia="仿宋"/>
          <w:color w:val="auto"/>
          <w:sz w:val="28"/>
          <w:szCs w:val="28"/>
          <w:lang w:eastAsia="zh-CN"/>
        </w:rPr>
        <w:t xml:space="preserve">〔2020〕46号</w:t>
      </w:r>
      <w:r>
        <w:rPr>
          <w:rFonts w:hint="eastAsia" w:ascii="仿宋" w:hAnsi="仿宋" w:eastAsia="仿宋"/>
          <w:color w:val="auto"/>
          <w:sz w:val="28"/>
          <w:szCs w:val="28"/>
        </w:rPr>
        <w:t xml:space="preserve">）文件规定自行填写。</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.5监狱和戒毒企业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（2）监狱企业标准请参照《关于政府采购支持监狱企业发展有关问题的通知》（财库</w:t>
      </w:r>
      <w:r>
        <w:rPr>
          <w:rFonts w:hint="eastAsia" w:ascii="仿宋" w:hAnsi="仿宋" w:eastAsia="仿宋"/>
          <w:color w:val="auto"/>
          <w:sz w:val="28"/>
          <w:szCs w:val="28"/>
          <w:lang w:eastAsia="zh-CN"/>
        </w:rPr>
        <w:t xml:space="preserve">〔2014〕68号</w:t>
      </w:r>
      <w:r>
        <w:rPr>
          <w:rFonts w:hint="eastAsia" w:ascii="仿宋" w:hAnsi="仿宋" w:eastAsia="仿宋"/>
          <w:color w:val="auto"/>
          <w:sz w:val="28"/>
          <w:szCs w:val="28"/>
        </w:rPr>
        <w:t xml:space="preserve">）。</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 节能、环保政策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本项目中实行“强制采</w:t>
      </w:r>
      <w:r>
        <w:rPr>
          <w:rFonts w:hint="eastAsia" w:ascii="仿宋" w:hAnsi="仿宋" w:eastAsia="仿宋"/>
          <w:color w:val="auto"/>
          <w:sz w:val="28"/>
          <w:szCs w:val="28"/>
        </w:rPr>
        <w:t xml:space="preserve">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w:t>
      </w:r>
      <w:r>
        <w:rPr>
          <w:rFonts w:hint="eastAsia" w:ascii="仿宋" w:hAnsi="仿宋" w:eastAsia="仿宋"/>
          <w:color w:val="auto"/>
          <w:sz w:val="28"/>
          <w:lang w:val="en-US" w:eastAsia="zh-CN"/>
        </w:rPr>
        <w:t xml:space="preserve">节能</w:t>
      </w:r>
      <w:r>
        <w:rPr>
          <w:rFonts w:hint="eastAsia" w:ascii="仿宋" w:hAnsi="仿宋" w:eastAsia="仿宋"/>
          <w:color w:val="auto"/>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5</w:t>
      </w:r>
      <w:r>
        <w:rPr>
          <w:rFonts w:hint="eastAsia" w:ascii="仿宋" w:hAnsi="仿宋" w:eastAsia="仿宋"/>
          <w:bCs/>
          <w:color w:val="auto"/>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30"/>
        <w:ind w:left="0" w:firstLine="560"/>
        <w:keepLines w:val="0"/>
        <w:keepNext w:val="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本项目中涉及商品的</w:t>
      </w:r>
      <w:r>
        <w:rPr>
          <w:rFonts w:ascii="仿宋" w:hAnsi="仿宋" w:eastAsia="仿宋"/>
          <w:color w:val="auto"/>
          <w:sz w:val="28"/>
          <w:szCs w:val="28"/>
        </w:rPr>
        <w:t xml:space="preserve">包装应按照“财办库〔2020〕123号《关于印发《商品包装政府采购需求标准（试行）</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快递包装政府采购需求标准（试行）》的通知》”执行</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在供货、安装过程中能</w:t>
      </w:r>
      <w:r>
        <w:rPr>
          <w:rFonts w:hint="eastAsia" w:ascii="仿宋" w:hAnsi="仿宋" w:eastAsia="仿宋"/>
          <w:color w:val="auto"/>
          <w:sz w:val="28"/>
          <w:szCs w:val="28"/>
          <w:lang w:eastAsia="zh-CN"/>
        </w:rPr>
        <w:t xml:space="preserve">够</w:t>
      </w:r>
      <w:r>
        <w:rPr>
          <w:rFonts w:hint="eastAsia" w:ascii="仿宋" w:hAnsi="仿宋" w:eastAsia="仿宋"/>
          <w:color w:val="auto"/>
          <w:sz w:val="28"/>
          <w:szCs w:val="28"/>
        </w:rPr>
        <w:t xml:space="preserve">做到低碳物流、环保节约、提高资源利用率；涉及设备运维参考《绿色数据中心政府采购需求标准（试行）》（财库</w:t>
      </w:r>
      <w:r>
        <w:rPr>
          <w:rFonts w:hint="eastAsia" w:ascii="仿宋" w:hAnsi="仿宋" w:eastAsia="仿宋"/>
          <w:color w:val="auto"/>
          <w:sz w:val="28"/>
          <w:szCs w:val="28"/>
          <w:lang w:eastAsia="zh-CN"/>
        </w:rPr>
        <w:t xml:space="preserve">〔2023〕7号</w:t>
      </w:r>
      <w:r>
        <w:rPr>
          <w:rFonts w:hint="eastAsia" w:ascii="仿宋" w:hAnsi="仿宋" w:eastAsia="仿宋"/>
          <w:color w:val="auto"/>
          <w:sz w:val="28"/>
          <w:szCs w:val="28"/>
        </w:rPr>
        <w:t xml:space="preserve">文）执行。</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3</w:t>
      </w:r>
      <w:r>
        <w:rPr>
          <w:rFonts w:hint="eastAsia" w:ascii="仿宋" w:hAnsi="仿宋" w:eastAsia="仿宋" w:cs="Times New Roman"/>
          <w:bCs/>
          <w:color w:val="auto"/>
          <w:sz w:val="28"/>
          <w:szCs w:val="28"/>
          <w:lang w:val="en-US" w:eastAsia="zh-CN"/>
        </w:rPr>
        <w:t xml:space="preserve">6</w:t>
      </w:r>
      <w:r>
        <w:rPr>
          <w:rFonts w:hint="eastAsia" w:ascii="仿宋" w:hAnsi="仿宋" w:eastAsia="仿宋" w:cs="Times New Roman"/>
          <w:bCs/>
          <w:color w:val="auto"/>
          <w:sz w:val="28"/>
          <w:szCs w:val="28"/>
        </w:rPr>
        <w:t xml:space="preserve">. 履约资金扶持政策</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30"/>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37.</w:t>
      </w:r>
      <w:r>
        <w:rPr>
          <w:rFonts w:hint="eastAsia" w:ascii="仿宋" w:hAnsi="仿宋" w:eastAsia="仿宋"/>
          <w:color w:val="auto"/>
          <w:sz w:val="28"/>
          <w:szCs w:val="28"/>
        </w:rPr>
        <w:t xml:space="preserve">采购本国产品的支持政策</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93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930"/>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cs="Times New Roman"/>
          <w:b/>
          <w:color w:val="auto"/>
          <w:sz w:val="36"/>
          <w:szCs w:val="36"/>
        </w:rPr>
        <w:outlineLvl w:val="9"/>
      </w:pPr>
      <w:r>
        <w:rPr>
          <w:rFonts w:hint="eastAsia" w:ascii="仿宋" w:hAnsi="仿宋" w:eastAsia="仿宋"/>
          <w:color w:val="auto"/>
          <w:sz w:val="28"/>
          <w:szCs w:val="28"/>
        </w:rPr>
        <w:br w:type="page" w:clear="all"/>
      </w:r>
      <w:r>
        <w:rPr>
          <w:rFonts w:hint="eastAsia" w:ascii="仿宋" w:hAnsi="仿宋" w:eastAsia="仿宋"/>
          <w:b/>
          <w:color w:val="auto"/>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为中标候选人的评标方法。</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rPr>
        <w:t xml:space="preserve"> 由评标委员会</w:t>
      </w:r>
      <w:r>
        <w:rPr>
          <w:rFonts w:hint="eastAsia" w:ascii="仿宋" w:hAnsi="仿宋" w:eastAsia="仿宋"/>
          <w:color w:val="auto"/>
          <w:sz w:val="28"/>
          <w:szCs w:val="28"/>
        </w:rPr>
        <w:t xml:space="preserve">通过随机抽取的方式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中标候选人。</w:t>
      </w:r>
      <w:r/>
    </w:p>
    <w:p>
      <w:pPr>
        <w:numPr>
          <w:ilvl w:val="0"/>
          <w:numId w:val="5"/>
        </w:num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具体标准:</w:t>
      </w:r>
      <w:r/>
    </w:p>
    <w:p>
      <w:pPr>
        <w:ind w:firstLine="495"/>
        <w:spacing w:line="520" w:lineRule="exact"/>
        <w:rPr>
          <w:rFonts w:ascii="仿宋" w:hAnsi="仿宋" w:eastAsia="仿宋"/>
          <w:color w:val="auto"/>
          <w:sz w:val="28"/>
        </w:rPr>
      </w:pPr>
      <w:r>
        <w:rPr>
          <w:rFonts w:hint="eastAsia" w:ascii="仿宋" w:hAnsi="仿宋" w:eastAsia="仿宋"/>
          <w:color w:val="auto"/>
          <w:sz w:val="28"/>
        </w:rPr>
        <w:t xml:space="preserve">1、价格:</w:t>
      </w:r>
      <w:r>
        <w:rPr>
          <w:rFonts w:hint="eastAsia" w:ascii="仿宋" w:hAnsi="仿宋" w:eastAsia="仿宋"/>
          <w:color w:val="auto"/>
          <w:sz w:val="28"/>
          <w:lang w:val="en-US" w:eastAsia="zh-CN"/>
        </w:rPr>
        <w:t xml:space="preserve">40</w:t>
      </w:r>
      <w:r>
        <w:rPr>
          <w:rFonts w:hint="eastAsia" w:ascii="仿宋" w:hAnsi="仿宋" w:eastAsia="仿宋"/>
          <w:color w:val="auto"/>
          <w:sz w:val="28"/>
        </w:rPr>
        <w:t xml:space="preserve">分</w:t>
      </w:r>
      <w:r/>
    </w:p>
    <w:p>
      <w:pPr>
        <w:pStyle w:val="740"/>
        <w:ind w:firstLine="560"/>
        <w:spacing w:line="520" w:lineRule="exact"/>
        <w:rPr>
          <w:rFonts w:ascii="仿宋" w:hAnsi="仿宋" w:eastAsia="仿宋"/>
          <w:color w:val="auto"/>
        </w:rPr>
      </w:pPr>
      <w:r>
        <w:rPr>
          <w:rFonts w:hint="eastAsia" w:ascii="仿宋" w:hAnsi="仿宋" w:eastAsia="仿宋"/>
          <w:color w:val="auto"/>
        </w:rPr>
        <w:t xml:space="preserve">采用低价优先法计算，即满足招标文件要求且投标价格最低的投标报价为评标基准价，其价格分为满分。其他投标人的价格分统一按照下列公式计算（小数点保留两位）:</w:t>
      </w:r>
      <w:r/>
    </w:p>
    <w:p>
      <w:pPr>
        <w:pStyle w:val="740"/>
        <w:ind w:firstLine="560"/>
        <w:spacing w:line="520" w:lineRule="exact"/>
        <w:rPr>
          <w:rFonts w:ascii="仿宋" w:hAnsi="仿宋" w:eastAsia="仿宋"/>
          <w:color w:val="auto"/>
        </w:rPr>
      </w:pPr>
      <w:r>
        <w:rPr>
          <w:rFonts w:hint="eastAsia" w:ascii="仿宋" w:hAnsi="仿宋" w:eastAsia="仿宋"/>
          <w:color w:val="auto"/>
        </w:rPr>
        <w:t xml:space="preserve">投标报价得分＝（评标基准价/投标报价）×</w:t>
      </w:r>
      <w:r>
        <w:rPr>
          <w:rFonts w:hint="eastAsia" w:ascii="仿宋" w:hAnsi="仿宋" w:eastAsia="仿宋"/>
          <w:color w:val="auto"/>
          <w:lang w:val="en-US" w:eastAsia="zh-CN"/>
        </w:rPr>
        <w:t xml:space="preserve">40</w:t>
      </w:r>
      <w:r>
        <w:rPr>
          <w:rFonts w:hint="eastAsia" w:ascii="仿宋" w:hAnsi="仿宋" w:eastAsia="仿宋"/>
          <w:color w:val="auto"/>
        </w:rPr>
        <w:t xml:space="preserve">分</w:t>
      </w:r>
      <w:r/>
    </w:p>
    <w:p>
      <w:pPr>
        <w:numPr>
          <w:ilvl w:val="0"/>
          <w:numId w:val="6"/>
        </w:num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技术部分:</w:t>
      </w:r>
      <w:r>
        <w:rPr>
          <w:rFonts w:hint="eastAsia" w:ascii="仿宋" w:hAnsi="仿宋" w:eastAsia="仿宋"/>
          <w:color w:val="auto"/>
          <w:sz w:val="28"/>
          <w:lang w:val="en-US" w:eastAsia="zh-CN"/>
        </w:rPr>
        <w:t xml:space="preserve">20</w:t>
      </w:r>
      <w:r>
        <w:rPr>
          <w:rFonts w:hint="eastAsia" w:ascii="仿宋" w:hAnsi="仿宋" w:eastAsia="仿宋"/>
          <w:color w:val="auto"/>
          <w:sz w:val="28"/>
        </w:rPr>
        <w:t xml:space="preserve">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zh-CN"/>
        </w:rPr>
        <w:t xml:space="preserve">投标人所投产品技术参数完全满足招标文件第五章</w:t>
      </w:r>
      <w:r>
        <w:rPr>
          <w:rFonts w:hint="eastAsia" w:ascii="仿宋" w:hAnsi="仿宋" w:eastAsia="仿宋"/>
          <w:color w:val="auto"/>
          <w:sz w:val="28"/>
          <w:szCs w:val="28"/>
          <w:lang w:val="en-US" w:eastAsia="zh-CN"/>
        </w:rPr>
        <w:t xml:space="preserve">采购需求</w:t>
      </w:r>
      <w:r>
        <w:rPr>
          <w:rFonts w:hint="eastAsia" w:ascii="仿宋" w:hAnsi="仿宋" w:eastAsia="仿宋"/>
          <w:color w:val="auto"/>
          <w:sz w:val="28"/>
          <w:szCs w:val="28"/>
          <w:lang w:val="zh-CN"/>
        </w:rPr>
        <w:t xml:space="preserve">中标注“★”</w:t>
      </w:r>
      <w:r>
        <w:rPr>
          <w:rFonts w:hint="eastAsia" w:ascii="仿宋" w:hAnsi="仿宋" w:eastAsia="仿宋"/>
          <w:color w:val="auto"/>
          <w:sz w:val="28"/>
          <w:szCs w:val="28"/>
        </w:rPr>
        <w:t xml:space="preserve">项，未完全满足的作无效投标处理。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（2）投标人所投产品技术参数完全满足招标文件第五章采购需求中标注“▲”项</w:t>
      </w:r>
      <w:r>
        <w:rPr>
          <w:rFonts w:hint="eastAsia" w:ascii="仿宋" w:hAnsi="仿宋" w:eastAsia="仿宋"/>
          <w:color w:val="auto"/>
          <w:sz w:val="28"/>
          <w:szCs w:val="28"/>
          <w:lang w:val="zh-CN"/>
        </w:rPr>
        <w:t xml:space="preserve">技术参数要求的得</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lang w:val="zh-CN"/>
        </w:rPr>
        <w:t xml:space="preserve">分，每有一项负偏离扣</w:t>
      </w: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分，</w:t>
      </w:r>
      <w:r>
        <w:rPr>
          <w:rFonts w:hint="eastAsia" w:ascii="仿宋" w:hAnsi="仿宋" w:eastAsia="仿宋" w:cs="仿宋"/>
          <w:color w:val="auto"/>
          <w:sz w:val="28"/>
          <w:szCs w:val="28"/>
        </w:rPr>
        <w:t xml:space="preserve">扣完为止</w:t>
      </w:r>
      <w:r>
        <w:rPr>
          <w:rFonts w:ascii="仿宋" w:hAnsi="仿宋" w:eastAsia="仿宋" w:cs="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（3）投标人所投产品技术参数与招标文件第五章采购需求中未标注“★”“▲”项</w:t>
      </w:r>
      <w:r>
        <w:rPr>
          <w:rFonts w:hint="eastAsia" w:ascii="仿宋" w:hAnsi="仿宋" w:eastAsia="仿宋"/>
          <w:color w:val="auto"/>
          <w:sz w:val="28"/>
          <w:szCs w:val="28"/>
          <w:lang w:val="zh-CN"/>
        </w:rPr>
        <w:t xml:space="preserve">技术参数相比较，以</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lang w:val="zh-CN"/>
        </w:rPr>
        <w:t xml:space="preserve">分为基数，每有一项负偏离扣</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w:t>
      </w:r>
      <w:r>
        <w:rPr>
          <w:rFonts w:hint="eastAsia" w:ascii="仿宋" w:hAnsi="仿宋" w:eastAsia="仿宋" w:cs="仿宋"/>
          <w:color w:val="auto"/>
          <w:sz w:val="28"/>
          <w:szCs w:val="28"/>
        </w:rPr>
        <w:t xml:space="preserve">扣完为止</w:t>
      </w:r>
      <w:r>
        <w:rPr>
          <w:rFonts w:ascii="仿宋" w:hAnsi="仿宋" w:eastAsia="仿宋" w:cs="仿宋"/>
          <w:color w:val="auto"/>
          <w:sz w:val="28"/>
          <w:szCs w:val="28"/>
        </w:rPr>
        <w:t xml:space="preserve">。</w:t>
      </w:r>
      <w:r/>
    </w:p>
    <w:p>
      <w:pPr>
        <w:pStyle w:val="740"/>
        <w:numPr>
          <w:ilvl w:val="0"/>
          <w:numId w:val="7"/>
        </w:numPr>
        <w:ind w:firstLine="560"/>
        <w:spacing w:line="520" w:lineRule="exact"/>
        <w:rPr>
          <w:rFonts w:ascii="仿宋" w:hAnsi="仿宋" w:eastAsia="仿宋"/>
          <w:color w:val="auto"/>
        </w:rPr>
      </w:pPr>
      <w:r>
        <w:rPr>
          <w:rFonts w:hint="eastAsia" w:ascii="仿宋" w:hAnsi="仿宋" w:eastAsia="仿宋"/>
          <w:color w:val="auto"/>
          <w:lang w:val="en-US" w:eastAsia="zh-CN"/>
        </w:rPr>
        <w:t xml:space="preserve">方案部分：30分</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评委会根据投标人提供的方案进行评分，不提供分项方案</w:t>
      </w:r>
      <w:r>
        <w:rPr>
          <w:rFonts w:hint="eastAsia" w:ascii="仿宋" w:hAnsi="仿宋" w:eastAsia="仿宋"/>
          <w:color w:val="auto"/>
          <w:sz w:val="28"/>
          <w:szCs w:val="28"/>
        </w:rPr>
        <w:t xml:space="preserve">、模块缺失</w:t>
      </w:r>
      <w:r>
        <w:rPr>
          <w:rFonts w:ascii="仿宋" w:hAnsi="仿宋" w:eastAsia="仿宋"/>
          <w:color w:val="auto"/>
          <w:sz w:val="28"/>
          <w:szCs w:val="28"/>
        </w:rPr>
        <w:t xml:space="preserve">或者经三分之二评委认定分项方案存在重大偏离的，分项方案</w:t>
      </w:r>
      <w:r>
        <w:rPr>
          <w:rFonts w:hint="eastAsia" w:ascii="仿宋" w:hAnsi="仿宋" w:eastAsia="仿宋"/>
          <w:color w:val="auto"/>
          <w:sz w:val="28"/>
          <w:szCs w:val="28"/>
        </w:rPr>
        <w:t xml:space="preserve">或模块</w:t>
      </w:r>
      <w:r>
        <w:rPr>
          <w:rFonts w:ascii="仿宋" w:hAnsi="仿宋" w:eastAsia="仿宋"/>
          <w:color w:val="auto"/>
          <w:sz w:val="28"/>
          <w:szCs w:val="28"/>
        </w:rPr>
        <w:t xml:space="preserve">不得分。</w:t>
      </w:r>
      <w:r/>
    </w:p>
    <w:p>
      <w:pPr>
        <w:ind w:firstLine="560"/>
        <w:spacing w:line="520" w:lineRule="exact"/>
        <w:rPr>
          <w:rFonts w:hint="eastAsia" w:ascii="仿宋" w:hAnsi="仿宋" w:eastAsia="仿宋" w:cs="仿宋"/>
          <w:color w:val="auto"/>
          <w:sz w:val="28"/>
          <w:szCs w:val="28"/>
        </w:rPr>
      </w:pPr>
      <w:r/>
      <w:bookmarkStart w:id="37" w:name="heading_0"/>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实施方案（15分）</w:t>
      </w:r>
      <w:bookmarkEnd w:id="37"/>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w:t>
      </w:r>
      <w:r>
        <w:rPr>
          <w:rFonts w:hint="eastAsia" w:ascii="仿宋" w:hAnsi="仿宋" w:eastAsia="仿宋" w:cs="仿宋"/>
          <w:color w:val="auto"/>
          <w:sz w:val="28"/>
          <w:szCs w:val="28"/>
          <w:lang w:val="en-US" w:eastAsia="zh-CN"/>
        </w:rPr>
        <w:t xml:space="preserve">项</w:t>
      </w:r>
      <w:r>
        <w:rPr>
          <w:rFonts w:hint="eastAsia" w:ascii="仿宋" w:hAnsi="仿宋" w:eastAsia="仿宋" w:cs="仿宋"/>
          <w:color w:val="auto"/>
          <w:sz w:val="28"/>
          <w:szCs w:val="28"/>
        </w:rPr>
        <w:t xml:space="preserve">共计5个必评子项：实施组织计划、项目质量保证措施、项目实施进度计划和工期安排、供货安装调试方案、技术人员配备情况。每个子项满分3分，按档次独立打分，累加为本</w:t>
      </w:r>
      <w:r>
        <w:rPr>
          <w:rFonts w:hint="eastAsia" w:ascii="仿宋" w:hAnsi="仿宋" w:eastAsia="仿宋" w:cs="仿宋"/>
          <w:color w:val="auto"/>
          <w:sz w:val="28"/>
          <w:szCs w:val="28"/>
          <w:lang w:val="en-US" w:eastAsia="zh-CN"/>
        </w:rPr>
        <w:t xml:space="preserve">项</w:t>
      </w:r>
      <w:r>
        <w:rPr>
          <w:rFonts w:hint="eastAsia" w:ascii="仿宋" w:hAnsi="仿宋" w:eastAsia="仿宋" w:cs="仿宋"/>
          <w:color w:val="auto"/>
          <w:sz w:val="28"/>
          <w:szCs w:val="28"/>
        </w:rPr>
        <w:t xml:space="preserve">最终得分。</w:t>
      </w:r>
      <w:r/>
    </w:p>
    <w:p>
      <w:pPr>
        <w:ind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对应子项内容完整、要素齐全，完全贴合本项目实际需求；逻辑清晰、表述专业、细节详实；方案具备极强可操作性、落地性强，能够有效保障项目高质量、按期、安全完成</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每个模块得3分</w:t>
      </w:r>
      <w:r>
        <w:rPr>
          <w:rFonts w:hint="eastAsia" w:ascii="仿宋" w:hAnsi="仿宋" w:eastAsia="仿宋" w:cs="仿宋"/>
          <w:color w:val="auto"/>
          <w:sz w:val="28"/>
          <w:szCs w:val="28"/>
          <w:lang w:eastAsia="zh-CN"/>
        </w:rPr>
        <w:t xml:space="preserve">；</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对应子项内容较为完整，核心要素无缺失，贴合项目需求；表述规范、逻辑清楚；具备较强可操作性，整体能够满足项目实施要求，仅少量细节需完善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每个模块得2分；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对应子项核心内容基本齐全，无关键缺项；表述基本清晰，逻辑基本通顺；具备基本可操作性，能够满足项目基础实施要求，但针对性、细节完整性一般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未提供对应子项内容，或内容严重缺失、逻辑混乱、脱离项目实际，无可操作性</w:t>
      </w:r>
      <w:r>
        <w:rPr>
          <w:rFonts w:hint="eastAsia" w:ascii="仿宋" w:hAnsi="仿宋" w:eastAsia="仿宋" w:cs="仿宋"/>
          <w:color w:val="auto"/>
          <w:sz w:val="28"/>
          <w:szCs w:val="28"/>
          <w:lang w:val="en-US" w:eastAsia="zh-CN"/>
        </w:rPr>
        <w:t xml:space="preserve">的，该模块不得分。</w:t>
      </w:r>
      <w:r/>
    </w:p>
    <w:p>
      <w:pPr>
        <w:ind w:firstLine="560"/>
        <w:spacing w:line="520" w:lineRule="exact"/>
        <w:rPr>
          <w:rFonts w:hint="eastAsia" w:ascii="仿宋" w:hAnsi="仿宋" w:eastAsia="仿宋" w:cs="仿宋"/>
          <w:color w:val="auto"/>
          <w:sz w:val="28"/>
          <w:szCs w:val="28"/>
        </w:rPr>
      </w:pPr>
      <w:r/>
      <w:bookmarkStart w:id="38" w:name="heading_1"/>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项目验收方案（5分）</w:t>
      </w:r>
      <w:bookmarkEnd w:id="38"/>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投标人须结合采购人</w:t>
      </w:r>
      <w:r>
        <w:rPr>
          <w:rFonts w:hint="eastAsia" w:ascii="仿宋" w:hAnsi="仿宋" w:eastAsia="仿宋" w:cs="仿宋"/>
          <w:color w:val="auto"/>
          <w:sz w:val="28"/>
          <w:szCs w:val="28"/>
          <w:lang w:val="en-US" w:eastAsia="zh-CN"/>
        </w:rPr>
        <w:t xml:space="preserve">采购需求</w:t>
      </w:r>
      <w:r>
        <w:rPr>
          <w:rFonts w:hint="eastAsia" w:ascii="仿宋" w:hAnsi="仿宋" w:eastAsia="仿宋" w:cs="仿宋"/>
          <w:color w:val="auto"/>
          <w:sz w:val="28"/>
          <w:szCs w:val="28"/>
        </w:rPr>
        <w:t xml:space="preserve">提供项目验收方案</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必须包含</w:t>
      </w:r>
      <w:r>
        <w:rPr>
          <w:rFonts w:hint="eastAsia" w:ascii="仿宋" w:hAnsi="仿宋" w:eastAsia="仿宋" w:cs="仿宋"/>
          <w:color w:val="auto"/>
          <w:sz w:val="28"/>
          <w:szCs w:val="28"/>
        </w:rPr>
        <w:t xml:space="preserve">验收依据、验收范围、验收分项、验收标准、验收流程、问题整改、资料归档、验收结论</w:t>
      </w:r>
      <w:r>
        <w:rPr>
          <w:rFonts w:hint="eastAsia" w:ascii="仿宋" w:hAnsi="仿宋" w:eastAsia="仿宋" w:cs="仿宋"/>
          <w:color w:val="auto"/>
          <w:sz w:val="28"/>
          <w:szCs w:val="28"/>
          <w:lang w:val="en-US" w:eastAsia="zh-CN"/>
        </w:rPr>
        <w:t xml:space="preserve">等内容。</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验收方案体系完整、流程清晰，包含验收依据、验收范围、验收分项、验收标准、验收流程、问题整改、资料归档、验收结论全流程内容；针对性极强，完全匹配本项目供货、安装、调试内容，可直接落地执行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验收方案内容较为详细，核心验收流程、验收标准齐全，贴合项目需求；可操作性较高，仅部分细节不够细化，不影响整体验收实施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验收方案基本合理，核心要素无缺失，能够满足项目基础验收要求；内容较为笼统、针对性一般，可操作性一般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未提供项目验收方案，或方案内容空洞、严重缺失关键内容、无实际指导意义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ind w:firstLine="560"/>
        <w:spacing w:line="520" w:lineRule="exact"/>
        <w:rPr>
          <w:rFonts w:hint="eastAsia" w:ascii="仿宋" w:hAnsi="仿宋" w:eastAsia="仿宋" w:cs="仿宋"/>
          <w:color w:val="auto"/>
          <w:sz w:val="28"/>
          <w:szCs w:val="28"/>
        </w:rPr>
      </w:pPr>
      <w:r/>
      <w:bookmarkStart w:id="39" w:name="heading_2"/>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培训方案（</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分）</w:t>
      </w:r>
      <w:bookmarkEnd w:id="39"/>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投标人须结合采购人实际使用及运维需求，提供针对性技术培训方案，必须包含培训方式、培训内容、培训师资水平、培训人数、项目实施技术交流等核心内容，缺项酌情扣分，未提供不得分。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培训方案内容全面、结构完整，贴合项目岗位使用、运维需求；培训科目细化、课程体系清晰，培训方式多样、师资保障明确、人员安排合理；包含全过程技术交流机制，方案可行性、针对性极强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培训方案要素齐全，覆盖全部要求内容；整体规划合理、具备可行性，但内容描述相对简略，细节不够细化，针对性较好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培训方案基本要素齐全，内容完整度一般，仅满足基础培训需求；方案通用性强、项目专属针对性偏弱，基本具备可实施性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未提供培训方案，或关键内容严重缺项、无可行性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ind w:firstLine="560"/>
        <w:spacing w:line="520" w:lineRule="exact"/>
        <w:rPr>
          <w:rFonts w:hint="eastAsia" w:ascii="仿宋" w:hAnsi="仿宋" w:eastAsia="仿宋" w:cs="仿宋"/>
          <w:color w:val="auto"/>
          <w:sz w:val="28"/>
          <w:szCs w:val="28"/>
        </w:rPr>
      </w:pPr>
      <w:r/>
      <w:bookmarkStart w:id="40" w:name="heading_3"/>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售后服务方案（5分）</w:t>
      </w:r>
      <w:bookmarkEnd w:id="40"/>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投标人须结合采购人</w:t>
      </w:r>
      <w:r>
        <w:rPr>
          <w:rFonts w:hint="eastAsia" w:ascii="仿宋" w:hAnsi="仿宋" w:eastAsia="仿宋" w:cs="仿宋"/>
          <w:color w:val="auto"/>
          <w:sz w:val="28"/>
          <w:szCs w:val="28"/>
          <w:lang w:val="en-US" w:eastAsia="zh-CN"/>
        </w:rPr>
        <w:t xml:space="preserve">采购需求，提供售后服务方案，必须包含</w:t>
      </w:r>
      <w:r>
        <w:rPr>
          <w:rFonts w:hint="eastAsia" w:ascii="仿宋" w:hAnsi="仿宋" w:eastAsia="仿宋" w:cs="仿宋"/>
          <w:color w:val="auto"/>
          <w:sz w:val="28"/>
          <w:szCs w:val="28"/>
        </w:rPr>
        <w:t xml:space="preserve">服务体系、服务内容、故障排查与解决方案、售后响应时效、专业技术人员保障、备品备件保障等核心内容。</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健全、架构清晰、服务机制完善；服务内容全覆盖、无遗漏；故障分级处置方案科学、流程闭环；售后响应时效明确、保障有力；技术人员配置充足、专业匹配度高；备品备件储备充足、台账清晰、保障机制完善，可全方位保障项目长期稳定运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售后服务体系较为完善，核心服务内容齐全；故障处置方案合理，响应机制规范；技术人员、备品备件保障到位，整体服务保障能力较强，仅部分细节可优化</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售后服务体系基本完整，核心要素无缺失；服务内容、故障处置、人员及备件保障基本合理，能够满足基础售后需求，但细化程度、保障力度一般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未提供售后服务方案，或关键服务内容大面积缺失、无落地保障措施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pStyle w:val="740"/>
        <w:numPr>
          <w:ilvl w:val="0"/>
          <w:numId w:val="7"/>
        </w:numPr>
        <w:ind w:left="0" w:firstLine="560"/>
        <w:spacing w:line="520" w:lineRule="exact"/>
        <w:rPr>
          <w:rFonts w:hint="eastAsia" w:ascii="仿宋" w:hAnsi="仿宋" w:eastAsia="仿宋"/>
          <w:color w:val="auto"/>
          <w:szCs w:val="28"/>
          <w:lang w:val="en-US" w:eastAsia="zh-CN"/>
        </w:rPr>
      </w:pPr>
      <w:r>
        <w:rPr>
          <w:rFonts w:hint="eastAsia" w:ascii="仿宋" w:hAnsi="仿宋" w:eastAsia="仿宋"/>
          <w:color w:val="auto"/>
          <w:szCs w:val="28"/>
          <w:lang w:val="en-US" w:eastAsia="zh-CN"/>
        </w:rPr>
        <w:t xml:space="preserve">商务部分</w:t>
      </w:r>
      <w:r/>
    </w:p>
    <w:p>
      <w:pPr>
        <w:pStyle w:val="740"/>
        <w:numPr>
          <w:ilvl w:val="0"/>
          <w:numId w:val="0"/>
        </w:numPr>
        <w:ind w:firstLine="560"/>
        <w:spacing w:line="520" w:lineRule="exact"/>
        <w:rPr>
          <w:rFonts w:hint="default" w:ascii="仿宋" w:hAnsi="仿宋" w:eastAsia="仿宋"/>
          <w:color w:val="auto"/>
          <w:szCs w:val="28"/>
          <w:lang w:val="en-US" w:eastAsia="zh-CN"/>
        </w:rPr>
      </w:pPr>
      <w:r>
        <w:rPr>
          <w:rFonts w:hint="eastAsia" w:ascii="仿宋" w:hAnsi="仿宋" w:eastAsia="仿宋"/>
          <w:color w:val="auto"/>
          <w:szCs w:val="28"/>
          <w:lang w:val="en-US" w:eastAsia="zh-CN"/>
        </w:rPr>
        <w:t xml:space="preserve">投标人或所投设备（采购需求中任一设备）自2023年1月1日以来具有类似供货业绩的，每有一个得2分，本项最多得10分，没有不得分。（提供合同扫描件并加盖公章，时间以合同签订为准。）</w:t>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both"/>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color w:val="auto"/>
          <w:sz w:val="32"/>
        </w:rPr>
        <w:outlineLvl w:val="9"/>
      </w:pPr>
      <w:r>
        <w:rPr>
          <w:rFonts w:hint="eastAsia" w:ascii="仿宋" w:hAnsi="仿宋" w:eastAsia="仿宋"/>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4"/>
        <w:ind w:firstLine="3066"/>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spacing w:line="283" w:lineRule="auto"/>
        <w:rPr>
          <w:rFonts w:ascii="Arial"/>
          <w:color w:val="auto"/>
          <w:sz w:val="21"/>
        </w:rPr>
      </w:pPr>
      <w:r>
        <w:rPr>
          <w:rFonts w:ascii="Arial"/>
          <w:color w:val="auto"/>
          <w:sz w:val="21"/>
        </w:rPr>
      </w:r>
      <w:r/>
    </w:p>
    <w:p>
      <w:pPr>
        <w:spacing w:line="283" w:lineRule="auto"/>
        <w:rPr>
          <w:rFonts w:ascii="Arial"/>
          <w:color w:val="auto"/>
          <w:sz w:val="21"/>
        </w:rPr>
      </w:pPr>
      <w:r>
        <w:rPr>
          <w:rFonts w:ascii="Arial"/>
          <w:color w:val="auto"/>
          <w:sz w:val="21"/>
        </w:rPr>
      </w:r>
      <w:r/>
    </w:p>
    <w:p>
      <w:pPr>
        <w:ind w:firstLine="562"/>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编号：</w:t>
      </w:r>
      <w:r/>
    </w:p>
    <w:p>
      <w:pPr>
        <w:ind w:firstLine="562"/>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买方（甲方）：</w:t>
      </w:r>
      <w:r>
        <w:rPr>
          <w:rFonts w:hint="eastAsia" w:ascii="仿宋" w:hAnsi="仿宋" w:eastAsia="仿宋" w:cs="仿宋"/>
          <w:b/>
          <w:color w:val="auto"/>
          <w:sz w:val="28"/>
          <w:szCs w:val="28"/>
          <w:u w:val="single"/>
        </w:rPr>
        <w:t xml:space="preserve">淮安市产品质量监督综合检验中心</w:t>
      </w:r>
      <w:r/>
    </w:p>
    <w:p>
      <w:pPr>
        <w:ind w:firstLine="562"/>
        <w:spacing w:line="360" w:lineRule="auto"/>
        <w:rPr>
          <w:rFonts w:hint="eastAsia" w:ascii="仿宋" w:hAnsi="仿宋" w:eastAsia="仿宋" w:cs="仿宋"/>
          <w:color w:val="auto"/>
          <w:sz w:val="28"/>
          <w:szCs w:val="28"/>
          <w:u w:val="single"/>
        </w:rPr>
      </w:pPr>
      <w:r>
        <w:rPr>
          <w:rFonts w:hint="eastAsia" w:ascii="仿宋" w:hAnsi="仿宋" w:eastAsia="仿宋" w:cs="仿宋"/>
          <w:b/>
          <w:color w:val="auto"/>
          <w:sz w:val="28"/>
          <w:szCs w:val="28"/>
        </w:rPr>
        <w:t xml:space="preserve">卖方（乙方）：</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       </w:t>
      </w:r>
      <w:r/>
    </w:p>
    <w:p>
      <w:pPr>
        <w:ind w:firstLine="560"/>
        <w:spacing w:line="3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一、说明：</w:t>
      </w:r>
      <w:r/>
    </w:p>
    <w:p>
      <w:pPr>
        <w:ind w:firstLine="560"/>
        <w:keepLines w:val="0"/>
        <w:keepNext w:val="0"/>
        <w:pageBreakBefore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经买方申请，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日</w:t>
      </w:r>
      <w:r>
        <w:rPr>
          <w:rFonts w:hint="eastAsia" w:ascii="仿宋" w:hAnsi="仿宋" w:eastAsia="仿宋" w:cs="仿宋"/>
          <w:color w:val="auto"/>
          <w:sz w:val="28"/>
          <w:szCs w:val="28"/>
        </w:rPr>
        <w:t xml:space="preserve">组织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项目</w:t>
      </w:r>
      <w:r>
        <w:rPr>
          <w:rFonts w:hint="eastAsia" w:ascii="仿宋" w:hAnsi="仿宋" w:eastAsia="仿宋" w:cs="仿宋"/>
          <w:color w:val="auto"/>
          <w:sz w:val="28"/>
          <w:szCs w:val="28"/>
        </w:rPr>
        <w:t xml:space="preserve">所需检测设备及相关服务的招标，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rPr>
        <w:t xml:space="preserve">确定由卖方中标。</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二、合同条款： </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合同由买卖双方签订，并依据</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号招标文件规定，按下列合同条款买方同意购入，卖方同意卖出下列设备及服务。</w:t>
      </w:r>
      <w:r/>
    </w:p>
    <w:p>
      <w:pPr>
        <w:pStyle w:val="720"/>
        <w:numPr>
          <w:ilvl w:val="0"/>
          <w:numId w:val="8"/>
        </w:numPr>
        <w:ind w:left="0"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设备名称、型号规格、数量及服务内容。</w:t>
      </w:r>
      <w:r/>
    </w:p>
    <w:tbl>
      <w:tblPr>
        <w:tblStyle w:val="718"/>
        <w:tblpPr w:horzAnchor="text" w:tblpX="367" w:vertAnchor="text" w:tblpY="118"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2132"/>
        <w:gridCol w:w="1466"/>
        <w:gridCol w:w="1598"/>
        <w:gridCol w:w="1199"/>
        <w:gridCol w:w="1065"/>
        <w:gridCol w:w="963"/>
      </w:tblGrid>
      <w:tr>
        <w:trPr>
          <w:trHeight w:val="271"/>
        </w:trPr>
        <w:tc>
          <w:tcPr>
            <w:tcW w:w="350"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序号</w:t>
            </w:r>
            <w:r/>
          </w:p>
        </w:tc>
        <w:tc>
          <w:tcPr>
            <w:tcW w:w="1177"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设备名称</w:t>
            </w:r>
            <w:r/>
          </w:p>
        </w:tc>
        <w:tc>
          <w:tcPr>
            <w:tcW w:w="809"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生产单位</w:t>
            </w:r>
            <w:r/>
          </w:p>
        </w:tc>
        <w:tc>
          <w:tcPr>
            <w:tcW w:w="882"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型号</w:t>
            </w:r>
            <w:r/>
          </w:p>
        </w:tc>
        <w:tc>
          <w:tcPr>
            <w:tcW w:w="662"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台（套）数</w:t>
            </w:r>
            <w:r/>
          </w:p>
        </w:tc>
        <w:tc>
          <w:tcPr>
            <w:tcW w:w="588"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价格（元）</w:t>
            </w:r>
            <w:r/>
          </w:p>
        </w:tc>
        <w:tc>
          <w:tcPr>
            <w:tcW w:w="528" w:type="pct"/>
            <w:vAlign w:val="top"/>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备注</w:t>
            </w:r>
            <w:r/>
          </w:p>
        </w:tc>
      </w:tr>
      <w:tr>
        <w:trPr>
          <w:trHeight w:val="271"/>
        </w:trPr>
        <w:tc>
          <w:tcPr>
            <w:tcW w:w="350" w:type="pct"/>
            <w:vAlign w:val="center"/>
            <w:textDirection w:val="lrTb"/>
            <w:noWrap w:val="false"/>
          </w:tcPr>
          <w:p>
            <w:pPr>
              <w:pStyle w:val="72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1</w:t>
            </w:r>
            <w:r/>
          </w:p>
        </w:tc>
        <w:tc>
          <w:tcPr>
            <w:tcW w:w="1177"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72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2</w:t>
            </w:r>
            <w:r/>
          </w:p>
        </w:tc>
        <w:tc>
          <w:tcPr>
            <w:tcW w:w="1177"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72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3</w:t>
            </w:r>
            <w:r/>
          </w:p>
        </w:tc>
        <w:tc>
          <w:tcPr>
            <w:tcW w:w="1177"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72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4</w:t>
            </w:r>
            <w:r/>
          </w:p>
        </w:tc>
        <w:tc>
          <w:tcPr>
            <w:tcW w:w="1177"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72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5</w:t>
            </w:r>
            <w:r/>
          </w:p>
        </w:tc>
        <w:tc>
          <w:tcPr>
            <w:tcW w:w="1177"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9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72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r>
      <w:tr>
        <w:trPr>
          <w:trHeight w:val="210"/>
        </w:trPr>
        <w:tc>
          <w:tcPr>
            <w:gridSpan w:val="2"/>
            <w:tcW w:w="1527" w:type="pct"/>
            <w:vAlign w:val="center"/>
            <w:textDirection w:val="lrTb"/>
            <w:noWrap w:val="false"/>
          </w:tcPr>
          <w:p>
            <w:pPr>
              <w:pStyle w:val="724"/>
              <w:ind w:left="0" w:firstLine="56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合计（元）</w:t>
            </w:r>
            <w:r/>
          </w:p>
        </w:tc>
        <w:tc>
          <w:tcPr>
            <w:gridSpan w:val="5"/>
            <w:tcW w:w="3472" w:type="pct"/>
            <w:vAlign w:val="center"/>
            <w:textDirection w:val="lrTb"/>
            <w:noWrap w:val="false"/>
          </w:tcPr>
          <w:p>
            <w:pPr>
              <w:ind w:left="0" w:right="0" w:firstLine="536"/>
              <w:jc w:val="center"/>
              <w:keepLines w:val="0"/>
              <w:keepNext w:val="0"/>
              <w:pageBreakBefore w:val="0"/>
              <w:spacing w:before="0" w:beforeAutospacing="0" w:after="0" w:afterAutospacing="0" w:line="520" w:lineRule="exact"/>
              <w:widowControl/>
              <w:rPr>
                <w:rFonts w:hint="eastAsia" w:ascii="仿宋" w:hAnsi="仿宋" w:eastAsia="仿宋" w:cs="仿宋"/>
                <w:color w:val="auto"/>
                <w:sz w:val="28"/>
                <w:szCs w:val="28"/>
              </w:rPr>
              <w:suppressLineNumbers w:val="0"/>
            </w:pPr>
            <w:r>
              <w:rPr>
                <w:rFonts w:hint="eastAsia" w:ascii="仿宋" w:hAnsi="仿宋" w:eastAsia="仿宋" w:cs="仿宋"/>
                <w:color w:val="auto"/>
                <w:spacing w:val="-6"/>
                <w:sz w:val="28"/>
                <w:szCs w:val="28"/>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w:t>
            </w:r>
            <w:r/>
          </w:p>
        </w:tc>
      </w:tr>
    </w:tbl>
    <w:p>
      <w:pPr>
        <w:pStyle w:val="720"/>
        <w:ind w:left="7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技术规格、参数及其他要求见附件。</w:t>
      </w:r>
      <w:r/>
    </w:p>
    <w:p>
      <w:pPr>
        <w:pStyle w:val="72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2．合同总价</w:t>
      </w:r>
      <w:r>
        <w:rPr>
          <w:rFonts w:hint="eastAsia" w:ascii="仿宋" w:hAnsi="仿宋" w:eastAsia="仿宋" w:cs="仿宋"/>
          <w:bCs/>
          <w:color w:val="auto"/>
          <w:sz w:val="28"/>
          <w:szCs w:val="28"/>
        </w:rPr>
        <w:t xml:space="preserve">（大写）：人民币</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元整</w:t>
      </w:r>
      <w:r>
        <w:rPr>
          <w:rFonts w:hint="eastAsia" w:ascii="仿宋" w:hAnsi="仿宋" w:eastAsia="仿宋" w:cs="仿宋"/>
          <w:bCs/>
          <w:color w:val="auto"/>
          <w:sz w:val="28"/>
          <w:szCs w:val="28"/>
        </w:rPr>
        <w:t xml:space="preserve">。（小写）：</w:t>
      </w:r>
      <w:r>
        <w:rPr>
          <w:rFonts w:hint="eastAsia" w:ascii="仿宋" w:hAnsi="仿宋" w:eastAsia="仿宋" w:cs="仿宋"/>
          <w:b/>
          <w:color w:val="auto"/>
          <w:sz w:val="28"/>
          <w:szCs w:val="28"/>
          <w:u w:val="single"/>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.00元</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2.1</w:t>
      </w:r>
      <w:r>
        <w:rPr>
          <w:rFonts w:hint="eastAsia" w:ascii="仿宋" w:hAnsi="仿宋" w:eastAsia="仿宋" w:cs="仿宋"/>
          <w:b/>
          <w:bCs/>
          <w:color w:val="auto"/>
          <w:sz w:val="28"/>
          <w:szCs w:val="28"/>
        </w:rPr>
        <w:t xml:space="preserve">上述合同总价包括</w:t>
      </w:r>
      <w:r>
        <w:rPr>
          <w:rFonts w:hint="eastAsia" w:ascii="仿宋" w:hAnsi="仿宋" w:eastAsia="仿宋" w:cs="仿宋"/>
          <w:bCs/>
          <w:color w:val="auto"/>
          <w:sz w:val="28"/>
          <w:szCs w:val="28"/>
        </w:rPr>
        <w:t xml:space="preserve">：本次采购范围内全部设备、材料、随设备提供的备品配件及专用工具、包装费、运输费（运抵买方指定场地）、保险费、装卸费、安装费、调试费、检定校准费、培训费及售后服务等所需费用及税金。</w:t>
      </w:r>
      <w:r/>
    </w:p>
    <w:p>
      <w:pPr>
        <w:pStyle w:val="72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2.2本合同总金额不得做任何变更与调整。</w:t>
      </w:r>
      <w:r/>
    </w:p>
    <w:p>
      <w:pPr>
        <w:pStyle w:val="72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在安装、调试、验收过程中，如发现有漏项、缺件，卖方应无条件、无偿补齐，所发生的一切费用，视为已包含在卖方报价之中，且并不因此而影响交付买方使用的时间。</w:t>
      </w:r>
      <w:r/>
    </w:p>
    <w:p>
      <w:pPr>
        <w:ind w:firstLine="562"/>
        <w:keepLines w:val="0"/>
        <w:keepNext w:val="0"/>
        <w:pageBreakBefore w:val="0"/>
        <w:spacing w:line="52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如设备需计量部门检定或校准方能使用的，卖方须提供检定或校准所必须的配件。</w:t>
      </w:r>
      <w:r/>
    </w:p>
    <w:p>
      <w:pPr>
        <w:pStyle w:val="72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3.交付使用时间：</w:t>
      </w:r>
      <w:r/>
    </w:p>
    <w:p>
      <w:pPr>
        <w:ind w:firstLine="562"/>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3.1</w:t>
      </w:r>
      <w:r>
        <w:rPr>
          <w:rFonts w:hint="eastAsia" w:ascii="仿宋" w:hAnsi="仿宋" w:eastAsia="仿宋" w:cs="仿宋"/>
          <w:bCs/>
          <w:color w:val="auto"/>
          <w:sz w:val="28"/>
          <w:szCs w:val="28"/>
        </w:rPr>
        <w:t xml:space="preserve">合同签订后</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日</w:t>
      </w:r>
      <w:r>
        <w:rPr>
          <w:rFonts w:hint="eastAsia" w:ascii="仿宋" w:hAnsi="仿宋" w:eastAsia="仿宋" w:cs="仿宋"/>
          <w:bCs/>
          <w:color w:val="auto"/>
          <w:sz w:val="28"/>
          <w:szCs w:val="28"/>
        </w:rPr>
        <w:t xml:space="preserve">内供货安装到位，完成全部设备、材料、备品配件及专用工具的交付，安装、调试并验收合格，交付买方使用。</w:t>
      </w:r>
      <w:r/>
    </w:p>
    <w:p>
      <w:pPr>
        <w:pStyle w:val="72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3.2收货人：</w:t>
      </w:r>
      <w:r>
        <w:rPr>
          <w:rFonts w:hint="eastAsia" w:ascii="仿宋" w:hAnsi="仿宋" w:eastAsia="仿宋" w:cs="仿宋"/>
          <w:bCs/>
          <w:color w:val="auto"/>
          <w:sz w:val="28"/>
          <w:szCs w:val="28"/>
        </w:rPr>
        <w:t xml:space="preserve">淮安市产品质量监督综合检验中心</w:t>
      </w:r>
      <w:r/>
    </w:p>
    <w:p>
      <w:pPr>
        <w:pStyle w:val="72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3.3交货地点：</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。（具体房间号由采购人指定）；</w:t>
      </w:r>
      <w:r/>
    </w:p>
    <w:p>
      <w:pPr>
        <w:pStyle w:val="72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3.4交货时间：</w:t>
      </w:r>
      <w:r>
        <w:rPr>
          <w:rFonts w:hint="eastAsia" w:ascii="仿宋" w:hAnsi="仿宋" w:eastAsia="仿宋" w:cs="仿宋"/>
          <w:bCs/>
          <w:color w:val="auto"/>
          <w:sz w:val="28"/>
          <w:szCs w:val="28"/>
        </w:rPr>
        <w:t xml:space="preserve">正常工作日内的工作时间；</w:t>
      </w:r>
      <w:r/>
    </w:p>
    <w:p>
      <w:pPr>
        <w:pStyle w:val="72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3.5</w:t>
      </w:r>
      <w:r>
        <w:rPr>
          <w:rFonts w:hint="eastAsia" w:ascii="仿宋" w:hAnsi="仿宋" w:eastAsia="仿宋" w:cs="仿宋"/>
          <w:b/>
          <w:color w:val="auto"/>
          <w:sz w:val="28"/>
          <w:szCs w:val="28"/>
        </w:rPr>
        <w:t xml:space="preserve">到货通知：</w:t>
      </w:r>
      <w:r>
        <w:rPr>
          <w:rFonts w:hint="eastAsia" w:ascii="仿宋" w:hAnsi="仿宋" w:eastAsia="仿宋" w:cs="仿宋"/>
          <w:bCs/>
          <w:color w:val="auto"/>
          <w:sz w:val="28"/>
          <w:szCs w:val="28"/>
        </w:rPr>
        <w:t xml:space="preserve">卖方应在到货前24小时将到货名称、型号、数量、外形尺寸、单重及注意事项等，以书面形式通知买方，安装调试需在工作日期间完成。</w:t>
      </w:r>
      <w:r/>
    </w:p>
    <w:p>
      <w:pPr>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3.6包装要求：</w:t>
      </w:r>
      <w:r>
        <w:rPr>
          <w:rFonts w:hint="eastAsia" w:ascii="仿宋" w:hAnsi="仿宋" w:eastAsia="仿宋" w:cs="仿宋"/>
          <w:bCs/>
          <w:color w:val="auto"/>
          <w:sz w:val="28"/>
          <w:szCs w:val="28"/>
        </w:rPr>
        <w:t xml:space="preserve">设备包装应符合国家标准，全部货物的外包装，必须采用防漏、防潮、防震、防锈、防盗和考虑到可能会发生的野蛮装卸等长途内陆运输及多次装卸之需要。</w:t>
      </w:r>
      <w:r/>
    </w:p>
    <w:p>
      <w:pPr>
        <w:pStyle w:val="72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4.买方付款方式及期限：</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rPr>
        <w:t xml:space="preserve">根据《关于做好政府采购支持企业发展有关事项的通知》要求，在</w:t>
      </w:r>
      <w:r>
        <w:rPr>
          <w:rFonts w:hint="eastAsia" w:ascii="仿宋" w:hAnsi="仿宋" w:eastAsia="仿宋" w:cs="仿宋"/>
          <w:bCs/>
          <w:color w:val="auto"/>
          <w:sz w:val="28"/>
          <w:szCs w:val="28"/>
          <w:highlight w:val="none"/>
          <w:lang w:eastAsia="zh-CN"/>
        </w:rPr>
        <w:t xml:space="preserve">合同签订后支付合同总金额的</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eastAsia="zh-CN"/>
        </w:rPr>
        <w:t xml:space="preserve">0%；收到货物后支付合同总金额的</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0%；乙方供货安装调试完毕且验收合格后且无质量、服务问题后,一次性付清</w:t>
      </w:r>
      <w:r>
        <w:rPr>
          <w:rFonts w:hint="eastAsia" w:ascii="仿宋" w:hAnsi="仿宋" w:eastAsia="仿宋" w:cs="仿宋"/>
          <w:bCs/>
          <w:color w:val="auto"/>
          <w:sz w:val="28"/>
          <w:szCs w:val="28"/>
          <w:highlight w:val="none"/>
          <w:lang w:val="en-US" w:eastAsia="zh-CN"/>
        </w:rPr>
        <w:t xml:space="preserve">剩余款项</w:t>
      </w:r>
      <w:r>
        <w:rPr>
          <w:rFonts w:hint="eastAsia" w:ascii="仿宋" w:hAnsi="仿宋" w:eastAsia="仿宋" w:cs="仿宋"/>
          <w:bCs/>
          <w:color w:val="auto"/>
          <w:sz w:val="28"/>
          <w:szCs w:val="28"/>
          <w:highlight w:val="none"/>
          <w:lang w:eastAsia="zh-CN"/>
        </w:rPr>
        <w:t xml:space="preserve">（不计利息）。</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lang w:eastAsia="zh-CN"/>
        </w:rPr>
        <w:t xml:space="preserve">付款时乙方需提供正规等额的增值税发票。</w:t>
      </w:r>
      <w:r/>
    </w:p>
    <w:p>
      <w:pPr>
        <w:pStyle w:val="72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5.安装、调试及验收</w:t>
      </w:r>
      <w:r/>
    </w:p>
    <w:p>
      <w:pPr>
        <w:pStyle w:val="72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5.1卖方负责设备安装及调试，直至设备正常运行。安装、调试的所有费用由卖方承担。如设备不能通过验收，买方有权退货，卖方应退还买方所有款项，并赔偿买方一切损失。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设备安装、调试所需的各种材料、工具和仪器仪表由卖方自行提供。</w:t>
      </w:r>
      <w:r/>
    </w:p>
    <w:p>
      <w:pPr>
        <w:pStyle w:val="72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5.2</w:t>
      </w:r>
      <w:r>
        <w:rPr>
          <w:rFonts w:hint="eastAsia" w:ascii="仿宋" w:hAnsi="仿宋" w:eastAsia="仿宋" w:cs="仿宋"/>
          <w:b/>
          <w:bCs/>
          <w:color w:val="auto"/>
          <w:sz w:val="28"/>
          <w:szCs w:val="28"/>
        </w:rPr>
        <w:t xml:space="preserve">卖方须提前至买方指定场地进行（即交货地点）勘察，确保设备摆放地点能满足设备的运输、摆放、安装、调试的条件，特别是设备的安装和调试对买方场地面积、空间、水、电等环境有特殊要求的。如因上述事宜导致设备无法安装、调试或买方正常使用的，由卖方承担改造买方指定场地的所有费用，否则买方有权解除本合同，卖方应退还本合同项下的所有款项，并赔偿买方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5.3卖方在本次买卖过程中（包括但不限于交货、安装、调试、验收）发生的人员伤亡和财产损失由卖方承担，与买方无关；</w:t>
      </w:r>
      <w:r/>
    </w:p>
    <w:p>
      <w:pPr>
        <w:ind w:firstLine="560"/>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Cs/>
          <w:color w:val="auto"/>
          <w:sz w:val="28"/>
          <w:szCs w:val="28"/>
        </w:rPr>
        <w:t xml:space="preserve">5.4</w:t>
      </w:r>
      <w:r>
        <w:rPr>
          <w:rFonts w:hint="eastAsia" w:ascii="仿宋" w:hAnsi="仿宋" w:eastAsia="仿宋" w:cs="仿宋"/>
          <w:b/>
          <w:bCs/>
          <w:color w:val="auto"/>
          <w:sz w:val="28"/>
          <w:szCs w:val="28"/>
        </w:rPr>
        <w:t xml:space="preserve">卖方在设备安装、调试、验收过程中，买方提供下列条件和配合，超出下列范围的由卖方自理：</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5.5</w:t>
      </w:r>
      <w:r>
        <w:rPr>
          <w:rFonts w:hint="eastAsia" w:ascii="仿宋" w:hAnsi="仿宋" w:eastAsia="仿宋" w:cs="仿宋"/>
          <w:b/>
          <w:bCs/>
          <w:color w:val="auto"/>
          <w:sz w:val="28"/>
          <w:szCs w:val="28"/>
        </w:rPr>
        <w:t xml:space="preserve">设备的制造应符合相关标准或规范并据此验收：</w:t>
      </w:r>
      <w:r>
        <w:rPr>
          <w:rFonts w:hint="eastAsia" w:ascii="仿宋" w:hAnsi="仿宋" w:eastAsia="仿宋" w:cs="仿宋"/>
          <w:bCs/>
          <w:color w:val="auto"/>
          <w:sz w:val="28"/>
          <w:szCs w:val="28"/>
          <w:u w:val="single"/>
        </w:rPr>
        <w:t xml:space="preserve">标准、技术参数、招标文件、标书以及卖方明示承诺</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5.6设备、材料安装、调试结束，买、卖双方派员共同验收，达到验收标准及相关功能要求后，双方签署验收合格单，为验收合格。设备验收不合格的情况包括：</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（1）卖方未能提供生产设备所需的</w:t>
      </w:r>
      <w:r>
        <w:rPr>
          <w:rFonts w:hint="eastAsia" w:ascii="仿宋" w:hAnsi="仿宋" w:eastAsia="仿宋" w:cs="仿宋"/>
          <w:b/>
          <w:bCs/>
          <w:color w:val="auto"/>
          <w:sz w:val="28"/>
          <w:szCs w:val="28"/>
        </w:rPr>
        <w:t xml:space="preserve">营业执照、检定校准证书、免费质保和后期售后承诺函</w:t>
      </w:r>
      <w:r>
        <w:rPr>
          <w:rFonts w:hint="eastAsia" w:ascii="仿宋" w:hAnsi="仿宋" w:eastAsia="仿宋" w:cs="仿宋"/>
          <w:bCs/>
          <w:color w:val="auto"/>
          <w:sz w:val="28"/>
          <w:szCs w:val="28"/>
        </w:rPr>
        <w:t xml:space="preserve">及其他相关证件；</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（2）设备功能和性能未能达到国家相关标准的规定；</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（3）设备功能和性能未能达到技术参数承诺的内容；</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（4）设备未能达到应有的功能和性能；</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（5）技术参数中约定设备/配件为进口产品，卖方未能提供报关文件及其他证明材料；</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（6）卖方未提前勘察买方现场安装环境，造成无法安装、调试或买方正常使用的；</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（7）卖方没有按照明示承诺执行；</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（8）其他情况。</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6．技术服务要求</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6.1技术资料</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6.1.1仪器使用操作说明书、仪器维护的有关资料及质量认证书</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6.1.2相关仪器维护、维修技术资料</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6.2技术服务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6.2.1设备安装、调试和验收：仪器到达买方实验室现场并且实验室条件合格后，在接到用户通知后需安排有经验的工程技术人员到用户现场安装、调试仪器，设备安装调试需在用户提出10日内完成。</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6.2.2培训要求：安装验收期间，在用户所在地对用户进行仪器操作和日常维护的现场培训，包括仪器原理、使用方法和维护方法等。</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6.2.3根据相关标准相关检验项目提供不少于1次免费上门培训和公司为买方免费培训不少于2人。</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6.2.4保修期内，所有设备维修服务均为上门服务，卖方不再收取因此产生的任何费用。</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6.3质保期</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6.3.1卖方所供设备、材料及安装的</w:t>
      </w:r>
      <w:r>
        <w:rPr>
          <w:rFonts w:hint="eastAsia" w:ascii="仿宋" w:hAnsi="仿宋" w:eastAsia="仿宋" w:cs="仿宋"/>
          <w:b/>
          <w:bCs/>
          <w:color w:val="auto"/>
          <w:sz w:val="28"/>
          <w:szCs w:val="28"/>
        </w:rPr>
        <w:t xml:space="preserve">质量保证期为</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年，</w:t>
      </w:r>
      <w:r>
        <w:rPr>
          <w:rFonts w:hint="eastAsia" w:ascii="仿宋" w:hAnsi="仿宋" w:eastAsia="仿宋" w:cs="仿宋"/>
          <w:bCs/>
          <w:color w:val="auto"/>
          <w:sz w:val="28"/>
          <w:szCs w:val="28"/>
        </w:rPr>
        <w:t xml:space="preserve">自本项目验收合格之日起计算。在质保期内所提供零配件及维修服务全部免费。保修期后，保证长期供应零配件和正常的售后服务；</w:t>
      </w:r>
      <w:r/>
    </w:p>
    <w:p>
      <w:pPr>
        <w:ind w:left="210" w:firstLine="2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6.3.2在质保期内，因卖方所供设备、材料制造质量或安装问题出现设备故障时，卖方在接买方通知后，</w:t>
      </w:r>
      <w:r/>
    </w:p>
    <w:p>
      <w:pPr>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Cs/>
          <w:color w:val="auto"/>
          <w:sz w:val="28"/>
          <w:szCs w:val="28"/>
        </w:rPr>
        <w:t xml:space="preserve">小时内响应，并在</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Cs/>
          <w:color w:val="auto"/>
          <w:sz w:val="28"/>
          <w:szCs w:val="28"/>
        </w:rPr>
        <w:t xml:space="preserve">小时内赶到买方现场，免费予以排除故障、修复或更换零部件。还应支付因更换所发生的运输、保险、安装、检测等有关的全部费用。</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6.3.3在质保期内，因买方使用不当原因出现设备故障时，卖方在接买方通知后，应在6.3.2条款中所述的时限内赶到买方现场，帮助排除故障、修复或更换零部件，需购买零部件时，酌情收取成本费。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6.3.4质保期满后，如设备出现故障，卖方在接买方通知后，仍应在6.3.2条款中所述时间内响应、派人赶到买方现场，帮助排除故障、修复或更换零部件，需购买零部件时，酌情收取成本费</w:t>
      </w:r>
      <w:r>
        <w:rPr>
          <w:rFonts w:hint="eastAsia" w:ascii="仿宋" w:hAnsi="仿宋" w:eastAsia="仿宋" w:cs="仿宋"/>
          <w:b/>
          <w:bCs/>
          <w:color w:val="auto"/>
          <w:sz w:val="28"/>
          <w:szCs w:val="28"/>
        </w:rPr>
        <w:t xml:space="preserve">（卖方应随设备提供一份与本设备有关的相关备品、备件的报价清单）。</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6.4售后服务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6.4.1厂家具有在中国境内的售后服务体系。</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6.4.2能够提供快速的安装调试，操作指导和维修等方面的技术服务，快速响应（48小时内到达项目现场）。</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6.4.3生产方在中国境内应有属于自己的客户培训及支持中心，为买方提供仪器使用和应用支持，为买方提供分析咨询演示分析和培训等服务。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6.4.4在中国境内还应该提供厂家自身的零备件供应体系，方便客户购买消耗品和零备件。配件费及维修维护费均为酌情收取成本费。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6.4.5本类型工作站软件发布新的版本后，供方应主动免费给用户升级。</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7．违约责任</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7.1卖方未按合同规定的质量、数量交货的，买方有权拒收且有权单方解除本合同，并由卖方赔偿买方的直接损失和间接损失。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7.2卖方逾期交付应向买方支付违约金。每逾期1天，按合同总价的千分之一计算支付违约金，总违约金最高不超过合同总金额的5%。卖方逾期交付超过</w:t>
      </w:r>
      <w:r>
        <w:rPr>
          <w:rFonts w:hint="eastAsia" w:ascii="仿宋" w:hAnsi="仿宋" w:eastAsia="仿宋" w:cs="仿宋"/>
          <w:b/>
          <w:bCs/>
          <w:color w:val="auto"/>
          <w:sz w:val="28"/>
          <w:szCs w:val="28"/>
        </w:rPr>
        <w:t xml:space="preserve">30天的</w:t>
      </w:r>
      <w:r>
        <w:rPr>
          <w:rFonts w:hint="eastAsia" w:ascii="仿宋" w:hAnsi="仿宋" w:eastAsia="仿宋" w:cs="仿宋"/>
          <w:bCs/>
          <w:color w:val="auto"/>
          <w:sz w:val="28"/>
          <w:szCs w:val="28"/>
        </w:rPr>
        <w:t xml:space="preserve">，买方有权解除合同，卖方应退还买方交付的所有款项，并赔偿损失。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逾期交付为卖方未在第3条款约定的交付期限内完成交付并验收合格。</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交付期限不因场地改造等情况而延长。双方另有约定的除外。</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7.3卖方不能交付或不能完成合同，卖方应双倍返还买方已支付的货款。</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7.4本合同所有货物的制造及安装、调试，都必须由卖方承担，不得分包给其他单位。否则，买方有权按卖方不能交付或不能完成合同处理。</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7.5买方未按合同规定的时间和要求向卖方提供相关安装条件等，卖方有权顺延交付时间。</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8．其他约定：</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8.1卖方保证所提供的设备、材料、技术等不存在侵犯第三人合法权益的情况。买方使用卖方提供的设备、材料，当受到第三方提出的侵犯其专利权、商标权或工业设计权的起诉时，一切后果由卖方负责。因侵权事宜导致买方无法继续使用的，卖方应退还本合同项下的全部款项，并赔偿买方的所有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8.2技术参数、招标文件、标书以及卖方承诺是合同不可分割的部分，与合同具有同等法律效力。</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8.3甲乙双方如果涉及名称变更，必须及时告知对方，并继续履行合同和服务。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8.4未尽事宜、双方协商解决。如协商不能达成一致，则任何一方均可将争议提交签约地人民法院诉讼解决。</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8.5.合同的生效：本合同一式四份，自买卖双方签字、盖章之日起生效。</w:t>
      </w:r>
      <w:r/>
    </w:p>
    <w:tbl>
      <w:tblPr>
        <w:tblStyle w:val="718"/>
        <w:tblpPr w:horzAnchor="margin" w:tblpXSpec="left"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1"/>
        <w:gridCol w:w="4661"/>
      </w:tblGrid>
      <w:tr>
        <w:trPr>
          <w:trHeight w:val="463"/>
        </w:trPr>
        <w:tc>
          <w:tcPr>
            <w:tcW w:w="4661" w:type="dxa"/>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采购方</w:t>
            </w:r>
            <w:r/>
          </w:p>
        </w:tc>
        <w:tc>
          <w:tcPr>
            <w:tcW w:w="4661" w:type="dxa"/>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供货商</w:t>
            </w:r>
            <w:r/>
          </w:p>
        </w:tc>
      </w:tr>
      <w:tr>
        <w:trPr>
          <w:trHeight w:val="70"/>
        </w:trPr>
        <w:tc>
          <w:tcPr>
            <w:tcW w:w="4661" w:type="dxa"/>
            <w:vAlign w:val="center"/>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采购单位（章）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淮安市产品质量监督综合检验中心</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c>
          <w:tcPr>
            <w:tcW w:w="4661" w:type="dxa"/>
            <w:vAlign w:val="top"/>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供应商（章）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r>
      <w:tr>
        <w:trPr>
          <w:trHeight w:val="70"/>
        </w:trPr>
        <w:tc>
          <w:tcPr>
            <w:gridSpan w:val="2"/>
            <w:tcW w:w="9322" w:type="dxa"/>
            <w:vAlign w:val="center"/>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见证单位（章）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r>
    </w:tbl>
    <w:p>
      <w:pPr>
        <w:ind w:firstLine="560"/>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技术参数协议</w:t>
      </w:r>
      <w:r/>
    </w:p>
    <w:p>
      <w:pPr>
        <w:jc w:val="left"/>
        <w:spacing w:line="3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一、技术参数</w:t>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采购商确认：                                  供应商确认：</w:t>
      </w:r>
      <w:r/>
    </w:p>
    <w:p>
      <w:pPr>
        <w:ind w:firstLine="560"/>
        <w:spacing w:line="30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6999" w:hanging="6440"/>
        <w:spacing w:line="30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                                                                     年    月    日</w:t>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Cs/>
          <w:color w:val="auto"/>
          <w:sz w:val="28"/>
          <w:szCs w:val="28"/>
        </w:rPr>
        <w:outlineLvl w:val="9"/>
      </w:pPr>
      <w:r>
        <w:rPr>
          <w:rFonts w:hint="eastAsia" w:ascii="仿宋" w:hAnsi="仿宋" w:eastAsia="仿宋"/>
          <w:b/>
          <w:bCs/>
          <w:color w:val="auto"/>
          <w:sz w:val="36"/>
          <w:szCs w:val="36"/>
        </w:rPr>
        <w:t xml:space="preserve">第五章  项目采购需求</w:t>
      </w:r>
      <w:r/>
    </w:p>
    <w:p>
      <w:pPr>
        <w:spacing w:line="520" w:lineRule="exact"/>
        <w:rPr>
          <w:rFonts w:ascii="仿宋" w:hAnsi="仿宋" w:eastAsia="仿宋"/>
          <w:b/>
          <w:bCs/>
          <w:color w:val="auto"/>
          <w:sz w:val="28"/>
          <w:szCs w:val="28"/>
        </w:rPr>
      </w:pPr>
      <w:r>
        <w:rPr>
          <w:rFonts w:hint="eastAsia" w:ascii="仿宋" w:hAnsi="仿宋" w:eastAsia="仿宋"/>
          <w:b/>
          <w:bCs/>
          <w:color w:val="auto"/>
          <w:sz w:val="28"/>
          <w:szCs w:val="28"/>
        </w:rPr>
        <w:t xml:space="preserve">一、采购清单</w:t>
      </w:r>
      <w:r/>
    </w:p>
    <w:tbl>
      <w:tblPr>
        <w:tblStyle w:val="718"/>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4226"/>
        <w:gridCol w:w="1350"/>
        <w:gridCol w:w="1180"/>
        <w:gridCol w:w="1441"/>
      </w:tblGrid>
      <w:tr>
        <w:trPr>
          <w:jc w:val="center"/>
          <w:trHeight w:val="516"/>
        </w:trPr>
        <w:tc>
          <w:tcPr>
            <w:tcW w:w="1353"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序号</w:t>
            </w:r>
            <w:r/>
          </w:p>
        </w:tc>
        <w:tc>
          <w:tcPr>
            <w:tcW w:w="4226"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货物名称</w:t>
            </w:r>
            <w:r/>
          </w:p>
        </w:tc>
        <w:tc>
          <w:tcPr>
            <w:tcW w:w="1350"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单位</w:t>
            </w:r>
            <w:r/>
          </w:p>
        </w:tc>
        <w:tc>
          <w:tcPr>
            <w:tcW w:w="1180"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数量</w:t>
            </w:r>
            <w:r/>
          </w:p>
        </w:tc>
        <w:tc>
          <w:tcPr>
            <w:tcW w:w="1441"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4"/>
              </w:rPr>
              <w:suppressLineNumbers w:val="0"/>
            </w:pPr>
            <w:r>
              <w:rPr>
                <w:rFonts w:hint="eastAsia" w:ascii="仿宋" w:hAnsi="仿宋" w:eastAsia="仿宋" w:cs="仿宋"/>
                <w:b/>
                <w:color w:val="auto"/>
                <w:sz w:val="24"/>
              </w:rPr>
              <w:t xml:space="preserve">备注</w:t>
            </w:r>
            <w:r/>
          </w:p>
        </w:tc>
      </w:tr>
      <w:tr>
        <w:trPr>
          <w:jc w:val="center"/>
          <w:trHeight w:val="409"/>
        </w:trPr>
        <w:tc>
          <w:tcPr>
            <w:tcW w:w="1353"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4"/>
              </w:rPr>
              <w:suppressLineNumbers w:val="0"/>
            </w:pPr>
            <w:r>
              <w:rPr>
                <w:rFonts w:hint="eastAsia" w:ascii="仿宋" w:hAnsi="仿宋" w:eastAsia="仿宋" w:cs="仿宋"/>
                <w:color w:val="auto"/>
                <w:sz w:val="28"/>
                <w:szCs w:val="28"/>
                <w:lang w:eastAsia="zh-CN"/>
              </w:rPr>
              <w:t xml:space="preserve">设备一</w:t>
            </w:r>
            <w:r/>
          </w:p>
        </w:tc>
        <w:tc>
          <w:tcPr>
            <w:tcW w:w="4226"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color w:val="auto"/>
                <w:sz w:val="28"/>
                <w:szCs w:val="28"/>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both"/>
              <w:keepLines w:val="0"/>
              <w:keepNext w:val="0"/>
              <w:spacing w:before="0" w:beforeAutospacing="0" w:after="0" w:afterAutospacing="0"/>
              <w:rPr>
                <w:rFonts w:hint="default" w:ascii="仿宋" w:hAnsi="仿宋" w:eastAsia="仿宋" w:cs="仿宋"/>
                <w:b/>
                <w:color w:val="auto"/>
                <w:sz w:val="24"/>
                <w:lang w:val="en-US" w:eastAsia="zh-CN"/>
              </w:rPr>
              <w:suppressLineNumbers w:val="0"/>
            </w:pPr>
            <w:r>
              <w:rPr>
                <w:rFonts w:hint="default" w:ascii="仿宋" w:hAnsi="仿宋" w:eastAsia="仿宋" w:cs="仿宋"/>
                <w:b/>
                <w:color w:val="auto"/>
                <w:sz w:val="24"/>
                <w:lang w:val="en-US" w:eastAsia="zh-CN"/>
              </w:rPr>
            </w:r>
            <w:r/>
          </w:p>
        </w:tc>
      </w:tr>
      <w:tr>
        <w:trPr>
          <w:jc w:val="center"/>
          <w:trHeight w:val="475"/>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设备二</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55"/>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设备三</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电池测试系统(模组电池测试系统)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7"/>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设备四</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电池防爆试验箱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700"/>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设备五</w:t>
            </w:r>
            <w:r/>
          </w:p>
        </w:tc>
        <w:tc>
          <w:tcPr>
            <w:tcW w:w="4226" w:type="dxa"/>
            <w:vAlign w:val="center"/>
            <w:textDirection w:val="lrTb"/>
            <w:noWrap w:val="false"/>
          </w:tcPr>
          <w:p>
            <w:pPr>
              <w:ind w:left="0" w:right="0"/>
              <w:jc w:val="both"/>
              <w:keepLines w:val="0"/>
              <w:keepNext w:val="0"/>
              <w:spacing w:before="0" w:beforeAutospacing="0" w:after="0" w:afterAutospacing="0" w:line="49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lang w:eastAsia="zh-CN"/>
              </w:rPr>
              <w:t xml:space="preserve">电池测试系统(电池簇测试系统)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77"/>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设备六</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21"/>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设备七</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59"/>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设备八</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电气安全综合测试系统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设备九</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紫外老化试验箱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eastAsia="zh-CN"/>
              </w:rPr>
              <w:t xml:space="preserve">设备</w:t>
            </w:r>
            <w:r>
              <w:rPr>
                <w:rFonts w:hint="eastAsia" w:ascii="仿宋" w:hAnsi="仿宋" w:eastAsia="仿宋" w:cs="仿宋"/>
                <w:color w:val="auto"/>
                <w:sz w:val="28"/>
                <w:szCs w:val="28"/>
                <w:lang w:val="en-US" w:eastAsia="zh-CN"/>
              </w:rPr>
              <w:t xml:space="preserve">十</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电动振动台</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eastAsia="zh-CN"/>
              </w:rPr>
              <w:t xml:space="preserve">设备</w:t>
            </w:r>
            <w:r>
              <w:rPr>
                <w:rFonts w:hint="eastAsia" w:ascii="仿宋" w:hAnsi="仿宋" w:eastAsia="仿宋" w:cs="仿宋"/>
                <w:color w:val="auto"/>
                <w:sz w:val="28"/>
                <w:szCs w:val="28"/>
                <w:lang w:val="en-US" w:eastAsia="zh-CN"/>
              </w:rPr>
              <w:t xml:space="preserve">十一</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气相色谱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bl>
    <w:p>
      <w:pPr>
        <w:pStyle w:val="728"/>
        <w:keepLines w:val="0"/>
        <w:keepNext w:val="0"/>
        <w:pageBreakBefore w:val="0"/>
        <w:spacing w:line="520" w:lineRule="exact"/>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二、技术参数要求</w:t>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设备一、电池测试系统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bookmarkStart w:id="41" w:name="_Hlk239184088"/>
      <w:r>
        <w:rPr>
          <w:rFonts w:hint="eastAsia" w:ascii="仿宋" w:hAnsi="仿宋" w:eastAsia="仿宋" w:cs="仿宋"/>
          <w:color w:val="auto"/>
          <w:sz w:val="28"/>
          <w:szCs w:val="28"/>
          <w:lang w:eastAsia="zh-CN"/>
        </w:rPr>
        <w:t xml:space="preserve">一、</w:t>
      </w:r>
      <w:bookmarkEnd w:id="41"/>
      <w:r>
        <w:rPr>
          <w:rFonts w:hint="eastAsia" w:ascii="仿宋" w:hAnsi="仿宋" w:eastAsia="仿宋" w:cs="仿宋"/>
          <w:color w:val="auto"/>
          <w:sz w:val="28"/>
          <w:szCs w:val="28"/>
          <w:lang w:eastAsia="zh-CN"/>
        </w:rPr>
        <w:t xml:space="preserve">台式扣电恒温试验箱一体机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★用途：用于锂离子纽扣电池的的容量、充放电性能、循环寿命等关键指标进行精确检测。提供标准所要求的温度、充放电等试验环境，确保测试数据的准确性和可重复性。必须满足：GB/T28164.2-2025、GB 31241-2022等的相关标准。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1.1输入电源：AC(220±10%)V /50Hz；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▲1.2电池规格：扣式电池,可放置32个扣电；</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★1.3温度范围：15</w:t>
      </w:r>
      <w:bookmarkStart w:id="42" w:name="OLE_LINK1"/>
      <w:r>
        <w:rPr>
          <w:rFonts w:hint="eastAsia" w:ascii="仿宋" w:hAnsi="仿宋" w:eastAsia="仿宋" w:cs="仿宋"/>
          <w:color w:val="auto"/>
          <w:sz w:val="28"/>
          <w:szCs w:val="28"/>
          <w:lang w:eastAsia="zh-CN"/>
        </w:rPr>
        <w:t xml:space="preserve">℃～</w:t>
      </w:r>
      <w:bookmarkEnd w:id="42"/>
      <w:r>
        <w:rPr>
          <w:rFonts w:hint="eastAsia" w:ascii="仿宋" w:hAnsi="仿宋" w:eastAsia="仿宋" w:cs="仿宋"/>
          <w:color w:val="auto"/>
          <w:sz w:val="28"/>
          <w:szCs w:val="28"/>
          <w:lang w:eastAsia="zh-CN"/>
        </w:rPr>
        <w:t xml:space="preserve">60℃；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▲1.4箱内有效体积：≤25L；</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1.5空气调节：半导体制冷（制热）模块；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1.6温度波动度：≤±1℃（空载、温度稳定时）；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1.7温度偏差：±2.0℃（空载、温度稳定时）；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1.8升温时间：25℃→60℃ ≤50 min（空载，平均非线性）；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1.9降温时间：25℃→15℃ ≤60 min（空载，平均非线性）；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★1.10电压范围：-5V～5V；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★1.11内置32通道50mA四量程充放电设备：电流量程一：0.2μA～0.1mA；量程二：0.1mA～1mA；量程三：1mA～10mA；量程四：10mA～50mA；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1.12充电模式：恒流充电、恒压充电、恒流恒压充电、恒功率充电；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auto"/>
          <w:sz w:val="28"/>
          <w:szCs w:val="28"/>
          <w:lang w:eastAsia="zh-CN"/>
        </w:rPr>
        <w:t xml:space="preserve">1.13放电模式：恒流放电、恒压放电、恒流恒压放电、恒功率放电、恒阻放</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1.14保护条件：软件保护：电压上限、电压下限、电流上限、电流下限、容量上限、延时时间；硬件保护：防反接保护、过压保护、过流保护、断电保护，通道保护后设备具有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1.15编程步数：254  循环测试范围：1～65535次；</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▲1.16电压精度：</w:t>
      </w:r>
      <w:r>
        <w:rPr>
          <w:rFonts w:hint="eastAsia" w:ascii="仿宋" w:hAnsi="仿宋" w:eastAsia="仿宋" w:cs="仿宋"/>
          <w:color w:val="auto"/>
          <w:sz w:val="28"/>
          <w:szCs w:val="28"/>
          <w:lang w:eastAsia="zh-CN"/>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0.01%FS；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▲1.17电流精度：</w:t>
      </w:r>
      <w:r>
        <w:rPr>
          <w:rFonts w:hint="eastAsia" w:ascii="仿宋" w:hAnsi="仿宋" w:eastAsia="仿宋" w:cs="仿宋"/>
          <w:color w:val="auto"/>
          <w:sz w:val="28"/>
          <w:szCs w:val="28"/>
          <w:lang w:eastAsia="zh-CN"/>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0.01%FS；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1.18支持充放电设备，温箱软件互联；</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▲1.20配套系统软件，具备曲线对比，可定制自动报表，支持导出EXCEL、TXT、PDF、CSV格式等功能；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▲1.22配32个四线制扣电专用夹具；</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 (提供生产厂商产品的宣传彩页或官网截图内腔实物照片加盖投标人电子签章，未提供作负偏离处理)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1.23整机尺寸W*D*H：W450 mm×D600 mm×H400 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温度：25℃±3℃；相对湿度：≤85%；气压：86kPa～106kPa；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★配32套扣电专用夹具；</w:t>
      </w:r>
      <w:r/>
    </w:p>
    <w:p>
      <w:pPr>
        <w:numPr>
          <w:ilvl w:val="0"/>
          <w:numId w:val="0"/>
        </w:numPr>
        <w:ind w:left="56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7"/>
        </w:numPr>
        <w:ind w:left="0" w:firstLine="56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bCs/>
          <w:color w:val="000000" w:themeColor="text1"/>
          <w:sz w:val="28"/>
          <w:szCs w:val="22"/>
          <w:highlight w:val="none"/>
          <w:lang w:val="en-US" w:eastAsia="zh-CN" w:bidi="ar"/>
          <w14:textFill>
            <w14:solidFill>
              <w14:schemeClr w14:val="tx1"/>
            </w14:solidFill>
          </w14:textFill>
        </w:rPr>
        <w:t xml:space="preserve">交流线：配置3米</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二、3C电池测试系统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3C电子产品锂离子电池电芯的容量、充放电性能、循环寿命等关键指标进行精确检测。提供标准所要求的充放电等试验环境，确保测试数据的准确性和可重复性。必须满足GB31241-2022、GB/T36276-2023、GB/T36972-2026、GB40165-2021、GB43854-2024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充电电压：0V～5V;放电电压：1V～5V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最小电流≤15mA;支持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多量程</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分档</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：量程一：300mA；量程二：3A；量程三：6A；量程四：15A；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3" w:name="OLE_LINK2"/>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bookmarkEnd w:id="43"/>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充电模式:恒流充电、恒压充电、恒流恒压充电、恒功率充电；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放电模式：恒流放电、恒压放电、恒流恒压放电、恒功率放电、恒阻放电；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保护条件：软件保护：电压上限、电压下限、电流上限、电流下限、容量上限、延时时间； 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编程步数：</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＞50000工步；循环次数≥100000次；支持循环嵌套功能，最大嵌套数≥30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通道总数： 不低于240个；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0.02%FS；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0.02%FS；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测试夹具：配置可兼容软包、圆柱、方形电芯 ，其中圆柱，方壳电芯需要接探针夹具测试，夹具材质：铜镀金，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数量不少于240套；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配置软包电池夹具</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240套，软包电池托盘</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30个，托盘尺寸W*D：300*730mm；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整机尺寸不大于W*D*H：1800*750*1800mm（机柜总尺寸）；</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单台电脑最大通道控制数≥240通道，电流响应时间≤3ms、充放电切换时间≤10ms；数据采样时间≤10ms；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配置可兼容软包、圆柱、方形电芯 ，其中圆柱，方壳电芯需要接探针夹具测试，夹具材质：铜镀金，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数量不少于240套；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配置软包电池夹具</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240套，软包电池托盘</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30个，托盘尺寸W*D：300*730mm；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p>
    <w:p>
      <w:pPr>
        <w:numPr>
          <w:ilvl w:val="0"/>
          <w:numId w:val="0"/>
        </w:numPr>
        <w:ind w:left="42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三、电池双层</w:t>
      </w:r>
      <w:bookmarkStart w:id="44" w:name="OLE_LINK9"/>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高低温</w:t>
      </w:r>
      <w:bookmarkEnd w:id="44"/>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在高低温交变以及恒定温度的安全性能试验 。</w:t>
      </w:r>
      <w:r/>
    </w:p>
    <w:p>
      <w:pPr>
        <w:numPr>
          <w:ilvl w:val="0"/>
          <w:numId w:val="0"/>
        </w:num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1.1测试空间尺寸：每个约800*700*600（W*D*H），2个；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1100*2000*1750（W*D*H）；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1.4外箱材质：采用≥1.5㎜厚耐锈耐腐蚀冷轧钢板，烤漆工艺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★1.5温度范围：-40℃～150℃，连续低温（-40℃）运1000h 不结霜，具有自动化霜功能、化霜时箱内不积水；</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1.6升温速率：-40℃～150℃ ，非线性3℃/min （全程平均）；</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1.7降温速率：150℃～-40℃ ，非线性1℃/min （全程平均）；</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1.10照明灯： 1个/层；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1.15降温方式：风冷；</w:t>
      </w:r>
      <w:r/>
    </w:p>
    <w:p>
      <w:pPr>
        <w:ind w:left="0" w:firstLine="560"/>
        <w:keepLines w:val="0"/>
        <w:keepNext w:val="0"/>
        <w:pageBreakBefore w:val="0"/>
        <w:spacing w:line="520" w:lineRule="exact"/>
        <w:widowControl w:val="off"/>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2、★配置清单：</w:t>
      </w:r>
      <w:bookmarkStart w:id="45" w:name="OLE_LINK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推荐品牌：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比泽尔、泰康牌压缩机或谷轮压缩机，施耐德、LS、德力西电气</w:t>
      </w:r>
      <w:bookmarkEnd w:id="4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等，供应商可以自主选择技术标准相当于或优于推荐品牌的其他品牌。</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设备二、电池测试系统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一、动力电池测试系统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电池、储能电池电芯的容量、充放电性能、循环寿命等关键指标进行精确检测。提供标准所要求的充放电等试验环境，确保测试数据的准确性和可重复性。必须满足GB43854-2024、GB/T36276-2023、GB/T36972-2026、GB40165-2021、</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"https://www.baidu.com/s?wd=GB%2044240-2024</w:instrText>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&amp;rsv_idx=2&amp;tn=baiduhome_pg&amp;usm=4&amp;ie=utf-8&amp;rsv_pq=bcb6b564003812ab&amp;oq=%E5%82%A8%E8%83%BD%E7%94%B5%E6%B1%A0%E6%A0%87%E5%87%86&amp;rsv_t=3145Rx0g%2BK7VX8G7zPKS2k8Kgxmt8SGw1EAIco7KdD9HHSfG2y30NK96RjyP1JjbdLHL&amp;rsv_dl=re_dqa_generate&amp;sa=re_dqa_generate" \t "_blank"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GB44240-2024</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★1.1电压范围1：1.5V～5V；电压范围2：-20V～20V；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★1.2电流范围1：5V100A可分多量程：量程1：0.25A～50A 量程2：50A～100A，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最小电流≤10mA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电流范围2：20V300A可分多量程：量程1：0.1A～50A；量程2：50A～100A；量程3：100A～300A；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1.6上位机通讯方式：基于TCP/IP协议；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★1.7通道数：34个（其中5V100A 配置32个；20V300A 配置2个）；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整机通道任意</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▲1.9电压精度：≤0.05%FS；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▲1.10电流精度：≤0.05%FS；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1.15电流转换时间（-90%FS → 90%FS）：≤</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★1.16测试夹具：20V300A需要可兼容软包、圆柱、方形电芯 ，其中圆柱，方壳电芯需要接探针夹具测试，夹具材质：铜镀金，数量不少于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套，通道输出线长：3米；采样铜鼻子及软包夹具，数量不少于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5V100A采样铜鼻子及软包夹具，数量不少于16套，通道输出线长：3米；可兼容软包、圆柱、方形电芯 ，其中圆柱，方壳电芯需要接探针夹具测试，夹具材质：铜镀金，数量不少于16套，通道输出线长：3米；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1.17整机尺寸W*D*H：600*800*1900(mm)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1.18辅助通道要求：温度类型T型热电偶，温度范围：-70～260℃，温度精度：±1℃，温度线长:4米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1.19、配置电脑1台：主机频率 4G以上 ，内存 16G以上，系统硬盘 SATA接口，2TB机械硬盘 ，显示器23.8寸，文件系统格式 NTFS ，操作系统 Microsoft Windows10  64位或以上系统 ，网口数量不少于2个。USB数量不少于4个；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1.20配货架2套，电池架尺寸：W*D*H：1500*500*1950(mm)；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测试夹具：20V300A需要可兼容软包、圆柱、方形电芯 ，其中圆柱，方壳电芯需要接探针夹具测试，夹具材质：铜镀金，数量不少于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套，通道输出线长：3米；采样铜鼻子及软包夹具，数量不少于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5V100A采样铜鼻子及软包夹具，数量不少于16套，通道输出线长：3米；可兼容软包、圆柱、方形电芯 ，其中圆柱，方壳电芯需要接探针夹具测试，夹具材质：铜镀金，数量不少于16套，通道输出线长：3米；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配置34路辅助温度通道，温度类型T型热电偶,温度范围：-70℃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二、动力电池倍率测试系统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电池、储能电池电芯的容量、充放电性能、循环寿命、倍率等关键指标进行精确检测。提供标准所要求的充放电等试验环境，确保测试数据的准确性和可重复性。必须满足GB/T36276-2023、GB/T36972-2026、GB40165-2021、GB43854-2024、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★1.1电压范围：1.5V～5V；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-300A～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300A可分多量程：量程1: 50A；量程2: 100A；量程3: 200A；量程4: 300A；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1.6上位机通讯方式：基于TCP/IP协议；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★1.7通道数：≥8个；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1.8通道并联：支持8个通道并联；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1.16可兼容软包，方壳电芯测试,采样铜鼻子及软包夹具，数量各8套，通道输出线长：3米；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1.17辅助通道要求：温度类型T型热电偶，温度范围：-70℃～260℃，温度精度：±1℃，温度线长:4米；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1.18整机尺寸W*D*H： 600*700*1</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1.19配货架1套，电池架尺寸：W*D*H：1500*500*1950(mm)；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★可兼容软包，方壳电芯测试,</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采用铜鼻子及软包夹具，数量各8套，通道输出线长：3米；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配置8路辅助温度通道，温度类型T型热电偶，温度范围：-70℃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4、其他：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三、电池防爆试验箱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★1.3内箱材质：箱体材质:采用≥5㎜厚高强度碳钢板，内部喷涂防火防水材料；</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★1.11配备4个接线端子；</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2.4提供可观察试验过程的观察窗口和工作腔内置防爆照明灯。观察窗口选用双层玻璃结构，内层为钢化玻璃，中间空气隔离，外层为防弹玻璃。内层的钢化玻璃便于更换；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2.5试验机底部安装四只脚轮（万向和定向各两只），另外加装高度可调的固定支脚；</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2.6试验机的箱体颜色标准色为银灰色。</w:t>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设备三、电池测试系统(模组电池测试系统)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模组电池包、储能模组电池包的容量、充放电性能、循环寿命等关键指标进行精确检测。提供标准所要求的充放电等试验环境，确保测试数据的准确性和可重复性。必须满足GB/T36276-2023、GB/T36972-2026、GB40165-2021、GB43854-2024、</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"https://www.baidu.com/s?wd=GB%2044240-2024</w:instrText>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&amp;rsv_idx=2&amp;tn=baiduhome_pg&amp;usm=4&amp;ie=utf-8&amp;rsv_pq=bcb6b564003812ab&amp;oq=%E5%82%A8%E8%83%BD%E7%94%B5%E6%B1%A0%E6%A0%87%E5%87%86&amp;rsv_t=3145Rx0g%2BK7VX8G7zPKS2k8Kgxmt8SGw1EAIco7KdD9HHSfG2y30NK96RjyP1JjbdLHL&amp;rsv_dl=re_dqa_generate&amp;sa=re_dqa_generate" \t "_blank"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GB44240-2024</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★1.1电压范围：充电：0V～100V，放电：5V～100V；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★1.2电流范围：100A可分多量程：量程1：0.1A～50A；量程2：50A～100A；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最小电流≤50mA；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＞50000工步；循环次数≥100000次；支持循环嵌套功能，最大嵌套数≥30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★1.7通道数：8个；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▲1.13电压精度：≤0.0</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▲1.14电流精度：≤0.0</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90%FS）：≤6ms；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★1.21铜鼻子夹具，数量不少于8套，通道输出线长3米；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1.22尺寸</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不大于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W*D*H：</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700*650*1335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(mm)（机柜总尺寸）；</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★1.23带8路CAN及8路485CAN与RS485通讯，带DBC配置功能；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1.24配置电脑：配置电脑1台：主机频率 4G以上 ，内存 16G以上，系统硬盘 SATA接口，2TB机械硬盘 ，显示器23.8寸，文件系统格式 NTFS ，操作系统 Microsoft Windows10  64位或以上系统 ，网口数量不少于2个。USB数量不少于4个；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1.25配货架1套，电池架尺寸：W*D*H：1500*500*1950(mm)；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配置电脑1台：主机频率 4G以上 ，内存 16G以上，系统硬盘 SATA接口，2TB机械硬盘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显示器23.8寸，</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文件系统格式 NTFS ，操作系统 Microsoft Windows10 64位或以上系统 ，网口数量不少于2个，USB数量不少于4个；</w:t>
      </w:r>
      <w:r/>
    </w:p>
    <w:p>
      <w:pPr>
        <w:numPr>
          <w:ilvl w:val="0"/>
          <w:numId w:val="0"/>
        </w:numPr>
        <w:ind w:left="42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6.设备具有能量回馈功能：回馈效率≥80%；</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7.设备功率≤100kW。</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设备四、</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电池防爆试验箱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依据锂离子蓄电池安全性能防爆试验。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★1.3内箱材质：箱体材质:采用≥5㎜厚高强度碳钢板，内部喷涂防火防水材料；</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1.11重量： 约150Kg；</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★1.12直流电源DC24V 500W，保险丝2A（铅丝0.5mm）,1卷,含短路保险治具支架，触摸屏界面控制手动操作并且可以遥控操作；</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★1.13短路装置采用无触点式，直流固态继电器控制，响应时间快，无火花；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★1.14配备4个接线端子；</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2.4提供可观察试验过程的观察窗口和工作腔内置防爆照明灯。观察窗口选用双层玻璃结构，内层为钢化玻璃，中间空气隔离，外层为防弹玻璃。内层的钢化玻璃便于更换；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2.5试验机底部安装四只脚轮（万向和定向各两只），另外加装高度可调的固定支脚；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2.6试验机的箱体颜色标准色为银灰色；</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设备五、电池测试系统(电池簇测试系统)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较大动力电池模组电池包、储能电池簇的容量、充放电性能、循环寿命等关键指标进行精确检测。提供标准所要求的充放电等试验环境，确保测试数据的准确性和可重复性。GB/T36276-2023、GB40165-2021、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-300A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～300A；最小电流≤150mA;量程自动分档；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★1.2电压范围：充电电压：0V～500V；放电电压：10V～500V；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1.8通道并联：支持2通道并联；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 1600*1300*2000mm(mm)；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6.最小记录时间≤10ms;最小工况时间≤20ms；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7.设备具有能量回馈功能：回馈效率≥90%；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8.整机功率≤330kW</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设备六、电池测试系统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一、模组电池测试系统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电动两轮、三轮摩托车电池组、无人机电池组、大型电动工具用电池组、储能电池模组电池包的容量、充放电性能、循环寿命等关键指标进行精确检测。提供标准所要求的充放电等试验环境，确保测试数据的准确性和可重复性。GB/T36276-2023、GB/T36672-2018、GB40165-2021、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6" w:name="OLE_LINK3"/>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bookmarkEnd w:id="46"/>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1电流范围：-200A～200A；最小电流≤50mA;电流分档：可分多档自动分档，提供分档说明；</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★1.2电压范围：充电电压：0V～200V;放电电压：8V～200V；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1.8通道并联：支持2通道并联，</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通道并联后精度保持不变</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6.能量回馈设备：整机效率不低于85%；</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7.整机功率≤100kW；</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8.最小记录时间10ms;最小工况时间：50ms</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二、电池防低温快速温变试验箱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在高低温快速交变以及热滥用的安全性能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1.1测试空间尺寸：约800*600*600（W*D*H）；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1100*1800*1750（W*D*H）；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1.4外箱材质：采用≥1.5㎜厚耐锈耐腐蚀冷轧钢板，烤漆工艺；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▲1.5温度范围：-40℃～150℃；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★1.6升温速率：-40℃～130℃ ，线性≥5℃/min可调（带载50kg电池）；</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★1.7降温速率：85℃～-40℃ ，线性≥5℃/min可调（带载50kg电池）；</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1.10照明灯： 1个；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★1.15降温方式：风冷；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2、运行环境:风冷；</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设备七、电池测试系统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一、电动工具电池测试系统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电动工具电池组、无人机电池组的容量、充放电性能、循环寿命等关键指标进行精确检测。提供标准所要求的充放电等试验环境，确保测试数据的准确性和可重复性。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★1.1电流范围：-30A～30A；最小电流≤50mA；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★1.2电压范围：充电范围：0V～30V;放电范围：2V～30V；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★1.7通道数：≥32个；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≤0.05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≤0.05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1.21辅助通道要求：温度类型T型热电偶，温度范围：-70℃～260℃温度精度：±1℃，温度线长:4米，电压范围：0～5V 电压精度：±0.05% of 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00*800*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192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1.23鳄鱼夹具，数量不少于32套，材质：铜，通道输出线长3米；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1.24配货架2套，电池架尺寸：W*D*H：1500*500*1950(mm)；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★鳄鱼夹具，数量不少于32套，材质：铜，通道输出线长3米；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★配置辅助温度通道32路，温度类型T型热电偶，温度范围：    -70℃～260℃ 温度精度：±1℃，温度线长:4米，电压范围：0～5V 电压精度：±0.05% of 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二、电池双层</w:t>
      </w:r>
      <w:bookmarkStart w:id="47" w:name="OLE_LINK4"/>
      <w:r>
        <w:rPr>
          <w:rFonts w:hint="eastAsia" w:ascii="仿宋" w:hAnsi="仿宋" w:eastAsia="仿宋" w:cs="仿宋"/>
          <w:b/>
          <w:bCs/>
          <w:color w:val="auto"/>
          <w:sz w:val="28"/>
          <w:szCs w:val="28"/>
          <w:lang w:eastAsia="zh-CN"/>
        </w:rPr>
        <w:t xml:space="preserve">高低温</w:t>
      </w:r>
      <w:bookmarkEnd w:id="47"/>
      <w:r>
        <w:rPr>
          <w:rFonts w:hint="eastAsia" w:ascii="仿宋" w:hAnsi="仿宋" w:eastAsia="仿宋" w:cs="仿宋"/>
          <w:b/>
          <w:bCs/>
          <w:color w:val="auto"/>
          <w:sz w:val="28"/>
          <w:szCs w:val="28"/>
          <w:lang w:eastAsia="zh-CN"/>
        </w:rPr>
        <w:t xml:space="preserve">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原电池和其它原电池、以及锂离子电池（用于移动电话、笔记本电脑、摄像机等数码电子产品）、镍氢、镍镉以及铅酸电池（用于电动工具、玩具、电动自行车等产品）在高低温交变以及恒定温度的安全性能试验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1.1测试空间尺寸：每个约800*700*600（W*D*H），2个；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1.2机台尺寸： 约 1100*2000*1750（W*D*H）；</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1.4外箱材质：采用≥1.5㎜厚耐锈耐腐蚀高低温，烤漆工艺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★1.5温度范围：-40℃～150℃，连续低温（-40℃）运1000h 不结霜，具有自动化霜功能、化霜时箱内不积水；</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1.6升温速率：-40℃～150℃ ，非线性3℃/min （全程平均）；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1.7降温速率：150℃～-40℃ ，非线性1℃/min （全程平均）；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1.10照明灯： 1个/层；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1.15降温方式：风冷；</w:t>
      </w:r>
      <w:r/>
    </w:p>
    <w:p>
      <w:pPr>
        <w:numPr>
          <w:ilvl w:val="0"/>
          <w:numId w:val="0"/>
        </w:num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lang w:eastAsia="zh-CN"/>
        </w:rPr>
        <w:t xml:space="preserve">配置清单：</w:t>
      </w:r>
      <w:r>
        <w:rPr>
          <w:rFonts w:hint="eastAsia" w:ascii="仿宋" w:hAnsi="仿宋" w:eastAsia="仿宋" w:cs="仿宋"/>
          <w:color w:val="auto"/>
          <w:sz w:val="28"/>
          <w:szCs w:val="28"/>
          <w:lang w:val="en-US" w:eastAsia="zh-CN"/>
        </w:rPr>
        <w:t xml:space="preserve">推荐品牌：</w:t>
      </w:r>
      <w:r>
        <w:rPr>
          <w:rFonts w:hint="eastAsia" w:ascii="仿宋" w:hAnsi="仿宋" w:eastAsia="仿宋" w:cs="仿宋"/>
          <w:color w:val="auto"/>
          <w:sz w:val="28"/>
          <w:szCs w:val="28"/>
          <w:lang w:eastAsia="zh-CN"/>
        </w:rPr>
        <w:t xml:space="preserve">比泽尔、泰康牌压缩机或谷轮压缩机，施耐德、LS、德力西电气，供应商可以自主选择技术标准相当于或优于推荐品牌的其他品牌。</w:t>
      </w:r>
      <w:r/>
    </w:p>
    <w:p>
      <w:pPr>
        <w:numPr>
          <w:ilvl w:val="0"/>
          <w:numId w:val="0"/>
        </w:numPr>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三、电池防爆试验箱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w:t>
      </w:r>
      <w:r>
        <w:rPr>
          <w:rFonts w:hint="eastAsia" w:ascii="仿宋" w:hAnsi="仿宋" w:eastAsia="仿宋" w:cs="仿宋"/>
          <w:color w:val="auto"/>
          <w:sz w:val="28"/>
          <w:szCs w:val="28"/>
          <w:highlight w:val="none"/>
          <w:lang w:eastAsia="zh-CN"/>
        </w:rPr>
        <w:t xml:space="preserve">内箱材质：箱体材质:采用≥5㎜厚高强度碳钢板，内部喷</w:t>
      </w:r>
      <w:r>
        <w:rPr>
          <w:rFonts w:hint="eastAsia" w:ascii="仿宋" w:hAnsi="仿宋" w:eastAsia="仿宋" w:cs="仿宋"/>
          <w:color w:val="auto"/>
          <w:sz w:val="28"/>
          <w:szCs w:val="28"/>
          <w:lang w:eastAsia="zh-CN"/>
        </w:rPr>
        <w:t xml:space="preserve">涂防火防水材料；</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★1.11配备4个接线端子；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2.4提供可观察试验过程的观察窗口和工作腔内置防爆照明灯。观察窗口选用双层玻璃结构，内层为钢化玻璃，中间空气隔离，外层为防弹玻璃。内层的钢化玻璃便于更换；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2.5试验机底部安装四只脚轮（万向和定向各两只），另外加装高度可调的固定支脚；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2.6试验机的箱体颜色标准色为银灰色。</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其他需要的内容:质保期3年。</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设备八、电气安全综合测试系统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一、温度功率记录集成系统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★用途：用于家用电器供电、采集温度数据、功率、电压、电流、频率与功率因数等数据，适用于安规测试时记录电参数与温升数据的测定，必须满足：GB/T4706系列标准、GB42296-2022标准。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由可编程变频交流电源、数据采集仪、功率计、工控电脑与专用软件组成。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★1.1可编程变频交流电源：采用AC-DC-AC全逆变隔离，额定容量≥6kVA；输出电压0～300V连续可调，电压分辨率≤0.1 V；频率45～500 Hz，常态锁定50 Hz。输出正弦波总谐波畸变THD≤1%，电压稳定度≤±0.2%，负载调整率≤±0.5%。具备过压、过流、短路、过热保护，可直接设置0.85Un、1.00Un、1.06Un工况。电压、THD指标可计量溯源，带电压、电流、功率、THD显示；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★1.2数据采集仪：配置数据采集仪、数据采集卡；</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数据采集仪参数：模拟测量：电流、电阻、频率和温度；电压、数字IO：48位；模拟输出：-10V～+10V, 20mA；内置信号矩阵切换模块，内部独立开关交叉点数量不少于96个，支持端口间任意互联，可实现多对多信号连通切换，满足线束、元器件、电路板通断及性能测试。集成多路复用通道：单端模式不少于120个1线通道，差分模式不少于60个2线通道，两种模式可配置切换。具备不少于60路独立通用电控开关，可单独控制回路通断。配置射频多路复用模块，射频通道不少于24路，射频通道与低频模拟通道相互隔离。</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数据采集卡参数：配置20 通道多路复用器+ 2路电流专用通道，总通道数不少于22路；通道扫描速率：60 通道/秒；最高电压：300V，最大电流：1A，信号带宽不低于10MHz，热偏置＜3μV，保证小信号测量精度。配套热电偶线探头，测温范围-100℃～400℃，温度分辨率：0.01℃；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★1.3功率计：基本功率精度(50/60Hz)：读数的0.1%+量程的0.1%；直接输入电流量程：12个量程/5mA～20A；外部电流输入：2.5/5/10[V]；采样率：100kS/s；数据更新率：100ms、250ms、500ms、1s、2s、5s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1.4工控电脑与专用软件：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额定功率≥250W工业电源；ATX结构工业单板主板，LGA775插槽，≥4个DDR内存槽，带VGA、5路SATA、双千兆网口、10路USB2.0、8路串口（含2路RS232/422/485）、并口、PS2、声卡，4个PCI、PCI-E×16、PCI-E×4及8路数字接口，符合 ROHS；内存≥4G；SATA 硬盘≥500G；配19寸液晶显示器。配套数据通讯可视化软件，支持数据导出，可生成数据曲线；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★配20根热电偶；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二、智能安规综合分析仪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bookmarkStart w:id="48" w:name="OLE_LINK6"/>
      <w:r>
        <w:rPr>
          <w:rFonts w:hint="eastAsia" w:ascii="仿宋" w:hAnsi="仿宋" w:eastAsia="仿宋" w:cs="仿宋"/>
          <w:color w:val="auto"/>
          <w:sz w:val="28"/>
          <w:szCs w:val="28"/>
          <w:lang w:eastAsia="zh-CN"/>
        </w:rPr>
        <w:t xml:space="preserve">★</w:t>
      </w:r>
      <w:bookmarkEnd w:id="48"/>
      <w:r>
        <w:rPr>
          <w:rFonts w:hint="eastAsia" w:ascii="仿宋" w:hAnsi="仿宋" w:eastAsia="仿宋" w:cs="仿宋"/>
          <w:color w:val="auto"/>
          <w:sz w:val="28"/>
          <w:szCs w:val="28"/>
          <w:lang w:eastAsia="zh-CN"/>
        </w:rPr>
        <w:t xml:space="preserve">用途：用于锂电池、动力电池及储能电池的安规综合测试，集成交流耐压、直流耐压、绝缘电阻、交流接地电阻、直流接地电阻（选配）等功能。满足GB38031-2025、GB18384-2020、GB44240-2024等安规测试标准。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1.1交流耐压测试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1.1.1额定输出（容量）：500VA（5kV/100mA），短路电流大于200mA；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★1.1.2输出电压--范围/允许误差：范围（100～5000）V，分辨力1V，允许误差±（1%×设定值+5V）；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★1.1.3电流测量--上限、下限设置：范围（0.00～100.0）mA，分辨力0.01mA，允许误差±（1%×读数值+5个字）；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1.2直流耐压测试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★1.2.1输出电压--范围/允许误差：范围（100～6000）Vdc，分辨力1V，允许误差±（1%×设定值+5V）；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★1.2.2电流测量--上限、下限电流设置：范围（0.0～20000）μA，分辨力0.1μA/1μA，允许误差±（1%×读数值+5个字）；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1.3绝缘电阻测试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★1.3.1输出电压--范围/允许误差：范围（100～6000）Vdc，分辨力1V，允许误差±（1%×设定值+5V）；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★1.3.2电阻测量--范围/允许误差：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范围0.100MΩ～100.0GΩ，分辨力0.001MΩ、0.01MΩ、0.1MΩ、0.001GΩ、0.01GΩ；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误差：100V～499V：0.100MΩ～2.000GΩ，±（5%×读数值+2字）；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500V～2500V或10000V：1.0MΩ～999.9MΩ，±（2%×读数值+2字）；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1.000GΩ～9.999GΩ：±（5%×读数值+2字）；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10.00GΩ～49.99GΩ：±（15%×读数值+2字）；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50.00GΩ～100.0GΩ：±（20%×读数值+2字）；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1.4交流接地电阻测试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★1.4.1输出电流范围/允许误差：范围（2.0A～64.0A），分辨力0.1A，允许误差±（1%×设定值+2个字）；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★1.4.2输出电压范围/允许误差：开路电压范围（3.0～10.0）V AC，分辨力0.1V，允许误差±（1%×设定值+2个字）；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1.4.3报警限值电阻上限与下限范围：3A≤输出电流≤10A：10mΩ～600mΩ；11A≤输出电流≤25A：10mΩ～300mΩ；26A≤输出电流≤64A：10mΩ～200mΩ；允许误差：&lt;100mΩ，±（1%×读数值+1mΩ）；≥100mΩ，±（1%×读数值+2个字）；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1.4.4测试时间范围/允许误差：范围0，（0.5～999.9）s，0为无限长，分辨力0.1s，允许误差±（0.1%×设定值+2个字）；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1.5直流接地电阻测试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★1.5.1输出电流范围/允许误差：范围（1.0A～60.0A）DC，分辨力0.1A，允许误差±（1%×设定值+2个字）；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★1.5.2输出电压范围/允许误差：输出电压范围（0.00～8.00）Vdc，分辨力0.1V，允许误差±（1%×设定值+2个字）；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1.5.3报警限值电阻上限与下限范围：1A≤输出电流≤10A：10mΩ～600mΩ；11A≤输出电流≤25A：10mΩ～300mΩ；26A≤输出电流≤60A：10mΩ～200mΩ；允许误差：1A≤输出电流≤10A：0.1mΩ～600mΩ；10.1A≤输出电流≤30A：0.1mΩ～200mΩ；30.1A≤输出电流≤40A：0.1mΩ～150mΩ；40.1A≤输出电流≤60A：0.1mΩ～100m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1.5.4测试时间范围/允许误差：范围0，（0.5～999.9）s，0为无限长，分辨力0.1s，允许误差±（0.1%×设定值+2个字）；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  8通道高压扫描卡</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8 通道输出，8 个可编程输出端口：高压、回路或开路。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2、功能特点</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2.1便捷高效</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2.1.1波形显示：参数波形显示，支持光标、缩放、回放；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2.1.2辅助功能：浮地/接地模式、低通滤波、残余电压监测；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2.1.3快速测控：具备并行测试、多路切换、快速放电；</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2.2智能测试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2.2.1条码识别：条码扫描、程序匹配、自动启动、数据打包；</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2.2.2数据管理：本地存储、网络传输，可直接对接MES系统；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2.2.3接口丰富：RS232、LAN、WIFI、USB、PLC、I/O控制接口；</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触摸屏操作、视窗菜单。LAN/RS232通信接口、外部I/O接口、USB数据存储与拷贝；</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3、运行环境</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0℃～40℃、80%rh以下（无凝结）；精度保证环境：23℃±5℃、80%rh以下（无凝结）。</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4、配置清单</w:t>
      </w:r>
      <w:r/>
    </w:p>
    <w:tbl>
      <w:tblPr>
        <w:tblStyle w:val="718"/>
        <w:tblW w:w="9026" w:type="dxa"/>
        <w:tblInd w:w="-12" w:type="dxa"/>
        <w:tblBorders>
          <w:top w:val="single" w:color="000000" w:sz="8" w:space="0"/>
          <w:left w:val="none" w:color="auto" w:sz="0" w:space="0"/>
          <w:bottom w:val="single" w:color="000000" w:sz="8" w:space="0"/>
          <w:right w:val="none" w:color="auto" w:sz="0" w:space="0"/>
          <w:insideH w:val="single" w:color="000000" w:sz="4" w:space="0"/>
          <w:insideV w:val="none" w:color="auto" w:sz="0" w:space="0"/>
        </w:tblBorders>
        <w:tblLayout w:type="autofit"/>
        <w:tblCellMar>
          <w:left w:w="120" w:type="dxa"/>
          <w:top w:w="80" w:type="dxa"/>
          <w:right w:w="120" w:type="dxa"/>
          <w:bottom w:w="80" w:type="dxa"/>
        </w:tblCellMar>
        <w:tblLook w:val="04A0" w:firstRow="1" w:lastRow="0" w:firstColumn="1" w:lastColumn="0" w:noHBand="0" w:noVBand="1"/>
      </w:tblPr>
      <w:tblGrid>
        <w:gridCol w:w="3429"/>
        <w:gridCol w:w="5597"/>
      </w:tblGrid>
      <w:tr>
        <w:trPr>
          <w:cantSplit/>
        </w:trPr>
        <w:tc>
          <w:tcPr>
            <w:shd w:val="clear" w:color="auto" w:fill="d7d7d7"/>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2"/>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b/>
                <w:bCs/>
                <w:color w:val="auto"/>
                <w:sz w:val="28"/>
                <w:szCs w:val="28"/>
                <w:lang w:eastAsia="zh-CN"/>
              </w:rPr>
              <w:t xml:space="preserve">品名</w:t>
            </w:r>
            <w:r/>
          </w:p>
        </w:tc>
        <w:tc>
          <w:tcPr>
            <w:shd w:val="clear" w:color="auto" w:fill="d7d7d7"/>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2"/>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b/>
                <w:bCs/>
                <w:color w:val="auto"/>
                <w:sz w:val="28"/>
                <w:szCs w:val="28"/>
                <w:lang w:eastAsia="zh-CN"/>
              </w:rPr>
              <w:t xml:space="preserve">子件料品·规格</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电源线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10A-250V-2m-0.75平-灰色-国标</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合格证</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中英文</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用户手册</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1本</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高压测试线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耐压测试高压输出线-1.5m-红色</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接地测试线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接地电阻测试线-2m-黑色</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多通道切换卡</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8通道高压扫描卡</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直流接地卡</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60Adc/600mΩ直流接地电阻测试卡</w:t>
            </w:r>
            <w:r/>
          </w:p>
        </w:tc>
      </w:tr>
    </w:tbl>
    <w:p>
      <w:pPr>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设备九、紫外老化试验箱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采用UVA-340荧光紫外灯为光源，可以模拟由阳光、雨水和露水造成之危害。UV耐候箱利用荧光紫外线灯模拟阳光照射之效果，利用冷凝湿气模拟露水。被测试材料放置于一定温度下的光照和潮气交替的循环程序中进行测试，对材料进行加速耐候性试验，以获得材料耐候性的结果 。必须满足：GB/T16422.3-2022、GB/T16585-1996等的相关标准。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1.1测试空间尺寸：W1130mm×H400mm×D500mm；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1.2机台外箱尺寸： 约W1300mm×H1700mm×D660mm；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★1.3内箱材质：不锈钢304；</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1.4外箱材质：优质冷轧钢板喷塑；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★1.5灯源配备：美国进口ATLAS UVA-340荧光紫外灯为光源8支；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★1.6波长范围：  UV-A 波长范围为 （315～400）nm；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1.7灯离产品距离：可调(最多不超过450mm）试件离灯表面的最近平行面距离：约100mm；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★1.8辐射强度：（0.5～1.0）W／m</w:t>
      </w:r>
      <w:r>
        <w:rPr>
          <w:rFonts w:hint="eastAsia" w:ascii="仿宋" w:hAnsi="仿宋" w:eastAsia="仿宋" w:cs="仿宋"/>
          <w:color w:val="auto"/>
          <w:sz w:val="28"/>
          <w:szCs w:val="28"/>
          <w:vertAlign w:val="superscript"/>
          <w:lang w:eastAsia="zh-CN"/>
        </w:rPr>
        <w:t xml:space="preserve">2</w:t>
      </w:r>
      <w:r>
        <w:rPr>
          <w:rFonts w:hint="eastAsia" w:ascii="仿宋" w:hAnsi="仿宋" w:eastAsia="仿宋" w:cs="仿宋"/>
          <w:color w:val="auto"/>
          <w:sz w:val="28"/>
          <w:szCs w:val="28"/>
          <w:lang w:eastAsia="zh-CN"/>
        </w:rPr>
        <w:t xml:space="preserve">／340nm；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★1.9光照温度范围：50℃～70℃／温度容差为±3℃；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1.10冷凝温度范围：40℃～60℃／温度容差为±3℃；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1.11安全保护：水位低保护,防干烧保护,加热过载保护；</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1.12脚轮：四只脚轮；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设备十、电动振动台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★用途：满足对整机(或部件)作常压下的振动、冲击的测试试验，相应的老化试验、结构系统疲劳、运输过程中颠振检验和可靠性检验，结构系统疲劳和可靠性检验，满足GB 31241-2022 7.3、GB/T36672-2018 6.4.1、 GB/T 36276-2023 6.1.2.9、GB 43854-2024 6.4.2.3、SJ/T11815-2022 7.4、SJ/T11808-2022  7.3等标准条款。对试品的性能和品质作出评价满足振动的测试；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 垂直振动台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★1.1.1额定推力：≥22kN</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1.1.2冲击推力：≥44KN</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1.1.3频率范围：2～3000Hz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1.1.4最大加速度：≥80g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1.1.5最大速度：≥2m/s</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1.1.6最大位移：≥51mm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1.1.7动圈台面尺寸：≥φ320mm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1.1.8运动部件等效质量：≤22kg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1.1.9最大载荷：≥300kg（动圈承载）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1.1.10含4根辅助支撑，载荷：≥200kg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 垂直扩展台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1.2.1台面尺寸：1200mm×1000mm；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1.2.2台面材料：镁合金；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1.2.3工作频率：2～2000Hz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1.2.4最大承载：500kg（不含台面重量，有辅助支撑情况下）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 水平滑台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1.3.1台面尺寸：1200mm×1200mm；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1.3.2台面材料：镁合金；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1.3.3工作频率：2～2000Hz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1.3.4导向方式：油源轴承导向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1.2.4最大承载：500kg（不含台面重量）</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1.4控制系统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1.4.1选用品牌：国内一线主流品牌。</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 控制软件：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1.4.2.1 控制软件功能：正弦、随机、经典冲击、共振搜索与驻留</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1.4.2.2分析软件功能：FFT分析（随机），FRF分析（随机加正弦），历史信号分析，信号计算，瀑布图信号分析，离线浏览，Email试验报告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1.4.3连接方式：独立的控制器硬件箱，主动式控制，与计算机高速网络线连接，可以与笔记本电脑直接连接。</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1.4.4输入通道：≥4个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1.4.5输出通道：≥1个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1.4.6随机分辨率：6400线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1.4.7可扩展振动剪切功能，严格按照加速度、速度、位移限制值对随机驱动进行剪切，保证振动信号不超出限制值，不是单纯的sigma剪切。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1.4.8可扩展疲劳损伤谱测试功能；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1.4.9可扩展叶片测试功能；</w:t>
      </w:r>
      <w:r/>
    </w:p>
    <w:p>
      <w:pPr>
        <w:ind w:left="0" w:firstLine="560"/>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lang w:eastAsia="zh-CN"/>
        </w:rPr>
        <w:t xml:space="preserve">★1.4.10可扩展互通互联：控制仪具备和功放、三综合试验箱、上位机等系统组成多模块多综合集中控制功能，在控制仪界面可以操作功放诸单元上所有功能。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中标后，</w:t>
      </w:r>
      <w:r>
        <w:rPr>
          <w:rFonts w:hint="eastAsia" w:ascii="仿宋" w:hAnsi="仿宋" w:eastAsia="仿宋" w:cs="仿宋"/>
          <w:b/>
          <w:bCs/>
          <w:color w:val="auto"/>
          <w:sz w:val="28"/>
          <w:szCs w:val="28"/>
          <w:lang w:eastAsia="zh-CN"/>
        </w:rPr>
        <w:t xml:space="preserve">验收时</w:t>
      </w:r>
      <w:r>
        <w:rPr>
          <w:rFonts w:hint="eastAsia" w:ascii="仿宋" w:hAnsi="仿宋" w:eastAsia="仿宋" w:cs="仿宋"/>
          <w:b/>
          <w:bCs/>
          <w:color w:val="auto"/>
          <w:sz w:val="28"/>
          <w:szCs w:val="28"/>
          <w:lang w:val="en-US" w:eastAsia="zh-CN"/>
        </w:rPr>
        <w:t xml:space="preserve">提供上述功能</w:t>
      </w:r>
      <w:r>
        <w:rPr>
          <w:rFonts w:hint="eastAsia" w:ascii="仿宋" w:hAnsi="仿宋" w:eastAsia="仿宋" w:cs="仿宋"/>
          <w:b/>
          <w:bCs/>
          <w:color w:val="auto"/>
          <w:sz w:val="28"/>
          <w:szCs w:val="28"/>
          <w:lang w:eastAsia="zh-CN"/>
        </w:rPr>
        <w:t xml:space="preserve">演示）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1.4.11、传感器：4个（含9米线）1.4.2 控制软件：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 功率放大器</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★1.5.1、额定输出功率：≥30kVA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1.5.2、功放效率：≥92%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1.5.3、信噪比：≥65dB</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1.5.4、保护方式：用先进的FPGA技术，替代传统的快速熔断丝保护功放单元模块；功放模块具备电流反馈环，具有均流及短路保护功能，在动圈短路的情况下，150ms内反应，保护功率模块不被击穿。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★1.5.5、模块类型：大功率进口IGBT模块；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1.5.6、功放单元模块：采用高集成大功率模块形式，单组模块额定输出功率≥30 kVA ，额定输出电压：120Vrms</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★1.5.7、增益调节：用触摸屏操作数字增益开关替代旋钮式电阻电位器；并可以在触摸屏上实时显示增益数值。</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1.5.8、控制界面：触摸屏操作，逻辑模块采用PLC控制，PWM控制板，其调节电压、电流、增益、启动、停止、复位均在显示屏内操作，各项保护、故障、报警等功能均可查询。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★1.5.9、互通互联（可选配）：功放具备和控制仪、三综合试验箱、上位机等系统组成多模块多综合集中控制功能。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1.5.10、散热方式：除模块风机散热，机柜顶端由抽风机抽风散热，高效。</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1.6控制计算机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1.6.1、CPU：Intel Core i5  2 GHz以上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1.6.2、内存：≥8G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1.6.3、硬盘：≥1000G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1.6.4、显卡：≥4G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1.6.5、显示器：23英寸液晶显示器</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2.1适于在电源380V(±10％)/50Hz、气温摄氏0℃～+35℃和相对湿度小于80％（不结露）的环境条件下运行。能够连续正常工作；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 配置符合中国有关标准要求的插头，如果没有这样的插头，则需提供适当的转换插座。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.1振动台台体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.2 垂直扩展台面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.3 水平滑台（含油源）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.4 功率放大器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.5 冷却风机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.6 控制器（含控制软件）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.7控制计算机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.8 传感器                   4套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.9 专用工具                 1套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.10 随机附件、配件          1套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设备十一、气相色谱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★用途：用于蓄电池零部件中的隔膜、包装膜等产品的有机溶剂残留组分测试，天然气、液化石油气组分测试；必须满足：GB/T 10004-2008、</w:t>
      </w:r>
      <w:r>
        <w:rPr>
          <w:rFonts w:hint="eastAsia" w:ascii="仿宋" w:hAnsi="仿宋" w:eastAsia="仿宋" w:cs="仿宋"/>
          <w:color w:val="auto"/>
          <w:sz w:val="28"/>
          <w:szCs w:val="28"/>
          <w:lang w:val="en-US" w:eastAsia="zh-CN" w:bidi="ar"/>
        </w:rPr>
        <w:t xml:space="preserve">GB/T 11060.10-2014、GB/T 11174-2025、GB/T 13610-2020</w:t>
      </w:r>
      <w:r>
        <w:rPr>
          <w:rFonts w:hint="eastAsia" w:ascii="仿宋" w:hAnsi="仿宋" w:eastAsia="仿宋" w:cs="仿宋"/>
          <w:color w:val="auto"/>
          <w:sz w:val="28"/>
          <w:szCs w:val="28"/>
          <w:lang w:eastAsia="zh-CN"/>
        </w:rPr>
        <w:t xml:space="preserve">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1.1主机部分：</w:t>
      </w:r>
      <w:r/>
    </w:p>
    <w:p>
      <w:pPr>
        <w:pStyle w:val="755"/>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lang w:eastAsia="zh-CN"/>
        </w:rPr>
        <w:t xml:space="preserve">▲1.1.1 保留时间重复</w:t>
      </w:r>
      <w:r>
        <w:rPr>
          <w:rFonts w:hint="eastAsia" w:ascii="仿宋" w:hAnsi="仿宋" w:eastAsia="仿宋" w:cs="仿宋"/>
          <w:color w:val="auto"/>
          <w:sz w:val="28"/>
          <w:szCs w:val="28"/>
          <w:highlight w:val="none"/>
          <w:lang w:eastAsia="zh-CN"/>
        </w:rPr>
        <w:t xml:space="preserve">性：＜0.008%或＜0.0008 min，峰面积重现性：＜0.5% RSD，压力调节精度：0.001 psi；</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★1.1.2 电子流量控制（EPC）：所有流量、压力均可以电子控制；</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 安装5个电子流量控制模块，提供多达13路气体控制，最多可扩展至26路；</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 进样口电子流量控制模块提供温度补偿，实验室环境温度变化时，仪器流量/压力不受影响；</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1.1.5具有分析启动、停止、预运行物理按键；</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1.1.6 色谱可兼容各类液体自动进样器、自动顶空进样器等前处理设备；</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1.1.7 操作界面：屏幕≥7英寸的电容式触摸屏；</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1.1.8 可在触摸屏中设置仪器条件（无需启动工作站），包含前处理设备、进样口、色谱柱、检测器、程序升温/降温等参数；</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1.1.9 触摸屏界面支持语言直接切换（中文、英文）；</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1.1.10具备参数锁定和键盘锁定功能；</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1.1.11 具备诊断功能，可进行流量/压力调零校准。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1.2柱温箱：</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 柱温箱可容纳两根105 m × 0.530 mm 内径毛细管柱或两根10英尺玻璃填充柱（盘绕直径9英寸，1/4 英寸外径）或两根20英尺长不锈钢填充柱（1/8 英寸外径）；</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 采用空气加热型容积≥15升；</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 工作温度：室温+4℃～450℃；</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▲1.2.4 程序升温阶数：25阶26平台，可程序降温；</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1.2.5 温度控制精度：0.01℃；</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▲1.2.6 最高升温设置速率：250℃/min；</w:t>
      </w:r>
      <w:r>
        <w:rPr>
          <w:rFonts w:hint="eastAsia" w:ascii="仿宋" w:hAnsi="仿宋" w:eastAsia="仿宋" w:cs="仿宋"/>
          <w:b/>
          <w:bCs/>
          <w:color w:val="auto"/>
          <w:sz w:val="28"/>
          <w:szCs w:val="28"/>
          <w:highlight w:val="none"/>
          <w:lang w:eastAsia="zh-CN"/>
        </w:rPr>
        <w:t xml:space="preserve">(提供生产厂商产品的宣传彩页或官网截图等加盖投标人电子签章，未提供作负偏离处理)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▲1.2.7 配备辅助导风出口装置，柱温箱冷却降温（20℃～25℃室温）：从450℃ 降到50℃  ≤230 s；</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1.2.8 最长方法运行时间：9999.99 min；</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1.2.9 加热区：除炉膛外，标配6个，可拓展到12个独立控制加热区；</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1.2.10 辅助加热区最高操作温度：400℃；</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1.2.11 温度两级保护：具有炉膛温度自动保护功能（色谱柱最高温度保护），失温控制保护；</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1.2.12 环境温度影响：环境温度变化1℃，柱箱温度变化＜0.01℃。</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▲2.13柱箱温度均匀度≤2%；柱箱温度稳定性≤0.5%；柱箱设定温度与实际温度的偏差≤1.5%；柱箱程序升温重复性≤0.5%；柱箱设定温度的最小</w:t>
      </w:r>
      <w:r>
        <w:rPr>
          <w:rFonts w:hint="eastAsia" w:ascii="仿宋" w:hAnsi="仿宋" w:eastAsia="仿宋" w:cs="仿宋"/>
          <w:color w:val="auto"/>
          <w:sz w:val="28"/>
          <w:szCs w:val="28"/>
          <w:highlight w:val="none"/>
          <w:lang w:eastAsia="zh-CN"/>
        </w:rPr>
        <w:t xml:space="preserve">调节量：0.01℃；</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1.3进样口</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1.3.1 进样口安装：安装使用1个分流/不分流进样口；</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 分流/不分流进样口（S/SL）</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1.3.2.1 最高使用温度：450°C；采用环型直热方式，有效消除温度梯度；</w:t>
      </w:r>
      <w:r/>
    </w:p>
    <w:p>
      <w:pPr>
        <w:pStyle w:val="755"/>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▲1.3.2.2进样口设计：快速可拆卸模块化进样口设计（无需工具，快速拆卸</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(提供进样口实拍照片证明加盖投标人电子签章，未提供作负偏离处理)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1.3.2.3 电子流量控制：高精度电子压力/流量控制；</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1.3.2.4 柱头压力设定范围：0～100 psi；</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1.3.2.5 柱头压力控制设定精度：0.001 psi；</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1.3.2.6 流量设定范围：标配0～1000 mL/min（氦气/氢气） 0～200 mL/min（氮气）；可拓展至0～1250 mL/min（氦气/氢气） 0～500 mL/min（氮气）；</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1.3.2.7 流量设定精度：0.001 mL/min；</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▲1.3.3.8 最大分流比： 12500：1，程序升压/升流：＞5阶；</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▲1.3.3.9 气体控制方式：恒定压力、恒定流量、程序升/降压、程序升/降流、脉冲进样、恒定流速；</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1.3.3.10具有载气节省模式；</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1.3.3.11 压力传感器参数：</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精度：满量程误差＜±2%；</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重复性：＜±0.05 psi；</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温度系数：＜±0.01 psi/℃；</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漂移：＜±0.1 psi/6个月；</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流量传感器参数：</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精度：＜±5 %（取决于载气类型）；</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重复性：流量设定值的偏差＜±0.35%；</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温度系数：＜±0.5 mL/min/℃（标准温度压力状态，He或H₂）；＜±0.1 mL/min/℃（标准温度压力状态，N₂或Ar/CH₄）；</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▲1.3.3.12载气气路系统密封性30min内降压小于0.01MPa；燃气气路系统密封性30min内降压小于0.01MPa；助燃气路系统密封性30min内降压小</w:t>
      </w:r>
      <w:r>
        <w:rPr>
          <w:rFonts w:hint="eastAsia" w:ascii="仿宋" w:hAnsi="仿宋" w:eastAsia="仿宋" w:cs="仿宋"/>
          <w:color w:val="auto"/>
          <w:sz w:val="28"/>
          <w:szCs w:val="28"/>
          <w:highlight w:val="none"/>
          <w:lang w:eastAsia="zh-CN"/>
        </w:rPr>
        <w:t xml:space="preserve">于0.01MPa；</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1.4检测器</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 检测器安装：可同时搭载3个独立控温的检测器</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 电子流量控制：高精度电子压力/流量控制；</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▲1.4.3 检测器类型：后期可增加的检测器类型至少包含以下7种（FID、TCD、μ-ECD、FPD、PDHID</w:t>
      </w:r>
      <w:r>
        <w:rPr>
          <w:rFonts w:hint="eastAsia" w:ascii="仿宋" w:hAnsi="仿宋" w:eastAsia="仿宋" w:cs="仿宋"/>
          <w:color w:val="auto"/>
          <w:sz w:val="28"/>
          <w:szCs w:val="28"/>
          <w:highlight w:val="none"/>
          <w:lang w:eastAsia="zh-CN"/>
        </w:rPr>
        <w:t xml:space="preserve">、MS、SCD）；</w:t>
      </w:r>
      <w:r>
        <w:rPr>
          <w:rFonts w:hint="eastAsia" w:ascii="仿宋" w:hAnsi="仿宋" w:eastAsia="仿宋" w:cs="仿宋"/>
          <w:b/>
          <w:bCs/>
          <w:color w:val="auto"/>
          <w:sz w:val="28"/>
          <w:szCs w:val="28"/>
          <w:highlight w:val="none"/>
          <w:lang w:eastAsia="zh-CN"/>
        </w:rPr>
        <w:t xml:space="preserve">(提供搭配检测器实拍照片和软件证明材料加盖投标人电子签章，未提供作负偏离处理)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 氢火焰离子化检测器（FID）</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1.4.4.1 最高使用温度：450℃；</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▲1.4.4.2 最低检出限：＜1.2 pg C/s（正十六烷）；</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1.4.4.3 基线漂移（30min）：≤2×10</w:t>
      </w:r>
      <w:r>
        <w:rPr>
          <w:rFonts w:hint="eastAsia" w:ascii="仿宋" w:hAnsi="仿宋" w:eastAsia="仿宋" w:cs="仿宋"/>
          <w:color w:val="auto"/>
          <w:sz w:val="28"/>
          <w:szCs w:val="28"/>
          <w:vertAlign w:val="superscript"/>
          <w:lang w:eastAsia="zh-CN"/>
        </w:rPr>
        <w:t xml:space="preserve">-13</w:t>
      </w:r>
      <w:r>
        <w:rPr>
          <w:rFonts w:hint="eastAsia" w:ascii="仿宋" w:hAnsi="仿宋" w:eastAsia="仿宋" w:cs="仿宋"/>
          <w:color w:val="auto"/>
          <w:sz w:val="28"/>
          <w:szCs w:val="28"/>
          <w:lang w:eastAsia="zh-CN"/>
        </w:rPr>
        <w:t xml:space="preserve">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1.4.4.4 基线噪声：≤2×10</w:t>
      </w:r>
      <w:r>
        <w:rPr>
          <w:rFonts w:hint="eastAsia" w:ascii="仿宋" w:hAnsi="仿宋" w:eastAsia="仿宋" w:cs="仿宋"/>
          <w:color w:val="auto"/>
          <w:sz w:val="28"/>
          <w:szCs w:val="28"/>
          <w:vertAlign w:val="superscript"/>
          <w:lang w:eastAsia="zh-CN"/>
        </w:rPr>
        <w:t xml:space="preserve">-14</w:t>
      </w:r>
      <w:r>
        <w:rPr>
          <w:rFonts w:hint="eastAsia" w:ascii="仿宋" w:hAnsi="仿宋" w:eastAsia="仿宋" w:cs="仿宋"/>
          <w:color w:val="auto"/>
          <w:sz w:val="28"/>
          <w:szCs w:val="28"/>
          <w:lang w:eastAsia="zh-CN"/>
        </w:rPr>
        <w:t xml:space="preserve"> A；</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▲1.4.4.5 数据采集频率：最高1000 Hz</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(提供软件截图及10min采集数据点数（.csv文件）加盖投标人电子签章，未提供作负偏离处理)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1.4.5 热导检测器（TCD）</w:t>
      </w:r>
      <w:r/>
    </w:p>
    <w:p>
      <w:pPr>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lang w:eastAsia="zh-CN"/>
        </w:rPr>
        <w:t xml:space="preserve">▲1.4.5.1 热导检测器：独特的流体切换设计（单丝微池），从启动开关后快速达到平衡（5min以内），低漂移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(提供生产厂商产品的宣传彩页或官网截图证明文件加盖投标人电子签章，未提供作负偏离处理)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1.4.5.2 最高使用温度：400℃；</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1.4.5.3 适配色谱柱类型：填充柱和毛；</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1.4.5.4 最低检出限：≤400 pg /ml（苯-甲苯）</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▲1.4.5.5 灵敏度：≥50000 mV·mL/mg （苯-甲苯）；</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1.4.5.6 基线漂移（30 min）：≤0.2 mV；</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1.4.5.7 基线噪声：≤0.02 mV；</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▲1.4.5.9 数据采集频率：最高1000 Hz；</w:t>
      </w:r>
      <w:r>
        <w:rPr>
          <w:rFonts w:hint="eastAsia" w:ascii="仿宋" w:hAnsi="仿宋" w:eastAsia="仿宋" w:cs="仿宋"/>
          <w:b/>
          <w:bCs/>
          <w:color w:val="auto"/>
          <w:sz w:val="28"/>
          <w:szCs w:val="28"/>
          <w:highlight w:val="none"/>
          <w:lang w:eastAsia="zh-CN"/>
        </w:rPr>
        <w:t xml:space="preserve">(提供软件截图及10min采集数据点数（.csv文件）作为证明材料加盖投标人电子签章，未提供作负偏离处理)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 火焰光度检测器（FPD ）</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1.4.6.1 最高使用温度：400℃；</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▲1.4.6.2 最低检出限：≤2.5 pg/s（S）、 ≤50 fg/s（P）；基线漂移（30min）：≤10pA；基线噪声： ≤1.2pA；</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1.4.6.3 动态线性范围：≥10</w:t>
      </w:r>
      <w:r>
        <w:rPr>
          <w:rFonts w:hint="eastAsia" w:ascii="仿宋" w:hAnsi="仿宋" w:eastAsia="仿宋" w:cs="仿宋"/>
          <w:color w:val="auto"/>
          <w:sz w:val="28"/>
          <w:szCs w:val="28"/>
          <w:highlight w:val="none"/>
          <w:vertAlign w:val="superscript"/>
          <w:lang w:eastAsia="zh-CN"/>
        </w:rPr>
        <w:t xml:space="preserve">3</w:t>
      </w:r>
      <w:r>
        <w:rPr>
          <w:rFonts w:hint="eastAsia" w:ascii="仿宋" w:hAnsi="仿宋" w:eastAsia="仿宋" w:cs="仿宋"/>
          <w:color w:val="auto"/>
          <w:sz w:val="28"/>
          <w:szCs w:val="28"/>
          <w:highlight w:val="none"/>
          <w:lang w:eastAsia="zh-CN"/>
        </w:rPr>
        <w:t xml:space="preserve">（S）, ≥10</w:t>
      </w:r>
      <w:r>
        <w:rPr>
          <w:rFonts w:hint="eastAsia" w:ascii="仿宋" w:hAnsi="仿宋" w:eastAsia="仿宋" w:cs="仿宋"/>
          <w:color w:val="auto"/>
          <w:sz w:val="28"/>
          <w:szCs w:val="28"/>
          <w:highlight w:val="none"/>
          <w:vertAlign w:val="superscript"/>
          <w:lang w:eastAsia="zh-CN"/>
        </w:rPr>
        <w:t xml:space="preserve">4</w:t>
      </w:r>
      <w:r>
        <w:rPr>
          <w:rFonts w:hint="eastAsia" w:ascii="仿宋" w:hAnsi="仿宋" w:eastAsia="仿宋" w:cs="仿宋"/>
          <w:color w:val="auto"/>
          <w:sz w:val="28"/>
          <w:szCs w:val="28"/>
          <w:highlight w:val="none"/>
          <w:lang w:eastAsia="zh-CN"/>
        </w:rPr>
        <w:t xml:space="preserve">（P）；</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▲1.4.6.4定性重复性：≤0.02%（P）、≤0.02%( S )；定量重复性：≤1.1%( P )、≤1.2%（S）</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1.5单机版色谱工作站参数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1.5.1操作环境：Windows10 专业版（推荐）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1.5.2实时控制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1.5.2.1支持仪器运行参数实时设定与状态可视化监控，可在线反控温度、流量、压力等关键参数，实时调取参数控制曲线；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1.5.2.2各通道实时独立控制，支持多个通道同时采集，兼容双塔进样，提高自动化水平和工作效率，降低人工操作误差；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1.5.2.3软件可反控液体自动进样器、顶空进样器等设备，提升全流程自动化与分析一致性。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1.5.4数据采集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1.5.4.1 支持实时自动积分；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▲1.5.4.2 提供套峰带自动识别功能，对已处理完的数据，显示组分峰的保留时间，有利于判断组分峰保留时间是否偏移；</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▲1.5.4.3 支持谱图快照，谱图未采集完毕，即可提前知道关键组分的含量信息；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1.5.4.4 支持停止后自动输出谱图数据；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1.5.4.5 支持通道合并功能，可将不同通道采集的谱图数据整合至同一图谱展示，便于多组分、多检测器结果对比分析；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1.5.4.6 支持存储路径选择；</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1.5.4.7 运行锁定：支持运行时键盘锁定/参数锁定。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1.5.5数据处理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1.5.5.1自动处理/手动处理谱图功能；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1.5.5.2定量功能（归一化法、修正归一法、内标法、外标法、指数法、内标归一法、外标归一法）；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1.5.5.3支持标准曲线建立与数据校正，包含校正曲线方程、校正曲线图谱、线性相关系数等关键信息，系统可自动生成完整校正报告；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1.5.5.4支持数据处理方法的编辑、应用与保存；</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1.5.5.5显示谱峰详细信息（保留时间、半峰宽、容量因子、理论塔板、有效塔板、理论板、有效板、分离度、拖尾因子、1/4高峰宽）；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1.5.5.6支持多内标分析；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1.5.5.7支持最高峰/次高峰适应，自动适配高浓度与次高浓度峰的视图范围，便于峰形观察与积分判定；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1.5.5.8支持未知峰隐藏功能，可选择性隐藏未定性组分峰，有效屏蔽非计算干扰峰对目标组分的谱图与数据影响，让报告呈现更整洁、定量结果更清晰可靠；</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1.5.5.9具备分组计算功能，支持组校准，优化组分的合并运算；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▲1.5.5.10具备噪声计算功能，提供P2P及6SD两种计算方式，用户可自选噪声区间，输出信噪比结果，满足方法学验；</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1.5.5.11支持多谱图重叠比对与重复性分析，可自动计算相对标准偏差（RSD），直观呈现分析方法与检测结果的稳定性；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1.5.5.12支持空白扣除、基线扣除功能，有效消除基质干扰与背景漂移，提升谱图质量与定量结果准确性；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1.5.5.13支持自动计算检出限（LOD）、定量限（LOQ）与回收率等方法学验证指标，无需手动换算，提升方法验证效率与数据一致性；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1.5.5.14支持汇总分析：可对保留时间、峰面积、峰高、组分浓度等核心检测指标进行批量汇总统计，汇总结果可直接导出为 Excel（.xlsx）格式文件，满足实验室数据归档与二次统计需求；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1.5.5.15标准曲线支持多项式拟合计算，可提供一次线性（y=ax+b）、二次多项式（y=ax2+bx+c）、三次多项式（y=ax3+bx2+cx+d）曲线校正模型，满足不同浓度范围样品的校准需求，显著提升非线性响应样品的定量准确性与线性拟合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▲1.5.5.16软件可以自行计算样品组分热值，高位发热量，低位发热量，沃泊指数等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1.5.6数据文件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1.5.6.1支持谱图数据导出(导出格式：TXT、CDF/XML、CSV)，支持谱图数据复制到剪贴板；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1.5.6.2支持与Lims联用，实现检验检测业务质量管理体系数字化，实验结果数据整合，统一管控。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1.5.7分析报告：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1.5.7.1支持谱图报告一键生成PDF文件；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1.5.7.2支持用户自定义报告模板与显示内容，可灵活选择仪器条件、配样信息、分析结果、系统评价等内容，并可编辑报告名称、做样人等信息；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1.5.7.3提供批量生成PDF报告功能：多张谱图批量处理，生成PDF报告并存于用户指定路径下；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1.5.8数据通讯：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以太网（LAN），远程启动运行开始/结束（无线互联）；</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1.5.9支持多语言：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软件界面支持中文、英文、俄文语言一键切换，满足多区域、多场景使用需求；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1.5.10帮助：</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内置完整色谱工作站电子操作手册，便于操作指导与日常培训；</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1.5.11日志：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支持系统日志记录与查询；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▲1.5.12.保留时间锁定功能（RTL）</w:t>
      </w:r>
      <w:bookmarkStart w:id="49" w:name="OLE_LINK13"/>
      <w:r>
        <w:rPr>
          <w:rFonts w:hint="eastAsia" w:ascii="仿宋" w:hAnsi="仿宋" w:eastAsia="仿宋" w:cs="仿宋"/>
          <w:color w:val="auto"/>
          <w:sz w:val="28"/>
          <w:szCs w:val="28"/>
          <w:lang w:eastAsia="zh-CN"/>
        </w:rPr>
        <w:t xml:space="preserve">：</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支持3点及以上拟合校正，软件自动调整方法参数以匹配锁定保留时间，消除不同系统之间或因色谱柱长度改变等条件变化而带来的保留时间变化</w:t>
      </w:r>
      <w:bookmarkEnd w:id="49"/>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highlight w:val="none"/>
          <w:lang w:eastAsia="zh-CN"/>
        </w:rPr>
        <w:t xml:space="preserve">(提供生产厂商产品的宣传彩页或官网截图证明文件加盖投标人电子签章，未提供作负偏离处理)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1.5.13专业版软件：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可按需升级专业分析软件，涵盖天然气热值、非甲烷总烃、变压器油、TVOC、石油烃等专项检测，适配石化、环境监测、电力等行业分析应用场景；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2、运行环境：</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2.1工作电压：220V±10% 50Hz；</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 工作环境湿度：5%～95%；</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2.3 工作环境温度：5℃</w:t>
      </w:r>
      <w:bookmarkStart w:id="50" w:name="OLE_LINK8"/>
      <w:r>
        <w:rPr>
          <w:rFonts w:hint="eastAsia" w:ascii="仿宋" w:hAnsi="仿宋" w:eastAsia="仿宋" w:cs="仿宋"/>
          <w:color w:val="auto"/>
          <w:sz w:val="28"/>
          <w:szCs w:val="28"/>
          <w:lang w:eastAsia="zh-CN"/>
        </w:rPr>
        <w:t xml:space="preserve">～</w:t>
      </w:r>
      <w:bookmarkEnd w:id="50"/>
      <w:r>
        <w:rPr>
          <w:rFonts w:hint="eastAsia" w:ascii="仿宋" w:hAnsi="仿宋" w:eastAsia="仿宋" w:cs="仿宋"/>
          <w:color w:val="auto"/>
          <w:sz w:val="28"/>
          <w:szCs w:val="28"/>
          <w:lang w:eastAsia="zh-CN"/>
        </w:rPr>
        <w:t xml:space="preserve">40℃；</w:t>
      </w:r>
      <w:r/>
    </w:p>
    <w:p>
      <w:pPr>
        <w:pStyle w:val="75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2.4 仪器功率：2250W；</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3.1气相色谱仪主机*1；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3.2分流/不分流进样口（SSL）*1；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3.3氢火焰离子化检测器（FID）*1；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3.4热导检测器（TCD）*2；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3.5电子压力流路控制模块*1；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3.6独立控温柱箱*2；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3.7硫惰性化专用过滤器*1；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3.8安装六个自动转子阀（立式），带阀箱加热及管路*1；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3.9 1/16 超洁惰性化净管路及螺母卡套组*2；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3.10六通转子阀（AFP或VICI）*3；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3.11六通转子阀（AFP或VICI）镀膜*1；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3.12十通转子阀（AFP或VICI）*1；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3.13十通转子阀（AFP或VICI）镀膜*1；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3.14钝化定量环(0.25mL)*2；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3.15钝化定量环(0.1mL)*1；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3.16 HN填充柱 （1/16*0.5m小直径）*2；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3.17 13X填充柱（1/16*1.5m小直径）*1；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3.18 HQ填充柱（1/8*1m小直径）*1；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3.19 5A填充柱（1/8*2m小直径）*1；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3.20 HP-PLOT AL2O3“S”,25m×0.32mm×8μm*1；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3.21 DB-1  15m × 0.32mm × 5um *1；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3.22基础安装包*1；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3.23消耗品包*1；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3.24捕集阱-脱水*1；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3.25捕集阱-脱水脱烃*1；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3.26捕集阱-载气*1；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3.27专用软件（授权）*1；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3.28空气发生器、氢气发生器*1；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3.29FPD检测器*1；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3.30电脑*1；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3.31标准品*1；</w:t>
      </w:r>
      <w:r/>
    </w:p>
    <w:p>
      <w:pPr>
        <w:ind w:left="0" w:firstLine="562"/>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b/>
          <w:color w:val="auto"/>
          <w:sz w:val="28"/>
          <w:szCs w:val="28"/>
          <w:lang w:eastAsia="zh-CN"/>
        </w:rPr>
        <w:t xml:space="preserve">★三、总体要求：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1、供货要求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1.1投标人在投标前须自行勘察现场，确保设备摆放地点能满足设备的运输、摆放、安装、调试的条件，特别是设备的安装和调试对买方场地面积、空间、水、电等环境有特殊要求的；</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1.2在安装、调试、验收过程中，如发现有漏项、缺件，投标人应无条件、无偿补齐，所发生的一切费用，视为已包含在报价之中，且并不因此而影响交付使用的时间；</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1.3设备安装完成后须向采购人提供计量校准证书报告，设备如需计量部门检定或校准方能使用的，投标人须提供检定或校准所必须的配件，此项费用包含在投标总价中；</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1.4设备的制造应符合国家相关标准或规范，采购人验收时将以国家相关规范标准、招标文件、投标文件作为依据，验收不合格的产品，采购人有权拒收，由此造成的损失由投标人自行承担；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1.5交货期：合同签订后45天内。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2、售后要求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2.1质保期限：</w:t>
      </w:r>
      <w:r>
        <w:rPr>
          <w:rFonts w:hint="eastAsia" w:ascii="仿宋" w:hAnsi="仿宋" w:eastAsia="仿宋" w:cs="仿宋"/>
          <w:bCs/>
          <w:color w:val="auto"/>
          <w:sz w:val="28"/>
          <w:szCs w:val="28"/>
          <w:highlight w:val="none"/>
          <w:lang w:eastAsia="zh-CN"/>
        </w:rPr>
        <w:t xml:space="preserve">设备十保质期1年，其他设备保质期3年。</w:t>
      </w:r>
      <w:r>
        <w:rPr>
          <w:rFonts w:hint="eastAsia" w:ascii="仿宋" w:hAnsi="仿宋" w:eastAsia="仿宋" w:cs="仿宋"/>
          <w:bCs/>
          <w:color w:val="auto"/>
          <w:sz w:val="28"/>
          <w:szCs w:val="28"/>
          <w:lang w:eastAsia="zh-CN"/>
        </w:rPr>
        <w:t xml:space="preserve">在质保期内所提供零配件及维修服务全部免费。保修期后，保证长期供应零配件和正常的售后服务；</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2.2在质量保证期内，涉及的与产品质量（非人为因数）相关的服务（包活上门维修、备品备件）费用由中标人承担，不收取任何维修、差旅费等；</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eastAsia="zh-CN"/>
        </w:rPr>
        <w:t xml:space="preserve">2.3在质量保证期外，涉及的与产品质量相关的产品损坏件收取成本</w:t>
      </w:r>
      <w:r>
        <w:rPr>
          <w:rFonts w:hint="eastAsia" w:ascii="仿宋" w:hAnsi="仿宋" w:eastAsia="仿宋" w:cs="仿宋"/>
          <w:bCs/>
          <w:color w:val="auto"/>
          <w:sz w:val="28"/>
          <w:szCs w:val="28"/>
          <w:highlight w:val="none"/>
          <w:lang w:eastAsia="zh-CN"/>
        </w:rPr>
        <w:t xml:space="preserve">费，并收取一定的服务费，差旅费等；</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2.4在质量保证期内外，采购人报告故障后2个小时内中标人予以技术响应，如确认需要现场维修时，工程师48小时内到现场，提供正常的技术、备品备件服务，工程师到现场后8小时内排除故障；</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2.5应急情况下：因产品质量造成的故障，工程师到现场后8小时内排除故障，恢复仪器的正常使用；在损坏的检测和控制部件维修期间，为不耽误仪器的正常工作，为采购人提供临时性备件，直到采购人的相关部件修复再替换上去，费用由中标人承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eastAsia="zh-CN"/>
        </w:rPr>
        <w:t xml:space="preserve">2.6仪器在调试通过后提供保修服务，在保修期内，所有服务及配件全部免费</w:t>
      </w:r>
      <w:r>
        <w:rPr>
          <w:rFonts w:hint="eastAsia" w:ascii="仿宋" w:hAnsi="仿宋" w:eastAsia="仿宋" w:cs="仿宋"/>
          <w:bCs/>
          <w:color w:val="auto"/>
          <w:sz w:val="28"/>
          <w:szCs w:val="28"/>
          <w:highlight w:val="none"/>
          <w:lang w:eastAsia="zh-CN"/>
        </w:rPr>
        <w:t xml:space="preserve">。中标人在中国需设有保税库，能更及时地为用户提供备品备件。</w:t>
      </w:r>
      <w:r/>
    </w:p>
    <w:p>
      <w:pPr>
        <w:numPr>
          <w:ilvl w:val="0"/>
          <w:numId w:val="0"/>
        </w:num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val="en-US" w:eastAsia="zh-CN" w:bidi="ar-SA"/>
        </w:rPr>
        <w:t xml:space="preserve">3、</w:t>
      </w:r>
      <w:r>
        <w:rPr>
          <w:rFonts w:hint="eastAsia" w:ascii="仿宋" w:hAnsi="仿宋" w:eastAsia="仿宋" w:cs="仿宋"/>
          <w:bCs/>
          <w:color w:val="auto"/>
          <w:sz w:val="28"/>
          <w:szCs w:val="28"/>
          <w:highlight w:val="none"/>
          <w:lang w:eastAsia="zh-CN"/>
        </w:rPr>
        <w:t xml:space="preserve">人员培训</w:t>
      </w:r>
      <w:r/>
    </w:p>
    <w:p>
      <w:pPr>
        <w:numPr>
          <w:ilvl w:val="0"/>
          <w:numId w:val="0"/>
        </w:numPr>
        <w:ind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3.1采购人应派遣人员参加中标人提供的仪器操作和维护保养培训，并指定由经过专门培训的执证人员维护保养和操作该仪器；</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3.2中标人为采购人提供2人及以上的专门培训；设备1质保期内提供2人次的实验室高级应用培训，培训费用由中标人承担（除差旅费外）</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3.3按培训内容分为仪器操作和仪器维护，两种培训期限不少于1天（直至教会为止）。(维护培训必须是操作培训合格后)培训经考核合格后，中标人为参加培训人员颁发专门的证书：</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3.4最终采购人安装调试期间，中标人安排维修工程师在最终用户现场进行技术指导和培训，包括：仪器构造，工作原理，仪器操作使用，样品分析，日常的维护保养等方面的内容，直到最终用户操作人员能够独立使用仪器分析、会进行维护保养为止；</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3.5投标人提供仪器的现场安装调试并达到投标书指标要求的技术性能，并同时在现场对用户进行操作培训。如果现场安装测试指标未通过，用户有权要求退货并要求赔偿损失；</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3.6厂商应设有专业的维修站，具备非常完善的售后服务体系，具备培训中心和厂家应用实验室,有专职的维修工程师及应用工程师有效保证售后维修的及时、快捷，并负责提供技术支持，保证仪器的正常操作，并协助用户进行方法开发。</w:t>
      </w:r>
      <w:r/>
    </w:p>
    <w:p>
      <w:pPr>
        <w:ind w:left="0" w:firstLine="562"/>
        <w:keepLines w:val="0"/>
        <w:keepNext w:val="0"/>
        <w:pageBreakBefore w:val="0"/>
        <w:spacing w:line="520" w:lineRule="exact"/>
        <w:widowControl w:val="off"/>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 xml:space="preserve">★四、商务部分</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（一）</w:t>
      </w:r>
      <w:r>
        <w:rPr>
          <w:rFonts w:hint="eastAsia" w:ascii="仿宋" w:hAnsi="仿宋" w:eastAsia="仿宋" w:cs="仿宋"/>
          <w:color w:val="auto"/>
          <w:sz w:val="28"/>
          <w:szCs w:val="28"/>
          <w:lang w:eastAsia="zh-CN"/>
        </w:rPr>
        <w:t xml:space="preserve">合同履行期限:</w:t>
      </w:r>
      <w:r>
        <w:rPr>
          <w:rFonts w:hint="eastAsia" w:ascii="仿宋" w:hAnsi="仿宋" w:eastAsia="仿宋" w:cs="仿宋"/>
          <w:bCs/>
          <w:color w:val="auto"/>
          <w:sz w:val="28"/>
          <w:szCs w:val="28"/>
          <w:lang w:eastAsia="zh-CN"/>
        </w:rPr>
        <w:t xml:space="preserve">合同签订后45日历天内完成供货安装及调试。 </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（二）服务地点:由采购人指定。</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（三）付款方</w:t>
      </w:r>
      <w:r>
        <w:rPr>
          <w:rFonts w:hint="eastAsia" w:ascii="仿宋" w:hAnsi="仿宋" w:eastAsia="仿宋" w:cs="仿宋"/>
          <w:bCs/>
          <w:color w:val="auto"/>
          <w:sz w:val="28"/>
          <w:szCs w:val="28"/>
          <w:highlight w:val="none"/>
          <w:lang w:eastAsia="zh-CN"/>
        </w:rPr>
        <w:t xml:space="preserve">式:合同签订后支付合同总金额的</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eastAsia="zh-CN"/>
        </w:rPr>
        <w:t xml:space="preserve">0%；收到货物后支付合同总金额的</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0%；乙方供货安装调试完毕且验收合格后且无质量、服务问题后,一次性付清</w:t>
      </w:r>
      <w:r>
        <w:rPr>
          <w:rFonts w:hint="eastAsia" w:ascii="仿宋" w:hAnsi="仿宋" w:eastAsia="仿宋" w:cs="仿宋"/>
          <w:bCs/>
          <w:color w:val="auto"/>
          <w:sz w:val="28"/>
          <w:szCs w:val="28"/>
          <w:highlight w:val="none"/>
          <w:lang w:val="en-US" w:eastAsia="zh-CN"/>
        </w:rPr>
        <w:t xml:space="preserve">剩余款项</w:t>
      </w:r>
      <w:r>
        <w:rPr>
          <w:rFonts w:hint="eastAsia" w:ascii="仿宋" w:hAnsi="仿宋" w:eastAsia="仿宋" w:cs="仿宋"/>
          <w:bCs/>
          <w:color w:val="auto"/>
          <w:sz w:val="28"/>
          <w:szCs w:val="28"/>
          <w:highlight w:val="none"/>
          <w:lang w:eastAsia="zh-CN"/>
        </w:rPr>
        <w:t xml:space="preserve">（不计利息）。</w:t>
      </w:r>
      <w:r>
        <w:rPr>
          <w:rFonts w:hint="eastAsia" w:ascii="仿宋" w:hAnsi="仿宋" w:eastAsia="仿宋" w:cs="仿宋"/>
          <w:bCs/>
          <w:color w:val="auto"/>
          <w:sz w:val="28"/>
          <w:szCs w:val="28"/>
          <w:lang w:eastAsia="zh-CN"/>
        </w:rPr>
        <w:t xml:space="preserve">付款时乙方需提供正规等额的增值税发票。</w:t>
      </w:r>
      <w:r/>
    </w:p>
    <w:p>
      <w:pP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rPr>
          <w:rFonts w:hint="eastAsia" w:ascii="仿宋" w:hAnsi="仿宋" w:eastAsia="仿宋" w:cs="仿宋"/>
          <w:bCs/>
          <w:color w:val="auto"/>
          <w:sz w:val="28"/>
          <w:szCs w:val="28"/>
          <w:lang w:val="en-US" w:eastAsia="zh-CN"/>
        </w:rPr>
      </w:pPr>
      <w:r>
        <w:rPr>
          <w:rFonts w:ascii="Segoe UI Symbol" w:hAnsi="Segoe UI Symbol" w:eastAsia="仿宋" w:cs="Segoe UI Symbol"/>
          <w:b/>
          <w:color w:val="auto"/>
          <w:sz w:val="28"/>
          <w:lang w:eastAsia="zh-CN"/>
        </w:rPr>
        <w:br w:type="page" w:clear="all"/>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r>
      <w:r/>
    </w:p>
    <w:p>
      <w:pPr>
        <w:jc w:val="center"/>
        <w:spacing w:line="400" w:lineRule="exact"/>
        <w:rPr>
          <w:rFonts w:hint="eastAsia" w:ascii="黑体" w:hAnsi="黑体" w:eastAsia="黑体"/>
          <w:b/>
          <w:bCs/>
          <w:color w:val="auto"/>
          <w:sz w:val="36"/>
        </w:rPr>
      </w:pPr>
      <w:r>
        <w:rPr>
          <w:rFonts w:hint="eastAsia" w:ascii="黑体" w:hAnsi="黑体" w:eastAsia="黑体"/>
          <w:b/>
          <w:bCs/>
          <w:color w:val="auto"/>
          <w:sz w:val="36"/>
        </w:rPr>
      </w:r>
      <w:r/>
    </w:p>
    <w:p>
      <w:pPr>
        <w:jc w:val="center"/>
        <w:spacing w:line="400" w:lineRule="exact"/>
        <w:rPr>
          <w:rFonts w:hint="eastAsia" w:ascii="黑体" w:hAnsi="黑体" w:eastAsia="黑体"/>
          <w:b/>
          <w:bCs/>
          <w:color w:val="auto"/>
          <w:sz w:val="36"/>
        </w:rPr>
      </w:pPr>
      <w:r>
        <w:rPr>
          <w:rFonts w:hint="eastAsia" w:ascii="黑体" w:hAnsi="黑体" w:eastAsia="黑体"/>
          <w:b/>
          <w:bCs/>
          <w:color w:val="auto"/>
          <w:sz w:val="36"/>
        </w:rPr>
      </w:r>
      <w:r/>
    </w:p>
    <w:p>
      <w:pPr>
        <w:jc w:val="center"/>
        <w:spacing w:line="400" w:lineRule="exact"/>
        <w:rPr>
          <w:rFonts w:ascii="黑体" w:hAnsi="黑体" w:eastAsia="黑体"/>
          <w:b/>
          <w:bCs/>
          <w:color w:val="auto"/>
          <w:sz w:val="36"/>
        </w:rPr>
      </w:pPr>
      <w:r>
        <w:rPr>
          <w:rFonts w:hint="eastAsia" w:ascii="黑体" w:hAnsi="黑体" w:eastAsia="黑体"/>
          <w:b/>
          <w:bCs/>
          <w:color w:val="auto"/>
          <w:sz w:val="36"/>
        </w:rPr>
        <w:t xml:space="preserve">第六章  投标文件</w:t>
      </w:r>
      <w:r/>
    </w:p>
    <w:p>
      <w:pPr>
        <w:pStyle w:val="993"/>
        <w:rPr>
          <w:rFonts w:ascii="黑体" w:hAnsi="黑体" w:eastAsia="黑体"/>
          <w:color w:val="auto"/>
          <w:sz w:val="44"/>
          <w:szCs w:val="44"/>
        </w:rPr>
      </w:pPr>
      <w:r>
        <w:rPr>
          <w:rFonts w:ascii="黑体" w:hAnsi="黑体" w:eastAsia="黑体"/>
          <w:color w:val="auto"/>
          <w:sz w:val="44"/>
          <w:szCs w:val="44"/>
        </w:rPr>
      </w:r>
      <w:r/>
    </w:p>
    <w:p>
      <w:pPr>
        <w:pStyle w:val="993"/>
        <w:rPr>
          <w:rFonts w:ascii="黑体" w:hAnsi="黑体" w:eastAsia="黑体"/>
          <w:color w:val="auto"/>
          <w:sz w:val="32"/>
        </w:rPr>
      </w:pPr>
      <w:r>
        <w:rPr>
          <w:rFonts w:ascii="黑体" w:hAnsi="黑体" w:eastAsia="黑体"/>
          <w:color w:val="auto"/>
          <w:sz w:val="32"/>
        </w:rPr>
      </w:r>
      <w:r/>
    </w:p>
    <w:p>
      <w:pPr>
        <w:pStyle w:val="993"/>
        <w:rPr>
          <w:rFonts w:ascii="黑体" w:hAnsi="黑体" w:eastAsia="黑体"/>
          <w:color w:val="auto"/>
          <w:sz w:val="32"/>
        </w:rPr>
      </w:pPr>
      <w:r>
        <w:rPr>
          <w:rFonts w:ascii="黑体" w:hAnsi="黑体" w:eastAsia="黑体"/>
          <w:color w:val="auto"/>
          <w:sz w:val="32"/>
        </w:rPr>
      </w:r>
      <w:r/>
    </w:p>
    <w:p>
      <w:pPr>
        <w:pStyle w:val="993"/>
        <w:rPr>
          <w:rFonts w:ascii="黑体" w:hAnsi="黑体" w:eastAsia="黑体"/>
          <w:color w:val="auto"/>
          <w:sz w:val="32"/>
        </w:rPr>
      </w:pPr>
      <w:r>
        <w:rPr>
          <w:rFonts w:ascii="黑体" w:hAnsi="黑体" w:eastAsia="黑体"/>
          <w:color w:val="auto"/>
          <w:sz w:val="32"/>
        </w:rPr>
      </w:r>
      <w:r/>
    </w:p>
    <w:p>
      <w:pPr>
        <w:pStyle w:val="993"/>
        <w:rPr>
          <w:rFonts w:ascii="黑体" w:hAnsi="黑体" w:eastAsia="黑体"/>
          <w:color w:val="auto"/>
          <w:sz w:val="32"/>
        </w:rPr>
      </w:pPr>
      <w:r>
        <w:rPr>
          <w:rFonts w:ascii="黑体" w:hAnsi="黑体" w:eastAsia="黑体"/>
          <w:color w:val="auto"/>
          <w:sz w:val="32"/>
        </w:rPr>
      </w:r>
      <w:r/>
    </w:p>
    <w:p>
      <w:pPr>
        <w:ind w:firstLine="1084"/>
        <w:spacing w:line="400" w:lineRule="exact"/>
        <w:rPr>
          <w:rFonts w:ascii="黑体" w:hAnsi="黑体" w:eastAsia="黑体"/>
          <w:b/>
          <w:bCs/>
          <w:color w:val="auto"/>
          <w:sz w:val="36"/>
        </w:rPr>
      </w:pPr>
      <w:r>
        <w:rPr>
          <w:rFonts w:hint="eastAsia" w:ascii="黑体" w:hAnsi="黑体" w:eastAsia="黑体"/>
          <w:b/>
          <w:bCs/>
          <w:color w:val="auto"/>
          <w:sz w:val="36"/>
        </w:rPr>
        <w:t xml:space="preserve">项 目 名 称:</w:t>
      </w:r>
      <w:r/>
    </w:p>
    <w:p>
      <w:pPr>
        <w:pStyle w:val="993"/>
        <w:rPr>
          <w:rFonts w:ascii="黑体" w:hAnsi="黑体" w:eastAsia="黑体"/>
          <w:color w:val="auto"/>
          <w:sz w:val="32"/>
        </w:rPr>
      </w:pPr>
      <w:r>
        <w:rPr>
          <w:rFonts w:ascii="黑体" w:hAnsi="黑体" w:eastAsia="黑体"/>
          <w:color w:val="auto"/>
          <w:sz w:val="32"/>
        </w:rPr>
      </w:r>
      <w:r/>
    </w:p>
    <w:p>
      <w:pPr>
        <w:pStyle w:val="993"/>
        <w:rPr>
          <w:rFonts w:ascii="黑体" w:hAnsi="黑体" w:eastAsia="黑体"/>
          <w:b/>
          <w:color w:val="auto"/>
          <w:sz w:val="36"/>
          <w:szCs w:val="24"/>
        </w:rPr>
      </w:pPr>
      <w:r>
        <w:rPr>
          <w:rFonts w:ascii="黑体" w:hAnsi="黑体" w:eastAsia="黑体"/>
          <w:b/>
          <w:color w:val="auto"/>
          <w:sz w:val="36"/>
          <w:szCs w:val="24"/>
        </w:rPr>
      </w:r>
      <w:r/>
    </w:p>
    <w:p>
      <w:pPr>
        <w:pStyle w:val="993"/>
        <w:ind w:firstLine="1066"/>
        <w:rPr>
          <w:rFonts w:ascii="黑体" w:hAnsi="黑体" w:eastAsia="黑体"/>
          <w:b/>
          <w:color w:val="auto"/>
          <w:sz w:val="36"/>
          <w:szCs w:val="24"/>
        </w:rPr>
      </w:pPr>
      <w:r>
        <w:rPr>
          <w:rFonts w:ascii="黑体" w:hAnsi="黑体" w:eastAsia="黑体"/>
          <w:b/>
          <w:color w:val="auto"/>
          <w:sz w:val="36"/>
          <w:szCs w:val="24"/>
        </w:rPr>
      </w:r>
      <w:r/>
    </w:p>
    <w:p>
      <w:pPr>
        <w:pStyle w:val="993"/>
        <w:ind w:firstLine="1066"/>
        <w:rPr>
          <w:rFonts w:ascii="黑体" w:hAnsi="黑体" w:eastAsia="黑体"/>
          <w:b/>
          <w:color w:val="auto"/>
          <w:sz w:val="36"/>
          <w:szCs w:val="24"/>
        </w:rPr>
      </w:pPr>
      <w:r>
        <w:rPr>
          <w:rFonts w:hint="eastAsia" w:ascii="黑体" w:hAnsi="黑体" w:eastAsia="黑体"/>
          <w:b/>
          <w:color w:val="auto"/>
          <w:sz w:val="36"/>
          <w:szCs w:val="24"/>
        </w:rPr>
        <w:t xml:space="preserve">招 标 编 号:</w:t>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投标人名称:（加盖CA电子公章）</w:t>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    </w:t>
      </w:r>
      <w:r/>
    </w:p>
    <w:p>
      <w:pPr>
        <w:spacing w:line="400" w:lineRule="exact"/>
        <w:rPr>
          <w:rFonts w:ascii="黑体" w:hAnsi="黑体" w:eastAsia="黑体"/>
          <w:b/>
          <w:bCs/>
          <w:color w:val="auto"/>
          <w:sz w:val="36"/>
        </w:rPr>
      </w:pPr>
      <w:r>
        <w:rPr>
          <w:rFonts w:ascii="黑体" w:hAnsi="黑体" w:eastAsia="黑体"/>
          <w:b/>
          <w:bCs/>
          <w:color w:val="auto"/>
          <w:sz w:val="36"/>
        </w:rPr>
      </w:r>
      <w:r/>
    </w:p>
    <w:p>
      <w:pPr>
        <w:spacing w:line="400" w:lineRule="exact"/>
        <w:rPr>
          <w:rFonts w:ascii="黑体" w:hAnsi="黑体" w:eastAsia="黑体"/>
          <w:b/>
          <w:bCs/>
          <w:color w:val="auto"/>
          <w:sz w:val="36"/>
        </w:rPr>
      </w:pPr>
      <w:r>
        <w:rPr>
          <w:rFonts w:ascii="黑体" w:hAnsi="黑体" w:eastAsia="黑体"/>
          <w:b/>
          <w:bCs/>
          <w:color w:val="auto"/>
          <w:sz w:val="36"/>
        </w:rPr>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日       期：</w:t>
      </w:r>
      <w:r/>
    </w:p>
    <w:p>
      <w:pPr>
        <w:pStyle w:val="993"/>
        <w:ind w:firstLine="1904"/>
        <w:rPr>
          <w:rFonts w:ascii="黑体" w:hAnsi="黑体" w:eastAsia="黑体"/>
          <w:color w:val="auto"/>
          <w:sz w:val="32"/>
        </w:rPr>
      </w:pPr>
      <w:r>
        <w:rPr>
          <w:rFonts w:ascii="黑体" w:hAnsi="黑体" w:eastAsia="黑体"/>
          <w:color w:val="auto"/>
          <w:sz w:val="32"/>
        </w:rPr>
      </w:r>
      <w:r/>
    </w:p>
    <w:p>
      <w:pPr>
        <w:pStyle w:val="993"/>
        <w:ind w:firstLine="1904"/>
        <w:rPr>
          <w:rFonts w:ascii="黑体" w:hAnsi="黑体" w:eastAsia="黑体"/>
          <w:color w:val="auto"/>
          <w:sz w:val="32"/>
        </w:rPr>
      </w:pPr>
      <w:r>
        <w:rPr>
          <w:rFonts w:ascii="黑体" w:hAnsi="黑体" w:eastAsia="黑体"/>
          <w:color w:val="auto"/>
          <w:sz w:val="32"/>
        </w:rPr>
      </w:r>
      <w:r/>
    </w:p>
    <w:p>
      <w:pPr>
        <w:pStyle w:val="993"/>
        <w:ind w:firstLine="1904"/>
        <w:rPr>
          <w:rFonts w:ascii="黑体" w:hAnsi="黑体" w:eastAsia="黑体"/>
          <w:color w:val="auto"/>
          <w:sz w:val="32"/>
        </w:rPr>
      </w:pPr>
      <w:r>
        <w:rPr>
          <w:rFonts w:ascii="黑体" w:hAnsi="黑体" w:eastAsia="黑体"/>
          <w:color w:val="auto"/>
          <w:sz w:val="32"/>
        </w:rPr>
      </w:r>
      <w:r/>
    </w:p>
    <w:p>
      <w:pPr>
        <w:pStyle w:val="993"/>
        <w:ind w:firstLine="1904"/>
        <w:rPr>
          <w:rFonts w:ascii="黑体" w:hAnsi="黑体" w:eastAsia="黑体"/>
          <w:color w:val="auto"/>
          <w:sz w:val="32"/>
        </w:rPr>
      </w:pPr>
      <w:r>
        <w:rPr>
          <w:rFonts w:ascii="黑体" w:hAnsi="黑体" w:eastAsia="黑体"/>
          <w:color w:val="auto"/>
          <w:sz w:val="32"/>
        </w:rPr>
      </w:r>
      <w:r/>
    </w:p>
    <w:p>
      <w:pPr>
        <w:pStyle w:val="993"/>
        <w:ind w:firstLine="1904"/>
        <w:rPr>
          <w:rFonts w:ascii="黑体" w:hAnsi="黑体" w:eastAsia="黑体"/>
          <w:color w:val="auto"/>
          <w:sz w:val="32"/>
        </w:rPr>
      </w:pPr>
      <w:r>
        <w:rPr>
          <w:rFonts w:ascii="黑体" w:hAnsi="黑体" w:eastAsia="黑体"/>
          <w:color w:val="auto"/>
          <w:sz w:val="32"/>
        </w:rPr>
      </w:r>
      <w:r/>
    </w:p>
    <w:p>
      <w:pPr>
        <w:pStyle w:val="993"/>
        <w:ind w:firstLine="1904"/>
        <w:rPr>
          <w:rFonts w:ascii="黑体" w:hAnsi="黑体" w:eastAsia="黑体"/>
          <w:color w:val="auto"/>
          <w:sz w:val="32"/>
        </w:rPr>
      </w:pPr>
      <w:r>
        <w:rPr>
          <w:rFonts w:ascii="黑体" w:hAnsi="黑体" w:eastAsia="黑体"/>
          <w:color w:val="auto"/>
          <w:sz w:val="32"/>
        </w:rPr>
      </w:r>
      <w:r/>
    </w:p>
    <w:p>
      <w:pPr>
        <w:spacing w:line="600" w:lineRule="exact"/>
        <w:rPr>
          <w:rFonts w:eastAsia="方正仿宋_GBK"/>
          <w:b/>
          <w:bCs/>
          <w:color w:val="auto"/>
          <w:sz w:val="28"/>
          <w:szCs w:val="28"/>
          <w:lang w:val="zh-CN"/>
        </w:rPr>
      </w:pPr>
      <w:r>
        <w:rPr>
          <w:rFonts w:hint="eastAsia" w:ascii="仿宋" w:hAnsi="仿宋" w:eastAsia="仿宋"/>
          <w:b/>
          <w:color w:val="auto"/>
          <w:sz w:val="32"/>
          <w:szCs w:val="32"/>
        </w:rPr>
        <w:br w:type="page" w:clear="all"/>
      </w:r>
      <w:r/>
    </w:p>
    <w:p>
      <w:pPr>
        <w:pStyle w:val="993"/>
        <w:ind w:firstLine="3855"/>
        <w:spacing w:line="640" w:lineRule="exact"/>
        <w:rPr>
          <w:rFonts w:ascii="仿宋" w:hAnsi="仿宋" w:eastAsia="仿宋"/>
          <w:b/>
          <w:color w:val="auto"/>
          <w:sz w:val="32"/>
          <w:szCs w:val="32"/>
        </w:rPr>
      </w:pPr>
      <w:r/>
      <w:bookmarkStart w:id="51" w:name="OLE_LINK14"/>
      <w:r/>
      <w:bookmarkStart w:id="52" w:name="OLE_LINK7"/>
      <w:r>
        <w:rPr>
          <w:rFonts w:hint="eastAsia" w:ascii="仿宋" w:hAnsi="仿宋" w:eastAsia="仿宋"/>
          <w:b/>
          <w:color w:val="auto"/>
          <w:sz w:val="32"/>
          <w:szCs w:val="32"/>
        </w:rPr>
        <w:t xml:space="preserve">一、投标函</w:t>
      </w:r>
      <w:r/>
    </w:p>
    <w:p>
      <w:pPr>
        <w:pStyle w:val="993"/>
        <w:spacing w:line="640" w:lineRule="exact"/>
        <w:rPr>
          <w:rFonts w:ascii="仿宋" w:hAnsi="仿宋" w:eastAsia="仿宋"/>
          <w:color w:val="auto"/>
          <w:sz w:val="28"/>
          <w:szCs w:val="24"/>
        </w:rPr>
      </w:pPr>
      <w:r>
        <w:rPr>
          <w:rFonts w:hint="eastAsia" w:ascii="仿宋" w:hAnsi="仿宋" w:eastAsia="仿宋"/>
          <w:color w:val="auto"/>
          <w:sz w:val="28"/>
          <w:szCs w:val="24"/>
          <w:lang w:eastAsia="zh-CN"/>
        </w:rPr>
        <w:t xml:space="preserve">（采购人）</w:t>
      </w:r>
      <w:r>
        <w:rPr>
          <w:rFonts w:hint="eastAsia" w:ascii="仿宋" w:hAnsi="仿宋" w:eastAsia="仿宋"/>
          <w:color w:val="auto"/>
          <w:sz w:val="28"/>
          <w:szCs w:val="24"/>
        </w:rPr>
        <w:t xml:space="preserve">:</w:t>
      </w:r>
      <w:r/>
    </w:p>
    <w:p>
      <w:pPr>
        <w:pStyle w:val="965"/>
        <w:ind w:firstLine="70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关于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）招标文件（包括更正公告、如果有的话）收悉，我们经详细审阅和研究，现决定参加投标。同时，正式授权下述签字人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（投标人单位名称），全权处理本次项目投标的有关事宜。</w:t>
      </w:r>
      <w:r/>
    </w:p>
    <w:p>
      <w:pPr>
        <w:ind w:firstLine="560"/>
        <w:spacing w:line="640" w:lineRule="exact"/>
        <w:rPr>
          <w:rFonts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ascii="仿宋" w:hAnsi="仿宋" w:eastAsia="仿宋"/>
          <w:color w:val="auto"/>
          <w:sz w:val="28"/>
        </w:rPr>
      </w:pPr>
      <w:r>
        <w:rPr>
          <w:rFonts w:hint="eastAsia" w:ascii="仿宋" w:hAnsi="仿宋" w:eastAsia="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96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3、我们接受招标文件的所有的条款和规定。</w:t>
      </w:r>
      <w:r/>
    </w:p>
    <w:p>
      <w:pPr>
        <w:pStyle w:val="96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6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5、我们理解，你们无义务必须接受投标价最低的投标。同时也理解你们不承担我们本次投标的费用。</w:t>
      </w:r>
      <w:r/>
    </w:p>
    <w:p>
      <w:pPr>
        <w:pStyle w:val="965"/>
        <w:ind w:firstLine="560"/>
        <w:spacing w:before="0" w:after="0" w:line="640" w:lineRule="exact"/>
        <w:rPr>
          <w:rFonts w:ascii="仿宋" w:hAnsi="仿宋" w:eastAsia="仿宋"/>
          <w:color w:val="auto"/>
          <w:sz w:val="28"/>
          <w:szCs w:val="28"/>
        </w:rPr>
      </w:pPr>
      <w:r>
        <w:rPr>
          <w:rFonts w:hint="eastAsia" w:ascii="仿宋" w:hAnsi="仿宋" w:eastAsia="仿宋"/>
          <w:color w:val="auto"/>
          <w:sz w:val="28"/>
        </w:rPr>
        <w:t xml:space="preserve">6、我们同意向贵方提供贵方可能要求的与投标有关的任何证据或资料，并保证所提供的都是真实的、准确的。</w:t>
      </w:r>
      <w:r/>
    </w:p>
    <w:p>
      <w:pPr>
        <w:pStyle w:val="96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65"/>
        <w:ind w:right="560" w:firstLine="2940"/>
        <w:spacing w:before="0" w:after="0" w:line="640" w:lineRule="exact"/>
        <w:rPr>
          <w:rFonts w:ascii="仿宋" w:hAnsi="仿宋" w:eastAsia="仿宋"/>
          <w:color w:val="auto"/>
          <w:sz w:val="28"/>
        </w:rPr>
      </w:pPr>
      <w:r>
        <w:rPr>
          <w:rFonts w:ascii="仿宋" w:hAnsi="仿宋" w:eastAsia="仿宋"/>
          <w:color w:val="auto"/>
          <w:sz w:val="28"/>
        </w:rPr>
      </w:r>
      <w:r/>
    </w:p>
    <w:p>
      <w:pPr>
        <w:pStyle w:val="965"/>
        <w:ind w:right="560" w:firstLine="2940"/>
        <w:spacing w:before="0" w:after="0" w:line="640" w:lineRule="exact"/>
        <w:rPr>
          <w:rFonts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65"/>
        <w:ind w:right="560" w:firstLine="294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ind w:right="560" w:firstLine="420"/>
        <w:jc w:val="center"/>
        <w:spacing w:line="640" w:lineRule="exact"/>
        <w:rPr>
          <w:rFonts w:ascii="仿宋" w:hAnsi="仿宋" w:eastAsia="仿宋"/>
          <w:color w:val="auto"/>
          <w:sz w:val="28"/>
          <w:szCs w:val="28"/>
          <w:u w:val="single"/>
        </w:rPr>
      </w:pPr>
      <w:r>
        <w:rPr>
          <w:rFonts w:hint="eastAsia" w:ascii="仿宋" w:hAnsi="仿宋" w:eastAsia="仿宋"/>
          <w:color w:val="auto"/>
          <w:sz w:val="28"/>
          <w:szCs w:val="28"/>
        </w:rPr>
        <w:t xml:space="preserve">    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993"/>
        <w:ind w:right="560" w:firstLine="420"/>
        <w:jc w:val="center"/>
        <w:spacing w:line="640" w:lineRule="exact"/>
        <w:rPr>
          <w:rFonts w:ascii="仿宋" w:hAnsi="仿宋" w:eastAsia="仿宋"/>
          <w:color w:val="auto"/>
          <w:sz w:val="28"/>
          <w:szCs w:val="24"/>
        </w:rPr>
      </w:pPr>
      <w:r>
        <w:rPr>
          <w:rFonts w:hint="eastAsia" w:ascii="仿宋" w:hAnsi="仿宋" w:eastAsia="仿宋"/>
          <w:color w:val="auto"/>
          <w:sz w:val="28"/>
          <w:szCs w:val="24"/>
        </w:rPr>
        <w:t xml:space="preserve">         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bookmarkEnd w:id="51"/>
      <w:r/>
      <w:bookmarkEnd w:id="52"/>
      <w:r/>
      <w:r/>
    </w:p>
    <w:p>
      <w:pPr>
        <w:ind w:firstLine="3036"/>
        <w:spacing w:before="19" w:line="440" w:lineRule="exact"/>
        <w:widowControl/>
        <w:rPr>
          <w:rFonts w:ascii="仿宋" w:hAnsi="仿宋" w:eastAsia="仿宋"/>
          <w:b/>
          <w:color w:val="auto"/>
          <w:sz w:val="32"/>
          <w:szCs w:val="32"/>
        </w:rPr>
      </w:pPr>
      <w:r>
        <w:rPr>
          <w:rFonts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tbl>
      <w:tblPr>
        <w:tblStyle w:val="7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bookmarkStart w:id="53" w:name="_Toc157775468"/>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ind w:left="0" w:right="0"/>
              <w:jc w:val="center"/>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投标报价</w:t>
            </w:r>
            <w:r/>
          </w:p>
          <w:p>
            <w:pPr>
              <w:ind w:left="0" w:right="0"/>
              <w:jc w:val="center"/>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ind w:left="0" w:right="0"/>
              <w:keepLines w:val="0"/>
              <w:keepNext w:val="0"/>
              <w:pageBreakBefore w:val="0"/>
              <w:spacing w:before="0" w:beforeAutospacing="0" w:after="0" w:afterAutospacing="0" w:line="720" w:lineRule="exact"/>
              <w:rPr>
                <w:rFonts w:hint="eastAsia" w:ascii="仿宋" w:hAnsi="仿宋" w:eastAsia="仿宋"/>
                <w:color w:val="auto"/>
                <w:sz w:val="28"/>
                <w:szCs w:val="28"/>
                <w:highlight w:val="none"/>
                <w:u w:val="single"/>
              </w:rPr>
              <w:outlineLvl w:val="9"/>
              <w:suppressLineNumbers w:val="0"/>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ind w:left="0" w:right="0"/>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left="0" w:right="0" w:firstLine="140"/>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核心品牌</w:t>
            </w:r>
            <w:r/>
          </w:p>
        </w:tc>
        <w:tc>
          <w:tcPr>
            <w:tcW w:w="6759" w:type="dxa"/>
            <w:vAlign w:val="center"/>
            <w:textDirection w:val="lrTb"/>
            <w:noWrap w:val="false"/>
          </w:tcPr>
          <w:p>
            <w:pPr>
              <w:ind w:left="0" w:right="0" w:firstLine="1540"/>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 </w:t>
            </w:r>
            <w:r/>
          </w:p>
        </w:tc>
      </w:tr>
    </w:tbl>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供应商: </w:t>
      </w:r>
      <w:r>
        <w:rPr>
          <w:rFonts w:hint="eastAsia" w:ascii="仿宋" w:hAnsi="仿宋" w:eastAsia="仿宋"/>
          <w:color w:val="auto"/>
          <w:sz w:val="28"/>
          <w:szCs w:val="28"/>
          <w:u w:val="single"/>
        </w:rPr>
        <w:t xml:space="preserve">       （电子签章）       </w:t>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14"/>
        <w:jc w:val="left"/>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89"/>
        <w:jc w:val="cente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三、投标报价明细表</w:t>
      </w:r>
      <w:r/>
    </w:p>
    <w:p>
      <w:pPr>
        <w:pStyle w:val="989"/>
        <w:jc w:val="center"/>
        <w:keepLines w:val="0"/>
        <w:keepNext w:val="0"/>
        <w:pageBreakBefore w:val="0"/>
        <w:spacing w:line="340" w:lineRule="exact"/>
        <w:rPr>
          <w:rFonts w:hint="eastAsia" w:ascii="仿宋" w:hAnsi="仿宋" w:eastAsia="仿宋" w:cs="Calibri"/>
          <w:color w:val="auto"/>
          <w:sz w:val="24"/>
          <w:szCs w:val="24"/>
          <w:highlight w:val="none"/>
        </w:rPr>
        <w:outlineLvl w:val="9"/>
      </w:pPr>
      <w:r>
        <w:rPr>
          <w:rFonts w:hint="eastAsia" w:ascii="仿宋" w:hAnsi="仿宋" w:eastAsia="仿宋" w:cs="Calibri"/>
          <w:color w:val="auto"/>
          <w:sz w:val="24"/>
          <w:szCs w:val="24"/>
          <w:highlight w:val="none"/>
        </w:rPr>
      </w:r>
      <w:r/>
    </w:p>
    <w:tbl>
      <w:tblPr>
        <w:tblStyle w:val="718"/>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lang w:val="en-US" w:eastAsia="zh-CN"/>
              </w:rPr>
              <w:t xml:space="preserve">制造商名称</w:t>
            </w:r>
            <w:r/>
          </w:p>
        </w:tc>
        <w:tc>
          <w:tcPr>
            <w:tcMar>
              <w:left w:w="108" w:type="dxa"/>
              <w:top w:w="0" w:type="dxa"/>
              <w:right w:w="108" w:type="dxa"/>
              <w:bottom w:w="0" w:type="dxa"/>
            </w:tcMar>
            <w:tcW w:w="795" w:type="dxa"/>
            <w:vAlign w:val="center"/>
            <w:textDirection w:val="lrTb"/>
            <w:noWrap w:val="false"/>
          </w:tcPr>
          <w:p>
            <w:pPr>
              <w:pStyle w:val="989"/>
              <w:ind w:left="0" w:right="0"/>
              <w:jc w:val="left"/>
              <w:keepLines w:val="0"/>
              <w:keepNext w:val="0"/>
              <w:pageBreakBefore w:val="0"/>
              <w:spacing w:before="0" w:beforeAutospacing="0" w:after="0" w:afterAutospacing="0" w:line="340" w:lineRule="exact"/>
              <w:tabs>
                <w:tab w:val="left" w:pos="319" w:leader="none"/>
              </w:tabs>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lang w:val="en-US" w:eastAsia="zh-CN"/>
              </w:rPr>
              <w:t xml:space="preserve">产地</w:t>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分项总价</w:t>
            </w:r>
            <w:r/>
          </w:p>
        </w:tc>
      </w:tr>
      <w:tr>
        <w:trPr>
          <w:jc w:val="center"/>
          <w:trHeight w:val="583"/>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1</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96"/>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2</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724"/>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3</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4</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580"/>
        </w:trPr>
        <w:tc>
          <w:tcPr>
            <w:tcMar>
              <w:left w:w="108" w:type="dxa"/>
              <w:top w:w="0" w:type="dxa"/>
              <w:right w:w="108" w:type="dxa"/>
              <w:bottom w:w="0" w:type="dxa"/>
            </w:tcMar>
            <w:tcW w:w="814"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w:t>
            </w:r>
            <w:r/>
          </w:p>
        </w:tc>
        <w:tc>
          <w:tcPr>
            <w:tcMar>
              <w:left w:w="108" w:type="dxa"/>
              <w:top w:w="0" w:type="dxa"/>
              <w:right w:w="108" w:type="dxa"/>
              <w:bottom w:w="0" w:type="dxa"/>
            </w:tcMar>
            <w:tcW w:w="127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w:t>
            </w:r>
            <w:r/>
          </w:p>
        </w:tc>
        <w:tc>
          <w:tcPr>
            <w:tcMar>
              <w:left w:w="108" w:type="dxa"/>
              <w:top w:w="0" w:type="dxa"/>
              <w:right w:w="108" w:type="dxa"/>
              <w:bottom w:w="0" w:type="dxa"/>
            </w:tcMar>
            <w:tcW w:w="85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700"/>
        </w:trPr>
        <w:tc>
          <w:tcPr>
            <w:gridSpan w:val="10"/>
            <w:tcMar>
              <w:left w:w="108" w:type="dxa"/>
              <w:top w:w="0" w:type="dxa"/>
              <w:right w:w="108" w:type="dxa"/>
              <w:bottom w:w="0" w:type="dxa"/>
            </w:tcMar>
            <w:tcW w:w="9769" w:type="dxa"/>
            <w:vAlign w:val="center"/>
            <w:textDirection w:val="lrTb"/>
            <w:noWrap w:val="false"/>
          </w:tcPr>
          <w:p>
            <w:pPr>
              <w:pStyle w:val="989"/>
              <w:ind w:left="0" w:right="0"/>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投标总报价（人民币：元） </w:t>
            </w:r>
            <w:r/>
          </w:p>
        </w:tc>
      </w:tr>
      <w:tr>
        <w:trPr>
          <w:jc w:val="center"/>
          <w:trHeight w:val="1030"/>
        </w:trPr>
        <w:tc>
          <w:tcPr>
            <w:gridSpan w:val="10"/>
            <w:tcMar>
              <w:left w:w="108" w:type="dxa"/>
              <w:top w:w="0" w:type="dxa"/>
              <w:right w:w="108" w:type="dxa"/>
              <w:bottom w:w="0" w:type="dxa"/>
            </w:tcMar>
            <w:tcW w:w="9769" w:type="dxa"/>
            <w:vAlign w:val="center"/>
            <w:textDirection w:val="lrTb"/>
            <w:noWrap w:val="false"/>
          </w:tcPr>
          <w:p>
            <w:pPr>
              <w:pStyle w:val="989"/>
              <w:ind w:left="0" w:right="0"/>
              <w:jc w:val="left"/>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989"/>
        <w:ind w:firstLine="41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89"/>
        <w:ind w:firstLine="41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89"/>
        <w:numPr>
          <w:ilvl w:val="0"/>
          <w:numId w:val="9"/>
        </w:numPr>
        <w:ind w:firstLine="69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t xml:space="preserve">“投标分项报价表”中“投标总报价”数额应当与“开标一览表”中“投标总报价”数额一致。</w:t>
      </w:r>
      <w:r/>
    </w:p>
    <w:p>
      <w:pPr>
        <w:pStyle w:val="989"/>
        <w:numPr>
          <w:ilvl w:val="0"/>
          <w:numId w:val="9"/>
        </w:numPr>
        <w:ind w:firstLine="69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本采购包中含有多种产品时，</w:t>
      </w:r>
      <w:r>
        <w:rPr>
          <w:rFonts w:hint="eastAsia" w:ascii="仿宋" w:hAnsi="仿宋" w:eastAsia="仿宋"/>
          <w:color w:val="auto"/>
          <w:sz w:val="28"/>
          <w:szCs w:val="24"/>
          <w:highlight w:val="none"/>
          <w:lang w:eastAsia="zh-CN"/>
        </w:rPr>
        <w:t xml:space="preserve">投标人</w:t>
      </w:r>
      <w:r>
        <w:rPr>
          <w:rFonts w:hint="eastAsia" w:ascii="仿宋" w:hAnsi="仿宋" w:eastAsia="仿宋"/>
          <w:color w:val="auto"/>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89"/>
        <w:numPr>
          <w:ilvl w:val="0"/>
          <w:numId w:val="9"/>
        </w:numPr>
        <w:ind w:firstLine="691"/>
        <w:keepLines w:val="0"/>
        <w:keepNext w:val="0"/>
        <w:pageBreakBefore w:val="0"/>
        <w:spacing w:line="440" w:lineRule="exact"/>
        <w:rPr>
          <w:rFonts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投标人需认真填写本报价表，尤其注意规格型号的准确填写。</w:t>
      </w:r>
      <w:r/>
    </w:p>
    <w:p>
      <w:pPr>
        <w:pStyle w:val="91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highlight w:val="none"/>
        </w:rPr>
        <w:br w:type="page" w:clear="all"/>
      </w:r>
      <w:r/>
    </w:p>
    <w:p>
      <w:pPr>
        <w:pStyle w:val="914"/>
        <w:jc w:val="center"/>
        <w:keepLines w:val="0"/>
        <w:keepNext w:val="0"/>
        <w:pageBreakBefore w:val="0"/>
        <w:spacing w:line="440" w:lineRule="exact"/>
        <w:rPr>
          <w:rFonts w:hint="eastAsia" w:ascii="仿宋" w:hAnsi="仿宋" w:eastAsia="仿宋"/>
          <w:b/>
          <w:color w:val="auto"/>
          <w:sz w:val="32"/>
        </w:rPr>
        <w:outlineLvl w:val="9"/>
      </w:pPr>
      <w:r>
        <w:rPr>
          <w:rFonts w:hint="eastAsia" w:ascii="仿宋" w:hAnsi="仿宋" w:eastAsia="仿宋"/>
          <w:b/>
          <w:color w:val="auto"/>
          <w:sz w:val="32"/>
          <w:szCs w:val="32"/>
          <w:lang w:val="en-US" w:eastAsia="zh-CN"/>
        </w:rPr>
        <w:t xml:space="preserve">四</w:t>
      </w:r>
      <w:r>
        <w:rPr>
          <w:rFonts w:hint="eastAsia" w:ascii="仿宋" w:hAnsi="仿宋" w:eastAsia="仿宋"/>
          <w:b/>
          <w:color w:val="auto"/>
          <w:sz w:val="32"/>
        </w:rPr>
        <w:t xml:space="preserve">、技术要求</w:t>
      </w:r>
      <w:r>
        <w:rPr>
          <w:rFonts w:hint="eastAsia" w:ascii="仿宋" w:hAnsi="仿宋" w:eastAsia="仿宋"/>
          <w:b/>
          <w:color w:val="auto"/>
          <w:sz w:val="32"/>
          <w:szCs w:val="32"/>
        </w:rPr>
        <w:t xml:space="preserve">响应</w:t>
      </w:r>
      <w:r>
        <w:rPr>
          <w:rFonts w:hint="eastAsia" w:ascii="仿宋" w:hAnsi="仿宋" w:eastAsia="仿宋"/>
          <w:b/>
          <w:color w:val="auto"/>
          <w:sz w:val="32"/>
        </w:rPr>
        <w:t xml:space="preserve">偏离表</w:t>
      </w:r>
      <w:r/>
    </w:p>
    <w:tbl>
      <w:tblPr>
        <w:tblStyle w:val="71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项目采购需求中主要技术</w:t>
            </w:r>
            <w:r/>
          </w:p>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ascii="仿宋" w:hAnsi="仿宋" w:eastAsia="仿宋" w:cs="Arial"/>
                <w:color w:val="auto"/>
                <w:sz w:val="24"/>
              </w:rPr>
              <w:t xml:space="preserve">偏离</w:t>
            </w:r>
            <w:r>
              <w:rPr>
                <w:rFonts w:hint="eastAsia" w:ascii="仿宋" w:hAnsi="仿宋" w:eastAsia="仿宋" w:cs="Arial"/>
                <w:color w:val="auto"/>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bl>
    <w:p>
      <w:pPr>
        <w:spacing w:line="440" w:lineRule="exact"/>
        <w:rPr>
          <w:rFonts w:ascii="仿宋" w:hAnsi="仿宋" w:eastAsia="仿宋" w:cs="Times New Roman"/>
          <w:color w:val="auto"/>
          <w:sz w:val="28"/>
          <w:szCs w:val="28"/>
          <w:u w:val="single"/>
        </w:rPr>
      </w:pPr>
      <w:r>
        <w:rPr>
          <w:rFonts w:hint="eastAsia" w:ascii="仿宋" w:hAnsi="仿宋" w:eastAsia="仿宋" w:cs="Times New Roman"/>
          <w:color w:val="auto"/>
          <w:sz w:val="28"/>
          <w:szCs w:val="28"/>
          <w:lang w:eastAsia="zh-CN"/>
        </w:rPr>
        <w:t xml:space="preserve">供应商</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u w:val="single"/>
        </w:rPr>
        <w:t xml:space="preserve">        （电子签章）      </w:t>
      </w:r>
      <w:r/>
    </w:p>
    <w:p>
      <w:pPr>
        <w:spacing w:line="44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法定代表人或授权委托人:</w:t>
      </w:r>
      <w:r>
        <w:rPr>
          <w:rFonts w:hint="eastAsia" w:ascii="仿宋" w:hAnsi="仿宋" w:eastAsia="仿宋" w:cs="Times New Roman"/>
          <w:color w:val="auto"/>
          <w:sz w:val="28"/>
          <w:u w:val="single"/>
        </w:rPr>
        <w:t xml:space="preserve">（电子签章或电子签字）</w:t>
      </w:r>
      <w:r/>
    </w:p>
    <w:p>
      <w:pPr>
        <w:keepLines w:val="0"/>
        <w:keepNext w:val="0"/>
        <w:pageBreakBefore w:val="0"/>
        <w:spacing w:line="440" w:lineRule="exact"/>
        <w:rPr>
          <w:rFonts w:hint="eastAsia" w:ascii="仿宋" w:hAnsi="仿宋" w:eastAsia="仿宋"/>
          <w:color w:val="auto"/>
          <w:sz w:val="28"/>
          <w:szCs w:val="28"/>
        </w:rPr>
        <w:outlineLvl w:val="9"/>
      </w:pPr>
      <w:r>
        <w:rPr>
          <w:rFonts w:hint="eastAsia" w:ascii="仿宋" w:hAnsi="仿宋" w:eastAsia="仿宋"/>
          <w:color w:val="auto"/>
          <w:sz w:val="28"/>
          <w:szCs w:val="28"/>
        </w:rPr>
        <w:br/>
      </w:r>
      <w:r>
        <w:rPr>
          <w:rFonts w:hint="eastAsia" w:ascii="仿宋" w:hAnsi="仿宋" w:eastAsia="仿宋"/>
          <w:color w:val="auto"/>
          <w:sz w:val="28"/>
          <w:szCs w:val="28"/>
        </w:rPr>
        <w:t xml:space="preserve">注:（</w:t>
      </w:r>
      <w:r>
        <w:rPr>
          <w:rFonts w:ascii="仿宋" w:hAnsi="仿宋" w:eastAsia="仿宋"/>
          <w:color w:val="auto"/>
          <w:sz w:val="28"/>
          <w:szCs w:val="28"/>
        </w:rPr>
        <w:t xml:space="preserve">1</w:t>
      </w:r>
      <w:r>
        <w:rPr>
          <w:rFonts w:hint="eastAsia" w:ascii="仿宋" w:hAnsi="仿宋" w:eastAsia="仿宋"/>
          <w:color w:val="auto"/>
          <w:sz w:val="28"/>
          <w:szCs w:val="28"/>
        </w:rPr>
        <w:t xml:space="preserve">）是否偏离用符号</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分别表示正偏离、完全响应、负偏离。</w:t>
      </w:r>
      <w:r>
        <w:rPr>
          <w:rFonts w:ascii="仿宋" w:hAnsi="仿宋" w:eastAsia="仿宋"/>
          <w:color w:val="auto"/>
          <w:sz w:val="28"/>
          <w:szCs w:val="28"/>
        </w:rPr>
        <w:t xml:space="preserve"> </w:t>
      </w:r>
      <w:r/>
    </w:p>
    <w:p>
      <w:pPr>
        <w:ind w:firstLine="420"/>
        <w:keepLines w:val="0"/>
        <w:keepNext w:val="0"/>
        <w:pageBreakBefore w:val="0"/>
        <w:spacing w:line="440" w:lineRule="exact"/>
        <w:rPr>
          <w:rFonts w:hint="eastAsia" w:ascii="仿宋" w:hAnsi="仿宋" w:eastAsia="仿宋"/>
          <w:b/>
          <w:bCs/>
          <w:color w:val="auto"/>
          <w:sz w:val="32"/>
        </w:rPr>
        <w:sectPr>
          <w:headerReference w:type="default" r:id="rId9"/>
          <w:footerReference w:type="default" r:id="rId10"/>
          <w:footnotePr/>
          <w:endnotePr/>
          <w:type w:val="nextPage"/>
          <w:pgSz w:w="11906" w:h="16838" w:orient="portrait"/>
          <w:pgMar w:top="1417" w:right="1418" w:bottom="1304" w:left="1417" w:header="851" w:footer="992" w:gutter="0"/>
          <w:pgNumType w:start="1"/>
          <w:cols w:num="1" w:sep="0" w:space="1701" w:equalWidth="1"/>
          <w:docGrid w:linePitch="360"/>
        </w:sectPr>
        <w:outlineLvl w:val="9"/>
      </w:pPr>
      <w:r>
        <w:rPr>
          <w:rFonts w:hint="eastAsia" w:ascii="仿宋" w:hAnsi="仿宋" w:eastAsia="仿宋"/>
          <w:color w:val="auto"/>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53"/>
      <w:r/>
      <w:r/>
    </w:p>
    <w:p>
      <w:pPr>
        <w:pStyle w:val="914"/>
        <w:ind w:firstLine="0"/>
        <w:jc w:val="center"/>
        <w:keepLines w:val="0"/>
        <w:keepNext w:val="0"/>
        <w:pageBreakBefore w:val="0"/>
        <w:spacing w:line="520" w:lineRule="exact"/>
        <w:widowControl w:val="off"/>
        <w:rPr>
          <w:rFonts w:hint="eastAsia" w:ascii="仿宋" w:hAnsi="仿宋" w:eastAsia="仿宋"/>
          <w:b/>
          <w:bCs/>
          <w:color w:val="auto"/>
          <w:sz w:val="32"/>
          <w:szCs w:val="32"/>
        </w:rPr>
        <w:outlineLvl w:val="9"/>
      </w:pPr>
      <w:r>
        <w:rPr>
          <w:rFonts w:hint="eastAsia" w:ascii="仿宋" w:hAnsi="仿宋" w:eastAsia="仿宋"/>
          <w:b/>
          <w:bCs/>
          <w:color w:val="auto"/>
          <w:sz w:val="32"/>
          <w:lang w:val="en-US" w:eastAsia="zh-CN"/>
        </w:rPr>
        <w:t xml:space="preserve">五</w:t>
      </w:r>
      <w:r>
        <w:rPr>
          <w:rFonts w:hint="eastAsia" w:ascii="仿宋" w:hAnsi="仿宋" w:eastAsia="仿宋"/>
          <w:b/>
          <w:bCs/>
          <w:color w:val="auto"/>
          <w:sz w:val="32"/>
        </w:rPr>
        <w:t xml:space="preserve">、</w:t>
      </w:r>
      <w:r>
        <w:rPr>
          <w:rFonts w:hint="eastAsia" w:ascii="仿宋" w:hAnsi="仿宋" w:eastAsia="仿宋"/>
          <w:b/>
          <w:color w:val="auto"/>
          <w:sz w:val="32"/>
          <w:szCs w:val="32"/>
        </w:rPr>
        <w:t xml:space="preserve">资质审查时</w:t>
      </w:r>
      <w:r>
        <w:rPr>
          <w:rFonts w:hint="eastAsia" w:ascii="仿宋" w:hAnsi="仿宋" w:eastAsia="仿宋"/>
          <w:b/>
          <w:bCs/>
          <w:color w:val="auto"/>
          <w:sz w:val="32"/>
          <w:szCs w:val="32"/>
        </w:rPr>
        <w:t xml:space="preserve">投标人必须提供的资格证明文件</w:t>
      </w:r>
      <w:r/>
    </w:p>
    <w:p>
      <w:pPr>
        <w:pStyle w:val="914"/>
        <w:ind w:firstLine="551"/>
        <w:keepLines w:val="0"/>
        <w:keepNext w:val="0"/>
        <w:pageBreakBefore w:val="0"/>
        <w:spacing w:line="520" w:lineRule="exact"/>
        <w:rPr>
          <w:rFonts w:hint="eastAsia" w:ascii="仿宋" w:hAnsi="仿宋" w:eastAsia="仿宋"/>
          <w:b/>
          <w:bCs/>
          <w:color w:val="auto"/>
          <w:sz w:val="32"/>
          <w:szCs w:val="32"/>
        </w:rPr>
        <w:outlineLvl w:val="9"/>
      </w:pPr>
      <w:r>
        <w:rPr>
          <w:rFonts w:hint="eastAsia" w:ascii="仿宋" w:hAnsi="仿宋" w:eastAsia="仿宋"/>
          <w:color w:val="auto"/>
          <w:sz w:val="28"/>
          <w:szCs w:val="28"/>
        </w:rPr>
        <w:t xml:space="preserve">1、提供下列材料之一:</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（1）投标人</w:t>
      </w:r>
      <w:r>
        <w:rPr>
          <w:rFonts w:hint="eastAsia" w:ascii="仿宋" w:hAnsi="仿宋" w:eastAsia="仿宋"/>
          <w:color w:val="auto"/>
          <w:sz w:val="28"/>
          <w:szCs w:val="28"/>
        </w:rPr>
        <w:t xml:space="preserve">提供</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（2）投标人提供授权委托书（格式详见示范格式二）和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700"/>
        <w:keepLines w:val="0"/>
        <w:keepNext w:val="0"/>
        <w:pageBreakBefore w:val="0"/>
        <w:spacing w:line="520" w:lineRule="exact"/>
        <w:rPr>
          <w:rFonts w:hint="eastAsia" w:ascii="仿宋" w:hAnsi="仿宋" w:eastAsia="仿宋"/>
          <w:color w:val="auto"/>
          <w:sz w:val="28"/>
          <w:lang w:val="zh-CN"/>
        </w:rPr>
        <w:outlineLvl w:val="9"/>
      </w:pPr>
      <w:r>
        <w:rPr>
          <w:rFonts w:hint="eastAsia" w:ascii="仿宋" w:hAnsi="仿宋" w:eastAsia="仿宋"/>
          <w:color w:val="auto"/>
          <w:sz w:val="28"/>
        </w:rPr>
        <w:t xml:space="preserve">2、投标人符合《</w:t>
      </w:r>
      <w:r>
        <w:rPr>
          <w:rFonts w:hint="eastAsia" w:ascii="仿宋" w:hAnsi="仿宋" w:eastAsia="仿宋"/>
          <w:color w:val="auto"/>
          <w:sz w:val="28"/>
          <w:lang w:eastAsia="zh-CN"/>
        </w:rPr>
        <w:t xml:space="preserve">中华人民共和国</w:t>
      </w:r>
      <w:r>
        <w:rPr>
          <w:rFonts w:hint="eastAsia" w:ascii="仿宋" w:hAnsi="仿宋" w:eastAsia="仿宋"/>
          <w:color w:val="auto"/>
          <w:sz w:val="28"/>
        </w:rPr>
        <w:t xml:space="preserve">政府采购法》第二十二条规定条件的承诺函</w:t>
      </w:r>
      <w:r>
        <w:rPr>
          <w:rFonts w:hint="eastAsia" w:ascii="仿宋" w:hAnsi="仿宋" w:eastAsia="仿宋"/>
          <w:color w:val="auto"/>
          <w:sz w:val="28"/>
          <w:lang w:val="zh-CN"/>
        </w:rPr>
        <w:t xml:space="preserve">（</w:t>
      </w:r>
      <w:r>
        <w:rPr>
          <w:rFonts w:hint="eastAsia" w:ascii="仿宋" w:hAnsi="仿宋" w:eastAsia="仿宋"/>
          <w:color w:val="auto"/>
          <w:sz w:val="28"/>
        </w:rPr>
        <w:t xml:space="preserve">格式详见示范格式三</w:t>
      </w:r>
      <w:r>
        <w:rPr>
          <w:rFonts w:hint="eastAsia" w:ascii="仿宋" w:hAnsi="仿宋" w:eastAsia="仿宋"/>
          <w:color w:val="auto"/>
          <w:sz w:val="28"/>
          <w:lang w:val="zh-CN"/>
        </w:rPr>
        <w:t xml:space="preserve">）；</w:t>
      </w:r>
      <w:bookmarkStart w:id="55" w:name="_GoBack"/>
      <w:r/>
      <w:bookmarkEnd w:id="55"/>
      <w:r/>
      <w:r/>
    </w:p>
    <w:p>
      <w:pPr>
        <w:ind w:firstLine="70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lang w:val="zh-CN"/>
        </w:rPr>
        <w:t xml:space="preserve">3、</w:t>
      </w:r>
      <w:r>
        <w:rPr>
          <w:rFonts w:hint="eastAsia" w:ascii="仿宋" w:hAnsi="仿宋" w:eastAsia="仿宋"/>
          <w:color w:val="auto"/>
          <w:sz w:val="28"/>
          <w:szCs w:val="28"/>
        </w:rPr>
        <w:t xml:space="preserve">落实政府采购政策需满足的资格要求（提供下列任一项材料即可，</w:t>
      </w:r>
      <w:r>
        <w:rPr>
          <w:rFonts w:hint="eastAsia" w:ascii="仿宋" w:hAnsi="仿宋" w:eastAsia="仿宋"/>
          <w:color w:val="auto"/>
          <w:sz w:val="28"/>
          <w:szCs w:val="28"/>
          <w:lang w:val="zh-CN"/>
        </w:rPr>
        <w:t xml:space="preserve">非专门面向中小企业或者预留份额的采购项目，本项无需提供</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4、投标人提供营业执照扫描件并加盖投标人电子签章。</w:t>
      </w:r>
      <w:r/>
    </w:p>
    <w:p>
      <w:pPr>
        <w:ind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根据本项目的特定资格要求，</w:t>
      </w:r>
      <w:r>
        <w:rPr>
          <w:rFonts w:hint="eastAsia" w:ascii="仿宋" w:hAnsi="仿宋" w:eastAsia="仿宋"/>
          <w:color w:val="auto"/>
          <w:sz w:val="28"/>
          <w:szCs w:val="28"/>
          <w:lang w:val="zh-CN"/>
        </w:rPr>
        <w:t xml:space="preserve">投标人还须提供下列资料</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无。</w:t>
      </w:r>
      <w:r/>
    </w:p>
    <w:p>
      <w:pPr>
        <w:ind w:firstLine="643"/>
        <w:jc w:val="center"/>
        <w:keepLines w:val="0"/>
        <w:keepNext w:val="0"/>
        <w:pageBreakBefore w:val="0"/>
        <w:spacing w:line="520" w:lineRule="exact"/>
        <w:rPr>
          <w:rFonts w:hint="eastAsia" w:ascii="仿宋" w:hAnsi="仿宋" w:eastAsia="仿宋" w:cs="Arial"/>
          <w:b/>
          <w:bCs/>
          <w:color w:val="auto"/>
          <w:sz w:val="32"/>
        </w:rPr>
        <w:outlineLvl w:val="9"/>
      </w:pPr>
      <w:r/>
      <w:bookmarkStart w:id="54" w:name="_Toc157775454"/>
      <w:r>
        <w:rPr>
          <w:rFonts w:hint="eastAsia" w:ascii="仿宋" w:hAnsi="仿宋" w:eastAsia="仿宋" w:cs="Arial"/>
          <w:b/>
          <w:bCs/>
          <w:color w:val="auto"/>
          <w:sz w:val="32"/>
        </w:rPr>
        <w:br w:type="page" w:clear="all"/>
      </w:r>
      <w:r>
        <w:rPr>
          <w:rFonts w:hint="eastAsia" w:ascii="仿宋" w:hAnsi="仿宋" w:eastAsia="仿宋" w:cs="Arial"/>
          <w:b/>
          <w:bCs/>
          <w:color w:val="auto"/>
          <w:sz w:val="32"/>
          <w:lang w:val="en-US" w:eastAsia="zh-CN"/>
        </w:rPr>
        <w:t xml:space="preserve">六</w:t>
      </w:r>
      <w:r>
        <w:rPr>
          <w:rFonts w:hint="eastAsia" w:ascii="仿宋" w:hAnsi="仿宋" w:eastAsia="仿宋" w:cs="Arial"/>
          <w:b/>
          <w:bCs/>
          <w:color w:val="auto"/>
          <w:sz w:val="32"/>
        </w:rPr>
        <w:t xml:space="preserve">、综合评分时投标人需提供的证明文件</w:t>
      </w:r>
      <w:r/>
    </w:p>
    <w:p>
      <w:pPr>
        <w:ind w:firstLine="840"/>
        <w:keepLines w:val="0"/>
        <w:keepNext w:val="0"/>
        <w:pageBreakBefore w:val="0"/>
        <w:spacing w:line="520" w:lineRule="exact"/>
        <w:rPr>
          <w:rFonts w:hint="eastAsia" w:ascii="宋体" w:hAnsi="宋体"/>
          <w:b/>
          <w:color w:val="auto"/>
          <w:sz w:val="36"/>
        </w:rPr>
        <w:outlineLvl w:val="9"/>
      </w:pPr>
      <w:r>
        <w:rPr>
          <w:rFonts w:hint="eastAsia" w:ascii="仿宋" w:hAnsi="仿宋" w:eastAsia="仿宋" w:cs="楷体_GB2312"/>
          <w:color w:val="auto"/>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lang w:val="en-US" w:eastAsia="zh-CN"/>
        </w:rPr>
        <w:t xml:space="preserve">七</w:t>
      </w:r>
      <w:r>
        <w:rPr>
          <w:rFonts w:hint="eastAsia" w:ascii="仿宋" w:hAnsi="仿宋" w:eastAsia="仿宋"/>
          <w:b/>
          <w:color w:val="auto"/>
          <w:sz w:val="32"/>
          <w:szCs w:val="32"/>
        </w:rPr>
        <w:t xml:space="preserve">、示范格式</w:t>
      </w:r>
      <w:r/>
    </w:p>
    <w:p>
      <w:pP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示范格式一                 </w:t>
      </w:r>
      <w:bookmarkEnd w:id="54"/>
      <w:r/>
      <w:r/>
    </w:p>
    <w:p>
      <w:pPr>
        <w:ind w:firstLine="2570"/>
        <w:keepLines w:val="0"/>
        <w:keepNext w:val="0"/>
        <w:pageBreakBefore w:val="0"/>
        <w:spacing w:line="440" w:lineRule="exact"/>
        <w:rPr>
          <w:rFonts w:hint="eastAsia" w:ascii="仿宋" w:hAnsi="仿宋" w:eastAsia="仿宋" w:cs="Arial"/>
          <w:b/>
          <w:bCs/>
          <w:color w:val="auto"/>
          <w:sz w:val="32"/>
        </w:rPr>
        <w:outlineLvl w:val="9"/>
      </w:pPr>
      <w:r>
        <w:rPr>
          <w:rFonts w:hint="eastAsia" w:ascii="仿宋" w:hAnsi="仿宋" w:eastAsia="仿宋" w:cs="Arial"/>
          <w:b/>
          <w:bCs/>
          <w:color w:val="auto"/>
          <w:sz w:val="32"/>
        </w:rPr>
      </w:r>
      <w:r/>
    </w:p>
    <w:p>
      <w:pPr>
        <w:ind w:firstLine="2891"/>
        <w:keepLines w:val="0"/>
        <w:keepNext w:val="0"/>
        <w:pageBreakBefore w:val="0"/>
        <w:spacing w:line="640" w:lineRule="exact"/>
        <w:rPr>
          <w:rFonts w:ascii="仿宋" w:hAnsi="仿宋" w:eastAsia="仿宋" w:cs="楷体_GB2312"/>
          <w:b/>
          <w:bCs/>
          <w:color w:val="auto"/>
          <w:sz w:val="32"/>
          <w:szCs w:val="32"/>
          <w:lang w:val="zh-CN"/>
        </w:rPr>
        <w:outlineLvl w:val="9"/>
      </w:pPr>
      <w:r>
        <w:rPr>
          <w:rFonts w:hint="eastAsia" w:ascii="仿宋" w:hAnsi="仿宋" w:eastAsia="仿宋" w:cs="楷体_GB2312"/>
          <w:b/>
          <w:bCs/>
          <w:color w:val="auto"/>
          <w:sz w:val="32"/>
          <w:szCs w:val="32"/>
          <w:lang w:val="zh-CN"/>
        </w:rPr>
        <w:t xml:space="preserve">法定代表人资格证明</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单位名称:</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地址:</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p>
    <w:p>
      <w:pPr>
        <w:ind w:left="1" w:firstLine="560"/>
        <w:keepLines w:val="0"/>
        <w:keepNext w:val="0"/>
        <w:pageBreakBefore w:val="0"/>
        <w:spacing w:line="640" w:lineRule="exact"/>
        <w:rPr>
          <w:rFonts w:hint="eastAsia" w:ascii="仿宋" w:hAnsi="仿宋" w:eastAsia="仿宋"/>
          <w:color w:val="auto"/>
          <w:sz w:val="28"/>
        </w:rPr>
        <w:outlineLvl w:val="9"/>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（投标人单位名称）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hint="eastAsia" w:ascii="仿宋" w:hAnsi="仿宋" w:eastAsia="仿宋"/>
          <w:color w:val="auto"/>
          <w:sz w:val="28"/>
          <w:u w:val="single"/>
        </w:rPr>
        <w:t xml:space="preserve">           </w:t>
      </w:r>
      <w:r>
        <w:rPr>
          <w:rFonts w:hint="eastAsia" w:ascii="仿宋" w:hAnsi="仿宋" w:eastAsia="仿宋"/>
          <w:color w:val="auto"/>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color w:val="auto"/>
          <w:sz w:val="28"/>
          <w:szCs w:val="28"/>
        </w:rPr>
        <w:outlineLvl w:val="9"/>
      </w:pPr>
      <w:r>
        <w:rPr>
          <w:rFonts w:ascii="仿宋" w:hAnsi="仿宋" w:eastAsia="仿宋" w:cs="楷体_GB2312"/>
          <w:color w:val="auto"/>
          <w:sz w:val="28"/>
          <w:szCs w:val="28"/>
        </w:rPr>
      </w:r>
      <w:r/>
    </w:p>
    <w:p>
      <w:pP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r>
      <w:r/>
    </w:p>
    <w:p>
      <w:pPr>
        <w:ind w:firstLine="280"/>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965"/>
        <w:ind w:left="4760" w:right="560" w:hanging="1820"/>
        <w:keepLines w:val="0"/>
        <w:keepNext w:val="0"/>
        <w:pageBreakBefore w:val="0"/>
        <w:spacing w:before="0" w:after="0" w:line="52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p>
    <w:p>
      <w:pPr>
        <w:ind w:firstLine="560"/>
        <w:keepLines w:val="0"/>
        <w:keepNext w:val="0"/>
        <w:pageBreakBefore w:val="0"/>
        <w:spacing w:line="640" w:lineRule="exact"/>
        <w:rPr>
          <w:rFonts w:hint="eastAsia" w:ascii="仿宋" w:hAnsi="仿宋" w:eastAsia="仿宋"/>
          <w:b/>
          <w:color w:val="auto"/>
          <w:sz w:val="32"/>
        </w:rPr>
        <w:outlineLvl w:val="9"/>
      </w:pPr>
      <w:r>
        <w:rPr>
          <w:rFonts w:hint="eastAsia" w:ascii="仿宋" w:hAnsi="仿宋" w:eastAsia="仿宋"/>
          <w:bCs/>
          <w:color w:val="auto"/>
          <w:sz w:val="28"/>
        </w:rPr>
        <w:t xml:space="preserve">注:投标人法定代表人</w:t>
      </w:r>
      <w:r>
        <w:rPr>
          <w:rFonts w:hint="eastAsia" w:ascii="仿宋" w:hAnsi="仿宋" w:eastAsia="仿宋"/>
          <w:bCs/>
          <w:color w:val="auto"/>
          <w:sz w:val="28"/>
          <w:szCs w:val="28"/>
        </w:rPr>
        <w:t xml:space="preserve">参加投标的，必须附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auto"/>
          <w:sz w:val="28"/>
          <w:szCs w:val="28"/>
        </w:rPr>
        <w:outlineLvl w:val="9"/>
      </w:pPr>
      <w:r>
        <w:rPr>
          <w:rFonts w:hint="eastAsia" w:ascii="仿宋" w:hAnsi="仿宋" w:eastAsia="仿宋"/>
          <w:b/>
          <w:color w:val="auto"/>
          <w:sz w:val="32"/>
        </w:rPr>
        <w:br w:type="page" w:clear="all"/>
      </w:r>
      <w:r>
        <w:rPr>
          <w:rFonts w:hint="eastAsia" w:ascii="仿宋" w:hAnsi="仿宋" w:eastAsia="仿宋"/>
          <w:b/>
          <w:color w:val="auto"/>
          <w:sz w:val="32"/>
        </w:rPr>
        <w:t xml:space="preserve">示范格式二</w:t>
      </w:r>
      <w:r/>
    </w:p>
    <w:p>
      <w:pPr>
        <w:ind w:firstLine="3213"/>
        <w:keepLines w:val="0"/>
        <w:keepNext w:val="0"/>
        <w:pageBreakBefore w:val="0"/>
        <w:spacing w:line="520" w:lineRule="exact"/>
        <w:rPr>
          <w:rFonts w:hint="eastAsia" w:ascii="仿宋" w:hAnsi="仿宋" w:eastAsia="仿宋"/>
          <w:b/>
          <w:bCs/>
          <w:color w:val="auto"/>
          <w:sz w:val="28"/>
        </w:rPr>
        <w:outlineLvl w:val="9"/>
      </w:pPr>
      <w:r>
        <w:rPr>
          <w:rFonts w:hint="eastAsia" w:ascii="仿宋" w:hAnsi="仿宋" w:eastAsia="仿宋"/>
          <w:b/>
          <w:bCs/>
          <w:color w:val="auto"/>
          <w:sz w:val="32"/>
        </w:rPr>
        <w:t xml:space="preserve">授权委托书</w:t>
      </w:r>
      <w:r/>
    </w:p>
    <w:p>
      <w:pPr>
        <w:keepLines w:val="0"/>
        <w:keepNext w:val="0"/>
        <w:pageBreakBefore w:val="0"/>
        <w:spacing w:line="520" w:lineRule="exact"/>
        <w:rPr>
          <w:rFonts w:hint="eastAsia" w:ascii="仿宋" w:hAnsi="仿宋" w:eastAsia="仿宋"/>
          <w:bCs/>
          <w:color w:val="auto"/>
          <w:sz w:val="30"/>
          <w:szCs w:val="28"/>
        </w:rPr>
        <w:outlineLvl w:val="9"/>
      </w:pPr>
      <w:r>
        <w:rPr>
          <w:rFonts w:hint="eastAsia" w:ascii="仿宋" w:hAnsi="仿宋" w:eastAsia="仿宋"/>
          <w:bCs/>
          <w:color w:val="auto"/>
          <w:sz w:val="30"/>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rPr>
        <w:t xml:space="preserve">:</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本授权书宣告:</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委托方:</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rPr>
        <w:t xml:space="preserve">法定代表人:</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受托人:姓名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性别:</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出生日期: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所在单位: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兹委托受托人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color w:val="auto"/>
          <w:sz w:val="28"/>
          <w:szCs w:val="28"/>
        </w:rPr>
        <w:t xml:space="preserve">组织的（项目编号: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采购项目的政府采购活动，受托人有权在该招标活动中，以我单位的名义签署投标函和投标文件，与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auto"/>
          <w:sz w:val="28"/>
          <w:szCs w:val="28"/>
        </w:rPr>
        <w:outlineLvl w:val="9"/>
      </w:pPr>
      <w:r>
        <w:rPr>
          <w:rFonts w:hint="eastAsia" w:ascii="仿宋" w:hAnsi="仿宋" w:eastAsia="仿宋"/>
          <w:color w:val="auto"/>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b/>
          <w:color w:val="auto"/>
          <w:sz w:val="28"/>
          <w:szCs w:val="28"/>
        </w:rPr>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s="楷体_GB2312"/>
          <w:color w:val="auto"/>
          <w:sz w:val="28"/>
          <w:szCs w:val="28"/>
          <w:lang w:val="zh-CN"/>
        </w:rPr>
        <w:t xml:space="preserve">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left="-359" w:firstLine="548"/>
        <w:keepLines w:val="0"/>
        <w:keepNext w:val="0"/>
        <w:pageBreakBefore w:val="0"/>
        <w:spacing w:line="520" w:lineRule="exact"/>
        <w:rPr>
          <w:rFonts w:hint="eastAsia" w:ascii="仿宋" w:hAnsi="仿宋" w:eastAsia="仿宋"/>
          <w:bCs/>
          <w:color w:val="auto"/>
          <w:sz w:val="28"/>
        </w:rPr>
        <w:outlineLvl w:val="9"/>
      </w:pPr>
      <w:r>
        <w:rPr>
          <w:rFonts w:hint="eastAsia" w:ascii="仿宋" w:hAnsi="仿宋" w:eastAsia="仿宋"/>
          <w:bCs/>
          <w:color w:val="auto"/>
          <w:sz w:val="28"/>
        </w:rPr>
      </w:r>
      <w:r/>
    </w:p>
    <w:p>
      <w:pPr>
        <w:ind w:firstLine="560"/>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Cs/>
          <w:color w:val="auto"/>
          <w:sz w:val="28"/>
        </w:rPr>
        <w:t xml:space="preserve">注:投标人委托</w:t>
      </w:r>
      <w:r>
        <w:rPr>
          <w:rFonts w:hint="eastAsia" w:ascii="仿宋" w:hAnsi="仿宋" w:eastAsia="仿宋"/>
          <w:bCs/>
          <w:color w:val="auto"/>
          <w:sz w:val="28"/>
          <w:szCs w:val="28"/>
        </w:rPr>
        <w:t xml:space="preserve">受托人参加投标的，必须附受托人身份证</w:t>
      </w:r>
      <w:r>
        <w:rPr>
          <w:rFonts w:hint="eastAsia" w:ascii="仿宋" w:hAnsi="仿宋" w:eastAsia="仿宋"/>
          <w:color w:val="auto"/>
          <w:sz w:val="28"/>
          <w:szCs w:val="28"/>
        </w:rPr>
        <w:t xml:space="preserve">扫描</w:t>
      </w:r>
      <w:r>
        <w:rPr>
          <w:rFonts w:hint="eastAsia" w:ascii="仿宋" w:hAnsi="仿宋" w:eastAsia="仿宋"/>
          <w:bCs/>
          <w:color w:val="auto"/>
          <w:sz w:val="28"/>
          <w:szCs w:val="28"/>
        </w:rPr>
        <w:t xml:space="preserve">件加盖投标人电子签章。</w:t>
      </w:r>
      <w:r/>
    </w:p>
    <w:p>
      <w:pPr>
        <w:keepLines w:val="0"/>
        <w:keepNext w:val="0"/>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示范格式三</w:t>
      </w:r>
      <w:r/>
    </w:p>
    <w:p>
      <w:pPr>
        <w:keepLines w:val="0"/>
        <w:keepNext w:val="0"/>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r>
      <w:r/>
    </w:p>
    <w:p>
      <w:pPr>
        <w:jc w:val="center"/>
        <w:keepLines w:val="0"/>
        <w:keepNext w:val="0"/>
        <w:pageBreakBefore w:val="0"/>
        <w:spacing w:line="520" w:lineRule="exact"/>
        <w:rPr>
          <w:rFonts w:hint="eastAsia" w:ascii="仿宋" w:hAnsi="仿宋" w:eastAsia="仿宋"/>
          <w:b/>
          <w:bCs/>
          <w:color w:val="auto"/>
          <w:sz w:val="32"/>
        </w:rPr>
        <w:outlineLvl w:val="9"/>
      </w:pPr>
      <w:r>
        <w:rPr>
          <w:rFonts w:hint="eastAsia" w:ascii="仿宋" w:hAnsi="仿宋" w:eastAsia="仿宋"/>
          <w:b/>
          <w:bCs/>
          <w:color w:val="auto"/>
          <w:sz w:val="32"/>
        </w:rPr>
        <w:t xml:space="preserve">符合《中华人民共和国政府采购法》第二十二条规定条件的声明函</w:t>
      </w:r>
      <w:r/>
    </w:p>
    <w:p>
      <w:pPr>
        <w:pStyle w:val="896"/>
        <w:ind w:firstLine="0"/>
        <w:keepLines w:val="0"/>
        <w:keepNext w:val="0"/>
        <w:pageBreakBefore w:val="0"/>
        <w:spacing w:line="7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ind w:firstLine="84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我公司参加贵</w:t>
      </w:r>
      <w:r>
        <w:rPr>
          <w:rFonts w:hint="eastAsia" w:ascii="仿宋" w:hAnsi="仿宋" w:eastAsia="仿宋"/>
          <w:color w:val="auto"/>
          <w:sz w:val="28"/>
          <w:szCs w:val="28"/>
          <w:lang w:val="en-US" w:eastAsia="zh-CN"/>
        </w:rPr>
        <w:t xml:space="preserve">单位</w:t>
      </w:r>
      <w:r>
        <w:rPr>
          <w:rFonts w:hint="eastAsia" w:ascii="仿宋" w:hAnsi="仿宋" w:eastAsia="仿宋"/>
          <w:color w:val="auto"/>
          <w:sz w:val="28"/>
          <w:szCs w:val="28"/>
        </w:rPr>
        <w:t xml:space="preserve">组织实施的（项目编号: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auto"/>
          <w:sz w:val="28"/>
          <w:szCs w:val="28"/>
        </w:rPr>
        <w:outlineLvl w:val="9"/>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jc w:val="right"/>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keepLines w:val="0"/>
        <w:keepNext w:val="0"/>
        <w:pageBreakBefore w:val="0"/>
        <w:rPr>
          <w:rFonts w:hint="eastAsia" w:ascii="仿宋" w:hAnsi="仿宋" w:eastAsia="仿宋"/>
          <w:color w:val="auto"/>
          <w:sz w:val="28"/>
          <w:szCs w:val="28"/>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示范格式四</w:t>
      </w:r>
      <w:r>
        <w:rPr>
          <w:rFonts w:hint="eastAsia" w:ascii="仿宋" w:hAnsi="仿宋" w:eastAsia="仿宋"/>
          <w:color w:val="auto"/>
          <w:sz w:val="28"/>
          <w:szCs w:val="28"/>
        </w:rPr>
        <w:t xml:space="preserve">                                           </w:t>
      </w:r>
      <w:r/>
    </w:p>
    <w:p>
      <w:pPr>
        <w:numPr>
          <w:ilvl w:val="0"/>
          <w:numId w:val="0"/>
        </w:numPr>
        <w:jc w:val="center"/>
        <w:keepLines w:val="0"/>
        <w:keepNext w:val="0"/>
        <w:pageBreakBefore w:val="0"/>
        <w:rPr>
          <w:rFonts w:hint="eastAsia" w:ascii="仿宋" w:hAnsi="仿宋" w:eastAsia="仿宋"/>
          <w:b/>
          <w:bCs/>
          <w:color w:val="auto"/>
          <w:sz w:val="32"/>
          <w:szCs w:val="32"/>
          <w:highlight w:val="none"/>
        </w:rPr>
        <w:outlineLvl w:val="9"/>
      </w:pPr>
      <w:r>
        <w:rPr>
          <w:rFonts w:hint="eastAsia" w:ascii="仿宋" w:hAnsi="仿宋" w:eastAsia="仿宋"/>
          <w:b/>
          <w:bCs/>
          <w:color w:val="auto"/>
          <w:sz w:val="32"/>
          <w:szCs w:val="32"/>
          <w:highlight w:val="none"/>
        </w:rPr>
        <w:t xml:space="preserve">企业声明函（货物类）</w:t>
      </w:r>
      <w:r/>
    </w:p>
    <w:p>
      <w:pPr>
        <w:pStyle w:val="896"/>
        <w:ind w:firstLine="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highlight w:val="none"/>
        </w:rPr>
        <w:t xml:space="preserve">:</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ascii="Arial" w:hAnsi="Arial" w:eastAsia="仿宋" w:cs="Arial"/>
          <w:bCs/>
          <w:color w:val="auto"/>
          <w:sz w:val="28"/>
          <w:szCs w:val="28"/>
          <w:highlight w:val="none"/>
        </w:rPr>
        <w:t xml:space="preserve">……</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9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6"/>
        <w:ind w:firstLine="0"/>
        <w:keepLines w:val="0"/>
        <w:keepNext w:val="0"/>
        <w:pageBreakBefore w:val="0"/>
        <w:spacing w:line="600" w:lineRule="exact"/>
        <w:rPr>
          <w:rFonts w:hint="eastAsia" w:ascii="仿宋" w:hAnsi="仿宋" w:eastAsia="仿宋"/>
          <w:bCs/>
          <w:color w:val="auto"/>
          <w:sz w:val="24"/>
          <w:szCs w:val="24"/>
          <w:highlight w:val="none"/>
        </w:rPr>
        <w:outlineLvl w:val="9"/>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896"/>
        <w:ind w:firstLine="0"/>
        <w:jc w:val="left"/>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96"/>
        <w:ind w:firstLine="0"/>
        <w:jc w:val="left"/>
        <w:keepLines w:val="0"/>
        <w:keepNext w:val="0"/>
        <w:pageBreakBefore w:val="0"/>
        <w:spacing w:line="520" w:lineRule="exact"/>
        <w:rPr>
          <w:rFonts w:hint="eastAsia" w:ascii="仿宋" w:hAnsi="仿宋" w:eastAsia="仿宋"/>
          <w:b/>
          <w:bCs/>
          <w:color w:val="auto"/>
          <w:sz w:val="32"/>
          <w:szCs w:val="32"/>
          <w:highlight w:val="none"/>
        </w:rPr>
        <w:outlineLvl w:val="9"/>
      </w:pPr>
      <w:r>
        <w:rPr>
          <w:rFonts w:hint="eastAsia" w:ascii="仿宋" w:hAnsi="仿宋" w:eastAsia="仿宋"/>
          <w:b/>
          <w:color w:val="auto"/>
          <w:sz w:val="32"/>
          <w:szCs w:val="32"/>
        </w:rPr>
        <w:t xml:space="preserve">示范格式五</w:t>
      </w:r>
      <w:r/>
    </w:p>
    <w:p>
      <w:pPr>
        <w:jc w:val="center"/>
        <w:keepLines w:val="0"/>
        <w:keepNext w:val="0"/>
        <w:pageBreakBefore w:val="0"/>
        <w:spacing w:line="640" w:lineRule="exact"/>
        <w:widowControl/>
        <w:rPr>
          <w:rFonts w:ascii="仿宋" w:hAnsi="仿宋" w:eastAsia="仿宋" w:cs="宋体"/>
          <w:color w:val="auto"/>
          <w:sz w:val="24"/>
        </w:rPr>
        <w:outlineLvl w:val="9"/>
      </w:pPr>
      <w:r>
        <w:rPr>
          <w:rFonts w:hint="eastAsia" w:ascii="仿宋" w:hAnsi="仿宋" w:eastAsia="仿宋" w:cs="宋体"/>
          <w:b/>
          <w:bCs/>
          <w:color w:val="auto"/>
          <w:sz w:val="32"/>
          <w:szCs w:val="32"/>
        </w:rPr>
        <w:t xml:space="preserve">残疾人福利性单位声明函</w:t>
      </w:r>
      <w:r/>
    </w:p>
    <w:p>
      <w:pPr>
        <w:pStyle w:val="896"/>
        <w:ind w:firstLine="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pStyle w:val="896"/>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6"/>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1</w:t>
      </w:r>
      <w:r>
        <w:rPr>
          <w:rFonts w:hint="eastAsia" w:ascii="仿宋" w:hAnsi="仿宋" w:eastAsia="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896"/>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2</w:t>
      </w:r>
      <w:r>
        <w:rPr>
          <w:rFonts w:hint="eastAsia" w:ascii="仿宋" w:hAnsi="仿宋" w:eastAsia="仿宋"/>
          <w:bCs/>
          <w:color w:val="auto"/>
          <w:sz w:val="28"/>
          <w:szCs w:val="28"/>
        </w:rPr>
        <w:t xml:space="preserve">、本单位参加（采购单位名称）</w:t>
      </w:r>
      <w:r>
        <w:rPr>
          <w:rFonts w:ascii="仿宋" w:hAnsi="仿宋" w:eastAsia="仿宋"/>
          <w:bCs/>
          <w:color w:val="auto"/>
          <w:sz w:val="28"/>
          <w:szCs w:val="28"/>
        </w:rPr>
        <w:t xml:space="preserve"> </w:t>
      </w:r>
      <w:r>
        <w:rPr>
          <w:rFonts w:hint="eastAsia" w:ascii="仿宋" w:hAnsi="仿宋" w:eastAsia="仿宋"/>
          <w:bCs/>
          <w:color w:val="auto"/>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96"/>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cs="仿宋_GB2312"/>
          <w:color w:val="auto"/>
          <w:sz w:val="28"/>
          <w:szCs w:val="28"/>
        </w:rPr>
        <w:t xml:space="preserve">注:</w:t>
      </w:r>
      <w:r>
        <w:rPr>
          <w:rFonts w:hint="eastAsia" w:ascii="仿宋" w:hAnsi="仿宋" w:eastAsia="仿宋"/>
          <w:bCs/>
          <w:color w:val="auto"/>
          <w:sz w:val="28"/>
          <w:szCs w:val="28"/>
        </w:rPr>
        <w:t xml:space="preserve">本公司对上述声明的真实性负责。如有虚假，将依法承担相应责任。</w:t>
      </w:r>
      <w:r/>
    </w:p>
    <w:p>
      <w:pPr>
        <w:pStyle w:val="896"/>
        <w:ind w:firstLine="560"/>
        <w:keepLines w:val="0"/>
        <w:keepNext w:val="0"/>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firstLine="565"/>
        <w:keepLines w:val="0"/>
        <w:keepNext w:val="0"/>
        <w:pageBreakBefore w:val="0"/>
        <w:spacing w:line="640" w:lineRule="exact"/>
        <w:rPr>
          <w:rFonts w:hint="eastAsia" w:ascii="仿宋" w:hAnsi="仿宋" w:eastAsia="仿宋"/>
          <w:color w:val="auto"/>
          <w:sz w:val="28"/>
          <w:szCs w:val="28"/>
        </w:rPr>
        <w:outlineLvl w:val="9"/>
      </w:pPr>
      <w:r>
        <w:rPr>
          <w:rFonts w:hint="eastAsia" w:ascii="仿宋" w:hAnsi="仿宋" w:eastAsia="仿宋" w:cs="仿宋_GB2312"/>
          <w:color w:val="auto"/>
          <w:sz w:val="28"/>
          <w:szCs w:val="28"/>
        </w:rPr>
        <w:t xml:space="preserve">注:</w:t>
      </w:r>
      <w:r>
        <w:rPr>
          <w:rFonts w:hint="eastAsia" w:ascii="仿宋" w:hAnsi="仿宋" w:eastAsia="仿宋"/>
          <w:color w:val="auto"/>
          <w:sz w:val="28"/>
          <w:szCs w:val="28"/>
        </w:rPr>
        <w:t xml:space="preserve">非</w:t>
      </w:r>
      <w:r>
        <w:rPr>
          <w:rFonts w:hint="eastAsia" w:ascii="仿宋" w:hAnsi="仿宋" w:eastAsia="仿宋"/>
          <w:color w:val="auto"/>
          <w:sz w:val="28"/>
        </w:rPr>
        <w:t xml:space="preserve">残疾人福利性单位不</w:t>
      </w:r>
      <w:r>
        <w:rPr>
          <w:rFonts w:hint="eastAsia" w:ascii="仿宋" w:hAnsi="仿宋" w:eastAsia="仿宋"/>
          <w:color w:val="auto"/>
          <w:sz w:val="28"/>
          <w:szCs w:val="28"/>
        </w:rPr>
        <w:t xml:space="preserve">需提供此函。</w:t>
      </w:r>
      <w:r/>
    </w:p>
    <w:p>
      <w:pPr>
        <w:pStyle w:val="896"/>
        <w:ind w:firstLine="0"/>
        <w:jc w:val="left"/>
        <w:keepLines w:val="0"/>
        <w:keepNext w:val="0"/>
        <w:pageBreakBefore w:val="0"/>
        <w:spacing w:line="520" w:lineRule="exact"/>
        <w:rPr>
          <w:rFonts w:hint="eastAsia" w:ascii="仿宋" w:hAnsi="仿宋" w:eastAsia="仿宋" w:cs="Times New Roman"/>
          <w:bCs/>
          <w:color w:val="auto"/>
          <w:sz w:val="28"/>
          <w:szCs w:val="28"/>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w:t>
      </w:r>
      <w:r>
        <w:rPr>
          <w:rFonts w:hint="eastAsia" w:ascii="仿宋" w:hAnsi="仿宋" w:eastAsia="仿宋"/>
          <w:b/>
          <w:color w:val="auto"/>
          <w:sz w:val="32"/>
          <w:szCs w:val="32"/>
          <w:lang w:eastAsia="zh-CN"/>
        </w:rPr>
        <w:t xml:space="preserve">六</w:t>
      </w:r>
      <w:r/>
    </w:p>
    <w:p>
      <w:pPr>
        <w:pStyle w:val="896"/>
        <w:ind w:firstLine="560"/>
        <w:keepLines w:val="0"/>
        <w:keepNext w:val="0"/>
        <w:pageBreakBefore w:val="0"/>
        <w:spacing w:line="640" w:lineRule="exact"/>
        <w:rPr>
          <w:rFonts w:hint="eastAsia" w:ascii="仿宋" w:hAnsi="仿宋" w:eastAsia="仿宋" w:cs="宋体"/>
          <w:b/>
          <w:bCs/>
          <w:color w:val="auto"/>
          <w:sz w:val="32"/>
          <w:szCs w:val="32"/>
          <w:lang w:val="en-US" w:eastAsia="zh-CN" w:bidi="ar-SA"/>
        </w:rPr>
        <w:outlineLvl w:val="9"/>
      </w:pPr>
      <w:r>
        <w:rPr>
          <w:rFonts w:hint="eastAsia" w:ascii="仿宋" w:hAnsi="仿宋" w:eastAsia="仿宋" w:cs="宋体"/>
          <w:b/>
          <w:bCs/>
          <w:color w:val="auto"/>
          <w:sz w:val="32"/>
          <w:szCs w:val="32"/>
          <w:lang w:val="en-US" w:eastAsia="zh-CN" w:bidi="ar-SA"/>
        </w:rPr>
        <w:t xml:space="preserve"> 关于符合本国产品标准的声明函（采购包号：**）</w:t>
      </w:r>
      <w:r/>
    </w:p>
    <w:p>
      <w:pPr>
        <w:pStyle w:val="896"/>
        <w:ind w:firstLine="0"/>
        <w:keepLines w:val="0"/>
        <w:keepNext w:val="0"/>
        <w:pageBreakBefore w:val="0"/>
        <w:spacing w:line="600" w:lineRule="exact"/>
        <w:rPr>
          <w:rFonts w:hint="eastAsia" w:ascii="仿宋" w:hAnsi="仿宋" w:eastAsia="仿宋" w:cs="Times New Roman"/>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1.</w:t>
      </w:r>
      <w:r>
        <w:rPr>
          <w:rFonts w:hint="eastAsia" w:ascii="仿宋" w:hAnsi="仿宋" w:eastAsia="仿宋" w:cs="Times New Roman"/>
          <w:bCs/>
          <w:color w:val="auto"/>
          <w:sz w:val="28"/>
          <w:szCs w:val="28"/>
          <w:u w:val="single"/>
        </w:rPr>
        <w:t xml:space="preserve">（产品名称</w:t>
      </w:r>
      <w:r>
        <w:rPr>
          <w:rFonts w:hint="eastAsia" w:ascii="仿宋" w:hAnsi="仿宋" w:eastAsia="仿宋" w:cs="Times New Roman"/>
          <w:bCs/>
          <w:color w:val="auto"/>
          <w:sz w:val="28"/>
          <w:szCs w:val="28"/>
          <w:u w:val="single"/>
          <w:lang w:val="en-US" w:eastAsia="zh-CN"/>
        </w:rPr>
        <w:t xml:space="preserve">1</w:t>
      </w:r>
      <w:r>
        <w:rPr>
          <w:rFonts w:hint="eastAsia" w:ascii="仿宋" w:hAnsi="仿宋" w:eastAsia="仿宋" w:cs="Times New Roman"/>
          <w:bCs/>
          <w:color w:val="auto"/>
          <w:sz w:val="28"/>
          <w:szCs w:val="28"/>
          <w:u w:val="single"/>
        </w:rPr>
        <w:t xml:space="preserve">）</w:t>
      </w:r>
      <w:r>
        <w:rPr>
          <w:rFonts w:hint="eastAsia" w:ascii="仿宋" w:hAnsi="仿宋" w:eastAsia="仿宋" w:cs="Times New Roman"/>
          <w:bCs/>
          <w:color w:val="auto"/>
          <w:sz w:val="36"/>
          <w:szCs w:val="36"/>
          <w:u w:val="single"/>
          <w:vertAlign w:val="superscript"/>
        </w:rPr>
        <w:t xml:space="preserve">1</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36"/>
          <w:szCs w:val="36"/>
          <w:vertAlign w:val="superscript"/>
        </w:rPr>
        <w:t xml:space="preserve">2</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 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32"/>
          <w:szCs w:val="32"/>
          <w:vertAlign w:val="superscript"/>
        </w:rPr>
        <w:t xml:space="preserve">3</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32"/>
          <w:szCs w:val="32"/>
          <w:vertAlign w:val="superscript"/>
        </w:rPr>
        <w:t xml:space="preserve">4</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lang w:eastAsia="zh-CN"/>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36"/>
          <w:szCs w:val="36"/>
          <w:vertAlign w:val="superscript"/>
        </w:rPr>
        <w:t xml:space="preserve">5</w:t>
      </w:r>
      <w:r>
        <w:rPr>
          <w:rFonts w:hint="eastAsia" w:ascii="仿宋" w:hAnsi="仿宋" w:eastAsia="仿宋" w:cs="Times New Roman"/>
          <w:bCs/>
          <w:color w:val="auto"/>
          <w:sz w:val="28"/>
          <w:szCs w:val="28"/>
        </w:rPr>
        <w:t xml:space="preserve">在中国境内完成。</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2.</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28"/>
          <w:szCs w:val="28"/>
        </w:rPr>
        <w:t xml:space="preserve">在中国境内完成。</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本公司（单位）对上述声明内容的真实性负责。如有虚假，愿承担相应法律责任。</w:t>
      </w:r>
      <w:r/>
    </w:p>
    <w:p>
      <w:pPr>
        <w:pStyle w:val="896"/>
        <w:ind w:firstLine="4933"/>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公司（单位）名称（盖章）：　</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                                日期：　   年　  月　  日         </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lang w:eastAsia="zh-CN"/>
        </w:rPr>
        <w:t xml:space="preserve">注：</w:t>
      </w:r>
      <w:r>
        <w:rPr>
          <w:rFonts w:hint="eastAsia" w:ascii="仿宋" w:hAnsi="仿宋" w:eastAsia="仿宋" w:cs="Times New Roman"/>
          <w:bCs/>
          <w:color w:val="auto"/>
          <w:sz w:val="28"/>
          <w:szCs w:val="28"/>
        </w:rPr>
        <w:t xml:space="preserve">1.产品如有型号，请在“产品名称”栏一并填写。</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2.生产厂名与厂址应与生产厂营业执照载明的相关信息保持一致。</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3.该产品的中国境内生产的组件成本占比相关要求实施前，“规定比例”栏可不填，下同。</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4.该产品的关键组件要求实施前，“关键组件”栏可不填，下同。</w:t>
      </w:r>
      <w:r/>
    </w:p>
    <w:p>
      <w:pPr>
        <w:pStyle w:val="89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89"/>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 w:name="等线">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9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7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8">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link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Heading 1"/>
    <w:basedOn w:val="707"/>
    <w:next w:val="707"/>
    <w:link w:val="746"/>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4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48"/>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49"/>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0"/>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1"/>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53"/>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54"/>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719">
    <w:name w:val="toc 7"/>
    <w:basedOn w:val="707"/>
    <w:next w:val="707"/>
    <w:uiPriority w:val="39"/>
    <w:unhideWhenUsed/>
    <w:qFormat/>
    <w:pPr>
      <w:ind w:left="1701" w:right="0" w:firstLine="0"/>
      <w:spacing w:after="57"/>
    </w:pPr>
  </w:style>
  <w:style w:type="paragraph" w:styleId="720">
    <w:name w:val="Normal Indent"/>
    <w:basedOn w:val="707"/>
    <w:uiPriority w:val="0"/>
    <w:unhideWhenUsed/>
    <w:qFormat/>
    <w:pPr>
      <w:ind w:firstLine="420"/>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7"/>
    <w:next w:val="72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3">
    <w:name w:val="toc 1"/>
    <w:basedOn w:val="707"/>
    <w:next w:val="707"/>
    <w:uiPriority w:val="39"/>
    <w:unhideWhenUsed/>
    <w:qFormat/>
    <w:pPr>
      <w:ind w:left="0" w:right="0" w:firstLine="0"/>
      <w:spacing w:after="57"/>
    </w:pPr>
  </w:style>
  <w:style w:type="paragraph" w:styleId="724">
    <w:name w:val="Block Text"/>
    <w:basedOn w:val="707"/>
    <w:uiPriority w:val="0"/>
    <w:qFormat/>
    <w:pPr>
      <w:ind w:left="420" w:right="33"/>
      <w:jc w:val="left"/>
    </w:pPr>
    <w:rPr>
      <w:sz w:val="24"/>
    </w:rPr>
  </w:style>
  <w:style w:type="paragraph" w:styleId="725">
    <w:name w:val="index 4"/>
    <w:basedOn w:val="707"/>
    <w:next w:val="707"/>
    <w:uiPriority w:val="0"/>
    <w:qFormat/>
    <w:pPr>
      <w:ind w:left="600"/>
      <w:spacing w:line="400" w:lineRule="exact"/>
    </w:pPr>
    <w:rPr>
      <w:sz w:val="24"/>
    </w:rPr>
  </w:style>
  <w:style w:type="paragraph" w:styleId="726">
    <w:name w:val="toc 5"/>
    <w:basedOn w:val="707"/>
    <w:next w:val="707"/>
    <w:uiPriority w:val="39"/>
    <w:unhideWhenUsed/>
    <w:qFormat/>
    <w:pPr>
      <w:ind w:left="1134" w:right="0" w:firstLine="0"/>
      <w:spacing w:after="57"/>
    </w:pPr>
  </w:style>
  <w:style w:type="paragraph" w:styleId="727">
    <w:name w:val="toc 3"/>
    <w:basedOn w:val="707"/>
    <w:next w:val="707"/>
    <w:uiPriority w:val="39"/>
    <w:unhideWhenUsed/>
    <w:qFormat/>
    <w:pPr>
      <w:ind w:left="567" w:right="0" w:firstLine="0"/>
      <w:spacing w:after="57"/>
    </w:pPr>
  </w:style>
  <w:style w:type="paragraph" w:styleId="728">
    <w:name w:val="Plain Text"/>
    <w:basedOn w:val="707"/>
    <w:next w:val="707"/>
    <w:uiPriority w:val="99"/>
    <w:qFormat/>
    <w:rPr>
      <w:rFonts w:ascii="宋体" w:hAnsi="Courier New"/>
      <w:szCs w:val="20"/>
    </w:rPr>
  </w:style>
  <w:style w:type="paragraph" w:styleId="729">
    <w:name w:val="toc 8"/>
    <w:basedOn w:val="707"/>
    <w:next w:val="707"/>
    <w:uiPriority w:val="39"/>
    <w:unhideWhenUsed/>
    <w:qFormat/>
    <w:pPr>
      <w:ind w:left="1984" w:right="0" w:firstLine="0"/>
      <w:spacing w:after="57"/>
    </w:pPr>
  </w:style>
  <w:style w:type="paragraph" w:styleId="730">
    <w:name w:val="endnote text"/>
    <w:basedOn w:val="707"/>
    <w:link w:val="892"/>
    <w:uiPriority w:val="99"/>
    <w:semiHidden/>
    <w:unhideWhenUsed/>
    <w:qFormat/>
    <w:pPr>
      <w:spacing w:after="0" w:line="240" w:lineRule="auto"/>
    </w:pPr>
    <w:rPr>
      <w:sz w:val="20"/>
    </w:rPr>
  </w:style>
  <w:style w:type="paragraph" w:styleId="731">
    <w:name w:val="Footer"/>
    <w:basedOn w:val="707"/>
    <w:link w:val="765"/>
    <w:uiPriority w:val="99"/>
    <w:unhideWhenUsed/>
    <w:qFormat/>
    <w:pPr>
      <w:spacing w:after="0" w:line="240" w:lineRule="auto"/>
      <w:tabs>
        <w:tab w:val="center" w:pos="7143" w:leader="none"/>
        <w:tab w:val="right" w:pos="14287" w:leader="none"/>
      </w:tabs>
    </w:pPr>
  </w:style>
  <w:style w:type="paragraph" w:styleId="732">
    <w:name w:val="Header"/>
    <w:basedOn w:val="707"/>
    <w:link w:val="763"/>
    <w:uiPriority w:val="99"/>
    <w:unhideWhenUsed/>
    <w:qFormat/>
    <w:pPr>
      <w:spacing w:after="0" w:line="240" w:lineRule="auto"/>
      <w:tabs>
        <w:tab w:val="center" w:pos="7143" w:leader="none"/>
        <w:tab w:val="right" w:pos="14287" w:leader="none"/>
      </w:tabs>
    </w:pPr>
  </w:style>
  <w:style w:type="paragraph" w:styleId="733">
    <w:name w:val="toc 4"/>
    <w:basedOn w:val="707"/>
    <w:next w:val="707"/>
    <w:uiPriority w:val="39"/>
    <w:unhideWhenUsed/>
    <w:qFormat/>
    <w:pPr>
      <w:ind w:left="850" w:right="0" w:firstLine="0"/>
      <w:spacing w:after="57"/>
    </w:pPr>
  </w:style>
  <w:style w:type="paragraph" w:styleId="734">
    <w:name w:val="Subtitle"/>
    <w:basedOn w:val="707"/>
    <w:next w:val="707"/>
    <w:link w:val="758"/>
    <w:uiPriority w:val="11"/>
    <w:qFormat/>
    <w:pPr>
      <w:spacing w:before="200" w:after="200"/>
    </w:pPr>
    <w:rPr>
      <w:sz w:val="24"/>
      <w:szCs w:val="24"/>
    </w:rPr>
  </w:style>
  <w:style w:type="paragraph" w:styleId="735">
    <w:name w:val="footnote text"/>
    <w:basedOn w:val="707"/>
    <w:link w:val="891"/>
    <w:uiPriority w:val="99"/>
    <w:semiHidden/>
    <w:unhideWhenUsed/>
    <w:qFormat/>
    <w:pPr>
      <w:spacing w:after="40" w:line="240" w:lineRule="auto"/>
    </w:pPr>
    <w:rPr>
      <w:sz w:val="18"/>
    </w:rPr>
  </w:style>
  <w:style w:type="paragraph" w:styleId="736">
    <w:name w:val="toc 6"/>
    <w:basedOn w:val="707"/>
    <w:next w:val="707"/>
    <w:uiPriority w:val="39"/>
    <w:unhideWhenUsed/>
    <w:qFormat/>
    <w:pPr>
      <w:ind w:left="1417" w:right="0" w:firstLine="0"/>
      <w:spacing w:after="57"/>
    </w:pPr>
  </w:style>
  <w:style w:type="paragraph" w:styleId="737">
    <w:name w:val="table of figures"/>
    <w:basedOn w:val="707"/>
    <w:next w:val="707"/>
    <w:uiPriority w:val="99"/>
    <w:unhideWhenUsed/>
    <w:qFormat/>
    <w:pPr>
      <w:spacing w:after="0" w:afterAutospacing="0"/>
    </w:pPr>
  </w:style>
  <w:style w:type="paragraph" w:styleId="738">
    <w:name w:val="toc 2"/>
    <w:basedOn w:val="707"/>
    <w:next w:val="707"/>
    <w:uiPriority w:val="39"/>
    <w:unhideWhenUsed/>
    <w:qFormat/>
    <w:pPr>
      <w:ind w:left="283" w:right="0" w:firstLine="0"/>
      <w:spacing w:after="57"/>
    </w:pPr>
  </w:style>
  <w:style w:type="paragraph" w:styleId="739">
    <w:name w:val="toc 9"/>
    <w:basedOn w:val="707"/>
    <w:next w:val="707"/>
    <w:uiPriority w:val="39"/>
    <w:unhideWhenUsed/>
    <w:qFormat/>
    <w:pPr>
      <w:ind w:left="2268" w:right="0" w:firstLine="0"/>
      <w:spacing w:after="57"/>
    </w:pPr>
  </w:style>
  <w:style w:type="paragraph" w:styleId="740">
    <w:name w:val="Body Text 2"/>
    <w:basedOn w:val="707"/>
    <w:uiPriority w:val="0"/>
    <w:qFormat/>
    <w:pPr>
      <w:spacing w:line="440" w:lineRule="exact"/>
    </w:pPr>
    <w:rPr>
      <w:rFonts w:ascii="楷体_GB2312" w:eastAsia="楷体_GB2312"/>
      <w:sz w:val="28"/>
    </w:rPr>
  </w:style>
  <w:style w:type="paragraph" w:styleId="741">
    <w:name w:val="Title"/>
    <w:basedOn w:val="707"/>
    <w:next w:val="707"/>
    <w:link w:val="757"/>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1 Char"/>
    <w:link w:val="708"/>
    <w:uiPriority w:val="9"/>
    <w:qFormat/>
    <w:rPr>
      <w:rFonts w:ascii="Arial" w:hAnsi="Arial" w:eastAsia="Arial" w:cs="Arial"/>
      <w:sz w:val="40"/>
      <w:szCs w:val="40"/>
    </w:rPr>
  </w:style>
  <w:style w:type="character" w:styleId="747" w:customStyle="1">
    <w:name w:val="Heading 2 Char"/>
    <w:link w:val="709"/>
    <w:uiPriority w:val="9"/>
    <w:qFormat/>
    <w:rPr>
      <w:rFonts w:ascii="Arial" w:hAnsi="Arial" w:eastAsia="Arial" w:cs="Arial"/>
      <w:sz w:val="34"/>
    </w:rPr>
  </w:style>
  <w:style w:type="character" w:styleId="748" w:customStyle="1">
    <w:name w:val="Heading 3 Char"/>
    <w:link w:val="710"/>
    <w:uiPriority w:val="9"/>
    <w:qFormat/>
    <w:rPr>
      <w:rFonts w:ascii="Arial" w:hAnsi="Arial" w:eastAsia="Arial" w:cs="Arial"/>
      <w:sz w:val="30"/>
      <w:szCs w:val="30"/>
    </w:rPr>
  </w:style>
  <w:style w:type="character" w:styleId="749" w:customStyle="1">
    <w:name w:val="Heading 4 Char"/>
    <w:link w:val="711"/>
    <w:uiPriority w:val="9"/>
    <w:qFormat/>
    <w:rPr>
      <w:rFonts w:ascii="Arial" w:hAnsi="Arial" w:eastAsia="Arial" w:cs="Arial"/>
      <w:b/>
      <w:bCs/>
      <w:sz w:val="26"/>
      <w:szCs w:val="26"/>
    </w:rPr>
  </w:style>
  <w:style w:type="character" w:styleId="750" w:customStyle="1">
    <w:name w:val="Heading 5 Char"/>
    <w:link w:val="712"/>
    <w:uiPriority w:val="9"/>
    <w:qFormat/>
    <w:rPr>
      <w:rFonts w:ascii="Arial" w:hAnsi="Arial" w:eastAsia="Arial" w:cs="Arial"/>
      <w:b/>
      <w:bCs/>
      <w:sz w:val="24"/>
      <w:szCs w:val="24"/>
    </w:rPr>
  </w:style>
  <w:style w:type="character" w:styleId="751" w:customStyle="1">
    <w:name w:val="Heading 6 Char"/>
    <w:link w:val="713"/>
    <w:uiPriority w:val="9"/>
    <w:qFormat/>
    <w:rPr>
      <w:rFonts w:ascii="Arial" w:hAnsi="Arial" w:eastAsia="Arial" w:cs="Arial"/>
      <w:b/>
      <w:bCs/>
      <w:sz w:val="22"/>
      <w:szCs w:val="22"/>
    </w:rPr>
  </w:style>
  <w:style w:type="character" w:styleId="752" w:customStyle="1">
    <w:name w:val="Heading 7 Char"/>
    <w:link w:val="714"/>
    <w:uiPriority w:val="9"/>
    <w:qFormat/>
    <w:rPr>
      <w:rFonts w:ascii="Arial" w:hAnsi="Arial" w:eastAsia="Arial" w:cs="Arial"/>
      <w:b/>
      <w:bCs/>
      <w:i/>
      <w:iCs/>
      <w:sz w:val="22"/>
      <w:szCs w:val="22"/>
    </w:rPr>
  </w:style>
  <w:style w:type="character" w:styleId="753" w:customStyle="1">
    <w:name w:val="Heading 8 Char"/>
    <w:link w:val="715"/>
    <w:uiPriority w:val="9"/>
    <w:qFormat/>
    <w:rPr>
      <w:rFonts w:ascii="Arial" w:hAnsi="Arial" w:eastAsia="Arial" w:cs="Arial"/>
      <w:i/>
      <w:iCs/>
      <w:sz w:val="22"/>
      <w:szCs w:val="22"/>
    </w:rPr>
  </w:style>
  <w:style w:type="character" w:styleId="754" w:customStyle="1">
    <w:name w:val="Heading 9 Char"/>
    <w:link w:val="716"/>
    <w:uiPriority w:val="9"/>
    <w:qFormat/>
    <w:rPr>
      <w:rFonts w:ascii="Arial" w:hAnsi="Arial" w:eastAsia="Arial" w:cs="Arial"/>
      <w:i/>
      <w:iCs/>
      <w:sz w:val="21"/>
      <w:szCs w:val="21"/>
    </w:rPr>
  </w:style>
  <w:style w:type="paragraph" w:styleId="755">
    <w:name w:val="List Paragraph"/>
    <w:basedOn w:val="707"/>
    <w:uiPriority w:val="34"/>
    <w:qFormat/>
    <w:pPr>
      <w:contextualSpacing/>
      <w:ind w:left="720"/>
    </w:p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link w:val="741"/>
    <w:uiPriority w:val="10"/>
    <w:qFormat/>
    <w:rPr>
      <w:sz w:val="48"/>
      <w:szCs w:val="48"/>
    </w:rPr>
  </w:style>
  <w:style w:type="character" w:styleId="758" w:customStyle="1">
    <w:name w:val="Subtitle Char"/>
    <w:link w:val="734"/>
    <w:uiPriority w:val="11"/>
    <w:qFormat/>
    <w:rPr>
      <w:sz w:val="24"/>
      <w:szCs w:val="24"/>
    </w:rPr>
  </w:style>
  <w:style w:type="paragraph" w:styleId="759">
    <w:name w:val="Quote"/>
    <w:basedOn w:val="707"/>
    <w:next w:val="707"/>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7"/>
    <w:next w:val="7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32"/>
    <w:uiPriority w:val="99"/>
    <w:qFormat/>
  </w:style>
  <w:style w:type="character" w:styleId="764" w:customStyle="1">
    <w:name w:val="Footer Char"/>
    <w:link w:val="731"/>
    <w:uiPriority w:val="99"/>
    <w:qFormat/>
  </w:style>
  <w:style w:type="character" w:styleId="765" w:customStyle="1">
    <w:name w:val="Caption Char"/>
    <w:link w:val="731"/>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5"/>
    <w:uiPriority w:val="99"/>
    <w:qFormat/>
    <w:rPr>
      <w:sz w:val="18"/>
    </w:rPr>
  </w:style>
  <w:style w:type="character" w:styleId="892" w:customStyle="1">
    <w:name w:val="Endnote Text Char"/>
    <w:link w:val="730"/>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
    <w:basedOn w:val="707"/>
    <w:next w:val="707"/>
    <w:uiPriority w:val="9"/>
    <w:qFormat/>
    <w:pPr>
      <w:keepLines/>
      <w:keepNext/>
      <w:spacing w:before="340" w:after="330" w:line="578" w:lineRule="auto"/>
      <w:outlineLvl w:val="0"/>
    </w:pPr>
    <w:rPr>
      <w:b/>
      <w:bCs/>
      <w:sz w:val="44"/>
      <w:szCs w:val="44"/>
    </w:rPr>
  </w:style>
  <w:style w:type="paragraph" w:styleId="895" w:customStyle="1">
    <w:name w:val="标题 21"/>
    <w:basedOn w:val="707"/>
    <w:next w:val="896"/>
    <w:uiPriority w:val="9"/>
    <w:qFormat/>
    <w:pPr>
      <w:keepLines/>
      <w:keepNext/>
      <w:spacing w:before="260" w:after="260" w:line="413" w:lineRule="auto"/>
      <w:outlineLvl w:val="1"/>
    </w:pPr>
    <w:rPr>
      <w:rFonts w:ascii="Arial" w:hAnsi="Arial" w:eastAsia="黑体"/>
      <w:b/>
      <w:sz w:val="32"/>
      <w:szCs w:val="20"/>
    </w:rPr>
  </w:style>
  <w:style w:type="paragraph" w:styleId="896" w:customStyle="1">
    <w:name w:val="正文缩进1"/>
    <w:basedOn w:val="707"/>
    <w:link w:val="902"/>
    <w:uiPriority w:val="0"/>
    <w:qFormat/>
    <w:pPr>
      <w:ind w:firstLine="420"/>
    </w:pPr>
    <w:rPr>
      <w:szCs w:val="20"/>
    </w:rPr>
  </w:style>
  <w:style w:type="paragraph" w:styleId="897" w:customStyle="1">
    <w:name w:val="标题 31"/>
    <w:basedOn w:val="707"/>
    <w:next w:val="707"/>
    <w:uiPriority w:val="9"/>
    <w:qFormat/>
    <w:pPr>
      <w:keepLines/>
      <w:keepNext/>
      <w:spacing w:before="260" w:after="260" w:line="413" w:lineRule="auto"/>
      <w:outlineLvl w:val="2"/>
    </w:pPr>
    <w:rPr>
      <w:rFonts w:ascii="Arial" w:hAnsi="Arial"/>
      <w:b/>
      <w:sz w:val="32"/>
      <w:szCs w:val="20"/>
    </w:rPr>
  </w:style>
  <w:style w:type="paragraph" w:styleId="898" w:customStyle="1">
    <w:name w:val="标题 41"/>
    <w:basedOn w:val="707"/>
    <w:next w:val="707"/>
    <w:link w:val="903"/>
    <w:uiPriority w:val="9"/>
    <w:qFormat/>
    <w:pPr>
      <w:keepLines/>
      <w:keepNext/>
      <w:spacing w:before="280" w:after="290" w:line="376" w:lineRule="auto"/>
      <w:outlineLvl w:val="3"/>
    </w:pPr>
    <w:rPr>
      <w:rFonts w:ascii="Cambria" w:hAnsi="Cambria"/>
      <w:b/>
      <w:bCs/>
      <w:sz w:val="28"/>
      <w:szCs w:val="28"/>
    </w:rPr>
  </w:style>
  <w:style w:type="paragraph" w:styleId="899" w:customStyle="1">
    <w:name w:val="标题 51"/>
    <w:basedOn w:val="707"/>
    <w:next w:val="707"/>
    <w:link w:val="904"/>
    <w:uiPriority w:val="9"/>
    <w:qFormat/>
    <w:pPr>
      <w:keepLines/>
      <w:keepNext/>
      <w:spacing w:before="280" w:after="290" w:line="376" w:lineRule="auto"/>
      <w:outlineLvl w:val="4"/>
    </w:pPr>
    <w:rPr>
      <w:b/>
      <w:bCs/>
      <w:sz w:val="28"/>
      <w:szCs w:val="28"/>
    </w:rPr>
  </w:style>
  <w:style w:type="character" w:styleId="900" w:customStyle="1">
    <w:name w:val="默认段落字体1"/>
    <w:link w:val="707"/>
    <w:uiPriority w:val="0"/>
    <w:semiHidden/>
    <w:qFormat/>
  </w:style>
  <w:style w:type="table" w:styleId="90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2" w:customStyle="1">
    <w:name w:val="正文缩进 Char"/>
    <w:link w:val="896"/>
    <w:uiPriority w:val="0"/>
    <w:qFormat/>
    <w:rPr>
      <w:sz w:val="21"/>
    </w:rPr>
  </w:style>
  <w:style w:type="character" w:styleId="903" w:customStyle="1">
    <w:name w:val="标题 4 Char"/>
    <w:link w:val="898"/>
    <w:uiPriority w:val="9"/>
    <w:qFormat/>
    <w:rPr>
      <w:rFonts w:ascii="Cambria" w:hAnsi="Cambria"/>
      <w:b/>
      <w:bCs/>
      <w:sz w:val="28"/>
      <w:szCs w:val="28"/>
    </w:rPr>
  </w:style>
  <w:style w:type="character" w:styleId="904" w:customStyle="1">
    <w:name w:val="标题 5 Char"/>
    <w:link w:val="899"/>
    <w:uiPriority w:val="9"/>
    <w:qFormat/>
    <w:rPr>
      <w:b/>
      <w:bCs/>
      <w:sz w:val="28"/>
      <w:szCs w:val="28"/>
    </w:rPr>
  </w:style>
  <w:style w:type="paragraph" w:styleId="905" w:customStyle="1">
    <w:name w:val="题注1"/>
    <w:basedOn w:val="707"/>
    <w:next w:val="707"/>
    <w:uiPriority w:val="35"/>
    <w:qFormat/>
    <w:pPr>
      <w:jc w:val="center"/>
      <w:spacing w:before="156" w:after="156" w:line="360" w:lineRule="auto"/>
    </w:pPr>
    <w:rPr>
      <w:rFonts w:ascii="Arial" w:hAnsi="Arial" w:cs="Arial"/>
      <w:sz w:val="24"/>
      <w:szCs w:val="20"/>
    </w:rPr>
  </w:style>
  <w:style w:type="paragraph" w:styleId="906" w:customStyle="1">
    <w:name w:val="文档结构图1"/>
    <w:basedOn w:val="707"/>
    <w:uiPriority w:val="0"/>
    <w:semiHidden/>
    <w:qFormat/>
    <w:pPr>
      <w:shd w:val="clear" w:color="auto" w:fill="000080"/>
    </w:pPr>
  </w:style>
  <w:style w:type="paragraph" w:styleId="907" w:customStyle="1">
    <w:name w:val="批注文字1"/>
    <w:basedOn w:val="707"/>
    <w:link w:val="908"/>
    <w:uiPriority w:val="99"/>
    <w:unhideWhenUsed/>
    <w:qFormat/>
    <w:pPr>
      <w:jc w:val="left"/>
    </w:pPr>
  </w:style>
  <w:style w:type="character" w:styleId="908" w:customStyle="1">
    <w:name w:val="批注文字 Char"/>
    <w:link w:val="907"/>
    <w:uiPriority w:val="99"/>
    <w:qFormat/>
    <w:rPr>
      <w:sz w:val="21"/>
      <w:szCs w:val="24"/>
    </w:rPr>
  </w:style>
  <w:style w:type="paragraph" w:styleId="909" w:customStyle="1">
    <w:name w:val="正文文本 31"/>
    <w:basedOn w:val="707"/>
    <w:uiPriority w:val="0"/>
    <w:qFormat/>
    <w:rPr>
      <w:rFonts w:ascii="楷体_GB2312" w:hAnsi="Arial" w:eastAsia="楷体_GB2312" w:cs="Arial"/>
      <w:b/>
      <w:bCs/>
      <w:color w:val="000000"/>
      <w:sz w:val="24"/>
    </w:rPr>
  </w:style>
  <w:style w:type="paragraph" w:styleId="910" w:customStyle="1">
    <w:name w:val="正文文本1"/>
    <w:basedOn w:val="70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customStyle="1">
    <w:name w:val="正文文本缩进1"/>
    <w:basedOn w:val="707"/>
    <w:uiPriority w:val="0"/>
    <w:qFormat/>
    <w:pPr>
      <w:ind w:firstLine="630"/>
    </w:pPr>
    <w:rPr>
      <w:rFonts w:ascii="楷体_GB2312" w:eastAsia="楷体_GB2312"/>
      <w:sz w:val="32"/>
      <w:szCs w:val="20"/>
    </w:rPr>
  </w:style>
  <w:style w:type="paragraph" w:styleId="912" w:customStyle="1">
    <w:name w:val="文本块1"/>
    <w:basedOn w:val="707"/>
    <w:uiPriority w:val="0"/>
    <w:qFormat/>
    <w:pPr>
      <w:ind w:left="420" w:right="33"/>
      <w:jc w:val="left"/>
    </w:pPr>
    <w:rPr>
      <w:sz w:val="24"/>
      <w:szCs w:val="20"/>
    </w:rPr>
  </w:style>
  <w:style w:type="paragraph" w:styleId="913" w:customStyle="1">
    <w:name w:val="目录 31"/>
    <w:basedOn w:val="707"/>
    <w:next w:val="707"/>
    <w:uiPriority w:val="0"/>
    <w:semiHidden/>
    <w:qFormat/>
    <w:pPr>
      <w:ind w:left="840"/>
      <w:spacing w:line="300" w:lineRule="auto"/>
      <w:tabs>
        <w:tab w:val="right" w:pos="9344" w:leader="dot"/>
      </w:tabs>
    </w:pPr>
    <w:rPr>
      <w:rFonts w:ascii="Arial" w:hAnsi="Arial" w:cs="Arial"/>
      <w:szCs w:val="21"/>
    </w:rPr>
  </w:style>
  <w:style w:type="paragraph" w:styleId="914" w:customStyle="1">
    <w:name w:val="纯文本11"/>
    <w:basedOn w:val="707"/>
    <w:link w:val="915"/>
    <w:uiPriority w:val="0"/>
    <w:qFormat/>
    <w:rPr>
      <w:rFonts w:ascii="宋体" w:hAnsi="Courier New"/>
      <w:szCs w:val="20"/>
    </w:rPr>
  </w:style>
  <w:style w:type="character" w:styleId="915" w:customStyle="1">
    <w:name w:val="纯文本 Char"/>
    <w:link w:val="914"/>
    <w:uiPriority w:val="0"/>
    <w:qFormat/>
    <w:rPr>
      <w:rFonts w:ascii="宋体" w:hAnsi="Courier New" w:eastAsia="宋体"/>
      <w:sz w:val="21"/>
      <w:lang w:val="en-US" w:eastAsia="zh-CN" w:bidi="ar-SA"/>
    </w:rPr>
  </w:style>
  <w:style w:type="paragraph" w:styleId="916" w:customStyle="1">
    <w:name w:val="正文文本缩进 21"/>
    <w:basedOn w:val="707"/>
    <w:uiPriority w:val="0"/>
    <w:qFormat/>
    <w:pPr>
      <w:ind w:left="420"/>
      <w:spacing w:after="120" w:line="480" w:lineRule="auto"/>
    </w:pPr>
  </w:style>
  <w:style w:type="paragraph" w:styleId="917" w:customStyle="1">
    <w:name w:val="批注框文本1"/>
    <w:basedOn w:val="707"/>
    <w:link w:val="918"/>
    <w:uiPriority w:val="0"/>
    <w:qFormat/>
    <w:rPr>
      <w:sz w:val="18"/>
      <w:szCs w:val="18"/>
    </w:rPr>
  </w:style>
  <w:style w:type="character" w:styleId="918" w:customStyle="1">
    <w:name w:val="批注框文本 Char"/>
    <w:link w:val="917"/>
    <w:uiPriority w:val="0"/>
    <w:qFormat/>
    <w:rPr>
      <w:sz w:val="18"/>
      <w:szCs w:val="18"/>
    </w:rPr>
  </w:style>
  <w:style w:type="paragraph" w:styleId="919" w:customStyle="1">
    <w:name w:val="页脚1"/>
    <w:basedOn w:val="707"/>
    <w:link w:val="920"/>
    <w:uiPriority w:val="0"/>
    <w:qFormat/>
    <w:pPr>
      <w:jc w:val="left"/>
      <w:tabs>
        <w:tab w:val="center" w:pos="4153" w:leader="none"/>
        <w:tab w:val="right" w:pos="8306" w:leader="none"/>
      </w:tabs>
    </w:pPr>
    <w:rPr>
      <w:sz w:val="18"/>
      <w:szCs w:val="18"/>
    </w:rPr>
  </w:style>
  <w:style w:type="character" w:styleId="920" w:customStyle="1">
    <w:name w:val="页脚 Char"/>
    <w:link w:val="919"/>
    <w:uiPriority w:val="0"/>
    <w:qFormat/>
    <w:rPr>
      <w:sz w:val="18"/>
      <w:szCs w:val="18"/>
    </w:rPr>
  </w:style>
  <w:style w:type="paragraph" w:styleId="921" w:customStyle="1">
    <w:name w:val="页眉1"/>
    <w:basedOn w:val="707"/>
    <w:link w:val="922"/>
    <w:uiPriority w:val="0"/>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Char"/>
    <w:link w:val="921"/>
    <w:uiPriority w:val="0"/>
    <w:qFormat/>
    <w:rPr>
      <w:sz w:val="18"/>
      <w:szCs w:val="18"/>
    </w:rPr>
  </w:style>
  <w:style w:type="paragraph" w:styleId="923" w:customStyle="1">
    <w:name w:val="目录 11"/>
    <w:basedOn w:val="707"/>
    <w:next w:val="707"/>
    <w:uiPriority w:val="0"/>
    <w:semiHidden/>
    <w:qFormat/>
  </w:style>
  <w:style w:type="paragraph" w:styleId="924" w:customStyle="1">
    <w:name w:val="正文文本缩进 31"/>
    <w:basedOn w:val="707"/>
    <w:uiPriority w:val="99"/>
    <w:qFormat/>
    <w:pPr>
      <w:ind w:firstLine="420"/>
    </w:pPr>
    <w:rPr>
      <w:rFonts w:eastAsia="楷体_GB2312"/>
    </w:rPr>
  </w:style>
  <w:style w:type="paragraph" w:styleId="925" w:customStyle="1">
    <w:name w:val="目录 21"/>
    <w:basedOn w:val="707"/>
    <w:next w:val="707"/>
    <w:uiPriority w:val="0"/>
    <w:semiHidden/>
    <w:qFormat/>
    <w:pPr>
      <w:ind w:left="420"/>
    </w:pPr>
    <w:rPr>
      <w:szCs w:val="20"/>
    </w:rPr>
  </w:style>
  <w:style w:type="paragraph" w:styleId="926" w:customStyle="1">
    <w:name w:val="正文文本 21"/>
    <w:basedOn w:val="707"/>
    <w:link w:val="927"/>
    <w:uiPriority w:val="0"/>
    <w:qFormat/>
    <w:pPr>
      <w:spacing w:line="440" w:lineRule="exact"/>
    </w:pPr>
    <w:rPr>
      <w:rFonts w:ascii="楷体_GB2312" w:eastAsia="楷体_GB2312"/>
      <w:sz w:val="28"/>
    </w:rPr>
  </w:style>
  <w:style w:type="character" w:styleId="927" w:customStyle="1">
    <w:name w:val="正文文本 2 Char"/>
    <w:link w:val="926"/>
    <w:uiPriority w:val="0"/>
    <w:qFormat/>
    <w:rPr>
      <w:rFonts w:ascii="楷体_GB2312" w:eastAsia="楷体_GB2312"/>
      <w:sz w:val="28"/>
      <w:szCs w:val="24"/>
    </w:rPr>
  </w:style>
  <w:style w:type="paragraph" w:styleId="928" w:customStyle="1">
    <w:name w:val="批注主题1"/>
    <w:basedOn w:val="907"/>
    <w:next w:val="907"/>
    <w:link w:val="929"/>
    <w:uiPriority w:val="0"/>
    <w:qFormat/>
    <w:rPr>
      <w:b/>
      <w:bCs/>
    </w:rPr>
  </w:style>
  <w:style w:type="character" w:styleId="929" w:customStyle="1">
    <w:name w:val="批注主题 Char"/>
    <w:link w:val="928"/>
    <w:uiPriority w:val="0"/>
    <w:qFormat/>
    <w:rPr>
      <w:b/>
      <w:bCs/>
      <w:sz w:val="21"/>
      <w:szCs w:val="24"/>
    </w:rPr>
  </w:style>
  <w:style w:type="paragraph" w:styleId="930" w:customStyle="1">
    <w:name w:val="正文首行缩进 21"/>
    <w:basedOn w:val="911"/>
    <w:uiPriority w:val="0"/>
    <w:qFormat/>
    <w:pPr>
      <w:ind w:left="420" w:firstLine="420"/>
      <w:spacing w:after="120"/>
      <w:widowControl/>
    </w:pPr>
    <w:rPr>
      <w:rFonts w:ascii="仿宋_GB2312" w:eastAsia="仿宋_GB2312"/>
      <w:color w:val="ff6600"/>
      <w:sz w:val="21"/>
    </w:rPr>
  </w:style>
  <w:style w:type="table" w:styleId="931" w:customStyle="1">
    <w:name w:val="网格型1"/>
    <w:basedOn w:val="90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customStyle="1">
    <w:name w:val="要点1"/>
    <w:link w:val="707"/>
    <w:uiPriority w:val="0"/>
    <w:qFormat/>
  </w:style>
  <w:style w:type="character" w:styleId="933" w:customStyle="1">
    <w:name w:val="页码1"/>
    <w:link w:val="707"/>
    <w:uiPriority w:val="0"/>
    <w:qFormat/>
  </w:style>
  <w:style w:type="character" w:styleId="934" w:customStyle="1">
    <w:name w:val="已访问的超链接1"/>
    <w:link w:val="707"/>
    <w:uiPriority w:val="0"/>
    <w:qFormat/>
    <w:rPr>
      <w:color w:val="800080"/>
      <w:u w:val="none"/>
    </w:rPr>
  </w:style>
  <w:style w:type="character" w:styleId="935" w:customStyle="1">
    <w:name w:val="强调1"/>
    <w:link w:val="707"/>
    <w:uiPriority w:val="0"/>
    <w:qFormat/>
  </w:style>
  <w:style w:type="character" w:styleId="936" w:customStyle="1">
    <w:name w:val="HTML 定义1"/>
    <w:link w:val="707"/>
    <w:uiPriority w:val="0"/>
    <w:qFormat/>
  </w:style>
  <w:style w:type="character" w:styleId="937" w:customStyle="1">
    <w:name w:val="HTML 打字机1"/>
    <w:link w:val="707"/>
    <w:uiPriority w:val="0"/>
    <w:qFormat/>
    <w:rPr>
      <w:rFonts w:ascii="monospace" w:hAnsi="monospace" w:eastAsia="monospace" w:cs="monospace"/>
      <w:sz w:val="20"/>
    </w:rPr>
  </w:style>
  <w:style w:type="character" w:styleId="938" w:customStyle="1">
    <w:name w:val="HTML 缩写1"/>
    <w:link w:val="707"/>
    <w:uiPriority w:val="0"/>
    <w:qFormat/>
  </w:style>
  <w:style w:type="character" w:styleId="939" w:customStyle="1">
    <w:name w:val="HTML 变量1"/>
    <w:link w:val="707"/>
    <w:uiPriority w:val="0"/>
    <w:qFormat/>
  </w:style>
  <w:style w:type="character" w:styleId="940" w:customStyle="1">
    <w:name w:val="超链接1"/>
    <w:link w:val="707"/>
    <w:uiPriority w:val="0"/>
    <w:qFormat/>
    <w:rPr>
      <w:color w:val="0000ff"/>
      <w:u w:val="none"/>
    </w:rPr>
  </w:style>
  <w:style w:type="character" w:styleId="941" w:customStyle="1">
    <w:name w:val="HTML 代码1"/>
    <w:link w:val="707"/>
    <w:uiPriority w:val="0"/>
    <w:qFormat/>
    <w:rPr>
      <w:rFonts w:ascii="monospace" w:hAnsi="monospace" w:eastAsia="monospace" w:cs="monospace"/>
      <w:sz w:val="20"/>
    </w:rPr>
  </w:style>
  <w:style w:type="character" w:styleId="942" w:customStyle="1">
    <w:name w:val="批注引用1"/>
    <w:link w:val="707"/>
    <w:uiPriority w:val="0"/>
    <w:qFormat/>
    <w:rPr>
      <w:sz w:val="21"/>
      <w:szCs w:val="21"/>
    </w:rPr>
  </w:style>
  <w:style w:type="character" w:styleId="943" w:customStyle="1">
    <w:name w:val="HTML 引文1"/>
    <w:link w:val="707"/>
    <w:uiPriority w:val="0"/>
    <w:qFormat/>
  </w:style>
  <w:style w:type="character" w:styleId="944" w:customStyle="1">
    <w:name w:val="HTML 键盘1"/>
    <w:link w:val="707"/>
    <w:uiPriority w:val="0"/>
    <w:qFormat/>
    <w:rPr>
      <w:rFonts w:ascii="monospace" w:hAnsi="monospace" w:eastAsia="monospace" w:cs="monospace"/>
      <w:sz w:val="20"/>
    </w:rPr>
  </w:style>
  <w:style w:type="character" w:styleId="945" w:customStyle="1">
    <w:name w:val="HTML 样本1"/>
    <w:link w:val="707"/>
    <w:uiPriority w:val="0"/>
    <w:qFormat/>
    <w:rPr>
      <w:rFonts w:ascii="monospace" w:hAnsi="monospace" w:eastAsia="monospace" w:cs="monospace"/>
    </w:rPr>
  </w:style>
  <w:style w:type="character" w:styleId="946" w:customStyle="1">
    <w:name w:val="Font Style30"/>
    <w:link w:val="707"/>
    <w:uiPriority w:val="0"/>
    <w:qFormat/>
    <w:rPr>
      <w:rFonts w:ascii="宋体" w:eastAsia="宋体" w:cs="宋体"/>
      <w:sz w:val="14"/>
      <w:szCs w:val="14"/>
    </w:rPr>
  </w:style>
  <w:style w:type="character" w:styleId="947" w:customStyle="1">
    <w:name w:val="glyphicon"/>
    <w:link w:val="707"/>
    <w:uiPriority w:val="0"/>
    <w:qFormat/>
  </w:style>
  <w:style w:type="character" w:styleId="948" w:customStyle="1">
    <w:name w:val="Font Style36"/>
    <w:link w:val="707"/>
    <w:uiPriority w:val="0"/>
    <w:qFormat/>
    <w:rPr>
      <w:rFonts w:ascii="宋体" w:eastAsia="宋体" w:cs="宋体"/>
      <w:sz w:val="16"/>
      <w:szCs w:val="16"/>
    </w:rPr>
  </w:style>
  <w:style w:type="character" w:styleId="949" w:customStyle="1">
    <w:name w:val="hour_am"/>
    <w:link w:val="707"/>
    <w:uiPriority w:val="0"/>
    <w:qFormat/>
  </w:style>
  <w:style w:type="character" w:styleId="950" w:customStyle="1">
    <w:name w:val="old"/>
    <w:link w:val="707"/>
    <w:uiPriority w:val="0"/>
    <w:qFormat/>
    <w:rPr>
      <w:color w:val="999999"/>
    </w:rPr>
  </w:style>
  <w:style w:type="character" w:styleId="951" w:customStyle="1">
    <w:name w:val="标题 2 Char"/>
    <w:link w:val="707"/>
    <w:uiPriority w:val="0"/>
    <w:qFormat/>
    <w:rPr>
      <w:rFonts w:ascii="Arial" w:hAnsi="Arial" w:eastAsia="黑体"/>
      <w:b/>
      <w:sz w:val="32"/>
      <w:lang w:val="en-US" w:eastAsia="zh-CN"/>
    </w:rPr>
  </w:style>
  <w:style w:type="character" w:styleId="952" w:customStyle="1">
    <w:name w:val="hover"/>
    <w:link w:val="707"/>
    <w:uiPriority w:val="0"/>
    <w:qFormat/>
    <w:rPr>
      <w:shd w:val="clear" w:color="auto" w:fill="eeeeee"/>
    </w:rPr>
  </w:style>
  <w:style w:type="character" w:styleId="953" w:customStyle="1">
    <w:name w:val="hour_pm"/>
    <w:link w:val="707"/>
    <w:uiPriority w:val="0"/>
    <w:qFormat/>
  </w:style>
  <w:style w:type="character" w:styleId="954" w:customStyle="1">
    <w:name w:val="Font Style28"/>
    <w:link w:val="707"/>
    <w:uiPriority w:val="0"/>
    <w:qFormat/>
    <w:rPr>
      <w:rFonts w:ascii="Constantia" w:hAnsi="Constantia" w:cs="Constantia"/>
      <w:sz w:val="28"/>
      <w:szCs w:val="28"/>
    </w:rPr>
  </w:style>
  <w:style w:type="character" w:styleId="955" w:customStyle="1">
    <w:name w:val="Font Style29"/>
    <w:link w:val="707"/>
    <w:uiPriority w:val="0"/>
    <w:qFormat/>
    <w:rPr>
      <w:rFonts w:ascii="Arial" w:hAnsi="Arial" w:cs="Arial"/>
      <w:sz w:val="14"/>
      <w:szCs w:val="14"/>
    </w:rPr>
  </w:style>
  <w:style w:type="character" w:styleId="956" w:customStyle="1">
    <w:name w:val="Font Style37"/>
    <w:link w:val="707"/>
    <w:uiPriority w:val="0"/>
    <w:qFormat/>
    <w:rPr>
      <w:rFonts w:ascii="Arial" w:hAnsi="Arial" w:cs="Arial"/>
      <w:sz w:val="16"/>
      <w:szCs w:val="16"/>
    </w:rPr>
  </w:style>
  <w:style w:type="character" w:styleId="957" w:customStyle="1">
    <w:name w:val="Plain Text Char"/>
    <w:link w:val="707"/>
    <w:uiPriority w:val="0"/>
    <w:qFormat/>
    <w:rPr>
      <w:rFonts w:ascii="宋体" w:hAnsi="Courier New" w:eastAsia="宋体"/>
      <w:sz w:val="21"/>
      <w:lang w:val="en-US" w:eastAsia="zh-CN" w:bidi="ar-SA"/>
    </w:rPr>
  </w:style>
  <w:style w:type="paragraph" w:styleId="95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9" w:customStyle="1">
    <w:name w:val="默认段落字体 Para Char Char Char Char Char Char Char Char Char1 Char Char Char Char Char Char Char"/>
    <w:basedOn w:val="906"/>
    <w:uiPriority w:val="0"/>
    <w:qFormat/>
    <w:rPr>
      <w:rFonts w:ascii="Tahoma" w:hAnsi="Tahoma"/>
      <w:sz w:val="24"/>
    </w:rPr>
  </w:style>
  <w:style w:type="paragraph" w:styleId="960" w:customStyle="1">
    <w:name w:val="Style9"/>
    <w:basedOn w:val="707"/>
    <w:uiPriority w:val="0"/>
    <w:qFormat/>
    <w:pPr>
      <w:jc w:val="left"/>
    </w:pPr>
    <w:rPr>
      <w:rFonts w:ascii="宋体"/>
      <w:sz w:val="24"/>
    </w:rPr>
  </w:style>
  <w:style w:type="paragraph" w:styleId="961" w:customStyle="1">
    <w:name w:val="Char"/>
    <w:basedOn w:val="707"/>
    <w:uiPriority w:val="0"/>
    <w:qFormat/>
    <w:pPr>
      <w:tabs>
        <w:tab w:val="left" w:pos="360" w:leader="none"/>
      </w:tabs>
    </w:pPr>
    <w:rPr>
      <w:sz w:val="24"/>
    </w:rPr>
  </w:style>
  <w:style w:type="paragraph" w:styleId="962" w:customStyle="1">
    <w:name w:val=" Char Char Char1 Char Char Char Char"/>
    <w:basedOn w:val="707"/>
    <w:uiPriority w:val="0"/>
    <w:qFormat/>
    <w:pPr>
      <w:jc w:val="left"/>
      <w:spacing w:after="160" w:line="240" w:lineRule="exact"/>
      <w:widowControl/>
    </w:pPr>
    <w:rPr>
      <w:rFonts w:ascii="宋体" w:hAnsi="宋体"/>
      <w:b/>
      <w:sz w:val="28"/>
      <w:szCs w:val="28"/>
    </w:rPr>
  </w:style>
  <w:style w:type="paragraph" w:styleId="963" w:customStyle="1">
    <w:name w:val="Style10"/>
    <w:basedOn w:val="707"/>
    <w:uiPriority w:val="0"/>
    <w:qFormat/>
    <w:pPr>
      <w:jc w:val="left"/>
    </w:pPr>
    <w:rPr>
      <w:rFonts w:ascii="宋体"/>
      <w:sz w:val="24"/>
    </w:rPr>
  </w:style>
  <w:style w:type="paragraph" w:styleId="964" w:customStyle="1">
    <w:name w:val="首行缩进"/>
    <w:basedOn w:val="707"/>
    <w:uiPriority w:val="0"/>
    <w:qFormat/>
    <w:pPr>
      <w:ind w:firstLine="420"/>
      <w:spacing w:line="360" w:lineRule="auto"/>
    </w:pPr>
    <w:rPr>
      <w:sz w:val="20"/>
    </w:rPr>
  </w:style>
  <w:style w:type="paragraph" w:styleId="965" w:customStyle="1">
    <w:name w:val="普通正文"/>
    <w:basedOn w:val="707"/>
    <w:uiPriority w:val="0"/>
    <w:qFormat/>
    <w:pPr>
      <w:ind w:firstLine="480"/>
      <w:jc w:val="left"/>
      <w:spacing w:before="120" w:after="120" w:line="360" w:lineRule="auto"/>
    </w:pPr>
    <w:rPr>
      <w:rFonts w:ascii="Arial" w:hAnsi="Arial"/>
      <w:sz w:val="24"/>
    </w:rPr>
  </w:style>
  <w:style w:type="paragraph" w:styleId="966" w:customStyle="1">
    <w:name w:val="要点标题"/>
    <w:basedOn w:val="707"/>
    <w:uiPriority w:val="0"/>
    <w:qFormat/>
    <w:pPr>
      <w:numPr>
        <w:ilvl w:val="0"/>
        <w:numId w:val="1"/>
      </w:numPr>
      <w:jc w:val="left"/>
    </w:pPr>
    <w:rPr>
      <w:rFonts w:ascii="宋体" w:hAnsi="宋体"/>
      <w:b/>
      <w:sz w:val="24"/>
    </w:rPr>
  </w:style>
  <w:style w:type="paragraph" w:styleId="967" w:customStyle="1">
    <w:name w:val="文档正文"/>
    <w:basedOn w:val="707"/>
    <w:uiPriority w:val="0"/>
    <w:qFormat/>
    <w:pPr>
      <w:ind w:firstLine="567"/>
      <w:spacing w:line="480" w:lineRule="atLeast"/>
    </w:pPr>
    <w:rPr>
      <w:rFonts w:ascii="仿宋_GB2312"/>
      <w:szCs w:val="20"/>
    </w:rPr>
  </w:style>
  <w:style w:type="paragraph" w:styleId="968" w:customStyle="1">
    <w:name w:val="Char Char Char Char"/>
    <w:basedOn w:val="906"/>
    <w:uiPriority w:val="0"/>
    <w:qFormat/>
    <w:pPr>
      <w:spacing w:line="360" w:lineRule="auto"/>
    </w:pPr>
    <w:rPr>
      <w:rFonts w:ascii="Tahoma" w:hAnsi="Tahoma"/>
      <w:sz w:val="24"/>
    </w:rPr>
  </w:style>
  <w:style w:type="paragraph" w:styleId="969" w:customStyle="1">
    <w:name w:val=" Char"/>
    <w:basedOn w:val="707"/>
    <w:uiPriority w:val="0"/>
    <w:qFormat/>
    <w:pPr>
      <w:ind w:left="420" w:hanging="420"/>
      <w:jc w:val="left"/>
      <w:tabs>
        <w:tab w:val="left" w:pos="420" w:leader="none"/>
      </w:tabs>
    </w:pPr>
    <w:rPr>
      <w:szCs w:val="20"/>
    </w:rPr>
  </w:style>
  <w:style w:type="paragraph" w:styleId="970" w:customStyle="1">
    <w:name w:val="正文（无缩进）"/>
    <w:basedOn w:val="707"/>
    <w:uiPriority w:val="0"/>
    <w:qFormat/>
    <w:pPr>
      <w:spacing w:line="360" w:lineRule="auto"/>
    </w:pPr>
    <w:rPr>
      <w:rFonts w:ascii="Calibri" w:hAnsi="Calibri"/>
      <w:sz w:val="24"/>
      <w:szCs w:val="21"/>
    </w:rPr>
  </w:style>
  <w:style w:type="paragraph" w:styleId="971" w:customStyle="1">
    <w:name w:val="Style11"/>
    <w:basedOn w:val="707"/>
    <w:uiPriority w:val="0"/>
    <w:qFormat/>
    <w:pPr>
      <w:jc w:val="left"/>
      <w:spacing w:line="446" w:lineRule="exact"/>
    </w:pPr>
    <w:rPr>
      <w:rFonts w:ascii="宋体"/>
      <w:sz w:val="24"/>
    </w:rPr>
  </w:style>
  <w:style w:type="paragraph" w:styleId="972" w:customStyle="1">
    <w:name w:val="样式1"/>
    <w:basedOn w:val="707"/>
    <w:uiPriority w:val="0"/>
    <w:qFormat/>
    <w:pPr>
      <w:numPr>
        <w:ilvl w:val="0"/>
        <w:numId w:val="2"/>
      </w:numPr>
      <w:tabs>
        <w:tab w:val="left" w:pos="1110" w:leader="none"/>
      </w:tabs>
    </w:pPr>
    <w:rPr>
      <w:rFonts w:ascii="宋体" w:hAnsi="宋体"/>
      <w:szCs w:val="21"/>
    </w:rPr>
  </w:style>
  <w:style w:type="paragraph" w:styleId="973" w:customStyle="1">
    <w:name w:val="_Style 56"/>
    <w:basedOn w:val="906"/>
    <w:uiPriority w:val="0"/>
    <w:qFormat/>
    <w:pPr>
      <w:spacing w:line="436" w:lineRule="exact"/>
    </w:pPr>
    <w:rPr>
      <w:szCs w:val="20"/>
    </w:rPr>
  </w:style>
  <w:style w:type="paragraph" w:styleId="974" w:customStyle="1">
    <w:name w:val="Char Char1 Char Char Char Char Char Char"/>
    <w:basedOn w:val="707"/>
    <w:uiPriority w:val="0"/>
    <w:qFormat/>
    <w:pPr>
      <w:jc w:val="center"/>
      <w:widowControl/>
    </w:pPr>
    <w:rPr>
      <w:rFonts w:ascii="宋体" w:hAnsi="宋体"/>
      <w:b/>
      <w:sz w:val="24"/>
      <w:lang w:eastAsia="en-US"/>
    </w:rPr>
  </w:style>
  <w:style w:type="paragraph" w:styleId="975" w:customStyle="1">
    <w:name w:val="Char1"/>
    <w:basedOn w:val="707"/>
    <w:uiPriority w:val="0"/>
    <w:qFormat/>
    <w:pPr>
      <w:ind w:left="840" w:hanging="420"/>
      <w:tabs>
        <w:tab w:val="left" w:pos="840" w:leader="none"/>
      </w:tabs>
    </w:pPr>
    <w:rPr>
      <w:sz w:val="24"/>
    </w:rPr>
  </w:style>
  <w:style w:type="paragraph" w:styleId="976" w:customStyle="1">
    <w:name w:val="我的样式"/>
    <w:basedOn w:val="894"/>
    <w:next w:val="707"/>
    <w:uiPriority w:val="0"/>
    <w:qFormat/>
    <w:pPr>
      <w:numPr>
        <w:ilvl w:val="0"/>
        <w:numId w:val="3"/>
      </w:numPr>
      <w:spacing w:line="360" w:lineRule="auto"/>
    </w:pPr>
    <w:rPr>
      <w:rFonts w:ascii="仿宋_GB2312" w:eastAsia="仿宋_GB2312"/>
      <w:sz w:val="32"/>
      <w:szCs w:val="30"/>
    </w:rPr>
  </w:style>
  <w:style w:type="paragraph" w:styleId="97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8" w:customStyle="1">
    <w:name w:val=" Char Char Char Char Char 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979" w:customStyle="1">
    <w:name w:val="标题1"/>
    <w:basedOn w:val="894"/>
    <w:next w:val="707"/>
    <w:uiPriority w:val="0"/>
    <w:qFormat/>
    <w:pPr>
      <w:numPr>
        <w:ilvl w:val="0"/>
        <w:numId w:val="2"/>
      </w:numPr>
      <w:jc w:val="left"/>
      <w:spacing w:line="578" w:lineRule="atLeast"/>
    </w:pPr>
  </w:style>
  <w:style w:type="paragraph" w:styleId="980" w:customStyle="1">
    <w:name w:val="正文（缩进） Char1"/>
    <w:basedOn w:val="707"/>
    <w:uiPriority w:val="0"/>
    <w:qFormat/>
    <w:pPr>
      <w:ind w:firstLine="480"/>
      <w:spacing w:before="156" w:after="156" w:line="360" w:lineRule="auto"/>
    </w:pPr>
    <w:rPr>
      <w:sz w:val="24"/>
    </w:rPr>
  </w:style>
  <w:style w:type="paragraph" w:styleId="981"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2" w:customStyle="1">
    <w:name w:val="Style12"/>
    <w:basedOn w:val="707"/>
    <w:uiPriority w:val="0"/>
    <w:qFormat/>
    <w:pPr>
      <w:jc w:val="left"/>
    </w:pPr>
    <w:rPr>
      <w:rFonts w:ascii="宋体"/>
      <w:sz w:val="24"/>
    </w:rPr>
  </w:style>
  <w:style w:type="paragraph" w:styleId="983" w:customStyle="1">
    <w:name w:val="Table Text"/>
    <w:basedOn w:val="707"/>
    <w:uiPriority w:val="0"/>
    <w:semiHidden/>
    <w:qFormat/>
    <w:rPr>
      <w:rFonts w:ascii="宋体" w:hAnsi="宋体" w:eastAsia="宋体" w:cs="宋体"/>
      <w:sz w:val="20"/>
      <w:szCs w:val="20"/>
      <w:lang w:val="en-US" w:eastAsia="en-US" w:bidi="ar-SA"/>
    </w:rPr>
  </w:style>
  <w:style w:type="table" w:styleId="984" w:customStyle="1">
    <w:name w:val="Table Normal"/>
    <w:uiPriority w:val="0"/>
    <w:unhideWhenUsed/>
    <w:qFormat/>
    <w:tblPr/>
  </w:style>
  <w:style w:type="character" w:styleId="985" w:customStyle="1">
    <w:name w:val="font01"/>
    <w:basedOn w:val="900"/>
    <w:link w:val="707"/>
    <w:uiPriority w:val="0"/>
    <w:qFormat/>
    <w:rPr>
      <w:rFonts w:ascii="Times New Roman" w:hAnsi="Times New Roman" w:cs="Times New Roman"/>
      <w:color w:val="000000"/>
      <w:sz w:val="21"/>
      <w:szCs w:val="21"/>
      <w:u w:val="none"/>
    </w:rPr>
  </w:style>
  <w:style w:type="character" w:styleId="986" w:customStyle="1">
    <w:name w:val="font31"/>
    <w:basedOn w:val="900"/>
    <w:link w:val="707"/>
    <w:uiPriority w:val="0"/>
    <w:qFormat/>
    <w:rPr>
      <w:rFonts w:hint="eastAsia" w:ascii="宋体" w:hAnsi="宋体" w:eastAsia="宋体" w:cs="宋体"/>
      <w:color w:val="000000"/>
      <w:sz w:val="21"/>
      <w:szCs w:val="21"/>
      <w:u w:val="none"/>
    </w:rPr>
  </w:style>
  <w:style w:type="character" w:styleId="987" w:customStyle="1">
    <w:name w:val="font21"/>
    <w:basedOn w:val="900"/>
    <w:link w:val="707"/>
    <w:uiPriority w:val="0"/>
    <w:qFormat/>
    <w:rPr>
      <w:rFonts w:hint="eastAsia" w:ascii="宋体" w:hAnsi="宋体" w:eastAsia="宋体" w:cs="宋体"/>
      <w:color w:val="000000"/>
      <w:sz w:val="20"/>
      <w:szCs w:val="20"/>
      <w:u w:val="none"/>
    </w:rPr>
  </w:style>
  <w:style w:type="character" w:styleId="988" w:customStyle="1">
    <w:name w:val="font11"/>
    <w:basedOn w:val="900"/>
    <w:link w:val="707"/>
    <w:uiPriority w:val="0"/>
    <w:qFormat/>
    <w:rPr>
      <w:rFonts w:ascii="Times New Roman" w:hAnsi="Times New Roman" w:cs="Times New Roman"/>
      <w:color w:val="000000"/>
      <w:sz w:val="20"/>
      <w:szCs w:val="20"/>
      <w:u w:val="none"/>
    </w:rPr>
  </w:style>
  <w:style w:type="paragraph" w:styleId="989" w:customStyle="1">
    <w:name w:val="纯文本1"/>
    <w:basedOn w:val="707"/>
    <w:uiPriority w:val="0"/>
    <w:qFormat/>
    <w:rPr>
      <w:rFonts w:ascii="宋体" w:hAnsi="Courier New"/>
      <w:szCs w:val="20"/>
    </w:rPr>
  </w:style>
  <w:style w:type="paragraph" w:styleId="990" w:customStyle="1">
    <w:name w:val="列表项目符号 21"/>
    <w:basedOn w:val="707"/>
    <w:uiPriority w:val="0"/>
    <w:qFormat/>
    <w:pPr>
      <w:numPr>
        <w:ilvl w:val="0"/>
        <w:numId w:val="1"/>
      </w:numPr>
    </w:pPr>
  </w:style>
  <w:style w:type="paragraph" w:styleId="991" w:customStyle="1">
    <w:name w:val="BodyText1"/>
    <w:basedOn w:val="707"/>
    <w:uiPriority w:val="0"/>
    <w:qFormat/>
    <w:pPr>
      <w:spacing w:after="120"/>
    </w:pPr>
  </w:style>
  <w:style w:type="paragraph" w:styleId="992" w:customStyle="1">
    <w:name w:val="Other|1"/>
    <w:basedOn w:val="707"/>
    <w:uiPriority w:val="0"/>
    <w:qFormat/>
    <w:pPr>
      <w:ind w:firstLine="400"/>
      <w:jc w:val="left"/>
      <w:spacing w:line="391" w:lineRule="auto"/>
      <w:widowControl/>
    </w:pPr>
    <w:rPr>
      <w:rFonts w:ascii="宋体" w:hAnsi="宋体" w:eastAsia="Arial" w:cs="宋体"/>
      <w:color w:val="000000"/>
      <w:sz w:val="30"/>
      <w:szCs w:val="30"/>
      <w:lang w:val="zh-TW" w:eastAsia="zh-TW" w:bidi="zh-TW"/>
    </w:rPr>
  </w:style>
  <w:style w:type="paragraph" w:styleId="993" w:customStyle="1">
    <w:name w:val="纯文本13"/>
    <w:basedOn w:val="707"/>
    <w:uiPriority w:val="0"/>
    <w:qFormat/>
    <w:rPr>
      <w:rFonts w:ascii="宋体" w:hAnsi="Courier New"/>
      <w:szCs w:val="20"/>
    </w:rPr>
  </w:style>
  <w:style w:type="numbering" w:styleId="11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王媛媛</cp:lastModifiedBy>
  <cp:revision>9</cp:revision>
  <dcterms:created xsi:type="dcterms:W3CDTF">2024-01-08T16:47:00Z</dcterms:created>
  <dcterms:modified xsi:type="dcterms:W3CDTF">2026-09-29T02:17:29Z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eyJoZGlkIjoiMzEyN2JiOWQzNmU4ZDk5NGE1ZGU5YjgzOWViNjAzNGIiLCJ1c2VySWQiOiIzNzM4MzY3MjYifQ==</vt:lpwstr>
  </property>
  <property fmtid="{D5CDD505-2E9C-101B-9397-08002B2CF9AE}" pid="3" name="KSOProductBuildVer">
    <vt:lpwstr>2052-12.1.0.28505</vt:lpwstr>
  </property>
  <property fmtid="{D5CDD505-2E9C-101B-9397-08002B2CF9AE}" pid="4" name="ICV">
    <vt:lpwstr>B270C0E4DB974D60AEBF6ECDB7EAD605_13</vt:lpwstr>
  </property>
</Properties>
</file>