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7F5D32">
      <w:pPr>
        <w:keepNext w:val="0"/>
        <w:keepLines w:val="0"/>
        <w:pageBreakBefore w:val="0"/>
        <w:widowControl/>
        <w:kinsoku/>
        <w:wordWrap/>
        <w:overflowPunct/>
        <w:topLinePunct w:val="0"/>
        <w:autoSpaceDE/>
        <w:autoSpaceDN/>
        <w:bidi w:val="0"/>
        <w:adjustRightInd/>
        <w:snapToGrid/>
        <w:ind w:left="0" w:firstLine="0" w:firstLineChars="0"/>
        <w:jc w:val="right"/>
        <w:textAlignment w:val="auto"/>
        <w:rPr>
          <w:rFonts w:hint="eastAsia"/>
          <w:b/>
          <w:color w:val="auto"/>
          <w:sz w:val="36"/>
          <w:szCs w:val="36"/>
          <w:highlight w:val="none"/>
        </w:rPr>
      </w:pPr>
      <w:r>
        <w:rPr>
          <w:rFonts w:hint="eastAsia" w:ascii="微软雅黑" w:hAnsi="微软雅黑" w:eastAsia="微软雅黑" w:cs="微软雅黑"/>
          <w:b/>
          <w:color w:val="auto"/>
          <w:sz w:val="52"/>
          <w:szCs w:val="52"/>
          <w:highlight w:val="none"/>
        </w:rPr>
        <w:t>政府采购</w:t>
      </w:r>
    </w:p>
    <w:p w14:paraId="58C72F3A">
      <w:pPr>
        <w:pStyle w:val="264"/>
        <w:ind w:firstLine="0"/>
        <w:jc w:val="center"/>
        <w:rPr>
          <w:rFonts w:hint="eastAsia" w:eastAsia="黑体"/>
          <w:b/>
          <w:bCs/>
          <w:color w:val="auto"/>
          <w:sz w:val="84"/>
          <w:highlight w:val="none"/>
        </w:rPr>
      </w:pPr>
      <w:r>
        <w:rPr>
          <w:rFonts w:hint="eastAsia" w:eastAsia="黑体"/>
          <w:b/>
          <w:bCs/>
          <w:color w:val="auto"/>
          <w:sz w:val="84"/>
          <w:highlight w:val="none"/>
        </w:rPr>
        <w:t xml:space="preserve"> </w:t>
      </w:r>
    </w:p>
    <w:p w14:paraId="3F31F137">
      <w:pPr>
        <w:pStyle w:val="264"/>
        <w:ind w:firstLine="0"/>
        <w:jc w:val="center"/>
        <w:rPr>
          <w:rFonts w:hint="eastAsia" w:eastAsia="黑体"/>
          <w:b/>
          <w:bCs/>
          <w:color w:val="auto"/>
          <w:sz w:val="84"/>
          <w:highlight w:val="none"/>
        </w:rPr>
      </w:pPr>
      <w:r>
        <w:rPr>
          <w:rFonts w:hint="eastAsia" w:eastAsia="黑体"/>
          <w:b/>
          <w:bCs/>
          <w:color w:val="auto"/>
          <w:sz w:val="84"/>
          <w:highlight w:val="none"/>
        </w:rPr>
        <w:t>竞争性</w:t>
      </w:r>
      <w:r>
        <w:rPr>
          <w:rFonts w:hint="eastAsia" w:eastAsia="黑体"/>
          <w:b/>
          <w:bCs/>
          <w:color w:val="auto"/>
          <w:sz w:val="84"/>
          <w:highlight w:val="none"/>
          <w:lang w:val="en-US" w:eastAsia="zh-CN"/>
        </w:rPr>
        <w:t>谈判</w:t>
      </w:r>
      <w:r>
        <w:rPr>
          <w:rFonts w:hint="eastAsia" w:eastAsia="黑体"/>
          <w:b/>
          <w:bCs/>
          <w:color w:val="auto"/>
          <w:sz w:val="84"/>
          <w:highlight w:val="none"/>
        </w:rPr>
        <w:t>文件</w:t>
      </w:r>
    </w:p>
    <w:p w14:paraId="3B643860">
      <w:pPr>
        <w:pStyle w:val="264"/>
        <w:ind w:firstLine="0"/>
        <w:rPr>
          <w:b/>
          <w:bCs/>
          <w:color w:val="auto"/>
          <w:sz w:val="36"/>
          <w:highlight w:val="none"/>
        </w:rPr>
      </w:pPr>
    </w:p>
    <w:p w14:paraId="60D85C40">
      <w:pPr>
        <w:pStyle w:val="264"/>
        <w:keepNext w:val="0"/>
        <w:keepLines w:val="0"/>
        <w:pageBreakBefore w:val="0"/>
        <w:widowControl w:val="0"/>
        <w:kinsoku/>
        <w:wordWrap/>
        <w:overflowPunct/>
        <w:topLinePunct w:val="0"/>
        <w:autoSpaceDE/>
        <w:autoSpaceDN/>
        <w:bidi w:val="0"/>
        <w:adjustRightInd w:val="0"/>
        <w:snapToGrid/>
        <w:spacing w:before="0" w:after="0" w:line="560" w:lineRule="exact"/>
        <w:ind w:firstLine="0"/>
        <w:textAlignment w:val="baseline"/>
        <w:rPr>
          <w:rFonts w:hint="eastAsia" w:ascii="宋体" w:hAnsi="宋体" w:eastAsia="宋体" w:cs="宋体"/>
          <w:b/>
          <w:bCs/>
          <w:color w:val="auto"/>
          <w:kern w:val="2"/>
          <w:sz w:val="30"/>
          <w:szCs w:val="30"/>
          <w:highlight w:val="none"/>
          <w:lang w:val="en-US" w:eastAsia="zh-CN" w:bidi="ar-SA"/>
        </w:rPr>
      </w:pPr>
    </w:p>
    <w:p w14:paraId="7AE5CA70">
      <w:pPr>
        <w:pStyle w:val="264"/>
        <w:keepNext w:val="0"/>
        <w:keepLines w:val="0"/>
        <w:pageBreakBefore w:val="0"/>
        <w:widowControl w:val="0"/>
        <w:kinsoku/>
        <w:wordWrap/>
        <w:overflowPunct/>
        <w:topLinePunct w:val="0"/>
        <w:autoSpaceDE/>
        <w:autoSpaceDN/>
        <w:bidi w:val="0"/>
        <w:adjustRightInd w:val="0"/>
        <w:snapToGrid/>
        <w:spacing w:before="0" w:after="0" w:line="560" w:lineRule="exact"/>
        <w:ind w:firstLine="0"/>
        <w:textAlignment w:val="baseline"/>
        <w:rPr>
          <w:rFonts w:hint="eastAsia" w:ascii="宋体" w:hAnsi="宋体" w:eastAsia="宋体" w:cs="宋体"/>
          <w:b/>
          <w:bCs/>
          <w:color w:val="auto"/>
          <w:kern w:val="2"/>
          <w:sz w:val="30"/>
          <w:szCs w:val="30"/>
          <w:highlight w:val="none"/>
          <w:lang w:val="en-US" w:eastAsia="zh-CN" w:bidi="ar-SA"/>
        </w:rPr>
      </w:pPr>
    </w:p>
    <w:p w14:paraId="6DA2B5A0">
      <w:pPr>
        <w:pStyle w:val="264"/>
        <w:keepNext w:val="0"/>
        <w:keepLines w:val="0"/>
        <w:pageBreakBefore w:val="0"/>
        <w:widowControl w:val="0"/>
        <w:kinsoku/>
        <w:wordWrap/>
        <w:overflowPunct/>
        <w:topLinePunct w:val="0"/>
        <w:autoSpaceDE/>
        <w:autoSpaceDN/>
        <w:bidi w:val="0"/>
        <w:adjustRightInd w:val="0"/>
        <w:snapToGrid/>
        <w:spacing w:before="0" w:after="0" w:line="560" w:lineRule="exact"/>
        <w:jc w:val="both"/>
        <w:textAlignment w:val="baseline"/>
        <w:rPr>
          <w:rFonts w:hint="eastAsia" w:ascii="宋体" w:hAnsi="宋体" w:eastAsia="宋体" w:cs="宋体"/>
          <w:b/>
          <w:bCs/>
          <w:color w:val="auto"/>
          <w:kern w:val="2"/>
          <w:sz w:val="30"/>
          <w:szCs w:val="30"/>
          <w:highlight w:val="none"/>
          <w:lang w:val="en-US" w:eastAsia="zh-CN" w:bidi="ar-SA"/>
        </w:rPr>
      </w:pPr>
      <w:r>
        <w:rPr>
          <w:rFonts w:hint="eastAsia" w:ascii="宋体" w:hAnsi="宋体" w:eastAsia="宋体" w:cs="宋体"/>
          <w:b/>
          <w:bCs/>
          <w:color w:val="auto"/>
          <w:kern w:val="2"/>
          <w:sz w:val="30"/>
          <w:szCs w:val="30"/>
          <w:highlight w:val="none"/>
          <w:lang w:val="en-US" w:eastAsia="zh-CN" w:bidi="ar-SA"/>
        </w:rPr>
        <w:t>项目名称：2026年金湖县南桥农业社会化服务综合体项目</w:t>
      </w:r>
    </w:p>
    <w:p w14:paraId="2948CDB3">
      <w:pPr>
        <w:pStyle w:val="264"/>
        <w:keepNext w:val="0"/>
        <w:keepLines w:val="0"/>
        <w:pageBreakBefore w:val="0"/>
        <w:widowControl w:val="0"/>
        <w:kinsoku/>
        <w:wordWrap/>
        <w:overflowPunct/>
        <w:topLinePunct w:val="0"/>
        <w:autoSpaceDE/>
        <w:autoSpaceDN/>
        <w:bidi w:val="0"/>
        <w:adjustRightInd w:val="0"/>
        <w:snapToGrid/>
        <w:spacing w:line="600" w:lineRule="auto"/>
        <w:textAlignment w:val="baseline"/>
        <w:rPr>
          <w:rFonts w:hint="eastAsia" w:ascii="宋体" w:hAnsi="宋体" w:eastAsia="宋体" w:cs="宋体"/>
          <w:b/>
          <w:bCs/>
          <w:color w:val="auto"/>
          <w:kern w:val="2"/>
          <w:sz w:val="30"/>
          <w:szCs w:val="30"/>
          <w:highlight w:val="none"/>
          <w:lang w:val="en-US" w:eastAsia="zh-CN" w:bidi="ar-SA"/>
        </w:rPr>
      </w:pPr>
      <w:r>
        <w:rPr>
          <w:rFonts w:hint="eastAsia" w:ascii="宋体" w:hAnsi="宋体" w:eastAsia="宋体" w:cs="宋体"/>
          <w:b/>
          <w:bCs/>
          <w:color w:val="auto"/>
          <w:kern w:val="2"/>
          <w:sz w:val="30"/>
          <w:szCs w:val="30"/>
          <w:highlight w:val="none"/>
          <w:lang w:val="en-US" w:eastAsia="zh-CN" w:bidi="ar-SA"/>
        </w:rPr>
        <w:t xml:space="preserve">项目编号：JSZC-320831-ZQHJ-T2026-0043   </w:t>
      </w:r>
    </w:p>
    <w:p w14:paraId="790D3347">
      <w:pPr>
        <w:pStyle w:val="264"/>
        <w:ind w:firstLine="0"/>
        <w:jc w:val="center"/>
        <w:rPr>
          <w:rFonts w:hint="eastAsia"/>
          <w:b/>
          <w:bCs/>
          <w:color w:val="auto"/>
          <w:sz w:val="32"/>
          <w:highlight w:val="none"/>
        </w:rPr>
      </w:pPr>
    </w:p>
    <w:p w14:paraId="3D437159">
      <w:pPr>
        <w:pStyle w:val="264"/>
        <w:ind w:firstLine="0"/>
        <w:jc w:val="center"/>
        <w:rPr>
          <w:rFonts w:hint="eastAsia"/>
          <w:b/>
          <w:bCs/>
          <w:color w:val="auto"/>
          <w:sz w:val="32"/>
          <w:highlight w:val="none"/>
        </w:rPr>
      </w:pPr>
    </w:p>
    <w:p w14:paraId="30425C20">
      <w:pPr>
        <w:pStyle w:val="264"/>
        <w:ind w:firstLine="0"/>
        <w:jc w:val="center"/>
        <w:rPr>
          <w:rFonts w:hint="eastAsia"/>
          <w:b/>
          <w:bCs/>
          <w:color w:val="auto"/>
          <w:sz w:val="32"/>
          <w:highlight w:val="none"/>
        </w:rPr>
      </w:pPr>
    </w:p>
    <w:p w14:paraId="4C74137F">
      <w:pPr>
        <w:pStyle w:val="264"/>
        <w:ind w:firstLine="0"/>
        <w:jc w:val="center"/>
        <w:rPr>
          <w:rFonts w:hint="eastAsia"/>
          <w:b/>
          <w:bCs/>
          <w:color w:val="auto"/>
          <w:sz w:val="32"/>
          <w:highlight w:val="none"/>
        </w:rPr>
      </w:pPr>
    </w:p>
    <w:p w14:paraId="6DD24D2E">
      <w:pPr>
        <w:pStyle w:val="264"/>
        <w:ind w:firstLine="0"/>
        <w:jc w:val="center"/>
        <w:rPr>
          <w:rFonts w:hint="eastAsia"/>
          <w:b/>
          <w:bCs/>
          <w:color w:val="auto"/>
          <w:sz w:val="32"/>
          <w:highlight w:val="none"/>
        </w:rPr>
      </w:pPr>
    </w:p>
    <w:p w14:paraId="5063598E">
      <w:pPr>
        <w:pStyle w:val="367"/>
        <w:spacing w:line="520" w:lineRule="exact"/>
        <w:ind w:firstLine="1807" w:firstLineChars="600"/>
        <w:jc w:val="left"/>
        <w:rPr>
          <w:rFonts w:hint="default"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采 购 人：金湖县农业农村局</w:t>
      </w:r>
    </w:p>
    <w:p w14:paraId="754F5BE8">
      <w:pPr>
        <w:pStyle w:val="367"/>
        <w:spacing w:line="520" w:lineRule="exact"/>
        <w:ind w:firstLine="1807" w:firstLineChars="600"/>
        <w:jc w:val="left"/>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代理机构：中企华建友工程管理有限公司</w:t>
      </w:r>
    </w:p>
    <w:p w14:paraId="666E46BB">
      <w:pPr>
        <w:pStyle w:val="264"/>
        <w:ind w:firstLine="1807" w:firstLineChars="600"/>
        <w:jc w:val="both"/>
        <w:rPr>
          <w:rFonts w:hint="eastAsia"/>
          <w:b/>
          <w:bCs/>
          <w:color w:val="auto"/>
          <w:sz w:val="32"/>
          <w:highlight w:val="none"/>
        </w:rPr>
      </w:pPr>
      <w:r>
        <w:rPr>
          <w:rFonts w:hint="eastAsia" w:ascii="宋体" w:hAnsi="宋体" w:eastAsia="宋体" w:cs="宋体"/>
          <w:b/>
          <w:bCs/>
          <w:color w:val="auto"/>
          <w:sz w:val="30"/>
          <w:szCs w:val="30"/>
          <w:highlight w:val="none"/>
          <w:lang w:val="en-US" w:eastAsia="zh-CN" w:bidi="ar-SA"/>
        </w:rPr>
        <w:t>日    期：二〇二六年</w:t>
      </w:r>
      <w:r>
        <w:rPr>
          <w:rFonts w:hint="eastAsia" w:ascii="宋体" w:hAnsi="宋体" w:cs="宋体"/>
          <w:b/>
          <w:bCs/>
          <w:color w:val="auto"/>
          <w:sz w:val="30"/>
          <w:szCs w:val="30"/>
          <w:highlight w:val="none"/>
          <w:lang w:val="en-US" w:eastAsia="zh-CN" w:bidi="ar-SA"/>
        </w:rPr>
        <w:t>十</w:t>
      </w:r>
      <w:r>
        <w:rPr>
          <w:rFonts w:hint="eastAsia" w:ascii="宋体" w:hAnsi="宋体" w:eastAsia="宋体" w:cs="宋体"/>
          <w:b/>
          <w:bCs/>
          <w:color w:val="auto"/>
          <w:sz w:val="30"/>
          <w:szCs w:val="30"/>
          <w:highlight w:val="none"/>
          <w:lang w:val="en-US" w:eastAsia="zh-CN" w:bidi="ar-SA"/>
        </w:rPr>
        <w:t>月</w:t>
      </w:r>
    </w:p>
    <w:p w14:paraId="3BEA17CB">
      <w:pPr>
        <w:jc w:val="both"/>
        <w:rPr>
          <w:rFonts w:hint="eastAsia" w:ascii="宋体" w:hAnsi="宋体" w:cs="宋体"/>
          <w:b/>
          <w:bCs/>
          <w:color w:val="auto"/>
          <w:sz w:val="44"/>
          <w:szCs w:val="32"/>
          <w:highlight w:val="none"/>
        </w:rPr>
      </w:pPr>
    </w:p>
    <w:p w14:paraId="6D316EA9">
      <w:pPr>
        <w:ind w:firstLine="3534"/>
        <w:jc w:val="both"/>
        <w:rPr>
          <w:rFonts w:hint="eastAsia" w:ascii="宋体" w:hAnsi="宋体" w:cs="宋体"/>
          <w:b/>
          <w:bCs/>
          <w:color w:val="auto"/>
          <w:sz w:val="44"/>
          <w:szCs w:val="32"/>
          <w:highlight w:val="none"/>
        </w:rPr>
      </w:pPr>
      <w:r>
        <w:rPr>
          <w:rFonts w:hint="eastAsia" w:ascii="宋体" w:hAnsi="宋体" w:cs="宋体"/>
          <w:b/>
          <w:bCs/>
          <w:color w:val="auto"/>
          <w:sz w:val="44"/>
          <w:szCs w:val="32"/>
          <w:highlight w:val="none"/>
        </w:rPr>
        <w:t>目  录</w:t>
      </w:r>
    </w:p>
    <w:p w14:paraId="1248819C">
      <w:pPr>
        <w:pStyle w:val="262"/>
        <w:keepNext w:val="0"/>
        <w:keepLines w:val="0"/>
        <w:pageBreakBefore w:val="0"/>
        <w:tabs>
          <w:tab w:val="right" w:leader="dot" w:pos="9540"/>
        </w:tabs>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_Toc24195_WPSOffice_Level1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谈判邀请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p>
    <w:p w14:paraId="6CFFB9C3">
      <w:pPr>
        <w:pStyle w:val="262"/>
        <w:keepNext w:val="0"/>
        <w:keepLines w:val="0"/>
        <w:pageBreakBefore w:val="0"/>
        <w:tabs>
          <w:tab w:val="right" w:leader="dot" w:pos="9540"/>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_Toc12470_WPSOffice_Level1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谈判供应商须知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p>
    <w:p w14:paraId="24CA652A">
      <w:pPr>
        <w:pStyle w:val="262"/>
        <w:keepNext w:val="0"/>
        <w:keepLines w:val="0"/>
        <w:pageBreakBefore w:val="0"/>
        <w:tabs>
          <w:tab w:val="right" w:leader="dot" w:pos="9540"/>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_Toc8139_WPSOffice_Level1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第三章  成交标准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p>
    <w:p w14:paraId="48C2EA24">
      <w:pPr>
        <w:pStyle w:val="262"/>
        <w:keepNext w:val="0"/>
        <w:keepLines w:val="0"/>
        <w:pageBreakBefore w:val="0"/>
        <w:tabs>
          <w:tab w:val="right" w:leader="dot" w:pos="9540"/>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_Toc11567_WPSOffice_Level1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合同格式及条款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p>
    <w:p w14:paraId="4BB3E911">
      <w:pPr>
        <w:pStyle w:val="262"/>
        <w:keepNext w:val="0"/>
        <w:keepLines w:val="0"/>
        <w:pageBreakBefore w:val="0"/>
        <w:tabs>
          <w:tab w:val="right" w:leader="dot" w:pos="9540"/>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_Toc4620_WPSOffice_Level1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项目采购需求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p>
    <w:p w14:paraId="356B7D34">
      <w:pPr>
        <w:pStyle w:val="262"/>
        <w:keepNext w:val="0"/>
        <w:keepLines w:val="0"/>
        <w:pageBreakBefore w:val="0"/>
        <w:tabs>
          <w:tab w:val="right" w:leader="dot" w:pos="9540"/>
        </w:tabs>
        <w:spacing w:line="360" w:lineRule="auto"/>
        <w:rPr>
          <w:rFonts w:hint="eastAsia" w:ascii="宋体" w:hAnsi="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_Toc4620_WPSOffice_Level1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六</w:t>
      </w:r>
      <w:r>
        <w:rPr>
          <w:rFonts w:hint="eastAsia" w:ascii="宋体" w:hAnsi="宋体" w:eastAsia="宋体" w:cs="宋体"/>
          <w:color w:val="auto"/>
          <w:sz w:val="28"/>
          <w:szCs w:val="28"/>
          <w:highlight w:val="none"/>
        </w:rPr>
        <w:t xml:space="preserve">章  </w:t>
      </w:r>
      <w:r>
        <w:rPr>
          <w:rFonts w:hint="eastAsia" w:ascii="宋体" w:hAnsi="宋体" w:eastAsia="宋体" w:cs="宋体"/>
          <w:color w:val="auto"/>
          <w:sz w:val="28"/>
          <w:szCs w:val="28"/>
          <w:highlight w:val="none"/>
          <w:lang w:val="en-US" w:eastAsia="zh-CN"/>
        </w:rPr>
        <w:t>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p>
    <w:p w14:paraId="591B5E27">
      <w:pPr>
        <w:pStyle w:val="33"/>
        <w:keepNext w:val="0"/>
        <w:keepLines w:val="0"/>
        <w:pageBreakBefore w:val="0"/>
        <w:spacing w:line="360" w:lineRule="auto"/>
        <w:ind w:right="298" w:firstLine="560"/>
        <w:rPr>
          <w:rFonts w:hint="eastAsia" w:ascii="宋体" w:hAnsi="宋体" w:cs="宋体"/>
          <w:b/>
          <w:bCs/>
          <w:color w:val="auto"/>
          <w:sz w:val="28"/>
          <w:szCs w:val="28"/>
          <w:highlight w:val="none"/>
        </w:rPr>
      </w:pPr>
      <w:r>
        <w:rPr>
          <w:rFonts w:hint="eastAsia" w:ascii="宋体" w:hAnsi="宋体" w:cs="宋体"/>
          <w:color w:val="auto"/>
          <w:sz w:val="28"/>
          <w:szCs w:val="28"/>
          <w:highlight w:val="none"/>
        </w:rPr>
        <w:fldChar w:fldCharType="end"/>
      </w:r>
    </w:p>
    <w:p w14:paraId="7B95D451">
      <w:pPr>
        <w:keepNext w:val="0"/>
        <w:keepLines w:val="0"/>
        <w:pageBreakBefore w:val="0"/>
        <w:spacing w:line="360" w:lineRule="auto"/>
        <w:ind w:firstLine="2378"/>
        <w:outlineLvl w:val="0"/>
        <w:rPr>
          <w:rFonts w:hint="eastAsia" w:ascii="宋体" w:hAnsi="宋体" w:cs="宋体"/>
          <w:b/>
          <w:color w:val="auto"/>
          <w:sz w:val="28"/>
          <w:szCs w:val="28"/>
          <w:highlight w:val="none"/>
        </w:rPr>
        <w:sectPr>
          <w:headerReference r:id="rId3" w:type="default"/>
          <w:footerReference r:id="rId4" w:type="default"/>
          <w:pgSz w:w="11906" w:h="16838"/>
          <w:pgMar w:top="1440" w:right="1080" w:bottom="1440" w:left="1080" w:header="851" w:footer="1191" w:gutter="0"/>
          <w:pgNumType w:start="1"/>
          <w:cols w:space="1701" w:num="1"/>
          <w:docGrid w:linePitch="360" w:charSpace="0"/>
        </w:sectPr>
      </w:pPr>
    </w:p>
    <w:p w14:paraId="5404565A">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第一章 </w:t>
      </w:r>
      <w:r>
        <w:rPr>
          <w:rFonts w:hint="eastAsia" w:ascii="宋体" w:hAnsi="宋体" w:cs="宋体"/>
          <w:b/>
          <w:bCs/>
          <w:color w:val="auto"/>
          <w:sz w:val="32"/>
          <w:szCs w:val="32"/>
          <w:highlight w:val="none"/>
          <w:lang w:val="en-US" w:eastAsia="zh-CN"/>
        </w:rPr>
        <w:t>谈判</w:t>
      </w:r>
      <w:r>
        <w:rPr>
          <w:rFonts w:ascii="宋体" w:hAnsi="宋体" w:cs="宋体"/>
          <w:b/>
          <w:bCs/>
          <w:color w:val="auto"/>
          <w:sz w:val="32"/>
          <w:szCs w:val="32"/>
          <w:highlight w:val="none"/>
        </w:rPr>
        <w:t>邀请</w:t>
      </w:r>
    </w:p>
    <w:p w14:paraId="37D7BFC9">
      <w:pPr>
        <w:pStyle w:val="21"/>
        <w:jc w:val="both"/>
        <w:rPr>
          <w:color w:val="auto"/>
          <w:highlight w:val="none"/>
        </w:rPr>
      </w:pPr>
    </w:p>
    <w:tbl>
      <w:tblPr>
        <w:tblStyle w:val="51"/>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632"/>
      </w:tblGrid>
      <w:tr w14:paraId="4BE49F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36" w:hRule="atLeast"/>
        </w:trPr>
        <w:tc>
          <w:tcPr>
            <w:tcW w:w="975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1240F0D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项目概况</w:t>
            </w:r>
          </w:p>
          <w:p w14:paraId="47DFF5D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80"/>
              <w:jc w:val="left"/>
              <w:rPr>
                <w:rFonts w:hint="default"/>
                <w:color w:val="auto"/>
                <w:highlight w:val="none"/>
              </w:rPr>
            </w:pPr>
            <w:r>
              <w:rPr>
                <w:rFonts w:hint="eastAsia" w:ascii="宋体" w:hAnsi="宋体" w:cs="宋体"/>
                <w:color w:val="auto"/>
                <w:sz w:val="24"/>
                <w:highlight w:val="none"/>
                <w:lang w:eastAsia="zh-CN"/>
              </w:rPr>
              <w:t>2026年金湖县南桥农业社会化服务综合体项目</w:t>
            </w:r>
            <w:r>
              <w:rPr>
                <w:rFonts w:hint="eastAsia" w:ascii="宋体" w:hAnsi="宋体" w:cs="宋体"/>
                <w:color w:val="auto"/>
                <w:sz w:val="24"/>
                <w:highlight w:val="none"/>
                <w:u w:val="single"/>
                <w:lang w:val="en-US" w:eastAsia="zh-CN"/>
              </w:rPr>
              <w:t xml:space="preserve"> JSZC-320831-ZQHJ-T2026-0043</w:t>
            </w:r>
            <w:r>
              <w:rPr>
                <w:rFonts w:hint="eastAsia" w:ascii="宋体" w:hAnsi="宋体" w:cs="宋体"/>
                <w:color w:val="auto"/>
                <w:sz w:val="24"/>
                <w:highlight w:val="none"/>
              </w:rPr>
              <w:t>采购项目的潜在供应商应在江苏政府采购网或淮安市政府采购网获取采购文件，并于202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13 09</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0（北京时间）前提交响应文件。</w:t>
            </w:r>
          </w:p>
        </w:tc>
      </w:tr>
    </w:tbl>
    <w:p w14:paraId="7C97B92A">
      <w:pPr>
        <w:pBdr>
          <w:top w:val="none" w:color="000000" w:sz="0" w:space="0"/>
          <w:left w:val="none" w:color="000000" w:sz="0" w:space="0"/>
          <w:bottom w:val="none" w:color="000000" w:sz="0" w:space="0"/>
          <w:right w:val="none" w:color="000000" w:sz="0" w:space="0"/>
        </w:pBd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1、项目基本情况</w:t>
      </w:r>
    </w:p>
    <w:p w14:paraId="0909494A">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项目编号：JSZC-320831-ZQHJ-T2026-0043</w:t>
      </w:r>
    </w:p>
    <w:p w14:paraId="19EDF8D6">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2026年金湖县南桥农业社会化服务综合体项目</w:t>
      </w:r>
    </w:p>
    <w:p w14:paraId="3022E28B">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lang w:val="en-US" w:eastAsia="zh-CN"/>
        </w:rPr>
      </w:pPr>
      <w:r>
        <w:rPr>
          <w:rFonts w:hint="eastAsia" w:ascii="宋体" w:hAnsi="宋体" w:cs="宋体"/>
          <w:color w:val="auto"/>
          <w:sz w:val="24"/>
          <w:highlight w:val="none"/>
        </w:rPr>
        <w:t>采购方式：竞争性</w:t>
      </w:r>
      <w:r>
        <w:rPr>
          <w:rFonts w:hint="eastAsia" w:ascii="宋体" w:hAnsi="宋体" w:cs="宋体"/>
          <w:color w:val="auto"/>
          <w:sz w:val="24"/>
          <w:highlight w:val="none"/>
          <w:lang w:val="en-US" w:eastAsia="zh-CN"/>
        </w:rPr>
        <w:t>谈判</w:t>
      </w:r>
    </w:p>
    <w:p w14:paraId="6EF68953">
      <w:pPr>
        <w:pStyle w:val="260"/>
        <w:spacing w:line="360" w:lineRule="auto"/>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预算金额：350万元</w:t>
      </w:r>
    </w:p>
    <w:p w14:paraId="34BB3878">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最高限价</w:t>
      </w:r>
      <w:r>
        <w:rPr>
          <w:rFonts w:hint="eastAsia" w:ascii="宋体" w:hAnsi="宋体" w:cs="宋体"/>
          <w:color w:val="auto"/>
          <w:sz w:val="24"/>
          <w:highlight w:val="none"/>
          <w:lang w:val="en-US" w:eastAsia="zh-CN"/>
        </w:rPr>
        <w:t>：350万元。</w:t>
      </w:r>
      <w:r>
        <w:rPr>
          <w:rFonts w:hint="eastAsia" w:ascii="宋体" w:hAnsi="宋体" w:cs="宋体"/>
          <w:color w:val="auto"/>
          <w:sz w:val="24"/>
          <w:highlight w:val="none"/>
        </w:rPr>
        <w:t>投标报价不得超过最高限价，否则作</w:t>
      </w:r>
      <w:r>
        <w:rPr>
          <w:rFonts w:hint="eastAsia" w:ascii="宋体" w:hAnsi="宋体" w:cs="宋体"/>
          <w:color w:val="auto"/>
          <w:sz w:val="24"/>
          <w:highlight w:val="none"/>
          <w:lang w:val="en-US" w:eastAsia="zh-CN"/>
        </w:rPr>
        <w:t>无效响应文件</w:t>
      </w:r>
      <w:r>
        <w:rPr>
          <w:rFonts w:hint="eastAsia" w:ascii="宋体" w:hAnsi="宋体" w:cs="宋体"/>
          <w:color w:val="auto"/>
          <w:sz w:val="24"/>
          <w:highlight w:val="none"/>
        </w:rPr>
        <w:t>处理。</w:t>
      </w:r>
    </w:p>
    <w:p w14:paraId="399DA3A2">
      <w:pPr>
        <w:keepNext w:val="0"/>
        <w:keepLines w:val="0"/>
        <w:pageBreakBefore w:val="0"/>
        <w:widowControl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采购需求：</w:t>
      </w:r>
      <w:r>
        <w:rPr>
          <w:rFonts w:hint="eastAsia" w:ascii="宋体" w:hAnsi="宋体" w:cs="宋体"/>
          <w:color w:val="auto"/>
          <w:sz w:val="24"/>
          <w:highlight w:val="none"/>
          <w:lang w:val="en-US" w:eastAsia="zh-CN"/>
        </w:rPr>
        <w:t>本项目拟</w:t>
      </w:r>
      <w:r>
        <w:rPr>
          <w:rFonts w:hint="eastAsia" w:ascii="宋体" w:hAnsi="宋体" w:cs="宋体"/>
          <w:color w:val="auto"/>
          <w:sz w:val="24"/>
          <w:highlight w:val="none"/>
          <w:lang w:eastAsia="zh-CN"/>
        </w:rPr>
        <w:t>采购大米加工设备一套，主要建设大米加工生产线。</w:t>
      </w:r>
      <w:r>
        <w:rPr>
          <w:rFonts w:hint="eastAsia" w:ascii="宋体" w:hAnsi="宋体" w:cs="宋体"/>
          <w:color w:val="auto"/>
          <w:sz w:val="24"/>
          <w:highlight w:val="none"/>
          <w:lang w:val="en-US" w:eastAsia="zh-CN"/>
        </w:rPr>
        <w:t>具体内容</w:t>
      </w:r>
      <w:r>
        <w:rPr>
          <w:rFonts w:hint="eastAsia" w:ascii="宋体" w:hAnsi="宋体" w:cs="宋体"/>
          <w:color w:val="auto"/>
          <w:sz w:val="24"/>
          <w:highlight w:val="none"/>
        </w:rPr>
        <w:t>详见</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采购需求。</w:t>
      </w:r>
    </w:p>
    <w:p w14:paraId="02277B1C">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eastAsia="宋体" w:cs="宋体"/>
          <w:color w:val="auto"/>
          <w:sz w:val="24"/>
          <w:highlight w:val="none"/>
          <w:lang w:val="en-US"/>
        </w:rPr>
        <w:t>合同履行期限</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160日历天。</w:t>
      </w:r>
      <w:r>
        <w:rPr>
          <w:rFonts w:hint="eastAsia" w:ascii="宋体" w:hAnsi="宋体" w:cs="宋体"/>
          <w:color w:val="auto"/>
          <w:sz w:val="24"/>
          <w:highlight w:val="none"/>
        </w:rPr>
        <w:t>设备制造周期90</w:t>
      </w:r>
      <w:r>
        <w:rPr>
          <w:rFonts w:hint="eastAsia" w:ascii="宋体" w:hAnsi="宋体" w:cs="宋体"/>
          <w:color w:val="auto"/>
          <w:sz w:val="24"/>
          <w:highlight w:val="none"/>
          <w:lang w:val="en-US" w:eastAsia="zh-CN"/>
        </w:rPr>
        <w:t>日历</w:t>
      </w:r>
      <w:r>
        <w:rPr>
          <w:rFonts w:hint="eastAsia" w:ascii="宋体" w:hAnsi="宋体" w:cs="宋体"/>
          <w:color w:val="auto"/>
          <w:sz w:val="24"/>
          <w:highlight w:val="none"/>
        </w:rPr>
        <w:t>天（预付款到后开始计算），安装周期70</w:t>
      </w:r>
      <w:r>
        <w:rPr>
          <w:rFonts w:hint="eastAsia" w:ascii="宋体" w:hAnsi="宋体" w:cs="宋体"/>
          <w:color w:val="auto"/>
          <w:sz w:val="24"/>
          <w:highlight w:val="none"/>
          <w:lang w:val="en-US" w:eastAsia="zh-CN"/>
        </w:rPr>
        <w:t>日历</w:t>
      </w:r>
      <w:r>
        <w:rPr>
          <w:rFonts w:hint="eastAsia" w:ascii="宋体" w:hAnsi="宋体" w:cs="宋体"/>
          <w:color w:val="auto"/>
          <w:sz w:val="24"/>
          <w:highlight w:val="none"/>
        </w:rPr>
        <w:t>天</w:t>
      </w:r>
      <w:r>
        <w:rPr>
          <w:rFonts w:hint="eastAsia" w:ascii="宋体" w:hAnsi="宋体" w:cs="宋体"/>
          <w:color w:val="auto"/>
          <w:sz w:val="24"/>
          <w:highlight w:val="none"/>
          <w:lang w:eastAsia="zh-CN"/>
        </w:rPr>
        <w:t>（包含设备出厂运输、货物现场卸货、就位、安装、调试直至设备验收合格的全部时间）</w:t>
      </w:r>
      <w:r>
        <w:rPr>
          <w:rFonts w:hint="eastAsia" w:ascii="宋体" w:hAnsi="宋体" w:cs="宋体"/>
          <w:color w:val="auto"/>
          <w:sz w:val="24"/>
          <w:highlight w:val="none"/>
        </w:rPr>
        <w:t>。</w:t>
      </w:r>
    </w:p>
    <w:p w14:paraId="59CDE45D">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本项目（是/否）接受联合体：</w:t>
      </w:r>
      <w:r>
        <w:rPr>
          <w:rFonts w:hint="eastAsia" w:ascii="宋体" w:hAnsi="宋体" w:cs="宋体"/>
          <w:color w:val="auto"/>
          <w:sz w:val="24"/>
          <w:highlight w:val="none"/>
          <w:lang w:val="en-US" w:eastAsia="zh-CN"/>
        </w:rPr>
        <w:t>否</w:t>
      </w:r>
    </w:p>
    <w:p w14:paraId="6055F1C4">
      <w:pPr>
        <w:pBdr>
          <w:top w:val="none" w:color="000000" w:sz="0" w:space="0"/>
          <w:left w:val="none" w:color="000000" w:sz="0" w:space="0"/>
          <w:bottom w:val="none" w:color="000000" w:sz="0" w:space="0"/>
          <w:right w:val="none" w:color="000000" w:sz="0" w:space="0"/>
        </w:pBdr>
        <w:spacing w:line="360" w:lineRule="auto"/>
        <w:ind w:left="420"/>
        <w:jc w:val="left"/>
        <w:rPr>
          <w:rFonts w:hint="eastAsia" w:ascii="宋体" w:hAnsi="宋体" w:cs="宋体"/>
          <w:b/>
          <w:bCs/>
          <w:color w:val="auto"/>
          <w:sz w:val="24"/>
          <w:highlight w:val="none"/>
        </w:rPr>
      </w:pPr>
      <w:r>
        <w:rPr>
          <w:rFonts w:hint="eastAsia" w:ascii="宋体" w:hAnsi="宋体" w:cs="宋体"/>
          <w:b/>
          <w:bCs/>
          <w:color w:val="auto"/>
          <w:sz w:val="24"/>
          <w:highlight w:val="none"/>
        </w:rPr>
        <w:t>2、供应商的资格要求</w:t>
      </w:r>
    </w:p>
    <w:p w14:paraId="40817356">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（一）符合《中华人民共和国政府采购法》第二十二条规定的六项条件；</w:t>
      </w:r>
    </w:p>
    <w:p w14:paraId="0750CBF2">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（二）落实政府采购政策需满足的资格要求：</w:t>
      </w:r>
    </w:p>
    <w:p w14:paraId="1306D30C">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本项目按照以下第</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lang w:val="en-US" w:eastAsia="zh-CN"/>
        </w:rPr>
        <w:t>种方式落实政府采购促进中小企业发展的要求：</w:t>
      </w:r>
    </w:p>
    <w:p w14:paraId="5C901F3E">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1.本项目为专门面向中小企业采购的项目。</w:t>
      </w:r>
    </w:p>
    <w:p w14:paraId="77591FD2">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2.本项目通过以下第（ ）种方式预留部分采购份额采购中小企业服务：</w:t>
      </w:r>
    </w:p>
    <w:p w14:paraId="7072B365">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（1）本项目要求供应商以联合体形式参加，中小企业合同金额应当达到的比例为/%，其中小微企业所占比例应为/%（两项比例均应符合《政府采购促进中小企业发展管理办法》第八条规定）。</w:t>
      </w:r>
    </w:p>
    <w:p w14:paraId="7975AE19">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（2）本项目要求供应商进行合同分包，中小企业合同金额应当达到的比例为/%，其中小微企业所占比例应为/%（两项比例均应符合《政府采购促进中小企业发展管理办法》第八条规定）。</w:t>
      </w:r>
    </w:p>
    <w:p w14:paraId="4F6C6F20">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3.本项目为非预留份额的采购项目，对小微企业报价给予扣除，用扣除后的价格参加评审，具体详见第二章供应商须知。</w:t>
      </w:r>
    </w:p>
    <w:p w14:paraId="2B888A29">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注:监狱企业、残疾人福利性单位视同小微企业。</w:t>
      </w:r>
    </w:p>
    <w:p w14:paraId="593633EC">
      <w:pPr>
        <w:pStyle w:val="372"/>
        <w:ind w:firstLine="241" w:firstLineChars="100"/>
        <w:rPr>
          <w:rFonts w:hint="eastAsia" w:ascii="宋体" w:hAnsi="宋体" w:eastAsia="宋体" w:cs="宋体"/>
          <w:color w:val="auto"/>
          <w:sz w:val="24"/>
          <w:szCs w:val="24"/>
          <w:highlight w:val="none"/>
          <w:lang w:val="en-US" w:eastAsia="zh-CN"/>
        </w:rPr>
      </w:pPr>
      <w:r>
        <w:rPr>
          <w:rFonts w:hint="eastAsia" w:cs="宋体"/>
          <w:b/>
          <w:bCs/>
          <w:color w:val="auto"/>
          <w:sz w:val="24"/>
          <w:highlight w:val="none"/>
        </w:rPr>
        <w:t>本项目采购标的对应的中小企业划分标准所属行业为</w:t>
      </w:r>
      <w:r>
        <w:rPr>
          <w:rFonts w:hint="eastAsia" w:cs="宋体"/>
          <w:b/>
          <w:bCs/>
          <w:color w:val="auto"/>
          <w:sz w:val="24"/>
          <w:highlight w:val="none"/>
          <w:u w:val="single"/>
          <w:lang w:val="en-US" w:eastAsia="zh-CN"/>
        </w:rPr>
        <w:t>工业</w:t>
      </w:r>
      <w:r>
        <w:rPr>
          <w:rFonts w:hint="eastAsia" w:cs="宋体"/>
          <w:b/>
          <w:bCs/>
          <w:color w:val="auto"/>
          <w:sz w:val="24"/>
          <w:highlight w:val="none"/>
          <w:u w:val="single"/>
        </w:rPr>
        <w:t>。</w:t>
      </w:r>
    </w:p>
    <w:p w14:paraId="581F8A7F">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（三）本项目</w:t>
      </w:r>
      <w:r>
        <w:rPr>
          <w:rFonts w:hint="eastAsia" w:ascii="宋体" w:hAnsi="宋体" w:eastAsia="宋体" w:cs="宋体"/>
          <w:color w:val="auto"/>
          <w:sz w:val="24"/>
          <w:szCs w:val="24"/>
          <w:highlight w:val="none"/>
          <w:u w:val="single"/>
          <w:lang w:val="en-US" w:eastAsia="zh-CN"/>
        </w:rPr>
        <w:t>不接受</w:t>
      </w:r>
      <w:r>
        <w:rPr>
          <w:rFonts w:hint="eastAsia" w:ascii="宋体" w:hAnsi="宋体" w:eastAsia="宋体" w:cs="宋体"/>
          <w:color w:val="auto"/>
          <w:sz w:val="24"/>
          <w:szCs w:val="24"/>
          <w:highlight w:val="none"/>
          <w:lang w:val="en-US" w:eastAsia="zh-CN"/>
        </w:rPr>
        <w:t>联合体供应商参加谈判。</w:t>
      </w:r>
    </w:p>
    <w:p w14:paraId="3532344F">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（四）拒绝符合下述条件的供应商参加本次采购活动：</w:t>
      </w:r>
    </w:p>
    <w:p w14:paraId="2E329EF9">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1.供应商单位负责人为同一人或者存在直接控股、管理关系的不同供应商，不得同时参加同一合同项下的政府采购活动；</w:t>
      </w:r>
    </w:p>
    <w:p w14:paraId="5E1777F7">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2.凡为采购项目提供整体设计、规范编制或者项目管理、监理、检测等服务的供应商，不得再参加本项目的采购活动； </w:t>
      </w:r>
    </w:p>
    <w:p w14:paraId="50378CA4">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3.被“信用中国”网站、“中国政府采购网”列入失信被执行人、重大税收违法案件当事人名单、政府采购严重违法失信行为记录名单的供应商，不得参加本项目的采购活动。</w:t>
      </w:r>
    </w:p>
    <w:p w14:paraId="2995218D">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采购人（代理机构）通过“信用中国”网站、“中国政府采购网”网站等渠道查询供应商在采购公告发布之日前的信用记录并保存，查询结果以网页打印的形式留存并归档。</w:t>
      </w:r>
    </w:p>
    <w:p w14:paraId="38049A77">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（五）谈判供应商提供下列之一 ：</w:t>
      </w:r>
    </w:p>
    <w:p w14:paraId="4C6038B6">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1.供应商法定代表人参加谈判的，提供法定代表人资格证明（格式按照示范格式一要求）和法定代表人有效身份证；</w:t>
      </w:r>
    </w:p>
    <w:p w14:paraId="2AB6194F">
      <w:pPr>
        <w:pStyle w:val="85"/>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2.供应商授权委托人参加谈判的，提供授权委托书（格式按照示范格式二要求）和受托人有效身份证。</w:t>
      </w:r>
    </w:p>
    <w:p w14:paraId="2FBF5897">
      <w:pPr>
        <w:pStyle w:val="85"/>
        <w:spacing w:line="360" w:lineRule="auto"/>
        <w:ind w:lef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（六）本项目的特定资格要求：无。</w:t>
      </w:r>
    </w:p>
    <w:p w14:paraId="66A85806">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三、获取采购文件</w:t>
      </w:r>
    </w:p>
    <w:p w14:paraId="5C1809E6">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时间：自谈判文件公告发布之日起3个工作日 </w:t>
      </w:r>
    </w:p>
    <w:p w14:paraId="729640E4">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地点：江苏政府采购网或淮安市政府采购网</w:t>
      </w:r>
    </w:p>
    <w:p w14:paraId="420389E0">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方式：江苏政府采购网或淮安市政府采购网</w:t>
      </w:r>
    </w:p>
    <w:p w14:paraId="6EEF847A">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售价：0.00元</w:t>
      </w:r>
    </w:p>
    <w:p w14:paraId="446263F4">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四、响应文件提交</w:t>
      </w:r>
    </w:p>
    <w:p w14:paraId="653F6F71">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截止时间：</w:t>
      </w:r>
      <w:r>
        <w:rPr>
          <w:rFonts w:hint="eastAsia" w:ascii="宋体" w:hAnsi="宋体" w:cs="宋体"/>
          <w:color w:val="auto"/>
          <w:sz w:val="24"/>
          <w:highlight w:val="none"/>
          <w:lang w:val="en-US" w:eastAsia="zh-CN"/>
        </w:rPr>
        <w:t>2026-10-13</w:t>
      </w:r>
      <w:r>
        <w:rPr>
          <w:rFonts w:hint="eastAsia" w:ascii="宋体" w:hAnsi="宋体" w:cs="宋体"/>
          <w:strike w:val="0"/>
          <w:dstrike w:val="0"/>
          <w:color w:val="auto"/>
          <w:sz w:val="24"/>
          <w:highlight w:val="none"/>
          <w:u w:val="none"/>
          <w:lang w:val="en-US" w:eastAsia="zh-CN"/>
        </w:rPr>
        <w:t xml:space="preserve"> 09</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0（北京时间）</w:t>
      </w:r>
    </w:p>
    <w:p w14:paraId="67EA4974">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地点：“苏采云”政府采购交易系统网上开标大厅。</w:t>
      </w:r>
    </w:p>
    <w:p w14:paraId="4715B169">
      <w:pPr>
        <w:pBdr>
          <w:top w:val="none" w:color="000000" w:sz="0" w:space="0"/>
          <w:left w:val="none" w:color="000000" w:sz="0" w:space="0"/>
          <w:bottom w:val="none" w:color="000000" w:sz="0" w:space="0"/>
          <w:right w:val="none" w:color="000000" w:sz="0" w:space="0"/>
        </w:pBdr>
        <w:spacing w:line="360" w:lineRule="auto"/>
        <w:ind w:left="420"/>
        <w:jc w:val="left"/>
        <w:rPr>
          <w:rFonts w:hint="eastAsia" w:ascii="宋体" w:hAnsi="宋体" w:cs="宋体"/>
          <w:strike w:val="0"/>
          <w:dstrike w:val="0"/>
          <w:color w:val="auto"/>
          <w:sz w:val="24"/>
          <w:highlight w:val="none"/>
        </w:rPr>
      </w:pPr>
      <w:r>
        <w:rPr>
          <w:rFonts w:hint="eastAsia" w:ascii="宋体" w:hAnsi="宋体" w:cs="宋体"/>
          <w:color w:val="auto"/>
          <w:sz w:val="24"/>
          <w:highlight w:val="none"/>
        </w:rPr>
        <w:t>五、开</w:t>
      </w:r>
      <w:r>
        <w:rPr>
          <w:rFonts w:hint="eastAsia" w:ascii="宋体" w:hAnsi="宋体" w:cs="宋体"/>
          <w:strike w:val="0"/>
          <w:dstrike w:val="0"/>
          <w:color w:val="auto"/>
          <w:sz w:val="24"/>
          <w:highlight w:val="none"/>
        </w:rPr>
        <w:t>启</w:t>
      </w:r>
    </w:p>
    <w:p w14:paraId="5D84DB69">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strike w:val="0"/>
          <w:dstrike w:val="0"/>
          <w:color w:val="auto"/>
          <w:sz w:val="24"/>
          <w:highlight w:val="none"/>
        </w:rPr>
        <w:t>时间：</w:t>
      </w:r>
      <w:r>
        <w:rPr>
          <w:rFonts w:hint="eastAsia" w:ascii="宋体" w:hAnsi="宋体" w:cs="宋体"/>
          <w:color w:val="auto"/>
          <w:sz w:val="24"/>
          <w:highlight w:val="none"/>
          <w:lang w:val="en-US" w:eastAsia="zh-CN"/>
        </w:rPr>
        <w:t>2026-10-13</w:t>
      </w:r>
      <w:r>
        <w:rPr>
          <w:rFonts w:hint="eastAsia" w:ascii="宋体" w:hAnsi="宋体" w:cs="宋体"/>
          <w:strike w:val="0"/>
          <w:dstrike w:val="0"/>
          <w:color w:val="auto"/>
          <w:sz w:val="24"/>
          <w:highlight w:val="none"/>
          <w:lang w:val="en-US" w:eastAsia="zh-CN"/>
        </w:rPr>
        <w:t xml:space="preserve"> </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0（北京时间）</w:t>
      </w:r>
    </w:p>
    <w:p w14:paraId="64A14F7E">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地点：金湖县金湖不见面开标大厅二室</w:t>
      </w:r>
    </w:p>
    <w:p w14:paraId="4E22BEE5">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六、公告期限</w:t>
      </w:r>
    </w:p>
    <w:p w14:paraId="17AC94E8">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自本公告发布之日起3个工作日。</w:t>
      </w:r>
    </w:p>
    <w:p w14:paraId="41ACA2C9">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七、其他补充事宜</w:t>
      </w:r>
    </w:p>
    <w:p w14:paraId="31CCD802">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1、本项目采用不见面电子</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投标。请</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供应商严格按照</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文件的规定编制、提交响应文件，否则所造成的一切后果由</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供应商自负。</w:t>
      </w:r>
    </w:p>
    <w:p w14:paraId="283CD649">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2、本项目无需</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保证金。</w:t>
      </w:r>
    </w:p>
    <w:p w14:paraId="3A1C33BD">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3、本项目仅采购非进口产品（注：本文件所称进口产品是指通过中国海关报关验放进入中国境内且产自关境外的产品）。</w:t>
      </w:r>
    </w:p>
    <w:p w14:paraId="3905ABBB">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4、采购代理（下称代理人）：采购人委托</w:t>
      </w:r>
      <w:r>
        <w:rPr>
          <w:rFonts w:hint="eastAsia" w:ascii="宋体" w:hAnsi="宋体" w:cs="宋体"/>
          <w:color w:val="auto"/>
          <w:sz w:val="24"/>
          <w:highlight w:val="none"/>
          <w:lang w:val="en-US" w:eastAsia="zh-CN"/>
        </w:rPr>
        <w:t>中企华建友工程管理有限公司</w:t>
      </w:r>
      <w:r>
        <w:rPr>
          <w:rFonts w:hint="eastAsia" w:ascii="宋体" w:hAnsi="宋体" w:cs="宋体"/>
          <w:color w:val="auto"/>
          <w:sz w:val="24"/>
          <w:highlight w:val="none"/>
        </w:rPr>
        <w:t>负责代理本次</w:t>
      </w:r>
      <w:r>
        <w:rPr>
          <w:rFonts w:hint="eastAsia" w:ascii="宋体" w:hAnsi="宋体" w:cs="宋体"/>
          <w:color w:val="auto"/>
          <w:sz w:val="24"/>
          <w:highlight w:val="none"/>
          <w:lang w:eastAsia="zh-CN"/>
        </w:rPr>
        <w:t>谈判</w:t>
      </w:r>
      <w:r>
        <w:rPr>
          <w:rFonts w:hint="eastAsia" w:ascii="宋体" w:hAnsi="宋体" w:cs="宋体"/>
          <w:color w:val="auto"/>
          <w:sz w:val="24"/>
          <w:highlight w:val="none"/>
        </w:rPr>
        <w:t>的相关事宜。</w:t>
      </w:r>
    </w:p>
    <w:p w14:paraId="2132267C">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5、采购代理费：</w:t>
      </w:r>
      <w:r>
        <w:rPr>
          <w:rFonts w:hint="eastAsia" w:ascii="宋体" w:hAnsi="宋体" w:cs="宋体"/>
          <w:color w:val="auto"/>
          <w:sz w:val="24"/>
          <w:highlight w:val="none"/>
          <w:lang w:eastAsia="zh-CN"/>
        </w:rPr>
        <w:t>参照苏政采协[2024]20号</w:t>
      </w:r>
      <w:r>
        <w:rPr>
          <w:rFonts w:hint="eastAsia" w:ascii="宋体" w:hAnsi="宋体" w:cs="宋体"/>
          <w:color w:val="auto"/>
          <w:sz w:val="24"/>
          <w:highlight w:val="none"/>
        </w:rPr>
        <w:t>文件规定标准的</w:t>
      </w:r>
      <w:r>
        <w:rPr>
          <w:rFonts w:hint="eastAsia" w:ascii="宋体" w:hAnsi="宋体" w:cs="宋体"/>
          <w:color w:val="auto"/>
          <w:sz w:val="24"/>
          <w:highlight w:val="none"/>
          <w:lang w:val="en-US" w:eastAsia="zh-CN"/>
        </w:rPr>
        <w:t>85</w:t>
      </w:r>
      <w:r>
        <w:rPr>
          <w:rFonts w:hint="eastAsia" w:ascii="宋体" w:hAnsi="宋体" w:cs="宋体"/>
          <w:color w:val="auto"/>
          <w:sz w:val="24"/>
          <w:highlight w:val="none"/>
        </w:rPr>
        <w:t>%为此次项目的</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费，</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人在领取</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通知书前向采购代理人一次性缴纳采购代理费。此费用包含在投标报价中，不单独列项。</w:t>
      </w:r>
    </w:p>
    <w:p w14:paraId="2B449C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ind w:firstLine="482"/>
        <w:jc w:val="lef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385D0AE6">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55A1842B">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、有关本次</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的事项若存在变动或修改，敬请及时关注采购人（代理机构）在“淮安市政府采购网”、“</w:t>
      </w:r>
      <w:r>
        <w:rPr>
          <w:rFonts w:hint="eastAsia" w:ascii="宋体" w:hAnsi="宋体" w:cs="宋体"/>
          <w:color w:val="auto"/>
          <w:sz w:val="24"/>
          <w:highlight w:val="none"/>
          <w:lang w:val="en-US" w:eastAsia="zh-CN"/>
        </w:rPr>
        <w:t>江苏政府采购网</w:t>
      </w:r>
      <w:r>
        <w:rPr>
          <w:rFonts w:hint="eastAsia" w:ascii="宋体" w:hAnsi="宋体" w:cs="宋体"/>
          <w:color w:val="auto"/>
          <w:sz w:val="24"/>
          <w:highlight w:val="none"/>
        </w:rPr>
        <w:t>”发布的更正公告。</w:t>
      </w:r>
    </w:p>
    <w:p w14:paraId="3C1DA257">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、本次</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不收取</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保证金。</w:t>
      </w:r>
    </w:p>
    <w:p w14:paraId="70B149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240" w:lineRule="exact"/>
        <w:ind w:firstLine="482"/>
        <w:jc w:val="left"/>
        <w:textAlignment w:val="auto"/>
        <w:rPr>
          <w:rFonts w:hint="eastAsia" w:ascii="宋体" w:hAnsi="宋体" w:cs="宋体"/>
          <w:color w:val="auto"/>
          <w:sz w:val="24"/>
          <w:highlight w:val="none"/>
        </w:rPr>
      </w:pPr>
      <w:r>
        <w:rPr>
          <w:rFonts w:hint="eastAsia" w:ascii="宋体" w:hAnsi="宋体" w:cs="宋体"/>
          <w:color w:val="auto"/>
          <w:sz w:val="24"/>
          <w:highlight w:val="none"/>
        </w:rPr>
        <w:t>八、凡对本次采购提出询问，请按以下方式联系</w:t>
      </w:r>
    </w:p>
    <w:p w14:paraId="13B8E8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ascii="宋体" w:hAnsi="宋体" w:cs="宋体"/>
          <w:color w:val="auto"/>
          <w:sz w:val="24"/>
          <w:highlight w:val="none"/>
        </w:rPr>
      </w:pPr>
      <w:r>
        <w:rPr>
          <w:rFonts w:ascii="宋体" w:hAnsi="宋体" w:cs="宋体"/>
          <w:color w:val="auto"/>
          <w:sz w:val="24"/>
          <w:highlight w:val="none"/>
        </w:rPr>
        <w:t>1、采购人信息</w:t>
      </w:r>
    </w:p>
    <w:p w14:paraId="2DA6FD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hint="eastAsia" w:ascii="宋体" w:hAnsi="宋体" w:cs="宋体"/>
          <w:color w:val="auto"/>
          <w:sz w:val="24"/>
          <w:highlight w:val="none"/>
          <w:lang w:eastAsia="zh-CN"/>
        </w:rPr>
      </w:pPr>
      <w:r>
        <w:rPr>
          <w:rFonts w:ascii="宋体" w:hAnsi="宋体" w:cs="宋体"/>
          <w:color w:val="auto"/>
          <w:sz w:val="24"/>
          <w:highlight w:val="none"/>
        </w:rPr>
        <w:t>单位名称：</w:t>
      </w:r>
      <w:r>
        <w:rPr>
          <w:rFonts w:hint="eastAsia" w:ascii="宋体" w:hAnsi="宋体" w:cs="宋体"/>
          <w:color w:val="auto"/>
          <w:sz w:val="24"/>
          <w:highlight w:val="none"/>
          <w:lang w:eastAsia="zh-CN"/>
        </w:rPr>
        <w:t>金湖县农业农村局</w:t>
      </w:r>
    </w:p>
    <w:p w14:paraId="2D1166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hint="default" w:ascii="宋体" w:hAnsi="宋体" w:eastAsia="宋体" w:cs="宋体"/>
          <w:color w:val="auto"/>
          <w:sz w:val="24"/>
          <w:highlight w:val="none"/>
          <w:lang w:val="en-US" w:eastAsia="zh-CN"/>
        </w:rPr>
      </w:pPr>
      <w:r>
        <w:rPr>
          <w:rFonts w:ascii="宋体" w:hAnsi="宋体" w:cs="宋体"/>
          <w:color w:val="auto"/>
          <w:sz w:val="24"/>
          <w:highlight w:val="none"/>
        </w:rPr>
        <w:t>单位地址：金湖县</w:t>
      </w:r>
      <w:r>
        <w:rPr>
          <w:rFonts w:hint="eastAsia" w:ascii="宋体" w:hAnsi="宋体" w:cs="宋体"/>
          <w:color w:val="auto"/>
          <w:sz w:val="24"/>
          <w:highlight w:val="none"/>
          <w:lang w:val="en-US" w:eastAsia="zh-CN"/>
        </w:rPr>
        <w:t>神华东路95号</w:t>
      </w:r>
    </w:p>
    <w:p w14:paraId="1FF981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联 系 人: </w:t>
      </w:r>
      <w:r>
        <w:rPr>
          <w:rFonts w:hint="eastAsia" w:ascii="宋体" w:hAnsi="宋体" w:cs="宋体"/>
          <w:color w:val="auto"/>
          <w:sz w:val="24"/>
          <w:highlight w:val="none"/>
          <w:lang w:val="en-US" w:eastAsia="zh-CN"/>
        </w:rPr>
        <w:t>万主任</w:t>
      </w:r>
    </w:p>
    <w:p w14:paraId="1517D0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联系电话: </w:t>
      </w:r>
      <w:r>
        <w:rPr>
          <w:rFonts w:hint="eastAsia" w:ascii="宋体" w:hAnsi="宋体" w:cs="宋体"/>
          <w:color w:val="auto"/>
          <w:sz w:val="24"/>
          <w:highlight w:val="none"/>
          <w:lang w:val="en-US" w:eastAsia="zh-CN"/>
        </w:rPr>
        <w:t>13776714007</w:t>
      </w:r>
    </w:p>
    <w:p w14:paraId="534BDF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ascii="宋体" w:hAnsi="宋体" w:cs="宋体"/>
          <w:color w:val="auto"/>
          <w:sz w:val="24"/>
          <w:highlight w:val="none"/>
        </w:rPr>
      </w:pPr>
      <w:r>
        <w:rPr>
          <w:rFonts w:ascii="宋体" w:hAnsi="宋体" w:cs="宋体"/>
          <w:color w:val="auto"/>
          <w:sz w:val="24"/>
          <w:highlight w:val="none"/>
        </w:rPr>
        <w:t>2、采购代理机构信息（如有）</w:t>
      </w:r>
    </w:p>
    <w:p w14:paraId="38FBA7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hint="default" w:ascii="宋体" w:hAnsi="宋体" w:cs="宋体"/>
          <w:color w:val="auto"/>
          <w:sz w:val="24"/>
          <w:highlight w:val="none"/>
          <w:lang w:val="en-US" w:eastAsia="zh-CN"/>
        </w:rPr>
      </w:pPr>
      <w:r>
        <w:rPr>
          <w:rFonts w:ascii="宋体" w:hAnsi="宋体" w:cs="宋体"/>
          <w:color w:val="auto"/>
          <w:sz w:val="24"/>
          <w:highlight w:val="none"/>
        </w:rPr>
        <w:t>单位名称：</w:t>
      </w:r>
      <w:r>
        <w:rPr>
          <w:rFonts w:hint="eastAsia" w:ascii="宋体" w:hAnsi="宋体" w:cs="宋体"/>
          <w:color w:val="auto"/>
          <w:sz w:val="24"/>
          <w:highlight w:val="none"/>
          <w:lang w:val="en-US" w:eastAsia="zh-CN"/>
        </w:rPr>
        <w:t>中企华建友工程管理有限公司</w:t>
      </w:r>
    </w:p>
    <w:p w14:paraId="069461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hint="eastAsia" w:ascii="宋体" w:hAnsi="宋体" w:cs="宋体"/>
          <w:color w:val="auto"/>
          <w:sz w:val="24"/>
          <w:highlight w:val="none"/>
          <w:lang w:val="en-US" w:eastAsia="zh-CN"/>
        </w:rPr>
      </w:pPr>
      <w:r>
        <w:rPr>
          <w:rFonts w:ascii="宋体" w:hAnsi="宋体" w:cs="宋体"/>
          <w:color w:val="auto"/>
          <w:sz w:val="24"/>
          <w:highlight w:val="none"/>
        </w:rPr>
        <w:t>单位地址：</w:t>
      </w:r>
      <w:r>
        <w:rPr>
          <w:rFonts w:hint="eastAsia" w:ascii="宋体" w:hAnsi="宋体" w:cs="宋体"/>
          <w:color w:val="auto"/>
          <w:sz w:val="24"/>
          <w:highlight w:val="none"/>
        </w:rPr>
        <w:t>金湖县衡阳路228号（商务中心）905室</w:t>
      </w:r>
    </w:p>
    <w:p w14:paraId="59CC83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hint="eastAsia" w:ascii="宋体" w:hAnsi="宋体" w:cs="宋体"/>
          <w:color w:val="auto"/>
          <w:sz w:val="24"/>
          <w:highlight w:val="none"/>
        </w:rPr>
      </w:pPr>
      <w:r>
        <w:rPr>
          <w:rFonts w:ascii="宋体" w:hAnsi="宋体" w:cs="宋体"/>
          <w:color w:val="auto"/>
          <w:sz w:val="24"/>
          <w:highlight w:val="none"/>
        </w:rPr>
        <w:t>联系方式：</w:t>
      </w:r>
      <w:r>
        <w:rPr>
          <w:rFonts w:hint="eastAsia" w:ascii="宋体" w:hAnsi="宋体" w:cs="宋体"/>
          <w:color w:val="auto"/>
          <w:sz w:val="24"/>
          <w:highlight w:val="none"/>
          <w:lang w:val="en-US" w:eastAsia="zh-CN"/>
        </w:rPr>
        <w:t>费工</w:t>
      </w:r>
      <w:r>
        <w:rPr>
          <w:rFonts w:hint="eastAsia" w:ascii="宋体" w:hAnsi="宋体" w:cs="宋体"/>
          <w:color w:val="auto"/>
          <w:sz w:val="24"/>
          <w:highlight w:val="none"/>
          <w:lang w:val="en-US" w:eastAsia="zh-CN"/>
        </w:rPr>
        <w:tab/>
      </w:r>
      <w:r>
        <w:rPr>
          <w:rFonts w:ascii="宋体" w:hAnsi="宋体" w:cs="宋体"/>
          <w:color w:val="auto"/>
          <w:sz w:val="24"/>
          <w:highlight w:val="none"/>
        </w:rPr>
        <w:t>   </w:t>
      </w:r>
    </w:p>
    <w:p w14:paraId="0B14F8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ascii="宋体" w:hAnsi="宋体" w:cs="宋体"/>
          <w:color w:val="auto"/>
          <w:sz w:val="24"/>
          <w:highlight w:val="none"/>
        </w:rPr>
      </w:pPr>
      <w:r>
        <w:rPr>
          <w:rFonts w:ascii="宋体" w:hAnsi="宋体" w:cs="宋体"/>
          <w:color w:val="auto"/>
          <w:sz w:val="24"/>
          <w:highlight w:val="none"/>
        </w:rPr>
        <w:t>电话：</w:t>
      </w:r>
      <w:r>
        <w:rPr>
          <w:rFonts w:hint="eastAsia" w:ascii="宋体" w:hAnsi="宋体" w:cs="宋体"/>
          <w:color w:val="auto"/>
          <w:sz w:val="24"/>
          <w:highlight w:val="none"/>
          <w:lang w:val="en-US" w:eastAsia="zh-CN"/>
        </w:rPr>
        <w:t>0517-86965566</w:t>
      </w:r>
      <w:r>
        <w:rPr>
          <w:rFonts w:ascii="宋体" w:hAnsi="宋体" w:cs="宋体"/>
          <w:color w:val="auto"/>
          <w:sz w:val="24"/>
          <w:highlight w:val="none"/>
        </w:rPr>
        <w:t>   </w:t>
      </w:r>
    </w:p>
    <w:p w14:paraId="291692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ascii="宋体" w:hAnsi="宋体" w:cs="宋体"/>
          <w:color w:val="auto"/>
          <w:sz w:val="24"/>
          <w:highlight w:val="none"/>
        </w:rPr>
      </w:pPr>
      <w:r>
        <w:rPr>
          <w:rFonts w:ascii="宋体" w:hAnsi="宋体" w:cs="宋体"/>
          <w:color w:val="auto"/>
          <w:sz w:val="24"/>
          <w:highlight w:val="none"/>
        </w:rPr>
        <w:t>3、项目联系方式</w:t>
      </w:r>
    </w:p>
    <w:p w14:paraId="6A2FCB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ascii="宋体" w:hAnsi="宋体" w:cs="宋体"/>
          <w:color w:val="auto"/>
          <w:sz w:val="24"/>
          <w:highlight w:val="none"/>
        </w:rPr>
      </w:pPr>
      <w:r>
        <w:rPr>
          <w:rFonts w:ascii="宋体" w:hAnsi="宋体" w:cs="宋体"/>
          <w:color w:val="auto"/>
          <w:sz w:val="24"/>
          <w:highlight w:val="none"/>
        </w:rPr>
        <w:t>项目联系人：</w:t>
      </w:r>
      <w:r>
        <w:rPr>
          <w:rFonts w:hint="eastAsia" w:ascii="宋体" w:hAnsi="宋体" w:cs="宋体"/>
          <w:color w:val="auto"/>
          <w:sz w:val="24"/>
          <w:highlight w:val="none"/>
          <w:lang w:val="en-US" w:eastAsia="zh-CN"/>
        </w:rPr>
        <w:t>李工</w:t>
      </w:r>
      <w:r>
        <w:rPr>
          <w:rFonts w:hint="eastAsia" w:ascii="宋体" w:hAnsi="宋体" w:cs="宋体"/>
          <w:color w:val="auto"/>
          <w:sz w:val="24"/>
          <w:highlight w:val="none"/>
          <w:lang w:val="en-US" w:eastAsia="zh-CN"/>
        </w:rPr>
        <w:tab/>
      </w:r>
      <w:r>
        <w:rPr>
          <w:rFonts w:ascii="宋体" w:hAnsi="宋体" w:cs="宋体"/>
          <w:color w:val="auto"/>
          <w:sz w:val="24"/>
          <w:highlight w:val="none"/>
        </w:rPr>
        <w:t>          </w:t>
      </w:r>
    </w:p>
    <w:p w14:paraId="27C27A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exact"/>
        <w:ind w:firstLine="482"/>
        <w:textAlignment w:val="auto"/>
        <w:rPr>
          <w:rFonts w:hint="default" w:ascii="宋体" w:hAnsi="宋体" w:cs="宋体"/>
          <w:color w:val="auto"/>
          <w:sz w:val="24"/>
          <w:highlight w:val="none"/>
          <w:lang w:val="en-US"/>
        </w:rPr>
      </w:pPr>
      <w:r>
        <w:rPr>
          <w:rFonts w:ascii="宋体" w:hAnsi="宋体" w:cs="宋体"/>
          <w:color w:val="auto"/>
          <w:sz w:val="24"/>
          <w:highlight w:val="none"/>
        </w:rPr>
        <w:t>电话：</w:t>
      </w:r>
      <w:r>
        <w:rPr>
          <w:rFonts w:hint="eastAsia" w:ascii="宋体" w:hAnsi="宋体" w:cs="宋体"/>
          <w:color w:val="auto"/>
          <w:sz w:val="24"/>
          <w:highlight w:val="none"/>
          <w:lang w:val="en-US" w:eastAsia="zh-CN"/>
        </w:rPr>
        <w:t>13770436606</w:t>
      </w:r>
    </w:p>
    <w:p w14:paraId="0F0831A0">
      <w:pPr>
        <w:pBdr>
          <w:top w:val="none" w:color="000000" w:sz="0" w:space="0"/>
          <w:left w:val="none" w:color="000000" w:sz="0" w:space="0"/>
          <w:bottom w:val="none" w:color="000000" w:sz="0" w:space="0"/>
          <w:right w:val="none" w:color="000000" w:sz="0" w:space="0"/>
        </w:pBdr>
        <w:spacing w:before="240" w:after="240" w:line="360" w:lineRule="auto"/>
        <w:ind w:firstLine="480"/>
        <w:rPr>
          <w:rFonts w:hint="eastAsia" w:ascii="宋体" w:hAnsi="宋体" w:cs="宋体"/>
          <w:color w:val="auto"/>
          <w:sz w:val="24"/>
          <w:highlight w:val="none"/>
          <w:lang w:val="en-US"/>
        </w:rPr>
      </w:pPr>
    </w:p>
    <w:p w14:paraId="67F29F29">
      <w:pPr>
        <w:pStyle w:val="61"/>
        <w:rPr>
          <w:rFonts w:hint="eastAsia" w:ascii="宋体" w:hAnsi="宋体" w:cs="宋体"/>
          <w:color w:val="auto"/>
          <w:sz w:val="24"/>
          <w:highlight w:val="none"/>
          <w:lang w:val="en-US" w:eastAsia="zh-CN"/>
        </w:rPr>
      </w:pPr>
    </w:p>
    <w:p w14:paraId="28BEA83A">
      <w:pPr>
        <w:pStyle w:val="61"/>
        <w:rPr>
          <w:rFonts w:hint="eastAsia" w:ascii="宋体" w:hAnsi="宋体" w:cs="宋体"/>
          <w:color w:val="auto"/>
          <w:sz w:val="24"/>
          <w:highlight w:val="none"/>
          <w:lang w:val="en-US" w:eastAsia="zh-CN"/>
        </w:rPr>
      </w:pPr>
    </w:p>
    <w:p w14:paraId="13E0FFA7">
      <w:pPr>
        <w:pStyle w:val="61"/>
        <w:rPr>
          <w:rFonts w:hint="eastAsia" w:ascii="宋体" w:hAnsi="宋体" w:cs="宋体"/>
          <w:color w:val="auto"/>
          <w:sz w:val="24"/>
          <w:highlight w:val="none"/>
          <w:lang w:val="en-US" w:eastAsia="zh-CN"/>
        </w:rPr>
      </w:pPr>
    </w:p>
    <w:p w14:paraId="6F1B6115">
      <w:pPr>
        <w:pStyle w:val="61"/>
        <w:rPr>
          <w:rFonts w:hint="eastAsia" w:ascii="宋体" w:hAnsi="宋体" w:cs="宋体"/>
          <w:color w:val="auto"/>
          <w:sz w:val="24"/>
          <w:highlight w:val="none"/>
          <w:lang w:val="en-US" w:eastAsia="zh-CN"/>
        </w:rPr>
      </w:pPr>
    </w:p>
    <w:p w14:paraId="34BC893F">
      <w:pPr>
        <w:pStyle w:val="61"/>
        <w:rPr>
          <w:rFonts w:hint="eastAsia" w:ascii="宋体" w:hAnsi="宋体" w:cs="宋体"/>
          <w:color w:val="auto"/>
          <w:sz w:val="24"/>
          <w:highlight w:val="none"/>
          <w:lang w:val="en-US" w:eastAsia="zh-CN"/>
        </w:rPr>
      </w:pPr>
    </w:p>
    <w:p w14:paraId="07D92810">
      <w:pPr>
        <w:pStyle w:val="61"/>
        <w:rPr>
          <w:rFonts w:hint="eastAsia" w:ascii="宋体" w:hAnsi="宋体" w:cs="宋体"/>
          <w:color w:val="auto"/>
          <w:sz w:val="24"/>
          <w:highlight w:val="none"/>
          <w:lang w:val="en-US" w:eastAsia="zh-CN"/>
        </w:rPr>
      </w:pPr>
    </w:p>
    <w:p w14:paraId="2D831A85">
      <w:pPr>
        <w:pStyle w:val="61"/>
        <w:rPr>
          <w:rFonts w:hint="eastAsia" w:ascii="宋体" w:hAnsi="宋体" w:cs="宋体"/>
          <w:color w:val="auto"/>
          <w:sz w:val="24"/>
          <w:highlight w:val="none"/>
          <w:lang w:val="en-US" w:eastAsia="zh-CN"/>
        </w:rPr>
      </w:pPr>
    </w:p>
    <w:p w14:paraId="2A3D96D1">
      <w:pPr>
        <w:pStyle w:val="61"/>
        <w:rPr>
          <w:rFonts w:hint="eastAsia" w:ascii="宋体" w:hAnsi="宋体" w:cs="宋体"/>
          <w:color w:val="auto"/>
          <w:sz w:val="24"/>
          <w:highlight w:val="none"/>
          <w:lang w:val="en-US" w:eastAsia="zh-CN"/>
        </w:rPr>
      </w:pPr>
    </w:p>
    <w:p w14:paraId="3C73F82B">
      <w:pPr>
        <w:pStyle w:val="61"/>
        <w:rPr>
          <w:rFonts w:hint="eastAsia" w:ascii="宋体" w:hAnsi="宋体" w:cs="宋体"/>
          <w:color w:val="auto"/>
          <w:sz w:val="24"/>
          <w:highlight w:val="none"/>
          <w:lang w:val="en-US" w:eastAsia="zh-CN"/>
        </w:rPr>
      </w:pPr>
    </w:p>
    <w:p w14:paraId="6F9F1F6C">
      <w:pPr>
        <w:pStyle w:val="61"/>
        <w:rPr>
          <w:rFonts w:hint="eastAsia" w:ascii="宋体" w:hAnsi="宋体" w:cs="宋体"/>
          <w:color w:val="auto"/>
          <w:sz w:val="24"/>
          <w:highlight w:val="none"/>
          <w:lang w:val="en-US" w:eastAsia="zh-CN"/>
        </w:rPr>
      </w:pPr>
    </w:p>
    <w:p w14:paraId="7A06B618">
      <w:pPr>
        <w:pStyle w:val="61"/>
        <w:rPr>
          <w:rFonts w:hint="eastAsia" w:ascii="宋体" w:hAnsi="宋体" w:cs="宋体"/>
          <w:color w:val="auto"/>
          <w:sz w:val="24"/>
          <w:highlight w:val="none"/>
          <w:lang w:val="en-US" w:eastAsia="zh-CN"/>
        </w:rPr>
      </w:pPr>
    </w:p>
    <w:p w14:paraId="6980D107">
      <w:pPr>
        <w:pStyle w:val="61"/>
        <w:rPr>
          <w:rFonts w:hint="eastAsia" w:ascii="宋体" w:hAnsi="宋体" w:cs="宋体"/>
          <w:color w:val="auto"/>
          <w:sz w:val="24"/>
          <w:highlight w:val="none"/>
          <w:lang w:val="en-US" w:eastAsia="zh-CN"/>
        </w:rPr>
      </w:pPr>
    </w:p>
    <w:p w14:paraId="6254247B">
      <w:pPr>
        <w:pStyle w:val="61"/>
        <w:rPr>
          <w:rFonts w:hint="eastAsia" w:ascii="宋体" w:hAnsi="宋体" w:cs="宋体"/>
          <w:color w:val="auto"/>
          <w:sz w:val="24"/>
          <w:highlight w:val="none"/>
          <w:lang w:val="en-US" w:eastAsia="zh-CN"/>
        </w:rPr>
      </w:pPr>
    </w:p>
    <w:p w14:paraId="5384DD07">
      <w:pPr>
        <w:pStyle w:val="61"/>
        <w:rPr>
          <w:rFonts w:hint="eastAsia" w:ascii="宋体" w:hAnsi="宋体" w:cs="宋体"/>
          <w:color w:val="auto"/>
          <w:sz w:val="24"/>
          <w:highlight w:val="none"/>
          <w:lang w:val="en-US" w:eastAsia="zh-CN"/>
        </w:rPr>
      </w:pPr>
    </w:p>
    <w:p w14:paraId="32D2563E">
      <w:pPr>
        <w:pStyle w:val="61"/>
        <w:rPr>
          <w:rFonts w:hint="eastAsia"/>
          <w:color w:val="auto"/>
          <w:highlight w:val="none"/>
          <w:lang w:val="en-US"/>
        </w:rPr>
      </w:pPr>
    </w:p>
    <w:p w14:paraId="31EA83A2">
      <w:pPr>
        <w:spacing w:line="520" w:lineRule="exact"/>
        <w:ind w:firstLine="2349"/>
        <w:rPr>
          <w:rFonts w:hint="eastAsia" w:ascii="宋体" w:hAnsi="宋体" w:eastAsia="宋体" w:cs="宋体"/>
          <w:b/>
          <w:bCs/>
          <w:color w:val="auto"/>
          <w:sz w:val="36"/>
          <w:szCs w:val="36"/>
          <w:highlight w:val="none"/>
        </w:rPr>
      </w:pPr>
      <w:bookmarkStart w:id="0" w:name="_Toc1394"/>
      <w:r>
        <w:rPr>
          <w:rFonts w:hint="eastAsia" w:ascii="宋体" w:hAnsi="宋体" w:eastAsia="宋体" w:cs="宋体"/>
          <w:b/>
          <w:bCs/>
          <w:color w:val="auto"/>
          <w:sz w:val="36"/>
          <w:szCs w:val="36"/>
          <w:highlight w:val="none"/>
        </w:rPr>
        <w:t>第二章   谈判供应商须知</w:t>
      </w:r>
    </w:p>
    <w:p w14:paraId="693CC12C">
      <w:pPr>
        <w:keepNext w:val="0"/>
        <w:keepLines w:val="0"/>
        <w:pageBreakBefore w:val="0"/>
        <w:spacing w:line="380" w:lineRule="exact"/>
        <w:ind w:left="0" w:right="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一、总则</w:t>
      </w:r>
    </w:p>
    <w:p w14:paraId="6BF71729">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1.适用范围</w:t>
      </w:r>
    </w:p>
    <w:p w14:paraId="21B1EBD6">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本谈判文件仅适用于本次谈判邀请中所述项目的采购。</w:t>
      </w:r>
    </w:p>
    <w:p w14:paraId="649612E0">
      <w:pPr>
        <w:keepNext w:val="0"/>
        <w:keepLines w:val="0"/>
        <w:pageBreakBefore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2.合格的供应商</w:t>
      </w:r>
    </w:p>
    <w:p w14:paraId="0EDF4BC0">
      <w:pPr>
        <w:keepNext w:val="0"/>
        <w:keepLines w:val="0"/>
        <w:pageBreakBefore w:val="0"/>
        <w:spacing w:line="360" w:lineRule="auto"/>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2.1满足第一章谈判邀请中供应商资格要求的规定。 </w:t>
      </w:r>
    </w:p>
    <w:p w14:paraId="11B3F768">
      <w:pPr>
        <w:keepNext w:val="0"/>
        <w:keepLines w:val="0"/>
        <w:pageBreakBefore w:val="0"/>
        <w:spacing w:line="360" w:lineRule="auto"/>
        <w:ind w:left="0" w:right="0" w:firstLine="488"/>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2.2</w:t>
      </w:r>
      <w:r>
        <w:rPr>
          <w:rFonts w:hint="eastAsia" w:ascii="宋体" w:hAnsi="宋体" w:eastAsia="宋体" w:cs="宋体"/>
          <w:color w:val="auto"/>
          <w:sz w:val="24"/>
          <w:szCs w:val="24"/>
          <w:highlight w:val="none"/>
        </w:rPr>
        <w:t>满足谈判文件中实质性条款的规定。</w:t>
      </w:r>
    </w:p>
    <w:p w14:paraId="405A5F67">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3.适用法律</w:t>
      </w:r>
    </w:p>
    <w:p w14:paraId="613D8FC3">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《中华人民共和国政府采购法》、《中华人民共和国政府采购法实施条例》、《政府采购非招标采购方式管理办法》等有关法律、规章和规定等。</w:t>
      </w:r>
    </w:p>
    <w:p w14:paraId="3EFBAB46">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4.谈判费用</w:t>
      </w:r>
    </w:p>
    <w:p w14:paraId="6EFBD2B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4.1供应商应自行承担所有与参加</w:t>
      </w:r>
      <w:r>
        <w:rPr>
          <w:rFonts w:hint="eastAsia" w:ascii="宋体" w:hAnsi="宋体" w:cs="宋体"/>
          <w:color w:val="auto"/>
          <w:sz w:val="24"/>
          <w:highlight w:val="none"/>
          <w:lang w:eastAsia="zh-CN"/>
        </w:rPr>
        <w:t>谈判</w:t>
      </w:r>
      <w:r>
        <w:rPr>
          <w:rFonts w:hint="eastAsia" w:ascii="宋体" w:hAnsi="宋体" w:cs="宋体"/>
          <w:color w:val="auto"/>
          <w:sz w:val="24"/>
          <w:highlight w:val="none"/>
        </w:rPr>
        <w:t>有关的费用。不论</w:t>
      </w:r>
      <w:r>
        <w:rPr>
          <w:rFonts w:hint="eastAsia" w:ascii="宋体" w:hAnsi="宋体" w:cs="宋体"/>
          <w:color w:val="auto"/>
          <w:sz w:val="24"/>
          <w:highlight w:val="none"/>
          <w:lang w:eastAsia="zh-CN"/>
        </w:rPr>
        <w:t>谈判</w:t>
      </w:r>
      <w:r>
        <w:rPr>
          <w:rFonts w:hint="eastAsia" w:ascii="宋体" w:hAnsi="宋体" w:cs="宋体"/>
          <w:color w:val="auto"/>
          <w:sz w:val="24"/>
          <w:highlight w:val="none"/>
        </w:rPr>
        <w:t>的结果如何，金湖县政府采购中心（以下简称采购中心）、采购人（代理机构）在任何情况下均无义务和责任承担这些费用。</w:t>
      </w:r>
    </w:p>
    <w:p w14:paraId="58CBB00A">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4.2采购代理（下称代理机构）：采购人委托</w:t>
      </w:r>
      <w:r>
        <w:rPr>
          <w:rFonts w:hint="eastAsia" w:ascii="宋体" w:hAnsi="宋体" w:cs="宋体"/>
          <w:color w:val="auto"/>
          <w:sz w:val="24"/>
          <w:highlight w:val="none"/>
          <w:lang w:val="en-US" w:eastAsia="zh-CN"/>
        </w:rPr>
        <w:t>中企华建友工程管理有限公司</w:t>
      </w:r>
      <w:r>
        <w:rPr>
          <w:rFonts w:hint="eastAsia" w:ascii="宋体" w:hAnsi="宋体" w:cs="宋体"/>
          <w:color w:val="auto"/>
          <w:sz w:val="24"/>
          <w:highlight w:val="none"/>
        </w:rPr>
        <w:t>负责代理本项目的相关事宜。</w:t>
      </w:r>
    </w:p>
    <w:p w14:paraId="78EF1E93">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4.3采购代理机构服务费：成交供应商</w:t>
      </w:r>
      <w:r>
        <w:rPr>
          <w:rFonts w:hint="eastAsia" w:ascii="宋体" w:hAnsi="宋体" w:cs="宋体"/>
          <w:color w:val="auto"/>
          <w:sz w:val="24"/>
          <w:highlight w:val="none"/>
          <w:lang w:eastAsia="zh-CN"/>
        </w:rPr>
        <w:t>参照苏政采协[2024]20号</w:t>
      </w:r>
      <w:r>
        <w:rPr>
          <w:rFonts w:hint="eastAsia" w:ascii="宋体" w:hAnsi="宋体" w:cs="宋体"/>
          <w:color w:val="auto"/>
          <w:sz w:val="24"/>
          <w:highlight w:val="none"/>
        </w:rPr>
        <w:t>文件规定标准的</w:t>
      </w:r>
      <w:r>
        <w:rPr>
          <w:rFonts w:hint="eastAsia" w:ascii="宋体" w:hAnsi="宋体" w:cs="宋体"/>
          <w:color w:val="auto"/>
          <w:sz w:val="24"/>
          <w:highlight w:val="none"/>
          <w:lang w:val="en-US" w:eastAsia="zh-CN"/>
        </w:rPr>
        <w:t>85</w:t>
      </w:r>
      <w:r>
        <w:rPr>
          <w:rFonts w:hint="eastAsia" w:ascii="宋体" w:hAnsi="宋体" w:cs="宋体"/>
          <w:color w:val="auto"/>
          <w:sz w:val="24"/>
          <w:highlight w:val="none"/>
        </w:rPr>
        <w:t>%为此次项目的</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费，</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供应商在领取</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通知书前向采购代理人一次性缴纳采购代理</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费。此费用包含在投标报价中，无须单独列项计取。</w:t>
      </w:r>
    </w:p>
    <w:p w14:paraId="3538E5F2">
      <w:pPr>
        <w:spacing w:line="360" w:lineRule="auto"/>
        <w:ind w:firstLine="555"/>
        <w:rPr>
          <w:rFonts w:hint="eastAsia"/>
          <w:color w:val="auto"/>
          <w:highlight w:val="none"/>
        </w:rPr>
      </w:pPr>
      <w:r>
        <w:rPr>
          <w:rFonts w:hint="eastAsia" w:ascii="宋体" w:hAnsi="宋体" w:cs="宋体"/>
          <w:color w:val="auto"/>
          <w:sz w:val="24"/>
          <w:highlight w:val="none"/>
        </w:rPr>
        <w:t>注:根据《关于在全市公共资源交易领域全面推广应用数字人民币的通知》(淮协调办【2023】33号)要求，本项目代理费支付形式建议采用数字人民币支付：</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须在基本帐户下幵通数字人民</w:t>
      </w:r>
      <w:r>
        <w:rPr>
          <w:rFonts w:hint="eastAsia" w:ascii="宋体" w:hAnsi="宋体" w:cs="宋体"/>
          <w:color w:val="auto"/>
          <w:sz w:val="24"/>
          <w:highlight w:val="none"/>
          <w:lang w:val="en-US" w:eastAsia="zh-CN"/>
        </w:rPr>
        <w:t>币</w:t>
      </w:r>
      <w:r>
        <w:rPr>
          <w:rFonts w:hint="eastAsia" w:ascii="宋体" w:hAnsi="宋体" w:cs="宋体"/>
          <w:color w:val="auto"/>
          <w:sz w:val="24"/>
          <w:highlight w:val="none"/>
        </w:rPr>
        <w:t>钱包(ID),向代理机构数字人民币钱包(ID)支付项目代理费。</w:t>
      </w:r>
    </w:p>
    <w:p w14:paraId="1411A1EF">
      <w:pPr>
        <w:keepNext w:val="0"/>
        <w:keepLines w:val="0"/>
        <w:pageBreakBefore w:val="0"/>
        <w:spacing w:line="360" w:lineRule="auto"/>
        <w:ind w:left="0" w:right="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二、谈判文件</w:t>
      </w:r>
    </w:p>
    <w:p w14:paraId="16958B81">
      <w:pPr>
        <w:keepNext w:val="0"/>
        <w:keepLines w:val="0"/>
        <w:pageBreakBefore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5.谈判文件由以下部分组成</w:t>
      </w:r>
      <w:r>
        <w:rPr>
          <w:rFonts w:hint="eastAsia" w:ascii="宋体" w:hAnsi="宋体" w:eastAsia="宋体" w:cs="宋体"/>
          <w:color w:val="auto"/>
          <w:sz w:val="24"/>
          <w:szCs w:val="24"/>
          <w:highlight w:val="none"/>
        </w:rPr>
        <w:t>:</w:t>
      </w:r>
    </w:p>
    <w:p w14:paraId="3545437A">
      <w:pPr>
        <w:keepNext w:val="0"/>
        <w:keepLines w:val="0"/>
        <w:pageBreakBefore w:val="0"/>
        <w:spacing w:line="360" w:lineRule="auto"/>
        <w:ind w:left="0" w:right="0" w:firstLine="5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5.1谈判邀请</w:t>
      </w:r>
    </w:p>
    <w:p w14:paraId="6EF91FB6">
      <w:pPr>
        <w:keepNext w:val="0"/>
        <w:keepLines w:val="0"/>
        <w:pageBreakBefore w:val="0"/>
        <w:spacing w:line="360" w:lineRule="auto"/>
        <w:ind w:left="0" w:right="0" w:firstLine="5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5.2供应商须知</w:t>
      </w:r>
    </w:p>
    <w:p w14:paraId="6869EA7F">
      <w:pPr>
        <w:keepNext w:val="0"/>
        <w:keepLines w:val="0"/>
        <w:pageBreakBefore w:val="0"/>
        <w:spacing w:line="360" w:lineRule="auto"/>
        <w:ind w:left="0" w:right="0" w:firstLine="5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5.3成交标准</w:t>
      </w:r>
    </w:p>
    <w:p w14:paraId="5B83CF48">
      <w:pPr>
        <w:keepNext w:val="0"/>
        <w:keepLines w:val="0"/>
        <w:pageBreakBefore w:val="0"/>
        <w:spacing w:line="360" w:lineRule="auto"/>
        <w:ind w:left="0" w:right="0" w:firstLine="5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5.4合同格式及条款</w:t>
      </w:r>
    </w:p>
    <w:p w14:paraId="75EDFB4C">
      <w:pPr>
        <w:keepNext w:val="0"/>
        <w:keepLines w:val="0"/>
        <w:pageBreakBefore w:val="0"/>
        <w:spacing w:line="360" w:lineRule="auto"/>
        <w:ind w:left="0" w:right="0" w:firstLine="5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5.5项目采购需求</w:t>
      </w:r>
    </w:p>
    <w:p w14:paraId="068535BE">
      <w:pPr>
        <w:keepNext w:val="0"/>
        <w:keepLines w:val="0"/>
        <w:pageBreakBefore w:val="0"/>
        <w:spacing w:line="360" w:lineRule="auto"/>
        <w:ind w:left="0" w:right="0" w:firstLine="55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5.6响应文件</w:t>
      </w:r>
      <w:r>
        <w:rPr>
          <w:rFonts w:hint="eastAsia" w:ascii="宋体" w:hAnsi="宋体" w:eastAsia="宋体" w:cs="宋体"/>
          <w:color w:val="auto"/>
          <w:sz w:val="24"/>
          <w:szCs w:val="24"/>
          <w:highlight w:val="none"/>
          <w:lang w:eastAsia="zh-CN"/>
        </w:rPr>
        <w:t>格式</w:t>
      </w:r>
    </w:p>
    <w:p w14:paraId="52EDFED3">
      <w:pPr>
        <w:keepNext w:val="0"/>
        <w:keepLines w:val="0"/>
        <w:pageBreakBefore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6.谈判文件的澄清</w:t>
      </w:r>
    </w:p>
    <w:p w14:paraId="38ED6D01">
      <w:pPr>
        <w:keepNext w:val="0"/>
        <w:keepLines w:val="0"/>
        <w:pageBreakBefore w:val="0"/>
        <w:spacing w:line="360" w:lineRule="auto"/>
        <w:ind w:left="0" w:right="0" w:firstLine="4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任何要求对谈判文件进行澄清的供应商，均应在谈判截止时间三日前</w:t>
      </w:r>
      <w:r>
        <w:rPr>
          <w:rFonts w:hint="eastAsia" w:ascii="宋体" w:hAnsi="宋体"/>
          <w:color w:val="auto"/>
          <w:sz w:val="24"/>
          <w:szCs w:val="21"/>
          <w:highlight w:val="none"/>
        </w:rPr>
        <w:t>按</w:t>
      </w:r>
      <w:r>
        <w:rPr>
          <w:rFonts w:hint="eastAsia" w:ascii="宋体" w:hAnsi="宋体"/>
          <w:color w:val="auto"/>
          <w:sz w:val="24"/>
          <w:szCs w:val="21"/>
          <w:highlight w:val="none"/>
          <w:lang w:val="en-US" w:eastAsia="zh-CN"/>
        </w:rPr>
        <w:t>谈判</w:t>
      </w:r>
      <w:r>
        <w:rPr>
          <w:rFonts w:hint="eastAsia" w:ascii="宋体" w:hAnsi="宋体"/>
          <w:color w:val="auto"/>
          <w:sz w:val="24"/>
          <w:szCs w:val="21"/>
          <w:highlight w:val="none"/>
        </w:rPr>
        <w:t>公告中的通讯地址，以书面形式</w:t>
      </w:r>
      <w:r>
        <w:rPr>
          <w:rFonts w:hint="eastAsia" w:ascii="宋体" w:hAnsi="宋体" w:cs="宋体"/>
          <w:bCs/>
          <w:color w:val="auto"/>
          <w:sz w:val="24"/>
          <w:highlight w:val="none"/>
        </w:rPr>
        <w:t>通知采购人（采购代理），采购人（采购代理）对投标截止时间</w:t>
      </w:r>
      <w:r>
        <w:rPr>
          <w:rFonts w:hint="eastAsia" w:ascii="宋体" w:hAnsi="宋体" w:cs="宋体"/>
          <w:bCs/>
          <w:color w:val="auto"/>
          <w:sz w:val="24"/>
          <w:highlight w:val="none"/>
          <w:lang w:val="en-US" w:eastAsia="zh-CN"/>
        </w:rPr>
        <w:t>三</w:t>
      </w:r>
      <w:r>
        <w:rPr>
          <w:rFonts w:hint="eastAsia" w:ascii="宋体" w:hAnsi="宋体" w:cs="宋体"/>
          <w:bCs/>
          <w:color w:val="auto"/>
          <w:sz w:val="24"/>
          <w:highlight w:val="none"/>
        </w:rPr>
        <w:t>日前收到的任何澄清要求予以答复。由于供应商所留联系方式有问题而导致采购人（采购代理）无法通知的，其责任由供应商自行承担。</w:t>
      </w:r>
    </w:p>
    <w:p w14:paraId="25B7162C">
      <w:pPr>
        <w:keepNext w:val="0"/>
        <w:keepLines w:val="0"/>
        <w:pageBreakBefore w:val="0"/>
        <w:spacing w:line="360" w:lineRule="auto"/>
        <w:ind w:left="0" w:right="0"/>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7.谈判文件的更正或补充</w:t>
      </w:r>
    </w:p>
    <w:p w14:paraId="14ECD326">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7.1在谈判截止时间三日前，</w:t>
      </w:r>
      <w:r>
        <w:rPr>
          <w:rFonts w:hint="eastAsia" w:ascii="宋体" w:hAnsi="宋体" w:eastAsia="宋体" w:cs="宋体"/>
          <w:color w:val="auto"/>
          <w:sz w:val="24"/>
          <w:szCs w:val="24"/>
          <w:highlight w:val="none"/>
          <w:lang w:eastAsia="zh-CN"/>
        </w:rPr>
        <w:t>采购人（代理公司）</w:t>
      </w:r>
      <w:r>
        <w:rPr>
          <w:rFonts w:hint="eastAsia" w:ascii="宋体" w:hAnsi="宋体" w:eastAsia="宋体" w:cs="宋体"/>
          <w:color w:val="auto"/>
          <w:sz w:val="24"/>
          <w:szCs w:val="24"/>
          <w:highlight w:val="none"/>
        </w:rPr>
        <w:t>可主动或在解答供应商提出的澄清问题时对谈判文件用更正公告的方式进行修正。</w:t>
      </w:r>
    </w:p>
    <w:p w14:paraId="32AFEF08">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7.2对谈判文件的更正将在</w:t>
      </w:r>
      <w:r>
        <w:rPr>
          <w:rFonts w:hint="eastAsia" w:ascii="宋体" w:hAnsi="宋体" w:cs="宋体"/>
          <w:color w:val="auto"/>
          <w:sz w:val="24"/>
          <w:szCs w:val="24"/>
          <w:highlight w:val="none"/>
          <w:lang w:eastAsia="zh-CN"/>
        </w:rPr>
        <w:t>江苏政府采购网、</w:t>
      </w:r>
      <w:r>
        <w:rPr>
          <w:rFonts w:hint="eastAsia" w:ascii="宋体" w:hAnsi="宋体" w:eastAsia="宋体" w:cs="宋体"/>
          <w:color w:val="auto"/>
          <w:sz w:val="24"/>
          <w:szCs w:val="24"/>
          <w:highlight w:val="none"/>
        </w:rPr>
        <w:t>淮安市政府采购网进行公告，同时通过电子交易平台通知所有已获取谈判文件的供应商。更正公告将作为谈判文件的组成部分，对所有参加本次谈判的供应商都具有约束力。</w:t>
      </w:r>
    </w:p>
    <w:p w14:paraId="4267E79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7.3供应商须持续关注本项目在</w:t>
      </w:r>
      <w:r>
        <w:rPr>
          <w:rFonts w:hint="eastAsia" w:ascii="宋体" w:hAnsi="宋体" w:cs="宋体"/>
          <w:color w:val="auto"/>
          <w:sz w:val="24"/>
          <w:szCs w:val="24"/>
          <w:highlight w:val="none"/>
          <w:lang w:eastAsia="zh-CN"/>
        </w:rPr>
        <w:t>江苏政府采购网、</w:t>
      </w:r>
      <w:r>
        <w:rPr>
          <w:rFonts w:hint="eastAsia" w:ascii="宋体" w:hAnsi="宋体" w:cs="宋体"/>
          <w:color w:val="auto"/>
          <w:sz w:val="24"/>
          <w:highlight w:val="none"/>
        </w:rPr>
        <w:t>淮安市政府采购网及电子化系统中发布的信息（含更正、修改等信息），否则产生的后果由供应商自行承担。</w:t>
      </w:r>
    </w:p>
    <w:p w14:paraId="7701CF83">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为使供应商有足够的时间按谈判文件的更正要求修正响应文件，</w:t>
      </w:r>
      <w:r>
        <w:rPr>
          <w:rFonts w:hint="eastAsia" w:ascii="宋体" w:hAnsi="宋体" w:eastAsia="宋体" w:cs="宋体"/>
          <w:color w:val="auto"/>
          <w:sz w:val="24"/>
          <w:szCs w:val="24"/>
          <w:highlight w:val="none"/>
          <w:lang w:eastAsia="zh-CN"/>
        </w:rPr>
        <w:t>采购人（代理公司）</w:t>
      </w:r>
      <w:r>
        <w:rPr>
          <w:rFonts w:hint="eastAsia" w:ascii="宋体" w:hAnsi="宋体" w:eastAsia="宋体" w:cs="宋体"/>
          <w:color w:val="auto"/>
          <w:sz w:val="24"/>
          <w:szCs w:val="24"/>
          <w:highlight w:val="none"/>
        </w:rPr>
        <w:t>有权按照相关法定的要求推迟响应文件提交截止时间和谈判日期。</w:t>
      </w:r>
    </w:p>
    <w:p w14:paraId="4AD7FAA9">
      <w:pPr>
        <w:keepNext w:val="0"/>
        <w:keepLines w:val="0"/>
        <w:pageBreakBefore w:val="0"/>
        <w:spacing w:line="360" w:lineRule="auto"/>
        <w:ind w:left="0" w:right="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三、响应文件的编制</w:t>
      </w:r>
    </w:p>
    <w:p w14:paraId="7F7E71AE">
      <w:pPr>
        <w:keepNext w:val="0"/>
        <w:keepLines w:val="0"/>
        <w:pageBreakBefore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8.响应文件的编制</w:t>
      </w:r>
    </w:p>
    <w:p w14:paraId="4834C388">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8.1供应商编写的响应文件应按谈判文件第六章“响应文件”中的要求进行编写。</w:t>
      </w:r>
    </w:p>
    <w:p w14:paraId="20362BEF">
      <w:pPr>
        <w:spacing w:line="360" w:lineRule="auto"/>
        <w:ind w:firstLine="480"/>
        <w:rPr>
          <w:rFonts w:hint="eastAsia" w:ascii="宋体" w:hAnsi="宋体" w:eastAsia="宋体" w:cs="宋体"/>
          <w:b w:val="0"/>
          <w:bCs w:val="0"/>
          <w:color w:val="auto"/>
          <w:sz w:val="24"/>
          <w:highlight w:val="none"/>
          <w:lang w:eastAsia="zh-CN"/>
        </w:rPr>
      </w:pPr>
      <w:r>
        <w:rPr>
          <w:rFonts w:hint="eastAsia" w:ascii="宋体" w:hAnsi="宋体" w:cs="宋体"/>
          <w:bCs/>
          <w:color w:val="auto"/>
          <w:sz w:val="24"/>
          <w:highlight w:val="none"/>
        </w:rPr>
        <w:t>8.2</w:t>
      </w:r>
      <w:r>
        <w:rPr>
          <w:rFonts w:hint="eastAsia" w:ascii="宋体" w:hAnsi="宋体"/>
          <w:color w:val="auto"/>
          <w:sz w:val="24"/>
          <w:szCs w:val="21"/>
          <w:highlight w:val="none"/>
        </w:rPr>
        <w:t xml:space="preserve"> </w:t>
      </w:r>
      <w:r>
        <w:rPr>
          <w:rFonts w:hint="eastAsia" w:ascii="宋体" w:hAnsi="宋体" w:eastAsia="宋体" w:cs="宋体"/>
          <w:color w:val="auto"/>
          <w:sz w:val="24"/>
          <w:szCs w:val="24"/>
          <w:highlight w:val="none"/>
        </w:rPr>
        <w:t>供应商</w:t>
      </w:r>
      <w:r>
        <w:rPr>
          <w:rFonts w:hint="eastAsia" w:ascii="宋体" w:hAnsi="宋体"/>
          <w:color w:val="auto"/>
          <w:sz w:val="24"/>
          <w:szCs w:val="21"/>
          <w:highlight w:val="none"/>
        </w:rPr>
        <w:t>编写的投标文件应包括资格证明文件、符合性证明文件、投标分项报价表、技术要</w:t>
      </w:r>
      <w:r>
        <w:rPr>
          <w:rFonts w:hint="eastAsia" w:ascii="宋体" w:hAnsi="宋体" w:eastAsia="宋体" w:cs="宋体"/>
          <w:b w:val="0"/>
          <w:bCs w:val="0"/>
          <w:color w:val="auto"/>
          <w:sz w:val="24"/>
          <w:highlight w:val="none"/>
        </w:rPr>
        <w:t>求响应及偏离表、</w:t>
      </w:r>
      <w:r>
        <w:rPr>
          <w:rFonts w:hint="eastAsia" w:ascii="宋体" w:hAnsi="宋体" w:cs="宋体"/>
          <w:b w:val="0"/>
          <w:bCs w:val="0"/>
          <w:color w:val="auto"/>
          <w:sz w:val="24"/>
          <w:highlight w:val="none"/>
          <w:lang w:val="en-US" w:eastAsia="zh-CN"/>
        </w:rPr>
        <w:t>商务要求响应及偏离表 、</w:t>
      </w:r>
      <w:r>
        <w:rPr>
          <w:rFonts w:hint="eastAsia" w:ascii="宋体" w:hAnsi="宋体" w:eastAsia="宋体" w:cs="宋体"/>
          <w:b w:val="0"/>
          <w:bCs w:val="0"/>
          <w:color w:val="auto"/>
          <w:sz w:val="24"/>
          <w:highlight w:val="none"/>
        </w:rPr>
        <w:t>其他证明文件、投标函、开标一览表等部分。</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具体以系统格式为准</w:t>
      </w:r>
      <w:r>
        <w:rPr>
          <w:rFonts w:hint="eastAsia" w:ascii="宋体" w:hAnsi="宋体" w:cs="宋体"/>
          <w:b w:val="0"/>
          <w:bCs w:val="0"/>
          <w:color w:val="auto"/>
          <w:sz w:val="24"/>
          <w:highlight w:val="none"/>
          <w:lang w:eastAsia="zh-CN"/>
        </w:rPr>
        <w:t>）</w:t>
      </w:r>
    </w:p>
    <w:p w14:paraId="6F3504AB">
      <w:pPr>
        <w:keepNext w:val="0"/>
        <w:keepLines w:val="0"/>
        <w:pageBreakBefore w:val="0"/>
        <w:spacing w:line="360" w:lineRule="auto"/>
        <w:ind w:left="0" w:right="0" w:firstLine="48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8.3如标书制作工具中格式和内容与“淮安市政府采购网”“江苏政府采购网”发布的</w:t>
      </w:r>
      <w:r>
        <w:rPr>
          <w:rFonts w:hint="eastAsia" w:ascii="宋体" w:hAnsi="宋体" w:cs="宋体"/>
          <w:b w:val="0"/>
          <w:bCs w:val="0"/>
          <w:color w:val="auto"/>
          <w:sz w:val="24"/>
          <w:highlight w:val="none"/>
          <w:lang w:val="en-US" w:eastAsia="zh-CN"/>
        </w:rPr>
        <w:t>谈判</w:t>
      </w:r>
      <w:r>
        <w:rPr>
          <w:rFonts w:hint="eastAsia" w:ascii="宋体" w:hAnsi="宋体" w:eastAsia="宋体" w:cs="宋体"/>
          <w:b w:val="0"/>
          <w:bCs w:val="0"/>
          <w:color w:val="auto"/>
          <w:sz w:val="24"/>
          <w:highlight w:val="none"/>
          <w:lang w:val="en-US" w:eastAsia="zh-CN"/>
        </w:rPr>
        <w:t>文件不一致，请以“淮安市政府采购网” “江苏政府采购网”发布的</w:t>
      </w:r>
      <w:r>
        <w:rPr>
          <w:rFonts w:hint="eastAsia" w:ascii="宋体" w:hAnsi="宋体" w:cs="宋体"/>
          <w:b w:val="0"/>
          <w:bCs w:val="0"/>
          <w:color w:val="auto"/>
          <w:sz w:val="24"/>
          <w:highlight w:val="none"/>
          <w:lang w:val="en-US" w:eastAsia="zh-CN"/>
        </w:rPr>
        <w:t>谈判</w:t>
      </w:r>
      <w:r>
        <w:rPr>
          <w:rFonts w:hint="eastAsia" w:ascii="宋体" w:hAnsi="宋体" w:eastAsia="宋体" w:cs="宋体"/>
          <w:b w:val="0"/>
          <w:bCs w:val="0"/>
          <w:color w:val="auto"/>
          <w:sz w:val="24"/>
          <w:highlight w:val="none"/>
          <w:lang w:val="en-US" w:eastAsia="zh-CN"/>
        </w:rPr>
        <w:t>文件为准。</w:t>
      </w:r>
    </w:p>
    <w:p w14:paraId="7C1019A6">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9.谈判报价</w:t>
      </w:r>
    </w:p>
    <w:p w14:paraId="51F85810">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9.1本项目采用总承包方式，供应商的报价应包含货物设计、制造、包装、仓储、运输装</w:t>
      </w:r>
      <w:r>
        <w:rPr>
          <w:rFonts w:hint="eastAsia" w:ascii="宋体" w:hAnsi="宋体" w:cs="宋体"/>
          <w:color w:val="auto"/>
          <w:sz w:val="24"/>
          <w:szCs w:val="24"/>
          <w:highlight w:val="none"/>
          <w:lang w:val="en-US" w:eastAsia="zh-CN"/>
        </w:rPr>
        <w:t>卸</w:t>
      </w:r>
      <w:r>
        <w:rPr>
          <w:rFonts w:hint="eastAsia" w:ascii="宋体" w:hAnsi="宋体" w:eastAsia="宋体" w:cs="宋体"/>
          <w:color w:val="auto"/>
          <w:sz w:val="24"/>
          <w:szCs w:val="24"/>
          <w:highlight w:val="none"/>
        </w:rPr>
        <w:t>、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p>
    <w:p w14:paraId="5F30BD92">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供应商的任何错漏、优惠、竞争性报价不得作为减轻责任、减少服务、增加收费、降低质量的理由。</w:t>
      </w:r>
    </w:p>
    <w:p w14:paraId="33B5DB77">
      <w:pPr>
        <w:keepNext w:val="0"/>
        <w:keepLines w:val="0"/>
        <w:pageBreakBefore w:val="0"/>
        <w:spacing w:line="360" w:lineRule="auto"/>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w:t>
      </w:r>
      <w:r>
        <w:rPr>
          <w:rFonts w:hint="eastAsia" w:ascii="宋体" w:hAnsi="宋体" w:eastAsia="宋体" w:cs="宋体"/>
          <w:color w:val="auto"/>
          <w:sz w:val="24"/>
          <w:szCs w:val="24"/>
          <w:highlight w:val="none"/>
          <w:lang w:eastAsia="zh-CN"/>
        </w:rPr>
        <w:t>采购人（代理公司）</w:t>
      </w:r>
      <w:r>
        <w:rPr>
          <w:rFonts w:hint="eastAsia" w:ascii="宋体" w:hAnsi="宋体" w:eastAsia="宋体" w:cs="宋体"/>
          <w:color w:val="auto"/>
          <w:sz w:val="24"/>
          <w:szCs w:val="24"/>
          <w:highlight w:val="none"/>
        </w:rPr>
        <w:t>不接受备选的谈判方案或有选择的报价。</w:t>
      </w:r>
    </w:p>
    <w:p w14:paraId="2086A909">
      <w:pPr>
        <w:keepNext w:val="0"/>
        <w:keepLines w:val="0"/>
        <w:pageBreakBefore w:val="0"/>
        <w:spacing w:line="360" w:lineRule="auto"/>
        <w:ind w:right="0" w:firstLine="480"/>
        <w:rPr>
          <w:rFonts w:eastAsia="宋体"/>
          <w:color w:val="auto"/>
          <w:highlight w:val="none"/>
          <w:lang w:val="en-US" w:eastAsia="zh-CN"/>
        </w:rPr>
      </w:pPr>
      <w:r>
        <w:rPr>
          <w:rFonts w:hint="eastAsia" w:ascii="宋体" w:hAnsi="宋体" w:eastAsia="宋体" w:cs="宋体"/>
          <w:color w:val="auto"/>
          <w:sz w:val="24"/>
          <w:szCs w:val="24"/>
          <w:highlight w:val="none"/>
        </w:rPr>
        <w:t>9.4谈判报价应以人民币为货币单位。</w:t>
      </w:r>
    </w:p>
    <w:p w14:paraId="7A0EB015">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10.技术要求响应偏离</w:t>
      </w:r>
    </w:p>
    <w:p w14:paraId="6EC22B1B">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10.1供应商应对谈判文件中的技术要求逐项作出响应或偏离，否则将被拒绝。</w:t>
      </w:r>
    </w:p>
    <w:p w14:paraId="43FF9643">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11.服务承诺</w:t>
      </w:r>
    </w:p>
    <w:p w14:paraId="19497701">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11.1供应商的服务承诺不能低于谈判文件中对于服务的要求。</w:t>
      </w:r>
    </w:p>
    <w:p w14:paraId="04EB0DF8">
      <w:pPr>
        <w:keepNext w:val="0"/>
        <w:keepLines w:val="0"/>
        <w:pageBreakBefore w:val="0"/>
        <w:spacing w:line="36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.证明供应商资格的文件</w:t>
      </w:r>
    </w:p>
    <w:p w14:paraId="4685230B">
      <w:pPr>
        <w:keepNext w:val="0"/>
        <w:keepLines w:val="0"/>
        <w:pageBreakBefore w:val="0"/>
        <w:spacing w:line="360" w:lineRule="auto"/>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.1供应商应按要求提交资格证明文件及符合</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文件规定的文件。</w:t>
      </w:r>
    </w:p>
    <w:p w14:paraId="04EF440C">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.2供应商除必须具有履行合同所需提供的货物和服务的能力外，还必须具备相应的的财务、技术方面的能力。</w:t>
      </w:r>
    </w:p>
    <w:p w14:paraId="7D4AC229">
      <w:pPr>
        <w:keepNext w:val="0"/>
        <w:keepLines w:val="0"/>
        <w:pageBreakBefore w:val="0"/>
        <w:spacing w:line="360" w:lineRule="auto"/>
        <w:ind w:left="0" w:right="0"/>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.谈判保证金</w:t>
      </w:r>
    </w:p>
    <w:p w14:paraId="77C39575">
      <w:pPr>
        <w:keepNext w:val="0"/>
        <w:keepLines w:val="0"/>
        <w:pageBreakBefore w:val="0"/>
        <w:spacing w:line="360" w:lineRule="auto"/>
        <w:ind w:left="0" w:righ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.1本项目</w:t>
      </w:r>
      <w:r>
        <w:rPr>
          <w:rFonts w:hint="eastAsia" w:ascii="宋体" w:hAnsi="宋体" w:eastAsia="宋体" w:cs="宋体"/>
          <w:b/>
          <w:color w:val="auto"/>
          <w:sz w:val="24"/>
          <w:szCs w:val="24"/>
          <w:highlight w:val="none"/>
          <w:lang w:eastAsia="zh-CN"/>
        </w:rPr>
        <w:t>无需缴纳</w:t>
      </w:r>
      <w:r>
        <w:rPr>
          <w:rFonts w:hint="eastAsia" w:ascii="宋体" w:hAnsi="宋体" w:eastAsia="宋体" w:cs="宋体"/>
          <w:b/>
          <w:color w:val="auto"/>
          <w:sz w:val="24"/>
          <w:szCs w:val="24"/>
          <w:highlight w:val="none"/>
        </w:rPr>
        <w:t>谈判保证金。</w:t>
      </w:r>
    </w:p>
    <w:p w14:paraId="2F8182AB">
      <w:pPr>
        <w:keepNext w:val="0"/>
        <w:keepLines w:val="0"/>
        <w:pageBreakBefore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.谈判有效期</w:t>
      </w:r>
    </w:p>
    <w:p w14:paraId="541245D3">
      <w:pPr>
        <w:keepNext w:val="0"/>
        <w:keepLines w:val="0"/>
        <w:pageBreakBefore w:val="0"/>
        <w:spacing w:line="360" w:lineRule="auto"/>
        <w:ind w:left="0" w:right="0" w:firstLine="54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.1谈判有效期为从谈判之日起计算的</w:t>
      </w:r>
      <w:r>
        <w:rPr>
          <w:rFonts w:hint="eastAsia" w:ascii="宋体" w:hAnsi="宋体" w:cs="宋体"/>
          <w:color w:val="auto"/>
          <w:sz w:val="24"/>
          <w:szCs w:val="24"/>
          <w:highlight w:val="none"/>
          <w:lang w:eastAsia="zh-CN"/>
        </w:rPr>
        <w:t>六</w:t>
      </w:r>
      <w:r>
        <w:rPr>
          <w:rFonts w:hint="eastAsia" w:ascii="宋体" w:hAnsi="宋体" w:eastAsia="宋体" w:cs="宋体"/>
          <w:bCs/>
          <w:color w:val="auto"/>
          <w:sz w:val="24"/>
          <w:szCs w:val="24"/>
          <w:highlight w:val="none"/>
        </w:rPr>
        <w:t>十天</w:t>
      </w:r>
      <w:r>
        <w:rPr>
          <w:rFonts w:hint="eastAsia" w:ascii="宋体" w:hAnsi="宋体" w:eastAsia="宋体" w:cs="宋体"/>
          <w:color w:val="auto"/>
          <w:sz w:val="24"/>
          <w:szCs w:val="24"/>
          <w:highlight w:val="none"/>
        </w:rPr>
        <w:t>，谈判有效期短于此规定的将被视为</w:t>
      </w:r>
      <w:r>
        <w:rPr>
          <w:rFonts w:hint="eastAsia" w:ascii="宋体" w:hAnsi="宋体" w:eastAsia="宋体" w:cs="宋体"/>
          <w:color w:val="auto"/>
          <w:sz w:val="24"/>
          <w:szCs w:val="24"/>
          <w:highlight w:val="none"/>
          <w:lang w:val="zh-CN"/>
        </w:rPr>
        <w:t>非响应谈判而予以拒绝。</w:t>
      </w:r>
    </w:p>
    <w:p w14:paraId="50B77BD8">
      <w:pPr>
        <w:keepNext w:val="0"/>
        <w:keepLines w:val="0"/>
        <w:pageBreakBefore w:val="0"/>
        <w:spacing w:line="360" w:lineRule="auto"/>
        <w:ind w:left="0" w:right="0" w:firstLine="54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在特殊情况下，</w:t>
      </w:r>
      <w:r>
        <w:rPr>
          <w:rFonts w:hint="eastAsia" w:ascii="宋体" w:hAnsi="宋体" w:eastAsia="宋体" w:cs="宋体"/>
          <w:color w:val="auto"/>
          <w:sz w:val="24"/>
          <w:szCs w:val="24"/>
          <w:highlight w:val="none"/>
          <w:lang w:eastAsia="zh-CN"/>
        </w:rPr>
        <w:t>采购人（代理公司）</w:t>
      </w:r>
      <w:r>
        <w:rPr>
          <w:rFonts w:hint="eastAsia" w:ascii="宋体" w:hAnsi="宋体" w:eastAsia="宋体" w:cs="宋体"/>
          <w:color w:val="auto"/>
          <w:sz w:val="24"/>
          <w:szCs w:val="24"/>
          <w:highlight w:val="none"/>
        </w:rPr>
        <w:t>于原谈判有效期满之前，可向供应商提出延长谈判有效期的要求，这种要求与答复均应采用书面形式。供应商可以拒绝接受这一要求而放弃谈判。同意延长的供应商既不能要求也不允许修改其响应文件，受谈判有效期约束的所有权利与义务均延长至新的有效期。</w:t>
      </w:r>
    </w:p>
    <w:p w14:paraId="613FCB9D">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.响应文件的签署</w:t>
      </w:r>
    </w:p>
    <w:p w14:paraId="2AE71688">
      <w:pPr>
        <w:keepNext w:val="0"/>
        <w:keepLines w:val="0"/>
        <w:pageBreakBefore w:val="0"/>
        <w:spacing w:line="360" w:lineRule="auto"/>
        <w:ind w:left="0" w:right="0"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.1响应文件仅需要在供应商进行签章的位置应进行电子签章。电子响应文件不得涂改、行间插字或删除，如果出现上述情况应重新编制。</w:t>
      </w:r>
    </w:p>
    <w:p w14:paraId="05283C99">
      <w:pPr>
        <w:keepNext w:val="0"/>
        <w:keepLines w:val="0"/>
        <w:pageBreakBefore w:val="0"/>
        <w:spacing w:line="360" w:lineRule="auto"/>
        <w:ind w:left="0" w:right="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四、响应文件的递交</w:t>
      </w:r>
    </w:p>
    <w:p w14:paraId="71991162">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w:t>
      </w:r>
      <w:r>
        <w:rPr>
          <w:rFonts w:hint="eastAsia" w:ascii="宋体" w:hAnsi="宋体" w:cs="宋体"/>
          <w:b w:val="0"/>
          <w:bCs w:val="0"/>
          <w:color w:val="auto"/>
          <w:sz w:val="24"/>
          <w:highlight w:val="none"/>
        </w:rPr>
        <w:t>响应文件的递交及接收截止时间</w:t>
      </w:r>
    </w:p>
    <w:p w14:paraId="0543A88B">
      <w:pPr>
        <w:tabs>
          <w:tab w:val="left" w:pos="90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16.1</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应当按照《操作手册》规定，在投标截止时间前制作并上传电子投标文件。</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应充分考虑到网络环境、网络带宽等风险因素，如因</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自身原因造成的电子投标文件上传不成功的按照无效投标处理。</w:t>
      </w:r>
    </w:p>
    <w:p w14:paraId="1681D327">
      <w:pPr>
        <w:keepNext w:val="0"/>
        <w:keepLines w:val="0"/>
        <w:pageBreakBefore w:val="0"/>
        <w:spacing w:line="360" w:lineRule="auto"/>
        <w:ind w:left="0" w:right="0"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供应商</w:t>
      </w:r>
      <w:r>
        <w:rPr>
          <w:rFonts w:hint="eastAsia" w:ascii="宋体" w:hAnsi="宋体" w:eastAsia="宋体" w:cs="宋体"/>
          <w:bCs/>
          <w:color w:val="auto"/>
          <w:sz w:val="24"/>
          <w:szCs w:val="24"/>
          <w:highlight w:val="none"/>
        </w:rPr>
        <w:t>上传的电子响应文件内容不清楚或不清晰的（含扫描件），造成无法评审或部分影响评审的，</w:t>
      </w:r>
      <w:r>
        <w:rPr>
          <w:rFonts w:hint="eastAsia" w:ascii="宋体" w:hAnsi="宋体" w:eastAsia="宋体" w:cs="宋体"/>
          <w:bCs/>
          <w:color w:val="auto"/>
          <w:sz w:val="24"/>
          <w:szCs w:val="24"/>
          <w:highlight w:val="none"/>
          <w:lang w:val="zh-CN"/>
        </w:rPr>
        <w:t>责任由</w:t>
      </w:r>
      <w:r>
        <w:rPr>
          <w:rFonts w:hint="eastAsia" w:ascii="宋体" w:hAnsi="宋体" w:eastAsia="宋体" w:cs="宋体"/>
          <w:bCs/>
          <w:color w:val="auto"/>
          <w:sz w:val="24"/>
          <w:szCs w:val="24"/>
          <w:highlight w:val="none"/>
        </w:rPr>
        <w:t>供应商</w:t>
      </w:r>
      <w:r>
        <w:rPr>
          <w:rFonts w:hint="eastAsia" w:ascii="宋体" w:hAnsi="宋体" w:eastAsia="宋体" w:cs="宋体"/>
          <w:bCs/>
          <w:color w:val="auto"/>
          <w:sz w:val="24"/>
          <w:szCs w:val="24"/>
          <w:highlight w:val="none"/>
          <w:lang w:val="zh-CN"/>
        </w:rPr>
        <w:t>自负。</w:t>
      </w:r>
    </w:p>
    <w:p w14:paraId="19DFC945">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.3供应商上传电子响应文件的时间不得迟于谈判邀请中规定的截止时间。</w:t>
      </w:r>
    </w:p>
    <w:p w14:paraId="084C81BD">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采购人（代理公司）</w:t>
      </w:r>
      <w:r>
        <w:rPr>
          <w:rFonts w:hint="eastAsia" w:ascii="宋体" w:hAnsi="宋体" w:eastAsia="宋体" w:cs="宋体"/>
          <w:color w:val="auto"/>
          <w:sz w:val="24"/>
          <w:szCs w:val="24"/>
          <w:highlight w:val="none"/>
        </w:rPr>
        <w:t>可以按第7条规定，通过修改谈判文件有权酌情延长响应文件接收截止时间。在此情况下，供应商的所有权利和义务以及供应商受制约的截止日期均应以延长后新的截止日期为准。</w:t>
      </w:r>
    </w:p>
    <w:p w14:paraId="4C95B650">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.迟交的响应文件</w:t>
      </w:r>
    </w:p>
    <w:p w14:paraId="6CCA7839">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cs="宋体"/>
          <w:color w:val="auto"/>
          <w:sz w:val="24"/>
          <w:highlight w:val="none"/>
        </w:rPr>
        <w:t>17.1采购人（代理机构）将拒绝接收在响应文件接收截止时间后收到的任何响应文件。</w:t>
      </w:r>
    </w:p>
    <w:p w14:paraId="51A40BC0">
      <w:pPr>
        <w:keepNext w:val="0"/>
        <w:keepLines w:val="0"/>
        <w:pageBreakBefore w:val="0"/>
        <w:spacing w:line="360" w:lineRule="auto"/>
        <w:ind w:left="0" w:right="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 响应文件的修改和撤回</w:t>
      </w:r>
    </w:p>
    <w:p w14:paraId="1471A642">
      <w:pPr>
        <w:spacing w:line="360" w:lineRule="auto"/>
        <w:ind w:firstLine="540"/>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.1供应商在上传电子响应文件后可以对其修改或撤回，但这种修改和撤回，必须在规定的谈判时间之前。</w:t>
      </w:r>
      <w:r>
        <w:rPr>
          <w:rFonts w:hint="eastAsia" w:ascii="宋体" w:hAnsi="宋体"/>
          <w:color w:val="auto"/>
          <w:sz w:val="24"/>
          <w:szCs w:val="21"/>
          <w:highlight w:val="none"/>
        </w:rPr>
        <w:t>具体操作方法见《操作手册》</w:t>
      </w:r>
      <w:r>
        <w:rPr>
          <w:rFonts w:hint="eastAsia" w:ascii="宋体" w:hAnsi="宋体"/>
          <w:color w:val="auto"/>
          <w:sz w:val="24"/>
          <w:szCs w:val="21"/>
          <w:highlight w:val="none"/>
          <w:lang w:eastAsia="zh-CN"/>
        </w:rPr>
        <w:t>。</w:t>
      </w:r>
    </w:p>
    <w:p w14:paraId="57A5B642">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cs="宋体"/>
          <w:color w:val="auto"/>
          <w:sz w:val="24"/>
          <w:highlight w:val="none"/>
        </w:rPr>
        <w:t>18.2</w:t>
      </w:r>
      <w:r>
        <w:rPr>
          <w:rFonts w:hint="eastAsia" w:ascii="宋体" w:hAnsi="宋体"/>
          <w:color w:val="auto"/>
          <w:sz w:val="24"/>
          <w:szCs w:val="21"/>
          <w:highlight w:val="none"/>
          <w:lang w:val="en-US" w:eastAsia="zh-CN"/>
        </w:rPr>
        <w:t>供应商</w:t>
      </w:r>
      <w:r>
        <w:rPr>
          <w:rFonts w:hint="eastAsia" w:ascii="宋体" w:hAnsi="宋体"/>
          <w:color w:val="auto"/>
          <w:sz w:val="24"/>
          <w:szCs w:val="21"/>
          <w:highlight w:val="none"/>
        </w:rPr>
        <w:t>可在投标截止时间前，对其电子投标文件进行修改，具体操作方法见《操作手册》。</w:t>
      </w:r>
      <w:r>
        <w:rPr>
          <w:rFonts w:hint="eastAsia" w:ascii="宋体" w:hAnsi="宋体"/>
          <w:bCs/>
          <w:color w:val="auto"/>
          <w:sz w:val="24"/>
          <w:szCs w:val="21"/>
          <w:highlight w:val="none"/>
        </w:rPr>
        <w:t>在投标截止时间至</w:t>
      </w:r>
      <w:r>
        <w:rPr>
          <w:rFonts w:hint="eastAsia" w:ascii="宋体" w:hAnsi="宋体"/>
          <w:bCs/>
          <w:color w:val="auto"/>
          <w:sz w:val="24"/>
          <w:szCs w:val="21"/>
          <w:highlight w:val="none"/>
          <w:lang w:val="en-US" w:eastAsia="zh-CN"/>
        </w:rPr>
        <w:t>谈判</w:t>
      </w:r>
      <w:r>
        <w:rPr>
          <w:rFonts w:hint="eastAsia" w:ascii="宋体" w:hAnsi="宋体"/>
          <w:bCs/>
          <w:color w:val="auto"/>
          <w:sz w:val="24"/>
          <w:szCs w:val="21"/>
          <w:highlight w:val="none"/>
        </w:rPr>
        <w:t>文件中规定的投标有效期满之间的这段时间内，</w:t>
      </w:r>
      <w:r>
        <w:rPr>
          <w:rFonts w:hint="eastAsia" w:ascii="宋体" w:hAnsi="宋体"/>
          <w:bCs/>
          <w:color w:val="auto"/>
          <w:sz w:val="24"/>
          <w:szCs w:val="21"/>
          <w:highlight w:val="none"/>
          <w:lang w:val="en-US" w:eastAsia="zh-CN"/>
        </w:rPr>
        <w:t>供应商</w:t>
      </w:r>
      <w:r>
        <w:rPr>
          <w:rFonts w:hint="eastAsia" w:ascii="宋体" w:hAnsi="宋体"/>
          <w:bCs/>
          <w:color w:val="auto"/>
          <w:sz w:val="24"/>
          <w:szCs w:val="21"/>
          <w:highlight w:val="none"/>
        </w:rPr>
        <w:t>不得撤回其投标。</w:t>
      </w:r>
    </w:p>
    <w:p w14:paraId="1505AA8D">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.3</w:t>
      </w:r>
      <w:r>
        <w:rPr>
          <w:rFonts w:hint="eastAsia" w:ascii="宋体" w:hAnsi="宋体" w:cs="宋体"/>
          <w:color w:val="auto"/>
          <w:sz w:val="24"/>
          <w:highlight w:val="none"/>
        </w:rPr>
        <w:t>供应商不得在投标截止时间以后修改响应文件。</w:t>
      </w:r>
    </w:p>
    <w:p w14:paraId="3F801BDD">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.4供应商不得在提交电子响应文件截止时间起至谈判有效期满前撤回电子响应文件。</w:t>
      </w:r>
    </w:p>
    <w:p w14:paraId="2994492E">
      <w:pPr>
        <w:keepNext w:val="0"/>
        <w:keepLines w:val="0"/>
        <w:pageBreakBefore w:val="0"/>
        <w:spacing w:line="360" w:lineRule="auto"/>
        <w:ind w:left="0" w:right="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五、谈判</w:t>
      </w:r>
    </w:p>
    <w:p w14:paraId="05CF0ADE">
      <w:pPr>
        <w:keepNext w:val="0"/>
        <w:keepLines w:val="0"/>
        <w:pageBreakBefore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.谈判组织</w:t>
      </w:r>
    </w:p>
    <w:p w14:paraId="4586D1CF">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lang w:eastAsia="zh-CN"/>
        </w:rPr>
        <w:t>采购人（代理机构）</w:t>
      </w:r>
      <w:r>
        <w:rPr>
          <w:rFonts w:hint="eastAsia" w:ascii="宋体" w:hAnsi="宋体" w:eastAsia="宋体" w:cs="宋体"/>
          <w:color w:val="auto"/>
          <w:sz w:val="24"/>
          <w:highlight w:val="none"/>
        </w:rPr>
        <w:t>将在</w:t>
      </w:r>
      <w:r>
        <w:rPr>
          <w:rFonts w:hint="eastAsia" w:ascii="宋体" w:hAnsi="宋体" w:cs="宋体"/>
          <w:color w:val="auto"/>
          <w:sz w:val="24"/>
          <w:highlight w:val="none"/>
          <w:lang w:val="en-US" w:eastAsia="zh-CN"/>
        </w:rPr>
        <w:t>谈判</w:t>
      </w:r>
      <w:r>
        <w:rPr>
          <w:rFonts w:hint="eastAsia" w:ascii="宋体" w:hAnsi="宋体" w:eastAsia="宋体" w:cs="宋体"/>
          <w:color w:val="auto"/>
          <w:sz w:val="24"/>
          <w:highlight w:val="none"/>
        </w:rPr>
        <w:t>公告中规定的时间和地点组织开标。</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应当按照《操作手册》规定，参加开标活动和在苏采云系统规定的时间内对投标文件进行解密。</w:t>
      </w:r>
    </w:p>
    <w:p w14:paraId="575A5A4F">
      <w:pPr>
        <w:tabs>
          <w:tab w:val="left" w:pos="90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.2开标仪式由</w:t>
      </w:r>
      <w:r>
        <w:rPr>
          <w:rFonts w:hint="eastAsia" w:ascii="宋体" w:hAnsi="宋体" w:eastAsia="宋体" w:cs="宋体"/>
          <w:color w:val="auto"/>
          <w:sz w:val="24"/>
          <w:highlight w:val="none"/>
          <w:lang w:eastAsia="zh-CN"/>
        </w:rPr>
        <w:t>采购人（代理机构）</w:t>
      </w:r>
      <w:r>
        <w:rPr>
          <w:rFonts w:hint="eastAsia" w:ascii="宋体" w:hAnsi="宋体" w:eastAsia="宋体" w:cs="宋体"/>
          <w:color w:val="auto"/>
          <w:sz w:val="24"/>
          <w:highlight w:val="none"/>
        </w:rPr>
        <w:t>组织。苏采云系统将自动对项目进行开标，并宣布各</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名称和投标价格。</w:t>
      </w:r>
    </w:p>
    <w:p w14:paraId="7070AE06">
      <w:pPr>
        <w:tabs>
          <w:tab w:val="left" w:pos="90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在开标过程中涉及到的投标文件解密、开标结果确认等工作，应按照《操作手册》规定执行。</w:t>
      </w:r>
    </w:p>
    <w:p w14:paraId="00DA0CD9">
      <w:pPr>
        <w:tabs>
          <w:tab w:val="left" w:pos="90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.4</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如果对开标过程和开标记录有疑义，应当根据《操作手册》规定提出，如苏采云系统中《开标记录表》宣布后5分钟内未提出的，视同认可开标结果。</w:t>
      </w:r>
    </w:p>
    <w:p w14:paraId="4667EEA6">
      <w:pPr>
        <w:tabs>
          <w:tab w:val="left" w:pos="900"/>
        </w:tabs>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5谈判</w:t>
      </w:r>
      <w:r>
        <w:rPr>
          <w:rFonts w:hint="eastAsia" w:ascii="宋体" w:hAnsi="宋体" w:eastAsia="宋体" w:cs="宋体"/>
          <w:color w:val="auto"/>
          <w:sz w:val="24"/>
          <w:highlight w:val="none"/>
          <w:lang w:val="zh-CN"/>
        </w:rPr>
        <w:t>工作由</w:t>
      </w:r>
      <w:r>
        <w:rPr>
          <w:rFonts w:hint="eastAsia" w:ascii="宋体" w:hAnsi="宋体" w:eastAsia="宋体" w:cs="宋体"/>
          <w:color w:val="auto"/>
          <w:sz w:val="24"/>
          <w:highlight w:val="none"/>
        </w:rPr>
        <w:t>采购人（代理机构）</w:t>
      </w:r>
      <w:r>
        <w:rPr>
          <w:rFonts w:hint="eastAsia" w:ascii="宋体" w:hAnsi="宋体" w:eastAsia="宋体" w:cs="宋体"/>
          <w:color w:val="auto"/>
          <w:sz w:val="24"/>
          <w:highlight w:val="none"/>
          <w:lang w:val="zh-CN"/>
        </w:rPr>
        <w:t>负责组织，具体</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lang w:val="zh-CN"/>
        </w:rPr>
        <w:t>事务由依法组建的</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lang w:val="zh-CN"/>
        </w:rPr>
        <w:t>小组负责。</w:t>
      </w:r>
    </w:p>
    <w:p w14:paraId="695E3A19">
      <w:pPr>
        <w:tabs>
          <w:tab w:val="left" w:pos="90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小组由采购人代表和评审专家共3人以上单数组成。</w:t>
      </w:r>
    </w:p>
    <w:p w14:paraId="75DC3CB0">
      <w:pPr>
        <w:tabs>
          <w:tab w:val="left" w:pos="90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小组应以科学、公正的态度参加评审工作并推荐成交候选人。</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小组在评审过程中不受任何干扰，独立、负责地提出评审意见，并对自己的评审意见承担责任。</w:t>
      </w:r>
    </w:p>
    <w:p w14:paraId="6D9CB7BD">
      <w:pPr>
        <w:tabs>
          <w:tab w:val="left" w:pos="90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小组应对供应商的商业、技术秘密予以保密。</w:t>
      </w:r>
    </w:p>
    <w:p w14:paraId="73D34AA7">
      <w:pPr>
        <w:keepNext w:val="0"/>
        <w:keepLines w:val="0"/>
        <w:pageBreakBefore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.谈判程序</w:t>
      </w:r>
    </w:p>
    <w:p w14:paraId="49DF8ED9">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.1响应文件的资格审查</w:t>
      </w:r>
    </w:p>
    <w:p w14:paraId="3DF57E44">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.1.1谈判小组依法对供应商的资格进行审查。</w:t>
      </w:r>
    </w:p>
    <w:p w14:paraId="448FEA4D">
      <w:pPr>
        <w:keepNext w:val="0"/>
        <w:keepLines w:val="0"/>
        <w:pageBreakBefore w:val="0"/>
        <w:spacing w:line="360" w:lineRule="auto"/>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rPr>
        <w:t>.1.1.1资格性审查:依据法律法规和谈判文件的规定，对响应文件中的资格证明文件进行审查，以确定供应商是否具备谈判资格。</w:t>
      </w:r>
    </w:p>
    <w:p w14:paraId="7B41DF09">
      <w:pPr>
        <w:keepNext w:val="0"/>
        <w:keepLines w:val="0"/>
        <w:pageBreakBefore w:val="0"/>
        <w:spacing w:line="360" w:lineRule="auto"/>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rPr>
        <w:t xml:space="preserve">.1.1.2 </w:t>
      </w:r>
      <w:r>
        <w:rPr>
          <w:rFonts w:hint="eastAsia" w:ascii="宋体" w:hAnsi="宋体" w:eastAsia="宋体" w:cs="宋体"/>
          <w:color w:val="auto"/>
          <w:sz w:val="24"/>
          <w:highlight w:val="none"/>
          <w:lang w:val="zh-CN"/>
        </w:rPr>
        <w:t>在进行资格性审查的同时，将在“信用中国”网站（</w:t>
      </w: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HYPERLINK "http://www.creditchina.gov.cn" </w:instrText>
      </w:r>
      <w:r>
        <w:rPr>
          <w:rFonts w:hint="eastAsia" w:ascii="宋体" w:hAnsi="宋体" w:eastAsia="宋体" w:cs="宋体"/>
          <w:color w:val="auto"/>
          <w:sz w:val="24"/>
          <w:highlight w:val="none"/>
          <w:lang w:val="zh-CN"/>
        </w:rPr>
        <w:fldChar w:fldCharType="separate"/>
      </w:r>
      <w:r>
        <w:rPr>
          <w:rStyle w:val="362"/>
          <w:rFonts w:hint="eastAsia" w:ascii="宋体" w:hAnsi="宋体" w:eastAsia="宋体" w:cs="宋体"/>
          <w:color w:val="auto"/>
          <w:sz w:val="24"/>
          <w:highlight w:val="none"/>
          <w:lang w:val="zh-CN"/>
        </w:rPr>
        <w:t>www.creditchina.gov.cn</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）、“中国政府采购网"（</w:t>
      </w: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HYPERLINK "http://www.ccgp.gov.cn" </w:instrText>
      </w:r>
      <w:r>
        <w:rPr>
          <w:rFonts w:hint="eastAsia" w:ascii="宋体" w:hAnsi="宋体" w:eastAsia="宋体" w:cs="宋体"/>
          <w:color w:val="auto"/>
          <w:sz w:val="24"/>
          <w:highlight w:val="none"/>
          <w:lang w:val="zh-CN"/>
        </w:rPr>
        <w:fldChar w:fldCharType="separate"/>
      </w:r>
      <w:r>
        <w:rPr>
          <w:rStyle w:val="362"/>
          <w:rFonts w:hint="eastAsia" w:ascii="宋体" w:hAnsi="宋体" w:eastAsia="宋体" w:cs="宋体"/>
          <w:color w:val="auto"/>
          <w:sz w:val="24"/>
          <w:highlight w:val="none"/>
          <w:lang w:val="zh-CN"/>
        </w:rPr>
        <w:t>www.ccgp.gov.cn</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）对供应商是否被列入失信被执行人、重大税收违法案件当事人名单、政府采购严重违法失信行为记录名单的情况进行查询，以确定供应商是否具备谈判资格。查询结果将以网页打印的形式留存并归档。</w:t>
      </w:r>
    </w:p>
    <w:p w14:paraId="0C1063C8">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rPr>
        <w:t>.1.1.3 响应文件有下列情况之一的，在资格性审查时按照无效响应文件处理:</w:t>
      </w:r>
    </w:p>
    <w:p w14:paraId="200F0E29">
      <w:pPr>
        <w:keepNext w:val="0"/>
        <w:keepLines w:val="0"/>
        <w:pageBreakBefore w:val="0"/>
        <w:spacing w:line="360" w:lineRule="auto"/>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）不具备谈判文件中规定的资格要求的；</w:t>
      </w:r>
    </w:p>
    <w:p w14:paraId="472FA3FC">
      <w:pPr>
        <w:keepNext w:val="0"/>
        <w:keepLines w:val="0"/>
        <w:pageBreakBefore w:val="0"/>
        <w:spacing w:line="360" w:lineRule="auto"/>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）供应商被“信用中国”、网站</w:t>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val="zh-CN"/>
        </w:rPr>
        <w:t>（列入失信被执行人或重大税收违法案件当事人名单或政府采购严重失信行为记录名单。</w:t>
      </w:r>
    </w:p>
    <w:p w14:paraId="76163106">
      <w:pPr>
        <w:keepNext w:val="0"/>
        <w:keepLines w:val="0"/>
        <w:pageBreakBefore w:val="0"/>
        <w:spacing w:line="360" w:lineRule="auto"/>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.2响应文件符合性审查</w:t>
      </w:r>
    </w:p>
    <w:p w14:paraId="671C2471">
      <w:pPr>
        <w:keepNext w:val="0"/>
        <w:keepLines w:val="0"/>
        <w:pageBreakBefore w:val="0"/>
        <w:spacing w:line="360" w:lineRule="auto"/>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.2.1谈判小组将依据法律法规和谈判文件的规定，对响应文件的有效性、完整性和对谈判文件的响应程度进行审查，</w:t>
      </w:r>
      <w:r>
        <w:rPr>
          <w:rFonts w:hint="eastAsia" w:ascii="宋体" w:hAnsi="宋体" w:eastAsia="宋体" w:cs="宋体"/>
          <w:color w:val="auto"/>
          <w:sz w:val="24"/>
          <w:szCs w:val="24"/>
          <w:highlight w:val="none"/>
          <w:lang w:val="zh-CN"/>
        </w:rPr>
        <w:t>以确定是否对谈判文件的实质性要求作出响应。</w:t>
      </w:r>
    </w:p>
    <w:p w14:paraId="22D61CDE">
      <w:pPr>
        <w:keepNext w:val="0"/>
        <w:keepLines w:val="0"/>
        <w:pageBreakBefore w:val="0"/>
        <w:spacing w:line="360" w:lineRule="auto"/>
        <w:ind w:left="0" w:right="0" w:firstLine="4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p>
    <w:p w14:paraId="67AA50B8">
      <w:pPr>
        <w:keepNext w:val="0"/>
        <w:keepLines w:val="0"/>
        <w:pageBreakBefore w:val="0"/>
        <w:spacing w:line="360" w:lineRule="auto"/>
        <w:ind w:left="0" w:right="0" w:firstLine="4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.2.3如果响应文件没有实质上响应谈判文件的要求，谈判小组将予以拒绝。</w:t>
      </w:r>
    </w:p>
    <w:p w14:paraId="7FF2204E">
      <w:pPr>
        <w:keepNext w:val="0"/>
        <w:keepLines w:val="0"/>
        <w:pageBreakBefore w:val="0"/>
        <w:spacing w:line="360" w:lineRule="auto"/>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.2.4谈判小组</w:t>
      </w:r>
      <w:r>
        <w:rPr>
          <w:rFonts w:hint="eastAsia" w:ascii="宋体" w:hAnsi="宋体" w:eastAsia="宋体" w:cs="宋体"/>
          <w:bCs/>
          <w:color w:val="auto"/>
          <w:sz w:val="24"/>
          <w:szCs w:val="24"/>
          <w:highlight w:val="none"/>
        </w:rPr>
        <w:t>将对确定为实质性响应的响应文件进行进一步</w:t>
      </w:r>
      <w:r>
        <w:rPr>
          <w:rFonts w:hint="eastAsia" w:ascii="宋体" w:hAnsi="宋体" w:eastAsia="宋体" w:cs="宋体"/>
          <w:color w:val="auto"/>
          <w:sz w:val="24"/>
          <w:szCs w:val="24"/>
          <w:highlight w:val="none"/>
        </w:rPr>
        <w:t>初审，</w:t>
      </w:r>
      <w:r>
        <w:rPr>
          <w:rFonts w:hint="eastAsia" w:ascii="宋体" w:hAnsi="宋体" w:eastAsia="宋体" w:cs="宋体"/>
          <w:bCs/>
          <w:color w:val="auto"/>
          <w:sz w:val="24"/>
          <w:szCs w:val="24"/>
          <w:highlight w:val="none"/>
        </w:rPr>
        <w:t>看其是否有计算上或累加上的算术错误，</w:t>
      </w:r>
      <w:r>
        <w:rPr>
          <w:rFonts w:hint="eastAsia" w:ascii="宋体" w:hAnsi="宋体" w:eastAsia="宋体" w:cs="宋体"/>
          <w:color w:val="auto"/>
          <w:sz w:val="24"/>
          <w:szCs w:val="24"/>
          <w:highlight w:val="none"/>
        </w:rPr>
        <w:t>修正错误的原则如下:</w:t>
      </w:r>
    </w:p>
    <w:p w14:paraId="52723146">
      <w:pPr>
        <w:keepNext w:val="0"/>
        <w:keepLines w:val="0"/>
        <w:pageBreakBefore w:val="0"/>
        <w:spacing w:line="360" w:lineRule="auto"/>
        <w:ind w:left="0" w:right="0" w:firstLine="4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（1）大写金额和小写金额不一致的，以大写金额为准。</w:t>
      </w:r>
    </w:p>
    <w:p w14:paraId="6921A8CE">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（2）总价金额与按单价汇总金额不一致的，以单价金额计算结果为准。</w:t>
      </w:r>
    </w:p>
    <w:p w14:paraId="67C69A4F">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w:t>
      </w:r>
      <w:r>
        <w:rPr>
          <w:rFonts w:hint="eastAsia" w:ascii="宋体" w:hAnsi="宋体" w:eastAsia="宋体" w:cs="宋体"/>
          <w:bCs/>
          <w:color w:val="auto"/>
          <w:sz w:val="24"/>
          <w:szCs w:val="24"/>
          <w:highlight w:val="none"/>
        </w:rPr>
        <w:t>或者百分比</w:t>
      </w:r>
      <w:r>
        <w:rPr>
          <w:rFonts w:hint="eastAsia" w:ascii="宋体" w:hAnsi="宋体" w:eastAsia="宋体" w:cs="宋体"/>
          <w:color w:val="auto"/>
          <w:sz w:val="24"/>
          <w:szCs w:val="24"/>
          <w:highlight w:val="none"/>
        </w:rPr>
        <w:t>有明显错位的，以总价为准并修改单价。</w:t>
      </w:r>
    </w:p>
    <w:p w14:paraId="295687B9">
      <w:pPr>
        <w:keepNext w:val="0"/>
        <w:keepLines w:val="0"/>
        <w:pageBreakBefore w:val="0"/>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同时出现两种以上错误的，按照前款规定的顺序修正。</w:t>
      </w:r>
    </w:p>
    <w:p w14:paraId="358B6FD8">
      <w:pPr>
        <w:keepNext w:val="0"/>
        <w:keepLines w:val="0"/>
        <w:pageBreakBefore w:val="0"/>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谈判小组将按上述修正错误的方法调整响应文件中的谈判报价，调整后的价格应对供应商具有约束力。如果供应商不同意修正的，其响应文件无效。</w:t>
      </w:r>
    </w:p>
    <w:p w14:paraId="6D7998AC">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.3</w:t>
      </w:r>
      <w:r>
        <w:rPr>
          <w:rFonts w:hint="eastAsia" w:ascii="宋体" w:hAnsi="宋体"/>
          <w:bCs/>
          <w:color w:val="auto"/>
          <w:sz w:val="24"/>
          <w:szCs w:val="21"/>
          <w:highlight w:val="none"/>
        </w:rPr>
        <w:t>未通过资格审查或符合性审查的供应商，</w:t>
      </w:r>
      <w:r>
        <w:rPr>
          <w:rFonts w:hint="eastAsia" w:ascii="宋体" w:hAnsi="宋体"/>
          <w:bCs/>
          <w:color w:val="auto"/>
          <w:sz w:val="24"/>
          <w:szCs w:val="21"/>
          <w:highlight w:val="none"/>
          <w:lang w:val="en-US" w:eastAsia="zh-CN"/>
        </w:rPr>
        <w:t>谈判</w:t>
      </w:r>
      <w:r>
        <w:rPr>
          <w:rFonts w:hint="eastAsia" w:ascii="宋体" w:hAnsi="宋体"/>
          <w:bCs/>
          <w:color w:val="auto"/>
          <w:sz w:val="24"/>
          <w:szCs w:val="21"/>
          <w:highlight w:val="none"/>
        </w:rPr>
        <w:t>小组将在</w:t>
      </w:r>
      <w:r>
        <w:rPr>
          <w:rFonts w:hint="eastAsia" w:ascii="宋体" w:hAnsi="宋体"/>
          <w:color w:val="auto"/>
          <w:sz w:val="24"/>
          <w:highlight w:val="none"/>
          <w:lang w:eastAsia="zh-CN"/>
        </w:rPr>
        <w:t>苏采云系统</w:t>
      </w:r>
      <w:r>
        <w:rPr>
          <w:rFonts w:hint="eastAsia" w:ascii="宋体" w:hAnsi="宋体"/>
          <w:bCs/>
          <w:color w:val="auto"/>
          <w:sz w:val="24"/>
          <w:szCs w:val="21"/>
          <w:highlight w:val="none"/>
        </w:rPr>
        <w:t>中告知未通过资格审查或符合性审查的原因，评审结束后，谈判小组将不再告知未通过资格审查或符合性审查的原因。</w:t>
      </w:r>
    </w:p>
    <w:p w14:paraId="0159EDAC">
      <w:pPr>
        <w:spacing w:line="360" w:lineRule="auto"/>
        <w:ind w:firstLine="480"/>
        <w:rPr>
          <w:rFonts w:ascii="宋体" w:hAnsi="宋体"/>
          <w:bCs/>
          <w:color w:val="auto"/>
          <w:sz w:val="24"/>
          <w:szCs w:val="21"/>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bCs/>
          <w:color w:val="auto"/>
          <w:sz w:val="24"/>
          <w:szCs w:val="21"/>
          <w:highlight w:val="none"/>
        </w:rPr>
        <w:t>接受联合体的项目，两个以上的自然人、法人或者其他组织组成一个联合体，以一个供应商的身份共同参加政府采购活动的</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联合体成员中任何一方存在不良信用记录的，视同联合体存在不良应用记录。</w:t>
      </w:r>
    </w:p>
    <w:p w14:paraId="1E8A8F7F">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.5</w:t>
      </w:r>
      <w:r>
        <w:rPr>
          <w:rFonts w:hint="eastAsia" w:ascii="宋体" w:hAnsi="宋体"/>
          <w:bCs/>
          <w:color w:val="auto"/>
          <w:sz w:val="24"/>
          <w:szCs w:val="21"/>
          <w:highlight w:val="none"/>
          <w:lang w:val="en-US" w:eastAsia="zh-CN"/>
        </w:rPr>
        <w:t>谈判</w:t>
      </w:r>
      <w:r>
        <w:rPr>
          <w:rFonts w:hint="eastAsia" w:ascii="宋体" w:hAnsi="宋体" w:cs="宋体"/>
          <w:color w:val="auto"/>
          <w:sz w:val="24"/>
          <w:highlight w:val="none"/>
        </w:rPr>
        <w:t>中，</w:t>
      </w:r>
      <w:r>
        <w:rPr>
          <w:rFonts w:hint="eastAsia" w:ascii="宋体" w:hAnsi="宋体"/>
          <w:bCs/>
          <w:color w:val="auto"/>
          <w:sz w:val="24"/>
          <w:szCs w:val="21"/>
          <w:highlight w:val="none"/>
          <w:lang w:val="en-US" w:eastAsia="zh-CN"/>
        </w:rPr>
        <w:t>谈判</w:t>
      </w:r>
      <w:r>
        <w:rPr>
          <w:rFonts w:hint="eastAsia" w:ascii="宋体" w:hAnsi="宋体" w:cs="宋体"/>
          <w:color w:val="auto"/>
          <w:sz w:val="24"/>
          <w:highlight w:val="none"/>
        </w:rPr>
        <w:t>的任何一方不得透露与</w:t>
      </w:r>
      <w:r>
        <w:rPr>
          <w:rFonts w:hint="eastAsia" w:ascii="宋体" w:hAnsi="宋体"/>
          <w:bCs/>
          <w:color w:val="auto"/>
          <w:sz w:val="24"/>
          <w:szCs w:val="21"/>
          <w:highlight w:val="none"/>
          <w:lang w:val="en-US" w:eastAsia="zh-CN"/>
        </w:rPr>
        <w:t>谈判</w:t>
      </w:r>
      <w:r>
        <w:rPr>
          <w:rFonts w:hint="eastAsia" w:ascii="宋体" w:hAnsi="宋体" w:cs="宋体"/>
          <w:color w:val="auto"/>
          <w:sz w:val="24"/>
          <w:highlight w:val="none"/>
        </w:rPr>
        <w:t>有关的其他参加供应商的技术资料、价格和其他信息。如果参加</w:t>
      </w:r>
      <w:r>
        <w:rPr>
          <w:rFonts w:hint="eastAsia" w:ascii="宋体" w:hAnsi="宋体"/>
          <w:bCs/>
          <w:color w:val="auto"/>
          <w:sz w:val="24"/>
          <w:szCs w:val="21"/>
          <w:highlight w:val="none"/>
          <w:lang w:val="en-US" w:eastAsia="zh-CN"/>
        </w:rPr>
        <w:t>谈判</w:t>
      </w:r>
      <w:r>
        <w:rPr>
          <w:rFonts w:hint="eastAsia" w:ascii="宋体" w:hAnsi="宋体" w:cs="宋体"/>
          <w:color w:val="auto"/>
          <w:sz w:val="24"/>
          <w:highlight w:val="none"/>
        </w:rPr>
        <w:t>供应商试图向采购人（代理机构）和</w:t>
      </w:r>
      <w:r>
        <w:rPr>
          <w:rFonts w:hint="eastAsia" w:ascii="宋体" w:hAnsi="宋体"/>
          <w:bCs/>
          <w:color w:val="auto"/>
          <w:sz w:val="24"/>
          <w:szCs w:val="21"/>
          <w:highlight w:val="none"/>
          <w:lang w:val="en-US" w:eastAsia="zh-CN"/>
        </w:rPr>
        <w:t>谈判</w:t>
      </w:r>
      <w:r>
        <w:rPr>
          <w:rFonts w:hint="eastAsia" w:ascii="宋体" w:hAnsi="宋体" w:cs="宋体"/>
          <w:color w:val="auto"/>
          <w:sz w:val="24"/>
          <w:highlight w:val="none"/>
        </w:rPr>
        <w:t>小组人员施加任何影响，</w:t>
      </w:r>
      <w:r>
        <w:rPr>
          <w:rFonts w:hint="eastAsia" w:ascii="宋体" w:hAnsi="宋体" w:eastAsia="宋体" w:cs="宋体"/>
          <w:color w:val="auto"/>
          <w:sz w:val="24"/>
          <w:highlight w:val="none"/>
        </w:rPr>
        <w:t>都将会导致其</w:t>
      </w:r>
      <w:r>
        <w:rPr>
          <w:rFonts w:hint="eastAsia" w:ascii="宋体" w:hAnsi="宋体"/>
          <w:bCs/>
          <w:color w:val="auto"/>
          <w:sz w:val="24"/>
          <w:szCs w:val="21"/>
          <w:highlight w:val="none"/>
          <w:lang w:val="en-US" w:eastAsia="zh-CN"/>
        </w:rPr>
        <w:t>谈判</w:t>
      </w:r>
      <w:r>
        <w:rPr>
          <w:rFonts w:hint="eastAsia" w:ascii="宋体" w:hAnsi="宋体" w:eastAsia="宋体" w:cs="宋体"/>
          <w:color w:val="auto"/>
          <w:sz w:val="24"/>
          <w:highlight w:val="none"/>
        </w:rPr>
        <w:t>被拒绝。</w:t>
      </w:r>
    </w:p>
    <w:p w14:paraId="2751093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20.6</w:t>
      </w:r>
      <w:r>
        <w:rPr>
          <w:rFonts w:hint="eastAsia" w:ascii="宋体" w:hAnsi="宋体" w:eastAsia="宋体" w:cs="宋体"/>
          <w:color w:val="auto"/>
          <w:sz w:val="24"/>
          <w:highlight w:val="none"/>
        </w:rPr>
        <w:t>对于通过资格审查和符合性审查的供应商，</w:t>
      </w:r>
      <w:r>
        <w:rPr>
          <w:rFonts w:hint="eastAsia" w:ascii="宋体" w:hAnsi="宋体"/>
          <w:bCs/>
          <w:color w:val="auto"/>
          <w:sz w:val="24"/>
          <w:szCs w:val="21"/>
          <w:highlight w:val="none"/>
          <w:lang w:val="en-US" w:eastAsia="zh-CN"/>
        </w:rPr>
        <w:t>谈判</w:t>
      </w:r>
      <w:r>
        <w:rPr>
          <w:rFonts w:hint="eastAsia" w:ascii="宋体" w:hAnsi="宋体" w:eastAsia="宋体" w:cs="宋体"/>
          <w:color w:val="auto"/>
          <w:sz w:val="24"/>
          <w:highlight w:val="none"/>
        </w:rPr>
        <w:t>小组将集中与单一供应商分别进行</w:t>
      </w:r>
      <w:r>
        <w:rPr>
          <w:rFonts w:hint="eastAsia" w:ascii="宋体" w:hAnsi="宋体"/>
          <w:bCs/>
          <w:color w:val="auto"/>
          <w:sz w:val="24"/>
          <w:szCs w:val="21"/>
          <w:highlight w:val="none"/>
          <w:lang w:val="en-US" w:eastAsia="zh-CN"/>
        </w:rPr>
        <w:t>谈判</w:t>
      </w:r>
      <w:r>
        <w:rPr>
          <w:rFonts w:hint="eastAsia" w:ascii="宋体" w:hAnsi="宋体" w:eastAsia="宋体" w:cs="宋体"/>
          <w:color w:val="auto"/>
          <w:sz w:val="24"/>
          <w:highlight w:val="none"/>
        </w:rPr>
        <w:t>。</w:t>
      </w:r>
      <w:r>
        <w:rPr>
          <w:rFonts w:hint="eastAsia" w:ascii="宋体" w:hAnsi="宋体"/>
          <w:bCs/>
          <w:color w:val="auto"/>
          <w:sz w:val="24"/>
          <w:szCs w:val="21"/>
          <w:highlight w:val="none"/>
          <w:lang w:val="en-US" w:eastAsia="zh-CN"/>
        </w:rPr>
        <w:t>谈判</w:t>
      </w:r>
      <w:r>
        <w:rPr>
          <w:rFonts w:hint="eastAsia" w:ascii="宋体" w:hAnsi="宋体" w:eastAsia="宋体" w:cs="宋体"/>
          <w:color w:val="auto"/>
          <w:sz w:val="24"/>
          <w:highlight w:val="none"/>
        </w:rPr>
        <w:t>小组通过</w:t>
      </w:r>
      <w:r>
        <w:rPr>
          <w:rFonts w:hint="eastAsia" w:ascii="宋体" w:hAnsi="宋体" w:eastAsia="宋体" w:cs="宋体"/>
          <w:color w:val="auto"/>
          <w:sz w:val="24"/>
          <w:highlight w:val="none"/>
          <w:lang w:eastAsia="zh-CN"/>
        </w:rPr>
        <w:t>苏采云系统</w:t>
      </w:r>
      <w:r>
        <w:rPr>
          <w:rFonts w:hint="eastAsia" w:ascii="宋体" w:hAnsi="宋体" w:eastAsia="宋体" w:cs="宋体"/>
          <w:color w:val="auto"/>
          <w:sz w:val="24"/>
          <w:highlight w:val="none"/>
        </w:rPr>
        <w:t>向供应商发布“</w:t>
      </w:r>
      <w:r>
        <w:rPr>
          <w:rFonts w:hint="eastAsia" w:ascii="宋体" w:hAnsi="宋体"/>
          <w:bCs/>
          <w:color w:val="auto"/>
          <w:sz w:val="24"/>
          <w:szCs w:val="21"/>
          <w:highlight w:val="none"/>
          <w:lang w:val="en-US" w:eastAsia="zh-CN"/>
        </w:rPr>
        <w:t>谈判</w:t>
      </w:r>
      <w:r>
        <w:rPr>
          <w:rFonts w:hint="eastAsia" w:ascii="宋体" w:hAnsi="宋体" w:eastAsia="宋体" w:cs="宋体"/>
          <w:color w:val="auto"/>
          <w:sz w:val="24"/>
          <w:highlight w:val="none"/>
        </w:rPr>
        <w:t>函”，供应商应当按照要求在</w:t>
      </w:r>
      <w:r>
        <w:rPr>
          <w:rFonts w:hint="eastAsia" w:ascii="宋体" w:hAnsi="宋体" w:eastAsia="宋体" w:cs="宋体"/>
          <w:color w:val="auto"/>
          <w:sz w:val="24"/>
          <w:highlight w:val="none"/>
          <w:lang w:eastAsia="zh-CN"/>
        </w:rPr>
        <w:t>苏采云系统</w:t>
      </w:r>
      <w:r>
        <w:rPr>
          <w:rFonts w:hint="eastAsia" w:ascii="宋体" w:hAnsi="宋体" w:eastAsia="宋体" w:cs="宋体"/>
          <w:color w:val="auto"/>
          <w:sz w:val="24"/>
          <w:highlight w:val="none"/>
        </w:rPr>
        <w:t>提交“</w:t>
      </w:r>
      <w:r>
        <w:rPr>
          <w:rFonts w:hint="eastAsia" w:ascii="宋体" w:hAnsi="宋体"/>
          <w:bCs/>
          <w:color w:val="auto"/>
          <w:sz w:val="24"/>
          <w:szCs w:val="21"/>
          <w:highlight w:val="none"/>
          <w:lang w:val="en-US" w:eastAsia="zh-CN"/>
        </w:rPr>
        <w:t>谈判</w:t>
      </w:r>
      <w:r>
        <w:rPr>
          <w:rFonts w:hint="eastAsia" w:ascii="宋体" w:hAnsi="宋体" w:eastAsia="宋体" w:cs="宋体"/>
          <w:color w:val="auto"/>
          <w:sz w:val="24"/>
          <w:highlight w:val="none"/>
        </w:rPr>
        <w:t>响应函”并加盖CA电子公章。</w:t>
      </w:r>
    </w:p>
    <w:p w14:paraId="191F4B93">
      <w:pPr>
        <w:keepNext w:val="0"/>
        <w:keepLines w:val="0"/>
        <w:pageBreakBefore w:val="0"/>
        <w:widowControl w:val="0"/>
        <w:spacing w:line="360" w:lineRule="auto"/>
        <w:ind w:firstLine="480"/>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在</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过程中，</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小组可能根据</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文件和</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情况实质性变动的内容有：采购需求中的技术、服务要求以及合同草案条款。对</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文件作出的实质性变动是</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文件的有效组成部分，</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小组将在</w:t>
      </w:r>
      <w:r>
        <w:rPr>
          <w:rFonts w:hint="eastAsia" w:ascii="宋体" w:hAnsi="宋体" w:eastAsia="宋体" w:cs="Times New Roman"/>
          <w:bCs/>
          <w:color w:val="auto"/>
          <w:sz w:val="24"/>
          <w:szCs w:val="21"/>
          <w:highlight w:val="none"/>
          <w:lang w:eastAsia="zh-CN"/>
        </w:rPr>
        <w:t>苏采云系统</w:t>
      </w:r>
      <w:r>
        <w:rPr>
          <w:rFonts w:hint="eastAsia" w:ascii="宋体" w:hAnsi="宋体" w:eastAsia="宋体" w:cs="Times New Roman"/>
          <w:bCs/>
          <w:color w:val="auto"/>
          <w:sz w:val="24"/>
          <w:szCs w:val="21"/>
          <w:highlight w:val="none"/>
        </w:rPr>
        <w:t>中通知所有参加</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的供应商。供应商应当按照</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文件的变动情况和</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小组的要求在</w:t>
      </w:r>
      <w:r>
        <w:rPr>
          <w:rFonts w:hint="eastAsia" w:ascii="宋体" w:hAnsi="宋体" w:eastAsia="宋体" w:cs="Times New Roman"/>
          <w:bCs/>
          <w:color w:val="auto"/>
          <w:sz w:val="24"/>
          <w:szCs w:val="21"/>
          <w:highlight w:val="none"/>
          <w:lang w:eastAsia="zh-CN"/>
        </w:rPr>
        <w:t>苏采云系统</w:t>
      </w:r>
      <w:r>
        <w:rPr>
          <w:rFonts w:hint="eastAsia" w:ascii="宋体" w:hAnsi="宋体" w:eastAsia="宋体" w:cs="Times New Roman"/>
          <w:bCs/>
          <w:color w:val="auto"/>
          <w:sz w:val="24"/>
          <w:szCs w:val="21"/>
          <w:highlight w:val="none"/>
        </w:rPr>
        <w:t>中重新提交响应文件，并加盖CA电子公章。</w:t>
      </w:r>
    </w:p>
    <w:p w14:paraId="37D74F6A">
      <w:pPr>
        <w:keepNext w:val="0"/>
        <w:keepLines w:val="0"/>
        <w:pageBreakBefore w:val="0"/>
        <w:widowControl w:val="0"/>
        <w:spacing w:line="360" w:lineRule="auto"/>
        <w:ind w:firstLine="480"/>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lang w:val="en-US" w:eastAsia="zh-CN"/>
        </w:rPr>
        <w:t>20.7</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文件能够详细列明采购标的的技术、服务要求的，</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结束后，</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小组将在</w:t>
      </w:r>
      <w:r>
        <w:rPr>
          <w:rFonts w:hint="eastAsia" w:ascii="宋体" w:hAnsi="宋体" w:eastAsia="宋体" w:cs="Times New Roman"/>
          <w:bCs/>
          <w:color w:val="auto"/>
          <w:sz w:val="24"/>
          <w:szCs w:val="21"/>
          <w:highlight w:val="none"/>
          <w:lang w:eastAsia="zh-CN"/>
        </w:rPr>
        <w:t>苏采云系统</w:t>
      </w:r>
      <w:r>
        <w:rPr>
          <w:rFonts w:hint="eastAsia" w:ascii="宋体" w:hAnsi="宋体" w:eastAsia="宋体" w:cs="Times New Roman"/>
          <w:bCs/>
          <w:color w:val="auto"/>
          <w:sz w:val="24"/>
          <w:szCs w:val="21"/>
          <w:highlight w:val="none"/>
        </w:rPr>
        <w:t>向所有实质性响应的供应商发布“最后报价要求函”及最后报价格式表，要求所有实质性响应的供应商在规定时间内提交最后报价。</w:t>
      </w:r>
    </w:p>
    <w:p w14:paraId="47B88D52">
      <w:pPr>
        <w:keepNext w:val="0"/>
        <w:keepLines w:val="0"/>
        <w:pageBreakBefore w:val="0"/>
        <w:widowControl w:val="0"/>
        <w:spacing w:line="360" w:lineRule="auto"/>
        <w:ind w:firstLine="480"/>
        <w:rPr>
          <w:rFonts w:hint="eastAsia" w:ascii="宋体" w:hAnsi="宋体" w:eastAsia="宋体" w:cs="Times New Roman"/>
          <w:bCs/>
          <w:color w:val="auto"/>
          <w:sz w:val="24"/>
          <w:szCs w:val="21"/>
          <w:highlight w:val="none"/>
        </w:rPr>
      </w:pP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文件不能详细列明采购标的的技术、服务要求，需经</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由供应商提供最终设计方案或解决方案的，</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结束后，</w:t>
      </w:r>
      <w:r>
        <w:rPr>
          <w:rFonts w:hint="eastAsia" w:ascii="宋体" w:hAnsi="宋体"/>
          <w:bCs/>
          <w:color w:val="auto"/>
          <w:sz w:val="24"/>
          <w:szCs w:val="21"/>
          <w:highlight w:val="none"/>
          <w:lang w:val="en-US" w:eastAsia="zh-CN"/>
        </w:rPr>
        <w:t>谈判</w:t>
      </w:r>
      <w:r>
        <w:rPr>
          <w:rFonts w:hint="eastAsia" w:ascii="宋体" w:hAnsi="宋体" w:eastAsia="宋体" w:cs="Times New Roman"/>
          <w:bCs/>
          <w:color w:val="auto"/>
          <w:sz w:val="24"/>
          <w:szCs w:val="21"/>
          <w:highlight w:val="none"/>
        </w:rPr>
        <w:t>小组将按照少数服从多数的原则投票推荐3家以上供应商的设计方案或者解决方案，在</w:t>
      </w:r>
      <w:r>
        <w:rPr>
          <w:rFonts w:hint="eastAsia" w:ascii="宋体" w:hAnsi="宋体" w:eastAsia="宋体" w:cs="Times New Roman"/>
          <w:bCs/>
          <w:color w:val="auto"/>
          <w:sz w:val="24"/>
          <w:szCs w:val="21"/>
          <w:highlight w:val="none"/>
          <w:lang w:eastAsia="zh-CN"/>
        </w:rPr>
        <w:t>苏采云系统</w:t>
      </w:r>
      <w:r>
        <w:rPr>
          <w:rFonts w:hint="eastAsia" w:ascii="宋体" w:hAnsi="宋体" w:eastAsia="宋体" w:cs="Times New Roman"/>
          <w:bCs/>
          <w:color w:val="auto"/>
          <w:sz w:val="24"/>
          <w:szCs w:val="21"/>
          <w:highlight w:val="none"/>
        </w:rPr>
        <w:t>中向其发布“最后报价要求函”及最后报价格式表，要求其在规定时间内提交最后报价。</w:t>
      </w:r>
    </w:p>
    <w:p w14:paraId="69D2105C">
      <w:pPr>
        <w:keepNext w:val="0"/>
        <w:keepLines w:val="0"/>
        <w:pageBreakBefore w:val="0"/>
        <w:spacing w:line="360" w:lineRule="auto"/>
        <w:ind w:left="0" w:right="0" w:firstLine="482"/>
        <w:rPr>
          <w:rFonts w:hint="eastAsia" w:ascii="宋体" w:hAnsi="宋体" w:eastAsia="宋体" w:cs="Times New Roman"/>
          <w:b/>
          <w:bCs w:val="0"/>
          <w:color w:val="auto"/>
          <w:sz w:val="24"/>
          <w:szCs w:val="21"/>
          <w:highlight w:val="none"/>
        </w:rPr>
      </w:pPr>
      <w:r>
        <w:rPr>
          <w:rFonts w:hint="eastAsia" w:ascii="宋体" w:hAnsi="宋体" w:eastAsia="宋体" w:cs="Times New Roman"/>
          <w:b/>
          <w:bCs w:val="0"/>
          <w:color w:val="auto"/>
          <w:sz w:val="24"/>
          <w:szCs w:val="21"/>
          <w:highlight w:val="none"/>
          <w:lang w:val="en-US" w:eastAsia="zh-CN"/>
        </w:rPr>
        <w:t>20.8</w:t>
      </w:r>
      <w:r>
        <w:rPr>
          <w:rFonts w:hint="eastAsia" w:ascii="宋体" w:hAnsi="宋体" w:eastAsia="宋体" w:cs="Times New Roman"/>
          <w:b/>
          <w:bCs w:val="0"/>
          <w:color w:val="auto"/>
          <w:sz w:val="24"/>
          <w:szCs w:val="21"/>
          <w:highlight w:val="none"/>
        </w:rPr>
        <w:t>供应商未在</w:t>
      </w:r>
      <w:r>
        <w:rPr>
          <w:rFonts w:hint="eastAsia" w:ascii="宋体" w:hAnsi="宋体" w:eastAsia="宋体" w:cs="Times New Roman"/>
          <w:b/>
          <w:bCs w:val="0"/>
          <w:color w:val="auto"/>
          <w:sz w:val="24"/>
          <w:szCs w:val="21"/>
          <w:highlight w:val="none"/>
          <w:lang w:val="en-US" w:eastAsia="zh-CN"/>
        </w:rPr>
        <w:t>谈判</w:t>
      </w:r>
      <w:r>
        <w:rPr>
          <w:rFonts w:hint="eastAsia" w:ascii="宋体" w:hAnsi="宋体" w:eastAsia="宋体" w:cs="Times New Roman"/>
          <w:b/>
          <w:bCs w:val="0"/>
          <w:color w:val="auto"/>
          <w:sz w:val="24"/>
          <w:szCs w:val="21"/>
          <w:highlight w:val="none"/>
        </w:rPr>
        <w:t>小组规定的时间内在</w:t>
      </w:r>
      <w:r>
        <w:rPr>
          <w:rFonts w:hint="eastAsia" w:ascii="宋体" w:hAnsi="宋体" w:eastAsia="宋体" w:cs="Times New Roman"/>
          <w:b/>
          <w:bCs w:val="0"/>
          <w:color w:val="auto"/>
          <w:sz w:val="24"/>
          <w:szCs w:val="21"/>
          <w:highlight w:val="none"/>
          <w:lang w:eastAsia="zh-CN"/>
        </w:rPr>
        <w:t>苏采云系统</w:t>
      </w:r>
      <w:r>
        <w:rPr>
          <w:rFonts w:hint="eastAsia" w:ascii="宋体" w:hAnsi="宋体" w:eastAsia="宋体" w:cs="Times New Roman"/>
          <w:b/>
          <w:bCs w:val="0"/>
          <w:color w:val="auto"/>
          <w:sz w:val="24"/>
          <w:szCs w:val="21"/>
          <w:highlight w:val="none"/>
        </w:rPr>
        <w:t>中提交最后报价的视为放弃谈判，其响应文件按无效响应处理，最后报价格式表须加盖CA电子公章</w:t>
      </w:r>
      <w:r>
        <w:rPr>
          <w:rFonts w:hint="eastAsia" w:ascii="宋体" w:hAnsi="宋体" w:eastAsia="宋体" w:cs="Times New Roman"/>
          <w:b/>
          <w:bCs w:val="0"/>
          <w:color w:val="auto"/>
          <w:sz w:val="24"/>
          <w:szCs w:val="21"/>
          <w:highlight w:val="none"/>
          <w:lang w:eastAsia="zh-CN"/>
        </w:rPr>
        <w:t>，</w:t>
      </w:r>
      <w:r>
        <w:rPr>
          <w:rFonts w:hint="eastAsia" w:ascii="宋体" w:hAnsi="宋体" w:eastAsia="宋体" w:cs="Times New Roman"/>
          <w:b/>
          <w:bCs w:val="0"/>
          <w:color w:val="auto"/>
          <w:sz w:val="24"/>
          <w:szCs w:val="21"/>
          <w:highlight w:val="none"/>
        </w:rPr>
        <w:t>否则视为未提交最后报价。已提交响应文件的供应商，在提交最后报价之前，可以根据</w:t>
      </w:r>
      <w:r>
        <w:rPr>
          <w:rFonts w:hint="eastAsia" w:ascii="宋体" w:hAnsi="宋体" w:eastAsia="宋体" w:cs="Times New Roman"/>
          <w:b/>
          <w:bCs w:val="0"/>
          <w:color w:val="auto"/>
          <w:sz w:val="24"/>
          <w:szCs w:val="21"/>
          <w:highlight w:val="none"/>
          <w:lang w:val="en-US" w:eastAsia="zh-CN"/>
        </w:rPr>
        <w:t>谈判</w:t>
      </w:r>
      <w:r>
        <w:rPr>
          <w:rFonts w:hint="eastAsia" w:ascii="宋体" w:hAnsi="宋体" w:eastAsia="宋体" w:cs="Times New Roman"/>
          <w:b/>
          <w:bCs w:val="0"/>
          <w:color w:val="auto"/>
          <w:sz w:val="24"/>
          <w:szCs w:val="21"/>
          <w:highlight w:val="none"/>
        </w:rPr>
        <w:t>情况退出</w:t>
      </w:r>
      <w:r>
        <w:rPr>
          <w:rFonts w:hint="eastAsia" w:ascii="宋体" w:hAnsi="宋体" w:eastAsia="宋体" w:cs="Times New Roman"/>
          <w:b/>
          <w:bCs w:val="0"/>
          <w:color w:val="auto"/>
          <w:sz w:val="24"/>
          <w:szCs w:val="21"/>
          <w:highlight w:val="none"/>
          <w:lang w:val="en-US" w:eastAsia="zh-CN"/>
        </w:rPr>
        <w:t>谈判</w:t>
      </w:r>
      <w:r>
        <w:rPr>
          <w:rFonts w:hint="eastAsia" w:ascii="宋体" w:hAnsi="宋体" w:eastAsia="宋体" w:cs="Times New Roman"/>
          <w:b/>
          <w:bCs w:val="0"/>
          <w:color w:val="auto"/>
          <w:sz w:val="24"/>
          <w:szCs w:val="21"/>
          <w:highlight w:val="none"/>
        </w:rPr>
        <w:t>，并在</w:t>
      </w:r>
      <w:r>
        <w:rPr>
          <w:rFonts w:hint="eastAsia" w:ascii="宋体" w:hAnsi="宋体" w:eastAsia="宋体" w:cs="Times New Roman"/>
          <w:b/>
          <w:bCs w:val="0"/>
          <w:color w:val="auto"/>
          <w:sz w:val="24"/>
          <w:szCs w:val="21"/>
          <w:highlight w:val="none"/>
          <w:lang w:eastAsia="zh-CN"/>
        </w:rPr>
        <w:t>苏采云系统</w:t>
      </w:r>
      <w:r>
        <w:rPr>
          <w:rFonts w:hint="eastAsia" w:ascii="宋体" w:hAnsi="宋体" w:eastAsia="宋体" w:cs="Times New Roman"/>
          <w:b/>
          <w:bCs w:val="0"/>
          <w:color w:val="auto"/>
          <w:sz w:val="24"/>
          <w:szCs w:val="21"/>
          <w:highlight w:val="none"/>
        </w:rPr>
        <w:t>中提交“退出</w:t>
      </w:r>
      <w:r>
        <w:rPr>
          <w:rFonts w:hint="eastAsia" w:ascii="宋体" w:hAnsi="宋体" w:eastAsia="宋体" w:cs="Times New Roman"/>
          <w:b/>
          <w:bCs w:val="0"/>
          <w:color w:val="auto"/>
          <w:sz w:val="24"/>
          <w:szCs w:val="21"/>
          <w:highlight w:val="none"/>
          <w:lang w:val="en-US" w:eastAsia="zh-CN"/>
        </w:rPr>
        <w:t>谈判</w:t>
      </w:r>
      <w:r>
        <w:rPr>
          <w:rFonts w:hint="eastAsia" w:ascii="宋体" w:hAnsi="宋体" w:eastAsia="宋体" w:cs="Times New Roman"/>
          <w:b/>
          <w:bCs w:val="0"/>
          <w:color w:val="auto"/>
          <w:sz w:val="24"/>
          <w:szCs w:val="21"/>
          <w:highlight w:val="none"/>
        </w:rPr>
        <w:t>函”并加盖CA电子公章。</w:t>
      </w:r>
    </w:p>
    <w:p w14:paraId="35AD1A10">
      <w:pPr>
        <w:keepNext w:val="0"/>
        <w:keepLines w:val="0"/>
        <w:pageBreakBefore w:val="0"/>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响应文件的澄清</w:t>
      </w:r>
    </w:p>
    <w:p w14:paraId="3EF934E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9.1</w:t>
      </w:r>
      <w:r>
        <w:rPr>
          <w:rFonts w:hint="eastAsia" w:ascii="宋体" w:hAnsi="宋体" w:cs="宋体"/>
          <w:color w:val="auto"/>
          <w:sz w:val="24"/>
          <w:highlight w:val="none"/>
        </w:rPr>
        <w:t>项目评审期间，</w:t>
      </w:r>
      <w:r>
        <w:rPr>
          <w:rFonts w:hint="eastAsia" w:ascii="宋体" w:hAnsi="宋体"/>
          <w:bCs/>
          <w:color w:val="auto"/>
          <w:sz w:val="24"/>
          <w:szCs w:val="21"/>
          <w:highlight w:val="none"/>
          <w:lang w:val="en-US" w:eastAsia="zh-CN"/>
        </w:rPr>
        <w:t>谈判</w:t>
      </w:r>
      <w:r>
        <w:rPr>
          <w:rFonts w:hint="eastAsia" w:ascii="宋体" w:hAnsi="宋体" w:cs="宋体"/>
          <w:color w:val="auto"/>
          <w:sz w:val="24"/>
          <w:highlight w:val="none"/>
        </w:rPr>
        <w:t>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B338CB9">
      <w:pPr>
        <w:spacing w:line="360" w:lineRule="auto"/>
        <w:ind w:firstLine="480"/>
        <w:rPr>
          <w:rFonts w:ascii="宋体" w:hAnsi="宋体" w:cs="宋体"/>
          <w:color w:val="auto"/>
          <w:sz w:val="24"/>
          <w:highlight w:val="none"/>
        </w:rPr>
      </w:pPr>
      <w:r>
        <w:rPr>
          <w:rFonts w:hint="eastAsia" w:ascii="宋体" w:hAnsi="宋体"/>
          <w:bCs/>
          <w:color w:val="auto"/>
          <w:sz w:val="24"/>
          <w:szCs w:val="21"/>
          <w:highlight w:val="none"/>
          <w:lang w:val="en-US" w:eastAsia="zh-CN"/>
        </w:rPr>
        <w:t>谈判</w:t>
      </w:r>
      <w:r>
        <w:rPr>
          <w:rFonts w:hint="eastAsia" w:ascii="宋体" w:hAnsi="宋体" w:cs="宋体"/>
          <w:color w:val="auto"/>
          <w:sz w:val="24"/>
          <w:highlight w:val="none"/>
        </w:rPr>
        <w:t>小组并非对每个供应商都作澄清要求。</w:t>
      </w:r>
    </w:p>
    <w:p w14:paraId="6CA49875">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20.9</w:t>
      </w:r>
      <w:r>
        <w:rPr>
          <w:rFonts w:hint="eastAsia" w:ascii="宋体" w:hAnsi="宋体" w:cs="宋体"/>
          <w:color w:val="auto"/>
          <w:sz w:val="24"/>
          <w:highlight w:val="none"/>
        </w:rPr>
        <w:t>.2需要供应商进行澄清、说明和更正的，</w:t>
      </w:r>
      <w:r>
        <w:rPr>
          <w:rFonts w:hint="eastAsia" w:ascii="宋体" w:hAnsi="宋体"/>
          <w:bCs/>
          <w:color w:val="auto"/>
          <w:sz w:val="24"/>
          <w:szCs w:val="21"/>
          <w:highlight w:val="none"/>
          <w:lang w:val="en-US" w:eastAsia="zh-CN"/>
        </w:rPr>
        <w:t>谈判</w:t>
      </w:r>
      <w:r>
        <w:rPr>
          <w:rFonts w:hint="eastAsia" w:ascii="宋体" w:hAnsi="宋体" w:cs="宋体"/>
          <w:color w:val="auto"/>
          <w:sz w:val="24"/>
          <w:highlight w:val="none"/>
        </w:rPr>
        <w:t>小组将通过</w:t>
      </w:r>
      <w:r>
        <w:rPr>
          <w:rFonts w:hint="eastAsia" w:ascii="宋体" w:hAnsi="宋体" w:cs="宋体"/>
          <w:color w:val="auto"/>
          <w:sz w:val="24"/>
          <w:highlight w:val="none"/>
          <w:lang w:eastAsia="zh-CN"/>
        </w:rPr>
        <w:t>苏采云系统</w:t>
      </w:r>
      <w:r>
        <w:rPr>
          <w:rFonts w:hint="eastAsia" w:ascii="宋体" w:hAnsi="宋体" w:cs="宋体"/>
          <w:color w:val="auto"/>
          <w:sz w:val="24"/>
          <w:highlight w:val="none"/>
        </w:rPr>
        <w:t>向供应商发布“澄清要求函”，接到“澄清要求函”的供应商应当按照要求在</w:t>
      </w:r>
      <w:r>
        <w:rPr>
          <w:rFonts w:hint="eastAsia" w:ascii="宋体" w:hAnsi="宋体" w:cs="宋体"/>
          <w:color w:val="auto"/>
          <w:sz w:val="24"/>
          <w:highlight w:val="none"/>
          <w:lang w:eastAsia="zh-CN"/>
        </w:rPr>
        <w:t>苏采云系统</w:t>
      </w:r>
      <w:r>
        <w:rPr>
          <w:rFonts w:hint="eastAsia" w:ascii="宋体" w:hAnsi="宋体" w:cs="宋体"/>
          <w:color w:val="auto"/>
          <w:sz w:val="24"/>
          <w:highlight w:val="none"/>
        </w:rPr>
        <w:t>中提交“澄清响应函”并加盖CA电子公章。澄清、说明和更正的内容作为响应文件的补充部分，具体操作方式见《操作手册》。</w:t>
      </w:r>
    </w:p>
    <w:p w14:paraId="2824CF11">
      <w:pPr>
        <w:spacing w:line="360" w:lineRule="auto"/>
        <w:rPr>
          <w:rFonts w:hint="eastAsia" w:ascii="宋体" w:hAnsi="宋体" w:eastAsia="宋体" w:cs="宋体"/>
          <w:color w:val="auto"/>
          <w:sz w:val="24"/>
          <w:szCs w:val="24"/>
          <w:highlight w:val="none"/>
        </w:rPr>
      </w:pPr>
      <w:r>
        <w:rPr>
          <w:rFonts w:hint="eastAsia" w:ascii="宋体" w:hAnsi="宋体"/>
          <w:color w:val="auto"/>
          <w:sz w:val="24"/>
          <w:highlight w:val="none"/>
        </w:rPr>
        <w:t xml:space="preserve">    2</w:t>
      </w:r>
      <w:r>
        <w:rPr>
          <w:rFonts w:hint="eastAsia" w:ascii="宋体" w:hAnsi="宋体"/>
          <w:color w:val="auto"/>
          <w:sz w:val="24"/>
          <w:highlight w:val="none"/>
          <w:lang w:val="en-US" w:eastAsia="zh-CN"/>
        </w:rPr>
        <w:t>0</w:t>
      </w:r>
      <w:r>
        <w:rPr>
          <w:rFonts w:hint="eastAsia" w:ascii="宋体" w:hAnsi="宋体"/>
          <w:color w:val="auto"/>
          <w:sz w:val="24"/>
          <w:highlight w:val="none"/>
        </w:rPr>
        <w:t>.</w:t>
      </w:r>
      <w:r>
        <w:rPr>
          <w:rFonts w:hint="eastAsia" w:ascii="宋体" w:hAnsi="宋体"/>
          <w:color w:val="auto"/>
          <w:sz w:val="24"/>
          <w:highlight w:val="none"/>
          <w:lang w:val="en-US" w:eastAsia="zh-CN"/>
        </w:rPr>
        <w:t>9.</w:t>
      </w:r>
      <w:r>
        <w:rPr>
          <w:rFonts w:hint="eastAsia" w:ascii="宋体" w:hAnsi="宋体"/>
          <w:color w:val="auto"/>
          <w:sz w:val="24"/>
          <w:highlight w:val="none"/>
        </w:rPr>
        <w:t>3 接到</w:t>
      </w:r>
      <w:r>
        <w:rPr>
          <w:rFonts w:hint="eastAsia" w:ascii="宋体" w:hAnsi="宋体"/>
          <w:bCs/>
          <w:color w:val="auto"/>
          <w:sz w:val="24"/>
          <w:szCs w:val="21"/>
          <w:highlight w:val="none"/>
          <w:lang w:val="en-US" w:eastAsia="zh-CN"/>
        </w:rPr>
        <w:t>谈判</w:t>
      </w:r>
      <w:r>
        <w:rPr>
          <w:rFonts w:hint="eastAsia" w:ascii="宋体" w:hAnsi="宋体"/>
          <w:color w:val="auto"/>
          <w:sz w:val="24"/>
          <w:highlight w:val="none"/>
        </w:rPr>
        <w:t>小组澄清、说明和更正要求的供应商如未按规定</w:t>
      </w:r>
      <w:r>
        <w:rPr>
          <w:rFonts w:hint="eastAsia" w:ascii="宋体" w:hAnsi="宋体"/>
          <w:color w:val="auto"/>
          <w:sz w:val="24"/>
          <w:highlight w:val="none"/>
          <w:lang w:eastAsia="zh-CN"/>
        </w:rPr>
        <w:t>作出</w:t>
      </w:r>
      <w:r>
        <w:rPr>
          <w:rFonts w:hint="eastAsia" w:ascii="宋体" w:hAnsi="宋体"/>
          <w:color w:val="auto"/>
          <w:sz w:val="24"/>
          <w:highlight w:val="none"/>
        </w:rPr>
        <w:t>澄清、说明和更正，其风险由供应商自行承担。</w:t>
      </w:r>
    </w:p>
    <w:p w14:paraId="1C6446F4">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如果供应商未在规定时间内进行报价或因其自身网络问题无法及时提交报价的，系统将默认其报价为电子响应文件提交的初始报价。</w:t>
      </w:r>
    </w:p>
    <w:p w14:paraId="0E425F20">
      <w:pPr>
        <w:keepNext w:val="0"/>
        <w:keepLines w:val="0"/>
        <w:pageBreakBefore w:val="0"/>
        <w:spacing w:line="360" w:lineRule="auto"/>
        <w:ind w:left="0" w:right="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.出现下列情形之一的，在符合性审查时按照无效响应文件处理:</w:t>
      </w:r>
    </w:p>
    <w:p w14:paraId="410DF30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.1</w:t>
      </w:r>
      <w:r>
        <w:rPr>
          <w:rFonts w:hint="eastAsia" w:ascii="宋体" w:hAnsi="宋体"/>
          <w:bCs/>
          <w:color w:val="auto"/>
          <w:sz w:val="24"/>
          <w:szCs w:val="21"/>
          <w:highlight w:val="none"/>
        </w:rPr>
        <w:t>供应商在</w:t>
      </w:r>
      <w:r>
        <w:rPr>
          <w:rFonts w:hint="eastAsia" w:ascii="宋体" w:hAnsi="宋体"/>
          <w:bCs/>
          <w:color w:val="auto"/>
          <w:sz w:val="24"/>
          <w:szCs w:val="21"/>
          <w:highlight w:val="none"/>
          <w:lang w:eastAsia="zh-CN"/>
        </w:rPr>
        <w:t>苏采云系统</w:t>
      </w:r>
      <w:r>
        <w:rPr>
          <w:rFonts w:hint="eastAsia" w:ascii="宋体" w:hAnsi="宋体"/>
          <w:bCs/>
          <w:color w:val="auto"/>
          <w:sz w:val="24"/>
          <w:szCs w:val="21"/>
          <w:highlight w:val="none"/>
        </w:rPr>
        <w:t>规定的时间内未成功解密电子响应文件的。</w:t>
      </w:r>
    </w:p>
    <w:p w14:paraId="5DDD343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.2</w:t>
      </w:r>
      <w:r>
        <w:rPr>
          <w:rFonts w:hint="eastAsia" w:ascii="宋体" w:hAnsi="宋体"/>
          <w:bCs/>
          <w:color w:val="auto"/>
          <w:sz w:val="24"/>
          <w:szCs w:val="21"/>
          <w:highlight w:val="none"/>
        </w:rPr>
        <w:t>供应商未按照</w:t>
      </w:r>
      <w:r>
        <w:rPr>
          <w:rFonts w:hint="eastAsia" w:ascii="宋体" w:hAnsi="宋体"/>
          <w:bCs/>
          <w:color w:val="auto"/>
          <w:sz w:val="24"/>
          <w:szCs w:val="21"/>
          <w:highlight w:val="none"/>
          <w:lang w:eastAsia="zh-CN"/>
        </w:rPr>
        <w:t>谈判</w:t>
      </w:r>
      <w:r>
        <w:rPr>
          <w:rFonts w:hint="eastAsia" w:ascii="宋体" w:hAnsi="宋体"/>
          <w:bCs/>
          <w:color w:val="auto"/>
          <w:sz w:val="24"/>
          <w:szCs w:val="21"/>
          <w:highlight w:val="none"/>
        </w:rPr>
        <w:t>文件要求上传电子响应文件的。</w:t>
      </w:r>
    </w:p>
    <w:p w14:paraId="6167CD8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.3</w:t>
      </w:r>
      <w:r>
        <w:rPr>
          <w:rFonts w:hint="eastAsia" w:ascii="宋体" w:hAnsi="宋体"/>
          <w:bCs/>
          <w:color w:val="auto"/>
          <w:sz w:val="24"/>
          <w:szCs w:val="21"/>
          <w:highlight w:val="none"/>
        </w:rPr>
        <w:t>同一供应商提交两个（含两个）以上不同的响应文件或者最后报价的。</w:t>
      </w:r>
    </w:p>
    <w:p w14:paraId="46C5662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.4</w:t>
      </w:r>
      <w:r>
        <w:rPr>
          <w:rFonts w:hint="eastAsia" w:ascii="宋体" w:hAnsi="宋体"/>
          <w:bCs/>
          <w:color w:val="auto"/>
          <w:sz w:val="24"/>
          <w:szCs w:val="21"/>
          <w:highlight w:val="none"/>
        </w:rPr>
        <w:t>供应商不具备</w:t>
      </w:r>
      <w:r>
        <w:rPr>
          <w:rFonts w:hint="eastAsia" w:ascii="宋体" w:hAnsi="宋体"/>
          <w:bCs/>
          <w:color w:val="auto"/>
          <w:sz w:val="24"/>
          <w:szCs w:val="21"/>
          <w:highlight w:val="none"/>
          <w:lang w:eastAsia="zh-CN"/>
        </w:rPr>
        <w:t>谈判</w:t>
      </w:r>
      <w:r>
        <w:rPr>
          <w:rFonts w:hint="eastAsia" w:ascii="宋体" w:hAnsi="宋体"/>
          <w:bCs/>
          <w:color w:val="auto"/>
          <w:sz w:val="24"/>
          <w:szCs w:val="21"/>
          <w:highlight w:val="none"/>
        </w:rPr>
        <w:t>文件中规定资格要求的。</w:t>
      </w:r>
    </w:p>
    <w:p w14:paraId="62859BD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.5</w:t>
      </w:r>
      <w:r>
        <w:rPr>
          <w:rFonts w:hint="eastAsia" w:ascii="宋体" w:hAnsi="宋体"/>
          <w:bCs/>
          <w:color w:val="auto"/>
          <w:sz w:val="24"/>
          <w:szCs w:val="21"/>
          <w:highlight w:val="none"/>
        </w:rPr>
        <w:t>供应商的最后报价超过了最高限价。</w:t>
      </w:r>
    </w:p>
    <w:p w14:paraId="44F77D4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.6投标文件含有采购人不能接受的附加条件的；</w:t>
      </w:r>
    </w:p>
    <w:p w14:paraId="718412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.7其他法律、法规及本采购文件规定的属无效投标的情形。</w:t>
      </w:r>
    </w:p>
    <w:p w14:paraId="32334D3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.8经查实提供虚假材料谋取成交的；</w:t>
      </w:r>
    </w:p>
    <w:p w14:paraId="482D4502">
      <w:pPr>
        <w:spacing w:line="360" w:lineRule="auto"/>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w:t>
      </w:r>
      <w:r>
        <w:rPr>
          <w:rFonts w:hint="eastAsia" w:ascii="宋体" w:hAnsi="宋体" w:eastAsia="宋体" w:cs="宋体"/>
          <w:b w:val="0"/>
          <w:bCs w:val="0"/>
          <w:color w:val="auto"/>
          <w:sz w:val="24"/>
          <w:highlight w:val="none"/>
          <w:lang w:val="en-US" w:eastAsia="zh-CN"/>
        </w:rPr>
        <w:t>1</w:t>
      </w:r>
      <w:r>
        <w:rPr>
          <w:rFonts w:hint="eastAsia" w:ascii="宋体" w:hAnsi="宋体" w:eastAsia="宋体" w:cs="宋体"/>
          <w:b w:val="0"/>
          <w:bCs w:val="0"/>
          <w:color w:val="auto"/>
          <w:sz w:val="24"/>
          <w:highlight w:val="none"/>
        </w:rPr>
        <w:t>.9响应文件未按照</w:t>
      </w:r>
      <w:r>
        <w:rPr>
          <w:rFonts w:hint="eastAsia" w:ascii="宋体" w:hAnsi="宋体" w:eastAsia="宋体" w:cs="宋体"/>
          <w:b w:val="0"/>
          <w:bCs w:val="0"/>
          <w:color w:val="auto"/>
          <w:sz w:val="24"/>
          <w:highlight w:val="none"/>
          <w:lang w:eastAsia="zh-CN"/>
        </w:rPr>
        <w:t>谈判</w:t>
      </w:r>
      <w:r>
        <w:rPr>
          <w:rFonts w:hint="eastAsia" w:ascii="宋体" w:hAnsi="宋体" w:eastAsia="宋体" w:cs="宋体"/>
          <w:b w:val="0"/>
          <w:bCs w:val="0"/>
          <w:color w:val="auto"/>
          <w:sz w:val="24"/>
          <w:highlight w:val="none"/>
        </w:rPr>
        <w:t>文件要求加盖CA电子公章的。</w:t>
      </w:r>
    </w:p>
    <w:p w14:paraId="6692013D">
      <w:pPr>
        <w:spacing w:line="360" w:lineRule="auto"/>
        <w:ind w:firstLine="480"/>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21.10未实质性响应谈判文件的响应文件按无效响应处理。</w:t>
      </w:r>
    </w:p>
    <w:p w14:paraId="474D036C">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21.11 本项目采购产品被财政部、国家发改委、生态环境部等列入“节能产品品目清单”、“环境标志产品品目清单”强制采购范围，而</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lang w:val="en-US" w:eastAsia="zh-CN"/>
        </w:rPr>
        <w:t>所投标产品不在强制采购范围内的。（投标产品如属于政府强制采购节能产品品目清单范围内，投标文件中必须提供国家确定的认证机构出具的、处于有效期之内的该节能产品认证证书图片）（本项目不涉及）</w:t>
      </w:r>
    </w:p>
    <w:p w14:paraId="508F5299">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21.12未通过符合性审查的。</w:t>
      </w:r>
    </w:p>
    <w:p w14:paraId="16F1800E">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21.13</w:t>
      </w:r>
      <w:r>
        <w:rPr>
          <w:rFonts w:hint="eastAsia" w:ascii="宋体" w:hAnsi="宋体" w:eastAsia="宋体" w:cs="宋体"/>
          <w:b/>
          <w:bCs/>
          <w:color w:val="auto"/>
          <w:sz w:val="24"/>
          <w:highlight w:val="none"/>
        </w:rPr>
        <w:t>评标委员会认为</w:t>
      </w:r>
      <w:r>
        <w:rPr>
          <w:rFonts w:hint="eastAsia" w:ascii="宋体" w:hAnsi="宋体" w:cs="宋体"/>
          <w:b/>
          <w:bCs/>
          <w:color w:val="auto"/>
          <w:sz w:val="24"/>
          <w:highlight w:val="none"/>
          <w:lang w:val="en-US" w:eastAsia="zh-CN"/>
        </w:rPr>
        <w:t>供应商</w:t>
      </w:r>
      <w:r>
        <w:rPr>
          <w:rFonts w:hint="eastAsia" w:ascii="宋体" w:hAnsi="宋体" w:eastAsia="宋体" w:cs="宋体"/>
          <w:b/>
          <w:bCs/>
          <w:color w:val="auto"/>
          <w:sz w:val="24"/>
          <w:highlight w:val="none"/>
        </w:rPr>
        <w:t>的报价明显低于其他通过符合性审查</w:t>
      </w:r>
      <w:r>
        <w:rPr>
          <w:rFonts w:hint="eastAsia" w:ascii="宋体" w:hAnsi="宋体" w:cs="宋体"/>
          <w:b/>
          <w:bCs/>
          <w:color w:val="auto"/>
          <w:sz w:val="24"/>
          <w:highlight w:val="none"/>
          <w:lang w:val="en-US" w:eastAsia="zh-CN"/>
        </w:rPr>
        <w:t>供应商</w:t>
      </w:r>
      <w:r>
        <w:rPr>
          <w:rFonts w:hint="eastAsia" w:ascii="宋体" w:hAnsi="宋体" w:eastAsia="宋体" w:cs="宋体"/>
          <w:b/>
          <w:bCs/>
          <w:color w:val="auto"/>
          <w:sz w:val="24"/>
          <w:highlight w:val="none"/>
        </w:rPr>
        <w:t>的报价，有可能影响产品质量或者不能诚信履约的，将通过苏采云系统要求其在合理的时间内提供说明，必要时提交相关证明材料；</w:t>
      </w:r>
      <w:r>
        <w:rPr>
          <w:rFonts w:hint="eastAsia" w:ascii="宋体" w:hAnsi="宋体" w:cs="宋体"/>
          <w:b/>
          <w:bCs/>
          <w:color w:val="auto"/>
          <w:sz w:val="24"/>
          <w:highlight w:val="none"/>
          <w:lang w:val="en-US" w:eastAsia="zh-CN"/>
        </w:rPr>
        <w:t>供应商</w:t>
      </w:r>
      <w:r>
        <w:rPr>
          <w:rFonts w:hint="eastAsia" w:ascii="宋体" w:hAnsi="宋体" w:eastAsia="宋体" w:cs="宋体"/>
          <w:b/>
          <w:bCs/>
          <w:color w:val="auto"/>
          <w:sz w:val="24"/>
          <w:highlight w:val="none"/>
        </w:rPr>
        <w:t>不能证明其报价合理性的，评标委员会应当将其作为无效投标处理。</w:t>
      </w:r>
    </w:p>
    <w:p w14:paraId="51767FD5">
      <w:pPr>
        <w:spacing w:line="360" w:lineRule="auto"/>
        <w:ind w:firstLine="424"/>
        <w:rPr>
          <w:rFonts w:hint="eastAsia" w:ascii="宋体" w:hAnsi="宋体" w:cs="宋体"/>
          <w:color w:val="auto"/>
          <w:sz w:val="24"/>
          <w:highlight w:val="none"/>
        </w:rPr>
      </w:pPr>
      <w:r>
        <w:rPr>
          <w:rFonts w:hint="eastAsia" w:ascii="宋体" w:hAnsi="宋体" w:cs="宋体"/>
          <w:color w:val="auto"/>
          <w:sz w:val="24"/>
          <w:highlight w:val="none"/>
          <w:lang w:val="en-US" w:eastAsia="zh-CN"/>
        </w:rPr>
        <w:t>21.14</w:t>
      </w:r>
      <w:r>
        <w:rPr>
          <w:rFonts w:hint="eastAsia" w:ascii="宋体" w:hAnsi="宋体" w:cs="宋体"/>
          <w:color w:val="auto"/>
          <w:sz w:val="24"/>
          <w:highlight w:val="none"/>
        </w:rPr>
        <w:t>不符合法律、法规和谈判文件中规定的其他实质性要求的；（</w:t>
      </w:r>
      <w:r>
        <w:rPr>
          <w:rFonts w:hint="eastAsia" w:ascii="宋体" w:hAnsi="宋体" w:cs="宋体"/>
          <w:color w:val="auto"/>
          <w:sz w:val="24"/>
          <w:highlight w:val="none"/>
          <w:lang w:val="zh-CN"/>
        </w:rPr>
        <w:t>“★”</w:t>
      </w:r>
      <w:r>
        <w:rPr>
          <w:rFonts w:hint="eastAsia" w:ascii="宋体" w:hAnsi="宋体" w:cs="宋体"/>
          <w:color w:val="auto"/>
          <w:sz w:val="24"/>
          <w:highlight w:val="none"/>
        </w:rPr>
        <w:t>为实质性条款，不响应作无效</w:t>
      </w:r>
      <w:r>
        <w:rPr>
          <w:rFonts w:hint="eastAsia" w:ascii="宋体" w:hAnsi="宋体" w:cs="宋体"/>
          <w:color w:val="auto"/>
          <w:sz w:val="24"/>
          <w:highlight w:val="none"/>
          <w:lang w:val="en-US" w:eastAsia="zh-CN"/>
        </w:rPr>
        <w:t>响应文件</w:t>
      </w:r>
      <w:r>
        <w:rPr>
          <w:rFonts w:hint="eastAsia" w:ascii="宋体" w:hAnsi="宋体" w:cs="宋体"/>
          <w:color w:val="auto"/>
          <w:sz w:val="24"/>
          <w:highlight w:val="none"/>
        </w:rPr>
        <w:t>处理）</w:t>
      </w:r>
    </w:p>
    <w:p w14:paraId="62826CE4">
      <w:pPr>
        <w:spacing w:line="360" w:lineRule="auto"/>
        <w:ind w:firstLine="426"/>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21.15供应商</w:t>
      </w:r>
      <w:r>
        <w:rPr>
          <w:rFonts w:hint="eastAsia" w:ascii="宋体" w:hAnsi="宋体" w:cs="宋体"/>
          <w:b/>
          <w:bCs/>
          <w:color w:val="auto"/>
          <w:sz w:val="24"/>
          <w:highlight w:val="none"/>
        </w:rPr>
        <w:t>的报价属于《关于推动解决政府采购异常低价问题相关工作的通知》（苏财购〔2025〕62号）异常低价情形的，</w:t>
      </w:r>
      <w:r>
        <w:rPr>
          <w:rFonts w:hint="eastAsia" w:ascii="宋体" w:hAnsi="宋体" w:cs="宋体"/>
          <w:b/>
          <w:bCs/>
          <w:color w:val="auto"/>
          <w:sz w:val="24"/>
          <w:highlight w:val="none"/>
          <w:lang w:val="en-US" w:eastAsia="zh-CN"/>
        </w:rPr>
        <w:t>供应商</w:t>
      </w:r>
      <w:r>
        <w:rPr>
          <w:rFonts w:hint="eastAsia" w:ascii="宋体" w:hAnsi="宋体" w:cs="宋体"/>
          <w:b/>
          <w:bCs/>
          <w:color w:val="auto"/>
          <w:sz w:val="24"/>
          <w:highlight w:val="none"/>
        </w:rPr>
        <w:t>不提供书面说明、证明材料，或者提供的书面说明、证明材料不能证明其报价合理性的。</w:t>
      </w:r>
    </w:p>
    <w:p w14:paraId="6ADBD7D1">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.出现下列情形之一的，终止竞争性谈判活动:</w:t>
      </w:r>
    </w:p>
    <w:p w14:paraId="4F91DA5D">
      <w:pPr>
        <w:keepNext w:val="0"/>
        <w:keepLines w:val="0"/>
        <w:pageBreakBefore w:val="0"/>
        <w:spacing w:line="360" w:lineRule="auto"/>
        <w:ind w:left="0" w:right="0" w:firstLine="484"/>
        <w:rPr>
          <w:rFonts w:hint="eastAsia" w:ascii="宋体" w:hAnsi="宋体" w:eastAsia="宋体" w:cs="宋体"/>
          <w:color w:val="auto"/>
          <w:sz w:val="24"/>
          <w:szCs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eastAsia="宋体" w:cs="宋体"/>
          <w:color w:val="auto"/>
          <w:sz w:val="24"/>
          <w:szCs w:val="24"/>
          <w:highlight w:val="none"/>
        </w:rPr>
        <w:t>因情况变化，不再符合规定的竞争性谈判采购方式适用情形的；</w:t>
      </w:r>
    </w:p>
    <w:p w14:paraId="23D4479E">
      <w:pPr>
        <w:keepNext w:val="0"/>
        <w:keepLines w:val="0"/>
        <w:pageBreakBefore w:val="0"/>
        <w:spacing w:line="360" w:lineRule="auto"/>
        <w:ind w:left="0" w:right="0" w:firstLine="484"/>
        <w:rPr>
          <w:rFonts w:hint="eastAsia" w:ascii="宋体" w:hAnsi="宋体" w:eastAsia="宋体" w:cs="宋体"/>
          <w:color w:val="auto"/>
          <w:sz w:val="24"/>
          <w:szCs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szCs w:val="24"/>
          <w:highlight w:val="none"/>
        </w:rPr>
        <w:t>出现影响采购公正的违法、违规行为的；</w:t>
      </w:r>
    </w:p>
    <w:p w14:paraId="0B5A0AB4">
      <w:pPr>
        <w:keepNext w:val="0"/>
        <w:keepLines w:val="0"/>
        <w:pageBreakBefore w:val="0"/>
        <w:spacing w:line="360" w:lineRule="auto"/>
        <w:ind w:left="0" w:right="0" w:firstLine="484"/>
        <w:rPr>
          <w:rFonts w:hint="eastAsia" w:ascii="宋体" w:hAnsi="宋体" w:eastAsia="宋体" w:cs="宋体"/>
          <w:color w:val="auto"/>
          <w:sz w:val="24"/>
          <w:szCs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szCs w:val="24"/>
          <w:highlight w:val="none"/>
        </w:rPr>
        <w:t>在采购过程中符合竞争要求的供应商或者报价未超过采购预算的供应商不足3家的，但《政府采购非招标采购方式管理办法》财政部第74号令第二十七条第二款规定的情形除外。</w:t>
      </w:r>
    </w:p>
    <w:p w14:paraId="45A4B58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.4评标委员会认定</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文件存在歧义、重大缺陷导致评审工作无法进行。</w:t>
      </w:r>
    </w:p>
    <w:p w14:paraId="287A0E9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.5供应商的报价均超过了采购预算，采购人不能支付的。</w:t>
      </w:r>
    </w:p>
    <w:p w14:paraId="18AEE6E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.6因重大变故，采购任务取消的。</w:t>
      </w:r>
    </w:p>
    <w:p w14:paraId="6D7FF562">
      <w:pPr>
        <w:keepNext w:val="0"/>
        <w:keepLines w:val="0"/>
        <w:pageBreakBefore w:val="0"/>
        <w:widowControl w:val="0"/>
        <w:spacing w:line="360" w:lineRule="auto"/>
        <w:ind w:firstLine="480"/>
        <w:rPr>
          <w:rFonts w:eastAsia="楷体_GB2312"/>
          <w:b w:val="0"/>
          <w:bCs w:val="0"/>
          <w:color w:val="auto"/>
          <w:highlight w:val="none"/>
          <w:lang w:val="en-US" w:eastAsia="zh-CN"/>
        </w:rPr>
      </w:pPr>
      <w:r>
        <w:rPr>
          <w:rFonts w:hint="eastAsia" w:ascii="宋体" w:hAnsi="宋体" w:cs="宋体"/>
          <w:b w:val="0"/>
          <w:bCs w:val="0"/>
          <w:color w:val="auto"/>
          <w:sz w:val="24"/>
          <w:highlight w:val="none"/>
          <w:lang w:val="en-US" w:eastAsia="zh-CN"/>
        </w:rPr>
        <w:t>22.7</w:t>
      </w:r>
      <w:r>
        <w:rPr>
          <w:rFonts w:hint="eastAsia" w:ascii="宋体" w:hAnsi="宋体" w:eastAsia="宋体" w:cs="Times New Roman"/>
          <w:b w:val="0"/>
          <w:bCs w:val="0"/>
          <w:color w:val="auto"/>
          <w:sz w:val="24"/>
          <w:szCs w:val="21"/>
          <w:highlight w:val="none"/>
        </w:rPr>
        <w:t>在</w:t>
      </w:r>
      <w:r>
        <w:rPr>
          <w:rFonts w:hint="eastAsia" w:ascii="宋体" w:hAnsi="宋体" w:eastAsia="宋体" w:cs="Times New Roman"/>
          <w:b w:val="0"/>
          <w:bCs w:val="0"/>
          <w:color w:val="auto"/>
          <w:sz w:val="24"/>
          <w:szCs w:val="21"/>
          <w:highlight w:val="none"/>
          <w:lang w:eastAsia="zh-CN"/>
        </w:rPr>
        <w:t>苏采云系统</w:t>
      </w:r>
      <w:r>
        <w:rPr>
          <w:rFonts w:hint="eastAsia" w:ascii="宋体" w:hAnsi="宋体" w:eastAsia="宋体" w:cs="Times New Roman"/>
          <w:b w:val="0"/>
          <w:bCs w:val="0"/>
          <w:color w:val="auto"/>
          <w:sz w:val="24"/>
          <w:szCs w:val="21"/>
          <w:highlight w:val="none"/>
        </w:rPr>
        <w:t>规定时间内成功解密电子响应文件的供应商不足3家的。</w:t>
      </w:r>
    </w:p>
    <w:p w14:paraId="7984DEF0">
      <w:pPr>
        <w:pStyle w:val="122"/>
        <w:tabs>
          <w:tab w:val="center" w:pos="4153"/>
          <w:tab w:val="right" w:pos="8306"/>
          <w:tab w:val="clear" w:pos="7143"/>
          <w:tab w:val="clear" w:pos="14287"/>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终止后，采购人应当将</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终止的理由通知所有供应商。在特殊情况下，经采购人申请后，可以与两家供应商进行</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w:t>
      </w:r>
    </w:p>
    <w:p w14:paraId="1F935617">
      <w:pPr>
        <w:keepNext w:val="0"/>
        <w:keepLines w:val="0"/>
        <w:pageBreakBefore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23</w:t>
      </w:r>
      <w:r>
        <w:rPr>
          <w:rFonts w:hint="eastAsia" w:ascii="宋体" w:hAnsi="宋体" w:eastAsia="宋体" w:cs="宋体"/>
          <w:bCs/>
          <w:color w:val="auto"/>
          <w:sz w:val="24"/>
          <w:szCs w:val="24"/>
          <w:highlight w:val="none"/>
        </w:rPr>
        <w:t>.推荐成交候选供应商</w:t>
      </w:r>
    </w:p>
    <w:p w14:paraId="6265E27C">
      <w:pPr>
        <w:keepNext w:val="0"/>
        <w:keepLines w:val="0"/>
        <w:pageBreakBefore w:val="0"/>
        <w:spacing w:line="360" w:lineRule="auto"/>
        <w:ind w:left="0" w:right="0"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.1谈判小组将对通过资格性审查和符合性审查的响应文件进行评价和比较。</w:t>
      </w:r>
    </w:p>
    <w:p w14:paraId="584C026A">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.2谈判小组按谈判文件第三章中公布的成交标准对每份合格响应文件进行评审，</w:t>
      </w:r>
      <w:r>
        <w:rPr>
          <w:rFonts w:hint="eastAsia" w:ascii="宋体" w:hAnsi="宋体" w:eastAsia="宋体" w:cs="宋体"/>
          <w:color w:val="auto"/>
          <w:sz w:val="24"/>
          <w:szCs w:val="24"/>
          <w:highlight w:val="none"/>
          <w:lang w:eastAsia="zh-CN"/>
        </w:rPr>
        <w:t>按照最后报价由低到高的顺序</w:t>
      </w:r>
      <w:r>
        <w:rPr>
          <w:rFonts w:hint="eastAsia" w:ascii="宋体" w:hAnsi="宋体" w:eastAsia="宋体" w:cs="宋体"/>
          <w:color w:val="auto"/>
          <w:sz w:val="24"/>
          <w:szCs w:val="24"/>
          <w:highlight w:val="none"/>
        </w:rPr>
        <w:t xml:space="preserve">推荐3名成交候选供应商。 </w:t>
      </w:r>
    </w:p>
    <w:p w14:paraId="303BA759">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 谈判小组发现谈判文件存在歧义、重大缺陷导致评审工作无法进行，或者谈判文件内容存在违反国家有关规定的，评审工作停止，</w:t>
      </w:r>
      <w:r>
        <w:rPr>
          <w:rFonts w:hint="eastAsia" w:ascii="宋体" w:hAnsi="宋体" w:eastAsia="宋体" w:cs="宋体"/>
          <w:color w:val="auto"/>
          <w:sz w:val="24"/>
          <w:szCs w:val="24"/>
          <w:highlight w:val="none"/>
          <w:lang w:eastAsia="zh-CN"/>
        </w:rPr>
        <w:t>采购人（代理公司）</w:t>
      </w:r>
      <w:r>
        <w:rPr>
          <w:rFonts w:hint="eastAsia" w:ascii="宋体" w:hAnsi="宋体" w:eastAsia="宋体" w:cs="宋体"/>
          <w:color w:val="auto"/>
          <w:sz w:val="24"/>
          <w:szCs w:val="24"/>
          <w:highlight w:val="none"/>
        </w:rPr>
        <w:t>修改谈判文件后重新组织采购活动。</w:t>
      </w:r>
    </w:p>
    <w:p w14:paraId="319C1633">
      <w:pPr>
        <w:keepNext w:val="0"/>
        <w:keepLines w:val="0"/>
        <w:pageBreakBefore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.谈判过程保密</w:t>
      </w:r>
    </w:p>
    <w:p w14:paraId="6AE862FD">
      <w:pPr>
        <w:keepNext w:val="0"/>
        <w:keepLines w:val="0"/>
        <w:pageBreakBefore w:val="0"/>
        <w:spacing w:line="360" w:lineRule="auto"/>
        <w:ind w:left="0" w:right="0"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.1在宣布成交结果前，凡属于审查、澄清、谈判、评审响应文件和确定成交等相关信息，均不得泄露给任何与谈判工作无关的人员。</w:t>
      </w:r>
    </w:p>
    <w:p w14:paraId="79CDD59C">
      <w:pPr>
        <w:keepNext w:val="0"/>
        <w:keepLines w:val="0"/>
        <w:pageBreakBefore w:val="0"/>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24</w:t>
      </w:r>
      <w:r>
        <w:rPr>
          <w:rFonts w:hint="eastAsia" w:ascii="宋体" w:hAnsi="宋体" w:eastAsia="宋体" w:cs="宋体"/>
          <w:bCs/>
          <w:color w:val="auto"/>
          <w:sz w:val="24"/>
          <w:szCs w:val="24"/>
          <w:highlight w:val="none"/>
        </w:rPr>
        <w:t>.2供应商不得探听上述信息，不得以任何行为影响谈判过程，否则将被取消成交资格。</w:t>
      </w:r>
    </w:p>
    <w:p w14:paraId="4FC5BAF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.3在</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期间，采购人（代理机构）将指定联络员与供应商进行联络。</w:t>
      </w:r>
    </w:p>
    <w:p w14:paraId="6319EB11">
      <w:pPr>
        <w:spacing w:line="360" w:lineRule="auto"/>
        <w:ind w:firstLine="480"/>
        <w:rPr>
          <w:rFonts w:hint="eastAsia"/>
          <w:color w:val="auto"/>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.4 采购人（代理机构）和</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小组不向未成交的供应商解释未成交原因，也不公布</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过程中的相关细节。</w:t>
      </w:r>
    </w:p>
    <w:p w14:paraId="4EDABC9B">
      <w:pPr>
        <w:keepNext w:val="0"/>
        <w:keepLines w:val="0"/>
        <w:pageBreakBefore w:val="0"/>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24</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 xml:space="preserve"> 谈判小组名单在谈判前确定，并在成交结果确定前保密。</w:t>
      </w:r>
    </w:p>
    <w:p w14:paraId="319F3A2A">
      <w:pPr>
        <w:keepNext w:val="0"/>
        <w:keepLines w:val="0"/>
        <w:pageBreakBefore w:val="0"/>
        <w:spacing w:line="360" w:lineRule="auto"/>
        <w:ind w:left="0" w:right="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六、确定成交及签订合同</w:t>
      </w:r>
    </w:p>
    <w:p w14:paraId="25A036F6">
      <w:pPr>
        <w:keepNext w:val="0"/>
        <w:keepLines w:val="0"/>
        <w:pageBreakBefore w:val="0"/>
        <w:widowControl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25</w:t>
      </w:r>
      <w:r>
        <w:rPr>
          <w:rFonts w:hint="eastAsia" w:ascii="宋体" w:hAnsi="宋体" w:eastAsia="宋体" w:cs="宋体"/>
          <w:bCs/>
          <w:color w:val="auto"/>
          <w:sz w:val="24"/>
          <w:szCs w:val="24"/>
          <w:highlight w:val="none"/>
        </w:rPr>
        <w:t>.确定成交供应商</w:t>
      </w:r>
    </w:p>
    <w:p w14:paraId="6B6C5A72">
      <w:pPr>
        <w:keepNext w:val="0"/>
        <w:keepLines w:val="0"/>
        <w:pageBreakBefore w:val="0"/>
        <w:widowControl w:val="0"/>
        <w:spacing w:line="360" w:lineRule="auto"/>
        <w:ind w:left="0" w:right="0" w:firstLine="525"/>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.1</w:t>
      </w:r>
      <w:r>
        <w:rPr>
          <w:rFonts w:hint="eastAsia" w:ascii="宋体" w:hAnsi="宋体" w:cs="宋体"/>
          <w:color w:val="auto"/>
          <w:sz w:val="24"/>
          <w:highlight w:val="none"/>
        </w:rPr>
        <w:t>采购人将从谈判小组推荐的符合采购需求的成交候选供应商中按排名先后确定成交供应商</w:t>
      </w:r>
    </w:p>
    <w:p w14:paraId="6877CDB7">
      <w:pPr>
        <w:keepNext w:val="0"/>
        <w:keepLines w:val="0"/>
        <w:pageBreakBefore w:val="0"/>
        <w:widowControl w:val="0"/>
        <w:spacing w:line="360" w:lineRule="auto"/>
        <w:ind w:left="0" w:right="0" w:firstLine="46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.2</w:t>
      </w:r>
      <w:r>
        <w:rPr>
          <w:rFonts w:hint="eastAsia" w:ascii="宋体" w:hAnsi="宋体" w:cs="宋体"/>
          <w:color w:val="auto"/>
          <w:sz w:val="24"/>
          <w:highlight w:val="none"/>
        </w:rPr>
        <w:t>成交结果将在淮安市政府采购网</w:t>
      </w:r>
      <w:r>
        <w:rPr>
          <w:rFonts w:hint="eastAsia" w:ascii="宋体" w:hAnsi="宋体" w:cs="宋体"/>
          <w:color w:val="auto"/>
          <w:sz w:val="24"/>
          <w:highlight w:val="none"/>
          <w:lang w:eastAsia="zh-CN"/>
        </w:rPr>
        <w:t>、江苏政府采购网</w:t>
      </w:r>
      <w:r>
        <w:rPr>
          <w:rFonts w:hint="eastAsia" w:ascii="宋体" w:hAnsi="宋体" w:cs="宋体"/>
          <w:color w:val="auto"/>
          <w:sz w:val="24"/>
          <w:highlight w:val="none"/>
        </w:rPr>
        <w:t>进行公告。</w:t>
      </w:r>
    </w:p>
    <w:p w14:paraId="2C915EF9">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成交供应商在合同签订前，如经查实从参加该成交项目之日起计算所参加的政府采购活动前三年内，在经营活动中有行贿犯罪记录的，</w:t>
      </w:r>
      <w:r>
        <w:rPr>
          <w:rFonts w:hint="eastAsia" w:ascii="宋体" w:hAnsi="宋体" w:eastAsia="宋体" w:cs="宋体"/>
          <w:color w:val="auto"/>
          <w:sz w:val="24"/>
          <w:szCs w:val="24"/>
          <w:highlight w:val="none"/>
          <w:lang w:eastAsia="zh-CN"/>
        </w:rPr>
        <w:t>采购人（代理公司）</w:t>
      </w:r>
      <w:r>
        <w:rPr>
          <w:rFonts w:hint="eastAsia" w:ascii="宋体" w:hAnsi="宋体" w:eastAsia="宋体" w:cs="宋体"/>
          <w:color w:val="auto"/>
          <w:sz w:val="24"/>
          <w:szCs w:val="24"/>
          <w:highlight w:val="none"/>
        </w:rPr>
        <w:t>将取消其成交资格。</w:t>
      </w:r>
    </w:p>
    <w:p w14:paraId="56A2C954">
      <w:pPr>
        <w:keepNext w:val="0"/>
        <w:keepLines w:val="0"/>
        <w:pageBreakBefore w:val="0"/>
        <w:widowControl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.成交通知书</w:t>
      </w:r>
    </w:p>
    <w:p w14:paraId="49380E6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.1成交结果公示结束且在无疑义情况下，采购人（代理机构）将通知成交供应商。</w:t>
      </w:r>
    </w:p>
    <w:p w14:paraId="04ED3714">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.2成交供应商在</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lang w:val="zh-CN"/>
        </w:rPr>
        <w:t>通知书发放后</w:t>
      </w:r>
      <w:r>
        <w:rPr>
          <w:rFonts w:hint="eastAsia" w:ascii="宋体" w:hAnsi="宋体" w:cs="宋体"/>
          <w:color w:val="auto"/>
          <w:sz w:val="24"/>
          <w:highlight w:val="none"/>
          <w:lang w:eastAsia="zh-CN"/>
        </w:rPr>
        <w:t>五个工作日内</w:t>
      </w:r>
      <w:r>
        <w:rPr>
          <w:rFonts w:hint="eastAsia" w:ascii="宋体" w:hAnsi="宋体" w:cs="宋体"/>
          <w:color w:val="auto"/>
          <w:sz w:val="24"/>
          <w:highlight w:val="none"/>
        </w:rPr>
        <w:t>必须递交与电子投标文件一致的纸质投标文件（印章齐全）正本一份，副本两份。逾期未办理作自动放弃处理</w:t>
      </w:r>
      <w:r>
        <w:rPr>
          <w:rFonts w:hint="eastAsia" w:ascii="宋体" w:hAnsi="宋体" w:cs="宋体"/>
          <w:color w:val="auto"/>
          <w:sz w:val="24"/>
          <w:highlight w:val="none"/>
          <w:lang w:eastAsia="zh-CN"/>
        </w:rPr>
        <w:t>。</w:t>
      </w:r>
    </w:p>
    <w:p w14:paraId="6443C360">
      <w:pPr>
        <w:spacing w:line="360" w:lineRule="auto"/>
        <w:ind w:firstLine="600"/>
        <w:rPr>
          <w:rFonts w:hint="eastAsia" w:ascii="宋体" w:hAnsi="宋体" w:cs="宋体"/>
          <w:color w:val="auto"/>
          <w:sz w:val="24"/>
          <w:highlight w:val="none"/>
        </w:rPr>
      </w:pPr>
      <w:r>
        <w:rPr>
          <w:rFonts w:hint="eastAsia" w:ascii="宋体" w:hAnsi="宋体" w:cs="宋体"/>
          <w:color w:val="auto"/>
          <w:sz w:val="24"/>
          <w:highlight w:val="none"/>
        </w:rPr>
        <w:t>请成交供应商在成交结果公告届满之日起30日内</w:t>
      </w:r>
      <w:r>
        <w:rPr>
          <w:rFonts w:hint="eastAsia" w:ascii="宋体" w:hAnsi="宋体" w:cs="宋体"/>
          <w:color w:val="auto"/>
          <w:sz w:val="24"/>
          <w:highlight w:val="none"/>
          <w:lang w:eastAsia="zh-CN"/>
        </w:rPr>
        <w:t>，</w:t>
      </w:r>
      <w:r>
        <w:rPr>
          <w:rFonts w:hint="eastAsia" w:ascii="宋体" w:hAnsi="宋体" w:cs="宋体"/>
          <w:color w:val="auto"/>
          <w:sz w:val="24"/>
          <w:highlight w:val="none"/>
        </w:rPr>
        <w:t>使用CA数字证书登录</w:t>
      </w:r>
      <w:r>
        <w:rPr>
          <w:rFonts w:hint="eastAsia" w:ascii="宋体" w:hAnsi="宋体" w:cs="宋体"/>
          <w:color w:val="auto"/>
          <w:sz w:val="24"/>
          <w:highlight w:val="none"/>
          <w:lang w:eastAsia="zh-CN"/>
        </w:rPr>
        <w:t>苏采云系统</w:t>
      </w:r>
      <w:r>
        <w:rPr>
          <w:rFonts w:hint="eastAsia" w:ascii="宋体" w:hAnsi="宋体" w:cs="宋体"/>
          <w:color w:val="auto"/>
          <w:sz w:val="24"/>
          <w:highlight w:val="none"/>
        </w:rPr>
        <w:t>及时下载成交通知书。因系统存储空间有限，自成交结果公告届满之日起30日后，</w:t>
      </w:r>
      <w:r>
        <w:rPr>
          <w:rFonts w:hint="eastAsia" w:ascii="宋体" w:hAnsi="宋体" w:cs="宋体"/>
          <w:color w:val="auto"/>
          <w:sz w:val="24"/>
          <w:highlight w:val="none"/>
          <w:lang w:eastAsia="zh-CN"/>
        </w:rPr>
        <w:t>苏采云系统</w:t>
      </w:r>
      <w:r>
        <w:rPr>
          <w:rFonts w:hint="eastAsia" w:ascii="宋体" w:hAnsi="宋体" w:cs="宋体"/>
          <w:color w:val="auto"/>
          <w:sz w:val="24"/>
          <w:highlight w:val="none"/>
        </w:rPr>
        <w:t>不再保证提供下载成交通知书服务</w:t>
      </w:r>
      <w:r>
        <w:rPr>
          <w:rFonts w:hint="eastAsia" w:ascii="宋体" w:hAnsi="宋体" w:cs="宋体"/>
          <w:color w:val="auto"/>
          <w:sz w:val="24"/>
          <w:highlight w:val="none"/>
          <w:lang w:eastAsia="zh-CN"/>
        </w:rPr>
        <w:t>，</w:t>
      </w:r>
      <w:r>
        <w:rPr>
          <w:rFonts w:hint="eastAsia" w:ascii="宋体" w:hAnsi="宋体" w:cs="宋体"/>
          <w:color w:val="auto"/>
          <w:sz w:val="24"/>
          <w:highlight w:val="none"/>
        </w:rPr>
        <w:t>因未及时下载而造成的不利后果由成交供应商自行承担。</w:t>
      </w:r>
    </w:p>
    <w:p w14:paraId="29C85DEE">
      <w:pPr>
        <w:tabs>
          <w:tab w:val="left" w:pos="9354"/>
        </w:tabs>
        <w:spacing w:line="360" w:lineRule="auto"/>
        <w:ind w:right="-302"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.3成交通知书对采购人及成交供应商同时均具法律效力。</w:t>
      </w:r>
    </w:p>
    <w:p w14:paraId="11DC8233">
      <w:pPr>
        <w:keepNext w:val="0"/>
        <w:keepLines w:val="0"/>
        <w:pageBreakBefore w:val="0"/>
        <w:spacing w:line="360" w:lineRule="auto"/>
        <w:ind w:left="0" w:right="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.签订合同</w:t>
      </w:r>
    </w:p>
    <w:p w14:paraId="43266CDF">
      <w:pPr>
        <w:spacing w:line="360" w:lineRule="auto"/>
        <w:ind w:firstLine="480"/>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w:t>
      </w:r>
      <w:r>
        <w:rPr>
          <w:rFonts w:hint="eastAsia" w:ascii="宋体" w:hAnsi="宋体" w:cs="宋体"/>
          <w:b w:val="0"/>
          <w:bCs w:val="0"/>
          <w:color w:val="auto"/>
          <w:sz w:val="24"/>
          <w:highlight w:val="none"/>
          <w:lang w:val="en-US" w:eastAsia="zh-CN"/>
        </w:rPr>
        <w:t>7</w:t>
      </w:r>
      <w:r>
        <w:rPr>
          <w:rFonts w:hint="eastAsia" w:ascii="宋体" w:hAnsi="宋体" w:cs="宋体"/>
          <w:b w:val="0"/>
          <w:bCs w:val="0"/>
          <w:color w:val="auto"/>
          <w:sz w:val="24"/>
          <w:highlight w:val="none"/>
        </w:rPr>
        <w:t>.1采购人与成交供应商应在中标通知书发出之日起</w:t>
      </w:r>
      <w:r>
        <w:rPr>
          <w:rFonts w:hint="eastAsia" w:ascii="宋体" w:hAnsi="宋体" w:cs="宋体"/>
          <w:b w:val="0"/>
          <w:bCs w:val="0"/>
          <w:color w:val="auto"/>
          <w:sz w:val="24"/>
          <w:highlight w:val="none"/>
          <w:lang w:val="en-US" w:eastAsia="zh-CN"/>
        </w:rPr>
        <w:t>三十</w:t>
      </w:r>
      <w:r>
        <w:rPr>
          <w:rFonts w:hint="eastAsia" w:ascii="宋体" w:hAnsi="宋体" w:cs="宋体"/>
          <w:b w:val="0"/>
          <w:bCs w:val="0"/>
          <w:color w:val="auto"/>
          <w:sz w:val="24"/>
          <w:highlight w:val="none"/>
        </w:rPr>
        <w:t>日内签订政府采购合同。</w:t>
      </w:r>
      <w:r>
        <w:rPr>
          <w:rFonts w:hint="eastAsia" w:ascii="宋体" w:hAnsi="宋体" w:cs="宋体"/>
          <w:b w:val="0"/>
          <w:bCs w:val="0"/>
          <w:color w:val="auto"/>
          <w:sz w:val="24"/>
          <w:highlight w:val="none"/>
          <w:lang w:eastAsia="zh-CN"/>
        </w:rPr>
        <w:t>谈判</w:t>
      </w:r>
      <w:r>
        <w:rPr>
          <w:rFonts w:hint="eastAsia" w:ascii="宋体" w:hAnsi="宋体" w:cs="宋体"/>
          <w:b w:val="0"/>
          <w:bCs w:val="0"/>
          <w:color w:val="auto"/>
          <w:sz w:val="24"/>
          <w:highlight w:val="none"/>
        </w:rPr>
        <w:t>文件、成交供应商的响应文件及澄清文件等均为签订合同依据。</w:t>
      </w:r>
    </w:p>
    <w:p w14:paraId="7C2C1B6C">
      <w:pPr>
        <w:spacing w:line="360" w:lineRule="auto"/>
        <w:ind w:firstLine="480"/>
        <w:rPr>
          <w:rFonts w:hint="eastAsia" w:ascii="宋体" w:hAnsi="宋体" w:cs="宋体"/>
          <w:color w:val="auto"/>
          <w:sz w:val="24"/>
          <w:highlight w:val="none"/>
        </w:rPr>
      </w:pPr>
      <w:r>
        <w:rPr>
          <w:rFonts w:hint="eastAsia" w:ascii="宋体" w:hAnsi="宋体" w:cs="宋体"/>
          <w:b w:val="0"/>
          <w:bCs w:val="0"/>
          <w:color w:val="auto"/>
          <w:sz w:val="24"/>
          <w:highlight w:val="none"/>
        </w:rPr>
        <w:t>2</w:t>
      </w:r>
      <w:r>
        <w:rPr>
          <w:rFonts w:hint="eastAsia" w:ascii="宋体" w:hAnsi="宋体" w:cs="宋体"/>
          <w:b w:val="0"/>
          <w:bCs w:val="0"/>
          <w:color w:val="auto"/>
          <w:sz w:val="24"/>
          <w:highlight w:val="none"/>
          <w:lang w:val="en-US" w:eastAsia="zh-CN"/>
        </w:rPr>
        <w:t>7</w:t>
      </w:r>
      <w:r>
        <w:rPr>
          <w:rFonts w:hint="eastAsia" w:ascii="宋体" w:hAnsi="宋体" w:cs="宋体"/>
          <w:b w:val="0"/>
          <w:bCs w:val="0"/>
          <w:color w:val="auto"/>
          <w:sz w:val="24"/>
          <w:highlight w:val="none"/>
        </w:rPr>
        <w:t>.2成交供应商自成交通知书发出之日起</w:t>
      </w:r>
      <w:r>
        <w:rPr>
          <w:rFonts w:hint="eastAsia" w:ascii="宋体" w:hAnsi="宋体" w:cs="宋体"/>
          <w:b w:val="0"/>
          <w:bCs w:val="0"/>
          <w:color w:val="auto"/>
          <w:sz w:val="24"/>
          <w:highlight w:val="none"/>
          <w:lang w:val="en-US" w:eastAsia="zh-CN"/>
        </w:rPr>
        <w:t>三十</w:t>
      </w:r>
      <w:r>
        <w:rPr>
          <w:rFonts w:hint="eastAsia" w:ascii="宋体" w:hAnsi="宋体" w:cs="宋体"/>
          <w:b w:val="0"/>
          <w:bCs w:val="0"/>
          <w:color w:val="auto"/>
          <w:sz w:val="24"/>
          <w:highlight w:val="none"/>
        </w:rPr>
        <w:t>日内无正当理由不与</w:t>
      </w:r>
      <w:r>
        <w:rPr>
          <w:rFonts w:hint="eastAsia" w:ascii="宋体" w:hAnsi="宋体" w:cs="宋体"/>
          <w:color w:val="auto"/>
          <w:sz w:val="24"/>
          <w:highlight w:val="none"/>
        </w:rPr>
        <w:t>采购人签订合同，将按规定进行处理。</w:t>
      </w:r>
    </w:p>
    <w:p w14:paraId="115D097E">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.货物和服务的减少</w:t>
      </w:r>
    </w:p>
    <w:p w14:paraId="0A28D241">
      <w:pPr>
        <w:keepNext w:val="0"/>
        <w:keepLines w:val="0"/>
        <w:pageBreakBefore w:val="0"/>
        <w:spacing w:line="360" w:lineRule="auto"/>
        <w:ind w:left="0" w:right="0" w:firstLine="4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.1采购结束后，采购人若由于各种客观原因，必须对采购项目所牵涉的货物和服务进行适当的减少时，在双方协商一致的前提下，可以按照谈判采购时的价格水平做相应的调减，并据此签订补充合同。</w:t>
      </w:r>
    </w:p>
    <w:p w14:paraId="140C1949">
      <w:pPr>
        <w:keepNext w:val="0"/>
        <w:keepLines w:val="0"/>
        <w:pageBreakBefore w:val="0"/>
        <w:spacing w:line="360" w:lineRule="auto"/>
        <w:ind w:left="0" w:right="0"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.履约保证金</w:t>
      </w:r>
    </w:p>
    <w:p w14:paraId="34AAE855">
      <w:pPr>
        <w:pStyle w:val="360"/>
        <w:spacing w:before="120" w:after="120" w:line="360" w:lineRule="auto"/>
        <w:ind w:left="0" w:firstLine="24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29.1、本项目中标后需缴纳1%的履约保证金。</w:t>
      </w:r>
    </w:p>
    <w:p w14:paraId="3D43D4A3">
      <w:pPr>
        <w:pStyle w:val="360"/>
        <w:spacing w:before="120" w:after="120" w:line="360" w:lineRule="auto"/>
        <w:ind w:left="0" w:firstLine="24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29.2、乙方提供的履约保证金可以是人民币形式(银行本票汇票支票、电汇)或银行保函、担保公司的保证担保或保险公司的保证保险等多种形式。</w:t>
      </w:r>
    </w:p>
    <w:p w14:paraId="0A7F80BC">
      <w:pPr>
        <w:pStyle w:val="360"/>
        <w:spacing w:before="120" w:after="120" w:line="360" w:lineRule="auto"/>
        <w:ind w:left="0" w:firstLine="24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29.3、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p>
    <w:p w14:paraId="440DBC09">
      <w:pPr>
        <w:pStyle w:val="360"/>
        <w:spacing w:before="120" w:after="120" w:line="360" w:lineRule="auto"/>
        <w:ind w:left="0" w:firstLine="24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29.4、如乙方未能履行合同规定的义务，甲方有权从履约保证金中取得补偿。</w:t>
      </w:r>
    </w:p>
    <w:p w14:paraId="20C53684">
      <w:pPr>
        <w:pStyle w:val="360"/>
        <w:spacing w:before="120" w:after="120" w:line="360" w:lineRule="auto"/>
        <w:ind w:left="0" w:firstLine="24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29.5履约保证金在合同约定期间内不予退还或者应完全有效约定期间届满之日起5个工作日内，甲方应将履约保证金退还乙方;逾期退还的，按中国人民银行同期货款基利率上浮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p>
    <w:p w14:paraId="5C434D2D">
      <w:pPr>
        <w:pStyle w:val="360"/>
        <w:spacing w:before="120" w:after="120" w:line="360" w:lineRule="auto"/>
        <w:ind w:left="0" w:firstLine="24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29.6履约保证金在合同约定期间内不予退还或者应完全有效履约保证金在项目验收合格后无息退还给乙方。</w:t>
      </w:r>
    </w:p>
    <w:p w14:paraId="55D5B9F4">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30.方案部分（如果本项目涉及的话）</w:t>
      </w:r>
    </w:p>
    <w:p w14:paraId="5439B0B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0</w:t>
      </w:r>
      <w:r>
        <w:rPr>
          <w:rFonts w:ascii="宋体" w:hAnsi="宋体" w:cs="宋体"/>
          <w:color w:val="auto"/>
          <w:sz w:val="24"/>
          <w:highlight w:val="none"/>
        </w:rPr>
        <w:t>.1本项目评标标准中的方案部分</w:t>
      </w:r>
      <w:r>
        <w:rPr>
          <w:rFonts w:hint="eastAsia" w:ascii="宋体" w:hAnsi="宋体" w:cs="宋体"/>
          <w:b/>
          <w:bCs/>
          <w:color w:val="auto"/>
          <w:sz w:val="24"/>
          <w:highlight w:val="none"/>
          <w:u w:val="single"/>
          <w:lang w:val="en-US" w:eastAsia="zh-CN"/>
        </w:rPr>
        <w:t>不</w:t>
      </w:r>
      <w:r>
        <w:rPr>
          <w:rFonts w:ascii="宋体" w:hAnsi="宋体" w:cs="宋体"/>
          <w:color w:val="auto"/>
          <w:sz w:val="24"/>
          <w:highlight w:val="none"/>
        </w:rPr>
        <w:t>采用暗标方式进行评审：</w:t>
      </w:r>
    </w:p>
    <w:p w14:paraId="6143C9F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0</w:t>
      </w:r>
      <w:r>
        <w:rPr>
          <w:rFonts w:ascii="宋体" w:hAnsi="宋体" w:cs="宋体"/>
          <w:color w:val="auto"/>
          <w:sz w:val="24"/>
          <w:highlight w:val="none"/>
        </w:rPr>
        <w:t>.2方案部分采用暗标方式进行评审的编制要求：</w:t>
      </w:r>
    </w:p>
    <w:p w14:paraId="4BF3701D">
      <w:pPr>
        <w:spacing w:line="360" w:lineRule="auto"/>
        <w:ind w:firstLine="480"/>
        <w:rPr>
          <w:rFonts w:hint="eastAsia" w:ascii="宋体" w:hAnsi="宋体" w:cs="宋体"/>
          <w:color w:val="auto"/>
          <w:sz w:val="24"/>
          <w:szCs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方案内容、文字均不得出现投标单位名称、相关人员姓名和其他可识别</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身份的字符、徽标、人员名称等内容，不得出现以前所承担过的项目名称，不得作任何标识或暗示该</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22B1F9DC">
      <w:pPr>
        <w:spacing w:line="360" w:lineRule="auto"/>
        <w:ind w:firstLine="480"/>
        <w:rPr>
          <w:rFonts w:hint="eastAsia"/>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0</w:t>
      </w:r>
      <w:r>
        <w:rPr>
          <w:rFonts w:ascii="宋体" w:hAnsi="宋体" w:eastAsia="宋体" w:cs="宋体"/>
          <w:color w:val="auto"/>
          <w:sz w:val="24"/>
          <w:highlight w:val="none"/>
        </w:rPr>
        <w:t>.3方案部分采用暗标方式的，供应商需按</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0</w:t>
      </w:r>
      <w:r>
        <w:rPr>
          <w:rFonts w:ascii="宋体" w:hAnsi="宋体" w:eastAsia="宋体" w:cs="宋体"/>
          <w:color w:val="auto"/>
          <w:sz w:val="24"/>
          <w:highlight w:val="none"/>
        </w:rPr>
        <w:t>.2的要求编制方案。经三分之二评委认定，供应商未按</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0</w:t>
      </w:r>
      <w:r>
        <w:rPr>
          <w:rFonts w:ascii="宋体" w:hAnsi="宋体" w:eastAsia="宋体" w:cs="宋体"/>
          <w:color w:val="auto"/>
          <w:sz w:val="24"/>
          <w:highlight w:val="none"/>
        </w:rPr>
        <w:t>.2的要求编制方案的，按未提供方案处理</w:t>
      </w:r>
      <w:r>
        <w:rPr>
          <w:rFonts w:hint="eastAsia" w:ascii="宋体" w:hAnsi="宋体" w:eastAsia="宋体" w:cs="宋体"/>
          <w:color w:val="auto"/>
          <w:sz w:val="24"/>
          <w:highlight w:val="none"/>
        </w:rPr>
        <w:t>。</w:t>
      </w:r>
    </w:p>
    <w:p w14:paraId="0020EA24">
      <w:pPr>
        <w:keepNext w:val="0"/>
        <w:keepLines w:val="0"/>
        <w:pageBreakBefore w:val="0"/>
        <w:widowControl w:val="0"/>
        <w:spacing w:line="360" w:lineRule="auto"/>
        <w:ind w:left="0" w:right="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七、质疑处理</w:t>
      </w:r>
    </w:p>
    <w:p w14:paraId="27F24FD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31.质疑处理</w:t>
      </w:r>
    </w:p>
    <w:p w14:paraId="0CD8383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31.1供应商认为采购文件、采购过程和</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结果使自己的权益受到损害的，可以在知道或者应知其权益受到损害之日起七个工作日内，将质疑函的原件邮寄至采购人（采购代理）。未邮寄质疑函原件、七个工作日之外以及匿名的质疑均不予受理。</w:t>
      </w:r>
    </w:p>
    <w:p w14:paraId="753F857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31.2上述应知其权益受到损害之日是指：</w:t>
      </w:r>
    </w:p>
    <w:p w14:paraId="5EAEB04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（1）对</w:t>
      </w:r>
      <w:r>
        <w:rPr>
          <w:rFonts w:hint="eastAsia" w:ascii="宋体" w:hAnsi="宋体" w:cs="宋体"/>
          <w:color w:val="auto"/>
          <w:sz w:val="24"/>
          <w:highlight w:val="none"/>
          <w:lang w:eastAsia="zh-CN"/>
        </w:rPr>
        <w:t>谈判</w:t>
      </w:r>
      <w:r>
        <w:rPr>
          <w:rFonts w:hint="eastAsia" w:ascii="宋体" w:hAnsi="宋体" w:cs="宋体"/>
          <w:color w:val="auto"/>
          <w:sz w:val="24"/>
          <w:highlight w:val="none"/>
        </w:rPr>
        <w:t>文件提出质疑的，为收到采购文件之日或者采购文件公告期限届满之日起计算；</w:t>
      </w:r>
    </w:p>
    <w:p w14:paraId="10E0642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（2）对采购过程提出质疑的，为各采购程序环节结束之日起计算；</w:t>
      </w:r>
    </w:p>
    <w:p w14:paraId="2048F51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（3）对成交结果提出质疑的，为成交结果公告期限届满之日起计算。</w:t>
      </w:r>
    </w:p>
    <w:p w14:paraId="4DA6CE5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31.3质疑供应商是指直接参加本次</w:t>
      </w:r>
      <w:r>
        <w:rPr>
          <w:rFonts w:hint="eastAsia" w:ascii="宋体" w:hAnsi="宋体" w:cs="宋体"/>
          <w:color w:val="auto"/>
          <w:sz w:val="24"/>
          <w:highlight w:val="none"/>
          <w:lang w:eastAsia="zh-CN"/>
        </w:rPr>
        <w:t>谈判</w:t>
      </w:r>
      <w:r>
        <w:rPr>
          <w:rFonts w:hint="eastAsia" w:ascii="宋体" w:hAnsi="宋体" w:cs="宋体"/>
          <w:color w:val="auto"/>
          <w:sz w:val="24"/>
          <w:highlight w:val="none"/>
        </w:rPr>
        <w:t>活动的供应商，未参加</w:t>
      </w:r>
      <w:r>
        <w:rPr>
          <w:rFonts w:hint="eastAsia" w:ascii="宋体" w:hAnsi="宋体" w:cs="宋体"/>
          <w:color w:val="auto"/>
          <w:sz w:val="24"/>
          <w:highlight w:val="none"/>
          <w:lang w:eastAsia="zh-CN"/>
        </w:rPr>
        <w:t>谈判</w:t>
      </w:r>
      <w:r>
        <w:rPr>
          <w:rFonts w:hint="eastAsia" w:ascii="宋体" w:hAnsi="宋体" w:cs="宋体"/>
          <w:color w:val="auto"/>
          <w:sz w:val="24"/>
          <w:highlight w:val="none"/>
        </w:rPr>
        <w:t>活动的供应商或在</w:t>
      </w:r>
      <w:r>
        <w:rPr>
          <w:rFonts w:hint="eastAsia" w:ascii="宋体" w:hAnsi="宋体" w:cs="宋体"/>
          <w:color w:val="auto"/>
          <w:sz w:val="24"/>
          <w:highlight w:val="none"/>
          <w:lang w:eastAsia="zh-CN"/>
        </w:rPr>
        <w:t>谈判</w:t>
      </w:r>
      <w:r>
        <w:rPr>
          <w:rFonts w:hint="eastAsia" w:ascii="宋体" w:hAnsi="宋体" w:cs="宋体"/>
          <w:color w:val="auto"/>
          <w:sz w:val="24"/>
          <w:highlight w:val="none"/>
        </w:rPr>
        <w:t>活动中自身权益未受到损害的供应商所提出的质疑不予受理。</w:t>
      </w:r>
    </w:p>
    <w:p w14:paraId="7F2620B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31.4质疑供应商在法定质疑期内应当一次性提出针对同一采购环节提出质疑。</w:t>
      </w:r>
    </w:p>
    <w:p w14:paraId="279BD8D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31.5质疑函必须按《政府采购法》《政府采购法实施条例》及《江苏省政府采购供应商监督管理暂行办法》的相关规定，参加</w:t>
      </w:r>
      <w:r>
        <w:rPr>
          <w:rFonts w:hint="eastAsia" w:ascii="宋体" w:hAnsi="宋体" w:cs="宋体"/>
          <w:color w:val="auto"/>
          <w:sz w:val="24"/>
          <w:highlight w:val="none"/>
          <w:lang w:eastAsia="zh-CN"/>
        </w:rPr>
        <w:t>谈判</w:t>
      </w:r>
      <w:r>
        <w:rPr>
          <w:rFonts w:hint="eastAsia" w:ascii="宋体" w:hAnsi="宋体" w:cs="宋体"/>
          <w:color w:val="auto"/>
          <w:sz w:val="24"/>
          <w:highlight w:val="none"/>
        </w:rPr>
        <w:t>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p>
    <w:p w14:paraId="0EA11E3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31.6质疑函应当包括以下主要内容，</w:t>
      </w:r>
      <w:r>
        <w:rPr>
          <w:rFonts w:hint="eastAsia" w:ascii="宋体" w:hAnsi="宋体" w:cs="宋体"/>
          <w:color w:val="auto"/>
          <w:sz w:val="24"/>
          <w:highlight w:val="none"/>
          <w:lang w:val="zh-CN"/>
        </w:rPr>
        <w:t>并</w:t>
      </w:r>
      <w:r>
        <w:rPr>
          <w:rFonts w:hint="eastAsia" w:ascii="宋体" w:hAnsi="宋体" w:cs="宋体"/>
          <w:color w:val="auto"/>
          <w:sz w:val="24"/>
          <w:highlight w:val="none"/>
        </w:rPr>
        <w:t>按照“谁主张、谁举证”的原则，附上相关证明材料。否则，采购人（代理机构）不予受理。</w:t>
      </w:r>
    </w:p>
    <w:p w14:paraId="0A5BAEE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（1）质疑</w:t>
      </w:r>
      <w:r>
        <w:rPr>
          <w:rFonts w:hint="eastAsia" w:ascii="宋体" w:hAnsi="宋体" w:cs="宋体"/>
          <w:color w:val="auto"/>
          <w:sz w:val="24"/>
          <w:highlight w:val="none"/>
          <w:lang w:eastAsia="zh-CN"/>
        </w:rPr>
        <w:t>谈判</w:t>
      </w:r>
      <w:r>
        <w:rPr>
          <w:rFonts w:hint="eastAsia" w:ascii="宋体" w:hAnsi="宋体" w:cs="宋体"/>
          <w:color w:val="auto"/>
          <w:sz w:val="24"/>
          <w:highlight w:val="none"/>
        </w:rPr>
        <w:t>供应商的名称、地址、邮编、联系人及联系电话；</w:t>
      </w:r>
    </w:p>
    <w:p w14:paraId="29D18BA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（2）质疑项目的名称、编号；</w:t>
      </w:r>
    </w:p>
    <w:p w14:paraId="7C0FB5CC">
      <w:pPr>
        <w:spacing w:line="360" w:lineRule="auto"/>
        <w:ind w:firstLine="480"/>
        <w:jc w:val="left"/>
        <w:rPr>
          <w:rFonts w:hint="eastAsia" w:ascii="宋体" w:hAnsi="宋体" w:cs="宋体"/>
          <w:color w:val="auto"/>
          <w:sz w:val="24"/>
          <w:highlight w:val="none"/>
        </w:rPr>
      </w:pPr>
      <w:bookmarkStart w:id="1" w:name="_Toc16743"/>
      <w:r>
        <w:rPr>
          <w:rFonts w:hint="eastAsia" w:ascii="宋体" w:hAnsi="宋体" w:cs="宋体"/>
          <w:color w:val="auto"/>
          <w:sz w:val="24"/>
          <w:highlight w:val="none"/>
        </w:rPr>
        <w:t>（3）具体、明确的质疑事项和与质疑事实相关的请求；</w:t>
      </w:r>
      <w:bookmarkEnd w:id="1"/>
    </w:p>
    <w:p w14:paraId="252D4451">
      <w:pPr>
        <w:spacing w:line="360" w:lineRule="auto"/>
        <w:ind w:firstLine="480"/>
        <w:jc w:val="left"/>
        <w:rPr>
          <w:rFonts w:hint="eastAsia" w:ascii="宋体" w:hAnsi="宋体" w:cs="宋体"/>
          <w:color w:val="auto"/>
          <w:sz w:val="24"/>
          <w:highlight w:val="none"/>
        </w:rPr>
      </w:pPr>
      <w:bookmarkStart w:id="2" w:name="_Toc20203"/>
      <w:r>
        <w:rPr>
          <w:rFonts w:hint="eastAsia" w:ascii="宋体" w:hAnsi="宋体" w:cs="宋体"/>
          <w:color w:val="auto"/>
          <w:sz w:val="24"/>
          <w:highlight w:val="none"/>
        </w:rPr>
        <w:t>（4）事实依据；</w:t>
      </w:r>
      <w:bookmarkEnd w:id="2"/>
    </w:p>
    <w:p w14:paraId="76FDB061">
      <w:pPr>
        <w:spacing w:line="360" w:lineRule="auto"/>
        <w:ind w:firstLine="480"/>
        <w:jc w:val="left"/>
        <w:rPr>
          <w:rFonts w:hint="eastAsia" w:ascii="宋体" w:hAnsi="宋体" w:cs="宋体"/>
          <w:color w:val="auto"/>
          <w:sz w:val="24"/>
          <w:highlight w:val="none"/>
        </w:rPr>
      </w:pPr>
      <w:bookmarkStart w:id="3" w:name="_Toc18795"/>
      <w:r>
        <w:rPr>
          <w:rFonts w:hint="eastAsia" w:ascii="宋体" w:hAnsi="宋体" w:cs="宋体"/>
          <w:color w:val="auto"/>
          <w:sz w:val="24"/>
          <w:highlight w:val="none"/>
        </w:rPr>
        <w:t>（5）必要的法律依据；</w:t>
      </w:r>
      <w:bookmarkEnd w:id="3"/>
    </w:p>
    <w:p w14:paraId="5EB0979F">
      <w:pPr>
        <w:spacing w:line="360" w:lineRule="auto"/>
        <w:ind w:firstLine="480"/>
        <w:jc w:val="left"/>
        <w:rPr>
          <w:rFonts w:hint="eastAsia" w:ascii="宋体" w:hAnsi="宋体" w:cs="宋体"/>
          <w:color w:val="auto"/>
          <w:sz w:val="24"/>
          <w:highlight w:val="none"/>
        </w:rPr>
      </w:pPr>
      <w:bookmarkStart w:id="4" w:name="_Toc6388"/>
      <w:r>
        <w:rPr>
          <w:rFonts w:hint="eastAsia" w:ascii="宋体" w:hAnsi="宋体" w:cs="宋体"/>
          <w:color w:val="auto"/>
          <w:sz w:val="24"/>
          <w:highlight w:val="none"/>
        </w:rPr>
        <w:t>（6）提起质疑的日期；</w:t>
      </w:r>
      <w:bookmarkEnd w:id="4"/>
    </w:p>
    <w:p w14:paraId="5B109A0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（7）质疑函应当署名：应当由法定代表人签字并加盖单位公章。</w:t>
      </w:r>
    </w:p>
    <w:p w14:paraId="33FF844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p>
    <w:p w14:paraId="7B79CBF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p>
    <w:p w14:paraId="747C294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p>
    <w:p w14:paraId="4D6D6F2F">
      <w:pPr>
        <w:keepNext w:val="0"/>
        <w:keepLines w:val="0"/>
        <w:pageBreakBefore w:val="0"/>
        <w:widowControl w:val="0"/>
        <w:spacing w:line="360" w:lineRule="auto"/>
        <w:ind w:right="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 投诉 </w:t>
      </w:r>
    </w:p>
    <w:p w14:paraId="7595A411">
      <w:pPr>
        <w:keepNext w:val="0"/>
        <w:keepLines w:val="0"/>
        <w:pageBreakBefore w:val="0"/>
        <w:widowControl w:val="0"/>
        <w:spacing w:line="360" w:lineRule="auto"/>
        <w:ind w:left="0" w:righ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32.1 质疑人对采购人和采购代理机构的答复不满意，或采购人和采购代理机构未在规定的时间内作出答复的，可以在答复期满后十五个工作日内向采购人同级</w:t>
      </w:r>
      <w:r>
        <w:rPr>
          <w:rFonts w:hint="eastAsia" w:ascii="宋体" w:hAnsi="宋体" w:eastAsia="宋体" w:cs="宋体"/>
          <w:color w:val="auto"/>
          <w:sz w:val="24"/>
          <w:szCs w:val="24"/>
          <w:highlight w:val="none"/>
          <w:lang w:val="en-US" w:eastAsia="zh-CN" w:bidi="ar-SA"/>
        </w:rPr>
        <w:t>监管部门投诉。</w:t>
      </w:r>
    </w:p>
    <w:p w14:paraId="6EBF96CE">
      <w:pPr>
        <w:keepNext w:val="0"/>
        <w:keepLines w:val="0"/>
        <w:pageBreakBefore w:val="0"/>
        <w:widowControl w:val="0"/>
        <w:spacing w:line="360" w:lineRule="auto"/>
        <w:ind w:left="0" w:right="0"/>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t>八、政府采购政策功能落实</w:t>
      </w:r>
    </w:p>
    <w:p w14:paraId="00E30D41">
      <w:pPr>
        <w:spacing w:line="360" w:lineRule="auto"/>
        <w:rPr>
          <w:rFonts w:hint="eastAsia" w:ascii="宋体" w:hAnsi="宋体" w:cs="宋体"/>
          <w:b/>
          <w:bCs/>
          <w:color w:val="auto"/>
          <w:sz w:val="24"/>
          <w:highlight w:val="none"/>
        </w:rPr>
      </w:pPr>
      <w:bookmarkStart w:id="5" w:name="_Toc8139_WPSOffice_Level1"/>
      <w:r>
        <w:rPr>
          <w:rFonts w:hint="eastAsia" w:ascii="宋体" w:hAnsi="宋体" w:cs="宋体"/>
          <w:b/>
          <w:bCs/>
          <w:color w:val="auto"/>
          <w:sz w:val="24"/>
          <w:highlight w:val="none"/>
        </w:rPr>
        <w:t>33.政策功能落实</w:t>
      </w:r>
    </w:p>
    <w:p w14:paraId="1C6C9E59">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（一）小微型企业价格扣除</w:t>
      </w:r>
    </w:p>
    <w:p w14:paraId="0A2689F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zh-CN"/>
        </w:rPr>
        <w:t>对于未专门面向中小企业或者未预留份额专门面向中小企业采购的采购项目，供应商提供的货物或者服务</w:t>
      </w:r>
      <w:r>
        <w:rPr>
          <w:rFonts w:hint="eastAsia" w:ascii="宋体" w:hAnsi="宋体" w:cs="宋体"/>
          <w:color w:val="auto"/>
          <w:sz w:val="24"/>
          <w:highlight w:val="none"/>
        </w:rPr>
        <w:t>符合下列情形的，享受本办法规定的中小企业扶持政策给予小型和微型企业报价20%的扣除，用扣除后的价格参与评审。</w:t>
      </w:r>
    </w:p>
    <w:p w14:paraId="31133DC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需按照</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文件的要求提供相应的《企业声明函》，详见</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文件第六章示范格式。</w:t>
      </w:r>
    </w:p>
    <w:p w14:paraId="4F92A83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（3）企业标准请参照《关于印发中小企业划型标准规定的通知》（工信部联企业[2011]300号）文件规定自行填写。</w:t>
      </w:r>
    </w:p>
    <w:p w14:paraId="14955AB4">
      <w:pPr>
        <w:spacing w:line="360" w:lineRule="auto"/>
        <w:ind w:firstLine="480"/>
        <w:rPr>
          <w:rFonts w:hint="eastAsia"/>
          <w:b w:val="0"/>
          <w:bCs w:val="0"/>
          <w:color w:val="auto"/>
          <w:highlight w:val="none"/>
        </w:rPr>
      </w:pP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4</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在货物采购项目中，供应商提供的货物既有中小企业制造货物，也有大型企业制造货物的，不享受本办法规定的中小企业扶持政策。</w:t>
      </w:r>
    </w:p>
    <w:p w14:paraId="12188F9F">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（二）残疾人福利单位价格扣除</w:t>
      </w:r>
    </w:p>
    <w:p w14:paraId="0E12832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（1）本项目对残疾人福利性单位视同小型、微型企业，给予20%的价格扣除，用扣除后的价格参与评审。</w:t>
      </w:r>
    </w:p>
    <w:p w14:paraId="4EED3B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（2）残疾人福利单位需按照</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文件的要求提供《残疾人福利性单位声明函》，详见</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文件第六章示范格式。</w:t>
      </w:r>
    </w:p>
    <w:p w14:paraId="3E3CF43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（3）残疾人福利单位标准请参照《关于促进残疾人就业政府采购政策的通知》（财库〔2017〕141号）。</w:t>
      </w:r>
    </w:p>
    <w:p w14:paraId="1CAAE89F">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（三）监狱和戒毒企业价格扣除</w:t>
      </w:r>
    </w:p>
    <w:p w14:paraId="1DFF094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（1）本项目对监狱和戒毒企业（简称监狱企业）视同小型、微型企业，给予20%的价格扣除，用扣除后的价格参与评审。</w:t>
      </w:r>
    </w:p>
    <w:p w14:paraId="19DD4FC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p>
    <w:p w14:paraId="7619284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（3）监狱企业标准请参照《关于政府采购支持监狱企业发展有关问题的通知》（财库[2014]68号）。</w:t>
      </w:r>
    </w:p>
    <w:p w14:paraId="49A0BC9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（四）对于同时属于小型、微型企业、残疾人福利单位、监狱企业的，不重复享受政策。</w:t>
      </w:r>
    </w:p>
    <w:p w14:paraId="2FC73C2E">
      <w:pPr>
        <w:spacing w:line="360" w:lineRule="auto"/>
        <w:ind w:firstLine="241" w:firstLineChars="100"/>
        <w:rPr>
          <w:rFonts w:hint="eastAsia" w:ascii="宋体" w:hAnsi="宋体" w:eastAsia="宋体" w:cs="Times New Roman"/>
          <w:b/>
          <w:bCs/>
          <w:color w:val="auto"/>
          <w:sz w:val="24"/>
          <w:highlight w:val="none"/>
        </w:rPr>
      </w:pPr>
      <w:r>
        <w:rPr>
          <w:rFonts w:hint="eastAsia" w:ascii="宋体" w:hAnsi="宋体" w:eastAsia="宋体" w:cs="宋体"/>
          <w:b/>
          <w:bCs/>
          <w:color w:val="auto"/>
          <w:sz w:val="24"/>
          <w:highlight w:val="none"/>
          <w:lang w:val="en-US" w:eastAsia="zh-CN"/>
        </w:rPr>
        <w:t>34.</w:t>
      </w:r>
      <w:r>
        <w:rPr>
          <w:rFonts w:hint="eastAsia" w:ascii="宋体" w:hAnsi="宋体" w:eastAsia="宋体" w:cs="Times New Roman"/>
          <w:b/>
          <w:bCs/>
          <w:color w:val="auto"/>
          <w:sz w:val="24"/>
          <w:highlight w:val="none"/>
        </w:rPr>
        <w:t>节能、环保政策</w:t>
      </w:r>
    </w:p>
    <w:p w14:paraId="686A40E4">
      <w:pPr>
        <w:pStyle w:val="83"/>
        <w:spacing w:line="360" w:lineRule="auto"/>
        <w:ind w:left="0"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7E10B4C0">
      <w:pPr>
        <w:pStyle w:val="83"/>
        <w:spacing w:line="360" w:lineRule="auto"/>
        <w:ind w:left="0" w:firstLine="480" w:firstLineChars="200"/>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34.</w:t>
      </w:r>
      <w:r>
        <w:rPr>
          <w:rFonts w:hint="eastAsia" w:ascii="宋体" w:hAnsi="宋体" w:eastAsia="宋体" w:cs="宋体"/>
          <w:color w:val="auto"/>
          <w:sz w:val="24"/>
          <w:szCs w:val="24"/>
          <w:highlight w:val="none"/>
          <w:lang w:val="en-US" w:eastAsia="zh-CN" w:bidi="ar-SA"/>
        </w:rPr>
        <w:t>1</w:t>
      </w:r>
      <w:r>
        <w:rPr>
          <w:rFonts w:ascii="宋体" w:hAnsi="宋体" w:eastAsia="宋体" w:cs="宋体"/>
          <w:color w:val="auto"/>
          <w:sz w:val="24"/>
          <w:szCs w:val="24"/>
          <w:highlight w:val="none"/>
          <w:lang w:val="en-US" w:eastAsia="zh-CN" w:bidi="ar-SA"/>
        </w:rPr>
        <w:t>节能产品</w:t>
      </w:r>
      <w:r>
        <w:rPr>
          <w:rFonts w:hint="eastAsia" w:ascii="宋体" w:hAnsi="宋体" w:eastAsia="宋体" w:cs="宋体"/>
          <w:color w:val="auto"/>
          <w:sz w:val="24"/>
          <w:szCs w:val="24"/>
          <w:highlight w:val="none"/>
          <w:lang w:val="en-US" w:eastAsia="zh-CN" w:bidi="ar-SA"/>
        </w:rPr>
        <w:t>（本项目不涉及）</w:t>
      </w:r>
    </w:p>
    <w:p w14:paraId="1C28431B">
      <w:pPr>
        <w:pStyle w:val="83"/>
        <w:spacing w:line="360" w:lineRule="auto"/>
        <w:ind w:left="0" w:firstLine="240" w:firstLineChars="10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本项目(</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rPr>
        <w:t>采购产品</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)被列入“节能产品品目清单”的，实行（优先采购</w:t>
      </w:r>
      <w:r>
        <w:rPr>
          <w:rFonts w:hint="eastAsia" w:ascii="宋体" w:hAnsi="宋体" w:eastAsia="宋体" w:cs="宋体"/>
          <w:color w:val="auto"/>
          <w:sz w:val="24"/>
          <w:szCs w:val="24"/>
          <w:highlight w:val="none"/>
          <w:lang w:val="en-US" w:eastAsia="zh-CN" w:bidi="ar-SA"/>
        </w:rPr>
        <w:t>/强制采购</w:t>
      </w:r>
      <w:r>
        <w:rPr>
          <w:rFonts w:ascii="宋体" w:hAnsi="宋体" w:eastAsia="宋体" w:cs="宋体"/>
          <w:color w:val="auto"/>
          <w:sz w:val="24"/>
          <w:szCs w:val="24"/>
          <w:highlight w:val="none"/>
          <w:lang w:val="en-US" w:eastAsia="zh-CN" w:bidi="ar-SA"/>
        </w:rPr>
        <w:t>）。</w:t>
      </w:r>
    </w:p>
    <w:p w14:paraId="67C233E5">
      <w:pPr>
        <w:pStyle w:val="83"/>
        <w:spacing w:line="360" w:lineRule="auto"/>
        <w:ind w:left="0" w:firstLine="480" w:firstLineChars="200"/>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34.</w:t>
      </w:r>
      <w:r>
        <w:rPr>
          <w:rFonts w:hint="eastAsia" w:ascii="宋体" w:hAnsi="宋体" w:eastAsia="宋体" w:cs="宋体"/>
          <w:color w:val="auto"/>
          <w:sz w:val="24"/>
          <w:szCs w:val="24"/>
          <w:highlight w:val="none"/>
          <w:lang w:val="en-US" w:eastAsia="zh-CN" w:bidi="ar-SA"/>
        </w:rPr>
        <w:t>2</w:t>
      </w:r>
      <w:r>
        <w:rPr>
          <w:rFonts w:ascii="宋体" w:hAnsi="宋体" w:eastAsia="宋体" w:cs="宋体"/>
          <w:color w:val="auto"/>
          <w:sz w:val="24"/>
          <w:szCs w:val="24"/>
          <w:highlight w:val="none"/>
          <w:lang w:val="en-US" w:eastAsia="zh-CN" w:bidi="ar-SA"/>
        </w:rPr>
        <w:t>环保产品</w:t>
      </w:r>
      <w:r>
        <w:rPr>
          <w:rFonts w:hint="eastAsia" w:ascii="宋体" w:hAnsi="宋体" w:eastAsia="宋体" w:cs="宋体"/>
          <w:color w:val="auto"/>
          <w:sz w:val="24"/>
          <w:szCs w:val="24"/>
          <w:highlight w:val="none"/>
          <w:lang w:val="en-US" w:eastAsia="zh-CN" w:bidi="ar-SA"/>
        </w:rPr>
        <w:t>（本项目不涉及）</w:t>
      </w:r>
    </w:p>
    <w:p w14:paraId="2472AF9D">
      <w:pPr>
        <w:pStyle w:val="83"/>
        <w:spacing w:line="360" w:lineRule="auto"/>
        <w:ind w:left="0" w:firstLine="240" w:firstLineChars="100"/>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本项目中(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采购产品</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)被列入“环境标志产品品目清单”的，实行优先采购。</w:t>
      </w:r>
    </w:p>
    <w:p w14:paraId="3BD0EE8E">
      <w:pPr>
        <w:pStyle w:val="83"/>
        <w:spacing w:line="360" w:lineRule="auto"/>
        <w:ind w:left="0" w:firstLine="480" w:firstLineChars="200"/>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34.</w:t>
      </w:r>
      <w:r>
        <w:rPr>
          <w:rFonts w:hint="eastAsia" w:ascii="宋体" w:hAnsi="宋体" w:eastAsia="宋体" w:cs="宋体"/>
          <w:color w:val="auto"/>
          <w:sz w:val="24"/>
          <w:szCs w:val="24"/>
          <w:highlight w:val="none"/>
          <w:lang w:val="en-US" w:eastAsia="zh-CN"/>
        </w:rPr>
        <w:t>3</w:t>
      </w:r>
      <w:r>
        <w:rPr>
          <w:rFonts w:ascii="宋体" w:hAnsi="宋体" w:eastAsia="宋体" w:cs="宋体"/>
          <w:color w:val="auto"/>
          <w:sz w:val="24"/>
          <w:szCs w:val="24"/>
          <w:highlight w:val="none"/>
        </w:rPr>
        <w:t>本项目中实行“强制采购”的，需提供国家市场监督管理总局确定的列入“参与实施政府采购节能产品认证机构名录”内的认证机构出具的、有效期内的该产品</w:t>
      </w:r>
      <w:r>
        <w:rPr>
          <w:rFonts w:hint="eastAsia" w:ascii="宋体" w:hAnsi="宋体" w:eastAsia="宋体" w:cs="宋体"/>
          <w:color w:val="auto"/>
          <w:sz w:val="24"/>
          <w:szCs w:val="24"/>
          <w:highlight w:val="none"/>
          <w:lang w:eastAsia="zh-CN"/>
        </w:rPr>
        <w:t>节能产品认证证书</w:t>
      </w:r>
      <w:r>
        <w:rPr>
          <w:rFonts w:ascii="宋体" w:hAnsi="宋体" w:eastAsia="宋体" w:cs="宋体"/>
          <w:color w:val="auto"/>
          <w:sz w:val="24"/>
          <w:szCs w:val="24"/>
          <w:highlight w:val="none"/>
        </w:rPr>
        <w:t>电子件，未提供的作无效投标处理；实行“优先采购”的，在评分标准的“政策导向”处参与加分（详见第三章评标标准）。</w:t>
      </w:r>
      <w:r>
        <w:rPr>
          <w:rFonts w:hint="eastAsia" w:ascii="宋体" w:hAnsi="宋体" w:eastAsia="宋体" w:cs="宋体"/>
          <w:color w:val="auto"/>
          <w:sz w:val="24"/>
          <w:szCs w:val="24"/>
          <w:highlight w:val="none"/>
          <w:lang w:eastAsia="zh-CN"/>
        </w:rPr>
        <w:t>（本项目不涉及）</w:t>
      </w:r>
    </w:p>
    <w:p w14:paraId="1DDC9F27">
      <w:pPr>
        <w:pStyle w:val="83"/>
        <w:spacing w:line="360" w:lineRule="auto"/>
        <w:ind w:left="0" w:firstLine="480" w:firstLineChars="200"/>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34.</w:t>
      </w: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E777CF4">
      <w:pPr>
        <w:pStyle w:val="83"/>
        <w:spacing w:line="360" w:lineRule="auto"/>
        <w:ind w:left="0" w:firstLine="241" w:firstLineChars="1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35．政府绿色采购 </w:t>
      </w:r>
    </w:p>
    <w:p w14:paraId="5309CAC5">
      <w:pPr>
        <w:pStyle w:val="83"/>
        <w:spacing w:line="360" w:lineRule="auto"/>
        <w:ind w:left="0" w:firstLine="480" w:firstLineChars="200"/>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根据《江苏省财政厅关于加强政府绿色采购有关事项的通知》（苏财购〔2023〕65号）的要求，落实政府绿色采购相关政策，具体如下：</w:t>
      </w:r>
    </w:p>
    <w:p w14:paraId="7474C01C">
      <w:pPr>
        <w:pStyle w:val="83"/>
        <w:spacing w:line="360" w:lineRule="auto"/>
        <w:ind w:left="0" w:firstLine="480" w:firstLineChars="200"/>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35.1本项目为货物类采购项目的，所提供的产品需综合考虑节能环保、节水、循环再生、低碳、有机等因素；本项目为物业、合同能源管理等服务类采购项目的，应在服务中加强绿色低碳管理。</w:t>
      </w:r>
    </w:p>
    <w:p w14:paraId="6282ABC2">
      <w:pPr>
        <w:pStyle w:val="83"/>
        <w:spacing w:line="360" w:lineRule="auto"/>
        <w:ind w:left="0" w:firstLine="480" w:firstLineChars="200"/>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35.2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4F593394">
      <w:pPr>
        <w:pStyle w:val="83"/>
        <w:spacing w:line="360" w:lineRule="auto"/>
        <w:ind w:left="0"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35.3本项目中涉及涂料、胶黏剂、油墨、清洗剂等挥发性有机物产品的，要执行国家和江苏省VOCs含量限制标准，优先使用低挥发性原辅材料，使用低VOCs含量的涂料、胶黏剂等。</w:t>
      </w:r>
    </w:p>
    <w:p w14:paraId="600F5546">
      <w:pPr>
        <w:spacing w:line="360" w:lineRule="auto"/>
        <w:ind w:firstLine="241" w:firstLineChars="100"/>
        <w:jc w:val="left"/>
        <w:rPr>
          <w:rFonts w:hint="eastAsia" w:ascii="宋体" w:hAnsi="宋体" w:cs="宋体"/>
          <w:b/>
          <w:bCs/>
          <w:color w:val="auto"/>
          <w:sz w:val="24"/>
          <w:highlight w:val="none"/>
        </w:rPr>
      </w:pPr>
      <w:r>
        <w:rPr>
          <w:rFonts w:hint="eastAsia" w:ascii="宋体" w:hAnsi="宋体" w:cs="宋体"/>
          <w:b/>
          <w:bCs/>
          <w:color w:val="auto"/>
          <w:sz w:val="24"/>
          <w:highlight w:val="none"/>
        </w:rPr>
        <w:t>36.政府采购履约资金扶持政策</w:t>
      </w:r>
    </w:p>
    <w:p w14:paraId="6DE14771">
      <w:pPr>
        <w:pStyle w:val="85"/>
        <w:spacing w:after="0" w:line="360" w:lineRule="auto"/>
        <w:ind w:left="0" w:firstLine="480"/>
        <w:jc w:val="left"/>
        <w:rPr>
          <w:rFonts w:hint="eastAsia" w:ascii="仿宋" w:hAnsi="仿宋" w:eastAsia="仿宋"/>
          <w:color w:val="auto"/>
          <w:sz w:val="28"/>
          <w:szCs w:val="28"/>
          <w:highlight w:val="none"/>
          <w:lang w:eastAsia="zh-CN"/>
        </w:rPr>
      </w:pP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供应商可凭政府采购合同办理融资贷款，详情请见江苏政府采购网“政采贷”专栏。</w:t>
      </w:r>
    </w:p>
    <w:p w14:paraId="25828AD7">
      <w:pPr>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37. 履约资金扶持政策</w:t>
      </w:r>
    </w:p>
    <w:p w14:paraId="28892B13">
      <w:pPr>
        <w:spacing w:line="360" w:lineRule="auto"/>
        <w:ind w:firstLine="513"/>
        <w:rPr>
          <w:rFonts w:hint="eastAsia" w:ascii="宋体" w:hAnsi="宋体" w:cs="宋体"/>
          <w:color w:val="auto"/>
          <w:sz w:val="24"/>
          <w:highlight w:val="none"/>
        </w:rPr>
      </w:pPr>
      <w:r>
        <w:rPr>
          <w:rFonts w:hint="eastAsia" w:ascii="宋体" w:hAnsi="宋体" w:cs="宋体"/>
          <w:color w:val="auto"/>
          <w:sz w:val="24"/>
          <w:highlight w:val="none"/>
        </w:rPr>
        <w:t>37.1政府采购合同信用融资是为支持中小企业发展，缓解中小企业融资难题推出的一项融资服务举措，</w:t>
      </w:r>
      <w:r>
        <w:rPr>
          <w:rFonts w:hint="eastAsia" w:ascii="宋体" w:hAnsi="宋体" w:cs="宋体"/>
          <w:color w:val="auto"/>
          <w:sz w:val="24"/>
          <w:highlight w:val="none"/>
          <w:lang w:val="en-US" w:eastAsia="zh-CN"/>
        </w:rPr>
        <w:t>成交供应商</w:t>
      </w:r>
      <w:r>
        <w:rPr>
          <w:rFonts w:hint="eastAsia" w:ascii="宋体" w:hAnsi="宋体" w:cs="宋体"/>
          <w:color w:val="auto"/>
          <w:sz w:val="24"/>
          <w:highlight w:val="none"/>
        </w:rPr>
        <w:t>可凭政府采购合同办理融资贷款。该贷款无需抵押、担保，按照双方自愿的原则提供便捷、优惠的贷款服务。详情请见江苏政府采购网“政采贷”专栏。</w:t>
      </w:r>
    </w:p>
    <w:p w14:paraId="1DE7E6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37.2有融资贷款需求的</w:t>
      </w:r>
      <w:r>
        <w:rPr>
          <w:rFonts w:hint="eastAsia" w:ascii="宋体" w:hAnsi="宋体" w:cs="宋体"/>
          <w:color w:val="auto"/>
          <w:sz w:val="24"/>
          <w:highlight w:val="none"/>
          <w:lang w:val="en-US" w:eastAsia="zh-CN"/>
        </w:rPr>
        <w:t>成交供应商</w:t>
      </w:r>
      <w:r>
        <w:rPr>
          <w:rFonts w:hint="eastAsia" w:ascii="宋体" w:hAnsi="宋体" w:cs="宋体"/>
          <w:color w:val="auto"/>
          <w:sz w:val="24"/>
          <w:highlight w:val="none"/>
        </w:rPr>
        <w:t>，与采购人在苏采云【合同在线签订】模块中进行合同在线签订时，【账户信息完善】的“是否融资”一栏中需选择“是”，同时完善收款账号信息和合同补充协议（融资账号）。</w:t>
      </w:r>
    </w:p>
    <w:p w14:paraId="5EA409E0">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38.</w:t>
      </w:r>
      <w:r>
        <w:rPr>
          <w:rFonts w:hint="eastAsia" w:ascii="宋体" w:hAnsi="宋体" w:cs="宋体"/>
          <w:b/>
          <w:bCs/>
          <w:color w:val="auto"/>
          <w:sz w:val="24"/>
          <w:highlight w:val="none"/>
        </w:rPr>
        <w:t>采购本国产品的支持政策</w:t>
      </w:r>
    </w:p>
    <w:p w14:paraId="426A3632">
      <w:pPr>
        <w:pStyle w:val="46"/>
        <w:keepNext w:val="0"/>
        <w:keepLines w:val="0"/>
        <w:widowControl/>
        <w:suppressLineNumbers w:val="0"/>
        <w:spacing w:before="0" w:beforeAutospacing="0" w:after="0" w:afterAutospacing="0" w:line="360" w:lineRule="auto"/>
        <w:ind w:left="0" w:right="0" w:firstLine="468"/>
        <w:jc w:val="both"/>
        <w:rPr>
          <w:rFonts w:hint="eastAsia" w:ascii="宋体" w:hAnsi="宋体" w:eastAsia="宋体" w:cs="宋体"/>
          <w:bCs/>
          <w:color w:val="auto"/>
          <w:highlight w:val="none"/>
          <w:lang w:val="en-US"/>
        </w:rPr>
      </w:pPr>
      <w:r>
        <w:rPr>
          <w:rFonts w:hint="eastAsia" w:ascii="宋体" w:hAnsi="宋体" w:eastAsia="宋体" w:cs="宋体"/>
          <w:bCs/>
          <w:color w:val="auto"/>
          <w:sz w:val="24"/>
          <w:szCs w:val="24"/>
          <w:highlight w:val="none"/>
          <w:lang w:val="en-US" w:eastAsia="zh-CN" w:bidi="ar"/>
        </w:rPr>
        <w:t>3</w:t>
      </w:r>
      <w:r>
        <w:rPr>
          <w:rFonts w:hint="eastAsia" w:ascii="宋体" w:hAnsi="宋体" w:cs="宋体"/>
          <w:bCs/>
          <w:color w:val="auto"/>
          <w:sz w:val="24"/>
          <w:szCs w:val="24"/>
          <w:highlight w:val="none"/>
          <w:lang w:val="en-US" w:eastAsia="zh-CN" w:bidi="ar"/>
        </w:rPr>
        <w:t>8</w:t>
      </w:r>
      <w:r>
        <w:rPr>
          <w:rFonts w:hint="eastAsia" w:ascii="宋体" w:hAnsi="宋体" w:eastAsia="宋体" w:cs="宋体"/>
          <w:bCs/>
          <w:color w:val="auto"/>
          <w:sz w:val="24"/>
          <w:szCs w:val="24"/>
          <w:highlight w:val="none"/>
          <w:lang w:val="en-US" w:eastAsia="zh-CN" w:bidi="ar"/>
        </w:rPr>
        <w:t>.1本项目政府采购活动中既有本国产品又有非本国产品参与竞争的，依法对本国产品给予价格评审优惠，对本国产品的报价给予20%的价格扣除，用扣除后的价格参与评审。</w:t>
      </w:r>
    </w:p>
    <w:p w14:paraId="1FB45F8E">
      <w:pPr>
        <w:pStyle w:val="46"/>
        <w:keepNext w:val="0"/>
        <w:keepLines w:val="0"/>
        <w:widowControl/>
        <w:suppressLineNumbers w:val="0"/>
        <w:spacing w:before="0" w:beforeAutospacing="0" w:after="0" w:afterAutospacing="0" w:line="360" w:lineRule="auto"/>
        <w:ind w:left="0" w:right="0" w:firstLine="468"/>
        <w:jc w:val="both"/>
        <w:rPr>
          <w:rFonts w:hint="eastAsia" w:ascii="宋体" w:hAnsi="宋体" w:eastAsia="宋体" w:cs="宋体"/>
          <w:b/>
          <w:bCs w:val="0"/>
          <w:color w:val="auto"/>
          <w:highlight w:val="none"/>
          <w:lang w:val="en-US"/>
        </w:rPr>
      </w:pPr>
      <w:r>
        <w:rPr>
          <w:rFonts w:hint="eastAsia" w:ascii="宋体" w:hAnsi="宋体" w:eastAsia="宋体" w:cs="宋体"/>
          <w:bCs/>
          <w:color w:val="auto"/>
          <w:sz w:val="24"/>
          <w:szCs w:val="24"/>
          <w:highlight w:val="none"/>
          <w:lang w:val="en-US" w:eastAsia="zh-CN" w:bidi="ar"/>
        </w:rPr>
        <w:t>3</w:t>
      </w:r>
      <w:r>
        <w:rPr>
          <w:rFonts w:hint="eastAsia" w:ascii="宋体" w:hAnsi="宋体" w:cs="宋体"/>
          <w:bCs/>
          <w:color w:val="auto"/>
          <w:sz w:val="24"/>
          <w:szCs w:val="24"/>
          <w:highlight w:val="none"/>
          <w:lang w:val="en-US" w:eastAsia="zh-CN" w:bidi="ar"/>
        </w:rPr>
        <w:t>8</w:t>
      </w:r>
      <w:r>
        <w:rPr>
          <w:rFonts w:hint="eastAsia" w:ascii="宋体" w:hAnsi="宋体" w:eastAsia="宋体" w:cs="宋体"/>
          <w:bCs/>
          <w:color w:val="auto"/>
          <w:sz w:val="24"/>
          <w:szCs w:val="24"/>
          <w:highlight w:val="none"/>
          <w:lang w:val="en-US" w:eastAsia="zh-CN" w:bidi="ar"/>
        </w:rPr>
        <w:t>.2 当采购项目或者采购包中含有多种产品，</w:t>
      </w:r>
      <w:r>
        <w:rPr>
          <w:rFonts w:hint="eastAsia" w:ascii="宋体" w:hAnsi="宋体" w:cs="宋体"/>
          <w:bCs/>
          <w:color w:val="auto"/>
          <w:sz w:val="24"/>
          <w:szCs w:val="24"/>
          <w:highlight w:val="none"/>
          <w:lang w:val="en-US" w:eastAsia="zh-CN" w:bidi="ar"/>
        </w:rPr>
        <w:t>供应商</w:t>
      </w:r>
      <w:r>
        <w:rPr>
          <w:rFonts w:hint="eastAsia" w:ascii="宋体" w:hAnsi="宋体" w:eastAsia="宋体" w:cs="宋体"/>
          <w:bCs/>
          <w:color w:val="auto"/>
          <w:sz w:val="24"/>
          <w:szCs w:val="24"/>
          <w:highlight w:val="none"/>
          <w:lang w:val="en-US" w:eastAsia="zh-CN" w:bidi="ar"/>
        </w:rPr>
        <w:t>为该采购项目或者采购包提供的符合本国产品标准的产品成本之和占该</w:t>
      </w:r>
      <w:r>
        <w:rPr>
          <w:rFonts w:hint="eastAsia" w:ascii="宋体" w:hAnsi="宋体" w:cs="宋体"/>
          <w:bCs/>
          <w:color w:val="auto"/>
          <w:sz w:val="24"/>
          <w:szCs w:val="24"/>
          <w:highlight w:val="none"/>
          <w:lang w:val="en-US" w:eastAsia="zh-CN" w:bidi="ar"/>
        </w:rPr>
        <w:t>供应商</w:t>
      </w:r>
      <w:r>
        <w:rPr>
          <w:rFonts w:hint="eastAsia" w:ascii="宋体" w:hAnsi="宋体" w:eastAsia="宋体" w:cs="宋体"/>
          <w:bCs/>
          <w:color w:val="auto"/>
          <w:sz w:val="24"/>
          <w:szCs w:val="24"/>
          <w:highlight w:val="none"/>
          <w:lang w:val="en-US" w:eastAsia="zh-CN" w:bidi="ar"/>
        </w:rPr>
        <w:t>提供的全部产品成本之和的比例达到80%以上时（</w:t>
      </w:r>
      <w:r>
        <w:rPr>
          <w:rFonts w:hint="eastAsia" w:ascii="宋体" w:hAnsi="宋体" w:cs="宋体"/>
          <w:bCs/>
          <w:color w:val="auto"/>
          <w:sz w:val="24"/>
          <w:szCs w:val="24"/>
          <w:highlight w:val="none"/>
          <w:lang w:val="en-US" w:eastAsia="zh-CN" w:bidi="ar"/>
        </w:rPr>
        <w:t>供应商</w:t>
      </w:r>
      <w:r>
        <w:rPr>
          <w:rFonts w:hint="eastAsia" w:ascii="宋体" w:hAnsi="宋体" w:eastAsia="宋体" w:cs="宋体"/>
          <w:bCs/>
          <w:color w:val="auto"/>
          <w:sz w:val="24"/>
          <w:szCs w:val="24"/>
          <w:highlight w:val="none"/>
          <w:lang w:val="en-US" w:eastAsia="zh-CN" w:bidi="ar"/>
        </w:rPr>
        <w:t>需在“第六章 投标文件格式”的“投标报价明细表”中填写比例数值），依法对该</w:t>
      </w:r>
      <w:r>
        <w:rPr>
          <w:rFonts w:hint="eastAsia" w:ascii="宋体" w:hAnsi="宋体" w:cs="宋体"/>
          <w:bCs/>
          <w:color w:val="auto"/>
          <w:sz w:val="24"/>
          <w:szCs w:val="24"/>
          <w:highlight w:val="none"/>
          <w:lang w:val="en-US" w:eastAsia="zh-CN" w:bidi="ar"/>
        </w:rPr>
        <w:t>供应商</w:t>
      </w:r>
      <w:r>
        <w:rPr>
          <w:rFonts w:hint="eastAsia" w:ascii="宋体" w:hAnsi="宋体" w:eastAsia="宋体" w:cs="宋体"/>
          <w:bCs/>
          <w:color w:val="auto"/>
          <w:sz w:val="24"/>
          <w:szCs w:val="24"/>
          <w:highlight w:val="none"/>
          <w:lang w:val="en-US" w:eastAsia="zh-CN" w:bidi="ar"/>
        </w:rPr>
        <w:t>提供的全部产品给予价格评审优惠，即对该</w:t>
      </w:r>
      <w:r>
        <w:rPr>
          <w:rFonts w:hint="eastAsia" w:ascii="宋体" w:hAnsi="宋体" w:cs="宋体"/>
          <w:bCs/>
          <w:color w:val="auto"/>
          <w:sz w:val="24"/>
          <w:szCs w:val="24"/>
          <w:highlight w:val="none"/>
          <w:lang w:val="en-US" w:eastAsia="zh-CN" w:bidi="ar"/>
        </w:rPr>
        <w:t>供应商</w:t>
      </w:r>
      <w:r>
        <w:rPr>
          <w:rFonts w:hint="eastAsia" w:ascii="宋体" w:hAnsi="宋体" w:eastAsia="宋体" w:cs="宋体"/>
          <w:bCs/>
          <w:color w:val="auto"/>
          <w:sz w:val="24"/>
          <w:szCs w:val="24"/>
          <w:highlight w:val="none"/>
          <w:lang w:val="en-US" w:eastAsia="zh-CN" w:bidi="ar"/>
        </w:rPr>
        <w:t>提供的全部产品的总报价给予20%的价格扣除，用扣除后的价格参与评审。</w:t>
      </w:r>
      <w:r>
        <w:rPr>
          <w:rFonts w:hint="eastAsia" w:ascii="宋体" w:hAnsi="宋体" w:cs="宋体"/>
          <w:b/>
          <w:bCs w:val="0"/>
          <w:color w:val="auto"/>
          <w:sz w:val="24"/>
          <w:szCs w:val="24"/>
          <w:highlight w:val="none"/>
          <w:lang w:val="en-US" w:eastAsia="zh-CN" w:bidi="ar"/>
        </w:rPr>
        <w:t>供应商</w:t>
      </w:r>
      <w:r>
        <w:rPr>
          <w:rFonts w:hint="eastAsia" w:ascii="宋体" w:hAnsi="宋体" w:eastAsia="宋体" w:cs="宋体"/>
          <w:b/>
          <w:bCs w:val="0"/>
          <w:color w:val="auto"/>
          <w:sz w:val="24"/>
          <w:szCs w:val="24"/>
          <w:highlight w:val="none"/>
          <w:lang w:val="en-US" w:eastAsia="zh-CN" w:bidi="ar"/>
        </w:rPr>
        <w:t>未填写比例数值，或比例数值未达到80%的，将不享受本国产品价格评审优惠。</w:t>
      </w:r>
    </w:p>
    <w:p w14:paraId="2818B638">
      <w:pPr>
        <w:pStyle w:val="46"/>
        <w:keepNext w:val="0"/>
        <w:keepLines w:val="0"/>
        <w:widowControl/>
        <w:suppressLineNumbers w:val="0"/>
        <w:spacing w:before="0" w:beforeAutospacing="0" w:after="0" w:afterAutospacing="0" w:line="360" w:lineRule="auto"/>
        <w:ind w:left="0" w:right="0" w:firstLine="480"/>
        <w:jc w:val="both"/>
        <w:rPr>
          <w:rFonts w:hint="eastAsia" w:ascii="宋体" w:hAnsi="宋体" w:eastAsia="宋体" w:cs="宋体"/>
          <w:b/>
          <w:bCs w:val="0"/>
          <w:color w:val="auto"/>
          <w:highlight w:val="none"/>
          <w:lang w:val="en-US"/>
        </w:rPr>
      </w:pPr>
      <w:r>
        <w:rPr>
          <w:rFonts w:hint="eastAsia" w:ascii="宋体" w:hAnsi="宋体" w:eastAsia="宋体" w:cs="宋体"/>
          <w:bCs/>
          <w:color w:val="auto"/>
          <w:sz w:val="24"/>
          <w:szCs w:val="24"/>
          <w:highlight w:val="none"/>
          <w:lang w:val="en-US" w:eastAsia="zh-CN" w:bidi="ar"/>
        </w:rPr>
        <w:t>3</w:t>
      </w:r>
      <w:r>
        <w:rPr>
          <w:rFonts w:hint="eastAsia" w:ascii="宋体" w:hAnsi="宋体" w:cs="宋体"/>
          <w:bCs/>
          <w:color w:val="auto"/>
          <w:sz w:val="24"/>
          <w:szCs w:val="24"/>
          <w:highlight w:val="none"/>
          <w:lang w:val="en-US" w:eastAsia="zh-CN" w:bidi="ar"/>
        </w:rPr>
        <w:t>8</w:t>
      </w:r>
      <w:r>
        <w:rPr>
          <w:rFonts w:hint="eastAsia" w:ascii="宋体" w:hAnsi="宋体" w:eastAsia="宋体" w:cs="宋体"/>
          <w:bCs/>
          <w:color w:val="auto"/>
          <w:sz w:val="24"/>
          <w:szCs w:val="24"/>
          <w:highlight w:val="none"/>
          <w:lang w:val="en-US" w:eastAsia="zh-CN" w:bidi="ar"/>
        </w:rPr>
        <w:t xml:space="preserve">.3 </w:t>
      </w:r>
      <w:r>
        <w:rPr>
          <w:rFonts w:hint="eastAsia" w:ascii="宋体" w:hAnsi="宋体" w:eastAsia="宋体" w:cs="宋体"/>
          <w:b/>
          <w:bCs w:val="0"/>
          <w:color w:val="auto"/>
          <w:sz w:val="24"/>
          <w:szCs w:val="24"/>
          <w:highlight w:val="none"/>
          <w:lang w:val="en-US" w:eastAsia="zh-CN" w:bidi="ar"/>
        </w:rPr>
        <w:t>供应商需按照</w:t>
      </w:r>
      <w:r>
        <w:rPr>
          <w:rFonts w:hint="eastAsia" w:ascii="宋体" w:hAnsi="宋体" w:cs="宋体"/>
          <w:b/>
          <w:bCs w:val="0"/>
          <w:color w:val="auto"/>
          <w:sz w:val="24"/>
          <w:szCs w:val="24"/>
          <w:highlight w:val="none"/>
          <w:lang w:val="en-US" w:eastAsia="zh-CN" w:bidi="ar"/>
        </w:rPr>
        <w:t>谈判</w:t>
      </w:r>
      <w:r>
        <w:rPr>
          <w:rFonts w:hint="eastAsia" w:ascii="宋体" w:hAnsi="宋体" w:eastAsia="宋体" w:cs="宋体"/>
          <w:b/>
          <w:bCs w:val="0"/>
          <w:color w:val="auto"/>
          <w:sz w:val="24"/>
          <w:szCs w:val="24"/>
          <w:highlight w:val="none"/>
          <w:lang w:val="en-US" w:eastAsia="zh-CN" w:bidi="ar"/>
        </w:rPr>
        <w:t>文件的要求提供《关于符合本国产品标准的声明函》（以下简称《声明函》，详见第六章“示范格式六”），如不提供将不享受本国产品价格评审优惠。</w:t>
      </w:r>
    </w:p>
    <w:p w14:paraId="26194A78">
      <w:pPr>
        <w:pStyle w:val="46"/>
        <w:keepNext w:val="0"/>
        <w:keepLines w:val="0"/>
        <w:widowControl/>
        <w:suppressLineNumbers w:val="0"/>
        <w:spacing w:before="0" w:beforeAutospacing="0" w:after="0" w:afterAutospacing="0" w:line="360" w:lineRule="auto"/>
        <w:ind w:left="0" w:right="0" w:firstLine="480"/>
        <w:jc w:val="both"/>
        <w:rPr>
          <w:rFonts w:hint="eastAsia" w:ascii="宋体" w:hAnsi="宋体" w:eastAsia="宋体" w:cs="宋体"/>
          <w:bCs/>
          <w:color w:val="auto"/>
          <w:highlight w:val="none"/>
          <w:lang w:val="en-US"/>
        </w:rPr>
      </w:pPr>
      <w:r>
        <w:rPr>
          <w:rFonts w:hint="eastAsia" w:ascii="宋体" w:hAnsi="宋体" w:eastAsia="宋体" w:cs="宋体"/>
          <w:bCs/>
          <w:color w:val="auto"/>
          <w:sz w:val="24"/>
          <w:szCs w:val="24"/>
          <w:highlight w:val="none"/>
          <w:lang w:val="en-US" w:eastAsia="zh-CN" w:bidi="ar"/>
        </w:rPr>
        <w:t>3</w:t>
      </w:r>
      <w:r>
        <w:rPr>
          <w:rFonts w:hint="eastAsia" w:ascii="宋体" w:hAnsi="宋体" w:cs="宋体"/>
          <w:bCs/>
          <w:color w:val="auto"/>
          <w:sz w:val="24"/>
          <w:szCs w:val="24"/>
          <w:highlight w:val="none"/>
          <w:lang w:val="en-US" w:eastAsia="zh-CN" w:bidi="ar"/>
        </w:rPr>
        <w:t>8</w:t>
      </w:r>
      <w:r>
        <w:rPr>
          <w:rFonts w:hint="eastAsia" w:ascii="宋体" w:hAnsi="宋体" w:eastAsia="宋体" w:cs="宋体"/>
          <w:bCs/>
          <w:color w:val="auto"/>
          <w:sz w:val="24"/>
          <w:szCs w:val="24"/>
          <w:highlight w:val="none"/>
          <w:lang w:val="en-US" w:eastAsia="zh-CN" w:bidi="ar"/>
        </w:rPr>
        <w:t xml:space="preserve">.4 </w:t>
      </w:r>
      <w:r>
        <w:rPr>
          <w:rFonts w:hint="eastAsia" w:ascii="宋体" w:hAnsi="宋体" w:eastAsia="宋体" w:cs="宋体"/>
          <w:b/>
          <w:bCs w:val="0"/>
          <w:color w:val="auto"/>
          <w:sz w:val="24"/>
          <w:szCs w:val="24"/>
          <w:highlight w:val="none"/>
          <w:lang w:val="en-US" w:eastAsia="zh-CN" w:bidi="ar"/>
        </w:rPr>
        <w:t>供应商</w:t>
      </w:r>
      <w:r>
        <w:rPr>
          <w:rFonts w:hint="eastAsia" w:ascii="宋体" w:hAnsi="宋体" w:eastAsia="宋体" w:cs="宋体"/>
          <w:bCs/>
          <w:color w:val="auto"/>
          <w:sz w:val="24"/>
          <w:szCs w:val="24"/>
          <w:highlight w:val="none"/>
          <w:lang w:val="en-US" w:eastAsia="zh-CN" w:bidi="ar"/>
        </w:rPr>
        <w:t>需在《声明函》中逐一、准确填写产品名称、厂名、生产厂址三项信息，三项信息中任意一项未填写的视为该项产品不符合本国产品标准，不享受本国产品价格评审优惠。</w:t>
      </w:r>
    </w:p>
    <w:p w14:paraId="1AEDC3ED">
      <w:pPr>
        <w:pStyle w:val="46"/>
        <w:keepNext w:val="0"/>
        <w:keepLines w:val="0"/>
        <w:widowControl/>
        <w:suppressLineNumbers w:val="0"/>
        <w:spacing w:before="0" w:beforeAutospacing="0" w:after="0" w:afterAutospacing="0" w:line="360" w:lineRule="auto"/>
        <w:ind w:left="0" w:right="0" w:firstLine="480"/>
        <w:jc w:val="both"/>
        <w:rPr>
          <w:rFonts w:hint="eastAsia" w:ascii="宋体" w:hAnsi="宋体" w:eastAsia="宋体" w:cs="宋体"/>
          <w:bCs/>
          <w:color w:val="auto"/>
          <w:highlight w:val="none"/>
          <w:lang w:val="en-US"/>
        </w:rPr>
      </w:pPr>
      <w:r>
        <w:rPr>
          <w:rFonts w:hint="eastAsia" w:ascii="宋体" w:hAnsi="宋体" w:eastAsia="宋体" w:cs="宋体"/>
          <w:bCs/>
          <w:color w:val="auto"/>
          <w:sz w:val="24"/>
          <w:szCs w:val="24"/>
          <w:highlight w:val="none"/>
          <w:lang w:val="en-US" w:eastAsia="zh-CN" w:bidi="ar"/>
        </w:rPr>
        <w:t>3</w:t>
      </w:r>
      <w:r>
        <w:rPr>
          <w:rFonts w:hint="eastAsia" w:ascii="宋体" w:hAnsi="宋体" w:cs="宋体"/>
          <w:bCs/>
          <w:color w:val="auto"/>
          <w:sz w:val="24"/>
          <w:szCs w:val="24"/>
          <w:highlight w:val="none"/>
          <w:lang w:val="en-US" w:eastAsia="zh-CN" w:bidi="ar"/>
        </w:rPr>
        <w:t>8</w:t>
      </w:r>
      <w:r>
        <w:rPr>
          <w:rFonts w:hint="eastAsia" w:ascii="宋体" w:hAnsi="宋体" w:eastAsia="宋体" w:cs="宋体"/>
          <w:bCs/>
          <w:color w:val="auto"/>
          <w:sz w:val="24"/>
          <w:szCs w:val="24"/>
          <w:highlight w:val="none"/>
          <w:lang w:val="en-US" w:eastAsia="zh-CN" w:bidi="ar"/>
        </w:rPr>
        <w:t>.5 评标过程中，如发现供应商在《声明函》内容含义不明确、同类事项与投标（响应）文件表述不一致或者有明显文字错误等情况的，评标委员会应当以书面形式要求</w:t>
      </w:r>
      <w:r>
        <w:rPr>
          <w:rFonts w:hint="eastAsia" w:ascii="宋体" w:hAnsi="宋体" w:cs="宋体"/>
          <w:bCs/>
          <w:color w:val="auto"/>
          <w:sz w:val="24"/>
          <w:szCs w:val="24"/>
          <w:highlight w:val="none"/>
          <w:lang w:val="en-US" w:eastAsia="zh-CN" w:bidi="ar"/>
        </w:rPr>
        <w:t>供应商</w:t>
      </w:r>
      <w:r>
        <w:rPr>
          <w:rFonts w:hint="eastAsia" w:ascii="宋体" w:hAnsi="宋体" w:eastAsia="宋体" w:cs="宋体"/>
          <w:bCs/>
          <w:color w:val="auto"/>
          <w:sz w:val="24"/>
          <w:szCs w:val="24"/>
          <w:highlight w:val="none"/>
          <w:lang w:val="en-US" w:eastAsia="zh-CN" w:bidi="ar"/>
        </w:rPr>
        <w:t>作出必要的澄清、说明或者补正。经澄清、说明或者补正的《声明函》仍然不符合《国务院办公厅关于在政府采购中实施本国产品标准及相关政策的通知》（国办发〔2025〕34号）和</w:t>
      </w:r>
      <w:r>
        <w:rPr>
          <w:rFonts w:hint="eastAsia" w:ascii="宋体" w:hAnsi="宋体" w:cs="宋体"/>
          <w:bCs/>
          <w:color w:val="auto"/>
          <w:sz w:val="24"/>
          <w:szCs w:val="24"/>
          <w:highlight w:val="none"/>
          <w:lang w:val="en-US" w:eastAsia="zh-CN" w:bidi="ar"/>
        </w:rPr>
        <w:t>谈判</w:t>
      </w:r>
      <w:r>
        <w:rPr>
          <w:rFonts w:hint="eastAsia" w:ascii="宋体" w:hAnsi="宋体" w:eastAsia="宋体" w:cs="宋体"/>
          <w:bCs/>
          <w:color w:val="auto"/>
          <w:sz w:val="24"/>
          <w:szCs w:val="24"/>
          <w:highlight w:val="none"/>
          <w:lang w:val="en-US" w:eastAsia="zh-CN" w:bidi="ar"/>
        </w:rPr>
        <w:t>文件规定的，</w:t>
      </w:r>
      <w:r>
        <w:rPr>
          <w:rFonts w:hint="eastAsia" w:ascii="宋体" w:hAnsi="宋体" w:cs="宋体"/>
          <w:bCs/>
          <w:color w:val="auto"/>
          <w:sz w:val="24"/>
          <w:szCs w:val="24"/>
          <w:highlight w:val="none"/>
          <w:lang w:val="en-US" w:eastAsia="zh-CN" w:bidi="ar"/>
        </w:rPr>
        <w:t>供应商</w:t>
      </w:r>
      <w:r>
        <w:rPr>
          <w:rFonts w:hint="eastAsia" w:ascii="宋体" w:hAnsi="宋体" w:eastAsia="宋体" w:cs="宋体"/>
          <w:bCs/>
          <w:color w:val="auto"/>
          <w:sz w:val="24"/>
          <w:szCs w:val="24"/>
          <w:highlight w:val="none"/>
          <w:lang w:val="en-US" w:eastAsia="zh-CN" w:bidi="ar"/>
        </w:rPr>
        <w:t>提供的相关产品视为不符合本国产品标准。</w:t>
      </w:r>
    </w:p>
    <w:p w14:paraId="33FD9FE3">
      <w:pPr>
        <w:pStyle w:val="46"/>
        <w:keepNext w:val="0"/>
        <w:keepLines w:val="0"/>
        <w:widowControl/>
        <w:suppressLineNumbers w:val="0"/>
        <w:spacing w:before="0" w:beforeAutospacing="0" w:after="0" w:afterAutospacing="0" w:line="360" w:lineRule="auto"/>
        <w:ind w:left="0" w:right="0" w:firstLine="200"/>
        <w:jc w:val="both"/>
        <w:rPr>
          <w:rFonts w:hint="eastAsia" w:ascii="宋体" w:hAnsi="宋体" w:eastAsia="宋体" w:cs="宋体"/>
          <w:bCs/>
          <w:color w:val="auto"/>
          <w:highlight w:val="none"/>
          <w:lang w:val="en-US"/>
        </w:rPr>
      </w:pPr>
      <w:r>
        <w:rPr>
          <w:rFonts w:hint="eastAsia" w:ascii="宋体" w:hAnsi="宋体" w:eastAsia="宋体" w:cs="宋体"/>
          <w:bCs/>
          <w:color w:val="auto"/>
          <w:sz w:val="24"/>
          <w:szCs w:val="24"/>
          <w:highlight w:val="none"/>
          <w:lang w:val="en-US" w:eastAsia="zh-CN" w:bidi="ar"/>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FD018CA">
      <w:pPr>
        <w:spacing w:line="360" w:lineRule="auto"/>
        <w:ind w:firstLine="482"/>
        <w:rPr>
          <w:rFonts w:hint="eastAsia" w:ascii="宋体" w:hAnsi="宋体"/>
          <w:b/>
          <w:color w:val="auto"/>
          <w:sz w:val="24"/>
          <w:highlight w:val="none"/>
        </w:rPr>
      </w:pPr>
      <w:r>
        <w:rPr>
          <w:rFonts w:hint="eastAsia" w:ascii="宋体" w:hAnsi="宋体"/>
          <w:b/>
          <w:color w:val="auto"/>
          <w:sz w:val="24"/>
          <w:highlight w:val="none"/>
          <w:lang w:val="en-US" w:eastAsia="zh-CN"/>
        </w:rPr>
        <w:t>39.</w:t>
      </w:r>
      <w:r>
        <w:rPr>
          <w:rFonts w:hint="eastAsia" w:ascii="宋体" w:hAnsi="宋体"/>
          <w:b/>
          <w:color w:val="auto"/>
          <w:sz w:val="24"/>
          <w:highlight w:val="none"/>
        </w:rPr>
        <w:t>异常低价投标审查</w:t>
      </w:r>
    </w:p>
    <w:p w14:paraId="6F48EB43">
      <w:pPr>
        <w:pStyle w:val="46"/>
        <w:keepNext w:val="0"/>
        <w:keepLines w:val="0"/>
        <w:widowControl/>
        <w:suppressLineNumbers w:val="0"/>
        <w:spacing w:before="0" w:beforeAutospacing="0" w:after="0" w:afterAutospacing="0" w:line="360" w:lineRule="auto"/>
        <w:ind w:left="0" w:right="0" w:firstLine="200"/>
        <w:jc w:val="both"/>
        <w:rPr>
          <w:rFonts w:hint="eastAsia" w:ascii="宋体" w:hAnsi="宋体" w:eastAsia="宋体" w:cs="宋体"/>
          <w:bCs/>
          <w:color w:val="auto"/>
          <w:highlight w:val="none"/>
          <w:lang w:val="en-US"/>
        </w:rPr>
      </w:pPr>
      <w:r>
        <w:rPr>
          <w:rFonts w:hint="eastAsia" w:ascii="宋体" w:hAnsi="宋体" w:eastAsia="宋体" w:cs="宋体"/>
          <w:bCs/>
          <w:color w:val="auto"/>
          <w:sz w:val="24"/>
          <w:szCs w:val="24"/>
          <w:highlight w:val="none"/>
          <w:lang w:val="en-US" w:eastAsia="zh-CN" w:bidi="ar"/>
        </w:rPr>
        <w:t>1.投标(响应)报价低于全部通过符合性审查供应商投标(响应)报价平均值50%的，即投标(响应)报价&lt;全部通过符合性审查供应商投标(响应)报价平均值x50%;</w:t>
      </w:r>
    </w:p>
    <w:p w14:paraId="7062FBF5">
      <w:pPr>
        <w:pStyle w:val="46"/>
        <w:keepNext w:val="0"/>
        <w:keepLines w:val="0"/>
        <w:widowControl/>
        <w:suppressLineNumbers w:val="0"/>
        <w:spacing w:before="0" w:beforeAutospacing="0" w:after="0" w:afterAutospacing="0" w:line="360" w:lineRule="auto"/>
        <w:ind w:left="0" w:right="0" w:firstLine="200"/>
        <w:jc w:val="both"/>
        <w:rPr>
          <w:rFonts w:hint="eastAsia" w:ascii="宋体" w:hAnsi="宋体" w:eastAsia="宋体" w:cs="宋体"/>
          <w:bCs/>
          <w:color w:val="auto"/>
          <w:highlight w:val="none"/>
          <w:lang w:val="en-US"/>
        </w:rPr>
      </w:pPr>
      <w:r>
        <w:rPr>
          <w:rFonts w:hint="eastAsia" w:ascii="宋体" w:hAnsi="宋体" w:eastAsia="宋体" w:cs="宋体"/>
          <w:bCs/>
          <w:color w:val="auto"/>
          <w:sz w:val="24"/>
          <w:szCs w:val="24"/>
          <w:highlight w:val="none"/>
          <w:lang w:val="en-US" w:eastAsia="zh-CN" w:bidi="ar"/>
        </w:rPr>
        <w:t>2.投标(响应)报价低于通过符合性审查的次低报价供应商投标(响应)报价50%的，即投标(响应)报价&lt;通过符合性审查的次低报价供应商投标(响应)报价X50%;</w:t>
      </w:r>
    </w:p>
    <w:p w14:paraId="794396F5">
      <w:pPr>
        <w:pStyle w:val="46"/>
        <w:keepNext w:val="0"/>
        <w:keepLines w:val="0"/>
        <w:widowControl/>
        <w:suppressLineNumbers w:val="0"/>
        <w:spacing w:before="0" w:beforeAutospacing="0" w:after="0" w:afterAutospacing="0" w:line="360" w:lineRule="auto"/>
        <w:ind w:left="0" w:right="0" w:firstLine="200"/>
        <w:jc w:val="both"/>
        <w:rPr>
          <w:rFonts w:hint="eastAsia" w:ascii="宋体" w:hAnsi="宋体" w:eastAsia="宋体" w:cs="宋体"/>
          <w:bCs/>
          <w:color w:val="auto"/>
          <w:highlight w:val="none"/>
          <w:lang w:val="en-US"/>
        </w:rPr>
      </w:pPr>
      <w:r>
        <w:rPr>
          <w:rFonts w:hint="eastAsia" w:ascii="宋体" w:hAnsi="宋体" w:eastAsia="宋体" w:cs="宋体"/>
          <w:bCs/>
          <w:color w:val="auto"/>
          <w:sz w:val="24"/>
          <w:szCs w:val="24"/>
          <w:highlight w:val="none"/>
          <w:lang w:val="en-US" w:eastAsia="zh-CN" w:bidi="ar"/>
        </w:rPr>
        <w:t>3.投标(响应)报价低于采购项目最高限价45%的，即投标(响应)报价&lt;采购项目最高限价X45%;</w:t>
      </w:r>
    </w:p>
    <w:p w14:paraId="51945D90">
      <w:pPr>
        <w:pStyle w:val="46"/>
        <w:keepNext w:val="0"/>
        <w:keepLines w:val="0"/>
        <w:widowControl/>
        <w:suppressLineNumbers w:val="0"/>
        <w:spacing w:before="0" w:beforeAutospacing="0" w:after="0" w:afterAutospacing="0" w:line="360" w:lineRule="auto"/>
        <w:ind w:left="0" w:right="0" w:firstLine="200"/>
        <w:jc w:val="both"/>
        <w:rPr>
          <w:rFonts w:hint="eastAsia" w:ascii="宋体" w:hAnsi="宋体" w:eastAsia="宋体" w:cs="宋体"/>
          <w:bCs/>
          <w:color w:val="auto"/>
          <w:highlight w:val="none"/>
          <w:lang w:val="en-US"/>
        </w:rPr>
      </w:pPr>
      <w:r>
        <w:rPr>
          <w:rFonts w:hint="eastAsia" w:ascii="宋体" w:hAnsi="宋体" w:eastAsia="宋体" w:cs="宋体"/>
          <w:bCs/>
          <w:color w:val="auto"/>
          <w:sz w:val="24"/>
          <w:szCs w:val="24"/>
          <w:highlight w:val="none"/>
          <w:lang w:val="en-US" w:eastAsia="zh-CN" w:bidi="ar"/>
        </w:rPr>
        <w:t>4.评审委员会基于专业判断，认为供应商报价过低，有可能影响产品质量或者不能诚信履约的其他情形。</w:t>
      </w:r>
    </w:p>
    <w:p w14:paraId="78AF1493">
      <w:pPr>
        <w:spacing w:line="360" w:lineRule="auto"/>
        <w:ind w:firstLine="480"/>
        <w:jc w:val="left"/>
        <w:rPr>
          <w:rFonts w:hint="eastAsia" w:ascii="宋体" w:hAnsi="宋体" w:cs="宋体"/>
          <w:color w:val="auto"/>
          <w:sz w:val="24"/>
          <w:highlight w:val="none"/>
        </w:rPr>
      </w:pPr>
    </w:p>
    <w:p w14:paraId="0EB5E1E2">
      <w:pPr>
        <w:pStyle w:val="85"/>
        <w:ind w:left="0" w:leftChars="0" w:firstLine="0" w:firstLineChars="0"/>
        <w:rPr>
          <w:rFonts w:hint="eastAsia" w:ascii="宋体" w:hAnsi="宋体" w:eastAsia="宋体" w:cs="宋体"/>
          <w:b/>
          <w:color w:val="auto"/>
          <w:sz w:val="36"/>
          <w:szCs w:val="36"/>
          <w:highlight w:val="none"/>
          <w:lang w:val="en-US" w:eastAsia="zh-CN"/>
        </w:rPr>
      </w:pPr>
    </w:p>
    <w:p w14:paraId="18F28014">
      <w:pPr>
        <w:keepNext w:val="0"/>
        <w:keepLines w:val="0"/>
        <w:pageBreakBefore w:val="0"/>
        <w:widowControl w:val="0"/>
        <w:spacing w:line="380" w:lineRule="exact"/>
        <w:ind w:left="0" w:right="0" w:firstLine="325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第三章  成交标准</w:t>
      </w:r>
    </w:p>
    <w:p w14:paraId="0923286A">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一、谈判小组在推荐成交候选供应商时将考虑以下因素:</w:t>
      </w:r>
    </w:p>
    <w:p w14:paraId="4A392FB3">
      <w:pPr>
        <w:spacing w:line="520" w:lineRule="exact"/>
        <w:ind w:firstLine="47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（1）谈判报价；</w:t>
      </w:r>
    </w:p>
    <w:p w14:paraId="3C206C51">
      <w:pPr>
        <w:spacing w:line="520" w:lineRule="exact"/>
        <w:ind w:firstLine="47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谈判供应商的资格审查</w:t>
      </w:r>
      <w:r>
        <w:rPr>
          <w:rFonts w:hint="eastAsia" w:ascii="宋体" w:hAnsi="宋体" w:eastAsia="宋体" w:cs="宋体"/>
          <w:color w:val="auto"/>
          <w:sz w:val="24"/>
          <w:szCs w:val="24"/>
          <w:highlight w:val="none"/>
        </w:rPr>
        <w:t>；</w:t>
      </w:r>
    </w:p>
    <w:p w14:paraId="450B1F1D">
      <w:pPr>
        <w:spacing w:line="520" w:lineRule="exact"/>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（3）谈判供应商</w:t>
      </w:r>
      <w:r>
        <w:rPr>
          <w:rFonts w:hint="eastAsia" w:ascii="宋体" w:hAnsi="宋体" w:eastAsia="宋体" w:cs="宋体"/>
          <w:color w:val="auto"/>
          <w:sz w:val="24"/>
          <w:szCs w:val="24"/>
          <w:highlight w:val="none"/>
          <w:lang w:val="en-US" w:eastAsia="zh-CN"/>
        </w:rPr>
        <w:t>是否满足采购需求</w:t>
      </w:r>
      <w:r>
        <w:rPr>
          <w:rFonts w:hint="eastAsia" w:ascii="宋体" w:hAnsi="宋体" w:eastAsia="宋体" w:cs="宋体"/>
          <w:color w:val="auto"/>
          <w:sz w:val="24"/>
          <w:szCs w:val="24"/>
          <w:highlight w:val="none"/>
        </w:rPr>
        <w:t>等。</w:t>
      </w:r>
    </w:p>
    <w:p w14:paraId="143C4ACB">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二</w:t>
      </w:r>
      <w:r>
        <w:rPr>
          <w:rFonts w:hint="eastAsia" w:ascii="宋体" w:hAnsi="宋体" w:eastAsia="宋体" w:cs="宋体"/>
          <w:b/>
          <w:bCs/>
          <w:color w:val="auto"/>
          <w:sz w:val="24"/>
          <w:szCs w:val="24"/>
          <w:highlight w:val="none"/>
        </w:rPr>
        <w:t>、成交标准</w:t>
      </w:r>
    </w:p>
    <w:p w14:paraId="263D1D4F">
      <w:pPr>
        <w:pStyle w:val="260"/>
        <w:spacing w:line="360" w:lineRule="auto"/>
        <w:ind w:firstLine="7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在满足谈判文件要求的条件下，谈判小组将按上述第一条所列各项因素对供应商及其所报货物进行评审，最后是通过对采购需求、质量和服务相等且报价最低（凡属于谈判文件第二章</w:t>
      </w:r>
      <w:r>
        <w:rPr>
          <w:rFonts w:hint="eastAsia" w:ascii="宋体" w:hAnsi="宋体" w:eastAsia="宋体" w:cs="Times New Roman"/>
          <w:color w:val="auto"/>
          <w:sz w:val="24"/>
          <w:highlight w:val="none"/>
          <w:lang w:val="en-US" w:eastAsia="zh-CN"/>
        </w:rPr>
        <w:t>供应商须知</w:t>
      </w:r>
      <w:r>
        <w:rPr>
          <w:rFonts w:hint="eastAsia" w:ascii="宋体" w:hAnsi="宋体" w:eastAsia="宋体" w:cs="Times New Roman"/>
          <w:color w:val="auto"/>
          <w:sz w:val="24"/>
          <w:highlight w:val="none"/>
          <w:lang w:val="zh-CN"/>
        </w:rPr>
        <w:t>第八项第3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条规定的范围内</w:t>
      </w:r>
      <w:r>
        <w:rPr>
          <w:rFonts w:hint="eastAsia" w:ascii="宋体" w:hAnsi="宋体" w:eastAsia="宋体" w:cs="Times New Roman"/>
          <w:color w:val="auto"/>
          <w:sz w:val="24"/>
          <w:highlight w:val="none"/>
          <w:lang w:val="en-US" w:eastAsia="zh-CN"/>
        </w:rPr>
        <w:t>和第38条规定的</w:t>
      </w:r>
      <w:r>
        <w:rPr>
          <w:rFonts w:hint="eastAsia" w:ascii="宋体" w:hAnsi="宋体" w:eastAsia="宋体" w:cs="Times New Roman"/>
          <w:color w:val="auto"/>
          <w:sz w:val="24"/>
          <w:highlight w:val="none"/>
          <w:lang w:val="zh-CN"/>
        </w:rPr>
        <w:t>，以扣除后价格的进行评审）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p>
    <w:p w14:paraId="09B5944D">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eastAsia="宋体" w:cs="宋体"/>
          <w:b w:val="0"/>
          <w:bCs w:val="0"/>
          <w:color w:val="auto"/>
          <w:sz w:val="24"/>
          <w:highlight w:val="none"/>
        </w:rPr>
      </w:pPr>
    </w:p>
    <w:bookmarkEnd w:id="5"/>
    <w:p w14:paraId="1BA53101">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eastAsia="宋体" w:cs="宋体"/>
          <w:b/>
          <w:bCs/>
          <w:color w:val="auto"/>
          <w:sz w:val="24"/>
          <w:highlight w:val="none"/>
        </w:rPr>
      </w:pPr>
    </w:p>
    <w:p w14:paraId="5B42BF4B">
      <w:pPr>
        <w:pStyle w:val="260"/>
        <w:rPr>
          <w:rFonts w:hint="eastAsia" w:ascii="宋体" w:hAnsi="宋体" w:eastAsia="宋体" w:cs="Times New Roman"/>
          <w:color w:val="auto"/>
          <w:sz w:val="24"/>
          <w:highlight w:val="none"/>
          <w:lang w:val="zh-CN"/>
        </w:rPr>
      </w:pPr>
    </w:p>
    <w:p w14:paraId="67507E48">
      <w:pPr>
        <w:jc w:val="center"/>
        <w:outlineLvl w:val="0"/>
        <w:rPr>
          <w:rFonts w:hint="eastAsia" w:ascii="宋体" w:hAnsi="宋体" w:cs="宋体"/>
          <w:b/>
          <w:bCs/>
          <w:color w:val="auto"/>
          <w:sz w:val="36"/>
          <w:szCs w:val="36"/>
          <w:highlight w:val="none"/>
        </w:rPr>
      </w:pPr>
    </w:p>
    <w:p w14:paraId="500BA264">
      <w:pPr>
        <w:pStyle w:val="61"/>
        <w:rPr>
          <w:rFonts w:hint="eastAsia" w:ascii="宋体" w:hAnsi="宋体" w:cs="宋体"/>
          <w:b/>
          <w:bCs/>
          <w:color w:val="auto"/>
          <w:sz w:val="36"/>
          <w:szCs w:val="36"/>
          <w:highlight w:val="none"/>
        </w:rPr>
      </w:pPr>
    </w:p>
    <w:p w14:paraId="3F40C236">
      <w:pPr>
        <w:pStyle w:val="61"/>
        <w:rPr>
          <w:rFonts w:hint="eastAsia" w:ascii="宋体" w:hAnsi="宋体" w:cs="宋体"/>
          <w:b/>
          <w:bCs/>
          <w:color w:val="auto"/>
          <w:sz w:val="36"/>
          <w:szCs w:val="36"/>
          <w:highlight w:val="none"/>
        </w:rPr>
      </w:pPr>
    </w:p>
    <w:p w14:paraId="6A9CD5DA">
      <w:pPr>
        <w:pStyle w:val="61"/>
        <w:rPr>
          <w:rFonts w:hint="eastAsia" w:ascii="宋体" w:hAnsi="宋体" w:cs="宋体"/>
          <w:b/>
          <w:bCs/>
          <w:color w:val="auto"/>
          <w:sz w:val="36"/>
          <w:szCs w:val="36"/>
          <w:highlight w:val="none"/>
        </w:rPr>
      </w:pPr>
    </w:p>
    <w:p w14:paraId="6A78CED0">
      <w:pPr>
        <w:pStyle w:val="61"/>
        <w:rPr>
          <w:rFonts w:hint="eastAsia" w:ascii="宋体" w:hAnsi="宋体" w:cs="宋体"/>
          <w:b/>
          <w:bCs/>
          <w:color w:val="auto"/>
          <w:sz w:val="36"/>
          <w:szCs w:val="36"/>
          <w:highlight w:val="none"/>
        </w:rPr>
      </w:pPr>
    </w:p>
    <w:p w14:paraId="564B1CFF">
      <w:pPr>
        <w:pStyle w:val="61"/>
        <w:rPr>
          <w:rFonts w:hint="eastAsia" w:ascii="宋体" w:hAnsi="宋体" w:cs="宋体"/>
          <w:b/>
          <w:bCs/>
          <w:color w:val="auto"/>
          <w:sz w:val="36"/>
          <w:szCs w:val="36"/>
          <w:highlight w:val="none"/>
        </w:rPr>
      </w:pPr>
    </w:p>
    <w:p w14:paraId="667BCB83">
      <w:pPr>
        <w:pStyle w:val="61"/>
        <w:rPr>
          <w:rFonts w:hint="eastAsia" w:ascii="宋体" w:hAnsi="宋体" w:cs="宋体"/>
          <w:b/>
          <w:bCs/>
          <w:color w:val="auto"/>
          <w:sz w:val="36"/>
          <w:szCs w:val="36"/>
          <w:highlight w:val="none"/>
        </w:rPr>
      </w:pPr>
    </w:p>
    <w:p w14:paraId="7DD1CE86">
      <w:pPr>
        <w:pStyle w:val="61"/>
        <w:rPr>
          <w:rFonts w:hint="eastAsia" w:ascii="宋体" w:hAnsi="宋体" w:cs="宋体"/>
          <w:b/>
          <w:bCs/>
          <w:color w:val="auto"/>
          <w:sz w:val="36"/>
          <w:szCs w:val="36"/>
          <w:highlight w:val="none"/>
        </w:rPr>
      </w:pPr>
    </w:p>
    <w:p w14:paraId="1CE39683">
      <w:pPr>
        <w:pStyle w:val="61"/>
        <w:rPr>
          <w:rFonts w:hint="eastAsia" w:ascii="宋体" w:hAnsi="宋体" w:cs="宋体"/>
          <w:b/>
          <w:bCs/>
          <w:color w:val="auto"/>
          <w:sz w:val="36"/>
          <w:szCs w:val="36"/>
          <w:highlight w:val="none"/>
        </w:rPr>
      </w:pPr>
    </w:p>
    <w:p w14:paraId="23119FAD">
      <w:pPr>
        <w:pStyle w:val="61"/>
        <w:rPr>
          <w:rFonts w:hint="eastAsia" w:ascii="宋体" w:hAnsi="宋体" w:cs="宋体"/>
          <w:b/>
          <w:bCs/>
          <w:color w:val="auto"/>
          <w:sz w:val="36"/>
          <w:szCs w:val="36"/>
          <w:highlight w:val="none"/>
        </w:rPr>
      </w:pPr>
    </w:p>
    <w:p w14:paraId="23A5CD83">
      <w:pPr>
        <w:pStyle w:val="61"/>
        <w:rPr>
          <w:rFonts w:hint="eastAsia" w:ascii="宋体" w:hAnsi="宋体" w:cs="宋体"/>
          <w:b/>
          <w:bCs/>
          <w:color w:val="auto"/>
          <w:sz w:val="36"/>
          <w:szCs w:val="36"/>
          <w:highlight w:val="none"/>
        </w:rPr>
      </w:pPr>
    </w:p>
    <w:p w14:paraId="17DDBFC5">
      <w:pPr>
        <w:pStyle w:val="61"/>
        <w:rPr>
          <w:rFonts w:hint="eastAsia" w:ascii="宋体" w:hAnsi="宋体" w:cs="宋体"/>
          <w:b/>
          <w:bCs/>
          <w:color w:val="auto"/>
          <w:sz w:val="36"/>
          <w:szCs w:val="36"/>
          <w:highlight w:val="none"/>
        </w:rPr>
      </w:pPr>
    </w:p>
    <w:p w14:paraId="18DB7D9F">
      <w:pPr>
        <w:pStyle w:val="61"/>
        <w:rPr>
          <w:rFonts w:hint="eastAsia" w:ascii="宋体" w:hAnsi="宋体" w:cs="宋体"/>
          <w:b/>
          <w:bCs/>
          <w:color w:val="auto"/>
          <w:sz w:val="36"/>
          <w:szCs w:val="36"/>
          <w:highlight w:val="none"/>
        </w:rPr>
      </w:pPr>
    </w:p>
    <w:p w14:paraId="5D0EB1E8">
      <w:pPr>
        <w:pStyle w:val="61"/>
        <w:rPr>
          <w:rFonts w:hint="eastAsia" w:ascii="宋体" w:hAnsi="宋体" w:cs="宋体"/>
          <w:b/>
          <w:bCs/>
          <w:color w:val="auto"/>
          <w:sz w:val="36"/>
          <w:szCs w:val="36"/>
          <w:highlight w:val="none"/>
        </w:rPr>
      </w:pPr>
    </w:p>
    <w:p w14:paraId="01D144A8">
      <w:pPr>
        <w:jc w:val="both"/>
        <w:outlineLvl w:val="0"/>
        <w:rPr>
          <w:rFonts w:hint="eastAsia" w:ascii="宋体" w:hAnsi="宋体" w:cs="宋体"/>
          <w:b/>
          <w:bCs/>
          <w:color w:val="auto"/>
          <w:sz w:val="36"/>
          <w:szCs w:val="36"/>
          <w:highlight w:val="none"/>
        </w:rPr>
      </w:pPr>
    </w:p>
    <w:p w14:paraId="006FC35D">
      <w:pPr>
        <w:jc w:val="center"/>
        <w:outlineLvl w:val="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第四章  合同格式及条款</w:t>
      </w:r>
    </w:p>
    <w:p w14:paraId="42BB96E5">
      <w:pPr>
        <w:spacing w:line="360" w:lineRule="auto"/>
        <w:ind w:firstLine="36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合同条款前附表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8357"/>
      </w:tblGrid>
      <w:tr w14:paraId="4DB1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929" w:type="dxa"/>
            <w:tcBorders>
              <w:top w:val="single" w:color="auto" w:sz="4" w:space="0"/>
              <w:left w:val="single" w:color="auto" w:sz="4" w:space="0"/>
              <w:bottom w:val="single" w:color="auto" w:sz="4" w:space="0"/>
              <w:right w:val="single" w:color="auto" w:sz="4" w:space="0"/>
            </w:tcBorders>
            <w:noWrap w:val="0"/>
            <w:vAlign w:val="center"/>
          </w:tcPr>
          <w:p w14:paraId="3CB76600">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357" w:type="dxa"/>
            <w:tcBorders>
              <w:top w:val="single" w:color="auto" w:sz="4" w:space="0"/>
              <w:left w:val="single" w:color="auto" w:sz="4" w:space="0"/>
              <w:bottom w:val="single" w:color="auto" w:sz="4" w:space="0"/>
              <w:right w:val="single" w:color="auto" w:sz="4" w:space="0"/>
            </w:tcBorders>
            <w:noWrap w:val="0"/>
            <w:vAlign w:val="center"/>
          </w:tcPr>
          <w:p w14:paraId="46723DCA">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           容</w:t>
            </w:r>
          </w:p>
        </w:tc>
      </w:tr>
      <w:tr w14:paraId="334D1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29" w:type="dxa"/>
            <w:tcBorders>
              <w:top w:val="single" w:color="auto" w:sz="4" w:space="0"/>
              <w:left w:val="single" w:color="auto" w:sz="4" w:space="0"/>
              <w:bottom w:val="single" w:color="auto" w:sz="4" w:space="0"/>
              <w:right w:val="single" w:color="auto" w:sz="4" w:space="0"/>
            </w:tcBorders>
            <w:noWrap w:val="0"/>
            <w:vAlign w:val="center"/>
          </w:tcPr>
          <w:p w14:paraId="6C29BA8B">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1</w:t>
            </w:r>
          </w:p>
        </w:tc>
        <w:tc>
          <w:tcPr>
            <w:tcW w:w="8357" w:type="dxa"/>
            <w:tcBorders>
              <w:top w:val="single" w:color="auto" w:sz="4" w:space="0"/>
              <w:left w:val="single" w:color="auto" w:sz="4" w:space="0"/>
              <w:bottom w:val="single" w:color="auto" w:sz="4" w:space="0"/>
              <w:right w:val="single" w:color="auto" w:sz="4" w:space="0"/>
            </w:tcBorders>
            <w:noWrap w:val="0"/>
            <w:vAlign w:val="center"/>
          </w:tcPr>
          <w:p w14:paraId="0FD6B71F">
            <w:pPr>
              <w:keepNext w:val="0"/>
              <w:keepLines w:val="0"/>
              <w:pageBreakBefore w:val="0"/>
              <w:widowControl/>
              <w:suppressLineNumbers w:val="0"/>
              <w:tabs>
                <w:tab w:val="left" w:pos="5670"/>
              </w:tabs>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付款均应按下列条件进行：</w:t>
            </w:r>
          </w:p>
          <w:p w14:paraId="0B516571">
            <w:pPr>
              <w:keepNext w:val="0"/>
              <w:keepLines w:val="0"/>
              <w:pageBreakBefore w:val="0"/>
              <w:widowControl/>
              <w:suppressLineNumbers w:val="0"/>
              <w:tabs>
                <w:tab w:val="left" w:pos="5670"/>
              </w:tabs>
              <w:spacing w:before="0" w:beforeAutospacing="0" w:after="0" w:afterAutospacing="0" w:line="360" w:lineRule="auto"/>
              <w:ind w:left="0" w:right="0"/>
              <w:jc w:val="lef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合同签订后5个工作日内买方预付合同价款的40%(其中的20%作为合同定金)，设备制造完成后由卖方通知买方到卖方指定地点进行验货，买方在接到卖方的验货通知后的5个工作日内到卖方指定地点进行验货、验证其设备是否符合同约定的规格型号，验货合格后的5个工作日内买方支付合同价款的45%，卖方在收到买方第二笔45%货款后3个工作日内发货。设备运抵买方指定地点且安装结束后运行30个工作日内应组织验收，验收完成后10个工作日内支付剩余货款。如因财政审批导致的迟延支付，采购人不承担迟延支付的违约责任，付款进度以财政资金下款时间为准。</w:t>
            </w:r>
          </w:p>
        </w:tc>
      </w:tr>
      <w:tr w14:paraId="48C78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29" w:type="dxa"/>
            <w:tcBorders>
              <w:top w:val="single" w:color="auto" w:sz="4" w:space="0"/>
              <w:left w:val="single" w:color="auto" w:sz="4" w:space="0"/>
              <w:bottom w:val="single" w:color="auto" w:sz="4" w:space="0"/>
              <w:right w:val="single" w:color="auto" w:sz="4" w:space="0"/>
            </w:tcBorders>
            <w:noWrap w:val="0"/>
            <w:vAlign w:val="center"/>
          </w:tcPr>
          <w:p w14:paraId="2DF0B9FF">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2</w:t>
            </w:r>
          </w:p>
        </w:tc>
        <w:tc>
          <w:tcPr>
            <w:tcW w:w="8357" w:type="dxa"/>
            <w:tcBorders>
              <w:top w:val="single" w:color="auto" w:sz="4" w:space="0"/>
              <w:left w:val="single" w:color="auto" w:sz="4" w:space="0"/>
              <w:bottom w:val="single" w:color="auto" w:sz="4" w:space="0"/>
              <w:right w:val="single" w:color="auto" w:sz="4" w:space="0"/>
            </w:tcBorders>
            <w:noWrap w:val="0"/>
            <w:vAlign w:val="center"/>
          </w:tcPr>
          <w:p w14:paraId="5EB248D2">
            <w:pPr>
              <w:keepNext w:val="0"/>
              <w:keepLines w:val="0"/>
              <w:pageBreakBefore w:val="0"/>
              <w:widowControl/>
              <w:suppressLineNumbers w:val="0"/>
              <w:tabs>
                <w:tab w:val="left" w:pos="5670"/>
              </w:tabs>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shd w:val="clear" w:color="auto" w:fill="auto"/>
              </w:rPr>
            </w:pPr>
            <w:r>
              <w:rPr>
                <w:rFonts w:hint="eastAsia" w:ascii="宋体" w:hAnsi="宋体"/>
                <w:color w:val="auto"/>
                <w:sz w:val="24"/>
                <w:szCs w:val="24"/>
                <w:highlight w:val="none"/>
                <w:lang w:val="en-US" w:eastAsia="zh-CN"/>
              </w:rPr>
              <w:t>合同履行期限:160日历天。设备制造周期90日历天（预付款到后开始计算），安装周期70日历天（包含设备出厂运输、货物现场卸货、就位、安装、调试直至设备验收合格的全部时间）。</w:t>
            </w:r>
          </w:p>
        </w:tc>
      </w:tr>
      <w:tr w14:paraId="5F555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29" w:type="dxa"/>
            <w:tcBorders>
              <w:top w:val="single" w:color="auto" w:sz="4" w:space="0"/>
              <w:left w:val="single" w:color="auto" w:sz="4" w:space="0"/>
              <w:bottom w:val="single" w:color="auto" w:sz="4" w:space="0"/>
              <w:right w:val="single" w:color="auto" w:sz="4" w:space="0"/>
            </w:tcBorders>
            <w:noWrap w:val="0"/>
            <w:vAlign w:val="center"/>
          </w:tcPr>
          <w:p w14:paraId="29797A11">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3</w:t>
            </w:r>
          </w:p>
        </w:tc>
        <w:tc>
          <w:tcPr>
            <w:tcW w:w="8357" w:type="dxa"/>
            <w:tcBorders>
              <w:top w:val="single" w:color="auto" w:sz="4" w:space="0"/>
              <w:left w:val="single" w:color="auto" w:sz="4" w:space="0"/>
              <w:bottom w:val="single" w:color="auto" w:sz="4" w:space="0"/>
              <w:right w:val="single" w:color="auto" w:sz="4" w:space="0"/>
            </w:tcBorders>
            <w:noWrap w:val="0"/>
            <w:vAlign w:val="center"/>
          </w:tcPr>
          <w:p w14:paraId="1A1AFD7E">
            <w:pPr>
              <w:keepNext w:val="0"/>
              <w:keepLines w:val="0"/>
              <w:pageBreakBefore w:val="0"/>
              <w:suppressLineNumbers w:val="0"/>
              <w:spacing w:before="0" w:beforeAutospacing="0" w:after="0" w:afterAutospacing="0" w:line="320" w:lineRule="exact"/>
              <w:ind w:left="0" w:right="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cs="宋体"/>
                <w:bCs/>
                <w:color w:val="auto"/>
                <w:sz w:val="24"/>
                <w:highlight w:val="none"/>
                <w:lang w:eastAsia="zh-CN"/>
              </w:rPr>
              <w:t>服务</w:t>
            </w:r>
            <w:r>
              <w:rPr>
                <w:rFonts w:hint="eastAsia" w:ascii="宋体" w:hAnsi="宋体" w:cs="宋体"/>
                <w:bCs/>
                <w:color w:val="auto"/>
                <w:sz w:val="24"/>
                <w:highlight w:val="none"/>
              </w:rPr>
              <w:t>地点：</w:t>
            </w:r>
            <w:r>
              <w:rPr>
                <w:rFonts w:hint="eastAsia" w:ascii="宋体" w:hAnsi="宋体" w:eastAsia="宋体" w:cs="宋体"/>
                <w:b w:val="0"/>
                <w:bCs w:val="0"/>
                <w:color w:val="auto"/>
                <w:sz w:val="24"/>
                <w:szCs w:val="24"/>
                <w:highlight w:val="none"/>
                <w:lang w:val="en-US" w:eastAsia="zh-CN" w:bidi="ar-SA"/>
              </w:rPr>
              <w:t>采购人指定</w:t>
            </w:r>
          </w:p>
        </w:tc>
      </w:tr>
    </w:tbl>
    <w:p w14:paraId="19ED5C37">
      <w:pPr>
        <w:tabs>
          <w:tab w:val="left" w:pos="180"/>
        </w:tabs>
        <w:spacing w:line="400" w:lineRule="exact"/>
        <w:jc w:val="center"/>
        <w:rPr>
          <w:rFonts w:ascii="宋体" w:hAnsi="宋体" w:cs="宋体"/>
          <w:b/>
          <w:color w:val="auto"/>
          <w:sz w:val="24"/>
          <w:highlight w:val="none"/>
        </w:rPr>
      </w:pPr>
      <w:r>
        <w:rPr>
          <w:rFonts w:hint="eastAsia" w:ascii="宋体" w:hAnsi="宋体" w:cs="宋体"/>
          <w:b/>
          <w:color w:val="auto"/>
          <w:sz w:val="24"/>
          <w:highlight w:val="none"/>
        </w:rPr>
        <w:t>合同</w:t>
      </w:r>
      <w:r>
        <w:rPr>
          <w:rFonts w:hint="eastAsia" w:ascii="宋体" w:hAnsi="宋体" w:cs="宋体"/>
          <w:b/>
          <w:color w:val="auto"/>
          <w:sz w:val="24"/>
          <w:highlight w:val="none"/>
          <w:lang w:eastAsia="zh-CN"/>
        </w:rPr>
        <w:t>通用</w:t>
      </w:r>
      <w:r>
        <w:rPr>
          <w:rFonts w:hint="eastAsia" w:ascii="宋体" w:hAnsi="宋体" w:cs="宋体"/>
          <w:b/>
          <w:color w:val="auto"/>
          <w:sz w:val="24"/>
          <w:highlight w:val="none"/>
        </w:rPr>
        <w:t>条款</w:t>
      </w:r>
    </w:p>
    <w:p w14:paraId="75CF7D94">
      <w:pP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    1.定义</w:t>
      </w:r>
    </w:p>
    <w:p w14:paraId="08A8E119">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本合同中的下列术语应解释为：</w:t>
      </w:r>
    </w:p>
    <w:p w14:paraId="0F4B068E">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（1）“合同”系指买方与卖方签署的、合同格式中载明的买方与卖方所达成的协议，包括所有的附件、附录和构成合同的所有文件。</w:t>
      </w:r>
    </w:p>
    <w:p w14:paraId="362FF6F7">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（2）“合同价”系指根据合同规定，卖方在正确地完全履行合同义务后买方应支付给卖方的价格。</w:t>
      </w:r>
    </w:p>
    <w:p w14:paraId="2BA95A88">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（3）“货物”系指卖方根据合同规定必须向买方提供的一切设备、机械、仪表、备件、工具、手册和其他技术资料及其他材料。</w:t>
      </w:r>
    </w:p>
    <w:p w14:paraId="76A34F62">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（4）“服务”系指根据合同规定卖方承担与供货有关的辅助服务，如运输、运输过程中保险以及其它的伴随服务，比如安装、调试、提供技术援助、培训和其他类似的卖方应承担的义务。</w:t>
      </w:r>
    </w:p>
    <w:p w14:paraId="7D25B816">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（5）“买方”系指</w:t>
      </w:r>
      <w:r>
        <w:rPr>
          <w:rFonts w:hint="eastAsia" w:ascii="宋体" w:hAnsi="宋体" w:cs="宋体"/>
          <w:color w:val="auto"/>
          <w:sz w:val="24"/>
          <w:highlight w:val="none"/>
          <w:lang w:eastAsia="zh-CN"/>
        </w:rPr>
        <w:t>金湖县农业农村局</w:t>
      </w:r>
      <w:r>
        <w:rPr>
          <w:rFonts w:hint="eastAsia" w:ascii="宋体" w:hAnsi="宋体" w:cs="宋体"/>
          <w:color w:val="auto"/>
          <w:sz w:val="24"/>
          <w:highlight w:val="none"/>
        </w:rPr>
        <w:t>。</w:t>
      </w:r>
    </w:p>
    <w:p w14:paraId="1CCBFF0B">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（6）“卖方”系指提供货物和服务的供应商。</w:t>
      </w:r>
    </w:p>
    <w:p w14:paraId="40DDA379">
      <w:pPr>
        <w:spacing w:line="400" w:lineRule="exact"/>
        <w:ind w:firstLine="660"/>
        <w:rPr>
          <w:rFonts w:ascii="宋体" w:hAnsi="宋体" w:cs="宋体"/>
          <w:b/>
          <w:bCs/>
          <w:color w:val="auto"/>
          <w:sz w:val="24"/>
          <w:highlight w:val="none"/>
        </w:rPr>
      </w:pPr>
      <w:r>
        <w:rPr>
          <w:rFonts w:hint="eastAsia" w:ascii="宋体" w:hAnsi="宋体" w:cs="宋体"/>
          <w:b/>
          <w:bCs/>
          <w:color w:val="auto"/>
          <w:sz w:val="24"/>
          <w:highlight w:val="none"/>
        </w:rPr>
        <w:t>2.技术规格</w:t>
      </w:r>
    </w:p>
    <w:p w14:paraId="5D907BDB">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2.1卖方所提供货物的技术规格应与</w:t>
      </w:r>
      <w:r>
        <w:rPr>
          <w:rFonts w:hint="eastAsia" w:ascii="宋体" w:hAnsi="宋体" w:cs="宋体"/>
          <w:color w:val="auto"/>
          <w:sz w:val="24"/>
          <w:highlight w:val="none"/>
          <w:lang w:eastAsia="zh-CN"/>
        </w:rPr>
        <w:t>谈判</w:t>
      </w:r>
      <w:r>
        <w:rPr>
          <w:rFonts w:hint="eastAsia" w:ascii="宋体" w:hAnsi="宋体" w:cs="宋体"/>
          <w:color w:val="auto"/>
          <w:sz w:val="24"/>
          <w:highlight w:val="none"/>
        </w:rPr>
        <w:t>文件规定的技术规格以及所附的技术规格响应偏离表相一致。</w:t>
      </w:r>
    </w:p>
    <w:p w14:paraId="25D1FC6B">
      <w:pPr>
        <w:spacing w:line="400" w:lineRule="exact"/>
        <w:ind w:firstLine="660"/>
        <w:rPr>
          <w:rFonts w:ascii="宋体" w:hAnsi="宋体" w:cs="宋体"/>
          <w:b/>
          <w:color w:val="auto"/>
          <w:sz w:val="24"/>
          <w:highlight w:val="none"/>
        </w:rPr>
      </w:pPr>
      <w:r>
        <w:rPr>
          <w:rFonts w:hint="eastAsia" w:ascii="宋体" w:hAnsi="宋体" w:cs="宋体"/>
          <w:b/>
          <w:color w:val="auto"/>
          <w:sz w:val="24"/>
          <w:highlight w:val="none"/>
        </w:rPr>
        <w:t>3.专利权</w:t>
      </w:r>
    </w:p>
    <w:p w14:paraId="3EE0648F">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3.1卖方应保证买方在使用该货物或其任何一部分时不受第三方提出侵犯其专利权、商标权和工业设计权的起诉。一旦出现专利侵权，卖方应负全部责任，且买方拒付全部货款。</w:t>
      </w:r>
    </w:p>
    <w:p w14:paraId="463C3DBD">
      <w:pPr>
        <w:spacing w:line="400" w:lineRule="exact"/>
        <w:ind w:firstLine="660"/>
        <w:rPr>
          <w:rFonts w:ascii="宋体" w:hAnsi="宋体" w:cs="宋体"/>
          <w:b/>
          <w:color w:val="auto"/>
          <w:sz w:val="24"/>
          <w:highlight w:val="none"/>
        </w:rPr>
      </w:pPr>
      <w:r>
        <w:rPr>
          <w:rFonts w:hint="eastAsia" w:ascii="宋体" w:hAnsi="宋体" w:cs="宋体"/>
          <w:b/>
          <w:color w:val="auto"/>
          <w:sz w:val="24"/>
          <w:highlight w:val="none"/>
        </w:rPr>
        <w:t>4.包装要求</w:t>
      </w:r>
    </w:p>
    <w:p w14:paraId="5D610F95">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p>
    <w:p w14:paraId="40EA2177">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4.2每件包装箱内应附一份详细装箱单和质量合格标识。</w:t>
      </w:r>
    </w:p>
    <w:p w14:paraId="7A63A883">
      <w:pPr>
        <w:spacing w:line="400" w:lineRule="exact"/>
        <w:ind w:firstLine="660"/>
        <w:rPr>
          <w:rFonts w:ascii="宋体" w:hAnsi="宋体" w:cs="宋体"/>
          <w:b/>
          <w:color w:val="auto"/>
          <w:sz w:val="24"/>
          <w:highlight w:val="none"/>
        </w:rPr>
      </w:pPr>
      <w:r>
        <w:rPr>
          <w:rFonts w:hint="eastAsia" w:ascii="宋体" w:hAnsi="宋体" w:cs="宋体"/>
          <w:b/>
          <w:color w:val="auto"/>
          <w:sz w:val="24"/>
          <w:highlight w:val="none"/>
        </w:rPr>
        <w:t>5.装运条件</w:t>
      </w:r>
    </w:p>
    <w:p w14:paraId="01EBE8A7">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5.1根据买方指定地点，卖方负责安排运输，运输费由卖方承担。</w:t>
      </w:r>
    </w:p>
    <w:p w14:paraId="2554E2A0">
      <w:pPr>
        <w:spacing w:line="400" w:lineRule="exact"/>
        <w:ind w:firstLine="660"/>
        <w:rPr>
          <w:rFonts w:ascii="宋体" w:hAnsi="宋体" w:cs="宋体"/>
          <w:b/>
          <w:color w:val="auto"/>
          <w:sz w:val="24"/>
          <w:highlight w:val="none"/>
        </w:rPr>
      </w:pPr>
      <w:r>
        <w:rPr>
          <w:rFonts w:hint="eastAsia" w:ascii="宋体" w:hAnsi="宋体" w:cs="宋体"/>
          <w:b/>
          <w:color w:val="auto"/>
          <w:sz w:val="24"/>
          <w:highlight w:val="none"/>
        </w:rPr>
        <w:t>6.付    款</w:t>
      </w:r>
    </w:p>
    <w:p w14:paraId="1DB6FCDF">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6.1本合同以人民币付款。</w:t>
      </w:r>
    </w:p>
    <w:p w14:paraId="751088AF">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6.2卖方应按照与买方签订的合同规定交货。交货后卖方向买方提供下列单据，买方按合同规定审核后付款：</w:t>
      </w:r>
    </w:p>
    <w:p w14:paraId="6FCF66A7">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（1）发票；</w:t>
      </w:r>
    </w:p>
    <w:p w14:paraId="0F21A043">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（2）制造厂家出具的质量检验证书等；</w:t>
      </w:r>
    </w:p>
    <w:p w14:paraId="1246317A">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（3）装箱单；</w:t>
      </w:r>
    </w:p>
    <w:p w14:paraId="051573A7">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（4）验收合格证书；</w:t>
      </w:r>
    </w:p>
    <w:p w14:paraId="102A6ADF">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（5）使用方加盖公章证明货物交付使用合格的验收表。</w:t>
      </w:r>
    </w:p>
    <w:p w14:paraId="21B17903">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6.3买方将按“合同条款前附表”规定的付款计划</w:t>
      </w:r>
      <w:r>
        <w:rPr>
          <w:rFonts w:hint="eastAsia" w:ascii="宋体" w:hAnsi="宋体" w:cs="宋体"/>
          <w:color w:val="auto"/>
          <w:sz w:val="24"/>
          <w:highlight w:val="none"/>
          <w:lang w:val="en-US" w:eastAsia="zh-CN"/>
        </w:rPr>
        <w:t>在项目通过验收后</w:t>
      </w:r>
      <w:r>
        <w:rPr>
          <w:rFonts w:hint="eastAsia" w:ascii="宋体" w:hAnsi="宋体" w:cs="宋体"/>
          <w:color w:val="auto"/>
          <w:sz w:val="24"/>
          <w:highlight w:val="none"/>
        </w:rPr>
        <w:t>安排付款。</w:t>
      </w:r>
    </w:p>
    <w:p w14:paraId="0C2B60E4">
      <w:pPr>
        <w:spacing w:line="400" w:lineRule="exact"/>
        <w:ind w:firstLine="590"/>
        <w:rPr>
          <w:rFonts w:ascii="宋体" w:hAnsi="宋体" w:cs="宋体"/>
          <w:b/>
          <w:color w:val="auto"/>
          <w:sz w:val="24"/>
          <w:highlight w:val="none"/>
        </w:rPr>
      </w:pPr>
      <w:r>
        <w:rPr>
          <w:rFonts w:hint="eastAsia" w:ascii="宋体" w:hAnsi="宋体" w:cs="宋体"/>
          <w:b/>
          <w:color w:val="auto"/>
          <w:sz w:val="24"/>
          <w:highlight w:val="none"/>
        </w:rPr>
        <w:t>7.伴随服务</w:t>
      </w:r>
    </w:p>
    <w:p w14:paraId="56E0EE0B">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7.1卖方应按照国家有关规定和合同中所附的服务承诺提供服务。</w:t>
      </w:r>
    </w:p>
    <w:p w14:paraId="2D53154A">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7.2除第7.1条规定外，卖方还应提供下列服务：</w:t>
      </w:r>
    </w:p>
    <w:p w14:paraId="13D3E444">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（1）货物的现场安装和启动监督；</w:t>
      </w:r>
    </w:p>
    <w:p w14:paraId="69BD609C">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（2）提供货物组装和维修所需的工具；</w:t>
      </w:r>
    </w:p>
    <w:p w14:paraId="55484E7A">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（3）在合同中卖方承诺的期限内对所提供货物实施运行监督、维修，但前提条件是该服务并不能免除卖方在质量保证期内应承担的义务；</w:t>
      </w:r>
    </w:p>
    <w:p w14:paraId="7E3FD2DF">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（4）在项目交货现场就货物的安装、启动、运行、维护对买方人员进行培训。</w:t>
      </w:r>
    </w:p>
    <w:p w14:paraId="505BD05C">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7.3伴随服务的费用应含在合同价中，不单独进行支付。</w:t>
      </w:r>
    </w:p>
    <w:p w14:paraId="4283EBF6">
      <w:pPr>
        <w:spacing w:line="400" w:lineRule="exact"/>
        <w:ind w:firstLine="660"/>
        <w:rPr>
          <w:rFonts w:ascii="宋体" w:hAnsi="宋体" w:cs="宋体"/>
          <w:b/>
          <w:color w:val="auto"/>
          <w:sz w:val="24"/>
          <w:highlight w:val="none"/>
        </w:rPr>
      </w:pPr>
      <w:r>
        <w:rPr>
          <w:rFonts w:hint="eastAsia" w:ascii="宋体" w:hAnsi="宋体" w:cs="宋体"/>
          <w:b/>
          <w:color w:val="auto"/>
          <w:sz w:val="24"/>
          <w:highlight w:val="none"/>
        </w:rPr>
        <w:t>8.质量保证</w:t>
      </w:r>
    </w:p>
    <w:p w14:paraId="3080F6E0">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8.1卖方所提供货物必须符合</w:t>
      </w:r>
      <w:r>
        <w:rPr>
          <w:rFonts w:hint="eastAsia" w:ascii="宋体" w:hAnsi="宋体" w:cs="宋体"/>
          <w:color w:val="auto"/>
          <w:sz w:val="24"/>
          <w:highlight w:val="none"/>
          <w:lang w:eastAsia="zh-CN"/>
        </w:rPr>
        <w:t>谈判</w:t>
      </w:r>
      <w:r>
        <w:rPr>
          <w:rFonts w:hint="eastAsia" w:ascii="宋体" w:hAnsi="宋体" w:cs="宋体"/>
          <w:color w:val="auto"/>
          <w:sz w:val="24"/>
          <w:highlight w:val="none"/>
        </w:rPr>
        <w:t>文件要求并不低于国家有关标准。</w:t>
      </w:r>
    </w:p>
    <w:p w14:paraId="0075E235">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p>
    <w:p w14:paraId="052A1F80">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8.3根据法定检验机构的检验结果或者在质量保证内，如果货物的数量、质量或规格与合同不符，或证明货物是有缺陷的，包括潜在的缺陷或使用不符合要求的材料等，买方以书面形式向卖方提出本保证下的索赔。</w:t>
      </w:r>
    </w:p>
    <w:p w14:paraId="4ADFD406">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8.4卖方在收到通知后，应在合同中所附服务承诺约定的时间内免费维修、更换有缺陷的货物或部件。</w:t>
      </w:r>
    </w:p>
    <w:p w14:paraId="68095244">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8.5如果卖方在收到通知后，在合同中所附服务承诺约定的时间内没有弥补缺陷，买方可采取必要的补救措施，但风险和费用将由卖方承担。</w:t>
      </w:r>
    </w:p>
    <w:p w14:paraId="6077F32A">
      <w:pPr>
        <w:spacing w:line="400" w:lineRule="exact"/>
        <w:ind w:firstLine="660"/>
        <w:rPr>
          <w:rFonts w:ascii="宋体" w:hAnsi="宋体" w:cs="宋体"/>
          <w:b/>
          <w:color w:val="auto"/>
          <w:sz w:val="24"/>
          <w:highlight w:val="none"/>
        </w:rPr>
      </w:pPr>
      <w:r>
        <w:rPr>
          <w:rFonts w:hint="eastAsia" w:ascii="宋体" w:hAnsi="宋体" w:cs="宋体"/>
          <w:b/>
          <w:color w:val="auto"/>
          <w:sz w:val="24"/>
          <w:highlight w:val="none"/>
        </w:rPr>
        <w:t>9.检验</w:t>
      </w:r>
    </w:p>
    <w:p w14:paraId="567C33F4">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14:paraId="782B2175">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9.2买方将在卖方交货并安装调试完毕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p>
    <w:p w14:paraId="48253AC1">
      <w:pPr>
        <w:spacing w:line="400" w:lineRule="exact"/>
        <w:ind w:firstLine="660"/>
        <w:rPr>
          <w:rFonts w:ascii="宋体" w:hAnsi="宋体" w:cs="宋体"/>
          <w:b/>
          <w:color w:val="auto"/>
          <w:sz w:val="24"/>
          <w:highlight w:val="none"/>
        </w:rPr>
      </w:pPr>
      <w:r>
        <w:rPr>
          <w:rFonts w:hint="eastAsia" w:ascii="宋体" w:hAnsi="宋体" w:cs="宋体"/>
          <w:b/>
          <w:color w:val="auto"/>
          <w:sz w:val="24"/>
          <w:highlight w:val="none"/>
        </w:rPr>
        <w:t>10.索赔</w:t>
      </w:r>
    </w:p>
    <w:p w14:paraId="13751558">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10.1买方有权根据法定检验机构出具的检验报告，向卖方提出索赔。</w:t>
      </w:r>
    </w:p>
    <w:p w14:paraId="61B490C3">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10.2根据合同规定的检验期和质量保证期内，如果卖方对买方提出的索赔和差异负有责任，卖方应按照买方同意的下列一种或多种方式解决索赔事宜；</w:t>
      </w:r>
    </w:p>
    <w:p w14:paraId="5904CCAF">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p>
    <w:p w14:paraId="79298030">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（2）根据货物的低劣程度、损坏程度以及买方所遭损失的数额，卖方必须降低货物的价格。</w:t>
      </w:r>
    </w:p>
    <w:p w14:paraId="3898E1E3">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p>
    <w:p w14:paraId="52154E5C">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并报监管部门备案，或采用法律手段解决索赔事宜。</w:t>
      </w:r>
    </w:p>
    <w:p w14:paraId="57922892">
      <w:pPr>
        <w:spacing w:line="400" w:lineRule="exact"/>
        <w:ind w:firstLine="660"/>
        <w:rPr>
          <w:rFonts w:ascii="宋体" w:hAnsi="宋体" w:cs="宋体"/>
          <w:b/>
          <w:color w:val="auto"/>
          <w:sz w:val="24"/>
          <w:highlight w:val="none"/>
        </w:rPr>
      </w:pPr>
      <w:r>
        <w:rPr>
          <w:rFonts w:hint="eastAsia" w:ascii="宋体" w:hAnsi="宋体" w:cs="宋体"/>
          <w:b/>
          <w:color w:val="auto"/>
          <w:sz w:val="24"/>
          <w:highlight w:val="none"/>
        </w:rPr>
        <w:t>11.卖方迟交货、安装</w:t>
      </w:r>
    </w:p>
    <w:p w14:paraId="5F218142">
      <w:pPr>
        <w:spacing w:line="400" w:lineRule="exact"/>
        <w:ind w:firstLine="660"/>
        <w:rPr>
          <w:rFonts w:ascii="宋体" w:hAnsi="宋体" w:cs="宋体"/>
          <w:bCs/>
          <w:color w:val="auto"/>
          <w:sz w:val="24"/>
          <w:highlight w:val="none"/>
        </w:rPr>
      </w:pPr>
      <w:r>
        <w:rPr>
          <w:rFonts w:hint="eastAsia" w:ascii="宋体" w:hAnsi="宋体" w:cs="宋体"/>
          <w:color w:val="auto"/>
          <w:sz w:val="24"/>
          <w:highlight w:val="none"/>
        </w:rPr>
        <w:t>11.1卖方应按照“合同条款前附表”中规定的交货期交货、安装，并交付买方验收使用。如果卖方无正当理由拖延交货、安装，将受到以下制裁：</w:t>
      </w:r>
      <w:r>
        <w:rPr>
          <w:rFonts w:hint="eastAsia" w:ascii="宋体" w:hAnsi="宋体" w:cs="宋体"/>
          <w:bCs/>
          <w:color w:val="auto"/>
          <w:sz w:val="24"/>
          <w:highlight w:val="none"/>
        </w:rPr>
        <w:t>没收履约保证金，加收误期赔偿或终止合同。</w:t>
      </w:r>
    </w:p>
    <w:p w14:paraId="3C08C6E2">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cs="宋体"/>
          <w:color w:val="auto"/>
          <w:sz w:val="24"/>
          <w:highlight w:val="none"/>
          <w:lang w:val="en-US" w:eastAsia="zh-CN"/>
        </w:rPr>
        <w:t>利</w:t>
      </w:r>
      <w:r>
        <w:rPr>
          <w:rFonts w:hint="eastAsia" w:ascii="宋体" w:hAnsi="宋体" w:cs="宋体"/>
          <w:color w:val="auto"/>
          <w:sz w:val="24"/>
          <w:highlight w:val="none"/>
        </w:rPr>
        <w:t>。</w:t>
      </w:r>
    </w:p>
    <w:p w14:paraId="6AC5ADF0">
      <w:pPr>
        <w:spacing w:line="400" w:lineRule="exact"/>
        <w:ind w:firstLine="660"/>
        <w:rPr>
          <w:rFonts w:ascii="宋体" w:hAnsi="宋体" w:cs="宋体"/>
          <w:b/>
          <w:color w:val="auto"/>
          <w:sz w:val="24"/>
          <w:highlight w:val="none"/>
        </w:rPr>
      </w:pPr>
      <w:r>
        <w:rPr>
          <w:rFonts w:hint="eastAsia" w:ascii="宋体" w:hAnsi="宋体" w:cs="宋体"/>
          <w:b/>
          <w:color w:val="auto"/>
          <w:sz w:val="24"/>
          <w:highlight w:val="none"/>
        </w:rPr>
        <w:t>12.误期赔偿</w:t>
      </w:r>
    </w:p>
    <w:p w14:paraId="5A0878A7">
      <w:pPr>
        <w:spacing w:line="400" w:lineRule="exact"/>
        <w:ind w:firstLine="660"/>
        <w:rPr>
          <w:rFonts w:ascii="宋体" w:hAnsi="宋体" w:cs="宋体"/>
          <w:color w:val="auto"/>
          <w:sz w:val="24"/>
          <w:highlight w:val="none"/>
        </w:rPr>
      </w:pPr>
      <w:r>
        <w:rPr>
          <w:rFonts w:hint="eastAsia" w:ascii="宋体" w:hAnsi="宋体" w:cs="宋体"/>
          <w:color w:val="auto"/>
          <w:sz w:val="24"/>
          <w:highlight w:val="none"/>
        </w:rPr>
        <w:t>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p>
    <w:p w14:paraId="3BA20605">
      <w:pPr>
        <w:spacing w:line="400" w:lineRule="exact"/>
        <w:ind w:firstLine="660"/>
        <w:rPr>
          <w:rFonts w:ascii="宋体" w:hAnsi="宋体" w:cs="宋体"/>
          <w:b/>
          <w:color w:val="auto"/>
          <w:sz w:val="24"/>
          <w:highlight w:val="none"/>
        </w:rPr>
      </w:pPr>
      <w:r>
        <w:rPr>
          <w:rFonts w:hint="eastAsia" w:ascii="宋体" w:hAnsi="宋体" w:cs="宋体"/>
          <w:b/>
          <w:color w:val="auto"/>
          <w:sz w:val="24"/>
          <w:highlight w:val="none"/>
        </w:rPr>
        <w:t>13.不可抗力</w:t>
      </w:r>
    </w:p>
    <w:p w14:paraId="360C88FF">
      <w:pPr>
        <w:spacing w:line="400" w:lineRule="exact"/>
        <w:ind w:firstLine="658"/>
        <w:rPr>
          <w:rFonts w:ascii="宋体" w:hAnsi="宋体" w:cs="宋体"/>
          <w:color w:val="auto"/>
          <w:sz w:val="24"/>
          <w:highlight w:val="none"/>
        </w:rPr>
      </w:pPr>
      <w:r>
        <w:rPr>
          <w:rFonts w:hint="eastAsia" w:ascii="宋体" w:hAnsi="宋体" w:cs="宋体"/>
          <w:color w:val="auto"/>
          <w:sz w:val="24"/>
          <w:highlight w:val="none"/>
        </w:rPr>
        <w:t>13.1尽管有合同条款第11条、12条和17条的规定，如果卖方因不可抗力而导致合同实施延误或不能履行合同义务的话，不应该被没收履约保证金，也不应该承担误期赔偿或终止合同的责任。</w:t>
      </w:r>
    </w:p>
    <w:p w14:paraId="736ACEE8">
      <w:pPr>
        <w:spacing w:line="400" w:lineRule="exact"/>
        <w:ind w:firstLine="658"/>
        <w:rPr>
          <w:rFonts w:ascii="宋体" w:hAnsi="宋体" w:cs="宋体"/>
          <w:color w:val="auto"/>
          <w:sz w:val="24"/>
          <w:highlight w:val="none"/>
        </w:rPr>
      </w:pPr>
      <w:r>
        <w:rPr>
          <w:rFonts w:hint="eastAsia" w:ascii="宋体" w:hAnsi="宋体" w:cs="宋体"/>
          <w:color w:val="auto"/>
          <w:sz w:val="24"/>
          <w:highlight w:val="none"/>
        </w:rPr>
        <w:t>13.2本条所述的“不可抗力”系指那些卖方无法控制、不可预见的事件，</w:t>
      </w:r>
      <w:r>
        <w:rPr>
          <w:rFonts w:hint="eastAsia" w:ascii="宋体" w:hAnsi="宋体" w:cs="宋体"/>
          <w:b/>
          <w:color w:val="auto"/>
          <w:sz w:val="24"/>
          <w:highlight w:val="none"/>
        </w:rPr>
        <w:t>但不包括卖方的违约或疏忽。</w:t>
      </w:r>
      <w:r>
        <w:rPr>
          <w:rFonts w:hint="eastAsia" w:ascii="宋体" w:hAnsi="宋体" w:cs="宋体"/>
          <w:color w:val="auto"/>
          <w:sz w:val="24"/>
          <w:highlight w:val="none"/>
        </w:rPr>
        <w:t>这些事件包括：战争、严重火灾、洪水、台风、地震以及其它买方、见证方和卖方商定的事件。</w:t>
      </w:r>
    </w:p>
    <w:p w14:paraId="39B00B57">
      <w:pPr>
        <w:spacing w:line="400" w:lineRule="exact"/>
        <w:ind w:firstLine="658"/>
        <w:rPr>
          <w:rFonts w:ascii="宋体" w:hAnsi="宋体" w:cs="宋体"/>
          <w:color w:val="auto"/>
          <w:sz w:val="24"/>
          <w:highlight w:val="none"/>
        </w:rPr>
      </w:pPr>
      <w:r>
        <w:rPr>
          <w:rFonts w:hint="eastAsia" w:ascii="宋体" w:hAnsi="宋体" w:cs="宋体"/>
          <w:color w:val="auto"/>
          <w:sz w:val="24"/>
          <w:highlight w:val="none"/>
        </w:rPr>
        <w:t>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14:paraId="7ADB6B52">
      <w:pPr>
        <w:spacing w:line="400" w:lineRule="exact"/>
        <w:ind w:firstLine="482"/>
        <w:rPr>
          <w:rFonts w:ascii="宋体" w:hAnsi="宋体" w:cs="宋体"/>
          <w:b/>
          <w:color w:val="auto"/>
          <w:sz w:val="24"/>
          <w:highlight w:val="none"/>
        </w:rPr>
      </w:pPr>
      <w:r>
        <w:rPr>
          <w:rFonts w:hint="eastAsia" w:ascii="宋体" w:hAnsi="宋体" w:cs="宋体"/>
          <w:b/>
          <w:color w:val="auto"/>
          <w:sz w:val="24"/>
          <w:highlight w:val="none"/>
        </w:rPr>
        <w:t>14.税费</w:t>
      </w:r>
    </w:p>
    <w:p w14:paraId="1B9234BA">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14.1中国政府根据现行税法规定对买方征收的、与本合同有关的一切税费，均由买方负担，</w:t>
      </w:r>
      <w:r>
        <w:rPr>
          <w:rFonts w:hint="eastAsia" w:ascii="宋体" w:hAnsi="宋体" w:cs="宋体"/>
          <w:color w:val="auto"/>
          <w:sz w:val="24"/>
          <w:highlight w:val="none"/>
          <w:lang w:eastAsia="zh-CN"/>
        </w:rPr>
        <w:t>谈判</w:t>
      </w:r>
      <w:r>
        <w:rPr>
          <w:rFonts w:hint="eastAsia" w:ascii="宋体" w:hAnsi="宋体" w:cs="宋体"/>
          <w:color w:val="auto"/>
          <w:sz w:val="24"/>
          <w:highlight w:val="none"/>
        </w:rPr>
        <w:t>文件另有规定的除外。</w:t>
      </w:r>
    </w:p>
    <w:p w14:paraId="105B7642">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14.2中国政府根据现行税法规定对卖方征收的、与本合同有关的一切税费，均由卖方负担。</w:t>
      </w:r>
    </w:p>
    <w:p w14:paraId="4F898B38">
      <w:pPr>
        <w:spacing w:line="400" w:lineRule="exact"/>
        <w:ind w:firstLine="482"/>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15.履约保证金</w:t>
      </w:r>
    </w:p>
    <w:p w14:paraId="0DEFCD20">
      <w:pPr>
        <w:pStyle w:val="360"/>
        <w:spacing w:before="120" w:after="120" w:line="360" w:lineRule="auto"/>
        <w:ind w:left="0" w:firstLine="240"/>
        <w:jc w:val="lef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15</w:t>
      </w:r>
      <w:r>
        <w:rPr>
          <w:rFonts w:hint="eastAsia" w:ascii="宋体" w:hAnsi="宋体" w:eastAsia="宋体" w:cs="宋体"/>
          <w:color w:val="auto"/>
          <w:sz w:val="24"/>
          <w:szCs w:val="24"/>
          <w:highlight w:val="none"/>
          <w:lang w:val="en-US" w:eastAsia="zh-CN" w:bidi="ar-SA"/>
        </w:rPr>
        <w:t>.1、本项目中标后需缴纳1%的履约保证金。</w:t>
      </w:r>
    </w:p>
    <w:p w14:paraId="086BC1A5">
      <w:pPr>
        <w:pStyle w:val="360"/>
        <w:spacing w:before="120" w:after="120" w:line="360" w:lineRule="auto"/>
        <w:ind w:left="0" w:firstLine="240"/>
        <w:jc w:val="lef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15</w:t>
      </w:r>
      <w:r>
        <w:rPr>
          <w:rFonts w:hint="eastAsia" w:ascii="宋体" w:hAnsi="宋体" w:eastAsia="宋体" w:cs="宋体"/>
          <w:color w:val="auto"/>
          <w:sz w:val="24"/>
          <w:szCs w:val="24"/>
          <w:highlight w:val="none"/>
          <w:lang w:val="en-US" w:eastAsia="zh-CN" w:bidi="ar-SA"/>
        </w:rPr>
        <w:t>.2、乙方提供的履约保证金可以是人民币形式(银行本票汇票支票、电汇)或银行保函、担保公司的保证担保或保险公司的保证保险等多种形式。</w:t>
      </w:r>
    </w:p>
    <w:p w14:paraId="5411FE71">
      <w:pPr>
        <w:pStyle w:val="360"/>
        <w:spacing w:before="120" w:after="120" w:line="360" w:lineRule="auto"/>
        <w:ind w:left="0" w:firstLine="240"/>
        <w:jc w:val="left"/>
        <w:rPr>
          <w:rFonts w:hint="default"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15</w:t>
      </w:r>
      <w:r>
        <w:rPr>
          <w:rFonts w:hint="eastAsia" w:ascii="宋体" w:hAnsi="宋体" w:eastAsia="宋体" w:cs="宋体"/>
          <w:color w:val="auto"/>
          <w:sz w:val="24"/>
          <w:szCs w:val="24"/>
          <w:highlight w:val="none"/>
          <w:lang w:val="en-US" w:eastAsia="zh-CN" w:bidi="ar-SA"/>
        </w:rPr>
        <w:t>.3、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p>
    <w:p w14:paraId="418C72ED">
      <w:pPr>
        <w:pStyle w:val="360"/>
        <w:spacing w:before="120" w:after="120" w:line="360" w:lineRule="auto"/>
        <w:ind w:left="0" w:firstLine="240"/>
        <w:jc w:val="lef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15</w:t>
      </w:r>
      <w:r>
        <w:rPr>
          <w:rFonts w:hint="eastAsia" w:ascii="宋体" w:hAnsi="宋体" w:eastAsia="宋体" w:cs="宋体"/>
          <w:color w:val="auto"/>
          <w:sz w:val="24"/>
          <w:szCs w:val="24"/>
          <w:highlight w:val="none"/>
          <w:lang w:val="en-US" w:eastAsia="zh-CN" w:bidi="ar-SA"/>
        </w:rPr>
        <w:t>.4、如乙方未能履行合同规定的义务，甲方有权从履约保证金中取得补偿。</w:t>
      </w:r>
    </w:p>
    <w:p w14:paraId="1896D60F">
      <w:pPr>
        <w:pStyle w:val="360"/>
        <w:spacing w:before="120" w:after="120" w:line="360" w:lineRule="auto"/>
        <w:ind w:left="0" w:firstLine="240"/>
        <w:jc w:val="lef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15</w:t>
      </w:r>
      <w:r>
        <w:rPr>
          <w:rFonts w:hint="eastAsia" w:ascii="宋体" w:hAnsi="宋体" w:eastAsia="宋体" w:cs="宋体"/>
          <w:color w:val="auto"/>
          <w:sz w:val="24"/>
          <w:szCs w:val="24"/>
          <w:highlight w:val="none"/>
          <w:lang w:val="en-US" w:eastAsia="zh-CN" w:bidi="ar-SA"/>
        </w:rPr>
        <w:t>.5履约保证金在合同约定期间内不予退还或者应完全有效约定期间届满之日起5个工作日内，甲方应将履约保证金退还乙方;逾期退还的，按中国人民银行同期货款基利率上浮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p>
    <w:p w14:paraId="3E14F0A7">
      <w:pPr>
        <w:pStyle w:val="360"/>
        <w:spacing w:before="120" w:after="120" w:line="0" w:lineRule="atLeast"/>
        <w:ind w:left="0" w:firstLine="240"/>
        <w:jc w:val="lef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15</w:t>
      </w:r>
      <w:r>
        <w:rPr>
          <w:rFonts w:hint="eastAsia" w:ascii="宋体" w:hAnsi="宋体" w:eastAsia="宋体" w:cs="宋体"/>
          <w:color w:val="auto"/>
          <w:sz w:val="24"/>
          <w:szCs w:val="24"/>
          <w:highlight w:val="none"/>
          <w:lang w:val="en-US" w:eastAsia="zh-CN" w:bidi="ar-SA"/>
        </w:rPr>
        <w:t>.6履约保证金在合同约定期间内不予退还或者应完全有效履约保证金在项目验收合格后无息退还给乙方。</w:t>
      </w:r>
    </w:p>
    <w:p w14:paraId="601AC71C">
      <w:pP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16.仲裁</w:t>
      </w:r>
    </w:p>
    <w:p w14:paraId="472AACDD">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16.1在执行本合同所发生的或与本合同有关的一切争端，买方和卖方应通过友好协商的办法进行解决。如从协商开始叁</w:t>
      </w:r>
      <w:r>
        <w:rPr>
          <w:rFonts w:hint="eastAsia" w:ascii="宋体" w:hAnsi="宋体" w:cs="宋体"/>
          <w:color w:val="auto"/>
          <w:sz w:val="24"/>
          <w:highlight w:val="none"/>
          <w:lang w:val="en-US" w:eastAsia="zh-CN"/>
        </w:rPr>
        <w:t>十</w:t>
      </w:r>
      <w:r>
        <w:rPr>
          <w:rFonts w:hint="eastAsia" w:ascii="宋体" w:hAnsi="宋体" w:cs="宋体"/>
          <w:color w:val="auto"/>
          <w:sz w:val="24"/>
          <w:highlight w:val="none"/>
        </w:rPr>
        <w:t>天内仍不能解决，应将争端提交有关政府或行业主管部门寻求可能解决的办法。如果提交有关政府或行业主管部门后叁拾天内仍得不到解决，则应申请仲裁。</w:t>
      </w:r>
    </w:p>
    <w:p w14:paraId="44F82503">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16.2仲裁应根据《中华人民共和国仲裁法》的规定向买方所在地有管辖权的仲裁机构申请仲裁。</w:t>
      </w:r>
    </w:p>
    <w:p w14:paraId="7652E15A">
      <w:pPr>
        <w:pStyle w:val="26"/>
        <w:spacing w:line="400" w:lineRule="exact"/>
        <w:ind w:left="1"/>
        <w:rPr>
          <w:rFonts w:hAnsi="宋体" w:cs="宋体"/>
          <w:color w:val="auto"/>
          <w:sz w:val="24"/>
          <w:szCs w:val="24"/>
          <w:highlight w:val="none"/>
        </w:rPr>
      </w:pPr>
      <w:r>
        <w:rPr>
          <w:rFonts w:hAnsi="宋体" w:cs="宋体"/>
          <w:color w:val="auto"/>
          <w:sz w:val="24"/>
          <w:szCs w:val="24"/>
          <w:highlight w:val="none"/>
        </w:rPr>
        <w:t xml:space="preserve">    16.3仲裁裁决为最终裁决，对买方和卖方均有约束力。</w:t>
      </w:r>
    </w:p>
    <w:p w14:paraId="6CEEFFF2">
      <w:pPr>
        <w:pStyle w:val="26"/>
        <w:spacing w:line="400" w:lineRule="exact"/>
        <w:rPr>
          <w:rFonts w:hAnsi="宋体" w:cs="宋体"/>
          <w:color w:val="auto"/>
          <w:sz w:val="24"/>
          <w:szCs w:val="24"/>
          <w:highlight w:val="none"/>
        </w:rPr>
      </w:pPr>
      <w:r>
        <w:rPr>
          <w:rFonts w:hAnsi="宋体" w:cs="宋体"/>
          <w:color w:val="auto"/>
          <w:sz w:val="24"/>
          <w:szCs w:val="24"/>
          <w:highlight w:val="none"/>
        </w:rPr>
        <w:t xml:space="preserve">    16.4在仲裁期间，本合同应继续执行。</w:t>
      </w:r>
    </w:p>
    <w:p w14:paraId="5801D98E">
      <w:pPr>
        <w:pStyle w:val="26"/>
        <w:spacing w:line="400" w:lineRule="exact"/>
        <w:ind w:firstLine="482"/>
        <w:rPr>
          <w:rFonts w:hAnsi="宋体" w:cs="宋体"/>
          <w:b/>
          <w:color w:val="auto"/>
          <w:sz w:val="24"/>
          <w:szCs w:val="24"/>
          <w:highlight w:val="none"/>
        </w:rPr>
      </w:pPr>
      <w:r>
        <w:rPr>
          <w:rFonts w:hAnsi="宋体" w:cs="宋体"/>
          <w:b/>
          <w:color w:val="auto"/>
          <w:sz w:val="24"/>
          <w:szCs w:val="24"/>
          <w:highlight w:val="none"/>
        </w:rPr>
        <w:t>17.违约终止合同</w:t>
      </w:r>
    </w:p>
    <w:p w14:paraId="1C87D303">
      <w:pPr>
        <w:pStyle w:val="26"/>
        <w:tabs>
          <w:tab w:val="left" w:pos="540"/>
        </w:tabs>
        <w:spacing w:line="400" w:lineRule="exact"/>
        <w:rPr>
          <w:rFonts w:hAnsi="宋体" w:cs="宋体"/>
          <w:color w:val="auto"/>
          <w:sz w:val="24"/>
          <w:szCs w:val="24"/>
          <w:highlight w:val="none"/>
        </w:rPr>
      </w:pPr>
      <w:r>
        <w:rPr>
          <w:rFonts w:hAnsi="宋体" w:cs="宋体"/>
          <w:color w:val="auto"/>
          <w:sz w:val="24"/>
          <w:szCs w:val="24"/>
          <w:highlight w:val="none"/>
        </w:rPr>
        <w:t xml:space="preserve">    17.1在买方对卖方违约而采取的任何补救措施不受影响的情况下，买方可向卖方发出终止部分或全部合同的书面通知书。</w:t>
      </w:r>
    </w:p>
    <w:p w14:paraId="479DD13A">
      <w:pPr>
        <w:pStyle w:val="26"/>
        <w:spacing w:line="400" w:lineRule="exact"/>
        <w:rPr>
          <w:rFonts w:hAnsi="宋体" w:cs="宋体"/>
          <w:color w:val="auto"/>
          <w:sz w:val="24"/>
          <w:szCs w:val="24"/>
          <w:highlight w:val="none"/>
        </w:rPr>
      </w:pPr>
      <w:r>
        <w:rPr>
          <w:rFonts w:hAnsi="宋体" w:cs="宋体"/>
          <w:color w:val="auto"/>
          <w:sz w:val="24"/>
          <w:szCs w:val="24"/>
          <w:highlight w:val="none"/>
        </w:rPr>
        <w:t xml:space="preserve">   （1）如果卖方未能按合同规定的期限或买方同意延长的限期内提供部分或全部货物；</w:t>
      </w:r>
    </w:p>
    <w:p w14:paraId="4FE37333">
      <w:pPr>
        <w:pStyle w:val="26"/>
        <w:spacing w:line="400" w:lineRule="exact"/>
        <w:rPr>
          <w:rFonts w:hAnsi="宋体" w:cs="宋体"/>
          <w:color w:val="auto"/>
          <w:sz w:val="24"/>
          <w:szCs w:val="24"/>
          <w:highlight w:val="none"/>
        </w:rPr>
      </w:pPr>
      <w:r>
        <w:rPr>
          <w:rFonts w:hAnsi="宋体" w:cs="宋体"/>
          <w:color w:val="auto"/>
          <w:sz w:val="24"/>
          <w:szCs w:val="24"/>
          <w:highlight w:val="none"/>
        </w:rPr>
        <w:t xml:space="preserve">   （2）卖方在收到买方发出的违约通知后贰拾天内，或经买方书面认可可延长的时间内未能纠正其过失；</w:t>
      </w:r>
    </w:p>
    <w:p w14:paraId="57F041A0">
      <w:pPr>
        <w:pStyle w:val="26"/>
        <w:spacing w:line="400" w:lineRule="exact"/>
        <w:rPr>
          <w:rFonts w:hAnsi="宋体" w:cs="宋体"/>
          <w:color w:val="auto"/>
          <w:sz w:val="24"/>
          <w:szCs w:val="24"/>
          <w:highlight w:val="none"/>
        </w:rPr>
      </w:pPr>
      <w:r>
        <w:rPr>
          <w:rFonts w:hAnsi="宋体" w:cs="宋体"/>
          <w:color w:val="auto"/>
          <w:sz w:val="24"/>
          <w:szCs w:val="24"/>
          <w:highlight w:val="none"/>
        </w:rPr>
        <w:t xml:space="preserve">   （3）如果卖方未能履行合同规定的其他义务。</w:t>
      </w:r>
    </w:p>
    <w:p w14:paraId="49DF3C25">
      <w:pPr>
        <w:pStyle w:val="26"/>
        <w:spacing w:line="400" w:lineRule="exact"/>
        <w:rPr>
          <w:rFonts w:hAnsi="宋体" w:cs="宋体"/>
          <w:color w:val="auto"/>
          <w:sz w:val="24"/>
          <w:szCs w:val="24"/>
          <w:highlight w:val="none"/>
        </w:rPr>
      </w:pPr>
      <w:r>
        <w:rPr>
          <w:rFonts w:hAnsi="宋体" w:cs="宋体"/>
          <w:color w:val="auto"/>
          <w:sz w:val="24"/>
          <w:szCs w:val="24"/>
          <w:highlight w:val="none"/>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p>
    <w:p w14:paraId="353C60B8">
      <w:pPr>
        <w:pStyle w:val="26"/>
        <w:spacing w:line="400" w:lineRule="exact"/>
        <w:rPr>
          <w:rFonts w:hAnsi="宋体" w:cs="宋体"/>
          <w:b/>
          <w:color w:val="auto"/>
          <w:sz w:val="24"/>
          <w:szCs w:val="24"/>
          <w:highlight w:val="none"/>
        </w:rPr>
      </w:pPr>
      <w:r>
        <w:rPr>
          <w:rFonts w:hAnsi="宋体" w:cs="宋体"/>
          <w:b/>
          <w:color w:val="auto"/>
          <w:sz w:val="24"/>
          <w:szCs w:val="24"/>
          <w:highlight w:val="none"/>
        </w:rPr>
        <w:t xml:space="preserve">    18.破产中止合同</w:t>
      </w:r>
    </w:p>
    <w:p w14:paraId="3BA8F7B8">
      <w:pPr>
        <w:pStyle w:val="26"/>
        <w:spacing w:line="400" w:lineRule="exact"/>
        <w:rPr>
          <w:rFonts w:hint="eastAsia" w:hAnsi="宋体" w:eastAsia="宋体" w:cs="宋体"/>
          <w:color w:val="auto"/>
          <w:sz w:val="24"/>
          <w:szCs w:val="24"/>
          <w:highlight w:val="none"/>
          <w:lang w:eastAsia="zh-CN"/>
        </w:rPr>
      </w:pPr>
      <w:r>
        <w:rPr>
          <w:rFonts w:hAnsi="宋体" w:cs="宋体"/>
          <w:color w:val="auto"/>
          <w:sz w:val="24"/>
          <w:szCs w:val="24"/>
          <w:highlight w:val="none"/>
        </w:rPr>
        <w:t xml:space="preserve">    18.1如果卖方破产或无清偿能力，买方可在任何时候以书面形式通知卖方中止合同而不给卖方补偿。该中止合同将不损害或影响买方和使用方已经采取或将要采取的任何行动或补救措施的权力</w:t>
      </w:r>
      <w:r>
        <w:rPr>
          <w:rFonts w:hint="eastAsia" w:hAnsi="宋体" w:cs="宋体"/>
          <w:color w:val="auto"/>
          <w:sz w:val="24"/>
          <w:szCs w:val="24"/>
          <w:highlight w:val="none"/>
          <w:lang w:eastAsia="zh-CN"/>
        </w:rPr>
        <w:t>。</w:t>
      </w:r>
    </w:p>
    <w:p w14:paraId="6EFF738B">
      <w:pPr>
        <w:pStyle w:val="26"/>
        <w:spacing w:line="400" w:lineRule="exact"/>
        <w:rPr>
          <w:rFonts w:hAnsi="宋体" w:cs="宋体"/>
          <w:b/>
          <w:color w:val="auto"/>
          <w:sz w:val="24"/>
          <w:szCs w:val="24"/>
          <w:highlight w:val="none"/>
        </w:rPr>
      </w:pPr>
      <w:r>
        <w:rPr>
          <w:rFonts w:hAnsi="宋体" w:cs="宋体"/>
          <w:b/>
          <w:color w:val="auto"/>
          <w:sz w:val="24"/>
          <w:szCs w:val="24"/>
          <w:highlight w:val="none"/>
        </w:rPr>
        <w:t xml:space="preserve">    19.转让</w:t>
      </w:r>
    </w:p>
    <w:p w14:paraId="30C81F6C">
      <w:pPr>
        <w:pStyle w:val="26"/>
        <w:spacing w:line="400" w:lineRule="exact"/>
        <w:ind w:firstLine="480"/>
        <w:rPr>
          <w:rFonts w:hAnsi="宋体" w:cs="宋体"/>
          <w:color w:val="auto"/>
          <w:sz w:val="24"/>
          <w:szCs w:val="24"/>
          <w:highlight w:val="none"/>
        </w:rPr>
      </w:pPr>
      <w:r>
        <w:rPr>
          <w:rFonts w:hAnsi="宋体" w:cs="宋体"/>
          <w:color w:val="auto"/>
          <w:sz w:val="24"/>
          <w:szCs w:val="24"/>
          <w:highlight w:val="none"/>
        </w:rPr>
        <w:t>19.1 除买方事先书面同意外，卖方不得部分转让或全部转让其应履行的合同义务。</w:t>
      </w:r>
    </w:p>
    <w:p w14:paraId="602C9CDD">
      <w:pPr>
        <w:spacing w:line="400" w:lineRule="exact"/>
        <w:ind w:left="479" w:firstLine="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20、项目验收</w:t>
      </w:r>
    </w:p>
    <w:p w14:paraId="27A9DBF9">
      <w:pPr>
        <w:spacing w:line="400" w:lineRule="exact"/>
        <w:ind w:left="479"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 甲方依法组织履约验收工作。</w:t>
      </w:r>
    </w:p>
    <w:p w14:paraId="61E05031">
      <w:pPr>
        <w:spacing w:line="400" w:lineRule="exact"/>
        <w:ind w:left="479"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1DC3324">
      <w:pPr>
        <w:spacing w:line="400" w:lineRule="exact"/>
        <w:ind w:left="479"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 对于实际使用人和甲方分离的项目，甲方邀请实际使用人参与验收。</w:t>
      </w:r>
    </w:p>
    <w:p w14:paraId="7AB7B553">
      <w:pPr>
        <w:spacing w:line="400" w:lineRule="exact"/>
        <w:ind w:left="479"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 如有必要，甲方邀请参加本项目的其他供应商或第三方专业机构及专家参与验收，相关意见将作为验收书的参考资料。</w:t>
      </w:r>
    </w:p>
    <w:p w14:paraId="6EACEBD7">
      <w:pPr>
        <w:spacing w:line="400" w:lineRule="exact"/>
        <w:ind w:left="479"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20.5 甲方成立验收小组，按照采购合同的约定对乙方的履约情况进行验收。验收时间、验收标准见</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A4062BE">
      <w:pPr>
        <w:spacing w:line="400" w:lineRule="exact"/>
        <w:ind w:left="479"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lang w:val="en-US" w:eastAsia="zh-CN"/>
        </w:rPr>
        <w:t>民法典》。乙方在履约过程中有政府采购法律法规规定的违法违规情形的,甲方将及时报告本级财政部门。</w:t>
      </w:r>
    </w:p>
    <w:p w14:paraId="5151431F">
      <w:pPr>
        <w:pStyle w:val="26"/>
        <w:spacing w:line="400" w:lineRule="exact"/>
        <w:rPr>
          <w:rFonts w:hAnsi="宋体" w:cs="宋体"/>
          <w:b/>
          <w:color w:val="auto"/>
          <w:sz w:val="24"/>
          <w:szCs w:val="24"/>
          <w:highlight w:val="none"/>
        </w:rPr>
      </w:pPr>
      <w:r>
        <w:rPr>
          <w:rFonts w:hAnsi="宋体" w:cs="宋体"/>
          <w:b/>
          <w:color w:val="auto"/>
          <w:sz w:val="24"/>
          <w:szCs w:val="24"/>
          <w:highlight w:val="none"/>
        </w:rPr>
        <w:t xml:space="preserve">    </w:t>
      </w:r>
      <w:r>
        <w:rPr>
          <w:rFonts w:hint="eastAsia" w:hAnsi="宋体" w:cs="宋体"/>
          <w:b/>
          <w:color w:val="auto"/>
          <w:sz w:val="24"/>
          <w:szCs w:val="24"/>
          <w:highlight w:val="none"/>
          <w:lang w:val="en-US" w:eastAsia="zh-CN"/>
        </w:rPr>
        <w:t>21</w:t>
      </w:r>
      <w:r>
        <w:rPr>
          <w:rFonts w:hAnsi="宋体" w:cs="宋体"/>
          <w:b/>
          <w:color w:val="auto"/>
          <w:sz w:val="24"/>
          <w:szCs w:val="24"/>
          <w:highlight w:val="none"/>
        </w:rPr>
        <w:t>.合同生效及其它</w:t>
      </w:r>
    </w:p>
    <w:p w14:paraId="3DBAD809">
      <w:pPr>
        <w:spacing w:line="400" w:lineRule="exact"/>
        <w:rPr>
          <w:rFonts w:ascii="宋体" w:hAnsi="宋体" w:cs="宋体"/>
          <w:b/>
          <w:color w:val="auto"/>
          <w:sz w:val="24"/>
          <w:highlight w:val="none"/>
        </w:rPr>
      </w:pPr>
      <w:r>
        <w:rPr>
          <w:rFonts w:hint="eastAsia" w:ascii="宋体" w:hAnsi="宋体" w:cs="宋体"/>
          <w:color w:val="auto"/>
          <w:sz w:val="24"/>
          <w:highlight w:val="none"/>
        </w:rPr>
        <w:t xml:space="preserve">    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.1本项目</w:t>
      </w:r>
      <w:r>
        <w:rPr>
          <w:rFonts w:hint="eastAsia" w:ascii="宋体" w:hAnsi="宋体" w:cs="宋体"/>
          <w:color w:val="auto"/>
          <w:sz w:val="24"/>
          <w:highlight w:val="none"/>
          <w:lang w:eastAsia="zh-CN"/>
        </w:rPr>
        <w:t>谈判</w:t>
      </w:r>
      <w:r>
        <w:rPr>
          <w:rFonts w:hint="eastAsia" w:ascii="宋体" w:hAnsi="宋体" w:cs="宋体"/>
          <w:color w:val="auto"/>
          <w:sz w:val="24"/>
          <w:highlight w:val="none"/>
        </w:rPr>
        <w:t>文件、卖方提交响应文件、本次</w:t>
      </w:r>
      <w:r>
        <w:rPr>
          <w:rFonts w:hint="eastAsia" w:ascii="宋体" w:hAnsi="宋体" w:cs="宋体"/>
          <w:color w:val="auto"/>
          <w:sz w:val="24"/>
          <w:highlight w:val="none"/>
          <w:lang w:eastAsia="zh-CN"/>
        </w:rPr>
        <w:t>谈判</w:t>
      </w:r>
      <w:r>
        <w:rPr>
          <w:rFonts w:hint="eastAsia" w:ascii="宋体" w:hAnsi="宋体" w:cs="宋体"/>
          <w:color w:val="auto"/>
          <w:sz w:val="24"/>
          <w:highlight w:val="none"/>
        </w:rPr>
        <w:t>的成交通知书和</w:t>
      </w:r>
      <w:r>
        <w:rPr>
          <w:rFonts w:hint="eastAsia" w:ascii="宋体" w:hAnsi="宋体" w:cs="宋体"/>
          <w:color w:val="auto"/>
          <w:sz w:val="24"/>
          <w:highlight w:val="none"/>
          <w:lang w:eastAsia="zh-CN"/>
        </w:rPr>
        <w:t>谈判</w:t>
      </w:r>
      <w:r>
        <w:rPr>
          <w:rFonts w:hint="eastAsia" w:ascii="宋体" w:hAnsi="宋体" w:cs="宋体"/>
          <w:color w:val="auto"/>
          <w:sz w:val="24"/>
          <w:highlight w:val="none"/>
        </w:rPr>
        <w:t>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color w:val="auto"/>
          <w:sz w:val="24"/>
          <w:highlight w:val="none"/>
        </w:rPr>
        <w:t>。</w:t>
      </w:r>
    </w:p>
    <w:p w14:paraId="4AA00252">
      <w:pPr>
        <w:pStyle w:val="26"/>
        <w:spacing w:line="400" w:lineRule="exact"/>
        <w:ind w:firstLine="480"/>
        <w:rPr>
          <w:rFonts w:hAnsi="宋体" w:cs="宋体"/>
          <w:color w:val="auto"/>
          <w:sz w:val="24"/>
          <w:szCs w:val="24"/>
          <w:highlight w:val="none"/>
        </w:rPr>
      </w:pPr>
      <w:r>
        <w:rPr>
          <w:rFonts w:hAnsi="宋体" w:cs="宋体"/>
          <w:color w:val="auto"/>
          <w:sz w:val="24"/>
          <w:szCs w:val="24"/>
          <w:highlight w:val="none"/>
        </w:rPr>
        <w:t>2</w:t>
      </w:r>
      <w:r>
        <w:rPr>
          <w:rFonts w:hint="eastAsia" w:hAnsi="宋体" w:cs="宋体"/>
          <w:color w:val="auto"/>
          <w:sz w:val="24"/>
          <w:szCs w:val="24"/>
          <w:highlight w:val="none"/>
          <w:lang w:val="en-US" w:eastAsia="zh-CN"/>
        </w:rPr>
        <w:t>1</w:t>
      </w:r>
      <w:r>
        <w:rPr>
          <w:rFonts w:hAnsi="宋体" w:cs="宋体"/>
          <w:color w:val="auto"/>
          <w:sz w:val="24"/>
          <w:szCs w:val="24"/>
          <w:highlight w:val="none"/>
        </w:rPr>
        <w:t>.2</w:t>
      </w:r>
      <w:r>
        <w:rPr>
          <w:rFonts w:hint="eastAsia" w:hAnsi="宋体" w:cs="宋体"/>
          <w:color w:val="auto"/>
          <w:sz w:val="24"/>
          <w:szCs w:val="24"/>
          <w:highlight w:val="none"/>
        </w:rPr>
        <w:t>本合同经买方、卖方双方授权代表盖章</w:t>
      </w:r>
      <w:r>
        <w:rPr>
          <w:rFonts w:hint="eastAsia" w:hAnsi="宋体" w:cs="宋体"/>
          <w:color w:val="auto"/>
          <w:sz w:val="24"/>
          <w:highlight w:val="none"/>
        </w:rPr>
        <w:t>后方可生效</w:t>
      </w:r>
      <w:r>
        <w:rPr>
          <w:rFonts w:hint="eastAsia" w:hAnsi="宋体" w:cs="宋体"/>
          <w:color w:val="auto"/>
          <w:sz w:val="24"/>
          <w:szCs w:val="24"/>
          <w:highlight w:val="none"/>
        </w:rPr>
        <w:t>。如有变动，双方自行商讨签订补充协议</w:t>
      </w:r>
      <w:r>
        <w:rPr>
          <w:rFonts w:hAnsi="宋体" w:cs="宋体"/>
          <w:color w:val="auto"/>
          <w:sz w:val="24"/>
          <w:szCs w:val="24"/>
          <w:highlight w:val="none"/>
        </w:rPr>
        <w:t>。</w:t>
      </w:r>
    </w:p>
    <w:p w14:paraId="14BD0D1C">
      <w:pPr>
        <w:pStyle w:val="26"/>
        <w:spacing w:line="400" w:lineRule="exact"/>
        <w:rPr>
          <w:rFonts w:hAnsi="宋体" w:cs="宋体"/>
          <w:color w:val="auto"/>
          <w:sz w:val="24"/>
          <w:szCs w:val="24"/>
          <w:highlight w:val="none"/>
        </w:rPr>
      </w:pPr>
      <w:r>
        <w:rPr>
          <w:rFonts w:hAnsi="宋体" w:cs="宋体"/>
          <w:color w:val="auto"/>
          <w:sz w:val="24"/>
          <w:szCs w:val="24"/>
          <w:highlight w:val="none"/>
        </w:rPr>
        <w:t xml:space="preserve">    2</w:t>
      </w:r>
      <w:r>
        <w:rPr>
          <w:rFonts w:hint="eastAsia" w:hAnsi="宋体" w:cs="宋体"/>
          <w:color w:val="auto"/>
          <w:sz w:val="24"/>
          <w:szCs w:val="24"/>
          <w:highlight w:val="none"/>
          <w:lang w:val="en-US" w:eastAsia="zh-CN"/>
        </w:rPr>
        <w:t>1</w:t>
      </w:r>
      <w:r>
        <w:rPr>
          <w:rFonts w:hAnsi="宋体" w:cs="宋体"/>
          <w:color w:val="auto"/>
          <w:sz w:val="24"/>
          <w:szCs w:val="24"/>
          <w:highlight w:val="none"/>
        </w:rPr>
        <w:t>.3本合同一式</w:t>
      </w:r>
      <w:r>
        <w:rPr>
          <w:rFonts w:hint="eastAsia" w:hAnsi="宋体" w:cs="宋体"/>
          <w:color w:val="auto"/>
          <w:sz w:val="24"/>
          <w:szCs w:val="24"/>
          <w:highlight w:val="none"/>
        </w:rPr>
        <w:t>伍</w:t>
      </w:r>
      <w:r>
        <w:rPr>
          <w:rFonts w:hAnsi="宋体" w:cs="宋体"/>
          <w:color w:val="auto"/>
          <w:sz w:val="24"/>
          <w:szCs w:val="24"/>
          <w:highlight w:val="none"/>
        </w:rPr>
        <w:t>份，以中文书就，买方执</w:t>
      </w:r>
      <w:r>
        <w:rPr>
          <w:rFonts w:hint="eastAsia" w:hAnsi="宋体" w:cs="宋体"/>
          <w:color w:val="auto"/>
          <w:sz w:val="24"/>
          <w:szCs w:val="24"/>
          <w:highlight w:val="none"/>
        </w:rPr>
        <w:t>两</w:t>
      </w:r>
      <w:r>
        <w:rPr>
          <w:rFonts w:hAnsi="宋体" w:cs="宋体"/>
          <w:color w:val="auto"/>
          <w:sz w:val="24"/>
          <w:szCs w:val="24"/>
          <w:highlight w:val="none"/>
        </w:rPr>
        <w:t>份，卖方执</w:t>
      </w:r>
      <w:r>
        <w:rPr>
          <w:rFonts w:hint="eastAsia" w:hAnsi="宋体" w:cs="宋体"/>
          <w:color w:val="auto"/>
          <w:sz w:val="24"/>
          <w:szCs w:val="24"/>
          <w:highlight w:val="none"/>
        </w:rPr>
        <w:t>两</w:t>
      </w:r>
      <w:r>
        <w:rPr>
          <w:rFonts w:hAnsi="宋体" w:cs="宋体"/>
          <w:color w:val="auto"/>
          <w:sz w:val="24"/>
          <w:szCs w:val="24"/>
          <w:highlight w:val="none"/>
        </w:rPr>
        <w:t>份、备案一份。</w:t>
      </w:r>
    </w:p>
    <w:p w14:paraId="56AEEA65">
      <w:pPr>
        <w:pStyle w:val="26"/>
        <w:spacing w:line="400" w:lineRule="exact"/>
        <w:rPr>
          <w:rFonts w:hAnsi="宋体" w:cs="宋体"/>
          <w:color w:val="auto"/>
          <w:sz w:val="24"/>
          <w:szCs w:val="24"/>
          <w:highlight w:val="none"/>
        </w:rPr>
      </w:pPr>
      <w:r>
        <w:rPr>
          <w:rFonts w:hAnsi="宋体" w:cs="宋体"/>
          <w:color w:val="auto"/>
          <w:sz w:val="24"/>
          <w:szCs w:val="24"/>
          <w:highlight w:val="none"/>
        </w:rPr>
        <w:t xml:space="preserve">    2</w:t>
      </w:r>
      <w:r>
        <w:rPr>
          <w:rFonts w:hint="eastAsia" w:hAnsi="宋体" w:cs="宋体"/>
          <w:color w:val="auto"/>
          <w:sz w:val="24"/>
          <w:szCs w:val="24"/>
          <w:highlight w:val="none"/>
          <w:lang w:val="en-US" w:eastAsia="zh-CN"/>
        </w:rPr>
        <w:t>1</w:t>
      </w:r>
      <w:r>
        <w:rPr>
          <w:rFonts w:hAnsi="宋体" w:cs="宋体"/>
          <w:color w:val="auto"/>
          <w:sz w:val="24"/>
          <w:szCs w:val="24"/>
          <w:highlight w:val="none"/>
        </w:rPr>
        <w:t>.4合同货物交付使用后所发生的合同纠纷，买方与卖方进行处理。</w:t>
      </w:r>
    </w:p>
    <w:p w14:paraId="18A89DB4">
      <w:pPr>
        <w:pStyle w:val="26"/>
        <w:spacing w:line="400" w:lineRule="exact"/>
        <w:rPr>
          <w:rFonts w:hAnsi="宋体" w:cs="宋体"/>
          <w:color w:val="auto"/>
          <w:sz w:val="24"/>
          <w:szCs w:val="24"/>
          <w:highlight w:val="none"/>
        </w:rPr>
      </w:pPr>
      <w:r>
        <w:rPr>
          <w:rFonts w:hAnsi="宋体" w:cs="宋体"/>
          <w:color w:val="auto"/>
          <w:sz w:val="24"/>
          <w:szCs w:val="24"/>
          <w:highlight w:val="none"/>
        </w:rPr>
        <w:t xml:space="preserve">    2</w:t>
      </w:r>
      <w:r>
        <w:rPr>
          <w:rFonts w:hint="eastAsia" w:hAnsi="宋体" w:cs="宋体"/>
          <w:color w:val="auto"/>
          <w:sz w:val="24"/>
          <w:szCs w:val="24"/>
          <w:highlight w:val="none"/>
          <w:lang w:val="en-US" w:eastAsia="zh-CN"/>
        </w:rPr>
        <w:t>1</w:t>
      </w:r>
      <w:r>
        <w:rPr>
          <w:rFonts w:hAnsi="宋体" w:cs="宋体"/>
          <w:color w:val="auto"/>
          <w:sz w:val="24"/>
          <w:szCs w:val="24"/>
          <w:highlight w:val="none"/>
        </w:rPr>
        <w:t>.5如需修改或补充合同内容，应经卖方、买方协商，签署书面修改或补充协议。该协议将作为本合同不可分割的一部分。</w:t>
      </w:r>
    </w:p>
    <w:p w14:paraId="5F8BB3EA">
      <w:pPr>
        <w:spacing w:line="400" w:lineRule="exact"/>
        <w:ind w:firstLine="480"/>
        <w:rPr>
          <w:rFonts w:ascii="宋体" w:hAnsi="宋体" w:cs="宋体"/>
          <w:bCs/>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.6本合同应按照中华人民共和国的现行法律进行解释。</w:t>
      </w:r>
    </w:p>
    <w:p w14:paraId="10151EE7">
      <w:pPr>
        <w:spacing w:line="360" w:lineRule="auto"/>
        <w:jc w:val="center"/>
        <w:rPr>
          <w:rFonts w:hint="eastAsia" w:ascii="宋体" w:hAnsi="宋体" w:cs="宋体"/>
          <w:b/>
          <w:color w:val="auto"/>
          <w:sz w:val="32"/>
          <w:szCs w:val="32"/>
          <w:highlight w:val="none"/>
        </w:rPr>
      </w:pPr>
    </w:p>
    <w:p w14:paraId="6EA31544">
      <w:pPr>
        <w:spacing w:line="360" w:lineRule="auto"/>
        <w:jc w:val="center"/>
        <w:rPr>
          <w:rFonts w:hint="eastAsia" w:ascii="宋体" w:hAnsi="宋体" w:cs="宋体"/>
          <w:b/>
          <w:color w:val="auto"/>
          <w:sz w:val="32"/>
          <w:szCs w:val="32"/>
          <w:highlight w:val="none"/>
        </w:rPr>
      </w:pPr>
    </w:p>
    <w:p w14:paraId="7BA3259B">
      <w:pPr>
        <w:spacing w:line="360" w:lineRule="auto"/>
        <w:jc w:val="center"/>
        <w:rPr>
          <w:rFonts w:hint="eastAsia" w:ascii="宋体" w:hAnsi="宋体" w:cs="宋体"/>
          <w:b/>
          <w:color w:val="auto"/>
          <w:sz w:val="32"/>
          <w:szCs w:val="32"/>
          <w:highlight w:val="none"/>
        </w:rPr>
      </w:pPr>
    </w:p>
    <w:p w14:paraId="67F504BA">
      <w:pPr>
        <w:spacing w:line="360" w:lineRule="auto"/>
        <w:jc w:val="center"/>
        <w:rPr>
          <w:rFonts w:hint="eastAsia" w:ascii="宋体" w:hAnsi="宋体" w:cs="宋体"/>
          <w:b/>
          <w:color w:val="auto"/>
          <w:sz w:val="32"/>
          <w:szCs w:val="32"/>
          <w:highlight w:val="none"/>
        </w:rPr>
      </w:pPr>
    </w:p>
    <w:p w14:paraId="43D89E7D">
      <w:pPr>
        <w:spacing w:line="360" w:lineRule="auto"/>
        <w:jc w:val="both"/>
        <w:rPr>
          <w:rFonts w:hint="eastAsia" w:ascii="宋体" w:hAnsi="宋体" w:cs="宋体"/>
          <w:b/>
          <w:color w:val="auto"/>
          <w:sz w:val="32"/>
          <w:szCs w:val="32"/>
          <w:highlight w:val="none"/>
        </w:rPr>
      </w:pPr>
    </w:p>
    <w:p w14:paraId="46C0910B">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项目采购合同协议书</w:t>
      </w:r>
    </w:p>
    <w:p w14:paraId="6208E6C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u w:val="single"/>
          <w:lang w:eastAsia="zh-CN"/>
        </w:rPr>
        <w:t>金湖县农业农村局</w:t>
      </w:r>
      <w:r>
        <w:rPr>
          <w:rFonts w:hint="eastAsia" w:ascii="宋体" w:hAnsi="宋体" w:cs="宋体"/>
          <w:color w:val="auto"/>
          <w:sz w:val="24"/>
          <w:highlight w:val="none"/>
        </w:rPr>
        <w:t>（以下简称“买方”)</w:t>
      </w:r>
    </w:p>
    <w:p w14:paraId="3D68D60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（以下简称“卖方”）</w:t>
      </w:r>
    </w:p>
    <w:p w14:paraId="0F1C1D32">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根据《中华人民共和国政府采购法》、《中华人民共和国民法典》等法律法规的规定，买卖双方按下述条款和条件签订本合同（以下简称“合同”)</w:t>
      </w:r>
    </w:p>
    <w:p w14:paraId="11B584EF">
      <w:pPr>
        <w:keepNext w:val="0"/>
        <w:keepLines w:val="0"/>
        <w:pageBreakBefore w:val="0"/>
        <w:numPr>
          <w:ilvl w:val="0"/>
          <w:numId w:val="3"/>
        </w:numPr>
        <w:kinsoku/>
        <w:wordWrap/>
        <w:overflowPunct/>
        <w:topLinePunct w:val="0"/>
        <w:autoSpaceDE/>
        <w:autoSpaceDN/>
        <w:bidi w:val="0"/>
        <w:adjustRightInd/>
        <w:snapToGrid/>
        <w:spacing w:line="440" w:lineRule="exact"/>
        <w:jc w:val="left"/>
        <w:textAlignment w:val="auto"/>
        <w:rPr>
          <w:rFonts w:hint="eastAsia" w:ascii="宋体" w:hAnsi="宋体" w:cs="宋体"/>
          <w:color w:val="auto"/>
          <w:sz w:val="24"/>
          <w:highlight w:val="none"/>
        </w:rPr>
      </w:pPr>
      <w:r>
        <w:rPr>
          <w:rFonts w:hint="eastAsia" w:ascii="宋体" w:hAnsi="宋体" w:cs="宋体"/>
          <w:color w:val="auto"/>
          <w:sz w:val="24"/>
          <w:highlight w:val="none"/>
        </w:rPr>
        <w:t>合同文件：下列关于金湖县政府采购</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项目</w:t>
      </w:r>
      <w:r>
        <w:rPr>
          <w:rFonts w:hint="eastAsia" w:ascii="宋体" w:hAnsi="宋体" w:cs="宋体"/>
          <w:color w:val="auto"/>
          <w:sz w:val="24"/>
          <w:highlight w:val="none"/>
        </w:rPr>
        <w:t>的谈判文件、投标响应文件是构成本合同不可分割的部分：</w:t>
      </w:r>
    </w:p>
    <w:p w14:paraId="20D2213B">
      <w:pPr>
        <w:keepNext w:val="0"/>
        <w:keepLines w:val="0"/>
        <w:pageBreakBefore w:val="0"/>
        <w:numPr>
          <w:ilvl w:val="0"/>
          <w:numId w:val="0"/>
        </w:numPr>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（1）合同条款及前附表；</w:t>
      </w:r>
    </w:p>
    <w:p w14:paraId="2CA85B4D">
      <w:pPr>
        <w:keepNext w:val="0"/>
        <w:keepLines w:val="0"/>
        <w:pageBreakBefore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（2）卖方提交的投标文件；</w:t>
      </w:r>
    </w:p>
    <w:p w14:paraId="42656148">
      <w:pPr>
        <w:keepNext w:val="0"/>
        <w:keepLines w:val="0"/>
        <w:pageBreakBefore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（3）成交通知书；</w:t>
      </w:r>
    </w:p>
    <w:p w14:paraId="1B82155A">
      <w:pPr>
        <w:keepNext w:val="0"/>
        <w:keepLines w:val="0"/>
        <w:pageBreakBefore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（4）买方和卖方商定的其他必要文件。</w:t>
      </w:r>
    </w:p>
    <w:p w14:paraId="52F1BC16">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rPr>
        <w:t>二、</w:t>
      </w:r>
      <w:r>
        <w:rPr>
          <w:rFonts w:hint="eastAsia" w:ascii="宋体" w:hAnsi="宋体" w:cs="宋体"/>
          <w:color w:val="auto"/>
          <w:sz w:val="24"/>
          <w:highlight w:val="none"/>
          <w:lang w:val="en-US" w:eastAsia="zh-CN"/>
        </w:rPr>
        <w:t>货物及数量</w:t>
      </w:r>
    </w:p>
    <w:tbl>
      <w:tblPr>
        <w:tblStyle w:val="50"/>
        <w:tblpPr w:leftFromText="180" w:rightFromText="180" w:vertAnchor="text" w:horzAnchor="page" w:tblpX="1117" w:tblpY="219"/>
        <w:tblW w:w="95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2273"/>
        <w:gridCol w:w="1070"/>
        <w:gridCol w:w="1480"/>
        <w:gridCol w:w="1396"/>
        <w:gridCol w:w="2054"/>
      </w:tblGrid>
      <w:tr w14:paraId="1757B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277" w:type="dxa"/>
            <w:noWrap w:val="0"/>
            <w:vAlign w:val="center"/>
          </w:tcPr>
          <w:p w14:paraId="07D29BC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color w:val="auto"/>
                <w:sz w:val="24"/>
                <w:highlight w:val="none"/>
              </w:rPr>
            </w:pPr>
            <w:r>
              <w:rPr>
                <w:rFonts w:hint="eastAsia" w:ascii="宋体" w:hAnsi="宋体" w:cs="宋体"/>
                <w:color w:val="auto"/>
                <w:sz w:val="24"/>
                <w:highlight w:val="none"/>
              </w:rPr>
              <w:t>货物名称</w:t>
            </w:r>
          </w:p>
        </w:tc>
        <w:tc>
          <w:tcPr>
            <w:tcW w:w="2273" w:type="dxa"/>
            <w:noWrap w:val="0"/>
            <w:vAlign w:val="center"/>
          </w:tcPr>
          <w:p w14:paraId="05D325F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eastAsia="宋体"/>
                <w:color w:val="auto"/>
                <w:sz w:val="24"/>
                <w:highlight w:val="none"/>
                <w:lang w:val="en-US" w:eastAsia="zh-CN"/>
              </w:rPr>
            </w:pPr>
            <w:r>
              <w:rPr>
                <w:rFonts w:hint="eastAsia" w:ascii="宋体" w:hAnsi="宋体" w:cs="宋体"/>
                <w:color w:val="auto"/>
                <w:sz w:val="24"/>
                <w:highlight w:val="none"/>
              </w:rPr>
              <w:t>规格</w:t>
            </w:r>
            <w:r>
              <w:rPr>
                <w:rFonts w:hint="eastAsia" w:ascii="宋体" w:hAnsi="宋体" w:cs="宋体"/>
                <w:color w:val="auto"/>
                <w:sz w:val="24"/>
                <w:highlight w:val="none"/>
                <w:lang w:val="en-US" w:eastAsia="zh-CN"/>
              </w:rPr>
              <w:t>参数</w:t>
            </w:r>
          </w:p>
        </w:tc>
        <w:tc>
          <w:tcPr>
            <w:tcW w:w="1070" w:type="dxa"/>
            <w:noWrap w:val="0"/>
            <w:vAlign w:val="center"/>
          </w:tcPr>
          <w:p w14:paraId="7606882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cs="宋体"/>
                <w:color w:val="auto"/>
                <w:sz w:val="24"/>
                <w:highlight w:val="none"/>
              </w:rPr>
            </w:pPr>
            <w:r>
              <w:rPr>
                <w:rFonts w:hint="eastAsia" w:ascii="宋体" w:hAnsi="宋体" w:cs="宋体"/>
                <w:color w:val="auto"/>
                <w:sz w:val="24"/>
                <w:highlight w:val="none"/>
              </w:rPr>
              <w:t>单位</w:t>
            </w:r>
          </w:p>
        </w:tc>
        <w:tc>
          <w:tcPr>
            <w:tcW w:w="1480" w:type="dxa"/>
            <w:noWrap w:val="0"/>
            <w:vAlign w:val="center"/>
          </w:tcPr>
          <w:p w14:paraId="140B04B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cs="宋体"/>
                <w:color w:val="auto"/>
                <w:sz w:val="24"/>
                <w:highlight w:val="none"/>
              </w:rPr>
            </w:pPr>
            <w:r>
              <w:rPr>
                <w:rFonts w:hint="eastAsia" w:ascii="宋体" w:hAnsi="宋体" w:cs="宋体"/>
                <w:color w:val="auto"/>
                <w:sz w:val="24"/>
                <w:highlight w:val="none"/>
              </w:rPr>
              <w:t>数量</w:t>
            </w:r>
          </w:p>
        </w:tc>
        <w:tc>
          <w:tcPr>
            <w:tcW w:w="1396" w:type="dxa"/>
            <w:noWrap w:val="0"/>
            <w:vAlign w:val="center"/>
          </w:tcPr>
          <w:p w14:paraId="7B75101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color w:val="auto"/>
                <w:sz w:val="24"/>
                <w:highlight w:val="none"/>
              </w:rPr>
            </w:pPr>
            <w:r>
              <w:rPr>
                <w:rFonts w:hint="eastAsia"/>
                <w:color w:val="auto"/>
                <w:sz w:val="24"/>
                <w:highlight w:val="none"/>
              </w:rPr>
              <w:t>单价</w:t>
            </w:r>
          </w:p>
        </w:tc>
        <w:tc>
          <w:tcPr>
            <w:tcW w:w="2054" w:type="dxa"/>
            <w:noWrap w:val="0"/>
            <w:vAlign w:val="center"/>
          </w:tcPr>
          <w:p w14:paraId="20CE00C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eastAsia="宋体"/>
                <w:color w:val="auto"/>
                <w:sz w:val="24"/>
                <w:highlight w:val="none"/>
                <w:lang w:val="en-US" w:eastAsia="zh-CN"/>
              </w:rPr>
            </w:pPr>
            <w:r>
              <w:rPr>
                <w:rFonts w:hint="eastAsia"/>
                <w:color w:val="auto"/>
                <w:sz w:val="24"/>
                <w:highlight w:val="none"/>
                <w:lang w:val="en-US" w:eastAsia="zh-CN"/>
              </w:rPr>
              <w:t>合价</w:t>
            </w:r>
          </w:p>
        </w:tc>
      </w:tr>
      <w:tr w14:paraId="6F4A5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277" w:type="dxa"/>
            <w:noWrap w:val="0"/>
            <w:vAlign w:val="center"/>
          </w:tcPr>
          <w:p w14:paraId="6E0943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color w:val="auto"/>
                <w:sz w:val="28"/>
                <w:szCs w:val="24"/>
                <w:highlight w:val="none"/>
                <w:lang w:val="en-US" w:eastAsia="zh-CN" w:bidi="ar-SA"/>
              </w:rPr>
            </w:pPr>
          </w:p>
        </w:tc>
        <w:tc>
          <w:tcPr>
            <w:tcW w:w="2273" w:type="dxa"/>
            <w:noWrap w:val="0"/>
            <w:vAlign w:val="center"/>
          </w:tcPr>
          <w:p w14:paraId="2EA61E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color w:val="auto"/>
                <w:sz w:val="28"/>
                <w:szCs w:val="24"/>
                <w:highlight w:val="none"/>
                <w:lang w:val="en-US" w:eastAsia="zh-CN" w:bidi="ar-SA"/>
              </w:rPr>
            </w:pPr>
          </w:p>
        </w:tc>
        <w:tc>
          <w:tcPr>
            <w:tcW w:w="1070" w:type="dxa"/>
            <w:noWrap w:val="0"/>
            <w:vAlign w:val="center"/>
          </w:tcPr>
          <w:p w14:paraId="41941E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eastAsia="宋体"/>
                <w:color w:val="auto"/>
                <w:highlight w:val="none"/>
                <w:lang w:eastAsia="zh-CN"/>
              </w:rPr>
            </w:pPr>
          </w:p>
        </w:tc>
        <w:tc>
          <w:tcPr>
            <w:tcW w:w="1480" w:type="dxa"/>
            <w:noWrap w:val="0"/>
            <w:vAlign w:val="center"/>
          </w:tcPr>
          <w:p w14:paraId="017E17C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color w:val="auto"/>
                <w:highlight w:val="none"/>
              </w:rPr>
            </w:pPr>
          </w:p>
        </w:tc>
        <w:tc>
          <w:tcPr>
            <w:tcW w:w="1396" w:type="dxa"/>
            <w:noWrap w:val="0"/>
            <w:vAlign w:val="center"/>
          </w:tcPr>
          <w:p w14:paraId="4425D9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新宋体" w:hAnsi="新宋体" w:eastAsia="新宋体" w:cs="宋体"/>
                <w:color w:val="auto"/>
                <w:sz w:val="24"/>
                <w:highlight w:val="none"/>
              </w:rPr>
            </w:pPr>
          </w:p>
        </w:tc>
        <w:tc>
          <w:tcPr>
            <w:tcW w:w="2054" w:type="dxa"/>
            <w:noWrap w:val="0"/>
            <w:vAlign w:val="center"/>
          </w:tcPr>
          <w:p w14:paraId="5E7B9F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新宋体" w:hAnsi="新宋体" w:eastAsia="新宋体" w:cs="宋体"/>
                <w:color w:val="auto"/>
                <w:sz w:val="24"/>
                <w:highlight w:val="none"/>
              </w:rPr>
            </w:pPr>
          </w:p>
        </w:tc>
      </w:tr>
    </w:tbl>
    <w:p w14:paraId="310FD104">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合同金额</w:t>
      </w:r>
    </w:p>
    <w:p w14:paraId="03280F8A">
      <w:pPr>
        <w:keepNext w:val="0"/>
        <w:keepLines w:val="0"/>
        <w:pageBreakBefore w:val="0"/>
        <w:kinsoku/>
        <w:wordWrap/>
        <w:overflowPunct/>
        <w:topLinePunct w:val="0"/>
        <w:autoSpaceDE/>
        <w:autoSpaceDN/>
        <w:bidi w:val="0"/>
        <w:adjustRightInd/>
        <w:snapToGrid/>
        <w:spacing w:line="440" w:lineRule="exact"/>
        <w:ind w:firstLine="36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本合同的总金额人民币(大写)</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元整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，分项价格详见卖方提交的投标报价</w:t>
      </w:r>
      <w:r>
        <w:rPr>
          <w:rFonts w:hint="eastAsia" w:ascii="宋体" w:hAnsi="宋体" w:cs="宋体"/>
          <w:color w:val="auto"/>
          <w:sz w:val="24"/>
          <w:highlight w:val="none"/>
          <w:lang w:val="en-US" w:eastAsia="zh-CN"/>
        </w:rPr>
        <w:t>明细</w:t>
      </w:r>
      <w:r>
        <w:rPr>
          <w:rFonts w:hint="eastAsia" w:ascii="宋体" w:hAnsi="宋体" w:cs="宋体"/>
          <w:color w:val="auto"/>
          <w:sz w:val="24"/>
          <w:highlight w:val="none"/>
        </w:rPr>
        <w:t>表。</w:t>
      </w:r>
    </w:p>
    <w:p w14:paraId="3DAA6467">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四</w:t>
      </w:r>
      <w:r>
        <w:rPr>
          <w:rFonts w:hint="eastAsia" w:ascii="宋体" w:hAnsi="宋体" w:cs="宋体"/>
          <w:color w:val="auto"/>
          <w:sz w:val="24"/>
          <w:highlight w:val="none"/>
        </w:rPr>
        <w:t>、付款条件</w:t>
      </w:r>
    </w:p>
    <w:p w14:paraId="6B99DB47">
      <w:pPr>
        <w:keepNext w:val="0"/>
        <w:keepLines w:val="0"/>
        <w:pageBreakBefore w:val="0"/>
        <w:kinsoku/>
        <w:wordWrap/>
        <w:overflowPunct/>
        <w:topLinePunct w:val="0"/>
        <w:autoSpaceDE/>
        <w:autoSpaceDN/>
        <w:bidi w:val="0"/>
        <w:adjustRightInd/>
        <w:snapToGrid/>
        <w:spacing w:line="440" w:lineRule="exact"/>
        <w:ind w:firstLine="36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本合同货物的付款条件在合同条款及前附表中有明确规定。</w:t>
      </w:r>
    </w:p>
    <w:p w14:paraId="0A156BAA">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五</w:t>
      </w:r>
      <w:r>
        <w:rPr>
          <w:rFonts w:hint="eastAsia" w:ascii="宋体" w:hAnsi="宋体" w:cs="宋体"/>
          <w:color w:val="auto"/>
          <w:sz w:val="24"/>
          <w:highlight w:val="none"/>
        </w:rPr>
        <w:t>、交货时间和地点</w:t>
      </w:r>
    </w:p>
    <w:p w14:paraId="578EB6D9">
      <w:pPr>
        <w:keepNext w:val="0"/>
        <w:keepLines w:val="0"/>
        <w:pageBreakBefore w:val="0"/>
        <w:kinsoku/>
        <w:wordWrap/>
        <w:overflowPunct/>
        <w:topLinePunct w:val="0"/>
        <w:autoSpaceDE/>
        <w:autoSpaceDN/>
        <w:bidi w:val="0"/>
        <w:adjustRightInd/>
        <w:snapToGrid/>
        <w:spacing w:line="440" w:lineRule="exact"/>
        <w:ind w:firstLine="36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本合同交货时间和地点在“合同条款前附表”中有明确规定。</w:t>
      </w:r>
    </w:p>
    <w:p w14:paraId="75AA8997">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color w:val="auto"/>
          <w:sz w:val="24"/>
          <w:highlight w:val="none"/>
          <w:u w:val="single"/>
        </w:rPr>
      </w:pPr>
      <w:r>
        <w:rPr>
          <w:rFonts w:hint="eastAsia" w:ascii="宋体" w:hAnsi="宋体" w:cs="宋体"/>
          <w:color w:val="auto"/>
          <w:sz w:val="24"/>
          <w:highlight w:val="none"/>
          <w:lang w:val="en-US" w:eastAsia="zh-CN"/>
        </w:rPr>
        <w:t>六</w:t>
      </w:r>
      <w:r>
        <w:rPr>
          <w:rFonts w:hint="eastAsia" w:ascii="宋体" w:hAnsi="宋体" w:cs="宋体"/>
          <w:color w:val="auto"/>
          <w:sz w:val="24"/>
          <w:highlight w:val="none"/>
        </w:rPr>
        <w:t>、质量标准：</w:t>
      </w:r>
      <w:r>
        <w:rPr>
          <w:rFonts w:hint="eastAsia" w:ascii="宋体" w:hAnsi="宋体" w:cs="宋体"/>
          <w:color w:val="auto"/>
          <w:sz w:val="24"/>
          <w:highlight w:val="none"/>
          <w:u w:val="single"/>
        </w:rPr>
        <w:t xml:space="preserve"> 合格 </w:t>
      </w:r>
    </w:p>
    <w:p w14:paraId="4FDB1AD9">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七</w:t>
      </w:r>
      <w:r>
        <w:rPr>
          <w:rFonts w:ascii="宋体" w:hAnsi="宋体" w:cs="宋体"/>
          <w:color w:val="auto"/>
          <w:sz w:val="24"/>
          <w:highlight w:val="none"/>
        </w:rPr>
        <w:t xml:space="preserve">、质量与验收： </w:t>
      </w:r>
    </w:p>
    <w:p w14:paraId="09D68DF9">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1.卖方应按照</w:t>
      </w:r>
      <w:r>
        <w:rPr>
          <w:rFonts w:hint="eastAsia" w:ascii="宋体" w:hAnsi="宋体" w:cs="宋体"/>
          <w:color w:val="auto"/>
          <w:sz w:val="24"/>
          <w:highlight w:val="none"/>
          <w:lang w:eastAsia="zh-CN"/>
        </w:rPr>
        <w:t>谈判</w:t>
      </w:r>
      <w:r>
        <w:rPr>
          <w:rFonts w:hint="eastAsia" w:ascii="宋体" w:hAnsi="宋体" w:cs="宋体"/>
          <w:color w:val="auto"/>
          <w:sz w:val="24"/>
          <w:highlight w:val="none"/>
        </w:rPr>
        <w:t xml:space="preserve">文件的有关规定提供合格产品； </w:t>
      </w:r>
    </w:p>
    <w:p w14:paraId="2B12431D">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2.质量出现问题，卖方负责调</w:t>
      </w:r>
      <w:r>
        <w:rPr>
          <w:rFonts w:hint="eastAsia" w:ascii="宋体" w:hAnsi="宋体" w:cs="宋体"/>
          <w:color w:val="auto"/>
          <w:sz w:val="24"/>
          <w:highlight w:val="none"/>
          <w:lang w:val="en-US" w:eastAsia="zh-CN"/>
        </w:rPr>
        <w:t>换</w:t>
      </w:r>
      <w:r>
        <w:rPr>
          <w:rFonts w:hint="eastAsia" w:ascii="宋体" w:hAnsi="宋体" w:cs="宋体"/>
          <w:color w:val="auto"/>
          <w:sz w:val="24"/>
          <w:highlight w:val="none"/>
        </w:rPr>
        <w:t xml:space="preserve">，费用由卖方承担； </w:t>
      </w:r>
    </w:p>
    <w:p w14:paraId="41B6108F">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3.验收标准：根据相关规定并按国家相关标准进行验收通过。</w:t>
      </w:r>
    </w:p>
    <w:p w14:paraId="7289EA2D">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4.卖方交付验收时应先用书面、传真等方式通告买方；</w:t>
      </w:r>
    </w:p>
    <w:p w14:paraId="2EBD9D6A">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八</w:t>
      </w:r>
      <w:r>
        <w:rPr>
          <w:rFonts w:hint="eastAsia" w:ascii="宋体" w:hAnsi="宋体" w:cs="宋体"/>
          <w:color w:val="auto"/>
          <w:sz w:val="24"/>
          <w:highlight w:val="none"/>
        </w:rPr>
        <w:t xml:space="preserve">、违约责任： </w:t>
      </w:r>
    </w:p>
    <w:p w14:paraId="1875E477">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 买方无正当理由拒收货物的，买方向卖方偿付拒收货款总值的百分之五违约金。</w:t>
      </w:r>
    </w:p>
    <w:p w14:paraId="0E42688E">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2. 买方无故逾期验收和办理货款支付手续的,买方应按逾期付款总额每日万分之五向卖方支付违约金。</w:t>
      </w:r>
    </w:p>
    <w:p w14:paraId="292A0B2C">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3. 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p>
    <w:p w14:paraId="09D65761">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4. 卖方所交的货物品种、型号、规格、技术参数、质量不符合合同规定及</w:t>
      </w:r>
      <w:r>
        <w:rPr>
          <w:rFonts w:hint="eastAsia" w:ascii="宋体" w:hAnsi="宋体" w:cs="宋体"/>
          <w:color w:val="auto"/>
          <w:sz w:val="24"/>
          <w:highlight w:val="none"/>
          <w:lang w:eastAsia="zh-CN"/>
        </w:rPr>
        <w:t>谈判</w:t>
      </w:r>
      <w:r>
        <w:rPr>
          <w:rFonts w:hint="eastAsia" w:ascii="宋体" w:hAnsi="宋体" w:cs="宋体"/>
          <w:color w:val="auto"/>
          <w:sz w:val="24"/>
          <w:highlight w:val="none"/>
        </w:rPr>
        <w:t>文件规定标准的，买方有权拒收该货物，卖方愿意更换货物但逾期交货的，按卖方逾期交货处理。卖方拒绝更换货物的，买方可单方面解除合同。</w:t>
      </w:r>
    </w:p>
    <w:p w14:paraId="5B1E47E8">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5.由于一方违约造成的损失，由违约方承担，另一方要求违约方继续履行合同时，违约方承担上述违约责任后仍应继续履行合同。 </w:t>
      </w:r>
    </w:p>
    <w:p w14:paraId="3DED6833">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6.由于违约造成第三方损失的，也由违约方在赔偿另一方损失的基础上再赔偿第三方损失。 </w:t>
      </w:r>
    </w:p>
    <w:p w14:paraId="4CEFE35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九</w:t>
      </w:r>
      <w:r>
        <w:rPr>
          <w:rFonts w:hint="eastAsia" w:ascii="宋体" w:hAnsi="宋体" w:cs="宋体"/>
          <w:color w:val="auto"/>
          <w:sz w:val="24"/>
          <w:highlight w:val="none"/>
        </w:rPr>
        <w:t>、其他约定：</w:t>
      </w:r>
      <w:r>
        <w:rPr>
          <w:rFonts w:hint="eastAsia" w:ascii="宋体" w:hAnsi="宋体" w:cs="宋体"/>
          <w:color w:val="auto"/>
          <w:sz w:val="24"/>
          <w:highlight w:val="none"/>
          <w:lang w:val="en-US" w:eastAsia="zh-CN"/>
        </w:rPr>
        <w:t>无</w:t>
      </w:r>
      <w:r>
        <w:rPr>
          <w:rFonts w:hint="eastAsia" w:ascii="宋体" w:hAnsi="宋体" w:cs="宋体"/>
          <w:color w:val="auto"/>
          <w:sz w:val="24"/>
          <w:highlight w:val="none"/>
        </w:rPr>
        <w:t>。</w:t>
      </w:r>
    </w:p>
    <w:p w14:paraId="57D952F2">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color w:val="auto"/>
          <w:sz w:val="24"/>
          <w:highlight w:val="none"/>
        </w:rPr>
      </w:pPr>
      <w:r>
        <w:rPr>
          <w:rFonts w:hint="eastAsia" w:ascii="宋体" w:hAnsi="宋体" w:cs="宋体"/>
          <w:color w:val="auto"/>
          <w:sz w:val="24"/>
          <w:highlight w:val="none"/>
        </w:rPr>
        <w:t>十、合同纠纷处理</w:t>
      </w:r>
    </w:p>
    <w:p w14:paraId="0F9B3BC6">
      <w:pPr>
        <w:keepNext w:val="0"/>
        <w:keepLines w:val="0"/>
        <w:pageBreakBefore w:val="0"/>
        <w:kinsoku/>
        <w:wordWrap/>
        <w:overflowPunct/>
        <w:topLinePunct w:val="0"/>
        <w:autoSpaceDE/>
        <w:autoSpaceDN/>
        <w:bidi w:val="0"/>
        <w:adjustRightInd/>
        <w:snapToGrid/>
        <w:spacing w:line="440" w:lineRule="exact"/>
        <w:ind w:firstLine="36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本合同签订后所发生的经济纠纷，按照《中华人民共和国民法典》，由买方直接与卖方进行处理，处理不成由买方所在地法院管辖。</w:t>
      </w:r>
    </w:p>
    <w:p w14:paraId="39AB9A6B">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十一</w:t>
      </w:r>
      <w:r>
        <w:rPr>
          <w:rFonts w:hint="eastAsia" w:ascii="宋体" w:hAnsi="宋体" w:cs="宋体"/>
          <w:color w:val="auto"/>
          <w:sz w:val="24"/>
          <w:highlight w:val="none"/>
        </w:rPr>
        <w:t>、合同生效及其它</w:t>
      </w:r>
    </w:p>
    <w:p w14:paraId="503687A6">
      <w:pPr>
        <w:keepNext w:val="0"/>
        <w:keepLines w:val="0"/>
        <w:pageBreakBefore w:val="0"/>
        <w:kinsoku/>
        <w:wordWrap/>
        <w:overflowPunct/>
        <w:topLinePunct w:val="0"/>
        <w:autoSpaceDE/>
        <w:autoSpaceDN/>
        <w:bidi w:val="0"/>
        <w:adjustRightInd/>
        <w:snapToGrid/>
        <w:spacing w:line="440" w:lineRule="exact"/>
        <w:ind w:firstLine="36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1.本合同经买方、卖方双方授权代表盖章后方可生效。如有变动，双方自行商讨签订补充协议。</w:t>
      </w:r>
    </w:p>
    <w:p w14:paraId="7FEE0AB6">
      <w:pPr>
        <w:keepNext w:val="0"/>
        <w:keepLines w:val="0"/>
        <w:pageBreakBefore w:val="0"/>
        <w:kinsoku/>
        <w:wordWrap/>
        <w:overflowPunct/>
        <w:topLinePunct w:val="0"/>
        <w:autoSpaceDE/>
        <w:autoSpaceDN/>
        <w:bidi w:val="0"/>
        <w:adjustRightInd/>
        <w:snapToGrid/>
        <w:spacing w:line="440" w:lineRule="exact"/>
        <w:ind w:firstLine="360"/>
        <w:jc w:val="left"/>
        <w:textAlignment w:val="auto"/>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合同在执行过程中出现的未尽事宜，双方在不违背本合同和</w:t>
      </w:r>
      <w:r>
        <w:rPr>
          <w:rFonts w:hint="eastAsia" w:ascii="宋体" w:hAnsi="宋体" w:cs="宋体"/>
          <w:color w:val="auto"/>
          <w:sz w:val="24"/>
          <w:highlight w:val="none"/>
          <w:lang w:eastAsia="zh-CN"/>
        </w:rPr>
        <w:t>谈判</w:t>
      </w:r>
      <w:r>
        <w:rPr>
          <w:rFonts w:ascii="宋体" w:hAnsi="宋体" w:cs="宋体"/>
          <w:color w:val="auto"/>
          <w:sz w:val="24"/>
          <w:highlight w:val="none"/>
        </w:rPr>
        <w:t xml:space="preserve">文件的原则下协商解决，协商结果以书面形式盖章记录在案，作为本合同的附件，与本合同具有同等效力。 </w:t>
      </w:r>
    </w:p>
    <w:p w14:paraId="5E942BB0">
      <w:pPr>
        <w:keepNext w:val="0"/>
        <w:keepLines w:val="0"/>
        <w:pageBreakBefore w:val="0"/>
        <w:kinsoku/>
        <w:wordWrap/>
        <w:overflowPunct/>
        <w:topLinePunct w:val="0"/>
        <w:autoSpaceDE/>
        <w:autoSpaceDN/>
        <w:bidi w:val="0"/>
        <w:adjustRightInd/>
        <w:snapToGrid/>
        <w:spacing w:line="440" w:lineRule="exact"/>
        <w:ind w:firstLine="360"/>
        <w:jc w:val="left"/>
        <w:textAlignment w:val="auto"/>
        <w:rPr>
          <w:rFonts w:hint="eastAsia" w:ascii="宋体" w:hAnsi="宋体" w:cs="宋体"/>
          <w:color w:val="auto"/>
          <w:sz w:val="24"/>
          <w:highlight w:val="none"/>
        </w:rPr>
      </w:pPr>
      <w:r>
        <w:rPr>
          <w:rFonts w:hint="eastAsia" w:ascii="宋体" w:hAnsi="宋体" w:cs="宋体"/>
          <w:color w:val="auto"/>
          <w:sz w:val="24"/>
          <w:highlight w:val="none"/>
        </w:rPr>
        <w:t>3.本合同一式伍份，买方、卖方各执二份，备案一份。</w:t>
      </w:r>
    </w:p>
    <w:p w14:paraId="033F0442">
      <w:pPr>
        <w:spacing w:line="380" w:lineRule="exact"/>
        <w:ind w:firstLine="360"/>
        <w:jc w:val="left"/>
        <w:rPr>
          <w:rFonts w:hint="eastAsia" w:ascii="宋体" w:hAnsi="宋体" w:cs="宋体"/>
          <w:color w:val="auto"/>
          <w:sz w:val="24"/>
          <w:highlight w:val="none"/>
        </w:rPr>
      </w:pPr>
      <w:r>
        <w:rPr>
          <w:rFonts w:hint="eastAsia" w:ascii="宋体" w:hAnsi="宋体" w:cs="宋体"/>
          <w:color w:val="auto"/>
          <w:sz w:val="24"/>
          <w:highlight w:val="none"/>
        </w:rPr>
        <w:t> </w:t>
      </w:r>
    </w:p>
    <w:p w14:paraId="1C531B5B">
      <w:pPr>
        <w:spacing w:line="360" w:lineRule="auto"/>
        <w:ind w:left="6360" w:hanging="5640"/>
        <w:jc w:val="left"/>
        <w:rPr>
          <w:rFonts w:hint="eastAsia" w:ascii="宋体" w:hAnsi="宋体" w:cs="宋体"/>
          <w:color w:val="auto"/>
          <w:sz w:val="24"/>
          <w:highlight w:val="none"/>
        </w:rPr>
      </w:pPr>
      <w:r>
        <w:rPr>
          <w:rFonts w:hint="eastAsia" w:ascii="宋体" w:hAnsi="宋体" w:cs="宋体"/>
          <w:color w:val="auto"/>
          <w:sz w:val="24"/>
          <w:highlight w:val="none"/>
        </w:rPr>
        <w:t xml:space="preserve">买   方：            　　　　卖    方： </w:t>
      </w:r>
    </w:p>
    <w:p w14:paraId="318E7806">
      <w:pPr>
        <w:spacing w:line="360" w:lineRule="auto"/>
        <w:ind w:firstLine="720"/>
        <w:jc w:val="left"/>
        <w:rPr>
          <w:rFonts w:hint="eastAsia" w:ascii="宋体" w:hAnsi="宋体" w:cs="宋体"/>
          <w:color w:val="auto"/>
          <w:sz w:val="24"/>
          <w:highlight w:val="none"/>
          <w:lang w:bidi="ar"/>
        </w:rPr>
      </w:pPr>
      <w:r>
        <w:rPr>
          <w:rFonts w:hint="eastAsia" w:ascii="宋体" w:hAnsi="宋体" w:cs="宋体"/>
          <w:color w:val="auto"/>
          <w:sz w:val="24"/>
          <w:highlight w:val="none"/>
        </w:rPr>
        <w:t>单位盖章：              　　　单位盖章：</w:t>
      </w:r>
    </w:p>
    <w:p w14:paraId="46498F70">
      <w:pPr>
        <w:spacing w:line="360" w:lineRule="auto"/>
        <w:ind w:firstLine="702"/>
        <w:jc w:val="left"/>
        <w:rPr>
          <w:rFonts w:hint="eastAsia" w:ascii="宋体" w:hAnsi="宋体" w:cs="宋体"/>
          <w:color w:val="auto"/>
          <w:sz w:val="24"/>
          <w:highlight w:val="none"/>
        </w:rPr>
      </w:pPr>
      <w:r>
        <w:rPr>
          <w:rFonts w:hint="eastAsia" w:ascii="宋体" w:hAnsi="宋体" w:eastAsia="宋体" w:cs="宋体"/>
          <w:color w:val="auto"/>
          <w:spacing w:val="-3"/>
          <w:sz w:val="24"/>
          <w:szCs w:val="24"/>
          <w:highlight w:val="none"/>
        </w:rPr>
        <w:t>法定（授权）代表人</w:t>
      </w:r>
      <w:r>
        <w:rPr>
          <w:rFonts w:hint="eastAsia" w:ascii="宋体" w:hAnsi="宋体" w:cs="宋体"/>
          <w:color w:val="auto"/>
          <w:sz w:val="24"/>
          <w:highlight w:val="none"/>
        </w:rPr>
        <w:t>：            </w:t>
      </w:r>
      <w:r>
        <w:rPr>
          <w:rFonts w:hint="eastAsia" w:ascii="宋体" w:hAnsi="宋体" w:eastAsia="宋体" w:cs="宋体"/>
          <w:color w:val="auto"/>
          <w:spacing w:val="-3"/>
          <w:sz w:val="24"/>
          <w:szCs w:val="24"/>
          <w:highlight w:val="none"/>
        </w:rPr>
        <w:t>法定（授权）代表人</w:t>
      </w:r>
      <w:r>
        <w:rPr>
          <w:rFonts w:hint="eastAsia" w:ascii="宋体" w:hAnsi="宋体" w:cs="宋体"/>
          <w:color w:val="auto"/>
          <w:sz w:val="24"/>
          <w:highlight w:val="none"/>
        </w:rPr>
        <w:t>：</w:t>
      </w:r>
    </w:p>
    <w:p w14:paraId="79C84256">
      <w:pPr>
        <w:widowControl/>
        <w:spacing w:line="360" w:lineRule="auto"/>
        <w:jc w:val="right"/>
        <w:rPr>
          <w:rFonts w:hint="eastAsia" w:ascii="宋体" w:hAnsi="宋体" w:cs="宋体"/>
          <w:color w:val="auto"/>
          <w:sz w:val="24"/>
          <w:highlight w:val="none"/>
          <w:lang w:bidi="ar"/>
        </w:rPr>
      </w:pPr>
    </w:p>
    <w:p w14:paraId="689D7166">
      <w:pPr>
        <w:widowControl/>
        <w:spacing w:line="360" w:lineRule="auto"/>
        <w:jc w:val="right"/>
        <w:rPr>
          <w:rFonts w:hint="eastAsia" w:ascii="宋体" w:hAnsi="宋体" w:cs="宋体"/>
          <w:color w:val="auto"/>
          <w:sz w:val="24"/>
          <w:highlight w:val="none"/>
          <w:lang w:bidi="ar"/>
        </w:rPr>
      </w:pPr>
    </w:p>
    <w:p w14:paraId="7DB9A980">
      <w:pPr>
        <w:widowControl/>
        <w:spacing w:line="360" w:lineRule="auto"/>
        <w:jc w:val="right"/>
        <w:rPr>
          <w:rFonts w:hint="eastAsia" w:ascii="宋体" w:hAnsi="宋体" w:cs="宋体"/>
          <w:color w:val="auto"/>
          <w:sz w:val="24"/>
          <w:highlight w:val="none"/>
          <w:lang w:bidi="ar"/>
        </w:rPr>
      </w:pPr>
      <w:r>
        <w:rPr>
          <w:rFonts w:hint="eastAsia" w:ascii="宋体" w:hAnsi="宋体" w:cs="宋体"/>
          <w:color w:val="auto"/>
          <w:sz w:val="24"/>
          <w:highlight w:val="none"/>
          <w:lang w:bidi="ar"/>
        </w:rPr>
        <w:t>签订日期： 年  月  日</w:t>
      </w:r>
    </w:p>
    <w:p w14:paraId="534893B9">
      <w:pPr>
        <w:widowControl/>
        <w:spacing w:line="360" w:lineRule="auto"/>
        <w:jc w:val="right"/>
        <w:rPr>
          <w:rFonts w:hint="eastAsia" w:ascii="宋体" w:hAnsi="宋体" w:cs="宋体"/>
          <w:color w:val="auto"/>
          <w:sz w:val="24"/>
          <w:highlight w:val="none"/>
          <w:lang w:eastAsia="zh-CN" w:bidi="ar"/>
        </w:rPr>
      </w:pPr>
    </w:p>
    <w:p w14:paraId="25AED207">
      <w:pPr>
        <w:numPr>
          <w:ilvl w:val="0"/>
          <w:numId w:val="4"/>
        </w:num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项目采购需求</w:t>
      </w:r>
    </w:p>
    <w:p w14:paraId="471F333E">
      <w:pPr>
        <w:pStyle w:val="15"/>
        <w:spacing w:line="480" w:lineRule="exact"/>
        <w:ind w:left="0" w:firstLine="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一、项目概况：</w:t>
      </w:r>
    </w:p>
    <w:p w14:paraId="6CEB0D98">
      <w:pPr>
        <w:pStyle w:val="15"/>
        <w:spacing w:line="480" w:lineRule="exact"/>
        <w:ind w:left="0"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拟新建大米加工生产线，购置、安装、调试全套大米加工设备一套，建成集稻谷加工、精米分选、除尘除杂、自动计量包装、仓储配套辅助一体化加工体系，提升本地农产品深加工能力、提高农产品附加值、延长产业链、降低产后损耗、壮大村集体经济收入。</w:t>
      </w:r>
    </w:p>
    <w:p w14:paraId="5CFEA36A">
      <w:pPr>
        <w:pStyle w:val="15"/>
        <w:spacing w:line="480" w:lineRule="exact"/>
        <w:ind w:left="0" w:firstLine="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二、清单</w:t>
      </w:r>
    </w:p>
    <w:tbl>
      <w:tblPr>
        <w:tblStyle w:val="50"/>
        <w:tblW w:w="9508" w:type="dxa"/>
        <w:tblInd w:w="93" w:type="dxa"/>
        <w:tblLayout w:type="fixed"/>
        <w:tblCellMar>
          <w:top w:w="0" w:type="dxa"/>
          <w:left w:w="108" w:type="dxa"/>
          <w:bottom w:w="0" w:type="dxa"/>
          <w:right w:w="108" w:type="dxa"/>
        </w:tblCellMar>
      </w:tblPr>
      <w:tblGrid>
        <w:gridCol w:w="564"/>
        <w:gridCol w:w="1973"/>
        <w:gridCol w:w="5942"/>
        <w:gridCol w:w="522"/>
        <w:gridCol w:w="507"/>
      </w:tblGrid>
      <w:tr w14:paraId="48C52EF5">
        <w:tblPrEx>
          <w:tblCellMar>
            <w:top w:w="0" w:type="dxa"/>
            <w:left w:w="108" w:type="dxa"/>
            <w:bottom w:w="0" w:type="dxa"/>
            <w:right w:w="108" w:type="dxa"/>
          </w:tblCellMar>
        </w:tblPrEx>
        <w:trPr>
          <w:trHeight w:val="315" w:hRule="atLeast"/>
        </w:trPr>
        <w:tc>
          <w:tcPr>
            <w:tcW w:w="564" w:type="dxa"/>
            <w:tcBorders>
              <w:top w:val="single" w:color="000000" w:sz="8" w:space="0"/>
              <w:left w:val="single" w:color="000000" w:sz="8" w:space="0"/>
              <w:bottom w:val="single" w:color="000000" w:sz="8" w:space="0"/>
              <w:right w:val="single" w:color="000000" w:sz="8" w:space="0"/>
            </w:tcBorders>
            <w:noWrap/>
            <w:vAlign w:val="center"/>
          </w:tcPr>
          <w:p w14:paraId="43E1DD3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序号</w:t>
            </w:r>
          </w:p>
        </w:tc>
        <w:tc>
          <w:tcPr>
            <w:tcW w:w="1973" w:type="dxa"/>
            <w:tcBorders>
              <w:top w:val="single" w:color="000000" w:sz="8" w:space="0"/>
              <w:left w:val="nil"/>
              <w:bottom w:val="single" w:color="000000" w:sz="8" w:space="0"/>
              <w:right w:val="single" w:color="000000" w:sz="8" w:space="0"/>
            </w:tcBorders>
            <w:noWrap/>
            <w:vAlign w:val="center"/>
          </w:tcPr>
          <w:p w14:paraId="68AEF42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设备名称</w:t>
            </w:r>
          </w:p>
        </w:tc>
        <w:tc>
          <w:tcPr>
            <w:tcW w:w="5942" w:type="dxa"/>
            <w:tcBorders>
              <w:top w:val="single" w:color="000000" w:sz="8" w:space="0"/>
              <w:left w:val="nil"/>
              <w:bottom w:val="single" w:color="000000" w:sz="8" w:space="0"/>
              <w:right w:val="single" w:color="000000" w:sz="8" w:space="0"/>
            </w:tcBorders>
            <w:vAlign w:val="center"/>
          </w:tcPr>
          <w:p w14:paraId="349E76A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技术参数</w:t>
            </w:r>
          </w:p>
        </w:tc>
        <w:tc>
          <w:tcPr>
            <w:tcW w:w="522" w:type="dxa"/>
            <w:tcBorders>
              <w:top w:val="single" w:color="000000" w:sz="8" w:space="0"/>
              <w:left w:val="nil"/>
              <w:bottom w:val="single" w:color="000000" w:sz="8" w:space="0"/>
              <w:right w:val="single" w:color="000000" w:sz="8" w:space="0"/>
            </w:tcBorders>
            <w:noWrap/>
            <w:vAlign w:val="center"/>
          </w:tcPr>
          <w:p w14:paraId="776CEE1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数量</w:t>
            </w:r>
          </w:p>
        </w:tc>
        <w:tc>
          <w:tcPr>
            <w:tcW w:w="507" w:type="dxa"/>
            <w:tcBorders>
              <w:top w:val="single" w:color="000000" w:sz="8" w:space="0"/>
              <w:left w:val="nil"/>
              <w:bottom w:val="single" w:color="000000" w:sz="8" w:space="0"/>
              <w:right w:val="single" w:color="000000" w:sz="8" w:space="0"/>
            </w:tcBorders>
            <w:noWrap/>
            <w:vAlign w:val="center"/>
          </w:tcPr>
          <w:p w14:paraId="50317F4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单位</w:t>
            </w:r>
          </w:p>
        </w:tc>
      </w:tr>
      <w:tr w14:paraId="0D817EA5">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3D2F494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1973" w:type="dxa"/>
            <w:vMerge w:val="restart"/>
            <w:tcBorders>
              <w:top w:val="nil"/>
              <w:left w:val="nil"/>
              <w:bottom w:val="single" w:color="000000" w:sz="8" w:space="0"/>
              <w:right w:val="single" w:color="000000" w:sz="8" w:space="0"/>
            </w:tcBorders>
            <w:noWrap/>
            <w:vAlign w:val="center"/>
          </w:tcPr>
          <w:p w14:paraId="4BDED0A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斗式提升机</w:t>
            </w:r>
          </w:p>
        </w:tc>
        <w:tc>
          <w:tcPr>
            <w:tcW w:w="5942" w:type="dxa"/>
            <w:tcBorders>
              <w:top w:val="nil"/>
              <w:left w:val="nil"/>
              <w:bottom w:val="nil"/>
              <w:right w:val="single" w:color="000000" w:sz="8" w:space="0"/>
            </w:tcBorders>
            <w:vAlign w:val="center"/>
          </w:tcPr>
          <w:p w14:paraId="1403935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型号：TDTG26/23；</w:t>
            </w:r>
          </w:p>
        </w:tc>
        <w:tc>
          <w:tcPr>
            <w:tcW w:w="522" w:type="dxa"/>
            <w:vMerge w:val="restart"/>
            <w:tcBorders>
              <w:top w:val="nil"/>
              <w:left w:val="nil"/>
              <w:bottom w:val="single" w:color="000000" w:sz="8" w:space="0"/>
              <w:right w:val="single" w:color="000000" w:sz="8" w:space="0"/>
            </w:tcBorders>
            <w:noWrap/>
            <w:vAlign w:val="center"/>
          </w:tcPr>
          <w:p w14:paraId="3318414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21CD85E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0E552041">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F2BE07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3818F83">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174D40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畚斗规格：2316；</w:t>
            </w:r>
          </w:p>
        </w:tc>
        <w:tc>
          <w:tcPr>
            <w:tcW w:w="522" w:type="dxa"/>
            <w:vMerge w:val="continue"/>
            <w:tcBorders>
              <w:top w:val="nil"/>
              <w:left w:val="nil"/>
              <w:bottom w:val="single" w:color="000000" w:sz="8" w:space="0"/>
              <w:right w:val="single" w:color="000000" w:sz="8" w:space="0"/>
            </w:tcBorders>
            <w:noWrap/>
            <w:vAlign w:val="center"/>
          </w:tcPr>
          <w:p w14:paraId="3CD1DF4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441EC2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0BA8994">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9B68F0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FB368C8">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7C2BB5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输送量（t/h）:10-15；</w:t>
            </w:r>
          </w:p>
        </w:tc>
        <w:tc>
          <w:tcPr>
            <w:tcW w:w="522" w:type="dxa"/>
            <w:vMerge w:val="continue"/>
            <w:tcBorders>
              <w:top w:val="nil"/>
              <w:left w:val="nil"/>
              <w:bottom w:val="single" w:color="000000" w:sz="8" w:space="0"/>
              <w:right w:val="single" w:color="000000" w:sz="8" w:space="0"/>
            </w:tcBorders>
            <w:noWrap/>
            <w:vAlign w:val="center"/>
          </w:tcPr>
          <w:p w14:paraId="4947B67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B2A554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3B6F069">
        <w:tblPrEx>
          <w:tblCellMar>
            <w:top w:w="0" w:type="dxa"/>
            <w:left w:w="108" w:type="dxa"/>
            <w:bottom w:w="0" w:type="dxa"/>
            <w:right w:w="108" w:type="dxa"/>
          </w:tblCellMar>
        </w:tblPrEx>
        <w:trPr>
          <w:trHeight w:val="699"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132F4C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83D5E85">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A87A9E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配套电机功率（kW）:2.2（硬齿面减速机）；                         配套吸风量（m³/h）:200-300；</w:t>
            </w:r>
          </w:p>
        </w:tc>
        <w:tc>
          <w:tcPr>
            <w:tcW w:w="522" w:type="dxa"/>
            <w:vMerge w:val="continue"/>
            <w:tcBorders>
              <w:top w:val="nil"/>
              <w:left w:val="nil"/>
              <w:bottom w:val="single" w:color="000000" w:sz="8" w:space="0"/>
              <w:right w:val="single" w:color="000000" w:sz="8" w:space="0"/>
            </w:tcBorders>
            <w:noWrap/>
            <w:vAlign w:val="center"/>
          </w:tcPr>
          <w:p w14:paraId="7563A0E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B7D27D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B363107">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2B428F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1A01AA5">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FB6C59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提升高度（m）:11；</w:t>
            </w:r>
          </w:p>
        </w:tc>
        <w:tc>
          <w:tcPr>
            <w:tcW w:w="522" w:type="dxa"/>
            <w:vMerge w:val="continue"/>
            <w:tcBorders>
              <w:top w:val="nil"/>
              <w:left w:val="nil"/>
              <w:bottom w:val="single" w:color="000000" w:sz="8" w:space="0"/>
              <w:right w:val="single" w:color="000000" w:sz="8" w:space="0"/>
            </w:tcBorders>
            <w:noWrap/>
            <w:vAlign w:val="center"/>
          </w:tcPr>
          <w:p w14:paraId="2F1DE81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2F81BB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EC12B00">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2A45E5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F8B558E">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39B4BE7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皮带宽度（mm）250；</w:t>
            </w:r>
          </w:p>
        </w:tc>
        <w:tc>
          <w:tcPr>
            <w:tcW w:w="522" w:type="dxa"/>
            <w:vMerge w:val="continue"/>
            <w:tcBorders>
              <w:top w:val="nil"/>
              <w:left w:val="nil"/>
              <w:bottom w:val="single" w:color="000000" w:sz="8" w:space="0"/>
              <w:right w:val="single" w:color="000000" w:sz="8" w:space="0"/>
            </w:tcBorders>
            <w:noWrap/>
            <w:vAlign w:val="center"/>
          </w:tcPr>
          <w:p w14:paraId="1C76CF6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41E262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1D78A60">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1883CCA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w:t>
            </w:r>
          </w:p>
        </w:tc>
        <w:tc>
          <w:tcPr>
            <w:tcW w:w="1973" w:type="dxa"/>
            <w:vMerge w:val="restart"/>
            <w:tcBorders>
              <w:top w:val="nil"/>
              <w:left w:val="nil"/>
              <w:bottom w:val="single" w:color="000000" w:sz="8" w:space="0"/>
              <w:right w:val="single" w:color="000000" w:sz="8" w:space="0"/>
            </w:tcBorders>
            <w:noWrap/>
            <w:vAlign w:val="center"/>
          </w:tcPr>
          <w:p w14:paraId="180B072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斗式提升机</w:t>
            </w:r>
          </w:p>
        </w:tc>
        <w:tc>
          <w:tcPr>
            <w:tcW w:w="5942" w:type="dxa"/>
            <w:tcBorders>
              <w:top w:val="nil"/>
              <w:left w:val="nil"/>
              <w:bottom w:val="nil"/>
              <w:right w:val="single" w:color="000000" w:sz="8" w:space="0"/>
            </w:tcBorders>
            <w:vAlign w:val="center"/>
          </w:tcPr>
          <w:p w14:paraId="5055E2A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型号：TDTG20/13；</w:t>
            </w:r>
          </w:p>
        </w:tc>
        <w:tc>
          <w:tcPr>
            <w:tcW w:w="522" w:type="dxa"/>
            <w:vMerge w:val="restart"/>
            <w:tcBorders>
              <w:top w:val="nil"/>
              <w:left w:val="nil"/>
              <w:bottom w:val="single" w:color="000000" w:sz="8" w:space="0"/>
              <w:right w:val="single" w:color="000000" w:sz="8" w:space="0"/>
            </w:tcBorders>
            <w:noWrap/>
            <w:vAlign w:val="center"/>
          </w:tcPr>
          <w:p w14:paraId="2414796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5</w:t>
            </w:r>
          </w:p>
        </w:tc>
        <w:tc>
          <w:tcPr>
            <w:tcW w:w="507" w:type="dxa"/>
            <w:vMerge w:val="restart"/>
            <w:tcBorders>
              <w:top w:val="nil"/>
              <w:left w:val="nil"/>
              <w:bottom w:val="single" w:color="000000" w:sz="8" w:space="0"/>
              <w:right w:val="single" w:color="000000" w:sz="8" w:space="0"/>
            </w:tcBorders>
            <w:noWrap/>
            <w:vAlign w:val="center"/>
          </w:tcPr>
          <w:p w14:paraId="5036EC3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2C029A43">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48B0DA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7D2D85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98C93C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畚斗规格：1311；</w:t>
            </w:r>
          </w:p>
        </w:tc>
        <w:tc>
          <w:tcPr>
            <w:tcW w:w="522" w:type="dxa"/>
            <w:vMerge w:val="continue"/>
            <w:tcBorders>
              <w:top w:val="nil"/>
              <w:left w:val="nil"/>
              <w:bottom w:val="single" w:color="000000" w:sz="8" w:space="0"/>
              <w:right w:val="single" w:color="000000" w:sz="8" w:space="0"/>
            </w:tcBorders>
            <w:noWrap/>
            <w:vAlign w:val="center"/>
          </w:tcPr>
          <w:p w14:paraId="29F0DBE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364BD8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86B5893">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60D5F7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9E4CA0A">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6FB78A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输送量（t/h）:4-6；</w:t>
            </w:r>
          </w:p>
        </w:tc>
        <w:tc>
          <w:tcPr>
            <w:tcW w:w="522" w:type="dxa"/>
            <w:vMerge w:val="continue"/>
            <w:tcBorders>
              <w:top w:val="nil"/>
              <w:left w:val="nil"/>
              <w:bottom w:val="single" w:color="000000" w:sz="8" w:space="0"/>
              <w:right w:val="single" w:color="000000" w:sz="8" w:space="0"/>
            </w:tcBorders>
            <w:noWrap/>
            <w:vAlign w:val="center"/>
          </w:tcPr>
          <w:p w14:paraId="11F2B5C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B9BDBC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BAA922B">
        <w:tblPrEx>
          <w:tblCellMar>
            <w:top w:w="0" w:type="dxa"/>
            <w:left w:w="108" w:type="dxa"/>
            <w:bottom w:w="0" w:type="dxa"/>
            <w:right w:w="108" w:type="dxa"/>
          </w:tblCellMar>
        </w:tblPrEx>
        <w:trPr>
          <w:trHeight w:val="392"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1322C5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4B5EB3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8A0DB5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配套电机功率（kW）:1.1（硬齿面减速机）；</w:t>
            </w:r>
          </w:p>
        </w:tc>
        <w:tc>
          <w:tcPr>
            <w:tcW w:w="522" w:type="dxa"/>
            <w:vMerge w:val="continue"/>
            <w:tcBorders>
              <w:top w:val="nil"/>
              <w:left w:val="nil"/>
              <w:bottom w:val="single" w:color="000000" w:sz="8" w:space="0"/>
              <w:right w:val="single" w:color="000000" w:sz="8" w:space="0"/>
            </w:tcBorders>
            <w:noWrap/>
            <w:vAlign w:val="center"/>
          </w:tcPr>
          <w:p w14:paraId="34DD485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FC7D5C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8F57ED9">
        <w:tblPrEx>
          <w:tblCellMar>
            <w:top w:w="0" w:type="dxa"/>
            <w:left w:w="108" w:type="dxa"/>
            <w:bottom w:w="0" w:type="dxa"/>
            <w:right w:w="108" w:type="dxa"/>
          </w:tblCellMar>
        </w:tblPrEx>
        <w:trPr>
          <w:trHeight w:val="6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50BD9A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A0B74E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DA94EF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配套吸风量（m³/h）:200-300；                   提升高度（m）:9/11；</w:t>
            </w:r>
          </w:p>
        </w:tc>
        <w:tc>
          <w:tcPr>
            <w:tcW w:w="522" w:type="dxa"/>
            <w:vMerge w:val="continue"/>
            <w:tcBorders>
              <w:top w:val="nil"/>
              <w:left w:val="nil"/>
              <w:bottom w:val="single" w:color="000000" w:sz="8" w:space="0"/>
              <w:right w:val="single" w:color="000000" w:sz="8" w:space="0"/>
            </w:tcBorders>
            <w:noWrap/>
            <w:vAlign w:val="center"/>
          </w:tcPr>
          <w:p w14:paraId="72A7658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1200F5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24AF7DB">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FE3560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F689091">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3791F7D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皮带宽度（mm）150；</w:t>
            </w:r>
          </w:p>
        </w:tc>
        <w:tc>
          <w:tcPr>
            <w:tcW w:w="522" w:type="dxa"/>
            <w:vMerge w:val="continue"/>
            <w:tcBorders>
              <w:top w:val="nil"/>
              <w:left w:val="nil"/>
              <w:bottom w:val="single" w:color="000000" w:sz="8" w:space="0"/>
              <w:right w:val="single" w:color="000000" w:sz="8" w:space="0"/>
            </w:tcBorders>
            <w:noWrap/>
            <w:vAlign w:val="center"/>
          </w:tcPr>
          <w:p w14:paraId="1F5078C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F5B2AA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DF33505">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5B48557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3</w:t>
            </w:r>
          </w:p>
        </w:tc>
        <w:tc>
          <w:tcPr>
            <w:tcW w:w="1973" w:type="dxa"/>
            <w:vMerge w:val="restart"/>
            <w:tcBorders>
              <w:top w:val="nil"/>
              <w:left w:val="nil"/>
              <w:bottom w:val="single" w:color="000000" w:sz="8" w:space="0"/>
              <w:right w:val="single" w:color="000000" w:sz="8" w:space="0"/>
            </w:tcBorders>
            <w:noWrap/>
            <w:vAlign w:val="center"/>
          </w:tcPr>
          <w:p w14:paraId="2355951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平面回转筛</w:t>
            </w:r>
          </w:p>
        </w:tc>
        <w:tc>
          <w:tcPr>
            <w:tcW w:w="5942" w:type="dxa"/>
            <w:tcBorders>
              <w:top w:val="nil"/>
              <w:left w:val="nil"/>
              <w:bottom w:val="nil"/>
              <w:right w:val="single" w:color="000000" w:sz="8" w:space="0"/>
            </w:tcBorders>
            <w:vAlign w:val="center"/>
          </w:tcPr>
          <w:p w14:paraId="04F351B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型号：TQLM-100；</w:t>
            </w:r>
          </w:p>
        </w:tc>
        <w:tc>
          <w:tcPr>
            <w:tcW w:w="522" w:type="dxa"/>
            <w:vMerge w:val="restart"/>
            <w:tcBorders>
              <w:top w:val="nil"/>
              <w:left w:val="nil"/>
              <w:bottom w:val="single" w:color="000000" w:sz="8" w:space="0"/>
              <w:right w:val="single" w:color="000000" w:sz="8" w:space="0"/>
            </w:tcBorders>
            <w:noWrap/>
            <w:vAlign w:val="center"/>
          </w:tcPr>
          <w:p w14:paraId="2444387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049ED1D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0BF6071F">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8DBA38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54A68B9">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AD2853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稻谷产量（t/h）：6-9；</w:t>
            </w:r>
          </w:p>
        </w:tc>
        <w:tc>
          <w:tcPr>
            <w:tcW w:w="522" w:type="dxa"/>
            <w:vMerge w:val="continue"/>
            <w:tcBorders>
              <w:top w:val="nil"/>
              <w:left w:val="nil"/>
              <w:bottom w:val="single" w:color="000000" w:sz="8" w:space="0"/>
              <w:right w:val="single" w:color="000000" w:sz="8" w:space="0"/>
            </w:tcBorders>
            <w:noWrap/>
            <w:vAlign w:val="center"/>
          </w:tcPr>
          <w:p w14:paraId="731626D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E4F3FA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E404788">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87B0F3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627403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A1A064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配套电机功率（kW）:0.75；</w:t>
            </w:r>
          </w:p>
        </w:tc>
        <w:tc>
          <w:tcPr>
            <w:tcW w:w="522" w:type="dxa"/>
            <w:vMerge w:val="continue"/>
            <w:tcBorders>
              <w:top w:val="nil"/>
              <w:left w:val="nil"/>
              <w:bottom w:val="single" w:color="000000" w:sz="8" w:space="0"/>
              <w:right w:val="single" w:color="000000" w:sz="8" w:space="0"/>
            </w:tcBorders>
            <w:noWrap/>
            <w:vAlign w:val="center"/>
          </w:tcPr>
          <w:p w14:paraId="492CEE3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E2520F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7B40EE9">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5B0E1E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7FDD872">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52C524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整机机重（kg):730-790；</w:t>
            </w:r>
          </w:p>
        </w:tc>
        <w:tc>
          <w:tcPr>
            <w:tcW w:w="522" w:type="dxa"/>
            <w:vMerge w:val="continue"/>
            <w:tcBorders>
              <w:top w:val="nil"/>
              <w:left w:val="nil"/>
              <w:bottom w:val="single" w:color="000000" w:sz="8" w:space="0"/>
              <w:right w:val="single" w:color="000000" w:sz="8" w:space="0"/>
            </w:tcBorders>
            <w:noWrap/>
            <w:vAlign w:val="center"/>
          </w:tcPr>
          <w:p w14:paraId="3DEDC16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B80BAE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33D1C8E">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E29645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F02B77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2A30B50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配套吸风量（m³/h）3000-3500；</w:t>
            </w:r>
          </w:p>
        </w:tc>
        <w:tc>
          <w:tcPr>
            <w:tcW w:w="522" w:type="dxa"/>
            <w:vMerge w:val="continue"/>
            <w:tcBorders>
              <w:top w:val="nil"/>
              <w:left w:val="nil"/>
              <w:bottom w:val="single" w:color="000000" w:sz="8" w:space="0"/>
              <w:right w:val="single" w:color="000000" w:sz="8" w:space="0"/>
            </w:tcBorders>
            <w:noWrap/>
            <w:vAlign w:val="center"/>
          </w:tcPr>
          <w:p w14:paraId="55E5EC3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52BCD6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6D71C08">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03A642B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4</w:t>
            </w:r>
          </w:p>
        </w:tc>
        <w:tc>
          <w:tcPr>
            <w:tcW w:w="1973" w:type="dxa"/>
            <w:vMerge w:val="restart"/>
            <w:tcBorders>
              <w:top w:val="nil"/>
              <w:left w:val="nil"/>
              <w:bottom w:val="single" w:color="000000" w:sz="8" w:space="0"/>
              <w:right w:val="single" w:color="000000" w:sz="8" w:space="0"/>
            </w:tcBorders>
            <w:noWrap/>
            <w:vAlign w:val="center"/>
          </w:tcPr>
          <w:p w14:paraId="19C7284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去石机</w:t>
            </w:r>
          </w:p>
        </w:tc>
        <w:tc>
          <w:tcPr>
            <w:tcW w:w="5942" w:type="dxa"/>
            <w:tcBorders>
              <w:top w:val="nil"/>
              <w:left w:val="nil"/>
              <w:bottom w:val="nil"/>
              <w:right w:val="single" w:color="000000" w:sz="8" w:space="0"/>
            </w:tcBorders>
            <w:vAlign w:val="center"/>
          </w:tcPr>
          <w:p w14:paraId="6EC9852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型号：TQSX-100；</w:t>
            </w:r>
          </w:p>
        </w:tc>
        <w:tc>
          <w:tcPr>
            <w:tcW w:w="522" w:type="dxa"/>
            <w:vMerge w:val="restart"/>
            <w:tcBorders>
              <w:top w:val="nil"/>
              <w:left w:val="nil"/>
              <w:bottom w:val="single" w:color="000000" w:sz="8" w:space="0"/>
              <w:right w:val="single" w:color="000000" w:sz="8" w:space="0"/>
            </w:tcBorders>
            <w:noWrap/>
            <w:vAlign w:val="center"/>
          </w:tcPr>
          <w:p w14:paraId="3B3A01D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6071A3C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6B01B2BA">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FC1AF9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D1C886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A2C351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稻谷产量（t/h）：5-7；</w:t>
            </w:r>
          </w:p>
        </w:tc>
        <w:tc>
          <w:tcPr>
            <w:tcW w:w="522" w:type="dxa"/>
            <w:vMerge w:val="continue"/>
            <w:tcBorders>
              <w:top w:val="nil"/>
              <w:left w:val="nil"/>
              <w:bottom w:val="single" w:color="000000" w:sz="8" w:space="0"/>
              <w:right w:val="single" w:color="000000" w:sz="8" w:space="0"/>
            </w:tcBorders>
            <w:noWrap/>
            <w:vAlign w:val="center"/>
          </w:tcPr>
          <w:p w14:paraId="62CCF89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91514C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56C5BD5">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FE21AC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2B816C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15D766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配电机功率（kW）:0.75；</w:t>
            </w:r>
          </w:p>
        </w:tc>
        <w:tc>
          <w:tcPr>
            <w:tcW w:w="522" w:type="dxa"/>
            <w:vMerge w:val="continue"/>
            <w:tcBorders>
              <w:top w:val="nil"/>
              <w:left w:val="nil"/>
              <w:bottom w:val="single" w:color="000000" w:sz="8" w:space="0"/>
              <w:right w:val="single" w:color="000000" w:sz="8" w:space="0"/>
            </w:tcBorders>
            <w:noWrap/>
            <w:vAlign w:val="center"/>
          </w:tcPr>
          <w:p w14:paraId="7510874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B9568F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85BDD45">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9DBB13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5A7148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39C329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整机机重（kg）380-430；</w:t>
            </w:r>
          </w:p>
        </w:tc>
        <w:tc>
          <w:tcPr>
            <w:tcW w:w="522" w:type="dxa"/>
            <w:vMerge w:val="continue"/>
            <w:tcBorders>
              <w:top w:val="nil"/>
              <w:left w:val="nil"/>
              <w:bottom w:val="single" w:color="000000" w:sz="8" w:space="0"/>
              <w:right w:val="single" w:color="000000" w:sz="8" w:space="0"/>
            </w:tcBorders>
            <w:noWrap/>
            <w:vAlign w:val="center"/>
          </w:tcPr>
          <w:p w14:paraId="775CEAC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F80120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06BA9D4">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965B23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E3D375E">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761599C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配套吸风量（m³/h）3800-4100；  </w:t>
            </w:r>
          </w:p>
        </w:tc>
        <w:tc>
          <w:tcPr>
            <w:tcW w:w="522" w:type="dxa"/>
            <w:vMerge w:val="continue"/>
            <w:tcBorders>
              <w:top w:val="nil"/>
              <w:left w:val="nil"/>
              <w:bottom w:val="single" w:color="000000" w:sz="8" w:space="0"/>
              <w:right w:val="single" w:color="000000" w:sz="8" w:space="0"/>
            </w:tcBorders>
            <w:noWrap/>
            <w:vAlign w:val="center"/>
          </w:tcPr>
          <w:p w14:paraId="57B95E1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F65A9F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33093DC">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7014FE4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5</w:t>
            </w:r>
          </w:p>
        </w:tc>
        <w:tc>
          <w:tcPr>
            <w:tcW w:w="1973" w:type="dxa"/>
            <w:vMerge w:val="restart"/>
            <w:tcBorders>
              <w:top w:val="nil"/>
              <w:left w:val="nil"/>
              <w:bottom w:val="single" w:color="000000" w:sz="8" w:space="0"/>
              <w:right w:val="single" w:color="000000" w:sz="8" w:space="0"/>
            </w:tcBorders>
            <w:noWrap/>
            <w:vAlign w:val="center"/>
          </w:tcPr>
          <w:p w14:paraId="03B18D0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流量秤</w:t>
            </w:r>
          </w:p>
        </w:tc>
        <w:tc>
          <w:tcPr>
            <w:tcW w:w="5942" w:type="dxa"/>
            <w:tcBorders>
              <w:top w:val="nil"/>
              <w:left w:val="nil"/>
              <w:bottom w:val="nil"/>
              <w:right w:val="single" w:color="000000" w:sz="8" w:space="0"/>
            </w:tcBorders>
            <w:vAlign w:val="center"/>
          </w:tcPr>
          <w:p w14:paraId="05FD69B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型号：DCS-25L；</w:t>
            </w:r>
          </w:p>
        </w:tc>
        <w:tc>
          <w:tcPr>
            <w:tcW w:w="522" w:type="dxa"/>
            <w:vMerge w:val="restart"/>
            <w:tcBorders>
              <w:top w:val="nil"/>
              <w:left w:val="nil"/>
              <w:bottom w:val="single" w:color="000000" w:sz="8" w:space="0"/>
              <w:right w:val="single" w:color="000000" w:sz="8" w:space="0"/>
            </w:tcBorders>
            <w:noWrap/>
            <w:vAlign w:val="center"/>
          </w:tcPr>
          <w:p w14:paraId="6BC7AF2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62138DD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2CA2B0BF">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28F1FD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0A4924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305FB4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计量产量（t/h）：8-10；</w:t>
            </w:r>
          </w:p>
        </w:tc>
        <w:tc>
          <w:tcPr>
            <w:tcW w:w="522" w:type="dxa"/>
            <w:vMerge w:val="continue"/>
            <w:tcBorders>
              <w:top w:val="nil"/>
              <w:left w:val="nil"/>
              <w:bottom w:val="single" w:color="000000" w:sz="8" w:space="0"/>
              <w:right w:val="single" w:color="000000" w:sz="8" w:space="0"/>
            </w:tcBorders>
            <w:noWrap/>
            <w:vAlign w:val="center"/>
          </w:tcPr>
          <w:p w14:paraId="2494744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48D0C0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8014AC9">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081ED8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B70F38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6AFDF3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配电机功率（kW）:0.35；</w:t>
            </w:r>
          </w:p>
        </w:tc>
        <w:tc>
          <w:tcPr>
            <w:tcW w:w="522" w:type="dxa"/>
            <w:vMerge w:val="continue"/>
            <w:tcBorders>
              <w:top w:val="nil"/>
              <w:left w:val="nil"/>
              <w:bottom w:val="single" w:color="000000" w:sz="8" w:space="0"/>
              <w:right w:val="single" w:color="000000" w:sz="8" w:space="0"/>
            </w:tcBorders>
            <w:noWrap/>
            <w:vAlign w:val="center"/>
          </w:tcPr>
          <w:p w14:paraId="3A70D92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E0AB35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6CBA560">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9F86AA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EE46D9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169C9ED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整机机重（kg）300；</w:t>
            </w:r>
          </w:p>
        </w:tc>
        <w:tc>
          <w:tcPr>
            <w:tcW w:w="522" w:type="dxa"/>
            <w:vMerge w:val="continue"/>
            <w:tcBorders>
              <w:top w:val="nil"/>
              <w:left w:val="nil"/>
              <w:bottom w:val="single" w:color="000000" w:sz="8" w:space="0"/>
              <w:right w:val="single" w:color="000000" w:sz="8" w:space="0"/>
            </w:tcBorders>
            <w:noWrap/>
            <w:vAlign w:val="center"/>
          </w:tcPr>
          <w:p w14:paraId="5EFE7E1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D5829A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E4DB613">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600967F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6</w:t>
            </w:r>
          </w:p>
        </w:tc>
        <w:tc>
          <w:tcPr>
            <w:tcW w:w="1973" w:type="dxa"/>
            <w:vMerge w:val="restart"/>
            <w:tcBorders>
              <w:top w:val="nil"/>
              <w:left w:val="nil"/>
              <w:bottom w:val="single" w:color="000000" w:sz="8" w:space="0"/>
              <w:right w:val="single" w:color="000000" w:sz="8" w:space="0"/>
            </w:tcBorders>
            <w:noWrap/>
            <w:vAlign w:val="center"/>
          </w:tcPr>
          <w:p w14:paraId="515E855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砻谷机</w:t>
            </w:r>
          </w:p>
        </w:tc>
        <w:tc>
          <w:tcPr>
            <w:tcW w:w="5942" w:type="dxa"/>
            <w:tcBorders>
              <w:top w:val="nil"/>
              <w:left w:val="nil"/>
              <w:bottom w:val="nil"/>
              <w:right w:val="single" w:color="000000" w:sz="8" w:space="0"/>
            </w:tcBorders>
            <w:vAlign w:val="center"/>
          </w:tcPr>
          <w:p w14:paraId="574C3E5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 QLB12A；</w:t>
            </w:r>
          </w:p>
        </w:tc>
        <w:tc>
          <w:tcPr>
            <w:tcW w:w="522" w:type="dxa"/>
            <w:vMerge w:val="restart"/>
            <w:tcBorders>
              <w:top w:val="nil"/>
              <w:left w:val="nil"/>
              <w:bottom w:val="single" w:color="000000" w:sz="8" w:space="0"/>
              <w:right w:val="single" w:color="000000" w:sz="8" w:space="0"/>
            </w:tcBorders>
            <w:noWrap/>
            <w:vAlign w:val="center"/>
          </w:tcPr>
          <w:p w14:paraId="16D120D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56E7CF4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68F013EC">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DA6398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075B4FD">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32C0F9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稻谷处理产量: 短粒粳稻4-6t/h；长粒籼稻3-5t/h；</w:t>
            </w:r>
          </w:p>
        </w:tc>
        <w:tc>
          <w:tcPr>
            <w:tcW w:w="522" w:type="dxa"/>
            <w:vMerge w:val="continue"/>
            <w:tcBorders>
              <w:top w:val="nil"/>
              <w:left w:val="nil"/>
              <w:bottom w:val="single" w:color="000000" w:sz="8" w:space="0"/>
              <w:right w:val="single" w:color="000000" w:sz="8" w:space="0"/>
            </w:tcBorders>
            <w:noWrap/>
            <w:vAlign w:val="center"/>
          </w:tcPr>
          <w:p w14:paraId="4B6428B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D117D1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ECDDC59">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C89EFE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93CC24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2B853B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配套电机总功率: 11kW（380v三相）；</w:t>
            </w:r>
          </w:p>
        </w:tc>
        <w:tc>
          <w:tcPr>
            <w:tcW w:w="522" w:type="dxa"/>
            <w:vMerge w:val="continue"/>
            <w:tcBorders>
              <w:top w:val="nil"/>
              <w:left w:val="nil"/>
              <w:bottom w:val="single" w:color="000000" w:sz="8" w:space="0"/>
              <w:right w:val="single" w:color="000000" w:sz="8" w:space="0"/>
            </w:tcBorders>
            <w:noWrap/>
            <w:vAlign w:val="center"/>
          </w:tcPr>
          <w:p w14:paraId="658C756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340A9A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8B62699">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8AA4FF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EED2A8B">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56D5B17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配套吸风量:4200-5100m³/h；</w:t>
            </w:r>
          </w:p>
        </w:tc>
        <w:tc>
          <w:tcPr>
            <w:tcW w:w="522" w:type="dxa"/>
            <w:vMerge w:val="continue"/>
            <w:tcBorders>
              <w:top w:val="nil"/>
              <w:left w:val="nil"/>
              <w:bottom w:val="single" w:color="000000" w:sz="8" w:space="0"/>
              <w:right w:val="single" w:color="000000" w:sz="8" w:space="0"/>
            </w:tcBorders>
            <w:noWrap/>
            <w:vAlign w:val="center"/>
          </w:tcPr>
          <w:p w14:paraId="4460871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1ABEEE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36025BC">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DBA825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72C435E">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C36973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整机净重:850 kg；</w:t>
            </w:r>
          </w:p>
        </w:tc>
        <w:tc>
          <w:tcPr>
            <w:tcW w:w="522" w:type="dxa"/>
            <w:vMerge w:val="continue"/>
            <w:tcBorders>
              <w:top w:val="nil"/>
              <w:left w:val="nil"/>
              <w:bottom w:val="single" w:color="000000" w:sz="8" w:space="0"/>
              <w:right w:val="single" w:color="000000" w:sz="8" w:space="0"/>
            </w:tcBorders>
            <w:noWrap/>
            <w:vAlign w:val="center"/>
          </w:tcPr>
          <w:p w14:paraId="79E3DB4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7B3A34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E9D9473">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F31832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5D8E60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325A853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脱壳性能: 一次脱壳率≥85%，有料自动合辊，断料自动送辊；快满辊可自动互换；变频调速，适配不同稻谷品种；</w:t>
            </w:r>
          </w:p>
        </w:tc>
        <w:tc>
          <w:tcPr>
            <w:tcW w:w="522" w:type="dxa"/>
            <w:vMerge w:val="continue"/>
            <w:tcBorders>
              <w:top w:val="nil"/>
              <w:left w:val="nil"/>
              <w:bottom w:val="single" w:color="000000" w:sz="8" w:space="0"/>
              <w:right w:val="single" w:color="000000" w:sz="8" w:space="0"/>
            </w:tcBorders>
            <w:noWrap/>
            <w:vAlign w:val="center"/>
          </w:tcPr>
          <w:p w14:paraId="32711FC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7E71AE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BD34E4A">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7C75A0C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7</w:t>
            </w:r>
          </w:p>
        </w:tc>
        <w:tc>
          <w:tcPr>
            <w:tcW w:w="1973" w:type="dxa"/>
            <w:vMerge w:val="restart"/>
            <w:tcBorders>
              <w:top w:val="nil"/>
              <w:left w:val="nil"/>
              <w:bottom w:val="single" w:color="000000" w:sz="8" w:space="0"/>
              <w:right w:val="single" w:color="000000" w:sz="8" w:space="0"/>
            </w:tcBorders>
            <w:noWrap/>
            <w:vAlign w:val="center"/>
          </w:tcPr>
          <w:p w14:paraId="5C87EF2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谷糙分离机</w:t>
            </w:r>
          </w:p>
        </w:tc>
        <w:tc>
          <w:tcPr>
            <w:tcW w:w="5942" w:type="dxa"/>
            <w:tcBorders>
              <w:top w:val="nil"/>
              <w:left w:val="nil"/>
              <w:bottom w:val="nil"/>
              <w:right w:val="single" w:color="000000" w:sz="8" w:space="0"/>
            </w:tcBorders>
            <w:vAlign w:val="center"/>
          </w:tcPr>
          <w:p w14:paraId="1A45513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 PS200D-C；</w:t>
            </w:r>
          </w:p>
        </w:tc>
        <w:tc>
          <w:tcPr>
            <w:tcW w:w="522" w:type="dxa"/>
            <w:vMerge w:val="restart"/>
            <w:tcBorders>
              <w:top w:val="nil"/>
              <w:left w:val="nil"/>
              <w:bottom w:val="single" w:color="000000" w:sz="8" w:space="0"/>
              <w:right w:val="single" w:color="000000" w:sz="8" w:space="0"/>
            </w:tcBorders>
            <w:noWrap/>
            <w:vAlign w:val="center"/>
          </w:tcPr>
          <w:p w14:paraId="0FB2EA7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0CB71BC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78D70565">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425951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3087AF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23A883F">
            <w:pPr>
              <w:keepNext w:val="0"/>
              <w:keepLines w:val="0"/>
              <w:widowControl/>
              <w:suppressLineNumbers w:val="0"/>
              <w:spacing w:before="0" w:beforeAutospacing="0" w:after="0" w:afterAutospacing="0"/>
              <w:ind w:left="0" w:right="0"/>
              <w:jc w:val="left"/>
              <w:textAlignment w:val="center"/>
              <w:rPr>
                <w:rFonts w:ascii="宋体" w:hAnsi="宋体" w:cs="宋体"/>
                <w:color w:val="auto"/>
                <w:sz w:val="24"/>
                <w:highlight w:val="none"/>
                <w:lang w:bidi="ar"/>
              </w:rPr>
            </w:pPr>
            <w:r>
              <w:rPr>
                <w:rFonts w:hint="eastAsia" w:ascii="宋体" w:hAnsi="宋体" w:cs="宋体"/>
                <w:color w:val="auto"/>
                <w:sz w:val="24"/>
                <w:highlight w:val="none"/>
                <w:lang w:bidi="ar"/>
              </w:rPr>
              <w:t>净糙米处理产量: 2-3 t/h；</w:t>
            </w:r>
          </w:p>
          <w:p w14:paraId="1A16C1C4">
            <w:pPr>
              <w:pStyle w:val="60"/>
              <w:keepNext w:val="0"/>
              <w:keepLines w:val="0"/>
              <w:suppressLineNumbers w:val="0"/>
              <w:spacing w:before="0" w:beforeAutospacing="0" w:after="0" w:afterAutospacing="0"/>
              <w:ind w:left="0" w:right="0" w:firstLine="0"/>
              <w:rPr>
                <w:rFonts w:hint="eastAsia"/>
                <w:color w:val="auto"/>
                <w:highlight w:val="none"/>
                <w:lang w:bidi="ar"/>
              </w:rPr>
            </w:pPr>
            <w:r>
              <w:rPr>
                <w:rFonts w:hint="eastAsia"/>
                <w:color w:val="auto"/>
                <w:highlight w:val="none"/>
                <w:lang w:bidi="ar"/>
              </w:rPr>
              <w:t>20层不锈钢筛面；带料位传感器，有料工作物料停止；进口轴承</w:t>
            </w:r>
          </w:p>
        </w:tc>
        <w:tc>
          <w:tcPr>
            <w:tcW w:w="522" w:type="dxa"/>
            <w:vMerge w:val="continue"/>
            <w:tcBorders>
              <w:top w:val="nil"/>
              <w:left w:val="nil"/>
              <w:bottom w:val="single" w:color="000000" w:sz="8" w:space="0"/>
              <w:right w:val="single" w:color="000000" w:sz="8" w:space="0"/>
            </w:tcBorders>
            <w:noWrap/>
            <w:vAlign w:val="center"/>
          </w:tcPr>
          <w:p w14:paraId="082E7B9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8931CF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4D58DC2">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300721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C1C318B">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04923D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配套电机功率：0.75 kW ，三相380v50Hz；</w:t>
            </w:r>
          </w:p>
        </w:tc>
        <w:tc>
          <w:tcPr>
            <w:tcW w:w="522" w:type="dxa"/>
            <w:vMerge w:val="continue"/>
            <w:tcBorders>
              <w:top w:val="nil"/>
              <w:left w:val="nil"/>
              <w:bottom w:val="single" w:color="000000" w:sz="8" w:space="0"/>
              <w:right w:val="single" w:color="000000" w:sz="8" w:space="0"/>
            </w:tcBorders>
            <w:noWrap/>
            <w:vAlign w:val="center"/>
          </w:tcPr>
          <w:p w14:paraId="31E0CB7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35F07B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BFA8457">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782122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36D02A5">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AFF5BD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p>
        </w:tc>
        <w:tc>
          <w:tcPr>
            <w:tcW w:w="522" w:type="dxa"/>
            <w:vMerge w:val="continue"/>
            <w:tcBorders>
              <w:top w:val="nil"/>
              <w:left w:val="nil"/>
              <w:bottom w:val="single" w:color="000000" w:sz="8" w:space="0"/>
              <w:right w:val="single" w:color="000000" w:sz="8" w:space="0"/>
            </w:tcBorders>
            <w:noWrap/>
            <w:vAlign w:val="center"/>
          </w:tcPr>
          <w:p w14:paraId="056FB34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EFE4AE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E7465E7">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9CB64C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B280C7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89F9DD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p>
        </w:tc>
        <w:tc>
          <w:tcPr>
            <w:tcW w:w="522" w:type="dxa"/>
            <w:vMerge w:val="continue"/>
            <w:tcBorders>
              <w:top w:val="nil"/>
              <w:left w:val="nil"/>
              <w:bottom w:val="single" w:color="000000" w:sz="8" w:space="0"/>
              <w:right w:val="single" w:color="000000" w:sz="8" w:space="0"/>
            </w:tcBorders>
            <w:noWrap/>
            <w:vAlign w:val="center"/>
          </w:tcPr>
          <w:p w14:paraId="7138D17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5B48FC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D2A0A7C">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06947D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1CEAF9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4C4900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功率：0.75kw；</w:t>
            </w:r>
          </w:p>
        </w:tc>
        <w:tc>
          <w:tcPr>
            <w:tcW w:w="522" w:type="dxa"/>
            <w:vMerge w:val="continue"/>
            <w:tcBorders>
              <w:top w:val="nil"/>
              <w:left w:val="nil"/>
              <w:bottom w:val="single" w:color="000000" w:sz="8" w:space="0"/>
              <w:right w:val="single" w:color="000000" w:sz="8" w:space="0"/>
            </w:tcBorders>
            <w:noWrap/>
            <w:vAlign w:val="center"/>
          </w:tcPr>
          <w:p w14:paraId="7808890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C52EDA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AE43780">
        <w:tblPrEx>
          <w:tblCellMar>
            <w:top w:w="0" w:type="dxa"/>
            <w:left w:w="108" w:type="dxa"/>
            <w:bottom w:w="0" w:type="dxa"/>
            <w:right w:w="108" w:type="dxa"/>
          </w:tblCellMar>
        </w:tblPrEx>
        <w:trPr>
          <w:trHeight w:val="428"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B1A33A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C9ADAD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3272F0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工艺指标：净糙含谷≤20粒/kg；净谷含糙≤15%；</w:t>
            </w:r>
          </w:p>
        </w:tc>
        <w:tc>
          <w:tcPr>
            <w:tcW w:w="522" w:type="dxa"/>
            <w:vMerge w:val="continue"/>
            <w:tcBorders>
              <w:top w:val="nil"/>
              <w:left w:val="nil"/>
              <w:bottom w:val="single" w:color="000000" w:sz="8" w:space="0"/>
              <w:right w:val="single" w:color="000000" w:sz="8" w:space="0"/>
            </w:tcBorders>
            <w:noWrap/>
            <w:vAlign w:val="center"/>
          </w:tcPr>
          <w:p w14:paraId="6693BF3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870A90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04F5F18">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1603DE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AC1255D">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05CE322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p>
        </w:tc>
        <w:tc>
          <w:tcPr>
            <w:tcW w:w="522" w:type="dxa"/>
            <w:vMerge w:val="continue"/>
            <w:tcBorders>
              <w:top w:val="nil"/>
              <w:left w:val="nil"/>
              <w:bottom w:val="single" w:color="000000" w:sz="8" w:space="0"/>
              <w:right w:val="single" w:color="000000" w:sz="8" w:space="0"/>
            </w:tcBorders>
            <w:noWrap/>
            <w:vAlign w:val="center"/>
          </w:tcPr>
          <w:p w14:paraId="20E80AB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666D4E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6DABF86">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5C035D9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8</w:t>
            </w:r>
          </w:p>
        </w:tc>
        <w:tc>
          <w:tcPr>
            <w:tcW w:w="1973" w:type="dxa"/>
            <w:vMerge w:val="restart"/>
            <w:tcBorders>
              <w:top w:val="nil"/>
              <w:left w:val="nil"/>
              <w:bottom w:val="single" w:color="000000" w:sz="8" w:space="0"/>
              <w:right w:val="single" w:color="000000" w:sz="8" w:space="0"/>
            </w:tcBorders>
            <w:noWrap/>
            <w:vAlign w:val="center"/>
          </w:tcPr>
          <w:p w14:paraId="5DE2743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斗式提升机</w:t>
            </w:r>
          </w:p>
        </w:tc>
        <w:tc>
          <w:tcPr>
            <w:tcW w:w="5942" w:type="dxa"/>
            <w:tcBorders>
              <w:top w:val="nil"/>
              <w:left w:val="nil"/>
              <w:bottom w:val="nil"/>
              <w:right w:val="single" w:color="000000" w:sz="8" w:space="0"/>
            </w:tcBorders>
            <w:vAlign w:val="center"/>
          </w:tcPr>
          <w:p w14:paraId="4A190AD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型号：TDTGW4；</w:t>
            </w:r>
          </w:p>
        </w:tc>
        <w:tc>
          <w:tcPr>
            <w:tcW w:w="522" w:type="dxa"/>
            <w:vMerge w:val="restart"/>
            <w:tcBorders>
              <w:top w:val="nil"/>
              <w:left w:val="nil"/>
              <w:bottom w:val="single" w:color="000000" w:sz="8" w:space="0"/>
              <w:right w:val="single" w:color="000000" w:sz="8" w:space="0"/>
            </w:tcBorders>
            <w:noWrap/>
            <w:vAlign w:val="center"/>
          </w:tcPr>
          <w:p w14:paraId="39EB134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16</w:t>
            </w:r>
          </w:p>
        </w:tc>
        <w:tc>
          <w:tcPr>
            <w:tcW w:w="507" w:type="dxa"/>
            <w:vMerge w:val="restart"/>
            <w:tcBorders>
              <w:top w:val="nil"/>
              <w:left w:val="nil"/>
              <w:bottom w:val="single" w:color="000000" w:sz="8" w:space="0"/>
              <w:right w:val="single" w:color="000000" w:sz="8" w:space="0"/>
            </w:tcBorders>
            <w:noWrap/>
            <w:vAlign w:val="center"/>
          </w:tcPr>
          <w:p w14:paraId="0D04E90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3027136C">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245780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9C310EA">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5E6F73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输送量（t/h）:3-4；</w:t>
            </w:r>
          </w:p>
        </w:tc>
        <w:tc>
          <w:tcPr>
            <w:tcW w:w="522" w:type="dxa"/>
            <w:vMerge w:val="continue"/>
            <w:tcBorders>
              <w:top w:val="nil"/>
              <w:left w:val="nil"/>
              <w:bottom w:val="single" w:color="000000" w:sz="8" w:space="0"/>
              <w:right w:val="single" w:color="000000" w:sz="8" w:space="0"/>
            </w:tcBorders>
            <w:noWrap/>
            <w:vAlign w:val="center"/>
          </w:tcPr>
          <w:p w14:paraId="08CE1B9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6CF965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9A769A3">
        <w:tblPrEx>
          <w:tblCellMar>
            <w:top w:w="0" w:type="dxa"/>
            <w:left w:w="108" w:type="dxa"/>
            <w:bottom w:w="0" w:type="dxa"/>
            <w:right w:w="108" w:type="dxa"/>
          </w:tblCellMar>
        </w:tblPrEx>
        <w:trPr>
          <w:trHeight w:val="23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0A6B50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E884BF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413083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配电机功率（kW）:1.1（硬齿面减速机）；</w:t>
            </w:r>
          </w:p>
        </w:tc>
        <w:tc>
          <w:tcPr>
            <w:tcW w:w="522" w:type="dxa"/>
            <w:vMerge w:val="continue"/>
            <w:tcBorders>
              <w:top w:val="nil"/>
              <w:left w:val="nil"/>
              <w:bottom w:val="single" w:color="000000" w:sz="8" w:space="0"/>
              <w:right w:val="single" w:color="000000" w:sz="8" w:space="0"/>
            </w:tcBorders>
            <w:noWrap/>
            <w:vAlign w:val="center"/>
          </w:tcPr>
          <w:p w14:paraId="46679FC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247EC8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13442BA">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F90D4F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A0AE365">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308B31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畚斗规格：1311塑料畚斗 ；</w:t>
            </w:r>
          </w:p>
        </w:tc>
        <w:tc>
          <w:tcPr>
            <w:tcW w:w="522" w:type="dxa"/>
            <w:vMerge w:val="continue"/>
            <w:tcBorders>
              <w:top w:val="nil"/>
              <w:left w:val="nil"/>
              <w:bottom w:val="single" w:color="000000" w:sz="8" w:space="0"/>
              <w:right w:val="single" w:color="000000" w:sz="8" w:space="0"/>
            </w:tcBorders>
            <w:noWrap/>
            <w:vAlign w:val="center"/>
          </w:tcPr>
          <w:p w14:paraId="7994E9D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FC8766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6A48764">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002BA9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8E7711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A68ADE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提升高度（m）:9/11；</w:t>
            </w:r>
          </w:p>
        </w:tc>
        <w:tc>
          <w:tcPr>
            <w:tcW w:w="522" w:type="dxa"/>
            <w:vMerge w:val="continue"/>
            <w:tcBorders>
              <w:top w:val="nil"/>
              <w:left w:val="nil"/>
              <w:bottom w:val="single" w:color="000000" w:sz="8" w:space="0"/>
              <w:right w:val="single" w:color="000000" w:sz="8" w:space="0"/>
            </w:tcBorders>
            <w:noWrap/>
            <w:vAlign w:val="center"/>
          </w:tcPr>
          <w:p w14:paraId="4FC9968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F45C2B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CC276E3">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2E31CE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9744B94">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12C1D6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皮带宽度（mm）150；</w:t>
            </w:r>
          </w:p>
        </w:tc>
        <w:tc>
          <w:tcPr>
            <w:tcW w:w="522" w:type="dxa"/>
            <w:vMerge w:val="continue"/>
            <w:tcBorders>
              <w:top w:val="nil"/>
              <w:left w:val="nil"/>
              <w:bottom w:val="single" w:color="000000" w:sz="8" w:space="0"/>
              <w:right w:val="single" w:color="000000" w:sz="8" w:space="0"/>
            </w:tcBorders>
            <w:noWrap/>
            <w:vAlign w:val="center"/>
          </w:tcPr>
          <w:p w14:paraId="2AE4BBD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A215E4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AEEE6D7">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8094B1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8F8B24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1850A0C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配套吸风量（m³/h）</w:t>
            </w:r>
            <w:r>
              <w:rPr>
                <w:rStyle w:val="371"/>
                <w:color w:val="auto"/>
                <w:highlight w:val="none"/>
                <w:lang w:bidi="ar"/>
              </w:rPr>
              <w:t>2</w:t>
            </w:r>
            <w:r>
              <w:rPr>
                <w:rStyle w:val="370"/>
                <w:rFonts w:hint="default"/>
                <w:color w:val="auto"/>
                <w:highlight w:val="none"/>
                <w:lang w:bidi="ar"/>
              </w:rPr>
              <w:t>00-</w:t>
            </w:r>
            <w:r>
              <w:rPr>
                <w:rStyle w:val="371"/>
                <w:color w:val="auto"/>
                <w:highlight w:val="none"/>
                <w:lang w:bidi="ar"/>
              </w:rPr>
              <w:t>3</w:t>
            </w:r>
            <w:r>
              <w:rPr>
                <w:rStyle w:val="370"/>
                <w:rFonts w:hint="default"/>
                <w:color w:val="auto"/>
                <w:highlight w:val="none"/>
                <w:lang w:bidi="ar"/>
              </w:rPr>
              <w:t>00；</w:t>
            </w:r>
          </w:p>
        </w:tc>
        <w:tc>
          <w:tcPr>
            <w:tcW w:w="522" w:type="dxa"/>
            <w:vMerge w:val="continue"/>
            <w:tcBorders>
              <w:top w:val="nil"/>
              <w:left w:val="nil"/>
              <w:bottom w:val="single" w:color="000000" w:sz="8" w:space="0"/>
              <w:right w:val="single" w:color="000000" w:sz="8" w:space="0"/>
            </w:tcBorders>
            <w:noWrap/>
            <w:vAlign w:val="center"/>
          </w:tcPr>
          <w:p w14:paraId="598EAAD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2A1990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948C49E">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000028F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9</w:t>
            </w:r>
          </w:p>
        </w:tc>
        <w:tc>
          <w:tcPr>
            <w:tcW w:w="1973" w:type="dxa"/>
            <w:vMerge w:val="restart"/>
            <w:tcBorders>
              <w:top w:val="nil"/>
              <w:left w:val="nil"/>
              <w:bottom w:val="single" w:color="000000" w:sz="8" w:space="0"/>
              <w:right w:val="single" w:color="000000" w:sz="8" w:space="0"/>
            </w:tcBorders>
            <w:noWrap/>
            <w:vAlign w:val="center"/>
          </w:tcPr>
          <w:p w14:paraId="5489D5F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砂辊米机</w:t>
            </w:r>
          </w:p>
        </w:tc>
        <w:tc>
          <w:tcPr>
            <w:tcW w:w="5942" w:type="dxa"/>
            <w:tcBorders>
              <w:top w:val="nil"/>
              <w:left w:val="nil"/>
              <w:bottom w:val="nil"/>
              <w:right w:val="single" w:color="000000" w:sz="8" w:space="0"/>
            </w:tcBorders>
            <w:vAlign w:val="center"/>
          </w:tcPr>
          <w:p w14:paraId="1CCF9E3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型号：CFN22FK；</w:t>
            </w:r>
          </w:p>
        </w:tc>
        <w:tc>
          <w:tcPr>
            <w:tcW w:w="522" w:type="dxa"/>
            <w:vMerge w:val="restart"/>
            <w:tcBorders>
              <w:top w:val="nil"/>
              <w:left w:val="nil"/>
              <w:bottom w:val="single" w:color="000000" w:sz="8" w:space="0"/>
              <w:right w:val="single" w:color="000000" w:sz="8" w:space="0"/>
            </w:tcBorders>
            <w:noWrap/>
            <w:vAlign w:val="center"/>
          </w:tcPr>
          <w:p w14:paraId="34ABA2B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3</w:t>
            </w:r>
          </w:p>
        </w:tc>
        <w:tc>
          <w:tcPr>
            <w:tcW w:w="507" w:type="dxa"/>
            <w:vMerge w:val="restart"/>
            <w:tcBorders>
              <w:top w:val="nil"/>
              <w:left w:val="nil"/>
              <w:bottom w:val="single" w:color="000000" w:sz="8" w:space="0"/>
              <w:right w:val="single" w:color="000000" w:sz="8" w:space="0"/>
            </w:tcBorders>
            <w:noWrap/>
            <w:vAlign w:val="center"/>
          </w:tcPr>
          <w:p w14:paraId="76AA720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6EB98A52">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19E306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5840FD9">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8AE214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糙米处理产量：2-3t/h；</w:t>
            </w:r>
          </w:p>
        </w:tc>
        <w:tc>
          <w:tcPr>
            <w:tcW w:w="522" w:type="dxa"/>
            <w:vMerge w:val="continue"/>
            <w:tcBorders>
              <w:top w:val="nil"/>
              <w:left w:val="nil"/>
              <w:bottom w:val="single" w:color="000000" w:sz="8" w:space="0"/>
              <w:right w:val="single" w:color="000000" w:sz="8" w:space="0"/>
            </w:tcBorders>
            <w:noWrap/>
            <w:vAlign w:val="center"/>
          </w:tcPr>
          <w:p w14:paraId="69FCD53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5ABEC0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8EF745E">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C56DAE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C236FB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D2256B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配电机功率（kW）:30kW主机+1.5kW辅助风机；</w:t>
            </w:r>
          </w:p>
        </w:tc>
        <w:tc>
          <w:tcPr>
            <w:tcW w:w="522" w:type="dxa"/>
            <w:vMerge w:val="continue"/>
            <w:tcBorders>
              <w:top w:val="nil"/>
              <w:left w:val="nil"/>
              <w:bottom w:val="single" w:color="000000" w:sz="8" w:space="0"/>
              <w:right w:val="single" w:color="000000" w:sz="8" w:space="0"/>
            </w:tcBorders>
            <w:noWrap/>
            <w:vAlign w:val="center"/>
          </w:tcPr>
          <w:p w14:paraId="486E323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EF7822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38F9467">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D5EC4C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CE3C418">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46401C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配套吸风量（m³/h）1500-2100；</w:t>
            </w:r>
          </w:p>
        </w:tc>
        <w:tc>
          <w:tcPr>
            <w:tcW w:w="522" w:type="dxa"/>
            <w:vMerge w:val="continue"/>
            <w:tcBorders>
              <w:top w:val="nil"/>
              <w:left w:val="nil"/>
              <w:bottom w:val="single" w:color="000000" w:sz="8" w:space="0"/>
              <w:right w:val="single" w:color="000000" w:sz="8" w:space="0"/>
            </w:tcBorders>
            <w:noWrap/>
            <w:vAlign w:val="center"/>
          </w:tcPr>
          <w:p w14:paraId="6E6D12D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C4F1B6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05E8940">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DCC834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6F90394">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4" w:space="0"/>
              <w:right w:val="single" w:color="000000" w:sz="8" w:space="0"/>
            </w:tcBorders>
            <w:vAlign w:val="center"/>
          </w:tcPr>
          <w:p w14:paraId="1D611E5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设备风阻：1500-2000Pa；</w:t>
            </w:r>
          </w:p>
        </w:tc>
        <w:tc>
          <w:tcPr>
            <w:tcW w:w="522" w:type="dxa"/>
            <w:vMerge w:val="continue"/>
            <w:tcBorders>
              <w:top w:val="nil"/>
              <w:left w:val="nil"/>
              <w:bottom w:val="single" w:color="000000" w:sz="8" w:space="0"/>
              <w:right w:val="single" w:color="000000" w:sz="8" w:space="0"/>
            </w:tcBorders>
            <w:noWrap/>
            <w:vAlign w:val="center"/>
          </w:tcPr>
          <w:p w14:paraId="2D3C3BB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83792F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73EAB19">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5236498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10</w:t>
            </w:r>
          </w:p>
        </w:tc>
        <w:tc>
          <w:tcPr>
            <w:tcW w:w="1973" w:type="dxa"/>
            <w:vMerge w:val="restart"/>
            <w:tcBorders>
              <w:top w:val="nil"/>
              <w:left w:val="nil"/>
              <w:bottom w:val="single" w:color="000000" w:sz="8" w:space="0"/>
              <w:right w:val="single" w:color="000000" w:sz="8" w:space="0"/>
            </w:tcBorders>
            <w:noWrap/>
            <w:vAlign w:val="center"/>
          </w:tcPr>
          <w:p w14:paraId="37A43C4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组合米机</w:t>
            </w:r>
          </w:p>
        </w:tc>
        <w:tc>
          <w:tcPr>
            <w:tcW w:w="5942" w:type="dxa"/>
            <w:tcBorders>
              <w:top w:val="nil"/>
              <w:left w:val="nil"/>
              <w:bottom w:val="nil"/>
              <w:right w:val="single" w:color="000000" w:sz="8" w:space="0"/>
            </w:tcBorders>
            <w:vAlign w:val="center"/>
          </w:tcPr>
          <w:p w14:paraId="7A6050C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型号：SAFF3G；</w:t>
            </w:r>
          </w:p>
        </w:tc>
        <w:tc>
          <w:tcPr>
            <w:tcW w:w="522" w:type="dxa"/>
            <w:vMerge w:val="restart"/>
            <w:tcBorders>
              <w:top w:val="nil"/>
              <w:left w:val="nil"/>
              <w:bottom w:val="single" w:color="000000" w:sz="8" w:space="0"/>
              <w:right w:val="single" w:color="000000" w:sz="8" w:space="0"/>
            </w:tcBorders>
            <w:noWrap/>
            <w:vAlign w:val="center"/>
          </w:tcPr>
          <w:p w14:paraId="0397D7F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7DBB116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56141EBE">
        <w:tblPrEx>
          <w:tblCellMar>
            <w:top w:w="0" w:type="dxa"/>
            <w:left w:w="108" w:type="dxa"/>
            <w:bottom w:w="0" w:type="dxa"/>
            <w:right w:w="108" w:type="dxa"/>
          </w:tblCellMar>
        </w:tblPrEx>
        <w:trPr>
          <w:trHeight w:val="33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D45E82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3398E3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559C8F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产量：2-3T/H；</w:t>
            </w:r>
          </w:p>
        </w:tc>
        <w:tc>
          <w:tcPr>
            <w:tcW w:w="522" w:type="dxa"/>
            <w:vMerge w:val="continue"/>
            <w:tcBorders>
              <w:top w:val="nil"/>
              <w:left w:val="nil"/>
              <w:bottom w:val="single" w:color="000000" w:sz="8" w:space="0"/>
              <w:right w:val="single" w:color="000000" w:sz="8" w:space="0"/>
            </w:tcBorders>
            <w:noWrap/>
            <w:vAlign w:val="center"/>
          </w:tcPr>
          <w:p w14:paraId="3C090DC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3FF087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6E00D47">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855357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A28086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5DEEDB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功率：58.5kW；</w:t>
            </w:r>
          </w:p>
        </w:tc>
        <w:tc>
          <w:tcPr>
            <w:tcW w:w="522" w:type="dxa"/>
            <w:vMerge w:val="continue"/>
            <w:tcBorders>
              <w:top w:val="nil"/>
              <w:left w:val="nil"/>
              <w:bottom w:val="single" w:color="000000" w:sz="8" w:space="0"/>
              <w:right w:val="single" w:color="000000" w:sz="8" w:space="0"/>
            </w:tcBorders>
            <w:noWrap/>
            <w:vAlign w:val="center"/>
          </w:tcPr>
          <w:p w14:paraId="5497DD4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2CA3AF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D5C1949">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E0E1D2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44E68D8">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3A9C76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配套吸风量（m³/h）2000-2500；</w:t>
            </w:r>
          </w:p>
        </w:tc>
        <w:tc>
          <w:tcPr>
            <w:tcW w:w="522" w:type="dxa"/>
            <w:vMerge w:val="continue"/>
            <w:tcBorders>
              <w:top w:val="nil"/>
              <w:left w:val="nil"/>
              <w:bottom w:val="single" w:color="000000" w:sz="8" w:space="0"/>
              <w:right w:val="single" w:color="000000" w:sz="8" w:space="0"/>
            </w:tcBorders>
            <w:noWrap/>
            <w:vAlign w:val="center"/>
          </w:tcPr>
          <w:p w14:paraId="029FB06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DD762A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4ED25CE">
        <w:tblPrEx>
          <w:tblCellMar>
            <w:top w:w="0" w:type="dxa"/>
            <w:left w:w="108" w:type="dxa"/>
            <w:bottom w:w="0" w:type="dxa"/>
            <w:right w:w="108" w:type="dxa"/>
          </w:tblCellMar>
        </w:tblPrEx>
        <w:trPr>
          <w:trHeight w:val="6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A2CBCD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1426742">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7DF857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碾米结构：研磨（砂辊）+摩擦（铁辊）+摩擦（铁辊）三道组合碾米；</w:t>
            </w:r>
          </w:p>
        </w:tc>
        <w:tc>
          <w:tcPr>
            <w:tcW w:w="522" w:type="dxa"/>
            <w:vMerge w:val="continue"/>
            <w:tcBorders>
              <w:top w:val="nil"/>
              <w:left w:val="nil"/>
              <w:bottom w:val="single" w:color="000000" w:sz="8" w:space="0"/>
              <w:right w:val="single" w:color="000000" w:sz="8" w:space="0"/>
            </w:tcBorders>
            <w:noWrap/>
            <w:vAlign w:val="center"/>
          </w:tcPr>
          <w:p w14:paraId="4E57B3D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952EF1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FD83CF3">
        <w:tblPrEx>
          <w:tblCellMar>
            <w:top w:w="0" w:type="dxa"/>
            <w:left w:w="108" w:type="dxa"/>
            <w:bottom w:w="0" w:type="dxa"/>
            <w:right w:w="108" w:type="dxa"/>
          </w:tblCellMar>
        </w:tblPrEx>
        <w:trPr>
          <w:trHeight w:val="37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404EA2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BD546CB">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single" w:color="000000" w:sz="4" w:space="0"/>
              <w:bottom w:val="single" w:color="000000" w:sz="4" w:space="0"/>
              <w:right w:val="single" w:color="000000" w:sz="4" w:space="0"/>
            </w:tcBorders>
            <w:vAlign w:val="center"/>
          </w:tcPr>
          <w:p w14:paraId="5365508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适合原料：糙米（粳米、短粒米优选）；</w:t>
            </w:r>
          </w:p>
        </w:tc>
        <w:tc>
          <w:tcPr>
            <w:tcW w:w="522" w:type="dxa"/>
            <w:vMerge w:val="continue"/>
            <w:tcBorders>
              <w:top w:val="nil"/>
              <w:left w:val="nil"/>
              <w:bottom w:val="single" w:color="000000" w:sz="8" w:space="0"/>
              <w:right w:val="single" w:color="000000" w:sz="8" w:space="0"/>
            </w:tcBorders>
            <w:noWrap/>
            <w:vAlign w:val="center"/>
          </w:tcPr>
          <w:p w14:paraId="281E206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25CC9E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B326F06">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7741BDE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11</w:t>
            </w:r>
          </w:p>
        </w:tc>
        <w:tc>
          <w:tcPr>
            <w:tcW w:w="1973" w:type="dxa"/>
            <w:vMerge w:val="restart"/>
            <w:tcBorders>
              <w:top w:val="nil"/>
              <w:left w:val="nil"/>
              <w:bottom w:val="single" w:color="000000" w:sz="8" w:space="0"/>
              <w:right w:val="single" w:color="000000" w:sz="8" w:space="0"/>
            </w:tcBorders>
            <w:noWrap/>
            <w:vAlign w:val="center"/>
          </w:tcPr>
          <w:p w14:paraId="59C8485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白米分级筛</w:t>
            </w:r>
          </w:p>
        </w:tc>
        <w:tc>
          <w:tcPr>
            <w:tcW w:w="5942" w:type="dxa"/>
            <w:tcBorders>
              <w:top w:val="nil"/>
              <w:left w:val="nil"/>
              <w:bottom w:val="nil"/>
              <w:right w:val="single" w:color="000000" w:sz="8" w:space="0"/>
            </w:tcBorders>
            <w:vAlign w:val="center"/>
          </w:tcPr>
          <w:p w14:paraId="4E48501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型号：MMJX100*4/5；</w:t>
            </w:r>
          </w:p>
        </w:tc>
        <w:tc>
          <w:tcPr>
            <w:tcW w:w="522" w:type="dxa"/>
            <w:vMerge w:val="restart"/>
            <w:tcBorders>
              <w:top w:val="nil"/>
              <w:left w:val="nil"/>
              <w:bottom w:val="single" w:color="000000" w:sz="8" w:space="0"/>
              <w:right w:val="single" w:color="000000" w:sz="8" w:space="0"/>
            </w:tcBorders>
            <w:noWrap/>
            <w:vAlign w:val="center"/>
          </w:tcPr>
          <w:p w14:paraId="2052E81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w:t>
            </w:r>
          </w:p>
        </w:tc>
        <w:tc>
          <w:tcPr>
            <w:tcW w:w="507" w:type="dxa"/>
            <w:vMerge w:val="restart"/>
            <w:tcBorders>
              <w:top w:val="nil"/>
              <w:left w:val="nil"/>
              <w:bottom w:val="single" w:color="000000" w:sz="8" w:space="0"/>
              <w:right w:val="single" w:color="000000" w:sz="8" w:space="0"/>
            </w:tcBorders>
            <w:noWrap/>
            <w:vAlign w:val="center"/>
          </w:tcPr>
          <w:p w14:paraId="3A79DF6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28E70B5C">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33CE95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2DD9BF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51DC153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筛层数量：4层；</w:t>
            </w:r>
          </w:p>
        </w:tc>
        <w:tc>
          <w:tcPr>
            <w:tcW w:w="522" w:type="dxa"/>
            <w:vMerge w:val="continue"/>
            <w:tcBorders>
              <w:top w:val="nil"/>
              <w:left w:val="nil"/>
              <w:bottom w:val="single" w:color="000000" w:sz="8" w:space="0"/>
              <w:right w:val="single" w:color="000000" w:sz="8" w:space="0"/>
            </w:tcBorders>
            <w:noWrap/>
            <w:vAlign w:val="center"/>
          </w:tcPr>
          <w:p w14:paraId="60FBD41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1DB021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264B80E">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8A4543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D0B0542">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F74A35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白米处理产量：3-4t/h；</w:t>
            </w:r>
          </w:p>
        </w:tc>
        <w:tc>
          <w:tcPr>
            <w:tcW w:w="522" w:type="dxa"/>
            <w:vMerge w:val="continue"/>
            <w:tcBorders>
              <w:top w:val="nil"/>
              <w:left w:val="nil"/>
              <w:bottom w:val="single" w:color="000000" w:sz="8" w:space="0"/>
              <w:right w:val="single" w:color="000000" w:sz="8" w:space="0"/>
            </w:tcBorders>
            <w:noWrap/>
            <w:vAlign w:val="center"/>
          </w:tcPr>
          <w:p w14:paraId="2551CB1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E789BC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139A898">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26C283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457F761">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4189AF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配套电机功率：1.1kW；</w:t>
            </w:r>
          </w:p>
        </w:tc>
        <w:tc>
          <w:tcPr>
            <w:tcW w:w="522" w:type="dxa"/>
            <w:vMerge w:val="continue"/>
            <w:tcBorders>
              <w:top w:val="nil"/>
              <w:left w:val="nil"/>
              <w:bottom w:val="single" w:color="000000" w:sz="8" w:space="0"/>
              <w:right w:val="single" w:color="000000" w:sz="8" w:space="0"/>
            </w:tcBorders>
            <w:noWrap/>
            <w:vAlign w:val="center"/>
          </w:tcPr>
          <w:p w14:paraId="05F91FD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412451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8E01724">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ABC10E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BC8FD7A">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3015C7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设备吸风量：300-500 m³/h；</w:t>
            </w:r>
          </w:p>
        </w:tc>
        <w:tc>
          <w:tcPr>
            <w:tcW w:w="522" w:type="dxa"/>
            <w:vMerge w:val="continue"/>
            <w:tcBorders>
              <w:top w:val="nil"/>
              <w:left w:val="nil"/>
              <w:bottom w:val="single" w:color="000000" w:sz="8" w:space="0"/>
              <w:right w:val="single" w:color="000000" w:sz="8" w:space="0"/>
            </w:tcBorders>
            <w:noWrap/>
            <w:vAlign w:val="center"/>
          </w:tcPr>
          <w:p w14:paraId="63A16E7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BC9C51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088E9EB">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F07315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73A4C34">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38BDD54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性能： 可分出整米、大碎米、小碎米、碎米；筛板可快速抽拉更换；分级效果可调，降低成品碎米含量；</w:t>
            </w:r>
          </w:p>
        </w:tc>
        <w:tc>
          <w:tcPr>
            <w:tcW w:w="522" w:type="dxa"/>
            <w:vMerge w:val="continue"/>
            <w:tcBorders>
              <w:top w:val="nil"/>
              <w:left w:val="nil"/>
              <w:bottom w:val="single" w:color="000000" w:sz="8" w:space="0"/>
              <w:right w:val="single" w:color="000000" w:sz="8" w:space="0"/>
            </w:tcBorders>
            <w:noWrap/>
            <w:vAlign w:val="center"/>
          </w:tcPr>
          <w:p w14:paraId="18CDE4B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8A3945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F0AA8B5">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36AFA15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12</w:t>
            </w:r>
          </w:p>
        </w:tc>
        <w:tc>
          <w:tcPr>
            <w:tcW w:w="1973" w:type="dxa"/>
            <w:vMerge w:val="restart"/>
            <w:tcBorders>
              <w:top w:val="nil"/>
              <w:left w:val="nil"/>
              <w:bottom w:val="single" w:color="000000" w:sz="8" w:space="0"/>
              <w:right w:val="single" w:color="000000" w:sz="8" w:space="0"/>
            </w:tcBorders>
            <w:noWrap/>
            <w:vAlign w:val="center"/>
          </w:tcPr>
          <w:p w14:paraId="5B115D9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抛光机</w:t>
            </w:r>
          </w:p>
        </w:tc>
        <w:tc>
          <w:tcPr>
            <w:tcW w:w="5942" w:type="dxa"/>
            <w:tcBorders>
              <w:top w:val="nil"/>
              <w:left w:val="nil"/>
              <w:bottom w:val="nil"/>
              <w:right w:val="single" w:color="000000" w:sz="8" w:space="0"/>
            </w:tcBorders>
            <w:vAlign w:val="center"/>
          </w:tcPr>
          <w:p w14:paraId="60FB9FA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型号：KB40；</w:t>
            </w:r>
          </w:p>
        </w:tc>
        <w:tc>
          <w:tcPr>
            <w:tcW w:w="522" w:type="dxa"/>
            <w:vMerge w:val="restart"/>
            <w:tcBorders>
              <w:top w:val="nil"/>
              <w:left w:val="nil"/>
              <w:bottom w:val="single" w:color="000000" w:sz="8" w:space="0"/>
              <w:right w:val="single" w:color="000000" w:sz="8" w:space="0"/>
            </w:tcBorders>
            <w:noWrap/>
            <w:vAlign w:val="center"/>
          </w:tcPr>
          <w:p w14:paraId="515D453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w:t>
            </w:r>
          </w:p>
        </w:tc>
        <w:tc>
          <w:tcPr>
            <w:tcW w:w="507" w:type="dxa"/>
            <w:vMerge w:val="restart"/>
            <w:tcBorders>
              <w:top w:val="nil"/>
              <w:left w:val="nil"/>
              <w:bottom w:val="single" w:color="000000" w:sz="8" w:space="0"/>
              <w:right w:val="single" w:color="000000" w:sz="8" w:space="0"/>
            </w:tcBorders>
            <w:noWrap/>
            <w:vAlign w:val="center"/>
          </w:tcPr>
          <w:p w14:paraId="160D49D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6FB005BD">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14E12C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E5AA94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1D00DB6">
            <w:pPr>
              <w:keepNext w:val="0"/>
              <w:keepLines w:val="0"/>
              <w:widowControl/>
              <w:suppressLineNumbers w:val="0"/>
              <w:spacing w:before="0" w:beforeAutospacing="0" w:after="0" w:afterAutospacing="0"/>
              <w:ind w:left="0" w:right="0"/>
              <w:jc w:val="left"/>
              <w:textAlignment w:val="center"/>
              <w:rPr>
                <w:rFonts w:ascii="宋体" w:hAnsi="宋体" w:cs="宋体"/>
                <w:color w:val="auto"/>
                <w:sz w:val="24"/>
                <w:highlight w:val="none"/>
                <w:lang w:bidi="ar"/>
              </w:rPr>
            </w:pPr>
            <w:r>
              <w:rPr>
                <w:rFonts w:hint="eastAsia" w:ascii="宋体" w:hAnsi="宋体" w:cs="宋体"/>
                <w:color w:val="auto"/>
                <w:sz w:val="24"/>
                <w:highlight w:val="none"/>
                <w:lang w:bidi="ar"/>
              </w:rPr>
              <w:t>白米抛光产量:2-2.5t/h；</w:t>
            </w:r>
          </w:p>
          <w:p w14:paraId="22F02568">
            <w:pPr>
              <w:pStyle w:val="60"/>
              <w:keepNext w:val="0"/>
              <w:keepLines w:val="0"/>
              <w:suppressLineNumbers w:val="0"/>
              <w:spacing w:before="0" w:beforeAutospacing="0" w:after="0" w:afterAutospacing="0"/>
              <w:ind w:left="0" w:right="0" w:firstLine="0"/>
              <w:jc w:val="left"/>
              <w:rPr>
                <w:rFonts w:hint="eastAsia"/>
                <w:color w:val="auto"/>
                <w:highlight w:val="none"/>
                <w:lang w:bidi="ar"/>
              </w:rPr>
            </w:pPr>
            <w:r>
              <w:rPr>
                <w:rFonts w:hint="eastAsia"/>
                <w:color w:val="auto"/>
                <w:highlight w:val="none"/>
                <w:lang w:bidi="ar"/>
              </w:rPr>
              <w:t>带变频喂料装置；无料自动关闭加水</w:t>
            </w:r>
          </w:p>
        </w:tc>
        <w:tc>
          <w:tcPr>
            <w:tcW w:w="522" w:type="dxa"/>
            <w:vMerge w:val="continue"/>
            <w:tcBorders>
              <w:top w:val="nil"/>
              <w:left w:val="nil"/>
              <w:bottom w:val="single" w:color="000000" w:sz="8" w:space="0"/>
              <w:right w:val="single" w:color="000000" w:sz="8" w:space="0"/>
            </w:tcBorders>
            <w:noWrap/>
            <w:vAlign w:val="center"/>
          </w:tcPr>
          <w:p w14:paraId="2C63491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C43877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BF2DE4D">
        <w:tblPrEx>
          <w:tblCellMar>
            <w:top w:w="0" w:type="dxa"/>
            <w:left w:w="108" w:type="dxa"/>
            <w:bottom w:w="0" w:type="dxa"/>
            <w:right w:w="108" w:type="dxa"/>
          </w:tblCellMar>
        </w:tblPrEx>
        <w:trPr>
          <w:trHeight w:val="43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D98592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3B78834">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F52798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配套电机功率：主机37kW+喂料机0.2kW；</w:t>
            </w:r>
          </w:p>
        </w:tc>
        <w:tc>
          <w:tcPr>
            <w:tcW w:w="522" w:type="dxa"/>
            <w:vMerge w:val="continue"/>
            <w:tcBorders>
              <w:top w:val="nil"/>
              <w:left w:val="nil"/>
              <w:bottom w:val="single" w:color="000000" w:sz="8" w:space="0"/>
              <w:right w:val="single" w:color="000000" w:sz="8" w:space="0"/>
            </w:tcBorders>
            <w:noWrap/>
            <w:vAlign w:val="center"/>
          </w:tcPr>
          <w:p w14:paraId="20023A7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0088BF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6DE5A46">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F01C50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1AF415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4" w:space="0"/>
              <w:right w:val="single" w:color="000000" w:sz="8" w:space="0"/>
            </w:tcBorders>
            <w:vAlign w:val="center"/>
          </w:tcPr>
          <w:p w14:paraId="3758DE9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主轴转速：870r/min；</w:t>
            </w:r>
          </w:p>
        </w:tc>
        <w:tc>
          <w:tcPr>
            <w:tcW w:w="522" w:type="dxa"/>
            <w:vMerge w:val="continue"/>
            <w:tcBorders>
              <w:top w:val="nil"/>
              <w:left w:val="nil"/>
              <w:bottom w:val="single" w:color="000000" w:sz="8" w:space="0"/>
              <w:right w:val="single" w:color="000000" w:sz="8" w:space="0"/>
            </w:tcBorders>
            <w:noWrap/>
            <w:vAlign w:val="center"/>
          </w:tcPr>
          <w:p w14:paraId="5CC3AA4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5A3958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3A03709">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25D4F34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13</w:t>
            </w:r>
          </w:p>
        </w:tc>
        <w:tc>
          <w:tcPr>
            <w:tcW w:w="1973" w:type="dxa"/>
            <w:vMerge w:val="restart"/>
            <w:tcBorders>
              <w:top w:val="nil"/>
              <w:left w:val="nil"/>
              <w:bottom w:val="single" w:color="000000" w:sz="8" w:space="0"/>
              <w:right w:val="single" w:color="000000" w:sz="8" w:space="0"/>
            </w:tcBorders>
            <w:noWrap/>
            <w:vAlign w:val="center"/>
          </w:tcPr>
          <w:p w14:paraId="1C25B73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色选机</w:t>
            </w:r>
          </w:p>
        </w:tc>
        <w:tc>
          <w:tcPr>
            <w:tcW w:w="5942" w:type="dxa"/>
            <w:tcBorders>
              <w:top w:val="nil"/>
              <w:left w:val="nil"/>
              <w:bottom w:val="nil"/>
              <w:right w:val="single" w:color="000000" w:sz="8" w:space="0"/>
            </w:tcBorders>
            <w:vAlign w:val="center"/>
          </w:tcPr>
          <w:p w14:paraId="166756F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型号：ECS2600AIS；</w:t>
            </w:r>
          </w:p>
        </w:tc>
        <w:tc>
          <w:tcPr>
            <w:tcW w:w="522" w:type="dxa"/>
            <w:vMerge w:val="restart"/>
            <w:tcBorders>
              <w:top w:val="nil"/>
              <w:left w:val="nil"/>
              <w:bottom w:val="single" w:color="000000" w:sz="8" w:space="0"/>
              <w:right w:val="single" w:color="000000" w:sz="8" w:space="0"/>
            </w:tcBorders>
            <w:noWrap/>
            <w:vAlign w:val="center"/>
          </w:tcPr>
          <w:p w14:paraId="749648D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w:t>
            </w:r>
          </w:p>
        </w:tc>
        <w:tc>
          <w:tcPr>
            <w:tcW w:w="507" w:type="dxa"/>
            <w:vMerge w:val="restart"/>
            <w:tcBorders>
              <w:top w:val="nil"/>
              <w:left w:val="nil"/>
              <w:bottom w:val="single" w:color="000000" w:sz="8" w:space="0"/>
              <w:right w:val="single" w:color="000000" w:sz="8" w:space="0"/>
            </w:tcBorders>
            <w:noWrap/>
            <w:vAlign w:val="center"/>
          </w:tcPr>
          <w:p w14:paraId="66715AE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2BAC8249">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7C1DD9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B445DF5">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F034D4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白米分选产量：2.5-4.0t/h；</w:t>
            </w:r>
          </w:p>
        </w:tc>
        <w:tc>
          <w:tcPr>
            <w:tcW w:w="522" w:type="dxa"/>
            <w:vMerge w:val="continue"/>
            <w:tcBorders>
              <w:top w:val="nil"/>
              <w:left w:val="nil"/>
              <w:bottom w:val="single" w:color="000000" w:sz="8" w:space="0"/>
              <w:right w:val="single" w:color="000000" w:sz="8" w:space="0"/>
            </w:tcBorders>
            <w:noWrap/>
            <w:vAlign w:val="center"/>
          </w:tcPr>
          <w:p w14:paraId="42E8F98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25D237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454A533">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5D8305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84AA28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046BAB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整机功率：2.4kW；</w:t>
            </w:r>
          </w:p>
        </w:tc>
        <w:tc>
          <w:tcPr>
            <w:tcW w:w="522" w:type="dxa"/>
            <w:vMerge w:val="continue"/>
            <w:tcBorders>
              <w:top w:val="nil"/>
              <w:left w:val="nil"/>
              <w:bottom w:val="single" w:color="000000" w:sz="8" w:space="0"/>
              <w:right w:val="single" w:color="000000" w:sz="8" w:space="0"/>
            </w:tcBorders>
            <w:noWrap/>
            <w:vAlign w:val="center"/>
          </w:tcPr>
          <w:p w14:paraId="7C09870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C0CE41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5767A20">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9DF46C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5C0452D">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3ED783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溜槽数量：4个（300m宽溜槽）；</w:t>
            </w:r>
          </w:p>
        </w:tc>
        <w:tc>
          <w:tcPr>
            <w:tcW w:w="522" w:type="dxa"/>
            <w:vMerge w:val="continue"/>
            <w:tcBorders>
              <w:top w:val="nil"/>
              <w:left w:val="nil"/>
              <w:bottom w:val="single" w:color="000000" w:sz="8" w:space="0"/>
              <w:right w:val="single" w:color="000000" w:sz="8" w:space="0"/>
            </w:tcBorders>
            <w:noWrap/>
            <w:vAlign w:val="center"/>
          </w:tcPr>
          <w:p w14:paraId="6623C23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084592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C2B55B1">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37C8B8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6019D2D">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52A3A8E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耗气量：08-1.2m³/min；</w:t>
            </w:r>
          </w:p>
        </w:tc>
        <w:tc>
          <w:tcPr>
            <w:tcW w:w="522" w:type="dxa"/>
            <w:vMerge w:val="continue"/>
            <w:tcBorders>
              <w:top w:val="nil"/>
              <w:left w:val="nil"/>
              <w:bottom w:val="single" w:color="000000" w:sz="8" w:space="0"/>
              <w:right w:val="single" w:color="000000" w:sz="8" w:space="0"/>
            </w:tcBorders>
            <w:noWrap/>
            <w:vAlign w:val="center"/>
          </w:tcPr>
          <w:p w14:paraId="4441DFB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B5AB20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594A5A9">
        <w:tblPrEx>
          <w:tblCellMar>
            <w:top w:w="0" w:type="dxa"/>
            <w:left w:w="108" w:type="dxa"/>
            <w:bottom w:w="0" w:type="dxa"/>
            <w:right w:w="108" w:type="dxa"/>
          </w:tblCellMar>
        </w:tblPrEx>
        <w:trPr>
          <w:trHeight w:val="6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4A7463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F96FDB8">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766689A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分选模式：异色米、腹白粒、黄粒、霉变粒、石子、反选模式；</w:t>
            </w:r>
          </w:p>
        </w:tc>
        <w:tc>
          <w:tcPr>
            <w:tcW w:w="522" w:type="dxa"/>
            <w:vMerge w:val="continue"/>
            <w:tcBorders>
              <w:top w:val="nil"/>
              <w:left w:val="nil"/>
              <w:bottom w:val="single" w:color="000000" w:sz="8" w:space="0"/>
              <w:right w:val="single" w:color="000000" w:sz="8" w:space="0"/>
            </w:tcBorders>
            <w:noWrap/>
            <w:vAlign w:val="center"/>
          </w:tcPr>
          <w:p w14:paraId="25C732F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6D5374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1752181">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4308678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14</w:t>
            </w:r>
          </w:p>
        </w:tc>
        <w:tc>
          <w:tcPr>
            <w:tcW w:w="1973" w:type="dxa"/>
            <w:vMerge w:val="restart"/>
            <w:tcBorders>
              <w:top w:val="nil"/>
              <w:left w:val="nil"/>
              <w:bottom w:val="single" w:color="000000" w:sz="8" w:space="0"/>
              <w:right w:val="single" w:color="000000" w:sz="8" w:space="0"/>
            </w:tcBorders>
            <w:noWrap/>
            <w:vAlign w:val="center"/>
          </w:tcPr>
          <w:p w14:paraId="4B4EE0B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长度分级机</w:t>
            </w:r>
          </w:p>
        </w:tc>
        <w:tc>
          <w:tcPr>
            <w:tcW w:w="5942" w:type="dxa"/>
            <w:tcBorders>
              <w:top w:val="nil"/>
              <w:left w:val="nil"/>
              <w:bottom w:val="nil"/>
              <w:right w:val="single" w:color="000000" w:sz="8" w:space="0"/>
            </w:tcBorders>
            <w:vAlign w:val="center"/>
          </w:tcPr>
          <w:p w14:paraId="4D1309A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型号：LRG204FA-C；</w:t>
            </w:r>
          </w:p>
        </w:tc>
        <w:tc>
          <w:tcPr>
            <w:tcW w:w="522" w:type="dxa"/>
            <w:vMerge w:val="restart"/>
            <w:tcBorders>
              <w:top w:val="nil"/>
              <w:left w:val="nil"/>
              <w:bottom w:val="single" w:color="000000" w:sz="8" w:space="0"/>
              <w:right w:val="single" w:color="000000" w:sz="8" w:space="0"/>
            </w:tcBorders>
            <w:noWrap/>
            <w:vAlign w:val="center"/>
          </w:tcPr>
          <w:p w14:paraId="6CEAAAA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21CB8D3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4F40973B">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E27183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9BB766D">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BD0201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白米处理常量（t/h）:1.4-2.0；</w:t>
            </w:r>
          </w:p>
        </w:tc>
        <w:tc>
          <w:tcPr>
            <w:tcW w:w="522" w:type="dxa"/>
            <w:vMerge w:val="continue"/>
            <w:tcBorders>
              <w:top w:val="nil"/>
              <w:left w:val="nil"/>
              <w:bottom w:val="single" w:color="000000" w:sz="8" w:space="0"/>
              <w:right w:val="single" w:color="000000" w:sz="8" w:space="0"/>
            </w:tcBorders>
            <w:noWrap/>
            <w:vAlign w:val="center"/>
          </w:tcPr>
          <w:p w14:paraId="0633248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19324E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182B508">
        <w:tblPrEx>
          <w:tblCellMar>
            <w:top w:w="0" w:type="dxa"/>
            <w:left w:w="108" w:type="dxa"/>
            <w:bottom w:w="0" w:type="dxa"/>
            <w:right w:w="108" w:type="dxa"/>
          </w:tblCellMar>
        </w:tblPrEx>
        <w:trPr>
          <w:trHeight w:val="428"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388884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DD9FF1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6E990E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配套电机功率：0.4kW*2台（合计0.8kW）；</w:t>
            </w:r>
          </w:p>
        </w:tc>
        <w:tc>
          <w:tcPr>
            <w:tcW w:w="522" w:type="dxa"/>
            <w:vMerge w:val="continue"/>
            <w:tcBorders>
              <w:top w:val="nil"/>
              <w:left w:val="nil"/>
              <w:bottom w:val="single" w:color="000000" w:sz="8" w:space="0"/>
              <w:right w:val="single" w:color="000000" w:sz="8" w:space="0"/>
            </w:tcBorders>
            <w:noWrap/>
            <w:vAlign w:val="center"/>
          </w:tcPr>
          <w:p w14:paraId="3B85E2C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BA8934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4D0ACDD">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380BAA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2D3674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4191DB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滚筒数量：2个凹孔滚筒；</w:t>
            </w:r>
          </w:p>
        </w:tc>
        <w:tc>
          <w:tcPr>
            <w:tcW w:w="522" w:type="dxa"/>
            <w:vMerge w:val="continue"/>
            <w:tcBorders>
              <w:top w:val="nil"/>
              <w:left w:val="nil"/>
              <w:bottom w:val="single" w:color="000000" w:sz="8" w:space="0"/>
              <w:right w:val="single" w:color="000000" w:sz="8" w:space="0"/>
            </w:tcBorders>
            <w:noWrap/>
            <w:vAlign w:val="center"/>
          </w:tcPr>
          <w:p w14:paraId="1579809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D184DA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9F1DACA">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FD049A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9FF33FE">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1DD4A3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适用物料：抛光、色选后成品白米；</w:t>
            </w:r>
          </w:p>
        </w:tc>
        <w:tc>
          <w:tcPr>
            <w:tcW w:w="522" w:type="dxa"/>
            <w:vMerge w:val="continue"/>
            <w:tcBorders>
              <w:top w:val="nil"/>
              <w:left w:val="nil"/>
              <w:bottom w:val="single" w:color="000000" w:sz="8" w:space="0"/>
              <w:right w:val="single" w:color="000000" w:sz="8" w:space="0"/>
            </w:tcBorders>
            <w:noWrap/>
            <w:vAlign w:val="center"/>
          </w:tcPr>
          <w:p w14:paraId="2FFC169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6847BF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519D532">
        <w:tblPrEx>
          <w:tblCellMar>
            <w:top w:w="0" w:type="dxa"/>
            <w:left w:w="108" w:type="dxa"/>
            <w:bottom w:w="0" w:type="dxa"/>
            <w:right w:w="108" w:type="dxa"/>
          </w:tblCellMar>
        </w:tblPrEx>
        <w:trPr>
          <w:trHeight w:val="128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40A474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A400BA2">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2D1A0A0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性能： 凹穴滚筒结构，依据米粒长度分选整米、大碎米、小碎米；各出料口配置取样口，配有观察窗；筛筒可快速拆装更换；分离精度可调；可搭配白米分级筛进一步提升成品整米率；</w:t>
            </w:r>
          </w:p>
        </w:tc>
        <w:tc>
          <w:tcPr>
            <w:tcW w:w="522" w:type="dxa"/>
            <w:vMerge w:val="continue"/>
            <w:tcBorders>
              <w:top w:val="nil"/>
              <w:left w:val="nil"/>
              <w:bottom w:val="single" w:color="000000" w:sz="8" w:space="0"/>
              <w:right w:val="single" w:color="000000" w:sz="8" w:space="0"/>
            </w:tcBorders>
            <w:noWrap/>
            <w:vAlign w:val="center"/>
          </w:tcPr>
          <w:p w14:paraId="385F577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17B474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A586D79">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0501EFB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15</w:t>
            </w:r>
          </w:p>
        </w:tc>
        <w:tc>
          <w:tcPr>
            <w:tcW w:w="1973" w:type="dxa"/>
            <w:vMerge w:val="restart"/>
            <w:tcBorders>
              <w:top w:val="nil"/>
              <w:left w:val="nil"/>
              <w:bottom w:val="single" w:color="000000" w:sz="8" w:space="0"/>
              <w:right w:val="single" w:color="000000" w:sz="8" w:space="0"/>
            </w:tcBorders>
            <w:noWrap/>
            <w:vAlign w:val="center"/>
          </w:tcPr>
          <w:p w14:paraId="18D9C2D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溜筛</w:t>
            </w:r>
          </w:p>
        </w:tc>
        <w:tc>
          <w:tcPr>
            <w:tcW w:w="5942" w:type="dxa"/>
            <w:tcBorders>
              <w:top w:val="nil"/>
              <w:left w:val="nil"/>
              <w:bottom w:val="nil"/>
              <w:right w:val="single" w:color="000000" w:sz="8" w:space="0"/>
            </w:tcBorders>
            <w:vAlign w:val="center"/>
          </w:tcPr>
          <w:p w14:paraId="380261C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型号：MLS100；</w:t>
            </w:r>
          </w:p>
        </w:tc>
        <w:tc>
          <w:tcPr>
            <w:tcW w:w="522" w:type="dxa"/>
            <w:vMerge w:val="restart"/>
            <w:tcBorders>
              <w:top w:val="nil"/>
              <w:left w:val="nil"/>
              <w:bottom w:val="single" w:color="000000" w:sz="8" w:space="0"/>
              <w:right w:val="single" w:color="000000" w:sz="8" w:space="0"/>
            </w:tcBorders>
            <w:noWrap/>
            <w:vAlign w:val="center"/>
          </w:tcPr>
          <w:p w14:paraId="3EA9558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2BE2A73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3A241466">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054429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109958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9AB7CD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白米处理产量：2.5-4.0t/h；</w:t>
            </w:r>
          </w:p>
        </w:tc>
        <w:tc>
          <w:tcPr>
            <w:tcW w:w="522" w:type="dxa"/>
            <w:vMerge w:val="continue"/>
            <w:tcBorders>
              <w:top w:val="nil"/>
              <w:left w:val="nil"/>
              <w:bottom w:val="single" w:color="000000" w:sz="8" w:space="0"/>
              <w:right w:val="single" w:color="000000" w:sz="8" w:space="0"/>
            </w:tcBorders>
            <w:noWrap/>
            <w:vAlign w:val="center"/>
          </w:tcPr>
          <w:p w14:paraId="06C17A2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EB1263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D47AF0F">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682826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AB4DA3D">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B8A942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配套电机功率：0.025kW；</w:t>
            </w:r>
          </w:p>
        </w:tc>
        <w:tc>
          <w:tcPr>
            <w:tcW w:w="522" w:type="dxa"/>
            <w:vMerge w:val="continue"/>
            <w:tcBorders>
              <w:top w:val="nil"/>
              <w:left w:val="nil"/>
              <w:bottom w:val="single" w:color="000000" w:sz="8" w:space="0"/>
              <w:right w:val="single" w:color="000000" w:sz="8" w:space="0"/>
            </w:tcBorders>
            <w:noWrap/>
            <w:vAlign w:val="center"/>
          </w:tcPr>
          <w:p w14:paraId="7C2AD5E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751BAD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4FFFC3C">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67E18D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8D0448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A7117F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筛面形式：倾斜溜筛，可更换筛片；</w:t>
            </w:r>
          </w:p>
        </w:tc>
        <w:tc>
          <w:tcPr>
            <w:tcW w:w="522" w:type="dxa"/>
            <w:vMerge w:val="continue"/>
            <w:tcBorders>
              <w:top w:val="nil"/>
              <w:left w:val="nil"/>
              <w:bottom w:val="single" w:color="000000" w:sz="8" w:space="0"/>
              <w:right w:val="single" w:color="000000" w:sz="8" w:space="0"/>
            </w:tcBorders>
            <w:noWrap/>
            <w:vAlign w:val="center"/>
          </w:tcPr>
          <w:p w14:paraId="3C9F17D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BE8938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4EA10A3">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5F0262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F89B42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7C5ED7E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适用物料：抛光、色选后成品白米；</w:t>
            </w:r>
          </w:p>
        </w:tc>
        <w:tc>
          <w:tcPr>
            <w:tcW w:w="522" w:type="dxa"/>
            <w:vMerge w:val="continue"/>
            <w:tcBorders>
              <w:top w:val="nil"/>
              <w:left w:val="nil"/>
              <w:bottom w:val="single" w:color="000000" w:sz="8" w:space="0"/>
              <w:right w:val="single" w:color="000000" w:sz="8" w:space="0"/>
            </w:tcBorders>
            <w:noWrap/>
            <w:vAlign w:val="center"/>
          </w:tcPr>
          <w:p w14:paraId="5B32E7B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DF98AA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1029F18">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7353A4D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16</w:t>
            </w:r>
          </w:p>
        </w:tc>
        <w:tc>
          <w:tcPr>
            <w:tcW w:w="1973" w:type="dxa"/>
            <w:vMerge w:val="restart"/>
            <w:tcBorders>
              <w:top w:val="nil"/>
              <w:left w:val="nil"/>
              <w:bottom w:val="single" w:color="000000" w:sz="8" w:space="0"/>
              <w:right w:val="single" w:color="000000" w:sz="8" w:space="0"/>
            </w:tcBorders>
            <w:noWrap/>
            <w:vAlign w:val="center"/>
          </w:tcPr>
          <w:p w14:paraId="53C4DF2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编织袋包装秤</w:t>
            </w:r>
          </w:p>
        </w:tc>
        <w:tc>
          <w:tcPr>
            <w:tcW w:w="5942" w:type="dxa"/>
            <w:tcBorders>
              <w:top w:val="nil"/>
              <w:left w:val="nil"/>
              <w:bottom w:val="nil"/>
              <w:right w:val="single" w:color="000000" w:sz="8" w:space="0"/>
            </w:tcBorders>
            <w:vAlign w:val="center"/>
          </w:tcPr>
          <w:p w14:paraId="627188B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型号：DCS-50A；</w:t>
            </w:r>
          </w:p>
        </w:tc>
        <w:tc>
          <w:tcPr>
            <w:tcW w:w="522" w:type="dxa"/>
            <w:vMerge w:val="restart"/>
            <w:tcBorders>
              <w:top w:val="nil"/>
              <w:left w:val="nil"/>
              <w:bottom w:val="single" w:color="000000" w:sz="8" w:space="0"/>
              <w:right w:val="single" w:color="000000" w:sz="8" w:space="0"/>
            </w:tcBorders>
            <w:noWrap/>
            <w:vAlign w:val="center"/>
          </w:tcPr>
          <w:p w14:paraId="597AB8A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2AC0CD6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0A9C9857">
        <w:tblPrEx>
          <w:tblCellMar>
            <w:top w:w="0" w:type="dxa"/>
            <w:left w:w="108" w:type="dxa"/>
            <w:bottom w:w="0" w:type="dxa"/>
            <w:right w:w="108" w:type="dxa"/>
          </w:tblCellMar>
        </w:tblPrEx>
        <w:trPr>
          <w:trHeight w:val="5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F30AAC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168A80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64B74C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袋口处理：光电感应启动、气动自动切刀单针双线缝包机GK35-6A；</w:t>
            </w:r>
          </w:p>
        </w:tc>
        <w:tc>
          <w:tcPr>
            <w:tcW w:w="522" w:type="dxa"/>
            <w:vMerge w:val="continue"/>
            <w:tcBorders>
              <w:top w:val="nil"/>
              <w:left w:val="nil"/>
              <w:bottom w:val="single" w:color="000000" w:sz="8" w:space="0"/>
              <w:right w:val="single" w:color="000000" w:sz="8" w:space="0"/>
            </w:tcBorders>
            <w:noWrap/>
            <w:vAlign w:val="center"/>
          </w:tcPr>
          <w:p w14:paraId="7C24F5C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35E8FD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8AF8F68">
        <w:tblPrEx>
          <w:tblCellMar>
            <w:top w:w="0" w:type="dxa"/>
            <w:left w:w="108" w:type="dxa"/>
            <w:bottom w:w="0" w:type="dxa"/>
            <w:right w:w="108" w:type="dxa"/>
          </w:tblCellMar>
        </w:tblPrEx>
        <w:trPr>
          <w:trHeight w:val="34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18B17E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34842BE">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5CD3844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适用包装袋：PP编织袋、5-50kg大米袋；</w:t>
            </w:r>
          </w:p>
        </w:tc>
        <w:tc>
          <w:tcPr>
            <w:tcW w:w="522" w:type="dxa"/>
            <w:vMerge w:val="continue"/>
            <w:tcBorders>
              <w:top w:val="nil"/>
              <w:left w:val="nil"/>
              <w:bottom w:val="single" w:color="000000" w:sz="8" w:space="0"/>
              <w:right w:val="single" w:color="000000" w:sz="8" w:space="0"/>
            </w:tcBorders>
            <w:noWrap/>
            <w:vAlign w:val="center"/>
          </w:tcPr>
          <w:p w14:paraId="5931CE8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52C964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44FB41B">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9A3997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7FF0A3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C07A9F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缝纫线迹：单针双线链式401线迹，双线缝合；自动断线、带折边</w:t>
            </w:r>
          </w:p>
        </w:tc>
        <w:tc>
          <w:tcPr>
            <w:tcW w:w="522" w:type="dxa"/>
            <w:vMerge w:val="continue"/>
            <w:tcBorders>
              <w:top w:val="nil"/>
              <w:left w:val="nil"/>
              <w:bottom w:val="single" w:color="000000" w:sz="8" w:space="0"/>
              <w:right w:val="single" w:color="000000" w:sz="8" w:space="0"/>
            </w:tcBorders>
            <w:noWrap/>
            <w:vAlign w:val="center"/>
          </w:tcPr>
          <w:p w14:paraId="25265D8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9A55B0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A379F04">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9FC572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DE6943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96EFD5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配套电机总功率：1.5kW；</w:t>
            </w:r>
          </w:p>
        </w:tc>
        <w:tc>
          <w:tcPr>
            <w:tcW w:w="522" w:type="dxa"/>
            <w:vMerge w:val="continue"/>
            <w:tcBorders>
              <w:top w:val="nil"/>
              <w:left w:val="nil"/>
              <w:bottom w:val="single" w:color="000000" w:sz="8" w:space="0"/>
              <w:right w:val="single" w:color="000000" w:sz="8" w:space="0"/>
            </w:tcBorders>
            <w:noWrap/>
            <w:vAlign w:val="center"/>
          </w:tcPr>
          <w:p w14:paraId="7CF0CFE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375B16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0C14E11">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3569E4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8AE3591">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4CFFAD6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适配包装速度: 300-400包袋/小时</w:t>
            </w:r>
          </w:p>
        </w:tc>
        <w:tc>
          <w:tcPr>
            <w:tcW w:w="522" w:type="dxa"/>
            <w:vMerge w:val="continue"/>
            <w:tcBorders>
              <w:top w:val="nil"/>
              <w:left w:val="nil"/>
              <w:bottom w:val="single" w:color="000000" w:sz="8" w:space="0"/>
              <w:right w:val="single" w:color="000000" w:sz="8" w:space="0"/>
            </w:tcBorders>
            <w:noWrap/>
            <w:vAlign w:val="center"/>
          </w:tcPr>
          <w:p w14:paraId="6D7DA4A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64A067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1702127">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596AEE0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17</w:t>
            </w:r>
          </w:p>
        </w:tc>
        <w:tc>
          <w:tcPr>
            <w:tcW w:w="1973" w:type="dxa"/>
            <w:vMerge w:val="restart"/>
            <w:tcBorders>
              <w:top w:val="nil"/>
              <w:left w:val="nil"/>
              <w:bottom w:val="single" w:color="000000" w:sz="8" w:space="0"/>
              <w:right w:val="single" w:color="000000" w:sz="8" w:space="0"/>
            </w:tcBorders>
            <w:noWrap/>
            <w:vAlign w:val="center"/>
          </w:tcPr>
          <w:p w14:paraId="0D4A481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半自动二面六面真空一体机</w:t>
            </w:r>
          </w:p>
        </w:tc>
        <w:tc>
          <w:tcPr>
            <w:tcW w:w="5942" w:type="dxa"/>
            <w:tcBorders>
              <w:top w:val="nil"/>
              <w:left w:val="nil"/>
              <w:bottom w:val="nil"/>
              <w:right w:val="single" w:color="000000" w:sz="8" w:space="0"/>
            </w:tcBorders>
            <w:vAlign w:val="center"/>
          </w:tcPr>
          <w:p w14:paraId="2DD4E2B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 ZK-10YS</w:t>
            </w:r>
          </w:p>
        </w:tc>
        <w:tc>
          <w:tcPr>
            <w:tcW w:w="522" w:type="dxa"/>
            <w:vMerge w:val="restart"/>
            <w:tcBorders>
              <w:top w:val="nil"/>
              <w:left w:val="nil"/>
              <w:bottom w:val="single" w:color="000000" w:sz="8" w:space="0"/>
              <w:right w:val="single" w:color="000000" w:sz="8" w:space="0"/>
            </w:tcBorders>
            <w:noWrap/>
            <w:vAlign w:val="center"/>
          </w:tcPr>
          <w:p w14:paraId="6946826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79075DB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6E66DA4D">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ACED2F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569C3EB">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D1F614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包装范围：六面砖型：0.5-5kg；两面扁平：5-10kg；</w:t>
            </w:r>
          </w:p>
        </w:tc>
        <w:tc>
          <w:tcPr>
            <w:tcW w:w="522" w:type="dxa"/>
            <w:vMerge w:val="continue"/>
            <w:tcBorders>
              <w:top w:val="nil"/>
              <w:left w:val="nil"/>
              <w:bottom w:val="single" w:color="000000" w:sz="8" w:space="0"/>
              <w:right w:val="single" w:color="000000" w:sz="8" w:space="0"/>
            </w:tcBorders>
            <w:noWrap/>
            <w:vAlign w:val="center"/>
          </w:tcPr>
          <w:p w14:paraId="27B9FB0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B2A0C3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690B9F2">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46245D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CADD6E2">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9912DF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称重精度：称量误差2-5g，分度值1g；</w:t>
            </w:r>
          </w:p>
        </w:tc>
        <w:tc>
          <w:tcPr>
            <w:tcW w:w="522" w:type="dxa"/>
            <w:vMerge w:val="continue"/>
            <w:tcBorders>
              <w:top w:val="nil"/>
              <w:left w:val="nil"/>
              <w:bottom w:val="single" w:color="000000" w:sz="8" w:space="0"/>
              <w:right w:val="single" w:color="000000" w:sz="8" w:space="0"/>
            </w:tcBorders>
            <w:noWrap/>
            <w:vAlign w:val="center"/>
          </w:tcPr>
          <w:p w14:paraId="791DC15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807AB5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E667733">
        <w:tblPrEx>
          <w:tblCellMar>
            <w:top w:w="0" w:type="dxa"/>
            <w:left w:w="108" w:type="dxa"/>
            <w:bottom w:w="0" w:type="dxa"/>
            <w:right w:w="108" w:type="dxa"/>
          </w:tblCellMar>
        </w:tblPrEx>
        <w:trPr>
          <w:trHeight w:val="6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51CF1C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CA90554">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05F7FD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包装速度：六面砖型：280-300袋/小时；两面扁平：220-240袋/小时；</w:t>
            </w:r>
          </w:p>
        </w:tc>
        <w:tc>
          <w:tcPr>
            <w:tcW w:w="522" w:type="dxa"/>
            <w:vMerge w:val="continue"/>
            <w:tcBorders>
              <w:top w:val="nil"/>
              <w:left w:val="nil"/>
              <w:bottom w:val="single" w:color="000000" w:sz="8" w:space="0"/>
              <w:right w:val="single" w:color="000000" w:sz="8" w:space="0"/>
            </w:tcBorders>
            <w:noWrap/>
            <w:vAlign w:val="center"/>
          </w:tcPr>
          <w:p w14:paraId="1819EB4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3E0AC8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05716ED">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5EF9E1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E57EFD8">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074E2A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配套总功率：3.5kW，AC380V三相50Hz；</w:t>
            </w:r>
          </w:p>
        </w:tc>
        <w:tc>
          <w:tcPr>
            <w:tcW w:w="522" w:type="dxa"/>
            <w:vMerge w:val="continue"/>
            <w:tcBorders>
              <w:top w:val="nil"/>
              <w:left w:val="nil"/>
              <w:bottom w:val="single" w:color="000000" w:sz="8" w:space="0"/>
              <w:right w:val="single" w:color="000000" w:sz="8" w:space="0"/>
            </w:tcBorders>
            <w:noWrap/>
            <w:vAlign w:val="center"/>
          </w:tcPr>
          <w:p w14:paraId="643960E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F9B907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1705513">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64A7B0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10438B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963100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真空度：-0.07～0MPa，可调；</w:t>
            </w:r>
          </w:p>
        </w:tc>
        <w:tc>
          <w:tcPr>
            <w:tcW w:w="522" w:type="dxa"/>
            <w:vMerge w:val="continue"/>
            <w:tcBorders>
              <w:top w:val="nil"/>
              <w:left w:val="nil"/>
              <w:bottom w:val="single" w:color="000000" w:sz="8" w:space="0"/>
              <w:right w:val="single" w:color="000000" w:sz="8" w:space="0"/>
            </w:tcBorders>
            <w:noWrap/>
            <w:vAlign w:val="center"/>
          </w:tcPr>
          <w:p w14:paraId="2F82018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134552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71CDEF7">
        <w:tblPrEx>
          <w:tblCellMar>
            <w:top w:w="0" w:type="dxa"/>
            <w:left w:w="108" w:type="dxa"/>
            <w:bottom w:w="0" w:type="dxa"/>
            <w:right w:w="108" w:type="dxa"/>
          </w:tblCellMar>
        </w:tblPrEx>
        <w:trPr>
          <w:trHeight w:val="6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DB277B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4F50A6B">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91BC35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气源要求：工作压力0.5</w:t>
            </w:r>
            <w:r>
              <w:rPr>
                <w:rStyle w:val="371"/>
                <w:color w:val="auto"/>
                <w:highlight w:val="none"/>
                <w:lang w:bidi="ar"/>
              </w:rPr>
              <w:noBreakHyphen/>
            </w:r>
            <w:r>
              <w:rPr>
                <w:rStyle w:val="370"/>
                <w:rFonts w:hint="default"/>
                <w:color w:val="auto"/>
                <w:highlight w:val="none"/>
                <w:lang w:bidi="ar"/>
              </w:rPr>
              <w:t>0.6MPa；                  耗气量：3.0-3.5m³/h；</w:t>
            </w:r>
          </w:p>
        </w:tc>
        <w:tc>
          <w:tcPr>
            <w:tcW w:w="522" w:type="dxa"/>
            <w:vMerge w:val="continue"/>
            <w:tcBorders>
              <w:top w:val="nil"/>
              <w:left w:val="nil"/>
              <w:bottom w:val="single" w:color="000000" w:sz="8" w:space="0"/>
              <w:right w:val="single" w:color="000000" w:sz="8" w:space="0"/>
            </w:tcBorders>
            <w:noWrap/>
            <w:vAlign w:val="center"/>
          </w:tcPr>
          <w:p w14:paraId="59FC681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054E49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B2E6475">
        <w:tblPrEx>
          <w:tblCellMar>
            <w:top w:w="0" w:type="dxa"/>
            <w:left w:w="108" w:type="dxa"/>
            <w:bottom w:w="0" w:type="dxa"/>
            <w:right w:w="108" w:type="dxa"/>
          </w:tblCellMar>
        </w:tblPrEx>
        <w:trPr>
          <w:trHeight w:val="886"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88E9DD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463F80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07F6B18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配置 PLC触摸屏控制，配方存储；气动整形机构；     真空系统；物料接触部位304不锈钢；               可切换二面/六面模式；具备故障报警；</w:t>
            </w:r>
          </w:p>
        </w:tc>
        <w:tc>
          <w:tcPr>
            <w:tcW w:w="522" w:type="dxa"/>
            <w:vMerge w:val="continue"/>
            <w:tcBorders>
              <w:top w:val="nil"/>
              <w:left w:val="nil"/>
              <w:bottom w:val="single" w:color="000000" w:sz="8" w:space="0"/>
              <w:right w:val="single" w:color="000000" w:sz="8" w:space="0"/>
            </w:tcBorders>
            <w:noWrap/>
            <w:vAlign w:val="center"/>
          </w:tcPr>
          <w:p w14:paraId="1464AC8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92E224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190FA4F">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5679956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18</w:t>
            </w:r>
          </w:p>
        </w:tc>
        <w:tc>
          <w:tcPr>
            <w:tcW w:w="1973" w:type="dxa"/>
            <w:vMerge w:val="restart"/>
            <w:tcBorders>
              <w:top w:val="nil"/>
              <w:left w:val="nil"/>
              <w:bottom w:val="single" w:color="000000" w:sz="8" w:space="0"/>
              <w:right w:val="single" w:color="000000" w:sz="8" w:space="0"/>
            </w:tcBorders>
            <w:noWrap/>
            <w:vAlign w:val="center"/>
          </w:tcPr>
          <w:p w14:paraId="17F82C0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喷码机</w:t>
            </w:r>
          </w:p>
        </w:tc>
        <w:tc>
          <w:tcPr>
            <w:tcW w:w="5942" w:type="dxa"/>
            <w:tcBorders>
              <w:top w:val="nil"/>
              <w:left w:val="nil"/>
              <w:bottom w:val="nil"/>
              <w:right w:val="single" w:color="000000" w:sz="8" w:space="0"/>
            </w:tcBorders>
            <w:vAlign w:val="center"/>
          </w:tcPr>
          <w:p w14:paraId="7C09B50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 E6810（连续式小字符喷码机）；</w:t>
            </w:r>
          </w:p>
        </w:tc>
        <w:tc>
          <w:tcPr>
            <w:tcW w:w="522" w:type="dxa"/>
            <w:vMerge w:val="restart"/>
            <w:tcBorders>
              <w:top w:val="nil"/>
              <w:left w:val="nil"/>
              <w:bottom w:val="single" w:color="000000" w:sz="8" w:space="0"/>
              <w:right w:val="single" w:color="000000" w:sz="8" w:space="0"/>
            </w:tcBorders>
            <w:noWrap/>
            <w:vAlign w:val="center"/>
          </w:tcPr>
          <w:p w14:paraId="7E92FE9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7D3F710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36D010F9">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E3AD29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F510BA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578ACE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喷印行数: 1-4行点阵字符；</w:t>
            </w:r>
          </w:p>
        </w:tc>
        <w:tc>
          <w:tcPr>
            <w:tcW w:w="522" w:type="dxa"/>
            <w:vMerge w:val="continue"/>
            <w:tcBorders>
              <w:top w:val="nil"/>
              <w:left w:val="nil"/>
              <w:bottom w:val="single" w:color="000000" w:sz="8" w:space="0"/>
              <w:right w:val="single" w:color="000000" w:sz="8" w:space="0"/>
            </w:tcBorders>
            <w:noWrap/>
            <w:vAlign w:val="center"/>
          </w:tcPr>
          <w:p w14:paraId="1856F9C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310248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F8455A5">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11C9D9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1B7B90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28A015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字符喷印高度: 2-16mm可调；</w:t>
            </w:r>
          </w:p>
        </w:tc>
        <w:tc>
          <w:tcPr>
            <w:tcW w:w="522" w:type="dxa"/>
            <w:vMerge w:val="continue"/>
            <w:tcBorders>
              <w:top w:val="nil"/>
              <w:left w:val="nil"/>
              <w:bottom w:val="single" w:color="000000" w:sz="8" w:space="0"/>
              <w:right w:val="single" w:color="000000" w:sz="8" w:space="0"/>
            </w:tcBorders>
            <w:noWrap/>
            <w:vAlign w:val="center"/>
          </w:tcPr>
          <w:p w14:paraId="5D63E64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D30651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61B96ED">
        <w:tblPrEx>
          <w:tblCellMar>
            <w:top w:w="0" w:type="dxa"/>
            <w:left w:w="108" w:type="dxa"/>
            <w:bottom w:w="0" w:type="dxa"/>
            <w:right w:w="108" w:type="dxa"/>
          </w:tblCellMar>
        </w:tblPrEx>
        <w:trPr>
          <w:trHeight w:val="376"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02401C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28AF835">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A40250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最大产线速度: 180m/min，适配320包/小时包装产线；</w:t>
            </w:r>
          </w:p>
        </w:tc>
        <w:tc>
          <w:tcPr>
            <w:tcW w:w="522" w:type="dxa"/>
            <w:vMerge w:val="continue"/>
            <w:tcBorders>
              <w:top w:val="nil"/>
              <w:left w:val="nil"/>
              <w:bottom w:val="single" w:color="000000" w:sz="8" w:space="0"/>
              <w:right w:val="single" w:color="000000" w:sz="8" w:space="0"/>
            </w:tcBorders>
            <w:noWrap/>
            <w:vAlign w:val="center"/>
          </w:tcPr>
          <w:p w14:paraId="3FCAE68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C83749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7FCDBFC">
        <w:tblPrEx>
          <w:tblCellMar>
            <w:top w:w="0" w:type="dxa"/>
            <w:left w:w="108" w:type="dxa"/>
            <w:bottom w:w="0" w:type="dxa"/>
            <w:right w:w="108" w:type="dxa"/>
          </w:tblCellMar>
        </w:tblPrEx>
        <w:trPr>
          <w:trHeight w:val="391"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E17EA7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1BBB4E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937D5E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防护等级: IP55，适应粮食车间粉尘环境；</w:t>
            </w:r>
          </w:p>
        </w:tc>
        <w:tc>
          <w:tcPr>
            <w:tcW w:w="522" w:type="dxa"/>
            <w:vMerge w:val="continue"/>
            <w:tcBorders>
              <w:top w:val="nil"/>
              <w:left w:val="nil"/>
              <w:bottom w:val="single" w:color="000000" w:sz="8" w:space="0"/>
              <w:right w:val="single" w:color="000000" w:sz="8" w:space="0"/>
            </w:tcBorders>
            <w:noWrap/>
            <w:vAlign w:val="center"/>
          </w:tcPr>
          <w:p w14:paraId="51731ED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846B3D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99E0625">
        <w:tblPrEx>
          <w:tblCellMar>
            <w:top w:w="0" w:type="dxa"/>
            <w:left w:w="108" w:type="dxa"/>
            <w:bottom w:w="0" w:type="dxa"/>
            <w:right w:w="108" w:type="dxa"/>
          </w:tblCellMar>
        </w:tblPrEx>
        <w:trPr>
          <w:trHeight w:val="6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C03C63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625A75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6A082C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通讯接口: RS232、USB，可导入图案、存储≥100组喷印模板；</w:t>
            </w:r>
          </w:p>
        </w:tc>
        <w:tc>
          <w:tcPr>
            <w:tcW w:w="522" w:type="dxa"/>
            <w:vMerge w:val="continue"/>
            <w:tcBorders>
              <w:top w:val="nil"/>
              <w:left w:val="nil"/>
              <w:bottom w:val="single" w:color="000000" w:sz="8" w:space="0"/>
              <w:right w:val="single" w:color="000000" w:sz="8" w:space="0"/>
            </w:tcBorders>
            <w:noWrap/>
            <w:vAlign w:val="center"/>
          </w:tcPr>
          <w:p w14:paraId="2A9ED9A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756FB9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5D9795E">
        <w:tblPrEx>
          <w:tblCellMar>
            <w:top w:w="0" w:type="dxa"/>
            <w:left w:w="108" w:type="dxa"/>
            <w:bottom w:w="0" w:type="dxa"/>
            <w:right w:w="108" w:type="dxa"/>
          </w:tblCellMar>
        </w:tblPrEx>
        <w:trPr>
          <w:trHeight w:val="6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419FEB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BF4BB95">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A8A819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喷印内容: 日期、时间、班次、批号、流水序列号、中文汉字、简单图形；</w:t>
            </w:r>
          </w:p>
        </w:tc>
        <w:tc>
          <w:tcPr>
            <w:tcW w:w="522" w:type="dxa"/>
            <w:vMerge w:val="continue"/>
            <w:tcBorders>
              <w:top w:val="nil"/>
              <w:left w:val="nil"/>
              <w:bottom w:val="single" w:color="000000" w:sz="8" w:space="0"/>
              <w:right w:val="single" w:color="000000" w:sz="8" w:space="0"/>
            </w:tcBorders>
            <w:noWrap/>
            <w:vAlign w:val="center"/>
          </w:tcPr>
          <w:p w14:paraId="2896542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07F1E9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6E8BB7D">
        <w:tblPrEx>
          <w:tblCellMar>
            <w:top w:w="0" w:type="dxa"/>
            <w:left w:w="108" w:type="dxa"/>
            <w:bottom w:w="0" w:type="dxa"/>
            <w:right w:w="108" w:type="dxa"/>
          </w:tblCellMar>
        </w:tblPrEx>
        <w:trPr>
          <w:trHeight w:val="342"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3B1E3C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33F796E">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5387883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喷头软管长度: 3m，喷头角度多方位可调；</w:t>
            </w:r>
          </w:p>
        </w:tc>
        <w:tc>
          <w:tcPr>
            <w:tcW w:w="522" w:type="dxa"/>
            <w:vMerge w:val="continue"/>
            <w:tcBorders>
              <w:top w:val="nil"/>
              <w:left w:val="nil"/>
              <w:bottom w:val="single" w:color="000000" w:sz="8" w:space="0"/>
              <w:right w:val="single" w:color="000000" w:sz="8" w:space="0"/>
            </w:tcBorders>
            <w:noWrap/>
            <w:vAlign w:val="center"/>
          </w:tcPr>
          <w:p w14:paraId="7C3224F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3D9160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9449715">
        <w:tblPrEx>
          <w:tblCellMar>
            <w:top w:w="0" w:type="dxa"/>
            <w:left w:w="108" w:type="dxa"/>
            <w:bottom w:w="0" w:type="dxa"/>
            <w:right w:w="108" w:type="dxa"/>
          </w:tblCellMar>
        </w:tblPrEx>
        <w:trPr>
          <w:trHeight w:val="6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E9758C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EE2D74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7EFF9C4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墨水类型: 高附着力快干墨水，适配PP编织袋、复合真空膜；</w:t>
            </w:r>
          </w:p>
        </w:tc>
        <w:tc>
          <w:tcPr>
            <w:tcW w:w="522" w:type="dxa"/>
            <w:vMerge w:val="continue"/>
            <w:tcBorders>
              <w:top w:val="nil"/>
              <w:left w:val="nil"/>
              <w:bottom w:val="single" w:color="000000" w:sz="8" w:space="0"/>
              <w:right w:val="single" w:color="000000" w:sz="8" w:space="0"/>
            </w:tcBorders>
            <w:noWrap/>
            <w:vAlign w:val="center"/>
          </w:tcPr>
          <w:p w14:paraId="3371DAE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9F69F6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A14D551">
        <w:tblPrEx>
          <w:tblCellMar>
            <w:top w:w="0" w:type="dxa"/>
            <w:left w:w="108" w:type="dxa"/>
            <w:bottom w:w="0" w:type="dxa"/>
            <w:right w:w="108" w:type="dxa"/>
          </w:tblCellMar>
        </w:tblPrEx>
        <w:trPr>
          <w:trHeight w:val="257"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5546E8D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19</w:t>
            </w:r>
          </w:p>
        </w:tc>
        <w:tc>
          <w:tcPr>
            <w:tcW w:w="1973" w:type="dxa"/>
            <w:vMerge w:val="restart"/>
            <w:tcBorders>
              <w:top w:val="nil"/>
              <w:left w:val="nil"/>
              <w:bottom w:val="single" w:color="000000" w:sz="8" w:space="0"/>
              <w:right w:val="single" w:color="000000" w:sz="8" w:space="0"/>
            </w:tcBorders>
            <w:noWrap/>
            <w:vAlign w:val="center"/>
          </w:tcPr>
          <w:p w14:paraId="574CEB2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离心除尘器</w:t>
            </w:r>
          </w:p>
        </w:tc>
        <w:tc>
          <w:tcPr>
            <w:tcW w:w="5942" w:type="dxa"/>
            <w:tcBorders>
              <w:top w:val="nil"/>
              <w:left w:val="nil"/>
              <w:bottom w:val="nil"/>
              <w:right w:val="single" w:color="000000" w:sz="8" w:space="0"/>
            </w:tcBorders>
            <w:vAlign w:val="center"/>
          </w:tcPr>
          <w:p w14:paraId="57891EE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型号： XL55-Φ1000×2； </w:t>
            </w:r>
          </w:p>
        </w:tc>
        <w:tc>
          <w:tcPr>
            <w:tcW w:w="522" w:type="dxa"/>
            <w:vMerge w:val="restart"/>
            <w:tcBorders>
              <w:top w:val="nil"/>
              <w:left w:val="nil"/>
              <w:bottom w:val="single" w:color="000000" w:sz="8" w:space="0"/>
              <w:right w:val="single" w:color="000000" w:sz="8" w:space="0"/>
            </w:tcBorders>
            <w:noWrap/>
            <w:vAlign w:val="center"/>
          </w:tcPr>
          <w:p w14:paraId="080BC44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7256E53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40610AEB">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32FA60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6D5F8FD">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C1F3A7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结构形式：双筒并联立式旋风，单筒筒体Φ1000mm；</w:t>
            </w:r>
          </w:p>
        </w:tc>
        <w:tc>
          <w:tcPr>
            <w:tcW w:w="522" w:type="dxa"/>
            <w:vMerge w:val="continue"/>
            <w:tcBorders>
              <w:top w:val="nil"/>
              <w:left w:val="nil"/>
              <w:bottom w:val="single" w:color="000000" w:sz="8" w:space="0"/>
              <w:right w:val="single" w:color="000000" w:sz="8" w:space="0"/>
            </w:tcBorders>
            <w:noWrap/>
            <w:vAlign w:val="center"/>
          </w:tcPr>
          <w:p w14:paraId="6FEFD35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BCE299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9BACD98">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DA8CC9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B4BCC5D">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31FD02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处理总风量：13000-17400 m³/h； </w:t>
            </w:r>
          </w:p>
        </w:tc>
        <w:tc>
          <w:tcPr>
            <w:tcW w:w="522" w:type="dxa"/>
            <w:vMerge w:val="continue"/>
            <w:tcBorders>
              <w:top w:val="nil"/>
              <w:left w:val="nil"/>
              <w:bottom w:val="single" w:color="000000" w:sz="8" w:space="0"/>
              <w:right w:val="single" w:color="000000" w:sz="8" w:space="0"/>
            </w:tcBorders>
            <w:noWrap/>
            <w:vAlign w:val="center"/>
          </w:tcPr>
          <w:p w14:paraId="3BD4343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5BCE53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88F8A32">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A45E7D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31407EA">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B4B65A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设备阻力：800-1100Pa；</w:t>
            </w:r>
          </w:p>
        </w:tc>
        <w:tc>
          <w:tcPr>
            <w:tcW w:w="522" w:type="dxa"/>
            <w:vMerge w:val="continue"/>
            <w:tcBorders>
              <w:top w:val="nil"/>
              <w:left w:val="nil"/>
              <w:bottom w:val="single" w:color="000000" w:sz="8" w:space="0"/>
              <w:right w:val="single" w:color="000000" w:sz="8" w:space="0"/>
            </w:tcBorders>
            <w:noWrap/>
            <w:vAlign w:val="center"/>
          </w:tcPr>
          <w:p w14:paraId="2613A3D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A8D64E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B6174BF">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0C3BB0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7EFA4D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2012E3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除尘效率：≥85%； </w:t>
            </w:r>
          </w:p>
        </w:tc>
        <w:tc>
          <w:tcPr>
            <w:tcW w:w="522" w:type="dxa"/>
            <w:vMerge w:val="continue"/>
            <w:tcBorders>
              <w:top w:val="nil"/>
              <w:left w:val="nil"/>
              <w:bottom w:val="single" w:color="000000" w:sz="8" w:space="0"/>
              <w:right w:val="single" w:color="000000" w:sz="8" w:space="0"/>
            </w:tcBorders>
            <w:noWrap/>
            <w:vAlign w:val="center"/>
          </w:tcPr>
          <w:p w14:paraId="01070DB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C55027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AEE3B07">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B7E3FB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D37E8EB">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CD404A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壳体材质：Q235钢板；</w:t>
            </w:r>
          </w:p>
        </w:tc>
        <w:tc>
          <w:tcPr>
            <w:tcW w:w="522" w:type="dxa"/>
            <w:vMerge w:val="continue"/>
            <w:tcBorders>
              <w:top w:val="nil"/>
              <w:left w:val="nil"/>
              <w:bottom w:val="single" w:color="000000" w:sz="8" w:space="0"/>
              <w:right w:val="single" w:color="000000" w:sz="8" w:space="0"/>
            </w:tcBorders>
            <w:noWrap/>
            <w:vAlign w:val="center"/>
          </w:tcPr>
          <w:p w14:paraId="4E7EB82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F0A9C7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A2D9B1B">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F9EF88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819CD8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6987C03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适用介质： 稻壳、米糠含尘气流；</w:t>
            </w:r>
          </w:p>
        </w:tc>
        <w:tc>
          <w:tcPr>
            <w:tcW w:w="522" w:type="dxa"/>
            <w:vMerge w:val="continue"/>
            <w:tcBorders>
              <w:top w:val="nil"/>
              <w:left w:val="nil"/>
              <w:bottom w:val="single" w:color="000000" w:sz="8" w:space="0"/>
              <w:right w:val="single" w:color="000000" w:sz="8" w:space="0"/>
            </w:tcBorders>
            <w:noWrap/>
            <w:vAlign w:val="center"/>
          </w:tcPr>
          <w:p w14:paraId="1FA33CE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670F4D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BC277CD">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35A291A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20</w:t>
            </w:r>
          </w:p>
        </w:tc>
        <w:tc>
          <w:tcPr>
            <w:tcW w:w="1973" w:type="dxa"/>
            <w:vMerge w:val="restart"/>
            <w:tcBorders>
              <w:top w:val="nil"/>
              <w:left w:val="nil"/>
              <w:bottom w:val="single" w:color="000000" w:sz="8" w:space="0"/>
              <w:right w:val="single" w:color="000000" w:sz="8" w:space="0"/>
            </w:tcBorders>
            <w:noWrap/>
            <w:vAlign w:val="center"/>
          </w:tcPr>
          <w:p w14:paraId="420B847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关风机</w:t>
            </w:r>
          </w:p>
        </w:tc>
        <w:tc>
          <w:tcPr>
            <w:tcW w:w="5942" w:type="dxa"/>
            <w:tcBorders>
              <w:top w:val="nil"/>
              <w:left w:val="nil"/>
              <w:bottom w:val="nil"/>
              <w:right w:val="single" w:color="000000" w:sz="8" w:space="0"/>
            </w:tcBorders>
            <w:vAlign w:val="center"/>
          </w:tcPr>
          <w:p w14:paraId="667CA53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型号：TGFY12； </w:t>
            </w:r>
          </w:p>
        </w:tc>
        <w:tc>
          <w:tcPr>
            <w:tcW w:w="522" w:type="dxa"/>
            <w:vMerge w:val="restart"/>
            <w:tcBorders>
              <w:top w:val="nil"/>
              <w:left w:val="nil"/>
              <w:bottom w:val="single" w:color="000000" w:sz="8" w:space="0"/>
              <w:right w:val="single" w:color="000000" w:sz="8" w:space="0"/>
            </w:tcBorders>
            <w:noWrap/>
            <w:vAlign w:val="center"/>
          </w:tcPr>
          <w:p w14:paraId="21C8817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4</w:t>
            </w:r>
          </w:p>
        </w:tc>
        <w:tc>
          <w:tcPr>
            <w:tcW w:w="507" w:type="dxa"/>
            <w:vMerge w:val="restart"/>
            <w:tcBorders>
              <w:top w:val="nil"/>
              <w:left w:val="nil"/>
              <w:bottom w:val="single" w:color="000000" w:sz="8" w:space="0"/>
              <w:right w:val="single" w:color="000000" w:sz="8" w:space="0"/>
            </w:tcBorders>
            <w:noWrap/>
            <w:vAlign w:val="center"/>
          </w:tcPr>
          <w:p w14:paraId="4C977D6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2AE9900E">
        <w:tblPrEx>
          <w:tblCellMar>
            <w:top w:w="0" w:type="dxa"/>
            <w:left w:w="108" w:type="dxa"/>
            <w:bottom w:w="0" w:type="dxa"/>
            <w:right w:w="108" w:type="dxa"/>
          </w:tblCellMar>
        </w:tblPrEx>
        <w:trPr>
          <w:trHeight w:val="6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2734BB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95A9D4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9F1EAA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配套电机：1.5kW（硬齿面减速机），三相380V 50Hz，硬齿面减速机；</w:t>
            </w:r>
          </w:p>
        </w:tc>
        <w:tc>
          <w:tcPr>
            <w:tcW w:w="522" w:type="dxa"/>
            <w:vMerge w:val="continue"/>
            <w:tcBorders>
              <w:top w:val="nil"/>
              <w:left w:val="nil"/>
              <w:bottom w:val="single" w:color="000000" w:sz="8" w:space="0"/>
              <w:right w:val="single" w:color="000000" w:sz="8" w:space="0"/>
            </w:tcBorders>
            <w:noWrap/>
            <w:vAlign w:val="center"/>
          </w:tcPr>
          <w:p w14:paraId="588DD9B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8E8326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513A3C7">
        <w:tblPrEx>
          <w:tblCellMar>
            <w:top w:w="0" w:type="dxa"/>
            <w:left w:w="108" w:type="dxa"/>
            <w:bottom w:w="0" w:type="dxa"/>
            <w:right w:w="108" w:type="dxa"/>
          </w:tblCellMar>
        </w:tblPrEx>
        <w:trPr>
          <w:trHeight w:val="649"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F8F193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CD196BE">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28EA37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壳体铸铁，叶轮耐磨；带透明观察视镜，可观察卸料工况；上下法兰标准连接； </w:t>
            </w:r>
          </w:p>
        </w:tc>
        <w:tc>
          <w:tcPr>
            <w:tcW w:w="522" w:type="dxa"/>
            <w:vMerge w:val="continue"/>
            <w:tcBorders>
              <w:top w:val="nil"/>
              <w:left w:val="nil"/>
              <w:bottom w:val="single" w:color="000000" w:sz="8" w:space="0"/>
              <w:right w:val="single" w:color="000000" w:sz="8" w:space="0"/>
            </w:tcBorders>
            <w:noWrap/>
            <w:vAlign w:val="center"/>
          </w:tcPr>
          <w:p w14:paraId="7A6F4B7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E905E0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1B10C96">
        <w:tblPrEx>
          <w:tblCellMar>
            <w:top w:w="0" w:type="dxa"/>
            <w:left w:w="108" w:type="dxa"/>
            <w:bottom w:w="0" w:type="dxa"/>
            <w:right w:w="108" w:type="dxa"/>
          </w:tblCellMar>
        </w:tblPrEx>
        <w:trPr>
          <w:trHeight w:val="6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BF1F7B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737780E">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0C48A4B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适用工况：负压除尘系统，处理稻壳、米糠粉尘；工作温度≤80℃；</w:t>
            </w:r>
          </w:p>
        </w:tc>
        <w:tc>
          <w:tcPr>
            <w:tcW w:w="522" w:type="dxa"/>
            <w:vMerge w:val="continue"/>
            <w:tcBorders>
              <w:top w:val="nil"/>
              <w:left w:val="nil"/>
              <w:bottom w:val="single" w:color="000000" w:sz="8" w:space="0"/>
              <w:right w:val="single" w:color="000000" w:sz="8" w:space="0"/>
            </w:tcBorders>
            <w:noWrap/>
            <w:vAlign w:val="center"/>
          </w:tcPr>
          <w:p w14:paraId="5E61623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DEFB11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CA10E29">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2DDA055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21</w:t>
            </w:r>
          </w:p>
        </w:tc>
        <w:tc>
          <w:tcPr>
            <w:tcW w:w="1973" w:type="dxa"/>
            <w:vMerge w:val="restart"/>
            <w:tcBorders>
              <w:top w:val="nil"/>
              <w:left w:val="nil"/>
              <w:bottom w:val="single" w:color="000000" w:sz="8" w:space="0"/>
              <w:right w:val="single" w:color="000000" w:sz="8" w:space="0"/>
            </w:tcBorders>
            <w:noWrap/>
            <w:vAlign w:val="center"/>
          </w:tcPr>
          <w:p w14:paraId="783C5B9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高压布袋脉冲除尘器</w:t>
            </w:r>
          </w:p>
        </w:tc>
        <w:tc>
          <w:tcPr>
            <w:tcW w:w="5942" w:type="dxa"/>
            <w:tcBorders>
              <w:top w:val="nil"/>
              <w:left w:val="nil"/>
              <w:bottom w:val="nil"/>
              <w:right w:val="single" w:color="000000" w:sz="8" w:space="0"/>
            </w:tcBorders>
            <w:vAlign w:val="center"/>
          </w:tcPr>
          <w:p w14:paraId="7B489DD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型号：BLM-104-2400*1台；BLM-78-2400*3台；</w:t>
            </w:r>
          </w:p>
        </w:tc>
        <w:tc>
          <w:tcPr>
            <w:tcW w:w="522" w:type="dxa"/>
            <w:vMerge w:val="restart"/>
            <w:tcBorders>
              <w:top w:val="nil"/>
              <w:left w:val="nil"/>
              <w:bottom w:val="single" w:color="000000" w:sz="8" w:space="0"/>
              <w:right w:val="single" w:color="000000" w:sz="8" w:space="0"/>
            </w:tcBorders>
            <w:noWrap/>
            <w:vAlign w:val="center"/>
          </w:tcPr>
          <w:p w14:paraId="11701A0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4</w:t>
            </w:r>
          </w:p>
        </w:tc>
        <w:tc>
          <w:tcPr>
            <w:tcW w:w="507" w:type="dxa"/>
            <w:vMerge w:val="restart"/>
            <w:tcBorders>
              <w:top w:val="nil"/>
              <w:left w:val="nil"/>
              <w:bottom w:val="single" w:color="000000" w:sz="8" w:space="0"/>
              <w:right w:val="single" w:color="000000" w:sz="8" w:space="0"/>
            </w:tcBorders>
            <w:noWrap/>
            <w:vAlign w:val="center"/>
          </w:tcPr>
          <w:p w14:paraId="6506C23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05310889">
        <w:tblPrEx>
          <w:tblCellMar>
            <w:top w:w="0" w:type="dxa"/>
            <w:left w:w="108" w:type="dxa"/>
            <w:bottom w:w="0" w:type="dxa"/>
            <w:right w:w="108" w:type="dxa"/>
          </w:tblCellMar>
        </w:tblPrEx>
        <w:trPr>
          <w:trHeight w:val="6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24F7CA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5DE66F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A4FBD2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滤袋规格：Φ120×2400</w:t>
            </w:r>
            <w:r>
              <w:rPr>
                <w:rStyle w:val="371"/>
                <w:color w:val="auto"/>
                <w:highlight w:val="none"/>
                <w:lang w:bidi="ar"/>
              </w:rPr>
              <w:t> </w:t>
            </w:r>
            <w:r>
              <w:rPr>
                <w:rStyle w:val="370"/>
                <w:rFonts w:hint="default"/>
                <w:color w:val="auto"/>
                <w:highlight w:val="none"/>
                <w:lang w:bidi="ar"/>
              </w:rPr>
              <w:t>mm，粮食专用防静电涤纶针刺毡滤料；</w:t>
            </w:r>
          </w:p>
        </w:tc>
        <w:tc>
          <w:tcPr>
            <w:tcW w:w="522" w:type="dxa"/>
            <w:vMerge w:val="continue"/>
            <w:tcBorders>
              <w:top w:val="nil"/>
              <w:left w:val="nil"/>
              <w:bottom w:val="single" w:color="000000" w:sz="8" w:space="0"/>
              <w:right w:val="single" w:color="000000" w:sz="8" w:space="0"/>
            </w:tcBorders>
            <w:noWrap/>
            <w:vAlign w:val="center"/>
          </w:tcPr>
          <w:p w14:paraId="1D64F25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141F5B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8C277E4">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4657F1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749119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0C1010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处理风量：13000-17400</w:t>
            </w:r>
            <w:r>
              <w:rPr>
                <w:rStyle w:val="371"/>
                <w:color w:val="auto"/>
                <w:highlight w:val="none"/>
                <w:lang w:bidi="ar"/>
              </w:rPr>
              <w:t> </w:t>
            </w:r>
            <w:r>
              <w:rPr>
                <w:rStyle w:val="370"/>
                <w:rFonts w:hint="default"/>
                <w:color w:val="auto"/>
                <w:highlight w:val="none"/>
                <w:lang w:bidi="ar"/>
              </w:rPr>
              <w:t xml:space="preserve">m³/h； </w:t>
            </w:r>
          </w:p>
        </w:tc>
        <w:tc>
          <w:tcPr>
            <w:tcW w:w="522" w:type="dxa"/>
            <w:vMerge w:val="continue"/>
            <w:tcBorders>
              <w:top w:val="nil"/>
              <w:left w:val="nil"/>
              <w:bottom w:val="single" w:color="000000" w:sz="8" w:space="0"/>
              <w:right w:val="single" w:color="000000" w:sz="8" w:space="0"/>
            </w:tcBorders>
            <w:noWrap/>
            <w:vAlign w:val="center"/>
          </w:tcPr>
          <w:p w14:paraId="3A443E7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7FB88E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522F5E5">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273020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CED81B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572AFF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设备阻力：≤1200</w:t>
            </w:r>
            <w:r>
              <w:rPr>
                <w:rStyle w:val="371"/>
                <w:color w:val="auto"/>
                <w:highlight w:val="none"/>
                <w:lang w:bidi="ar"/>
              </w:rPr>
              <w:t> </w:t>
            </w:r>
            <w:r>
              <w:rPr>
                <w:rStyle w:val="370"/>
                <w:rFonts w:hint="default"/>
                <w:color w:val="auto"/>
                <w:highlight w:val="none"/>
                <w:lang w:bidi="ar"/>
              </w:rPr>
              <w:t xml:space="preserve">Pa； </w:t>
            </w:r>
          </w:p>
        </w:tc>
        <w:tc>
          <w:tcPr>
            <w:tcW w:w="522" w:type="dxa"/>
            <w:vMerge w:val="continue"/>
            <w:tcBorders>
              <w:top w:val="nil"/>
              <w:left w:val="nil"/>
              <w:bottom w:val="single" w:color="000000" w:sz="8" w:space="0"/>
              <w:right w:val="single" w:color="000000" w:sz="8" w:space="0"/>
            </w:tcBorders>
            <w:noWrap/>
            <w:vAlign w:val="center"/>
          </w:tcPr>
          <w:p w14:paraId="1EB75E1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00D114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BAF728F">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46764C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B694444">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BAC7B9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除尘效率：≥99.9%；</w:t>
            </w:r>
          </w:p>
        </w:tc>
        <w:tc>
          <w:tcPr>
            <w:tcW w:w="522" w:type="dxa"/>
            <w:vMerge w:val="continue"/>
            <w:tcBorders>
              <w:top w:val="nil"/>
              <w:left w:val="nil"/>
              <w:bottom w:val="single" w:color="000000" w:sz="8" w:space="0"/>
              <w:right w:val="single" w:color="000000" w:sz="8" w:space="0"/>
            </w:tcBorders>
            <w:noWrap/>
            <w:vAlign w:val="center"/>
          </w:tcPr>
          <w:p w14:paraId="3CE1BBB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224A4A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997F2C5">
        <w:tblPrEx>
          <w:tblCellMar>
            <w:top w:w="0" w:type="dxa"/>
            <w:left w:w="108" w:type="dxa"/>
            <w:bottom w:w="0" w:type="dxa"/>
            <w:right w:w="108" w:type="dxa"/>
          </w:tblCellMar>
        </w:tblPrEx>
        <w:trPr>
          <w:trHeight w:val="6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C34D61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9AC0D7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574186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清灰控制：定时模式；脉冲宽度、喷吹间隔可调；就地压差显示； </w:t>
            </w:r>
          </w:p>
        </w:tc>
        <w:tc>
          <w:tcPr>
            <w:tcW w:w="522" w:type="dxa"/>
            <w:vMerge w:val="continue"/>
            <w:tcBorders>
              <w:top w:val="nil"/>
              <w:left w:val="nil"/>
              <w:bottom w:val="single" w:color="000000" w:sz="8" w:space="0"/>
              <w:right w:val="single" w:color="000000" w:sz="8" w:space="0"/>
            </w:tcBorders>
            <w:noWrap/>
            <w:vAlign w:val="center"/>
          </w:tcPr>
          <w:p w14:paraId="2C4533B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0C138F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A4F4180">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95420F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C41943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113145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喷吹气源：0.5-0.7</w:t>
            </w:r>
            <w:r>
              <w:rPr>
                <w:rStyle w:val="371"/>
                <w:color w:val="auto"/>
                <w:highlight w:val="none"/>
                <w:lang w:bidi="ar"/>
              </w:rPr>
              <w:t> </w:t>
            </w:r>
            <w:r>
              <w:rPr>
                <w:rStyle w:val="370"/>
                <w:rFonts w:hint="default"/>
                <w:color w:val="auto"/>
                <w:highlight w:val="none"/>
                <w:lang w:bidi="ar"/>
              </w:rPr>
              <w:t>MPa；</w:t>
            </w:r>
          </w:p>
        </w:tc>
        <w:tc>
          <w:tcPr>
            <w:tcW w:w="522" w:type="dxa"/>
            <w:vMerge w:val="continue"/>
            <w:tcBorders>
              <w:top w:val="nil"/>
              <w:left w:val="nil"/>
              <w:bottom w:val="single" w:color="000000" w:sz="8" w:space="0"/>
              <w:right w:val="single" w:color="000000" w:sz="8" w:space="0"/>
            </w:tcBorders>
            <w:noWrap/>
            <w:vAlign w:val="center"/>
          </w:tcPr>
          <w:p w14:paraId="6BE091A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3F16AE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9CE5F8E">
        <w:tblPrEx>
          <w:tblCellMar>
            <w:top w:w="0" w:type="dxa"/>
            <w:left w:w="108" w:type="dxa"/>
            <w:bottom w:w="0" w:type="dxa"/>
            <w:right w:w="108" w:type="dxa"/>
          </w:tblCellMar>
        </w:tblPrEx>
        <w:trPr>
          <w:trHeight w:val="34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3E1B66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8B51072">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2E4950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压缩空气耗气量：0.30=0.35</w:t>
            </w:r>
            <w:r>
              <w:rPr>
                <w:rStyle w:val="371"/>
                <w:color w:val="auto"/>
                <w:highlight w:val="none"/>
                <w:lang w:bidi="ar"/>
              </w:rPr>
              <w:t> </w:t>
            </w:r>
            <w:r>
              <w:rPr>
                <w:rStyle w:val="370"/>
                <w:rFonts w:hint="default"/>
                <w:color w:val="auto"/>
                <w:highlight w:val="none"/>
                <w:lang w:bidi="ar"/>
              </w:rPr>
              <w:t>m³/min（18-21</w:t>
            </w:r>
            <w:r>
              <w:rPr>
                <w:rStyle w:val="371"/>
                <w:color w:val="auto"/>
                <w:highlight w:val="none"/>
                <w:lang w:bidi="ar"/>
              </w:rPr>
              <w:t> </w:t>
            </w:r>
            <w:r>
              <w:rPr>
                <w:rStyle w:val="370"/>
                <w:rFonts w:hint="default"/>
                <w:color w:val="auto"/>
                <w:highlight w:val="none"/>
                <w:lang w:bidi="ar"/>
              </w:rPr>
              <w:t xml:space="preserve">m³/h）； </w:t>
            </w:r>
          </w:p>
        </w:tc>
        <w:tc>
          <w:tcPr>
            <w:tcW w:w="522" w:type="dxa"/>
            <w:vMerge w:val="continue"/>
            <w:tcBorders>
              <w:top w:val="nil"/>
              <w:left w:val="nil"/>
              <w:bottom w:val="single" w:color="000000" w:sz="8" w:space="0"/>
              <w:right w:val="single" w:color="000000" w:sz="8" w:space="0"/>
            </w:tcBorders>
            <w:noWrap/>
            <w:vAlign w:val="center"/>
          </w:tcPr>
          <w:p w14:paraId="0316485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3624F4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F9DA6F0">
        <w:tblPrEx>
          <w:tblCellMar>
            <w:top w:w="0" w:type="dxa"/>
            <w:left w:w="108" w:type="dxa"/>
            <w:bottom w:w="0" w:type="dxa"/>
            <w:right w:w="108" w:type="dxa"/>
          </w:tblCellMar>
        </w:tblPrEx>
        <w:trPr>
          <w:trHeight w:val="28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906F1A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5913FE2">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DDD317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壳体材质：Q235-B钢板；漏风率：≤5%；</w:t>
            </w:r>
          </w:p>
        </w:tc>
        <w:tc>
          <w:tcPr>
            <w:tcW w:w="522" w:type="dxa"/>
            <w:vMerge w:val="continue"/>
            <w:tcBorders>
              <w:top w:val="nil"/>
              <w:left w:val="nil"/>
              <w:bottom w:val="single" w:color="000000" w:sz="8" w:space="0"/>
              <w:right w:val="single" w:color="000000" w:sz="8" w:space="0"/>
            </w:tcBorders>
            <w:noWrap/>
            <w:vAlign w:val="center"/>
          </w:tcPr>
          <w:p w14:paraId="52D3692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8E271E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EB8B903">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820901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EDD7C21">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307ECBF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配套卸灰：底部配关风机锁气卸料；</w:t>
            </w:r>
          </w:p>
        </w:tc>
        <w:tc>
          <w:tcPr>
            <w:tcW w:w="522" w:type="dxa"/>
            <w:vMerge w:val="continue"/>
            <w:tcBorders>
              <w:top w:val="nil"/>
              <w:left w:val="nil"/>
              <w:bottom w:val="single" w:color="000000" w:sz="8" w:space="0"/>
              <w:right w:val="single" w:color="000000" w:sz="8" w:space="0"/>
            </w:tcBorders>
            <w:noWrap/>
            <w:vAlign w:val="center"/>
          </w:tcPr>
          <w:p w14:paraId="23F09E8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56DADC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BE3F65E">
        <w:tblPrEx>
          <w:tblCellMar>
            <w:top w:w="0" w:type="dxa"/>
            <w:left w:w="108" w:type="dxa"/>
            <w:bottom w:w="0" w:type="dxa"/>
            <w:right w:w="108" w:type="dxa"/>
          </w:tblCellMar>
        </w:tblPrEx>
        <w:trPr>
          <w:trHeight w:val="90"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C8421F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26C20EB">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6437654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适用工况：米糠、稻壳粉尘； </w:t>
            </w:r>
          </w:p>
        </w:tc>
        <w:tc>
          <w:tcPr>
            <w:tcW w:w="522" w:type="dxa"/>
            <w:vMerge w:val="continue"/>
            <w:tcBorders>
              <w:top w:val="nil"/>
              <w:left w:val="nil"/>
              <w:bottom w:val="single" w:color="000000" w:sz="8" w:space="0"/>
              <w:right w:val="single" w:color="000000" w:sz="8" w:space="0"/>
            </w:tcBorders>
            <w:noWrap/>
            <w:vAlign w:val="center"/>
          </w:tcPr>
          <w:p w14:paraId="43164A6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26BF5A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4481C20E">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3F846E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FDE6A33">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28724C7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配置：无火焰泄爆装置、防爆电机 </w:t>
            </w:r>
          </w:p>
        </w:tc>
        <w:tc>
          <w:tcPr>
            <w:tcW w:w="522" w:type="dxa"/>
            <w:vMerge w:val="continue"/>
            <w:tcBorders>
              <w:top w:val="nil"/>
              <w:left w:val="nil"/>
              <w:bottom w:val="single" w:color="000000" w:sz="8" w:space="0"/>
              <w:right w:val="single" w:color="000000" w:sz="8" w:space="0"/>
            </w:tcBorders>
            <w:noWrap/>
            <w:vAlign w:val="center"/>
          </w:tcPr>
          <w:p w14:paraId="16BB5DF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5B68C2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8FBBC8E">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252ABAC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22</w:t>
            </w:r>
          </w:p>
        </w:tc>
        <w:tc>
          <w:tcPr>
            <w:tcW w:w="1973" w:type="dxa"/>
            <w:vMerge w:val="restart"/>
            <w:tcBorders>
              <w:top w:val="nil"/>
              <w:left w:val="nil"/>
              <w:bottom w:val="single" w:color="000000" w:sz="8" w:space="0"/>
              <w:right w:val="single" w:color="000000" w:sz="8" w:space="0"/>
            </w:tcBorders>
            <w:noWrap/>
            <w:vAlign w:val="center"/>
          </w:tcPr>
          <w:p w14:paraId="2AF6D52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离心风机</w:t>
            </w:r>
          </w:p>
        </w:tc>
        <w:tc>
          <w:tcPr>
            <w:tcW w:w="5942" w:type="dxa"/>
            <w:tcBorders>
              <w:top w:val="nil"/>
              <w:left w:val="nil"/>
              <w:bottom w:val="nil"/>
              <w:right w:val="single" w:color="000000" w:sz="8" w:space="0"/>
            </w:tcBorders>
            <w:vAlign w:val="center"/>
          </w:tcPr>
          <w:p w14:paraId="05A75FE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型号： 4-72-5A； </w:t>
            </w:r>
          </w:p>
        </w:tc>
        <w:tc>
          <w:tcPr>
            <w:tcW w:w="522" w:type="dxa"/>
            <w:vMerge w:val="restart"/>
            <w:tcBorders>
              <w:top w:val="nil"/>
              <w:left w:val="nil"/>
              <w:bottom w:val="single" w:color="000000" w:sz="8" w:space="0"/>
              <w:right w:val="single" w:color="000000" w:sz="8" w:space="0"/>
            </w:tcBorders>
            <w:noWrap/>
            <w:vAlign w:val="center"/>
          </w:tcPr>
          <w:p w14:paraId="2587ED9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3C87FFA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3A6728D6">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80244F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17B394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A099C1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处理风量：12000-16000 m³/h； </w:t>
            </w:r>
          </w:p>
        </w:tc>
        <w:tc>
          <w:tcPr>
            <w:tcW w:w="522" w:type="dxa"/>
            <w:vMerge w:val="continue"/>
            <w:tcBorders>
              <w:top w:val="nil"/>
              <w:left w:val="nil"/>
              <w:bottom w:val="single" w:color="000000" w:sz="8" w:space="0"/>
              <w:right w:val="single" w:color="000000" w:sz="8" w:space="0"/>
            </w:tcBorders>
            <w:noWrap/>
            <w:vAlign w:val="center"/>
          </w:tcPr>
          <w:p w14:paraId="4368DC0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F1A4F4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628D763">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C72E07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80A3F2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1CB7DE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全压：2300-3100Pa；</w:t>
            </w:r>
          </w:p>
        </w:tc>
        <w:tc>
          <w:tcPr>
            <w:tcW w:w="522" w:type="dxa"/>
            <w:vMerge w:val="continue"/>
            <w:tcBorders>
              <w:top w:val="nil"/>
              <w:left w:val="nil"/>
              <w:bottom w:val="single" w:color="000000" w:sz="8" w:space="0"/>
              <w:right w:val="single" w:color="000000" w:sz="8" w:space="0"/>
            </w:tcBorders>
            <w:noWrap/>
            <w:vAlign w:val="center"/>
          </w:tcPr>
          <w:p w14:paraId="4C6E29E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CA0D91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C27DB37">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E51749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B5015BD">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D0456D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配套电机：15kW，三相380V，50Hz；</w:t>
            </w:r>
          </w:p>
        </w:tc>
        <w:tc>
          <w:tcPr>
            <w:tcW w:w="522" w:type="dxa"/>
            <w:vMerge w:val="continue"/>
            <w:tcBorders>
              <w:top w:val="nil"/>
              <w:left w:val="nil"/>
              <w:bottom w:val="single" w:color="000000" w:sz="8" w:space="0"/>
              <w:right w:val="single" w:color="000000" w:sz="8" w:space="0"/>
            </w:tcBorders>
            <w:noWrap/>
            <w:vAlign w:val="center"/>
          </w:tcPr>
          <w:p w14:paraId="559F104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894543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8D8943D">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D808A7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8847C5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D7E103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风机转速：2900 r/min；</w:t>
            </w:r>
          </w:p>
        </w:tc>
        <w:tc>
          <w:tcPr>
            <w:tcW w:w="522" w:type="dxa"/>
            <w:vMerge w:val="continue"/>
            <w:tcBorders>
              <w:top w:val="nil"/>
              <w:left w:val="nil"/>
              <w:bottom w:val="single" w:color="000000" w:sz="8" w:space="0"/>
              <w:right w:val="single" w:color="000000" w:sz="8" w:space="0"/>
            </w:tcBorders>
            <w:noWrap/>
            <w:vAlign w:val="center"/>
          </w:tcPr>
          <w:p w14:paraId="3758E95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DF468A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AEB004D">
        <w:tblPrEx>
          <w:tblCellMar>
            <w:top w:w="0" w:type="dxa"/>
            <w:left w:w="108" w:type="dxa"/>
            <w:bottom w:w="0" w:type="dxa"/>
            <w:right w:w="108" w:type="dxa"/>
          </w:tblCellMar>
        </w:tblPrEx>
        <w:trPr>
          <w:trHeight w:val="392"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6FFCAC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6666EBE">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9F6DCF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叶轮材质：Q235钢板，动平衡校正，防腐喷涂处理； </w:t>
            </w:r>
          </w:p>
        </w:tc>
        <w:tc>
          <w:tcPr>
            <w:tcW w:w="522" w:type="dxa"/>
            <w:vMerge w:val="continue"/>
            <w:tcBorders>
              <w:top w:val="nil"/>
              <w:left w:val="nil"/>
              <w:bottom w:val="single" w:color="000000" w:sz="8" w:space="0"/>
              <w:right w:val="single" w:color="000000" w:sz="8" w:space="0"/>
            </w:tcBorders>
            <w:noWrap/>
            <w:vAlign w:val="center"/>
          </w:tcPr>
          <w:p w14:paraId="046E836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10185F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4D7BA1E">
        <w:tblPrEx>
          <w:tblCellMar>
            <w:top w:w="0" w:type="dxa"/>
            <w:left w:w="108" w:type="dxa"/>
            <w:bottom w:w="0" w:type="dxa"/>
            <w:right w:w="108" w:type="dxa"/>
          </w:tblCellMar>
        </w:tblPrEx>
        <w:trPr>
          <w:trHeight w:val="396"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4EA57C8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08894DA">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4" w:space="0"/>
              <w:right w:val="single" w:color="000000" w:sz="8" w:space="0"/>
            </w:tcBorders>
            <w:vAlign w:val="center"/>
          </w:tcPr>
          <w:p w14:paraId="42F983A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配套附件：减震底座、减震垫、检修清理口； </w:t>
            </w:r>
          </w:p>
        </w:tc>
        <w:tc>
          <w:tcPr>
            <w:tcW w:w="522" w:type="dxa"/>
            <w:vMerge w:val="continue"/>
            <w:tcBorders>
              <w:top w:val="nil"/>
              <w:left w:val="nil"/>
              <w:bottom w:val="single" w:color="000000" w:sz="8" w:space="0"/>
              <w:right w:val="single" w:color="000000" w:sz="8" w:space="0"/>
            </w:tcBorders>
            <w:noWrap/>
            <w:vAlign w:val="center"/>
          </w:tcPr>
          <w:p w14:paraId="4162819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6D894B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68F0F64">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06B5935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23</w:t>
            </w:r>
          </w:p>
        </w:tc>
        <w:tc>
          <w:tcPr>
            <w:tcW w:w="1973" w:type="dxa"/>
            <w:vMerge w:val="restart"/>
            <w:tcBorders>
              <w:top w:val="nil"/>
              <w:left w:val="nil"/>
              <w:bottom w:val="single" w:color="000000" w:sz="8" w:space="0"/>
              <w:right w:val="single" w:color="000000" w:sz="8" w:space="0"/>
            </w:tcBorders>
            <w:noWrap/>
            <w:vAlign w:val="center"/>
          </w:tcPr>
          <w:p w14:paraId="63C478D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离心风机</w:t>
            </w:r>
          </w:p>
        </w:tc>
        <w:tc>
          <w:tcPr>
            <w:tcW w:w="5942" w:type="dxa"/>
            <w:tcBorders>
              <w:top w:val="nil"/>
              <w:left w:val="nil"/>
              <w:bottom w:val="nil"/>
              <w:right w:val="single" w:color="000000" w:sz="8" w:space="0"/>
            </w:tcBorders>
            <w:vAlign w:val="center"/>
          </w:tcPr>
          <w:p w14:paraId="55462EC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型号：GM30；</w:t>
            </w:r>
          </w:p>
        </w:tc>
        <w:tc>
          <w:tcPr>
            <w:tcW w:w="522" w:type="dxa"/>
            <w:vMerge w:val="restart"/>
            <w:tcBorders>
              <w:top w:val="nil"/>
              <w:left w:val="nil"/>
              <w:bottom w:val="single" w:color="000000" w:sz="8" w:space="0"/>
              <w:right w:val="single" w:color="000000" w:sz="8" w:space="0"/>
            </w:tcBorders>
            <w:noWrap/>
            <w:vAlign w:val="center"/>
          </w:tcPr>
          <w:p w14:paraId="6AB3AC9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vMerge w:val="restart"/>
            <w:tcBorders>
              <w:top w:val="nil"/>
              <w:left w:val="nil"/>
              <w:bottom w:val="single" w:color="000000" w:sz="8" w:space="0"/>
              <w:right w:val="single" w:color="000000" w:sz="8" w:space="0"/>
            </w:tcBorders>
            <w:noWrap/>
            <w:vAlign w:val="center"/>
          </w:tcPr>
          <w:p w14:paraId="7C71E11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3758D63A">
        <w:tblPrEx>
          <w:tblCellMar>
            <w:top w:w="0" w:type="dxa"/>
            <w:left w:w="108" w:type="dxa"/>
            <w:bottom w:w="0" w:type="dxa"/>
            <w:right w:w="108" w:type="dxa"/>
          </w:tblCellMar>
        </w:tblPrEx>
        <w:trPr>
          <w:trHeight w:val="378"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DFA64C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80ABCE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54983DD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传动方式：A式直联传动，电机与叶轮直连；</w:t>
            </w:r>
          </w:p>
        </w:tc>
        <w:tc>
          <w:tcPr>
            <w:tcW w:w="522" w:type="dxa"/>
            <w:vMerge w:val="continue"/>
            <w:tcBorders>
              <w:top w:val="nil"/>
              <w:left w:val="nil"/>
              <w:bottom w:val="single" w:color="000000" w:sz="8" w:space="0"/>
              <w:right w:val="single" w:color="000000" w:sz="8" w:space="0"/>
            </w:tcBorders>
            <w:noWrap/>
            <w:vAlign w:val="center"/>
          </w:tcPr>
          <w:p w14:paraId="780FF80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70EA69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5DD2353">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097F952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F831C9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B06EB1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转速：2900 r/min；</w:t>
            </w:r>
          </w:p>
        </w:tc>
        <w:tc>
          <w:tcPr>
            <w:tcW w:w="522" w:type="dxa"/>
            <w:vMerge w:val="continue"/>
            <w:tcBorders>
              <w:top w:val="nil"/>
              <w:left w:val="nil"/>
              <w:bottom w:val="single" w:color="000000" w:sz="8" w:space="0"/>
              <w:right w:val="single" w:color="000000" w:sz="8" w:space="0"/>
            </w:tcBorders>
            <w:noWrap/>
            <w:vAlign w:val="center"/>
          </w:tcPr>
          <w:p w14:paraId="0117F62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C84C4E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6CB1AA5">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905FB3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5876EE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5E32B8E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风量范围：12000-18000</w:t>
            </w:r>
            <w:r>
              <w:rPr>
                <w:rStyle w:val="371"/>
                <w:color w:val="auto"/>
                <w:highlight w:val="none"/>
                <w:lang w:bidi="ar"/>
              </w:rPr>
              <w:t> </w:t>
            </w:r>
            <w:r>
              <w:rPr>
                <w:rStyle w:val="370"/>
                <w:rFonts w:hint="default"/>
                <w:color w:val="auto"/>
                <w:highlight w:val="none"/>
                <w:lang w:bidi="ar"/>
              </w:rPr>
              <w:t>m³/h；</w:t>
            </w:r>
          </w:p>
        </w:tc>
        <w:tc>
          <w:tcPr>
            <w:tcW w:w="522" w:type="dxa"/>
            <w:vMerge w:val="continue"/>
            <w:tcBorders>
              <w:top w:val="nil"/>
              <w:left w:val="nil"/>
              <w:bottom w:val="single" w:color="000000" w:sz="8" w:space="0"/>
              <w:right w:val="single" w:color="000000" w:sz="8" w:space="0"/>
            </w:tcBorders>
            <w:noWrap/>
            <w:vAlign w:val="center"/>
          </w:tcPr>
          <w:p w14:paraId="1743B05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A5A02F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7DA8FE8">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CF0E59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DFE5EFB">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5E0CAD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全压：4200-5200</w:t>
            </w:r>
            <w:r>
              <w:rPr>
                <w:rStyle w:val="371"/>
                <w:color w:val="auto"/>
                <w:highlight w:val="none"/>
                <w:lang w:bidi="ar"/>
              </w:rPr>
              <w:t> </w:t>
            </w:r>
            <w:r>
              <w:rPr>
                <w:rStyle w:val="370"/>
                <w:rFonts w:hint="default"/>
                <w:color w:val="auto"/>
                <w:highlight w:val="none"/>
                <w:lang w:bidi="ar"/>
              </w:rPr>
              <w:t>Pa；</w:t>
            </w:r>
          </w:p>
        </w:tc>
        <w:tc>
          <w:tcPr>
            <w:tcW w:w="522" w:type="dxa"/>
            <w:vMerge w:val="continue"/>
            <w:tcBorders>
              <w:top w:val="nil"/>
              <w:left w:val="nil"/>
              <w:bottom w:val="single" w:color="000000" w:sz="8" w:space="0"/>
              <w:right w:val="single" w:color="000000" w:sz="8" w:space="0"/>
            </w:tcBorders>
            <w:noWrap/>
            <w:vAlign w:val="center"/>
          </w:tcPr>
          <w:p w14:paraId="5F7E6E8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B8B777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B9A735D">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D6508C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5241972">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90991A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配套电机：30kW，三相380V，50Hz；</w:t>
            </w:r>
          </w:p>
        </w:tc>
        <w:tc>
          <w:tcPr>
            <w:tcW w:w="522" w:type="dxa"/>
            <w:vMerge w:val="continue"/>
            <w:tcBorders>
              <w:top w:val="nil"/>
              <w:left w:val="nil"/>
              <w:bottom w:val="single" w:color="000000" w:sz="8" w:space="0"/>
              <w:right w:val="single" w:color="000000" w:sz="8" w:space="0"/>
            </w:tcBorders>
            <w:noWrap/>
            <w:vAlign w:val="center"/>
          </w:tcPr>
          <w:p w14:paraId="7318713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01294C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5306D6A">
        <w:tblPrEx>
          <w:tblCellMar>
            <w:top w:w="0" w:type="dxa"/>
            <w:left w:w="108" w:type="dxa"/>
            <w:bottom w:w="0" w:type="dxa"/>
            <w:right w:w="108" w:type="dxa"/>
          </w:tblCellMar>
        </w:tblPrEx>
        <w:trPr>
          <w:trHeight w:val="349"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56B528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62749D0">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05F6D52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叶轮材质：Q235钢板，动平衡校验；机壳钢板焊接；</w:t>
            </w:r>
          </w:p>
        </w:tc>
        <w:tc>
          <w:tcPr>
            <w:tcW w:w="522" w:type="dxa"/>
            <w:vMerge w:val="continue"/>
            <w:tcBorders>
              <w:top w:val="nil"/>
              <w:left w:val="nil"/>
              <w:bottom w:val="single" w:color="000000" w:sz="8" w:space="0"/>
              <w:right w:val="single" w:color="000000" w:sz="8" w:space="0"/>
            </w:tcBorders>
            <w:noWrap/>
            <w:vAlign w:val="center"/>
          </w:tcPr>
          <w:p w14:paraId="5A96514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7EAAB5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3A8DDD5">
        <w:tblPrEx>
          <w:tblCellMar>
            <w:top w:w="0" w:type="dxa"/>
            <w:left w:w="108" w:type="dxa"/>
            <w:bottom w:w="0" w:type="dxa"/>
            <w:right w:w="108" w:type="dxa"/>
          </w:tblCellMar>
        </w:tblPrEx>
        <w:trPr>
          <w:trHeight w:val="27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F6D8CA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5858EE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4" w:space="0"/>
              <w:right w:val="single" w:color="000000" w:sz="8" w:space="0"/>
            </w:tcBorders>
            <w:vAlign w:val="center"/>
          </w:tcPr>
          <w:p w14:paraId="3EC4863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配套附件：减震底座、减震垫、检修口； </w:t>
            </w:r>
          </w:p>
        </w:tc>
        <w:tc>
          <w:tcPr>
            <w:tcW w:w="522" w:type="dxa"/>
            <w:vMerge w:val="continue"/>
            <w:tcBorders>
              <w:top w:val="nil"/>
              <w:left w:val="nil"/>
              <w:bottom w:val="single" w:color="000000" w:sz="8" w:space="0"/>
              <w:right w:val="single" w:color="000000" w:sz="8" w:space="0"/>
            </w:tcBorders>
            <w:noWrap/>
            <w:vAlign w:val="center"/>
          </w:tcPr>
          <w:p w14:paraId="2B36D96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5F9812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2A47C35">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352F691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24</w:t>
            </w:r>
          </w:p>
        </w:tc>
        <w:tc>
          <w:tcPr>
            <w:tcW w:w="1973" w:type="dxa"/>
            <w:vMerge w:val="restart"/>
            <w:tcBorders>
              <w:top w:val="nil"/>
              <w:left w:val="nil"/>
              <w:bottom w:val="single" w:color="000000" w:sz="8" w:space="0"/>
              <w:right w:val="single" w:color="000000" w:sz="8" w:space="0"/>
            </w:tcBorders>
            <w:noWrap/>
            <w:vAlign w:val="center"/>
          </w:tcPr>
          <w:p w14:paraId="20BE501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离心除尘器</w:t>
            </w:r>
          </w:p>
        </w:tc>
        <w:tc>
          <w:tcPr>
            <w:tcW w:w="5942" w:type="dxa"/>
            <w:tcBorders>
              <w:top w:val="nil"/>
              <w:left w:val="nil"/>
              <w:bottom w:val="nil"/>
              <w:right w:val="single" w:color="000000" w:sz="8" w:space="0"/>
            </w:tcBorders>
            <w:vAlign w:val="center"/>
          </w:tcPr>
          <w:p w14:paraId="32514A1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型号：XL55-φ1400/1000玻璃；</w:t>
            </w:r>
          </w:p>
        </w:tc>
        <w:tc>
          <w:tcPr>
            <w:tcW w:w="522" w:type="dxa"/>
            <w:vMerge w:val="restart"/>
            <w:tcBorders>
              <w:top w:val="nil"/>
              <w:left w:val="nil"/>
              <w:bottom w:val="single" w:color="000000" w:sz="8" w:space="0"/>
              <w:right w:val="single" w:color="000000" w:sz="8" w:space="0"/>
            </w:tcBorders>
            <w:noWrap/>
            <w:vAlign w:val="center"/>
          </w:tcPr>
          <w:p w14:paraId="420462C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w:t>
            </w:r>
          </w:p>
        </w:tc>
        <w:tc>
          <w:tcPr>
            <w:tcW w:w="507" w:type="dxa"/>
            <w:vMerge w:val="restart"/>
            <w:tcBorders>
              <w:top w:val="nil"/>
              <w:left w:val="nil"/>
              <w:bottom w:val="single" w:color="000000" w:sz="8" w:space="0"/>
              <w:right w:val="single" w:color="000000" w:sz="8" w:space="0"/>
            </w:tcBorders>
            <w:noWrap/>
            <w:vAlign w:val="center"/>
          </w:tcPr>
          <w:p w14:paraId="7DEEA31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432EE8A5">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C456DD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2D3799F5">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AAD4FF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处理风量：11000-14500</w:t>
            </w:r>
            <w:r>
              <w:rPr>
                <w:rStyle w:val="371"/>
                <w:color w:val="auto"/>
                <w:highlight w:val="none"/>
                <w:lang w:bidi="ar"/>
              </w:rPr>
              <w:t> </w:t>
            </w:r>
            <w:r>
              <w:rPr>
                <w:rStyle w:val="370"/>
                <w:rFonts w:hint="default"/>
                <w:color w:val="auto"/>
                <w:highlight w:val="none"/>
                <w:lang w:bidi="ar"/>
              </w:rPr>
              <w:t>m³/h；</w:t>
            </w:r>
          </w:p>
        </w:tc>
        <w:tc>
          <w:tcPr>
            <w:tcW w:w="522" w:type="dxa"/>
            <w:vMerge w:val="continue"/>
            <w:tcBorders>
              <w:top w:val="nil"/>
              <w:left w:val="nil"/>
              <w:bottom w:val="single" w:color="000000" w:sz="8" w:space="0"/>
              <w:right w:val="single" w:color="000000" w:sz="8" w:space="0"/>
            </w:tcBorders>
            <w:noWrap/>
            <w:vAlign w:val="center"/>
          </w:tcPr>
          <w:p w14:paraId="34EAC64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28FAB0E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4D5C972">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468BFD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064FC4A">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3A3B7B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设备阻力：750</w:t>
            </w:r>
            <w:r>
              <w:rPr>
                <w:rStyle w:val="371"/>
                <w:color w:val="auto"/>
                <w:highlight w:val="none"/>
                <w:lang w:bidi="ar"/>
              </w:rPr>
              <w:noBreakHyphen/>
            </w:r>
            <w:r>
              <w:rPr>
                <w:rStyle w:val="370"/>
                <w:rFonts w:hint="default"/>
                <w:color w:val="auto"/>
                <w:highlight w:val="none"/>
                <w:lang w:bidi="ar"/>
              </w:rPr>
              <w:t>980</w:t>
            </w:r>
            <w:r>
              <w:rPr>
                <w:rStyle w:val="371"/>
                <w:color w:val="auto"/>
                <w:highlight w:val="none"/>
                <w:lang w:bidi="ar"/>
              </w:rPr>
              <w:t> </w:t>
            </w:r>
            <w:r>
              <w:rPr>
                <w:rStyle w:val="370"/>
                <w:rFonts w:hint="default"/>
                <w:color w:val="auto"/>
                <w:highlight w:val="none"/>
                <w:lang w:bidi="ar"/>
              </w:rPr>
              <w:t>Pa；</w:t>
            </w:r>
          </w:p>
        </w:tc>
        <w:tc>
          <w:tcPr>
            <w:tcW w:w="522" w:type="dxa"/>
            <w:vMerge w:val="continue"/>
            <w:tcBorders>
              <w:top w:val="nil"/>
              <w:left w:val="nil"/>
              <w:bottom w:val="single" w:color="000000" w:sz="8" w:space="0"/>
              <w:right w:val="single" w:color="000000" w:sz="8" w:space="0"/>
            </w:tcBorders>
            <w:noWrap/>
            <w:vAlign w:val="center"/>
          </w:tcPr>
          <w:p w14:paraId="3B6C35B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633BD6D">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BAC3089">
        <w:tblPrEx>
          <w:tblCellMar>
            <w:top w:w="0" w:type="dxa"/>
            <w:left w:w="108" w:type="dxa"/>
            <w:bottom w:w="0" w:type="dxa"/>
            <w:right w:w="108" w:type="dxa"/>
          </w:tblCellMar>
        </w:tblPrEx>
        <w:trPr>
          <w:trHeight w:val="412"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D4A407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6FF075B8">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8C2EC8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除尘效率：≥85%，分离稻壳、粗糠大颗粒粉尘；</w:t>
            </w:r>
          </w:p>
        </w:tc>
        <w:tc>
          <w:tcPr>
            <w:tcW w:w="522" w:type="dxa"/>
            <w:vMerge w:val="continue"/>
            <w:tcBorders>
              <w:top w:val="nil"/>
              <w:left w:val="nil"/>
              <w:bottom w:val="single" w:color="000000" w:sz="8" w:space="0"/>
              <w:right w:val="single" w:color="000000" w:sz="8" w:space="0"/>
            </w:tcBorders>
            <w:noWrap/>
            <w:vAlign w:val="center"/>
          </w:tcPr>
          <w:p w14:paraId="106368D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6AB405E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C5F77CB">
        <w:tblPrEx>
          <w:tblCellMar>
            <w:top w:w="0" w:type="dxa"/>
            <w:left w:w="108" w:type="dxa"/>
            <w:bottom w:w="0" w:type="dxa"/>
            <w:right w:w="108" w:type="dxa"/>
          </w:tblCellMar>
        </w:tblPrEx>
        <w:trPr>
          <w:trHeight w:val="278"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A3B63C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139150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591AFCD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壳体材质：Q235-B钢板/玻璃；</w:t>
            </w:r>
          </w:p>
        </w:tc>
        <w:tc>
          <w:tcPr>
            <w:tcW w:w="522" w:type="dxa"/>
            <w:vMerge w:val="continue"/>
            <w:tcBorders>
              <w:top w:val="nil"/>
              <w:left w:val="nil"/>
              <w:bottom w:val="single" w:color="000000" w:sz="8" w:space="0"/>
              <w:right w:val="single" w:color="000000" w:sz="8" w:space="0"/>
            </w:tcBorders>
            <w:noWrap/>
            <w:vAlign w:val="center"/>
          </w:tcPr>
          <w:p w14:paraId="661B8BA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04EFF6A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41DAE35">
        <w:tblPrEx>
          <w:tblCellMar>
            <w:top w:w="0" w:type="dxa"/>
            <w:left w:w="108" w:type="dxa"/>
            <w:bottom w:w="0" w:type="dxa"/>
            <w:right w:w="108" w:type="dxa"/>
          </w:tblCellMar>
        </w:tblPrEx>
        <w:trPr>
          <w:trHeight w:val="346"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E76E45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594B103">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8" w:space="0"/>
              <w:right w:val="single" w:color="000000" w:sz="8" w:space="0"/>
            </w:tcBorders>
            <w:vAlign w:val="center"/>
          </w:tcPr>
          <w:p w14:paraId="3CA0A6C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适用工况：米糠、稻壳粉尘，介质温度≤80℃；</w:t>
            </w:r>
          </w:p>
        </w:tc>
        <w:tc>
          <w:tcPr>
            <w:tcW w:w="522" w:type="dxa"/>
            <w:vMerge w:val="continue"/>
            <w:tcBorders>
              <w:top w:val="nil"/>
              <w:left w:val="nil"/>
              <w:bottom w:val="single" w:color="000000" w:sz="8" w:space="0"/>
              <w:right w:val="single" w:color="000000" w:sz="8" w:space="0"/>
            </w:tcBorders>
            <w:noWrap/>
            <w:vAlign w:val="center"/>
          </w:tcPr>
          <w:p w14:paraId="6666966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3CC9FFD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1B0F50C2">
        <w:tblPrEx>
          <w:tblCellMar>
            <w:top w:w="0" w:type="dxa"/>
            <w:left w:w="108" w:type="dxa"/>
            <w:bottom w:w="0" w:type="dxa"/>
            <w:right w:w="108" w:type="dxa"/>
          </w:tblCellMar>
        </w:tblPrEx>
        <w:trPr>
          <w:trHeight w:val="315"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6C0559B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25</w:t>
            </w:r>
          </w:p>
        </w:tc>
        <w:tc>
          <w:tcPr>
            <w:tcW w:w="1973" w:type="dxa"/>
            <w:vMerge w:val="restart"/>
            <w:tcBorders>
              <w:top w:val="nil"/>
              <w:left w:val="nil"/>
              <w:bottom w:val="single" w:color="000000" w:sz="8" w:space="0"/>
              <w:right w:val="single" w:color="000000" w:sz="8" w:space="0"/>
            </w:tcBorders>
            <w:noWrap/>
            <w:vAlign w:val="center"/>
          </w:tcPr>
          <w:p w14:paraId="770C06C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离心风机</w:t>
            </w:r>
          </w:p>
        </w:tc>
        <w:tc>
          <w:tcPr>
            <w:tcW w:w="5942" w:type="dxa"/>
            <w:tcBorders>
              <w:top w:val="nil"/>
              <w:left w:val="nil"/>
              <w:bottom w:val="nil"/>
              <w:right w:val="single" w:color="000000" w:sz="8" w:space="0"/>
            </w:tcBorders>
            <w:vAlign w:val="center"/>
          </w:tcPr>
          <w:p w14:paraId="0097EDC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型号：4-72II-4.7A；</w:t>
            </w:r>
          </w:p>
        </w:tc>
        <w:tc>
          <w:tcPr>
            <w:tcW w:w="522" w:type="dxa"/>
            <w:vMerge w:val="restart"/>
            <w:tcBorders>
              <w:top w:val="nil"/>
              <w:left w:val="nil"/>
              <w:bottom w:val="single" w:color="000000" w:sz="8" w:space="0"/>
              <w:right w:val="single" w:color="000000" w:sz="8" w:space="0"/>
            </w:tcBorders>
            <w:noWrap/>
            <w:vAlign w:val="center"/>
          </w:tcPr>
          <w:p w14:paraId="65F2D8C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w:t>
            </w:r>
          </w:p>
        </w:tc>
        <w:tc>
          <w:tcPr>
            <w:tcW w:w="507" w:type="dxa"/>
            <w:vMerge w:val="restart"/>
            <w:tcBorders>
              <w:top w:val="nil"/>
              <w:left w:val="nil"/>
              <w:bottom w:val="single" w:color="000000" w:sz="8" w:space="0"/>
              <w:right w:val="single" w:color="000000" w:sz="8" w:space="0"/>
            </w:tcBorders>
            <w:noWrap/>
            <w:vAlign w:val="center"/>
          </w:tcPr>
          <w:p w14:paraId="33F3C9A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0CD73065">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97014A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463B659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CDE687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传动方式：A式直联，电机与叶轮直连；</w:t>
            </w:r>
          </w:p>
        </w:tc>
        <w:tc>
          <w:tcPr>
            <w:tcW w:w="522" w:type="dxa"/>
            <w:vMerge w:val="continue"/>
            <w:tcBorders>
              <w:top w:val="nil"/>
              <w:left w:val="nil"/>
              <w:bottom w:val="single" w:color="000000" w:sz="8" w:space="0"/>
              <w:right w:val="single" w:color="000000" w:sz="8" w:space="0"/>
            </w:tcBorders>
            <w:noWrap/>
            <w:vAlign w:val="center"/>
          </w:tcPr>
          <w:p w14:paraId="7A03652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4757446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0AE58E9C">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3AC90B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25FD74A">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1E4DE4F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转速：2900 r/min；</w:t>
            </w:r>
          </w:p>
        </w:tc>
        <w:tc>
          <w:tcPr>
            <w:tcW w:w="522" w:type="dxa"/>
            <w:vMerge w:val="continue"/>
            <w:tcBorders>
              <w:top w:val="nil"/>
              <w:left w:val="nil"/>
              <w:bottom w:val="single" w:color="000000" w:sz="8" w:space="0"/>
              <w:right w:val="single" w:color="000000" w:sz="8" w:space="0"/>
            </w:tcBorders>
            <w:noWrap/>
            <w:vAlign w:val="center"/>
          </w:tcPr>
          <w:p w14:paraId="3A47B9A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12E1F6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52A893B">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0C41DA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7D3B41D8">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7CB3189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风量范围：7500-13000</w:t>
            </w:r>
            <w:r>
              <w:rPr>
                <w:rStyle w:val="371"/>
                <w:color w:val="auto"/>
                <w:highlight w:val="none"/>
                <w:lang w:bidi="ar"/>
              </w:rPr>
              <w:t> </w:t>
            </w:r>
            <w:r>
              <w:rPr>
                <w:rStyle w:val="370"/>
                <w:rFonts w:hint="default"/>
                <w:color w:val="auto"/>
                <w:highlight w:val="none"/>
                <w:lang w:bidi="ar"/>
              </w:rPr>
              <w:t>m³/h；</w:t>
            </w:r>
          </w:p>
        </w:tc>
        <w:tc>
          <w:tcPr>
            <w:tcW w:w="522" w:type="dxa"/>
            <w:vMerge w:val="continue"/>
            <w:tcBorders>
              <w:top w:val="nil"/>
              <w:left w:val="nil"/>
              <w:bottom w:val="single" w:color="000000" w:sz="8" w:space="0"/>
              <w:right w:val="single" w:color="000000" w:sz="8" w:space="0"/>
            </w:tcBorders>
            <w:noWrap/>
            <w:vAlign w:val="center"/>
          </w:tcPr>
          <w:p w14:paraId="56CBEF0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5FA8F2C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2F3C9E3">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1039BDE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1004B2A">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0802EA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全压：1450-2300</w:t>
            </w:r>
            <w:r>
              <w:rPr>
                <w:rStyle w:val="371"/>
                <w:color w:val="auto"/>
                <w:highlight w:val="none"/>
                <w:lang w:bidi="ar"/>
              </w:rPr>
              <w:t> </w:t>
            </w:r>
            <w:r>
              <w:rPr>
                <w:rStyle w:val="370"/>
                <w:rFonts w:hint="default"/>
                <w:color w:val="auto"/>
                <w:highlight w:val="none"/>
                <w:lang w:bidi="ar"/>
              </w:rPr>
              <w:t>Pa；</w:t>
            </w:r>
          </w:p>
        </w:tc>
        <w:tc>
          <w:tcPr>
            <w:tcW w:w="522" w:type="dxa"/>
            <w:vMerge w:val="continue"/>
            <w:tcBorders>
              <w:top w:val="nil"/>
              <w:left w:val="nil"/>
              <w:bottom w:val="single" w:color="000000" w:sz="8" w:space="0"/>
              <w:right w:val="single" w:color="000000" w:sz="8" w:space="0"/>
            </w:tcBorders>
            <w:noWrap/>
            <w:vAlign w:val="center"/>
          </w:tcPr>
          <w:p w14:paraId="7DA676F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BE7F6B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A8468F3">
        <w:tblPrEx>
          <w:tblCellMar>
            <w:top w:w="0" w:type="dxa"/>
            <w:left w:w="108" w:type="dxa"/>
            <w:bottom w:w="0" w:type="dxa"/>
            <w:right w:w="108" w:type="dxa"/>
          </w:tblCellMar>
        </w:tblPrEx>
        <w:trPr>
          <w:trHeight w:val="31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6ED6EEA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3E7C47B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50440D6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配套电机：11kW，三相380V，50Hz；</w:t>
            </w:r>
          </w:p>
        </w:tc>
        <w:tc>
          <w:tcPr>
            <w:tcW w:w="522" w:type="dxa"/>
            <w:vMerge w:val="continue"/>
            <w:tcBorders>
              <w:top w:val="nil"/>
              <w:left w:val="nil"/>
              <w:bottom w:val="single" w:color="000000" w:sz="8" w:space="0"/>
              <w:right w:val="single" w:color="000000" w:sz="8" w:space="0"/>
            </w:tcBorders>
            <w:noWrap/>
            <w:vAlign w:val="center"/>
          </w:tcPr>
          <w:p w14:paraId="4CC1831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79605E4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5660F40E">
        <w:tblPrEx>
          <w:tblCellMar>
            <w:top w:w="0" w:type="dxa"/>
            <w:left w:w="108" w:type="dxa"/>
            <w:bottom w:w="0" w:type="dxa"/>
            <w:right w:w="108" w:type="dxa"/>
          </w:tblCellMar>
        </w:tblPrEx>
        <w:trPr>
          <w:trHeight w:val="375"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2DDD5E7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BF2DC3F">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4" w:space="0"/>
              <w:right w:val="single" w:color="000000" w:sz="8" w:space="0"/>
            </w:tcBorders>
            <w:vAlign w:val="center"/>
          </w:tcPr>
          <w:p w14:paraId="4B29724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叶轮机壳：Q235钢板焊接，叶轮动平衡校验；</w:t>
            </w:r>
          </w:p>
        </w:tc>
        <w:tc>
          <w:tcPr>
            <w:tcW w:w="522" w:type="dxa"/>
            <w:vMerge w:val="continue"/>
            <w:tcBorders>
              <w:top w:val="nil"/>
              <w:left w:val="nil"/>
              <w:bottom w:val="single" w:color="000000" w:sz="8" w:space="0"/>
              <w:right w:val="single" w:color="000000" w:sz="8" w:space="0"/>
            </w:tcBorders>
            <w:noWrap/>
            <w:vAlign w:val="center"/>
          </w:tcPr>
          <w:p w14:paraId="2AD80A7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8" w:space="0"/>
              <w:right w:val="single" w:color="000000" w:sz="8" w:space="0"/>
            </w:tcBorders>
            <w:noWrap/>
            <w:vAlign w:val="center"/>
          </w:tcPr>
          <w:p w14:paraId="1AFDC34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C083B6C">
        <w:tblPrEx>
          <w:tblCellMar>
            <w:top w:w="0" w:type="dxa"/>
            <w:left w:w="108" w:type="dxa"/>
            <w:bottom w:w="0" w:type="dxa"/>
            <w:right w:w="108" w:type="dxa"/>
          </w:tblCellMar>
        </w:tblPrEx>
        <w:trPr>
          <w:trHeight w:val="330" w:hRule="atLeast"/>
        </w:trPr>
        <w:tc>
          <w:tcPr>
            <w:tcW w:w="564" w:type="dxa"/>
            <w:vMerge w:val="restart"/>
            <w:tcBorders>
              <w:top w:val="nil"/>
              <w:left w:val="single" w:color="000000" w:sz="8" w:space="0"/>
              <w:bottom w:val="single" w:color="000000" w:sz="8" w:space="0"/>
              <w:right w:val="single" w:color="000000" w:sz="8" w:space="0"/>
            </w:tcBorders>
            <w:noWrap/>
            <w:vAlign w:val="center"/>
          </w:tcPr>
          <w:p w14:paraId="6BE9041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26</w:t>
            </w:r>
          </w:p>
        </w:tc>
        <w:tc>
          <w:tcPr>
            <w:tcW w:w="1973" w:type="dxa"/>
            <w:vMerge w:val="restart"/>
            <w:tcBorders>
              <w:top w:val="nil"/>
              <w:left w:val="nil"/>
              <w:bottom w:val="single" w:color="000000" w:sz="8" w:space="0"/>
              <w:right w:val="single" w:color="000000" w:sz="8" w:space="0"/>
            </w:tcBorders>
            <w:noWrap/>
            <w:vAlign w:val="center"/>
          </w:tcPr>
          <w:p w14:paraId="61FCB7B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消音器</w:t>
            </w:r>
          </w:p>
        </w:tc>
        <w:tc>
          <w:tcPr>
            <w:tcW w:w="5942" w:type="dxa"/>
            <w:tcBorders>
              <w:top w:val="nil"/>
              <w:left w:val="nil"/>
              <w:bottom w:val="nil"/>
              <w:right w:val="single" w:color="000000" w:sz="8" w:space="0"/>
            </w:tcBorders>
            <w:vAlign w:val="center"/>
          </w:tcPr>
          <w:p w14:paraId="20F900C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型号：根据风管直径定制；</w:t>
            </w:r>
          </w:p>
        </w:tc>
        <w:tc>
          <w:tcPr>
            <w:tcW w:w="522" w:type="dxa"/>
            <w:vMerge w:val="restart"/>
            <w:tcBorders>
              <w:top w:val="nil"/>
              <w:left w:val="nil"/>
              <w:bottom w:val="single" w:color="000000" w:sz="4" w:space="0"/>
              <w:right w:val="single" w:color="000000" w:sz="8" w:space="0"/>
            </w:tcBorders>
            <w:noWrap/>
            <w:vAlign w:val="center"/>
          </w:tcPr>
          <w:p w14:paraId="7A4C15C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4</w:t>
            </w:r>
          </w:p>
        </w:tc>
        <w:tc>
          <w:tcPr>
            <w:tcW w:w="507" w:type="dxa"/>
            <w:vMerge w:val="restart"/>
            <w:tcBorders>
              <w:top w:val="nil"/>
              <w:left w:val="nil"/>
              <w:bottom w:val="single" w:color="000000" w:sz="4" w:space="0"/>
              <w:right w:val="single" w:color="000000" w:sz="8" w:space="0"/>
            </w:tcBorders>
            <w:noWrap/>
            <w:vAlign w:val="center"/>
          </w:tcPr>
          <w:p w14:paraId="27DE8B8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台</w:t>
            </w:r>
          </w:p>
        </w:tc>
      </w:tr>
      <w:tr w14:paraId="02DFC59E">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5C9EEE3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137ECF76">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5248A1A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适配风量：8000</w:t>
            </w:r>
            <w:r>
              <w:rPr>
                <w:rStyle w:val="371"/>
                <w:color w:val="auto"/>
                <w:highlight w:val="none"/>
                <w:lang w:bidi="ar"/>
              </w:rPr>
              <w:noBreakHyphen/>
            </w:r>
            <w:r>
              <w:rPr>
                <w:rStyle w:val="370"/>
                <w:rFonts w:hint="default"/>
                <w:color w:val="auto"/>
                <w:highlight w:val="none"/>
                <w:lang w:bidi="ar"/>
              </w:rPr>
              <w:t>18000</w:t>
            </w:r>
            <w:r>
              <w:rPr>
                <w:rStyle w:val="371"/>
                <w:color w:val="auto"/>
                <w:highlight w:val="none"/>
                <w:lang w:bidi="ar"/>
              </w:rPr>
              <w:t> </w:t>
            </w:r>
            <w:r>
              <w:rPr>
                <w:rStyle w:val="370"/>
                <w:rFonts w:hint="default"/>
                <w:color w:val="auto"/>
                <w:highlight w:val="none"/>
                <w:lang w:bidi="ar"/>
              </w:rPr>
              <w:t>m³/h；</w:t>
            </w:r>
          </w:p>
        </w:tc>
        <w:tc>
          <w:tcPr>
            <w:tcW w:w="522" w:type="dxa"/>
            <w:vMerge w:val="continue"/>
            <w:tcBorders>
              <w:top w:val="nil"/>
              <w:left w:val="nil"/>
              <w:bottom w:val="single" w:color="000000" w:sz="4" w:space="0"/>
              <w:right w:val="single" w:color="000000" w:sz="8" w:space="0"/>
            </w:tcBorders>
            <w:noWrap/>
            <w:vAlign w:val="center"/>
          </w:tcPr>
          <w:p w14:paraId="30B17F8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4" w:space="0"/>
              <w:right w:val="single" w:color="000000" w:sz="8" w:space="0"/>
            </w:tcBorders>
            <w:noWrap/>
            <w:vAlign w:val="center"/>
          </w:tcPr>
          <w:p w14:paraId="0B6D226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2BCE0682">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58D814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5FA9F2FB">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48A8207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气流阻力：≤180</w:t>
            </w:r>
            <w:r>
              <w:rPr>
                <w:rStyle w:val="371"/>
                <w:color w:val="auto"/>
                <w:highlight w:val="none"/>
                <w:lang w:bidi="ar"/>
              </w:rPr>
              <w:t> </w:t>
            </w:r>
            <w:r>
              <w:rPr>
                <w:rStyle w:val="370"/>
                <w:rFonts w:hint="default"/>
                <w:color w:val="auto"/>
                <w:highlight w:val="none"/>
                <w:lang w:bidi="ar"/>
              </w:rPr>
              <w:t>Pa；</w:t>
            </w:r>
          </w:p>
        </w:tc>
        <w:tc>
          <w:tcPr>
            <w:tcW w:w="522" w:type="dxa"/>
            <w:vMerge w:val="continue"/>
            <w:tcBorders>
              <w:top w:val="nil"/>
              <w:left w:val="nil"/>
              <w:bottom w:val="single" w:color="000000" w:sz="4" w:space="0"/>
              <w:right w:val="single" w:color="000000" w:sz="8" w:space="0"/>
            </w:tcBorders>
            <w:noWrap/>
            <w:vAlign w:val="center"/>
          </w:tcPr>
          <w:p w14:paraId="726348D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4" w:space="0"/>
              <w:right w:val="single" w:color="000000" w:sz="8" w:space="0"/>
            </w:tcBorders>
            <w:noWrap/>
            <w:vAlign w:val="center"/>
          </w:tcPr>
          <w:p w14:paraId="654DD33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7458804A">
        <w:tblPrEx>
          <w:tblCellMar>
            <w:top w:w="0" w:type="dxa"/>
            <w:left w:w="108" w:type="dxa"/>
            <w:bottom w:w="0" w:type="dxa"/>
            <w:right w:w="108" w:type="dxa"/>
          </w:tblCellMar>
        </w:tblPrEx>
        <w:trPr>
          <w:trHeight w:val="324"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3E28543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381E187">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nil"/>
              <w:right w:val="single" w:color="000000" w:sz="8" w:space="0"/>
            </w:tcBorders>
            <w:vAlign w:val="center"/>
          </w:tcPr>
          <w:p w14:paraId="2EA713F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Style w:val="370"/>
                <w:rFonts w:hint="default"/>
                <w:color w:val="auto"/>
                <w:highlight w:val="none"/>
                <w:lang w:bidi="ar"/>
              </w:rPr>
              <w:t>壳体材质：Q235</w:t>
            </w:r>
            <w:r>
              <w:rPr>
                <w:rStyle w:val="371"/>
                <w:color w:val="auto"/>
                <w:highlight w:val="none"/>
                <w:lang w:bidi="ar"/>
              </w:rPr>
              <w:noBreakHyphen/>
            </w:r>
            <w:r>
              <w:rPr>
                <w:rStyle w:val="370"/>
                <w:rFonts w:hint="default"/>
                <w:color w:val="auto"/>
                <w:highlight w:val="none"/>
                <w:lang w:bidi="ar"/>
              </w:rPr>
              <w:t>B钢板焊接；</w:t>
            </w:r>
          </w:p>
        </w:tc>
        <w:tc>
          <w:tcPr>
            <w:tcW w:w="522" w:type="dxa"/>
            <w:vMerge w:val="continue"/>
            <w:tcBorders>
              <w:top w:val="nil"/>
              <w:left w:val="nil"/>
              <w:bottom w:val="single" w:color="000000" w:sz="4" w:space="0"/>
              <w:right w:val="single" w:color="000000" w:sz="8" w:space="0"/>
            </w:tcBorders>
            <w:noWrap/>
            <w:vAlign w:val="center"/>
          </w:tcPr>
          <w:p w14:paraId="263E1A7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4" w:space="0"/>
              <w:right w:val="single" w:color="000000" w:sz="8" w:space="0"/>
            </w:tcBorders>
            <w:noWrap/>
            <w:vAlign w:val="center"/>
          </w:tcPr>
          <w:p w14:paraId="689194F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32FAB259">
        <w:tblPrEx>
          <w:tblCellMar>
            <w:top w:w="0" w:type="dxa"/>
            <w:left w:w="108" w:type="dxa"/>
            <w:bottom w:w="0" w:type="dxa"/>
            <w:right w:w="108" w:type="dxa"/>
          </w:tblCellMar>
        </w:tblPrEx>
        <w:trPr>
          <w:trHeight w:val="368" w:hRule="atLeast"/>
        </w:trPr>
        <w:tc>
          <w:tcPr>
            <w:tcW w:w="564" w:type="dxa"/>
            <w:vMerge w:val="continue"/>
            <w:tcBorders>
              <w:top w:val="nil"/>
              <w:left w:val="single" w:color="000000" w:sz="8" w:space="0"/>
              <w:bottom w:val="single" w:color="000000" w:sz="8" w:space="0"/>
              <w:right w:val="single" w:color="000000" w:sz="8" w:space="0"/>
            </w:tcBorders>
            <w:noWrap/>
            <w:vAlign w:val="center"/>
          </w:tcPr>
          <w:p w14:paraId="7BBA17D7">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973" w:type="dxa"/>
            <w:vMerge w:val="continue"/>
            <w:tcBorders>
              <w:top w:val="nil"/>
              <w:left w:val="nil"/>
              <w:bottom w:val="single" w:color="000000" w:sz="8" w:space="0"/>
              <w:right w:val="single" w:color="000000" w:sz="8" w:space="0"/>
            </w:tcBorders>
            <w:noWrap/>
            <w:vAlign w:val="center"/>
          </w:tcPr>
          <w:p w14:paraId="05CF4A8C">
            <w:pPr>
              <w:keepNext w:val="0"/>
              <w:keepLines w:val="0"/>
              <w:suppressLineNumbers w:val="0"/>
              <w:spacing w:before="0" w:beforeAutospacing="0" w:after="0" w:afterAutospacing="0"/>
              <w:ind w:left="0" w:right="0"/>
              <w:jc w:val="left"/>
              <w:rPr>
                <w:rFonts w:hint="eastAsia" w:ascii="宋体" w:hAnsi="宋体" w:cs="宋体"/>
                <w:color w:val="auto"/>
                <w:sz w:val="24"/>
                <w:highlight w:val="none"/>
              </w:rPr>
            </w:pPr>
          </w:p>
        </w:tc>
        <w:tc>
          <w:tcPr>
            <w:tcW w:w="5942" w:type="dxa"/>
            <w:tcBorders>
              <w:top w:val="nil"/>
              <w:left w:val="nil"/>
              <w:bottom w:val="single" w:color="000000" w:sz="4" w:space="0"/>
              <w:right w:val="single" w:color="000000" w:sz="8" w:space="0"/>
            </w:tcBorders>
            <w:vAlign w:val="center"/>
          </w:tcPr>
          <w:p w14:paraId="65B6399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法兰接口：与离心引风机出风口匹配；</w:t>
            </w:r>
          </w:p>
        </w:tc>
        <w:tc>
          <w:tcPr>
            <w:tcW w:w="522" w:type="dxa"/>
            <w:vMerge w:val="continue"/>
            <w:tcBorders>
              <w:top w:val="nil"/>
              <w:left w:val="nil"/>
              <w:bottom w:val="single" w:color="000000" w:sz="4" w:space="0"/>
              <w:right w:val="single" w:color="000000" w:sz="8" w:space="0"/>
            </w:tcBorders>
            <w:noWrap/>
            <w:vAlign w:val="center"/>
          </w:tcPr>
          <w:p w14:paraId="3489C54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507" w:type="dxa"/>
            <w:vMerge w:val="continue"/>
            <w:tcBorders>
              <w:top w:val="nil"/>
              <w:left w:val="nil"/>
              <w:bottom w:val="single" w:color="000000" w:sz="4" w:space="0"/>
              <w:right w:val="single" w:color="000000" w:sz="8" w:space="0"/>
            </w:tcBorders>
            <w:noWrap/>
            <w:vAlign w:val="center"/>
          </w:tcPr>
          <w:p w14:paraId="0766BD76">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r>
      <w:tr w14:paraId="6B7EB8DA">
        <w:tblPrEx>
          <w:tblCellMar>
            <w:top w:w="0" w:type="dxa"/>
            <w:left w:w="108" w:type="dxa"/>
            <w:bottom w:w="0" w:type="dxa"/>
            <w:right w:w="108" w:type="dxa"/>
          </w:tblCellMar>
        </w:tblPrEx>
        <w:trPr>
          <w:trHeight w:val="235" w:hRule="atLeast"/>
        </w:trPr>
        <w:tc>
          <w:tcPr>
            <w:tcW w:w="564" w:type="dxa"/>
            <w:tcBorders>
              <w:top w:val="nil"/>
              <w:left w:val="single" w:color="000000" w:sz="8" w:space="0"/>
              <w:bottom w:val="single" w:color="000000" w:sz="8" w:space="0"/>
              <w:right w:val="single" w:color="000000" w:sz="8" w:space="0"/>
            </w:tcBorders>
            <w:noWrap/>
            <w:vAlign w:val="center"/>
          </w:tcPr>
          <w:p w14:paraId="64D56D2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27</w:t>
            </w:r>
          </w:p>
        </w:tc>
        <w:tc>
          <w:tcPr>
            <w:tcW w:w="1973" w:type="dxa"/>
            <w:tcBorders>
              <w:top w:val="nil"/>
              <w:left w:val="nil"/>
              <w:bottom w:val="single" w:color="000000" w:sz="8" w:space="0"/>
              <w:right w:val="single" w:color="000000" w:sz="8" w:space="0"/>
            </w:tcBorders>
            <w:noWrap/>
            <w:vAlign w:val="center"/>
          </w:tcPr>
          <w:p w14:paraId="32B39D9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压缩空气系统</w:t>
            </w:r>
          </w:p>
        </w:tc>
        <w:tc>
          <w:tcPr>
            <w:tcW w:w="5942" w:type="dxa"/>
            <w:tcBorders>
              <w:top w:val="nil"/>
              <w:left w:val="nil"/>
              <w:bottom w:val="single" w:color="000000" w:sz="8" w:space="0"/>
              <w:right w:val="single" w:color="000000" w:sz="8" w:space="0"/>
            </w:tcBorders>
            <w:vAlign w:val="center"/>
          </w:tcPr>
          <w:p w14:paraId="18E6224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含37Kw变频空压机、冷干机、储气罐、过滤器及阀门、管路系统 </w:t>
            </w:r>
          </w:p>
        </w:tc>
        <w:tc>
          <w:tcPr>
            <w:tcW w:w="522" w:type="dxa"/>
            <w:tcBorders>
              <w:top w:val="nil"/>
              <w:left w:val="nil"/>
              <w:bottom w:val="single" w:color="000000" w:sz="8" w:space="0"/>
              <w:right w:val="single" w:color="000000" w:sz="8" w:space="0"/>
            </w:tcBorders>
            <w:noWrap/>
            <w:vAlign w:val="center"/>
          </w:tcPr>
          <w:p w14:paraId="7105DC9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tcBorders>
              <w:top w:val="nil"/>
              <w:left w:val="nil"/>
              <w:bottom w:val="single" w:color="000000" w:sz="8" w:space="0"/>
              <w:right w:val="single" w:color="000000" w:sz="8" w:space="0"/>
            </w:tcBorders>
            <w:noWrap/>
            <w:vAlign w:val="center"/>
          </w:tcPr>
          <w:p w14:paraId="4261E35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套</w:t>
            </w:r>
          </w:p>
        </w:tc>
      </w:tr>
      <w:tr w14:paraId="12343215">
        <w:tblPrEx>
          <w:tblCellMar>
            <w:top w:w="0" w:type="dxa"/>
            <w:left w:w="108" w:type="dxa"/>
            <w:bottom w:w="0" w:type="dxa"/>
            <w:right w:w="108" w:type="dxa"/>
          </w:tblCellMar>
        </w:tblPrEx>
        <w:trPr>
          <w:trHeight w:val="315" w:hRule="atLeast"/>
        </w:trPr>
        <w:tc>
          <w:tcPr>
            <w:tcW w:w="564" w:type="dxa"/>
            <w:tcBorders>
              <w:top w:val="nil"/>
              <w:left w:val="single" w:color="000000" w:sz="8" w:space="0"/>
              <w:bottom w:val="single" w:color="000000" w:sz="8" w:space="0"/>
              <w:right w:val="single" w:color="000000" w:sz="8" w:space="0"/>
            </w:tcBorders>
            <w:noWrap/>
            <w:vAlign w:val="center"/>
          </w:tcPr>
          <w:p w14:paraId="6B65147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28</w:t>
            </w:r>
          </w:p>
        </w:tc>
        <w:tc>
          <w:tcPr>
            <w:tcW w:w="1973" w:type="dxa"/>
            <w:tcBorders>
              <w:top w:val="nil"/>
              <w:left w:val="nil"/>
              <w:bottom w:val="single" w:color="000000" w:sz="8" w:space="0"/>
              <w:right w:val="single" w:color="000000" w:sz="8" w:space="0"/>
            </w:tcBorders>
            <w:noWrap/>
            <w:vAlign w:val="center"/>
          </w:tcPr>
          <w:p w14:paraId="7D10FDD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电器控制系统</w:t>
            </w:r>
          </w:p>
        </w:tc>
        <w:tc>
          <w:tcPr>
            <w:tcW w:w="5942" w:type="dxa"/>
            <w:tcBorders>
              <w:top w:val="nil"/>
              <w:left w:val="nil"/>
              <w:bottom w:val="single" w:color="000000" w:sz="8" w:space="0"/>
              <w:right w:val="single" w:color="000000" w:sz="8" w:space="0"/>
            </w:tcBorders>
            <w:vAlign w:val="center"/>
          </w:tcPr>
          <w:p w14:paraId="1F5CC61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含电柜3台、桥架、电缆及安装</w:t>
            </w:r>
          </w:p>
        </w:tc>
        <w:tc>
          <w:tcPr>
            <w:tcW w:w="522" w:type="dxa"/>
            <w:tcBorders>
              <w:top w:val="nil"/>
              <w:left w:val="nil"/>
              <w:bottom w:val="single" w:color="000000" w:sz="8" w:space="0"/>
              <w:right w:val="single" w:color="000000" w:sz="8" w:space="0"/>
            </w:tcBorders>
            <w:noWrap/>
            <w:vAlign w:val="center"/>
          </w:tcPr>
          <w:p w14:paraId="20D86DC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tcBorders>
              <w:top w:val="nil"/>
              <w:left w:val="nil"/>
              <w:bottom w:val="single" w:color="000000" w:sz="8" w:space="0"/>
              <w:right w:val="single" w:color="000000" w:sz="8" w:space="0"/>
            </w:tcBorders>
            <w:noWrap/>
            <w:vAlign w:val="center"/>
          </w:tcPr>
          <w:p w14:paraId="77DD2DD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套</w:t>
            </w:r>
          </w:p>
        </w:tc>
      </w:tr>
      <w:tr w14:paraId="2DD31882">
        <w:tblPrEx>
          <w:tblCellMar>
            <w:top w:w="0" w:type="dxa"/>
            <w:left w:w="108" w:type="dxa"/>
            <w:bottom w:w="0" w:type="dxa"/>
            <w:right w:w="108" w:type="dxa"/>
          </w:tblCellMar>
        </w:tblPrEx>
        <w:trPr>
          <w:trHeight w:val="315" w:hRule="atLeast"/>
        </w:trPr>
        <w:tc>
          <w:tcPr>
            <w:tcW w:w="564" w:type="dxa"/>
            <w:tcBorders>
              <w:top w:val="nil"/>
              <w:left w:val="single" w:color="000000" w:sz="8" w:space="0"/>
              <w:bottom w:val="single" w:color="000000" w:sz="8" w:space="0"/>
              <w:right w:val="single" w:color="000000" w:sz="8" w:space="0"/>
            </w:tcBorders>
            <w:noWrap/>
            <w:vAlign w:val="center"/>
          </w:tcPr>
          <w:p w14:paraId="2D2961B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29</w:t>
            </w:r>
          </w:p>
        </w:tc>
        <w:tc>
          <w:tcPr>
            <w:tcW w:w="1973" w:type="dxa"/>
            <w:tcBorders>
              <w:top w:val="nil"/>
              <w:left w:val="nil"/>
              <w:bottom w:val="single" w:color="000000" w:sz="8" w:space="0"/>
              <w:right w:val="single" w:color="000000" w:sz="8" w:space="0"/>
            </w:tcBorders>
            <w:noWrap/>
            <w:vAlign w:val="center"/>
          </w:tcPr>
          <w:p w14:paraId="128E43A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稻谷仓（20T)</w:t>
            </w:r>
          </w:p>
        </w:tc>
        <w:tc>
          <w:tcPr>
            <w:tcW w:w="5942" w:type="dxa"/>
            <w:tcBorders>
              <w:top w:val="nil"/>
              <w:left w:val="nil"/>
              <w:bottom w:val="single" w:color="000000" w:sz="8" w:space="0"/>
              <w:right w:val="single" w:color="000000" w:sz="8" w:space="0"/>
            </w:tcBorders>
            <w:vAlign w:val="center"/>
          </w:tcPr>
          <w:p w14:paraId="478609C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碳钢材质，3*3*5.5M</w:t>
            </w:r>
          </w:p>
        </w:tc>
        <w:tc>
          <w:tcPr>
            <w:tcW w:w="522" w:type="dxa"/>
            <w:tcBorders>
              <w:top w:val="nil"/>
              <w:left w:val="nil"/>
              <w:bottom w:val="single" w:color="000000" w:sz="8" w:space="0"/>
              <w:right w:val="single" w:color="000000" w:sz="8" w:space="0"/>
            </w:tcBorders>
            <w:noWrap/>
            <w:vAlign w:val="center"/>
          </w:tcPr>
          <w:p w14:paraId="4434598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2</w:t>
            </w:r>
          </w:p>
        </w:tc>
        <w:tc>
          <w:tcPr>
            <w:tcW w:w="507" w:type="dxa"/>
            <w:tcBorders>
              <w:top w:val="nil"/>
              <w:left w:val="nil"/>
              <w:bottom w:val="single" w:color="000000" w:sz="8" w:space="0"/>
              <w:right w:val="single" w:color="000000" w:sz="8" w:space="0"/>
            </w:tcBorders>
            <w:noWrap/>
            <w:vAlign w:val="center"/>
          </w:tcPr>
          <w:p w14:paraId="3B74164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个</w:t>
            </w:r>
          </w:p>
        </w:tc>
      </w:tr>
      <w:tr w14:paraId="44F67E48">
        <w:tblPrEx>
          <w:tblCellMar>
            <w:top w:w="0" w:type="dxa"/>
            <w:left w:w="108" w:type="dxa"/>
            <w:bottom w:w="0" w:type="dxa"/>
            <w:right w:w="108" w:type="dxa"/>
          </w:tblCellMar>
        </w:tblPrEx>
        <w:trPr>
          <w:trHeight w:val="315" w:hRule="atLeast"/>
        </w:trPr>
        <w:tc>
          <w:tcPr>
            <w:tcW w:w="564" w:type="dxa"/>
            <w:tcBorders>
              <w:top w:val="nil"/>
              <w:left w:val="single" w:color="000000" w:sz="8" w:space="0"/>
              <w:bottom w:val="single" w:color="000000" w:sz="8" w:space="0"/>
              <w:right w:val="single" w:color="000000" w:sz="8" w:space="0"/>
            </w:tcBorders>
            <w:noWrap/>
            <w:vAlign w:val="center"/>
          </w:tcPr>
          <w:p w14:paraId="21B0F7F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30</w:t>
            </w:r>
          </w:p>
        </w:tc>
        <w:tc>
          <w:tcPr>
            <w:tcW w:w="1973" w:type="dxa"/>
            <w:tcBorders>
              <w:top w:val="nil"/>
              <w:left w:val="nil"/>
              <w:bottom w:val="single" w:color="000000" w:sz="8" w:space="0"/>
              <w:right w:val="single" w:color="000000" w:sz="8" w:space="0"/>
            </w:tcBorders>
            <w:noWrap/>
            <w:vAlign w:val="center"/>
          </w:tcPr>
          <w:p w14:paraId="61C733B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糙米仓 (3T)</w:t>
            </w:r>
          </w:p>
        </w:tc>
        <w:tc>
          <w:tcPr>
            <w:tcW w:w="5942" w:type="dxa"/>
            <w:tcBorders>
              <w:top w:val="nil"/>
              <w:left w:val="nil"/>
              <w:bottom w:val="single" w:color="000000" w:sz="8" w:space="0"/>
              <w:right w:val="single" w:color="000000" w:sz="8" w:space="0"/>
            </w:tcBorders>
            <w:vAlign w:val="center"/>
          </w:tcPr>
          <w:p w14:paraId="2AFC900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不锈钢材质，1.0*1.0*4.5M</w:t>
            </w:r>
          </w:p>
        </w:tc>
        <w:tc>
          <w:tcPr>
            <w:tcW w:w="522" w:type="dxa"/>
            <w:tcBorders>
              <w:top w:val="nil"/>
              <w:left w:val="nil"/>
              <w:bottom w:val="single" w:color="000000" w:sz="8" w:space="0"/>
              <w:right w:val="single" w:color="000000" w:sz="8" w:space="0"/>
            </w:tcBorders>
            <w:noWrap/>
            <w:vAlign w:val="center"/>
          </w:tcPr>
          <w:p w14:paraId="02F1D47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tcBorders>
              <w:top w:val="nil"/>
              <w:left w:val="nil"/>
              <w:bottom w:val="single" w:color="000000" w:sz="8" w:space="0"/>
              <w:right w:val="single" w:color="000000" w:sz="8" w:space="0"/>
            </w:tcBorders>
            <w:noWrap/>
            <w:vAlign w:val="center"/>
          </w:tcPr>
          <w:p w14:paraId="6D73750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个</w:t>
            </w:r>
          </w:p>
        </w:tc>
      </w:tr>
      <w:tr w14:paraId="3D8CEB6A">
        <w:tblPrEx>
          <w:tblCellMar>
            <w:top w:w="0" w:type="dxa"/>
            <w:left w:w="108" w:type="dxa"/>
            <w:bottom w:w="0" w:type="dxa"/>
            <w:right w:w="108" w:type="dxa"/>
          </w:tblCellMar>
        </w:tblPrEx>
        <w:trPr>
          <w:trHeight w:val="315" w:hRule="atLeast"/>
        </w:trPr>
        <w:tc>
          <w:tcPr>
            <w:tcW w:w="564" w:type="dxa"/>
            <w:tcBorders>
              <w:top w:val="nil"/>
              <w:left w:val="single" w:color="000000" w:sz="8" w:space="0"/>
              <w:bottom w:val="single" w:color="000000" w:sz="8" w:space="0"/>
              <w:right w:val="single" w:color="000000" w:sz="8" w:space="0"/>
            </w:tcBorders>
            <w:noWrap/>
            <w:vAlign w:val="center"/>
          </w:tcPr>
          <w:p w14:paraId="4DB270D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31</w:t>
            </w:r>
          </w:p>
        </w:tc>
        <w:tc>
          <w:tcPr>
            <w:tcW w:w="1973" w:type="dxa"/>
            <w:tcBorders>
              <w:top w:val="nil"/>
              <w:left w:val="nil"/>
              <w:bottom w:val="single" w:color="000000" w:sz="8" w:space="0"/>
              <w:right w:val="single" w:color="000000" w:sz="8" w:space="0"/>
            </w:tcBorders>
            <w:noWrap/>
            <w:vAlign w:val="center"/>
          </w:tcPr>
          <w:p w14:paraId="2031D06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凉米仓 (20T)</w:t>
            </w:r>
          </w:p>
        </w:tc>
        <w:tc>
          <w:tcPr>
            <w:tcW w:w="5942" w:type="dxa"/>
            <w:tcBorders>
              <w:top w:val="nil"/>
              <w:left w:val="nil"/>
              <w:bottom w:val="single" w:color="000000" w:sz="8" w:space="0"/>
              <w:right w:val="single" w:color="000000" w:sz="8" w:space="0"/>
            </w:tcBorders>
            <w:vAlign w:val="center"/>
          </w:tcPr>
          <w:p w14:paraId="748A8D5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不锈钢材质，2.5*2.5*4.0M</w:t>
            </w:r>
          </w:p>
        </w:tc>
        <w:tc>
          <w:tcPr>
            <w:tcW w:w="522" w:type="dxa"/>
            <w:tcBorders>
              <w:top w:val="nil"/>
              <w:left w:val="nil"/>
              <w:bottom w:val="single" w:color="000000" w:sz="8" w:space="0"/>
              <w:right w:val="single" w:color="000000" w:sz="8" w:space="0"/>
            </w:tcBorders>
            <w:noWrap/>
            <w:vAlign w:val="center"/>
          </w:tcPr>
          <w:p w14:paraId="13DA63C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tcBorders>
              <w:top w:val="nil"/>
              <w:left w:val="nil"/>
              <w:bottom w:val="single" w:color="000000" w:sz="8" w:space="0"/>
              <w:right w:val="single" w:color="000000" w:sz="8" w:space="0"/>
            </w:tcBorders>
            <w:noWrap/>
            <w:vAlign w:val="center"/>
          </w:tcPr>
          <w:p w14:paraId="263DEEE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个</w:t>
            </w:r>
          </w:p>
        </w:tc>
      </w:tr>
      <w:tr w14:paraId="6D1E44C8">
        <w:tblPrEx>
          <w:tblCellMar>
            <w:top w:w="0" w:type="dxa"/>
            <w:left w:w="108" w:type="dxa"/>
            <w:bottom w:w="0" w:type="dxa"/>
            <w:right w:w="108" w:type="dxa"/>
          </w:tblCellMar>
        </w:tblPrEx>
        <w:trPr>
          <w:trHeight w:val="315" w:hRule="atLeast"/>
        </w:trPr>
        <w:tc>
          <w:tcPr>
            <w:tcW w:w="564" w:type="dxa"/>
            <w:tcBorders>
              <w:top w:val="nil"/>
              <w:left w:val="single" w:color="000000" w:sz="8" w:space="0"/>
              <w:bottom w:val="single" w:color="000000" w:sz="8" w:space="0"/>
              <w:right w:val="single" w:color="000000" w:sz="8" w:space="0"/>
            </w:tcBorders>
            <w:noWrap/>
            <w:vAlign w:val="center"/>
          </w:tcPr>
          <w:p w14:paraId="6F2E8CA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32</w:t>
            </w:r>
          </w:p>
        </w:tc>
        <w:tc>
          <w:tcPr>
            <w:tcW w:w="1973" w:type="dxa"/>
            <w:tcBorders>
              <w:top w:val="nil"/>
              <w:left w:val="nil"/>
              <w:bottom w:val="single" w:color="000000" w:sz="8" w:space="0"/>
              <w:right w:val="single" w:color="000000" w:sz="8" w:space="0"/>
            </w:tcBorders>
            <w:noWrap/>
            <w:vAlign w:val="center"/>
          </w:tcPr>
          <w:p w14:paraId="393855E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成品仓 (20T)</w:t>
            </w:r>
          </w:p>
        </w:tc>
        <w:tc>
          <w:tcPr>
            <w:tcW w:w="5942" w:type="dxa"/>
            <w:tcBorders>
              <w:top w:val="nil"/>
              <w:left w:val="nil"/>
              <w:bottom w:val="single" w:color="000000" w:sz="8" w:space="0"/>
              <w:right w:val="single" w:color="000000" w:sz="8" w:space="0"/>
            </w:tcBorders>
            <w:vAlign w:val="center"/>
          </w:tcPr>
          <w:p w14:paraId="51C8BA5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不锈钢材质，2.5*2.5*4.0M</w:t>
            </w:r>
          </w:p>
        </w:tc>
        <w:tc>
          <w:tcPr>
            <w:tcW w:w="522" w:type="dxa"/>
            <w:tcBorders>
              <w:top w:val="nil"/>
              <w:left w:val="nil"/>
              <w:bottom w:val="single" w:color="000000" w:sz="8" w:space="0"/>
              <w:right w:val="single" w:color="000000" w:sz="8" w:space="0"/>
            </w:tcBorders>
            <w:noWrap/>
            <w:vAlign w:val="center"/>
          </w:tcPr>
          <w:p w14:paraId="45555E6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tcBorders>
              <w:top w:val="nil"/>
              <w:left w:val="nil"/>
              <w:bottom w:val="single" w:color="000000" w:sz="8" w:space="0"/>
              <w:right w:val="single" w:color="000000" w:sz="8" w:space="0"/>
            </w:tcBorders>
            <w:noWrap/>
            <w:vAlign w:val="center"/>
          </w:tcPr>
          <w:p w14:paraId="55D471B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个</w:t>
            </w:r>
          </w:p>
        </w:tc>
      </w:tr>
      <w:tr w14:paraId="552B782C">
        <w:tblPrEx>
          <w:tblCellMar>
            <w:top w:w="0" w:type="dxa"/>
            <w:left w:w="108" w:type="dxa"/>
            <w:bottom w:w="0" w:type="dxa"/>
            <w:right w:w="108" w:type="dxa"/>
          </w:tblCellMar>
        </w:tblPrEx>
        <w:trPr>
          <w:trHeight w:val="315" w:hRule="atLeast"/>
        </w:trPr>
        <w:tc>
          <w:tcPr>
            <w:tcW w:w="564" w:type="dxa"/>
            <w:tcBorders>
              <w:top w:val="nil"/>
              <w:left w:val="single" w:color="000000" w:sz="8" w:space="0"/>
              <w:bottom w:val="single" w:color="000000" w:sz="8" w:space="0"/>
              <w:right w:val="single" w:color="000000" w:sz="8" w:space="0"/>
            </w:tcBorders>
            <w:noWrap/>
            <w:vAlign w:val="center"/>
          </w:tcPr>
          <w:p w14:paraId="16B4A64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33</w:t>
            </w:r>
          </w:p>
        </w:tc>
        <w:tc>
          <w:tcPr>
            <w:tcW w:w="1973" w:type="dxa"/>
            <w:tcBorders>
              <w:top w:val="nil"/>
              <w:left w:val="nil"/>
              <w:bottom w:val="single" w:color="000000" w:sz="8" w:space="0"/>
              <w:right w:val="single" w:color="000000" w:sz="8" w:space="0"/>
            </w:tcBorders>
            <w:noWrap/>
            <w:vAlign w:val="center"/>
          </w:tcPr>
          <w:p w14:paraId="79F0476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缓冲仓 (0.5T)</w:t>
            </w:r>
          </w:p>
        </w:tc>
        <w:tc>
          <w:tcPr>
            <w:tcW w:w="5942" w:type="dxa"/>
            <w:tcBorders>
              <w:top w:val="nil"/>
              <w:left w:val="nil"/>
              <w:bottom w:val="single" w:color="000000" w:sz="8" w:space="0"/>
              <w:right w:val="single" w:color="000000" w:sz="8" w:space="0"/>
            </w:tcBorders>
            <w:vAlign w:val="center"/>
          </w:tcPr>
          <w:p w14:paraId="3090DA6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不锈钢材质，0.7*0.7*1.1M</w:t>
            </w:r>
          </w:p>
        </w:tc>
        <w:tc>
          <w:tcPr>
            <w:tcW w:w="522" w:type="dxa"/>
            <w:tcBorders>
              <w:top w:val="nil"/>
              <w:left w:val="nil"/>
              <w:bottom w:val="single" w:color="000000" w:sz="8" w:space="0"/>
              <w:right w:val="single" w:color="000000" w:sz="8" w:space="0"/>
            </w:tcBorders>
            <w:noWrap/>
            <w:vAlign w:val="center"/>
          </w:tcPr>
          <w:p w14:paraId="2478993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13</w:t>
            </w:r>
          </w:p>
        </w:tc>
        <w:tc>
          <w:tcPr>
            <w:tcW w:w="507" w:type="dxa"/>
            <w:tcBorders>
              <w:top w:val="nil"/>
              <w:left w:val="nil"/>
              <w:bottom w:val="single" w:color="000000" w:sz="8" w:space="0"/>
              <w:right w:val="single" w:color="000000" w:sz="8" w:space="0"/>
            </w:tcBorders>
            <w:noWrap/>
            <w:vAlign w:val="center"/>
          </w:tcPr>
          <w:p w14:paraId="03F5248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个</w:t>
            </w:r>
          </w:p>
        </w:tc>
      </w:tr>
      <w:tr w14:paraId="7CFDC6D9">
        <w:tblPrEx>
          <w:tblCellMar>
            <w:top w:w="0" w:type="dxa"/>
            <w:left w:w="108" w:type="dxa"/>
            <w:bottom w:w="0" w:type="dxa"/>
            <w:right w:w="108" w:type="dxa"/>
          </w:tblCellMar>
        </w:tblPrEx>
        <w:trPr>
          <w:trHeight w:val="315" w:hRule="atLeast"/>
        </w:trPr>
        <w:tc>
          <w:tcPr>
            <w:tcW w:w="564" w:type="dxa"/>
            <w:tcBorders>
              <w:top w:val="nil"/>
              <w:left w:val="single" w:color="000000" w:sz="8" w:space="0"/>
              <w:bottom w:val="single" w:color="000000" w:sz="8" w:space="0"/>
              <w:right w:val="single" w:color="000000" w:sz="8" w:space="0"/>
            </w:tcBorders>
            <w:noWrap/>
            <w:vAlign w:val="center"/>
          </w:tcPr>
          <w:p w14:paraId="11E7DCC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34</w:t>
            </w:r>
          </w:p>
        </w:tc>
        <w:tc>
          <w:tcPr>
            <w:tcW w:w="1973" w:type="dxa"/>
            <w:tcBorders>
              <w:top w:val="nil"/>
              <w:left w:val="nil"/>
              <w:bottom w:val="single" w:color="000000" w:sz="8" w:space="0"/>
              <w:right w:val="single" w:color="000000" w:sz="8" w:space="0"/>
            </w:tcBorders>
            <w:noWrap/>
            <w:vAlign w:val="center"/>
          </w:tcPr>
          <w:p w14:paraId="3178ECC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打包仓（2T）</w:t>
            </w:r>
          </w:p>
        </w:tc>
        <w:tc>
          <w:tcPr>
            <w:tcW w:w="5942" w:type="dxa"/>
            <w:tcBorders>
              <w:top w:val="nil"/>
              <w:left w:val="nil"/>
              <w:bottom w:val="single" w:color="000000" w:sz="8" w:space="0"/>
              <w:right w:val="single" w:color="000000" w:sz="8" w:space="0"/>
            </w:tcBorders>
            <w:vAlign w:val="center"/>
          </w:tcPr>
          <w:p w14:paraId="323367C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不锈钢材质，1.2*1.2*2M</w:t>
            </w:r>
          </w:p>
        </w:tc>
        <w:tc>
          <w:tcPr>
            <w:tcW w:w="522" w:type="dxa"/>
            <w:tcBorders>
              <w:top w:val="nil"/>
              <w:left w:val="nil"/>
              <w:bottom w:val="single" w:color="000000" w:sz="8" w:space="0"/>
              <w:right w:val="single" w:color="000000" w:sz="8" w:space="0"/>
            </w:tcBorders>
            <w:noWrap/>
            <w:vAlign w:val="center"/>
          </w:tcPr>
          <w:p w14:paraId="1E94393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13</w:t>
            </w:r>
          </w:p>
        </w:tc>
        <w:tc>
          <w:tcPr>
            <w:tcW w:w="507" w:type="dxa"/>
            <w:tcBorders>
              <w:top w:val="nil"/>
              <w:left w:val="nil"/>
              <w:bottom w:val="single" w:color="000000" w:sz="8" w:space="0"/>
              <w:right w:val="single" w:color="000000" w:sz="8" w:space="0"/>
            </w:tcBorders>
            <w:noWrap/>
            <w:vAlign w:val="center"/>
          </w:tcPr>
          <w:p w14:paraId="41275A1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个</w:t>
            </w:r>
          </w:p>
        </w:tc>
      </w:tr>
      <w:tr w14:paraId="55B914E2">
        <w:tblPrEx>
          <w:tblCellMar>
            <w:top w:w="0" w:type="dxa"/>
            <w:left w:w="108" w:type="dxa"/>
            <w:bottom w:w="0" w:type="dxa"/>
            <w:right w:w="108" w:type="dxa"/>
          </w:tblCellMar>
        </w:tblPrEx>
        <w:trPr>
          <w:trHeight w:val="315" w:hRule="atLeast"/>
        </w:trPr>
        <w:tc>
          <w:tcPr>
            <w:tcW w:w="564" w:type="dxa"/>
            <w:tcBorders>
              <w:top w:val="nil"/>
              <w:left w:val="single" w:color="000000" w:sz="8" w:space="0"/>
              <w:bottom w:val="single" w:color="000000" w:sz="8" w:space="0"/>
              <w:right w:val="single" w:color="000000" w:sz="8" w:space="0"/>
            </w:tcBorders>
            <w:noWrap/>
            <w:vAlign w:val="center"/>
          </w:tcPr>
          <w:p w14:paraId="0CF7331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34</w:t>
            </w:r>
          </w:p>
        </w:tc>
        <w:tc>
          <w:tcPr>
            <w:tcW w:w="1973" w:type="dxa"/>
            <w:tcBorders>
              <w:top w:val="nil"/>
              <w:left w:val="nil"/>
              <w:bottom w:val="single" w:color="000000" w:sz="8" w:space="0"/>
              <w:right w:val="single" w:color="000000" w:sz="8" w:space="0"/>
            </w:tcBorders>
            <w:noWrap/>
            <w:vAlign w:val="center"/>
          </w:tcPr>
          <w:p w14:paraId="631D395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稻壳仓 (4.5T)</w:t>
            </w:r>
          </w:p>
        </w:tc>
        <w:tc>
          <w:tcPr>
            <w:tcW w:w="5942" w:type="dxa"/>
            <w:tcBorders>
              <w:top w:val="nil"/>
              <w:left w:val="nil"/>
              <w:bottom w:val="single" w:color="000000" w:sz="8" w:space="0"/>
              <w:right w:val="single" w:color="000000" w:sz="8" w:space="0"/>
            </w:tcBorders>
            <w:vAlign w:val="center"/>
          </w:tcPr>
          <w:p w14:paraId="4B7AA5A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碳钢材质，3.0*3.0*4.5M</w:t>
            </w:r>
          </w:p>
        </w:tc>
        <w:tc>
          <w:tcPr>
            <w:tcW w:w="522" w:type="dxa"/>
            <w:tcBorders>
              <w:top w:val="nil"/>
              <w:left w:val="nil"/>
              <w:bottom w:val="single" w:color="000000" w:sz="8" w:space="0"/>
              <w:right w:val="single" w:color="000000" w:sz="8" w:space="0"/>
            </w:tcBorders>
            <w:noWrap/>
            <w:vAlign w:val="center"/>
          </w:tcPr>
          <w:p w14:paraId="37EEAE6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4</w:t>
            </w:r>
          </w:p>
        </w:tc>
        <w:tc>
          <w:tcPr>
            <w:tcW w:w="507" w:type="dxa"/>
            <w:tcBorders>
              <w:top w:val="nil"/>
              <w:left w:val="nil"/>
              <w:bottom w:val="single" w:color="000000" w:sz="8" w:space="0"/>
              <w:right w:val="single" w:color="000000" w:sz="8" w:space="0"/>
            </w:tcBorders>
            <w:noWrap/>
            <w:vAlign w:val="center"/>
          </w:tcPr>
          <w:p w14:paraId="556F352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个</w:t>
            </w:r>
          </w:p>
        </w:tc>
      </w:tr>
      <w:tr w14:paraId="7767CC9E">
        <w:tblPrEx>
          <w:tblCellMar>
            <w:top w:w="0" w:type="dxa"/>
            <w:left w:w="108" w:type="dxa"/>
            <w:bottom w:w="0" w:type="dxa"/>
            <w:right w:w="108" w:type="dxa"/>
          </w:tblCellMar>
        </w:tblPrEx>
        <w:trPr>
          <w:trHeight w:val="1237" w:hRule="atLeast"/>
        </w:trPr>
        <w:tc>
          <w:tcPr>
            <w:tcW w:w="564" w:type="dxa"/>
            <w:tcBorders>
              <w:top w:val="nil"/>
              <w:left w:val="single" w:color="000000" w:sz="8" w:space="0"/>
              <w:bottom w:val="single" w:color="000000" w:sz="8" w:space="0"/>
              <w:right w:val="single" w:color="000000" w:sz="8" w:space="0"/>
            </w:tcBorders>
            <w:noWrap/>
            <w:vAlign w:val="center"/>
          </w:tcPr>
          <w:p w14:paraId="58A87A3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35</w:t>
            </w:r>
          </w:p>
        </w:tc>
        <w:tc>
          <w:tcPr>
            <w:tcW w:w="1973" w:type="dxa"/>
            <w:tcBorders>
              <w:top w:val="nil"/>
              <w:left w:val="nil"/>
              <w:bottom w:val="single" w:color="000000" w:sz="8" w:space="0"/>
              <w:right w:val="single" w:color="000000" w:sz="8" w:space="0"/>
            </w:tcBorders>
            <w:noWrap/>
            <w:vAlign w:val="center"/>
          </w:tcPr>
          <w:p w14:paraId="2BF9FAE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非标制作及安装</w:t>
            </w:r>
          </w:p>
        </w:tc>
        <w:tc>
          <w:tcPr>
            <w:tcW w:w="5942" w:type="dxa"/>
            <w:tcBorders>
              <w:top w:val="nil"/>
              <w:left w:val="nil"/>
              <w:bottom w:val="single" w:color="000000" w:sz="8" w:space="0"/>
              <w:right w:val="single" w:color="000000" w:sz="8" w:space="0"/>
            </w:tcBorders>
            <w:vAlign w:val="center"/>
          </w:tcPr>
          <w:p w14:paraId="470B038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包含主机设备及非标设备安装、三层钢平台（含护栏、楼梯、踢脚线）、稻谷段玻璃溜管、大米段不锈钢溜管、副产品管道、风网管道、不锈钢闸门 、不锈钢三通、不锈钢磁选器、镀锌管气路管道、水路等</w:t>
            </w:r>
          </w:p>
        </w:tc>
        <w:tc>
          <w:tcPr>
            <w:tcW w:w="522" w:type="dxa"/>
            <w:tcBorders>
              <w:top w:val="nil"/>
              <w:left w:val="nil"/>
              <w:bottom w:val="single" w:color="000000" w:sz="8" w:space="0"/>
              <w:right w:val="single" w:color="000000" w:sz="8" w:space="0"/>
            </w:tcBorders>
            <w:noWrap/>
            <w:vAlign w:val="center"/>
          </w:tcPr>
          <w:p w14:paraId="2E29EF3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tcBorders>
              <w:top w:val="nil"/>
              <w:left w:val="nil"/>
              <w:bottom w:val="single" w:color="000000" w:sz="8" w:space="0"/>
              <w:right w:val="single" w:color="000000" w:sz="8" w:space="0"/>
            </w:tcBorders>
            <w:noWrap/>
            <w:vAlign w:val="center"/>
          </w:tcPr>
          <w:p w14:paraId="3924C05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项</w:t>
            </w:r>
          </w:p>
        </w:tc>
      </w:tr>
      <w:tr w14:paraId="537FB67A">
        <w:tblPrEx>
          <w:tblCellMar>
            <w:top w:w="0" w:type="dxa"/>
            <w:left w:w="108" w:type="dxa"/>
            <w:bottom w:w="0" w:type="dxa"/>
            <w:right w:w="108" w:type="dxa"/>
          </w:tblCellMar>
        </w:tblPrEx>
        <w:trPr>
          <w:trHeight w:val="615" w:hRule="atLeast"/>
        </w:trPr>
        <w:tc>
          <w:tcPr>
            <w:tcW w:w="564" w:type="dxa"/>
            <w:tcBorders>
              <w:top w:val="nil"/>
              <w:left w:val="single" w:color="000000" w:sz="8" w:space="0"/>
              <w:bottom w:val="single" w:color="000000" w:sz="8" w:space="0"/>
              <w:right w:val="single" w:color="000000" w:sz="8" w:space="0"/>
            </w:tcBorders>
            <w:noWrap/>
            <w:vAlign w:val="center"/>
          </w:tcPr>
          <w:p w14:paraId="445E6AC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36</w:t>
            </w:r>
          </w:p>
        </w:tc>
        <w:tc>
          <w:tcPr>
            <w:tcW w:w="1973" w:type="dxa"/>
            <w:tcBorders>
              <w:top w:val="nil"/>
              <w:left w:val="nil"/>
              <w:bottom w:val="single" w:color="000000" w:sz="8" w:space="0"/>
              <w:right w:val="single" w:color="000000" w:sz="8" w:space="0"/>
            </w:tcBorders>
            <w:noWrap/>
            <w:vAlign w:val="center"/>
          </w:tcPr>
          <w:p w14:paraId="7576DA4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其他费用</w:t>
            </w:r>
          </w:p>
        </w:tc>
        <w:tc>
          <w:tcPr>
            <w:tcW w:w="5942" w:type="dxa"/>
            <w:tcBorders>
              <w:top w:val="nil"/>
              <w:left w:val="nil"/>
              <w:bottom w:val="single" w:color="000000" w:sz="8" w:space="0"/>
              <w:right w:val="single" w:color="000000" w:sz="8" w:space="0"/>
            </w:tcBorders>
            <w:vAlign w:val="center"/>
          </w:tcPr>
          <w:p w14:paraId="60F3C33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包含交通、运输、吊装、人工、调试、食宿、保险等费用</w:t>
            </w:r>
          </w:p>
        </w:tc>
        <w:tc>
          <w:tcPr>
            <w:tcW w:w="522" w:type="dxa"/>
            <w:tcBorders>
              <w:top w:val="nil"/>
              <w:left w:val="nil"/>
              <w:bottom w:val="single" w:color="000000" w:sz="8" w:space="0"/>
              <w:right w:val="single" w:color="000000" w:sz="8" w:space="0"/>
            </w:tcBorders>
            <w:noWrap/>
            <w:vAlign w:val="center"/>
          </w:tcPr>
          <w:p w14:paraId="1A01550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1</w:t>
            </w:r>
          </w:p>
        </w:tc>
        <w:tc>
          <w:tcPr>
            <w:tcW w:w="507" w:type="dxa"/>
            <w:tcBorders>
              <w:top w:val="nil"/>
              <w:left w:val="nil"/>
              <w:bottom w:val="single" w:color="000000" w:sz="8" w:space="0"/>
              <w:right w:val="single" w:color="000000" w:sz="8" w:space="0"/>
            </w:tcBorders>
            <w:noWrap/>
            <w:vAlign w:val="center"/>
          </w:tcPr>
          <w:p w14:paraId="0DA6EF3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bidi="ar"/>
              </w:rPr>
              <w:t>项</w:t>
            </w:r>
          </w:p>
        </w:tc>
      </w:tr>
    </w:tbl>
    <w:p w14:paraId="4073BBA9">
      <w:pPr>
        <w:spacing w:line="360" w:lineRule="auto"/>
        <w:jc w:val="left"/>
        <w:rPr>
          <w:rFonts w:hint="eastAsia" w:ascii="宋体" w:hAnsi="宋体" w:eastAsia="宋体"/>
          <w:b/>
          <w:bCs/>
          <w:color w:val="auto"/>
          <w:sz w:val="24"/>
          <w:szCs w:val="24"/>
          <w:highlight w:val="none"/>
        </w:rPr>
      </w:pPr>
      <w:r>
        <w:rPr>
          <w:rFonts w:hint="eastAsia" w:ascii="宋体" w:hAnsi="宋体"/>
          <w:b/>
          <w:bCs/>
          <w:color w:val="auto"/>
          <w:sz w:val="24"/>
          <w:szCs w:val="24"/>
          <w:highlight w:val="none"/>
          <w:lang w:val="en-US" w:eastAsia="zh-CN"/>
        </w:rPr>
        <w:t>三</w:t>
      </w:r>
      <w:r>
        <w:rPr>
          <w:rFonts w:hint="eastAsia" w:ascii="宋体" w:hAnsi="宋体" w:eastAsia="宋体"/>
          <w:b/>
          <w:bCs/>
          <w:color w:val="auto"/>
          <w:sz w:val="24"/>
          <w:szCs w:val="24"/>
          <w:highlight w:val="none"/>
        </w:rPr>
        <w:t>、综合说明</w:t>
      </w:r>
    </w:p>
    <w:p w14:paraId="7C78789D">
      <w:pPr>
        <w:pStyle w:val="30"/>
        <w:spacing w:after="0" w:line="360" w:lineRule="auto"/>
        <w:ind w:left="0" w:leftChars="0"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w:t>
      </w:r>
      <w:r>
        <w:rPr>
          <w:rFonts w:hint="eastAsia" w:ascii="宋体" w:hAnsi="宋体" w:eastAsia="宋体" w:cs="宋体"/>
          <w:color w:val="auto"/>
          <w:sz w:val="24"/>
          <w:szCs w:val="24"/>
          <w:highlight w:val="none"/>
        </w:rPr>
        <w:t>1、</w:t>
      </w:r>
      <w:r>
        <w:rPr>
          <w:rFonts w:hint="eastAsia" w:ascii="宋体" w:hAnsi="宋体" w:eastAsia="宋体" w:cs="宋体"/>
          <w:color w:val="auto"/>
          <w:kern w:val="0"/>
          <w:sz w:val="24"/>
          <w:szCs w:val="24"/>
          <w:highlight w:val="none"/>
          <w:lang w:bidi="ar"/>
        </w:rPr>
        <w:t>全部辅材及构配件按照国家标准和行业标准执行</w:t>
      </w:r>
      <w:r>
        <w:rPr>
          <w:rFonts w:hint="eastAsia" w:ascii="宋体" w:hAnsi="宋体" w:eastAsia="宋体" w:cs="宋体"/>
          <w:color w:val="auto"/>
          <w:kern w:val="0"/>
          <w:sz w:val="24"/>
          <w:szCs w:val="24"/>
          <w:highlight w:val="none"/>
          <w:lang w:eastAsia="zh-CN" w:bidi="ar"/>
        </w:rPr>
        <w:t>。</w:t>
      </w:r>
    </w:p>
    <w:p w14:paraId="5C5C685D">
      <w:pPr>
        <w:pStyle w:val="30"/>
        <w:spacing w:after="0"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highlight w:val="none"/>
        </w:rPr>
        <w:t>★</w:t>
      </w:r>
      <w:r>
        <w:rPr>
          <w:rFonts w:hint="eastAsia" w:ascii="宋体" w:hAnsi="宋体" w:eastAsia="宋体" w:cs="宋体"/>
          <w:color w:val="auto"/>
          <w:sz w:val="24"/>
          <w:szCs w:val="24"/>
          <w:highlight w:val="none"/>
          <w:lang w:val="en-US" w:eastAsia="zh-CN"/>
        </w:rPr>
        <w:t>2、供应商</w:t>
      </w:r>
      <w:r>
        <w:rPr>
          <w:rFonts w:hint="eastAsia" w:ascii="宋体" w:hAnsi="宋体" w:eastAsia="宋体" w:cs="宋体"/>
          <w:color w:val="auto"/>
          <w:sz w:val="24"/>
          <w:szCs w:val="24"/>
          <w:highlight w:val="none"/>
        </w:rPr>
        <w:t>所投产品应至少达到以上技术参数要求，同时必须明确所投产品的品牌、型号、规格及一些必须说明的技术参数等，否则将可能导致其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文件被评标委员会</w:t>
      </w:r>
      <w:r>
        <w:rPr>
          <w:rFonts w:hint="eastAsia" w:ascii="宋体" w:hAnsi="宋体" w:eastAsia="宋体" w:cs="宋体"/>
          <w:color w:val="auto"/>
          <w:sz w:val="24"/>
          <w:szCs w:val="24"/>
          <w:highlight w:val="none"/>
          <w:lang w:val="en-US" w:eastAsia="zh-CN"/>
        </w:rPr>
        <w:t>否决</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必须完全响应</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文件的服务要求，应在</w:t>
      </w:r>
      <w:r>
        <w:rPr>
          <w:rFonts w:hint="eastAsia" w:ascii="宋体" w:hAnsi="宋体" w:eastAsia="宋体" w:cs="宋体"/>
          <w:color w:val="auto"/>
          <w:sz w:val="24"/>
          <w:szCs w:val="24"/>
          <w:highlight w:val="none"/>
          <w:lang w:val="en-US" w:eastAsia="zh-CN"/>
        </w:rPr>
        <w:t>响应文件技术规格响应偏离表</w:t>
      </w:r>
      <w:r>
        <w:rPr>
          <w:rFonts w:hint="eastAsia" w:ascii="宋体" w:hAnsi="宋体" w:eastAsia="宋体" w:cs="宋体"/>
          <w:color w:val="auto"/>
          <w:sz w:val="24"/>
          <w:szCs w:val="24"/>
          <w:highlight w:val="none"/>
        </w:rPr>
        <w:t>中逐条列出，未列出的</w:t>
      </w:r>
      <w:r>
        <w:rPr>
          <w:rFonts w:hint="eastAsia" w:ascii="宋体" w:hAnsi="宋体" w:eastAsia="宋体" w:cs="宋体"/>
          <w:color w:val="auto"/>
          <w:sz w:val="24"/>
          <w:szCs w:val="24"/>
          <w:highlight w:val="none"/>
          <w:lang w:val="en-US" w:eastAsia="zh-CN"/>
        </w:rPr>
        <w:t>作无效响应文件处理</w:t>
      </w:r>
      <w:r>
        <w:rPr>
          <w:rFonts w:hint="eastAsia" w:ascii="宋体" w:hAnsi="宋体" w:eastAsia="宋体" w:cs="宋体"/>
          <w:color w:val="auto"/>
          <w:sz w:val="24"/>
          <w:szCs w:val="24"/>
          <w:highlight w:val="none"/>
        </w:rPr>
        <w:t>。</w:t>
      </w:r>
    </w:p>
    <w:p w14:paraId="2B9E085C">
      <w:pPr>
        <w:pStyle w:val="30"/>
        <w:spacing w:after="0"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3、供应商必</w:t>
      </w:r>
      <w:r>
        <w:rPr>
          <w:rFonts w:hint="eastAsia" w:ascii="宋体" w:hAnsi="宋体" w:eastAsia="宋体" w:cs="宋体"/>
          <w:color w:val="auto"/>
          <w:sz w:val="24"/>
          <w:szCs w:val="24"/>
          <w:highlight w:val="none"/>
          <w:lang w:val="en-US" w:eastAsia="zh-CN" w:bidi="ar-SA"/>
        </w:rPr>
        <w:t>须对所投项目内的所有设备全部响应，只投其中部分的为无效响应文件。投标总报价包含完成该项工作所需全部设备及其备品、备件和专用工具费用、税费（如包括关税、货物及其所用原材料、零部</w:t>
      </w:r>
      <w:r>
        <w:rPr>
          <w:rFonts w:ascii="宋体" w:hAnsi="宋体" w:eastAsia="宋体"/>
          <w:color w:val="auto"/>
          <w:sz w:val="24"/>
          <w:szCs w:val="24"/>
          <w:highlight w:val="none"/>
        </w:rPr>
        <w:t>件的各种国内外税费）及包装、运至最终目的地的运输、保险、</w:t>
      </w:r>
      <w:r>
        <w:rPr>
          <w:rFonts w:hint="eastAsia" w:ascii="宋体" w:hAnsi="宋体" w:eastAsia="宋体"/>
          <w:color w:val="auto"/>
          <w:sz w:val="24"/>
          <w:szCs w:val="24"/>
          <w:highlight w:val="none"/>
        </w:rPr>
        <w:t>现场吊装、</w:t>
      </w:r>
      <w:r>
        <w:rPr>
          <w:rFonts w:ascii="宋体" w:hAnsi="宋体" w:eastAsia="宋体"/>
          <w:color w:val="auto"/>
          <w:sz w:val="24"/>
          <w:szCs w:val="24"/>
          <w:highlight w:val="none"/>
        </w:rPr>
        <w:t>检测验收、安装、调试、技术支持与培训、售后服务与维保及相关劳务支出等工作所发生的全部费用以及</w:t>
      </w:r>
      <w:r>
        <w:rPr>
          <w:rFonts w:hint="eastAsia" w:ascii="宋体" w:hAnsi="宋体" w:eastAsia="宋体"/>
          <w:color w:val="auto"/>
          <w:sz w:val="24"/>
          <w:szCs w:val="24"/>
          <w:highlight w:val="none"/>
          <w:lang w:val="en-US" w:eastAsia="zh-CN"/>
        </w:rPr>
        <w:t>供应商</w:t>
      </w:r>
      <w:r>
        <w:rPr>
          <w:rFonts w:ascii="宋体" w:hAnsi="宋体" w:eastAsia="宋体"/>
          <w:color w:val="auto"/>
          <w:sz w:val="24"/>
          <w:szCs w:val="24"/>
          <w:highlight w:val="none"/>
        </w:rPr>
        <w:t>企业利润、税金和政策性文件规定及合同包含的所有风险、责任等各项应有费用。</w:t>
      </w:r>
    </w:p>
    <w:p w14:paraId="46CD6459">
      <w:pPr>
        <w:pStyle w:val="30"/>
        <w:spacing w:after="0"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、本项目为交钥匙工程，</w:t>
      </w:r>
      <w:r>
        <w:rPr>
          <w:rFonts w:hint="eastAsia" w:ascii="宋体" w:hAnsi="宋体" w:eastAsia="宋体" w:cs="宋体"/>
          <w:color w:val="auto"/>
          <w:sz w:val="24"/>
          <w:szCs w:val="24"/>
          <w:highlight w:val="none"/>
          <w:lang w:val="en-US" w:eastAsia="zh-CN"/>
        </w:rPr>
        <w:t>采用总价包干方式。供应商报价包含但不限于采购清单内载明的设备、数量。凡整套大米加工生产线能够实现设计功能所不可或缺的设备、零部件、辅材、运输、装卸、安装、管线敷设、系统调试、试运行、验收等全部工作内容，即使采购清单未予以列明，均由供应商统筹考虑，相关费用全部包含在投标总价内。采购人不再支付合同成交价格以外的任何费用。</w:t>
      </w:r>
    </w:p>
    <w:p w14:paraId="41EA6B53">
      <w:pPr>
        <w:tabs>
          <w:tab w:val="left" w:pos="851"/>
          <w:tab w:val="left" w:pos="993"/>
        </w:tabs>
        <w:spacing w:line="360" w:lineRule="auto"/>
        <w:ind w:firstLine="480" w:firstLineChars="200"/>
        <w:jc w:val="left"/>
        <w:rPr>
          <w:rFonts w:hint="eastAsia" w:ascii="宋体" w:hAnsi="宋体" w:eastAsia="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olor w:val="auto"/>
          <w:sz w:val="24"/>
          <w:szCs w:val="24"/>
          <w:highlight w:val="none"/>
        </w:rPr>
        <w:t>任何因忽视或误解交货地点情况而导致的索赔或工期延长申请将不被批准。同时</w:t>
      </w:r>
      <w:r>
        <w:rPr>
          <w:rFonts w:hint="eastAsia" w:ascii="宋体" w:hAnsi="宋体" w:eastAsia="宋体"/>
          <w:color w:val="auto"/>
          <w:sz w:val="24"/>
          <w:szCs w:val="24"/>
          <w:highlight w:val="none"/>
          <w:lang w:val="en-US" w:eastAsia="zh-CN"/>
        </w:rPr>
        <w:t>供应商</w:t>
      </w:r>
      <w:r>
        <w:rPr>
          <w:rFonts w:hint="eastAsia" w:ascii="宋体" w:hAnsi="宋体" w:eastAsia="宋体"/>
          <w:color w:val="auto"/>
          <w:sz w:val="24"/>
          <w:szCs w:val="24"/>
          <w:highlight w:val="none"/>
        </w:rPr>
        <w:t>自行承担勘察现场的责任和风险，</w:t>
      </w:r>
      <w:r>
        <w:rPr>
          <w:rFonts w:hint="eastAsia" w:ascii="宋体" w:hAnsi="宋体" w:eastAsia="宋体"/>
          <w:color w:val="auto"/>
          <w:sz w:val="24"/>
          <w:szCs w:val="24"/>
          <w:highlight w:val="none"/>
          <w:lang w:val="en-US" w:eastAsia="zh-CN"/>
        </w:rPr>
        <w:t>供应商</w:t>
      </w:r>
      <w:r>
        <w:rPr>
          <w:rFonts w:hint="eastAsia" w:ascii="宋体" w:hAnsi="宋体" w:eastAsia="宋体"/>
          <w:color w:val="auto"/>
          <w:sz w:val="24"/>
          <w:szCs w:val="24"/>
          <w:highlight w:val="none"/>
        </w:rPr>
        <w:t>中标后，不得以不完全了解现场情况或其它任何理由向采购单位提出任何索赔或追加的要求，对此采购单位不承担任何责任并将不作任何答复与考虑。</w:t>
      </w:r>
    </w:p>
    <w:p w14:paraId="507EFEA0">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hint="eastAsia" w:ascii="宋体" w:hAnsi="宋体" w:cs="宋体"/>
          <w:color w:val="auto"/>
          <w:sz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、交货期</w:t>
      </w:r>
      <w:r>
        <w:rPr>
          <w:rFonts w:hint="eastAsia" w:ascii="宋体" w:hAnsi="宋体" w:eastAsia="宋体" w:cs="仿宋_GB2312"/>
          <w:color w:val="auto"/>
          <w:sz w:val="24"/>
          <w:szCs w:val="24"/>
          <w:highlight w:val="none"/>
        </w:rPr>
        <w:t>：</w:t>
      </w:r>
      <w:r>
        <w:rPr>
          <w:rFonts w:hint="eastAsia" w:ascii="宋体" w:hAnsi="宋体" w:cs="宋体"/>
          <w:color w:val="auto"/>
          <w:sz w:val="24"/>
          <w:highlight w:val="none"/>
          <w:lang w:val="en-US" w:eastAsia="zh-CN"/>
        </w:rPr>
        <w:t>160日历天。</w:t>
      </w:r>
      <w:r>
        <w:rPr>
          <w:rFonts w:hint="eastAsia" w:ascii="宋体" w:hAnsi="宋体" w:cs="宋体"/>
          <w:color w:val="auto"/>
          <w:sz w:val="24"/>
          <w:highlight w:val="none"/>
        </w:rPr>
        <w:t>设备制造周期90</w:t>
      </w:r>
      <w:r>
        <w:rPr>
          <w:rFonts w:hint="eastAsia" w:ascii="宋体" w:hAnsi="宋体" w:cs="宋体"/>
          <w:color w:val="auto"/>
          <w:sz w:val="24"/>
          <w:highlight w:val="none"/>
          <w:lang w:val="en-US" w:eastAsia="zh-CN"/>
        </w:rPr>
        <w:t>日历</w:t>
      </w:r>
      <w:r>
        <w:rPr>
          <w:rFonts w:hint="eastAsia" w:ascii="宋体" w:hAnsi="宋体" w:cs="宋体"/>
          <w:color w:val="auto"/>
          <w:sz w:val="24"/>
          <w:highlight w:val="none"/>
        </w:rPr>
        <w:t>天（预付款到后开始计算），安装周期70</w:t>
      </w:r>
      <w:r>
        <w:rPr>
          <w:rFonts w:hint="eastAsia" w:ascii="宋体" w:hAnsi="宋体" w:cs="宋体"/>
          <w:color w:val="auto"/>
          <w:sz w:val="24"/>
          <w:highlight w:val="none"/>
          <w:lang w:val="en-US" w:eastAsia="zh-CN"/>
        </w:rPr>
        <w:t>日历</w:t>
      </w:r>
      <w:r>
        <w:rPr>
          <w:rFonts w:hint="eastAsia" w:ascii="宋体" w:hAnsi="宋体" w:cs="宋体"/>
          <w:color w:val="auto"/>
          <w:sz w:val="24"/>
          <w:highlight w:val="none"/>
        </w:rPr>
        <w:t>天</w:t>
      </w:r>
      <w:r>
        <w:rPr>
          <w:rFonts w:hint="eastAsia" w:ascii="宋体" w:hAnsi="宋体" w:cs="宋体"/>
          <w:color w:val="auto"/>
          <w:sz w:val="24"/>
          <w:highlight w:val="none"/>
          <w:lang w:eastAsia="zh-CN"/>
        </w:rPr>
        <w:t>（包含设备出厂运输、货物现场卸货、就位、安装、调试直至设备验收合格的全部时间）</w:t>
      </w:r>
      <w:r>
        <w:rPr>
          <w:rFonts w:hint="eastAsia" w:ascii="宋体" w:hAnsi="宋体" w:cs="宋体"/>
          <w:color w:val="auto"/>
          <w:sz w:val="24"/>
          <w:highlight w:val="none"/>
        </w:rPr>
        <w:t>。</w:t>
      </w:r>
    </w:p>
    <w:p w14:paraId="3461CD6E">
      <w:pPr>
        <w:pStyle w:val="30"/>
        <w:spacing w:after="0"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、交货地点：按照采购单位指定地点。</w:t>
      </w:r>
    </w:p>
    <w:p w14:paraId="438DFD6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须为本项目配备的所有人员在服务期间内出现的工伤及其他意外事故，均由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自行负责，采购人不承担任何责任。</w:t>
      </w:r>
    </w:p>
    <w:p w14:paraId="3628075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、安装、调试：</w:t>
      </w:r>
    </w:p>
    <w:p w14:paraId="7A65D80B">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在货物到达采购方指定地点后，卖方应在7天内派技术人员到达现场，提供安装、调试等服务，并协助采购方组织验收。</w:t>
      </w:r>
    </w:p>
    <w:p w14:paraId="15B45981">
      <w:pPr>
        <w:pStyle w:val="60"/>
        <w:ind w:left="0" w:leftChars="0" w:firstLine="240" w:firstLineChars="100"/>
        <w:rPr>
          <w:rFonts w:hint="default" w:eastAsia="宋体"/>
          <w:color w:val="auto"/>
          <w:highlight w:val="none"/>
          <w:lang w:val="en-US" w:eastAsia="zh-CN"/>
        </w:rPr>
      </w:pPr>
      <w:r>
        <w:rPr>
          <w:rFonts w:hint="eastAsia" w:ascii="宋体" w:hAnsi="宋体" w:cs="宋体"/>
          <w:color w:val="auto"/>
          <w:sz w:val="24"/>
          <w:highlight w:val="none"/>
        </w:rPr>
        <w:t>★</w:t>
      </w:r>
      <w:r>
        <w:rPr>
          <w:rFonts w:hint="eastAsia" w:cs="宋体"/>
          <w:color w:val="auto"/>
          <w:sz w:val="24"/>
          <w:highlight w:val="none"/>
          <w:lang w:val="en-US" w:eastAsia="zh-CN"/>
        </w:rPr>
        <w:t>10、</w:t>
      </w:r>
      <w:r>
        <w:rPr>
          <w:rFonts w:hint="eastAsia" w:ascii="宋体" w:hAnsi="宋体" w:cs="宋体"/>
          <w:color w:val="auto"/>
          <w:sz w:val="24"/>
          <w:highlight w:val="none"/>
          <w:lang w:val="en-US" w:eastAsia="zh-CN"/>
        </w:rPr>
        <w:t>承诺</w:t>
      </w:r>
      <w:r>
        <w:rPr>
          <w:rFonts w:hint="eastAsia" w:ascii="宋体" w:hAnsi="宋体" w:cs="宋体"/>
          <w:color w:val="auto"/>
          <w:sz w:val="24"/>
          <w:highlight w:val="none"/>
        </w:rPr>
        <w:t>合同签订且收到采购人进场通知后</w:t>
      </w:r>
      <w:r>
        <w:rPr>
          <w:rFonts w:hint="eastAsia" w:cs="宋体"/>
          <w:color w:val="auto"/>
          <w:sz w:val="24"/>
          <w:highlight w:val="none"/>
          <w:lang w:val="en-US" w:eastAsia="zh-CN"/>
        </w:rPr>
        <w:t>160</w:t>
      </w:r>
      <w:r>
        <w:rPr>
          <w:rFonts w:hint="eastAsia" w:ascii="宋体" w:hAnsi="宋体" w:cs="宋体"/>
          <w:color w:val="auto"/>
          <w:sz w:val="24"/>
          <w:highlight w:val="none"/>
        </w:rPr>
        <w:t>个日历天内，完成全部货物供货、设备安装</w:t>
      </w:r>
      <w:r>
        <w:rPr>
          <w:rFonts w:hint="eastAsia" w:ascii="宋体" w:hAnsi="宋体" w:cs="宋体"/>
          <w:color w:val="auto"/>
          <w:sz w:val="24"/>
          <w:highlight w:val="none"/>
          <w:lang w:val="en-US" w:eastAsia="zh-CN"/>
        </w:rPr>
        <w:t>及</w:t>
      </w:r>
      <w:r>
        <w:rPr>
          <w:rFonts w:hint="eastAsia" w:ascii="宋体" w:hAnsi="宋体" w:cs="宋体"/>
          <w:color w:val="auto"/>
          <w:sz w:val="24"/>
          <w:highlight w:val="none"/>
        </w:rPr>
        <w:t>调试工作，并通过采购人综合验收交付使用。</w:t>
      </w:r>
      <w:r>
        <w:rPr>
          <w:rFonts w:hint="eastAsia" w:ascii="宋体" w:hAnsi="宋体" w:cs="宋体"/>
          <w:color w:val="auto"/>
          <w:sz w:val="24"/>
          <w:highlight w:val="none"/>
          <w:lang w:val="en-US" w:eastAsia="zh-CN"/>
        </w:rPr>
        <w:t>按采购方要求送到指定地点，交货时提供所投产品同批号的企业自检合格报告和有检测资质的第三方检测合格报告，不能提供检测报告或产品不是同一批次视为不合格，合同终止。</w:t>
      </w:r>
    </w:p>
    <w:p w14:paraId="4588A130">
      <w:pPr>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施工现场要求：</w:t>
      </w:r>
    </w:p>
    <w:p w14:paraId="7FBAB85F">
      <w:pPr>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zh-CN"/>
        </w:rPr>
        <w:t>应遵守现场的一切规章制度，按照甲方要求文明施工，施工人员的安全由乙方负责，甲方免责；</w:t>
      </w:r>
    </w:p>
    <w:p w14:paraId="310E869B">
      <w:pPr>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（2）施工现场的协调工作由</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zh-CN"/>
        </w:rPr>
        <w:t>负责，甲方配合；</w:t>
      </w:r>
    </w:p>
    <w:p w14:paraId="4ABD9196">
      <w:pPr>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zh-CN"/>
        </w:rPr>
        <w:t>负责设备、安装设备（工具）等提供适当的保护、包装或覆盖等处理，负责保管、看护进场的设备及附配件直至验收合格，以免受损；</w:t>
      </w:r>
    </w:p>
    <w:p w14:paraId="4E7B4843">
      <w:pPr>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（4）在安装、调试期间或保修过程中，</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zh-CN"/>
        </w:rPr>
        <w:t>负责及时清理现场垃圾；</w:t>
      </w:r>
    </w:p>
    <w:p w14:paraId="7F35B459">
      <w:pPr>
        <w:pStyle w:val="30"/>
        <w:spacing w:after="0"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（5）在安装、调试期间或保修过程中，对现场原有成品造成的损坏，由</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zh-CN"/>
        </w:rPr>
        <w:t>负责修</w:t>
      </w:r>
      <w:r>
        <w:rPr>
          <w:rFonts w:hint="eastAsia" w:ascii="宋体" w:hAnsi="宋体" w:eastAsia="宋体" w:cs="宋体"/>
          <w:color w:val="auto"/>
          <w:sz w:val="24"/>
          <w:szCs w:val="24"/>
          <w:highlight w:val="none"/>
        </w:rPr>
        <w:t>复。</w:t>
      </w:r>
    </w:p>
    <w:p w14:paraId="55B09732">
      <w:pPr>
        <w:pStyle w:val="30"/>
        <w:spacing w:after="0"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、验收要求：</w:t>
      </w:r>
    </w:p>
    <w:p w14:paraId="1B999E00">
      <w:pPr>
        <w:pStyle w:val="30"/>
        <w:spacing w:after="0"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验收标准：</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提供的货物必须符合我国最新颁布的与之相关的技术规范与标准，同时必须满足</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文件中技术参数要求和</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承诺的其它指标。服务验收标准按照本项目相关考核以及合同或相关文件中约定的各项要求以及</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承诺的其他指标。</w:t>
      </w:r>
    </w:p>
    <w:p w14:paraId="7874F225">
      <w:pPr>
        <w:pStyle w:val="30"/>
        <w:spacing w:after="0"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olor w:val="auto"/>
          <w:sz w:val="24"/>
          <w:szCs w:val="24"/>
          <w:highlight w:val="none"/>
          <w:lang w:val="en-US" w:eastAsia="zh-CN"/>
        </w:rPr>
        <w:t>供应商</w:t>
      </w:r>
      <w:r>
        <w:rPr>
          <w:rFonts w:hint="eastAsia" w:ascii="宋体" w:hAnsi="宋体" w:eastAsia="宋体"/>
          <w:color w:val="auto"/>
          <w:sz w:val="24"/>
          <w:szCs w:val="24"/>
          <w:highlight w:val="none"/>
        </w:rPr>
        <w:t>应向采购单位提供详细的验收标准、验收手册，</w:t>
      </w:r>
      <w:r>
        <w:rPr>
          <w:rFonts w:ascii="宋体" w:hAnsi="宋体" w:eastAsia="宋体"/>
          <w:color w:val="auto"/>
          <w:sz w:val="24"/>
          <w:szCs w:val="24"/>
          <w:highlight w:val="none"/>
        </w:rPr>
        <w:t>在采购方确认后作为采购方验收的依据</w:t>
      </w:r>
      <w:r>
        <w:rPr>
          <w:rFonts w:hint="eastAsia" w:ascii="宋体" w:hAnsi="宋体" w:eastAsia="宋体"/>
          <w:color w:val="auto"/>
          <w:sz w:val="24"/>
          <w:szCs w:val="24"/>
          <w:highlight w:val="none"/>
        </w:rPr>
        <w:t>，</w:t>
      </w:r>
      <w:r>
        <w:rPr>
          <w:rFonts w:hint="eastAsia" w:ascii="宋体" w:hAnsi="宋体" w:eastAsia="宋体" w:cs="宋体"/>
          <w:color w:val="auto"/>
          <w:sz w:val="24"/>
          <w:szCs w:val="24"/>
          <w:highlight w:val="none"/>
        </w:rPr>
        <w:t>但此标准不得对抗质监部门的验收和</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文件中有关验收的条款要求</w:t>
      </w:r>
      <w:r>
        <w:rPr>
          <w:rFonts w:hint="eastAsia" w:ascii="宋体" w:hAnsi="宋体" w:eastAsia="宋体"/>
          <w:color w:val="auto"/>
          <w:sz w:val="24"/>
          <w:szCs w:val="24"/>
          <w:highlight w:val="none"/>
        </w:rPr>
        <w:t>。</w:t>
      </w:r>
      <w:r>
        <w:rPr>
          <w:rFonts w:ascii="宋体" w:hAnsi="宋体" w:eastAsia="宋体"/>
          <w:color w:val="auto"/>
          <w:sz w:val="24"/>
          <w:szCs w:val="24"/>
          <w:highlight w:val="none"/>
        </w:rPr>
        <w:t>设备到达采购方指定地点，应提前通知采购方，由采购方会同专业人员</w:t>
      </w:r>
      <w:r>
        <w:rPr>
          <w:rFonts w:hint="eastAsia" w:ascii="宋体" w:hAnsi="宋体" w:eastAsia="宋体"/>
          <w:color w:val="auto"/>
          <w:sz w:val="24"/>
          <w:szCs w:val="24"/>
          <w:highlight w:val="none"/>
        </w:rPr>
        <w:t>及相关部门</w:t>
      </w:r>
      <w:r>
        <w:rPr>
          <w:rFonts w:ascii="宋体" w:hAnsi="宋体" w:eastAsia="宋体"/>
          <w:color w:val="auto"/>
          <w:sz w:val="24"/>
          <w:szCs w:val="24"/>
          <w:highlight w:val="none"/>
        </w:rPr>
        <w:t>根据有关清单进行验收；</w:t>
      </w:r>
      <w:r>
        <w:rPr>
          <w:rFonts w:hint="eastAsia" w:ascii="宋体" w:hAnsi="宋体" w:eastAsia="宋体"/>
          <w:color w:val="auto"/>
          <w:sz w:val="24"/>
          <w:szCs w:val="24"/>
          <w:highlight w:val="none"/>
        </w:rPr>
        <w:t>当双方对验收标准有争议时，可委托双方一致认可的国家相关权威检测中心进行检测，费用由</w:t>
      </w:r>
      <w:r>
        <w:rPr>
          <w:rFonts w:hint="eastAsia" w:ascii="宋体" w:hAnsi="宋体" w:eastAsia="宋体"/>
          <w:color w:val="auto"/>
          <w:sz w:val="24"/>
          <w:szCs w:val="24"/>
          <w:highlight w:val="none"/>
          <w:lang w:val="en-US" w:eastAsia="zh-CN"/>
        </w:rPr>
        <w:t>供应商</w:t>
      </w:r>
      <w:r>
        <w:rPr>
          <w:rFonts w:hint="eastAsia" w:ascii="宋体" w:hAnsi="宋体" w:eastAsia="宋体"/>
          <w:color w:val="auto"/>
          <w:sz w:val="24"/>
          <w:szCs w:val="24"/>
          <w:highlight w:val="none"/>
        </w:rPr>
        <w:t>承担，只有在设备完全正常运转和采购单位确认后，设备的安装工作才能认为已全部完成。</w:t>
      </w:r>
    </w:p>
    <w:p w14:paraId="0D839385">
      <w:pPr>
        <w:pStyle w:val="30"/>
        <w:spacing w:after="0"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highlight w:val="none"/>
        </w:rPr>
        <w:t>★</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、设备质保期、售后服务及伴随服务：</w:t>
      </w:r>
    </w:p>
    <w:p w14:paraId="39AEF9A0">
      <w:pPr>
        <w:pStyle w:val="279"/>
        <w:adjustRightInd w:val="0"/>
        <w:snapToGrid w:val="0"/>
        <w:spacing w:line="360" w:lineRule="auto"/>
        <w:ind w:firstLine="480"/>
        <w:rPr>
          <w:rFonts w:eastAsia="宋体"/>
          <w:color w:val="auto"/>
          <w:sz w:val="24"/>
          <w:szCs w:val="24"/>
          <w:highlight w:val="none"/>
          <w:lang w:eastAsia="zh-TW"/>
        </w:rPr>
      </w:pPr>
      <w:r>
        <w:rPr>
          <w:rFonts w:hint="eastAsia" w:ascii="宋体" w:hAnsi="宋体" w:eastAsia="宋体" w:cs="宋体"/>
          <w:color w:val="auto"/>
          <w:sz w:val="24"/>
          <w:szCs w:val="24"/>
          <w:highlight w:val="none"/>
        </w:rPr>
        <w:t>（1）</w:t>
      </w:r>
      <w:r>
        <w:rPr>
          <w:rFonts w:ascii="宋体" w:hAnsi="宋体" w:eastAsia="宋体"/>
          <w:color w:val="auto"/>
          <w:sz w:val="24"/>
          <w:szCs w:val="24"/>
          <w:highlight w:val="none"/>
        </w:rPr>
        <w:t>自设备验收合格之日起计算</w:t>
      </w:r>
      <w:r>
        <w:rPr>
          <w:rFonts w:hint="eastAsia" w:ascii="宋体" w:hAnsi="宋体" w:eastAsia="宋体"/>
          <w:color w:val="auto"/>
          <w:sz w:val="24"/>
          <w:szCs w:val="24"/>
          <w:highlight w:val="none"/>
        </w:rPr>
        <w:t>全部免费质保期</w:t>
      </w:r>
      <w:r>
        <w:rPr>
          <w:rFonts w:hint="eastAsia" w:ascii="宋体" w:hAnsi="宋体" w:eastAsia="宋体" w:cs="宋体"/>
          <w:color w:val="auto"/>
          <w:sz w:val="24"/>
          <w:szCs w:val="24"/>
          <w:highlight w:val="none"/>
        </w:rPr>
        <w:t>不低于1年。在质保期内，</w:t>
      </w:r>
      <w:r>
        <w:rPr>
          <w:rFonts w:hint="eastAsia" w:ascii="宋体" w:hAnsi="宋体"/>
          <w:color w:val="auto"/>
          <w:sz w:val="24"/>
          <w:szCs w:val="24"/>
          <w:highlight w:val="none"/>
          <w:lang w:val="en-US" w:eastAsia="zh-CN"/>
        </w:rPr>
        <w:t>成交供应商</w:t>
      </w:r>
      <w:r>
        <w:rPr>
          <w:rFonts w:eastAsia="宋体"/>
          <w:color w:val="auto"/>
          <w:sz w:val="24"/>
          <w:szCs w:val="24"/>
          <w:highlight w:val="none"/>
          <w:lang w:eastAsia="zh-TW"/>
        </w:rPr>
        <w:t>提供免费保修等三包服务</w:t>
      </w:r>
      <w:r>
        <w:rPr>
          <w:rFonts w:eastAsia="宋体"/>
          <w:color w:val="auto"/>
          <w:sz w:val="24"/>
          <w:szCs w:val="24"/>
          <w:highlight w:val="none"/>
        </w:rPr>
        <w:t>，</w:t>
      </w:r>
      <w:r>
        <w:rPr>
          <w:rFonts w:eastAsia="宋体"/>
          <w:color w:val="auto"/>
          <w:sz w:val="24"/>
          <w:szCs w:val="24"/>
          <w:highlight w:val="none"/>
          <w:lang w:eastAsia="zh-TW"/>
        </w:rPr>
        <w:t>质保期内维修</w:t>
      </w:r>
      <w:r>
        <w:rPr>
          <w:rFonts w:eastAsia="宋体"/>
          <w:color w:val="auto"/>
          <w:sz w:val="24"/>
          <w:szCs w:val="24"/>
          <w:highlight w:val="none"/>
        </w:rPr>
        <w:t>、</w:t>
      </w:r>
      <w:r>
        <w:rPr>
          <w:rFonts w:eastAsia="宋体"/>
          <w:color w:val="auto"/>
          <w:sz w:val="24"/>
          <w:szCs w:val="24"/>
          <w:highlight w:val="none"/>
          <w:lang w:eastAsia="zh-TW"/>
        </w:rPr>
        <w:t>更换零配件、维修人工费均免费。货物在质量保证期内发生的任何故障</w:t>
      </w:r>
      <w:r>
        <w:rPr>
          <w:rFonts w:eastAsia="宋体"/>
          <w:color w:val="auto"/>
          <w:sz w:val="24"/>
          <w:szCs w:val="24"/>
          <w:highlight w:val="none"/>
        </w:rPr>
        <w:t>（</w:t>
      </w:r>
      <w:r>
        <w:rPr>
          <w:rFonts w:eastAsia="宋体"/>
          <w:color w:val="auto"/>
          <w:sz w:val="24"/>
          <w:szCs w:val="24"/>
          <w:highlight w:val="none"/>
          <w:lang w:eastAsia="zh-TW"/>
        </w:rPr>
        <w:t>非人为损坏</w:t>
      </w:r>
      <w:r>
        <w:rPr>
          <w:rFonts w:eastAsia="宋体"/>
          <w:color w:val="auto"/>
          <w:sz w:val="24"/>
          <w:szCs w:val="24"/>
          <w:highlight w:val="none"/>
        </w:rPr>
        <w:t>），</w:t>
      </w:r>
      <w:r>
        <w:rPr>
          <w:rFonts w:eastAsia="宋体"/>
          <w:color w:val="auto"/>
          <w:sz w:val="24"/>
          <w:szCs w:val="24"/>
          <w:highlight w:val="none"/>
          <w:lang w:eastAsia="zh-TW"/>
        </w:rPr>
        <w:t>乙方均应负责免费修复</w:t>
      </w:r>
      <w:r>
        <w:rPr>
          <w:rFonts w:eastAsia="宋体"/>
          <w:color w:val="auto"/>
          <w:sz w:val="24"/>
          <w:szCs w:val="24"/>
          <w:highlight w:val="none"/>
        </w:rPr>
        <w:t>，</w:t>
      </w:r>
      <w:r>
        <w:rPr>
          <w:rFonts w:eastAsia="宋体"/>
          <w:color w:val="auto"/>
          <w:sz w:val="24"/>
          <w:szCs w:val="24"/>
          <w:highlight w:val="none"/>
          <w:lang w:eastAsia="zh-TW"/>
        </w:rPr>
        <w:t>无法修复的产品或零部件应免费更换。</w:t>
      </w:r>
      <w:r>
        <w:rPr>
          <w:rFonts w:ascii="宋体" w:hAnsi="宋体" w:eastAsia="宋体"/>
          <w:color w:val="auto"/>
          <w:sz w:val="24"/>
          <w:szCs w:val="24"/>
          <w:highlight w:val="none"/>
        </w:rPr>
        <w:t>对于损坏的零部件，</w:t>
      </w:r>
      <w:r>
        <w:rPr>
          <w:rFonts w:hint="eastAsia" w:ascii="宋体" w:hAnsi="宋体"/>
          <w:color w:val="auto"/>
          <w:sz w:val="24"/>
          <w:szCs w:val="24"/>
          <w:highlight w:val="none"/>
          <w:lang w:val="en-US" w:eastAsia="zh-CN"/>
        </w:rPr>
        <w:t>供应商</w:t>
      </w:r>
      <w:r>
        <w:rPr>
          <w:rFonts w:ascii="宋体" w:hAnsi="宋体" w:eastAsia="宋体"/>
          <w:color w:val="auto"/>
          <w:sz w:val="24"/>
          <w:szCs w:val="24"/>
          <w:highlight w:val="none"/>
        </w:rPr>
        <w:t>应保证以不高于在设备生产地购买的一般价格提供给</w:t>
      </w:r>
      <w:r>
        <w:rPr>
          <w:rFonts w:hint="eastAsia" w:ascii="宋体" w:hAnsi="宋体"/>
          <w:color w:val="auto"/>
          <w:sz w:val="24"/>
          <w:szCs w:val="24"/>
          <w:highlight w:val="none"/>
          <w:lang w:val="en-US" w:eastAsia="zh-CN"/>
        </w:rPr>
        <w:t>采购</w:t>
      </w:r>
      <w:r>
        <w:rPr>
          <w:rFonts w:ascii="宋体" w:hAnsi="宋体" w:eastAsia="宋体"/>
          <w:color w:val="auto"/>
          <w:sz w:val="24"/>
          <w:szCs w:val="24"/>
          <w:highlight w:val="none"/>
        </w:rPr>
        <w:t>人。</w:t>
      </w:r>
      <w:r>
        <w:rPr>
          <w:rFonts w:hint="eastAsia" w:ascii="宋体" w:hAnsi="宋体" w:eastAsia="宋体" w:cs="宋体"/>
          <w:color w:val="auto"/>
          <w:sz w:val="24"/>
          <w:szCs w:val="24"/>
          <w:highlight w:val="none"/>
        </w:rPr>
        <w:t>供货方提供终身维保服务，包括维护、保养、大修理。</w:t>
      </w:r>
    </w:p>
    <w:p w14:paraId="779BCDC9">
      <w:pPr>
        <w:pStyle w:val="30"/>
        <w:spacing w:after="0"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（2）在安装调试、试运行期间，对出现的设备故障应做到24小时内响应，48小时内解决出现的问题。若不能及时修理好，乙方将负责免费更换全新设备，并赔偿甲方因此而造成的经济损失。</w:t>
      </w:r>
      <w:r>
        <w:rPr>
          <w:rFonts w:eastAsia="宋体"/>
          <w:color w:val="auto"/>
          <w:sz w:val="24"/>
          <w:szCs w:val="24"/>
          <w:highlight w:val="none"/>
          <w:lang w:eastAsia="zh-TW"/>
        </w:rPr>
        <w:t>质保期内乙方提供免费上门服务,若出现故</w:t>
      </w:r>
      <w:r>
        <w:rPr>
          <w:rFonts w:hint="eastAsia" w:ascii="宋体" w:hAnsi="宋体" w:eastAsia="宋体" w:cs="宋体"/>
          <w:color w:val="auto"/>
          <w:sz w:val="24"/>
          <w:szCs w:val="24"/>
          <w:highlight w:val="none"/>
          <w:lang w:eastAsia="zh-TW"/>
        </w:rPr>
        <w:t>障</w:t>
      </w:r>
      <w:r>
        <w:rPr>
          <w:rFonts w:hint="eastAsia" w:ascii="宋体" w:hAnsi="宋体" w:eastAsia="宋体" w:cs="宋体"/>
          <w:color w:val="auto"/>
          <w:sz w:val="24"/>
          <w:szCs w:val="24"/>
          <w:highlight w:val="none"/>
        </w:rPr>
        <w:t>24</w:t>
      </w:r>
      <w:r>
        <w:rPr>
          <w:rFonts w:hint="eastAsia" w:ascii="宋体" w:hAnsi="宋体" w:eastAsia="宋体" w:cs="宋体"/>
          <w:color w:val="auto"/>
          <w:sz w:val="24"/>
          <w:szCs w:val="24"/>
          <w:highlight w:val="none"/>
          <w:lang w:eastAsia="zh-TW"/>
        </w:rPr>
        <w:t>小</w:t>
      </w:r>
      <w:r>
        <w:rPr>
          <w:rFonts w:eastAsia="宋体"/>
          <w:color w:val="auto"/>
          <w:sz w:val="24"/>
          <w:szCs w:val="24"/>
          <w:highlight w:val="none"/>
          <w:lang w:eastAsia="zh-TW"/>
        </w:rPr>
        <w:t>时内积极响应并</w:t>
      </w:r>
      <w:r>
        <w:rPr>
          <w:rFonts w:hint="eastAsia" w:eastAsia="宋体"/>
          <w:color w:val="auto"/>
          <w:sz w:val="24"/>
          <w:szCs w:val="24"/>
          <w:highlight w:val="none"/>
        </w:rPr>
        <w:t>在</w:t>
      </w:r>
      <w:r>
        <w:rPr>
          <w:rFonts w:hint="eastAsia" w:ascii="宋体" w:hAnsi="宋体" w:eastAsia="宋体" w:cs="宋体"/>
          <w:color w:val="auto"/>
          <w:sz w:val="24"/>
          <w:szCs w:val="24"/>
          <w:highlight w:val="none"/>
        </w:rPr>
        <w:t>48小时内解决出现的问题</w:t>
      </w:r>
      <w:r>
        <w:rPr>
          <w:rFonts w:eastAsia="宋体"/>
          <w:color w:val="auto"/>
          <w:sz w:val="24"/>
          <w:szCs w:val="24"/>
          <w:highlight w:val="none"/>
        </w:rPr>
        <w:t>。</w:t>
      </w:r>
      <w:r>
        <w:rPr>
          <w:rFonts w:hint="eastAsia" w:ascii="宋体" w:hAnsi="宋体" w:eastAsia="宋体" w:cs="宋体"/>
          <w:color w:val="auto"/>
          <w:sz w:val="24"/>
          <w:szCs w:val="24"/>
          <w:highlight w:val="none"/>
        </w:rPr>
        <w:t>在质保期结束后，乙方也必须提供24小时对设备故障做出响应和48小时内解决出现问题的技术服务。</w:t>
      </w:r>
    </w:p>
    <w:p w14:paraId="0B70658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（3）伴随服务：质保期满后，提供设备最优惠的维修保养及零配件供应价格。</w:t>
      </w:r>
    </w:p>
    <w:p w14:paraId="70095BA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（4）若在质保期内，</w:t>
      </w:r>
      <w:r>
        <w:rPr>
          <w:rFonts w:hint="eastAsia" w:ascii="宋体" w:hAnsi="宋体"/>
          <w:color w:val="auto"/>
          <w:sz w:val="24"/>
          <w:szCs w:val="24"/>
          <w:highlight w:val="none"/>
          <w:lang w:val="en-US" w:eastAsia="zh-CN"/>
        </w:rPr>
        <w:t>成交供应商</w:t>
      </w:r>
      <w:r>
        <w:rPr>
          <w:rFonts w:hint="eastAsia" w:ascii="宋体" w:hAnsi="宋体" w:eastAsia="宋体"/>
          <w:color w:val="auto"/>
          <w:sz w:val="24"/>
          <w:szCs w:val="24"/>
          <w:highlight w:val="none"/>
        </w:rPr>
        <w:t>没有按承诺达到服务水平及响应速度到现场进行处理的，采购人有权委托第三方进行维修，且维修所产生的所有费用在合同余款中扣除。</w:t>
      </w:r>
    </w:p>
    <w:p w14:paraId="51D7D5BB">
      <w:pPr>
        <w:spacing w:line="360" w:lineRule="auto"/>
        <w:ind w:firstLine="480" w:firstLineChars="200"/>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14</w:t>
      </w:r>
      <w:r>
        <w:rPr>
          <w:rFonts w:hint="eastAsia" w:ascii="宋体" w:hAnsi="宋体" w:eastAsia="宋体"/>
          <w:color w:val="auto"/>
          <w:sz w:val="24"/>
          <w:szCs w:val="24"/>
          <w:highlight w:val="none"/>
        </w:rPr>
        <w:t>、付款方式：</w:t>
      </w:r>
      <w:r>
        <w:rPr>
          <w:rFonts w:hint="eastAsia" w:ascii="宋体" w:hAnsi="宋体" w:eastAsia="宋体"/>
          <w:color w:val="auto"/>
          <w:sz w:val="24"/>
          <w:szCs w:val="24"/>
          <w:highlight w:val="none"/>
          <w:lang w:eastAsia="zh-CN"/>
        </w:rPr>
        <w:t>合同签订后预付合同价款的40%，设备验收符合合同约定规格型号后付</w:t>
      </w:r>
      <w:r>
        <w:rPr>
          <w:rFonts w:hint="eastAsia" w:ascii="宋体" w:hAnsi="宋体" w:eastAsia="宋体"/>
          <w:color w:val="auto"/>
          <w:sz w:val="24"/>
          <w:szCs w:val="24"/>
          <w:highlight w:val="none"/>
          <w:lang w:val="en-US" w:eastAsia="zh-CN"/>
        </w:rPr>
        <w:t>合同价款的</w:t>
      </w:r>
      <w:r>
        <w:rPr>
          <w:rFonts w:hint="eastAsia" w:ascii="宋体" w:hAnsi="宋体" w:eastAsia="宋体"/>
          <w:color w:val="auto"/>
          <w:sz w:val="24"/>
          <w:szCs w:val="24"/>
          <w:highlight w:val="none"/>
          <w:lang w:eastAsia="zh-CN"/>
        </w:rPr>
        <w:t>45%，设备安装</w:t>
      </w:r>
      <w:r>
        <w:rPr>
          <w:rFonts w:hint="eastAsia" w:ascii="宋体" w:hAnsi="宋体" w:eastAsia="宋体"/>
          <w:color w:val="auto"/>
          <w:sz w:val="24"/>
          <w:szCs w:val="24"/>
          <w:highlight w:val="none"/>
          <w:lang w:val="en-US" w:eastAsia="zh-CN"/>
        </w:rPr>
        <w:t>交付使用后</w:t>
      </w:r>
      <w:r>
        <w:rPr>
          <w:rFonts w:hint="eastAsia" w:ascii="宋体" w:hAnsi="宋体" w:eastAsia="宋体"/>
          <w:color w:val="auto"/>
          <w:sz w:val="24"/>
          <w:szCs w:val="24"/>
          <w:highlight w:val="none"/>
          <w:lang w:eastAsia="zh-CN"/>
        </w:rPr>
        <w:t>付</w:t>
      </w:r>
      <w:r>
        <w:rPr>
          <w:rFonts w:hint="eastAsia" w:ascii="宋体" w:hAnsi="宋体" w:eastAsia="宋体"/>
          <w:color w:val="auto"/>
          <w:sz w:val="24"/>
          <w:szCs w:val="24"/>
          <w:highlight w:val="none"/>
          <w:lang w:val="en-US" w:eastAsia="zh-CN"/>
        </w:rPr>
        <w:t>清</w:t>
      </w:r>
      <w:r>
        <w:rPr>
          <w:rFonts w:hint="eastAsia" w:ascii="宋体" w:hAnsi="宋体" w:eastAsia="宋体"/>
          <w:color w:val="auto"/>
          <w:sz w:val="24"/>
          <w:szCs w:val="24"/>
          <w:highlight w:val="none"/>
          <w:lang w:eastAsia="zh-CN"/>
        </w:rPr>
        <w:t>余款。如因财政审批导致的迟延支付，采购人不承担迟延支付的违约责任，付款进度以财政资金下款时间为准。</w:t>
      </w:r>
    </w:p>
    <w:p w14:paraId="66A0AC37">
      <w:pPr>
        <w:spacing w:line="360" w:lineRule="auto"/>
        <w:ind w:firstLine="482" w:firstLineChars="200"/>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 w:val="24"/>
          <w:szCs w:val="24"/>
          <w:highlight w:val="none"/>
          <w:lang w:val="en-US" w:eastAsia="zh-CN"/>
        </w:rPr>
        <w:t>注：</w:t>
      </w:r>
      <w:r>
        <w:rPr>
          <w:rFonts w:hint="eastAsia" w:ascii="宋体" w:hAnsi="宋体" w:cs="宋体"/>
          <w:b/>
          <w:bCs/>
          <w:color w:val="auto"/>
          <w:sz w:val="32"/>
          <w:szCs w:val="32"/>
          <w:highlight w:val="none"/>
          <w:lang w:val="en-US" w:eastAsia="zh-CN"/>
        </w:rPr>
        <w:t xml:space="preserve"> </w:t>
      </w:r>
      <w:r>
        <w:rPr>
          <w:rFonts w:hint="eastAsia" w:ascii="宋体" w:hAnsi="宋体" w:cs="宋体"/>
          <w:color w:val="auto"/>
          <w:sz w:val="24"/>
          <w:highlight w:val="none"/>
          <w:lang w:val="en-US" w:eastAsia="zh-CN"/>
        </w:rPr>
        <w:t>以上加</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项为实质性条款，不满足作无效响应文件处理。</w:t>
      </w:r>
      <w:r>
        <w:rPr>
          <w:rFonts w:hint="eastAsia" w:ascii="宋体" w:hAnsi="宋体" w:cs="宋体"/>
          <w:b/>
          <w:bCs/>
          <w:color w:val="auto"/>
          <w:sz w:val="24"/>
          <w:szCs w:val="24"/>
          <w:highlight w:val="none"/>
          <w:lang w:val="en-US" w:eastAsia="zh-CN"/>
        </w:rPr>
        <w:t>（提供承诺书，格式自拟）</w:t>
      </w:r>
    </w:p>
    <w:p w14:paraId="3FCF10FF">
      <w:pPr>
        <w:pStyle w:val="26"/>
        <w:numPr>
          <w:ilvl w:val="0"/>
          <w:numId w:val="0"/>
        </w:numPr>
        <w:spacing w:after="200" w:line="400" w:lineRule="exact"/>
        <w:jc w:val="both"/>
        <w:rPr>
          <w:rFonts w:hint="eastAsia" w:ascii="宋体" w:hAnsi="宋体" w:eastAsia="宋体" w:cs="宋体"/>
          <w:color w:val="auto"/>
          <w:sz w:val="21"/>
          <w:szCs w:val="21"/>
          <w:highlight w:val="none"/>
          <w:lang w:val="en-US" w:eastAsia="zh-CN" w:bidi="ar-SA"/>
        </w:rPr>
      </w:pPr>
    </w:p>
    <w:p w14:paraId="701EACDC">
      <w:pPr>
        <w:pStyle w:val="26"/>
        <w:numPr>
          <w:ilvl w:val="0"/>
          <w:numId w:val="0"/>
        </w:numPr>
        <w:spacing w:after="200" w:line="400" w:lineRule="exact"/>
        <w:jc w:val="center"/>
        <w:rPr>
          <w:rFonts w:hint="eastAsia" w:ascii="宋体" w:hAnsi="宋体" w:eastAsia="宋体" w:cs="宋体"/>
          <w:color w:val="auto"/>
          <w:sz w:val="21"/>
          <w:szCs w:val="21"/>
          <w:highlight w:val="none"/>
          <w:lang w:val="en-US" w:eastAsia="zh-CN" w:bidi="ar-SA"/>
        </w:rPr>
      </w:pPr>
    </w:p>
    <w:p w14:paraId="0374D8A7">
      <w:pPr>
        <w:pBdr>
          <w:top w:val="none" w:color="000000" w:sz="0" w:space="0"/>
          <w:left w:val="none" w:color="000000" w:sz="0" w:space="0"/>
          <w:bottom w:val="none" w:color="000000" w:sz="0" w:space="0"/>
          <w:right w:val="none" w:color="000000" w:sz="0" w:space="0"/>
        </w:pBdr>
        <w:spacing w:line="520" w:lineRule="exact"/>
        <w:jc w:val="center"/>
        <w:rPr>
          <w:rFonts w:hint="eastAsia" w:hAnsi="宋体" w:cs="宋体"/>
          <w:b/>
          <w:color w:val="auto"/>
          <w:sz w:val="32"/>
          <w:szCs w:val="32"/>
          <w:highlight w:val="none"/>
        </w:rPr>
      </w:pPr>
      <w:r>
        <w:rPr>
          <w:rFonts w:hint="eastAsia" w:hAnsi="宋体" w:cs="宋体"/>
          <w:b/>
          <w:color w:val="auto"/>
          <w:sz w:val="32"/>
          <w:szCs w:val="32"/>
          <w:highlight w:val="none"/>
        </w:rPr>
        <w:t>第六章  响应文件格式</w:t>
      </w:r>
      <w:bookmarkEnd w:id="0"/>
    </w:p>
    <w:p w14:paraId="009D3B2C">
      <w:pPr>
        <w:pStyle w:val="26"/>
        <w:ind w:firstLine="2640"/>
        <w:rPr>
          <w:rFonts w:hint="eastAsia" w:hAnsi="宋体" w:cs="宋体"/>
          <w:color w:val="auto"/>
          <w:sz w:val="44"/>
          <w:szCs w:val="44"/>
          <w:highlight w:val="none"/>
        </w:rPr>
      </w:pPr>
    </w:p>
    <w:p w14:paraId="001548CC">
      <w:pPr>
        <w:pStyle w:val="26"/>
        <w:ind w:firstLine="2640"/>
        <w:rPr>
          <w:rFonts w:hint="eastAsia" w:hAnsi="宋体" w:cs="宋体"/>
          <w:color w:val="auto"/>
          <w:sz w:val="44"/>
          <w:szCs w:val="44"/>
          <w:highlight w:val="none"/>
        </w:rPr>
      </w:pPr>
    </w:p>
    <w:p w14:paraId="3BD837D1">
      <w:pPr>
        <w:pStyle w:val="26"/>
        <w:ind w:firstLine="2610"/>
        <w:rPr>
          <w:rFonts w:hint="eastAsia" w:hAnsi="宋体" w:cs="宋体"/>
          <w:b/>
          <w:color w:val="auto"/>
          <w:sz w:val="52"/>
          <w:szCs w:val="52"/>
          <w:highlight w:val="none"/>
        </w:rPr>
      </w:pPr>
      <w:bookmarkStart w:id="6" w:name="_Toc23557"/>
    </w:p>
    <w:p w14:paraId="3A89B3D3">
      <w:pPr>
        <w:pStyle w:val="26"/>
        <w:jc w:val="center"/>
        <w:rPr>
          <w:rFonts w:hint="eastAsia" w:hAnsi="宋体" w:cs="宋体"/>
          <w:color w:val="auto"/>
          <w:sz w:val="52"/>
          <w:szCs w:val="52"/>
          <w:highlight w:val="none"/>
        </w:rPr>
      </w:pPr>
      <w:r>
        <w:rPr>
          <w:rFonts w:hint="eastAsia" w:hAnsi="宋体" w:cs="宋体"/>
          <w:color w:val="auto"/>
          <w:sz w:val="52"/>
          <w:szCs w:val="52"/>
          <w:highlight w:val="none"/>
        </w:rPr>
        <w:t>响  应  文  件</w:t>
      </w:r>
      <w:bookmarkEnd w:id="6"/>
    </w:p>
    <w:p w14:paraId="500AD2B5">
      <w:pPr>
        <w:pStyle w:val="26"/>
        <w:rPr>
          <w:rFonts w:hint="eastAsia" w:hAnsi="宋体" w:cs="宋体"/>
          <w:color w:val="auto"/>
          <w:sz w:val="32"/>
          <w:highlight w:val="none"/>
        </w:rPr>
      </w:pPr>
    </w:p>
    <w:p w14:paraId="2CC688AA">
      <w:pPr>
        <w:pStyle w:val="26"/>
        <w:rPr>
          <w:rFonts w:hint="eastAsia" w:hAnsi="宋体" w:cs="宋体"/>
          <w:color w:val="auto"/>
          <w:sz w:val="32"/>
          <w:highlight w:val="none"/>
        </w:rPr>
      </w:pPr>
    </w:p>
    <w:p w14:paraId="77C14F37">
      <w:pPr>
        <w:pStyle w:val="15"/>
        <w:rPr>
          <w:color w:val="auto"/>
          <w:highlight w:val="none"/>
        </w:rPr>
      </w:pPr>
    </w:p>
    <w:p w14:paraId="46FACBBA">
      <w:pPr>
        <w:rPr>
          <w:color w:val="auto"/>
          <w:highlight w:val="none"/>
        </w:rPr>
      </w:pPr>
    </w:p>
    <w:p w14:paraId="14647469">
      <w:pPr>
        <w:pStyle w:val="95"/>
        <w:rPr>
          <w:rFonts w:eastAsiaTheme="minorEastAsia"/>
          <w:color w:val="auto"/>
          <w:highlight w:val="none"/>
        </w:rPr>
      </w:pPr>
    </w:p>
    <w:p w14:paraId="12349689">
      <w:pPr>
        <w:pStyle w:val="15"/>
        <w:rPr>
          <w:rFonts w:hint="eastAsia" w:hAnsi="宋体" w:cs="宋体"/>
          <w:color w:val="auto"/>
          <w:sz w:val="32"/>
          <w:highlight w:val="none"/>
        </w:rPr>
      </w:pPr>
    </w:p>
    <w:p w14:paraId="61A0B9A2">
      <w:pPr>
        <w:rPr>
          <w:color w:val="auto"/>
          <w:highlight w:val="none"/>
        </w:rPr>
      </w:pPr>
    </w:p>
    <w:p w14:paraId="6C4F75FA">
      <w:pPr>
        <w:spacing w:line="400" w:lineRule="exact"/>
        <w:ind w:firstLine="1446"/>
        <w:rPr>
          <w:rFonts w:hint="eastAsia" w:ascii="宋体" w:hAnsi="宋体" w:cs="宋体"/>
          <w:bCs/>
          <w:color w:val="auto"/>
          <w:sz w:val="36"/>
          <w:highlight w:val="none"/>
        </w:rPr>
      </w:pPr>
      <w:bookmarkStart w:id="7" w:name="_Toc16264"/>
      <w:r>
        <w:rPr>
          <w:rFonts w:hint="eastAsia" w:ascii="宋体" w:hAnsi="宋体" w:cs="宋体"/>
          <w:bCs/>
          <w:color w:val="auto"/>
          <w:sz w:val="36"/>
          <w:highlight w:val="none"/>
        </w:rPr>
        <w:t>项目名称：</w:t>
      </w:r>
      <w:bookmarkEnd w:id="7"/>
    </w:p>
    <w:p w14:paraId="429E3810">
      <w:pPr>
        <w:pStyle w:val="26"/>
        <w:rPr>
          <w:rFonts w:hint="eastAsia" w:hAnsi="宋体" w:cs="宋体"/>
          <w:color w:val="auto"/>
          <w:sz w:val="32"/>
          <w:highlight w:val="none"/>
        </w:rPr>
      </w:pPr>
    </w:p>
    <w:p w14:paraId="1A350C25">
      <w:pPr>
        <w:pStyle w:val="26"/>
        <w:rPr>
          <w:rFonts w:hint="eastAsia" w:hAnsi="宋体" w:cs="宋体"/>
          <w:color w:val="auto"/>
          <w:sz w:val="36"/>
          <w:szCs w:val="24"/>
          <w:highlight w:val="none"/>
        </w:rPr>
      </w:pPr>
    </w:p>
    <w:p w14:paraId="754BA1C4">
      <w:pPr>
        <w:pStyle w:val="26"/>
        <w:ind w:firstLine="1428"/>
        <w:rPr>
          <w:rFonts w:hint="eastAsia" w:hAnsi="宋体" w:cs="宋体"/>
          <w:color w:val="auto"/>
          <w:sz w:val="36"/>
          <w:szCs w:val="24"/>
          <w:highlight w:val="none"/>
        </w:rPr>
      </w:pPr>
      <w:bookmarkStart w:id="8" w:name="_Toc17063"/>
      <w:r>
        <w:rPr>
          <w:rFonts w:hint="eastAsia" w:hAnsi="宋体" w:cs="宋体"/>
          <w:color w:val="auto"/>
          <w:sz w:val="36"/>
          <w:szCs w:val="24"/>
          <w:highlight w:val="none"/>
        </w:rPr>
        <w:t>项目编号：</w:t>
      </w:r>
      <w:bookmarkEnd w:id="8"/>
    </w:p>
    <w:p w14:paraId="15C3F07F">
      <w:pPr>
        <w:spacing w:line="400" w:lineRule="exact"/>
        <w:rPr>
          <w:rFonts w:hint="eastAsia" w:ascii="宋体" w:hAnsi="宋体" w:cs="宋体"/>
          <w:color w:val="auto"/>
          <w:sz w:val="32"/>
          <w:szCs w:val="20"/>
          <w:highlight w:val="none"/>
        </w:rPr>
      </w:pPr>
    </w:p>
    <w:p w14:paraId="40CE59E2">
      <w:pPr>
        <w:spacing w:line="400" w:lineRule="exact"/>
        <w:rPr>
          <w:rFonts w:hint="eastAsia" w:ascii="宋体" w:hAnsi="宋体" w:cs="宋体"/>
          <w:color w:val="auto"/>
          <w:sz w:val="32"/>
          <w:szCs w:val="20"/>
          <w:highlight w:val="none"/>
        </w:rPr>
      </w:pPr>
    </w:p>
    <w:p w14:paraId="27474ADF">
      <w:pPr>
        <w:spacing w:line="400" w:lineRule="exact"/>
        <w:rPr>
          <w:rFonts w:hint="eastAsia" w:ascii="宋体" w:hAnsi="宋体" w:cs="宋体"/>
          <w:color w:val="auto"/>
          <w:sz w:val="32"/>
          <w:szCs w:val="20"/>
          <w:highlight w:val="none"/>
        </w:rPr>
      </w:pPr>
    </w:p>
    <w:p w14:paraId="5FA7005C">
      <w:pPr>
        <w:spacing w:line="400" w:lineRule="exact"/>
        <w:ind w:firstLine="1428"/>
        <w:rPr>
          <w:rFonts w:hint="eastAsia" w:ascii="宋体" w:hAnsi="宋体" w:cs="宋体"/>
          <w:bCs/>
          <w:color w:val="auto"/>
          <w:sz w:val="32"/>
          <w:highlight w:val="none"/>
        </w:rPr>
      </w:pPr>
      <w:bookmarkStart w:id="9" w:name="_Toc9858"/>
      <w:r>
        <w:rPr>
          <w:rFonts w:hint="eastAsia" w:ascii="宋体" w:hAnsi="宋体" w:cs="宋体"/>
          <w:bCs/>
          <w:color w:val="auto"/>
          <w:sz w:val="36"/>
          <w:highlight w:val="none"/>
        </w:rPr>
        <w:t>供应商：</w:t>
      </w:r>
      <w:bookmarkEnd w:id="9"/>
    </w:p>
    <w:p w14:paraId="5A7ECEAA">
      <w:pPr>
        <w:pStyle w:val="26"/>
        <w:rPr>
          <w:rFonts w:hint="eastAsia" w:hAnsi="宋体" w:cs="宋体"/>
          <w:color w:val="auto"/>
          <w:sz w:val="32"/>
          <w:highlight w:val="none"/>
        </w:rPr>
      </w:pPr>
    </w:p>
    <w:p w14:paraId="234FE320">
      <w:pPr>
        <w:pStyle w:val="26"/>
        <w:ind w:firstLine="1904"/>
        <w:rPr>
          <w:rFonts w:hint="eastAsia" w:hAnsi="宋体" w:cs="宋体"/>
          <w:color w:val="auto"/>
          <w:sz w:val="32"/>
          <w:highlight w:val="none"/>
        </w:rPr>
      </w:pPr>
    </w:p>
    <w:p w14:paraId="1A10BCFD">
      <w:pPr>
        <w:pStyle w:val="15"/>
        <w:rPr>
          <w:color w:val="auto"/>
          <w:highlight w:val="none"/>
        </w:rPr>
      </w:pPr>
    </w:p>
    <w:p w14:paraId="72435C97">
      <w:pPr>
        <w:pStyle w:val="26"/>
        <w:ind w:firstLine="3960"/>
        <w:rPr>
          <w:rFonts w:hint="eastAsia" w:hAnsi="宋体" w:cs="宋体"/>
          <w:color w:val="auto"/>
          <w:sz w:val="28"/>
          <w:szCs w:val="28"/>
          <w:highlight w:val="none"/>
        </w:rPr>
      </w:pPr>
      <w:bookmarkStart w:id="10" w:name="_Toc4281"/>
      <w:r>
        <w:rPr>
          <w:rFonts w:hint="eastAsia" w:hAnsi="宋体" w:cs="宋体"/>
          <w:color w:val="auto"/>
          <w:sz w:val="36"/>
          <w:szCs w:val="24"/>
          <w:highlight w:val="none"/>
        </w:rPr>
        <w:t>年    月    日</w:t>
      </w:r>
      <w:bookmarkEnd w:id="10"/>
    </w:p>
    <w:p w14:paraId="5E1F2820">
      <w:pPr>
        <w:pStyle w:val="2"/>
        <w:ind w:left="0" w:leftChars="0" w:firstLine="0" w:firstLineChars="0"/>
        <w:rPr>
          <w:color w:val="auto"/>
          <w:highlight w:val="none"/>
        </w:rPr>
      </w:pPr>
    </w:p>
    <w:p w14:paraId="741E4E15">
      <w:pPr>
        <w:jc w:val="center"/>
        <w:rPr>
          <w:rFonts w:hint="eastAsia" w:ascii="宋体" w:hAnsi="宋体" w:cs="宋体"/>
          <w:b/>
          <w:bCs/>
          <w:color w:val="auto"/>
          <w:sz w:val="32"/>
          <w:szCs w:val="32"/>
          <w:highlight w:val="none"/>
        </w:rPr>
      </w:pPr>
    </w:p>
    <w:p w14:paraId="0F70333F">
      <w:pPr>
        <w:spacing w:line="600" w:lineRule="exact"/>
        <w:ind w:firstLine="3534" w:firstLineChars="1100"/>
        <w:rPr>
          <w:rFonts w:hint="default" w:ascii="宋体" w:hAnsi="宋体" w:eastAsia="宋体" w:cs="宋体"/>
          <w:b/>
          <w:bCs/>
          <w:color w:val="auto"/>
          <w:sz w:val="32"/>
          <w:szCs w:val="32"/>
          <w:highlight w:val="none"/>
          <w:lang w:val="en-US" w:eastAsia="zh-CN"/>
        </w:rPr>
      </w:pPr>
      <w:bookmarkStart w:id="11" w:name="_Toc19341"/>
      <w:r>
        <w:rPr>
          <w:rFonts w:hint="eastAsia" w:ascii="宋体" w:hAnsi="宋体" w:eastAsia="宋体" w:cs="宋体"/>
          <w:b/>
          <w:bCs/>
          <w:color w:val="auto"/>
          <w:sz w:val="32"/>
          <w:szCs w:val="32"/>
          <w:highlight w:val="none"/>
        </w:rPr>
        <w:t>一、谈判函</w:t>
      </w:r>
    </w:p>
    <w:p w14:paraId="7C18709D">
      <w:pPr>
        <w:pStyle w:val="360"/>
        <w:spacing w:line="6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2F07D0">
      <w:pPr>
        <w:pStyle w:val="264"/>
        <w:spacing w:before="0"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采购项目（项目编号: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）谈判文件（包括更正公告，如果有的话）收悉，我们经详细审阅和研究，现决定参加本项目谈判。同时，正式授权下述签字人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（姓名和职务）代表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（谈判供应商单位名称），全权处理本次项目谈判的有关事宜。</w:t>
      </w:r>
    </w:p>
    <w:p w14:paraId="3DF642E3">
      <w:pPr>
        <w:pStyle w:val="361"/>
        <w:tabs>
          <w:tab w:val="left" w:pos="7699"/>
          <w:tab w:val="left" w:pos="9167"/>
        </w:tabs>
        <w:spacing w:line="440" w:lineRule="exact"/>
        <w:ind w:firstLine="480" w:firstLineChars="200"/>
        <w:jc w:val="both"/>
        <w:rPr>
          <w:rFonts w:hint="eastAsia" w:ascii="宋体" w:hAnsi="宋体" w:eastAsia="仿宋_GB2312" w:cs="宋体"/>
          <w:color w:val="auto"/>
          <w:sz w:val="24"/>
          <w:szCs w:val="24"/>
          <w:highlight w:val="none"/>
          <w:lang w:eastAsia="zh-CN"/>
        </w:rPr>
      </w:pPr>
      <w:r>
        <w:rPr>
          <w:rFonts w:hint="eastAsia" w:ascii="宋体" w:hAnsi="宋体" w:eastAsia="宋体" w:cs="宋体"/>
          <w:color w:val="auto"/>
          <w:sz w:val="24"/>
          <w:szCs w:val="24"/>
          <w:highlight w:val="none"/>
        </w:rPr>
        <w:t>1、按照</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文件中规定各项</w:t>
      </w:r>
      <w:r>
        <w:rPr>
          <w:rFonts w:hint="eastAsia" w:ascii="宋体" w:hAnsi="宋体" w:eastAsia="宋体" w:cs="宋体"/>
          <w:color w:val="auto"/>
          <w:sz w:val="24"/>
          <w:szCs w:val="24"/>
          <w:highlight w:val="none"/>
          <w:lang w:val="en-US" w:eastAsia="zh-CN" w:bidi="ar-SA"/>
        </w:rPr>
        <w:t>要求，</w:t>
      </w:r>
      <w:r>
        <w:rPr>
          <w:rFonts w:hint="eastAsia" w:hAnsi="宋体" w:eastAsia="宋体" w:cs="宋体"/>
          <w:color w:val="auto"/>
          <w:sz w:val="24"/>
          <w:szCs w:val="24"/>
          <w:highlight w:val="none"/>
        </w:rPr>
        <w:t>我方愿以投标报价</w:t>
      </w:r>
      <w:r>
        <w:rPr>
          <w:rFonts w:hint="eastAsia"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u w:val="single"/>
          <w:lang w:val="en-US" w:eastAsia="zh-CN" w:bidi="ar-SA"/>
        </w:rPr>
        <w:t xml:space="preserve">   （大写：     ）（ </w:t>
      </w:r>
      <w:r>
        <w:rPr>
          <w:rFonts w:hint="default" w:ascii="宋体" w:hAnsi="宋体" w:eastAsia="宋体" w:cs="宋体"/>
          <w:color w:val="auto"/>
          <w:sz w:val="24"/>
          <w:szCs w:val="24"/>
          <w:highlight w:val="none"/>
          <w:u w:val="single"/>
          <w:lang w:val="en-US" w:eastAsia="zh-CN" w:bidi="ar-SA"/>
        </w:rPr>
        <w:t>¥</w:t>
      </w:r>
      <w:r>
        <w:rPr>
          <w:rFonts w:hint="eastAsia" w:ascii="宋体" w:hAnsi="宋体" w:eastAsia="宋体" w:cs="宋体"/>
          <w:color w:val="auto"/>
          <w:sz w:val="24"/>
          <w:szCs w:val="24"/>
          <w:highlight w:val="none"/>
          <w:u w:val="single"/>
          <w:lang w:val="en-US" w:eastAsia="zh-CN" w:bidi="ar-SA"/>
        </w:rPr>
        <w:t xml:space="preserve">     ）</w:t>
      </w:r>
      <w:r>
        <w:rPr>
          <w:rFonts w:hint="eastAsia" w:hAnsi="宋体" w:eastAsia="宋体" w:cs="宋体"/>
          <w:color w:val="auto"/>
          <w:sz w:val="24"/>
          <w:szCs w:val="24"/>
          <w:highlight w:val="none"/>
        </w:rPr>
        <w:t>的报价</w:t>
      </w:r>
      <w:r>
        <w:rPr>
          <w:rFonts w:hint="eastAsia" w:ascii="宋体" w:hAnsi="宋体" w:eastAsia="宋体" w:cs="宋体"/>
          <w:color w:val="auto"/>
          <w:sz w:val="24"/>
          <w:szCs w:val="24"/>
          <w:highlight w:val="none"/>
          <w:lang w:val="en-US" w:eastAsia="zh-CN" w:bidi="ar-SA"/>
        </w:rPr>
        <w:t>并按谈判文件的规定要求提供所需货物。</w:t>
      </w:r>
    </w:p>
    <w:p w14:paraId="25F7DA26">
      <w:pPr>
        <w:pStyle w:val="361"/>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2、我方同意按照</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文件的规定，本响应文件的有效期为从</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之日起计算</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天，在此期间，本响应文件将始终对我们具有约束力，并可随时被接受。如果我们成交，本响应文件在此期间之后将继续保持有效，直到合同生效。</w:t>
      </w:r>
    </w:p>
    <w:p w14:paraId="359F1C08">
      <w:pPr>
        <w:pStyle w:val="361"/>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3、我们同意向贵方提供贵方可能要求的与</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有关的任何证据或资料，并保证所提供的都是真实的、准确的。</w:t>
      </w:r>
    </w:p>
    <w:p w14:paraId="302D8D59">
      <w:pPr>
        <w:pStyle w:val="361"/>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4、如果我们成交，为执行合同，我们将按照</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文件规定要求提交履约保证金。</w:t>
      </w:r>
    </w:p>
    <w:p w14:paraId="282BE3EC">
      <w:pPr>
        <w:pStyle w:val="361"/>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5、一旦我方成交，我方将按照</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文件的规定，严格履行合同的责任和义务，并保证按</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文件中规定的时间内提供所需服务。否则我们的履约保证金将被贵方没收。</w:t>
      </w:r>
    </w:p>
    <w:p w14:paraId="757C92E9">
      <w:pPr>
        <w:pStyle w:val="361"/>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6、我公司没有为本项目提供整体设计、规范编制或者项目管理、监理、检测等服务。</w:t>
      </w:r>
    </w:p>
    <w:p w14:paraId="13BA5506">
      <w:pPr>
        <w:pStyle w:val="361"/>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7、参加本次政府采购活动前三年内，我公司在经营活动中没有因违法经营受到刑事处罚或者责令停产停业、吊销许可证或者执照、较大数额罚款等行政处罚。 </w:t>
      </w:r>
    </w:p>
    <w:p w14:paraId="3294ACCB">
      <w:pPr>
        <w:pStyle w:val="361"/>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8、参加本次采购活动前，我方没有被“信用中国”网站、“中国政府采购网”列入失信被执行人名单、重大税收违法案件当事人名单、政府采购严重违法失信行为记录名单。</w:t>
      </w:r>
    </w:p>
    <w:p w14:paraId="62FE5384">
      <w:pPr>
        <w:pStyle w:val="361"/>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9、我公司郑重承诺:我公司具备履行合同所必需的设备和专业技术能力。</w:t>
      </w:r>
    </w:p>
    <w:p w14:paraId="05E8ECBD">
      <w:pPr>
        <w:pStyle w:val="361"/>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10、我公司郑重承诺:我公司具备《中华人民共和国政府采购法》第二十二条规定的六项条件。</w:t>
      </w:r>
    </w:p>
    <w:p w14:paraId="4340B57C">
      <w:pPr>
        <w:pStyle w:val="361"/>
        <w:spacing w:line="44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11、我们接受</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文件的所有的条款和规定。</w:t>
      </w:r>
    </w:p>
    <w:p w14:paraId="463A690B">
      <w:pPr>
        <w:pStyle w:val="361"/>
        <w:spacing w:line="44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12、我们理解，你们无义务必须接受投标价最低的投标。同时也理解你们不承担我们本次投标的费用。</w:t>
      </w:r>
    </w:p>
    <w:p w14:paraId="65C7B6B9">
      <w:pPr>
        <w:pStyle w:val="361"/>
        <w:tabs>
          <w:tab w:val="left" w:pos="6199"/>
          <w:tab w:val="left" w:pos="8143"/>
        </w:tabs>
        <w:spacing w:line="440" w:lineRule="exact"/>
        <w:ind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供应商名称（公章）：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639C97BC">
      <w:pPr>
        <w:pStyle w:val="361"/>
        <w:tabs>
          <w:tab w:val="left" w:pos="6199"/>
          <w:tab w:val="left" w:pos="8143"/>
        </w:tabs>
        <w:spacing w:line="440" w:lineRule="exact"/>
        <w:ind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邮编：</w:t>
      </w:r>
      <w:r>
        <w:rPr>
          <w:rFonts w:hint="eastAsia" w:ascii="宋体" w:hAnsi="宋体" w:eastAsia="宋体" w:cs="宋体"/>
          <w:color w:val="auto"/>
          <w:sz w:val="24"/>
          <w:szCs w:val="24"/>
          <w:highlight w:val="none"/>
          <w:u w:val="single"/>
        </w:rPr>
        <w:t xml:space="preserve">                 </w:t>
      </w:r>
    </w:p>
    <w:p w14:paraId="55859BD8">
      <w:pPr>
        <w:pStyle w:val="361"/>
        <w:tabs>
          <w:tab w:val="left" w:pos="6199"/>
          <w:tab w:val="left" w:pos="8143"/>
        </w:tabs>
        <w:spacing w:line="440" w:lineRule="exact"/>
        <w:ind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传真：</w:t>
      </w:r>
      <w:r>
        <w:rPr>
          <w:rFonts w:hint="eastAsia" w:ascii="宋体" w:hAnsi="宋体" w:eastAsia="宋体" w:cs="宋体"/>
          <w:color w:val="auto"/>
          <w:sz w:val="24"/>
          <w:szCs w:val="24"/>
          <w:highlight w:val="none"/>
          <w:u w:val="single"/>
        </w:rPr>
        <w:t xml:space="preserve">                 </w:t>
      </w:r>
    </w:p>
    <w:p w14:paraId="79069010">
      <w:pPr>
        <w:pStyle w:val="361"/>
        <w:tabs>
          <w:tab w:val="left" w:pos="6199"/>
          <w:tab w:val="left" w:pos="8143"/>
        </w:tabs>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DF0AEB4">
      <w:pPr>
        <w:rPr>
          <w:rFonts w:hint="eastAsia"/>
          <w:color w:val="auto"/>
          <w:highlight w:val="none"/>
        </w:rPr>
      </w:pPr>
    </w:p>
    <w:p w14:paraId="03CD3F10">
      <w:pPr>
        <w:pStyle w:val="26"/>
        <w:tabs>
          <w:tab w:val="left" w:pos="8023"/>
        </w:tabs>
        <w:spacing w:line="520" w:lineRule="exact"/>
        <w:outlineLvl w:val="0"/>
        <w:rPr>
          <w:rFonts w:hint="eastAsia" w:ascii="宋体" w:hAnsi="宋体" w:eastAsia="宋体" w:cs="宋体"/>
          <w:b/>
          <w:bCs/>
          <w:color w:val="auto"/>
          <w:spacing w:val="20"/>
          <w:sz w:val="32"/>
          <w:szCs w:val="32"/>
          <w:highlight w:val="none"/>
          <w:lang w:eastAsia="zh-CN"/>
        </w:rPr>
      </w:pPr>
      <w:r>
        <w:rPr>
          <w:rFonts w:hint="eastAsia" w:hAnsi="宋体" w:cs="宋体"/>
          <w:b/>
          <w:bCs/>
          <w:color w:val="auto"/>
          <w:spacing w:val="20"/>
          <w:sz w:val="32"/>
          <w:szCs w:val="32"/>
          <w:highlight w:val="none"/>
          <w:lang w:eastAsia="zh-CN"/>
        </w:rPr>
        <w:tab/>
      </w:r>
    </w:p>
    <w:p w14:paraId="63ACA9AC">
      <w:pPr>
        <w:pStyle w:val="26"/>
        <w:spacing w:line="520" w:lineRule="exact"/>
        <w:outlineLvl w:val="0"/>
        <w:rPr>
          <w:rFonts w:hint="eastAsia" w:ascii="宋体" w:hAnsi="宋体" w:cs="宋体"/>
          <w:b/>
          <w:bCs/>
          <w:color w:val="auto"/>
          <w:spacing w:val="20"/>
          <w:sz w:val="32"/>
          <w:szCs w:val="32"/>
          <w:highlight w:val="none"/>
        </w:rPr>
      </w:pPr>
    </w:p>
    <w:p w14:paraId="66157891">
      <w:pPr>
        <w:pStyle w:val="26"/>
        <w:spacing w:line="520" w:lineRule="exact"/>
        <w:outlineLvl w:val="0"/>
        <w:rPr>
          <w:rFonts w:hint="eastAsia" w:ascii="宋体" w:hAnsi="宋体" w:cs="宋体"/>
          <w:b/>
          <w:bCs/>
          <w:color w:val="auto"/>
          <w:spacing w:val="20"/>
          <w:sz w:val="32"/>
          <w:szCs w:val="32"/>
          <w:highlight w:val="none"/>
        </w:rPr>
      </w:pPr>
    </w:p>
    <w:p w14:paraId="082CBC7C">
      <w:pPr>
        <w:pStyle w:val="26"/>
        <w:spacing w:line="520" w:lineRule="exact"/>
        <w:outlineLvl w:val="0"/>
        <w:rPr>
          <w:rFonts w:hint="eastAsia" w:ascii="宋体" w:hAnsi="宋体" w:cs="宋体"/>
          <w:b/>
          <w:bCs/>
          <w:color w:val="auto"/>
          <w:spacing w:val="20"/>
          <w:sz w:val="32"/>
          <w:szCs w:val="32"/>
          <w:highlight w:val="none"/>
        </w:rPr>
      </w:pPr>
    </w:p>
    <w:p w14:paraId="3F8B3DCB">
      <w:pPr>
        <w:pStyle w:val="26"/>
        <w:spacing w:line="520" w:lineRule="exact"/>
        <w:outlineLvl w:val="0"/>
        <w:rPr>
          <w:rFonts w:hint="eastAsia" w:ascii="宋体" w:hAnsi="宋体" w:cs="宋体"/>
          <w:b/>
          <w:bCs/>
          <w:color w:val="auto"/>
          <w:spacing w:val="20"/>
          <w:sz w:val="32"/>
          <w:szCs w:val="32"/>
          <w:highlight w:val="none"/>
        </w:rPr>
      </w:pPr>
    </w:p>
    <w:p w14:paraId="73D630B7">
      <w:pPr>
        <w:pStyle w:val="26"/>
        <w:spacing w:line="520" w:lineRule="exact"/>
        <w:outlineLvl w:val="0"/>
        <w:rPr>
          <w:rFonts w:hint="eastAsia" w:ascii="宋体" w:hAnsi="宋体" w:cs="宋体"/>
          <w:b/>
          <w:bCs/>
          <w:color w:val="auto"/>
          <w:spacing w:val="20"/>
          <w:sz w:val="32"/>
          <w:szCs w:val="32"/>
          <w:highlight w:val="none"/>
        </w:rPr>
      </w:pPr>
    </w:p>
    <w:p w14:paraId="1F2233A9">
      <w:pPr>
        <w:pStyle w:val="26"/>
        <w:spacing w:line="520" w:lineRule="exact"/>
        <w:outlineLvl w:val="0"/>
        <w:rPr>
          <w:rFonts w:hint="eastAsia" w:ascii="宋体" w:hAnsi="宋体" w:cs="宋体"/>
          <w:b/>
          <w:bCs/>
          <w:color w:val="auto"/>
          <w:spacing w:val="20"/>
          <w:sz w:val="32"/>
          <w:szCs w:val="32"/>
          <w:highlight w:val="none"/>
        </w:rPr>
      </w:pPr>
    </w:p>
    <w:p w14:paraId="65B57E07">
      <w:pPr>
        <w:pStyle w:val="26"/>
        <w:spacing w:line="520" w:lineRule="exact"/>
        <w:outlineLvl w:val="0"/>
        <w:rPr>
          <w:rFonts w:hint="eastAsia" w:ascii="宋体" w:hAnsi="宋体" w:cs="宋体"/>
          <w:b/>
          <w:bCs/>
          <w:color w:val="auto"/>
          <w:spacing w:val="20"/>
          <w:sz w:val="32"/>
          <w:szCs w:val="32"/>
          <w:highlight w:val="none"/>
        </w:rPr>
      </w:pPr>
    </w:p>
    <w:p w14:paraId="13CF9ACA">
      <w:pPr>
        <w:pStyle w:val="26"/>
        <w:spacing w:line="520" w:lineRule="exact"/>
        <w:outlineLvl w:val="0"/>
        <w:rPr>
          <w:rFonts w:hint="eastAsia" w:ascii="宋体" w:hAnsi="宋体" w:cs="宋体"/>
          <w:b/>
          <w:bCs/>
          <w:color w:val="auto"/>
          <w:spacing w:val="20"/>
          <w:sz w:val="32"/>
          <w:szCs w:val="32"/>
          <w:highlight w:val="none"/>
        </w:rPr>
      </w:pPr>
    </w:p>
    <w:p w14:paraId="16E48C93">
      <w:pPr>
        <w:pStyle w:val="26"/>
        <w:spacing w:line="520" w:lineRule="exact"/>
        <w:outlineLvl w:val="0"/>
        <w:rPr>
          <w:rFonts w:hint="eastAsia" w:ascii="宋体" w:hAnsi="宋体" w:cs="宋体"/>
          <w:b/>
          <w:bCs/>
          <w:color w:val="auto"/>
          <w:spacing w:val="20"/>
          <w:sz w:val="32"/>
          <w:szCs w:val="32"/>
          <w:highlight w:val="none"/>
        </w:rPr>
      </w:pPr>
    </w:p>
    <w:p w14:paraId="7B426501">
      <w:pPr>
        <w:pStyle w:val="26"/>
        <w:spacing w:line="520" w:lineRule="exact"/>
        <w:outlineLvl w:val="0"/>
        <w:rPr>
          <w:rFonts w:hint="eastAsia" w:ascii="宋体" w:hAnsi="宋体" w:cs="宋体"/>
          <w:b/>
          <w:bCs/>
          <w:color w:val="auto"/>
          <w:spacing w:val="20"/>
          <w:sz w:val="32"/>
          <w:szCs w:val="32"/>
          <w:highlight w:val="none"/>
        </w:rPr>
      </w:pPr>
    </w:p>
    <w:p w14:paraId="7856BAC6">
      <w:pPr>
        <w:pStyle w:val="26"/>
        <w:spacing w:line="520" w:lineRule="exact"/>
        <w:outlineLvl w:val="0"/>
        <w:rPr>
          <w:rFonts w:hint="eastAsia" w:ascii="宋体" w:hAnsi="宋体" w:cs="宋体"/>
          <w:b/>
          <w:bCs/>
          <w:color w:val="auto"/>
          <w:spacing w:val="20"/>
          <w:sz w:val="32"/>
          <w:szCs w:val="32"/>
          <w:highlight w:val="none"/>
        </w:rPr>
      </w:pPr>
    </w:p>
    <w:p w14:paraId="2FD3123E">
      <w:pPr>
        <w:pStyle w:val="26"/>
        <w:spacing w:line="520" w:lineRule="exact"/>
        <w:outlineLvl w:val="0"/>
        <w:rPr>
          <w:rFonts w:hint="eastAsia" w:ascii="宋体" w:hAnsi="宋体" w:cs="宋体"/>
          <w:b/>
          <w:bCs/>
          <w:color w:val="auto"/>
          <w:spacing w:val="20"/>
          <w:sz w:val="32"/>
          <w:szCs w:val="32"/>
          <w:highlight w:val="none"/>
        </w:rPr>
      </w:pPr>
    </w:p>
    <w:p w14:paraId="313995BC">
      <w:pPr>
        <w:pStyle w:val="26"/>
        <w:spacing w:line="520" w:lineRule="exact"/>
        <w:outlineLvl w:val="0"/>
        <w:rPr>
          <w:rFonts w:hint="eastAsia" w:ascii="宋体" w:hAnsi="宋体" w:cs="宋体"/>
          <w:b/>
          <w:bCs/>
          <w:color w:val="auto"/>
          <w:spacing w:val="20"/>
          <w:sz w:val="32"/>
          <w:szCs w:val="32"/>
          <w:highlight w:val="none"/>
        </w:rPr>
      </w:pPr>
    </w:p>
    <w:p w14:paraId="0056B45D">
      <w:pPr>
        <w:pStyle w:val="26"/>
        <w:spacing w:line="520" w:lineRule="exact"/>
        <w:outlineLvl w:val="0"/>
        <w:rPr>
          <w:rFonts w:hint="eastAsia" w:ascii="宋体" w:hAnsi="宋体" w:cs="宋体"/>
          <w:b/>
          <w:bCs/>
          <w:color w:val="auto"/>
          <w:spacing w:val="20"/>
          <w:sz w:val="32"/>
          <w:szCs w:val="32"/>
          <w:highlight w:val="none"/>
        </w:rPr>
      </w:pPr>
    </w:p>
    <w:p w14:paraId="1D347B72">
      <w:pPr>
        <w:pStyle w:val="26"/>
        <w:spacing w:line="520" w:lineRule="exact"/>
        <w:outlineLvl w:val="0"/>
        <w:rPr>
          <w:rFonts w:hint="eastAsia" w:ascii="宋体" w:hAnsi="宋体" w:cs="宋体"/>
          <w:b/>
          <w:bCs/>
          <w:color w:val="auto"/>
          <w:spacing w:val="20"/>
          <w:sz w:val="32"/>
          <w:szCs w:val="32"/>
          <w:highlight w:val="none"/>
        </w:rPr>
      </w:pPr>
    </w:p>
    <w:p w14:paraId="69F97653">
      <w:pPr>
        <w:pStyle w:val="26"/>
        <w:spacing w:line="520" w:lineRule="exact"/>
        <w:outlineLvl w:val="0"/>
        <w:rPr>
          <w:rFonts w:hint="eastAsia" w:ascii="宋体" w:hAnsi="宋体" w:cs="宋体"/>
          <w:b/>
          <w:bCs/>
          <w:color w:val="auto"/>
          <w:spacing w:val="20"/>
          <w:sz w:val="32"/>
          <w:szCs w:val="32"/>
          <w:highlight w:val="none"/>
        </w:rPr>
      </w:pPr>
    </w:p>
    <w:p w14:paraId="016608EA">
      <w:pPr>
        <w:pStyle w:val="26"/>
        <w:spacing w:line="520" w:lineRule="exact"/>
        <w:outlineLvl w:val="0"/>
        <w:rPr>
          <w:rFonts w:hint="eastAsia" w:ascii="宋体" w:hAnsi="宋体" w:cs="宋体"/>
          <w:b/>
          <w:bCs/>
          <w:color w:val="auto"/>
          <w:spacing w:val="20"/>
          <w:sz w:val="32"/>
          <w:szCs w:val="32"/>
          <w:highlight w:val="none"/>
        </w:rPr>
      </w:pPr>
    </w:p>
    <w:p w14:paraId="5472F4D5">
      <w:pPr>
        <w:pStyle w:val="26"/>
        <w:spacing w:line="520" w:lineRule="exact"/>
        <w:outlineLvl w:val="0"/>
        <w:rPr>
          <w:rFonts w:hint="eastAsia" w:ascii="宋体" w:hAnsi="宋体" w:cs="宋体"/>
          <w:b/>
          <w:bCs/>
          <w:color w:val="auto"/>
          <w:spacing w:val="20"/>
          <w:sz w:val="32"/>
          <w:szCs w:val="32"/>
          <w:highlight w:val="none"/>
        </w:rPr>
      </w:pPr>
    </w:p>
    <w:p w14:paraId="0ABB0939">
      <w:pPr>
        <w:pStyle w:val="26"/>
        <w:spacing w:line="520" w:lineRule="exact"/>
        <w:outlineLvl w:val="0"/>
        <w:rPr>
          <w:rFonts w:hint="eastAsia" w:ascii="宋体" w:hAnsi="宋体" w:cs="宋体"/>
          <w:b/>
          <w:bCs/>
          <w:color w:val="auto"/>
          <w:spacing w:val="20"/>
          <w:sz w:val="32"/>
          <w:szCs w:val="32"/>
          <w:highlight w:val="none"/>
        </w:rPr>
      </w:pPr>
    </w:p>
    <w:p w14:paraId="3681FD44">
      <w:pPr>
        <w:pStyle w:val="26"/>
        <w:spacing w:line="520" w:lineRule="exact"/>
        <w:outlineLvl w:val="0"/>
        <w:rPr>
          <w:rFonts w:hint="eastAsia" w:ascii="宋体" w:hAnsi="宋体" w:cs="宋体"/>
          <w:b/>
          <w:bCs/>
          <w:color w:val="auto"/>
          <w:spacing w:val="20"/>
          <w:sz w:val="32"/>
          <w:szCs w:val="32"/>
          <w:highlight w:val="none"/>
        </w:rPr>
      </w:pPr>
    </w:p>
    <w:p w14:paraId="0028A1E3">
      <w:pPr>
        <w:pStyle w:val="26"/>
        <w:spacing w:line="520" w:lineRule="exact"/>
        <w:outlineLvl w:val="0"/>
        <w:rPr>
          <w:rFonts w:hint="eastAsia" w:ascii="宋体" w:hAnsi="宋体" w:cs="宋体"/>
          <w:b/>
          <w:bCs/>
          <w:color w:val="auto"/>
          <w:spacing w:val="20"/>
          <w:sz w:val="32"/>
          <w:szCs w:val="32"/>
          <w:highlight w:val="none"/>
        </w:rPr>
      </w:pPr>
    </w:p>
    <w:p w14:paraId="03A11100">
      <w:pPr>
        <w:pStyle w:val="26"/>
        <w:spacing w:line="520" w:lineRule="exact"/>
        <w:outlineLvl w:val="0"/>
        <w:rPr>
          <w:rFonts w:hint="eastAsia" w:ascii="宋体" w:hAnsi="宋体" w:cs="宋体"/>
          <w:b/>
          <w:bCs/>
          <w:color w:val="auto"/>
          <w:spacing w:val="20"/>
          <w:sz w:val="32"/>
          <w:szCs w:val="32"/>
          <w:highlight w:val="none"/>
        </w:rPr>
      </w:pPr>
    </w:p>
    <w:p w14:paraId="2FB6539C">
      <w:pPr>
        <w:pStyle w:val="26"/>
        <w:spacing w:line="520" w:lineRule="exact"/>
        <w:outlineLvl w:val="0"/>
        <w:rPr>
          <w:rFonts w:hint="eastAsia" w:ascii="宋体" w:hAnsi="宋体" w:cs="宋体"/>
          <w:b/>
          <w:bCs/>
          <w:color w:val="auto"/>
          <w:spacing w:val="20"/>
          <w:sz w:val="32"/>
          <w:szCs w:val="32"/>
          <w:highlight w:val="none"/>
        </w:rPr>
      </w:pPr>
    </w:p>
    <w:p w14:paraId="7BFF37FE">
      <w:pPr>
        <w:pStyle w:val="26"/>
        <w:spacing w:line="520" w:lineRule="exact"/>
        <w:outlineLvl w:val="0"/>
        <w:rPr>
          <w:rFonts w:hint="eastAsia" w:ascii="宋体" w:hAnsi="宋体" w:cs="宋体"/>
          <w:b/>
          <w:bCs/>
          <w:color w:val="auto"/>
          <w:spacing w:val="20"/>
          <w:sz w:val="32"/>
          <w:szCs w:val="32"/>
          <w:highlight w:val="none"/>
        </w:rPr>
      </w:pPr>
    </w:p>
    <w:p w14:paraId="7D0D48C6">
      <w:pPr>
        <w:pStyle w:val="26"/>
        <w:spacing w:line="520" w:lineRule="exact"/>
        <w:ind w:firstLine="3613" w:firstLineChars="1000"/>
        <w:outlineLvl w:val="0"/>
        <w:rPr>
          <w:rFonts w:hint="eastAsia" w:hAnsi="宋体" w:eastAsia="宋体" w:cs="宋体"/>
          <w:b/>
          <w:bCs/>
          <w:color w:val="auto"/>
          <w:sz w:val="32"/>
          <w:szCs w:val="32"/>
          <w:highlight w:val="none"/>
          <w:lang w:eastAsia="zh-CN"/>
        </w:rPr>
      </w:pPr>
      <w:r>
        <w:rPr>
          <w:rFonts w:hint="eastAsia" w:ascii="宋体" w:hAnsi="宋体" w:cs="宋体"/>
          <w:b/>
          <w:bCs/>
          <w:color w:val="auto"/>
          <w:spacing w:val="20"/>
          <w:sz w:val="32"/>
          <w:szCs w:val="32"/>
          <w:highlight w:val="none"/>
        </w:rPr>
        <w:t>二、</w:t>
      </w:r>
      <w:bookmarkEnd w:id="11"/>
      <w:r>
        <w:rPr>
          <w:rFonts w:hint="eastAsia" w:hAnsi="宋体" w:cs="宋体"/>
          <w:b/>
          <w:bCs/>
          <w:color w:val="auto"/>
          <w:sz w:val="32"/>
          <w:szCs w:val="32"/>
          <w:highlight w:val="none"/>
        </w:rPr>
        <w:t>报价明细表</w:t>
      </w:r>
    </w:p>
    <w:tbl>
      <w:tblPr>
        <w:tblStyle w:val="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252"/>
        <w:gridCol w:w="950"/>
        <w:gridCol w:w="1468"/>
        <w:gridCol w:w="731"/>
        <w:gridCol w:w="951"/>
        <w:gridCol w:w="1163"/>
        <w:gridCol w:w="1231"/>
        <w:gridCol w:w="1054"/>
      </w:tblGrid>
      <w:tr w14:paraId="7E725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vAlign w:val="center"/>
          </w:tcPr>
          <w:p w14:paraId="2BE00551">
            <w:pPr>
              <w:keepNext w:val="0"/>
              <w:keepLines w:val="0"/>
              <w:suppressLineNumbers w:val="0"/>
              <w:spacing w:before="0" w:beforeAutospacing="0" w:after="0" w:afterAutospacing="0" w:line="400" w:lineRule="exact"/>
              <w:ind w:left="0" w:right="0"/>
              <w:rPr>
                <w:rFonts w:hint="eastAsia"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hAnsi="宋体" w:eastAsia="宋体"/>
                <w:color w:val="auto"/>
                <w:sz w:val="24"/>
                <w:szCs w:val="24"/>
                <w:highlight w:val="none"/>
              </w:rPr>
              <w:t>序号</w:t>
            </w:r>
          </w:p>
        </w:tc>
        <w:tc>
          <w:tcPr>
            <w:tcW w:w="647" w:type="pct"/>
            <w:vAlign w:val="center"/>
          </w:tcPr>
          <w:p w14:paraId="29F8927B">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rPr>
            </w:pPr>
            <w:r>
              <w:rPr>
                <w:rFonts w:hint="eastAsia" w:hAnsi="宋体" w:eastAsia="宋体"/>
                <w:color w:val="auto"/>
                <w:sz w:val="24"/>
                <w:szCs w:val="24"/>
                <w:highlight w:val="none"/>
              </w:rPr>
              <w:t>标的物名称</w:t>
            </w:r>
          </w:p>
        </w:tc>
        <w:tc>
          <w:tcPr>
            <w:tcW w:w="492" w:type="pct"/>
            <w:vAlign w:val="center"/>
          </w:tcPr>
          <w:p w14:paraId="571EE8D2">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rPr>
            </w:pPr>
            <w:r>
              <w:rPr>
                <w:rFonts w:hint="eastAsia" w:hAnsi="宋体" w:eastAsia="宋体"/>
                <w:color w:val="auto"/>
                <w:sz w:val="24"/>
                <w:szCs w:val="24"/>
                <w:highlight w:val="none"/>
              </w:rPr>
              <w:t>品牌、生产厂家、产地</w:t>
            </w:r>
          </w:p>
        </w:tc>
        <w:tc>
          <w:tcPr>
            <w:tcW w:w="758" w:type="pct"/>
            <w:vAlign w:val="center"/>
          </w:tcPr>
          <w:p w14:paraId="25192742">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rPr>
            </w:pPr>
            <w:r>
              <w:rPr>
                <w:rFonts w:hint="eastAsia" w:hAnsi="宋体" w:eastAsia="宋体"/>
                <w:color w:val="auto"/>
                <w:sz w:val="24"/>
                <w:szCs w:val="24"/>
                <w:highlight w:val="none"/>
              </w:rPr>
              <w:t>型号、规格</w:t>
            </w:r>
          </w:p>
        </w:tc>
        <w:tc>
          <w:tcPr>
            <w:tcW w:w="379" w:type="pct"/>
            <w:vAlign w:val="center"/>
          </w:tcPr>
          <w:p w14:paraId="4007D219">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rPr>
            </w:pPr>
            <w:r>
              <w:rPr>
                <w:rFonts w:hint="eastAsia" w:hAnsi="宋体" w:eastAsia="宋体"/>
                <w:color w:val="auto"/>
                <w:sz w:val="24"/>
                <w:szCs w:val="24"/>
                <w:highlight w:val="none"/>
              </w:rPr>
              <w:t>单位</w:t>
            </w:r>
          </w:p>
        </w:tc>
        <w:tc>
          <w:tcPr>
            <w:tcW w:w="492" w:type="pct"/>
            <w:vAlign w:val="center"/>
          </w:tcPr>
          <w:p w14:paraId="43670E32">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rPr>
            </w:pPr>
            <w:r>
              <w:rPr>
                <w:rFonts w:hint="eastAsia" w:hAnsi="宋体" w:eastAsia="宋体"/>
                <w:color w:val="auto"/>
                <w:sz w:val="24"/>
                <w:szCs w:val="24"/>
                <w:highlight w:val="none"/>
              </w:rPr>
              <w:t>数量</w:t>
            </w:r>
          </w:p>
        </w:tc>
        <w:tc>
          <w:tcPr>
            <w:tcW w:w="601" w:type="pct"/>
            <w:vAlign w:val="center"/>
          </w:tcPr>
          <w:p w14:paraId="61606462">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rPr>
            </w:pPr>
            <w:r>
              <w:rPr>
                <w:rFonts w:hint="eastAsia" w:hAnsi="宋体" w:eastAsia="宋体"/>
                <w:color w:val="auto"/>
                <w:sz w:val="24"/>
                <w:szCs w:val="24"/>
                <w:highlight w:val="none"/>
              </w:rPr>
              <w:t>单价</w:t>
            </w:r>
          </w:p>
        </w:tc>
        <w:tc>
          <w:tcPr>
            <w:tcW w:w="636" w:type="pct"/>
            <w:vAlign w:val="center"/>
          </w:tcPr>
          <w:p w14:paraId="0B486477">
            <w:pPr>
              <w:pStyle w:val="369"/>
              <w:keepNext w:val="0"/>
              <w:keepLines w:val="0"/>
              <w:suppressLineNumbers w:val="0"/>
              <w:spacing w:before="0" w:beforeAutospacing="0" w:after="0" w:afterAutospacing="0" w:line="360" w:lineRule="auto"/>
              <w:ind w:left="0" w:right="0" w:firstLine="240" w:firstLineChars="100"/>
              <w:rPr>
                <w:rFonts w:hint="eastAsia" w:hAnsi="宋体" w:eastAsia="宋体"/>
                <w:color w:val="auto"/>
                <w:sz w:val="24"/>
                <w:szCs w:val="24"/>
                <w:highlight w:val="none"/>
              </w:rPr>
            </w:pPr>
            <w:r>
              <w:rPr>
                <w:rFonts w:hint="eastAsia" w:hAnsi="宋体" w:eastAsia="宋体"/>
                <w:color w:val="auto"/>
                <w:sz w:val="24"/>
                <w:szCs w:val="24"/>
                <w:highlight w:val="none"/>
              </w:rPr>
              <w:t>总价</w:t>
            </w:r>
          </w:p>
        </w:tc>
        <w:tc>
          <w:tcPr>
            <w:tcW w:w="544" w:type="pct"/>
            <w:vAlign w:val="center"/>
          </w:tcPr>
          <w:p w14:paraId="20DF181B">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lang w:eastAsia="zh-CN"/>
              </w:rPr>
            </w:pPr>
            <w:r>
              <w:rPr>
                <w:rFonts w:hint="eastAsia" w:hAnsi="宋体" w:eastAsia="宋体"/>
                <w:color w:val="auto"/>
                <w:sz w:val="24"/>
                <w:szCs w:val="24"/>
                <w:highlight w:val="none"/>
                <w:lang w:val="en-US" w:eastAsia="zh-CN"/>
              </w:rPr>
              <w:t>备注</w:t>
            </w:r>
          </w:p>
        </w:tc>
      </w:tr>
      <w:tr w14:paraId="760E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vAlign w:val="center"/>
          </w:tcPr>
          <w:p w14:paraId="000BAE3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47" w:type="pct"/>
            <w:vAlign w:val="center"/>
          </w:tcPr>
          <w:p w14:paraId="306AB465">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vAlign w:val="center"/>
          </w:tcPr>
          <w:p w14:paraId="018133BD">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rPr>
            </w:pPr>
          </w:p>
        </w:tc>
        <w:tc>
          <w:tcPr>
            <w:tcW w:w="758" w:type="pct"/>
            <w:vAlign w:val="center"/>
          </w:tcPr>
          <w:p w14:paraId="62010F76">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379" w:type="pct"/>
            <w:vAlign w:val="center"/>
          </w:tcPr>
          <w:p w14:paraId="3171FAF9">
            <w:pPr>
              <w:pStyle w:val="369"/>
              <w:keepNext w:val="0"/>
              <w:keepLines w:val="0"/>
              <w:suppressLineNumbers w:val="0"/>
              <w:spacing w:before="0" w:beforeAutospacing="0" w:after="0" w:afterAutospacing="0" w:line="360" w:lineRule="auto"/>
              <w:ind w:left="0" w:right="0" w:firstLine="600" w:firstLineChars="250"/>
              <w:jc w:val="center"/>
              <w:rPr>
                <w:rFonts w:hint="eastAsia" w:hAnsi="宋体" w:eastAsia="宋体"/>
                <w:color w:val="auto"/>
                <w:sz w:val="24"/>
                <w:szCs w:val="24"/>
                <w:highlight w:val="none"/>
              </w:rPr>
            </w:pPr>
          </w:p>
        </w:tc>
        <w:tc>
          <w:tcPr>
            <w:tcW w:w="492" w:type="pct"/>
            <w:vAlign w:val="center"/>
          </w:tcPr>
          <w:p w14:paraId="6F79E093">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rPr>
            </w:pPr>
          </w:p>
        </w:tc>
        <w:tc>
          <w:tcPr>
            <w:tcW w:w="601" w:type="pct"/>
            <w:vAlign w:val="center"/>
          </w:tcPr>
          <w:p w14:paraId="015A36C3">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rPr>
            </w:pPr>
          </w:p>
        </w:tc>
        <w:tc>
          <w:tcPr>
            <w:tcW w:w="636" w:type="pct"/>
            <w:vAlign w:val="center"/>
          </w:tcPr>
          <w:p w14:paraId="3804E851">
            <w:pPr>
              <w:pStyle w:val="369"/>
              <w:keepNext w:val="0"/>
              <w:keepLines w:val="0"/>
              <w:suppressLineNumbers w:val="0"/>
              <w:spacing w:before="0" w:beforeAutospacing="0" w:after="0" w:afterAutospacing="0" w:line="360" w:lineRule="auto"/>
              <w:ind w:left="0" w:right="0"/>
              <w:jc w:val="center"/>
              <w:rPr>
                <w:rFonts w:hint="eastAsia" w:hAnsi="宋体" w:eastAsia="宋体"/>
                <w:color w:val="auto"/>
                <w:sz w:val="24"/>
                <w:szCs w:val="24"/>
                <w:highlight w:val="none"/>
              </w:rPr>
            </w:pPr>
          </w:p>
        </w:tc>
        <w:tc>
          <w:tcPr>
            <w:tcW w:w="544" w:type="pct"/>
            <w:vAlign w:val="center"/>
          </w:tcPr>
          <w:p w14:paraId="2C70052F">
            <w:pPr>
              <w:pStyle w:val="369"/>
              <w:keepNext w:val="0"/>
              <w:keepLines w:val="0"/>
              <w:suppressLineNumbers w:val="0"/>
              <w:spacing w:before="0" w:beforeAutospacing="0" w:after="0" w:afterAutospacing="0" w:line="360" w:lineRule="auto"/>
              <w:ind w:left="0" w:right="0" w:firstLine="600" w:firstLineChars="250"/>
              <w:jc w:val="center"/>
              <w:rPr>
                <w:rFonts w:hint="eastAsia" w:hAnsi="宋体" w:eastAsia="宋体"/>
                <w:color w:val="auto"/>
                <w:sz w:val="24"/>
                <w:szCs w:val="24"/>
                <w:highlight w:val="none"/>
              </w:rPr>
            </w:pPr>
          </w:p>
        </w:tc>
      </w:tr>
      <w:tr w14:paraId="37DB8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tcPr>
          <w:p w14:paraId="176A83A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47" w:type="pct"/>
          </w:tcPr>
          <w:p w14:paraId="12CD1371">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3262574E">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758" w:type="pct"/>
          </w:tcPr>
          <w:p w14:paraId="16335552">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379" w:type="pct"/>
          </w:tcPr>
          <w:p w14:paraId="03EB9CD4">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1E457E7C">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01" w:type="pct"/>
          </w:tcPr>
          <w:p w14:paraId="43859634">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36" w:type="pct"/>
          </w:tcPr>
          <w:p w14:paraId="16317922">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544" w:type="pct"/>
          </w:tcPr>
          <w:p w14:paraId="58D16315">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r>
      <w:tr w14:paraId="3DCD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tcPr>
          <w:p w14:paraId="6E8700D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47" w:type="pct"/>
          </w:tcPr>
          <w:p w14:paraId="7A81E19B">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27EB2112">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758" w:type="pct"/>
          </w:tcPr>
          <w:p w14:paraId="445CCD2E">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379" w:type="pct"/>
          </w:tcPr>
          <w:p w14:paraId="2A80BBFB">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4FFEE51B">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01" w:type="pct"/>
          </w:tcPr>
          <w:p w14:paraId="1BD8A586">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36" w:type="pct"/>
          </w:tcPr>
          <w:p w14:paraId="1ABC33BE">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544" w:type="pct"/>
          </w:tcPr>
          <w:p w14:paraId="2E3DAF59">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r>
      <w:tr w14:paraId="3B1CB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tcPr>
          <w:p w14:paraId="795DE3F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47" w:type="pct"/>
          </w:tcPr>
          <w:p w14:paraId="2E1903CE">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2F2100FF">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758" w:type="pct"/>
          </w:tcPr>
          <w:p w14:paraId="5B7D250C">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379" w:type="pct"/>
          </w:tcPr>
          <w:p w14:paraId="4059044B">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38F4E7D9">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01" w:type="pct"/>
          </w:tcPr>
          <w:p w14:paraId="3E672701">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36" w:type="pct"/>
          </w:tcPr>
          <w:p w14:paraId="3358AB40">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544" w:type="pct"/>
          </w:tcPr>
          <w:p w14:paraId="26803E93">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r>
      <w:tr w14:paraId="1D0D3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tcPr>
          <w:p w14:paraId="388439C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47" w:type="pct"/>
          </w:tcPr>
          <w:p w14:paraId="753CBF87">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440290BF">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758" w:type="pct"/>
          </w:tcPr>
          <w:p w14:paraId="0A79FE58">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379" w:type="pct"/>
          </w:tcPr>
          <w:p w14:paraId="33D2DD32">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61498678">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01" w:type="pct"/>
          </w:tcPr>
          <w:p w14:paraId="0D064CA2">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36" w:type="pct"/>
          </w:tcPr>
          <w:p w14:paraId="658A4E54">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544" w:type="pct"/>
          </w:tcPr>
          <w:p w14:paraId="47610388">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r>
      <w:tr w14:paraId="2471D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tcPr>
          <w:p w14:paraId="10E2F01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647" w:type="pct"/>
          </w:tcPr>
          <w:p w14:paraId="13D7A20C">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6DF61A72">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758" w:type="pct"/>
          </w:tcPr>
          <w:p w14:paraId="0FF4744F">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379" w:type="pct"/>
          </w:tcPr>
          <w:p w14:paraId="2BBF251E">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79BC0E18">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01" w:type="pct"/>
          </w:tcPr>
          <w:p w14:paraId="49D6CD16">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36" w:type="pct"/>
          </w:tcPr>
          <w:p w14:paraId="3C4BE45D">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544" w:type="pct"/>
          </w:tcPr>
          <w:p w14:paraId="6714414C">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r>
      <w:tr w14:paraId="66D3F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tcPr>
          <w:p w14:paraId="0B03CA7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647" w:type="pct"/>
          </w:tcPr>
          <w:p w14:paraId="21B747F0">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328454EF">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758" w:type="pct"/>
          </w:tcPr>
          <w:p w14:paraId="75605EAA">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379" w:type="pct"/>
          </w:tcPr>
          <w:p w14:paraId="6ED118FC">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492" w:type="pct"/>
          </w:tcPr>
          <w:p w14:paraId="6131D9C3">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01" w:type="pct"/>
          </w:tcPr>
          <w:p w14:paraId="27737393">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636" w:type="pct"/>
          </w:tcPr>
          <w:p w14:paraId="78D6663D">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c>
          <w:tcPr>
            <w:tcW w:w="544" w:type="pct"/>
          </w:tcPr>
          <w:p w14:paraId="0E3B0B96">
            <w:pPr>
              <w:pStyle w:val="369"/>
              <w:keepNext w:val="0"/>
              <w:keepLines w:val="0"/>
              <w:suppressLineNumbers w:val="0"/>
              <w:spacing w:before="0" w:beforeAutospacing="0" w:after="0" w:afterAutospacing="0" w:line="360" w:lineRule="auto"/>
              <w:ind w:left="0" w:right="0" w:firstLine="600" w:firstLineChars="250"/>
              <w:rPr>
                <w:rFonts w:hint="eastAsia" w:hAnsi="宋体" w:eastAsia="宋体"/>
                <w:color w:val="auto"/>
                <w:sz w:val="24"/>
                <w:szCs w:val="24"/>
                <w:highlight w:val="none"/>
              </w:rPr>
            </w:pPr>
          </w:p>
        </w:tc>
      </w:tr>
      <w:tr w14:paraId="11D0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trPr>
        <w:tc>
          <w:tcPr>
            <w:tcW w:w="450" w:type="pct"/>
            <w:vAlign w:val="center"/>
          </w:tcPr>
          <w:p w14:paraId="78CE8D2A">
            <w:pPr>
              <w:pStyle w:val="369"/>
              <w:keepNext w:val="0"/>
              <w:keepLines w:val="0"/>
              <w:suppressLineNumbers w:val="0"/>
              <w:spacing w:before="0" w:beforeAutospacing="0" w:after="0" w:afterAutospacing="0" w:line="360" w:lineRule="auto"/>
              <w:ind w:left="0" w:right="0"/>
              <w:rPr>
                <w:rFonts w:hint="eastAsia" w:hAnsi="宋体" w:eastAsia="宋体"/>
                <w:color w:val="auto"/>
                <w:sz w:val="24"/>
                <w:szCs w:val="24"/>
                <w:highlight w:val="none"/>
              </w:rPr>
            </w:pPr>
            <w:r>
              <w:rPr>
                <w:rFonts w:hint="eastAsia" w:hAnsi="宋体" w:eastAsia="宋体"/>
                <w:color w:val="auto"/>
                <w:sz w:val="24"/>
                <w:szCs w:val="24"/>
                <w:highlight w:val="none"/>
              </w:rPr>
              <w:t>小计（元）</w:t>
            </w:r>
          </w:p>
        </w:tc>
        <w:tc>
          <w:tcPr>
            <w:tcW w:w="4550" w:type="pct"/>
            <w:gridSpan w:val="8"/>
            <w:vAlign w:val="center"/>
          </w:tcPr>
          <w:p w14:paraId="5E168980">
            <w:pPr>
              <w:pStyle w:val="369"/>
              <w:keepNext w:val="0"/>
              <w:keepLines w:val="0"/>
              <w:suppressLineNumbers w:val="0"/>
              <w:spacing w:before="0" w:beforeAutospacing="0" w:after="0" w:afterAutospacing="0" w:line="360" w:lineRule="auto"/>
              <w:ind w:left="0" w:right="0" w:firstLine="600" w:firstLineChars="250"/>
              <w:rPr>
                <w:rFonts w:hint="default" w:hAnsi="宋体" w:eastAsia="宋体"/>
                <w:color w:val="auto"/>
                <w:sz w:val="24"/>
                <w:szCs w:val="24"/>
                <w:highlight w:val="none"/>
                <w:lang w:val="en-US" w:eastAsia="zh-CN"/>
              </w:rPr>
            </w:pPr>
            <w:r>
              <w:rPr>
                <w:rFonts w:hint="eastAsia" w:hAnsi="宋体" w:eastAsia="宋体"/>
                <w:color w:val="auto"/>
                <w:sz w:val="24"/>
                <w:szCs w:val="24"/>
                <w:highlight w:val="none"/>
              </w:rPr>
              <w:t>金额</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大写：</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元</w:t>
            </w:r>
            <w:r>
              <w:rPr>
                <w:rFonts w:hint="eastAsia" w:hAnsi="宋体" w:eastAsia="宋体"/>
                <w:color w:val="auto"/>
                <w:sz w:val="24"/>
                <w:szCs w:val="24"/>
                <w:highlight w:val="none"/>
                <w:lang w:val="en-US" w:eastAsia="zh-CN"/>
              </w:rPr>
              <w:t xml:space="preserve"> 小写：¥：</w:t>
            </w:r>
            <w:r>
              <w:rPr>
                <w:rFonts w:hint="eastAsia" w:hAnsi="宋体" w:eastAsia="宋体"/>
                <w:color w:val="auto"/>
                <w:sz w:val="24"/>
                <w:szCs w:val="24"/>
                <w:highlight w:val="none"/>
                <w:u w:val="single"/>
                <w:lang w:val="en-US" w:eastAsia="zh-CN"/>
              </w:rPr>
              <w:t xml:space="preserve">        </w:t>
            </w:r>
          </w:p>
        </w:tc>
      </w:tr>
    </w:tbl>
    <w:p w14:paraId="05278758">
      <w:pPr>
        <w:pStyle w:val="2"/>
        <w:rPr>
          <w:rFonts w:hint="eastAsia" w:ascii="宋体" w:hAnsi="宋体" w:cs="宋体"/>
          <w:b/>
          <w:color w:val="auto"/>
          <w:sz w:val="32"/>
          <w:szCs w:val="32"/>
          <w:highlight w:val="none"/>
        </w:rPr>
      </w:pPr>
    </w:p>
    <w:p w14:paraId="3BD90D99">
      <w:pPr>
        <w:adjustRightInd w:val="0"/>
        <w:spacing w:line="360" w:lineRule="auto"/>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注：</w:t>
      </w:r>
      <w:r>
        <w:rPr>
          <w:rFonts w:hint="eastAsia" w:ascii="宋体" w:hAnsi="宋体" w:eastAsia="宋体"/>
          <w:color w:val="auto"/>
          <w:sz w:val="24"/>
          <w:szCs w:val="24"/>
          <w:highlight w:val="none"/>
          <w:lang w:val="en-US" w:eastAsia="zh-CN"/>
        </w:rPr>
        <w:t>供应商</w:t>
      </w:r>
      <w:r>
        <w:rPr>
          <w:rFonts w:hint="eastAsia" w:ascii="宋体" w:hAnsi="宋体" w:eastAsia="宋体"/>
          <w:color w:val="auto"/>
          <w:sz w:val="24"/>
          <w:szCs w:val="24"/>
          <w:highlight w:val="none"/>
        </w:rPr>
        <w:t>必须按“</w:t>
      </w:r>
      <w:r>
        <w:rPr>
          <w:rFonts w:hint="eastAsia" w:ascii="宋体" w:hAnsi="宋体" w:eastAsia="宋体"/>
          <w:bCs/>
          <w:color w:val="auto"/>
          <w:sz w:val="24"/>
          <w:szCs w:val="24"/>
          <w:highlight w:val="none"/>
        </w:rPr>
        <w:t>报价明细表”的格式</w:t>
      </w:r>
      <w:r>
        <w:rPr>
          <w:rFonts w:hint="eastAsia" w:ascii="宋体" w:hAnsi="宋体" w:eastAsia="宋体"/>
          <w:color w:val="auto"/>
          <w:sz w:val="24"/>
          <w:szCs w:val="24"/>
          <w:highlight w:val="none"/>
        </w:rPr>
        <w:t>详细报出投标总价的各个组成部分的报价，否则作无效</w:t>
      </w:r>
      <w:r>
        <w:rPr>
          <w:rFonts w:hint="eastAsia" w:ascii="宋体" w:hAnsi="宋体" w:eastAsia="宋体"/>
          <w:color w:val="auto"/>
          <w:sz w:val="24"/>
          <w:szCs w:val="24"/>
          <w:highlight w:val="none"/>
          <w:lang w:val="en-US" w:eastAsia="zh-CN"/>
        </w:rPr>
        <w:t>响应文件</w:t>
      </w:r>
      <w:r>
        <w:rPr>
          <w:rFonts w:hint="eastAsia" w:ascii="宋体" w:hAnsi="宋体" w:eastAsia="宋体"/>
          <w:color w:val="auto"/>
          <w:sz w:val="24"/>
          <w:szCs w:val="24"/>
          <w:highlight w:val="none"/>
        </w:rPr>
        <w:t>处理。</w:t>
      </w:r>
    </w:p>
    <w:p w14:paraId="36B2B836">
      <w:pPr>
        <w:adjustRightInd w:val="0"/>
        <w:spacing w:line="360" w:lineRule="auto"/>
        <w:ind w:firstLine="480" w:firstLineChars="200"/>
        <w:jc w:val="left"/>
        <w:rPr>
          <w:rFonts w:hint="eastAsia" w:ascii="宋体" w:hAnsi="宋体" w:cs="宋体"/>
          <w:color w:val="auto"/>
          <w:sz w:val="24"/>
          <w:highlight w:val="none"/>
          <w:u w:val="single"/>
        </w:rPr>
      </w:pPr>
      <w:r>
        <w:rPr>
          <w:rFonts w:hint="eastAsia" w:ascii="宋体" w:hAnsi="宋体" w:eastAsia="宋体"/>
          <w:color w:val="auto"/>
          <w:sz w:val="24"/>
          <w:szCs w:val="24"/>
          <w:highlight w:val="none"/>
          <w:lang w:val="en-US" w:eastAsia="zh-CN"/>
        </w:rPr>
        <w:t>供应商</w:t>
      </w:r>
      <w:r>
        <w:rPr>
          <w:rFonts w:hint="eastAsia" w:ascii="宋体" w:hAnsi="宋体" w:eastAsia="宋体"/>
          <w:color w:val="auto"/>
          <w:sz w:val="24"/>
          <w:szCs w:val="24"/>
          <w:highlight w:val="none"/>
        </w:rPr>
        <w:t xml:space="preserve">名称：        </w:t>
      </w:r>
      <w:r>
        <w:rPr>
          <w:rFonts w:hint="eastAsia" w:ascii="宋体" w:hAnsi="宋体" w:cs="宋体"/>
          <w:color w:val="auto"/>
          <w:sz w:val="24"/>
          <w:highlight w:val="none"/>
          <w:u w:val="single"/>
        </w:rPr>
        <w:t>（加盖公章）</w:t>
      </w:r>
    </w:p>
    <w:p w14:paraId="5BC4A426">
      <w:pPr>
        <w:adjustRightInd w:val="0"/>
        <w:spacing w:line="360" w:lineRule="auto"/>
        <w:ind w:firstLine="480" w:firstLineChars="2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法定代表人或代理人（签字或盖章）：</w:t>
      </w:r>
    </w:p>
    <w:p w14:paraId="259998F8">
      <w:pPr>
        <w:pStyle w:val="369"/>
        <w:spacing w:line="360" w:lineRule="auto"/>
        <w:ind w:firstLine="480" w:firstLineChars="200"/>
        <w:jc w:val="left"/>
        <w:rPr>
          <w:rFonts w:hint="eastAsia" w:hAnsi="宋体" w:eastAsia="宋体"/>
          <w:color w:val="auto"/>
          <w:sz w:val="24"/>
          <w:szCs w:val="24"/>
          <w:highlight w:val="none"/>
        </w:rPr>
      </w:pPr>
      <w:r>
        <w:rPr>
          <w:rFonts w:hint="eastAsia" w:hAnsi="宋体" w:eastAsia="宋体"/>
          <w:color w:val="auto"/>
          <w:sz w:val="24"/>
          <w:szCs w:val="24"/>
          <w:highlight w:val="none"/>
        </w:rPr>
        <w:t>日期：</w:t>
      </w:r>
    </w:p>
    <w:p w14:paraId="46048F12">
      <w:pPr>
        <w:pStyle w:val="2"/>
        <w:rPr>
          <w:rFonts w:hint="eastAsia" w:ascii="宋体" w:hAnsi="宋体" w:cs="宋体"/>
          <w:b/>
          <w:color w:val="auto"/>
          <w:sz w:val="32"/>
          <w:szCs w:val="32"/>
          <w:highlight w:val="none"/>
        </w:rPr>
      </w:pPr>
    </w:p>
    <w:p w14:paraId="712F4EC8">
      <w:pPr>
        <w:pStyle w:val="2"/>
        <w:rPr>
          <w:rFonts w:hint="eastAsia" w:ascii="宋体" w:hAnsi="宋体" w:cs="宋体"/>
          <w:b/>
          <w:color w:val="auto"/>
          <w:sz w:val="32"/>
          <w:szCs w:val="32"/>
          <w:highlight w:val="none"/>
        </w:rPr>
      </w:pPr>
    </w:p>
    <w:p w14:paraId="5540B081">
      <w:pPr>
        <w:pStyle w:val="2"/>
        <w:rPr>
          <w:rFonts w:hint="eastAsia" w:ascii="宋体" w:hAnsi="宋体" w:cs="宋体"/>
          <w:b/>
          <w:color w:val="auto"/>
          <w:sz w:val="32"/>
          <w:szCs w:val="32"/>
          <w:highlight w:val="none"/>
        </w:rPr>
      </w:pPr>
    </w:p>
    <w:p w14:paraId="7CB86DAE">
      <w:pPr>
        <w:pStyle w:val="2"/>
        <w:rPr>
          <w:rFonts w:hint="eastAsia" w:ascii="宋体" w:hAnsi="宋体" w:cs="宋体"/>
          <w:b/>
          <w:color w:val="auto"/>
          <w:sz w:val="32"/>
          <w:szCs w:val="32"/>
          <w:highlight w:val="none"/>
        </w:rPr>
      </w:pPr>
    </w:p>
    <w:p w14:paraId="53CAD137">
      <w:pPr>
        <w:pStyle w:val="2"/>
        <w:rPr>
          <w:rFonts w:hint="eastAsia" w:ascii="宋体" w:hAnsi="宋体" w:cs="宋体"/>
          <w:b/>
          <w:color w:val="auto"/>
          <w:sz w:val="32"/>
          <w:szCs w:val="32"/>
          <w:highlight w:val="none"/>
        </w:rPr>
      </w:pPr>
    </w:p>
    <w:p w14:paraId="4A37B05E">
      <w:pPr>
        <w:pStyle w:val="2"/>
        <w:rPr>
          <w:rFonts w:hint="eastAsia" w:ascii="宋体" w:hAnsi="宋体" w:cs="宋体"/>
          <w:b/>
          <w:color w:val="auto"/>
          <w:sz w:val="32"/>
          <w:szCs w:val="32"/>
          <w:highlight w:val="none"/>
        </w:rPr>
      </w:pPr>
    </w:p>
    <w:p w14:paraId="2D260D1E">
      <w:pPr>
        <w:rPr>
          <w:rFonts w:hint="eastAsia" w:ascii="宋体" w:hAnsi="宋体" w:cs="宋体"/>
          <w:b/>
          <w:color w:val="auto"/>
          <w:sz w:val="32"/>
          <w:szCs w:val="32"/>
          <w:highlight w:val="none"/>
        </w:rPr>
      </w:pPr>
    </w:p>
    <w:p w14:paraId="4E5F95B2">
      <w:pPr>
        <w:pStyle w:val="2"/>
        <w:rPr>
          <w:rFonts w:hint="eastAsia" w:ascii="宋体" w:hAnsi="宋体" w:cs="宋体"/>
          <w:b/>
          <w:color w:val="auto"/>
          <w:sz w:val="32"/>
          <w:szCs w:val="32"/>
          <w:highlight w:val="none"/>
        </w:rPr>
      </w:pPr>
    </w:p>
    <w:p w14:paraId="3DBC2F97">
      <w:pPr>
        <w:rPr>
          <w:rFonts w:hint="eastAsia" w:ascii="宋体" w:hAnsi="宋体" w:cs="宋体"/>
          <w:b/>
          <w:color w:val="auto"/>
          <w:sz w:val="32"/>
          <w:szCs w:val="32"/>
          <w:highlight w:val="none"/>
        </w:rPr>
      </w:pPr>
    </w:p>
    <w:p w14:paraId="213E1070">
      <w:pPr>
        <w:pStyle w:val="2"/>
        <w:rPr>
          <w:rFonts w:hint="eastAsia" w:ascii="宋体" w:hAnsi="宋体" w:cs="宋体"/>
          <w:b/>
          <w:color w:val="auto"/>
          <w:sz w:val="32"/>
          <w:szCs w:val="32"/>
          <w:highlight w:val="none"/>
        </w:rPr>
      </w:pPr>
    </w:p>
    <w:p w14:paraId="1EEA7BF7">
      <w:pPr>
        <w:rPr>
          <w:rFonts w:hint="eastAsia" w:ascii="宋体" w:hAnsi="宋体" w:cs="宋体"/>
          <w:b/>
          <w:color w:val="auto"/>
          <w:sz w:val="32"/>
          <w:szCs w:val="32"/>
          <w:highlight w:val="none"/>
        </w:rPr>
      </w:pPr>
    </w:p>
    <w:p w14:paraId="50E275BA">
      <w:pPr>
        <w:pStyle w:val="2"/>
        <w:rPr>
          <w:rFonts w:hint="eastAsia"/>
        </w:rPr>
      </w:pPr>
    </w:p>
    <w:p w14:paraId="2E3E5961">
      <w:pPr>
        <w:pStyle w:val="2"/>
        <w:rPr>
          <w:rFonts w:hint="eastAsia" w:ascii="宋体" w:hAnsi="宋体" w:cs="宋体"/>
          <w:b/>
          <w:color w:val="auto"/>
          <w:sz w:val="32"/>
          <w:szCs w:val="32"/>
          <w:highlight w:val="none"/>
        </w:rPr>
      </w:pPr>
    </w:p>
    <w:p w14:paraId="2EEA22BF">
      <w:pPr>
        <w:rPr>
          <w:rFonts w:hint="eastAsia" w:ascii="宋体" w:hAnsi="宋体" w:cs="宋体"/>
          <w:b/>
          <w:color w:val="auto"/>
          <w:sz w:val="32"/>
          <w:szCs w:val="32"/>
          <w:highlight w:val="none"/>
        </w:rPr>
      </w:pPr>
      <w:r>
        <w:rPr>
          <w:rFonts w:hint="eastAsia" w:ascii="宋体" w:hAnsi="宋体" w:cs="宋体"/>
          <w:b/>
          <w:color w:val="auto"/>
          <w:sz w:val="32"/>
          <w:szCs w:val="32"/>
          <w:highlight w:val="none"/>
        </w:rPr>
        <w:t>三、技术规格响应偏离表（根据项目采购需求逐条响应）</w:t>
      </w:r>
    </w:p>
    <w:tbl>
      <w:tblPr>
        <w:tblStyle w:val="50"/>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900"/>
        <w:gridCol w:w="3420"/>
        <w:gridCol w:w="2880"/>
        <w:gridCol w:w="1080"/>
        <w:gridCol w:w="1080"/>
      </w:tblGrid>
      <w:tr w14:paraId="3DEA8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47720C6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083D611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r>
              <w:rPr>
                <w:rFonts w:hint="eastAsia" w:ascii="宋体" w:hAnsi="宋体" w:cs="宋体"/>
                <w:color w:val="auto"/>
                <w:sz w:val="24"/>
                <w:highlight w:val="none"/>
              </w:rPr>
              <w:t>项目采购需求中主要技术</w:t>
            </w:r>
          </w:p>
          <w:p w14:paraId="438879D1">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r>
              <w:rPr>
                <w:rFonts w:hint="eastAsia" w:ascii="宋体" w:hAnsi="宋体" w:cs="宋体"/>
                <w:color w:val="auto"/>
                <w:sz w:val="24"/>
                <w:highlight w:val="none"/>
              </w:rPr>
              <w:t>条款描述</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7750CE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r>
              <w:rPr>
                <w:rFonts w:hint="eastAsia" w:ascii="宋体" w:hAnsi="宋体" w:cs="宋体"/>
                <w:color w:val="auto"/>
                <w:sz w:val="24"/>
                <w:highlight w:val="none"/>
              </w:rPr>
              <w:t>所报产品规格、型号及相应技术参数描述</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9A0A1D1">
            <w:pPr>
              <w:keepNext w:val="0"/>
              <w:keepLines w:val="0"/>
              <w:suppressLineNumbers w:val="0"/>
              <w:spacing w:before="0" w:beforeAutospacing="0" w:after="0" w:afterAutospacing="0"/>
              <w:ind w:left="0" w:right="0" w:firstLine="240"/>
              <w:rPr>
                <w:rFonts w:hint="eastAsia" w:ascii="宋体" w:hAnsi="宋体" w:cs="宋体"/>
                <w:color w:val="auto"/>
                <w:sz w:val="24"/>
                <w:highlight w:val="none"/>
              </w:rPr>
            </w:pPr>
            <w:r>
              <w:rPr>
                <w:rFonts w:hint="eastAsia" w:ascii="宋体" w:hAnsi="宋体" w:cs="宋体"/>
                <w:color w:val="auto"/>
                <w:sz w:val="24"/>
                <w:highlight w:val="none"/>
              </w:rPr>
              <w:t>偏离</w:t>
            </w:r>
          </w:p>
          <w:p w14:paraId="00806B8D">
            <w:pPr>
              <w:keepNext w:val="0"/>
              <w:keepLines w:val="0"/>
              <w:suppressLineNumbers w:val="0"/>
              <w:spacing w:before="0" w:beforeAutospacing="0" w:after="0" w:afterAutospacing="0"/>
              <w:ind w:left="0" w:right="0" w:firstLine="240"/>
              <w:rPr>
                <w:rFonts w:hint="eastAsia" w:ascii="宋体" w:hAnsi="宋体" w:cs="宋体"/>
                <w:color w:val="auto"/>
                <w:sz w:val="24"/>
                <w:highlight w:val="none"/>
              </w:rPr>
            </w:pPr>
            <w:r>
              <w:rPr>
                <w:rFonts w:hint="eastAsia" w:ascii="宋体" w:hAnsi="宋体" w:cs="宋体"/>
                <w:color w:val="auto"/>
                <w:sz w:val="24"/>
                <w:highlight w:val="none"/>
              </w:rPr>
              <w:t>情况</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C328ED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6A7686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0D4544BF">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189F1A9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958692F">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F018EFC">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4BF3CC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3CE2D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right w:val="single" w:color="auto" w:sz="4" w:space="0"/>
            </w:tcBorders>
            <w:noWrap w:val="0"/>
            <w:vAlign w:val="center"/>
          </w:tcPr>
          <w:p w14:paraId="7ABB505F">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right w:val="single" w:color="auto" w:sz="4" w:space="0"/>
            </w:tcBorders>
            <w:noWrap w:val="0"/>
            <w:vAlign w:val="center"/>
          </w:tcPr>
          <w:p w14:paraId="5FD38C7B">
            <w:pPr>
              <w:keepNext w:val="0"/>
              <w:keepLines w:val="0"/>
              <w:suppressLineNumbers w:val="0"/>
              <w:spacing w:before="0" w:beforeAutospacing="0" w:after="0" w:afterAutospacing="0"/>
              <w:ind w:left="0" w:right="0"/>
              <w:jc w:val="center"/>
              <w:rPr>
                <w:rFonts w:hint="eastAsia" w:ascii="宋体" w:hAnsi="宋体" w:cs="宋体"/>
                <w:color w:val="auto"/>
                <w:spacing w:val="-6"/>
                <w:sz w:val="24"/>
                <w:highlight w:val="none"/>
              </w:rPr>
            </w:pPr>
          </w:p>
        </w:tc>
        <w:tc>
          <w:tcPr>
            <w:tcW w:w="2880" w:type="dxa"/>
            <w:tcBorders>
              <w:top w:val="single" w:color="auto" w:sz="4" w:space="0"/>
              <w:left w:val="single" w:color="auto" w:sz="4" w:space="0"/>
              <w:right w:val="single" w:color="auto" w:sz="4" w:space="0"/>
            </w:tcBorders>
            <w:noWrap w:val="0"/>
            <w:vAlign w:val="center"/>
          </w:tcPr>
          <w:p w14:paraId="43C3015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right w:val="single" w:color="auto" w:sz="4" w:space="0"/>
            </w:tcBorders>
            <w:noWrap w:val="0"/>
            <w:vAlign w:val="center"/>
          </w:tcPr>
          <w:p w14:paraId="33C3AE6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right w:val="single" w:color="auto" w:sz="4" w:space="0"/>
            </w:tcBorders>
            <w:noWrap w:val="0"/>
            <w:vAlign w:val="center"/>
          </w:tcPr>
          <w:p w14:paraId="49C2187F">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001D15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right w:val="single" w:color="auto" w:sz="4" w:space="0"/>
            </w:tcBorders>
            <w:noWrap w:val="0"/>
            <w:vAlign w:val="center"/>
          </w:tcPr>
          <w:p w14:paraId="28258FC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right w:val="single" w:color="auto" w:sz="4" w:space="0"/>
            </w:tcBorders>
            <w:noWrap w:val="0"/>
            <w:vAlign w:val="center"/>
          </w:tcPr>
          <w:p w14:paraId="0ABED938">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2880" w:type="dxa"/>
            <w:tcBorders>
              <w:top w:val="single" w:color="auto" w:sz="4" w:space="0"/>
              <w:left w:val="single" w:color="auto" w:sz="4" w:space="0"/>
              <w:right w:val="single" w:color="auto" w:sz="4" w:space="0"/>
            </w:tcBorders>
            <w:noWrap w:val="0"/>
            <w:vAlign w:val="center"/>
          </w:tcPr>
          <w:p w14:paraId="67043D0E">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right w:val="single" w:color="auto" w:sz="4" w:space="0"/>
            </w:tcBorders>
            <w:noWrap w:val="0"/>
            <w:vAlign w:val="center"/>
          </w:tcPr>
          <w:p w14:paraId="5C79D09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right w:val="single" w:color="auto" w:sz="4" w:space="0"/>
            </w:tcBorders>
            <w:noWrap w:val="0"/>
            <w:vAlign w:val="center"/>
          </w:tcPr>
          <w:p w14:paraId="542F26D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4A0CFD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right w:val="single" w:color="auto" w:sz="4" w:space="0"/>
            </w:tcBorders>
            <w:noWrap w:val="0"/>
            <w:vAlign w:val="center"/>
          </w:tcPr>
          <w:p w14:paraId="2694783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right w:val="single" w:color="auto" w:sz="4" w:space="0"/>
            </w:tcBorders>
            <w:noWrap w:val="0"/>
            <w:vAlign w:val="center"/>
          </w:tcPr>
          <w:p w14:paraId="7BB5F513">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2880" w:type="dxa"/>
            <w:tcBorders>
              <w:top w:val="single" w:color="auto" w:sz="4" w:space="0"/>
              <w:left w:val="single" w:color="auto" w:sz="4" w:space="0"/>
              <w:right w:val="single" w:color="auto" w:sz="4" w:space="0"/>
            </w:tcBorders>
            <w:noWrap w:val="0"/>
            <w:vAlign w:val="center"/>
          </w:tcPr>
          <w:p w14:paraId="149B471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right w:val="single" w:color="auto" w:sz="4" w:space="0"/>
            </w:tcBorders>
            <w:noWrap w:val="0"/>
            <w:vAlign w:val="center"/>
          </w:tcPr>
          <w:p w14:paraId="263BBE4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right w:val="single" w:color="auto" w:sz="4" w:space="0"/>
            </w:tcBorders>
            <w:noWrap w:val="0"/>
            <w:vAlign w:val="center"/>
          </w:tcPr>
          <w:p w14:paraId="666BC65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21F7A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2173F54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37543EA4">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003EDBB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49864D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FEB9D6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09856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1B7D323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24EAC27B">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566D681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98EA41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3D688A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0CE843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2154DF0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340B83BC">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0401B66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E67495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704D4CF">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3BF754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7C5F8E5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076AB7EB">
            <w:pPr>
              <w:keepNext w:val="0"/>
              <w:keepLines w:val="0"/>
              <w:suppressLineNumbers w:val="0"/>
              <w:spacing w:before="0" w:beforeAutospacing="0" w:after="0" w:afterAutospacing="0"/>
              <w:ind w:left="0" w:right="0"/>
              <w:rPr>
                <w:rFonts w:hint="eastAsia" w:ascii="宋体" w:hAnsi="宋体" w:cs="宋体"/>
                <w:color w:val="auto"/>
                <w:spacing w:val="-6"/>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0CC6F245">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E8E7B3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9A8CF9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198C8F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10CA946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274F9853">
            <w:pPr>
              <w:keepNext w:val="0"/>
              <w:keepLines w:val="0"/>
              <w:suppressLineNumbers w:val="0"/>
              <w:spacing w:before="0" w:beforeAutospacing="0" w:after="0" w:afterAutospacing="0"/>
              <w:ind w:left="0" w:right="0"/>
              <w:rPr>
                <w:rFonts w:hint="eastAsia" w:ascii="宋体" w:hAnsi="宋体" w:cs="宋体"/>
                <w:color w:val="auto"/>
                <w:spacing w:val="-1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5B79F682">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DBD60D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BEB0D7E">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69F9D0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717A6E7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1BAAAE00">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647B8BE9">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60A5B6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837D51C">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0C1DFB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2CD552A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57E58F9E">
            <w:pPr>
              <w:keepNext w:val="0"/>
              <w:keepLines w:val="0"/>
              <w:suppressLineNumbers w:val="0"/>
              <w:spacing w:before="0" w:beforeAutospacing="0" w:after="0" w:afterAutospacing="0"/>
              <w:ind w:left="0" w:right="0"/>
              <w:rPr>
                <w:rFonts w:hint="eastAsia" w:ascii="宋体" w:hAnsi="宋体" w:cs="宋体"/>
                <w:color w:val="auto"/>
                <w:spacing w:val="-1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3BA826FA">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898453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535316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bl>
    <w:p w14:paraId="2D4BCD08">
      <w:pPr>
        <w:spacing w:line="520" w:lineRule="exact"/>
        <w:ind w:firstLine="120"/>
        <w:rPr>
          <w:rFonts w:hint="eastAsia" w:ascii="宋体" w:hAnsi="宋体" w:cs="宋体"/>
          <w:color w:val="auto"/>
          <w:sz w:val="24"/>
          <w:highlight w:val="none"/>
          <w:u w:val="single"/>
        </w:rPr>
      </w:pPr>
      <w:r>
        <w:rPr>
          <w:rFonts w:hint="eastAsia" w:ascii="宋体" w:hAnsi="宋体" w:cs="宋体"/>
          <w:color w:val="auto"/>
          <w:sz w:val="24"/>
          <w:highlight w:val="none"/>
          <w:lang w:eastAsia="zh-CN"/>
        </w:rPr>
        <w:t>谈判</w:t>
      </w:r>
      <w:r>
        <w:rPr>
          <w:rFonts w:hint="eastAsia" w:ascii="宋体" w:hAnsi="宋体" w:cs="宋体"/>
          <w:color w:val="auto"/>
          <w:sz w:val="24"/>
          <w:highlight w:val="none"/>
        </w:rPr>
        <w:t>供应商：</w:t>
      </w:r>
      <w:r>
        <w:rPr>
          <w:rFonts w:hint="eastAsia" w:ascii="宋体" w:hAnsi="宋体" w:cs="宋体"/>
          <w:color w:val="auto"/>
          <w:sz w:val="24"/>
          <w:highlight w:val="none"/>
          <w:u w:val="single"/>
        </w:rPr>
        <w:t xml:space="preserve">   （加盖公章）    </w:t>
      </w:r>
    </w:p>
    <w:p w14:paraId="38076BF7">
      <w:pPr>
        <w:spacing w:line="520" w:lineRule="exact"/>
        <w:ind w:firstLine="120"/>
        <w:rPr>
          <w:rFonts w:hint="eastAsia" w:ascii="宋体" w:hAnsi="宋体" w:cs="宋体"/>
          <w:color w:val="auto"/>
          <w:sz w:val="24"/>
          <w:highlight w:val="none"/>
        </w:rPr>
      </w:pPr>
      <w:r>
        <w:rPr>
          <w:rFonts w:hint="eastAsia" w:ascii="宋体" w:hAnsi="宋体" w:cs="宋体"/>
          <w:color w:val="auto"/>
          <w:sz w:val="24"/>
          <w:highlight w:val="none"/>
        </w:rPr>
        <w:t>法定代表人或其委托受托人签字：</w:t>
      </w:r>
    </w:p>
    <w:p w14:paraId="7EE52C84">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注：（1）此表为表样，行数可自行添加，但表式不变。 </w:t>
      </w:r>
    </w:p>
    <w:p w14:paraId="7DE6B4E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（2）是否偏离用符号“+、=、-”分别表示正偏离、完全响应、负偏离。 </w:t>
      </w:r>
    </w:p>
    <w:p w14:paraId="3E329D0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谈判</w:t>
      </w:r>
      <w:r>
        <w:rPr>
          <w:rFonts w:hint="eastAsia" w:ascii="宋体" w:hAnsi="宋体" w:cs="宋体"/>
          <w:color w:val="auto"/>
          <w:sz w:val="24"/>
          <w:highlight w:val="none"/>
        </w:rPr>
        <w:t>供应商必须仔细阅读本</w:t>
      </w:r>
      <w:r>
        <w:rPr>
          <w:rFonts w:hint="eastAsia" w:ascii="宋体" w:hAnsi="宋体" w:cs="宋体"/>
          <w:color w:val="auto"/>
          <w:sz w:val="24"/>
          <w:highlight w:val="none"/>
          <w:lang w:eastAsia="zh-CN"/>
        </w:rPr>
        <w:t>谈判</w:t>
      </w:r>
      <w:r>
        <w:rPr>
          <w:rFonts w:hint="eastAsia" w:ascii="宋体" w:hAnsi="宋体" w:cs="宋体"/>
          <w:color w:val="auto"/>
          <w:sz w:val="24"/>
          <w:highlight w:val="none"/>
        </w:rPr>
        <w:t>文件第五章中项目需求中要求，并将响应情况及偏离情况逐项填入上表。</w:t>
      </w:r>
    </w:p>
    <w:p w14:paraId="68EF3E42">
      <w:pPr>
        <w:spacing w:line="440" w:lineRule="exact"/>
        <w:ind w:firstLine="3357"/>
        <w:rPr>
          <w:rFonts w:hint="eastAsia" w:ascii="宋体" w:hAnsi="宋体" w:cs="宋体"/>
          <w:b/>
          <w:bCs/>
          <w:color w:val="auto"/>
          <w:sz w:val="32"/>
          <w:szCs w:val="32"/>
          <w:highlight w:val="none"/>
        </w:rPr>
      </w:pPr>
    </w:p>
    <w:p w14:paraId="50D13EE1">
      <w:pPr>
        <w:spacing w:line="440" w:lineRule="exact"/>
        <w:ind w:firstLine="3357"/>
        <w:rPr>
          <w:rFonts w:hint="eastAsia" w:ascii="宋体" w:hAnsi="宋体" w:cs="宋体"/>
          <w:b/>
          <w:bCs/>
          <w:color w:val="auto"/>
          <w:sz w:val="32"/>
          <w:szCs w:val="32"/>
          <w:highlight w:val="none"/>
        </w:rPr>
      </w:pPr>
    </w:p>
    <w:p w14:paraId="6E345255">
      <w:pPr>
        <w:spacing w:line="320" w:lineRule="exact"/>
        <w:jc w:val="center"/>
        <w:rPr>
          <w:rFonts w:hint="eastAsia" w:ascii="宋体" w:hAnsi="宋体" w:cs="宋体"/>
          <w:b/>
          <w:bCs/>
          <w:color w:val="auto"/>
          <w:sz w:val="32"/>
          <w:szCs w:val="32"/>
          <w:highlight w:val="none"/>
        </w:rPr>
      </w:pPr>
    </w:p>
    <w:p w14:paraId="50DD1B9D">
      <w:pPr>
        <w:pStyle w:val="22"/>
        <w:spacing w:before="120" w:line="520" w:lineRule="exact"/>
        <w:ind w:left="0" w:right="34"/>
        <w:jc w:val="both"/>
        <w:outlineLvl w:val="0"/>
        <w:rPr>
          <w:rFonts w:hint="eastAsia" w:ascii="宋体" w:hAnsi="宋体" w:cs="宋体"/>
          <w:b/>
          <w:color w:val="auto"/>
          <w:sz w:val="32"/>
          <w:szCs w:val="32"/>
          <w:highlight w:val="none"/>
        </w:rPr>
      </w:pPr>
    </w:p>
    <w:p w14:paraId="635317FD">
      <w:pPr>
        <w:pStyle w:val="22"/>
        <w:spacing w:line="360" w:lineRule="auto"/>
        <w:ind w:left="0" w:right="0"/>
        <w:outlineLvl w:val="0"/>
        <w:rPr>
          <w:rFonts w:hint="eastAsia" w:ascii="宋体" w:hAnsi="宋体" w:cs="宋体"/>
          <w:color w:val="auto"/>
          <w:sz w:val="30"/>
          <w:szCs w:val="30"/>
          <w:highlight w:val="none"/>
        </w:rPr>
      </w:pPr>
      <w:r>
        <w:rPr>
          <w:rFonts w:hint="eastAsia" w:ascii="宋体" w:hAnsi="宋体" w:cs="宋体"/>
          <w:b/>
          <w:color w:val="auto"/>
          <w:sz w:val="30"/>
          <w:szCs w:val="30"/>
          <w:highlight w:val="none"/>
        </w:rPr>
        <w:t>四、</w:t>
      </w:r>
      <w:r>
        <w:rPr>
          <w:rFonts w:hint="eastAsia" w:ascii="宋体" w:hAnsi="宋体" w:cs="宋体"/>
          <w:b/>
          <w:bCs/>
          <w:color w:val="auto"/>
          <w:sz w:val="30"/>
          <w:szCs w:val="30"/>
          <w:highlight w:val="none"/>
        </w:rPr>
        <w:t>服务</w:t>
      </w:r>
      <w:bookmarkStart w:id="12" w:name="_Toc157775469"/>
      <w:r>
        <w:rPr>
          <w:rFonts w:hint="eastAsia" w:ascii="宋体" w:hAnsi="宋体" w:cs="宋体"/>
          <w:b/>
          <w:bCs/>
          <w:color w:val="auto"/>
          <w:sz w:val="30"/>
          <w:szCs w:val="30"/>
          <w:highlight w:val="none"/>
        </w:rPr>
        <w:t>承诺</w:t>
      </w:r>
      <w:bookmarkEnd w:id="12"/>
      <w:r>
        <w:rPr>
          <w:rFonts w:hint="eastAsia" w:ascii="宋体" w:hAnsi="宋体" w:cs="宋体"/>
          <w:color w:val="auto"/>
          <w:sz w:val="30"/>
          <w:szCs w:val="30"/>
          <w:highlight w:val="none"/>
        </w:rPr>
        <w:t>（格式由</w:t>
      </w:r>
      <w:r>
        <w:rPr>
          <w:rFonts w:hint="eastAsia" w:ascii="宋体" w:hAnsi="宋体" w:cs="宋体"/>
          <w:color w:val="auto"/>
          <w:sz w:val="30"/>
          <w:szCs w:val="30"/>
          <w:highlight w:val="none"/>
          <w:lang w:val="en-US" w:eastAsia="zh-CN"/>
        </w:rPr>
        <w:t>供应商</w:t>
      </w:r>
      <w:r>
        <w:rPr>
          <w:rFonts w:hint="eastAsia" w:ascii="宋体" w:hAnsi="宋体" w:cs="宋体"/>
          <w:color w:val="auto"/>
          <w:sz w:val="30"/>
          <w:szCs w:val="30"/>
          <w:highlight w:val="none"/>
        </w:rPr>
        <w:t>自定、加盖</w:t>
      </w:r>
      <w:r>
        <w:rPr>
          <w:rFonts w:hint="eastAsia" w:ascii="宋体" w:hAnsi="宋体" w:cs="宋体"/>
          <w:color w:val="auto"/>
          <w:sz w:val="30"/>
          <w:szCs w:val="30"/>
          <w:highlight w:val="none"/>
          <w:lang w:val="en-US" w:eastAsia="zh-CN"/>
        </w:rPr>
        <w:t>供应商</w:t>
      </w:r>
      <w:r>
        <w:rPr>
          <w:rFonts w:hint="eastAsia" w:ascii="宋体" w:hAnsi="宋体" w:cs="宋体"/>
          <w:color w:val="auto"/>
          <w:sz w:val="30"/>
          <w:szCs w:val="30"/>
          <w:highlight w:val="none"/>
        </w:rPr>
        <w:t>公章）</w:t>
      </w:r>
    </w:p>
    <w:p w14:paraId="3D47A2F2">
      <w:pPr>
        <w:spacing w:line="360" w:lineRule="auto"/>
        <w:jc w:val="lef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五、资质审查时供应商必须提交的资格证明文件</w:t>
      </w:r>
    </w:p>
    <w:p w14:paraId="4A9E26E9">
      <w:pPr>
        <w:keepNext w:val="0"/>
        <w:keepLines w:val="0"/>
        <w:pageBreakBefore w:val="0"/>
        <w:kinsoku/>
        <w:wordWrap/>
        <w:overflowPunct/>
        <w:topLinePunct w:val="0"/>
        <w:autoSpaceDE/>
        <w:autoSpaceDN/>
        <w:bidi w:val="0"/>
        <w:adjustRightInd/>
        <w:spacing w:line="440" w:lineRule="exact"/>
        <w:ind w:firstLine="240" w:firstLineChars="100"/>
        <w:textAlignment w:val="auto"/>
        <w:rPr>
          <w:rFonts w:hint="eastAsia" w:ascii="宋体" w:hAnsi="宋体" w:cs="宋体"/>
          <w:b/>
          <w:bCs/>
          <w:color w:val="auto"/>
          <w:sz w:val="24"/>
          <w:szCs w:val="24"/>
          <w:highlight w:val="none"/>
        </w:rPr>
      </w:pPr>
      <w:r>
        <w:rPr>
          <w:rFonts w:hint="eastAsia" w:ascii="宋体" w:hAnsi="宋体" w:cs="宋体"/>
          <w:color w:val="auto"/>
          <w:sz w:val="24"/>
          <w:szCs w:val="24"/>
          <w:highlight w:val="none"/>
        </w:rPr>
        <w:t>（1）符合《中华人民共和国政府采购法》第二十二条规定的六项条件；</w:t>
      </w:r>
      <w:r>
        <w:rPr>
          <w:rFonts w:hint="eastAsia" w:ascii="宋体" w:hAnsi="宋体" w:cs="宋体"/>
          <w:b/>
          <w:bCs/>
          <w:color w:val="auto"/>
          <w:sz w:val="24"/>
          <w:szCs w:val="24"/>
          <w:highlight w:val="none"/>
        </w:rPr>
        <w:t>（提供书面承诺书印章齐全，格式见示范格式</w:t>
      </w:r>
      <w:r>
        <w:rPr>
          <w:rFonts w:hint="eastAsia" w:ascii="宋体" w:hAnsi="宋体" w:cs="宋体"/>
          <w:b/>
          <w:bCs/>
          <w:color w:val="auto"/>
          <w:sz w:val="24"/>
          <w:szCs w:val="24"/>
          <w:highlight w:val="none"/>
          <w:lang w:val="en-US" w:eastAsia="zh-CN"/>
        </w:rPr>
        <w:t>七</w:t>
      </w:r>
      <w:r>
        <w:rPr>
          <w:rFonts w:hint="eastAsia" w:ascii="宋体" w:hAnsi="宋体" w:cs="宋体"/>
          <w:b/>
          <w:bCs/>
          <w:color w:val="auto"/>
          <w:sz w:val="24"/>
          <w:szCs w:val="24"/>
          <w:highlight w:val="none"/>
        </w:rPr>
        <w:t>）</w:t>
      </w:r>
    </w:p>
    <w:p w14:paraId="40486656">
      <w:pPr>
        <w:keepNext w:val="0"/>
        <w:keepLines w:val="0"/>
        <w:pageBreakBefore w:val="0"/>
        <w:kinsoku/>
        <w:wordWrap/>
        <w:overflowPunct/>
        <w:topLinePunct w:val="0"/>
        <w:autoSpaceDE/>
        <w:autoSpaceDN/>
        <w:bidi w:val="0"/>
        <w:adjustRightInd/>
        <w:snapToGrid w:val="0"/>
        <w:spacing w:line="440" w:lineRule="exact"/>
        <w:ind w:firstLine="240" w:firstLineChars="100"/>
        <w:jc w:val="left"/>
        <w:textAlignment w:val="auto"/>
        <w:rPr>
          <w:rFonts w:hint="eastAsia" w:ascii="宋体" w:cs="宋体"/>
          <w:bCs/>
          <w:color w:val="auto"/>
          <w:sz w:val="24"/>
          <w:szCs w:val="24"/>
          <w:highlight w:val="none"/>
        </w:rPr>
      </w:pPr>
      <w:r>
        <w:rPr>
          <w:rFonts w:hint="eastAsia" w:ascii="宋体" w:cs="宋体"/>
          <w:bCs/>
          <w:color w:val="auto"/>
          <w:sz w:val="24"/>
          <w:szCs w:val="24"/>
          <w:highlight w:val="none"/>
        </w:rPr>
        <w:t>（2）</w:t>
      </w:r>
      <w:r>
        <w:rPr>
          <w:rFonts w:hint="eastAsia" w:ascii="宋体" w:hAnsi="宋体" w:cs="宋体"/>
          <w:color w:val="auto"/>
          <w:sz w:val="24"/>
          <w:szCs w:val="24"/>
          <w:highlight w:val="none"/>
        </w:rPr>
        <w:t xml:space="preserve"> </w:t>
      </w:r>
      <w:r>
        <w:rPr>
          <w:rFonts w:hint="eastAsia" w:ascii="宋体" w:cs="宋体"/>
          <w:bCs/>
          <w:color w:val="auto"/>
          <w:sz w:val="24"/>
          <w:szCs w:val="24"/>
          <w:highlight w:val="none"/>
        </w:rPr>
        <w:t>落实政府采购政策需满足的资格要求:</w:t>
      </w:r>
    </w:p>
    <w:p w14:paraId="6414038A">
      <w:pPr>
        <w:keepNext w:val="0"/>
        <w:keepLines w:val="0"/>
        <w:pageBreakBefore w:val="0"/>
        <w:kinsoku/>
        <w:wordWrap/>
        <w:overflowPunct/>
        <w:topLinePunct w:val="0"/>
        <w:autoSpaceDE/>
        <w:autoSpaceDN/>
        <w:bidi w:val="0"/>
        <w:adjustRightInd/>
        <w:snapToGrid w:val="0"/>
        <w:spacing w:line="440" w:lineRule="exact"/>
        <w:ind w:firstLine="240" w:firstLineChars="100"/>
        <w:jc w:val="left"/>
        <w:textAlignment w:val="auto"/>
        <w:rPr>
          <w:rFonts w:hint="eastAsia" w:ascii="宋体" w:cs="宋体"/>
          <w:b/>
          <w:color w:val="auto"/>
          <w:sz w:val="24"/>
          <w:szCs w:val="24"/>
          <w:highlight w:val="none"/>
        </w:rPr>
      </w:pPr>
      <w:r>
        <w:rPr>
          <w:rFonts w:hint="eastAsia" w:ascii="宋体" w:cs="宋体"/>
          <w:bCs/>
          <w:color w:val="auto"/>
          <w:sz w:val="24"/>
          <w:szCs w:val="24"/>
          <w:highlight w:val="none"/>
          <w:lang w:val="en-US" w:eastAsia="zh-CN"/>
        </w:rPr>
        <w:t>本项目为专门面向中小企业采购的项目</w:t>
      </w:r>
      <w:r>
        <w:rPr>
          <w:rFonts w:hint="eastAsia" w:ascii="宋体" w:cs="宋体"/>
          <w:bCs/>
          <w:color w:val="auto"/>
          <w:sz w:val="24"/>
          <w:szCs w:val="24"/>
          <w:highlight w:val="none"/>
        </w:rPr>
        <w:t>（</w:t>
      </w:r>
      <w:r>
        <w:rPr>
          <w:rFonts w:hint="eastAsia" w:ascii="宋体" w:cs="宋体"/>
          <w:b/>
          <w:bCs w:val="0"/>
          <w:color w:val="auto"/>
          <w:sz w:val="24"/>
          <w:szCs w:val="24"/>
          <w:highlight w:val="none"/>
        </w:rPr>
        <w:t>提供下列任一项材料即可</w:t>
      </w:r>
      <w:r>
        <w:rPr>
          <w:rFonts w:hint="eastAsia" w:ascii="宋体" w:cs="宋体"/>
          <w:bCs/>
          <w:color w:val="auto"/>
          <w:sz w:val="24"/>
          <w:szCs w:val="24"/>
          <w:highlight w:val="none"/>
        </w:rPr>
        <w:t>）</w:t>
      </w:r>
    </w:p>
    <w:p w14:paraId="1BC50DD5">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1）企业声明函（详见示范格式四）；</w:t>
      </w:r>
    </w:p>
    <w:p w14:paraId="4E66AC1B">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2）《残疾人福利性单位声明函》（详见示范格式五）；</w:t>
      </w:r>
    </w:p>
    <w:p w14:paraId="0493BD8E">
      <w:pPr>
        <w:keepNext w:val="0"/>
        <w:keepLines w:val="0"/>
        <w:pageBreakBefore w:val="0"/>
        <w:widowControl/>
        <w:kinsoku/>
        <w:wordWrap/>
        <w:overflowPunct/>
        <w:topLinePunct w:val="0"/>
        <w:autoSpaceDE/>
        <w:autoSpaceDN/>
        <w:bidi w:val="0"/>
        <w:adjustRightInd/>
        <w:spacing w:line="440" w:lineRule="exact"/>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3）由省级以上监狱管理局、戒毒管理局（含新疆生产建设兵团）出具的属于监狱企业的证明文件）（加盖出具单位公章的原件扫描上传）。</w:t>
      </w:r>
    </w:p>
    <w:p w14:paraId="1EDD9F13">
      <w:pPr>
        <w:keepNext w:val="0"/>
        <w:keepLines w:val="0"/>
        <w:pageBreakBefore w:val="0"/>
        <w:widowControl/>
        <w:kinsoku/>
        <w:wordWrap/>
        <w:overflowPunct/>
        <w:topLinePunct w:val="0"/>
        <w:autoSpaceDE/>
        <w:autoSpaceDN/>
        <w:bidi w:val="0"/>
        <w:adjustRightInd/>
        <w:spacing w:line="44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注:监狱企业、残疾人福利性单位视同小微企业。</w:t>
      </w:r>
    </w:p>
    <w:p w14:paraId="50C8521F">
      <w:pPr>
        <w:pStyle w:val="95"/>
        <w:keepNext w:val="0"/>
        <w:keepLines w:val="0"/>
        <w:pageBreakBefore w:val="0"/>
        <w:kinsoku/>
        <w:wordWrap/>
        <w:overflowPunct/>
        <w:topLinePunct w:val="0"/>
        <w:autoSpaceDE/>
        <w:autoSpaceDN/>
        <w:bidi w:val="0"/>
        <w:adjustRightInd/>
        <w:spacing w:before="0" w:after="0" w:line="440" w:lineRule="exact"/>
        <w:ind w:firstLine="480" w:firstLineChars="200"/>
        <w:textAlignment w:val="auto"/>
        <w:rPr>
          <w:rFonts w:hint="eastAsia"/>
          <w:color w:val="auto"/>
          <w:highlight w:val="none"/>
        </w:rPr>
      </w:pPr>
      <w:r>
        <w:rPr>
          <w:rFonts w:hint="eastAsia" w:ascii="宋体" w:hAnsi="宋体" w:eastAsia="宋体" w:cs="宋体"/>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工业。</w:t>
      </w:r>
    </w:p>
    <w:p w14:paraId="067E958A">
      <w:pPr>
        <w:keepNext w:val="0"/>
        <w:keepLines w:val="0"/>
        <w:pageBreakBefore w:val="0"/>
        <w:kinsoku/>
        <w:wordWrap/>
        <w:overflowPunct/>
        <w:topLinePunct w:val="0"/>
        <w:autoSpaceDE/>
        <w:autoSpaceDN/>
        <w:bidi w:val="0"/>
        <w:adjustRightInd/>
        <w:spacing w:line="440" w:lineRule="exact"/>
        <w:ind w:firstLine="240" w:firstLineChars="1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本项目不接受联合体供应商参加谈判。（不是联合体即可）</w:t>
      </w:r>
    </w:p>
    <w:p w14:paraId="64451AC9">
      <w:pPr>
        <w:keepNext w:val="0"/>
        <w:keepLines w:val="0"/>
        <w:pageBreakBefore w:val="0"/>
        <w:kinsoku/>
        <w:wordWrap/>
        <w:overflowPunct/>
        <w:topLinePunct w:val="0"/>
        <w:autoSpaceDE/>
        <w:autoSpaceDN/>
        <w:bidi w:val="0"/>
        <w:adjustRightInd/>
        <w:spacing w:line="440" w:lineRule="exact"/>
        <w:ind w:firstLine="240" w:firstLineChars="1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）拒绝符合下述条件的供应商参加本次采购活动：（</w:t>
      </w:r>
      <w:r>
        <w:rPr>
          <w:rFonts w:hint="eastAsia" w:ascii="宋体" w:hAnsi="宋体" w:cs="宋体"/>
          <w:b/>
          <w:bCs/>
          <w:color w:val="auto"/>
          <w:sz w:val="24"/>
          <w:szCs w:val="24"/>
          <w:highlight w:val="none"/>
        </w:rPr>
        <w:t>格式见示范格式三</w:t>
      </w:r>
      <w:r>
        <w:rPr>
          <w:rFonts w:hint="eastAsia" w:ascii="宋体" w:hAnsi="宋体" w:cs="宋体"/>
          <w:color w:val="auto"/>
          <w:sz w:val="24"/>
          <w:szCs w:val="24"/>
          <w:highlight w:val="none"/>
        </w:rPr>
        <w:t>）</w:t>
      </w:r>
    </w:p>
    <w:p w14:paraId="79D95C35">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供应商单位负责人为同一人或者存在直接控股、管理关系的不同供应商，不得同时参加同一合同项下的政府采购活动；</w:t>
      </w:r>
      <w:r>
        <w:rPr>
          <w:rFonts w:hint="eastAsia" w:ascii="宋体" w:hAnsi="宋体" w:cs="宋体"/>
          <w:b/>
          <w:bCs/>
          <w:color w:val="auto"/>
          <w:sz w:val="24"/>
          <w:szCs w:val="24"/>
          <w:highlight w:val="none"/>
        </w:rPr>
        <w:t>（提供书面承诺书印章齐全</w:t>
      </w:r>
      <w:r>
        <w:rPr>
          <w:rFonts w:hint="eastAsia" w:ascii="宋体" w:hAnsi="宋体" w:cs="宋体"/>
          <w:b/>
          <w:color w:val="auto"/>
          <w:sz w:val="24"/>
          <w:highlight w:val="none"/>
        </w:rPr>
        <w:t>，格式详见附件</w:t>
      </w:r>
      <w:r>
        <w:rPr>
          <w:rFonts w:hint="eastAsia" w:ascii="宋体" w:hAnsi="宋体" w:cs="宋体"/>
          <w:b/>
          <w:bCs/>
          <w:color w:val="auto"/>
          <w:sz w:val="24"/>
          <w:szCs w:val="24"/>
          <w:highlight w:val="none"/>
        </w:rPr>
        <w:t>）</w:t>
      </w:r>
    </w:p>
    <w:p w14:paraId="21EDFE51">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凡为采购项目提供整体设计、规范编制或者项目管理、</w:t>
      </w:r>
      <w:r>
        <w:rPr>
          <w:rFonts w:hint="eastAsia" w:ascii="宋体" w:hAnsi="宋体" w:eastAsia="宋体" w:cs="宋体"/>
          <w:bCs/>
          <w:color w:val="auto"/>
          <w:sz w:val="24"/>
          <w:szCs w:val="24"/>
          <w:highlight w:val="none"/>
          <w:lang w:val="en-US" w:eastAsia="zh-CN" w:bidi="ar-SA"/>
        </w:rPr>
        <w:t>监理</w:t>
      </w:r>
      <w:r>
        <w:rPr>
          <w:rFonts w:hint="eastAsia" w:ascii="宋体" w:hAnsi="宋体" w:cs="宋体"/>
          <w:bCs/>
          <w:color w:val="auto"/>
          <w:sz w:val="24"/>
          <w:szCs w:val="24"/>
          <w:highlight w:val="none"/>
          <w:lang w:val="en-US" w:eastAsia="zh-CN" w:bidi="ar-SA"/>
        </w:rPr>
        <w:t>、</w:t>
      </w:r>
      <w:r>
        <w:rPr>
          <w:rFonts w:hint="eastAsia" w:ascii="宋体" w:hAnsi="宋体" w:cs="宋体"/>
          <w:color w:val="auto"/>
          <w:sz w:val="24"/>
          <w:szCs w:val="24"/>
          <w:highlight w:val="none"/>
        </w:rPr>
        <w:t>检测等服务的供应商，不得再参加本项目的采购活动；</w:t>
      </w:r>
      <w:r>
        <w:rPr>
          <w:rFonts w:hint="eastAsia" w:ascii="宋体" w:hAnsi="宋体" w:cs="宋体"/>
          <w:b/>
          <w:bCs/>
          <w:color w:val="auto"/>
          <w:sz w:val="24"/>
          <w:szCs w:val="24"/>
          <w:highlight w:val="none"/>
        </w:rPr>
        <w:t xml:space="preserve"> （提供书面承诺书印章齐全</w:t>
      </w:r>
      <w:r>
        <w:rPr>
          <w:rFonts w:hint="eastAsia" w:ascii="宋体" w:hAnsi="宋体" w:cs="宋体"/>
          <w:b/>
          <w:color w:val="auto"/>
          <w:sz w:val="24"/>
          <w:highlight w:val="none"/>
        </w:rPr>
        <w:t>，格式详见附件</w:t>
      </w:r>
      <w:r>
        <w:rPr>
          <w:rFonts w:hint="eastAsia" w:ascii="宋体" w:hAnsi="宋体" w:cs="宋体"/>
          <w:b/>
          <w:bCs/>
          <w:color w:val="auto"/>
          <w:sz w:val="24"/>
          <w:szCs w:val="24"/>
          <w:highlight w:val="none"/>
        </w:rPr>
        <w:t>）</w:t>
      </w:r>
    </w:p>
    <w:p w14:paraId="09B78A69">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被“信用中国”网站、“中国政府采购网”列入失信被执行人、重大税收违法案件当事人名单、政府采购严重违法失信行为记录名单</w:t>
      </w:r>
      <w:r>
        <w:rPr>
          <w:rFonts w:hint="eastAsia" w:ascii="宋体" w:hAnsi="宋体" w:cs="宋体"/>
          <w:bCs/>
          <w:color w:val="auto"/>
          <w:sz w:val="24"/>
          <w:szCs w:val="24"/>
          <w:highlight w:val="none"/>
          <w:lang w:val="en-US" w:eastAsia="zh-CN"/>
        </w:rPr>
        <w:t>的</w:t>
      </w:r>
      <w:r>
        <w:rPr>
          <w:rFonts w:hint="eastAsia" w:ascii="宋体" w:hAnsi="宋体" w:eastAsia="宋体" w:cs="宋体"/>
          <w:bCs/>
          <w:color w:val="auto"/>
          <w:sz w:val="24"/>
          <w:szCs w:val="24"/>
          <w:highlight w:val="none"/>
          <w:lang w:val="en-US" w:eastAsia="zh-CN"/>
        </w:rPr>
        <w:t>供应商</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不得参加本项目的采购活动</w:t>
      </w:r>
      <w:r>
        <w:rPr>
          <w:rFonts w:hint="eastAsia" w:ascii="宋体" w:hAnsi="宋体" w:eastAsia="宋体" w:cs="宋体"/>
          <w:bCs/>
          <w:color w:val="auto"/>
          <w:sz w:val="24"/>
          <w:szCs w:val="24"/>
          <w:highlight w:val="none"/>
          <w:lang w:val="en-US" w:eastAsia="zh-CN"/>
        </w:rPr>
        <w:t>。</w:t>
      </w:r>
      <w:r>
        <w:rPr>
          <w:rFonts w:hint="eastAsia" w:ascii="宋体" w:hAnsi="宋体" w:cs="宋体"/>
          <w:color w:val="auto"/>
          <w:sz w:val="24"/>
          <w:szCs w:val="24"/>
          <w:highlight w:val="none"/>
        </w:rPr>
        <w:t xml:space="preserve"> </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如未被列入，</w:t>
      </w:r>
      <w:r>
        <w:rPr>
          <w:rFonts w:hint="eastAsia" w:ascii="宋体" w:hAnsi="宋体" w:cs="宋体"/>
          <w:b/>
          <w:bCs/>
          <w:color w:val="auto"/>
          <w:sz w:val="24"/>
          <w:szCs w:val="24"/>
          <w:highlight w:val="none"/>
        </w:rPr>
        <w:t>提供书面承诺书印章齐全</w:t>
      </w:r>
      <w:r>
        <w:rPr>
          <w:rFonts w:hint="eastAsia" w:ascii="宋体" w:hAnsi="宋体" w:cs="宋体"/>
          <w:b/>
          <w:color w:val="auto"/>
          <w:sz w:val="24"/>
          <w:highlight w:val="none"/>
        </w:rPr>
        <w:t>，格式详见附件</w:t>
      </w:r>
      <w:r>
        <w:rPr>
          <w:rFonts w:hint="eastAsia" w:ascii="宋体" w:hAnsi="宋体" w:cs="宋体"/>
          <w:b/>
          <w:bCs/>
          <w:color w:val="auto"/>
          <w:sz w:val="24"/>
          <w:szCs w:val="24"/>
          <w:highlight w:val="none"/>
        </w:rPr>
        <w:t>）</w:t>
      </w:r>
    </w:p>
    <w:p w14:paraId="1F9E1B31">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采购人（代理机构）通过“信用中国”网站、“中国政府采购网”网站等渠道查询供应商在采购公告发布之日的信用记录并保存，查询结果以网页打印的形式留存并归档。</w:t>
      </w:r>
    </w:p>
    <w:p w14:paraId="3C39F95C">
      <w:pPr>
        <w:keepNext w:val="0"/>
        <w:keepLines w:val="0"/>
        <w:pageBreakBefore w:val="0"/>
        <w:kinsoku/>
        <w:wordWrap/>
        <w:overflowPunct/>
        <w:topLinePunct w:val="0"/>
        <w:autoSpaceDE/>
        <w:autoSpaceDN/>
        <w:bidi w:val="0"/>
        <w:adjustRightInd/>
        <w:spacing w:line="44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）报价供应商提供下列之一</w:t>
      </w:r>
      <w:r>
        <w:rPr>
          <w:rFonts w:hint="eastAsia" w:ascii="宋体" w:hAnsi="宋体" w:cs="宋体"/>
          <w:b/>
          <w:bCs/>
          <w:color w:val="auto"/>
          <w:sz w:val="24"/>
          <w:szCs w:val="24"/>
          <w:highlight w:val="none"/>
        </w:rPr>
        <w:t>（提供相关材料）</w:t>
      </w:r>
    </w:p>
    <w:p w14:paraId="56A0A064">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供应商法定代表人参加</w:t>
      </w:r>
      <w:r>
        <w:rPr>
          <w:rFonts w:hint="eastAsia" w:ascii="宋体" w:hAnsi="宋体" w:cs="宋体"/>
          <w:color w:val="auto"/>
          <w:sz w:val="24"/>
          <w:szCs w:val="24"/>
          <w:highlight w:val="none"/>
          <w:lang w:val="en-US" w:eastAsia="zh-CN"/>
        </w:rPr>
        <w:t>谈判</w:t>
      </w:r>
      <w:r>
        <w:rPr>
          <w:rFonts w:hint="eastAsia" w:ascii="宋体" w:hAnsi="宋体" w:cs="宋体"/>
          <w:color w:val="auto"/>
          <w:sz w:val="24"/>
          <w:szCs w:val="24"/>
          <w:highlight w:val="none"/>
        </w:rPr>
        <w:t>的，提供法定代表人资格证明（格式按照示范格式一要求）和法定代表人有效身份证；</w:t>
      </w:r>
      <w:r>
        <w:rPr>
          <w:rFonts w:hint="eastAsia" w:ascii="宋体" w:hAnsi="宋体" w:cs="宋体"/>
          <w:b/>
          <w:bCs/>
          <w:color w:val="auto"/>
          <w:sz w:val="24"/>
          <w:szCs w:val="24"/>
          <w:highlight w:val="none"/>
        </w:rPr>
        <w:t>（</w:t>
      </w:r>
      <w:r>
        <w:rPr>
          <w:rFonts w:hint="eastAsia" w:ascii="宋体" w:hAnsi="宋体" w:cs="宋体"/>
          <w:b/>
          <w:bCs/>
          <w:color w:val="auto"/>
          <w:sz w:val="24"/>
          <w:highlight w:val="none"/>
        </w:rPr>
        <w:t>身份证</w:t>
      </w:r>
      <w:r>
        <w:rPr>
          <w:rFonts w:hint="eastAsia" w:ascii="宋体" w:hAnsi="宋体" w:cs="宋体"/>
          <w:b/>
          <w:bCs/>
          <w:color w:val="auto"/>
          <w:sz w:val="24"/>
          <w:szCs w:val="24"/>
          <w:highlight w:val="none"/>
        </w:rPr>
        <w:t>原件扫描件上传</w:t>
      </w:r>
      <w:r>
        <w:rPr>
          <w:rFonts w:hint="eastAsia" w:ascii="宋体" w:hAnsi="宋体" w:cs="宋体"/>
          <w:b/>
          <w:bCs/>
          <w:color w:val="auto"/>
          <w:sz w:val="24"/>
          <w:szCs w:val="24"/>
          <w:highlight w:val="none"/>
          <w:lang w:eastAsia="zh-CN"/>
        </w:rPr>
        <w:t>，</w:t>
      </w:r>
      <w:r>
        <w:rPr>
          <w:rFonts w:hint="eastAsia" w:ascii="宋体" w:hAnsi="宋体" w:cs="宋体"/>
          <w:b/>
          <w:bCs/>
          <w:color w:val="auto"/>
          <w:sz w:val="24"/>
          <w:highlight w:val="none"/>
        </w:rPr>
        <w:t>加盖</w:t>
      </w:r>
      <w:r>
        <w:rPr>
          <w:rFonts w:hint="eastAsia" w:ascii="宋体" w:hAnsi="宋体" w:cs="宋体"/>
          <w:b/>
          <w:bCs/>
          <w:color w:val="auto"/>
          <w:sz w:val="24"/>
          <w:highlight w:val="none"/>
          <w:lang w:val="en-US" w:eastAsia="zh-CN"/>
        </w:rPr>
        <w:t>电子签章</w:t>
      </w:r>
      <w:r>
        <w:rPr>
          <w:rFonts w:hint="eastAsia" w:ascii="宋体" w:hAnsi="宋体" w:cs="宋体"/>
          <w:b/>
          <w:bCs/>
          <w:color w:val="auto"/>
          <w:sz w:val="24"/>
          <w:szCs w:val="24"/>
          <w:highlight w:val="none"/>
        </w:rPr>
        <w:t>）</w:t>
      </w:r>
    </w:p>
    <w:p w14:paraId="55BA68C0">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供应商授权委托人参加</w:t>
      </w:r>
      <w:r>
        <w:rPr>
          <w:rFonts w:hint="eastAsia" w:ascii="宋体" w:hAnsi="宋体" w:cs="宋体"/>
          <w:color w:val="auto"/>
          <w:sz w:val="24"/>
          <w:szCs w:val="24"/>
          <w:highlight w:val="none"/>
          <w:lang w:val="en-US" w:eastAsia="zh-CN"/>
        </w:rPr>
        <w:t>谈判</w:t>
      </w:r>
      <w:r>
        <w:rPr>
          <w:rFonts w:hint="eastAsia" w:ascii="宋体" w:hAnsi="宋体" w:cs="宋体"/>
          <w:color w:val="auto"/>
          <w:sz w:val="24"/>
          <w:szCs w:val="24"/>
          <w:highlight w:val="none"/>
        </w:rPr>
        <w:t>的，提供授权委托书（格式按照示范格式二要求）和受托人有效身份证。</w:t>
      </w:r>
      <w:r>
        <w:rPr>
          <w:rFonts w:hint="eastAsia" w:ascii="宋体" w:hAnsi="宋体" w:cs="宋体"/>
          <w:b/>
          <w:bCs/>
          <w:color w:val="auto"/>
          <w:sz w:val="24"/>
          <w:szCs w:val="24"/>
          <w:highlight w:val="none"/>
        </w:rPr>
        <w:t>（</w:t>
      </w:r>
      <w:r>
        <w:rPr>
          <w:rFonts w:hint="eastAsia" w:ascii="宋体" w:hAnsi="宋体" w:cs="宋体"/>
          <w:b/>
          <w:bCs/>
          <w:color w:val="auto"/>
          <w:sz w:val="24"/>
          <w:highlight w:val="none"/>
        </w:rPr>
        <w:t>身份证</w:t>
      </w:r>
      <w:r>
        <w:rPr>
          <w:rFonts w:hint="eastAsia" w:ascii="宋体" w:hAnsi="宋体" w:cs="宋体"/>
          <w:b/>
          <w:bCs/>
          <w:color w:val="auto"/>
          <w:sz w:val="24"/>
          <w:szCs w:val="24"/>
          <w:highlight w:val="none"/>
        </w:rPr>
        <w:t>原件扫描件上传</w:t>
      </w:r>
      <w:r>
        <w:rPr>
          <w:rFonts w:hint="eastAsia" w:ascii="宋体" w:hAnsi="宋体" w:cs="宋体"/>
          <w:b/>
          <w:bCs/>
          <w:color w:val="auto"/>
          <w:sz w:val="24"/>
          <w:szCs w:val="24"/>
          <w:highlight w:val="none"/>
          <w:lang w:eastAsia="zh-CN"/>
        </w:rPr>
        <w:t>，</w:t>
      </w:r>
      <w:r>
        <w:rPr>
          <w:rFonts w:hint="eastAsia" w:ascii="宋体" w:hAnsi="宋体" w:cs="宋体"/>
          <w:b/>
          <w:bCs/>
          <w:color w:val="auto"/>
          <w:sz w:val="24"/>
          <w:highlight w:val="none"/>
        </w:rPr>
        <w:t>加盖</w:t>
      </w:r>
      <w:r>
        <w:rPr>
          <w:rFonts w:hint="eastAsia" w:ascii="宋体" w:hAnsi="宋体" w:cs="宋体"/>
          <w:b/>
          <w:bCs/>
          <w:color w:val="auto"/>
          <w:sz w:val="24"/>
          <w:highlight w:val="none"/>
          <w:lang w:val="en-US" w:eastAsia="zh-CN"/>
        </w:rPr>
        <w:t>电子签章</w:t>
      </w:r>
      <w:r>
        <w:rPr>
          <w:rFonts w:hint="eastAsia" w:ascii="宋体" w:hAnsi="宋体" w:cs="宋体"/>
          <w:b/>
          <w:bCs/>
          <w:color w:val="auto"/>
          <w:sz w:val="24"/>
          <w:szCs w:val="24"/>
          <w:highlight w:val="none"/>
        </w:rPr>
        <w:t>）</w:t>
      </w:r>
    </w:p>
    <w:p w14:paraId="32CF8627">
      <w:pPr>
        <w:keepNext w:val="0"/>
        <w:keepLines w:val="0"/>
        <w:pageBreakBefore w:val="0"/>
        <w:numPr>
          <w:ilvl w:val="0"/>
          <w:numId w:val="0"/>
        </w:numPr>
        <w:kinsoku/>
        <w:wordWrap/>
        <w:overflowPunct/>
        <w:topLinePunct w:val="0"/>
        <w:autoSpaceDE/>
        <w:autoSpaceDN/>
        <w:bidi w:val="0"/>
        <w:adjustRightInd/>
        <w:spacing w:line="460" w:lineRule="exact"/>
        <w:jc w:val="left"/>
        <w:textAlignment w:val="auto"/>
        <w:rPr>
          <w:rFonts w:hint="default" w:ascii="宋体" w:hAnsi="宋体" w:cs="宋体"/>
          <w:color w:val="auto"/>
          <w:sz w:val="24"/>
          <w:highlight w:val="none"/>
          <w:lang w:val="en-US"/>
        </w:rPr>
      </w:pPr>
      <w:r>
        <w:rPr>
          <w:rFonts w:hint="eastAsia" w:ascii="宋体" w:hAnsi="宋体" w:eastAsia="宋体" w:cs="宋体"/>
          <w:b w:val="0"/>
          <w:bCs w:val="0"/>
          <w:color w:val="auto"/>
          <w:sz w:val="24"/>
          <w:szCs w:val="24"/>
          <w:highlight w:val="none"/>
          <w:shd w:val="clear" w:color="auto" w:fill="FFFFFF"/>
          <w:lang w:val="en-US" w:eastAsia="zh-CN"/>
        </w:rPr>
        <w:t>（6）本项目的特定资格要求：</w:t>
      </w:r>
      <w:r>
        <w:rPr>
          <w:rFonts w:hint="eastAsia" w:ascii="宋体" w:hAnsi="宋体" w:eastAsia="宋体" w:cs="宋体"/>
          <w:b/>
          <w:bCs/>
          <w:color w:val="auto"/>
          <w:sz w:val="24"/>
          <w:szCs w:val="24"/>
          <w:highlight w:val="none"/>
          <w:shd w:val="clear" w:color="auto" w:fill="FFFFFF"/>
          <w:lang w:val="en-US" w:eastAsia="zh-CN"/>
        </w:rPr>
        <w:t>无。</w:t>
      </w:r>
    </w:p>
    <w:p w14:paraId="69CBB65B">
      <w:pPr>
        <w:spacing w:line="460" w:lineRule="exact"/>
        <w:ind w:firstLine="470"/>
        <w:rPr>
          <w:rFonts w:hint="eastAsia" w:ascii="宋体" w:hAnsi="宋体" w:cs="宋体"/>
          <w:color w:val="auto"/>
          <w:sz w:val="24"/>
          <w:highlight w:val="none"/>
        </w:rPr>
      </w:pPr>
      <w:r>
        <w:rPr>
          <w:rFonts w:hint="eastAsia" w:ascii="宋体" w:hAnsi="宋体" w:cs="宋体"/>
          <w:color w:val="auto"/>
          <w:sz w:val="24"/>
          <w:highlight w:val="none"/>
        </w:rPr>
        <w:t>注：</w:t>
      </w:r>
    </w:p>
    <w:p w14:paraId="5BA6E8A6">
      <w:pPr>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1.以上所有要求提供的证明材料在投标截止时间之前，用投标文件制作工具制作并生成上传至</w:t>
      </w:r>
      <w:r>
        <w:rPr>
          <w:rFonts w:hint="eastAsia" w:ascii="宋体" w:hAnsi="宋体" w:cs="宋体"/>
          <w:color w:val="auto"/>
          <w:sz w:val="24"/>
          <w:highlight w:val="none"/>
          <w:lang w:eastAsia="zh-CN"/>
        </w:rPr>
        <w:t>苏采云</w:t>
      </w:r>
      <w:r>
        <w:rPr>
          <w:rFonts w:hint="eastAsia" w:ascii="宋体" w:hAnsi="宋体" w:cs="宋体"/>
          <w:color w:val="auto"/>
          <w:sz w:val="24"/>
          <w:highlight w:val="none"/>
        </w:rPr>
        <w:t>平台，纸质文件不作为审查对象。如电子投标文件无法查阅上述所要求提供的证明材料的评审小组将以未提供证明材料取消其继续参加评审的资格。</w:t>
      </w:r>
    </w:p>
    <w:p w14:paraId="2037FF7D">
      <w:pPr>
        <w:spacing w:line="460" w:lineRule="exact"/>
        <w:ind w:firstLine="484"/>
        <w:rPr>
          <w:rFonts w:hint="eastAsia" w:ascii="宋体" w:hAnsi="宋体" w:cs="宋体"/>
          <w:color w:val="auto"/>
          <w:sz w:val="24"/>
          <w:highlight w:val="none"/>
        </w:rPr>
      </w:pPr>
      <w:r>
        <w:rPr>
          <w:rFonts w:hint="eastAsia" w:ascii="宋体" w:hAnsi="宋体" w:cs="宋体"/>
          <w:color w:val="auto"/>
          <w:sz w:val="24"/>
          <w:highlight w:val="none"/>
        </w:rPr>
        <w:t>2.供应商所提供的资格证明材料应真实、有效，采购人保留对供应商提供的资格证明材料进行核查的权利。如发现供应商提供虚假资格证明材料，采购人</w:t>
      </w:r>
      <w:r>
        <w:rPr>
          <w:rFonts w:hint="eastAsia" w:ascii="宋体" w:hAnsi="宋体" w:cs="宋体"/>
          <w:color w:val="auto"/>
          <w:sz w:val="24"/>
          <w:highlight w:val="none"/>
          <w:lang w:val="en-US" w:eastAsia="zh-CN"/>
        </w:rPr>
        <w:t>有权终止合同</w:t>
      </w:r>
      <w:r>
        <w:rPr>
          <w:rFonts w:hint="eastAsia" w:ascii="宋体" w:hAnsi="宋体" w:cs="宋体"/>
          <w:color w:val="auto"/>
          <w:sz w:val="24"/>
          <w:highlight w:val="none"/>
        </w:rPr>
        <w:t>。</w:t>
      </w:r>
    </w:p>
    <w:p w14:paraId="715993C1">
      <w:pPr>
        <w:widowControl/>
        <w:spacing w:line="560" w:lineRule="exact"/>
        <w:jc w:val="left"/>
        <w:outlineLvl w:val="1"/>
        <w:rPr>
          <w:rFonts w:hint="eastAsia" w:ascii="宋体" w:hAnsi="宋体" w:cs="宋体"/>
          <w:bCs/>
          <w:color w:val="auto"/>
          <w:sz w:val="24"/>
          <w:highlight w:val="none"/>
        </w:rPr>
      </w:pPr>
      <w:r>
        <w:rPr>
          <w:rFonts w:hint="eastAsia" w:ascii="宋体" w:hAnsi="宋体" w:cs="宋体"/>
          <w:bCs/>
          <w:color w:val="auto"/>
          <w:sz w:val="24"/>
          <w:highlight w:val="none"/>
        </w:rPr>
        <w:t>六、涉及无效响应文件条款中供应商必须提供的证明文件</w:t>
      </w:r>
    </w:p>
    <w:p w14:paraId="0F9B4245">
      <w:pPr>
        <w:widowControl/>
        <w:spacing w:line="560" w:lineRule="exact"/>
        <w:ind w:firstLine="480" w:firstLineChars="200"/>
        <w:jc w:val="left"/>
        <w:rPr>
          <w:rFonts w:hint="eastAsia" w:ascii="宋体" w:hAnsi="宋体" w:cs="宋体"/>
          <w:bCs/>
          <w:color w:val="auto"/>
          <w:sz w:val="24"/>
          <w:highlight w:val="none"/>
        </w:rPr>
      </w:pPr>
      <w:r>
        <w:rPr>
          <w:rFonts w:hint="eastAsia" w:ascii="宋体" w:hAnsi="宋体" w:cs="宋体"/>
          <w:color w:val="auto"/>
          <w:sz w:val="24"/>
          <w:highlight w:val="none"/>
        </w:rPr>
        <w:t>供应商参加投标时，按照</w:t>
      </w:r>
      <w:r>
        <w:rPr>
          <w:rFonts w:hint="eastAsia" w:ascii="宋体" w:hAnsi="宋体" w:cs="宋体"/>
          <w:color w:val="auto"/>
          <w:sz w:val="24"/>
          <w:highlight w:val="none"/>
          <w:lang w:val="en-US" w:eastAsia="zh-CN"/>
        </w:rPr>
        <w:t>谈判</w:t>
      </w:r>
      <w:r>
        <w:rPr>
          <w:rFonts w:hint="eastAsia" w:ascii="宋体" w:hAnsi="宋体" w:cs="宋体"/>
          <w:color w:val="auto"/>
          <w:sz w:val="24"/>
          <w:highlight w:val="none"/>
        </w:rPr>
        <w:t>文件相关要求提供材料。</w:t>
      </w:r>
    </w:p>
    <w:p w14:paraId="1B4A7DD1">
      <w:pPr>
        <w:widowControl/>
        <w:spacing w:line="560" w:lineRule="exact"/>
        <w:jc w:val="left"/>
        <w:outlineLvl w:val="1"/>
        <w:rPr>
          <w:rFonts w:hint="eastAsia" w:ascii="宋体" w:hAnsi="宋体" w:cs="宋体"/>
          <w:color w:val="auto"/>
          <w:sz w:val="24"/>
          <w:highlight w:val="none"/>
        </w:rPr>
      </w:pPr>
      <w:r>
        <w:rPr>
          <w:rFonts w:hint="eastAsia" w:ascii="宋体" w:hAnsi="宋体" w:cs="宋体"/>
          <w:bCs/>
          <w:color w:val="auto"/>
          <w:sz w:val="24"/>
          <w:highlight w:val="none"/>
        </w:rPr>
        <w:t>七、评审时供应商需提供的证明文件</w:t>
      </w:r>
    </w:p>
    <w:p w14:paraId="37CF201C">
      <w:pPr>
        <w:widowControl/>
        <w:spacing w:line="56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请供应商仔细阅读</w:t>
      </w:r>
      <w:r>
        <w:rPr>
          <w:rFonts w:hint="eastAsia" w:ascii="宋体" w:hAnsi="宋体" w:cs="宋体"/>
          <w:color w:val="auto"/>
          <w:sz w:val="24"/>
          <w:highlight w:val="none"/>
          <w:lang w:eastAsia="zh-CN"/>
        </w:rPr>
        <w:t>谈判</w:t>
      </w:r>
      <w:r>
        <w:rPr>
          <w:rFonts w:hint="eastAsia" w:ascii="宋体" w:hAnsi="宋体" w:cs="宋体"/>
          <w:color w:val="auto"/>
          <w:sz w:val="24"/>
          <w:highlight w:val="none"/>
        </w:rPr>
        <w:t>文件中评标办法及评分细则。</w:t>
      </w:r>
    </w:p>
    <w:p w14:paraId="1843AF60">
      <w:pPr>
        <w:widowControl/>
        <w:spacing w:line="560" w:lineRule="exact"/>
        <w:jc w:val="left"/>
        <w:outlineLvl w:val="1"/>
        <w:rPr>
          <w:rFonts w:hint="eastAsia" w:ascii="宋体" w:hAnsi="宋体" w:cs="宋体"/>
          <w:bCs/>
          <w:color w:val="auto"/>
          <w:sz w:val="24"/>
          <w:highlight w:val="none"/>
        </w:rPr>
      </w:pPr>
      <w:r>
        <w:rPr>
          <w:rFonts w:hint="eastAsia" w:ascii="宋体" w:hAnsi="宋体" w:cs="宋体"/>
          <w:bCs/>
          <w:color w:val="auto"/>
          <w:sz w:val="24"/>
          <w:highlight w:val="none"/>
        </w:rPr>
        <w:t>八、供应商认为有必要提供并说明的其他资料</w:t>
      </w:r>
    </w:p>
    <w:p w14:paraId="14085588">
      <w:pPr>
        <w:widowControl/>
        <w:spacing w:line="560" w:lineRule="exact"/>
        <w:ind w:firstLine="480" w:firstLineChars="200"/>
        <w:jc w:val="left"/>
        <w:rPr>
          <w:rFonts w:hint="eastAsia" w:ascii="宋体" w:hAnsi="宋体" w:cs="宋体"/>
          <w:color w:val="auto"/>
          <w:sz w:val="32"/>
          <w:szCs w:val="32"/>
          <w:highlight w:val="none"/>
        </w:rPr>
      </w:pPr>
      <w:r>
        <w:rPr>
          <w:rFonts w:hint="eastAsia" w:ascii="宋体" w:hAnsi="宋体" w:cs="宋体"/>
          <w:color w:val="auto"/>
          <w:sz w:val="24"/>
          <w:highlight w:val="none"/>
        </w:rPr>
        <w:t>格式由供应商自定，加盖供应商公章。</w:t>
      </w:r>
      <w:r>
        <w:rPr>
          <w:rFonts w:hint="eastAsia" w:ascii="宋体" w:hAnsi="宋体" w:cs="宋体"/>
          <w:b/>
          <w:color w:val="auto"/>
          <w:sz w:val="24"/>
          <w:highlight w:val="none"/>
        </w:rPr>
        <w:br w:type="page" w:clear="all"/>
      </w:r>
      <w:r>
        <w:rPr>
          <w:rFonts w:hint="eastAsia" w:ascii="宋体" w:hAnsi="宋体" w:cs="宋体"/>
          <w:color w:val="auto"/>
          <w:sz w:val="32"/>
          <w:szCs w:val="32"/>
          <w:highlight w:val="none"/>
        </w:rPr>
        <w:t>十、示范格式</w:t>
      </w:r>
    </w:p>
    <w:p w14:paraId="2568D7DD">
      <w:pPr>
        <w:spacing w:line="440" w:lineRule="exact"/>
        <w:rPr>
          <w:rFonts w:hint="eastAsia" w:ascii="宋体" w:hAnsi="宋体" w:cs="宋体"/>
          <w:bCs/>
          <w:color w:val="auto"/>
          <w:sz w:val="28"/>
          <w:highlight w:val="none"/>
        </w:rPr>
      </w:pPr>
      <w:r>
        <w:rPr>
          <w:rFonts w:hint="eastAsia" w:ascii="宋体" w:hAnsi="宋体" w:cs="宋体"/>
          <w:color w:val="auto"/>
          <w:sz w:val="32"/>
          <w:szCs w:val="32"/>
          <w:highlight w:val="none"/>
        </w:rPr>
        <w:t>示范格式一</w:t>
      </w:r>
    </w:p>
    <w:p w14:paraId="08D0F574">
      <w:pPr>
        <w:spacing w:line="640" w:lineRule="exact"/>
        <w:ind w:firstLine="3036"/>
        <w:rPr>
          <w:rFonts w:hint="eastAsia" w:ascii="宋体" w:hAnsi="宋体" w:cs="宋体"/>
          <w:b/>
          <w:bCs/>
          <w:color w:val="auto"/>
          <w:sz w:val="32"/>
          <w:szCs w:val="32"/>
          <w:highlight w:val="none"/>
        </w:rPr>
      </w:pPr>
      <w:bookmarkStart w:id="13" w:name="_Toc10072_WPSOffice_Level1"/>
      <w:r>
        <w:rPr>
          <w:rFonts w:hint="eastAsia" w:ascii="宋体" w:hAnsi="宋体" w:cs="宋体"/>
          <w:b/>
          <w:bCs/>
          <w:color w:val="auto"/>
          <w:sz w:val="32"/>
          <w:szCs w:val="32"/>
          <w:highlight w:val="none"/>
        </w:rPr>
        <w:t>法定代表人资格证明</w:t>
      </w:r>
      <w:bookmarkEnd w:id="13"/>
    </w:p>
    <w:p w14:paraId="6F1B7EDE">
      <w:pPr>
        <w:spacing w:line="640" w:lineRule="exact"/>
        <w:ind w:firstLine="560"/>
        <w:rPr>
          <w:rFonts w:hint="eastAsia" w:ascii="宋体" w:hAnsi="宋体" w:cs="宋体"/>
          <w:color w:val="auto"/>
          <w:sz w:val="28"/>
          <w:highlight w:val="none"/>
        </w:rPr>
      </w:pPr>
    </w:p>
    <w:p w14:paraId="1BA18556">
      <w:pPr>
        <w:spacing w:line="520" w:lineRule="exac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val="zh-CN"/>
        </w:rPr>
        <w:t>单位名称：</w:t>
      </w:r>
      <w:r>
        <w:rPr>
          <w:rFonts w:hint="eastAsia" w:ascii="宋体" w:hAnsi="宋体" w:cs="宋体"/>
          <w:color w:val="auto"/>
          <w:sz w:val="24"/>
          <w:highlight w:val="none"/>
          <w:u w:val="single"/>
          <w:lang w:val="en-US" w:eastAsia="zh-CN"/>
        </w:rPr>
        <w:t xml:space="preserve">       </w:t>
      </w:r>
    </w:p>
    <w:p w14:paraId="5D638649">
      <w:pPr>
        <w:spacing w:line="52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地址：</w:t>
      </w:r>
      <w:r>
        <w:rPr>
          <w:rFonts w:hint="eastAsia" w:ascii="宋体" w:hAnsi="宋体" w:cs="宋体"/>
          <w:color w:val="auto"/>
          <w:sz w:val="24"/>
          <w:highlight w:val="none"/>
          <w:u w:val="single"/>
          <w:lang w:val="en-US" w:eastAsia="zh-CN"/>
        </w:rPr>
        <w:t xml:space="preserve">       </w:t>
      </w:r>
    </w:p>
    <w:p w14:paraId="092A5CB5">
      <w:pPr>
        <w:spacing w:line="520" w:lineRule="exac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val="zh-CN"/>
        </w:rPr>
        <w:t>姓名：</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性别：</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年龄：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职务：</w:t>
      </w:r>
      <w:r>
        <w:rPr>
          <w:rFonts w:hint="eastAsia" w:ascii="宋体" w:hAnsi="宋体" w:cs="宋体"/>
          <w:color w:val="auto"/>
          <w:sz w:val="24"/>
          <w:highlight w:val="none"/>
          <w:u w:val="single"/>
          <w:lang w:val="en-US" w:eastAsia="zh-CN"/>
        </w:rPr>
        <w:t xml:space="preserve">       </w:t>
      </w:r>
    </w:p>
    <w:p w14:paraId="087E2F2F">
      <w:pPr>
        <w:spacing w:line="52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 系 </w:t>
      </w:r>
      <w:r>
        <w:rPr>
          <w:rFonts w:hint="eastAsia" w:ascii="宋体" w:hAnsi="宋体" w:cs="宋体"/>
          <w:color w:val="auto"/>
          <w:sz w:val="24"/>
          <w:highlight w:val="none"/>
          <w:u w:val="single"/>
          <w:lang w:val="zh-CN"/>
        </w:rPr>
        <w:t>（谈判供应商名称）</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的法定代表人。</w:t>
      </w:r>
      <w:r>
        <w:rPr>
          <w:rFonts w:hint="eastAsia" w:ascii="宋体" w:hAnsi="宋体" w:cs="宋体"/>
          <w:color w:val="auto"/>
          <w:sz w:val="24"/>
          <w:highlight w:val="none"/>
        </w:rPr>
        <w:t>为参与</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项目，签署上述项目的响应文件、进行</w:t>
      </w:r>
      <w:r>
        <w:rPr>
          <w:rFonts w:hint="eastAsia" w:ascii="宋体" w:hAnsi="宋体" w:cs="宋体"/>
          <w:color w:val="auto"/>
          <w:sz w:val="24"/>
          <w:highlight w:val="none"/>
          <w:lang w:eastAsia="zh-CN"/>
        </w:rPr>
        <w:t>谈判</w:t>
      </w:r>
      <w:r>
        <w:rPr>
          <w:rFonts w:hint="eastAsia" w:ascii="宋体" w:hAnsi="宋体" w:cs="宋体"/>
          <w:color w:val="auto"/>
          <w:sz w:val="24"/>
          <w:highlight w:val="none"/>
        </w:rPr>
        <w:t>、签署合同和处理与之有关的一切事务。</w:t>
      </w:r>
    </w:p>
    <w:p w14:paraId="30A0008E">
      <w:pPr>
        <w:spacing w:line="640" w:lineRule="exact"/>
        <w:ind w:firstLine="280"/>
        <w:rPr>
          <w:rFonts w:hint="eastAsia" w:ascii="宋体" w:hAnsi="宋体" w:cs="宋体"/>
          <w:color w:val="auto"/>
          <w:sz w:val="24"/>
          <w:highlight w:val="none"/>
        </w:rPr>
      </w:pPr>
    </w:p>
    <w:p w14:paraId="65D97A45">
      <w:pPr>
        <w:spacing w:line="640" w:lineRule="exact"/>
        <w:rPr>
          <w:rFonts w:hint="eastAsia" w:ascii="宋体" w:hAnsi="宋体" w:cs="宋体"/>
          <w:color w:val="auto"/>
          <w:sz w:val="24"/>
          <w:highlight w:val="none"/>
          <w:lang w:val="zh-CN"/>
        </w:rPr>
      </w:pPr>
    </w:p>
    <w:p w14:paraId="3B821237">
      <w:pPr>
        <w:spacing w:line="640" w:lineRule="exact"/>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特此证明。</w:t>
      </w:r>
    </w:p>
    <w:p w14:paraId="0FE6E497">
      <w:pPr>
        <w:spacing w:line="640" w:lineRule="exact"/>
        <w:rPr>
          <w:rFonts w:hint="eastAsia" w:ascii="宋体" w:hAnsi="宋体" w:cs="宋体"/>
          <w:color w:val="auto"/>
          <w:sz w:val="24"/>
          <w:highlight w:val="none"/>
        </w:rPr>
      </w:pPr>
    </w:p>
    <w:p w14:paraId="77848B70">
      <w:pPr>
        <w:spacing w:line="640" w:lineRule="exact"/>
        <w:ind w:firstLine="4434"/>
        <w:rPr>
          <w:rFonts w:hint="eastAsia" w:ascii="宋体" w:hAnsi="宋体" w:cs="宋体"/>
          <w:color w:val="auto"/>
          <w:sz w:val="24"/>
          <w:highlight w:val="none"/>
        </w:rPr>
      </w:pPr>
      <w:r>
        <w:rPr>
          <w:rFonts w:hint="eastAsia" w:ascii="宋体" w:hAnsi="宋体" w:cs="宋体"/>
          <w:color w:val="auto"/>
          <w:sz w:val="24"/>
          <w:highlight w:val="none"/>
          <w:lang w:eastAsia="zh-CN"/>
        </w:rPr>
        <w:t>谈判</w:t>
      </w:r>
      <w:r>
        <w:rPr>
          <w:rFonts w:hint="eastAsia" w:ascii="宋体" w:hAnsi="宋体" w:cs="宋体"/>
          <w:color w:val="auto"/>
          <w:sz w:val="24"/>
          <w:highlight w:val="none"/>
        </w:rPr>
        <w:t>供应商：</w:t>
      </w:r>
      <w:r>
        <w:rPr>
          <w:rFonts w:hint="eastAsia" w:ascii="宋体" w:hAnsi="宋体" w:cs="宋体"/>
          <w:color w:val="auto"/>
          <w:sz w:val="24"/>
          <w:highlight w:val="none"/>
          <w:u w:val="single"/>
        </w:rPr>
        <w:t xml:space="preserve"> （加盖公章）  </w:t>
      </w:r>
    </w:p>
    <w:p w14:paraId="5D4BE20D">
      <w:pPr>
        <w:spacing w:line="640" w:lineRule="exact"/>
        <w:ind w:firstLine="5450"/>
        <w:rPr>
          <w:rFonts w:hint="eastAsia" w:ascii="宋体" w:hAnsi="宋体" w:cs="宋体"/>
          <w:color w:val="auto"/>
          <w:sz w:val="24"/>
          <w:highlight w:val="none"/>
        </w:rPr>
      </w:pP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w:t>
      </w:r>
    </w:p>
    <w:p w14:paraId="043226CE">
      <w:pPr>
        <w:spacing w:line="640" w:lineRule="exact"/>
        <w:ind w:firstLine="2736"/>
        <w:rPr>
          <w:rFonts w:hint="eastAsia" w:ascii="宋体" w:hAnsi="宋体" w:cs="宋体"/>
          <w:bCs/>
          <w:color w:val="auto"/>
          <w:sz w:val="24"/>
          <w:highlight w:val="none"/>
        </w:rPr>
      </w:pPr>
    </w:p>
    <w:p w14:paraId="4441DA5C">
      <w:pPr>
        <w:pStyle w:val="26"/>
        <w:rPr>
          <w:rFonts w:hint="eastAsia" w:hAnsi="宋体" w:cs="宋体"/>
          <w:b/>
          <w:color w:val="auto"/>
          <w:sz w:val="24"/>
          <w:szCs w:val="24"/>
          <w:highlight w:val="none"/>
        </w:rPr>
      </w:pPr>
    </w:p>
    <w:p w14:paraId="4EF6FEEB">
      <w:pPr>
        <w:spacing w:line="640" w:lineRule="exact"/>
        <w:ind w:firstLine="3204"/>
        <w:rPr>
          <w:rFonts w:hint="eastAsia" w:ascii="宋体" w:hAnsi="宋体" w:cs="宋体"/>
          <w:b/>
          <w:bCs/>
          <w:color w:val="auto"/>
          <w:sz w:val="28"/>
          <w:highlight w:val="none"/>
        </w:rPr>
      </w:pPr>
      <w:r>
        <w:rPr>
          <w:rFonts w:hint="eastAsia" w:ascii="宋体" w:hAnsi="宋体" w:cs="宋体"/>
          <w:b/>
          <w:bCs/>
          <w:color w:val="auto"/>
          <w:sz w:val="28"/>
          <w:highlight w:val="none"/>
        </w:rPr>
        <w:t>附：身份证正反彩色扫描件</w:t>
      </w:r>
    </w:p>
    <w:p w14:paraId="36D36D80">
      <w:pPr>
        <w:spacing w:line="640" w:lineRule="exact"/>
        <w:ind w:firstLine="3204"/>
        <w:rPr>
          <w:rFonts w:hint="eastAsia" w:ascii="宋体" w:hAnsi="宋体" w:cs="宋体"/>
          <w:b/>
          <w:bCs/>
          <w:color w:val="auto"/>
          <w:sz w:val="28"/>
          <w:highlight w:val="none"/>
        </w:rPr>
      </w:pPr>
    </w:p>
    <w:p w14:paraId="3E8958F3">
      <w:pPr>
        <w:pStyle w:val="26"/>
        <w:pageBreakBefore/>
        <w:spacing w:line="560" w:lineRule="exact"/>
        <w:rPr>
          <w:rFonts w:hint="eastAsia" w:hAnsi="宋体" w:cs="宋体"/>
          <w:color w:val="auto"/>
          <w:sz w:val="32"/>
          <w:highlight w:val="none"/>
          <w:u w:val="single"/>
        </w:rPr>
      </w:pPr>
      <w:r>
        <w:rPr>
          <w:rFonts w:hint="eastAsia" w:hAnsi="宋体" w:cs="宋体"/>
          <w:color w:val="auto"/>
          <w:sz w:val="32"/>
          <w:highlight w:val="none"/>
        </w:rPr>
        <w:t>示范格式二</w:t>
      </w:r>
    </w:p>
    <w:p w14:paraId="7568202C">
      <w:pPr>
        <w:spacing w:line="560" w:lineRule="exact"/>
        <w:ind w:firstLine="3357"/>
        <w:rPr>
          <w:rFonts w:hint="eastAsia" w:ascii="宋体" w:hAnsi="宋体" w:cs="宋体"/>
          <w:bCs/>
          <w:color w:val="auto"/>
          <w:sz w:val="32"/>
          <w:szCs w:val="32"/>
          <w:highlight w:val="none"/>
        </w:rPr>
      </w:pPr>
    </w:p>
    <w:p w14:paraId="660A0E32">
      <w:pPr>
        <w:spacing w:line="560" w:lineRule="exact"/>
        <w:ind w:firstLine="4160"/>
        <w:rPr>
          <w:rFonts w:hint="eastAsia" w:ascii="宋体" w:hAnsi="宋体" w:cs="宋体"/>
          <w:bCs/>
          <w:color w:val="auto"/>
          <w:sz w:val="32"/>
          <w:szCs w:val="32"/>
          <w:highlight w:val="none"/>
        </w:rPr>
      </w:pPr>
      <w:r>
        <w:rPr>
          <w:rFonts w:hint="eastAsia" w:ascii="宋体" w:hAnsi="宋体" w:cs="宋体"/>
          <w:bCs/>
          <w:color w:val="auto"/>
          <w:sz w:val="32"/>
          <w:szCs w:val="32"/>
          <w:highlight w:val="none"/>
        </w:rPr>
        <w:t>授权委托书</w:t>
      </w:r>
    </w:p>
    <w:p w14:paraId="67B042E2">
      <w:pPr>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lang w:val="en-US" w:eastAsia="zh-CN"/>
        </w:rPr>
        <w:t xml:space="preserve">       </w:t>
      </w:r>
    </w:p>
    <w:p w14:paraId="4D14D326">
      <w:pPr>
        <w:spacing w:line="560" w:lineRule="exact"/>
        <w:rPr>
          <w:rFonts w:hint="eastAsia" w:ascii="宋体" w:hAnsi="宋体" w:cs="宋体"/>
          <w:color w:val="auto"/>
          <w:sz w:val="24"/>
          <w:highlight w:val="none"/>
        </w:rPr>
      </w:pPr>
      <w:r>
        <w:rPr>
          <w:rFonts w:hint="eastAsia" w:ascii="宋体" w:hAnsi="宋体" w:cs="宋体"/>
          <w:color w:val="auto"/>
          <w:sz w:val="24"/>
          <w:highlight w:val="none"/>
        </w:rPr>
        <w:t>本授权书宣告：</w:t>
      </w:r>
    </w:p>
    <w:p w14:paraId="02970EBD">
      <w:pPr>
        <w:spacing w:line="560" w:lineRule="exact"/>
        <w:rPr>
          <w:rFonts w:hint="eastAsia" w:ascii="宋体" w:hAnsi="宋体" w:cs="宋体"/>
          <w:color w:val="auto"/>
          <w:sz w:val="24"/>
          <w:highlight w:val="none"/>
          <w:u w:val="single"/>
          <w:lang w:val="en-US" w:eastAsia="zh-CN"/>
        </w:rPr>
      </w:pPr>
      <w:r>
        <w:rPr>
          <w:rFonts w:hint="eastAsia" w:ascii="宋体" w:hAnsi="宋体" w:cs="宋体"/>
          <w:color w:val="auto"/>
          <w:sz w:val="24"/>
          <w:highlight w:val="none"/>
        </w:rPr>
        <w:t>委托方：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地址：</w:t>
      </w:r>
      <w:r>
        <w:rPr>
          <w:rFonts w:hint="eastAsia" w:ascii="宋体" w:hAnsi="宋体" w:cs="宋体"/>
          <w:color w:val="auto"/>
          <w:sz w:val="24"/>
          <w:highlight w:val="none"/>
          <w:u w:val="single"/>
          <w:lang w:val="en-US" w:eastAsia="zh-CN"/>
        </w:rPr>
        <w:t xml:space="preserve">         </w:t>
      </w:r>
    </w:p>
    <w:p w14:paraId="535B2FD3">
      <w:pPr>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lang w:val="en-US" w:eastAsia="zh-CN"/>
        </w:rPr>
        <w:t xml:space="preserve">          </w:t>
      </w:r>
    </w:p>
    <w:p w14:paraId="3EC00CED">
      <w:pPr>
        <w:spacing w:line="520" w:lineRule="exact"/>
        <w:rPr>
          <w:rFonts w:hint="eastAsia" w:ascii="宋体" w:hAnsi="宋体" w:cs="宋体"/>
          <w:color w:val="auto"/>
          <w:sz w:val="24"/>
          <w:highlight w:val="none"/>
        </w:rPr>
      </w:pPr>
      <w:r>
        <w:rPr>
          <w:rFonts w:hint="eastAsia" w:ascii="宋体" w:hAnsi="宋体" w:cs="宋体"/>
          <w:color w:val="auto"/>
          <w:sz w:val="24"/>
          <w:highlight w:val="none"/>
        </w:rPr>
        <w:t>受托人：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姓名</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出生日期：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日</w:t>
      </w:r>
    </w:p>
    <w:p w14:paraId="4AD3FDBE">
      <w:pPr>
        <w:spacing w:line="560" w:lineRule="exact"/>
        <w:rPr>
          <w:rFonts w:hint="eastAsia" w:ascii="宋体" w:hAnsi="宋体" w:cs="宋体"/>
          <w:color w:val="auto"/>
          <w:sz w:val="24"/>
          <w:highlight w:val="none"/>
        </w:rPr>
      </w:pPr>
      <w:r>
        <w:rPr>
          <w:rFonts w:hint="eastAsia" w:ascii="宋体" w:hAnsi="宋体" w:cs="宋体"/>
          <w:color w:val="auto"/>
          <w:sz w:val="24"/>
          <w:highlight w:val="none"/>
        </w:rPr>
        <w:t>所在单位：</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职务：</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w:t>
      </w:r>
    </w:p>
    <w:p w14:paraId="4B7D36BD">
      <w:pPr>
        <w:spacing w:line="560" w:lineRule="exact"/>
        <w:rPr>
          <w:rFonts w:hint="eastAsia" w:ascii="宋体" w:hAnsi="宋体" w:cs="宋体"/>
          <w:color w:val="auto"/>
          <w:sz w:val="24"/>
          <w:highlight w:val="none"/>
        </w:rPr>
      </w:pPr>
      <w:r>
        <w:rPr>
          <w:rFonts w:hint="eastAsia" w:ascii="宋体" w:hAnsi="宋体" w:cs="宋体"/>
          <w:color w:val="auto"/>
          <w:sz w:val="24"/>
          <w:highlight w:val="none"/>
        </w:rPr>
        <w:t>身 份 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联系方式：</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w:t>
      </w:r>
    </w:p>
    <w:p w14:paraId="16BAB5E7">
      <w:pPr>
        <w:spacing w:line="560" w:lineRule="exact"/>
        <w:ind w:firstLine="720"/>
        <w:rPr>
          <w:rFonts w:hint="eastAsia" w:ascii="宋体" w:hAnsi="宋体" w:cs="宋体"/>
          <w:color w:val="auto"/>
          <w:sz w:val="24"/>
          <w:highlight w:val="none"/>
        </w:rPr>
      </w:pPr>
      <w:r>
        <w:rPr>
          <w:rFonts w:hint="eastAsia" w:ascii="宋体" w:hAnsi="宋体" w:cs="宋体"/>
          <w:color w:val="auto"/>
          <w:sz w:val="24"/>
          <w:highlight w:val="none"/>
        </w:rPr>
        <w:t>兹委托受托人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代表我公司参加</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组织的 </w:t>
      </w:r>
      <w:r>
        <w:rPr>
          <w:rFonts w:hint="eastAsia" w:ascii="宋体" w:hAnsi="宋体" w:cs="宋体"/>
          <w:color w:val="auto"/>
          <w:sz w:val="24"/>
          <w:highlight w:val="none"/>
          <w:u w:val="single"/>
        </w:rPr>
        <w:t>项目名称（项目编号：）</w:t>
      </w:r>
      <w:r>
        <w:rPr>
          <w:rFonts w:hint="eastAsia" w:ascii="宋体" w:hAnsi="宋体" w:cs="宋体"/>
          <w:color w:val="auto"/>
          <w:sz w:val="24"/>
          <w:highlight w:val="none"/>
        </w:rPr>
        <w:t>采购项目的政府采购活动，受托人有权在该</w:t>
      </w:r>
      <w:r>
        <w:rPr>
          <w:rFonts w:hint="eastAsia" w:ascii="宋体" w:hAnsi="宋体" w:cs="宋体"/>
          <w:color w:val="auto"/>
          <w:sz w:val="24"/>
          <w:highlight w:val="none"/>
          <w:lang w:eastAsia="zh-CN"/>
        </w:rPr>
        <w:t>谈判</w:t>
      </w:r>
      <w:r>
        <w:rPr>
          <w:rFonts w:hint="eastAsia" w:ascii="宋体" w:hAnsi="宋体" w:cs="宋体"/>
          <w:color w:val="auto"/>
          <w:sz w:val="24"/>
          <w:highlight w:val="none"/>
        </w:rPr>
        <w:t>活动中，以我单位的名义签署</w:t>
      </w:r>
      <w:r>
        <w:rPr>
          <w:rFonts w:hint="eastAsia" w:ascii="宋体" w:hAnsi="宋体" w:cs="宋体"/>
          <w:color w:val="auto"/>
          <w:sz w:val="24"/>
          <w:highlight w:val="none"/>
          <w:lang w:eastAsia="zh-CN"/>
        </w:rPr>
        <w:t>谈判</w:t>
      </w:r>
      <w:r>
        <w:rPr>
          <w:rFonts w:hint="eastAsia" w:ascii="宋体" w:hAnsi="宋体" w:cs="宋体"/>
          <w:color w:val="auto"/>
          <w:sz w:val="24"/>
          <w:highlight w:val="none"/>
        </w:rPr>
        <w:t>函和响应文件，与采购人协商、澄清、解释，签订合同书并执行一切与此有关的事项。</w:t>
      </w:r>
    </w:p>
    <w:p w14:paraId="0F2D2890">
      <w:pPr>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受托人在办理上述事宜过程中以其自己的名义所签署的所有文件我公司均予以承认。受托人无转委托权。</w:t>
      </w:r>
    </w:p>
    <w:p w14:paraId="004A19E6">
      <w:pPr>
        <w:spacing w:line="560" w:lineRule="exact"/>
        <w:ind w:firstLine="720"/>
        <w:rPr>
          <w:rFonts w:hint="eastAsia" w:ascii="宋体" w:hAnsi="宋体" w:cs="宋体"/>
          <w:color w:val="auto"/>
          <w:sz w:val="24"/>
          <w:highlight w:val="none"/>
        </w:rPr>
      </w:pPr>
      <w:r>
        <w:rPr>
          <w:rFonts w:hint="eastAsia" w:ascii="宋体" w:hAnsi="宋体" w:cs="宋体"/>
          <w:color w:val="auto"/>
          <w:sz w:val="24"/>
          <w:highlight w:val="none"/>
        </w:rPr>
        <w:t>委托期限：至上述事宜处理完毕止。</w:t>
      </w:r>
    </w:p>
    <w:p w14:paraId="7BDEEB8C">
      <w:pPr>
        <w:spacing w:line="560" w:lineRule="exact"/>
        <w:ind w:firstLine="4320"/>
        <w:rPr>
          <w:rFonts w:hint="eastAsia" w:ascii="宋体" w:hAnsi="宋体" w:cs="宋体"/>
          <w:color w:val="auto"/>
          <w:sz w:val="24"/>
          <w:highlight w:val="none"/>
        </w:rPr>
      </w:pPr>
    </w:p>
    <w:p w14:paraId="25F65B28">
      <w:pPr>
        <w:pStyle w:val="49"/>
        <w:rPr>
          <w:color w:val="auto"/>
          <w:highlight w:val="none"/>
        </w:rPr>
      </w:pPr>
    </w:p>
    <w:p w14:paraId="49EFC04B">
      <w:pPr>
        <w:spacing w:line="560" w:lineRule="exact"/>
        <w:ind w:firstLine="4800"/>
        <w:rPr>
          <w:rFonts w:hint="eastAsia" w:ascii="宋体" w:hAnsi="宋体" w:cs="宋体"/>
          <w:color w:val="auto"/>
          <w:sz w:val="24"/>
          <w:highlight w:val="none"/>
          <w:u w:val="single"/>
        </w:rPr>
      </w:pPr>
      <w:r>
        <w:rPr>
          <w:rFonts w:hint="eastAsia" w:ascii="宋体" w:hAnsi="宋体" w:cs="宋体"/>
          <w:color w:val="auto"/>
          <w:sz w:val="24"/>
          <w:highlight w:val="none"/>
        </w:rPr>
        <w:t>委托单位</w:t>
      </w:r>
      <w:r>
        <w:rPr>
          <w:rFonts w:hint="eastAsia" w:ascii="宋体" w:hAnsi="宋体" w:cs="宋体"/>
          <w:color w:val="auto"/>
          <w:sz w:val="24"/>
          <w:highlight w:val="none"/>
          <w:u w:val="single"/>
        </w:rPr>
        <w:t xml:space="preserve">    （加盖公章）    </w:t>
      </w:r>
    </w:p>
    <w:p w14:paraId="763DA8E7">
      <w:pPr>
        <w:spacing w:line="560" w:lineRule="exact"/>
        <w:ind w:firstLine="4800"/>
        <w:rPr>
          <w:rFonts w:hint="eastAsia" w:ascii="宋体" w:hAnsi="宋体" w:cs="宋体"/>
          <w:color w:val="auto"/>
          <w:sz w:val="24"/>
          <w:highlight w:val="none"/>
        </w:rPr>
      </w:pPr>
      <w:r>
        <w:rPr>
          <w:rFonts w:hint="eastAsia" w:ascii="宋体" w:hAnsi="宋体" w:cs="宋体"/>
          <w:color w:val="auto"/>
          <w:sz w:val="24"/>
          <w:highlight w:val="none"/>
        </w:rPr>
        <w:t>日期：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w:t>
      </w:r>
    </w:p>
    <w:p w14:paraId="1C4F0E8A">
      <w:pPr>
        <w:spacing w:line="560" w:lineRule="exact"/>
        <w:ind w:firstLine="5481"/>
        <w:rPr>
          <w:rFonts w:hint="eastAsia" w:ascii="宋体" w:hAnsi="宋体" w:cs="宋体"/>
          <w:b/>
          <w:bCs/>
          <w:color w:val="auto"/>
          <w:sz w:val="28"/>
          <w:highlight w:val="none"/>
        </w:rPr>
      </w:pPr>
    </w:p>
    <w:p w14:paraId="06613277">
      <w:pPr>
        <w:spacing w:line="520" w:lineRule="exact"/>
        <w:ind w:firstLine="604"/>
        <w:rPr>
          <w:rFonts w:hint="eastAsia" w:ascii="宋体" w:hAnsi="宋体" w:cs="宋体"/>
          <w:color w:val="auto"/>
          <w:sz w:val="28"/>
          <w:szCs w:val="28"/>
          <w:highlight w:val="none"/>
        </w:rPr>
      </w:pPr>
    </w:p>
    <w:p w14:paraId="7644A923">
      <w:pPr>
        <w:pStyle w:val="2"/>
        <w:rPr>
          <w:color w:val="auto"/>
          <w:highlight w:val="none"/>
        </w:rPr>
      </w:pPr>
    </w:p>
    <w:p w14:paraId="6BE41C3C">
      <w:pPr>
        <w:spacing w:line="640" w:lineRule="exact"/>
        <w:ind w:firstLine="3204"/>
        <w:rPr>
          <w:rFonts w:hint="eastAsia" w:ascii="宋体" w:hAnsi="宋体" w:cs="宋体"/>
          <w:b/>
          <w:bCs/>
          <w:color w:val="auto"/>
          <w:sz w:val="28"/>
          <w:highlight w:val="none"/>
        </w:rPr>
      </w:pPr>
      <w:r>
        <w:rPr>
          <w:rFonts w:hint="eastAsia" w:ascii="宋体" w:hAnsi="宋体" w:cs="宋体"/>
          <w:b/>
          <w:bCs/>
          <w:color w:val="auto"/>
          <w:sz w:val="28"/>
          <w:highlight w:val="none"/>
        </w:rPr>
        <w:t>附：身份证正反彩色扫描件</w:t>
      </w:r>
    </w:p>
    <w:p w14:paraId="0FD2B1EC">
      <w:pPr>
        <w:spacing w:line="640" w:lineRule="exact"/>
        <w:ind w:firstLine="3204"/>
        <w:rPr>
          <w:rFonts w:hint="eastAsia" w:ascii="宋体" w:hAnsi="宋体" w:cs="宋体"/>
          <w:b/>
          <w:bCs/>
          <w:color w:val="auto"/>
          <w:sz w:val="28"/>
          <w:highlight w:val="none"/>
        </w:rPr>
      </w:pPr>
    </w:p>
    <w:p w14:paraId="248550F6">
      <w:pPr>
        <w:spacing w:line="520" w:lineRule="exact"/>
        <w:ind w:firstLine="604"/>
        <w:rPr>
          <w:rFonts w:hint="eastAsia" w:ascii="宋体" w:hAnsi="宋体" w:cs="宋体"/>
          <w:color w:val="auto"/>
          <w:sz w:val="28"/>
          <w:szCs w:val="28"/>
          <w:highlight w:val="none"/>
        </w:rPr>
      </w:pPr>
    </w:p>
    <w:p w14:paraId="7B88F478">
      <w:pPr>
        <w:spacing w:line="640" w:lineRule="exact"/>
        <w:ind w:left="-359" w:firstLine="357"/>
        <w:outlineLvl w:val="0"/>
        <w:rPr>
          <w:b/>
          <w:color w:val="auto"/>
          <w:sz w:val="28"/>
          <w:szCs w:val="28"/>
          <w:highlight w:val="none"/>
        </w:rPr>
      </w:pPr>
      <w:r>
        <w:rPr>
          <w:rFonts w:hint="eastAsia"/>
          <w:b/>
          <w:color w:val="auto"/>
          <w:sz w:val="32"/>
          <w:highlight w:val="none"/>
        </w:rPr>
        <w:t>示范格式三</w:t>
      </w:r>
    </w:p>
    <w:p w14:paraId="0296CE85">
      <w:pPr>
        <w:pStyle w:val="95"/>
        <w:ind w:firstLine="643"/>
        <w:jc w:val="center"/>
        <w:rPr>
          <w:rFonts w:hint="eastAsia" w:ascii="宋体" w:hAnsi="宋体" w:eastAsia="宋体"/>
          <w:b/>
          <w:color w:val="auto"/>
          <w:sz w:val="32"/>
          <w:highlight w:val="none"/>
        </w:rPr>
      </w:pPr>
    </w:p>
    <w:p w14:paraId="55C991BB">
      <w:pPr>
        <w:pStyle w:val="95"/>
        <w:jc w:val="center"/>
        <w:rPr>
          <w:rFonts w:hint="eastAsia" w:ascii="宋体" w:hAnsi="宋体" w:eastAsia="宋体"/>
          <w:b/>
          <w:color w:val="auto"/>
          <w:sz w:val="32"/>
          <w:highlight w:val="none"/>
        </w:rPr>
      </w:pPr>
      <w:r>
        <w:rPr>
          <w:rFonts w:hint="eastAsia" w:ascii="宋体" w:hAnsi="宋体" w:eastAsia="宋体"/>
          <w:b/>
          <w:color w:val="auto"/>
          <w:sz w:val="32"/>
          <w:highlight w:val="none"/>
        </w:rPr>
        <w:t>承诺书</w:t>
      </w:r>
    </w:p>
    <w:p w14:paraId="124D3013">
      <w:pPr>
        <w:pStyle w:val="95"/>
        <w:spacing w:line="360" w:lineRule="auto"/>
        <w:ind w:firstLine="480"/>
        <w:rPr>
          <w:rFonts w:hint="eastAsia" w:ascii="宋体" w:hAnsi="宋体" w:eastAsia="宋体" w:cs="宋体"/>
          <w:color w:val="auto"/>
          <w:sz w:val="24"/>
          <w:szCs w:val="24"/>
          <w:highlight w:val="none"/>
        </w:rPr>
      </w:pPr>
    </w:p>
    <w:p w14:paraId="79134515">
      <w:pPr>
        <w:pStyle w:val="95"/>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我方参加本次采购活动，我方承诺不存在下列情形：</w:t>
      </w:r>
    </w:p>
    <w:p w14:paraId="74A7A171">
      <w:pPr>
        <w:pStyle w:val="95"/>
        <w:spacing w:line="360" w:lineRule="auto"/>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1、供应商单位负责人为同一人或者存在直接控股、管理关系的不同供应商，不得同时参加同一合同项下的政府采购活动；</w:t>
      </w:r>
    </w:p>
    <w:p w14:paraId="521F88D0">
      <w:pPr>
        <w:pStyle w:val="95"/>
        <w:spacing w:line="360" w:lineRule="auto"/>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2、为采购项目提供整体设计、规范编制或者项目管理、监理、检测等服务的供应商；</w:t>
      </w:r>
    </w:p>
    <w:p w14:paraId="5D4CD5CB">
      <w:pPr>
        <w:pStyle w:val="95"/>
        <w:spacing w:line="360" w:lineRule="auto"/>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3、列入失信被执行人、重大税收违法案件当事人名单、政府采购严重违法失信行为记录名单中的供应商</w:t>
      </w:r>
      <w:r>
        <w:rPr>
          <w:rFonts w:hint="eastAsia" w:ascii="宋体" w:hAnsi="宋体" w:eastAsia="宋体" w:cs="宋体"/>
          <w:color w:val="auto"/>
          <w:sz w:val="24"/>
          <w:szCs w:val="24"/>
          <w:highlight w:val="none"/>
        </w:rPr>
        <w:t>。</w:t>
      </w:r>
    </w:p>
    <w:p w14:paraId="2C0D70F7">
      <w:pPr>
        <w:pStyle w:val="95"/>
        <w:spacing w:line="360" w:lineRule="auto"/>
        <w:ind w:firstLine="480"/>
        <w:rPr>
          <w:rFonts w:hint="eastAsia" w:ascii="宋体" w:hAnsi="宋体" w:eastAsia="宋体" w:cs="宋体"/>
          <w:color w:val="auto"/>
          <w:sz w:val="24"/>
          <w:szCs w:val="24"/>
          <w:highlight w:val="none"/>
        </w:rPr>
      </w:pPr>
    </w:p>
    <w:p w14:paraId="6EAF3B8B">
      <w:pPr>
        <w:pStyle w:val="95"/>
        <w:spacing w:line="360" w:lineRule="auto"/>
        <w:ind w:firstLine="480"/>
        <w:rPr>
          <w:rFonts w:hint="eastAsia" w:ascii="宋体" w:hAnsi="宋体" w:eastAsia="宋体" w:cs="宋体"/>
          <w:color w:val="auto"/>
          <w:sz w:val="24"/>
          <w:szCs w:val="24"/>
          <w:highlight w:val="none"/>
        </w:rPr>
      </w:pPr>
    </w:p>
    <w:p w14:paraId="501213F8">
      <w:pPr>
        <w:pStyle w:val="95"/>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供应商（盖章）：</w:t>
      </w:r>
    </w:p>
    <w:p w14:paraId="081357CB">
      <w:pPr>
        <w:pStyle w:val="95"/>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法定代表人或授权委托人（签字或盖章）：</w:t>
      </w:r>
    </w:p>
    <w:p w14:paraId="68B42C9D">
      <w:pPr>
        <w:pStyle w:val="95"/>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时间：</w:t>
      </w:r>
    </w:p>
    <w:p w14:paraId="11E1E2DC">
      <w:pPr>
        <w:pStyle w:val="95"/>
        <w:ind w:firstLine="0"/>
        <w:rPr>
          <w:rFonts w:hint="eastAsia" w:ascii="宋体" w:hAnsi="宋体" w:eastAsia="宋体" w:cs="宋体"/>
          <w:b/>
          <w:color w:val="auto"/>
          <w:sz w:val="32"/>
          <w:highlight w:val="none"/>
        </w:rPr>
      </w:pPr>
    </w:p>
    <w:p w14:paraId="333E5A47">
      <w:pPr>
        <w:pStyle w:val="95"/>
        <w:ind w:firstLine="0"/>
        <w:rPr>
          <w:rFonts w:hint="eastAsia" w:ascii="宋体" w:hAnsi="宋体" w:eastAsia="宋体" w:cs="宋体"/>
          <w:b/>
          <w:color w:val="auto"/>
          <w:sz w:val="32"/>
          <w:highlight w:val="none"/>
        </w:rPr>
      </w:pPr>
    </w:p>
    <w:p w14:paraId="672B18A5">
      <w:pPr>
        <w:spacing w:line="360" w:lineRule="auto"/>
        <w:jc w:val="left"/>
        <w:rPr>
          <w:rFonts w:hint="eastAsia" w:ascii="宋体" w:hAnsi="宋体" w:cs="宋体"/>
          <w:b/>
          <w:color w:val="auto"/>
          <w:sz w:val="24"/>
          <w:highlight w:val="none"/>
        </w:rPr>
      </w:pPr>
      <w:r>
        <w:rPr>
          <w:rFonts w:hint="eastAsia"/>
          <w:b/>
          <w:color w:val="auto"/>
          <w:sz w:val="32"/>
          <w:highlight w:val="none"/>
        </w:rPr>
        <w:br w:type="page" w:clear="all"/>
      </w:r>
      <w:r>
        <w:rPr>
          <w:rFonts w:hint="eastAsia"/>
          <w:b/>
          <w:color w:val="auto"/>
          <w:sz w:val="32"/>
          <w:szCs w:val="32"/>
          <w:highlight w:val="none"/>
        </w:rPr>
        <w:t xml:space="preserve">示范格式四        </w:t>
      </w:r>
    </w:p>
    <w:p w14:paraId="5C0EDB5A">
      <w:pPr>
        <w:spacing w:line="360" w:lineRule="auto"/>
        <w:jc w:val="left"/>
        <w:rPr>
          <w:rFonts w:hint="eastAsia" w:ascii="仿宋" w:hAnsi="仿宋" w:eastAsia="仿宋"/>
          <w:bCs/>
          <w:color w:val="auto"/>
          <w:sz w:val="28"/>
          <w:szCs w:val="28"/>
          <w:highlight w:val="none"/>
        </w:rPr>
      </w:pPr>
    </w:p>
    <w:p w14:paraId="1AC18849">
      <w:pPr>
        <w:jc w:val="center"/>
        <w:rPr>
          <w:rFonts w:hint="eastAsia" w:ascii="宋体" w:hAnsi="宋体" w:eastAsia="宋体" w:cs="宋体"/>
          <w:b/>
          <w:color w:val="auto"/>
          <w:sz w:val="32"/>
          <w:szCs w:val="32"/>
          <w:highlight w:val="none"/>
        </w:rPr>
      </w:pPr>
      <w:r>
        <w:rPr>
          <w:rFonts w:hint="eastAsia" w:ascii="宋体" w:hAnsi="宋体" w:eastAsia="宋体" w:cs="宋体"/>
          <w:b/>
          <w:bCs/>
          <w:color w:val="auto"/>
          <w:sz w:val="32"/>
          <w:szCs w:val="32"/>
          <w:highlight w:val="none"/>
        </w:rPr>
        <w:t>中小企业声明函（货物类）</w:t>
      </w:r>
    </w:p>
    <w:p w14:paraId="213F331F">
      <w:pPr>
        <w:spacing w:line="500" w:lineRule="exact"/>
        <w:rPr>
          <w:rFonts w:hint="eastAsia" w:ascii="宋体" w:hAnsi="宋体" w:eastAsia="宋体" w:cs="宋体"/>
          <w:bCs/>
          <w:color w:val="auto"/>
          <w:sz w:val="28"/>
          <w:szCs w:val="28"/>
          <w:highlight w:val="none"/>
        </w:rPr>
      </w:pPr>
    </w:p>
    <w:p w14:paraId="65A8C574">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 </w:t>
      </w:r>
      <w:r>
        <w:rPr>
          <w:rFonts w:hint="eastAsia" w:ascii="宋体" w:hAnsi="宋体" w:eastAsia="宋体" w:cs="宋体"/>
          <w:bCs/>
          <w:color w:val="auto"/>
          <w:sz w:val="24"/>
          <w:szCs w:val="24"/>
          <w:highlight w:val="none"/>
          <w:u w:val="single"/>
        </w:rPr>
        <w:t xml:space="preserve">采购人     </w:t>
      </w:r>
      <w:r>
        <w:rPr>
          <w:rFonts w:hint="eastAsia" w:ascii="宋体" w:hAnsi="宋体" w:eastAsia="宋体" w:cs="宋体"/>
          <w:bCs/>
          <w:color w:val="auto"/>
          <w:sz w:val="24"/>
          <w:szCs w:val="24"/>
          <w:highlight w:val="none"/>
        </w:rPr>
        <w:t>:</w:t>
      </w:r>
    </w:p>
    <w:p w14:paraId="43CC9AA1">
      <w:pPr>
        <w:spacing w:line="50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本公司郑重声明，根据《政府采购促进中小企业发展管理办法》（财库﹝2020﹞46号）的规定，本公司参加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 xml:space="preserve">采购活动，提供的货物全部由符合政策要求的中小企业制造。相关企业的具体情况如下： </w:t>
      </w:r>
    </w:p>
    <w:p w14:paraId="68A44218">
      <w:pPr>
        <w:spacing w:line="50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u w:val="single"/>
        </w:rPr>
        <w:t>（标的名称）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rPr>
        <w:t xml:space="preserve">行业；制造商为（企业名称），从业人员人，营业收入为万元，资产总额为万元，属于（中型企业、小型企业、微型企业）； </w:t>
      </w:r>
    </w:p>
    <w:p w14:paraId="6D9C877D">
      <w:pPr>
        <w:spacing w:line="50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w:t>
      </w:r>
      <w:r>
        <w:rPr>
          <w:rFonts w:hint="eastAsia" w:ascii="宋体" w:hAnsi="宋体" w:eastAsia="宋体" w:cs="宋体"/>
          <w:bCs/>
          <w:color w:val="auto"/>
          <w:sz w:val="24"/>
          <w:szCs w:val="24"/>
          <w:highlight w:val="none"/>
        </w:rPr>
        <w:t xml:space="preserve"> ，属于（采购文件中明确的所属行业）行业；制造商为（企业名称），从业人员人，营业收入为万元，资产总额为万元，属于（中型企业、小型企业、微型企业）;</w:t>
      </w:r>
    </w:p>
    <w:p w14:paraId="13CC1795">
      <w:pPr>
        <w:spacing w:line="50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0D360775">
      <w:pPr>
        <w:spacing w:line="50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w:t>
      </w:r>
    </w:p>
    <w:p w14:paraId="7AA30BB8">
      <w:pPr>
        <w:spacing w:line="50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本企业对上述声明内容的真实性负责。如有虚假，将依法承担相应责任。 </w:t>
      </w:r>
    </w:p>
    <w:p w14:paraId="544486BB">
      <w:pPr>
        <w:spacing w:line="440" w:lineRule="exact"/>
        <w:ind w:firstLine="561"/>
        <w:rPr>
          <w:rFonts w:hint="eastAsia" w:ascii="宋体" w:hAnsi="宋体" w:eastAsia="宋体" w:cs="宋体"/>
          <w:bCs/>
          <w:color w:val="auto"/>
          <w:sz w:val="24"/>
          <w:szCs w:val="24"/>
          <w:highlight w:val="none"/>
        </w:rPr>
      </w:pPr>
    </w:p>
    <w:p w14:paraId="034300A7">
      <w:pPr>
        <w:spacing w:line="640" w:lineRule="exact"/>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供应商:</w:t>
      </w:r>
      <w:r>
        <w:rPr>
          <w:rFonts w:hint="eastAsia" w:ascii="宋体" w:hAnsi="宋体" w:eastAsia="宋体" w:cs="宋体"/>
          <w:color w:val="auto"/>
          <w:sz w:val="24"/>
          <w:szCs w:val="24"/>
          <w:highlight w:val="none"/>
          <w:u w:val="single"/>
          <w:lang w:val="zh-CN"/>
        </w:rPr>
        <w:t xml:space="preserve">（电子签章） </w:t>
      </w:r>
    </w:p>
    <w:p w14:paraId="071F7571">
      <w:pPr>
        <w:spacing w:line="640" w:lineRule="exact"/>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（电子签章或电子签字）</w:t>
      </w:r>
    </w:p>
    <w:p w14:paraId="5277156C">
      <w:pPr>
        <w:spacing w:line="640" w:lineRule="exact"/>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日</w:t>
      </w:r>
    </w:p>
    <w:p w14:paraId="727E38BA">
      <w:pPr>
        <w:spacing w:line="600" w:lineRule="exact"/>
        <w:ind w:firstLine="42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注：从业人员、营业收入、资产总额填报上一年度数据，无上一年度数据的新成立企业可不填报。</w:t>
      </w:r>
    </w:p>
    <w:p w14:paraId="7242D749">
      <w:pPr>
        <w:widowControl/>
        <w:spacing w:line="640" w:lineRule="exact"/>
        <w:rPr>
          <w:rFonts w:hint="eastAsia" w:ascii="宋体" w:hAnsi="宋体" w:eastAsia="宋体" w:cs="宋体"/>
          <w:b/>
          <w:bCs/>
          <w:color w:val="auto"/>
          <w:sz w:val="32"/>
          <w:szCs w:val="32"/>
          <w:highlight w:val="none"/>
        </w:rPr>
      </w:pPr>
    </w:p>
    <w:p w14:paraId="64CB64B4">
      <w:pPr>
        <w:widowControl/>
        <w:spacing w:line="640" w:lineRule="exact"/>
        <w:rPr>
          <w:rFonts w:hint="eastAsia" w:ascii="宋体" w:hAnsi="宋体" w:eastAsia="宋体" w:cs="宋体"/>
          <w:b/>
          <w:bCs/>
          <w:color w:val="auto"/>
          <w:sz w:val="32"/>
          <w:szCs w:val="32"/>
          <w:highlight w:val="none"/>
        </w:rPr>
      </w:pPr>
    </w:p>
    <w:p w14:paraId="0830F8EF">
      <w:pPr>
        <w:pStyle w:val="60"/>
        <w:rPr>
          <w:rFonts w:hint="eastAsia"/>
          <w:color w:val="auto"/>
          <w:highlight w:val="none"/>
        </w:rPr>
      </w:pPr>
    </w:p>
    <w:p w14:paraId="02A53D4A">
      <w:pPr>
        <w:pStyle w:val="2"/>
        <w:ind w:left="0" w:firstLine="0"/>
        <w:rPr>
          <w:color w:val="auto"/>
          <w:highlight w:val="none"/>
        </w:rPr>
      </w:pPr>
    </w:p>
    <w:p w14:paraId="505365BB">
      <w:pPr>
        <w:widowControl/>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示范格式五</w:t>
      </w:r>
    </w:p>
    <w:p w14:paraId="1A44BF83">
      <w:pPr>
        <w:widowControl/>
        <w:spacing w:line="640" w:lineRule="exact"/>
        <w:jc w:val="center"/>
        <w:rPr>
          <w:rFonts w:hint="eastAsia" w:ascii="仿宋" w:hAnsi="仿宋" w:eastAsia="仿宋"/>
          <w:color w:val="auto"/>
          <w:sz w:val="24"/>
          <w:highlight w:val="none"/>
        </w:rPr>
      </w:pPr>
      <w:r>
        <w:rPr>
          <w:rFonts w:hint="eastAsia" w:ascii="仿宋" w:hAnsi="仿宋" w:eastAsia="仿宋"/>
          <w:b/>
          <w:bCs/>
          <w:color w:val="auto"/>
          <w:sz w:val="32"/>
          <w:szCs w:val="32"/>
          <w:highlight w:val="none"/>
        </w:rPr>
        <w:t>残疾人福利性单位声明函</w:t>
      </w:r>
    </w:p>
    <w:p w14:paraId="2EDB7471">
      <w:pPr>
        <w:pStyle w:val="15"/>
        <w:spacing w:line="64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p>
    <w:p w14:paraId="3C8A95F7">
      <w:pPr>
        <w:pStyle w:val="15"/>
        <w:spacing w:line="64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38E5D6DE">
      <w:pPr>
        <w:pStyle w:val="15"/>
        <w:spacing w:line="64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1、根据《财政部 民政部 中国残疾人联合会关于促进残疾人就业政府采购政策的通知》（财库〔2017〕141 号）规定的划分标准，本公司为残疾人福利性企业。</w:t>
      </w:r>
    </w:p>
    <w:p w14:paraId="5F249C09">
      <w:pPr>
        <w:pStyle w:val="15"/>
        <w:spacing w:line="64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2、本单位参加</w:t>
      </w:r>
      <w:r>
        <w:rPr>
          <w:rFonts w:hint="eastAsia" w:ascii="宋体" w:hAnsi="宋体" w:eastAsia="宋体" w:cs="宋体"/>
          <w:bCs/>
          <w:color w:val="auto"/>
          <w:sz w:val="24"/>
          <w:szCs w:val="24"/>
          <w:highlight w:val="none"/>
          <w:u w:val="single"/>
        </w:rPr>
        <w:t>（采购单位名称）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（采购项目名称）</w:t>
      </w:r>
      <w:r>
        <w:rPr>
          <w:rFonts w:hint="eastAsia" w:ascii="宋体" w:hAnsi="宋体" w:eastAsia="宋体" w:cs="宋体"/>
          <w:bCs/>
          <w:color w:val="auto"/>
          <w:sz w:val="24"/>
          <w:szCs w:val="24"/>
          <w:highlight w:val="none"/>
        </w:rPr>
        <w:t>采购活动提供本企业制造的货物，由本企业承担工程、提供服务，或者提供其他残疾人福利性单位制造的货物不包括使用非残疾人福利性单位注册商标的货物。</w:t>
      </w:r>
    </w:p>
    <w:p w14:paraId="65EEE923">
      <w:pPr>
        <w:pStyle w:val="15"/>
        <w:spacing w:line="64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bCs/>
          <w:color w:val="auto"/>
          <w:sz w:val="24"/>
          <w:szCs w:val="24"/>
          <w:highlight w:val="none"/>
        </w:rPr>
        <w:t>本公司对上述声明的真实性负责。如有虚假，将依法承担相应责任。</w:t>
      </w:r>
    </w:p>
    <w:p w14:paraId="66821470">
      <w:pPr>
        <w:spacing w:line="640" w:lineRule="exact"/>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lang w:val="zh-CN"/>
        </w:rPr>
        <w:t xml:space="preserve">     （电子签章）     </w:t>
      </w:r>
    </w:p>
    <w:p w14:paraId="0650FDEE">
      <w:pPr>
        <w:spacing w:line="640" w:lineRule="exact"/>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（电子签章或电子签字）</w:t>
      </w:r>
    </w:p>
    <w:p w14:paraId="12701E78">
      <w:pPr>
        <w:spacing w:line="640" w:lineRule="exact"/>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  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日</w:t>
      </w:r>
    </w:p>
    <w:p w14:paraId="0DAC8BAF">
      <w:pPr>
        <w:spacing w:line="640" w:lineRule="exact"/>
        <w:ind w:firstLine="5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注：非残疾人福利性单位不需提供此函。</w:t>
      </w:r>
    </w:p>
    <w:p w14:paraId="532B5053">
      <w:pPr>
        <w:spacing w:line="360" w:lineRule="auto"/>
        <w:rPr>
          <w:rFonts w:hint="eastAsia" w:ascii="宋体" w:hAnsi="宋体" w:eastAsia="宋体" w:cs="宋体"/>
          <w:bCs/>
          <w:color w:val="auto"/>
          <w:sz w:val="24"/>
          <w:szCs w:val="24"/>
          <w:highlight w:val="none"/>
        </w:rPr>
      </w:pPr>
    </w:p>
    <w:p w14:paraId="2120E3C8">
      <w:pPr>
        <w:spacing w:line="640" w:lineRule="exact"/>
        <w:ind w:left="-359" w:firstLine="357"/>
        <w:outlineLvl w:val="0"/>
        <w:rPr>
          <w:b/>
          <w:color w:val="auto"/>
          <w:sz w:val="32"/>
          <w:highlight w:val="none"/>
        </w:rPr>
      </w:pPr>
    </w:p>
    <w:p w14:paraId="6DB1E825">
      <w:pPr>
        <w:spacing w:line="640" w:lineRule="exact"/>
        <w:ind w:left="-359" w:firstLine="357"/>
        <w:outlineLvl w:val="0"/>
        <w:rPr>
          <w:b/>
          <w:color w:val="auto"/>
          <w:sz w:val="32"/>
          <w:highlight w:val="none"/>
        </w:rPr>
      </w:pPr>
    </w:p>
    <w:p w14:paraId="70920670">
      <w:pPr>
        <w:rPr>
          <w:rFonts w:ascii="方正魏碑_GBK" w:hAnsi="方正魏碑_GBK" w:eastAsia="方正魏碑_GBK" w:cs="方正魏碑_GBK"/>
          <w:b/>
          <w:color w:val="auto"/>
          <w:sz w:val="24"/>
          <w:szCs w:val="24"/>
          <w:highlight w:val="none"/>
        </w:rPr>
      </w:pPr>
    </w:p>
    <w:p w14:paraId="4BAFA628">
      <w:pPr>
        <w:pageBreakBefore/>
        <w:spacing w:line="640" w:lineRule="exact"/>
        <w:jc w:val="left"/>
        <w:rPr>
          <w:rFonts w:hint="eastAsia" w:ascii="宋体" w:hAnsi="宋体" w:eastAsia="宋体" w:cs="宋体"/>
          <w:b/>
          <w:bCs/>
          <w:color w:val="auto"/>
          <w:sz w:val="32"/>
          <w:szCs w:val="32"/>
          <w:highlight w:val="none"/>
          <w:lang w:eastAsia="zh-CN"/>
        </w:rPr>
      </w:pPr>
      <w:r>
        <w:rPr>
          <w:rFonts w:hint="eastAsia" w:ascii="宋体" w:hAnsi="宋体" w:cs="宋体"/>
          <w:b/>
          <w:color w:val="auto"/>
          <w:sz w:val="28"/>
          <w:szCs w:val="28"/>
          <w:highlight w:val="none"/>
        </w:rPr>
        <w:t>示范格式</w:t>
      </w:r>
      <w:r>
        <w:rPr>
          <w:rFonts w:hint="eastAsia" w:ascii="宋体" w:hAnsi="宋体" w:cs="宋体"/>
          <w:b/>
          <w:color w:val="auto"/>
          <w:sz w:val="28"/>
          <w:szCs w:val="28"/>
          <w:highlight w:val="none"/>
          <w:lang w:val="en-US" w:eastAsia="zh-CN"/>
        </w:rPr>
        <w:t>六</w:t>
      </w:r>
    </w:p>
    <w:p w14:paraId="2BE9C0C9">
      <w:pPr>
        <w:pStyle w:val="366"/>
        <w:keepNext w:val="0"/>
        <w:keepLines w:val="0"/>
        <w:pageBreakBefore w:val="0"/>
        <w:spacing w:line="640" w:lineRule="exact"/>
        <w:ind w:firstLine="1494"/>
        <w:outlineLvl w:val="9"/>
        <w:rPr>
          <w:rFonts w:hint="eastAsia" w:ascii="仿宋" w:hAnsi="仿宋" w:eastAsia="仿宋" w:cs="宋体"/>
          <w:b/>
          <w:bCs/>
          <w:color w:val="auto"/>
          <w:sz w:val="32"/>
          <w:szCs w:val="32"/>
          <w:highlight w:val="none"/>
          <w:lang w:val="en-US" w:eastAsia="zh-CN" w:bidi="ar-SA"/>
        </w:rPr>
      </w:pPr>
      <w:r>
        <w:rPr>
          <w:rFonts w:hint="eastAsia" w:ascii="仿宋" w:hAnsi="仿宋" w:eastAsia="仿宋" w:cs="宋体"/>
          <w:b/>
          <w:bCs/>
          <w:color w:val="auto"/>
          <w:sz w:val="32"/>
          <w:szCs w:val="32"/>
          <w:highlight w:val="none"/>
          <w:lang w:val="en-US" w:eastAsia="zh-CN" w:bidi="ar-SA"/>
        </w:rPr>
        <w:t xml:space="preserve">       关于符合本国产品标准的声明函</w:t>
      </w:r>
    </w:p>
    <w:p w14:paraId="06C1D569">
      <w:pPr>
        <w:pStyle w:val="366"/>
        <w:keepNext w:val="0"/>
        <w:keepLines w:val="0"/>
        <w:pageBreakBefore w:val="0"/>
        <w:spacing w:line="600" w:lineRule="exact"/>
        <w:ind w:firstLine="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（采购人）</w:t>
      </w:r>
      <w:r>
        <w:rPr>
          <w:rFonts w:hint="eastAsia" w:ascii="宋体" w:hAnsi="宋体" w:eastAsia="宋体" w:cs="宋体"/>
          <w:bCs/>
          <w:color w:val="auto"/>
          <w:sz w:val="24"/>
          <w:szCs w:val="24"/>
          <w:highlight w:val="none"/>
        </w:rPr>
        <w:t>:</w:t>
      </w:r>
    </w:p>
    <w:p w14:paraId="5A4296E7">
      <w:pPr>
        <w:pStyle w:val="366"/>
        <w:keepNext w:val="0"/>
        <w:keepLines w:val="0"/>
        <w:pageBreakBefore w:val="0"/>
        <w:spacing w:line="640" w:lineRule="exact"/>
        <w:ind w:firstLine="56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68CB58F">
      <w:pPr>
        <w:pStyle w:val="366"/>
        <w:keepNext w:val="0"/>
        <w:keepLines w:val="0"/>
        <w:pageBreakBefore w:val="0"/>
        <w:spacing w:line="640" w:lineRule="exact"/>
        <w:ind w:firstLine="56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（产品名称</w:t>
      </w:r>
      <w:r>
        <w:rPr>
          <w:rFonts w:hint="eastAsia" w:ascii="宋体" w:hAnsi="宋体" w:eastAsia="宋体" w:cs="宋体"/>
          <w:bCs/>
          <w:color w:val="auto"/>
          <w:sz w:val="24"/>
          <w:szCs w:val="24"/>
          <w:highlight w:val="none"/>
          <w:u w:val="single"/>
          <w:lang w:val="en-US" w:eastAsia="zh-CN"/>
        </w:rPr>
        <w:t>1</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vertAlign w:val="superscript"/>
        </w:rPr>
        <w:t>1</w:t>
      </w:r>
      <w:r>
        <w:rPr>
          <w:rFonts w:hint="eastAsia" w:ascii="宋体" w:hAnsi="宋体" w:eastAsia="宋体" w:cs="宋体"/>
          <w:bCs/>
          <w:color w:val="auto"/>
          <w:sz w:val="24"/>
          <w:szCs w:val="24"/>
          <w:highlight w:val="none"/>
        </w:rPr>
        <w:t>，生产厂为</w:t>
      </w:r>
      <w:r>
        <w:rPr>
          <w:rFonts w:hint="eastAsia" w:ascii="宋体" w:hAnsi="宋体" w:eastAsia="宋体" w:cs="宋体"/>
          <w:bCs/>
          <w:color w:val="auto"/>
          <w:sz w:val="24"/>
          <w:szCs w:val="24"/>
          <w:highlight w:val="none"/>
          <w:u w:val="single"/>
        </w:rPr>
        <w:t>（厂名）</w:t>
      </w:r>
      <w:r>
        <w:rPr>
          <w:rFonts w:hint="eastAsia" w:ascii="宋体" w:hAnsi="宋体" w:eastAsia="宋体" w:cs="宋体"/>
          <w:bCs/>
          <w:color w:val="auto"/>
          <w:sz w:val="24"/>
          <w:szCs w:val="24"/>
          <w:highlight w:val="none"/>
          <w:vertAlign w:val="superscript"/>
        </w:rPr>
        <w:t>2</w:t>
      </w:r>
      <w:r>
        <w:rPr>
          <w:rFonts w:hint="eastAsia" w:ascii="宋体" w:hAnsi="宋体" w:eastAsia="宋体" w:cs="宋体"/>
          <w:bCs/>
          <w:color w:val="auto"/>
          <w:sz w:val="24"/>
          <w:szCs w:val="24"/>
          <w:highlight w:val="none"/>
        </w:rPr>
        <w:t>，厂址为</w:t>
      </w:r>
      <w:r>
        <w:rPr>
          <w:rFonts w:hint="eastAsia" w:ascii="宋体" w:hAnsi="宋体" w:eastAsia="宋体" w:cs="宋体"/>
          <w:bCs/>
          <w:color w:val="auto"/>
          <w:sz w:val="24"/>
          <w:szCs w:val="24"/>
          <w:highlight w:val="none"/>
          <w:u w:val="single"/>
        </w:rPr>
        <w:t>（生产厂址）</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（产品名称1）</w:t>
      </w:r>
      <w:r>
        <w:rPr>
          <w:rFonts w:hint="eastAsia" w:ascii="宋体" w:hAnsi="宋体" w:eastAsia="宋体" w:cs="宋体"/>
          <w:bCs/>
          <w:color w:val="auto"/>
          <w:sz w:val="24"/>
          <w:szCs w:val="24"/>
          <w:highlight w:val="none"/>
        </w:rPr>
        <w:t xml:space="preserve"> 的中国境内生产的组件成本占比≥</w:t>
      </w:r>
      <w:r>
        <w:rPr>
          <w:rFonts w:hint="eastAsia" w:ascii="宋体" w:hAnsi="宋体" w:eastAsia="宋体" w:cs="宋体"/>
          <w:bCs/>
          <w:color w:val="auto"/>
          <w:sz w:val="24"/>
          <w:szCs w:val="24"/>
          <w:highlight w:val="none"/>
          <w:u w:val="single"/>
        </w:rPr>
        <w:t>（规定比例）</w:t>
      </w:r>
      <w:r>
        <w:rPr>
          <w:rFonts w:hint="eastAsia" w:ascii="宋体" w:hAnsi="宋体" w:eastAsia="宋体" w:cs="宋体"/>
          <w:bCs/>
          <w:color w:val="auto"/>
          <w:sz w:val="24"/>
          <w:szCs w:val="24"/>
          <w:highlight w:val="none"/>
          <w:vertAlign w:val="superscript"/>
        </w:rPr>
        <w:t>3</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（产品名称1）</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（关键组件）</w:t>
      </w:r>
      <w:r>
        <w:rPr>
          <w:rFonts w:hint="eastAsia" w:ascii="宋体" w:hAnsi="宋体" w:eastAsia="宋体" w:cs="宋体"/>
          <w:bCs/>
          <w:color w:val="auto"/>
          <w:sz w:val="24"/>
          <w:szCs w:val="24"/>
          <w:highlight w:val="none"/>
          <w:vertAlign w:val="superscript"/>
        </w:rPr>
        <w:t>4</w:t>
      </w:r>
      <w:r>
        <w:rPr>
          <w:rFonts w:hint="eastAsia" w:ascii="宋体" w:hAnsi="宋体" w:eastAsia="宋体" w:cs="宋体"/>
          <w:bCs/>
          <w:color w:val="auto"/>
          <w:sz w:val="24"/>
          <w:szCs w:val="24"/>
          <w:highlight w:val="none"/>
        </w:rPr>
        <w:t>在中国境内生产</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（产品名称1）</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（关键工序）</w:t>
      </w:r>
      <w:r>
        <w:rPr>
          <w:rFonts w:hint="eastAsia" w:ascii="宋体" w:hAnsi="宋体" w:eastAsia="宋体" w:cs="宋体"/>
          <w:bCs/>
          <w:color w:val="auto"/>
          <w:sz w:val="24"/>
          <w:szCs w:val="24"/>
          <w:highlight w:val="none"/>
          <w:vertAlign w:val="superscript"/>
        </w:rPr>
        <w:t>5</w:t>
      </w:r>
      <w:r>
        <w:rPr>
          <w:rFonts w:hint="eastAsia" w:ascii="宋体" w:hAnsi="宋体" w:eastAsia="宋体" w:cs="宋体"/>
          <w:bCs/>
          <w:color w:val="auto"/>
          <w:sz w:val="24"/>
          <w:szCs w:val="24"/>
          <w:highlight w:val="none"/>
        </w:rPr>
        <w:t>在中国境内完成。</w:t>
      </w:r>
    </w:p>
    <w:p w14:paraId="1D8450A6">
      <w:pPr>
        <w:pStyle w:val="366"/>
        <w:keepNext w:val="0"/>
        <w:keepLines w:val="0"/>
        <w:pageBreakBefore w:val="0"/>
        <w:spacing w:line="640" w:lineRule="exact"/>
        <w:ind w:firstLine="56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（产品名称2）</w:t>
      </w:r>
      <w:r>
        <w:rPr>
          <w:rFonts w:hint="eastAsia" w:ascii="宋体" w:hAnsi="宋体" w:eastAsia="宋体" w:cs="宋体"/>
          <w:bCs/>
          <w:color w:val="auto"/>
          <w:sz w:val="24"/>
          <w:szCs w:val="24"/>
          <w:highlight w:val="none"/>
        </w:rPr>
        <w:t>，生产厂为</w:t>
      </w:r>
      <w:r>
        <w:rPr>
          <w:rFonts w:hint="eastAsia" w:ascii="宋体" w:hAnsi="宋体" w:eastAsia="宋体" w:cs="宋体"/>
          <w:bCs/>
          <w:color w:val="auto"/>
          <w:sz w:val="24"/>
          <w:szCs w:val="24"/>
          <w:highlight w:val="none"/>
          <w:u w:val="single"/>
        </w:rPr>
        <w:t>（厂名）</w:t>
      </w:r>
      <w:r>
        <w:rPr>
          <w:rFonts w:hint="eastAsia" w:ascii="宋体" w:hAnsi="宋体" w:eastAsia="宋体" w:cs="宋体"/>
          <w:bCs/>
          <w:color w:val="auto"/>
          <w:sz w:val="24"/>
          <w:szCs w:val="24"/>
          <w:highlight w:val="none"/>
        </w:rPr>
        <w:t>，厂址为</w:t>
      </w:r>
      <w:r>
        <w:rPr>
          <w:rFonts w:hint="eastAsia" w:ascii="宋体" w:hAnsi="宋体" w:eastAsia="宋体" w:cs="宋体"/>
          <w:bCs/>
          <w:color w:val="auto"/>
          <w:sz w:val="24"/>
          <w:szCs w:val="24"/>
          <w:highlight w:val="none"/>
          <w:u w:val="single"/>
        </w:rPr>
        <w:t>（生产厂址）</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（产品名称2）</w:t>
      </w:r>
      <w:r>
        <w:rPr>
          <w:rFonts w:hint="eastAsia" w:ascii="宋体" w:hAnsi="宋体" w:eastAsia="宋体" w:cs="宋体"/>
          <w:bCs/>
          <w:color w:val="auto"/>
          <w:sz w:val="24"/>
          <w:szCs w:val="24"/>
          <w:highlight w:val="none"/>
        </w:rPr>
        <w:t>的中国境内生产的组件成本占比≥</w:t>
      </w:r>
      <w:r>
        <w:rPr>
          <w:rFonts w:hint="eastAsia" w:ascii="宋体" w:hAnsi="宋体" w:eastAsia="宋体" w:cs="宋体"/>
          <w:bCs/>
          <w:color w:val="auto"/>
          <w:sz w:val="24"/>
          <w:szCs w:val="24"/>
          <w:highlight w:val="none"/>
          <w:u w:val="single"/>
        </w:rPr>
        <w:t>（规定比例）</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产品名称2）</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（关键组件）</w:t>
      </w:r>
      <w:r>
        <w:rPr>
          <w:rFonts w:hint="eastAsia" w:ascii="宋体" w:hAnsi="宋体" w:eastAsia="宋体" w:cs="宋体"/>
          <w:bCs/>
          <w:color w:val="auto"/>
          <w:sz w:val="24"/>
          <w:szCs w:val="24"/>
          <w:highlight w:val="none"/>
        </w:rPr>
        <w:t>在中国境内生产。</w:t>
      </w:r>
      <w:r>
        <w:rPr>
          <w:rFonts w:hint="eastAsia" w:ascii="宋体" w:hAnsi="宋体" w:eastAsia="宋体" w:cs="宋体"/>
          <w:bCs/>
          <w:color w:val="auto"/>
          <w:sz w:val="24"/>
          <w:szCs w:val="24"/>
          <w:highlight w:val="none"/>
          <w:u w:val="single"/>
        </w:rPr>
        <w:t>（产品名称1）</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（关键工序）</w:t>
      </w:r>
      <w:r>
        <w:rPr>
          <w:rFonts w:hint="eastAsia" w:ascii="宋体" w:hAnsi="宋体" w:eastAsia="宋体" w:cs="宋体"/>
          <w:bCs/>
          <w:color w:val="auto"/>
          <w:sz w:val="24"/>
          <w:szCs w:val="24"/>
          <w:highlight w:val="none"/>
        </w:rPr>
        <w:t>在中国境内完成。</w:t>
      </w:r>
    </w:p>
    <w:p w14:paraId="253FC69D">
      <w:pPr>
        <w:pStyle w:val="366"/>
        <w:keepNext w:val="0"/>
        <w:keepLines w:val="0"/>
        <w:pageBreakBefore w:val="0"/>
        <w:spacing w:line="640" w:lineRule="exact"/>
        <w:ind w:firstLine="56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5A84AC7A">
      <w:pPr>
        <w:pStyle w:val="366"/>
        <w:keepNext w:val="0"/>
        <w:keepLines w:val="0"/>
        <w:pageBreakBefore w:val="0"/>
        <w:spacing w:line="640" w:lineRule="exact"/>
        <w:ind w:firstLine="56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本公司（单位）对上述声明内容的真实性负责。如有虚假，愿承担相应法律责任。</w:t>
      </w:r>
    </w:p>
    <w:p w14:paraId="749374D2">
      <w:pPr>
        <w:pStyle w:val="366"/>
        <w:keepNext w:val="0"/>
        <w:keepLines w:val="0"/>
        <w:pageBreakBefore w:val="0"/>
        <w:spacing w:line="640" w:lineRule="exact"/>
        <w:ind w:firstLine="644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公司名称（盖章）：　</w:t>
      </w:r>
    </w:p>
    <w:p w14:paraId="0E2EDEEC">
      <w:pPr>
        <w:pStyle w:val="366"/>
        <w:keepNext w:val="0"/>
        <w:keepLines w:val="0"/>
        <w:pageBreakBefore w:val="0"/>
        <w:spacing w:line="640" w:lineRule="exact"/>
        <w:ind w:firstLine="56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日期：　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月　日   </w:t>
      </w:r>
    </w:p>
    <w:p w14:paraId="2627EDA9">
      <w:pPr>
        <w:pStyle w:val="366"/>
        <w:keepNext w:val="0"/>
        <w:keepLines w:val="0"/>
        <w:pageBreakBefore w:val="0"/>
        <w:widowControl w:val="0"/>
        <w:kinsoku/>
        <w:wordWrap/>
        <w:overflowPunct/>
        <w:topLinePunct w:val="0"/>
        <w:autoSpaceDE/>
        <w:autoSpaceDN/>
        <w:bidi w:val="0"/>
        <w:adjustRightInd/>
        <w:snapToGrid/>
        <w:spacing w:line="600" w:lineRule="exact"/>
        <w:ind w:left="0" w:firstLine="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注：</w:t>
      </w:r>
      <w:r>
        <w:rPr>
          <w:rFonts w:hint="eastAsia" w:ascii="宋体" w:hAnsi="宋体" w:eastAsia="宋体" w:cs="宋体"/>
          <w:bCs/>
          <w:color w:val="auto"/>
          <w:sz w:val="24"/>
          <w:szCs w:val="24"/>
          <w:highlight w:val="none"/>
        </w:rPr>
        <w:t>1.产品如有型号，请在“产品名称”栏一并填写。</w:t>
      </w:r>
    </w:p>
    <w:p w14:paraId="42760641">
      <w:pPr>
        <w:pStyle w:val="366"/>
        <w:keepNext w:val="0"/>
        <w:keepLines w:val="0"/>
        <w:pageBreakBefore w:val="0"/>
        <w:widowControl w:val="0"/>
        <w:kinsoku/>
        <w:wordWrap/>
        <w:overflowPunct/>
        <w:topLinePunct w:val="0"/>
        <w:autoSpaceDE/>
        <w:autoSpaceDN/>
        <w:bidi w:val="0"/>
        <w:adjustRightInd/>
        <w:snapToGrid/>
        <w:spacing w:line="600" w:lineRule="exact"/>
        <w:ind w:firstLine="56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2.生产厂名与厂址应与生产厂营业执照载明的相关信息保持一致。</w:t>
      </w:r>
    </w:p>
    <w:p w14:paraId="4D109D1A">
      <w:pPr>
        <w:pStyle w:val="366"/>
        <w:keepNext w:val="0"/>
        <w:keepLines w:val="0"/>
        <w:pageBreakBefore w:val="0"/>
        <w:widowControl w:val="0"/>
        <w:kinsoku/>
        <w:wordWrap/>
        <w:overflowPunct/>
        <w:topLinePunct w:val="0"/>
        <w:autoSpaceDE/>
        <w:autoSpaceDN/>
        <w:bidi w:val="0"/>
        <w:adjustRightInd/>
        <w:snapToGrid/>
        <w:spacing w:line="600" w:lineRule="exact"/>
        <w:ind w:firstLine="56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3.该产品的中国境内生产的组件成本占比相关要求实施前，“规定比例”栏可不填，下同。</w:t>
      </w:r>
    </w:p>
    <w:p w14:paraId="5BCCCAE0">
      <w:pPr>
        <w:pStyle w:val="366"/>
        <w:keepNext w:val="0"/>
        <w:keepLines w:val="0"/>
        <w:pageBreakBefore w:val="0"/>
        <w:widowControl w:val="0"/>
        <w:kinsoku/>
        <w:wordWrap/>
        <w:overflowPunct/>
        <w:topLinePunct w:val="0"/>
        <w:autoSpaceDE/>
        <w:autoSpaceDN/>
        <w:bidi w:val="0"/>
        <w:adjustRightInd/>
        <w:snapToGrid/>
        <w:spacing w:line="600" w:lineRule="exact"/>
        <w:ind w:firstLine="56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4.该产品的关键组件要求实施前，“关键组件”栏可不填，下同。</w:t>
      </w:r>
    </w:p>
    <w:p w14:paraId="17C1AC50">
      <w:pPr>
        <w:pStyle w:val="366"/>
        <w:keepNext w:val="0"/>
        <w:keepLines w:val="0"/>
        <w:pageBreakBefore w:val="0"/>
        <w:widowControl w:val="0"/>
        <w:kinsoku/>
        <w:wordWrap/>
        <w:overflowPunct/>
        <w:topLinePunct w:val="0"/>
        <w:autoSpaceDE/>
        <w:autoSpaceDN/>
        <w:bidi w:val="0"/>
        <w:adjustRightInd/>
        <w:snapToGrid/>
        <w:spacing w:line="600" w:lineRule="exact"/>
        <w:ind w:firstLine="56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5.该产品的关键工序要求实施前，“关键工序”栏可不填，下同。</w:t>
      </w:r>
    </w:p>
    <w:p w14:paraId="6AE988A6">
      <w:pPr>
        <w:rPr>
          <w:rFonts w:hint="eastAsia" w:ascii="宋体" w:hAnsi="宋体" w:eastAsia="宋体" w:cs="宋体"/>
          <w:b/>
          <w:color w:val="auto"/>
          <w:sz w:val="24"/>
          <w:szCs w:val="24"/>
          <w:highlight w:val="none"/>
          <w:lang w:eastAsia="zh-CN"/>
        </w:rPr>
      </w:pPr>
    </w:p>
    <w:p w14:paraId="3EFEC7CF">
      <w:pPr>
        <w:spacing w:line="640" w:lineRule="exact"/>
        <w:ind w:left="-359" w:firstLine="357"/>
        <w:outlineLvl w:val="0"/>
        <w:rPr>
          <w:rFonts w:hint="eastAsia" w:eastAsia="宋体"/>
          <w:b/>
          <w:color w:val="auto"/>
          <w:sz w:val="28"/>
          <w:szCs w:val="28"/>
          <w:highlight w:val="none"/>
          <w:lang w:eastAsia="zh-CN"/>
        </w:rPr>
      </w:pPr>
      <w:r>
        <w:rPr>
          <w:rFonts w:hint="eastAsia"/>
          <w:b/>
          <w:color w:val="auto"/>
          <w:sz w:val="32"/>
          <w:highlight w:val="none"/>
        </w:rPr>
        <w:t>示范格式</w:t>
      </w:r>
      <w:r>
        <w:rPr>
          <w:rFonts w:hint="eastAsia"/>
          <w:b/>
          <w:color w:val="auto"/>
          <w:sz w:val="32"/>
          <w:highlight w:val="none"/>
          <w:lang w:val="en-US" w:eastAsia="zh-CN"/>
        </w:rPr>
        <w:t>七</w:t>
      </w:r>
    </w:p>
    <w:p w14:paraId="4D8FA437">
      <w:pPr>
        <w:pStyle w:val="95"/>
        <w:ind w:firstLine="0"/>
        <w:jc w:val="center"/>
        <w:rPr>
          <w:rFonts w:hint="eastAsia" w:ascii="宋体" w:hAnsi="宋体" w:eastAsia="宋体"/>
          <w:b/>
          <w:color w:val="auto"/>
          <w:sz w:val="32"/>
          <w:highlight w:val="none"/>
        </w:rPr>
      </w:pPr>
    </w:p>
    <w:p w14:paraId="13229216">
      <w:pPr>
        <w:pStyle w:val="95"/>
        <w:ind w:firstLine="0"/>
        <w:jc w:val="center"/>
        <w:rPr>
          <w:rFonts w:hint="eastAsia" w:ascii="宋体" w:hAnsi="宋体" w:eastAsia="宋体"/>
          <w:b/>
          <w:color w:val="auto"/>
          <w:sz w:val="32"/>
          <w:highlight w:val="none"/>
        </w:rPr>
      </w:pPr>
      <w:r>
        <w:rPr>
          <w:rFonts w:hint="eastAsia" w:ascii="宋体" w:hAnsi="宋体" w:eastAsia="宋体"/>
          <w:b/>
          <w:color w:val="auto"/>
          <w:sz w:val="32"/>
          <w:highlight w:val="none"/>
        </w:rPr>
        <w:t>承诺书</w:t>
      </w:r>
    </w:p>
    <w:p w14:paraId="27AB459D">
      <w:pPr>
        <w:pStyle w:val="95"/>
        <w:spacing w:line="360" w:lineRule="auto"/>
        <w:ind w:firstLine="480"/>
        <w:rPr>
          <w:rFonts w:hint="eastAsia" w:ascii="宋体" w:hAnsi="宋体" w:eastAsia="宋体" w:cs="宋体"/>
          <w:color w:val="auto"/>
          <w:sz w:val="24"/>
          <w:szCs w:val="24"/>
          <w:highlight w:val="none"/>
        </w:rPr>
      </w:pPr>
    </w:p>
    <w:p w14:paraId="38214807">
      <w:pPr>
        <w:pStyle w:val="15"/>
        <w:spacing w:line="720" w:lineRule="exact"/>
        <w:ind w:firstLine="0"/>
        <w:rPr>
          <w:rFonts w:hint="eastAsia"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u w:val="single"/>
        </w:rPr>
        <w:t>（采购人名称）</w:t>
      </w:r>
    </w:p>
    <w:p w14:paraId="2B2AB557">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我公司参加贵方组织实施的（项目编号：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采购项目的政府采购活动。针对《中华人民共和国政府采购法》第二十二条规定做出如下声明：</w:t>
      </w:r>
    </w:p>
    <w:p w14:paraId="1EFDF13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1、我单位具有独立承担民事责任的能力；</w:t>
      </w:r>
    </w:p>
    <w:p w14:paraId="4D75C269">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2、我单位具有良好的商业信誉和健全的财务会计制度；</w:t>
      </w:r>
    </w:p>
    <w:p w14:paraId="356B48D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3、我单位具有履行合同所必需的设备和专业技术能力；</w:t>
      </w:r>
    </w:p>
    <w:p w14:paraId="03A99558">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4、我单位有依法缴纳税收和社会保障资金的良好记录；</w:t>
      </w:r>
    </w:p>
    <w:p w14:paraId="22B068EE">
      <w:pPr>
        <w:spacing w:line="6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5、参加本次政府采购活动前三年内，我公司在经营活动中没有因违法经营受到刑事处罚或者责令停产停业、吊销许可证或者执照、较大数额罚款等行政处罚。 </w:t>
      </w:r>
    </w:p>
    <w:p w14:paraId="5D9024E9">
      <w:pPr>
        <w:spacing w:line="520" w:lineRule="exact"/>
        <w:ind w:firstLine="547"/>
        <w:rPr>
          <w:rFonts w:hint="eastAsia" w:ascii="宋体" w:hAnsi="宋体" w:cs="宋体"/>
          <w:color w:val="auto"/>
          <w:sz w:val="24"/>
          <w:highlight w:val="none"/>
        </w:rPr>
      </w:pPr>
      <w:r>
        <w:rPr>
          <w:rFonts w:hint="eastAsia" w:ascii="宋体" w:hAnsi="宋体" w:cs="宋体"/>
          <w:color w:val="auto"/>
          <w:sz w:val="24"/>
          <w:highlight w:val="none"/>
        </w:rPr>
        <w:t>6、我单位满足法律、行政法规规定的其他条件。</w:t>
      </w:r>
    </w:p>
    <w:p w14:paraId="4AA06103">
      <w:pPr>
        <w:spacing w:line="640" w:lineRule="exact"/>
        <w:jc w:val="center"/>
        <w:rPr>
          <w:rFonts w:hint="eastAsia" w:ascii="仿宋" w:hAnsi="仿宋" w:eastAsia="仿宋" w:cs="楷体_GB2312"/>
          <w:color w:val="auto"/>
          <w:sz w:val="28"/>
          <w:szCs w:val="28"/>
          <w:highlight w:val="none"/>
        </w:rPr>
      </w:pPr>
    </w:p>
    <w:p w14:paraId="21EE70A4">
      <w:pPr>
        <w:spacing w:line="640" w:lineRule="exact"/>
        <w:jc w:val="center"/>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lang w:val="zh-CN"/>
        </w:rPr>
        <w:t>:</w:t>
      </w:r>
      <w:r>
        <w:rPr>
          <w:rFonts w:hint="eastAsia" w:ascii="宋体" w:hAnsi="宋体" w:cs="宋体"/>
          <w:color w:val="auto"/>
          <w:sz w:val="24"/>
          <w:highlight w:val="none"/>
          <w:u w:val="single"/>
          <w:lang w:val="zh-CN"/>
        </w:rPr>
        <w:t xml:space="preserve">     （电子签章）     </w:t>
      </w:r>
    </w:p>
    <w:p w14:paraId="0A70C500">
      <w:pPr>
        <w:spacing w:line="640" w:lineRule="exact"/>
        <w:jc w:val="center"/>
        <w:rPr>
          <w:rFonts w:hint="eastAsia" w:ascii="宋体" w:hAnsi="宋体" w:cs="宋体"/>
          <w:color w:val="auto"/>
          <w:sz w:val="24"/>
          <w:highlight w:val="none"/>
          <w:lang w:val="zh-CN"/>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（电子签章或电子签字）</w:t>
      </w:r>
    </w:p>
    <w:p w14:paraId="679B462E">
      <w:pPr>
        <w:spacing w:line="640" w:lineRule="exact"/>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  日期</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日</w:t>
      </w:r>
    </w:p>
    <w:p w14:paraId="36456B32">
      <w:pPr>
        <w:spacing w:line="640" w:lineRule="exact"/>
        <w:jc w:val="center"/>
        <w:rPr>
          <w:rFonts w:hint="eastAsia" w:ascii="宋体" w:hAnsi="宋体" w:cs="宋体"/>
          <w:color w:val="auto"/>
          <w:sz w:val="24"/>
          <w:highlight w:val="none"/>
          <w:lang w:val="zh-CN"/>
        </w:rPr>
      </w:pPr>
    </w:p>
    <w:p w14:paraId="6E421658">
      <w:pPr>
        <w:spacing w:line="640" w:lineRule="exact"/>
        <w:jc w:val="center"/>
        <w:rPr>
          <w:rFonts w:hint="eastAsia" w:ascii="宋体" w:hAnsi="宋体" w:cs="宋体"/>
          <w:color w:val="auto"/>
          <w:sz w:val="24"/>
          <w:highlight w:val="none"/>
          <w:lang w:val="zh-CN"/>
        </w:rPr>
      </w:pPr>
    </w:p>
    <w:p w14:paraId="23954AD7">
      <w:pPr>
        <w:spacing w:line="640" w:lineRule="exact"/>
        <w:jc w:val="center"/>
        <w:rPr>
          <w:rFonts w:hint="eastAsia" w:ascii="宋体" w:hAnsi="宋体" w:cs="宋体"/>
          <w:color w:val="auto"/>
          <w:sz w:val="24"/>
          <w:highlight w:val="none"/>
          <w:lang w:val="zh-CN"/>
        </w:rPr>
      </w:pPr>
    </w:p>
    <w:p w14:paraId="610FB8AE">
      <w:pPr>
        <w:spacing w:line="640" w:lineRule="exact"/>
        <w:jc w:val="center"/>
        <w:rPr>
          <w:rFonts w:hint="eastAsia" w:ascii="宋体" w:hAnsi="宋体" w:cs="宋体"/>
          <w:color w:val="auto"/>
          <w:sz w:val="24"/>
          <w:highlight w:val="none"/>
          <w:lang w:val="zh-CN"/>
        </w:rPr>
      </w:pPr>
    </w:p>
    <w:p w14:paraId="01D0209F">
      <w:pPr>
        <w:spacing w:line="640" w:lineRule="exact"/>
        <w:jc w:val="center"/>
        <w:rPr>
          <w:rFonts w:hint="eastAsia" w:ascii="宋体" w:hAnsi="宋体" w:cs="宋体"/>
          <w:color w:val="auto"/>
          <w:sz w:val="24"/>
          <w:highlight w:val="none"/>
          <w:lang w:val="zh-CN"/>
        </w:rPr>
      </w:pPr>
    </w:p>
    <w:p w14:paraId="07A11F7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b/>
          <w:color w:val="auto"/>
          <w:sz w:val="32"/>
        </w:rPr>
      </w:pPr>
      <w:bookmarkStart w:id="14" w:name="_Toc23345"/>
      <w:bookmarkStart w:id="15" w:name="_Toc18120"/>
      <w:r>
        <w:rPr>
          <w:rFonts w:hint="eastAsia" w:ascii="仿宋" w:hAnsi="仿宋" w:eastAsia="仿宋" w:cs="仿宋"/>
          <w:b/>
          <w:color w:val="auto"/>
          <w:sz w:val="32"/>
        </w:rPr>
        <w:t>示范格式</w:t>
      </w:r>
      <w:bookmarkEnd w:id="14"/>
      <w:bookmarkEnd w:id="15"/>
      <w:r>
        <w:rPr>
          <w:rFonts w:hint="eastAsia" w:ascii="仿宋" w:hAnsi="仿宋" w:eastAsia="仿宋" w:cs="仿宋"/>
          <w:b/>
          <w:color w:val="auto"/>
          <w:sz w:val="32"/>
          <w:lang w:eastAsia="zh-CN"/>
        </w:rPr>
        <w:t>八</w:t>
      </w:r>
    </w:p>
    <w:p w14:paraId="3BB5A1B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仿宋" w:hAnsi="仿宋" w:eastAsia="仿宋" w:cs="仿宋"/>
          <w:color w:val="auto"/>
        </w:rPr>
      </w:pPr>
      <w:r>
        <w:rPr>
          <w:rFonts w:hint="eastAsia" w:ascii="仿宋" w:hAnsi="仿宋" w:eastAsia="仿宋" w:cs="仿宋"/>
          <w:b/>
          <w:color w:val="auto"/>
          <w:sz w:val="32"/>
        </w:rPr>
        <w:t>符合性审查承诺函</w:t>
      </w:r>
    </w:p>
    <w:p w14:paraId="2D62F800">
      <w:pPr>
        <w:spacing w:line="360" w:lineRule="auto"/>
        <w:ind w:firstLine="424"/>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金湖县</w:t>
      </w:r>
      <w:r>
        <w:rPr>
          <w:rFonts w:hint="eastAsia" w:ascii="宋体" w:hAnsi="宋体" w:eastAsia="宋体" w:cs="宋体"/>
          <w:b w:val="0"/>
          <w:bCs w:val="0"/>
          <w:color w:val="auto"/>
          <w:sz w:val="24"/>
          <w:highlight w:val="none"/>
          <w:lang w:val="en-US" w:eastAsia="zh-CN"/>
        </w:rPr>
        <w:t>农业农村局</w:t>
      </w:r>
      <w:r>
        <w:rPr>
          <w:rFonts w:hint="eastAsia" w:ascii="宋体" w:hAnsi="宋体" w:eastAsia="宋体" w:cs="宋体"/>
          <w:b w:val="0"/>
          <w:bCs w:val="0"/>
          <w:color w:val="auto"/>
          <w:sz w:val="24"/>
          <w:highlight w:val="none"/>
          <w:lang w:eastAsia="zh-CN"/>
        </w:rPr>
        <w:t>：</w:t>
      </w:r>
    </w:p>
    <w:p w14:paraId="227424B3">
      <w:pPr>
        <w:spacing w:line="360" w:lineRule="auto"/>
        <w:ind w:firstLine="424"/>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我公司参加贵单位组织实施的</w:t>
      </w:r>
      <w:r>
        <w:rPr>
          <w:rFonts w:hint="eastAsia" w:ascii="宋体" w:hAnsi="宋体" w:eastAsia="宋体" w:cs="宋体"/>
          <w:b w:val="0"/>
          <w:bCs w:val="0"/>
          <w:color w:val="auto"/>
          <w:sz w:val="24"/>
          <w:highlight w:val="none"/>
          <w:u w:val="single"/>
          <w:lang w:val="en-US" w:eastAsia="zh-CN"/>
        </w:rPr>
        <w:t xml:space="preserve">          （项目名称） </w:t>
      </w:r>
      <w:r>
        <w:rPr>
          <w:rFonts w:hint="eastAsia" w:ascii="宋体" w:hAnsi="宋体" w:eastAsia="宋体" w:cs="宋体"/>
          <w:b w:val="0"/>
          <w:bCs w:val="0"/>
          <w:color w:val="auto"/>
          <w:sz w:val="24"/>
          <w:highlight w:val="none"/>
        </w:rPr>
        <w:t>政府采购活动。针对以下内容，我公司如有下列情况之一的，在符合性审查时按照无效响应文件处理：</w:t>
      </w:r>
    </w:p>
    <w:p w14:paraId="5DFA2B14">
      <w:pPr>
        <w:spacing w:line="360" w:lineRule="auto"/>
        <w:ind w:firstLine="424"/>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供应商在</w:t>
      </w:r>
      <w:r>
        <w:rPr>
          <w:rFonts w:hint="eastAsia" w:ascii="宋体" w:hAnsi="宋体" w:eastAsia="宋体" w:cs="宋体"/>
          <w:b w:val="0"/>
          <w:bCs w:val="0"/>
          <w:color w:val="auto"/>
          <w:sz w:val="24"/>
          <w:highlight w:val="none"/>
          <w:lang w:eastAsia="zh-CN"/>
        </w:rPr>
        <w:t>苏采云系统</w:t>
      </w:r>
      <w:r>
        <w:rPr>
          <w:rFonts w:hint="eastAsia" w:ascii="宋体" w:hAnsi="宋体" w:eastAsia="宋体" w:cs="宋体"/>
          <w:b w:val="0"/>
          <w:bCs w:val="0"/>
          <w:color w:val="auto"/>
          <w:sz w:val="24"/>
          <w:highlight w:val="none"/>
        </w:rPr>
        <w:t>规定的时间内未成功解密电子响应文件的。</w:t>
      </w:r>
    </w:p>
    <w:p w14:paraId="4699CEFE">
      <w:pPr>
        <w:spacing w:line="360" w:lineRule="auto"/>
        <w:ind w:firstLine="424"/>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供应商未按照</w:t>
      </w:r>
      <w:r>
        <w:rPr>
          <w:rFonts w:hint="eastAsia" w:ascii="宋体" w:hAnsi="宋体" w:eastAsia="宋体" w:cs="宋体"/>
          <w:b w:val="0"/>
          <w:bCs w:val="0"/>
          <w:color w:val="auto"/>
          <w:sz w:val="24"/>
          <w:highlight w:val="none"/>
          <w:lang w:eastAsia="zh-CN"/>
        </w:rPr>
        <w:t>谈判</w:t>
      </w:r>
      <w:r>
        <w:rPr>
          <w:rFonts w:hint="eastAsia" w:ascii="宋体" w:hAnsi="宋体" w:eastAsia="宋体" w:cs="宋体"/>
          <w:b w:val="0"/>
          <w:bCs w:val="0"/>
          <w:color w:val="auto"/>
          <w:sz w:val="24"/>
          <w:highlight w:val="none"/>
        </w:rPr>
        <w:t>文件要求上传电子响应文件的。</w:t>
      </w:r>
    </w:p>
    <w:p w14:paraId="43482256">
      <w:pPr>
        <w:spacing w:line="360" w:lineRule="auto"/>
        <w:ind w:firstLine="424"/>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同一供应商提交两个（含两个）以上不同的响应文件或者最后报价的。</w:t>
      </w:r>
    </w:p>
    <w:p w14:paraId="719700F0">
      <w:pPr>
        <w:spacing w:line="360" w:lineRule="auto"/>
        <w:ind w:firstLine="424"/>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供应商不具备</w:t>
      </w:r>
      <w:r>
        <w:rPr>
          <w:rFonts w:hint="eastAsia" w:ascii="宋体" w:hAnsi="宋体" w:eastAsia="宋体" w:cs="宋体"/>
          <w:b w:val="0"/>
          <w:bCs w:val="0"/>
          <w:color w:val="auto"/>
          <w:sz w:val="24"/>
          <w:highlight w:val="none"/>
          <w:lang w:eastAsia="zh-CN"/>
        </w:rPr>
        <w:t>谈判</w:t>
      </w:r>
      <w:r>
        <w:rPr>
          <w:rFonts w:hint="eastAsia" w:ascii="宋体" w:hAnsi="宋体" w:eastAsia="宋体" w:cs="宋体"/>
          <w:b w:val="0"/>
          <w:bCs w:val="0"/>
          <w:color w:val="auto"/>
          <w:sz w:val="24"/>
          <w:highlight w:val="none"/>
        </w:rPr>
        <w:t>文件中规定资格要求的。</w:t>
      </w:r>
    </w:p>
    <w:p w14:paraId="640D0B3C">
      <w:pPr>
        <w:spacing w:line="360" w:lineRule="auto"/>
        <w:ind w:firstLine="424"/>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5</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供应商的最后报价超过了最高限价。</w:t>
      </w:r>
    </w:p>
    <w:p w14:paraId="33C827B1">
      <w:pPr>
        <w:spacing w:line="360" w:lineRule="auto"/>
        <w:ind w:firstLine="424"/>
        <w:rPr>
          <w:rFonts w:hint="eastAsia" w:ascii="宋体" w:hAnsi="宋体" w:cs="宋体"/>
          <w:b w:val="0"/>
          <w:bCs w:val="0"/>
          <w:color w:val="auto"/>
          <w:sz w:val="24"/>
          <w:highlight w:val="none"/>
        </w:rPr>
      </w:pPr>
      <w:r>
        <w:rPr>
          <w:rFonts w:hint="eastAsia" w:ascii="宋体" w:hAnsi="宋体" w:eastAsia="宋体" w:cs="宋体"/>
          <w:b w:val="0"/>
          <w:bCs w:val="0"/>
          <w:color w:val="auto"/>
          <w:sz w:val="24"/>
          <w:highlight w:val="none"/>
        </w:rPr>
        <w:t>6</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投标文件含有采购人不能接受的附加</w:t>
      </w:r>
      <w:r>
        <w:rPr>
          <w:rFonts w:hint="eastAsia" w:ascii="宋体" w:hAnsi="宋体" w:cs="宋体"/>
          <w:b w:val="0"/>
          <w:bCs w:val="0"/>
          <w:color w:val="auto"/>
          <w:sz w:val="24"/>
          <w:highlight w:val="none"/>
        </w:rPr>
        <w:t>条件的；</w:t>
      </w:r>
    </w:p>
    <w:p w14:paraId="5E336CCD">
      <w:pPr>
        <w:spacing w:line="360" w:lineRule="auto"/>
        <w:ind w:firstLine="480"/>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7</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其他法律、法规及本采购文件规定的属无效投标的情形。</w:t>
      </w:r>
    </w:p>
    <w:p w14:paraId="3386B956">
      <w:pPr>
        <w:spacing w:line="360" w:lineRule="auto"/>
        <w:ind w:firstLine="480"/>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8</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经查实提供虚假材料谋取成交的；</w:t>
      </w:r>
    </w:p>
    <w:p w14:paraId="457D90DA">
      <w:pPr>
        <w:spacing w:line="360" w:lineRule="auto"/>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9</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响应文件未按照</w:t>
      </w:r>
      <w:r>
        <w:rPr>
          <w:rFonts w:hint="eastAsia" w:ascii="宋体" w:hAnsi="宋体" w:eastAsia="宋体" w:cs="宋体"/>
          <w:b w:val="0"/>
          <w:bCs w:val="0"/>
          <w:color w:val="auto"/>
          <w:sz w:val="24"/>
          <w:highlight w:val="none"/>
          <w:lang w:eastAsia="zh-CN"/>
        </w:rPr>
        <w:t>谈判</w:t>
      </w:r>
      <w:r>
        <w:rPr>
          <w:rFonts w:hint="eastAsia" w:ascii="宋体" w:hAnsi="宋体" w:eastAsia="宋体" w:cs="宋体"/>
          <w:b w:val="0"/>
          <w:bCs w:val="0"/>
          <w:color w:val="auto"/>
          <w:sz w:val="24"/>
          <w:highlight w:val="none"/>
        </w:rPr>
        <w:t>文件要求加盖CA电子公章的。</w:t>
      </w:r>
    </w:p>
    <w:p w14:paraId="56CCC3E9">
      <w:pPr>
        <w:spacing w:line="360" w:lineRule="auto"/>
        <w:ind w:firstLine="480"/>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10、未实质性响应谈判文件的响应文件按无效响应处理。</w:t>
      </w:r>
    </w:p>
    <w:p w14:paraId="2126E857">
      <w:pPr>
        <w:spacing w:line="360" w:lineRule="auto"/>
        <w:ind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11、 本项目采购产品被财政部、国家发改委、生态环境部等列入“节能产品品目清单”、“环境标志产品品目清单”强制采购范围，而</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lang w:val="en-US" w:eastAsia="zh-CN"/>
        </w:rPr>
        <w:t>所投标产品不在强制采购范围内的。（投标产品如属于政府强制采购节能产品品目清单范围内，投标文件中必须提供国家确定的认证机构出具的、处于有效期之内的该节能产品认证证书图片）（本项目不涉及）</w:t>
      </w:r>
    </w:p>
    <w:p w14:paraId="299EF541">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12、未通过符合性审查的。</w:t>
      </w:r>
    </w:p>
    <w:p w14:paraId="481A42CE">
      <w:pPr>
        <w:spacing w:line="360" w:lineRule="auto"/>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13、</w:t>
      </w:r>
      <w:r>
        <w:rPr>
          <w:rFonts w:hint="eastAsia" w:ascii="宋体" w:hAnsi="宋体" w:eastAsia="宋体" w:cs="宋体"/>
          <w:b w:val="0"/>
          <w:bCs w:val="0"/>
          <w:color w:val="auto"/>
          <w:sz w:val="24"/>
          <w:highlight w:val="none"/>
        </w:rPr>
        <w:t>评标委员会认为</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的报价明显低于其他通过符合性审查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的报价，有可能影响产品质量或者不能诚信履约的，将通过苏采云系统要求其在合理的时间内提供说明，必要时提交相关证明材料；</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不能证明其报价合理性的，评标委员会应当将其作为无效投标处理。</w:t>
      </w:r>
    </w:p>
    <w:p w14:paraId="789A002B">
      <w:pPr>
        <w:spacing w:line="360" w:lineRule="auto"/>
        <w:ind w:firstLine="424"/>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14、</w:t>
      </w:r>
      <w:r>
        <w:rPr>
          <w:rFonts w:hint="eastAsia" w:ascii="宋体" w:hAnsi="宋体" w:cs="宋体"/>
          <w:b w:val="0"/>
          <w:bCs w:val="0"/>
          <w:color w:val="auto"/>
          <w:sz w:val="24"/>
          <w:highlight w:val="none"/>
        </w:rPr>
        <w:t>不符合法律、法规和谈判文件中规定的其他实质性要求的；（</w:t>
      </w:r>
      <w:r>
        <w:rPr>
          <w:rFonts w:hint="eastAsia" w:ascii="宋体" w:hAnsi="宋体" w:cs="宋体"/>
          <w:b w:val="0"/>
          <w:bCs w:val="0"/>
          <w:color w:val="auto"/>
          <w:sz w:val="24"/>
          <w:highlight w:val="none"/>
          <w:lang w:val="zh-CN"/>
        </w:rPr>
        <w:t>“★”</w:t>
      </w:r>
      <w:r>
        <w:rPr>
          <w:rFonts w:hint="eastAsia" w:ascii="宋体" w:hAnsi="宋体" w:cs="宋体"/>
          <w:b w:val="0"/>
          <w:bCs w:val="0"/>
          <w:color w:val="auto"/>
          <w:sz w:val="24"/>
          <w:highlight w:val="none"/>
        </w:rPr>
        <w:t>为实质性条款，不响应作无效</w:t>
      </w:r>
      <w:r>
        <w:rPr>
          <w:rFonts w:hint="eastAsia" w:ascii="宋体" w:hAnsi="宋体" w:cs="宋体"/>
          <w:b w:val="0"/>
          <w:bCs w:val="0"/>
          <w:color w:val="auto"/>
          <w:sz w:val="24"/>
          <w:highlight w:val="none"/>
          <w:lang w:val="en-US" w:eastAsia="zh-CN"/>
        </w:rPr>
        <w:t>响应文件</w:t>
      </w:r>
      <w:r>
        <w:rPr>
          <w:rFonts w:hint="eastAsia" w:ascii="宋体" w:hAnsi="宋体" w:cs="宋体"/>
          <w:b w:val="0"/>
          <w:bCs w:val="0"/>
          <w:color w:val="auto"/>
          <w:sz w:val="24"/>
          <w:highlight w:val="none"/>
        </w:rPr>
        <w:t>处理）</w:t>
      </w:r>
    </w:p>
    <w:p w14:paraId="7A62914C">
      <w:pPr>
        <w:spacing w:line="360" w:lineRule="auto"/>
        <w:ind w:firstLine="426"/>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15、供应商</w:t>
      </w:r>
      <w:r>
        <w:rPr>
          <w:rFonts w:hint="eastAsia" w:ascii="宋体" w:hAnsi="宋体" w:cs="宋体"/>
          <w:b w:val="0"/>
          <w:bCs w:val="0"/>
          <w:color w:val="auto"/>
          <w:sz w:val="24"/>
          <w:highlight w:val="none"/>
        </w:rPr>
        <w:t>的报价属于《关于推动解决政府采购异常低价问题相关工作的通知》（苏财购〔2025〕62号）异常低价情形的，</w:t>
      </w:r>
      <w:r>
        <w:rPr>
          <w:rFonts w:hint="eastAsia" w:ascii="宋体" w:hAnsi="宋体" w:cs="宋体"/>
          <w:b w:val="0"/>
          <w:bCs w:val="0"/>
          <w:color w:val="auto"/>
          <w:sz w:val="24"/>
          <w:highlight w:val="none"/>
          <w:lang w:val="en-US" w:eastAsia="zh-CN"/>
        </w:rPr>
        <w:t>供应商</w:t>
      </w:r>
      <w:r>
        <w:rPr>
          <w:rFonts w:hint="eastAsia" w:ascii="宋体" w:hAnsi="宋体" w:cs="宋体"/>
          <w:b w:val="0"/>
          <w:bCs w:val="0"/>
          <w:color w:val="auto"/>
          <w:sz w:val="24"/>
          <w:highlight w:val="none"/>
        </w:rPr>
        <w:t>不提供书面说明、证明材料，或者提供的书面说明、证明材料不能证明其报价合理性的。</w:t>
      </w:r>
    </w:p>
    <w:p w14:paraId="1BE689DD">
      <w:pPr>
        <w:pStyle w:val="2"/>
        <w:rPr>
          <w:rFonts w:hint="eastAsia"/>
        </w:rPr>
      </w:pPr>
    </w:p>
    <w:p w14:paraId="511451C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（盖章）  </w:t>
      </w:r>
    </w:p>
    <w:p w14:paraId="706ACD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（电子</w:t>
      </w:r>
      <w:r>
        <w:rPr>
          <w:rFonts w:hint="eastAsia" w:ascii="宋体" w:hAnsi="宋体" w:eastAsia="宋体" w:cs="宋体"/>
          <w:color w:val="auto"/>
          <w:sz w:val="24"/>
          <w:szCs w:val="24"/>
          <w:highlight w:val="none"/>
          <w:u w:val="single"/>
          <w:lang w:eastAsia="zh-CN"/>
        </w:rPr>
        <w:t>签章</w:t>
      </w:r>
      <w:r>
        <w:rPr>
          <w:rFonts w:hint="eastAsia" w:ascii="宋体" w:hAnsi="宋体" w:eastAsia="宋体" w:cs="宋体"/>
          <w:color w:val="auto"/>
          <w:sz w:val="24"/>
          <w:szCs w:val="24"/>
          <w:highlight w:val="none"/>
          <w:u w:val="single"/>
        </w:rPr>
        <w:t>或签字）</w:t>
      </w:r>
    </w:p>
    <w:p w14:paraId="5FFB3B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日</w:t>
      </w:r>
    </w:p>
    <w:p w14:paraId="4E1423FA">
      <w:pPr>
        <w:spacing w:line="640" w:lineRule="exact"/>
        <w:jc w:val="center"/>
        <w:rPr>
          <w:rFonts w:hint="eastAsia" w:ascii="宋体" w:hAnsi="宋体" w:cs="宋体"/>
          <w:color w:val="auto"/>
          <w:sz w:val="24"/>
          <w:highlight w:val="none"/>
          <w:lang w:val="zh-CN"/>
        </w:rPr>
      </w:pPr>
    </w:p>
    <w:p w14:paraId="04060DF9">
      <w:pPr>
        <w:spacing w:line="640" w:lineRule="exact"/>
        <w:jc w:val="center"/>
        <w:rPr>
          <w:rFonts w:hint="eastAsia" w:ascii="宋体" w:hAnsi="宋体" w:cs="宋体"/>
          <w:color w:val="auto"/>
          <w:sz w:val="24"/>
          <w:highlight w:val="none"/>
          <w:lang w:val="zh-CN"/>
        </w:rPr>
      </w:pPr>
      <w:bookmarkStart w:id="16" w:name="_GoBack"/>
      <w:bookmarkEnd w:id="16"/>
    </w:p>
    <w:p w14:paraId="6C418B5E">
      <w:pPr>
        <w:spacing w:line="640" w:lineRule="exact"/>
        <w:jc w:val="center"/>
        <w:rPr>
          <w:rFonts w:hint="eastAsia" w:ascii="宋体" w:hAnsi="宋体" w:cs="宋体"/>
          <w:color w:val="auto"/>
          <w:sz w:val="24"/>
          <w:highlight w:val="none"/>
          <w:lang w:val="zh-CN"/>
        </w:rPr>
      </w:pPr>
    </w:p>
    <w:p w14:paraId="36F243AA">
      <w:pPr>
        <w:pStyle w:val="46"/>
        <w:spacing w:before="0" w:beforeAutospacing="0" w:after="0" w:afterAutospacing="0" w:line="560" w:lineRule="exact"/>
        <w:ind w:firstLine="480"/>
        <w:rPr>
          <w:rFonts w:hint="eastAsia" w:ascii="宋体" w:hAnsi="宋体" w:cs="宋体"/>
          <w:color w:val="auto"/>
          <w:szCs w:val="24"/>
          <w:highlight w:val="none"/>
          <w:shd w:val="clear" w:color="auto" w:fill="FFFFFF"/>
        </w:rPr>
      </w:pPr>
    </w:p>
    <w:sectPr>
      <w:footerReference r:id="rId5" w:type="default"/>
      <w:pgSz w:w="11906" w:h="16838"/>
      <w:pgMar w:top="1440" w:right="1080" w:bottom="1440" w:left="108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Schoolbook">
    <w:altName w:val="Segoe Print"/>
    <w:panose1 w:val="0204060405050502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简标宋">
    <w:altName w:val="宋体"/>
    <w:panose1 w:val="020B0503020202020204"/>
    <w:charset w:val="00"/>
    <w:family w:val="auto"/>
    <w:pitch w:val="default"/>
    <w:sig w:usb0="00000000" w:usb1="00000000" w:usb2="00000000" w:usb3="00000000" w:csb0="00000000" w:csb1="00000000"/>
  </w:font>
  <w:font w:name="Adobe 仿宋 Std R">
    <w:altName w:val="仿宋"/>
    <w:panose1 w:val="020B0503020202020204"/>
    <w:charset w:val="00"/>
    <w:family w:val="auto"/>
    <w:pitch w:val="default"/>
    <w:sig w:usb0="00000000" w:usb1="00000000" w:usb2="00000000" w:usb3="00000000" w:csb0="00000000"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_GBK">
    <w:altName w:val="Yu Gothic UI"/>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方正魏碑_GBK">
    <w:altName w:val="Yu Gothic UI"/>
    <w:panose1 w:val="020B0503020202020204"/>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025BBAAE">
    <w:panose1 w:val="020B0503020204020204"/>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F826E">
    <w:pPr>
      <w:pStyle w:val="21"/>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w="6350">
                        <a:noFill/>
                      </a:ln>
                    </wps:spPr>
                    <wps:txbx>
                      <w:txbxContent>
                        <w:p w14:paraId="3F4928C9">
                          <w:pPr>
                            <w:pStyle w:val="3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67wAWNEAAAACAQAADwAAAAAAAAABACAAAAAiAAAAZHJzL2Rvd25yZXYu&#10;eG1sUEsBAhQAFAAAAAgAh07iQFcp4wU7AgAAYAQAAA4AAAAAAAAAAQAgAAAAIAEAAGRycy9lMm9E&#10;b2MueG1sUEsFBgAAAAAGAAYAWQEAAM0FAAAAAA==&#10;">
              <v:fill on="f" focussize="0,0"/>
              <v:stroke on="f" weight="0.5pt"/>
              <v:imagedata o:title=""/>
              <o:lock v:ext="edit" aspectratio="f"/>
              <v:textbox inset="0mm,0mm,0mm,0mm" style="mso-fit-shape-to-text:t;">
                <w:txbxContent>
                  <w:p w14:paraId="3F4928C9">
                    <w:pPr>
                      <w:pStyle w:val="3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860DC">
    <w:pPr>
      <w:pStyle w:val="21"/>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w="6350">
                        <a:noFill/>
                      </a:ln>
                    </wps:spPr>
                    <wps:txbx>
                      <w:txbxContent>
                        <w:p w14:paraId="369163D8">
                          <w:pPr>
                            <w:pStyle w:val="3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0.35pt;width:4.55pt;mso-position-horizontal:center;mso-position-horizontal-relative:margin;mso-wrap-style:none;z-index:251661312;mso-width-relative:page;mso-height-relative:page;" filled="f" stroked="f" coordsize="21600,21600" o:gfxdata="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67wAWNEAAAACAQAADwAAAAAAAAABACAAAAAiAAAAZHJzL2Rvd25yZXYu&#10;eG1sUEsBAhQAFAAAAAgAh07iQJ8J+cc7AgAAYAQAAA4AAAAAAAAAAQAgAAAAIAEAAGRycy9lMm9E&#10;b2MueG1sUEsFBgAAAAAGAAYAWQEAAM0FAAAAAA==&#10;">
              <v:fill on="f" focussize="0,0"/>
              <v:stroke on="f" weight="0.5pt"/>
              <v:imagedata o:title=""/>
              <o:lock v:ext="edit" aspectratio="f"/>
              <v:textbox inset="0mm,0mm,0mm,0mm" style="mso-fit-shape-to-text:t;">
                <w:txbxContent>
                  <w:p w14:paraId="369163D8">
                    <w:pPr>
                      <w:pStyle w:val="33"/>
                    </w:pPr>
                    <w:r>
                      <w:fldChar w:fldCharType="begin"/>
                    </w:r>
                    <w:r>
                      <w:instrText xml:space="preserve"> PAGE  \* MERGEFORMAT </w:instrText>
                    </w:r>
                    <w:r>
                      <w:fldChar w:fldCharType="separate"/>
                    </w:r>
                    <w:r>
                      <w:t>4</w:t>
                    </w:r>
                    <w:r>
                      <w:fldChar w:fldCharType="end"/>
                    </w:r>
                  </w:p>
                </w:txbxContent>
              </v:textbox>
            </v:shape>
          </w:pict>
        </mc:Fallback>
      </mc:AlternateContent>
    </w: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0D68583D"/>
                      </w:txbxContent>
                    </wps:txbx>
                    <wps:bodyPr wrap="square" lIns="0" tIns="0" rIns="0" bIns="0" upright="1"/>
                  </wps:wsp>
                </a:graphicData>
              </a:graphic>
            </wp:anchor>
          </w:drawing>
        </mc:Choice>
        <mc:Fallback>
          <w:pict>
            <v:shape id="文本框 2"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ZpPZA0gAAAAUBAAAPAAAAAAAAAAEAIAAAACIAAABkcnMvZG93&#10;bnJldi54bWxQSwECFAAUAAAACACHTuJATzgyV80BAACZAwAADgAAAAAAAAABACAAAAAhAQAAZHJz&#10;L2Uyb0RvYy54bWxQSwUGAAAAAAYABgBZAQAAYAUAAAAA&#10;">
              <v:fill on="f" focussize="0,0"/>
              <v:stroke on="f" joinstyle="miter"/>
              <v:imagedata o:title=""/>
              <o:lock v:ext="edit" aspectratio="f"/>
              <v:textbox inset="0mm,0mm,0mm,0mm">
                <w:txbxContent>
                  <w:p w14:paraId="0D68583D"/>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9D2FB">
    <w:pPr>
      <w:pStyle w:val="34"/>
      <w:rPr>
        <w:rFonts w:hint="eastAsia" w:ascii="华文行楷" w:hAnsi="黑体" w:eastAsia="华文行楷"/>
        <w:sz w:val="28"/>
        <w:szCs w:val="28"/>
      </w:rPr>
    </w:pPr>
    <w:r>
      <w:rPr>
        <w:rFonts w:hint="eastAsia" w:ascii="华文行楷" w:hAnsi="黑体" w:eastAsia="华文行楷"/>
        <w:color w:val="000000"/>
        <w:sz w:val="28"/>
        <w:szCs w:val="28"/>
      </w:rPr>
      <w:t>政府采购</w:t>
    </w:r>
    <w:r>
      <w:rPr>
        <w:rFonts w:hint="eastAsia" w:ascii="华文行楷" w:hAnsi="黑体" w:eastAsia="华文行楷"/>
        <w:sz w:val="28"/>
        <w:szCs w:val="28"/>
      </w:rPr>
      <w:t>项目竞争性</w:t>
    </w:r>
    <w:r>
      <w:rPr>
        <w:rFonts w:hint="eastAsia" w:ascii="华文行楷" w:hAnsi="黑体" w:eastAsia="华文行楷"/>
        <w:sz w:val="28"/>
        <w:szCs w:val="28"/>
        <w:lang w:val="en-US" w:eastAsia="zh-CN"/>
      </w:rPr>
      <w:t>谈判</w:t>
    </w:r>
    <w:r>
      <w:rPr>
        <w:rFonts w:hint="eastAsia" w:ascii="华文行楷" w:hAnsi="黑体" w:eastAsia="华文行楷"/>
        <w:sz w:val="28"/>
        <w:szCs w:val="28"/>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7"/>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27AD0DC"/>
    <w:multiLevelType w:val="singleLevel"/>
    <w:tmpl w:val="D27AD0DC"/>
    <w:lvl w:ilvl="0" w:tentative="0">
      <w:start w:val="1"/>
      <w:numFmt w:val="chineseCounting"/>
      <w:suff w:val="nothing"/>
      <w:lvlText w:val="%1、"/>
      <w:lvlJc w:val="left"/>
      <w:rPr>
        <w:rFonts w:hint="eastAsia"/>
      </w:rPr>
    </w:lvl>
  </w:abstractNum>
  <w:abstractNum w:abstractNumId="3">
    <w:nsid w:val="0053208E"/>
    <w:multiLevelType w:val="multilevel"/>
    <w:tmpl w:val="0053208E"/>
    <w:lvl w:ilvl="0" w:tentative="0">
      <w:start w:val="1"/>
      <w:numFmt w:val="decimal"/>
      <w:pStyle w:val="5"/>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7"/>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F2E6D"/>
    <w:rsid w:val="00A81D22"/>
    <w:rsid w:val="03826756"/>
    <w:rsid w:val="03DA74E3"/>
    <w:rsid w:val="05595CE0"/>
    <w:rsid w:val="05760640"/>
    <w:rsid w:val="06AB71F5"/>
    <w:rsid w:val="09CC5188"/>
    <w:rsid w:val="0BA61721"/>
    <w:rsid w:val="0C0D3381"/>
    <w:rsid w:val="0DCD726B"/>
    <w:rsid w:val="0DFC18FF"/>
    <w:rsid w:val="0FBA737B"/>
    <w:rsid w:val="110F1949"/>
    <w:rsid w:val="11280D53"/>
    <w:rsid w:val="11B36778"/>
    <w:rsid w:val="120F5D2F"/>
    <w:rsid w:val="128D521B"/>
    <w:rsid w:val="13085393"/>
    <w:rsid w:val="13ED41C3"/>
    <w:rsid w:val="147E306D"/>
    <w:rsid w:val="14C34F24"/>
    <w:rsid w:val="15F80BFE"/>
    <w:rsid w:val="16ED0036"/>
    <w:rsid w:val="17357AE4"/>
    <w:rsid w:val="17865A1B"/>
    <w:rsid w:val="17E70F2A"/>
    <w:rsid w:val="18003D99"/>
    <w:rsid w:val="18303CBB"/>
    <w:rsid w:val="195C4F5E"/>
    <w:rsid w:val="19E00326"/>
    <w:rsid w:val="1A067106"/>
    <w:rsid w:val="1A0C111B"/>
    <w:rsid w:val="1A3F329F"/>
    <w:rsid w:val="1B920BA7"/>
    <w:rsid w:val="1C077DEC"/>
    <w:rsid w:val="1EFB350D"/>
    <w:rsid w:val="1F5A0233"/>
    <w:rsid w:val="1F6A2B6C"/>
    <w:rsid w:val="1F6A6F28"/>
    <w:rsid w:val="20CF4C51"/>
    <w:rsid w:val="217A776E"/>
    <w:rsid w:val="21D462C2"/>
    <w:rsid w:val="22244B28"/>
    <w:rsid w:val="241F429B"/>
    <w:rsid w:val="242157C3"/>
    <w:rsid w:val="24DC16EA"/>
    <w:rsid w:val="257F6C45"/>
    <w:rsid w:val="263A0DBE"/>
    <w:rsid w:val="27B64A81"/>
    <w:rsid w:val="28D4148C"/>
    <w:rsid w:val="28E90463"/>
    <w:rsid w:val="295D729E"/>
    <w:rsid w:val="29D049D8"/>
    <w:rsid w:val="2AC375D4"/>
    <w:rsid w:val="2C7C7A3B"/>
    <w:rsid w:val="2DEF20D7"/>
    <w:rsid w:val="2EAF7C0D"/>
    <w:rsid w:val="333E0C15"/>
    <w:rsid w:val="33576B0C"/>
    <w:rsid w:val="33E34843"/>
    <w:rsid w:val="347C06A8"/>
    <w:rsid w:val="36E62234"/>
    <w:rsid w:val="373A0C1E"/>
    <w:rsid w:val="383C09C6"/>
    <w:rsid w:val="39F13F9D"/>
    <w:rsid w:val="3B283ACB"/>
    <w:rsid w:val="3BA14335"/>
    <w:rsid w:val="3BEE0229"/>
    <w:rsid w:val="3CD967E3"/>
    <w:rsid w:val="3D1C09B8"/>
    <w:rsid w:val="3D1E5CFC"/>
    <w:rsid w:val="3F5E7474"/>
    <w:rsid w:val="40B9762F"/>
    <w:rsid w:val="41E9571B"/>
    <w:rsid w:val="42470693"/>
    <w:rsid w:val="424D72B3"/>
    <w:rsid w:val="439E2535"/>
    <w:rsid w:val="44603C00"/>
    <w:rsid w:val="446472DA"/>
    <w:rsid w:val="45EE1552"/>
    <w:rsid w:val="474927B8"/>
    <w:rsid w:val="48C22822"/>
    <w:rsid w:val="4A091D02"/>
    <w:rsid w:val="4AE72A13"/>
    <w:rsid w:val="4BD20FCE"/>
    <w:rsid w:val="4C1C7C49"/>
    <w:rsid w:val="4CB67DBA"/>
    <w:rsid w:val="4D553878"/>
    <w:rsid w:val="4E240946"/>
    <w:rsid w:val="4E3850AE"/>
    <w:rsid w:val="51450494"/>
    <w:rsid w:val="52A82A88"/>
    <w:rsid w:val="53DC50DF"/>
    <w:rsid w:val="54D47B64"/>
    <w:rsid w:val="56073F6A"/>
    <w:rsid w:val="56C53D76"/>
    <w:rsid w:val="57B561AF"/>
    <w:rsid w:val="58D02D39"/>
    <w:rsid w:val="59262959"/>
    <w:rsid w:val="593A3294"/>
    <w:rsid w:val="59B91A1F"/>
    <w:rsid w:val="59C53F20"/>
    <w:rsid w:val="5B070568"/>
    <w:rsid w:val="5B77749C"/>
    <w:rsid w:val="5B94585B"/>
    <w:rsid w:val="5BA16F7A"/>
    <w:rsid w:val="5BAC00FE"/>
    <w:rsid w:val="5C142F3C"/>
    <w:rsid w:val="5CC11316"/>
    <w:rsid w:val="5D14139F"/>
    <w:rsid w:val="5D5A7075"/>
    <w:rsid w:val="5D7A3273"/>
    <w:rsid w:val="5D861C18"/>
    <w:rsid w:val="5E1A2473"/>
    <w:rsid w:val="5E736640"/>
    <w:rsid w:val="5F683CCB"/>
    <w:rsid w:val="620403F9"/>
    <w:rsid w:val="63312626"/>
    <w:rsid w:val="637075F2"/>
    <w:rsid w:val="65A00A02"/>
    <w:rsid w:val="66321759"/>
    <w:rsid w:val="66974E96"/>
    <w:rsid w:val="67283D40"/>
    <w:rsid w:val="679F2254"/>
    <w:rsid w:val="67EB7247"/>
    <w:rsid w:val="68305A7D"/>
    <w:rsid w:val="69DD52B6"/>
    <w:rsid w:val="69EE301F"/>
    <w:rsid w:val="6A114F5F"/>
    <w:rsid w:val="6B3D425E"/>
    <w:rsid w:val="6B523C64"/>
    <w:rsid w:val="6B87197D"/>
    <w:rsid w:val="6C8E6D3B"/>
    <w:rsid w:val="6ED421B0"/>
    <w:rsid w:val="6F1E6154"/>
    <w:rsid w:val="6FF944CB"/>
    <w:rsid w:val="70814BED"/>
    <w:rsid w:val="70CD1CC2"/>
    <w:rsid w:val="713A4D9B"/>
    <w:rsid w:val="71DC5E53"/>
    <w:rsid w:val="73BA21C4"/>
    <w:rsid w:val="747A406B"/>
    <w:rsid w:val="74B16692"/>
    <w:rsid w:val="757C5983"/>
    <w:rsid w:val="769431A0"/>
    <w:rsid w:val="769767EC"/>
    <w:rsid w:val="776C1A27"/>
    <w:rsid w:val="77EE068E"/>
    <w:rsid w:val="78FD6DDA"/>
    <w:rsid w:val="7CE00EED"/>
    <w:rsid w:val="7CFE5817"/>
    <w:rsid w:val="7F6A2E74"/>
    <w:rsid w:val="7FDC2B0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qFormat="1"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7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5">
    <w:name w:val="heading 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styleId="6">
    <w:name w:val="heading 2"/>
    <w:basedOn w:val="1"/>
    <w:next w:val="1"/>
    <w:link w:val="254"/>
    <w:qFormat/>
    <w:uiPriority w:val="0"/>
    <w:pPr>
      <w:keepNext/>
      <w:keepLines/>
      <w:spacing w:before="260" w:after="260" w:line="416" w:lineRule="auto"/>
      <w:outlineLvl w:val="1"/>
    </w:pPr>
    <w:rPr>
      <w:rFonts w:ascii="Cambria" w:hAnsi="Cambria"/>
      <w:b/>
      <w:bCs/>
      <w:sz w:val="32"/>
      <w:szCs w:val="32"/>
    </w:rPr>
  </w:style>
  <w:style w:type="paragraph" w:styleId="7">
    <w:name w:val="heading 3"/>
    <w:basedOn w:val="1"/>
    <w:next w:val="1"/>
    <w:qFormat/>
    <w:uiPriority w:val="0"/>
    <w:pPr>
      <w:keepNext/>
      <w:keepLines/>
      <w:numPr>
        <w:ilvl w:val="2"/>
        <w:numId w:val="1"/>
      </w:numPr>
      <w:spacing w:before="260" w:after="260" w:line="416" w:lineRule="auto"/>
      <w:outlineLvl w:val="2"/>
    </w:pPr>
    <w:rPr>
      <w:rFonts w:ascii="宋体"/>
      <w:b/>
      <w:color w:val="000000"/>
      <w:sz w:val="32"/>
      <w:szCs w:val="20"/>
    </w:rPr>
  </w:style>
  <w:style w:type="paragraph" w:styleId="8">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next w:val="1"/>
    <w:link w:val="357"/>
    <w:qFormat/>
    <w:uiPriority w:val="0"/>
    <w:pPr>
      <w:ind w:firstLine="420"/>
    </w:pPr>
  </w:style>
  <w:style w:type="paragraph" w:styleId="3">
    <w:name w:val="Body Text Indent"/>
    <w:basedOn w:val="1"/>
    <w:next w:val="4"/>
    <w:qFormat/>
    <w:uiPriority w:val="0"/>
    <w:pPr>
      <w:spacing w:after="120"/>
      <w:ind w:left="420"/>
    </w:pPr>
  </w:style>
  <w:style w:type="paragraph" w:styleId="4">
    <w:name w:val="envelope return"/>
    <w:basedOn w:val="1"/>
    <w:qFormat/>
    <w:uiPriority w:val="0"/>
    <w:rPr>
      <w:rFonts w:ascii="Arial" w:hAnsi="Arial"/>
    </w:rPr>
  </w:style>
  <w:style w:type="paragraph" w:styleId="14">
    <w:name w:val="toc 7"/>
    <w:basedOn w:val="1"/>
    <w:next w:val="1"/>
    <w:unhideWhenUsed/>
    <w:qFormat/>
    <w:uiPriority w:val="39"/>
    <w:pPr>
      <w:spacing w:after="57"/>
      <w:ind w:left="1701"/>
    </w:pPr>
  </w:style>
  <w:style w:type="paragraph" w:styleId="15">
    <w:name w:val="Normal Indent"/>
    <w:basedOn w:val="1"/>
    <w:link w:val="255"/>
    <w:qFormat/>
    <w:uiPriority w:val="0"/>
    <w:pPr>
      <w:ind w:firstLine="42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Document Map"/>
    <w:basedOn w:val="1"/>
    <w:qFormat/>
    <w:uiPriority w:val="0"/>
    <w:pPr>
      <w:shd w:val="clear" w:color="auto" w:fill="000080"/>
    </w:pPr>
  </w:style>
  <w:style w:type="paragraph" w:styleId="18">
    <w:name w:val="toa heading"/>
    <w:basedOn w:val="1"/>
    <w:next w:val="1"/>
    <w:qFormat/>
    <w:uiPriority w:val="0"/>
    <w:rPr>
      <w:rFonts w:ascii="Arial" w:hAnsi="Arial"/>
      <w:sz w:val="24"/>
    </w:rPr>
  </w:style>
  <w:style w:type="paragraph" w:styleId="19">
    <w:name w:val="annotation text"/>
    <w:basedOn w:val="1"/>
    <w:link w:val="256"/>
    <w:qFormat/>
    <w:uiPriority w:val="0"/>
    <w:pPr>
      <w:jc w:val="left"/>
    </w:pPr>
  </w:style>
  <w:style w:type="paragraph" w:styleId="20">
    <w:name w:val="Body Text 3"/>
    <w:basedOn w:val="1"/>
    <w:qFormat/>
    <w:uiPriority w:val="0"/>
    <w:pPr>
      <w:jc w:val="center"/>
    </w:pPr>
    <w:rPr>
      <w:rFonts w:eastAsia="黑体"/>
      <w:sz w:val="72"/>
    </w:rPr>
  </w:style>
  <w:style w:type="paragraph" w:styleId="21">
    <w:name w:val="Body Text"/>
    <w:basedOn w:val="1"/>
    <w:qFormat/>
    <w:uiPriority w:val="0"/>
    <w:pPr>
      <w:jc w:val="center"/>
    </w:pPr>
    <w:rPr>
      <w:rFonts w:eastAsia="仿宋_GB2312"/>
      <w:sz w:val="28"/>
    </w:rPr>
  </w:style>
  <w:style w:type="paragraph" w:styleId="22">
    <w:name w:val="Block Text"/>
    <w:basedOn w:val="1"/>
    <w:qFormat/>
    <w:uiPriority w:val="0"/>
    <w:pPr>
      <w:ind w:left="420" w:right="33"/>
      <w:jc w:val="left"/>
    </w:pPr>
    <w:rPr>
      <w:sz w:val="24"/>
      <w:szCs w:val="20"/>
    </w:rPr>
  </w:style>
  <w:style w:type="paragraph" w:styleId="23">
    <w:name w:val="index 4"/>
    <w:basedOn w:val="1"/>
    <w:next w:val="1"/>
    <w:unhideWhenUsed/>
    <w:qFormat/>
    <w:uiPriority w:val="99"/>
    <w:pPr>
      <w:ind w:left="600"/>
    </w:pPr>
  </w:style>
  <w:style w:type="paragraph" w:styleId="24">
    <w:name w:val="toc 5"/>
    <w:basedOn w:val="1"/>
    <w:next w:val="1"/>
    <w:unhideWhenUsed/>
    <w:qFormat/>
    <w:uiPriority w:val="39"/>
    <w:pPr>
      <w:spacing w:after="57"/>
      <w:ind w:left="1134"/>
    </w:pPr>
  </w:style>
  <w:style w:type="paragraph" w:styleId="25">
    <w:name w:val="toc 3"/>
    <w:basedOn w:val="1"/>
    <w:next w:val="1"/>
    <w:unhideWhenUsed/>
    <w:qFormat/>
    <w:uiPriority w:val="39"/>
    <w:pPr>
      <w:spacing w:after="57"/>
      <w:ind w:left="567"/>
    </w:pPr>
  </w:style>
  <w:style w:type="paragraph" w:styleId="26">
    <w:name w:val="Plain Text"/>
    <w:basedOn w:val="1"/>
    <w:link w:val="257"/>
    <w:qFormat/>
    <w:uiPriority w:val="0"/>
    <w:rPr>
      <w:rFonts w:ascii="宋体" w:hAnsi="Courier New"/>
      <w:szCs w:val="20"/>
    </w:rPr>
  </w:style>
  <w:style w:type="paragraph" w:styleId="27">
    <w:name w:val="List Number 4"/>
    <w:basedOn w:val="1"/>
    <w:semiHidden/>
    <w:unhideWhenUsed/>
    <w:qFormat/>
    <w:uiPriority w:val="99"/>
    <w:pPr>
      <w:numPr>
        <w:ilvl w:val="0"/>
        <w:numId w:val="2"/>
      </w:numPr>
    </w:pPr>
  </w:style>
  <w:style w:type="paragraph" w:styleId="28">
    <w:name w:val="toc 8"/>
    <w:basedOn w:val="1"/>
    <w:next w:val="1"/>
    <w:unhideWhenUsed/>
    <w:qFormat/>
    <w:uiPriority w:val="39"/>
    <w:pPr>
      <w:spacing w:after="57"/>
      <w:ind w:left="1984"/>
    </w:pPr>
  </w:style>
  <w:style w:type="paragraph" w:styleId="29">
    <w:name w:val="Date"/>
    <w:basedOn w:val="1"/>
    <w:next w:val="1"/>
    <w:qFormat/>
    <w:uiPriority w:val="0"/>
    <w:pPr>
      <w:ind w:left="100"/>
    </w:pPr>
    <w:rPr>
      <w:rFonts w:ascii="黑体" w:eastAsia="黑体"/>
      <w:sz w:val="72"/>
    </w:rPr>
  </w:style>
  <w:style w:type="paragraph" w:styleId="30">
    <w:name w:val="Body Text Indent 2"/>
    <w:basedOn w:val="1"/>
    <w:qFormat/>
    <w:uiPriority w:val="0"/>
    <w:pPr>
      <w:tabs>
        <w:tab w:val="left" w:pos="9741"/>
      </w:tabs>
      <w:ind w:right="-2" w:firstLine="540"/>
    </w:pPr>
    <w:rPr>
      <w:rFonts w:eastAsia="仿宋_GB2312"/>
      <w:sz w:val="28"/>
    </w:rPr>
  </w:style>
  <w:style w:type="paragraph" w:styleId="31">
    <w:name w:val="endnote text"/>
    <w:basedOn w:val="1"/>
    <w:link w:val="252"/>
    <w:semiHidden/>
    <w:unhideWhenUsed/>
    <w:qFormat/>
    <w:uiPriority w:val="99"/>
    <w:rPr>
      <w:sz w:val="20"/>
      <w:szCs w:val="20"/>
    </w:rPr>
  </w:style>
  <w:style w:type="paragraph" w:styleId="32">
    <w:name w:val="Balloon Text"/>
    <w:basedOn w:val="1"/>
    <w:qFormat/>
    <w:uiPriority w:val="0"/>
    <w:rPr>
      <w:sz w:val="18"/>
      <w:szCs w:val="18"/>
    </w:rPr>
  </w:style>
  <w:style w:type="paragraph" w:styleId="33">
    <w:name w:val="footer"/>
    <w:basedOn w:val="1"/>
    <w:qFormat/>
    <w:uiPriority w:val="0"/>
    <w:pPr>
      <w:tabs>
        <w:tab w:val="center" w:pos="4153"/>
        <w:tab w:val="right" w:pos="8306"/>
      </w:tabs>
      <w:jc w:val="left"/>
    </w:pPr>
    <w:rPr>
      <w:sz w:val="18"/>
      <w:szCs w:val="18"/>
    </w:rPr>
  </w:style>
  <w:style w:type="paragraph" w:styleId="34">
    <w:name w:val="header"/>
    <w:basedOn w:val="1"/>
    <w:qFormat/>
    <w:uiPriority w:val="0"/>
    <w:pPr>
      <w:pBdr>
        <w:bottom w:val="single" w:color="000000" w:sz="6" w:space="1"/>
      </w:pBdr>
      <w:tabs>
        <w:tab w:val="center" w:pos="4153"/>
        <w:tab w:val="right" w:pos="8306"/>
      </w:tabs>
      <w:jc w:val="center"/>
    </w:pPr>
    <w:rPr>
      <w:sz w:val="18"/>
      <w:szCs w:val="18"/>
    </w:rPr>
  </w:style>
  <w:style w:type="paragraph" w:styleId="35">
    <w:name w:val="toc 1"/>
    <w:basedOn w:val="1"/>
    <w:next w:val="1"/>
    <w:qFormat/>
    <w:uiPriority w:val="0"/>
  </w:style>
  <w:style w:type="paragraph" w:styleId="36">
    <w:name w:val="toc 4"/>
    <w:basedOn w:val="1"/>
    <w:next w:val="1"/>
    <w:unhideWhenUsed/>
    <w:qFormat/>
    <w:uiPriority w:val="39"/>
    <w:pPr>
      <w:spacing w:after="57"/>
      <w:ind w:left="850"/>
    </w:pPr>
  </w:style>
  <w:style w:type="paragraph" w:styleId="37">
    <w:name w:val="Subtitle"/>
    <w:basedOn w:val="1"/>
    <w:next w:val="1"/>
    <w:link w:val="115"/>
    <w:qFormat/>
    <w:uiPriority w:val="11"/>
    <w:pPr>
      <w:spacing w:before="200" w:after="200"/>
    </w:pPr>
    <w:rPr>
      <w:sz w:val="24"/>
    </w:rPr>
  </w:style>
  <w:style w:type="paragraph" w:styleId="38">
    <w:name w:val="footnote text"/>
    <w:basedOn w:val="1"/>
    <w:link w:val="251"/>
    <w:semiHidden/>
    <w:unhideWhenUsed/>
    <w:qFormat/>
    <w:uiPriority w:val="99"/>
    <w:pPr>
      <w:spacing w:after="40"/>
    </w:pPr>
    <w:rPr>
      <w:sz w:val="18"/>
      <w:szCs w:val="20"/>
    </w:rPr>
  </w:style>
  <w:style w:type="paragraph" w:styleId="39">
    <w:name w:val="toc 6"/>
    <w:basedOn w:val="1"/>
    <w:next w:val="1"/>
    <w:unhideWhenUsed/>
    <w:qFormat/>
    <w:uiPriority w:val="39"/>
    <w:pPr>
      <w:spacing w:after="57"/>
      <w:ind w:left="1417"/>
    </w:pPr>
  </w:style>
  <w:style w:type="paragraph" w:styleId="40">
    <w:name w:val="Body Text Indent 3"/>
    <w:basedOn w:val="1"/>
    <w:qFormat/>
    <w:uiPriority w:val="0"/>
    <w:pPr>
      <w:ind w:firstLine="435"/>
    </w:pPr>
    <w:rPr>
      <w:rFonts w:ascii="仿宋_GB2312" w:hAnsi="宋体" w:eastAsia="仿宋_GB2312"/>
      <w:sz w:val="28"/>
    </w:rPr>
  </w:style>
  <w:style w:type="paragraph" w:styleId="41">
    <w:name w:val="table of figures"/>
    <w:basedOn w:val="1"/>
    <w:next w:val="1"/>
    <w:unhideWhenUsed/>
    <w:qFormat/>
    <w:uiPriority w:val="99"/>
  </w:style>
  <w:style w:type="paragraph" w:styleId="42">
    <w:name w:val="toc 2"/>
    <w:basedOn w:val="1"/>
    <w:next w:val="1"/>
    <w:unhideWhenUsed/>
    <w:qFormat/>
    <w:uiPriority w:val="39"/>
    <w:pPr>
      <w:spacing w:after="57"/>
      <w:ind w:left="283"/>
    </w:pPr>
  </w:style>
  <w:style w:type="paragraph" w:styleId="43">
    <w:name w:val="toc 9"/>
    <w:basedOn w:val="1"/>
    <w:next w:val="1"/>
    <w:unhideWhenUsed/>
    <w:qFormat/>
    <w:uiPriority w:val="39"/>
    <w:pPr>
      <w:spacing w:after="57"/>
      <w:ind w:left="2268"/>
    </w:pPr>
  </w:style>
  <w:style w:type="paragraph" w:styleId="44">
    <w:name w:val="Body Text 2"/>
    <w:basedOn w:val="1"/>
    <w:qFormat/>
    <w:uiPriority w:val="0"/>
    <w:rPr>
      <w:rFonts w:ascii="仿宋_GB2312" w:eastAsia="仿宋_GB2312"/>
      <w:sz w:val="28"/>
    </w:rPr>
  </w:style>
  <w:style w:type="paragraph" w:styleId="4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46">
    <w:name w:val="Normal (Web)"/>
    <w:basedOn w:val="1"/>
    <w:qFormat/>
    <w:uiPriority w:val="0"/>
    <w:pPr>
      <w:spacing w:before="100" w:beforeAutospacing="1" w:after="100" w:afterAutospacing="1"/>
      <w:jc w:val="left"/>
    </w:pPr>
    <w:rPr>
      <w:sz w:val="24"/>
      <w:szCs w:val="20"/>
    </w:rPr>
  </w:style>
  <w:style w:type="paragraph" w:styleId="47">
    <w:name w:val="Title"/>
    <w:basedOn w:val="1"/>
    <w:next w:val="1"/>
    <w:link w:val="114"/>
    <w:qFormat/>
    <w:uiPriority w:val="10"/>
    <w:pPr>
      <w:spacing w:before="300" w:after="200"/>
      <w:contextualSpacing/>
    </w:pPr>
    <w:rPr>
      <w:sz w:val="48"/>
      <w:szCs w:val="48"/>
    </w:rPr>
  </w:style>
  <w:style w:type="paragraph" w:styleId="48">
    <w:name w:val="annotation subject"/>
    <w:basedOn w:val="19"/>
    <w:next w:val="19"/>
    <w:link w:val="258"/>
    <w:qFormat/>
    <w:uiPriority w:val="0"/>
    <w:rPr>
      <w:b/>
      <w:bCs/>
    </w:rPr>
  </w:style>
  <w:style w:type="paragraph" w:styleId="49">
    <w:name w:val="Body Text First Indent"/>
    <w:basedOn w:val="21"/>
    <w:next w:val="15"/>
    <w:qFormat/>
    <w:uiPriority w:val="0"/>
    <w:pPr>
      <w:spacing w:after="120"/>
      <w:ind w:firstLine="420"/>
    </w:pPr>
    <w:rPr>
      <w:rFonts w:eastAsia="宋体"/>
      <w:sz w:val="21"/>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3">
    <w:name w:val="endnote reference"/>
    <w:semiHidden/>
    <w:unhideWhenUsed/>
    <w:qFormat/>
    <w:uiPriority w:val="99"/>
    <w:rPr>
      <w:vertAlign w:val="superscript"/>
    </w:rPr>
  </w:style>
  <w:style w:type="character" w:styleId="54">
    <w:name w:val="page number"/>
    <w:basedOn w:val="52"/>
    <w:qFormat/>
    <w:uiPriority w:val="0"/>
    <w:rPr>
      <w:rFonts w:ascii="Times New Roman" w:hAnsi="Times New Roman" w:eastAsia="宋体" w:cs="Times New Roman"/>
    </w:rPr>
  </w:style>
  <w:style w:type="character" w:styleId="55">
    <w:name w:val="FollowedHyperlink"/>
    <w:qFormat/>
    <w:uiPriority w:val="0"/>
    <w:rPr>
      <w:rFonts w:ascii="Times New Roman" w:hAnsi="Times New Roman" w:eastAsia="宋体" w:cs="Times New Roman"/>
      <w:color w:val="333333"/>
      <w:u w:val="none"/>
    </w:rPr>
  </w:style>
  <w:style w:type="character" w:styleId="56">
    <w:name w:val="Emphasis"/>
    <w:qFormat/>
    <w:uiPriority w:val="0"/>
    <w:rPr>
      <w:i/>
    </w:rPr>
  </w:style>
  <w:style w:type="character" w:styleId="57">
    <w:name w:val="Hyperlink"/>
    <w:qFormat/>
    <w:uiPriority w:val="0"/>
    <w:rPr>
      <w:rFonts w:ascii="Times New Roman" w:hAnsi="Times New Roman" w:eastAsia="宋体" w:cs="Times New Roman"/>
      <w:color w:val="333333"/>
      <w:u w:val="none"/>
    </w:rPr>
  </w:style>
  <w:style w:type="character" w:styleId="58">
    <w:name w:val="annotation reference"/>
    <w:qFormat/>
    <w:uiPriority w:val="0"/>
    <w:rPr>
      <w:rFonts w:ascii="Times New Roman" w:hAnsi="Times New Roman" w:eastAsia="宋体" w:cs="Times New Roman"/>
      <w:sz w:val="21"/>
      <w:szCs w:val="21"/>
    </w:rPr>
  </w:style>
  <w:style w:type="character" w:styleId="59">
    <w:name w:val="footnote reference"/>
    <w:unhideWhenUsed/>
    <w:qFormat/>
    <w:uiPriority w:val="99"/>
    <w:rPr>
      <w:vertAlign w:val="superscript"/>
    </w:rPr>
  </w:style>
  <w:style w:type="paragraph" w:customStyle="1" w:styleId="60">
    <w:name w:val="首行缩进"/>
    <w:basedOn w:val="1"/>
    <w:qFormat/>
    <w:uiPriority w:val="0"/>
    <w:pPr>
      <w:spacing w:line="360" w:lineRule="auto"/>
      <w:ind w:firstLine="480"/>
    </w:pPr>
    <w:rPr>
      <w:rFonts w:ascii="宋体" w:hAnsi="宋体" w:cs="宋体"/>
      <w:sz w:val="24"/>
    </w:rPr>
  </w:style>
  <w:style w:type="paragraph" w:customStyle="1" w:styleId="61">
    <w:name w:val="Default"/>
    <w:qFormat/>
    <w:uiPriority w:val="0"/>
    <w:pPr>
      <w:widowControl w:val="0"/>
    </w:pPr>
    <w:rPr>
      <w:rFonts w:hint="default" w:ascii="仿宋" w:hAnsi="Times New Roman" w:eastAsia="仿宋" w:cs="仿宋"/>
      <w:color w:val="000000"/>
      <w:sz w:val="24"/>
      <w:szCs w:val="24"/>
      <w:lang w:val="en-US" w:eastAsia="zh-CN" w:bidi="ar-SA"/>
    </w:rPr>
  </w:style>
  <w:style w:type="table" w:customStyle="1" w:styleId="62">
    <w:name w:val="Plain Table 1"/>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5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5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5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5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5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5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5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5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5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5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5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1">
    <w:name w:val="TOC Heading"/>
    <w:unhideWhenUsed/>
    <w:qFormat/>
    <w:uiPriority w:val="39"/>
    <w:rPr>
      <w:rFonts w:hint="default" w:ascii="Times New Roman" w:hAnsi="Times New Roman" w:eastAsia="宋体" w:cs="Times New Roman"/>
    </w:rPr>
  </w:style>
  <w:style w:type="paragraph" w:customStyle="1" w:styleId="82">
    <w:name w:val="标题 31"/>
    <w:basedOn w:val="1"/>
    <w:next w:val="1"/>
    <w:link w:val="100"/>
    <w:unhideWhenUsed/>
    <w:qFormat/>
    <w:uiPriority w:val="9"/>
    <w:pPr>
      <w:keepNext/>
      <w:keepLines/>
      <w:spacing w:before="320" w:after="200"/>
      <w:outlineLvl w:val="2"/>
    </w:pPr>
    <w:rPr>
      <w:rFonts w:ascii="Arial" w:hAnsi="Arial" w:eastAsia="Arial"/>
      <w:sz w:val="30"/>
      <w:szCs w:val="30"/>
    </w:rPr>
  </w:style>
  <w:style w:type="paragraph" w:customStyle="1" w:styleId="83">
    <w:name w:val="正文格式－文字"/>
    <w:qFormat/>
    <w:uiPriority w:val="0"/>
    <w:pPr>
      <w:spacing w:before="156" w:after="156" w:line="300" w:lineRule="auto"/>
      <w:ind w:firstLine="200"/>
      <w:jc w:val="both"/>
    </w:pPr>
    <w:rPr>
      <w:rFonts w:hint="default" w:ascii="Calibri" w:hAnsi="Calibri" w:eastAsia="宋体" w:cs="Times New Roman"/>
      <w:sz w:val="24"/>
      <w:szCs w:val="24"/>
      <w:lang w:val="en-US" w:eastAsia="zh-CN" w:bidi="ar-SA"/>
    </w:rPr>
  </w:style>
  <w:style w:type="paragraph" w:customStyle="1" w:styleId="84">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85">
    <w:name w:val="正文首行缩进 21"/>
    <w:basedOn w:val="86"/>
    <w:qFormat/>
    <w:uiPriority w:val="0"/>
    <w:pPr>
      <w:widowControl/>
      <w:spacing w:after="120"/>
      <w:ind w:left="420" w:firstLine="420"/>
    </w:pPr>
    <w:rPr>
      <w:rFonts w:ascii="仿宋_GB2312" w:eastAsia="仿宋_GB2312"/>
      <w:color w:val="FF6600"/>
      <w:sz w:val="21"/>
    </w:rPr>
  </w:style>
  <w:style w:type="paragraph" w:customStyle="1" w:styleId="86">
    <w:name w:val="正文文本缩进1"/>
    <w:basedOn w:val="1"/>
    <w:qFormat/>
    <w:uiPriority w:val="0"/>
    <w:pPr>
      <w:ind w:firstLine="630"/>
    </w:pPr>
    <w:rPr>
      <w:rFonts w:ascii="楷体_GB2312" w:eastAsia="楷体_GB2312"/>
      <w:sz w:val="32"/>
      <w:szCs w:val="20"/>
      <w:lang w:eastAsia="en-US"/>
    </w:rPr>
  </w:style>
  <w:style w:type="paragraph" w:customStyle="1" w:styleId="87">
    <w:name w:val="标题 111"/>
    <w:basedOn w:val="1"/>
    <w:next w:val="1"/>
    <w:qFormat/>
    <w:uiPriority w:val="0"/>
    <w:pPr>
      <w:keepNext/>
      <w:keepLines/>
      <w:spacing w:before="600" w:after="880" w:line="319" w:lineRule="auto"/>
      <w:jc w:val="center"/>
      <w:outlineLvl w:val="0"/>
    </w:pPr>
    <w:rPr>
      <w:rFonts w:ascii="Century Schoolbook" w:hAnsi="Century Schoolbook" w:eastAsia="微软简标宋"/>
      <w:sz w:val="40"/>
      <w:szCs w:val="20"/>
    </w:rPr>
  </w:style>
  <w:style w:type="character" w:customStyle="1" w:styleId="88">
    <w:name w:val="Title Char"/>
    <w:basedOn w:val="52"/>
    <w:qFormat/>
    <w:uiPriority w:val="10"/>
    <w:rPr>
      <w:sz w:val="48"/>
      <w:szCs w:val="48"/>
    </w:rPr>
  </w:style>
  <w:style w:type="character" w:customStyle="1" w:styleId="89">
    <w:name w:val="Subtitle Char"/>
    <w:basedOn w:val="52"/>
    <w:qFormat/>
    <w:uiPriority w:val="11"/>
    <w:rPr>
      <w:sz w:val="24"/>
      <w:szCs w:val="24"/>
    </w:rPr>
  </w:style>
  <w:style w:type="character" w:customStyle="1" w:styleId="90">
    <w:name w:val="Quote Char"/>
    <w:qFormat/>
    <w:uiPriority w:val="29"/>
    <w:rPr>
      <w:i/>
    </w:rPr>
  </w:style>
  <w:style w:type="character" w:customStyle="1" w:styleId="91">
    <w:name w:val="Intense Quote Char"/>
    <w:qFormat/>
    <w:uiPriority w:val="30"/>
    <w:rPr>
      <w:i/>
    </w:rPr>
  </w:style>
  <w:style w:type="character" w:customStyle="1" w:styleId="92">
    <w:name w:val="Footnote Text Char"/>
    <w:qFormat/>
    <w:uiPriority w:val="99"/>
    <w:rPr>
      <w:sz w:val="18"/>
    </w:rPr>
  </w:style>
  <w:style w:type="character" w:customStyle="1" w:styleId="93">
    <w:name w:val="Endnote Text Char"/>
    <w:qFormat/>
    <w:uiPriority w:val="99"/>
    <w:rPr>
      <w:sz w:val="20"/>
    </w:rPr>
  </w:style>
  <w:style w:type="paragraph" w:customStyle="1" w:styleId="94">
    <w:name w:val="TOC 标题1"/>
    <w:unhideWhenUsed/>
    <w:qFormat/>
    <w:uiPriority w:val="39"/>
    <w:rPr>
      <w:rFonts w:hint="default" w:ascii="Times New Roman" w:hAnsi="Times New Roman" w:eastAsia="宋体" w:cs="Times New Roman"/>
      <w:lang w:val="en-US" w:eastAsia="zh-CN" w:bidi="ar-SA"/>
    </w:rPr>
  </w:style>
  <w:style w:type="paragraph" w:customStyle="1" w:styleId="95">
    <w:name w:val="正文1"/>
    <w:basedOn w:val="1"/>
    <w:qFormat/>
    <w:uiPriority w:val="0"/>
    <w:pPr>
      <w:widowControl/>
      <w:spacing w:before="120" w:after="120"/>
      <w:ind w:firstLine="200"/>
      <w:contextualSpacing/>
      <w:jc w:val="left"/>
    </w:pPr>
    <w:rPr>
      <w:rFonts w:ascii="Calibri" w:hAnsi="Calibri" w:eastAsia="Adobe 仿宋 Std R"/>
      <w:szCs w:val="21"/>
    </w:rPr>
  </w:style>
  <w:style w:type="paragraph" w:customStyle="1" w:styleId="96">
    <w:name w:val="标题 11"/>
    <w:basedOn w:val="1"/>
    <w:next w:val="1"/>
    <w:link w:val="97"/>
    <w:qFormat/>
    <w:uiPriority w:val="9"/>
    <w:pPr>
      <w:keepNext/>
      <w:keepLines/>
      <w:spacing w:before="480" w:after="200"/>
      <w:outlineLvl w:val="0"/>
    </w:pPr>
    <w:rPr>
      <w:rFonts w:ascii="Arial" w:hAnsi="Arial" w:eastAsia="Arial"/>
      <w:sz w:val="40"/>
      <w:szCs w:val="40"/>
    </w:rPr>
  </w:style>
  <w:style w:type="character" w:customStyle="1" w:styleId="97">
    <w:name w:val="Heading 1 Char"/>
    <w:link w:val="96"/>
    <w:qFormat/>
    <w:uiPriority w:val="9"/>
    <w:rPr>
      <w:rFonts w:ascii="Arial" w:hAnsi="Arial" w:eastAsia="Arial" w:cs="Arial"/>
      <w:sz w:val="40"/>
      <w:szCs w:val="40"/>
    </w:rPr>
  </w:style>
  <w:style w:type="paragraph" w:customStyle="1" w:styleId="98">
    <w:name w:val="标题 21"/>
    <w:basedOn w:val="1"/>
    <w:next w:val="1"/>
    <w:link w:val="99"/>
    <w:unhideWhenUsed/>
    <w:qFormat/>
    <w:uiPriority w:val="9"/>
    <w:pPr>
      <w:keepNext/>
      <w:keepLines/>
      <w:spacing w:before="360" w:after="200"/>
      <w:outlineLvl w:val="1"/>
    </w:pPr>
    <w:rPr>
      <w:rFonts w:ascii="Arial" w:hAnsi="Arial" w:eastAsia="Arial"/>
      <w:sz w:val="34"/>
      <w:szCs w:val="20"/>
    </w:rPr>
  </w:style>
  <w:style w:type="character" w:customStyle="1" w:styleId="99">
    <w:name w:val="Heading 2 Char"/>
    <w:link w:val="98"/>
    <w:qFormat/>
    <w:uiPriority w:val="9"/>
    <w:rPr>
      <w:rFonts w:ascii="Arial" w:hAnsi="Arial" w:eastAsia="Arial" w:cs="Arial"/>
      <w:sz w:val="34"/>
    </w:rPr>
  </w:style>
  <w:style w:type="character" w:customStyle="1" w:styleId="100">
    <w:name w:val="Heading 3 Char"/>
    <w:link w:val="82"/>
    <w:qFormat/>
    <w:uiPriority w:val="9"/>
    <w:rPr>
      <w:rFonts w:ascii="Arial" w:hAnsi="Arial" w:eastAsia="Arial" w:cs="Arial"/>
      <w:sz w:val="30"/>
      <w:szCs w:val="30"/>
    </w:rPr>
  </w:style>
  <w:style w:type="paragraph" w:customStyle="1" w:styleId="101">
    <w:name w:val="标题 41"/>
    <w:basedOn w:val="1"/>
    <w:next w:val="1"/>
    <w:link w:val="102"/>
    <w:unhideWhenUsed/>
    <w:qFormat/>
    <w:uiPriority w:val="9"/>
    <w:pPr>
      <w:keepNext/>
      <w:keepLines/>
      <w:spacing w:before="320" w:after="200"/>
      <w:outlineLvl w:val="3"/>
    </w:pPr>
    <w:rPr>
      <w:rFonts w:ascii="Arial" w:hAnsi="Arial" w:eastAsia="Arial"/>
      <w:b/>
      <w:bCs/>
      <w:sz w:val="26"/>
      <w:szCs w:val="26"/>
    </w:rPr>
  </w:style>
  <w:style w:type="character" w:customStyle="1" w:styleId="102">
    <w:name w:val="Heading 4 Char"/>
    <w:link w:val="101"/>
    <w:qFormat/>
    <w:uiPriority w:val="9"/>
    <w:rPr>
      <w:rFonts w:ascii="Arial" w:hAnsi="Arial" w:eastAsia="Arial" w:cs="Arial"/>
      <w:b/>
      <w:bCs/>
      <w:sz w:val="26"/>
      <w:szCs w:val="26"/>
    </w:rPr>
  </w:style>
  <w:style w:type="paragraph" w:customStyle="1" w:styleId="103">
    <w:name w:val="标题 51"/>
    <w:basedOn w:val="1"/>
    <w:next w:val="1"/>
    <w:link w:val="104"/>
    <w:unhideWhenUsed/>
    <w:qFormat/>
    <w:uiPriority w:val="9"/>
    <w:pPr>
      <w:keepNext/>
      <w:keepLines/>
      <w:spacing w:before="320" w:after="200"/>
      <w:outlineLvl w:val="4"/>
    </w:pPr>
    <w:rPr>
      <w:rFonts w:ascii="Arial" w:hAnsi="Arial" w:eastAsia="Arial"/>
      <w:b/>
      <w:bCs/>
      <w:sz w:val="24"/>
    </w:rPr>
  </w:style>
  <w:style w:type="character" w:customStyle="1" w:styleId="104">
    <w:name w:val="Heading 5 Char"/>
    <w:link w:val="103"/>
    <w:qFormat/>
    <w:uiPriority w:val="9"/>
    <w:rPr>
      <w:rFonts w:ascii="Arial" w:hAnsi="Arial" w:eastAsia="Arial" w:cs="Arial"/>
      <w:b/>
      <w:bCs/>
      <w:sz w:val="24"/>
      <w:szCs w:val="24"/>
    </w:rPr>
  </w:style>
  <w:style w:type="paragraph" w:customStyle="1" w:styleId="105">
    <w:name w:val="标题 61"/>
    <w:basedOn w:val="1"/>
    <w:next w:val="1"/>
    <w:link w:val="106"/>
    <w:unhideWhenUsed/>
    <w:qFormat/>
    <w:uiPriority w:val="9"/>
    <w:pPr>
      <w:keepNext/>
      <w:keepLines/>
      <w:spacing w:before="320" w:after="200"/>
      <w:outlineLvl w:val="5"/>
    </w:pPr>
    <w:rPr>
      <w:rFonts w:ascii="Arial" w:hAnsi="Arial" w:eastAsia="Arial"/>
      <w:b/>
      <w:bCs/>
      <w:sz w:val="22"/>
      <w:szCs w:val="22"/>
    </w:rPr>
  </w:style>
  <w:style w:type="character" w:customStyle="1" w:styleId="106">
    <w:name w:val="Heading 6 Char"/>
    <w:link w:val="105"/>
    <w:qFormat/>
    <w:uiPriority w:val="9"/>
    <w:rPr>
      <w:rFonts w:ascii="Arial" w:hAnsi="Arial" w:eastAsia="Arial" w:cs="Arial"/>
      <w:b/>
      <w:bCs/>
      <w:sz w:val="22"/>
      <w:szCs w:val="22"/>
    </w:rPr>
  </w:style>
  <w:style w:type="paragraph" w:customStyle="1" w:styleId="107">
    <w:name w:val="标题 71"/>
    <w:basedOn w:val="1"/>
    <w:next w:val="1"/>
    <w:link w:val="108"/>
    <w:unhideWhenUsed/>
    <w:qFormat/>
    <w:uiPriority w:val="9"/>
    <w:pPr>
      <w:keepNext/>
      <w:keepLines/>
      <w:spacing w:before="320" w:after="200"/>
      <w:outlineLvl w:val="6"/>
    </w:pPr>
    <w:rPr>
      <w:rFonts w:ascii="Arial" w:hAnsi="Arial" w:eastAsia="Arial"/>
      <w:b/>
      <w:bCs/>
      <w:i/>
      <w:iCs/>
      <w:sz w:val="22"/>
      <w:szCs w:val="22"/>
    </w:rPr>
  </w:style>
  <w:style w:type="character" w:customStyle="1" w:styleId="108">
    <w:name w:val="Heading 7 Char"/>
    <w:link w:val="107"/>
    <w:qFormat/>
    <w:uiPriority w:val="9"/>
    <w:rPr>
      <w:rFonts w:ascii="Arial" w:hAnsi="Arial" w:eastAsia="Arial" w:cs="Arial"/>
      <w:b/>
      <w:bCs/>
      <w:i/>
      <w:iCs/>
      <w:sz w:val="22"/>
      <w:szCs w:val="22"/>
    </w:rPr>
  </w:style>
  <w:style w:type="paragraph" w:customStyle="1" w:styleId="109">
    <w:name w:val="标题 81"/>
    <w:basedOn w:val="1"/>
    <w:next w:val="1"/>
    <w:link w:val="110"/>
    <w:unhideWhenUsed/>
    <w:qFormat/>
    <w:uiPriority w:val="9"/>
    <w:pPr>
      <w:keepNext/>
      <w:keepLines/>
      <w:spacing w:before="320" w:after="200"/>
      <w:outlineLvl w:val="7"/>
    </w:pPr>
    <w:rPr>
      <w:rFonts w:ascii="Arial" w:hAnsi="Arial" w:eastAsia="Arial"/>
      <w:i/>
      <w:iCs/>
      <w:sz w:val="22"/>
      <w:szCs w:val="22"/>
    </w:rPr>
  </w:style>
  <w:style w:type="character" w:customStyle="1" w:styleId="110">
    <w:name w:val="Heading 8 Char"/>
    <w:link w:val="109"/>
    <w:qFormat/>
    <w:uiPriority w:val="9"/>
    <w:rPr>
      <w:rFonts w:ascii="Arial" w:hAnsi="Arial" w:eastAsia="Arial" w:cs="Arial"/>
      <w:i/>
      <w:iCs/>
      <w:sz w:val="22"/>
      <w:szCs w:val="22"/>
    </w:rPr>
  </w:style>
  <w:style w:type="paragraph" w:customStyle="1" w:styleId="111">
    <w:name w:val="标题 91"/>
    <w:basedOn w:val="1"/>
    <w:next w:val="1"/>
    <w:link w:val="112"/>
    <w:unhideWhenUsed/>
    <w:qFormat/>
    <w:uiPriority w:val="9"/>
    <w:pPr>
      <w:keepNext/>
      <w:keepLines/>
      <w:spacing w:before="320" w:after="200"/>
      <w:outlineLvl w:val="8"/>
    </w:pPr>
    <w:rPr>
      <w:rFonts w:ascii="Arial" w:hAnsi="Arial" w:eastAsia="Arial"/>
      <w:i/>
      <w:iCs/>
      <w:szCs w:val="21"/>
    </w:rPr>
  </w:style>
  <w:style w:type="character" w:customStyle="1" w:styleId="112">
    <w:name w:val="Heading 9 Char"/>
    <w:link w:val="111"/>
    <w:qFormat/>
    <w:uiPriority w:val="9"/>
    <w:rPr>
      <w:rFonts w:ascii="Arial" w:hAnsi="Arial" w:eastAsia="Arial" w:cs="Arial"/>
      <w:i/>
      <w:iCs/>
      <w:sz w:val="21"/>
      <w:szCs w:val="21"/>
    </w:rPr>
  </w:style>
  <w:style w:type="paragraph" w:styleId="113">
    <w:name w:val="No Spacing"/>
    <w:qFormat/>
    <w:uiPriority w:val="1"/>
    <w:rPr>
      <w:rFonts w:hint="default" w:ascii="Times New Roman" w:hAnsi="Times New Roman" w:eastAsia="宋体" w:cs="Times New Roman"/>
      <w:lang w:val="en-US" w:eastAsia="zh-CN" w:bidi="ar-SA"/>
    </w:rPr>
  </w:style>
  <w:style w:type="character" w:customStyle="1" w:styleId="114">
    <w:name w:val="标题 字符"/>
    <w:link w:val="47"/>
    <w:qFormat/>
    <w:uiPriority w:val="10"/>
    <w:rPr>
      <w:sz w:val="48"/>
      <w:szCs w:val="48"/>
    </w:rPr>
  </w:style>
  <w:style w:type="character" w:customStyle="1" w:styleId="115">
    <w:name w:val="副标题 字符"/>
    <w:link w:val="37"/>
    <w:qFormat/>
    <w:uiPriority w:val="11"/>
    <w:rPr>
      <w:sz w:val="24"/>
      <w:szCs w:val="24"/>
    </w:rPr>
  </w:style>
  <w:style w:type="paragraph" w:styleId="116">
    <w:name w:val="Quote"/>
    <w:basedOn w:val="1"/>
    <w:next w:val="1"/>
    <w:link w:val="117"/>
    <w:qFormat/>
    <w:uiPriority w:val="29"/>
    <w:pPr>
      <w:ind w:left="720" w:right="720"/>
    </w:pPr>
    <w:rPr>
      <w:i/>
      <w:sz w:val="20"/>
      <w:szCs w:val="20"/>
    </w:rPr>
  </w:style>
  <w:style w:type="character" w:customStyle="1" w:styleId="117">
    <w:name w:val="引用 字符"/>
    <w:link w:val="116"/>
    <w:qFormat/>
    <w:uiPriority w:val="29"/>
    <w:rPr>
      <w:i/>
    </w:rPr>
  </w:style>
  <w:style w:type="paragraph" w:styleId="118">
    <w:name w:val="Intense Quote"/>
    <w:basedOn w:val="1"/>
    <w:next w:val="1"/>
    <w:link w:val="11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19">
    <w:name w:val="明显引用 字符"/>
    <w:link w:val="118"/>
    <w:qFormat/>
    <w:uiPriority w:val="30"/>
    <w:rPr>
      <w:i/>
    </w:rPr>
  </w:style>
  <w:style w:type="paragraph" w:customStyle="1" w:styleId="120">
    <w:name w:val="页眉1"/>
    <w:basedOn w:val="1"/>
    <w:link w:val="121"/>
    <w:unhideWhenUsed/>
    <w:qFormat/>
    <w:uiPriority w:val="99"/>
    <w:pPr>
      <w:tabs>
        <w:tab w:val="center" w:pos="7143"/>
        <w:tab w:val="right" w:pos="14287"/>
      </w:tabs>
    </w:pPr>
  </w:style>
  <w:style w:type="character" w:customStyle="1" w:styleId="121">
    <w:name w:val="Header Char"/>
    <w:link w:val="120"/>
    <w:qFormat/>
    <w:uiPriority w:val="99"/>
  </w:style>
  <w:style w:type="paragraph" w:customStyle="1" w:styleId="122">
    <w:name w:val="页脚1"/>
    <w:basedOn w:val="1"/>
    <w:link w:val="125"/>
    <w:unhideWhenUsed/>
    <w:qFormat/>
    <w:uiPriority w:val="99"/>
    <w:pPr>
      <w:tabs>
        <w:tab w:val="center" w:pos="7143"/>
        <w:tab w:val="right" w:pos="14287"/>
      </w:tabs>
    </w:pPr>
  </w:style>
  <w:style w:type="character" w:customStyle="1" w:styleId="123">
    <w:name w:val="Footer Char"/>
    <w:qFormat/>
    <w:uiPriority w:val="99"/>
  </w:style>
  <w:style w:type="paragraph" w:customStyle="1" w:styleId="124">
    <w:name w:val="题注1"/>
    <w:basedOn w:val="1"/>
    <w:next w:val="1"/>
    <w:semiHidden/>
    <w:unhideWhenUsed/>
    <w:qFormat/>
    <w:uiPriority w:val="35"/>
    <w:pPr>
      <w:spacing w:line="276" w:lineRule="auto"/>
    </w:pPr>
    <w:rPr>
      <w:b/>
      <w:bCs/>
      <w:color w:val="4F81BD"/>
      <w:sz w:val="18"/>
      <w:szCs w:val="18"/>
    </w:rPr>
  </w:style>
  <w:style w:type="character" w:customStyle="1" w:styleId="125">
    <w:name w:val="Caption Char"/>
    <w:link w:val="122"/>
    <w:qFormat/>
    <w:uiPriority w:val="99"/>
  </w:style>
  <w:style w:type="table" w:customStyle="1" w:styleId="12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7">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29">
    <w:name w:val="无格式表格 31"/>
    <w:qFormat/>
    <w:uiPriority w:val="99"/>
    <w:tblPr>
      <w:tblCellMar>
        <w:top w:w="0" w:type="dxa"/>
        <w:left w:w="0" w:type="dxa"/>
        <w:bottom w:w="0" w:type="dxa"/>
        <w:right w:w="0" w:type="dxa"/>
      </w:tblCellMar>
    </w:tblPr>
  </w:style>
  <w:style w:type="table" w:customStyle="1" w:styleId="130">
    <w:name w:val="无格式表格 41"/>
    <w:qFormat/>
    <w:uiPriority w:val="99"/>
    <w:tblPr>
      <w:tblCellMar>
        <w:top w:w="0" w:type="dxa"/>
        <w:left w:w="0" w:type="dxa"/>
        <w:bottom w:w="0" w:type="dxa"/>
        <w:right w:w="0" w:type="dxa"/>
      </w:tblCellMar>
    </w:tblPr>
  </w:style>
  <w:style w:type="table" w:customStyle="1" w:styleId="131">
    <w:name w:val="无格式表格 51"/>
    <w:qFormat/>
    <w:uiPriority w:val="99"/>
    <w:tblPr>
      <w:tblCellMar>
        <w:top w:w="0" w:type="dxa"/>
        <w:left w:w="0" w:type="dxa"/>
        <w:bottom w:w="0" w:type="dxa"/>
        <w:right w:w="0" w:type="dxa"/>
      </w:tblCellMar>
    </w:tblPr>
  </w:style>
  <w:style w:type="table" w:customStyle="1" w:styleId="132">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3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3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3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3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3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3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39">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0">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1">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2">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6">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3">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5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5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5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5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5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7">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4">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7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8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81">
    <w:name w:val="清单表 1 浅色1"/>
    <w:qFormat/>
    <w:uiPriority w:val="99"/>
    <w:tblPr>
      <w:tblCellMar>
        <w:top w:w="0" w:type="dxa"/>
        <w:left w:w="0" w:type="dxa"/>
        <w:bottom w:w="0" w:type="dxa"/>
        <w:right w:w="0" w:type="dxa"/>
      </w:tblCellMar>
    </w:tblPr>
  </w:style>
  <w:style w:type="table" w:customStyle="1" w:styleId="182">
    <w:name w:val="List Table 1 Light - Accent 1"/>
    <w:qFormat/>
    <w:uiPriority w:val="99"/>
    <w:tblPr>
      <w:tblCellMar>
        <w:top w:w="0" w:type="dxa"/>
        <w:left w:w="0" w:type="dxa"/>
        <w:bottom w:w="0" w:type="dxa"/>
        <w:right w:w="0" w:type="dxa"/>
      </w:tblCellMar>
    </w:tblPr>
  </w:style>
  <w:style w:type="table" w:customStyle="1" w:styleId="183">
    <w:name w:val="List Table 1 Light - Accent 2"/>
    <w:qFormat/>
    <w:uiPriority w:val="99"/>
    <w:tblPr>
      <w:tblCellMar>
        <w:top w:w="0" w:type="dxa"/>
        <w:left w:w="0" w:type="dxa"/>
        <w:bottom w:w="0" w:type="dxa"/>
        <w:right w:w="0" w:type="dxa"/>
      </w:tblCellMar>
    </w:tblPr>
  </w:style>
  <w:style w:type="table" w:customStyle="1" w:styleId="184">
    <w:name w:val="List Table 1 Light - Accent 3"/>
    <w:qFormat/>
    <w:uiPriority w:val="99"/>
    <w:tblPr>
      <w:tblCellMar>
        <w:top w:w="0" w:type="dxa"/>
        <w:left w:w="0" w:type="dxa"/>
        <w:bottom w:w="0" w:type="dxa"/>
        <w:right w:w="0" w:type="dxa"/>
      </w:tblCellMar>
    </w:tblPr>
  </w:style>
  <w:style w:type="table" w:customStyle="1" w:styleId="185">
    <w:name w:val="List Table 1 Light - Accent 4"/>
    <w:qFormat/>
    <w:uiPriority w:val="99"/>
    <w:tblPr>
      <w:tblCellMar>
        <w:top w:w="0" w:type="dxa"/>
        <w:left w:w="0" w:type="dxa"/>
        <w:bottom w:w="0" w:type="dxa"/>
        <w:right w:w="0" w:type="dxa"/>
      </w:tblCellMar>
    </w:tblPr>
  </w:style>
  <w:style w:type="table" w:customStyle="1" w:styleId="186">
    <w:name w:val="List Table 1 Light - Accent 5"/>
    <w:qFormat/>
    <w:uiPriority w:val="99"/>
    <w:tblPr>
      <w:tblCellMar>
        <w:top w:w="0" w:type="dxa"/>
        <w:left w:w="0" w:type="dxa"/>
        <w:bottom w:w="0" w:type="dxa"/>
        <w:right w:w="0" w:type="dxa"/>
      </w:tblCellMar>
    </w:tblPr>
  </w:style>
  <w:style w:type="table" w:customStyle="1" w:styleId="187">
    <w:name w:val="List Table 1 Light - Accent 6"/>
    <w:qFormat/>
    <w:uiPriority w:val="99"/>
    <w:tblPr>
      <w:tblCellMar>
        <w:top w:w="0" w:type="dxa"/>
        <w:left w:w="0" w:type="dxa"/>
        <w:bottom w:w="0" w:type="dxa"/>
        <w:right w:w="0" w:type="dxa"/>
      </w:tblCellMar>
    </w:tblPr>
  </w:style>
  <w:style w:type="table" w:customStyle="1" w:styleId="188">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8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9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9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9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9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9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9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9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97">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98">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9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0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0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0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20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0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0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0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0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0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09">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1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1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1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1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1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1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16">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1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1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1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2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2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2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23">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24">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25">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26">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27">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28">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29">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30">
    <w:name w:val="Lined - Accent"/>
    <w:qFormat/>
    <w:uiPriority w:val="99"/>
    <w:rPr>
      <w:color w:val="404040"/>
    </w:rPr>
    <w:tblPr>
      <w:tblCellMar>
        <w:top w:w="0" w:type="dxa"/>
        <w:left w:w="0" w:type="dxa"/>
        <w:bottom w:w="0" w:type="dxa"/>
        <w:right w:w="0" w:type="dxa"/>
      </w:tblCellMar>
    </w:tblPr>
  </w:style>
  <w:style w:type="table" w:customStyle="1" w:styleId="231">
    <w:name w:val="Lined - Accent 1"/>
    <w:qFormat/>
    <w:uiPriority w:val="99"/>
    <w:rPr>
      <w:color w:val="404040"/>
    </w:rPr>
    <w:tblPr>
      <w:tblCellMar>
        <w:top w:w="0" w:type="dxa"/>
        <w:left w:w="0" w:type="dxa"/>
        <w:bottom w:w="0" w:type="dxa"/>
        <w:right w:w="0" w:type="dxa"/>
      </w:tblCellMar>
    </w:tblPr>
  </w:style>
  <w:style w:type="table" w:customStyle="1" w:styleId="232">
    <w:name w:val="Lined - Accent 2"/>
    <w:qFormat/>
    <w:uiPriority w:val="99"/>
    <w:rPr>
      <w:color w:val="404040"/>
    </w:rPr>
    <w:tblPr>
      <w:tblCellMar>
        <w:top w:w="0" w:type="dxa"/>
        <w:left w:w="0" w:type="dxa"/>
        <w:bottom w:w="0" w:type="dxa"/>
        <w:right w:w="0" w:type="dxa"/>
      </w:tblCellMar>
    </w:tblPr>
  </w:style>
  <w:style w:type="table" w:customStyle="1" w:styleId="233">
    <w:name w:val="Lined - Accent 3"/>
    <w:qFormat/>
    <w:uiPriority w:val="99"/>
    <w:rPr>
      <w:color w:val="404040"/>
    </w:rPr>
    <w:tblPr>
      <w:tblCellMar>
        <w:top w:w="0" w:type="dxa"/>
        <w:left w:w="0" w:type="dxa"/>
        <w:bottom w:w="0" w:type="dxa"/>
        <w:right w:w="0" w:type="dxa"/>
      </w:tblCellMar>
    </w:tblPr>
  </w:style>
  <w:style w:type="table" w:customStyle="1" w:styleId="234">
    <w:name w:val="Lined - Accent 4"/>
    <w:qFormat/>
    <w:uiPriority w:val="99"/>
    <w:rPr>
      <w:color w:val="404040"/>
    </w:rPr>
    <w:tblPr>
      <w:tblCellMar>
        <w:top w:w="0" w:type="dxa"/>
        <w:left w:w="0" w:type="dxa"/>
        <w:bottom w:w="0" w:type="dxa"/>
        <w:right w:w="0" w:type="dxa"/>
      </w:tblCellMar>
    </w:tblPr>
  </w:style>
  <w:style w:type="table" w:customStyle="1" w:styleId="235">
    <w:name w:val="Lined - Accent 5"/>
    <w:qFormat/>
    <w:uiPriority w:val="99"/>
    <w:rPr>
      <w:color w:val="404040"/>
    </w:rPr>
    <w:tblPr>
      <w:tblCellMar>
        <w:top w:w="0" w:type="dxa"/>
        <w:left w:w="0" w:type="dxa"/>
        <w:bottom w:w="0" w:type="dxa"/>
        <w:right w:w="0" w:type="dxa"/>
      </w:tblCellMar>
    </w:tblPr>
  </w:style>
  <w:style w:type="table" w:customStyle="1" w:styleId="236">
    <w:name w:val="Lined - Accent 6"/>
    <w:qFormat/>
    <w:uiPriority w:val="99"/>
    <w:rPr>
      <w:color w:val="404040"/>
    </w:rPr>
    <w:tblPr>
      <w:tblCellMar>
        <w:top w:w="0" w:type="dxa"/>
        <w:left w:w="0" w:type="dxa"/>
        <w:bottom w:w="0" w:type="dxa"/>
        <w:right w:w="0" w:type="dxa"/>
      </w:tblCellMar>
    </w:tblPr>
  </w:style>
  <w:style w:type="table" w:customStyle="1" w:styleId="23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3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3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4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4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4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4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4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4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4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4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4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4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5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51">
    <w:name w:val="脚注文本 字符"/>
    <w:link w:val="38"/>
    <w:qFormat/>
    <w:uiPriority w:val="99"/>
    <w:rPr>
      <w:sz w:val="18"/>
    </w:rPr>
  </w:style>
  <w:style w:type="character" w:customStyle="1" w:styleId="252">
    <w:name w:val="尾注文本 字符"/>
    <w:link w:val="31"/>
    <w:qFormat/>
    <w:uiPriority w:val="99"/>
    <w:rPr>
      <w:sz w:val="20"/>
    </w:rPr>
  </w:style>
  <w:style w:type="paragraph" w:customStyle="1" w:styleId="253">
    <w:name w:val="TOC 标题11"/>
    <w:unhideWhenUsed/>
    <w:qFormat/>
    <w:uiPriority w:val="39"/>
    <w:rPr>
      <w:rFonts w:hint="default" w:ascii="Times New Roman" w:hAnsi="Times New Roman" w:eastAsia="宋体" w:cs="Times New Roman"/>
      <w:lang w:val="en-US" w:eastAsia="zh-CN" w:bidi="ar-SA"/>
    </w:rPr>
  </w:style>
  <w:style w:type="character" w:customStyle="1" w:styleId="254">
    <w:name w:val="标题 2 字符"/>
    <w:link w:val="6"/>
    <w:qFormat/>
    <w:uiPriority w:val="0"/>
    <w:rPr>
      <w:rFonts w:ascii="Cambria" w:hAnsi="Cambria" w:eastAsia="宋体" w:cs="Times New Roman"/>
      <w:b/>
      <w:bCs/>
      <w:sz w:val="32"/>
      <w:szCs w:val="32"/>
    </w:rPr>
  </w:style>
  <w:style w:type="character" w:customStyle="1" w:styleId="255">
    <w:name w:val="正文缩进 字符"/>
    <w:link w:val="15"/>
    <w:qFormat/>
    <w:uiPriority w:val="0"/>
    <w:rPr>
      <w:rFonts w:ascii="Times New Roman" w:hAnsi="Times New Roman" w:eastAsia="宋体" w:cs="Times New Roman"/>
      <w:sz w:val="21"/>
      <w:szCs w:val="24"/>
    </w:rPr>
  </w:style>
  <w:style w:type="character" w:customStyle="1" w:styleId="256">
    <w:name w:val="批注文字 字符"/>
    <w:link w:val="19"/>
    <w:qFormat/>
    <w:uiPriority w:val="0"/>
    <w:rPr>
      <w:rFonts w:ascii="Times New Roman" w:hAnsi="Times New Roman" w:eastAsia="宋体" w:cs="Times New Roman"/>
      <w:sz w:val="21"/>
      <w:szCs w:val="24"/>
    </w:rPr>
  </w:style>
  <w:style w:type="character" w:customStyle="1" w:styleId="257">
    <w:name w:val="纯文本 字符"/>
    <w:link w:val="26"/>
    <w:qFormat/>
    <w:uiPriority w:val="0"/>
    <w:rPr>
      <w:rFonts w:ascii="宋体" w:hAnsi="Courier New" w:eastAsia="宋体" w:cs="Times New Roman"/>
      <w:sz w:val="21"/>
      <w:lang w:val="en-US" w:eastAsia="zh-CN" w:bidi="ar-SA"/>
    </w:rPr>
  </w:style>
  <w:style w:type="character" w:customStyle="1" w:styleId="258">
    <w:name w:val="批注主题 字符"/>
    <w:link w:val="48"/>
    <w:qFormat/>
    <w:uiPriority w:val="0"/>
    <w:rPr>
      <w:rFonts w:ascii="Times New Roman" w:hAnsi="Times New Roman" w:eastAsia="宋体" w:cs="Times New Roman"/>
      <w:b/>
      <w:bCs/>
      <w:sz w:val="21"/>
      <w:szCs w:val="24"/>
    </w:rPr>
  </w:style>
  <w:style w:type="paragraph" w:customStyle="1" w:styleId="259">
    <w:name w:val="BodyText1"/>
    <w:basedOn w:val="1"/>
    <w:qFormat/>
    <w:uiPriority w:val="0"/>
    <w:pPr>
      <w:spacing w:line="60" w:lineRule="auto"/>
    </w:pPr>
    <w:rPr>
      <w:rFonts w:ascii="仿宋_GB2312" w:hAnsi="Calibri" w:eastAsia="仿宋_GB2312"/>
      <w:sz w:val="32"/>
      <w:szCs w:val="22"/>
    </w:rPr>
  </w:style>
  <w:style w:type="paragraph" w:customStyle="1" w:styleId="260">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261">
    <w:name w:val="Table Paragraph"/>
    <w:basedOn w:val="1"/>
    <w:qFormat/>
    <w:uiPriority w:val="0"/>
    <w:rPr>
      <w:rFonts w:ascii="宋体" w:hAnsi="宋体" w:cs="宋体"/>
      <w:lang w:val="zh-CN" w:bidi="zh-CN"/>
    </w:rPr>
  </w:style>
  <w:style w:type="paragraph" w:customStyle="1" w:styleId="262">
    <w:name w:val="WPSOffice手动目录 1"/>
    <w:qFormat/>
    <w:uiPriority w:val="0"/>
    <w:rPr>
      <w:rFonts w:hint="default" w:ascii="Times New Roman" w:hAnsi="Times New Roman" w:eastAsia="宋体" w:cs="Times New Roman"/>
      <w:lang w:val="en-US" w:eastAsia="zh-CN" w:bidi="ar-SA"/>
    </w:rPr>
  </w:style>
  <w:style w:type="character" w:customStyle="1" w:styleId="263">
    <w:name w:val="普通正文 Char"/>
    <w:link w:val="264"/>
    <w:qFormat/>
    <w:uiPriority w:val="0"/>
    <w:rPr>
      <w:rFonts w:ascii="Arial" w:hAnsi="Arial" w:eastAsia="宋体" w:cs="Times New Roman"/>
      <w:sz w:val="24"/>
      <w:szCs w:val="24"/>
    </w:rPr>
  </w:style>
  <w:style w:type="paragraph" w:customStyle="1" w:styleId="264">
    <w:name w:val="普通正文"/>
    <w:basedOn w:val="1"/>
    <w:link w:val="263"/>
    <w:qFormat/>
    <w:uiPriority w:val="0"/>
    <w:pPr>
      <w:spacing w:before="120" w:after="120" w:line="360" w:lineRule="auto"/>
      <w:ind w:firstLine="480"/>
      <w:jc w:val="left"/>
    </w:pPr>
    <w:rPr>
      <w:rFonts w:ascii="Arial" w:hAnsi="Arial"/>
      <w:sz w:val="24"/>
    </w:rPr>
  </w:style>
  <w:style w:type="character" w:customStyle="1" w:styleId="265">
    <w:name w:val="font61"/>
    <w:qFormat/>
    <w:uiPriority w:val="0"/>
    <w:rPr>
      <w:rFonts w:hint="eastAsia" w:ascii="宋体" w:hAnsi="宋体" w:eastAsia="宋体" w:cs="宋体"/>
      <w:color w:val="000000"/>
      <w:sz w:val="22"/>
      <w:szCs w:val="22"/>
      <w:u w:val="none"/>
    </w:rPr>
  </w:style>
  <w:style w:type="character" w:customStyle="1" w:styleId="266">
    <w:name w:val="font111"/>
    <w:qFormat/>
    <w:uiPriority w:val="0"/>
    <w:rPr>
      <w:rFonts w:hint="eastAsia" w:ascii="宋体" w:hAnsi="宋体" w:eastAsia="宋体" w:cs="宋体"/>
      <w:b/>
      <w:color w:val="000000"/>
      <w:sz w:val="22"/>
      <w:szCs w:val="22"/>
      <w:u w:val="none"/>
    </w:rPr>
  </w:style>
  <w:style w:type="character" w:customStyle="1" w:styleId="267">
    <w:name w:val="font81"/>
    <w:qFormat/>
    <w:uiPriority w:val="0"/>
    <w:rPr>
      <w:rFonts w:hint="eastAsia" w:ascii="宋体" w:hAnsi="宋体" w:eastAsia="宋体" w:cs="宋体"/>
      <w:color w:val="000000"/>
      <w:sz w:val="22"/>
      <w:szCs w:val="22"/>
      <w:u w:val="none"/>
    </w:rPr>
  </w:style>
  <w:style w:type="character" w:customStyle="1" w:styleId="268">
    <w:name w:val="纯文本 Char1"/>
    <w:qFormat/>
    <w:uiPriority w:val="0"/>
    <w:rPr>
      <w:rFonts w:ascii="宋体" w:hAnsi="Courier New" w:eastAsia="宋体" w:cs="Times New Roman"/>
      <w:sz w:val="21"/>
    </w:rPr>
  </w:style>
  <w:style w:type="character" w:customStyle="1" w:styleId="269">
    <w:name w:val="font91"/>
    <w:qFormat/>
    <w:uiPriority w:val="0"/>
    <w:rPr>
      <w:rFonts w:hint="eastAsia" w:ascii="宋体" w:hAnsi="宋体" w:eastAsia="宋体" w:cs="宋体"/>
      <w:color w:val="FF0000"/>
      <w:sz w:val="22"/>
      <w:szCs w:val="22"/>
      <w:u w:val="none"/>
    </w:rPr>
  </w:style>
  <w:style w:type="paragraph" w:customStyle="1" w:styleId="270">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71">
    <w:name w:val="正文文本样式"/>
    <w:basedOn w:val="1"/>
    <w:qFormat/>
    <w:uiPriority w:val="0"/>
    <w:pPr>
      <w:spacing w:line="360" w:lineRule="auto"/>
      <w:ind w:firstLine="482"/>
    </w:pPr>
    <w:rPr>
      <w:rFonts w:cs="宋体"/>
      <w:sz w:val="24"/>
      <w:szCs w:val="20"/>
    </w:rPr>
  </w:style>
  <w:style w:type="paragraph" w:customStyle="1" w:styleId="272">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73">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74">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76">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77">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78">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styleId="279">
    <w:name w:val="List Paragraph"/>
    <w:basedOn w:val="1"/>
    <w:qFormat/>
    <w:uiPriority w:val="0"/>
    <w:pPr>
      <w:ind w:firstLine="420"/>
    </w:pPr>
    <w:rPr>
      <w:szCs w:val="20"/>
    </w:rPr>
  </w:style>
  <w:style w:type="paragraph" w:customStyle="1" w:styleId="280">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81">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82">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3">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85">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86">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87">
    <w:name w:val="Char"/>
    <w:basedOn w:val="1"/>
    <w:qFormat/>
    <w:uiPriority w:val="0"/>
    <w:pPr>
      <w:tabs>
        <w:tab w:val="left" w:pos="360"/>
      </w:tabs>
    </w:pPr>
    <w:rPr>
      <w:sz w:val="24"/>
    </w:rPr>
  </w:style>
  <w:style w:type="paragraph" w:customStyle="1" w:styleId="288">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9">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91">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92">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93">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4">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5">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7">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9">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0">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01">
    <w:name w:val="默认段落字体 Para Char Char Char Char Char Char Char Char Char1 Char Char Char Char Char Char Char"/>
    <w:basedOn w:val="17"/>
    <w:qFormat/>
    <w:uiPriority w:val="0"/>
    <w:rPr>
      <w:rFonts w:ascii="Tahoma" w:hAnsi="Tahoma"/>
      <w:sz w:val="24"/>
    </w:rPr>
  </w:style>
  <w:style w:type="paragraph" w:customStyle="1" w:styleId="302">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3">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04">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30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6">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7">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08">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09">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11">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312">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3">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14">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5">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316">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17">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1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9">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0">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2">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3">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24">
    <w:name w:val="Char1"/>
    <w:basedOn w:val="17"/>
    <w:qFormat/>
    <w:uiPriority w:val="0"/>
    <w:pPr>
      <w:spacing w:line="360" w:lineRule="auto"/>
    </w:pPr>
    <w:rPr>
      <w:rFonts w:ascii="Tahoma" w:hAnsi="Tahoma"/>
      <w:sz w:val="24"/>
    </w:rPr>
  </w:style>
  <w:style w:type="paragraph" w:customStyle="1" w:styleId="325">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26">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27">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328">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9">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30">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1">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332">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33">
    <w:name w:val="Char Char Char Char"/>
    <w:basedOn w:val="17"/>
    <w:qFormat/>
    <w:uiPriority w:val="0"/>
    <w:pPr>
      <w:spacing w:line="360" w:lineRule="auto"/>
    </w:pPr>
    <w:rPr>
      <w:rFonts w:ascii="Tahoma" w:hAnsi="Tahoma"/>
      <w:sz w:val="24"/>
    </w:rPr>
  </w:style>
  <w:style w:type="paragraph" w:customStyle="1" w:styleId="334">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5">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33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7">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38">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9">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40">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4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4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3">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34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45">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character" w:customStyle="1" w:styleId="347">
    <w:name w:val="font01"/>
    <w:basedOn w:val="52"/>
    <w:qFormat/>
    <w:uiPriority w:val="0"/>
    <w:rPr>
      <w:rFonts w:hint="eastAsia" w:ascii="宋体" w:hAnsi="宋体" w:eastAsia="宋体" w:cs="宋体"/>
      <w:color w:val="000000"/>
      <w:sz w:val="24"/>
      <w:szCs w:val="24"/>
      <w:u w:val="none"/>
    </w:rPr>
  </w:style>
  <w:style w:type="paragraph" w:customStyle="1" w:styleId="348">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349">
    <w:name w:val="一级条标题"/>
    <w:basedOn w:val="348"/>
    <w:next w:val="84"/>
    <w:qFormat/>
    <w:uiPriority w:val="0"/>
    <w:pPr>
      <w:tabs>
        <w:tab w:val="left" w:pos="907"/>
      </w:tabs>
      <w:spacing w:before="0" w:after="0"/>
      <w:ind w:left="907" w:hanging="907"/>
      <w:outlineLvl w:val="2"/>
    </w:pPr>
    <w:rPr>
      <w:rFonts w:ascii="Times New Roman" w:hAnsi="宋体" w:eastAsia="宋体"/>
      <w:sz w:val="20"/>
      <w:szCs w:val="20"/>
    </w:rPr>
  </w:style>
  <w:style w:type="paragraph" w:customStyle="1" w:styleId="350">
    <w:name w:val="Body text|1"/>
    <w:basedOn w:val="1"/>
    <w:qFormat/>
    <w:uiPriority w:val="0"/>
    <w:pPr>
      <w:spacing w:line="437" w:lineRule="auto"/>
      <w:ind w:firstLine="400"/>
    </w:pPr>
    <w:rPr>
      <w:rFonts w:ascii="宋体" w:hAnsi="宋体" w:cs="宋体"/>
      <w:sz w:val="26"/>
      <w:szCs w:val="26"/>
      <w:lang w:val="zh-TW" w:eastAsia="zh-TW" w:bidi="zh-TW"/>
    </w:rPr>
  </w:style>
  <w:style w:type="paragraph" w:customStyle="1" w:styleId="351">
    <w:name w:val="Heading 31"/>
    <w:basedOn w:val="1"/>
    <w:next w:val="1"/>
    <w:qFormat/>
    <w:uiPriority w:val="0"/>
    <w:pPr>
      <w:keepNext/>
      <w:keepLines/>
      <w:spacing w:before="20" w:after="20" w:line="415" w:lineRule="auto"/>
      <w:ind w:firstLine="49"/>
    </w:pPr>
    <w:rPr>
      <w:rFonts w:ascii="Calibri" w:hAnsi="Calibri" w:eastAsia="黑体"/>
      <w:sz w:val="24"/>
      <w:szCs w:val="20"/>
    </w:rPr>
  </w:style>
  <w:style w:type="table" w:customStyle="1" w:styleId="352">
    <w:name w:val="网格型1"/>
    <w:basedOn w:val="353"/>
    <w:qFormat/>
    <w:uiPriority w:val="0"/>
    <w:pPr>
      <w:widowControl w:val="0"/>
      <w:jc w:val="both"/>
    </w:pPr>
  </w:style>
  <w:style w:type="table" w:customStyle="1" w:styleId="353">
    <w:name w:val="普通表格1"/>
    <w:semiHidden/>
    <w:qFormat/>
    <w:uiPriority w:val="0"/>
    <w:tblPr>
      <w:tblCellMar>
        <w:top w:w="0" w:type="dxa"/>
        <w:left w:w="0" w:type="dxa"/>
        <w:bottom w:w="0" w:type="dxa"/>
        <w:right w:w="0" w:type="dxa"/>
      </w:tblCellMar>
    </w:tblPr>
  </w:style>
  <w:style w:type="character" w:customStyle="1" w:styleId="354">
    <w:name w:val="NormalCharacter"/>
    <w:qFormat/>
    <w:uiPriority w:val="0"/>
  </w:style>
  <w:style w:type="paragraph" w:customStyle="1" w:styleId="355">
    <w:name w:val="Table Text"/>
    <w:basedOn w:val="1"/>
    <w:semiHidden/>
    <w:qFormat/>
    <w:uiPriority w:val="0"/>
    <w:rPr>
      <w:rFonts w:ascii="宋体" w:hAnsi="宋体" w:cs="宋体"/>
      <w:sz w:val="24"/>
      <w:lang w:eastAsia="en-US"/>
    </w:rPr>
  </w:style>
  <w:style w:type="paragraph" w:customStyle="1" w:styleId="356">
    <w:name w:val="正文缩进2格"/>
    <w:basedOn w:val="1"/>
    <w:qFormat/>
    <w:uiPriority w:val="0"/>
    <w:pPr>
      <w:spacing w:line="600" w:lineRule="exact"/>
      <w:ind w:firstLine="639"/>
    </w:pPr>
    <w:rPr>
      <w:rFonts w:ascii="仿宋_GB2312" w:hAnsi="宋体" w:eastAsia="仿宋_GB2312"/>
      <w:sz w:val="31"/>
      <w:szCs w:val="28"/>
    </w:rPr>
  </w:style>
  <w:style w:type="character" w:customStyle="1" w:styleId="357">
    <w:name w:val="正文文本首行缩进 2 字符"/>
    <w:basedOn w:val="52"/>
    <w:link w:val="2"/>
    <w:qFormat/>
    <w:uiPriority w:val="0"/>
    <w:rPr>
      <w:sz w:val="21"/>
      <w:szCs w:val="24"/>
    </w:rPr>
  </w:style>
  <w:style w:type="paragraph" w:customStyle="1" w:styleId="358">
    <w:name w:val="[基本段落]"/>
    <w:basedOn w:val="1"/>
    <w:qFormat/>
    <w:uiPriority w:val="0"/>
    <w:pPr>
      <w:widowControl/>
      <w:spacing w:line="288" w:lineRule="auto"/>
    </w:pPr>
    <w:rPr>
      <w:rFonts w:ascii="??????_GBK" w:hAnsi="??????_GBK"/>
      <w:color w:val="000000"/>
      <w:sz w:val="24"/>
    </w:rPr>
  </w:style>
  <w:style w:type="paragraph" w:customStyle="1" w:styleId="359">
    <w:name w:val="*正文"/>
    <w:next w:val="27"/>
    <w:qFormat/>
    <w:uiPriority w:val="0"/>
    <w:pPr>
      <w:spacing w:after="160" w:line="259" w:lineRule="auto"/>
      <w:ind w:firstLine="200"/>
    </w:pPr>
    <w:rPr>
      <w:rFonts w:hint="default" w:ascii="Calibri" w:hAnsi="Calibri" w:eastAsia="宋体" w:cs="Times New Roman"/>
      <w:sz w:val="22"/>
      <w:szCs w:val="22"/>
      <w:lang w:val="en-US" w:eastAsia="zh-CN" w:bidi="ar-SA"/>
    </w:rPr>
  </w:style>
  <w:style w:type="paragraph" w:customStyle="1" w:styleId="360">
    <w:name w:val="纯文本1"/>
    <w:basedOn w:val="1"/>
    <w:qFormat/>
    <w:uiPriority w:val="0"/>
    <w:rPr>
      <w:rFonts w:ascii="宋体" w:hAnsi="Courier New"/>
      <w:szCs w:val="20"/>
    </w:rPr>
  </w:style>
  <w:style w:type="paragraph" w:customStyle="1" w:styleId="361">
    <w:name w:val="正文文本1"/>
    <w:basedOn w:val="1"/>
    <w:qFormat/>
    <w:uiPriority w:val="99"/>
    <w:pPr>
      <w:jc w:val="center"/>
    </w:pPr>
    <w:rPr>
      <w:rFonts w:eastAsia="仿宋_GB2312"/>
      <w:sz w:val="28"/>
    </w:rPr>
  </w:style>
  <w:style w:type="character" w:customStyle="1" w:styleId="362">
    <w:name w:val="超链接1"/>
    <w:basedOn w:val="363"/>
    <w:link w:val="1"/>
    <w:qFormat/>
    <w:uiPriority w:val="0"/>
    <w:rPr>
      <w:rFonts w:ascii="Times New Roman" w:hAnsi="Times New Roman" w:eastAsia="宋体" w:cs="Times New Roman"/>
      <w:sz w:val="21"/>
      <w:szCs w:val="24"/>
      <w:lang w:val="en-US" w:eastAsia="zh-CN" w:bidi="ar-SA"/>
    </w:rPr>
  </w:style>
  <w:style w:type="character" w:customStyle="1" w:styleId="363">
    <w:name w:val="默认段落字体1"/>
    <w:link w:val="1"/>
    <w:semiHidden/>
    <w:qFormat/>
    <w:uiPriority w:val="0"/>
  </w:style>
  <w:style w:type="paragraph" w:customStyle="1" w:styleId="364">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5">
    <w:name w:val="样式 首行缩进:  2 字符"/>
    <w:basedOn w:val="1"/>
    <w:qFormat/>
    <w:uiPriority w:val="0"/>
    <w:pPr>
      <w:ind w:firstLine="560"/>
    </w:pPr>
    <w:rPr>
      <w:rFonts w:ascii="等线" w:hAnsi="等线" w:eastAsia="等线" w:cs="宋体"/>
      <w:sz w:val="24"/>
    </w:rPr>
  </w:style>
  <w:style w:type="paragraph" w:customStyle="1" w:styleId="366">
    <w:name w:val="正文缩进1"/>
    <w:basedOn w:val="1"/>
    <w:qFormat/>
    <w:uiPriority w:val="0"/>
    <w:pPr>
      <w:ind w:firstLine="420"/>
    </w:pPr>
  </w:style>
  <w:style w:type="paragraph" w:customStyle="1" w:styleId="367">
    <w:name w:val="标题 211"/>
    <w:basedOn w:val="1"/>
    <w:next w:val="366"/>
    <w:qFormat/>
    <w:uiPriority w:val="9"/>
    <w:pPr>
      <w:keepNext/>
      <w:keepLines/>
      <w:spacing w:before="260" w:after="260" w:line="416" w:lineRule="auto"/>
      <w:jc w:val="center"/>
      <w:outlineLvl w:val="1"/>
    </w:pPr>
    <w:rPr>
      <w:rFonts w:ascii="Arial" w:hAnsi="Arial" w:eastAsia="幼圆"/>
      <w:b/>
      <w:sz w:val="44"/>
      <w:szCs w:val="20"/>
    </w:rPr>
  </w:style>
  <w:style w:type="paragraph" w:customStyle="1" w:styleId="368">
    <w:name w:val="Header"/>
    <w:basedOn w:val="1"/>
    <w:qFormat/>
    <w:uiPriority w:val="0"/>
    <w:pPr>
      <w:pBdr>
        <w:bottom w:val="single" w:color="000000" w:sz="6" w:space="1"/>
      </w:pBdr>
      <w:tabs>
        <w:tab w:val="center" w:pos="4153"/>
        <w:tab w:val="right" w:pos="8306"/>
      </w:tabs>
      <w:jc w:val="center"/>
    </w:pPr>
    <w:rPr>
      <w:sz w:val="18"/>
      <w:szCs w:val="18"/>
    </w:rPr>
  </w:style>
  <w:style w:type="paragraph" w:customStyle="1" w:styleId="369">
    <w:name w:val="纯文本11"/>
    <w:basedOn w:val="1"/>
    <w:qFormat/>
    <w:uiPriority w:val="0"/>
    <w:pPr>
      <w:adjustRightInd w:val="0"/>
      <w:textAlignment w:val="baseline"/>
    </w:pPr>
    <w:rPr>
      <w:rFonts w:ascii="宋体" w:hAnsi="Courier New"/>
    </w:rPr>
  </w:style>
  <w:style w:type="character" w:customStyle="1" w:styleId="370">
    <w:name w:val="font21"/>
    <w:basedOn w:val="52"/>
    <w:qFormat/>
    <w:uiPriority w:val="0"/>
    <w:rPr>
      <w:rFonts w:hint="eastAsia" w:ascii="宋体" w:hAnsi="宋体" w:eastAsia="宋体" w:cs="宋体"/>
      <w:color w:val="000000"/>
      <w:sz w:val="24"/>
      <w:szCs w:val="24"/>
      <w:u w:val="none"/>
    </w:rPr>
  </w:style>
  <w:style w:type="character" w:customStyle="1" w:styleId="371">
    <w:name w:val="font31"/>
    <w:basedOn w:val="52"/>
    <w:qFormat/>
    <w:uiPriority w:val="0"/>
    <w:rPr>
      <w:rFonts w:hint="default" w:ascii="Times New Roman" w:hAnsi="Times New Roman" w:cs="Times New Roman"/>
      <w:color w:val="000000"/>
      <w:sz w:val="24"/>
      <w:szCs w:val="24"/>
      <w:u w:val="none"/>
    </w:rPr>
  </w:style>
  <w:style w:type="paragraph" w:customStyle="1" w:styleId="372">
    <w:name w:val="正文格式"/>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character" w:customStyle="1" w:styleId="373">
    <w:name w:val="页码1"/>
    <w:link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21532</Words>
  <Characters>23092</Characters>
  <TotalTime>14</TotalTime>
  <ScaleCrop>false</ScaleCrop>
  <LinksUpToDate>false</LinksUpToDate>
  <CharactersWithSpaces>23485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2024-08-15T01:45:00Z</dcterms:created>
  <dc:creator>us</dc:creator>
  <cp:lastModifiedBy>Miss Li</cp:lastModifiedBy>
  <dcterms:modified xsi:type="dcterms:W3CDTF">2026-10-08T01:54:38Z</dcterms:modified>
  <dc:title>淮安市职业</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8CBB9FFC8E6948E199D5030C05CC2A7B_13</vt:lpwstr>
  </property>
  <property fmtid="{D5CDD505-2E9C-101B-9397-08002B2CF9AE}" pid="4" name="KSOTemplateDocerSaveRecord">
    <vt:lpwstr>eyJoZGlkIjoiOTdiYmJkZjY5MTM5NTAzNzExMzhhN2Q4MmNiZDg5MjEiLCJ1c2VySWQiOiI1MDg5NzgwNDkifQ==</vt:lpwstr>
  </property>
</Properties>
</file>