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332"/>
        <w:jc w:val="center"/>
        <w:spacing w:before="0" w:after="0" w:line="10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6"/>
        </w:rPr>
        <w:t xml:space="preserve"> </w:t>
      </w:r>
      <w:r/>
    </w:p>
    <w:p>
      <w:pPr>
        <w:ind w:left="0" w:right="0" w:firstLine="332"/>
        <w:jc w:val="center"/>
        <w:spacing w:before="0" w:after="0" w:line="10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6"/>
        </w:rPr>
        <w:t xml:space="preserve">   </w:t>
      </w:r>
      <w:r/>
    </w:p>
    <w:p>
      <w:pPr>
        <w:ind w:left="0" w:right="0" w:firstLine="332"/>
        <w:jc w:val="center"/>
        <w:spacing w:before="0" w:after="0" w:line="10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6"/>
        </w:rPr>
        <w:t xml:space="preserve">“</w:t>
      </w:r>
      <w:r>
        <w:rPr>
          <w:rFonts w:ascii="SimSun" w:hAnsi="SimSun" w:eastAsia="SimSun" w:cs="SimSun"/>
          <w:b/>
          <w:color w:val="000000"/>
          <w:sz w:val="60"/>
        </w:rPr>
        <w:t xml:space="preserve">苏采云全流程不见面交易”</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rPr>
        <w:t xml:space="preserve">招 标 文 件</w:t>
      </w:r>
      <w:r/>
    </w:p>
    <w:p>
      <w:pPr>
        <w:ind w:left="0" w:right="0" w:firstLine="84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1606" w:right="0" w:hanging="160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2235" w:right="0" w:hanging="64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w:t>
      </w:r>
      <w:r>
        <w:rPr>
          <w:rFonts w:ascii="SimSun" w:hAnsi="SimSun" w:eastAsia="SimSun" w:cs="SimSun"/>
          <w:b/>
          <w:color w:val="000000"/>
          <w:sz w:val="32"/>
          <w:u w:val="none"/>
        </w:rPr>
        <w:t xml:space="preserve">鲍集镇卫生院胃肠镜设备及系统安装</w:t>
      </w:r>
      <w:r/>
    </w:p>
    <w:p>
      <w:pPr>
        <w:ind w:left="0" w:right="0" w:firstLine="321"/>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321"/>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160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项目编号：JSZC-320830-ZQHJ-G2026-0046</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69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420" w:right="0" w:firstLine="420"/>
        <w:jc w:val="both"/>
        <w:spacing w:before="21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ff6600"/>
          <w:sz w:val="21"/>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ff66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1134" w:right="-1338" w:firstLine="1134"/>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25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采购人</w:t>
      </w:r>
      <w:r>
        <w:rPr>
          <w:rFonts w:ascii="SimSun" w:hAnsi="SimSun" w:eastAsia="SimSun" w:cs="SimSun"/>
          <w:b/>
          <w:color w:val="000000"/>
          <w:sz w:val="32"/>
          <w:u w:val="none"/>
        </w:rPr>
        <w:t xml:space="preserve">：盱眙县鲍集镇卫生院</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代理机构</w:t>
      </w:r>
      <w:r>
        <w:rPr>
          <w:rFonts w:ascii="SimSun" w:hAnsi="SimSun" w:eastAsia="SimSun" w:cs="SimSun"/>
          <w:b/>
          <w:color w:val="000000"/>
          <w:sz w:val="32"/>
          <w:u w:val="none"/>
        </w:rPr>
        <w:t xml:space="preserve">：中企华建友工程管理有限公司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2026年</w:t>
      </w:r>
      <w:r>
        <w:rPr>
          <w:rFonts w:ascii="SimSun" w:hAnsi="SimSun" w:eastAsia="SimSun" w:cs="SimSun"/>
          <w:b/>
          <w:color w:val="000000"/>
          <w:sz w:val="32"/>
          <w:u w:val="none"/>
        </w:rPr>
        <w:t xml:space="preserve">10</w:t>
      </w:r>
      <w:r>
        <w:rPr>
          <w:rFonts w:ascii="SimSun" w:hAnsi="SimSun" w:eastAsia="SimSun" w:cs="SimSun"/>
          <w:b/>
          <w:color w:val="000000"/>
          <w:sz w:val="32"/>
        </w:rPr>
        <w:t xml:space="preserve">月</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目录</w:t>
      </w:r>
      <w:r/>
    </w:p>
    <w:p>
      <w:pPr>
        <w:ind w:left="0" w:right="0" w:firstLine="0"/>
        <w:jc w:val="both"/>
        <w:spacing w:before="0" w:after="0" w:line="85" w:lineRule="atLeast"/>
        <w:tabs>
          <w:tab w:val="left" w:pos="8931" w:leader="none"/>
        </w:tabs>
        <w:pBdr>
          <w:top w:val="none" w:color="000000" w:sz="4" w:space="0"/>
          <w:left w:val="none" w:color="000000" w:sz="4" w:space="0"/>
          <w:bottom w:val="none" w:color="000000" w:sz="4" w:space="0"/>
          <w:right w:val="none" w:color="000000" w:sz="4" w:space="0"/>
        </w:pBdr>
      </w:pPr>
      <w:r/>
      <w:hyperlink r:id="rId9" w:tooltip="https://jszfcg.jsczt.cn/jszc/onlyoffice/7.2.1-34/web-apps/apps/documenteditor/main/index_loader.html?_dc=7.2.1-34&amp;lang=zh&amp;customer=%20&amp;logo=%20&amp;headerlogo=%2Ffavicon.ico&amp;frameEditorId=iframePage&amp;compact=true&amp;parentOrigin=https://jszfcg.jsczt.cn#_Toc22938" w:history="1">
        <w:r>
          <w:rPr>
            <w:rStyle w:val="802"/>
            <w:rFonts w:ascii="SimSun" w:hAnsi="SimSun" w:eastAsia="SimSun" w:cs="SimSun"/>
            <w:color w:val="0000ee"/>
            <w:sz w:val="28"/>
            <w:u w:val="single"/>
          </w:rPr>
          <w:t xml:space="preserve">第一章招标公告</w:t>
        </w:r>
      </w:hyperlink>
      <w:r/>
      <w:r/>
    </w:p>
    <w:p>
      <w:pPr>
        <w:ind w:left="0" w:right="0" w:firstLine="0"/>
        <w:jc w:val="both"/>
        <w:spacing w:before="0" w:after="0" w:line="85" w:lineRule="atLeast"/>
        <w:tabs>
          <w:tab w:val="left" w:pos="893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第二章供应商须知</w:t>
      </w:r>
      <w:r/>
    </w:p>
    <w:p>
      <w:pPr>
        <w:ind w:left="0" w:right="0" w:firstLine="0"/>
        <w:jc w:val="both"/>
        <w:spacing w:before="0" w:after="0" w:line="85" w:lineRule="atLeast"/>
        <w:tabs>
          <w:tab w:val="left" w:pos="8931" w:leader="none"/>
        </w:tabs>
        <w:pBdr>
          <w:top w:val="none" w:color="000000" w:sz="4" w:space="0"/>
          <w:left w:val="none" w:color="000000" w:sz="4" w:space="0"/>
          <w:bottom w:val="none" w:color="000000" w:sz="4" w:space="0"/>
          <w:right w:val="none" w:color="000000" w:sz="4" w:space="0"/>
        </w:pBdr>
      </w:pPr>
      <w:r/>
      <w:hyperlink r:id="rId10" w:tooltip="https://jszfcg.jsczt.cn/jszc/onlyoffice/7.2.1-34/web-apps/apps/documenteditor/main/index_loader.html?_dc=7.2.1-34&amp;lang=zh&amp;customer=%20&amp;logo=%20&amp;headerlogo=%2Ffavicon.ico&amp;frameEditorId=iframePage&amp;compact=true&amp;parentOrigin=https://jszfcg.jsczt.cn#_Toc262" w:history="1">
        <w:r>
          <w:rPr>
            <w:rStyle w:val="802"/>
            <w:rFonts w:ascii="SimSun" w:hAnsi="SimSun" w:eastAsia="SimSun" w:cs="SimSun"/>
            <w:color w:val="0000ee"/>
            <w:sz w:val="28"/>
            <w:u w:val="single"/>
          </w:rPr>
          <w:t xml:space="preserve">第三章评分标准</w:t>
        </w:r>
      </w:hyperlink>
      <w:r/>
      <w:r/>
    </w:p>
    <w:p>
      <w:pPr>
        <w:ind w:left="0" w:right="0" w:firstLine="0"/>
        <w:jc w:val="both"/>
        <w:spacing w:before="0" w:after="0"/>
        <w:pBdr>
          <w:top w:val="none" w:color="000000" w:sz="4" w:space="0"/>
          <w:left w:val="none" w:color="000000" w:sz="4" w:space="0"/>
          <w:bottom w:val="none" w:color="000000" w:sz="4" w:space="0"/>
          <w:right w:val="none" w:color="000000" w:sz="4" w:space="0"/>
        </w:pBdr>
      </w:pPr>
      <w:r/>
      <w:hyperlink r:id="rId11" w:tooltip="https://jszfcg.jsczt.cn/jszc/onlyoffice/7.2.1-34/web-apps/apps/documenteditor/main/index_loader.html?_dc=7.2.1-34&amp;lang=zh&amp;customer=%20&amp;logo=%20&amp;headerlogo=%2Ffavicon.ico&amp;frameEditorId=iframePage&amp;compact=true&amp;parentOrigin=https://jszfcg.jsczt.cn#_Toc262" w:history="1">
        <w:r>
          <w:rPr>
            <w:rStyle w:val="802"/>
            <w:rFonts w:ascii="SimSun" w:hAnsi="SimSun" w:eastAsia="SimSun" w:cs="SimSun"/>
            <w:color w:val="0000ee"/>
            <w:sz w:val="28"/>
            <w:u w:val="single"/>
          </w:rPr>
          <w:t xml:space="preserve">第四章合同格式及条款</w:t>
          <w:tab/>
        </w:r>
      </w:hyperlink>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line="85" w:lineRule="atLeast"/>
        <w:tabs>
          <w:tab w:val="left" w:pos="8931" w:leader="none"/>
        </w:tabs>
        <w:pBdr>
          <w:top w:val="none" w:color="000000" w:sz="4" w:space="0"/>
          <w:left w:val="none" w:color="000000" w:sz="4" w:space="0"/>
          <w:bottom w:val="none" w:color="000000" w:sz="4" w:space="0"/>
          <w:right w:val="none" w:color="000000" w:sz="4" w:space="0"/>
        </w:pBdr>
      </w:pPr>
      <w:r/>
      <w:hyperlink r:id="rId12" w:tooltip="https://jszfcg.jsczt.cn/jszc/onlyoffice/7.2.1-34/web-apps/apps/documenteditor/main/index_loader.html?_dc=7.2.1-34&amp;lang=zh&amp;customer=%20&amp;logo=%20&amp;headerlogo=%2Ffavicon.ico&amp;frameEditorId=iframePage&amp;compact=true&amp;parentOrigin=https://jszfcg.jsczt.cn#_Toc28295" w:history="1">
        <w:r>
          <w:rPr>
            <w:rStyle w:val="802"/>
            <w:rFonts w:ascii="SimSun" w:hAnsi="SimSun" w:eastAsia="SimSun" w:cs="SimSun"/>
            <w:color w:val="0000ee"/>
            <w:sz w:val="28"/>
            <w:u w:val="single"/>
          </w:rPr>
          <w:t xml:space="preserve">第五章采购需求</w:t>
        </w:r>
      </w:hyperlink>
      <w:r/>
      <w:r/>
    </w:p>
    <w:p>
      <w:pPr>
        <w:ind w:left="0" w:right="0" w:firstLine="0"/>
        <w:jc w:val="both"/>
        <w:spacing w:before="0" w:after="0" w:line="85" w:lineRule="atLeast"/>
        <w:tabs>
          <w:tab w:val="left" w:pos="8931" w:leader="none"/>
        </w:tabs>
        <w:pBdr>
          <w:top w:val="none" w:color="000000" w:sz="4" w:space="0"/>
          <w:left w:val="none" w:color="000000" w:sz="4" w:space="0"/>
          <w:bottom w:val="none" w:color="000000" w:sz="4" w:space="0"/>
          <w:right w:val="none" w:color="000000" w:sz="4" w:space="0"/>
        </w:pBdr>
      </w:pPr>
      <w:r/>
      <w:hyperlink r:id="rId13" w:tooltip="https://jszfcg.jsczt.cn/jszc/onlyoffice/7.2.1-34/web-apps/apps/documenteditor/main/index_loader.html?_dc=7.2.1-34&amp;lang=zh&amp;customer=%20&amp;logo=%20&amp;headerlogo=%2Ffavicon.ico&amp;frameEditorId=iframePage&amp;compact=true&amp;parentOrigin=https://jszfcg.jsczt.cn#_Toc13476" w:history="1">
        <w:r>
          <w:rPr>
            <w:rStyle w:val="802"/>
            <w:rFonts w:ascii="SimSun" w:hAnsi="SimSun" w:eastAsia="SimSun" w:cs="SimSun"/>
            <w:color w:val="0000ee"/>
            <w:sz w:val="28"/>
            <w:u w:val="single"/>
          </w:rPr>
          <w:t xml:space="preserve">第六章投标文件</w:t>
        </w:r>
      </w:hyperlink>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3360" w:right="0" w:firstLine="0"/>
        <w:jc w:val="both"/>
        <w:spacing w:before="210" w:after="21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第一章招标公告</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838825" cy="157162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7760239" name=""/>
                        <pic:cNvPicPr>
                          <a:picLocks noChangeAspect="1"/>
                        </pic:cNvPicPr>
                        <pic:nvPr/>
                      </pic:nvPicPr>
                      <pic:blipFill>
                        <a:blip/>
                        <a:stretch/>
                      </pic:blipFill>
                      <pic:spPr bwMode="auto">
                        <a:xfrm>
                          <a:off x="0" y="0"/>
                          <a:ext cx="5838824" cy="15716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59.8pt;height:123.8pt;mso-wrap-distance-left:0.0pt;mso-wrap-distance-top:0.0pt;mso-wrap-distance-right:0.0pt;mso-wrap-distance-bottom:0.0pt;" stroked="false">
                <v:path textboxrect="0,0,0,0"/>
              </v:shape>
            </w:pict>
          </mc:Fallback>
        </mc:AlternateContent>
      </w:r>
      <w:r>
        <w:rPr>
          <w:rFonts w:ascii="SimSun" w:hAnsi="SimSun" w:eastAsia="SimSun" w:cs="SimSun"/>
          <w:color w:val="000000"/>
          <w:sz w:val="24"/>
        </w:rPr>
        <w:t xml:space="preserve">受盱眙县鲍集镇卫生院的委托，中企华建友工程管理有限公司就鲍集镇卫生院胃肠镜设备及系统安装（项目编号：JSZC-320830-ZQHJ-G2026-0046）进行公开招标采购，欢迎符合条件的供应商投标。</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（一）项目编号：JSZC-320830-ZQHJ-G2026-0046</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（二）项目名称：鲍集镇卫生院胃肠镜设备及系统安装</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（三）预算金额：100万元</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（四）最高限价：100万元（超过最高限价均为无效标）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（五）采购需求：鲍集镇卫生院</w:t>
      </w:r>
      <w:r>
        <w:rPr>
          <w:rFonts w:ascii="SimSun" w:hAnsi="SimSun" w:eastAsia="SimSun" w:cs="SimSun"/>
          <w:color w:val="000000"/>
          <w:sz w:val="24"/>
          <w:u w:val="none"/>
        </w:rPr>
        <w:t xml:space="preserve">胃肠镜设备及系统安装</w:t>
      </w:r>
      <w:r>
        <w:rPr>
          <w:rFonts w:ascii="SimSun" w:hAnsi="SimSun" w:eastAsia="SimSun" w:cs="SimSun"/>
          <w:color w:val="000000"/>
          <w:sz w:val="24"/>
        </w:rPr>
        <w:t xml:space="preserve">（本项目为非单一产品采购项目，核心产品为：胃肠镜设备），具体详见采购需求部分。</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w:t>
      </w:r>
      <w:r>
        <w:rPr>
          <w:rFonts w:ascii="SimSun" w:hAnsi="SimSun" w:eastAsia="SimSun" w:cs="SimSun"/>
          <w:color w:val="000000"/>
          <w:sz w:val="24"/>
          <w:u w:val="none"/>
        </w:rPr>
        <w:t xml:space="preserve">合同履行期限</w:t>
      </w:r>
      <w:r>
        <w:rPr>
          <w:rFonts w:ascii="SimSun" w:hAnsi="SimSun" w:eastAsia="SimSun" w:cs="SimSun"/>
          <w:color w:val="000000"/>
          <w:sz w:val="24"/>
        </w:rPr>
        <w:t xml:space="preserve">：30日历天（含安装调试）。</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（七）本项目（是/否）接受联合体：否</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（一）满足《中华人民共和国政府采购法》第二十二条规定的条件；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1.符合《中华人民共和国政府采购法》第二十二条规定条件的声明函（格式按照</w:t>
      </w:r>
      <w:r>
        <w:rPr>
          <w:rFonts w:ascii="SimSun" w:hAnsi="SimSun" w:eastAsia="SimSun" w:cs="SimSun"/>
          <w:color w:val="000000"/>
          <w:sz w:val="24"/>
          <w:u w:val="none"/>
        </w:rPr>
        <w:t xml:space="preserve">示范格式</w:t>
      </w:r>
      <w:r>
        <w:rPr>
          <w:rFonts w:ascii="SimSun" w:hAnsi="SimSun" w:eastAsia="SimSun" w:cs="SimSun"/>
          <w:color w:val="000000"/>
          <w:sz w:val="24"/>
        </w:rPr>
        <w:t xml:space="preserve">三要求，扫描件上传至电子投标文件）；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none"/>
        </w:rPr>
        <w:t xml:space="preserve">具有独立承担民事责任的能力（提供法人或其他组织的营业执照等证明文件，自然人的身份证明</w:t>
      </w:r>
      <w:r>
        <w:rPr>
          <w:rFonts w:ascii="SimSun" w:hAnsi="SimSun" w:eastAsia="SimSun" w:cs="SimSun"/>
          <w:color w:val="000000"/>
          <w:sz w:val="24"/>
        </w:rPr>
        <w:t xml:space="preserve">）（扫描件上传至电子投标文件）；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3.供应商可任选其中一项（提供下列任一项材料即可）</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（1）法定代表人资格证明（格式按照示范格式一要求）和法定代表人身份证（扫描件上传至电子响应文件）；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（2）授权委托书（格式按照</w:t>
      </w:r>
      <w:r>
        <w:rPr>
          <w:rFonts w:ascii="SimSun" w:hAnsi="SimSun" w:eastAsia="SimSun" w:cs="SimSun"/>
          <w:color w:val="000000"/>
          <w:sz w:val="24"/>
          <w:u w:val="none"/>
        </w:rPr>
        <w:t xml:space="preserve">示范格式二</w:t>
      </w:r>
      <w:r>
        <w:rPr>
          <w:rFonts w:ascii="SimSun" w:hAnsi="SimSun" w:eastAsia="SimSun" w:cs="SimSun"/>
          <w:color w:val="000000"/>
          <w:sz w:val="24"/>
        </w:rPr>
        <w:t xml:space="preserve">要求）和受托人身份证（扫描件上传至电子投标文件）；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4.供应商提供下列任一项材料即可：</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（1）企业声明函（按照格式五要求）</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（2）残疾人福利性单位声明函（按照格式六要求）</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（3）由省级以上监狱管理局、戒毒管理局（含新疆生产建设兵团）出具的属于监狱企业的证明文件）；（扫描件上传至电子标书）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5.符合《中华人民共和国政府采购法》第二十二条规定条件的声明函（格式按照示范格式三要求）；</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（二）落实政府采购政策需满足的资格要求：</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本项目按照以下第</w:t>
      </w:r>
      <w:r>
        <w:rPr>
          <w:rFonts w:ascii="SimSun" w:hAnsi="SimSun" w:eastAsia="SimSun" w:cs="SimSun"/>
          <w:color w:val="000000"/>
          <w:sz w:val="24"/>
          <w:u w:val="single"/>
        </w:rPr>
        <w:t xml:space="preserve">1</w:t>
      </w:r>
      <w:r>
        <w:rPr>
          <w:rFonts w:ascii="SimSun" w:hAnsi="SimSun" w:eastAsia="SimSun" w:cs="SimSun"/>
          <w:color w:val="000000"/>
          <w:sz w:val="24"/>
        </w:rPr>
        <w:t xml:space="preserve">种方式落实政府采购促进中小企业发展的要求：</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1.本项目为专门面向中小企业采购的项目。</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2.本项目通过以下第（）种方式预留部分采购份额采购中小企业服务：</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（1）本项目要求供应商以联合体形式参加，中小企业合同金额应当达到的比例为</w:t>
      </w:r>
      <w:r>
        <w:rPr>
          <w:rFonts w:ascii="SimSun" w:hAnsi="SimSun" w:eastAsia="SimSun" w:cs="SimSun"/>
          <w:color w:val="000000"/>
          <w:sz w:val="24"/>
          <w:u w:val="single"/>
        </w:rPr>
        <w:t xml:space="preserve"> / </w:t>
      </w:r>
      <w:r>
        <w:rPr>
          <w:rFonts w:ascii="SimSun" w:hAnsi="SimSun" w:eastAsia="SimSun" w:cs="SimSun"/>
          <w:color w:val="000000"/>
          <w:sz w:val="24"/>
        </w:rPr>
        <w:t xml:space="preserve">%，其中小微企业所占比例应为</w:t>
      </w:r>
      <w:r>
        <w:rPr>
          <w:rFonts w:ascii="SimSun" w:hAnsi="SimSun" w:eastAsia="SimSun" w:cs="SimSun"/>
          <w:color w:val="000000"/>
          <w:sz w:val="24"/>
          <w:u w:val="single"/>
        </w:rPr>
        <w:t xml:space="preserve">  / </w:t>
      </w:r>
      <w:r>
        <w:rPr>
          <w:rFonts w:ascii="SimSun" w:hAnsi="SimSun" w:eastAsia="SimSun" w:cs="SimSun"/>
          <w:color w:val="000000"/>
          <w:sz w:val="24"/>
        </w:rPr>
        <w:t xml:space="preserve">%（两项比例均应符合《政府采购促进中小企业发展管理办法》第八条规定）。</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（2）本项目要求供应商进行合同分包，中小企业合同金额应当达到的比例为</w:t>
      </w:r>
      <w:r>
        <w:rPr>
          <w:rFonts w:ascii="SimSun" w:hAnsi="SimSun" w:eastAsia="SimSun" w:cs="SimSun"/>
          <w:color w:val="000000"/>
          <w:sz w:val="24"/>
          <w:u w:val="single"/>
        </w:rPr>
        <w:t xml:space="preserve"> / </w:t>
      </w:r>
      <w:r>
        <w:rPr>
          <w:rFonts w:ascii="SimSun" w:hAnsi="SimSun" w:eastAsia="SimSun" w:cs="SimSun"/>
          <w:color w:val="000000"/>
          <w:sz w:val="24"/>
        </w:rPr>
        <w:t xml:space="preserve">%，其中小微企业所占比例应为</w:t>
      </w:r>
      <w:r>
        <w:rPr>
          <w:rFonts w:ascii="SimSun" w:hAnsi="SimSun" w:eastAsia="SimSun" w:cs="SimSun"/>
          <w:color w:val="000000"/>
          <w:sz w:val="24"/>
          <w:u w:val="single"/>
        </w:rPr>
        <w:t xml:space="preserve"> /  </w:t>
      </w:r>
      <w:r>
        <w:rPr>
          <w:rFonts w:ascii="SimSun" w:hAnsi="SimSun" w:eastAsia="SimSun" w:cs="SimSun"/>
          <w:color w:val="000000"/>
          <w:sz w:val="24"/>
        </w:rPr>
        <w:t xml:space="preserve">%（两项比例均应符合《政府采购促进中小企业发展管理办法》第八条规定）。</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3.本项目为非预留份额的采购项目，对小微企业报价给予扣除，用扣除后的价格参加评审，具体详见“供应商须知”。</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4.本项目采购标的对应的中小企业划分标准</w:t>
      </w:r>
      <w:r>
        <w:rPr>
          <w:rFonts w:ascii="SimSun" w:hAnsi="SimSun" w:eastAsia="SimSun" w:cs="SimSun"/>
          <w:color w:val="000000"/>
          <w:sz w:val="24"/>
          <w:highlight w:val="white"/>
          <w:u w:val="none"/>
        </w:rPr>
        <w:t xml:space="preserve">所属行业</w:t>
      </w:r>
      <w:r>
        <w:rPr>
          <w:rFonts w:ascii="SimSun" w:hAnsi="SimSun" w:eastAsia="SimSun" w:cs="SimSun"/>
          <w:color w:val="000000"/>
          <w:sz w:val="24"/>
          <w:highlight w:val="white"/>
        </w:rPr>
        <w:t xml:space="preserve">为</w:t>
      </w:r>
      <w:r>
        <w:rPr>
          <w:rFonts w:ascii="SimSun" w:hAnsi="SimSun" w:eastAsia="SimSun" w:cs="SimSun"/>
          <w:color w:val="000000"/>
          <w:sz w:val="24"/>
          <w:highlight w:val="white"/>
          <w:u w:val="single"/>
        </w:rPr>
        <w:t xml:space="preserve">工业</w:t>
      </w:r>
      <w:r>
        <w:rPr>
          <w:rFonts w:ascii="SimSun" w:hAnsi="SimSun" w:eastAsia="SimSun" w:cs="SimSun"/>
          <w:color w:val="000000"/>
          <w:sz w:val="24"/>
          <w:highlight w:val="white"/>
        </w:rPr>
        <w:t xml:space="preserve">。</w:t>
      </w:r>
      <w:r/>
    </w:p>
    <w:p>
      <w:pPr>
        <w:ind w:left="0" w:right="0" w:firstLine="36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注：监狱企业、残疾人福利性单位视同小微企业；符合中小企业划分标准的个体工商户，在政府采购活动中视同中小企业，享受政府采购支持中小企业发展。</w:t>
      </w:r>
      <w:r/>
    </w:p>
    <w:p>
      <w:pPr>
        <w:numPr>
          <w:ilvl w:val="0"/>
          <w:numId w:val="3"/>
        </w:num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本项目的特定资格要求：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1.医疗器械生产企业许可证（三类、二类提供许可证，一类需提供备案凭证）（扫描件上传至电子响应文件）；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2.医疗器械经营企业许可证（三类提供许可证，二类提供备案，一类不需提供）（扫描件上传至电子响应文件）；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3.医疗器械注册证（三类、二类提供注册证，一类需提供备案凭证）（扫描件上传至电子响应文件）；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4.供应商单位负责人为同一人或者存在直接控股、管理关系的不同供应商，不得同时参加同一合同项下的政府采购活动。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5.凡为采购项目提供整体设计、规范编制或者项目管理、监理、检测等服务的供应商，不得再参加本项目的采购活动。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供应商未被“信用中国”网（https://www.creditchina.gov.cn/）列入失信被执行人、重大税收违法案件当事人名单。供应商未被“中国政府采购网”（http://www.ccgp.gov.cn/）列入政府采购严重违法失信行为记录名单。（由采购单位或采购代理单位组织磋商小组在资格审查时查询，一旦被查询存在上述失信行为记录名单的，将视为资格审查不通过）。</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三、获取招标文件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（一）时间：自招标文件公告发布之日起5个工作日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（二）地点：“淮安市政府采购网”或“江苏政府采购网”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方式：供应商登录江苏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（四）售价：0.00元 </w:t>
      </w:r>
      <w:r/>
    </w:p>
    <w:p>
      <w:pPr>
        <w:ind w:left="0" w:right="0" w:firstLine="0"/>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四、提交投标文件截止时间、开标时间和地点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（一）时间：2026年11月2日9时00分（北京时间）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（二）地点：本项目采用远程“不见面”开标方式，无需到现场提交，请供应商在投标文件提交截止前提前登入苏采云政府采购一体化平台（网址：http://jszfcg.jscz.gov.cn/jszc/login）提交投标文件。</w:t>
      </w:r>
      <w:r/>
    </w:p>
    <w:p>
      <w:pPr>
        <w:ind w:left="0" w:right="0" w:firstLine="0"/>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五、公告期限</w:t>
      </w:r>
      <w:r/>
    </w:p>
    <w:p>
      <w:pPr>
        <w:ind w:left="0" w:right="0" w:firstLine="480"/>
        <w:jc w:val="both"/>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ind w:left="0" w:right="0" w:firstLine="0"/>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六、其他补充事宜</w:t>
      </w:r>
      <w:r/>
    </w:p>
    <w:p>
      <w:pPr>
        <w:ind w:left="0" w:right="0" w:firstLine="480"/>
        <w:jc w:val="both"/>
        <w:spacing w:before="0" w:after="0" w:line="369" w:lineRule="atLeast"/>
        <w:tabs>
          <w:tab w:val="left" w:pos="13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（一）投标保证金：本项目不收取投标保证金；</w:t>
      </w:r>
      <w:r/>
    </w:p>
    <w:p>
      <w:pPr>
        <w:ind w:left="0" w:right="0" w:firstLine="480"/>
        <w:jc w:val="both"/>
        <w:spacing w:before="0" w:after="0" w:line="369" w:lineRule="atLeast"/>
        <w:tabs>
          <w:tab w:val="left" w:pos="13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（二）履约保证金：</w:t>
      </w:r>
      <w:r>
        <w:rPr>
          <w:rFonts w:ascii="SimSun" w:hAnsi="SimSun" w:eastAsia="SimSun" w:cs="SimSun"/>
          <w:color w:val="000000"/>
          <w:sz w:val="24"/>
          <w:u w:val="none"/>
        </w:rPr>
        <w:t xml:space="preserve">成交供应商必须在签订合同之前，向采购人缴纳中标总价1%的履约保证金</w:t>
      </w:r>
      <w:r>
        <w:rPr>
          <w:rFonts w:ascii="SimSun" w:hAnsi="SimSun" w:eastAsia="SimSun" w:cs="SimSun"/>
          <w:color w:val="000000"/>
          <w:sz w:val="24"/>
        </w:rPr>
        <w:t xml:space="preserve">，否则招标人可取消其中标资格；支持和鼓励中标供应商自愿使用履约保函（保险）代替缴纳履约保证金，具体详见《关于在全省政府采购领域推行电子履约保函（保险）的通知》（苏财购〔2023〕150号）规定。</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项目采用“全流程不见面交易”模式，通过“苏采云政府采购一体化平台”及相应的配套硬件设备（摄像头、话筒、麦克风等）完成远程解密、公布报价、澄清等交互环节。相关要求和说明详见第二章“供应商须知”。</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w:t>
      </w:r>
      <w:r>
        <w:rPr>
          <w:rFonts w:ascii="SimSun" w:hAnsi="SimSun" w:eastAsia="SimSun" w:cs="SimSun"/>
          <w:color w:val="000000"/>
          <w:sz w:val="24"/>
        </w:rPr>
        <w:t xml:space="preserve">633ce9.html。</w:t>
      </w:r>
      <w:r/>
    </w:p>
    <w:p>
      <w:pPr>
        <w:ind w:left="0" w:right="0" w:firstLine="480"/>
        <w:jc w:val="both"/>
        <w:spacing w:before="0" w:after="0" w:line="369" w:lineRule="atLeast"/>
        <w:tabs>
          <w:tab w:val="left" w:pos="13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领取CA和办理电子签章（请至淮安市清江浦区深圳路16号淮安市公共资源交易中心二楼13号CA办理窗口办理，具体联系方式见《苏采云系统供应商操作手册》（以下简称《操作手册》）、进行注册并按《操作手册》要求制作、上传电子投标文件。</w:t>
      </w:r>
      <w:r/>
    </w:p>
    <w:p>
      <w:pPr>
        <w:ind w:left="0" w:right="0" w:firstLine="480"/>
        <w:jc w:val="both"/>
        <w:spacing w:before="0" w:after="0" w:line="369" w:lineRule="atLeast"/>
        <w:tabs>
          <w:tab w:val="left" w:pos="13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（六）有关本次招标的事项若存在变动或修改，敬请及时关注淮安市政府采购网或淮安市公共资源交易网发布的更正公告，否则产生的后果由供应商自行承担。</w:t>
      </w:r>
      <w:r/>
    </w:p>
    <w:p>
      <w:pPr>
        <w:ind w:left="0" w:right="0" w:firstLine="0"/>
        <w:spacing w:before="240" w:after="24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七、凡对本次采购提出询问，请按以下方式联系</w:t>
      </w:r>
      <w:r/>
    </w:p>
    <w:p>
      <w:pPr>
        <w:ind w:left="0" w:right="0" w:firstLine="420"/>
        <w:jc w:val="both"/>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4"/>
        </w:rPr>
        <w:t xml:space="preserve">.采购人信息</w:t>
      </w:r>
      <w:r/>
    </w:p>
    <w:p>
      <w:pPr>
        <w:ind w:left="0" w:right="0" w:firstLine="480"/>
        <w:jc w:val="both"/>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名称：盱眙县鲍集镇卫生院</w:t>
      </w:r>
      <w:r/>
    </w:p>
    <w:p>
      <w:pPr>
        <w:ind w:left="0" w:right="0" w:firstLine="480"/>
        <w:jc w:val="both"/>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地址：盱眙县鲍集镇街道</w:t>
      </w:r>
      <w:r/>
    </w:p>
    <w:p>
      <w:pPr>
        <w:ind w:left="0" w:right="0" w:firstLine="480"/>
        <w:jc w:val="both"/>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联系人：芮宏球</w:t>
      </w:r>
      <w:r/>
    </w:p>
    <w:p>
      <w:pPr>
        <w:ind w:left="0" w:right="0" w:firstLine="480"/>
        <w:jc w:val="both"/>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电话：13776739617</w:t>
      </w:r>
      <w:r/>
    </w:p>
    <w:p>
      <w:pPr>
        <w:ind w:left="0" w:right="0" w:firstLine="480"/>
        <w:jc w:val="both"/>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tab/>
      </w:r>
      <w:r/>
    </w:p>
    <w:p>
      <w:pPr>
        <w:ind w:left="0" w:right="0" w:firstLine="480"/>
        <w:jc w:val="both"/>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名称：中企华建友工程管理有限公司</w:t>
      </w:r>
      <w:r/>
    </w:p>
    <w:p>
      <w:pPr>
        <w:ind w:left="0" w:right="0" w:firstLine="480"/>
        <w:jc w:val="both"/>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rPr>
          <w:rFonts w:ascii="SimSun" w:hAnsi="SimSun" w:eastAsia="SimSun" w:cs="SimSun"/>
          <w:color w:val="000000"/>
          <w:sz w:val="24"/>
          <w:u w:val="none"/>
        </w:rPr>
        <w:t xml:space="preserve">盱眙县金桂大道15号</w:t>
      </w:r>
      <w:r/>
    </w:p>
    <w:p>
      <w:pPr>
        <w:ind w:left="0" w:right="0" w:firstLine="480"/>
        <w:jc w:val="both"/>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w:t>
      </w:r>
      <w:r>
        <w:rPr>
          <w:rFonts w:ascii="SimSun" w:hAnsi="SimSun" w:eastAsia="SimSun" w:cs="SimSun"/>
          <w:color w:val="000000"/>
          <w:sz w:val="24"/>
          <w:u w:val="none"/>
        </w:rPr>
        <w:t xml:space="preserve">人：杨林</w:t>
      </w:r>
      <w:r/>
    </w:p>
    <w:p>
      <w:pPr>
        <w:ind w:left="0" w:right="0" w:firstLine="480"/>
        <w:jc w:val="both"/>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话：0517-88226767</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第二章供应商须知</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一、总则</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1.适用范围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本招标文件仅适用于本次投标邀请中所述项目的采购。</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2.合格的供应商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满足第一章投标邀请中供应商资格要求的规定。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满足招标文件中实质性条款的规定。</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3.适用法律</w:t>
      </w:r>
      <w:r/>
    </w:p>
    <w:p>
      <w:pPr>
        <w:ind w:left="0" w:right="0" w:firstLine="59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3.1《中华人民共和国政府采购法》、《中华人民共和国政府采购法实施条例》、《政府采购货物和服务招标投标管理办法》等有关法律、规章和规定等。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3.2 在本项目政府采购活动过程中，如果所执行的标准有更新的，按照最新标准执行。</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4.投标费用</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4.1供应商应自行承担所有与参加本项目有关的费用。不论结果如何，采购人和采购代理机构在任何情况下均无义务和责任承担这些费用。</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4.2本次采购项目不收取标书工本费和中标管理费。</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4.3本次采购代理费用参照苏政采协〔2024〕20号《江苏省政府采购代理服务收费指导意见》的标准优惠收取9600元，由成交供应商领取成交通知书时缴纳，不单独立项，投标单位充分考虑风险计入总价。</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二、招标文件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5.招标文件由以下部分组成:</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5.1招标公告</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5.2供应商须知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5.3合同文本</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5.4项目采购需求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5.5评标方法与评标标准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5.6投标文件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6.招标文件的澄清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任何要求对招标文件进行澄清的供应商，均应在投标截止时间十日前通过以书面文件或电子文件形式并加盖印章或电子签章（电子文件形式指:从苏彩云登录，从“网上提问”模块提出澄清）通知代理机构或采购人，代理机构或采购人对投标截止时间前十日收到的任何澄清要求将通过电子交易平台以电子文件形式予以答复。</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7.招标文件的更正或补充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7.1在投标截止时间十五日前，采购中心可主动或在解答供应商提出的澄清问题时对招标文件用更正公告的方式进行修正。</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7.2对招标文件的更正将在淮安市政府采购网进行公告，更正公告将作为招标文件的组成部分，对所有参加本次投标的供应商都具有约束力。</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7.3为使供应商有足够的时间按招标文件的更正要求修正投标文件，采购中心有权按照相关法定的要求推迟投标截止时间和开标日期。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三、投标文件的编制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8.投标文件的语言及度量衡单位</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供应商提交的投标文件以及供应商与采购人就有关投标的所有来往通知、函件和文件均应使用简体中文。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除技术性能另有规定外，投标文件所使用的度量衡单位，均须采用国家法定计量单位。</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9.投标文件构成</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供应商编写的投标文件应包括资格证明文件、符合性证明文件、投标分项报价表、技术要求响应及偏离表、其他证明文件、投标函、开标一览表等部分。请供应商根据本招标文件的要求在指定模块中上传响应的投标材料，未按招标文件要求在指定模块上传响应的投标材料的，视同未提交该投标材料处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如标书制作工具中格式和内容与“淮安市政府采购网”发布的招标文件不一致，请以“淮安市政府采购网”发布的招标文件为准。</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10.证明供应商及投标标的符合招标文件规定的文件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供应商应按照招标文件要求提交证明文件，证明其及投标标的符合招标文件规定。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10.2招标文件对证明文件无明确形式要求的，证明文件可以以文字资料、图纸和数据等形式提交。</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11.投标报价明细表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供应商应按照招标文件规定格式填报投标明细报价表。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11.2投标货币。投标文件中的单价和总价无特殊规定的采用人民币报价，以元为单位标注。招标文件中另有规定的按规定执行。</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12.技术要求响应及偏离表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供应商需对招标文件中的技术要求逐项作出响应或偏离，并说明原因。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供应商可在投标文件中提供认为需要的其他技术文件或说明。</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13.服务承诺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供应商的服务承诺应按不低于招标文件中基本服务要求的标准，并作出响应。</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14.投标函和开标一览表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供应商应按照招标文件中提供的格式完整、正确填写投标函、开标一览表。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对于采用货币报价的项目，开标一览表中的投标总报价应与投标报价明细表中的投标总报价一致，如不一致，不作为无效投标处理，但评标时按开标一览表中价格为准。</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15.投标有效期</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15.1投标有效期为采购人规定的开标之日后九十天。投标有效期比规定短的将被视为未实质性响应招标文件而予以拒绝。</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16.投标有效期的延长</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在特殊情况下，采购人于原投标有效期满之前，可向供应商提出延长投标有效期的要求。这种要求与答复均应采用书面形式。供应商可以拒绝采购人的这一要求而放弃投标，同意延长投标有效期的供应商既不能要求也不允许修改其投标文件。受投标有效期约束的所有权利与义务均延长至新的有效期。</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17.方案部分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17.1供应商应按招标文件要求编制方案，经三分之二评委认定，供应商未按要求编制方案的，按未提供方案处理。</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四、投标文件上传</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18.投标文件的上传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18.1供应商应当按照《操作手册》规定，在投标截止时间前制作并上传电子投标文件。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18.2供应商上传的电子投标文件内容不清楚或不清晰的（含扫描件），造成无法评审或部分影响评审的，责任由供应商自负。</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18.3供应商上传电子投标文件的时间不得迟于投标邀请中规定的截止时间。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18.4采购人可以按第7条规定，通过修改招标文件有权酌情延长投标文件接收截止时间。在此情况下，供应商的所有权利和义务以及供应商受制约的截止日期均应以延长后新的截止日期为准。</w:t>
      </w:r>
      <w:r/>
    </w:p>
    <w:p>
      <w:pPr>
        <w:ind w:left="0" w:right="0" w:firstLine="5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18.5中标供应商在领取（中标）成交通知书之前，必须提供五份与电子投标文件一致的纸质打印投标文件（打印胶装完整）。</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19.投标文件被拒绝接收的情形</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19.1在招标文件规定的提交投标文件截止时间后上传的电子投标文件。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20.投标文件的修改和撤回</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20.1供应商在上传电子投标文件后可以对其修改或撤回，但这种修改和撤回，必须在规定的开标时间之前，具体操作方法见《操作手册》。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20.2供应商不得在开标时间以后修改电子投标文件。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20.3供应商不得在提交电子投标文件截止时间起至投标有效期满前撤回电子投标文件。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五、开标及评标</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21.开标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采购人将在招标公告中规定的时间和地点组织开标。供应商应当按照《操作手册》规定，参加开标活动和在苏采云系统规定的时间内对投标文件进行解密。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21.2开标仪式由采购人组织。苏采云系统将自动对项目进行开标，并宣布各供应商名称和投标价格。</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21.3供应商在开标过程中涉及到的投标文件解密、开标结果确认等工作，应按照《操作手册》规定执行。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21.4供应商如果对开标过程和开标记录有疑义，应当根据《操作手册》规定提出，如苏采云系统中《开标记录表》宣布后5分钟内未提出的，视同认可开标结果。</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22.评标委员会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22.1开标后，采购人立即组织评标委员会（以下简称评委会）进行评标。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 评委会由采购人代表和有关技术、经济等方面的专家组成，且人员构成符合政府采购有关规定。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22.3评委会独立工作，负责评审所有投标文件并确定中标候选人。</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23．评标过程的保密与公正</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23.1凡是与审查、澄清、评价和比较投标的有关资料以及授标建议等，采购人、评委、采购人均不得向供应商或与评标无关的其他人员透露。</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23.2在评标过程中，供应商不得以任何行为影响评标过程，否则其投标文件将被作为无效投标文件。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 采购人和评标委员会不向未中标的供应商解释未中标原因，也不公布评标过程中的相关细节。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 采用综合评分法的项目，未中标的供应商可于中标结果公告期限届满之日起通过苏采云系统查看自己的评审得分及排序情况。</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24．投标文件的澄清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24.1评标期间，评委会对投标文件中含义不明确、同类问题表述不一致或者有明显文字和计算错误的内容，有权要求供应商作出必要的澄清、说明或者补正。</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供应商的澄清、说明或者补正不得超出投标文件的范围或者改变投标文件的实质性内容。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评委会并非对每个供应商都做澄清要求。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需要供应商进行澄清、说明和补正的，评委会将通过苏采云系统向供应商发出“澄清要求函”，接到“澄清要求函”的供应商应当按照要求在苏采云系统中提交“澄清响应函”并加盖CA电子公章。澄清、说明和补正的内容作为投标文件的补充部分，具体操作方式见《操作手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 接到评委会澄清、说明和补正要求的供应商如未按规定做出澄清、说明和补正，其风险由供应商自行承担。</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25.对投标文件的初审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25.1投标文件初审分为资格审查和符合性审查。</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w:t>
      </w:r>
      <w:r>
        <w:rPr>
          <w:rFonts w:ascii="SimSun" w:hAnsi="SimSun" w:eastAsia="SimSun" w:cs="SimSun"/>
          <w:color w:val="000000"/>
          <w:sz w:val="24"/>
        </w:rPr>
        <w:t xml:space="preserve">5.1.1 资格审查：依据法律法规和招标文件的规定，由采购人对投标文件中的资格证明文件进行审查。资格审查的结论，采购人向评委会进行反馈。</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采购人在进行资格性审查的同时，将在“信用中国”网站“中国政府采购网”网站查询供应商的信用记录，以确定供应商是否具备投标资格,查询结果留存并归档。</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25.1.3 未通过资格审查或符合性审查的供应商，采购人将在苏采云系统中告知未通过资格审查或符合性审查的原因，评审结束后，采购人将不再告知未通过资格审查或符合性审查的原因。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和采购人的权利或供应商的义务，纠正这些偏离或保留将会对其他实质性响应要求的供应商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25.3如果投标文件实质上没有响应招标文件的要求，评委会将予以拒绝，供应商不得通过修改或撤销不合要求的偏离或保留而使其投标成为实质性响应的投标。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25.4评委会将对确定为实质性响应的投标进行进一步审核，看其是否有计算上或累加上的算术错误，修正错误的原则如下：</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w:t>
      </w:r>
      <w:r>
        <w:rPr>
          <w:rFonts w:ascii="SimSun" w:hAnsi="SimSun" w:eastAsia="SimSun" w:cs="SimSun"/>
          <w:color w:val="000000"/>
          <w:sz w:val="24"/>
        </w:rPr>
        <w:t xml:space="preserve">5.5评委会将按上述修正错误的方法调整投标文件中的投标报价，并通过苏采云系统告知供应商，调整后的价格应对供应商具有约束力。如果供应商不接受修正后的价格，则其投标将被拒绝。</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25.6采用最低评标价法的采购项目，提供相同品牌产品的不同供应商参加同一合同项下投标的，以其中通过资格审查、符合性审查且报价最低的参加评标；报价相同的，由评标委员会按照招标文件规定的方式（招标文件未规定的通过随机抽取的方式）确定一个参加评标的供应商，其他投标无效。</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使用综合评分法的采购项目，提供相同品牌产品且通过资格审查、符合性审查的不同供应商参加同一合同项下投标的，按一家供应商计算，评审后得分最高的同品牌供应商获得中标人推荐资格；评审得分相同的，由评标委员会根据招标文件规定的方式（招标文件未规定的采取随机抽取的方式）确定一个中标候选人，其他同品牌供应商不作为中标候选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非单一产品采购项目，招标文件中将载明其中的核心产品。多家供应商提供的核心产品品牌相同的，按前两款规定处理。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25.7供应商在开、评标全过程中应保持通讯畅通，及时登录苏采云系统查阅、答复相关信息，并安排专人与采购人及评标委员会联系。</w:t>
      </w:r>
      <w:r/>
    </w:p>
    <w:p>
      <w:pPr>
        <w:ind w:left="0" w:right="0" w:firstLine="480"/>
        <w:jc w:val="both"/>
        <w:spacing w:before="0" w:after="0" w:line="499" w:lineRule="atLeast"/>
        <w:tabs>
          <w:tab w:val="left" w:pos="2020" w:leader="none"/>
          <w:tab w:val="left" w:pos="45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25.8 异常低价投标审查</w:t>
      </w:r>
      <w:r/>
    </w:p>
    <w:p>
      <w:pPr>
        <w:ind w:left="0" w:right="0" w:firstLine="480"/>
        <w:jc w:val="both"/>
        <w:spacing w:before="0" w:after="0" w:line="499" w:lineRule="atLeast"/>
        <w:tabs>
          <w:tab w:val="left" w:pos="2020" w:leader="none"/>
          <w:tab w:val="left" w:pos="45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25.8.1评标过程中出现下列情形之一的，评标委员会应当启动异常低价投标审查程序：</w:t>
      </w:r>
      <w:r/>
    </w:p>
    <w:p>
      <w:pPr>
        <w:pStyle w:val="644"/>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（1）投标(响</w:t>
      </w:r>
      <w:r>
        <w:rPr>
          <w:rFonts w:ascii="SimSun" w:hAnsi="SimSun" w:eastAsia="SimSun" w:cs="SimSun"/>
          <w:color w:val="000000"/>
          <w:sz w:val="24"/>
        </w:rPr>
        <w:t xml:space="preserve">应)报价低于全部通过符合性审查供应商投标(响应)报价平均值50%的，即投标(响应)报价</w:t>
      </w:r>
      <w:r>
        <w:rPr>
          <w:rFonts w:ascii="Microsoft YaHei" w:hAnsi="Microsoft YaHei" w:eastAsia="Microsoft YaHei" w:cs="Microsoft YaHei"/>
          <w:b/>
          <w:color w:val="000000"/>
          <w:sz w:val="15"/>
          <w:highlight w:val="white"/>
        </w:rPr>
        <w:t xml:space="preserve">&lt;</w:t>
      </w:r>
      <w:r>
        <w:rPr>
          <w:rFonts w:ascii="SimSun" w:hAnsi="SimSun" w:eastAsia="SimSun" w:cs="SimSun"/>
          <w:color w:val="000000"/>
          <w:sz w:val="24"/>
        </w:rPr>
        <w:t xml:space="preserve">全部通过符合性审查供应商投标(响应)报价平均值×50%；</w:t>
      </w:r>
      <w:r/>
    </w:p>
    <w:p>
      <w:pPr>
        <w:pStyle w:val="644"/>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w:t>
      </w:r>
      <w:r>
        <w:rPr>
          <w:rFonts w:ascii="SimSun" w:hAnsi="SimSun" w:eastAsia="SimSun" w:cs="SimSun"/>
          <w:color w:val="000000"/>
          <w:sz w:val="24"/>
        </w:rPr>
        <w:t xml:space="preserve">投标(响应)报价低于通过符合性审查的次低报价供应商投标(响应)报价50%的，即投标(响应)报价</w:t>
      </w:r>
      <w:r>
        <w:rPr>
          <w:rFonts w:ascii="Microsoft YaHei" w:hAnsi="Microsoft YaHei" w:eastAsia="Microsoft YaHei" w:cs="Microsoft YaHei"/>
          <w:b/>
          <w:color w:val="000000"/>
          <w:sz w:val="15"/>
          <w:highlight w:val="white"/>
        </w:rPr>
        <w:t xml:space="preserve">&lt;</w:t>
      </w:r>
      <w:r>
        <w:rPr>
          <w:rFonts w:ascii="SimSun" w:hAnsi="SimSun" w:eastAsia="SimSun" w:cs="SimSun"/>
          <w:color w:val="000000"/>
          <w:sz w:val="24"/>
        </w:rPr>
        <w:t xml:space="preserve">通过符合性审查的次低报价供应商投标(响应)报价×50%；</w:t>
      </w:r>
      <w:r/>
    </w:p>
    <w:p>
      <w:pPr>
        <w:pStyle w:val="644"/>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w:t>
      </w:r>
      <w:r>
        <w:rPr>
          <w:rFonts w:ascii="SimSun" w:hAnsi="SimSun" w:eastAsia="SimSun" w:cs="SimSun"/>
          <w:color w:val="000000"/>
          <w:sz w:val="24"/>
        </w:rPr>
        <w:t xml:space="preserve">投标(响应)报价低于采购项目最高限价45%的，即投标(响应)报价</w:t>
      </w:r>
      <w:r>
        <w:rPr>
          <w:rFonts w:ascii="Microsoft YaHei" w:hAnsi="Microsoft YaHei" w:eastAsia="Microsoft YaHei" w:cs="Microsoft YaHei"/>
          <w:b/>
          <w:color w:val="000000"/>
          <w:sz w:val="15"/>
          <w:highlight w:val="white"/>
        </w:rPr>
        <w:t xml:space="preserve">&lt;</w:t>
      </w:r>
      <w:r>
        <w:rPr>
          <w:rFonts w:ascii="SimSun" w:hAnsi="SimSun" w:eastAsia="SimSun" w:cs="SimSun"/>
          <w:color w:val="000000"/>
          <w:sz w:val="24"/>
        </w:rPr>
        <w:t xml:space="preserve">采购项目最高限价×45%；</w:t>
      </w:r>
      <w:r/>
    </w:p>
    <w:p>
      <w:pPr>
        <w:pStyle w:val="644"/>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w:t>
      </w:r>
      <w:r>
        <w:rPr>
          <w:rFonts w:ascii="SimSun" w:hAnsi="SimSun" w:eastAsia="SimSun" w:cs="SimSun"/>
          <w:color w:val="000000"/>
          <w:sz w:val="24"/>
        </w:rPr>
        <w:t xml:space="preserve">评审委员会基于专业判断，认为供应商报价过低，有可能影响产品质量或者不能诚信履约的其他情形。</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25.8.2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26.无效投标条款和废标条款</w:t>
      </w:r>
      <w:r/>
    </w:p>
    <w:p>
      <w:pPr>
        <w:ind w:left="479"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w:t>
      </w:r>
      <w:r>
        <w:rPr>
          <w:rFonts w:ascii="SimSun" w:hAnsi="SimSun" w:eastAsia="SimSun" w:cs="SimSun"/>
          <w:color w:val="000000"/>
          <w:sz w:val="24"/>
        </w:rPr>
        <w:t xml:space="preserve">6.1无效投标条款</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供应商在苏采云系统规定的时间内未成功解密电子投标文件的。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26.1.2供应商未按照招标文件要求上传电子投标文件的。</w:t>
      </w:r>
      <w:r/>
    </w:p>
    <w:p>
      <w:pPr>
        <w:ind w:left="479"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26.1.3供应商同一采购包提交两个（含两个）以上不同的投标报价的。</w:t>
      </w:r>
      <w:r/>
    </w:p>
    <w:p>
      <w:pPr>
        <w:ind w:left="479"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26.1.4供应商不具备招标文件中规定资格要求的。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26.1.5供应商的报价超过了采购预算或最高限价的。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26.1.6未通过符合性审查的。</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26.1.7不符合招标文件中规定的实质性要求和条件的（实质性要求和条件是指本招标文件中用带星号（“★”）的商务和技术要求）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26.1.8供应商被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26.1.9  投标文件含有采购人不能接受的附加条件的。</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26.1.10 评标委员会按照本招标文件规定对供应商进行异常低价投标审查后，认为供应商不能证明其报价合理性的。</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26.1.11 如本项目采购产品被财政部、国家发改委列入“节能产品品目清单”强制采购范围，而供应商所投标产品不在强制采购范围内的。（投标产品如属于政府强制采购节能产品品目清单范围内，投标文件中必须提供国家确定的认证机构出具的、处于有效期之内的该节能产品认证证书图片）</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26.1.12 投标文件未按照招标文件要求加盖CA电子公章的。</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26.1.13 供应商所投标产品不符合招标文件中所列国家强制性标准的。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26.1.14其他法律、法规及本招标文件规定的属无效投标的情形。</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26.2废标条款</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26.2.1符合专业条件的供应商或者对招标文件作实质响应的供应商不足三家的。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26.2.2出现影响采购公正的违法、违规行为的。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26.2.3因重大变故，采购任务取消的。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26.2.4评标委员会认定招标文件存在歧义、重大缺陷导致评审工作无法进行。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26.2.5 因苏采云系统系统故障原因造成开标不成功的。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投标截止时间结束后参加投标的供应商不足三家的处理：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26.3.1如出现投标截止时间结束后参加投标的供应商或者在评标期间对招标文件做出实质响应的供应商不足三家情况，按政府采购相关规定执行。</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六、定标</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w:t>
      </w:r>
      <w:r>
        <w:rPr>
          <w:rFonts w:ascii="SimSun" w:hAnsi="SimSun" w:eastAsia="SimSun" w:cs="SimSun"/>
          <w:color w:val="000000"/>
          <w:sz w:val="24"/>
        </w:rPr>
        <w:t xml:space="preserve">7.确定中标单位</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27.1中标候选人的选取原则和数量见招标文件第三章规定。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采购人应根据评委会推荐的中标候选人确定中标人。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 采购人将在“淮安市政府采购网”发布中标公告，公告期限为1个工作日。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 若有充分证据证明，中标人出现下列情况之一的，一经查实，将被取消中标资格：</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27.4.1提供虚假材料谋取中标的。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27.4.2向采购人行贿或者提供其他不正当利益的。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27.4.3属于本文件规定的无效条件，但在评标过程中又未被评委会发现的。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27.4.4与采购人或者其他供应商恶意串通的。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276.4.5采取不正当手段诋毁、排挤其他供应商的。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27.5.有下列情形之一的，视为供应商串通投标，投标无效：</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27.5.1不同供应商的投标文件由同一单位或者个人编制；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27.5.2不同供应商委托同一单位或者个人办理投标事宜；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27.5.3 不同供应商的投标文件载明的项目管理成员或者联系人员为同一人；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27.5.4不同供应商的投标文件异常一致或者投标报价呈规律性差异</w:t>
      </w:r>
      <w:r>
        <w:rPr>
          <w:rFonts w:ascii="SimSun" w:hAnsi="SimSun" w:eastAsia="SimSun" w:cs="SimSun"/>
          <w:b/>
          <w:color w:val="000000"/>
          <w:sz w:val="24"/>
        </w:rPr>
        <w:t xml:space="preserve">；</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28．质疑处理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供应商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27.5条的要求提供质疑的均不予受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28.2上述应知其权益受到损害之日是指: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（1）对招标文件提出质疑的，为采购文件公告期限届满之日起计算；</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（2）对采购过程提出质疑的，为各采购程序环节结束之日起计算；</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（3）对中标结果提出质疑的，为中标结果公告期限届满之日起计算。</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28.3质疑供应商是指直接参加本次投标活动的供应商，未参加投标活动的供应商或在投标活动中自身权益未受到损害的供应商所提出的质疑不予受理。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28.4质疑供应商在法定质疑期内应当一次性针对同一采购环节提出质疑。</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28.5质疑函应当包括以下主要内容，附上相关证明材料。否则，采购人不予受理。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（1）质疑供应商的名称、地址、邮编、联系人及联系电话；</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（2）质疑项目的名称、编号；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（3）具体、明确的质疑事项和与质疑事实相关的请求；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（4）事实依据；</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（5）必要的法律依据；</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（6）提起质疑的日期；</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【质疑函必须署名，由法定代表人或者其授权代表签字，并加盖单位电子公章。授权代表签字的，还需提供法定代表人出具的办理质疑事项授权书（授权中必须载明具体权限、期限和事项）。】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28.6采购人收到质疑函后，将对质疑的形式和内容进行审查，如质疑函内容、格式不符合规定，采购人将告知质疑人进行补正。质疑人应当在法定质疑期限内进行补正并重新提交质疑函，拒不补正或者超过法定期限后未重新提交质疑函的，为无效质疑，采购人有权不予受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28.7对于内容、格式符合规定的质疑函，采购人将在七个工作日内以电子文件的形式作出答复，但质疑答复的内容不涉及商业秘密。如果质疑供应商还需要纸质形式回复函的，需主动与采购人联系索取，或者在质疑函中明确提出该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28.8供应商提出的质疑必须有理、有据，不得恶意质疑或提交虚假质疑。否则，一经查实，采购人有权依据政府采购的有关规定，报请淮安市财政局政府采购管理处对该供应商列入失信行为或不良行为记录名单，进行相应的行政处罚。</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29.中标通知书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七、授予合同</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30. 签订合同</w:t>
      </w:r>
      <w:r>
        <w:rPr>
          <w:rFonts w:ascii="SimSun" w:hAnsi="SimSun" w:eastAsia="SimSun" w:cs="SimSun"/>
          <w:color w:val="000000"/>
          <w:sz w:val="24"/>
        </w:rPr>
        <w:tab/>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30.l中标人应当在中标通知书发出之日起十五日内，按照招标文件确定的事项与采购人签订政府采购合同。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30.2招标文件、中标人的投标文件及招标过程中有关澄清、承诺文件均应作为合同附件。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31.货物（包含与货物相关的服务）的追加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32.政府采购履约资金扶持政策</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中标供应商可凭政府采购合同办理融资贷款，详情请见江苏政府采购网“政采贷”专栏。</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31.履约保证金</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31.1乙方应在必须在签订合同之前，向采购人缴纳中标总价1%的履约保证金。</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31.2乙方提供的履约保证金可以是人民币形式（银行本票、汇票、支票、电汇），或银行保函、担保公司的保证担保或保险公司的保证保险等多种形式。</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31.3乙方选取银行保函、担保公司的保证担保或保险公司的保证保险等形式的向采购人缴纳的，如保函（担保、保险等）的约定期到期但乙方履约仍未结束的，乙方须进行续保。</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31.5如乙方未能履行合同规定的义务，甲方有权从履约保证金中取得补偿。</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31.6履约保证金在合同约定期间内不予退还或者应完全有效，约定期间届满之日起5个工作日内，甲方应将履约保证金退还乙方；逾期退还的，按中国人民银行同期贷款基准利率上浮20%后的利率支付逾期资金占用费，但因乙方自身原因导致无法及时退还的除外。</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31.7履约保证金在合同约定期间内不予退还或者应完全有效，履约保证金在项目验收合格后无息退还给乙方。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31.8如果中标人没有按照以上规定去做，采购人将有充分理由取消该授标。在此情况下采购人可将标授予下一个中标候选人，或重新招标。</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八、政府采购政策功能落实</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32.政府采购政策功能落实</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32.1.政策功能落实</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本项目为专门面向中小企业采购的项目。</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本项目采购标的对应的中小企业划分标准所属行业为</w:t>
      </w:r>
      <w:r>
        <w:rPr>
          <w:rFonts w:ascii="SimSun" w:hAnsi="SimSun" w:eastAsia="SimSun" w:cs="SimSun"/>
          <w:color w:val="000000"/>
          <w:sz w:val="24"/>
          <w:highlight w:val="white"/>
          <w:u w:val="single"/>
        </w:rPr>
        <w:t xml:space="preserve">工业。</w:t>
      </w:r>
      <w:r>
        <w:rPr>
          <w:rFonts w:ascii="SimSun" w:hAnsi="SimSun" w:eastAsia="SimSun" w:cs="SimSun"/>
          <w:color w:val="000000"/>
          <w:sz w:val="24"/>
          <w:highlight w:val="white"/>
        </w:rPr>
        <w:t xml:space="preserve">关于印发中小企业划型标准规定的通知工信部联企业[2011]300号。</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32.1.1小微型企业价格扣除（不采用）</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32.1.1.1对于未预留份额专门面向中小企业采购的采购项目，供应商提供的货物或者服务符合下列情形的，享受本办法规定的中小企业扶持政策给予小微企业报价20%的扣除，用扣除后的价格参与评审：</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（1）在货物采购项目中，货物由中小企业制造，即货物由中小企业生产且使用该中小企业商号或者注册商标；</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（2）在服务采购项目中，服务由中小企业承接，即提供服务的人员为中小企业依照《中华人民共和国劳动合同法》订立劳动合同的从业人员。</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32.1.2在货物采购项目中，供应商提供的货物既有中小企业制造货物，也有大型企业制造货物的，不享受本办法规定的中小企业扶持政策。</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32.2联合体及分包</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32.2.1以联合体形式参加政府采购活动，联合体各方均为中小企业的，联合体视同中小企业。其中，联合体各方均为小微企业的，联合体视同小微企业。</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34.2.2享受扶持政策获得政府采购合同的，小微企业不得将合同分包给大中型企业，中型企业不得将合同分包给大型企业。</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32.3小微型企业</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（1）供应商须按照采购文件的要求提供相应的《企业声明函》，详见采购文件示范格式。</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（2）企业标准请参照《政府采购促进中小企业发展管理办法》（财库〔2020〕46号）文件规定自行填写。</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32.4残疾人福利单位</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（1）残疾人福利单位需按照采购文件的要求提供《残疾人福利性单位声明函》，详见采购文件示范格式。</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（2）残疾人福利单位标准请参照《关于促进残疾人就业政府采购政策的通知》（财库〔2017〕141号）。</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32.5监狱和戒毒企业</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（1）监狱企业参加政府采购活动时，需提供由省级以上监狱管理局、戒毒管理局（含新疆生产建设兵团）出具的属于监狱企业的证明文件）（采购文件中上传加盖出具单位公章的电子件）。</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（2）监狱企业标准请参照《关于政府采购支持监狱企业发展有关问题的通知》（财库〔2014〕68号）。</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节能、环保政策</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根据《财政部发展改革委生态环境部市场监管总局关于调整优化节能产品、环境标志产品政府采购执行机制的通知》（财库〔2019〕9号）要求，依据品目清单对获得节能产品、环境标志产品认证证书的产品实施政府优先采购或强制采购。</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33.2节能产品</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本项目/被列入“节能产品品目清单”的，实行（优先采购/强制采购）。</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33.3环保产品</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本项目中/被列入“环境标志产品品目清单”的，实行优先采购。</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本项目中实行“强制采购”的，需提供国家市场监督管理总局确定的列入“参与实施政府采购节能产品认证机构名录”内的认证机构出具的、有效期内的该产品环境标志产品认证证书电子件，未提供的作无效响应文件处理；实行“优先采购”的，在评分标准的“政策导向”处参与加分（详见采购文件要求）。</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34．政府绿色采购</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根据《江苏省财政厅关于加强政府绿色采购有关事项的通知》（苏财购〔2023〕65号）的要求，落实政府绿色采购相关政策，具体如下：</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34.1本项目为货物类采购项目的，所提供的产品需综合考虑节能环保、节水、循环再生、低碳、有机等因素；本项目为物业、合同能源管理等服务类采购项目的，应在服务中加强绿色低碳管理。</w:t>
      </w:r>
      <w:r/>
    </w:p>
    <w:p>
      <w:pPr>
        <w:ind w:left="0" w:right="0" w:firstLine="482"/>
        <w:jc w:val="both"/>
        <w:spacing w:before="21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6600"/>
          <w:sz w:val="24"/>
        </w:rPr>
        <w:t xml:space="preserve">34.2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的通知（财库〔2023〕7号文）执行。</w:t>
      </w:r>
      <w:r/>
    </w:p>
    <w:p>
      <w:pPr>
        <w:ind w:left="0" w:right="0" w:firstLine="482"/>
        <w:jc w:val="both"/>
        <w:spacing w:before="210" w:after="12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6600"/>
          <w:sz w:val="24"/>
        </w:rPr>
        <w:t xml:space="preserve">34.3本项目中涉及涂料、胶黏剂、油墨、清洗剂等挥发性有机物产品的，要执行国家和江苏省VOCs含量限制标准，优先使用低挥发性原辅材料，使用低VOCs含量的涂料、胶黏剂等。</w:t>
      </w:r>
      <w:r/>
    </w:p>
    <w:p>
      <w:pPr>
        <w:ind w:left="0" w:right="0" w:firstLine="482"/>
        <w:jc w:val="both"/>
        <w:spacing w:before="210" w:after="12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6600"/>
          <w:sz w:val="24"/>
        </w:rPr>
        <w:t xml:space="preserve">35. 履约资金扶持政策</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35.2有融资贷款需求的成交人，与采购人在苏采云【合同在线签订】模块中进行合同在线签订时，【账户信息完善】的“是否融资”一栏中需选择“是”，同时完善收款账号信息和合同补充协议（融资账号）。</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36.采购本国产品的支持政策</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36.1 本项目政府采购活动中既有本国产品又有非本国产品参与竞争的，依法对本国产品给予价格评审优惠，对本国产品的报价给予20%的价格扣除，用扣除后的价格参与评审。</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36.2 当采购项目或者采购包中含有多种产品，供应商为该采购项目或者采购包提供的符合本国产品标准的产品成本之和占该供应商提供的全部产品成本之和的比例达到80%以上时（供应商需在“响应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36.3 供应商需按照采购文件的要求提供《关于符合本国产品标准的声明函》（以下简称《声明函》，详见“示范格式六”），如不提供将不享受本国产品价格评审优惠。</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36.4 供应商需在《声明函》中逐一、准确填写产品名称、厂名、生产厂址三项信息，三项信息中任意一项未填写的视为该项产品不符合本国产品标准，不享受本国产品价格评审优惠。</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采购文件规定的，供应商提供的相关产品视为不符合本国产品标准。</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w:t>
      </w:r>
      <w:r>
        <w:rPr>
          <w:rFonts w:ascii="SimSun" w:hAnsi="SimSun" w:eastAsia="SimSun" w:cs="SimSun"/>
          <w:color w:val="000000"/>
          <w:sz w:val="24"/>
        </w:rPr>
        <w:t xml:space="preserve">属于在中国境内生产的产品；其他产品，根据实际情况判断是否在中国境内生产。</w:t>
      </w:r>
      <w:r/>
    </w:p>
    <w:p>
      <w:pPr>
        <w:pStyle w:val="644"/>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37.异常低价情形:</w:t>
      </w:r>
      <w:r/>
    </w:p>
    <w:p>
      <w:pPr>
        <w:pStyle w:val="644"/>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37.1投标(响应)报价低于全部通过符合性审查供应商投标(响应)报价平均值50%的，即投标(响应)报价</w:t>
      </w:r>
      <w:r>
        <w:rPr>
          <w:rFonts w:ascii="Microsoft YaHei" w:hAnsi="Microsoft YaHei" w:eastAsia="Microsoft YaHei" w:cs="Microsoft YaHei"/>
          <w:b/>
          <w:color w:val="000000"/>
          <w:sz w:val="15"/>
          <w:highlight w:val="white"/>
        </w:rPr>
        <w:t xml:space="preserve">&lt;</w:t>
      </w:r>
      <w:r>
        <w:rPr>
          <w:rFonts w:ascii="SimSun" w:hAnsi="SimSun" w:eastAsia="SimSun" w:cs="SimSun"/>
          <w:b/>
          <w:color w:val="000000"/>
          <w:sz w:val="24"/>
        </w:rPr>
        <w:t xml:space="preserve">全部通过符合性审查供应商投标(响应)报价平均值×50%；</w:t>
      </w:r>
      <w:r/>
    </w:p>
    <w:p>
      <w:pPr>
        <w:pStyle w:val="644"/>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37.2投标(响应)报价低于通过符合性审查的次低报价供应商投标(响应)报价50%的，即投标(响应)报价</w:t>
      </w:r>
      <w:r>
        <w:rPr>
          <w:rFonts w:ascii="Microsoft YaHei" w:hAnsi="Microsoft YaHei" w:eastAsia="Microsoft YaHei" w:cs="Microsoft YaHei"/>
          <w:b/>
          <w:color w:val="000000"/>
          <w:sz w:val="15"/>
          <w:highlight w:val="white"/>
        </w:rPr>
        <w:t xml:space="preserve">&lt;</w:t>
      </w:r>
      <w:r>
        <w:rPr>
          <w:rFonts w:ascii="SimSun" w:hAnsi="SimSun" w:eastAsia="SimSun" w:cs="SimSun"/>
          <w:b/>
          <w:color w:val="000000"/>
          <w:sz w:val="24"/>
        </w:rPr>
        <w:t xml:space="preserve">通过符合性审查的次低报价供应商投标(响应)报价×50%；</w:t>
      </w:r>
      <w:r/>
    </w:p>
    <w:p>
      <w:pPr>
        <w:pStyle w:val="644"/>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37.3投标(响应)报价低于采购项目最高限价45%的，即投标(响应)报价</w:t>
      </w:r>
      <w:r>
        <w:rPr>
          <w:rFonts w:ascii="Microsoft YaHei" w:hAnsi="Microsoft YaHei" w:eastAsia="Microsoft YaHei" w:cs="Microsoft YaHei"/>
          <w:b/>
          <w:color w:val="000000"/>
          <w:sz w:val="15"/>
          <w:highlight w:val="white"/>
        </w:rPr>
        <w:t xml:space="preserve">&lt;</w:t>
      </w:r>
      <w:r>
        <w:rPr>
          <w:rFonts w:ascii="SimSun" w:hAnsi="SimSun" w:eastAsia="SimSun" w:cs="SimSun"/>
          <w:b/>
          <w:color w:val="000000"/>
          <w:sz w:val="24"/>
        </w:rPr>
        <w:t xml:space="preserve">采购项目最高限价×45%；</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37.4评审委员会基于专业判断，认为供应商报价过低，有可能影响产品质量或者不能诚信履约的其他情形。</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241"/>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九、“全流程不见面交易采购”注意事项</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39.1本项目采用“全流程不见面交易”模式，通过“苏采云政府采购一体化平台”及相应的配套硬件设备（摄像头、话筒、麦克风等）完成远程解密、公布报价、澄清等交互环节。</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39.2根据省财政厅《关于更换全省政府采购交易系统C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w:t>
      </w:r>
      <w:r>
        <w:rPr>
          <w:rFonts w:ascii="SimSun" w:hAnsi="SimSun" w:eastAsia="SimSun" w:cs="SimSun"/>
          <w:color w:val="000000"/>
          <w:sz w:val="24"/>
        </w:rPr>
        <w:t xml:space="preserve">30633ce9.html。</w:t>
      </w:r>
      <w:r/>
    </w:p>
    <w:p>
      <w:pPr>
        <w:ind w:left="0" w:right="0" w:firstLine="480"/>
        <w:jc w:val="both"/>
        <w:spacing w:before="0" w:after="0" w:line="369" w:lineRule="atLeast"/>
        <w:tabs>
          <w:tab w:val="left" w:pos="13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39.3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left="0" w:right="0" w:firstLine="480"/>
        <w:jc w:val="both"/>
        <w:spacing w:before="0" w:after="0" w:line="369" w:lineRule="atLeast"/>
        <w:tabs>
          <w:tab w:val="left" w:pos="13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39.4有关本次招标的事项若存在变动或修改，敬请及时关注江苏政府采购网或淮安市政府采购网发布的更正公告，否则产生的后果由供应商自行承担。</w:t>
      </w:r>
      <w:r/>
    </w:p>
    <w:p>
      <w:pPr>
        <w:ind w:left="0" w:right="0" w:firstLine="480"/>
        <w:jc w:val="both"/>
        <w:spacing w:before="210" w:after="0" w:line="439" w:lineRule="atLeast"/>
        <w:tabs>
          <w:tab w:val="left" w:pos="2020" w:leader="none"/>
          <w:tab w:val="left" w:pos="45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39.5由于“苏采云政府采购一体化平台”自身原因导致项目不能正常进行的，项目作废标处理。</w:t>
      </w:r>
      <w:r/>
    </w:p>
    <w:p>
      <w:pPr>
        <w:ind w:left="0" w:right="0" w:firstLine="480"/>
        <w:jc w:val="both"/>
        <w:spacing w:before="210" w:after="0" w:line="439" w:lineRule="atLeast"/>
        <w:tabs>
          <w:tab w:val="left" w:pos="2020" w:leader="none"/>
          <w:tab w:val="left" w:pos="45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39.6本项目中的时间均以国家授时中心发布的时间为准。</w:t>
      </w:r>
      <w:r/>
    </w:p>
    <w:p>
      <w:pPr>
        <w:ind w:left="0" w:right="0" w:firstLine="480"/>
        <w:jc w:val="both"/>
        <w:spacing w:before="210" w:after="0" w:line="439" w:lineRule="atLeast"/>
        <w:tabs>
          <w:tab w:val="left" w:pos="2020" w:leader="none"/>
          <w:tab w:val="left" w:pos="45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39.7本项目的下载文件、上传响应文件均通过互联网操作，请供应商充分考虑网络拥堵及平台操作所需时间等因素。因供应商自身原因导致操作失败的，其责任自负。</w:t>
      </w:r>
      <w:r/>
    </w:p>
    <w:p>
      <w:pPr>
        <w:ind w:left="0" w:right="0" w:firstLine="480"/>
        <w:jc w:val="both"/>
        <w:spacing w:before="210" w:after="0" w:line="439" w:lineRule="atLeast"/>
        <w:tabs>
          <w:tab w:val="left" w:pos="2020" w:leader="none"/>
          <w:tab w:val="left" w:pos="45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39.8本项目投标文件的编制使用“苏采云政府采购一体化平台”客户端，供应商响应文件的编制和上传，应按照招标文件的规定进行。如未按招标文件要求编制、上传电子响应文件，将可能作无效响应文件处理，其后果由供应商自负。供应商如对正确使用“苏采云政府采购一体化平台”客户端有疑问的，请与软件公司技术人员联系。</w:t>
      </w:r>
      <w:r/>
    </w:p>
    <w:p>
      <w:pPr>
        <w:ind w:left="0" w:right="0" w:firstLine="480"/>
        <w:jc w:val="both"/>
        <w:spacing w:before="210" w:after="0" w:line="439" w:lineRule="atLeast"/>
        <w:tabs>
          <w:tab w:val="left" w:pos="2020" w:leader="none"/>
          <w:tab w:val="left" w:pos="45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39.9“苏采云全流程不见面交易”活动当日，供应商不必抵达现场，仅需在任意地点登录“苏采云政府采购一体化平台”，进入江苏省政府采购一体化不见面开标（采购）大厅观看项目的活动组织。为保障供应商权益以及避免围标串标的情况，供应商必须插CA锁登录“苏采云政府采购一体化平台”。具体操作详见《操作手册》。</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39.10电子响应文件开启时间前，各供应商的授权委托人或法人代表提前进入江苏省政府采购一体化不见面开标（采购）大厅，根据操作手册验证CA与签章是否正常，以免影响响应文件的解密。</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0"/>
        <w:jc w:val="both"/>
        <w:spacing w:before="210" w:after="0" w:line="439" w:lineRule="atLeast"/>
        <w:tabs>
          <w:tab w:val="left" w:pos="2020" w:leader="none"/>
          <w:tab w:val="left" w:pos="45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39.11电子响应文件开启后，代理机构将在江苏省政府采购一体化不见面开标（采购）大厅内公布供应商名单，然后通过大厅操作区发出响应文件解密的指令，供应商在各自地点按规定时间自行实施远程解密，供应商解密限定在主持人发布解密指令后系统规定时间内完成。因供应商网络与电源不稳定、未按《操作手册》要求配置软硬件、解密CA锁发生故障或用错、故意不在要求时限内完成解密等自身原因，导致响应文件在规定时间内未能解密、解密失败或解密超时，作无效响应文件处理。因“苏采云政府采购一体化平台”发生故障，导致无法按时完成响应文件解密，可</w:t>
      </w:r>
      <w:r>
        <w:rPr>
          <w:rFonts w:ascii="SimSun" w:hAnsi="SimSun" w:eastAsia="SimSun" w:cs="SimSun"/>
          <w:color w:val="000000"/>
          <w:sz w:val="24"/>
        </w:rPr>
        <w:t xml:space="preserve">根据实际情况相应延迟解密时间。本项目在限定的解密时间内，只要有任一家供应商解密成功，即视为“苏采云政府采购一体化平台”运行无故障。</w:t>
      </w:r>
      <w:r/>
    </w:p>
    <w:p>
      <w:pPr>
        <w:ind w:left="0" w:right="0" w:firstLine="480"/>
        <w:jc w:val="both"/>
        <w:spacing w:before="210" w:after="0" w:line="439" w:lineRule="atLeast"/>
        <w:tabs>
          <w:tab w:val="left" w:pos="2020" w:leader="none"/>
          <w:tab w:val="left" w:pos="45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39.12活动全过程中，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left="0" w:right="0" w:firstLine="480"/>
        <w:jc w:val="both"/>
        <w:spacing w:before="210" w:after="0" w:line="439" w:lineRule="atLeast"/>
        <w:tabs>
          <w:tab w:val="left" w:pos="2020" w:leader="none"/>
          <w:tab w:val="left" w:pos="45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39.13为顺利实现本项目不见面交易活动组织的远程交互，建议供应商配置相关软硬件设施，具体包括:</w:t>
      </w:r>
      <w:r/>
    </w:p>
    <w:p>
      <w:pPr>
        <w:ind w:left="0" w:right="0" w:firstLine="480"/>
        <w:jc w:val="both"/>
        <w:spacing w:before="210" w:after="0" w:line="439" w:lineRule="atLeast"/>
        <w:tabs>
          <w:tab w:val="left" w:pos="2020" w:leader="none"/>
          <w:tab w:val="left" w:pos="45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39.14谷歌浏览器或360安全浏览器，同时必须安装“苏采云政府采购一体化平台”客户端所要求的驱动。</w:t>
      </w:r>
      <w:r/>
    </w:p>
    <w:p>
      <w:pPr>
        <w:ind w:left="0" w:right="0" w:firstLine="480"/>
        <w:jc w:val="both"/>
        <w:spacing w:before="210" w:after="0" w:line="439" w:lineRule="atLeast"/>
        <w:tabs>
          <w:tab w:val="left" w:pos="2020" w:leader="none"/>
          <w:tab w:val="left" w:pos="45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39.15硬件设施:高配置电脑（内存4G以上，建议屏幕分辨率用1024*768像素或以上，不要使用上网本）、高速稳定的网络、CA锁、音视频设备［话筒、耳麦、高清摄像头（支持分辨率720P及以上）、音响］等。</w:t>
      </w:r>
      <w:r/>
    </w:p>
    <w:p>
      <w:pPr>
        <w:ind w:left="0" w:right="0" w:firstLine="480"/>
        <w:jc w:val="both"/>
        <w:spacing w:before="210" w:after="0" w:line="439" w:lineRule="atLeast"/>
        <w:tabs>
          <w:tab w:val="left" w:pos="2020" w:leader="none"/>
          <w:tab w:val="left" w:pos="45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39.16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p>
    <w:p>
      <w:pPr>
        <w:ind w:left="0" w:right="0" w:firstLine="480"/>
        <w:jc w:val="both"/>
        <w:spacing w:before="210" w:after="0" w:line="439" w:lineRule="atLeast"/>
        <w:tabs>
          <w:tab w:val="left" w:pos="2020" w:leader="none"/>
          <w:tab w:val="left" w:pos="45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39.17供应商在制作上传电子响应文件、观看活动组织、响应文件解密等技术方面遇到问题时，请与软件公司技术人员咨询，联系电话: 0519-86722802、0517-83638013、18019691765。</w:t>
      </w:r>
      <w:r/>
    </w:p>
    <w:p>
      <w:pPr>
        <w:ind w:left="1050" w:right="0" w:firstLine="0"/>
        <w:spacing w:before="180" w:after="18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u w:val="non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第三章评标标准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一、评委会根据招标文件中规定的评标标准对供应商进行综合评审，最终按综合评审得分由高到低的顺序推荐出3名中标候选人。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供应商为中标候选人的评标方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三、评委会将依据下列评标标准进行评标，本评标标准的总分为100分。按评审后得分由高到低顺序排列。得分相同的，按投标报价由低到高顺序排列。得分且投标报价相同的并列, 由评标委员会通过随机抽取的方式确定中标候选人。</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综合评审因素和评分标准（100分）</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评标标准</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90"/>
        <w:gridCol w:w="766"/>
        <w:gridCol w:w="7398"/>
      </w:tblGrid>
      <w:tr>
        <w:trPr>
          <w:trHeight w:val="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分项内容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98" w:type="dxa"/>
            <w:vAlign w:val="center"/>
            <w:textDirection w:val="lrTb"/>
            <w:noWrap w:val="false"/>
          </w:tcPr>
          <w:p>
            <w:pPr>
              <w:ind w:left="0" w:right="0" w:firstLine="48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评分要求</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0"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98" w:type="dxa"/>
            <w:vAlign w:val="center"/>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采用低价优先法，满足招标文件要求且投标价格最低的有效投标报价为评标基准价，其价格分为满分30分。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其他供应商的价格分统一按照下列公式计算：投标报价得分=（评标基准价/投标报价）×30，结果保留两位小数。（有效投标文件是指未被评标委员会判定为无效标的投标文件）。</w:t>
            </w:r>
            <w:r/>
          </w:p>
        </w:tc>
      </w:tr>
      <w:tr>
        <w:trPr>
          <w:trHeight w:val="21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0"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98" w:type="dxa"/>
            <w:vAlign w:val="top"/>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1、对应于所投产品的技术参数和性能与招标文件技术参数要求对比，全部满足得42分，标注“★”的指标（共1项），为核心技术指标，负偏离则视为无效投标。标注“▲”的指标（共 8 项），每有1项负偏离的扣2分。其他技术参数（共 60项）每有1项负偏离扣1分；扣完为止。（采购需求中有要求提供相关证明材料的，则必须按要求提供，否则视为负偏离）。</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请各投标人对照招标文件中的技术参数要求在“技术参数响应及偏离表”中逐项应答，“▲”号项必须提供相关证明材料（如技术白皮书、说明书、国家承认的第三方机构出具的检测报告、厂家公开发行的宣传彩页、设备铭牌照片等）；“▲”号指标须在投标文件技术参数偏离表备注栏中标注相关证明文件在其投标文件中的对应页码，未提供相关证明材料的视为负偏离。提供虚假材料者取消中标资格（相关证明材料原件复印件并加盖供应商公章）。</w:t>
            </w:r>
            <w:r/>
          </w:p>
          <w:p>
            <w:pPr>
              <w:ind w:left="0" w:right="0" w:firstLine="0"/>
              <w:jc w:val="both"/>
              <w:spacing w:before="0" w:after="0" w:line="340" w:lineRule="atLeast"/>
              <w:tabs>
                <w:tab w:val="left" w:pos="585" w:leader="none"/>
                <w:tab w:val="left" w:pos="46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2.产品交付验收时，招标人将对技术规格要求的指标进行逐一核实验收，如发现虚假应标，或无法实现关键技术指标功能，有权拒收，给招标人造成损失的由中标人承担一切责任。</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0" w:type="dxa"/>
            <w:vAlign w:val="center"/>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项目实施方案、培训方案、售后服务</w:t>
            </w:r>
            <w:r/>
          </w:p>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98" w:type="dxa"/>
            <w:vAlign w:val="center"/>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根据投标人提供的项目实施方案（包括但不限于实施方案、供货进度安排、安装调试、验收方案、培训方案、售后服务等）进行评分（评委自行打分）：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方案科学、合理，描述详细，可操作性强，完全满足招标要求的；5分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方案较合理，描述较详细，可操作性较强，基本满足招标要求的；3分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方案基本合理，描述一般，可操作性一般的；2分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方案略欠缺，描述简单，存在一定实施难度的；1分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未提供不得分。</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0" w:type="dxa"/>
            <w:vAlign w:val="center"/>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质量保证措施</w:t>
            </w:r>
            <w:r/>
          </w:p>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98" w:type="dxa"/>
            <w:vAlign w:val="center"/>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根据投标人根据提供的质量保证措施进行评分（评委自行打分）：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质量保证措施科学、合理，描述详细，针对性强的；4分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质量保证措施较合理，描述较详细，针对性较强的；3分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质量保证措施可行，描述简单，针对性一般的；2分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质量保证措施一般，描述简单；1分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未提供不得分</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0" w:type="dxa"/>
            <w:vAlign w:val="center"/>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设备使用年限</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98" w:type="dxa"/>
            <w:vAlign w:val="center"/>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根据投标人提供的设备使用铭牌或证明材料进行评分（评委自行打分）：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设备使用年限不少于10年（含）得10分；每少于1年扣1分扣完为止。</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未提供不得分。</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0" w:type="dxa"/>
            <w:vAlign w:val="center"/>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98" w:type="dxa"/>
            <w:vAlign w:val="center"/>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投同品牌同型号胃肠镜设备及系统安装项目自2023年7月1日以来（以合同签订时间为准）完成的业绩。业绩提供中标通知书、网站中标截图和合同（每提供一份得2分，最多得4分）。注：证明材料应能够明确反映所投产品名称、品牌型号、项目内容、合同签订时间主要信息，否则不得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上传电子标书。</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0" w:type="dxa"/>
            <w:vAlign w:val="top"/>
            <w:textDirection w:val="lrTb"/>
            <w:noWrap w:val="false"/>
          </w:tcPr>
          <w:p>
            <w:pPr>
              <w:ind w:left="0" w:right="0" w:firstLine="0"/>
              <w:spacing w:before="200" w:after="20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6" w:type="dxa"/>
            <w:vAlign w:val="top"/>
            <w:textDirection w:val="lrTb"/>
            <w:noWrap w:val="false"/>
          </w:tcPr>
          <w:p>
            <w:pPr>
              <w:ind w:left="0" w:right="0" w:firstLine="0"/>
              <w:spacing w:before="200" w:after="20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98" w:type="dxa"/>
            <w:vAlign w:val="center"/>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质保期在满足采购文件的基础上每增加1年加1分，增加部分不足1年的不计分，最多得分为5分（质保期间软件硬件及耗材均免费）。</w:t>
            </w:r>
            <w:r/>
          </w:p>
        </w:tc>
      </w:tr>
    </w:tbl>
    <w:p>
      <w:pPr>
        <w:ind w:left="0" w:right="0" w:firstLine="48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注：1.评分标准中要求提供的支持材料、证书证明等材料需加盖公章上传至投标文件，否则不予得分。</w:t>
      </w:r>
      <w:r/>
    </w:p>
    <w:p>
      <w:pPr>
        <w:numPr>
          <w:ilvl w:val="0"/>
          <w:numId w:val="4"/>
        </w:numPr>
        <w:jc w:val="both"/>
        <w:spacing w:before="0" w:after="0" w:line="320" w:lineRule="atLeast"/>
        <w:tabs>
          <w:tab w:val="left" w:pos="173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供应商所提供的证明材料应真实、有效，采购人保留对供应商提供的证明材料进行核查的权利。如发现供应商提供虚假资格证明材料，采购人将按相关规定对其进行严肃处理。 </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第四章政府采购货物买卖合同</w:t>
      </w:r>
      <w:r/>
    </w:p>
    <w:p>
      <w:pPr>
        <w:ind w:left="0" w:right="0" w:firstLine="0"/>
        <w:jc w:val="center"/>
        <w:spacing w:before="0" w:after="0" w:line="499" w:lineRule="atLeast"/>
        <w:tabs>
          <w:tab w:val="left" w:pos="2020" w:leader="none"/>
          <w:tab w:val="left" w:pos="45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4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0"/>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项目名称：</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合同编号：</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甲方：</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乙方：</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签订时间：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44"/>
        <w:ind w:left="0" w:right="0" w:firstLine="0"/>
        <w:jc w:val="both"/>
        <w:spacing w:before="260" w:after="26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第一节 政府采购合同协议书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甲方（全称）：（采购人）</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乙方（全称）：（供应商）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中华人民共和国民法典》、《中华人民共和国政府采购法》等有关的法律法规，以及本采购项目的招标文件等采购文件、乙方的《投标文件》及《中标（成交）通知书》，甲乙双方同意签订本合同。具体情况及要求如下：</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1.项目信息</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（1）采购项目名称：</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采购项目编号：</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（2）采购计划编号：  /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（3）项目内容：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采购标的及数量（台/套/个/架/组等）：</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品牌：规格型号：见采购需求</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（4）政府采购组织形式：分散采购</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（5）政府采购方式：公开招标</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2.合同金额</w:t>
      </w:r>
      <w:r>
        <w:rPr>
          <w:rFonts w:ascii="SimSun" w:hAnsi="SimSun" w:eastAsia="SimSun" w:cs="SimSun"/>
          <w:color w:val="000000"/>
          <w:sz w:val="24"/>
        </w:rPr>
        <w:t xml:space="preserve">。</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3.合同履行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（1）供货时间：。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（2）履约地点：由采购人指定地点。</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4.付款方式：</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合同签订后，甲方支付合同总价的40%作为预付款，安装调试完毕交付使用且验收合格付至已完设备款的97%，余款质保期满一次性付清（预付款在付款时冲销，乙方需向甲方提供合法有效的增值税发票）。</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采购单位组织人员验收。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本项目投标工具费、CA数字证书费、评标(评审)费、投标保函费、招标代理费、交易服务费、工程项目工程款履约保证金收退等参照《省政府办公厅关于印发江苏省数字人民币试点工作方案的通知》(苏政办发〔2023〕5号)《市政府办公室关于印发淮安市数字人民币试点工作方案的通知》(淮政办发〔2023〕4号)文件精神和《2023年全省营商环境评价方案》等文件要求使用数字人民币结算。</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5.合同验收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甲方按招标文件相关要求进行。如需委托第三方验收，第三方是指: 独立于生产厂家和医院，拥有检测检验设备和专业技术服务的专业资质的第三方检测/检验机构。验收费用由甲方承担。因乙方交付的货物不符合标准导致甲方重复支出的验收费用，由乙方承担。</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6.组成合同的文件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本协议书与下列文件一起构成合同文件，如下述文件之间有任何抵触、矛盾或歧义，应按以下顺序解释：</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（1）政府采购合同协议书及其变更、补充协议</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（2）政府采购合同专用条款</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（3）政府采购合同通用条款</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（4）中标（成交）通知书</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（5）投标（响应）文件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（6）采购文件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（7）有关技术文件，图纸</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（8）国家法律、行政法规和规章制度规定或合同约定的作为合同组成部分的其他文件</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7.合同生效</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本合同自甲、乙双方授权代表签字盖章之日起生效。</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8.合同份数</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本合同一式六份，甲方、乙方各执二份，监管部门、代理单位各执一份，均具有同等法律效力。</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                       乙    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单位盖章:                       单位盖章: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代表签字:                       代表签字:</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签定日期:                       签定日期:</w:t>
      </w:r>
      <w:r/>
    </w:p>
    <w:p>
      <w:pPr>
        <w:pStyle w:val="644"/>
        <w:ind w:left="0" w:right="0" w:firstLine="0"/>
        <w:jc w:val="both"/>
        <w:spacing w:before="260" w:after="2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第二节 政府采购合同通用条款</w:t>
      </w:r>
      <w:r/>
    </w:p>
    <w:p>
      <w:pPr>
        <w:ind w:left="0" w:right="0" w:firstLine="0"/>
        <w:spacing w:before="0" w:after="0" w:line="400" w:lineRule="atLeast"/>
        <w:tabs>
          <w:tab w:val="left" w:pos="8820" w:leader="none"/>
          <w:tab w:val="left" w:pos="9345" w:leader="none"/>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1.定义</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1.1合同当事人</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（1）采购人（以下称甲方）是指使用财政性资金，通过政府采购方式向供应商购买货物及其相关服务的国家机关、事业单位、团体组织。</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（2）供应商（以下称乙方）是指参加政府采购活动并且中标（成交），向采购人提供合同约定的货物及其相关服务的法人、非法人组织或者自然人。</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（3）其他合同主体是指除采购人和供应商以外，依法参与合同缔结或履行，享有权利、承担义务的合同当事人。</w:t>
      </w:r>
      <w:r/>
    </w:p>
    <w:p>
      <w:pPr>
        <w:ind w:left="0" w:right="0" w:firstLine="480"/>
        <w:spacing w:before="0" w:after="0" w:line="400" w:lineRule="atLeast"/>
        <w:tabs>
          <w:tab w:val="left" w:pos="570" w:leader="none"/>
          <w:tab w:val="left" w:pos="9240" w:leader="none"/>
          <w:tab w:val="left" w:pos="95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1.2本合同下列术语应解释为：</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left="0" w:right="0" w:firstLine="480"/>
        <w:spacing w:before="0" w:after="0" w:line="400" w:lineRule="atLeast"/>
        <w:tabs>
          <w:tab w:val="left" w:pos="570" w:leader="none"/>
          <w:tab w:val="left" w:pos="9240" w:leader="none"/>
          <w:tab w:val="left" w:pos="95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（2）“合同价款”系指根据本合同规定乙方在全面履行合同义务后甲方应支付给乙方的价款。</w:t>
      </w:r>
      <w:r/>
    </w:p>
    <w:p>
      <w:pPr>
        <w:ind w:left="0" w:right="0" w:firstLine="480"/>
        <w:spacing w:before="0" w:after="0" w:line="400" w:lineRule="atLeast"/>
        <w:tabs>
          <w:tab w:val="left" w:pos="570" w:leader="none"/>
          <w:tab w:val="left" w:pos="9240" w:leader="none"/>
          <w:tab w:val="left" w:pos="95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（3）“货物”系指乙方根据本合同规定须向甲方提供的各种形态和种类的物品，包括原材料、设备、产品（包括软件）及相关的其备品备件、工具、手册及其他技术资料和材料等。</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（5）“分包”系指中标（成交）供应商按采购文件、投标（响应）文件的规定，根据分包意向协议，将中标（成交）项目中的部分履约内容，分给具有相应资质条件的供应商履行合同的行为。</w:t>
      </w:r>
      <w:r/>
    </w:p>
    <w:p>
      <w:pPr>
        <w:ind w:left="0" w:right="0" w:firstLine="480"/>
        <w:spacing w:before="0" w:after="0" w:line="400" w:lineRule="atLeast"/>
        <w:tabs>
          <w:tab w:val="left" w:pos="570" w:leader="none"/>
          <w:tab w:val="left" w:pos="9240" w:leader="none"/>
          <w:tab w:val="left" w:pos="95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w:t>
      </w:r>
      <w:r/>
    </w:p>
    <w:p>
      <w:pPr>
        <w:ind w:left="0" w:right="0" w:firstLine="480"/>
        <w:spacing w:before="0" w:after="0" w:line="400" w:lineRule="atLeast"/>
        <w:tabs>
          <w:tab w:val="left" w:pos="570" w:leader="none"/>
          <w:tab w:val="left" w:pos="9240" w:leader="none"/>
          <w:tab w:val="left" w:pos="95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（7）其他术语解释，见【</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2.合同标的及金额</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合同标的及金额应与中标（成交）结果一致。乙方为履行本合同而发生的所有费用均应包含在合同价款中，甲方不再另行支付其他任何费用。</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 履行合同的时间、地点和方式</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乙方应当在约定的时间、地点，按照约定方式履行合同。</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 甲方的权利和义务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甲方有权要求乙方按时提交各阶段有关安排计划，并有权定期核对乙方提供货物数量、规格、质量等内容。甲方有权督促乙方工作并要求乙方更换不符合要求的货物。</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4.3甲方有权要求乙方对缺陷部分予以修复，并按合同约定享有货物保修及其他合同约定的权利。</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 甲方应当按照合同约定及时对交付的货物进行验收，未在</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约定的期限内对乙方履约提出任何异议或者向乙方作出任何说明的，视为验收通过。</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4.5甲方应当根据合同约定及时向乙方支付合同价款，不得以内部人员变更、履行内部付款流程等为由，拒绝或迟延支付。</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4.6国家法律法规规定及</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约定应由甲方承担的其他义务和责任。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 乙方的权利和义务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签署合同后，乙方应确定项目负责人（或项目联系人），负责与本合同有关的事务。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left="0" w:right="0" w:firstLine="422"/>
        <w:jc w:val="both"/>
        <w:spacing w:before="0" w:after="0" w:line="400" w:lineRule="atLeast"/>
        <w:tabs>
          <w:tab w:val="left" w:pos="2020" w:leader="none"/>
          <w:tab w:val="left" w:pos="45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5.3乙方有权根据合同约定向甲方收取合同价款。</w:t>
      </w:r>
      <w:r/>
    </w:p>
    <w:p>
      <w:pPr>
        <w:ind w:left="0" w:right="0" w:firstLine="422"/>
        <w:jc w:val="both"/>
        <w:spacing w:before="0" w:after="0" w:line="400" w:lineRule="atLeast"/>
        <w:tabs>
          <w:tab w:val="left" w:pos="2020" w:leader="none"/>
          <w:tab w:val="left" w:pos="45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5.4国家法律法规规定及</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约定应由乙方承担的其他义务和责任。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6.合同履行</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甲乙双方应当按照</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约定顺序履行合同义务；如果没有先后顺序的，应当同时履行。</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甲乙双方按照合同约定顺序履行合同义务时，应当先履行一方未履行的，后履行一方有权拒绝其履行请求。先履行一方履行不符合约定的，后履行一方有权拒绝其相应的履行请求。</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 货物包装、运输、保险和交付要求</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本合同涉及商品包装、快递包装的，除</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另有约定外，包装应适应远距离运输、防潮、防震、防锈和防野蛮装卸等要求，确保货物安全无损地运抵</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约定的指定现场。</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除</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另有约定外，乙方负责办理将货物运抵本合同规定的交货地点，并装卸、交付至甲方的一切运输事项，相关费用应包含在合同价款中。</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货物保险要求按</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规定执行。</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 乙方在运输到达之前应提前通知甲方，并提示货物运输装卸的注意事项，甲方配合乙方做好货物的接收工作。</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7.6 如因包装、运输问题导致货物损毁、丢失或者品质下降，甲方有权要求降价、换货、拒收部分或整批货物，由此产生的费用和损失，均由乙方承担。</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 质量标准和保证</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质量标准</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（2）采用中华人民共和国法定计量单位。</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（3）乙方所提供的货物应符合国家有关安全、环保、卫生的规定。</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（4）乙方应向甲方提交所提供货物的技术文件，包括相应的中文技术文件，如：产品目录、图纸、操作手册、使用说明、维护手册或服务指南等。上述文件应包装好随货物一同发运。</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保证</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规定或乙方书面承诺（两者以较长的为准）的质量保证期内，本保证保持有效。</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（2）在质量保证期内所发现的缺陷，甲方应尽快以书面形式通知乙方。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（3）乙方收到通知后，应在</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规定的响应时间内以合理的速度免费维修或更换有缺陷的货物或部件。</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（5）乙方在约定的时间内未能弥补缺陷，甲方可采取必要的补救措施，但其风险和费用将由乙方承担，甲方根据合同约定对乙方行使的其他权利不受影响。</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9.权利瑕疵担保</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乙方保证对其出售的货物享有合法的权利。</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乙方保证在交付的货物上不存在抵押权等担保物权。</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 如甲方使用上述货物构成对第三人侵权的，则由乙方承担全部责任。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10.知识产权保护</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11.保密义务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中约定。</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12.合同价款支付</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合同价款支付按照国库集中支付制度及财政管理相关规定执行。</w:t>
      </w:r>
      <w:r/>
    </w:p>
    <w:p>
      <w:pPr>
        <w:pStyle w:val="644"/>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】中约定。</w:t>
      </w:r>
      <w:r/>
    </w:p>
    <w:p>
      <w:pPr>
        <w:ind w:left="0" w:right="0" w:firstLine="0"/>
        <w:jc w:val="both"/>
        <w:spacing w:before="0" w:after="0" w:line="400" w:lineRule="atLeast"/>
        <w:tabs>
          <w:tab w:val="left" w:pos="2020" w:leader="none"/>
          <w:tab w:val="left" w:pos="453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13.履约保证金</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13.1乙方缴纳人民币_________元作为本合同的履约保证金。（不得超过合同金额的1%）</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13.2乙方提供的履约保证金可以是人民币形式（银行本票、汇票、支票、电汇），或银行保函、担保公司的保证担保或保险公司的保证保险等多种形式。</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13.3乙方选取银行保函、担保公司的保证担保或保险公司的保证保险等形式的向采购人缴纳的，如保函（担保、保险等）的约定期到期但乙方履约仍未结束的，乙方须进行续保。</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13.5如乙方未能履行合同规定的义务，甲方有权从履约保证金中取得补偿。</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13.6履约保证金在合同约定期间内不予退还或者应完全有效，约定期间届满之日起 5个工作日内，甲方应将履约保证金退还乙方；逾期退还的，按中国人民银行同期贷款基准利率上浮20%后的利率支付逾期资金占用费，但因乙方自身原因导致无法及时退还的除外。</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13.7履约保证金在合同约定期间内不予退还或者应完全有效，履约保证金在项目验收合格后无息退还给乙方。</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14.售后服务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除项目不涉及或采购活动中明确约定无须承担外，乙方还应提供下列服务：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（1）货物的现场移动、安装、调试、启动监督及技术支持；</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（2）提供货物组装和维修所需的专用工具和辅助材料；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约定的期限内对所有的货物实施运行监督、维修，但前提条件是该服务并不能免除乙方在质量保证期内所承担的义务；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（4）在制造商所在地或指定现场就货物的安装、启动、运营、维护、废弃处置等对甲方操作人员进行培训；</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（5）依照法律、行政法规的规定或者按照</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约定，货物在有效使用年限届满后应予回收的，乙方负有自行或者委托第三人对货物予以回收的义务；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规定由乙方提供的其他服务。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乙方提供的售后服务的费用已包含在合同价款中，甲方不再另行支付。</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15.违约责任</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15.1质量瑕疵的违约责任</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乙方提供的产品不符合合同约定的质量标准或存在产品质量缺陷，甲方有权要求乙方根据</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要求及时修理、重作、更换，并承担由此给甲方造成的损失。</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 迟延交货的违约责任</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（2）如果乙方没有按照合同规定的时间交货和提供相关服务，甲方有权从货款中扣除误期赔偿费而不影响合同项下的其他补救方法，赔偿费按</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规定执行。如果涉及公共利益，且赔偿金额无法弥补公共利益损失，甲方可要求继续履行或者采取其他补救措施。</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 迟延支付的违约责任</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甲方存在迟延支付乙方合同款项的，应当承担</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规定的逾期付款利息。</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15.4其他违约责任根据项目实际需要按</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规定执行。</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16.合同变更、中止与终止</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16.1合同的变更</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政府采购合同履行中，在不改变合同其他条款的前提下，甲方可以在合同价款10%的范围内追加与合同标的相同的货物，并就此与乙方协商一致后签订补充协议。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16.2合同的中止</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（1）合同履行过程中因供应商就采购文件、采购过程或结果提起投诉的，甲方认为有必要的，可以中止合同的履行。</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（4）甲方不得以行政区划调整、政府换届、机构或者职能调整以及相关责任人更替为由中止合同。</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16.3合同的终止</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（1）合同因有效期限届满而终止；</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（2）乙方未按合同约定履行，构成根本性违约的，甲方有权终止合同，并追究乙方的违约责任。</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16.4 涉及国家利益、社会公共利益的情形</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政府采购合同继续履行将损害国家利益和社会公共利益的，双方当事人应当变更、中止或者终止合同。有过错的一方应当承担赔偿责任，双方都有过错的，各自承担相应的责任。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17.合同分包</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乙方不得将合同转包给其他供应商。涉及合同分包的，乙方应根据采购文件和投标（响应）文件规定进行合同分包。</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乙方执行政府采购政策向中小企业依法分包的，乙方应当按采购文件和投标（响应）文件签订分包意向协议，分包意向协议属于本合同组成部分。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18.不可抗力</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不可抗力是指合同双方不能预见、不能避免且不能克服的客观情况。</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 任何一方对由于不可抗力造成的部分或全部不能履行合同不承担违约责任。但迟延履行后发生不可抗力的，不能免除责任。</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19.解决争议的方法</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选择仲裁的，应在</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中明确仲裁机构及仲裁地；通过诉讼方式解决的，可以在</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中进一步约定选择与争议有实际联系的地点的人民法院管辖，但管辖法院的约定不得违反级别管辖和专属管辖的规定。</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19.3 如甲乙双方有争议的事项不影响合同其他部分的履行，在争议解决期间，合同其他部分应当继续履行。</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20.政府采购政策</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本合同应当按照规定执行政府采购政策。</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r/>
    </w:p>
    <w:p>
      <w:pPr>
        <w:ind w:left="0" w:right="0" w:firstLine="480"/>
        <w:jc w:val="both"/>
        <w:spacing w:before="0" w:after="0" w:line="400" w:lineRule="atLeast"/>
        <w:tabs>
          <w:tab w:val="left" w:pos="2020" w:leader="none"/>
          <w:tab w:val="left" w:pos="45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21.法律适用</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本合同的订立、生效、解释、履行及与本合同有关的争议解决，均适用法律、行政法规。</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本合同条款与法律、行政法规的强制性规定不一致的，双方当事人应按照法律、行政法规的强制性规定修改本合同的相关条款。</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 通知</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22.1本合同任何一方向对方发出的通知、信件、数据电文等，应当发送至本合同第一部分《政府采购合同协议书》所约定的通讯地址、联系人、联系电话或电子邮箱。</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22.2一方当事人变更名称、住所、联系人、联系电话或电子邮箱等信息的，应当在变更后3日内及时书面通知对方，对方实际收到变更通知前的送达仍为有效送达。</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22.3本合同一方给另一方的通知均应采用书面形式，传真或快递送到本合同中规定的对方的地址和办理签收手续。</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22.4通知以送达之日或通知书中规定的生效之日起生效，两者中以较迟之日为准。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23.合同未尽事项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23.1合同未尽事项见</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23.2 合同附件与合同正文具有同等的法律效力。</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644"/>
        <w:ind w:left="0" w:right="0" w:firstLine="0"/>
        <w:jc w:val="both"/>
        <w:spacing w:before="260" w:after="26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第三节 政府采购合同专用条款</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07"/>
        <w:gridCol w:w="1742"/>
        <w:gridCol w:w="5170"/>
      </w:tblGrid>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第1.2（6）项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联合体具体要求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r>
      <w:tr>
        <w:trPr>
          <w:trHeight w:val="60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第1.2（7）项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其他术语解释</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按通用条款执行</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第4.4款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履约验收中甲方提出异议或作出说明的期限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按通用条款执行</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第4.6款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约定甲方承担的其他义务和责任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第5.4款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约定乙方承担的其他义务和责任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第6.1款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履行合同义务的顺序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按通用条款执行</w:t>
            </w:r>
            <w:r/>
          </w:p>
        </w:tc>
      </w:tr>
      <w:tr>
        <w:trPr>
          <w:trHeight w:val="6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第7.1款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包装特殊要求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按通用条款执行</w:t>
            </w:r>
            <w:r/>
          </w:p>
        </w:tc>
      </w:tr>
      <w:tr>
        <w:trPr>
          <w:trHeight w:val="667"/>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指定现场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由甲方确定</w:t>
            </w:r>
            <w:r/>
          </w:p>
        </w:tc>
      </w:tr>
      <w:tr>
        <w:trPr>
          <w:trHeight w:val="7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第7.2款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运输特殊要求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按通用条款执行</w:t>
            </w:r>
            <w:r/>
          </w:p>
        </w:tc>
      </w:tr>
      <w:tr>
        <w:trPr>
          <w:trHeight w:val="6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第7.3款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保险要求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按通用条款执行</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第8.2（1）项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质量保证期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按通用条款执行</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第8.2（3）项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货物质量缺陷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按通用条款执行</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第11.1款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其他应当保密的信息</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按通用条款执行</w:t>
            </w:r>
            <w:r/>
          </w:p>
        </w:tc>
      </w:tr>
      <w:tr>
        <w:trPr>
          <w:trHeight w:val="6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第12.2款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合同价款支付时间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按协议书</w:t>
            </w:r>
            <w:r/>
          </w:p>
        </w:tc>
      </w:tr>
      <w:tr>
        <w:trPr>
          <w:trHeight w:val="6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第13.2款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履约保证金不予退还的情形</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第13.3款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履约保证金退还时间及逾期退还的违约金</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r>
      <w:tr>
        <w:trPr>
          <w:trHeight w:val="7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第14.1（3）项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运行监督、维修期限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按通用条款执行</w:t>
            </w:r>
            <w:r/>
          </w:p>
        </w:tc>
      </w:tr>
      <w:tr>
        <w:trPr>
          <w:trHeight w:val="7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第14.1（5）项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货物回收的约定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第14.1（6）项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乙方提供的其他服务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按通用条款执行</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第15.1款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修理、重作、更换相关具体规定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按通用条款执行</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第15.2（2）项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迟延交货赔偿费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按通用条款执行</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第15.3款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逾期付款利息</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按通用条款执行</w:t>
            </w:r>
            <w:r/>
          </w:p>
        </w:tc>
      </w:tr>
      <w:tr>
        <w:trPr>
          <w:trHeight w:val="87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第15.4款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其他违约责任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按通用条款执行</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第19.2款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解决争议的方法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因本合同及合同有关事项发生的争议，按下列第</w:t>
            </w:r>
            <w:r>
              <w:rPr>
                <w:rFonts w:ascii="SimSun" w:hAnsi="SimSun" w:eastAsia="SimSun" w:cs="SimSun"/>
                <w:b/>
                <w:color w:val="000000"/>
                <w:sz w:val="24"/>
                <w:u w:val="single"/>
              </w:rPr>
              <w:t xml:space="preserve">2</w:t>
            </w:r>
            <w:r>
              <w:rPr>
                <w:rFonts w:ascii="SimSun" w:hAnsi="SimSun" w:eastAsia="SimSun" w:cs="SimSun"/>
                <w:color w:val="000000"/>
                <w:sz w:val="24"/>
              </w:rPr>
              <w:t xml:space="preserve">种方式解决：</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（1）向仲裁委员会申请仲裁，仲裁地点为；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（2）向甲方所在地人民法院起诉。</w:t>
            </w:r>
            <w:r/>
          </w:p>
        </w:tc>
      </w:tr>
      <w:tr>
        <w:trPr>
          <w:trHeight w:val="7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第23.1款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其他专用条款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按通用条款执行</w:t>
            </w:r>
            <w:r/>
          </w:p>
        </w:tc>
      </w:tr>
    </w:tbl>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99" w:lineRule="atLeast"/>
        <w:tabs>
          <w:tab w:val="left" w:pos="2020" w:leader="none"/>
          <w:tab w:val="left" w:pos="453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 </w:t>
      </w:r>
      <w:r/>
    </w:p>
    <w:p>
      <w:pPr>
        <w:ind w:left="0" w:right="0" w:firstLine="0"/>
        <w:jc w:val="center"/>
        <w:spacing w:before="0" w:after="0" w:line="499" w:lineRule="atLeast"/>
        <w:tabs>
          <w:tab w:val="left" w:pos="2020" w:leader="none"/>
          <w:tab w:val="left" w:pos="453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100" w:after="10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center"/>
        <w:spacing w:before="100" w:after="10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政府采购廉政监督承诺书</w:t>
      </w:r>
      <w:r/>
    </w:p>
    <w:p>
      <w:pPr>
        <w:ind w:left="0" w:right="0" w:firstLine="480"/>
        <w:jc w:val="both"/>
        <w:spacing w:before="0" w:after="0" w:line="34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一、采购人承诺</w:t>
      </w:r>
      <w:r/>
    </w:p>
    <w:p>
      <w:pPr>
        <w:ind w:left="0" w:right="0" w:firstLine="480"/>
        <w:jc w:val="both"/>
        <w:spacing w:before="0" w:after="0" w:line="34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1.坚持“谁采购、谁负责”原则，认真落实政府采购主体责任，履行“三重一大”集体研究程序，完善政府采购内控制度，加强政府采购廉政警示和廉政教育。</w:t>
      </w:r>
      <w:r/>
    </w:p>
    <w:p>
      <w:pPr>
        <w:ind w:left="0" w:right="0" w:firstLine="480"/>
        <w:jc w:val="both"/>
        <w:spacing w:before="0" w:after="0" w:line="34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2.细化政府采购预算编制，严格预算执行，科学合理确定采购需求，不擅自提高采购标准，严禁超需要、无预算或超预算采购。</w:t>
      </w:r>
      <w:r/>
    </w:p>
    <w:p>
      <w:pPr>
        <w:ind w:left="0" w:right="0" w:firstLine="480"/>
        <w:jc w:val="both"/>
        <w:spacing w:before="0" w:after="0" w:line="34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4"/>
          <w:u w:val="none"/>
        </w:rPr>
        <w:t xml:space="preserve">不非法干预、影响政府采购评审活动，不对供应商实行差别待遇和歧视待遇。不在开标前泄露政府采购项目相关情况影响公平竞争。</w:t>
      </w:r>
      <w:r/>
    </w:p>
    <w:p>
      <w:pPr>
        <w:ind w:left="0" w:right="0" w:firstLine="480"/>
        <w:jc w:val="both"/>
        <w:spacing w:before="0" w:after="0" w:line="34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4.不索取、不收受供应商赠送的礼品、现金、有价证券和贵重物品。不参加供应商组织的宴请、旅游、娱乐。不得向供应商报销应当由个人承担的费用。</w:t>
      </w:r>
      <w:r/>
    </w:p>
    <w:p>
      <w:pPr>
        <w:ind w:left="0" w:right="0" w:firstLine="480"/>
        <w:jc w:val="both"/>
        <w:spacing w:before="0" w:after="0" w:line="34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5.不恶意串通操纵政府采购活动。</w:t>
      </w:r>
      <w:r/>
    </w:p>
    <w:p>
      <w:pPr>
        <w:ind w:left="0" w:right="0" w:firstLine="480"/>
        <w:jc w:val="both"/>
        <w:spacing w:before="0" w:after="0" w:line="34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6.认真执行双方签订的政府采购合同文件，自觉按合同办事。根据合同履行情况，及时开展履约验收，及时支付采购资金。</w:t>
      </w:r>
      <w:r/>
    </w:p>
    <w:p>
      <w:pPr>
        <w:ind w:left="0" w:right="0" w:firstLine="480"/>
        <w:jc w:val="both"/>
        <w:spacing w:before="0" w:after="0" w:line="34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7.坚持公开透明，及时准确做好政府采购全流程信息公开，采购活动全程留痕，采购资料记录全面完整。</w:t>
      </w:r>
      <w:r/>
    </w:p>
    <w:p>
      <w:pPr>
        <w:ind w:left="0" w:right="0" w:firstLine="480"/>
        <w:jc w:val="both"/>
        <w:spacing w:before="0" w:after="0" w:line="34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8.依法依规处理政府采购质疑和投诉。</w:t>
      </w:r>
      <w:r/>
    </w:p>
    <w:p>
      <w:pPr>
        <w:ind w:left="0" w:right="0" w:firstLine="480"/>
        <w:jc w:val="both"/>
        <w:spacing w:before="0" w:after="0" w:line="34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9.不发生其他有悖于政府采购公开、公平、公正和诚实原则的行为，自觉接受财政、监察、审计等有关单位的监督。</w:t>
      </w:r>
      <w:r/>
    </w:p>
    <w:p>
      <w:pPr>
        <w:ind w:left="0" w:right="0" w:firstLine="480"/>
        <w:jc w:val="both"/>
        <w:spacing w:before="0" w:after="0" w:line="34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10.如违反以上承诺，愿接受监管部门依照相关法律法规处理并承担相应的法律责任。</w:t>
      </w:r>
      <w:r/>
    </w:p>
    <w:p>
      <w:pPr>
        <w:ind w:left="0" w:right="0" w:firstLine="480"/>
        <w:jc w:val="both"/>
        <w:spacing w:before="0" w:after="0" w:line="34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二、供应商承诺</w:t>
      </w:r>
      <w:r/>
    </w:p>
    <w:p>
      <w:pPr>
        <w:ind w:left="0" w:right="0" w:firstLine="480"/>
        <w:jc w:val="both"/>
        <w:spacing w:before="0" w:after="0" w:line="34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1.自觉遵守国家和省、市关于政府采购管理以及廉洁从业的各项规定。</w:t>
      </w:r>
      <w:r/>
    </w:p>
    <w:p>
      <w:pPr>
        <w:ind w:left="0" w:right="0" w:firstLine="480"/>
        <w:jc w:val="both"/>
        <w:spacing w:before="0" w:after="0" w:line="34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2.坚持公平竞争、诚实守信，不与采购人、其他供应商或者代理机构恶意串通，不非法干预、影响评审过程和结果，不提供虚假材料谋取中标、成交。</w:t>
      </w:r>
      <w:r/>
    </w:p>
    <w:p>
      <w:pPr>
        <w:ind w:left="0" w:right="0" w:firstLine="480"/>
        <w:jc w:val="both"/>
        <w:spacing w:before="0" w:after="0" w:line="34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3.不向采购人、采购代理机构赠送礼品、现金、有价证券和贵重物品或提供其他不正当利益。不邀请采购人、采购代理机构参加宴请、旅游、娱乐。不为采购人、采购代理机构报销应当由个人承担的费用。</w:t>
      </w:r>
      <w:r/>
    </w:p>
    <w:p>
      <w:pPr>
        <w:ind w:left="0" w:right="0" w:firstLine="480"/>
        <w:jc w:val="both"/>
        <w:spacing w:before="0" w:after="0" w:line="34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4.认真执行双方签订的政府采购合同文件，自觉按合同办事。不违规将政府采购合同转包。诚信、确实、全面履行自身合同义务，不擅自变更、中止或者终止政府采购合同。</w:t>
      </w:r>
      <w:r/>
    </w:p>
    <w:p>
      <w:pPr>
        <w:ind w:left="0" w:right="0" w:firstLine="480"/>
        <w:jc w:val="both"/>
        <w:spacing w:before="0" w:after="0" w:line="34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5.不提供假冒伪劣产品。</w:t>
      </w:r>
      <w:r/>
    </w:p>
    <w:p>
      <w:pPr>
        <w:ind w:left="0" w:right="0" w:firstLine="480"/>
        <w:jc w:val="both"/>
        <w:spacing w:before="0" w:after="0" w:line="34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6.依法依规、有凭有据开展政府采购质疑和投诉。</w:t>
      </w:r>
      <w:r/>
    </w:p>
    <w:p>
      <w:pPr>
        <w:ind w:left="0" w:right="0" w:firstLine="480"/>
        <w:jc w:val="both"/>
        <w:spacing w:before="0" w:after="0" w:line="34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7.如违反《中华人民共和国政府采购法》及相关法律法规，自觉接受政府采购监管部门依法依规处理。</w:t>
      </w:r>
      <w:r/>
    </w:p>
    <w:p>
      <w:pPr>
        <w:ind w:left="0" w:right="0" w:firstLine="480"/>
        <w:jc w:val="both"/>
        <w:spacing w:before="0" w:after="0" w:line="34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708" w:right="0" w:firstLine="720"/>
        <w:jc w:val="both"/>
        <w:spacing w:before="0" w:after="0" w:line="34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 购 人（盖章）：中标、成交供应商（盖章）：</w:t>
      </w:r>
      <w:r/>
    </w:p>
    <w:p>
      <w:pPr>
        <w:ind w:left="-288" w:right="0" w:firstLine="24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单位负责人或授权代表（签字）：单位负责人或授权代表（签字）：</w:t>
      </w:r>
      <w:r/>
    </w:p>
    <w:p>
      <w:pPr>
        <w:ind w:left="-288" w:right="0" w:firstLine="24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期：年月日日 期：年月日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0" w:after="156"/>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第五章采购需求</w:t>
      </w:r>
      <w:r/>
    </w:p>
    <w:p>
      <w:pPr>
        <w:pStyle w:val="646"/>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项目属性:货物类项目。</w:t>
      </w:r>
      <w:r/>
    </w:p>
    <w:p>
      <w:pPr>
        <w:pStyle w:val="646"/>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质保：基本质保期3年。</w:t>
      </w:r>
      <w:r/>
    </w:p>
    <w:p>
      <w:pPr>
        <w:pStyle w:val="646"/>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采购内容：胃肠镜设备及系统安装。</w:t>
      </w:r>
      <w:r/>
    </w:p>
    <w:p>
      <w:pPr>
        <w:pStyle w:val="646"/>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拟采购的标的及其需要满足的技术、商务要求。</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09"/>
        <w:gridCol w:w="8345"/>
      </w:tblGrid>
      <w:tr>
        <w:trPr>
          <w:trHeight w:val="45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09" w:type="dxa"/>
            <w:vAlign w:val="top"/>
            <w:textDirection w:val="lrTb"/>
            <w:noWrap w:val="false"/>
          </w:tcPr>
          <w:p>
            <w:pPr>
              <w:ind w:left="68" w:right="0" w:firstLine="0"/>
              <w:jc w:val="center"/>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45" w:type="dxa"/>
            <w:vAlign w:val="top"/>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技术参数要求</w:t>
            </w:r>
            <w:r/>
          </w:p>
        </w:tc>
      </w:tr>
      <w:tr>
        <w:trPr>
          <w:trHeight w:val="45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top"/>
            <w:textDirection w:val="lrTb"/>
            <w:noWrap w:val="false"/>
          </w:tcPr>
          <w:p>
            <w:pPr>
              <w:ind w:left="68" w:right="0" w:firstLine="0"/>
              <w:jc w:val="center"/>
              <w:spacing w:before="149"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top"/>
            <w:textDirection w:val="lrTb"/>
            <w:noWrap w:val="false"/>
          </w:tcPr>
          <w:p>
            <w:pPr>
              <w:ind w:left="68" w:right="0" w:firstLine="0"/>
              <w:spacing w:before="149"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技术参数要求</w:t>
            </w:r>
            <w:r/>
          </w:p>
        </w:tc>
      </w:tr>
      <w:tr>
        <w:trPr>
          <w:trHeight w:val="45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top"/>
            <w:textDirection w:val="lrTb"/>
            <w:noWrap w:val="false"/>
          </w:tcPr>
          <w:p>
            <w:pPr>
              <w:ind w:left="68" w:right="0" w:firstLine="0"/>
              <w:jc w:val="center"/>
              <w:spacing w:before="89"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top"/>
            <w:textDirection w:val="lrTb"/>
            <w:noWrap w:val="false"/>
          </w:tcPr>
          <w:p>
            <w:pPr>
              <w:ind w:left="68" w:right="0" w:firstLine="0"/>
              <w:spacing w:before="89"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设备用途：用于消化内科胃肠镜下疾病的诊断及治疗.</w:t>
            </w:r>
            <w:r/>
          </w:p>
        </w:tc>
      </w:tr>
      <w:tr>
        <w:trPr>
          <w:trHeight w:val="45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top"/>
            <w:textDirection w:val="lrTb"/>
            <w:noWrap w:val="false"/>
          </w:tcPr>
          <w:p>
            <w:pPr>
              <w:ind w:left="68" w:right="0" w:firstLine="0"/>
              <w:jc w:val="center"/>
              <w:spacing w:before="15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top"/>
            <w:textDirection w:val="lrTb"/>
            <w:noWrap w:val="false"/>
          </w:tcPr>
          <w:p>
            <w:pPr>
              <w:ind w:left="68" w:right="0" w:firstLine="0"/>
              <w:spacing w:before="15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总体要求</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配置互相匹配，用于消化内科胃肠镜下疾病的诊断及治疗。</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图像处理器与冷光源一体化设计。(投标时须提供技术白皮书或者彩页或者实体图片作为证明材料）</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高清视频输出接口可输出不小于3840*2160分辨率图像（</w:t>
            </w:r>
            <w:r>
              <w:rPr>
                <w:rFonts w:ascii="SimSun" w:hAnsi="SimSun" w:eastAsia="SimSun" w:cs="SimSun"/>
                <w:color w:val="000000"/>
                <w:spacing w:val="-11"/>
                <w:sz w:val="21"/>
              </w:rPr>
              <w:t xml:space="preserve">投标时须提供技术白皮书</w:t>
            </w:r>
            <w:r>
              <w:rPr>
                <w:rFonts w:ascii="SimSun" w:hAnsi="SimSun" w:eastAsia="SimSun" w:cs="SimSun"/>
                <w:color w:val="000000"/>
                <w:spacing w:val="-5"/>
                <w:sz w:val="21"/>
              </w:rPr>
              <w:t xml:space="preserve">或者说明书作为证明材料）</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光学染色图像≥2种光学染色图像。</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主机可兼容同品牌的光学放大镜，十二指肠镜，超细胃镜等不同镜种（投标时须提供主机和镜体的注册证及说明书作为证明材料）。</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图像处理器（数量：1台）</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具有DVI、SDI、VIDEO、HDMI等信号输出方式。</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具有红色调、蓝色调和饱和度等调节功能，±15级可调</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测光模式：≥3 种，至少具有平均测光、峰值测光及全自动测光等3种模式。</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具有轮廓强调功能：三档可调，每档具有0-15级调节。</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具有结构强化功能：可凹显强调内镜下图像的结构形态，多档可调。</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具有白平衡自动修正功能。</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具有图像冻结功能：可通过镜体按钮、键盘，脚踏开关控制冻结功能。</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具有图像回放功能，支持图像查看，视频回放。</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2.2.9</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具有自动增益功能：可自动进行电子增益，并且可以手动调节AGC亮度级别。</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具有电子放大功能，不小于六档可调，最大能放大四倍。</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具有降噪功能：可降低图像的躁点，更好保证临床图像效果。</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具有USB存储功能，可在U盘中存储视频和图片。</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具备录像功能。</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操作面板按键提示为中文（投标时须提供实图证明）。</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≥2路医用LED冷光源(投标时须提供技术白皮书或说明书作为证明材料)。</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照明模式具备≥3种照明模式(投标时须提供技术白皮书或说明书作为证明材料)。</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LED灯珠寿命≥30000小时。</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色温：3000K-7000K</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2.2.19</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具有手动和自动两种调光模式，调光级别≥18级</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气泵流量大小可调，可设为低、中、高，关闭档可选</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具备透光闪光功能</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气泵压力控制在40-90KPA</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检查电子胃镜 （数量：1 条）</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视场角≥145°。</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头端部外径≤9.2mm。</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主软管外径≤9.2mm。</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景深：2-100 mm。</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弯曲角度上≥210°下≥120°左≥100° 右≥100°。</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钳道孔径≥2.8mm。</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工作长度≥1050mm。</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0" w:right="0" w:firstLine="0"/>
              <w:jc w:val="both"/>
              <w:spacing w:before="0" w:after="0" w:line="559" w:lineRule="atLeast"/>
              <w:tabs>
                <w:tab w:val="left" w:pos="109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镜体操作部具有≥5个实体按钮。（投标时须提供除水气按钮和吸引按钮除外的实图证明）</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治疗电子胃镜 （数量：1 条）</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视场角≥145°</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头端部外径&lt;9.8mm</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主软管外径≤9.8mm</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景深：2-100 mm</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弯曲角度上≥210°下≥120°左≥100° 右≥100°</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钳道孔径≥3.2mm</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工作长度≥1050mm</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镜体操作具有≥5个实体按钮投标时须提供除水气按钮和吸引按钮除外的实图证明）。</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检查电子肠镜（数量：1条）</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视场角≥170°</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头端部外径≤12mm</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主软管外径≤12mm</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景深：2-100 mm</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弯曲角度上≥180°下≥180°左≥160° 右≥160°</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钳道孔径≥3.8mm</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工作长度≥1350mm</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镜体操作具有≥5个实体按钮（投标时须提供除水气按钮和吸引按钮除外的实图证明）。</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治疗电子肠镜（数量：1条）</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视场角≥170°</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头端部外径≤12mm</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主软管外径≤12mm</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景深：2-100 mm</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弯曲角度上≥180°下≥180°左≥160° 右≥160°</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钳道孔径≥4.2mm</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工作长度≥1350mm</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镜体操作具有≥5个实体按钮（投标时须提供除水气按钮和吸引按钮除外的实图证明）。</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液晶显示器（数量：1台）</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不小于27英寸医用监视器</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支持分辨率≥3840*2160</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视角：水平178°，垂直178°</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监视器为彩色图像监视器</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图像可调具有亮度、饱和度、清晰度、比例缩放等调节功能。</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设备台车（数量：1台）</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台车品牌自主设计制造的医用台车，简洁实用</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台车具有显示器挂架及内镜挂架</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台车具有防水及耐腐蚀性，安全可靠</w:t>
            </w:r>
            <w:r/>
          </w:p>
        </w:tc>
      </w:tr>
      <w:tr>
        <w:trPr>
          <w:trHeight w:val="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ind w:left="68" w:right="0" w:firstLine="0"/>
              <w:jc w:val="center"/>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45" w:type="dxa"/>
            <w:vAlign w:val="center"/>
            <w:textDirection w:val="lrTb"/>
            <w:noWrap w:val="false"/>
          </w:tcPr>
          <w:p>
            <w:pPr>
              <w:ind w:left="68" w:right="0" w:firstLine="0"/>
              <w:spacing w:before="14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台车配有键盘抽屉</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第六章投标文件格式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u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（加盖CA电子公章）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一、法人或者其他组织的营业执照等证明文件，自然人的身份证明</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44"/>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二、服务承诺</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w:t>
      </w:r>
      <w:r>
        <w:rPr>
          <w:rFonts w:ascii="SimSun" w:hAnsi="SimSun" w:eastAsia="SimSun" w:cs="SimSun"/>
          <w:color w:val="000000"/>
          <w:sz w:val="24"/>
        </w:rPr>
        <w:t xml:space="preserve">格式由供应商自定，并加盖供应商电子签章。</w:t>
      </w:r>
      <w:r>
        <w:rPr>
          <w:rFonts w:ascii="SimSun" w:hAnsi="SimSun" w:eastAsia="SimSun" w:cs="SimSun"/>
          <w:color w:val="000000"/>
          <w:sz w:val="28"/>
        </w:rPr>
        <w:t xml:space="preserve">）</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w:t>
      </w:r>
      <w:r>
        <w:rPr>
          <w:rFonts w:ascii="SimSun" w:hAnsi="SimSun" w:eastAsia="SimSun" w:cs="SimSun"/>
          <w:color w:val="000000"/>
          <w:sz w:val="28"/>
          <w:u w:val="single"/>
        </w:rPr>
        <w:t xml:space="preserve">     （加盖公章）</w:t>
      </w:r>
      <w:r/>
    </w:p>
    <w:p>
      <w:pPr>
        <w:ind w:left="0" w:right="0" w:firstLine="0"/>
        <w:spacing w:before="1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法定代表人或其委托受托人签字（或盖章）：</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pStyle w:val="644"/>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三、资质审查时供应商必须提交的资格证明文件</w:t>
      </w:r>
      <w:r/>
    </w:p>
    <w:p>
      <w:pPr>
        <w:ind w:left="0" w:right="0" w:firstLine="103"/>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投标供应商必须提交的资格证明文件（详见公告要求）</w:t>
      </w:r>
      <w:r/>
    </w:p>
    <w:p>
      <w:pPr>
        <w:ind w:left="0" w:right="0" w:firstLine="71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（1）供应商必须提供的资格证明文件，如供应商未能提供上述资格证明文件以及供应商资质条件不符合文件要求的将取消其继续参加投标的资格。</w:t>
      </w:r>
      <w:r/>
    </w:p>
    <w:p>
      <w:pPr>
        <w:ind w:left="0" w:right="0" w:firstLine="7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（2）供应商所提供的资格证明材料应真实、有效，代理机构及采购人保留对供应商提供的资格证明材料进行核查的权利。如发现供应商提供虚假资格证明材料，政府采购监管部门将对其进行严肃处理。</w:t>
      </w:r>
      <w:r/>
    </w:p>
    <w:p>
      <w:pPr>
        <w:pStyle w:val="644"/>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四、综合评分时供应商需提供的证明文件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供应商根据评审项逐一提供相关评审证明材料。</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pStyle w:val="644"/>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五、供应商认为有必要提供并说明的其它资料</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（格式由供应商自定、加盖供应商电子签章。）</w:t>
      </w:r>
      <w:r/>
    </w:p>
    <w:p>
      <w:pPr>
        <w:ind w:left="0" w:right="0" w:firstLine="13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3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3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六、示范格式</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示范格式一</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法定代表人资格证明</w:t>
      </w:r>
      <w:r/>
    </w:p>
    <w:p>
      <w:pPr>
        <w:ind w:left="0" w:right="0" w:firstLine="56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28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w:t>
      </w:r>
      <w:r/>
    </w:p>
    <w:p>
      <w:pPr>
        <w:ind w:left="0" w:right="0" w:firstLine="28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28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姓名：性别：年龄：职务：</w:t>
      </w:r>
      <w:r/>
    </w:p>
    <w:p>
      <w:pPr>
        <w:ind w:left="1" w:right="0" w:firstLine="48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w:t>
      </w:r>
      <w:r>
        <w:rPr>
          <w:rFonts w:ascii="SimSun" w:hAnsi="SimSun" w:eastAsia="SimSun" w:cs="SimSun"/>
          <w:color w:val="000000"/>
          <w:sz w:val="24"/>
          <w:u w:val="single"/>
        </w:rPr>
        <w:t xml:space="preserve">（供应商名称）</w:t>
      </w:r>
      <w:r>
        <w:rPr>
          <w:rFonts w:ascii="SimSun" w:hAnsi="SimSun" w:eastAsia="SimSun" w:cs="SimSun"/>
          <w:color w:val="000000"/>
          <w:sz w:val="24"/>
        </w:rPr>
        <w:t xml:space="preserve">的法定代表人。为参与项目，签署上述项目的投标文件、进行投标、签署合同和处理与之有关的一切事务。</w:t>
      </w:r>
      <w:r/>
    </w:p>
    <w:p>
      <w:pPr>
        <w:ind w:left="0" w:right="0" w:firstLine="28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特此证明。</w:t>
      </w:r>
      <w:r/>
    </w:p>
    <w:p>
      <w:pPr>
        <w:ind w:left="0" w:right="0" w:firstLine="480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434"/>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w:t>
      </w:r>
      <w:r>
        <w:rPr>
          <w:rFonts w:ascii="SimSun" w:hAnsi="SimSun" w:eastAsia="SimSun" w:cs="SimSun"/>
          <w:color w:val="000000"/>
          <w:sz w:val="24"/>
          <w:u w:val="single"/>
        </w:rPr>
        <w:t xml:space="preserve"> （加盖电子签章）</w:t>
      </w:r>
      <w:r/>
    </w:p>
    <w:p>
      <w:pPr>
        <w:ind w:left="0" w:right="0" w:firstLine="456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p>
      <w:pPr>
        <w:ind w:left="0" w:right="0" w:firstLine="48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注:供应商法定代表人参加的，必须附法定代表人身份证复印件并加盖委托单位电子签章。法定代表人授权其他人参加的，仅需填写“授权委托书”。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示范格式二</w:t>
      </w:r>
      <w:r/>
    </w:p>
    <w:p>
      <w:pPr>
        <w:ind w:left="0" w:right="0" w:firstLine="351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授权委托书</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 （政府采购人）：</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本授权书宣告：</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委托方：地址：</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受托人：姓名 性别： 出生日期：年月日</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所在单位：职务：</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身份证：联系方式：</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兹委托受托人代表我公司参加 （采购人名称）组织的（项目编号:      ）采购项目的政府采购活动，受托人有权在该投标活动中，以我单位的名义签署投标函和投标文件，与采购人或代理机构协商、澄清、解释，签订合同书并执行一切与此有关的事项。</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受托人在办理上述事宜过程中以其自己的名义所签署的所有文件我公司均予以承认。受托人无转委托权。</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委托期限：至上述事宜处理完毕止。</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3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委托单位</w:t>
      </w:r>
      <w:r>
        <w:rPr>
          <w:rFonts w:ascii="SimSun" w:hAnsi="SimSun" w:eastAsia="SimSun" w:cs="SimSun"/>
          <w:color w:val="000000"/>
          <w:sz w:val="24"/>
          <w:u w:val="single"/>
        </w:rPr>
        <w:t xml:space="preserve">       （电子签章）</w:t>
      </w:r>
      <w:r/>
    </w:p>
    <w:p>
      <w:pPr>
        <w:ind w:left="0" w:right="0" w:firstLine="46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注:供应商委托受托人参加的，必须附受托人身份证复印件并加盖委托单位电子签章。法定代表人直接参加的，仅需填写“法定代表人资格证明”。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示范格式三</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符合《中华人民共和国政府采购法》第二十二条规定及承诺书</w:t>
      </w:r>
      <w:r/>
    </w:p>
    <w:p>
      <w:pPr>
        <w:ind w:left="0" w:right="0" w:firstLine="1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（采购人）</w:t>
      </w:r>
      <w:r>
        <w:rPr>
          <w:rFonts w:ascii="SimSun" w:hAnsi="SimSun" w:eastAsia="SimSun" w:cs="SimSun"/>
          <w:color w:val="000000"/>
          <w:sz w:val="24"/>
        </w:rPr>
        <w:t xml:space="preserve">：</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我方在项目名称：（项目编号：）的采购过程中，做如下承诺：</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一、我方具有独立承担民事责任的能力；</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二、我方具有良好的商业信誉和健全的财务会计制度；</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三、我方具有履行合同所必须的设备和专业技术能力；</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四、我方有依法缴纳税收和社会保障资金的良好记录；</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五、我方参加政府采购活动前3年内，在经营活动中没有重大违法记录（因违法经营受到刑事处罚或者责令停产停业、吊销许可证或者执照、较大数额罚款等行政处罚）；</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六、我方与参加本次采购活动的其他单位不存在单位负责人为同一人的情况，也不存在控股、管理关系的情况；</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七、我方没有为本采购项目提供整体设计、规范编制或者项目管理、监理、检测等服务；</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八、我方未被法院裁定为失信被执行人；</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九、我方符合法律、行政法规规定的其他条件；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十、我方保证上述信息的真实和准确，并愿意承担因我方就此弄虚作假所引起的一切法律后果，并自愿接受相关监管部门作出的任何处罚。</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特此承诺！</w:t>
      </w:r>
      <w:r/>
    </w:p>
    <w:p>
      <w:pPr>
        <w:ind w:left="0" w:right="42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2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法定代表人或委托代理人（签字或盖章）：</w:t>
      </w:r>
      <w:r/>
    </w:p>
    <w:p>
      <w:pPr>
        <w:ind w:left="0" w:right="42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20" w:firstLine="0"/>
        <w:jc w:val="right"/>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供应商：（盖单位公章）</w:t>
      </w:r>
      <w:r/>
    </w:p>
    <w:p>
      <w:pPr>
        <w:ind w:left="0" w:right="0" w:firstLine="0"/>
        <w:jc w:val="center"/>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      年   月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示范格式四</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投标函</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根据贵方的（项目编号）（项目名称） 招标文件，正式授权下述签字人_________________(姓名)代表我方______________（投标人的名称），全权处理本次项目投标的有关事宜。</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1.按招标文件规定的各项要求，我方愿以投标报价为（大写_____人民币）（</w:t>
      </w:r>
      <w:r>
        <w:rPr>
          <w:rFonts w:ascii="Calibri" w:hAnsi="Calibri" w:eastAsia="Calibri" w:cs="Calibri"/>
          <w:color w:val="000000"/>
          <w:sz w:val="24"/>
        </w:rPr>
        <w:t xml:space="preserve">CNY</w:t>
      </w:r>
      <w:r>
        <w:rPr>
          <w:rFonts w:ascii="SimSun" w:hAnsi="SimSun" w:eastAsia="SimSun" w:cs="SimSun"/>
          <w:color w:val="000000"/>
          <w:sz w:val="24"/>
        </w:rPr>
        <w:t xml:space="preserve">￥_____元）的投标总报价向采购方提供所需货物、服务（包含与货物相关的服务及与服务相关的货物）。</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425"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0" w:right="0" w:firstLine="840"/>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w:t>
      </w:r>
      <w:r>
        <w:rPr>
          <w:rFonts w:ascii="SimSun" w:hAnsi="SimSun" w:eastAsia="SimSun" w:cs="SimSun"/>
          <w:color w:val="000000"/>
          <w:sz w:val="24"/>
          <w:u w:val="single"/>
        </w:rPr>
        <w:t xml:space="preserve"> （加盖电子签章）</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日期：________年____月____日</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示范格式五</w:t>
      </w:r>
      <w:r/>
    </w:p>
    <w:p>
      <w:pPr>
        <w:ind w:left="0" w:right="0" w:firstLine="0"/>
        <w:jc w:val="center"/>
        <w:spacing w:before="0" w:after="0" w:line="9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中小企业声明函 （货物）</w:t>
      </w:r>
      <w:r/>
    </w:p>
    <w:p>
      <w:pPr>
        <w:ind w:left="0" w:right="0" w:firstLine="480"/>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本公司郑重声明，根据《政府采购促进中小企业发展管理办法》（财库﹝2020﹞46 号）的规定，本公司（联合体）参加       （单位名称）    的（项目名称）采购活动，提供的货物全部由符合政策要求的中小企业制造。相关企业（含联合体中的中小企业、签订分包意向协议的中小企业）的具体情况如下：</w:t>
      </w:r>
      <w:r/>
    </w:p>
    <w:p>
      <w:pPr>
        <w:ind w:left="0" w:right="0" w:firstLine="600"/>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 ，属于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行业； 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   ，从业人员人，营业收入为万元，资产总额为万元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 小型企业、微型企业）</w:t>
      </w:r>
      <w:r>
        <w:rPr>
          <w:rFonts w:ascii="SimSun" w:hAnsi="SimSun" w:eastAsia="SimSun" w:cs="SimSun"/>
          <w:color w:val="000000"/>
          <w:sz w:val="24"/>
        </w:rPr>
        <w:t xml:space="preserve">； </w:t>
      </w:r>
      <w:r/>
    </w:p>
    <w:p>
      <w:pPr>
        <w:pStyle w:val="644"/>
        <w:ind w:left="0" w:right="0" w:firstLine="360"/>
        <w:spacing w:before="0" w:after="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w:t>
      </w:r>
      <w:r>
        <w:rPr>
          <w:rFonts w:ascii="SimSun" w:hAnsi="SimSun" w:eastAsia="SimSun" w:cs="SimSun"/>
          <w:b/>
          <w:color w:val="000000"/>
          <w:sz w:val="24"/>
          <w:u w:val="single"/>
        </w:rPr>
        <w:t xml:space="preserve">（标的名称）</w:t>
      </w:r>
      <w:r>
        <w:rPr>
          <w:rFonts w:ascii="SimSun" w:hAnsi="SimSun" w:eastAsia="SimSun" w:cs="SimSun"/>
          <w:b/>
          <w:color w:val="000000"/>
          <w:sz w:val="24"/>
        </w:rPr>
        <w:t xml:space="preserve"> ，属于</w:t>
      </w:r>
      <w:r>
        <w:rPr>
          <w:rFonts w:ascii="SimSun" w:hAnsi="SimSun" w:eastAsia="SimSun" w:cs="SimSun"/>
          <w:b/>
          <w:color w:val="000000"/>
          <w:sz w:val="24"/>
          <w:u w:val="single"/>
        </w:rPr>
        <w:t xml:space="preserve">（采购文件中明确的所属行业</w:t>
      </w:r>
      <w:r>
        <w:rPr>
          <w:rFonts w:ascii="SimSun" w:hAnsi="SimSun" w:eastAsia="SimSun" w:cs="SimSun"/>
          <w:b/>
          <w:color w:val="000000"/>
          <w:sz w:val="24"/>
        </w:rPr>
        <w:t xml:space="preserve">）行业；制造商为</w:t>
      </w:r>
      <w:r>
        <w:rPr>
          <w:rFonts w:ascii="SimSun" w:hAnsi="SimSun" w:eastAsia="SimSun" w:cs="SimSun"/>
          <w:b/>
          <w:color w:val="000000"/>
          <w:sz w:val="24"/>
          <w:u w:val="single"/>
        </w:rPr>
        <w:t xml:space="preserve">（企业名称）</w:t>
      </w:r>
      <w:r>
        <w:rPr>
          <w:rFonts w:ascii="SimSun" w:hAnsi="SimSun" w:eastAsia="SimSun" w:cs="SimSun"/>
          <w:b/>
          <w:color w:val="000000"/>
          <w:sz w:val="24"/>
        </w:rPr>
        <w:t xml:space="preserve"> ，从业人员人，营业收入为万元，资产总额为万元，属于（中型企业、 小型企业、微型企业）；</w:t>
      </w:r>
      <w:r/>
    </w:p>
    <w:p>
      <w:pPr>
        <w:pStyle w:val="644"/>
        <w:ind w:left="0" w:right="0" w:firstLine="0"/>
        <w:spacing w:before="0" w:after="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p>
    <w:p>
      <w:pPr>
        <w:ind w:left="0" w:right="0" w:firstLine="480"/>
        <w:jc w:val="both"/>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600"/>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 </w:t>
      </w:r>
      <w:r/>
    </w:p>
    <w:p>
      <w:pPr>
        <w:ind w:left="0" w:right="0" w:firstLine="4340"/>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企业名称（盖章）： </w:t>
      </w:r>
      <w:r/>
    </w:p>
    <w:p>
      <w:pPr>
        <w:ind w:left="0" w:right="0" w:firstLine="5040"/>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 期：</w:t>
      </w:r>
      <w:r/>
    </w:p>
    <w:p>
      <w:pPr>
        <w:ind w:left="0" w:right="0" w:firstLine="0"/>
        <w:spacing w:before="240" w:after="240"/>
        <w:tabs>
          <w:tab w:val="left" w:pos="70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rPr>
          <w:rFonts w:ascii="Times New Roman" w:hAnsi="Times New Roman" w:eastAsia="Times New Roman" w:cs="Times New Roman"/>
          <w:color w:val="000000"/>
          <w:sz w:val="21"/>
        </w:rPr>
        <w:t xml:space="preserve">1.</w:t>
      </w:r>
      <w:r>
        <w:rPr>
          <w:rFonts w:ascii="Times New Roman" w:hAnsi="Times New Roman" w:eastAsia="Times New Roman" w:cs="Times New Roman"/>
          <w:color w:val="000000"/>
          <w:sz w:val="21"/>
          <w:vertAlign w:val="superscript"/>
        </w:rPr>
        <w:t xml:space="preserve">1</w:t>
      </w:r>
      <w:r>
        <w:rPr>
          <w:rFonts w:ascii="SimSun" w:hAnsi="SimSun" w:eastAsia="SimSun" w:cs="SimSun"/>
          <w:color w:val="000000"/>
          <w:sz w:val="21"/>
        </w:rPr>
        <w:t xml:space="preserve">从业人员、营业收入、资产总额填报上一年度数据，无上一年度数据的新成立企业可不填报。</w:t>
      </w:r>
      <w:r/>
    </w:p>
    <w:p>
      <w:pPr>
        <w:ind w:left="0" w:right="0" w:firstLine="0"/>
        <w:spacing w:before="240" w:after="240"/>
        <w:tabs>
          <w:tab w:val="left" w:pos="709"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在货物采购项目中，供应商提供的货物既有中小企业制造货物，也有大型企业制造货物的，不享受本办法规定的中小企业扶持政策。采购所有货物需要逐一填写。</w:t>
      </w:r>
      <w:r/>
    </w:p>
    <w:p>
      <w:pPr>
        <w:ind w:left="0" w:right="0" w:firstLine="0"/>
        <w:spacing w:before="240" w:after="240"/>
        <w:tabs>
          <w:tab w:val="left" w:pos="709"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供应商应根据采购文件明确的行业所对应的划分标准，判断是否属于中小企业，并提交《中小企业声明函》</w:t>
      </w:r>
      <w:r/>
    </w:p>
    <w:p>
      <w:pPr>
        <w:ind w:left="0" w:right="0" w:firstLine="0"/>
        <w:spacing w:before="240" w:after="240"/>
        <w:tabs>
          <w:tab w:val="left" w:pos="709"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中标供应商的《中小企业声明函》将随中标公告进行公示。供应商按照本办法规定提供声明函内容不实的，属于提供虚假材料谋取中标、成交，依照《中华人民共和国政府采购法》等国家有关规定追究相应责任。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示范格式六</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残疾人福利性单位声明函</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分包号：**）采购活动提供本单位制造的货物，或者提供其他残疾人福利性单位制造的货物（不包括使用非残疾人福利性单位注册商标的货物）。</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（备注：1、供应商如不提供此声明函，价格将不做相应扣除。2、中标供应商为残疾人福利单位的，此声明函将随中标结果同时公告，接受社会监督）</w:t>
      </w:r>
      <w:r/>
    </w:p>
    <w:p>
      <w:pPr>
        <w:ind w:left="0" w:right="0" w:firstLine="624"/>
        <w:jc w:val="both"/>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p>
    <w:p>
      <w:pPr>
        <w:ind w:left="0" w:right="1560" w:firstLine="480"/>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供应商全称（加盖CA电子公章）：</w:t>
      </w:r>
      <w:r/>
    </w:p>
    <w:p>
      <w:pPr>
        <w:ind w:left="0" w:right="1560" w:firstLine="480"/>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237" w:right="0" w:firstLine="0"/>
        <w:spacing w:before="240" w:after="240"/>
        <w:tabs>
          <w:tab w:val="left" w:pos="709"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677" w:right="0" w:firstLine="0"/>
        <w:spacing w:before="240" w:after="240"/>
        <w:tabs>
          <w:tab w:val="left" w:pos="709"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677" w:right="0" w:firstLine="0"/>
        <w:spacing w:before="240" w:after="240"/>
        <w:tabs>
          <w:tab w:val="left" w:pos="709"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677" w:right="0" w:firstLine="0"/>
        <w:spacing w:before="240" w:after="240"/>
        <w:tabs>
          <w:tab w:val="left" w:pos="709"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677" w:right="0" w:firstLine="0"/>
        <w:spacing w:before="240" w:after="240"/>
        <w:tabs>
          <w:tab w:val="left" w:pos="709"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677" w:right="0" w:firstLine="0"/>
        <w:spacing w:before="240" w:after="240"/>
        <w:tabs>
          <w:tab w:val="left" w:pos="709"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677" w:right="0" w:firstLine="0"/>
        <w:spacing w:before="240" w:after="240"/>
        <w:tabs>
          <w:tab w:val="left" w:pos="70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监狱单位声明函（格式自拟，资料上传电子文件）</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示范格式七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投标分项报价表</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56"/>
        <w:gridCol w:w="1036"/>
        <w:gridCol w:w="966"/>
        <w:gridCol w:w="1414"/>
        <w:gridCol w:w="784"/>
        <w:gridCol w:w="980"/>
        <w:gridCol w:w="727"/>
        <w:gridCol w:w="1372"/>
        <w:gridCol w:w="1246"/>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r>
      <w:tr>
        <w:trPr>
          <w:trHeight w:val="2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型号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交付期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分项单价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分项总价</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30"/>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投标总报价（人民币：元）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2.</w:t>
      </w:r>
      <w:r>
        <w:rPr>
          <w:rFonts w:ascii="SimSun" w:hAnsi="SimSun" w:eastAsia="SimSun" w:cs="SimSun"/>
          <w:color w:val="000000"/>
          <w:sz w:val="21"/>
        </w:rPr>
        <w:t xml:space="preserve"> “</w:t>
      </w:r>
      <w:r>
        <w:rPr>
          <w:rFonts w:ascii="SimSun" w:hAnsi="SimSun" w:eastAsia="SimSun" w:cs="SimSun"/>
          <w:color w:val="000000"/>
          <w:sz w:val="24"/>
        </w:rPr>
        <w:t xml:space="preserve">投标分项报价表</w:t>
      </w:r>
      <w:r>
        <w:rPr>
          <w:rFonts w:ascii="SimSun" w:hAnsi="SimSun" w:eastAsia="SimSun" w:cs="SimSun"/>
          <w:color w:val="000000"/>
          <w:sz w:val="21"/>
        </w:rPr>
        <w:t xml:space="preserve">”</w:t>
      </w:r>
      <w:r>
        <w:rPr>
          <w:rFonts w:ascii="SimSun" w:hAnsi="SimSun" w:eastAsia="SimSun" w:cs="SimSun"/>
          <w:color w:val="000000"/>
          <w:sz w:val="24"/>
        </w:rPr>
        <w:t xml:space="preserve">中“投标总报价”数额应当与“开标一览表”中“投标总报价”数额一致。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示范格式八</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技术要求响应及偏离表</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291"/>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示范格式九</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商务要求响应及偏离表</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291"/>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示范格式十</w:t>
      </w:r>
      <w:r/>
    </w:p>
    <w:p>
      <w:pPr>
        <w:pStyle w:val="642"/>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开标一览表（总价）</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投标人全称（CA公章）：</w:t>
      </w:r>
      <w:r>
        <w:rPr>
          <w:rFonts w:ascii="SimSun" w:hAnsi="SimSun" w:eastAsia="SimSun" w:cs="SimSun"/>
          <w:color w:val="000000"/>
          <w:sz w:val="24"/>
          <w:highlight w:val="white"/>
        </w:rPr>
        <w:t xml:space="preserve">供应商名称</w:t>
      </w:r>
      <w:r>
        <w:rPr>
          <w:rFonts w:ascii="SimSun" w:hAnsi="SimSun" w:eastAsia="SimSun" w:cs="SimSun"/>
          <w:color w:val="000000"/>
          <w:sz w:val="24"/>
        </w:rPr>
        <w:t xml:space="preserve"> </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分包号：</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41"/>
        <w:gridCol w:w="5952"/>
      </w:tblGrid>
      <w:tr>
        <w:trPr>
          <w:trHeight w:val="598"/>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241"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投标货物名称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5952"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总价（小写）</w:t>
            </w:r>
            <w:r/>
          </w:p>
        </w:tc>
      </w:tr>
      <w:tr>
        <w:trPr>
          <w:trHeight w:val="609"/>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241"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投标产品名称</w:t>
            </w: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5952"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mc:AlternateContent>
                <mc:Choice Requires="wpg">
                  <w:drawing>
                    <wp:inline xmlns:wp="http://schemas.openxmlformats.org/drawingml/2006/wordprocessingDrawing" distT="0" distB="0" distL="0" distR="0">
                      <wp:extent cx="723900" cy="228600"/>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0052064" name=""/>
                              <pic:cNvPicPr>
                                <a:picLocks noChangeAspect="1"/>
                              </pic:cNvPicPr>
                              <pic:nvPr/>
                            </pic:nvPicPr>
                            <pic:blipFill>
                              <a:blip/>
                              <a:stretch/>
                            </pic:blipFill>
                            <pic:spPr bwMode="auto">
                              <a:xfrm>
                                <a:off x="0" y="0"/>
                                <a:ext cx="723899" cy="2286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57.0pt;height:18.0pt;mso-wrap-distance-left:0.0pt;mso-wrap-distance-top:0.0pt;mso-wrap-distance-right:0.0pt;mso-wrap-distance-bottom:0.0pt;" stroked="false">
                      <v:path textboxrect="0,0,0,0"/>
                    </v:shape>
                  </w:pict>
                </mc:Fallback>
              </mc:AlternateContent>
              <w:t xml:space="preserve"> 元</w:t>
            </w:r>
            <w:r/>
          </w:p>
        </w:tc>
      </w:tr>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241"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核心产品：</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5952"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mc:AlternateContent>
                <mc:Choice Requires="wpg">
                  <w:drawing>
                    <wp:inline xmlns:wp="http://schemas.openxmlformats.org/drawingml/2006/wordprocessingDrawing" distT="0" distB="0" distL="0" distR="0">
                      <wp:extent cx="723900" cy="228600"/>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853854" name=""/>
                              <pic:cNvPicPr>
                                <a:picLocks noChangeAspect="1"/>
                              </pic:cNvPicPr>
                              <pic:nvPr/>
                            </pic:nvPicPr>
                            <pic:blipFill>
                              <a:blip/>
                              <a:stretch/>
                            </pic:blipFill>
                            <pic:spPr bwMode="auto">
                              <a:xfrm>
                                <a:off x="0" y="0"/>
                                <a:ext cx="723899" cy="2286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7.0pt;height:18.0pt;mso-wrap-distance-left:0.0pt;mso-wrap-distance-top:0.0pt;mso-wrap-distance-right:0.0pt;mso-wrap-distance-bottom:0.0pt;" stroked="false">
                      <v:path textboxrect="0,0,0,0"/>
                    </v:shape>
                  </w:pict>
                </mc:Fallback>
              </mc:AlternateContent>
              <w:t xml:space="preserve"> </w:t>
            </w:r>
            <w:r/>
          </w:p>
        </w:tc>
      </w:tr>
    </w:tbl>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3"/>
        <w:jc w:val="center"/>
        <w:spacing w:before="240" w:after="24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643"/>
        <w:jc w:val="center"/>
        <w:spacing w:before="240" w:after="24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643"/>
        <w:jc w:val="center"/>
        <w:spacing w:before="240" w:after="24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643"/>
        <w:jc w:val="center"/>
        <w:spacing w:before="240" w:after="24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643"/>
        <w:jc w:val="center"/>
        <w:spacing w:before="240" w:after="24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643"/>
        <w:jc w:val="center"/>
        <w:spacing w:before="240" w:after="24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643"/>
        <w:jc w:val="center"/>
        <w:spacing w:before="240" w:after="24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示范格式 十一</w:t>
      </w:r>
      <w:r/>
    </w:p>
    <w:p>
      <w:pPr>
        <w:ind w:left="0" w:right="0" w:firstLine="643"/>
        <w:jc w:val="center"/>
        <w:spacing w:before="240" w:after="24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关于符合本国产品标准的声明函（采购包号：**）</w:t>
      </w:r>
      <w:r/>
    </w:p>
    <w:p>
      <w:pPr>
        <w:ind w:left="0" w:right="0" w:firstLine="56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p>
    <w:p>
      <w:pPr>
        <w:ind w:left="0" w:right="0" w:firstLine="56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56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1.（产品名称1）1，生产厂为（厂名）2，厂址为（生产厂址）。（产品名称1） 的中国境内生产的组件成本占比≥（规定比例）3。（产品名称1）的（关键组件）4在中国境内生产。（产品名称1）的（关键工序）5在中国境内完成。</w:t>
      </w:r>
      <w:r/>
    </w:p>
    <w:p>
      <w:pPr>
        <w:ind w:left="0" w:right="0" w:firstLine="56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产品名称2），生产厂为（厂名），厂址为（生产厂址）。（产品名称2）的中国境内生产的组件成本占比≥（规定比例）。（产品名称2）的（关键组件）在中国境内生产。（产品名称1）的（关键工序）在中国境内完成。</w:t>
      </w:r>
      <w:r/>
    </w:p>
    <w:p>
      <w:pPr>
        <w:ind w:left="0" w:right="0" w:firstLine="56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56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本公司（单位）对上述声明内容的真实性负责。如有虚假，愿承担相应法律责任。</w:t>
      </w:r>
      <w:r/>
    </w:p>
    <w:p>
      <w:pPr>
        <w:ind w:left="0" w:right="0" w:firstLine="56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公司（单位）名称（盖章）：　</w:t>
      </w:r>
      <w:r/>
    </w:p>
    <w:p>
      <w:pPr>
        <w:ind w:left="0" w:right="0" w:firstLine="56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　   年　  月　  日         </w:t>
      </w:r>
      <w:r/>
    </w:p>
    <w:p>
      <w:pPr>
        <w:ind w:left="0" w:right="0" w:firstLine="56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注：1.产品如有型号，请在“产品名称”栏一并填写。</w:t>
      </w:r>
      <w:r/>
    </w:p>
    <w:p>
      <w:pPr>
        <w:ind w:left="0" w:right="0" w:firstLine="56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2.生产厂名与厂址应与生产厂营业执照载明的相关信息保持一致。</w:t>
      </w:r>
      <w:r/>
    </w:p>
    <w:p>
      <w:pPr>
        <w:ind w:left="0" w:right="0" w:firstLine="56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3.该产品的中国境内生产的组件成本占比相关要求实施前，“规定比例”栏可不填，下同。</w:t>
      </w:r>
      <w:r/>
    </w:p>
    <w:p>
      <w:pPr>
        <w:ind w:left="0" w:right="0" w:firstLine="56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4.该产品的关键组件要求实施前，“关键组件”栏可不填，下同。</w:t>
      </w:r>
      <w:r/>
    </w:p>
    <w:p>
      <w:pPr>
        <w:ind w:left="0" w:right="0" w:firstLine="56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5.该产品的关键工序要求实施前，“关键工序”栏可不填，下同。</w:t>
      </w:r>
      <w:r/>
    </w:p>
    <w:p>
      <w:pPr>
        <w:ind w:left="0" w:right="0" w:firstLine="560"/>
        <w:jc w:val="center"/>
        <w:spacing w:before="240" w:after="24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44"/>
        <w:ind w:left="0" w:right="0" w:firstLine="0"/>
        <w:jc w:val="center"/>
        <w:spacing w:before="240" w:after="260" w:line="55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644"/>
        <w:ind w:left="0" w:right="0" w:firstLine="0"/>
        <w:jc w:val="center"/>
        <w:spacing w:before="240" w:after="260" w:line="55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pStyle w:val="644"/>
        <w:ind w:left="0" w:right="0" w:firstLine="0"/>
        <w:jc w:val="center"/>
        <w:spacing w:before="240" w:after="26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分包意向协议（参考格式）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分包企业：____________________(供应商)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接收分包企业：________________</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因分包企业参加(采购人名称)的</w:t>
      </w:r>
      <w:r>
        <w:rPr>
          <w:rFonts w:ascii="SimSun" w:hAnsi="SimSun" w:eastAsia="SimSun" w:cs="SimSun"/>
          <w:color w:val="000000"/>
          <w:sz w:val="24"/>
          <w:u w:val="single"/>
        </w:rPr>
        <w:t xml:space="preserve"> (项目名称) </w:t>
      </w:r>
      <w:r>
        <w:rPr>
          <w:rFonts w:ascii="SimSun" w:hAnsi="SimSun" w:eastAsia="SimSun" w:cs="SimSun"/>
          <w:color w:val="000000"/>
          <w:sz w:val="24"/>
        </w:rPr>
        <w:t xml:space="preserve">采购活动，现分包企业、接收分包企业就如果分包企业获得 (项目名称) 合同后的分包事项达成以下分包意向协议：</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1、项目总金额的%分包给接收分包企业</w:t>
      </w:r>
      <w:r>
        <w:rPr>
          <w:rFonts w:ascii="SimSun" w:hAnsi="SimSun" w:eastAsia="SimSun" w:cs="SimSun"/>
          <w:color w:val="000000"/>
          <w:sz w:val="24"/>
          <w:u w:val="single"/>
        </w:rPr>
        <w:t xml:space="preserve"> (接收分包企业名称) </w:t>
      </w:r>
      <w:r>
        <w:rPr>
          <w:rFonts w:ascii="SimSun" w:hAnsi="SimSun" w:eastAsia="SimSun" w:cs="SimSun"/>
          <w:color w:val="000000"/>
          <w:sz w:val="24"/>
        </w:rPr>
        <w:t xml:space="preserve">，其属于(中型企业、小型企业、微型企业)；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2、项目总金额的%分包给接收分包企业</w:t>
      </w:r>
      <w:r>
        <w:rPr>
          <w:rFonts w:ascii="SimSun" w:hAnsi="SimSun" w:eastAsia="SimSun" w:cs="SimSun"/>
          <w:color w:val="000000"/>
          <w:sz w:val="24"/>
          <w:u w:val="single"/>
        </w:rPr>
        <w:t xml:space="preserve"> (接收分包企业名称) </w:t>
      </w:r>
      <w:r>
        <w:rPr>
          <w:rFonts w:ascii="SimSun" w:hAnsi="SimSun" w:eastAsia="SimSun" w:cs="SimSun"/>
          <w:color w:val="000000"/>
          <w:sz w:val="24"/>
        </w:rPr>
        <w:t xml:space="preserve">，其属于</w:t>
      </w:r>
      <w:r>
        <w:rPr>
          <w:rFonts w:ascii="SimSun" w:hAnsi="SimSun" w:eastAsia="SimSun" w:cs="SimSun"/>
          <w:color w:val="000000"/>
          <w:sz w:val="24"/>
          <w:u w:val="single"/>
        </w:rPr>
        <w:t xml:space="preserve"> (中型 企业、小型企业、微型企业) </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通过以上分包，预留给中小企业的金额占项目总金额的%，不低于项目总金额的40%，其中预留给小微企业的金额占项目总金额的%。接受分包合同的中小企业和分包企业之间不存在直接控股、管理关系。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分包企业名称(加盖公章)： 接收分包企业名称 (加盖公章)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日期：</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本项目属于面向中小企业预留采购份额项目，预留份额通过获得采购合同的供应商将采购项目中的一定比例分包给一家或者多家中小企业进行，分包意向协议中预留给中小企业的金额应当不低于总金额的40%，接受分包合同的中小企业和分包企业之间不得存在直接控股、管理关系。提供明确以上事项的《分包意向协议》。</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签订分包意向协议的中小企业的具体情况需要在《中小企业声明函》中进行说明。3、如果采购项目的货物制造商、服务承接商自身为中小企业的，视同符合本条资格条件，则无需再进行分包。提供明确以上事项的《中小企业声明函》(监狱企业视同小型、微 型企业，提供由省级以上监狱管理局、戒毒管理局(含新疆生产建设兵团)出具的属于监狱企 业的证明文件；残疾人福利性单位视同小型、微型企业，提供《残疾人福利性单位声明函》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地址：邮编：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联系人：联系电话：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地址：邮编：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质疑项目的编号：包号：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560"/>
        <w:jc w:val="center"/>
        <w:spacing w:before="240" w:after="240" w:line="6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icrosoft YaHei">
    <w:panose1 w:val="020B0503020204020204"/>
  </w:font>
  <w:font w:name="Times New Roman">
    <w:panose1 w:val="02020603050405020304"/>
  </w:font>
  <w:font w:name="Calibri">
    <w:panose1 w:val="020F0502020204030204"/>
  </w:font>
  <w:font w:name="SimHei">
    <w:panose1 w:val="02010609060101010101"/>
  </w:font>
  <w:font w:name="FangSong">
    <w:panose1 w:val="02010609060101010101"/>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2858" w:hanging="360"/>
      </w:pPr>
      <w:rPr>
        <w:rFonts w:hint="default" w:ascii="Courier New" w:hAnsi="Courier New" w:eastAsia="Courier New" w:cs="Courier New"/>
      </w:rPr>
    </w:lvl>
    <w:lvl w:ilvl="2">
      <w:start w:val="1"/>
      <w:numFmt w:val="bullet"/>
      <w:isLgl w:val="false"/>
      <w:suff w:val="tab"/>
      <w:lvlText w:val="&quot;§&quot;"/>
      <w:lvlJc w:val="left"/>
      <w:pPr>
        <w:ind w:left="3578" w:hanging="360"/>
      </w:pPr>
      <w:rPr>
        <w:rFonts w:hint="default" w:ascii="Wingdings" w:hAnsi="Wingdings" w:eastAsia="Wingdings" w:cs="Wingdings"/>
      </w:rPr>
    </w:lvl>
    <w:lvl w:ilvl="3">
      <w:start w:val="1"/>
      <w:numFmt w:val="bullet"/>
      <w:isLgl w:val="false"/>
      <w:suff w:val="tab"/>
      <w:lvlText w:val="&quot;·&quot;"/>
      <w:lvlJc w:val="left"/>
      <w:pPr>
        <w:ind w:left="4298" w:hanging="360"/>
      </w:pPr>
      <w:rPr>
        <w:rFonts w:hint="default" w:ascii="Symbol" w:hAnsi="Symbol" w:eastAsia="Symbol" w:cs="Symbol"/>
      </w:rPr>
    </w:lvl>
    <w:lvl w:ilvl="4">
      <w:start w:val="1"/>
      <w:numFmt w:val="bullet"/>
      <w:isLgl w:val="false"/>
      <w:suff w:val="tab"/>
      <w:lvlText w:val="&quot;o&quot;"/>
      <w:lvlJc w:val="left"/>
      <w:pPr>
        <w:ind w:left="5018" w:hanging="360"/>
      </w:pPr>
      <w:rPr>
        <w:rFonts w:hint="default" w:ascii="Courier New" w:hAnsi="Courier New" w:eastAsia="Courier New" w:cs="Courier New"/>
      </w:rPr>
    </w:lvl>
    <w:lvl w:ilvl="5">
      <w:start w:val="1"/>
      <w:numFmt w:val="bullet"/>
      <w:isLgl w:val="false"/>
      <w:suff w:val="tab"/>
      <w:lvlText w:val="&quot;§&quot;"/>
      <w:lvlJc w:val="left"/>
      <w:pPr>
        <w:ind w:left="5738" w:hanging="360"/>
      </w:pPr>
      <w:rPr>
        <w:rFonts w:hint="default" w:ascii="Wingdings" w:hAnsi="Wingdings" w:eastAsia="Wingdings" w:cs="Wingdings"/>
      </w:rPr>
    </w:lvl>
    <w:lvl w:ilvl="6">
      <w:start w:val="1"/>
      <w:numFmt w:val="bullet"/>
      <w:isLgl w:val="false"/>
      <w:suff w:val="tab"/>
      <w:lvlText w:val="&quot;·&quot;"/>
      <w:lvlJc w:val="left"/>
      <w:pPr>
        <w:ind w:left="6458" w:hanging="360"/>
      </w:pPr>
      <w:rPr>
        <w:rFonts w:hint="default" w:ascii="Symbol" w:hAnsi="Symbol" w:eastAsia="Symbol" w:cs="Symbol"/>
      </w:rPr>
    </w:lvl>
    <w:lvl w:ilvl="7">
      <w:start w:val="1"/>
      <w:numFmt w:val="bullet"/>
      <w:isLgl w:val="false"/>
      <w:suff w:val="tab"/>
      <w:lvlText w:val="&quot;o&quot;"/>
      <w:lvlJc w:val="left"/>
      <w:pPr>
        <w:ind w:left="7178" w:hanging="360"/>
      </w:pPr>
      <w:rPr>
        <w:rFonts w:hint="default" w:ascii="Courier New" w:hAnsi="Courier New" w:eastAsia="Courier New" w:cs="Courier New"/>
      </w:rPr>
    </w:lvl>
    <w:lvl w:ilvl="8">
      <w:start w:val="1"/>
      <w:numFmt w:val="bullet"/>
      <w:isLgl w:val="false"/>
      <w:suff w:val="tab"/>
      <w:lvlText w:val="&quot;§&quot;"/>
      <w:lvlJc w:val="left"/>
      <w:pPr>
        <w:ind w:left="7898" w:hanging="360"/>
      </w:pPr>
      <w:rPr>
        <w:rFonts w:hint="default" w:ascii="Wingdings" w:hAnsi="Wingdings" w:eastAsia="Wingdings" w:cs="Wingdings"/>
      </w:rPr>
    </w:lvl>
  </w:abstractNum>
  <w:abstractNum w:abstractNumId="2">
    <w:multiLevelType w:val="hybridMultilevel"/>
    <w:lvl w:ilvl="0">
      <w:start w:val="3"/>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2858" w:hanging="360"/>
      </w:pPr>
      <w:rPr>
        <w:rFonts w:hint="default" w:ascii="Courier New" w:hAnsi="Courier New" w:eastAsia="Courier New" w:cs="Courier New"/>
      </w:rPr>
    </w:lvl>
    <w:lvl w:ilvl="2">
      <w:start w:val="1"/>
      <w:numFmt w:val="bullet"/>
      <w:isLgl w:val="false"/>
      <w:suff w:val="tab"/>
      <w:lvlText w:val="&quot;§&quot;"/>
      <w:lvlJc w:val="left"/>
      <w:pPr>
        <w:ind w:left="3578" w:hanging="360"/>
      </w:pPr>
      <w:rPr>
        <w:rFonts w:hint="default" w:ascii="Wingdings" w:hAnsi="Wingdings" w:eastAsia="Wingdings" w:cs="Wingdings"/>
      </w:rPr>
    </w:lvl>
    <w:lvl w:ilvl="3">
      <w:start w:val="1"/>
      <w:numFmt w:val="bullet"/>
      <w:isLgl w:val="false"/>
      <w:suff w:val="tab"/>
      <w:lvlText w:val="&quot;·&quot;"/>
      <w:lvlJc w:val="left"/>
      <w:pPr>
        <w:ind w:left="4298" w:hanging="360"/>
      </w:pPr>
      <w:rPr>
        <w:rFonts w:hint="default" w:ascii="Symbol" w:hAnsi="Symbol" w:eastAsia="Symbol" w:cs="Symbol"/>
      </w:rPr>
    </w:lvl>
    <w:lvl w:ilvl="4">
      <w:start w:val="1"/>
      <w:numFmt w:val="bullet"/>
      <w:isLgl w:val="false"/>
      <w:suff w:val="tab"/>
      <w:lvlText w:val="&quot;o&quot;"/>
      <w:lvlJc w:val="left"/>
      <w:pPr>
        <w:ind w:left="5018" w:hanging="360"/>
      </w:pPr>
      <w:rPr>
        <w:rFonts w:hint="default" w:ascii="Courier New" w:hAnsi="Courier New" w:eastAsia="Courier New" w:cs="Courier New"/>
      </w:rPr>
    </w:lvl>
    <w:lvl w:ilvl="5">
      <w:start w:val="1"/>
      <w:numFmt w:val="bullet"/>
      <w:isLgl w:val="false"/>
      <w:suff w:val="tab"/>
      <w:lvlText w:val="&quot;§&quot;"/>
      <w:lvlJc w:val="left"/>
      <w:pPr>
        <w:ind w:left="5738" w:hanging="360"/>
      </w:pPr>
      <w:rPr>
        <w:rFonts w:hint="default" w:ascii="Wingdings" w:hAnsi="Wingdings" w:eastAsia="Wingdings" w:cs="Wingdings"/>
      </w:rPr>
    </w:lvl>
    <w:lvl w:ilvl="6">
      <w:start w:val="1"/>
      <w:numFmt w:val="bullet"/>
      <w:isLgl w:val="false"/>
      <w:suff w:val="tab"/>
      <w:lvlText w:val="&quot;·&quot;"/>
      <w:lvlJc w:val="left"/>
      <w:pPr>
        <w:ind w:left="6458" w:hanging="360"/>
      </w:pPr>
      <w:rPr>
        <w:rFonts w:hint="default" w:ascii="Symbol" w:hAnsi="Symbol" w:eastAsia="Symbol" w:cs="Symbol"/>
      </w:rPr>
    </w:lvl>
    <w:lvl w:ilvl="7">
      <w:start w:val="1"/>
      <w:numFmt w:val="bullet"/>
      <w:isLgl w:val="false"/>
      <w:suff w:val="tab"/>
      <w:lvlText w:val="&quot;o&quot;"/>
      <w:lvlJc w:val="left"/>
      <w:pPr>
        <w:ind w:left="7178" w:hanging="360"/>
      </w:pPr>
      <w:rPr>
        <w:rFonts w:hint="default" w:ascii="Courier New" w:hAnsi="Courier New" w:eastAsia="Courier New" w:cs="Courier New"/>
      </w:rPr>
    </w:lvl>
    <w:lvl w:ilvl="8">
      <w:start w:val="1"/>
      <w:numFmt w:val="bullet"/>
      <w:isLgl w:val="false"/>
      <w:suff w:val="tab"/>
      <w:lvlText w:val="&quot;§&quot;"/>
      <w:lvlJc w:val="left"/>
      <w:pPr>
        <w:ind w:left="7898"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2">
    <w:name w:val="Heading 1"/>
    <w:link w:val="643"/>
    <w:uiPriority w:val="9"/>
    <w:qFormat/>
    <w:pPr>
      <w:keepLines/>
      <w:keepNext/>
      <w:spacing w:before="480" w:after="200"/>
      <w:outlineLvl w:val="0"/>
    </w:pPr>
    <w:rPr>
      <w:rFonts w:ascii="Arial" w:hAnsi="Arial" w:eastAsia="Arial" w:cs="Arial"/>
      <w:sz w:val="40"/>
      <w:szCs w:val="40"/>
    </w:rPr>
  </w:style>
  <w:style w:type="character" w:styleId="643">
    <w:name w:val="Heading 1 Char"/>
    <w:link w:val="642"/>
    <w:uiPriority w:val="9"/>
    <w:rPr>
      <w:rFonts w:ascii="Arial" w:hAnsi="Arial" w:eastAsia="Arial" w:cs="Arial"/>
      <w:sz w:val="40"/>
      <w:szCs w:val="40"/>
    </w:rPr>
  </w:style>
  <w:style w:type="paragraph" w:styleId="644">
    <w:name w:val="Heading 2"/>
    <w:link w:val="645"/>
    <w:uiPriority w:val="9"/>
    <w:unhideWhenUsed/>
    <w:qFormat/>
    <w:pPr>
      <w:keepLines/>
      <w:keepNext/>
      <w:spacing w:before="360" w:after="200"/>
      <w:outlineLvl w:val="1"/>
    </w:pPr>
    <w:rPr>
      <w:rFonts w:ascii="Arial" w:hAnsi="Arial" w:eastAsia="Arial" w:cs="Arial"/>
      <w:sz w:val="34"/>
    </w:rPr>
  </w:style>
  <w:style w:type="character" w:styleId="645">
    <w:name w:val="Heading 2 Char"/>
    <w:link w:val="644"/>
    <w:uiPriority w:val="9"/>
    <w:rPr>
      <w:rFonts w:ascii="Arial" w:hAnsi="Arial" w:eastAsia="Arial" w:cs="Arial"/>
      <w:sz w:val="34"/>
    </w:rPr>
  </w:style>
  <w:style w:type="paragraph" w:styleId="646">
    <w:name w:val="Heading 3"/>
    <w:link w:val="647"/>
    <w:uiPriority w:val="9"/>
    <w:unhideWhenUsed/>
    <w:qFormat/>
    <w:pPr>
      <w:keepLines/>
      <w:keepNext/>
      <w:spacing w:before="320" w:after="200"/>
      <w:outlineLvl w:val="2"/>
    </w:pPr>
    <w:rPr>
      <w:rFonts w:ascii="Arial" w:hAnsi="Arial" w:eastAsia="Arial" w:cs="Arial"/>
      <w:sz w:val="30"/>
      <w:szCs w:val="30"/>
    </w:rPr>
  </w:style>
  <w:style w:type="character" w:styleId="647">
    <w:name w:val="Heading 3 Char"/>
    <w:link w:val="646"/>
    <w:uiPriority w:val="9"/>
    <w:rPr>
      <w:rFonts w:ascii="Arial" w:hAnsi="Arial" w:eastAsia="Arial" w:cs="Arial"/>
      <w:sz w:val="30"/>
      <w:szCs w:val="30"/>
    </w:rPr>
  </w:style>
  <w:style w:type="paragraph" w:styleId="648">
    <w:name w:val="Heading 4"/>
    <w:link w:val="649"/>
    <w:uiPriority w:val="9"/>
    <w:unhideWhenUsed/>
    <w:qFormat/>
    <w:pPr>
      <w:keepLines/>
      <w:keepNext/>
      <w:spacing w:before="320" w:after="200"/>
      <w:outlineLvl w:val="3"/>
    </w:pPr>
    <w:rPr>
      <w:rFonts w:ascii="Arial" w:hAnsi="Arial" w:eastAsia="Arial" w:cs="Arial"/>
      <w:b/>
      <w:bCs/>
      <w:sz w:val="26"/>
      <w:szCs w:val="26"/>
    </w:rPr>
  </w:style>
  <w:style w:type="character" w:styleId="649">
    <w:name w:val="Heading 4 Char"/>
    <w:link w:val="648"/>
    <w:uiPriority w:val="9"/>
    <w:rPr>
      <w:rFonts w:ascii="Arial" w:hAnsi="Arial" w:eastAsia="Arial" w:cs="Arial"/>
      <w:b/>
      <w:bCs/>
      <w:sz w:val="26"/>
      <w:szCs w:val="26"/>
    </w:rPr>
  </w:style>
  <w:style w:type="paragraph" w:styleId="650">
    <w:name w:val="Heading 5"/>
    <w:link w:val="651"/>
    <w:uiPriority w:val="9"/>
    <w:unhideWhenUsed/>
    <w:qFormat/>
    <w:pPr>
      <w:keepLines/>
      <w:keepNext/>
      <w:spacing w:before="320" w:after="200"/>
      <w:outlineLvl w:val="4"/>
    </w:pPr>
    <w:rPr>
      <w:rFonts w:ascii="Arial" w:hAnsi="Arial" w:eastAsia="Arial" w:cs="Arial"/>
      <w:b/>
      <w:bCs/>
      <w:sz w:val="24"/>
      <w:szCs w:val="24"/>
    </w:rPr>
  </w:style>
  <w:style w:type="character" w:styleId="651">
    <w:name w:val="Heading 5 Char"/>
    <w:link w:val="650"/>
    <w:uiPriority w:val="9"/>
    <w:rPr>
      <w:rFonts w:ascii="Arial" w:hAnsi="Arial" w:eastAsia="Arial" w:cs="Arial"/>
      <w:b/>
      <w:bCs/>
      <w:sz w:val="24"/>
      <w:szCs w:val="24"/>
    </w:rPr>
  </w:style>
  <w:style w:type="paragraph" w:styleId="652">
    <w:name w:val="Heading 6"/>
    <w:link w:val="653"/>
    <w:uiPriority w:val="9"/>
    <w:unhideWhenUsed/>
    <w:qFormat/>
    <w:pPr>
      <w:keepLines/>
      <w:keepNext/>
      <w:spacing w:before="320" w:after="200"/>
      <w:outlineLvl w:val="5"/>
    </w:pPr>
    <w:rPr>
      <w:rFonts w:ascii="Arial" w:hAnsi="Arial" w:eastAsia="Arial" w:cs="Arial"/>
      <w:b/>
      <w:bCs/>
      <w:sz w:val="22"/>
      <w:szCs w:val="22"/>
    </w:rPr>
  </w:style>
  <w:style w:type="character" w:styleId="653">
    <w:name w:val="Heading 6 Char"/>
    <w:link w:val="652"/>
    <w:uiPriority w:val="9"/>
    <w:rPr>
      <w:rFonts w:ascii="Arial" w:hAnsi="Arial" w:eastAsia="Arial" w:cs="Arial"/>
      <w:b/>
      <w:bCs/>
      <w:sz w:val="22"/>
      <w:szCs w:val="22"/>
    </w:rPr>
  </w:style>
  <w:style w:type="paragraph" w:styleId="654">
    <w:name w:val="Heading 7"/>
    <w:link w:val="655"/>
    <w:uiPriority w:val="9"/>
    <w:unhideWhenUsed/>
    <w:qFormat/>
    <w:pPr>
      <w:keepLines/>
      <w:keepNext/>
      <w:spacing w:before="320" w:after="200"/>
      <w:outlineLvl w:val="6"/>
    </w:pPr>
    <w:rPr>
      <w:rFonts w:ascii="Arial" w:hAnsi="Arial" w:eastAsia="Arial" w:cs="Arial"/>
      <w:b/>
      <w:bCs/>
      <w:i/>
      <w:iCs/>
      <w:sz w:val="22"/>
      <w:szCs w:val="22"/>
    </w:rPr>
  </w:style>
  <w:style w:type="character" w:styleId="655">
    <w:name w:val="Heading 7 Char"/>
    <w:link w:val="654"/>
    <w:uiPriority w:val="9"/>
    <w:rPr>
      <w:rFonts w:ascii="Arial" w:hAnsi="Arial" w:eastAsia="Arial" w:cs="Arial"/>
      <w:b/>
      <w:bCs/>
      <w:i/>
      <w:iCs/>
      <w:sz w:val="22"/>
      <w:szCs w:val="22"/>
    </w:rPr>
  </w:style>
  <w:style w:type="paragraph" w:styleId="656">
    <w:name w:val="Heading 8"/>
    <w:link w:val="657"/>
    <w:uiPriority w:val="9"/>
    <w:unhideWhenUsed/>
    <w:qFormat/>
    <w:pPr>
      <w:keepLines/>
      <w:keepNext/>
      <w:spacing w:before="320" w:after="200"/>
      <w:outlineLvl w:val="7"/>
    </w:pPr>
    <w:rPr>
      <w:rFonts w:ascii="Arial" w:hAnsi="Arial" w:eastAsia="Arial" w:cs="Arial"/>
      <w:i/>
      <w:iCs/>
      <w:sz w:val="22"/>
      <w:szCs w:val="22"/>
    </w:rPr>
  </w:style>
  <w:style w:type="character" w:styleId="657">
    <w:name w:val="Heading 8 Char"/>
    <w:link w:val="656"/>
    <w:uiPriority w:val="9"/>
    <w:rPr>
      <w:rFonts w:ascii="Arial" w:hAnsi="Arial" w:eastAsia="Arial" w:cs="Arial"/>
      <w:i/>
      <w:iCs/>
      <w:sz w:val="22"/>
      <w:szCs w:val="22"/>
    </w:rPr>
  </w:style>
  <w:style w:type="paragraph" w:styleId="658">
    <w:name w:val="Heading 9"/>
    <w:link w:val="659"/>
    <w:uiPriority w:val="9"/>
    <w:unhideWhenUsed/>
    <w:qFormat/>
    <w:pPr>
      <w:keepLines/>
      <w:keepNext/>
      <w:spacing w:before="320" w:after="200"/>
      <w:outlineLvl w:val="8"/>
    </w:pPr>
    <w:rPr>
      <w:rFonts w:ascii="Arial" w:hAnsi="Arial" w:eastAsia="Arial" w:cs="Arial"/>
      <w:i/>
      <w:iCs/>
      <w:sz w:val="21"/>
      <w:szCs w:val="21"/>
    </w:rPr>
  </w:style>
  <w:style w:type="character" w:styleId="659">
    <w:name w:val="Heading 9 Char"/>
    <w:link w:val="658"/>
    <w:uiPriority w:val="9"/>
    <w:rPr>
      <w:rFonts w:ascii="Arial" w:hAnsi="Arial" w:eastAsia="Arial" w:cs="Arial"/>
      <w:i/>
      <w:iCs/>
      <w:sz w:val="21"/>
      <w:szCs w:val="21"/>
    </w:rPr>
  </w:style>
  <w:style w:type="paragraph" w:styleId="660">
    <w:name w:val="List Paragraph"/>
    <w:uiPriority w:val="34"/>
    <w:qFormat/>
    <w:pPr>
      <w:contextualSpacing/>
      <w:ind w:left="720"/>
    </w:pPr>
  </w:style>
  <w:style w:type="paragraph" w:styleId="661">
    <w:name w:val="No Spacing"/>
    <w:uiPriority w:val="1"/>
    <w:qFormat/>
    <w:pPr>
      <w:spacing w:before="0" w:after="0" w:line="240" w:lineRule="auto"/>
    </w:pPr>
  </w:style>
  <w:style w:type="paragraph" w:styleId="662">
    <w:name w:val="Title"/>
    <w:link w:val="663"/>
    <w:uiPriority w:val="10"/>
    <w:qFormat/>
    <w:pPr>
      <w:contextualSpacing/>
      <w:spacing w:before="300" w:after="200"/>
    </w:pPr>
    <w:rPr>
      <w:sz w:val="48"/>
      <w:szCs w:val="48"/>
    </w:rPr>
  </w:style>
  <w:style w:type="character" w:styleId="663">
    <w:name w:val="Title Char"/>
    <w:link w:val="662"/>
    <w:uiPriority w:val="10"/>
    <w:rPr>
      <w:sz w:val="48"/>
      <w:szCs w:val="48"/>
    </w:rPr>
  </w:style>
  <w:style w:type="paragraph" w:styleId="664">
    <w:name w:val="Subtitle"/>
    <w:link w:val="665"/>
    <w:uiPriority w:val="11"/>
    <w:qFormat/>
    <w:pPr>
      <w:spacing w:before="200" w:after="200"/>
    </w:pPr>
    <w:rPr>
      <w:sz w:val="24"/>
      <w:szCs w:val="24"/>
    </w:rPr>
  </w:style>
  <w:style w:type="character" w:styleId="665">
    <w:name w:val="Subtitle Char"/>
    <w:link w:val="664"/>
    <w:uiPriority w:val="11"/>
    <w:rPr>
      <w:sz w:val="24"/>
      <w:szCs w:val="24"/>
    </w:rPr>
  </w:style>
  <w:style w:type="paragraph" w:styleId="666">
    <w:name w:val="Quote"/>
    <w:link w:val="667"/>
    <w:uiPriority w:val="29"/>
    <w:qFormat/>
    <w:pPr>
      <w:ind w:left="720" w:right="720"/>
    </w:pPr>
    <w:rPr>
      <w:i/>
    </w:rPr>
  </w:style>
  <w:style w:type="character" w:styleId="667">
    <w:name w:val="Quote Char"/>
    <w:link w:val="666"/>
    <w:uiPriority w:val="29"/>
    <w:rPr>
      <w:i/>
    </w:rPr>
  </w:style>
  <w:style w:type="paragraph" w:styleId="668">
    <w:name w:val="Intense Quote"/>
    <w:link w:val="6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9">
    <w:name w:val="Intense Quote Char"/>
    <w:link w:val="668"/>
    <w:uiPriority w:val="30"/>
    <w:rPr>
      <w:i/>
    </w:rPr>
  </w:style>
  <w:style w:type="paragraph" w:styleId="670">
    <w:name w:val="Header"/>
    <w:link w:val="671"/>
    <w:uiPriority w:val="99"/>
    <w:unhideWhenUsed/>
    <w:pPr>
      <w:spacing w:after="0" w:line="240" w:lineRule="auto"/>
      <w:tabs>
        <w:tab w:val="center" w:pos="7143" w:leader="none"/>
        <w:tab w:val="right" w:pos="14287" w:leader="none"/>
      </w:tabs>
    </w:pPr>
  </w:style>
  <w:style w:type="character" w:styleId="671">
    <w:name w:val="Header Char"/>
    <w:link w:val="670"/>
    <w:uiPriority w:val="99"/>
  </w:style>
  <w:style w:type="paragraph" w:styleId="672">
    <w:name w:val="Footer"/>
    <w:link w:val="675"/>
    <w:uiPriority w:val="99"/>
    <w:unhideWhenUsed/>
    <w:pPr>
      <w:spacing w:after="0" w:line="240" w:lineRule="auto"/>
      <w:tabs>
        <w:tab w:val="center" w:pos="7143" w:leader="none"/>
        <w:tab w:val="right" w:pos="14287" w:leader="none"/>
      </w:tabs>
    </w:pPr>
  </w:style>
  <w:style w:type="character" w:styleId="673">
    <w:name w:val="Footer Char"/>
    <w:link w:val="672"/>
    <w:uiPriority w:val="99"/>
  </w:style>
  <w:style w:type="paragraph" w:styleId="674">
    <w:name w:val="Caption"/>
    <w:uiPriority w:val="35"/>
    <w:semiHidden/>
    <w:unhideWhenUsed/>
    <w:qFormat/>
    <w:pPr>
      <w:spacing w:line="276" w:lineRule="auto"/>
    </w:pPr>
    <w:rPr>
      <w:b/>
      <w:bCs/>
      <w:color w:val="4f81bd" w:themeColor="accent1"/>
      <w:sz w:val="18"/>
      <w:szCs w:val="18"/>
    </w:rPr>
  </w:style>
  <w:style w:type="character" w:styleId="675">
    <w:name w:val="Caption Char"/>
    <w:basedOn w:val="674"/>
    <w:link w:val="672"/>
    <w:uiPriority w:val="99"/>
  </w:style>
  <w:style w:type="table" w:styleId="67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2">
    <w:name w:val="Hyperlink"/>
    <w:uiPriority w:val="99"/>
    <w:unhideWhenUsed/>
    <w:rPr>
      <w:color w:val="0000ff" w:themeColor="hyperlink"/>
      <w:u w:val="single"/>
    </w:rPr>
  </w:style>
  <w:style w:type="paragraph" w:styleId="803">
    <w:name w:val="footnote text"/>
    <w:link w:val="804"/>
    <w:uiPriority w:val="99"/>
    <w:semiHidden/>
    <w:unhideWhenUsed/>
    <w:pPr>
      <w:spacing w:after="40" w:line="240" w:lineRule="auto"/>
    </w:pPr>
    <w:rPr>
      <w:sz w:val="18"/>
    </w:rPr>
  </w:style>
  <w:style w:type="character" w:styleId="804">
    <w:name w:val="Footnote Text Char"/>
    <w:link w:val="803"/>
    <w:uiPriority w:val="99"/>
    <w:rPr>
      <w:sz w:val="18"/>
    </w:rPr>
  </w:style>
  <w:style w:type="character" w:styleId="805">
    <w:name w:val="footnote reference"/>
    <w:uiPriority w:val="99"/>
    <w:unhideWhenUsed/>
    <w:rPr>
      <w:vertAlign w:val="superscript"/>
    </w:rPr>
  </w:style>
  <w:style w:type="paragraph" w:styleId="806">
    <w:name w:val="endnote text"/>
    <w:link w:val="807"/>
    <w:uiPriority w:val="99"/>
    <w:semiHidden/>
    <w:unhideWhenUsed/>
    <w:pPr>
      <w:spacing w:after="0" w:line="240" w:lineRule="auto"/>
    </w:pPr>
    <w:rPr>
      <w:sz w:val="20"/>
    </w:rPr>
  </w:style>
  <w:style w:type="character" w:styleId="807">
    <w:name w:val="Endnote Text Char"/>
    <w:link w:val="806"/>
    <w:uiPriority w:val="99"/>
    <w:rPr>
      <w:sz w:val="20"/>
    </w:rPr>
  </w:style>
  <w:style w:type="character" w:styleId="808">
    <w:name w:val="endnote reference"/>
    <w:uiPriority w:val="99"/>
    <w:semiHidden/>
    <w:unhideWhenUsed/>
    <w:rPr>
      <w:vertAlign w:val="superscript"/>
    </w:rPr>
  </w:style>
  <w:style w:type="paragraph" w:styleId="809">
    <w:name w:val="toc 1"/>
    <w:uiPriority w:val="39"/>
    <w:unhideWhenUsed/>
    <w:pPr>
      <w:ind w:left="0" w:right="0" w:firstLine="0"/>
      <w:spacing w:after="57"/>
    </w:pPr>
  </w:style>
  <w:style w:type="paragraph" w:styleId="810">
    <w:name w:val="toc 2"/>
    <w:uiPriority w:val="39"/>
    <w:unhideWhenUsed/>
    <w:pPr>
      <w:ind w:left="283" w:right="0" w:firstLine="0"/>
      <w:spacing w:after="57"/>
    </w:pPr>
  </w:style>
  <w:style w:type="paragraph" w:styleId="811">
    <w:name w:val="toc 3"/>
    <w:uiPriority w:val="39"/>
    <w:unhideWhenUsed/>
    <w:pPr>
      <w:ind w:left="567" w:right="0" w:firstLine="0"/>
      <w:spacing w:after="57"/>
    </w:pPr>
  </w:style>
  <w:style w:type="paragraph" w:styleId="812">
    <w:name w:val="toc 4"/>
    <w:uiPriority w:val="39"/>
    <w:unhideWhenUsed/>
    <w:pPr>
      <w:ind w:left="850" w:right="0" w:firstLine="0"/>
      <w:spacing w:after="57"/>
    </w:pPr>
  </w:style>
  <w:style w:type="paragraph" w:styleId="813">
    <w:name w:val="toc 5"/>
    <w:uiPriority w:val="39"/>
    <w:unhideWhenUsed/>
    <w:pPr>
      <w:ind w:left="1134" w:right="0" w:firstLine="0"/>
      <w:spacing w:after="57"/>
    </w:pPr>
  </w:style>
  <w:style w:type="paragraph" w:styleId="814">
    <w:name w:val="toc 6"/>
    <w:uiPriority w:val="39"/>
    <w:unhideWhenUsed/>
    <w:pPr>
      <w:ind w:left="1417" w:right="0" w:firstLine="0"/>
      <w:spacing w:after="57"/>
    </w:pPr>
  </w:style>
  <w:style w:type="paragraph" w:styleId="815">
    <w:name w:val="toc 7"/>
    <w:uiPriority w:val="39"/>
    <w:unhideWhenUsed/>
    <w:pPr>
      <w:ind w:left="1701" w:right="0" w:firstLine="0"/>
      <w:spacing w:after="57"/>
    </w:pPr>
  </w:style>
  <w:style w:type="paragraph" w:styleId="816">
    <w:name w:val="toc 8"/>
    <w:uiPriority w:val="39"/>
    <w:unhideWhenUsed/>
    <w:pPr>
      <w:ind w:left="1984" w:right="0" w:firstLine="0"/>
      <w:spacing w:after="57"/>
    </w:pPr>
  </w:style>
  <w:style w:type="paragraph" w:styleId="817">
    <w:name w:val="toc 9"/>
    <w:uiPriority w:val="39"/>
    <w:unhideWhenUsed/>
    <w:pPr>
      <w:ind w:left="2268" w:right="0" w:firstLine="0"/>
      <w:spacing w:after="57"/>
    </w:pPr>
  </w:style>
  <w:style w:type="paragraph" w:styleId="818">
    <w:name w:val="TOC Heading"/>
    <w:uiPriority w:val="39"/>
    <w:unhideWhenUsed/>
  </w:style>
  <w:style w:type="paragraph" w:styleId="819">
    <w:name w:val="table of figures"/>
    <w:uiPriority w:val="99"/>
    <w:unhideWhenUsed/>
    <w:pPr>
      <w:spacing w:after="0" w:afterAutospacing="0"/>
    </w:pPr>
  </w:style>
  <w:style w:type="character" w:styleId="820" w:default="1">
    <w:name w:val="Default Paragraph Font"/>
    <w:uiPriority w:val="1"/>
    <w:semiHidden/>
    <w:unhideWhenUsed/>
  </w:style>
  <w:style w:type="numbering" w:styleId="821" w:default="1">
    <w:name w:val="No List"/>
    <w:uiPriority w:val="99"/>
    <w:semiHidden/>
    <w:unhideWhenUsed/>
  </w:style>
  <w:style w:type="paragraph" w:styleId="822" w:default="1">
    <w:name w:val="Normal"/>
    <w:qFormat/>
  </w:style>
  <w:style w:type="table" w:styleId="82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2938" TargetMode="External"/><Relationship Id="rId1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62" TargetMode="External"/><Relationship Id="rId1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62" TargetMode="External"/><Relationship Id="rId1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8295" TargetMode="External"/><Relationship Id="rId1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3476"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杨林（盱眙）</cp:lastModifiedBy>
  <cp:revision>4</cp:revision>
  <dcterms:created xsi:type="dcterms:W3CDTF">2026-10-12T00:58:47Z</dcterms:created>
  <dcterms:modified xsi:type="dcterms:W3CDTF">2026-10-28T00:42:02Z</dcterms:modified>
</cp:coreProperties>
</file>