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E62AF0">
      <w:pPr>
        <w:wordWrap w:val="0"/>
        <w:adjustRightInd w:val="0"/>
        <w:snapToGrid w:val="0"/>
        <w:jc w:val="center"/>
        <w:rPr>
          <w:rFonts w:eastAsia="微软雅黑" w:cs="宋体"/>
          <w:kern w:val="0"/>
          <w:sz w:val="32"/>
          <w:szCs w:val="32"/>
          <w14:shadow w14:blurRad="50800" w14:dist="38100" w14:dir="2700000" w14:sx="100000" w14:sy="100000" w14:kx="0" w14:ky="0" w14:algn="tl">
            <w14:srgbClr w14:val="000000">
              <w14:alpha w14:val="60000"/>
            </w14:srgbClr>
          </w14:shadow>
        </w:rPr>
      </w:pPr>
    </w:p>
    <w:p w14:paraId="3D0A1CEB">
      <w:pPr>
        <w:wordWrap w:val="0"/>
        <w:adjustRightInd w:val="0"/>
        <w:snapToGrid w:val="0"/>
        <w:jc w:val="center"/>
        <w:rPr>
          <w:rFonts w:eastAsia="微软雅黑" w:cs="宋体"/>
          <w:kern w:val="0"/>
          <w:sz w:val="32"/>
          <w:szCs w:val="32"/>
          <w14:shadow w14:blurRad="50800" w14:dist="38100" w14:dir="2700000" w14:sx="100000" w14:sy="100000" w14:kx="0" w14:ky="0" w14:algn="tl">
            <w14:srgbClr w14:val="000000">
              <w14:alpha w14:val="60000"/>
            </w14:srgbClr>
          </w14:shadow>
        </w:rPr>
      </w:pPr>
    </w:p>
    <w:p w14:paraId="48043438">
      <w:pPr>
        <w:wordWrap w:val="0"/>
        <w:adjustRightInd w:val="0"/>
        <w:snapToGrid w:val="0"/>
        <w:jc w:val="center"/>
        <w:rPr>
          <w:rFonts w:eastAsia="微软雅黑" w:cs="宋体"/>
          <w:kern w:val="0"/>
          <w:sz w:val="32"/>
          <w:szCs w:val="32"/>
          <w14:shadow w14:blurRad="50800" w14:dist="38100" w14:dir="2700000" w14:sx="100000" w14:sy="100000" w14:kx="0" w14:ky="0" w14:algn="tl">
            <w14:srgbClr w14:val="000000">
              <w14:alpha w14:val="60000"/>
            </w14:srgbClr>
          </w14:shadow>
        </w:rPr>
      </w:pPr>
    </w:p>
    <w:p w14:paraId="645421CE">
      <w:pPr>
        <w:wordWrap w:val="0"/>
        <w:adjustRightInd w:val="0"/>
        <w:snapToGrid w:val="0"/>
        <w:spacing w:line="1000" w:lineRule="exact"/>
        <w:jc w:val="center"/>
        <w:rPr>
          <w:rFonts w:eastAsia="微软雅黑" w:cs="宋体"/>
          <w:sz w:val="72"/>
          <w:szCs w:val="24"/>
          <w14:shadow w14:blurRad="50800" w14:dist="38100" w14:dir="2700000" w14:sx="100000" w14:sy="100000" w14:kx="0" w14:ky="0" w14:algn="tl">
            <w14:srgbClr w14:val="000000">
              <w14:alpha w14:val="60000"/>
            </w14:srgbClr>
          </w14:shadow>
        </w:rPr>
      </w:pPr>
      <w:r>
        <w:rPr>
          <w:rFonts w:hint="eastAsia" w:eastAsia="微软雅黑" w:cs="宋体"/>
          <w:sz w:val="72"/>
          <w:szCs w:val="24"/>
          <w14:shadow w14:blurRad="50800" w14:dist="38100" w14:dir="2700000" w14:sx="100000" w14:sy="100000" w14:kx="0" w14:ky="0" w14:algn="tl">
            <w14:srgbClr w14:val="000000">
              <w14:alpha w14:val="60000"/>
            </w14:srgbClr>
          </w14:shadow>
        </w:rPr>
        <w:t>公开招标文件</w:t>
      </w:r>
    </w:p>
    <w:p w14:paraId="0AA1D765">
      <w:pPr>
        <w:wordWrap w:val="0"/>
        <w:adjustRightInd w:val="0"/>
        <w:snapToGrid w:val="0"/>
        <w:jc w:val="center"/>
        <w:rPr>
          <w:rFonts w:eastAsia="微软雅黑" w:cs="宋体"/>
          <w:kern w:val="0"/>
          <w:sz w:val="32"/>
          <w:szCs w:val="32"/>
          <w14:shadow w14:blurRad="50800" w14:dist="38100" w14:dir="2700000" w14:sx="100000" w14:sy="100000" w14:kx="0" w14:ky="0" w14:algn="tl">
            <w14:srgbClr w14:val="000000">
              <w14:alpha w14:val="60000"/>
            </w14:srgbClr>
          </w14:shadow>
        </w:rPr>
      </w:pPr>
    </w:p>
    <w:p w14:paraId="7DD10552">
      <w:pPr>
        <w:wordWrap w:val="0"/>
        <w:adjustRightInd w:val="0"/>
        <w:snapToGrid w:val="0"/>
        <w:jc w:val="center"/>
        <w:rPr>
          <w:rFonts w:eastAsia="微软雅黑" w:cs="宋体"/>
          <w:kern w:val="0"/>
          <w:sz w:val="32"/>
          <w:szCs w:val="32"/>
          <w14:shadow w14:blurRad="50800" w14:dist="38100" w14:dir="2700000" w14:sx="100000" w14:sy="100000" w14:kx="0" w14:ky="0" w14:algn="tl">
            <w14:srgbClr w14:val="000000">
              <w14:alpha w14:val="60000"/>
            </w14:srgbClr>
          </w14:shadow>
        </w:rPr>
      </w:pPr>
    </w:p>
    <w:tbl>
      <w:tblPr>
        <w:tblStyle w:val="59"/>
        <w:tblW w:w="0" w:type="auto"/>
        <w:tblInd w:w="85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701"/>
        <w:gridCol w:w="5665"/>
      </w:tblGrid>
      <w:tr w14:paraId="494FA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021" w:hRule="atLeast"/>
        </w:trPr>
        <w:tc>
          <w:tcPr>
            <w:tcW w:w="1701" w:type="dxa"/>
          </w:tcPr>
          <w:p w14:paraId="56C60D81">
            <w:pPr>
              <w:wordWrap w:val="0"/>
              <w:adjustRightInd w:val="0"/>
              <w:snapToGrid w:val="0"/>
              <w:spacing w:line="440" w:lineRule="exact"/>
              <w:jc w:val="right"/>
              <w:rPr>
                <w:rFonts w:eastAsia="微软雅黑" w:cs="宋体"/>
                <w:kern w:val="0"/>
                <w:sz w:val="32"/>
                <w:szCs w:val="36"/>
                <w14:shadow w14:blurRad="50800" w14:dist="38100" w14:dir="2700000" w14:sx="100000" w14:sy="100000" w14:kx="0" w14:ky="0" w14:algn="tl">
                  <w14:srgbClr w14:val="000000">
                    <w14:alpha w14:val="60000"/>
                  </w14:srgbClr>
                </w14:shadow>
              </w:rPr>
            </w:pPr>
            <w:r>
              <w:rPr>
                <w:rFonts w:hint="eastAsia" w:eastAsia="微软雅黑" w:cs="宋体"/>
                <w:kern w:val="0"/>
                <w:sz w:val="32"/>
                <w:szCs w:val="36"/>
                <w14:shadow w14:blurRad="50800" w14:dist="38100" w14:dir="2700000" w14:sx="100000" w14:sy="100000" w14:kx="0" w14:ky="0" w14:algn="tl">
                  <w14:srgbClr w14:val="000000">
                    <w14:alpha w14:val="60000"/>
                  </w14:srgbClr>
                </w14:shadow>
              </w:rPr>
              <w:t>项目名称：</w:t>
            </w:r>
          </w:p>
        </w:tc>
        <w:tc>
          <w:tcPr>
            <w:tcW w:w="5665" w:type="dxa"/>
          </w:tcPr>
          <w:p w14:paraId="0700EB4D">
            <w:pPr>
              <w:wordWrap w:val="0"/>
              <w:adjustRightInd w:val="0"/>
              <w:snapToGrid w:val="0"/>
              <w:spacing w:line="440" w:lineRule="exact"/>
              <w:rPr>
                <w:rFonts w:eastAsia="微软雅黑" w:cs="宋体"/>
                <w:kern w:val="0"/>
                <w:sz w:val="32"/>
                <w:szCs w:val="36"/>
                <w14:shadow w14:blurRad="50800" w14:dist="38100" w14:dir="2700000" w14:sx="100000" w14:sy="100000" w14:kx="0" w14:ky="0" w14:algn="tl">
                  <w14:srgbClr w14:val="000000">
                    <w14:alpha w14:val="60000"/>
                  </w14:srgbClr>
                </w14:shadow>
              </w:rPr>
            </w:pPr>
            <w:r>
              <w:rPr>
                <w:rFonts w:hint="eastAsia" w:eastAsia="微软雅黑" w:cs="宋体"/>
                <w:kern w:val="0"/>
                <w:sz w:val="32"/>
                <w:szCs w:val="36"/>
                <w14:shadow w14:blurRad="50800" w14:dist="38100" w14:dir="2700000" w14:sx="100000" w14:sy="100000" w14:kx="0" w14:ky="0" w14:algn="tl">
                  <w14:srgbClr w14:val="000000">
                    <w14:alpha w14:val="60000"/>
                  </w14:srgbClr>
                </w14:shadow>
              </w:rPr>
              <w:t>淮安市淮安医院门诊导医导诊外包服务项目</w:t>
            </w:r>
          </w:p>
        </w:tc>
      </w:tr>
      <w:tr w14:paraId="23F34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21" w:hRule="atLeast"/>
        </w:trPr>
        <w:tc>
          <w:tcPr>
            <w:tcW w:w="1701" w:type="dxa"/>
          </w:tcPr>
          <w:p w14:paraId="111A37F5">
            <w:pPr>
              <w:wordWrap w:val="0"/>
              <w:adjustRightInd w:val="0"/>
              <w:snapToGrid w:val="0"/>
              <w:spacing w:line="440" w:lineRule="exact"/>
              <w:jc w:val="right"/>
              <w:rPr>
                <w:rFonts w:eastAsia="微软雅黑" w:cs="宋体"/>
                <w:kern w:val="0"/>
                <w:sz w:val="32"/>
                <w:szCs w:val="36"/>
                <w14:shadow w14:blurRad="50800" w14:dist="38100" w14:dir="2700000" w14:sx="100000" w14:sy="100000" w14:kx="0" w14:ky="0" w14:algn="tl">
                  <w14:srgbClr w14:val="000000">
                    <w14:alpha w14:val="60000"/>
                  </w14:srgbClr>
                </w14:shadow>
              </w:rPr>
            </w:pPr>
            <w:r>
              <w:rPr>
                <w:rFonts w:hint="eastAsia" w:eastAsia="微软雅黑" w:cs="宋体"/>
                <w:kern w:val="0"/>
                <w:sz w:val="32"/>
                <w:szCs w:val="36"/>
                <w14:shadow w14:blurRad="50800" w14:dist="38100" w14:dir="2700000" w14:sx="100000" w14:sy="100000" w14:kx="0" w14:ky="0" w14:algn="tl">
                  <w14:srgbClr w14:val="000000">
                    <w14:alpha w14:val="60000"/>
                  </w14:srgbClr>
                </w14:shadow>
              </w:rPr>
              <w:t>项目编号：</w:t>
            </w:r>
          </w:p>
        </w:tc>
        <w:tc>
          <w:tcPr>
            <w:tcW w:w="5665" w:type="dxa"/>
          </w:tcPr>
          <w:p w14:paraId="35E16BD9">
            <w:pPr>
              <w:wordWrap w:val="0"/>
              <w:adjustRightInd w:val="0"/>
              <w:snapToGrid w:val="0"/>
              <w:spacing w:line="440" w:lineRule="exact"/>
              <w:rPr>
                <w:rFonts w:hint="eastAsia" w:eastAsia="微软雅黑" w:cs="宋体"/>
                <w:kern w:val="0"/>
                <w:sz w:val="32"/>
                <w:szCs w:val="36"/>
                <w:lang w:val="en-US" w:eastAsia="zh-CN"/>
                <w14:shadow w14:blurRad="50800" w14:dist="38100" w14:dir="2700000" w14:sx="100000" w14:sy="100000" w14:kx="0" w14:ky="0" w14:algn="tl">
                  <w14:srgbClr w14:val="000000">
                    <w14:alpha w14:val="60000"/>
                  </w14:srgbClr>
                </w14:shadow>
              </w:rPr>
            </w:pPr>
            <w:r>
              <w:rPr>
                <w:rFonts w:hint="eastAsia" w:eastAsia="微软雅黑" w:cs="宋体"/>
                <w:kern w:val="0"/>
                <w:sz w:val="32"/>
                <w:szCs w:val="36"/>
                <w14:shadow w14:blurRad="50800" w14:dist="38100" w14:dir="2700000" w14:sx="100000" w14:sy="100000" w14:kx="0" w14:ky="0" w14:algn="tl">
                  <w14:srgbClr w14:val="000000">
                    <w14:alpha w14:val="60000"/>
                  </w14:srgbClr>
                </w14:shadow>
              </w:rPr>
              <w:t>JSZC-320803-JSYG-G2026-0004</w:t>
            </w:r>
          </w:p>
        </w:tc>
      </w:tr>
    </w:tbl>
    <w:p w14:paraId="46DF3228">
      <w:pPr>
        <w:wordWrap w:val="0"/>
        <w:adjustRightInd w:val="0"/>
        <w:snapToGrid w:val="0"/>
        <w:jc w:val="center"/>
        <w:rPr>
          <w:rFonts w:eastAsia="微软雅黑" w:cs="宋体"/>
          <w:kern w:val="0"/>
          <w:sz w:val="32"/>
          <w:szCs w:val="32"/>
          <w14:shadow w14:blurRad="50800" w14:dist="38100" w14:dir="2700000" w14:sx="100000" w14:sy="100000" w14:kx="0" w14:ky="0" w14:algn="tl">
            <w14:srgbClr w14:val="000000">
              <w14:alpha w14:val="60000"/>
            </w14:srgbClr>
          </w14:shadow>
        </w:rPr>
      </w:pPr>
    </w:p>
    <w:p w14:paraId="7B93F03C">
      <w:pPr>
        <w:wordWrap w:val="0"/>
        <w:adjustRightInd w:val="0"/>
        <w:snapToGrid w:val="0"/>
        <w:jc w:val="center"/>
        <w:rPr>
          <w:rFonts w:eastAsia="微软雅黑" w:cs="宋体"/>
          <w:kern w:val="0"/>
          <w:sz w:val="32"/>
          <w:szCs w:val="32"/>
          <w14:shadow w14:blurRad="50800" w14:dist="38100" w14:dir="2700000" w14:sx="100000" w14:sy="100000" w14:kx="0" w14:ky="0" w14:algn="tl">
            <w14:srgbClr w14:val="000000">
              <w14:alpha w14:val="60000"/>
            </w14:srgbClr>
          </w14:shadow>
        </w:rPr>
      </w:pPr>
    </w:p>
    <w:p w14:paraId="7574277A">
      <w:pPr>
        <w:wordWrap w:val="0"/>
        <w:adjustRightInd w:val="0"/>
        <w:snapToGrid w:val="0"/>
        <w:jc w:val="center"/>
        <w:rPr>
          <w:rFonts w:eastAsia="微软雅黑" w:cs="宋体"/>
          <w:kern w:val="0"/>
          <w:sz w:val="32"/>
          <w:szCs w:val="32"/>
          <w14:shadow w14:blurRad="50800" w14:dist="38100" w14:dir="2700000" w14:sx="100000" w14:sy="100000" w14:kx="0" w14:ky="0" w14:algn="tl">
            <w14:srgbClr w14:val="000000">
              <w14:alpha w14:val="60000"/>
            </w14:srgbClr>
          </w14:shadow>
        </w:rPr>
      </w:pPr>
    </w:p>
    <w:p w14:paraId="041B72ED">
      <w:pPr>
        <w:wordWrap w:val="0"/>
        <w:adjustRightInd w:val="0"/>
        <w:snapToGrid w:val="0"/>
        <w:jc w:val="center"/>
        <w:rPr>
          <w:rFonts w:eastAsia="微软雅黑" w:cs="宋体"/>
          <w:kern w:val="0"/>
          <w:sz w:val="32"/>
          <w:szCs w:val="32"/>
          <w14:shadow w14:blurRad="50800" w14:dist="38100" w14:dir="2700000" w14:sx="100000" w14:sy="100000" w14:kx="0" w14:ky="0" w14:algn="tl">
            <w14:srgbClr w14:val="000000">
              <w14:alpha w14:val="60000"/>
            </w14:srgbClr>
          </w14:shadow>
        </w:rPr>
      </w:pPr>
    </w:p>
    <w:p w14:paraId="2C14AE76">
      <w:pPr>
        <w:wordWrap w:val="0"/>
        <w:adjustRightInd w:val="0"/>
        <w:snapToGrid w:val="0"/>
        <w:jc w:val="center"/>
        <w:rPr>
          <w:rFonts w:eastAsia="微软雅黑" w:cs="宋体"/>
          <w:kern w:val="0"/>
          <w:sz w:val="32"/>
          <w:szCs w:val="32"/>
          <w14:shadow w14:blurRad="50800" w14:dist="38100" w14:dir="2700000" w14:sx="100000" w14:sy="100000" w14:kx="0" w14:ky="0" w14:algn="tl">
            <w14:srgbClr w14:val="000000">
              <w14:alpha w14:val="60000"/>
            </w14:srgbClr>
          </w14:shadow>
        </w:rPr>
      </w:pPr>
    </w:p>
    <w:p w14:paraId="3075BFD5">
      <w:pPr>
        <w:wordWrap w:val="0"/>
        <w:adjustRightInd w:val="0"/>
        <w:snapToGrid w:val="0"/>
        <w:jc w:val="center"/>
        <w:rPr>
          <w:rFonts w:eastAsia="微软雅黑" w:cs="宋体"/>
          <w:kern w:val="0"/>
          <w:sz w:val="32"/>
          <w:szCs w:val="32"/>
          <w14:shadow w14:blurRad="50800" w14:dist="38100" w14:dir="2700000" w14:sx="100000" w14:sy="100000" w14:kx="0" w14:ky="0" w14:algn="tl">
            <w14:srgbClr w14:val="000000">
              <w14:alpha w14:val="60000"/>
            </w14:srgbClr>
          </w14:shadow>
        </w:rPr>
      </w:pPr>
    </w:p>
    <w:p w14:paraId="304D157D">
      <w:pPr>
        <w:wordWrap w:val="0"/>
        <w:adjustRightInd w:val="0"/>
        <w:snapToGrid w:val="0"/>
        <w:ind w:firstLine="1120" w:firstLineChars="350"/>
        <w:rPr>
          <w:rFonts w:eastAsia="微软雅黑" w:cs="宋体"/>
          <w:kern w:val="0"/>
          <w:sz w:val="32"/>
          <w:szCs w:val="32"/>
          <w14:shadow w14:blurRad="50800" w14:dist="38100" w14:dir="2700000" w14:sx="100000" w14:sy="100000" w14:kx="0" w14:ky="0" w14:algn="tl">
            <w14:srgbClr w14:val="000000">
              <w14:alpha w14:val="60000"/>
            </w14:srgbClr>
          </w14:shadow>
        </w:rPr>
      </w:pPr>
      <w:r>
        <w:rPr>
          <w:rFonts w:hint="eastAsia" w:eastAsia="微软雅黑" w:cs="宋体"/>
          <w:kern w:val="0"/>
          <w:sz w:val="32"/>
          <w:szCs w:val="32"/>
          <w14:shadow w14:blurRad="50800" w14:dist="38100" w14:dir="2700000" w14:sx="100000" w14:sy="100000" w14:kx="0" w14:ky="0" w14:algn="tl">
            <w14:srgbClr w14:val="000000">
              <w14:alpha w14:val="60000"/>
            </w14:srgbClr>
          </w14:shadow>
        </w:rPr>
        <w:t xml:space="preserve">采 </w:t>
      </w:r>
      <w:r>
        <w:rPr>
          <w:rFonts w:eastAsia="微软雅黑" w:cs="宋体"/>
          <w:kern w:val="0"/>
          <w:sz w:val="32"/>
          <w:szCs w:val="32"/>
          <w14:shadow w14:blurRad="50800" w14:dist="38100" w14:dir="2700000" w14:sx="100000" w14:sy="100000" w14:kx="0" w14:ky="0" w14:algn="tl">
            <w14:srgbClr w14:val="000000">
              <w14:alpha w14:val="60000"/>
            </w14:srgbClr>
          </w14:shadow>
        </w:rPr>
        <w:t xml:space="preserve">  </w:t>
      </w:r>
      <w:r>
        <w:rPr>
          <w:rFonts w:hint="eastAsia" w:eastAsia="微软雅黑" w:cs="宋体"/>
          <w:kern w:val="0"/>
          <w:sz w:val="32"/>
          <w:szCs w:val="32"/>
          <w14:shadow w14:blurRad="50800" w14:dist="38100" w14:dir="2700000" w14:sx="100000" w14:sy="100000" w14:kx="0" w14:ky="0" w14:algn="tl">
            <w14:srgbClr w14:val="000000">
              <w14:alpha w14:val="60000"/>
            </w14:srgbClr>
          </w14:shadow>
        </w:rPr>
        <w:t xml:space="preserve">购  </w:t>
      </w:r>
      <w:r>
        <w:rPr>
          <w:rFonts w:eastAsia="微软雅黑" w:cs="宋体"/>
          <w:kern w:val="0"/>
          <w:sz w:val="32"/>
          <w:szCs w:val="32"/>
          <w14:shadow w14:blurRad="50800" w14:dist="38100" w14:dir="2700000" w14:sx="100000" w14:sy="100000" w14:kx="0" w14:ky="0" w14:algn="tl">
            <w14:srgbClr w14:val="000000">
              <w14:alpha w14:val="60000"/>
            </w14:srgbClr>
          </w14:shadow>
        </w:rPr>
        <w:t xml:space="preserve"> </w:t>
      </w:r>
      <w:r>
        <w:rPr>
          <w:rFonts w:hint="eastAsia" w:eastAsia="微软雅黑" w:cs="宋体"/>
          <w:kern w:val="0"/>
          <w:sz w:val="32"/>
          <w:szCs w:val="32"/>
          <w14:shadow w14:blurRad="50800" w14:dist="38100" w14:dir="2700000" w14:sx="100000" w14:sy="100000" w14:kx="0" w14:ky="0" w14:algn="tl">
            <w14:srgbClr w14:val="000000">
              <w14:alpha w14:val="60000"/>
            </w14:srgbClr>
          </w14:shadow>
        </w:rPr>
        <w:t>人：淮安市淮安医院</w:t>
      </w:r>
    </w:p>
    <w:p w14:paraId="183E1E5A">
      <w:pPr>
        <w:wordWrap w:val="0"/>
        <w:adjustRightInd w:val="0"/>
        <w:snapToGrid w:val="0"/>
        <w:ind w:firstLine="1120" w:firstLineChars="350"/>
        <w:rPr>
          <w:rFonts w:eastAsia="微软雅黑" w:cs="宋体"/>
          <w:kern w:val="0"/>
          <w:sz w:val="32"/>
          <w:szCs w:val="32"/>
          <w14:shadow w14:blurRad="50800" w14:dist="38100" w14:dir="2700000" w14:sx="100000" w14:sy="100000" w14:kx="0" w14:ky="0" w14:algn="tl">
            <w14:srgbClr w14:val="000000">
              <w14:alpha w14:val="60000"/>
            </w14:srgbClr>
          </w14:shadow>
        </w:rPr>
      </w:pPr>
      <w:r>
        <w:rPr>
          <w:rFonts w:hint="eastAsia" w:eastAsia="微软雅黑" w:cs="宋体"/>
          <w:kern w:val="0"/>
          <w:sz w:val="32"/>
          <w:szCs w:val="32"/>
          <w14:shadow w14:blurRad="50800" w14:dist="38100" w14:dir="2700000" w14:sx="100000" w14:sy="100000" w14:kx="0" w14:ky="0" w14:algn="tl">
            <w14:srgbClr w14:val="000000">
              <w14:alpha w14:val="60000"/>
            </w14:srgbClr>
          </w14:shadow>
        </w:rPr>
        <w:t>采购代理机构：江苏阳光建设项目管理有限公司</w:t>
      </w:r>
    </w:p>
    <w:p w14:paraId="221F102E">
      <w:pPr>
        <w:wordWrap w:val="0"/>
        <w:adjustRightInd w:val="0"/>
        <w:snapToGrid w:val="0"/>
        <w:jc w:val="center"/>
        <w:rPr>
          <w:rFonts w:eastAsia="微软雅黑" w:cs="宋体"/>
          <w:kern w:val="0"/>
          <w:sz w:val="32"/>
          <w:szCs w:val="32"/>
          <w14:shadow w14:blurRad="50800" w14:dist="38100" w14:dir="2700000" w14:sx="100000" w14:sy="100000" w14:kx="0" w14:ky="0" w14:algn="tl">
            <w14:srgbClr w14:val="000000">
              <w14:alpha w14:val="60000"/>
            </w14:srgbClr>
          </w14:shadow>
        </w:rPr>
      </w:pPr>
      <w:r>
        <w:rPr>
          <w:rFonts w:hint="eastAsia" w:eastAsia="微软雅黑" w:cs="宋体"/>
          <w:kern w:val="0"/>
          <w:sz w:val="32"/>
          <w:szCs w:val="32"/>
          <w14:shadow w14:blurRad="50800" w14:dist="38100" w14:dir="2700000" w14:sx="100000" w14:sy="100000" w14:kx="0" w14:ky="0" w14:algn="tl">
            <w14:srgbClr w14:val="000000">
              <w14:alpha w14:val="60000"/>
            </w14:srgbClr>
          </w14:shadow>
        </w:rPr>
        <w:t>二〇二六年</w:t>
      </w:r>
      <w:r>
        <w:rPr>
          <w:rFonts w:hint="eastAsia" w:eastAsia="微软雅黑" w:cs="宋体"/>
          <w:kern w:val="0"/>
          <w:sz w:val="32"/>
          <w:szCs w:val="32"/>
          <w:lang w:val="en-US" w:eastAsia="zh-CN"/>
          <w14:shadow w14:blurRad="50800" w14:dist="38100" w14:dir="2700000" w14:sx="100000" w14:sy="100000" w14:kx="0" w14:ky="0" w14:algn="tl">
            <w14:srgbClr w14:val="000000">
              <w14:alpha w14:val="60000"/>
            </w14:srgbClr>
          </w14:shadow>
        </w:rPr>
        <w:t>十</w:t>
      </w:r>
      <w:r>
        <w:rPr>
          <w:rFonts w:hint="eastAsia" w:eastAsia="微软雅黑" w:cs="宋体"/>
          <w:kern w:val="0"/>
          <w:sz w:val="32"/>
          <w:szCs w:val="32"/>
          <w14:shadow w14:blurRad="50800" w14:dist="38100" w14:dir="2700000" w14:sx="100000" w14:sy="100000" w14:kx="0" w14:ky="0" w14:algn="tl">
            <w14:srgbClr w14:val="000000">
              <w14:alpha w14:val="60000"/>
            </w14:srgbClr>
          </w14:shadow>
        </w:rPr>
        <w:t>月</w:t>
      </w:r>
    </w:p>
    <w:p w14:paraId="1CBC7201">
      <w:pPr>
        <w:wordWrap w:val="0"/>
        <w:adjustRightInd w:val="0"/>
        <w:snapToGrid w:val="0"/>
        <w:rPr>
          <w:rFonts w:cs="宋体"/>
          <w:szCs w:val="28"/>
        </w:rPr>
      </w:pPr>
      <w:r>
        <w:br w:type="page"/>
      </w:r>
      <w:bookmarkStart w:id="0" w:name="_Toc152042286"/>
      <w:bookmarkStart w:id="1" w:name="_Toc144974478"/>
    </w:p>
    <w:p w14:paraId="046E5A2C">
      <w:pPr>
        <w:wordWrap w:val="0"/>
        <w:adjustRightInd w:val="0"/>
        <w:snapToGrid w:val="0"/>
        <w:rPr>
          <w:rFonts w:cs="宋体"/>
          <w:szCs w:val="28"/>
        </w:rPr>
      </w:pPr>
    </w:p>
    <w:p w14:paraId="1885FA3E">
      <w:pPr>
        <w:wordWrap w:val="0"/>
        <w:adjustRightInd w:val="0"/>
        <w:snapToGrid w:val="0"/>
        <w:rPr>
          <w:rFonts w:cs="宋体"/>
          <w:szCs w:val="28"/>
        </w:rPr>
      </w:pPr>
    </w:p>
    <w:p w14:paraId="66DDCF19">
      <w:pPr>
        <w:wordWrap w:val="0"/>
        <w:adjustRightInd w:val="0"/>
        <w:snapToGrid w:val="0"/>
        <w:rPr>
          <w:rFonts w:cs="宋体"/>
          <w:szCs w:val="28"/>
        </w:rPr>
      </w:pPr>
    </w:p>
    <w:p w14:paraId="665EE339">
      <w:pPr>
        <w:shd w:val="clear" w:color="auto" w:fill="E0E0E0"/>
        <w:wordWrap w:val="0"/>
        <w:adjustRightInd w:val="0"/>
        <w:snapToGrid w:val="0"/>
        <w:jc w:val="center"/>
        <w:rPr>
          <w:rFonts w:cs="黑体"/>
          <w:b/>
          <w:sz w:val="44"/>
          <w:szCs w:val="44"/>
        </w:rPr>
      </w:pPr>
      <w:r>
        <w:rPr>
          <w:rFonts w:hint="eastAsia" w:cs="黑体"/>
          <w:b/>
          <w:sz w:val="44"/>
          <w:szCs w:val="44"/>
        </w:rPr>
        <w:t>目   录</w:t>
      </w:r>
    </w:p>
    <w:p w14:paraId="6152DE6E">
      <w:pPr>
        <w:pStyle w:val="23"/>
        <w:tabs>
          <w:tab w:val="right" w:leader="dot" w:pos="9060"/>
        </w:tabs>
        <w:rPr>
          <w:rFonts w:asciiTheme="minorHAnsi" w:hAnsiTheme="minorHAnsi" w:eastAsiaTheme="minorEastAsia" w:cstheme="minorBidi"/>
          <w:sz w:val="21"/>
        </w:rPr>
      </w:pPr>
      <w:r>
        <w:rPr>
          <w:szCs w:val="24"/>
        </w:rPr>
        <w:fldChar w:fldCharType="begin"/>
      </w:r>
      <w:r>
        <w:rPr>
          <w:szCs w:val="24"/>
        </w:rPr>
        <w:instrText xml:space="preserve"> TOC \o "1-1" \h \z \u </w:instrText>
      </w:r>
      <w:r>
        <w:rPr>
          <w:szCs w:val="24"/>
        </w:rPr>
        <w:fldChar w:fldCharType="separate"/>
      </w:r>
      <w:r>
        <w:fldChar w:fldCharType="begin"/>
      </w:r>
      <w:r>
        <w:instrText xml:space="preserve"> HYPERLINK \l "_Toc242781700" </w:instrText>
      </w:r>
      <w:r>
        <w:fldChar w:fldCharType="separate"/>
      </w:r>
      <w:r>
        <w:rPr>
          <w:rStyle w:val="35"/>
          <w:b/>
        </w:rPr>
        <w:t>第一章  投标邀请</w:t>
      </w:r>
      <w:r>
        <w:tab/>
      </w:r>
      <w:r>
        <w:fldChar w:fldCharType="begin"/>
      </w:r>
      <w:r>
        <w:instrText xml:space="preserve"> PAGEREF _Toc242781700 \h </w:instrText>
      </w:r>
      <w:r>
        <w:fldChar w:fldCharType="separate"/>
      </w:r>
      <w:r>
        <w:t>1</w:t>
      </w:r>
      <w:r>
        <w:fldChar w:fldCharType="end"/>
      </w:r>
      <w:r>
        <w:fldChar w:fldCharType="end"/>
      </w:r>
    </w:p>
    <w:p w14:paraId="432C1DD1">
      <w:pPr>
        <w:pStyle w:val="23"/>
        <w:tabs>
          <w:tab w:val="right" w:leader="dot" w:pos="9060"/>
        </w:tabs>
        <w:rPr>
          <w:rFonts w:asciiTheme="minorHAnsi" w:hAnsiTheme="minorHAnsi" w:eastAsiaTheme="minorEastAsia" w:cstheme="minorBidi"/>
          <w:sz w:val="21"/>
        </w:rPr>
      </w:pPr>
      <w:r>
        <w:fldChar w:fldCharType="begin"/>
      </w:r>
      <w:r>
        <w:instrText xml:space="preserve"> HYPERLINK \l "_Toc242781701" </w:instrText>
      </w:r>
      <w:r>
        <w:fldChar w:fldCharType="separate"/>
      </w:r>
      <w:r>
        <w:rPr>
          <w:rStyle w:val="35"/>
          <w:b/>
        </w:rPr>
        <w:t>第二章  投标人须知</w:t>
      </w:r>
      <w:r>
        <w:tab/>
      </w:r>
      <w:r>
        <w:fldChar w:fldCharType="begin"/>
      </w:r>
      <w:r>
        <w:instrText xml:space="preserve"> PAGEREF _Toc242781701 \h </w:instrText>
      </w:r>
      <w:r>
        <w:fldChar w:fldCharType="separate"/>
      </w:r>
      <w:r>
        <w:t>4</w:t>
      </w:r>
      <w:r>
        <w:fldChar w:fldCharType="end"/>
      </w:r>
      <w:r>
        <w:fldChar w:fldCharType="end"/>
      </w:r>
    </w:p>
    <w:p w14:paraId="0E80BE6F">
      <w:pPr>
        <w:pStyle w:val="23"/>
        <w:tabs>
          <w:tab w:val="right" w:leader="dot" w:pos="9060"/>
        </w:tabs>
        <w:rPr>
          <w:rFonts w:asciiTheme="minorHAnsi" w:hAnsiTheme="minorHAnsi" w:eastAsiaTheme="minorEastAsia" w:cstheme="minorBidi"/>
          <w:sz w:val="21"/>
        </w:rPr>
      </w:pPr>
      <w:r>
        <w:fldChar w:fldCharType="begin"/>
      </w:r>
      <w:r>
        <w:instrText xml:space="preserve"> HYPERLINK \l "_Toc242781702" </w:instrText>
      </w:r>
      <w:r>
        <w:fldChar w:fldCharType="separate"/>
      </w:r>
      <w:r>
        <w:rPr>
          <w:rStyle w:val="35"/>
          <w:b/>
        </w:rPr>
        <w:t>第三章  评标方法和标准</w:t>
      </w:r>
      <w:r>
        <w:tab/>
      </w:r>
      <w:r>
        <w:fldChar w:fldCharType="begin"/>
      </w:r>
      <w:r>
        <w:instrText xml:space="preserve"> PAGEREF _Toc242781702 \h </w:instrText>
      </w:r>
      <w:r>
        <w:fldChar w:fldCharType="separate"/>
      </w:r>
      <w:r>
        <w:t>18</w:t>
      </w:r>
      <w:r>
        <w:fldChar w:fldCharType="end"/>
      </w:r>
      <w:r>
        <w:fldChar w:fldCharType="end"/>
      </w:r>
    </w:p>
    <w:p w14:paraId="7C166430">
      <w:pPr>
        <w:pStyle w:val="23"/>
        <w:tabs>
          <w:tab w:val="right" w:leader="dot" w:pos="9060"/>
        </w:tabs>
        <w:rPr>
          <w:rFonts w:asciiTheme="minorHAnsi" w:hAnsiTheme="minorHAnsi" w:eastAsiaTheme="minorEastAsia" w:cstheme="minorBidi"/>
          <w:sz w:val="21"/>
        </w:rPr>
      </w:pPr>
      <w:r>
        <w:fldChar w:fldCharType="begin"/>
      </w:r>
      <w:r>
        <w:instrText xml:space="preserve"> HYPERLINK \l "_Toc242781703" </w:instrText>
      </w:r>
      <w:r>
        <w:fldChar w:fldCharType="separate"/>
      </w:r>
      <w:r>
        <w:rPr>
          <w:rStyle w:val="35"/>
          <w:b/>
        </w:rPr>
        <w:t>第四章  合同条款及格式</w:t>
      </w:r>
      <w:r>
        <w:tab/>
      </w:r>
      <w:r>
        <w:fldChar w:fldCharType="begin"/>
      </w:r>
      <w:r>
        <w:instrText xml:space="preserve"> PAGEREF _Toc242781703 \h </w:instrText>
      </w:r>
      <w:r>
        <w:fldChar w:fldCharType="separate"/>
      </w:r>
      <w:r>
        <w:t>22</w:t>
      </w:r>
      <w:r>
        <w:fldChar w:fldCharType="end"/>
      </w:r>
      <w:r>
        <w:fldChar w:fldCharType="end"/>
      </w:r>
    </w:p>
    <w:p w14:paraId="020E8AAA">
      <w:pPr>
        <w:pStyle w:val="23"/>
        <w:tabs>
          <w:tab w:val="right" w:leader="dot" w:pos="9060"/>
        </w:tabs>
        <w:rPr>
          <w:rFonts w:asciiTheme="minorHAnsi" w:hAnsiTheme="minorHAnsi" w:eastAsiaTheme="minorEastAsia" w:cstheme="minorBidi"/>
          <w:sz w:val="21"/>
        </w:rPr>
      </w:pPr>
      <w:r>
        <w:fldChar w:fldCharType="begin"/>
      </w:r>
      <w:r>
        <w:instrText xml:space="preserve"> HYPERLINK \l "_Toc242781704" </w:instrText>
      </w:r>
      <w:r>
        <w:fldChar w:fldCharType="separate"/>
      </w:r>
      <w:r>
        <w:rPr>
          <w:rStyle w:val="35"/>
          <w:b/>
        </w:rPr>
        <w:t>第五章  项目采购需求</w:t>
      </w:r>
      <w:r>
        <w:tab/>
      </w:r>
      <w:r>
        <w:fldChar w:fldCharType="begin"/>
      </w:r>
      <w:r>
        <w:instrText xml:space="preserve"> PAGEREF _Toc242781704 \h </w:instrText>
      </w:r>
      <w:r>
        <w:fldChar w:fldCharType="separate"/>
      </w:r>
      <w:r>
        <w:t>34</w:t>
      </w:r>
      <w:r>
        <w:fldChar w:fldCharType="end"/>
      </w:r>
      <w:r>
        <w:fldChar w:fldCharType="end"/>
      </w:r>
    </w:p>
    <w:p w14:paraId="02EA4DBD">
      <w:pPr>
        <w:pStyle w:val="23"/>
        <w:tabs>
          <w:tab w:val="right" w:leader="dot" w:pos="9060"/>
        </w:tabs>
        <w:rPr>
          <w:rFonts w:asciiTheme="minorHAnsi" w:hAnsiTheme="minorHAnsi" w:eastAsiaTheme="minorEastAsia" w:cstheme="minorBidi"/>
          <w:sz w:val="21"/>
        </w:rPr>
      </w:pPr>
      <w:r>
        <w:fldChar w:fldCharType="begin"/>
      </w:r>
      <w:r>
        <w:instrText xml:space="preserve"> HYPERLINK \l "_Toc242781705" </w:instrText>
      </w:r>
      <w:r>
        <w:fldChar w:fldCharType="separate"/>
      </w:r>
      <w:r>
        <w:rPr>
          <w:rStyle w:val="35"/>
          <w:b/>
        </w:rPr>
        <w:t>第六章  投标文件格式</w:t>
      </w:r>
      <w:r>
        <w:tab/>
      </w:r>
      <w:r>
        <w:fldChar w:fldCharType="begin"/>
      </w:r>
      <w:r>
        <w:instrText xml:space="preserve"> PAGEREF _Toc242781705 \h </w:instrText>
      </w:r>
      <w:r>
        <w:fldChar w:fldCharType="separate"/>
      </w:r>
      <w:r>
        <w:t>41</w:t>
      </w:r>
      <w:r>
        <w:fldChar w:fldCharType="end"/>
      </w:r>
      <w:r>
        <w:fldChar w:fldCharType="end"/>
      </w:r>
    </w:p>
    <w:p w14:paraId="7601DECB">
      <w:pPr>
        <w:wordWrap w:val="0"/>
        <w:adjustRightInd w:val="0"/>
        <w:snapToGrid w:val="0"/>
        <w:rPr>
          <w:rFonts w:cs="宋体"/>
          <w:szCs w:val="28"/>
        </w:rPr>
      </w:pPr>
      <w:r>
        <w:rPr>
          <w:sz w:val="28"/>
          <w:szCs w:val="24"/>
        </w:rPr>
        <w:fldChar w:fldCharType="end"/>
      </w:r>
    </w:p>
    <w:p w14:paraId="40CCFA1F">
      <w:pPr>
        <w:wordWrap w:val="0"/>
        <w:adjustRightInd w:val="0"/>
        <w:snapToGrid w:val="0"/>
        <w:ind w:firstLine="480" w:firstLineChars="200"/>
        <w:rPr>
          <w:szCs w:val="21"/>
        </w:rPr>
        <w:sectPr>
          <w:headerReference r:id="rId5" w:type="default"/>
          <w:pgSz w:w="11906" w:h="16838"/>
          <w:pgMar w:top="1418" w:right="1418" w:bottom="1021" w:left="1418" w:header="680" w:footer="454" w:gutter="0"/>
          <w:cols w:space="425" w:num="1"/>
          <w:docGrid w:linePitch="327" w:charSpace="-3847"/>
        </w:sectPr>
      </w:pPr>
    </w:p>
    <w:bookmarkEnd w:id="0"/>
    <w:bookmarkEnd w:id="1"/>
    <w:p w14:paraId="12A45227">
      <w:pPr>
        <w:wordWrap w:val="0"/>
        <w:adjustRightInd w:val="0"/>
        <w:snapToGrid w:val="0"/>
        <w:jc w:val="center"/>
        <w:outlineLvl w:val="0"/>
        <w:rPr>
          <w:b/>
          <w:sz w:val="36"/>
        </w:rPr>
      </w:pPr>
      <w:bookmarkStart w:id="2" w:name="_Toc394695551"/>
      <w:bookmarkStart w:id="3" w:name="_Toc57992108"/>
      <w:bookmarkStart w:id="4" w:name="_Toc57992792"/>
      <w:bookmarkStart w:id="5" w:name="_Toc57992260"/>
      <w:bookmarkStart w:id="6" w:name="_Toc57991576"/>
      <w:bookmarkStart w:id="7" w:name="_Toc57991133"/>
      <w:bookmarkStart w:id="8" w:name="_Toc242781700"/>
      <w:bookmarkStart w:id="9" w:name="_Toc57992032"/>
      <w:bookmarkStart w:id="10" w:name="_Toc152042287"/>
      <w:bookmarkStart w:id="11" w:name="_Toc152045511"/>
      <w:bookmarkStart w:id="12" w:name="_Toc144974479"/>
      <w:r>
        <w:rPr>
          <w:rFonts w:hint="eastAsia"/>
          <w:b/>
          <w:sz w:val="36"/>
        </w:rPr>
        <w:t xml:space="preserve">第一章 </w:t>
      </w:r>
      <w:r>
        <w:rPr>
          <w:b/>
          <w:sz w:val="36"/>
        </w:rPr>
        <w:t xml:space="preserve"> </w:t>
      </w:r>
      <w:r>
        <w:rPr>
          <w:rFonts w:hint="eastAsia"/>
          <w:b/>
          <w:sz w:val="36"/>
        </w:rPr>
        <w:t>投标邀请</w:t>
      </w:r>
      <w:bookmarkEnd w:id="2"/>
      <w:bookmarkEnd w:id="3"/>
      <w:bookmarkEnd w:id="4"/>
      <w:bookmarkEnd w:id="5"/>
      <w:bookmarkEnd w:id="6"/>
      <w:bookmarkEnd w:id="7"/>
      <w:bookmarkEnd w:id="8"/>
      <w:bookmarkEnd w:id="9"/>
    </w:p>
    <w:p w14:paraId="44F0624E">
      <w:pPr>
        <w:wordWrap w:val="0"/>
        <w:adjustRightInd w:val="0"/>
        <w:snapToGrid w:val="0"/>
        <w:ind w:firstLine="480" w:firstLineChars="200"/>
      </w:pPr>
      <w:r>
        <w:rPr>
          <w:rFonts w:hint="eastAsia"/>
        </w:rPr>
        <w:t>受淮安市淮安医院的委托，</w:t>
      </w:r>
      <w:r>
        <w:rPr>
          <w:rFonts w:hint="eastAsia"/>
          <w:szCs w:val="28"/>
        </w:rPr>
        <w:t>江苏阳光建设项目管理有限公司</w:t>
      </w:r>
      <w:r>
        <w:rPr>
          <w:rFonts w:hint="eastAsia"/>
        </w:rPr>
        <w:t>就门诊导医导诊外包服务项目招标项目进行公开招标采购，现邀请符合条件的投标人参加投标。</w:t>
      </w:r>
    </w:p>
    <w:tbl>
      <w:tblPr>
        <w:tblStyle w:val="3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2"/>
      </w:tblGrid>
      <w:tr w14:paraId="7227C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72" w:type="dxa"/>
          </w:tcPr>
          <w:p w14:paraId="54F836C2">
            <w:pPr>
              <w:wordWrap w:val="0"/>
              <w:adjustRightInd w:val="0"/>
              <w:snapToGrid w:val="0"/>
              <w:ind w:firstLine="480" w:firstLineChars="200"/>
            </w:pPr>
            <w:r>
              <w:rPr>
                <w:rFonts w:hint="eastAsia"/>
              </w:rPr>
              <w:t>项目概况</w:t>
            </w:r>
          </w:p>
          <w:p w14:paraId="515983F2">
            <w:pPr>
              <w:wordWrap w:val="0"/>
              <w:adjustRightInd w:val="0"/>
              <w:snapToGrid w:val="0"/>
              <w:ind w:firstLine="480" w:firstLineChars="200"/>
            </w:pPr>
            <w:r>
              <w:rPr>
                <w:rFonts w:hint="eastAsia"/>
              </w:rPr>
              <w:t>淮安市淮安医院门诊导医导诊外包服务项目招标项目的潜在投标人</w:t>
            </w:r>
            <w:r>
              <w:t>应在</w:t>
            </w:r>
            <w:r>
              <w:rPr>
                <w:rFonts w:hint="eastAsia"/>
              </w:rPr>
              <w:t>江苏政府采购网、</w:t>
            </w:r>
            <w:r>
              <w:rPr>
                <w:rFonts w:hint="eastAsia"/>
                <w:szCs w:val="21"/>
              </w:rPr>
              <w:t>淮安市政府采购网</w:t>
            </w:r>
            <w:r>
              <w:rPr>
                <w:rFonts w:hint="eastAsia"/>
                <w:szCs w:val="28"/>
              </w:rPr>
              <w:t>获取</w:t>
            </w:r>
            <w:r>
              <w:rPr>
                <w:szCs w:val="28"/>
              </w:rPr>
              <w:t>招标文件</w:t>
            </w:r>
            <w:r>
              <w:rPr>
                <w:rFonts w:hint="eastAsia"/>
                <w:szCs w:val="28"/>
              </w:rPr>
              <w:t>，</w:t>
            </w:r>
            <w:r>
              <w:rPr>
                <w:szCs w:val="28"/>
              </w:rPr>
              <w:t>并</w:t>
            </w:r>
            <w:r>
              <w:rPr>
                <w:rFonts w:hint="eastAsia"/>
                <w:szCs w:val="28"/>
              </w:rPr>
              <w:t>于202</w:t>
            </w:r>
            <w:r>
              <w:rPr>
                <w:szCs w:val="28"/>
              </w:rPr>
              <w:t>6</w:t>
            </w:r>
            <w:r>
              <w:rPr>
                <w:rFonts w:hint="eastAsia"/>
                <w:szCs w:val="28"/>
              </w:rPr>
              <w:t>年</w:t>
            </w:r>
            <w:r>
              <w:rPr>
                <w:rFonts w:hint="eastAsia"/>
                <w:szCs w:val="28"/>
                <w:lang w:val="en-US" w:eastAsia="zh-CN"/>
              </w:rPr>
              <w:t>11</w:t>
            </w:r>
            <w:r>
              <w:rPr>
                <w:rFonts w:hint="eastAsia"/>
                <w:szCs w:val="28"/>
              </w:rPr>
              <w:t>月</w:t>
            </w:r>
            <w:r>
              <w:rPr>
                <w:rFonts w:hint="eastAsia"/>
                <w:szCs w:val="28"/>
                <w:lang w:val="en-US" w:eastAsia="zh-CN"/>
              </w:rPr>
              <w:t>10</w:t>
            </w:r>
            <w:r>
              <w:rPr>
                <w:rFonts w:hint="eastAsia"/>
                <w:szCs w:val="28"/>
              </w:rPr>
              <w:t>日</w:t>
            </w:r>
            <w:r>
              <w:rPr>
                <w:rFonts w:hint="eastAsia"/>
                <w:szCs w:val="28"/>
                <w:lang w:val="en-US" w:eastAsia="zh-CN"/>
              </w:rPr>
              <w:t>14</w:t>
            </w:r>
            <w:r>
              <w:rPr>
                <w:rFonts w:hint="eastAsia"/>
                <w:szCs w:val="28"/>
              </w:rPr>
              <w:t>时</w:t>
            </w:r>
            <w:r>
              <w:rPr>
                <w:rFonts w:hint="eastAsia"/>
                <w:bCs/>
                <w:szCs w:val="21"/>
                <w:lang w:val="en-US" w:eastAsia="zh-CN"/>
              </w:rPr>
              <w:t>00</w:t>
            </w:r>
            <w:r>
              <w:rPr>
                <w:rFonts w:hint="eastAsia"/>
                <w:bCs/>
                <w:szCs w:val="21"/>
              </w:rPr>
              <w:t>分（北京时间）前</w:t>
            </w:r>
            <w:r>
              <w:rPr>
                <w:bCs/>
                <w:szCs w:val="21"/>
              </w:rPr>
              <w:t>递交投标文件。</w:t>
            </w:r>
          </w:p>
        </w:tc>
      </w:tr>
    </w:tbl>
    <w:p w14:paraId="7A4DCAC3">
      <w:pPr>
        <w:wordWrap w:val="0"/>
        <w:adjustRightInd w:val="0"/>
        <w:snapToGrid w:val="0"/>
        <w:outlineLvl w:val="1"/>
        <w:rPr>
          <w:b/>
          <w:sz w:val="28"/>
        </w:rPr>
      </w:pPr>
      <w:bookmarkStart w:id="13" w:name="_Toc394695553"/>
      <w:bookmarkStart w:id="14" w:name="_Toc57991577"/>
      <w:bookmarkStart w:id="15" w:name="_Toc57992261"/>
      <w:bookmarkStart w:id="16" w:name="_Toc57992109"/>
      <w:bookmarkStart w:id="17" w:name="_Toc57992033"/>
      <w:r>
        <w:rPr>
          <w:rFonts w:hint="eastAsia"/>
          <w:b/>
          <w:sz w:val="28"/>
        </w:rPr>
        <w:t>一、项目</w:t>
      </w:r>
      <w:bookmarkEnd w:id="13"/>
      <w:r>
        <w:rPr>
          <w:rFonts w:hint="eastAsia"/>
          <w:b/>
          <w:sz w:val="28"/>
        </w:rPr>
        <w:t>基本情况</w:t>
      </w:r>
      <w:bookmarkEnd w:id="14"/>
      <w:bookmarkEnd w:id="15"/>
      <w:bookmarkEnd w:id="16"/>
      <w:bookmarkEnd w:id="17"/>
    </w:p>
    <w:p w14:paraId="156895F3">
      <w:pPr>
        <w:wordWrap w:val="0"/>
        <w:adjustRightInd w:val="0"/>
        <w:snapToGrid w:val="0"/>
        <w:ind w:firstLine="480" w:firstLineChars="200"/>
      </w:pPr>
      <w:r>
        <w:rPr>
          <w:rFonts w:hint="eastAsia"/>
          <w:szCs w:val="21"/>
        </w:rPr>
        <w:t>1．</w:t>
      </w:r>
      <w:r>
        <w:rPr>
          <w:rFonts w:hint="eastAsia"/>
        </w:rPr>
        <w:t>项目编号：</w:t>
      </w:r>
      <w:r>
        <w:rPr>
          <w:rFonts w:hint="eastAsia"/>
          <w:szCs w:val="21"/>
        </w:rPr>
        <w:t>JSZC-320803-JSYG-G2026-0004</w:t>
      </w:r>
    </w:p>
    <w:p w14:paraId="684D4F89">
      <w:pPr>
        <w:wordWrap w:val="0"/>
        <w:adjustRightInd w:val="0"/>
        <w:snapToGrid w:val="0"/>
        <w:ind w:firstLine="480" w:firstLineChars="200"/>
      </w:pPr>
      <w:r>
        <w:rPr>
          <w:szCs w:val="21"/>
        </w:rPr>
        <w:t>2</w:t>
      </w:r>
      <w:r>
        <w:rPr>
          <w:rFonts w:hint="eastAsia"/>
          <w:szCs w:val="21"/>
        </w:rPr>
        <w:t>．</w:t>
      </w:r>
      <w:r>
        <w:rPr>
          <w:rFonts w:hint="eastAsia"/>
        </w:rPr>
        <w:t>项目名称：淮安市淮安医院门诊导医导诊外包服务项目</w:t>
      </w:r>
    </w:p>
    <w:p w14:paraId="78F126D0">
      <w:pPr>
        <w:wordWrap w:val="0"/>
        <w:adjustRightInd w:val="0"/>
        <w:snapToGrid w:val="0"/>
        <w:ind w:firstLine="480" w:firstLineChars="200"/>
        <w:rPr>
          <w:szCs w:val="21"/>
        </w:rPr>
      </w:pPr>
      <w:r>
        <w:rPr>
          <w:szCs w:val="21"/>
        </w:rPr>
        <w:t>3</w:t>
      </w:r>
      <w:r>
        <w:rPr>
          <w:rFonts w:hint="eastAsia"/>
          <w:szCs w:val="21"/>
        </w:rPr>
        <w:t>．</w:t>
      </w:r>
      <w:r>
        <w:rPr>
          <w:rFonts w:hint="eastAsia"/>
        </w:rPr>
        <w:t>预算金额</w:t>
      </w:r>
      <w:r>
        <w:t>：</w:t>
      </w:r>
      <w:r>
        <w:rPr>
          <w:szCs w:val="21"/>
        </w:rPr>
        <w:t>1</w:t>
      </w:r>
      <w:r>
        <w:rPr>
          <w:rFonts w:hint="eastAsia"/>
          <w:szCs w:val="21"/>
        </w:rPr>
        <w:t>15.2万元/年</w:t>
      </w:r>
    </w:p>
    <w:p w14:paraId="566AF6EB">
      <w:pPr>
        <w:wordWrap w:val="0"/>
        <w:adjustRightInd w:val="0"/>
        <w:snapToGrid w:val="0"/>
        <w:ind w:firstLine="480" w:firstLineChars="200"/>
      </w:pPr>
      <w:r>
        <w:rPr>
          <w:szCs w:val="21"/>
        </w:rPr>
        <w:t>4</w:t>
      </w:r>
      <w:r>
        <w:rPr>
          <w:rFonts w:hint="eastAsia"/>
          <w:szCs w:val="21"/>
        </w:rPr>
        <w:t>．</w:t>
      </w:r>
      <w:r>
        <w:rPr>
          <w:rFonts w:hint="eastAsia"/>
        </w:rPr>
        <w:t>最高限价：</w:t>
      </w:r>
      <w:r>
        <w:rPr>
          <w:rFonts w:hint="eastAsia"/>
          <w:szCs w:val="21"/>
        </w:rPr>
        <w:t>115.2万元/年</w:t>
      </w:r>
    </w:p>
    <w:p w14:paraId="608F6ADD">
      <w:pPr>
        <w:wordWrap w:val="0"/>
        <w:adjustRightInd w:val="0"/>
        <w:snapToGrid w:val="0"/>
        <w:ind w:firstLine="480" w:firstLineChars="200"/>
      </w:pPr>
      <w:r>
        <w:rPr>
          <w:szCs w:val="21"/>
        </w:rPr>
        <w:t>5</w:t>
      </w:r>
      <w:r>
        <w:rPr>
          <w:rFonts w:hint="eastAsia"/>
          <w:szCs w:val="21"/>
        </w:rPr>
        <w:t>．</w:t>
      </w:r>
      <w:r>
        <w:rPr>
          <w:rFonts w:hint="eastAsia"/>
        </w:rPr>
        <w:t>采购需求：采购门诊导医导诊外包服务</w:t>
      </w:r>
      <w:r>
        <w:t>，</w:t>
      </w:r>
      <w:r>
        <w:rPr>
          <w:rFonts w:hint="eastAsia"/>
          <w:szCs w:val="21"/>
        </w:rPr>
        <w:t>详见</w:t>
      </w:r>
      <w:r>
        <w:rPr>
          <w:rFonts w:hint="eastAsia"/>
          <w:szCs w:val="24"/>
        </w:rPr>
        <w:t>招标文件</w:t>
      </w:r>
      <w:r>
        <w:rPr>
          <w:rFonts w:hint="eastAsia"/>
          <w:szCs w:val="21"/>
        </w:rPr>
        <w:t>第五章。</w:t>
      </w:r>
    </w:p>
    <w:p w14:paraId="790383C9">
      <w:pPr>
        <w:wordWrap w:val="0"/>
        <w:adjustRightInd w:val="0"/>
        <w:snapToGrid w:val="0"/>
        <w:ind w:firstLine="480" w:firstLineChars="200"/>
      </w:pPr>
      <w:r>
        <w:rPr>
          <w:szCs w:val="21"/>
        </w:rPr>
        <w:t>6</w:t>
      </w:r>
      <w:r>
        <w:rPr>
          <w:rFonts w:hint="eastAsia"/>
          <w:szCs w:val="21"/>
        </w:rPr>
        <w:t>．</w:t>
      </w:r>
      <w:r>
        <w:rPr>
          <w:rFonts w:hint="eastAsia"/>
        </w:rPr>
        <w:t>合同</w:t>
      </w:r>
      <w:r>
        <w:t>履行期限：</w:t>
      </w:r>
      <w:r>
        <w:rPr>
          <w:rFonts w:hint="eastAsia"/>
          <w:szCs w:val="21"/>
          <w:lang w:val="en-US" w:eastAsia="zh-CN"/>
        </w:rPr>
        <w:t>合同签订后一年</w:t>
      </w:r>
      <w:r>
        <w:rPr>
          <w:rFonts w:hint="eastAsia"/>
          <w:szCs w:val="21"/>
        </w:rPr>
        <w:t>。</w:t>
      </w:r>
    </w:p>
    <w:p w14:paraId="16E3BE9E">
      <w:pPr>
        <w:wordWrap w:val="0"/>
        <w:adjustRightInd w:val="0"/>
        <w:snapToGrid w:val="0"/>
        <w:ind w:firstLine="480" w:firstLineChars="200"/>
      </w:pPr>
      <w:r>
        <w:rPr>
          <w:szCs w:val="21"/>
        </w:rPr>
        <w:t>7</w:t>
      </w:r>
      <w:r>
        <w:rPr>
          <w:rFonts w:hint="eastAsia"/>
          <w:szCs w:val="21"/>
        </w:rPr>
        <w:t>．</w:t>
      </w:r>
      <w:r>
        <w:rPr>
          <w:rFonts w:hint="eastAsia"/>
        </w:rPr>
        <w:t>本项目</w:t>
      </w:r>
      <w:r>
        <w:rPr>
          <w:rFonts w:hint="eastAsia"/>
          <w:szCs w:val="21"/>
        </w:rPr>
        <w:t>不</w:t>
      </w:r>
      <w:r>
        <w:rPr>
          <w:rFonts w:hint="eastAsia"/>
        </w:rPr>
        <w:t>接受联合体投标。</w:t>
      </w:r>
    </w:p>
    <w:p w14:paraId="3A146BF8">
      <w:pPr>
        <w:wordWrap w:val="0"/>
        <w:adjustRightInd w:val="0"/>
        <w:snapToGrid w:val="0"/>
        <w:outlineLvl w:val="1"/>
        <w:rPr>
          <w:b/>
          <w:sz w:val="28"/>
        </w:rPr>
      </w:pPr>
      <w:bookmarkStart w:id="18" w:name="_Toc57992262"/>
      <w:bookmarkStart w:id="19" w:name="_Toc57991578"/>
      <w:bookmarkStart w:id="20" w:name="_Toc57992110"/>
      <w:bookmarkStart w:id="21" w:name="_Toc57992034"/>
      <w:bookmarkStart w:id="22" w:name="_Toc394695555"/>
      <w:r>
        <w:rPr>
          <w:rFonts w:hint="eastAsia"/>
          <w:b/>
          <w:sz w:val="28"/>
        </w:rPr>
        <w:t>二、申请人的资格要求</w:t>
      </w:r>
      <w:bookmarkEnd w:id="18"/>
      <w:bookmarkEnd w:id="19"/>
      <w:bookmarkEnd w:id="20"/>
      <w:bookmarkEnd w:id="21"/>
      <w:bookmarkEnd w:id="22"/>
    </w:p>
    <w:p w14:paraId="3C7EE841">
      <w:pPr>
        <w:wordWrap w:val="0"/>
        <w:adjustRightInd w:val="0"/>
        <w:snapToGrid w:val="0"/>
        <w:ind w:firstLine="480" w:firstLineChars="200"/>
        <w:rPr>
          <w:szCs w:val="21"/>
        </w:rPr>
      </w:pPr>
      <w:r>
        <w:rPr>
          <w:rFonts w:hint="eastAsia"/>
          <w:szCs w:val="21"/>
        </w:rPr>
        <w:t>（一）满足《中华人民共和国政府采购法》第二十二条规定：</w:t>
      </w:r>
    </w:p>
    <w:p w14:paraId="6BA0D350">
      <w:pPr>
        <w:wordWrap w:val="0"/>
        <w:adjustRightInd w:val="0"/>
        <w:snapToGrid w:val="0"/>
        <w:ind w:firstLine="480" w:firstLineChars="200"/>
      </w:pPr>
      <w:r>
        <w:rPr>
          <w:szCs w:val="21"/>
        </w:rPr>
        <w:t>1</w:t>
      </w:r>
      <w:r>
        <w:rPr>
          <w:rFonts w:hint="eastAsia"/>
          <w:szCs w:val="21"/>
        </w:rPr>
        <w:t>．</w:t>
      </w:r>
      <w:r>
        <w:rPr>
          <w:rFonts w:hint="eastAsia"/>
        </w:rPr>
        <w:t>具有独立承担民事责任的能力；</w:t>
      </w:r>
    </w:p>
    <w:p w14:paraId="13D78BC4">
      <w:pPr>
        <w:wordWrap w:val="0"/>
        <w:adjustRightInd w:val="0"/>
        <w:snapToGrid w:val="0"/>
        <w:ind w:firstLine="480" w:firstLineChars="200"/>
      </w:pPr>
      <w:r>
        <w:rPr>
          <w:szCs w:val="21"/>
        </w:rPr>
        <w:t>2</w:t>
      </w:r>
      <w:r>
        <w:rPr>
          <w:rFonts w:hint="eastAsia"/>
          <w:szCs w:val="21"/>
        </w:rPr>
        <w:t>．</w:t>
      </w:r>
      <w:r>
        <w:rPr>
          <w:rFonts w:hint="eastAsia"/>
        </w:rPr>
        <w:t>具有良好的商业信誉和健全的财务会计制度；</w:t>
      </w:r>
    </w:p>
    <w:p w14:paraId="4F19A0AA">
      <w:pPr>
        <w:wordWrap w:val="0"/>
        <w:adjustRightInd w:val="0"/>
        <w:snapToGrid w:val="0"/>
        <w:ind w:firstLine="480" w:firstLineChars="200"/>
      </w:pPr>
      <w:r>
        <w:rPr>
          <w:szCs w:val="21"/>
        </w:rPr>
        <w:t>3</w:t>
      </w:r>
      <w:r>
        <w:rPr>
          <w:rFonts w:hint="eastAsia"/>
          <w:szCs w:val="21"/>
        </w:rPr>
        <w:t>．</w:t>
      </w:r>
      <w:r>
        <w:rPr>
          <w:rFonts w:hint="eastAsia"/>
        </w:rPr>
        <w:t>具有履行合同所必需的设备和专业技术能力；</w:t>
      </w:r>
    </w:p>
    <w:p w14:paraId="25357805">
      <w:pPr>
        <w:wordWrap w:val="0"/>
        <w:adjustRightInd w:val="0"/>
        <w:snapToGrid w:val="0"/>
        <w:ind w:firstLine="480" w:firstLineChars="200"/>
      </w:pPr>
      <w:r>
        <w:rPr>
          <w:szCs w:val="21"/>
        </w:rPr>
        <w:t>4</w:t>
      </w:r>
      <w:r>
        <w:rPr>
          <w:rFonts w:hint="eastAsia"/>
          <w:szCs w:val="21"/>
        </w:rPr>
        <w:t>．</w:t>
      </w:r>
      <w:r>
        <w:rPr>
          <w:rFonts w:hint="eastAsia"/>
        </w:rPr>
        <w:t>有依法缴纳税收和社会保障资金的良好记录；</w:t>
      </w:r>
    </w:p>
    <w:p w14:paraId="0F4A1EA0">
      <w:pPr>
        <w:wordWrap w:val="0"/>
        <w:adjustRightInd w:val="0"/>
        <w:snapToGrid w:val="0"/>
        <w:ind w:firstLine="480" w:firstLineChars="200"/>
      </w:pPr>
      <w:r>
        <w:rPr>
          <w:szCs w:val="21"/>
        </w:rPr>
        <w:t>5</w:t>
      </w:r>
      <w:r>
        <w:rPr>
          <w:rFonts w:hint="eastAsia"/>
          <w:szCs w:val="21"/>
        </w:rPr>
        <w:t>．</w:t>
      </w:r>
      <w:r>
        <w:rPr>
          <w:rFonts w:hint="eastAsia"/>
        </w:rPr>
        <w:t>参加政府采购活动前三年内，在经营活动中没有重大违法记录；</w:t>
      </w:r>
    </w:p>
    <w:p w14:paraId="2985AC8E">
      <w:pPr>
        <w:wordWrap w:val="0"/>
        <w:adjustRightInd w:val="0"/>
        <w:snapToGrid w:val="0"/>
        <w:ind w:firstLine="480" w:firstLineChars="200"/>
        <w:rPr>
          <w:szCs w:val="21"/>
        </w:rPr>
      </w:pPr>
      <w:r>
        <w:rPr>
          <w:szCs w:val="21"/>
        </w:rPr>
        <w:t>6</w:t>
      </w:r>
      <w:r>
        <w:rPr>
          <w:rFonts w:hint="eastAsia"/>
          <w:szCs w:val="21"/>
        </w:rPr>
        <w:t>．</w:t>
      </w:r>
      <w:r>
        <w:rPr>
          <w:rFonts w:hint="eastAsia"/>
        </w:rPr>
        <w:t>法律、行政法规规定的其他条件。</w:t>
      </w:r>
    </w:p>
    <w:p w14:paraId="0839818E">
      <w:pPr>
        <w:wordWrap w:val="0"/>
        <w:adjustRightInd w:val="0"/>
        <w:snapToGrid w:val="0"/>
        <w:ind w:firstLine="480" w:firstLineChars="200"/>
        <w:rPr>
          <w:szCs w:val="21"/>
        </w:rPr>
      </w:pPr>
      <w:r>
        <w:rPr>
          <w:rFonts w:hint="eastAsia"/>
          <w:szCs w:val="21"/>
        </w:rPr>
        <w:t>（二）</w:t>
      </w:r>
      <w:r>
        <w:rPr>
          <w:szCs w:val="21"/>
        </w:rPr>
        <w:t>落实政府</w:t>
      </w:r>
      <w:r>
        <w:rPr>
          <w:rFonts w:hint="eastAsia"/>
          <w:szCs w:val="21"/>
        </w:rPr>
        <w:t>采购</w:t>
      </w:r>
      <w:r>
        <w:rPr>
          <w:szCs w:val="21"/>
        </w:rPr>
        <w:t>政策需满足的资格要求：</w:t>
      </w:r>
    </w:p>
    <w:p w14:paraId="212BE062">
      <w:pPr>
        <w:wordWrap w:val="0"/>
        <w:adjustRightInd w:val="0"/>
        <w:snapToGrid w:val="0"/>
        <w:ind w:firstLine="480" w:firstLineChars="200"/>
        <w:rPr>
          <w:szCs w:val="21"/>
        </w:rPr>
      </w:pPr>
      <w:r>
        <w:rPr>
          <w:rFonts w:hint="eastAsia"/>
          <w:szCs w:val="21"/>
        </w:rPr>
        <w:t>本项目专门面向中小企业采购，即投标人提供的服务全部由符合政策要求的中小企业（监狱企业、残疾人福利性单位视同小微企业，符合中小企业划分标准的个体工商户视同中小企业）承接。采购标的对应的中小企业划分标准所属行业为</w:t>
      </w:r>
      <w:r>
        <w:rPr>
          <w:rFonts w:hint="eastAsia"/>
          <w:szCs w:val="21"/>
          <w:u w:val="single"/>
        </w:rPr>
        <w:t>其他未列明行业</w:t>
      </w:r>
      <w:r>
        <w:rPr>
          <w:rFonts w:hint="eastAsia"/>
          <w:szCs w:val="21"/>
        </w:rPr>
        <w:t>。</w:t>
      </w:r>
    </w:p>
    <w:p w14:paraId="530A2430">
      <w:pPr>
        <w:wordWrap w:val="0"/>
        <w:adjustRightInd w:val="0"/>
        <w:snapToGrid w:val="0"/>
        <w:ind w:firstLine="480" w:firstLineChars="200"/>
        <w:rPr>
          <w:szCs w:val="21"/>
        </w:rPr>
      </w:pPr>
      <w:r>
        <w:rPr>
          <w:rFonts w:hint="eastAsia"/>
          <w:szCs w:val="21"/>
        </w:rPr>
        <w:t>（三）本项目的特定资格要求：无。</w:t>
      </w:r>
    </w:p>
    <w:p w14:paraId="471B37EE">
      <w:pPr>
        <w:wordWrap w:val="0"/>
        <w:adjustRightInd w:val="0"/>
        <w:snapToGrid w:val="0"/>
        <w:ind w:firstLine="480" w:firstLineChars="200"/>
        <w:rPr>
          <w:szCs w:val="21"/>
        </w:rPr>
      </w:pPr>
      <w:r>
        <w:rPr>
          <w:rFonts w:hint="eastAsia"/>
          <w:szCs w:val="21"/>
        </w:rPr>
        <w:t>（四）拒绝下述条件的供应商参加本次采购活动：</w:t>
      </w:r>
    </w:p>
    <w:p w14:paraId="7A3D6DEA">
      <w:pPr>
        <w:wordWrap w:val="0"/>
        <w:adjustRightInd w:val="0"/>
        <w:snapToGrid w:val="0"/>
        <w:ind w:firstLine="480" w:firstLineChars="200"/>
        <w:rPr>
          <w:rFonts w:cs="宋体"/>
          <w:szCs w:val="21"/>
        </w:rPr>
      </w:pPr>
      <w:r>
        <w:rPr>
          <w:rFonts w:hint="eastAsia"/>
          <w:szCs w:val="21"/>
        </w:rPr>
        <w:t>1．投标人单位负责人为同一人或者存在直接控股、管理关系的不同投标人，不得同时参加同一合同项下的政府采购活动；</w:t>
      </w:r>
    </w:p>
    <w:p w14:paraId="21AE9CA6">
      <w:pPr>
        <w:wordWrap w:val="0"/>
        <w:adjustRightInd w:val="0"/>
        <w:snapToGrid w:val="0"/>
        <w:ind w:firstLine="480" w:firstLineChars="200"/>
        <w:rPr>
          <w:szCs w:val="21"/>
        </w:rPr>
      </w:pPr>
      <w:r>
        <w:rPr>
          <w:szCs w:val="21"/>
        </w:rPr>
        <w:t>2</w:t>
      </w:r>
      <w:r>
        <w:rPr>
          <w:rFonts w:hint="eastAsia"/>
          <w:szCs w:val="21"/>
        </w:rPr>
        <w:t>．凡为采购项目提供整体设计、规范编制或者项目管理、监理、检测等服务的投标人，不得再参加本项目的采购活动；</w:t>
      </w:r>
    </w:p>
    <w:p w14:paraId="42BC62D9">
      <w:pPr>
        <w:wordWrap w:val="0"/>
        <w:adjustRightInd w:val="0"/>
        <w:snapToGrid w:val="0"/>
        <w:ind w:firstLine="480" w:firstLineChars="200"/>
        <w:rPr>
          <w:szCs w:val="21"/>
        </w:rPr>
      </w:pPr>
      <w:r>
        <w:rPr>
          <w:szCs w:val="21"/>
        </w:rPr>
        <w:t>3</w:t>
      </w:r>
      <w:r>
        <w:rPr>
          <w:rFonts w:hint="eastAsia"/>
          <w:szCs w:val="21"/>
        </w:rPr>
        <w:t>．投标人被“信用中国”网站、“中国政府采购网”列入失信被执行人、重大税收违法案件当事人名单、政府采购严重违法失信行为记录名单。</w:t>
      </w:r>
    </w:p>
    <w:p w14:paraId="5028F0CE">
      <w:pPr>
        <w:wordWrap w:val="0"/>
        <w:adjustRightInd w:val="0"/>
        <w:snapToGrid w:val="0"/>
        <w:outlineLvl w:val="1"/>
        <w:rPr>
          <w:b/>
          <w:sz w:val="28"/>
        </w:rPr>
      </w:pPr>
      <w:bookmarkStart w:id="23" w:name="_Toc394695556"/>
      <w:bookmarkStart w:id="24" w:name="_Toc57992263"/>
      <w:bookmarkStart w:id="25" w:name="_Toc57991579"/>
      <w:bookmarkStart w:id="26" w:name="_Toc57992035"/>
      <w:bookmarkStart w:id="27" w:name="_Toc57992111"/>
      <w:r>
        <w:rPr>
          <w:rFonts w:hint="eastAsia"/>
          <w:b/>
          <w:sz w:val="28"/>
        </w:rPr>
        <w:t>三、获取招标文件</w:t>
      </w:r>
      <w:bookmarkEnd w:id="23"/>
      <w:bookmarkEnd w:id="24"/>
      <w:bookmarkEnd w:id="25"/>
      <w:bookmarkEnd w:id="26"/>
      <w:bookmarkEnd w:id="27"/>
    </w:p>
    <w:p w14:paraId="4DAADDBC">
      <w:pPr>
        <w:wordWrap w:val="0"/>
        <w:adjustRightInd w:val="0"/>
        <w:snapToGrid w:val="0"/>
        <w:ind w:firstLine="480" w:firstLineChars="200"/>
        <w:rPr>
          <w:szCs w:val="21"/>
        </w:rPr>
      </w:pPr>
      <w:r>
        <w:rPr>
          <w:rFonts w:hint="eastAsia"/>
          <w:szCs w:val="21"/>
        </w:rPr>
        <w:t>1．时间</w:t>
      </w:r>
      <w:r>
        <w:rPr>
          <w:szCs w:val="21"/>
        </w:rPr>
        <w:t>：</w:t>
      </w:r>
      <w:r>
        <w:rPr>
          <w:rFonts w:hint="eastAsia"/>
          <w:szCs w:val="21"/>
        </w:rPr>
        <w:t>自招标公告发布之日起五个工作日；</w:t>
      </w:r>
    </w:p>
    <w:p w14:paraId="2F095967">
      <w:pPr>
        <w:wordWrap w:val="0"/>
        <w:adjustRightInd w:val="0"/>
        <w:snapToGrid w:val="0"/>
        <w:ind w:firstLine="480" w:firstLineChars="200"/>
        <w:rPr>
          <w:szCs w:val="21"/>
        </w:rPr>
      </w:pPr>
      <w:r>
        <w:rPr>
          <w:szCs w:val="21"/>
        </w:rPr>
        <w:t>2</w:t>
      </w:r>
      <w:r>
        <w:rPr>
          <w:rFonts w:hint="eastAsia"/>
          <w:szCs w:val="21"/>
        </w:rPr>
        <w:t>．地点</w:t>
      </w:r>
      <w:r>
        <w:rPr>
          <w:szCs w:val="21"/>
        </w:rPr>
        <w:t>：</w:t>
      </w:r>
      <w:r>
        <w:rPr>
          <w:rFonts w:hint="eastAsia"/>
        </w:rPr>
        <w:t>江苏政府采购网、</w:t>
      </w:r>
      <w:r>
        <w:rPr>
          <w:rFonts w:hint="eastAsia"/>
          <w:szCs w:val="21"/>
        </w:rPr>
        <w:t>淮安市政府采购网</w:t>
      </w:r>
      <w:r>
        <w:rPr>
          <w:rFonts w:hint="eastAsia"/>
          <w:szCs w:val="28"/>
        </w:rPr>
        <w:t>；</w:t>
      </w:r>
    </w:p>
    <w:p w14:paraId="14B791AC">
      <w:pPr>
        <w:wordWrap w:val="0"/>
        <w:adjustRightInd w:val="0"/>
        <w:snapToGrid w:val="0"/>
        <w:ind w:firstLine="480" w:firstLineChars="200"/>
        <w:rPr>
          <w:szCs w:val="21"/>
        </w:rPr>
      </w:pPr>
      <w:r>
        <w:rPr>
          <w:szCs w:val="21"/>
        </w:rPr>
        <w:t>3</w:t>
      </w:r>
      <w:r>
        <w:rPr>
          <w:rFonts w:hint="eastAsia"/>
          <w:szCs w:val="21"/>
        </w:rPr>
        <w:t>．方式</w:t>
      </w:r>
      <w:r>
        <w:rPr>
          <w:szCs w:val="21"/>
        </w:rPr>
        <w:t>：</w:t>
      </w:r>
      <w:r>
        <w:rPr>
          <w:rFonts w:hint="eastAsia"/>
        </w:rPr>
        <w:t>供应商登录江苏政府采购网</w:t>
      </w:r>
      <w:r>
        <w:rPr>
          <w:rFonts w:hint="eastAsia"/>
          <w:szCs w:val="21"/>
        </w:rPr>
        <w:t>或淮安市政府采购网，在网站</w:t>
      </w:r>
      <w:r>
        <w:rPr>
          <w:rFonts w:hint="eastAsia"/>
        </w:rPr>
        <w:t>首页点击“苏采云”→使用CA锁登录系统（新用户需进行“平台用户注册”）→“项目参与”进行登记，在“可参与项目”中选择“我要参与”，参与成功后到“已参与项目”界面中找到该项目免费下载文件并进行操作；</w:t>
      </w:r>
    </w:p>
    <w:p w14:paraId="615C3160">
      <w:pPr>
        <w:wordWrap w:val="0"/>
        <w:adjustRightInd w:val="0"/>
        <w:snapToGrid w:val="0"/>
        <w:ind w:firstLine="480" w:firstLineChars="200"/>
        <w:rPr>
          <w:szCs w:val="21"/>
        </w:rPr>
      </w:pPr>
      <w:r>
        <w:rPr>
          <w:szCs w:val="21"/>
        </w:rPr>
        <w:t>4</w:t>
      </w:r>
      <w:r>
        <w:rPr>
          <w:rFonts w:hint="eastAsia"/>
          <w:szCs w:val="21"/>
        </w:rPr>
        <w:t>．售价</w:t>
      </w:r>
      <w:r>
        <w:rPr>
          <w:szCs w:val="21"/>
        </w:rPr>
        <w:t>：</w:t>
      </w:r>
      <w:r>
        <w:rPr>
          <w:szCs w:val="24"/>
        </w:rPr>
        <w:t>0</w:t>
      </w:r>
      <w:r>
        <w:rPr>
          <w:rFonts w:hint="eastAsia"/>
          <w:szCs w:val="24"/>
        </w:rPr>
        <w:t>元。</w:t>
      </w:r>
    </w:p>
    <w:p w14:paraId="28DF0B11">
      <w:pPr>
        <w:wordWrap w:val="0"/>
        <w:adjustRightInd w:val="0"/>
        <w:snapToGrid w:val="0"/>
        <w:outlineLvl w:val="1"/>
        <w:rPr>
          <w:b/>
          <w:sz w:val="28"/>
        </w:rPr>
      </w:pPr>
      <w:bookmarkStart w:id="28" w:name="_Toc57992112"/>
      <w:bookmarkStart w:id="29" w:name="_Toc394695557"/>
      <w:bookmarkStart w:id="30" w:name="_Toc57992264"/>
      <w:bookmarkStart w:id="31" w:name="_Toc57992036"/>
      <w:bookmarkStart w:id="32" w:name="_Toc57991580"/>
      <w:r>
        <w:rPr>
          <w:rFonts w:hint="eastAsia"/>
          <w:b/>
          <w:sz w:val="28"/>
        </w:rPr>
        <w:t>四、提交</w:t>
      </w:r>
      <w:r>
        <w:rPr>
          <w:b/>
          <w:sz w:val="28"/>
        </w:rPr>
        <w:t>投标文件截止时间、开标时间和地点</w:t>
      </w:r>
      <w:bookmarkEnd w:id="28"/>
      <w:bookmarkEnd w:id="29"/>
      <w:bookmarkEnd w:id="30"/>
      <w:bookmarkEnd w:id="31"/>
      <w:bookmarkEnd w:id="32"/>
    </w:p>
    <w:p w14:paraId="0FB840D4">
      <w:pPr>
        <w:wordWrap w:val="0"/>
        <w:adjustRightInd w:val="0"/>
        <w:snapToGrid w:val="0"/>
        <w:ind w:firstLine="480" w:firstLineChars="200"/>
        <w:rPr>
          <w:bCs/>
          <w:szCs w:val="21"/>
        </w:rPr>
      </w:pPr>
      <w:r>
        <w:rPr>
          <w:rFonts w:hint="eastAsia"/>
          <w:szCs w:val="21"/>
        </w:rPr>
        <w:t>1．</w:t>
      </w:r>
      <w:r>
        <w:rPr>
          <w:szCs w:val="28"/>
        </w:rPr>
        <w:t>时间</w:t>
      </w:r>
      <w:r>
        <w:rPr>
          <w:rFonts w:hint="eastAsia"/>
          <w:szCs w:val="28"/>
        </w:rPr>
        <w:t>：20</w:t>
      </w:r>
      <w:r>
        <w:rPr>
          <w:szCs w:val="28"/>
        </w:rPr>
        <w:t>26</w:t>
      </w:r>
      <w:r>
        <w:rPr>
          <w:rFonts w:hint="eastAsia"/>
          <w:szCs w:val="28"/>
        </w:rPr>
        <w:t>年</w:t>
      </w:r>
      <w:r>
        <w:rPr>
          <w:rFonts w:hint="eastAsia"/>
          <w:szCs w:val="28"/>
          <w:lang w:val="en-US" w:eastAsia="zh-CN"/>
        </w:rPr>
        <w:t>11</w:t>
      </w:r>
      <w:r>
        <w:rPr>
          <w:rFonts w:hint="eastAsia"/>
          <w:szCs w:val="28"/>
        </w:rPr>
        <w:t>月</w:t>
      </w:r>
      <w:r>
        <w:rPr>
          <w:rFonts w:hint="eastAsia"/>
          <w:szCs w:val="28"/>
          <w:lang w:val="en-US" w:eastAsia="zh-CN"/>
        </w:rPr>
        <w:t>10</w:t>
      </w:r>
      <w:r>
        <w:rPr>
          <w:rFonts w:hint="eastAsia"/>
          <w:szCs w:val="28"/>
        </w:rPr>
        <w:t>日</w:t>
      </w:r>
      <w:r>
        <w:rPr>
          <w:rFonts w:hint="eastAsia"/>
          <w:szCs w:val="28"/>
          <w:lang w:val="en-US" w:eastAsia="zh-CN"/>
        </w:rPr>
        <w:t>14</w:t>
      </w:r>
      <w:r>
        <w:rPr>
          <w:rFonts w:hint="eastAsia"/>
          <w:szCs w:val="28"/>
        </w:rPr>
        <w:t>时</w:t>
      </w:r>
      <w:r>
        <w:rPr>
          <w:rFonts w:hint="eastAsia"/>
          <w:bCs/>
          <w:szCs w:val="21"/>
          <w:lang w:val="en-US" w:eastAsia="zh-CN"/>
        </w:rPr>
        <w:t>00</w:t>
      </w:r>
      <w:r>
        <w:rPr>
          <w:rFonts w:hint="eastAsia"/>
          <w:bCs/>
          <w:szCs w:val="21"/>
        </w:rPr>
        <w:t>分（北京时间）；</w:t>
      </w:r>
    </w:p>
    <w:p w14:paraId="2A9BBA97">
      <w:pPr>
        <w:wordWrap w:val="0"/>
        <w:adjustRightInd w:val="0"/>
        <w:snapToGrid w:val="0"/>
        <w:ind w:firstLine="480" w:firstLineChars="200"/>
        <w:rPr>
          <w:szCs w:val="28"/>
        </w:rPr>
      </w:pPr>
      <w:r>
        <w:rPr>
          <w:szCs w:val="28"/>
        </w:rPr>
        <w:t>2</w:t>
      </w:r>
      <w:r>
        <w:rPr>
          <w:rFonts w:hint="eastAsia"/>
          <w:szCs w:val="28"/>
        </w:rPr>
        <w:t>．地点：“苏采云”政府采购交易系统。</w:t>
      </w:r>
    </w:p>
    <w:p w14:paraId="335207D3">
      <w:pPr>
        <w:wordWrap w:val="0"/>
        <w:adjustRightInd w:val="0"/>
        <w:snapToGrid w:val="0"/>
        <w:outlineLvl w:val="1"/>
        <w:rPr>
          <w:b/>
          <w:sz w:val="28"/>
        </w:rPr>
      </w:pPr>
      <w:bookmarkStart w:id="33" w:name="_Toc57992037"/>
      <w:bookmarkStart w:id="34" w:name="_Toc57992113"/>
      <w:bookmarkStart w:id="35" w:name="_Toc57991581"/>
      <w:bookmarkStart w:id="36" w:name="_Toc57992265"/>
      <w:r>
        <w:rPr>
          <w:rFonts w:hint="eastAsia"/>
          <w:b/>
          <w:sz w:val="28"/>
        </w:rPr>
        <w:t>五</w:t>
      </w:r>
      <w:r>
        <w:rPr>
          <w:b/>
          <w:sz w:val="28"/>
        </w:rPr>
        <w:t>、公告期限</w:t>
      </w:r>
      <w:bookmarkEnd w:id="33"/>
      <w:bookmarkEnd w:id="34"/>
      <w:bookmarkEnd w:id="35"/>
      <w:bookmarkEnd w:id="36"/>
    </w:p>
    <w:p w14:paraId="6D0302BD">
      <w:pPr>
        <w:wordWrap w:val="0"/>
        <w:adjustRightInd w:val="0"/>
        <w:snapToGrid w:val="0"/>
        <w:ind w:firstLine="480" w:firstLineChars="200"/>
        <w:rPr>
          <w:szCs w:val="28"/>
        </w:rPr>
      </w:pPr>
      <w:r>
        <w:rPr>
          <w:rFonts w:hint="eastAsia"/>
          <w:szCs w:val="28"/>
        </w:rPr>
        <w:t>自本公告发布之日起</w:t>
      </w:r>
      <w:r>
        <w:rPr>
          <w:rFonts w:hint="eastAsia"/>
          <w:szCs w:val="21"/>
        </w:rPr>
        <w:t>5</w:t>
      </w:r>
      <w:r>
        <w:rPr>
          <w:rFonts w:hint="eastAsia"/>
          <w:szCs w:val="28"/>
        </w:rPr>
        <w:t>个工作日。</w:t>
      </w:r>
    </w:p>
    <w:p w14:paraId="278D0BBE">
      <w:pPr>
        <w:wordWrap w:val="0"/>
        <w:adjustRightInd w:val="0"/>
        <w:snapToGrid w:val="0"/>
        <w:outlineLvl w:val="1"/>
        <w:rPr>
          <w:b/>
          <w:sz w:val="28"/>
        </w:rPr>
      </w:pPr>
      <w:bookmarkStart w:id="37" w:name="_Toc57992266"/>
      <w:bookmarkStart w:id="38" w:name="_Toc57992038"/>
      <w:bookmarkStart w:id="39" w:name="_Toc57991582"/>
      <w:bookmarkStart w:id="40" w:name="_Toc57992114"/>
      <w:r>
        <w:rPr>
          <w:rFonts w:hint="eastAsia"/>
          <w:b/>
          <w:sz w:val="28"/>
        </w:rPr>
        <w:t>六</w:t>
      </w:r>
      <w:r>
        <w:rPr>
          <w:b/>
          <w:sz w:val="28"/>
        </w:rPr>
        <w:t>、其他补充事宜</w:t>
      </w:r>
      <w:bookmarkEnd w:id="37"/>
      <w:bookmarkEnd w:id="38"/>
      <w:bookmarkEnd w:id="39"/>
      <w:bookmarkEnd w:id="40"/>
    </w:p>
    <w:p w14:paraId="69082DE5">
      <w:pPr>
        <w:wordWrap w:val="0"/>
        <w:adjustRightInd w:val="0"/>
        <w:snapToGrid w:val="0"/>
        <w:ind w:firstLine="480" w:firstLineChars="200"/>
      </w:pPr>
      <w:r>
        <w:t>1</w:t>
      </w:r>
      <w:r>
        <w:rPr>
          <w:rFonts w:hint="eastAsia"/>
          <w:szCs w:val="21"/>
        </w:rPr>
        <w:t>．</w:t>
      </w:r>
      <w:r>
        <w:rPr>
          <w:rFonts w:hint="eastAsia"/>
        </w:rPr>
        <w:t>本项目仅采购非进口产品（注：本文件所称进口产品是指通过中国海关报关验放进入中国境内且产自关境外的产品）；</w:t>
      </w:r>
    </w:p>
    <w:p w14:paraId="79D59B08">
      <w:pPr>
        <w:wordWrap w:val="0"/>
        <w:adjustRightInd w:val="0"/>
        <w:snapToGrid w:val="0"/>
        <w:ind w:firstLine="480" w:firstLineChars="200"/>
      </w:pPr>
      <w:r>
        <w:t>2</w:t>
      </w:r>
      <w:r>
        <w:rPr>
          <w:rFonts w:hint="eastAsia"/>
          <w:szCs w:val="21"/>
        </w:rPr>
        <w:t>．</w:t>
      </w:r>
      <w:r>
        <w:rPr>
          <w:rFonts w:hint="eastAsia"/>
        </w:rPr>
        <w:t>根据省财政厅《关于更换全省政府采购交易系统CA数字证书和电子签章的通知》（苏财购〔2023〕101号），“苏采云”政府采购交易系统（以下简称苏采云系统）的CA数字证书、公章为江苏省电子政务证书认证中心CA和方正国际软件（北京）有限公司公章。如果投标人通过苏采云系统参与政府采购项目，需要更换CA数字证书和公章。具体办理指南和操作手册见链接：http://www.ccgp-jiangsu.gov.cn/jiangsu/zlxz/ee/ee3a4bc5a3454aa2b0d9312230633ce9.html。</w:t>
      </w:r>
    </w:p>
    <w:p w14:paraId="12A970E1">
      <w:pPr>
        <w:wordWrap w:val="0"/>
        <w:adjustRightInd w:val="0"/>
        <w:snapToGrid w:val="0"/>
        <w:ind w:firstLine="480" w:firstLineChars="200"/>
      </w:pPr>
      <w:r>
        <w:rPr>
          <w:rFonts w:hint="eastAsia"/>
        </w:rPr>
        <w:t>领取CA和办理公章（请至淮安市清江浦区深圳路16号淮安市公共资源交易中心二楼13号CA办理窗口办理，具体联系方式见《苏采云系统供应商操作手册》（以下简称《操作手册》））、进行注册并按《操作手册》要求制作、上传电子投标文件。</w:t>
      </w:r>
    </w:p>
    <w:p w14:paraId="095C1BAB">
      <w:pPr>
        <w:wordWrap w:val="0"/>
        <w:adjustRightInd w:val="0"/>
        <w:snapToGrid w:val="0"/>
        <w:ind w:firstLine="480" w:firstLineChars="200"/>
        <w:rPr>
          <w:szCs w:val="21"/>
        </w:rPr>
      </w:pPr>
      <w:r>
        <w:t>3</w:t>
      </w:r>
      <w:r>
        <w:rPr>
          <w:rFonts w:hint="eastAsia"/>
          <w:szCs w:val="21"/>
        </w:rPr>
        <w:t>．</w:t>
      </w:r>
      <w:r>
        <w:rPr>
          <w:rFonts w:hint="eastAsia"/>
          <w:szCs w:val="28"/>
        </w:rPr>
        <w:t>有关本次招标的事项若存在变动或修改，敬请及时关注</w:t>
      </w:r>
      <w:r>
        <w:rPr>
          <w:rFonts w:hint="eastAsia"/>
        </w:rPr>
        <w:t>江苏阳光建设项目管理有限公司</w:t>
      </w:r>
      <w:r>
        <w:rPr>
          <w:rFonts w:hint="eastAsia"/>
          <w:szCs w:val="28"/>
        </w:rPr>
        <w:t>在</w:t>
      </w:r>
      <w:r>
        <w:rPr>
          <w:rFonts w:hint="eastAsia"/>
        </w:rPr>
        <w:t>“江苏政府采购网”、“</w:t>
      </w:r>
      <w:r>
        <w:rPr>
          <w:rFonts w:hint="eastAsia"/>
          <w:szCs w:val="28"/>
        </w:rPr>
        <w:t>淮安市政府采购网</w:t>
      </w:r>
      <w:r>
        <w:rPr>
          <w:rFonts w:hint="eastAsia"/>
        </w:rPr>
        <w:t>”</w:t>
      </w:r>
      <w:r>
        <w:rPr>
          <w:rFonts w:hint="eastAsia"/>
          <w:szCs w:val="28"/>
        </w:rPr>
        <w:t>发布的更正公告。</w:t>
      </w:r>
    </w:p>
    <w:p w14:paraId="2D9E1DE1">
      <w:pPr>
        <w:wordWrap w:val="0"/>
        <w:adjustRightInd w:val="0"/>
        <w:snapToGrid w:val="0"/>
        <w:ind w:firstLine="480" w:firstLineChars="200"/>
      </w:pPr>
      <w:r>
        <w:rPr>
          <w:szCs w:val="28"/>
        </w:rPr>
        <w:t>4</w:t>
      </w:r>
      <w:r>
        <w:rPr>
          <w:rFonts w:hint="eastAsia"/>
          <w:szCs w:val="28"/>
        </w:rPr>
        <w:t>．本次招标不收取投标保证金。</w:t>
      </w:r>
    </w:p>
    <w:p w14:paraId="25ED0167">
      <w:pPr>
        <w:wordWrap w:val="0"/>
        <w:adjustRightInd w:val="0"/>
        <w:snapToGrid w:val="0"/>
        <w:outlineLvl w:val="1"/>
        <w:rPr>
          <w:b/>
          <w:sz w:val="28"/>
        </w:rPr>
      </w:pPr>
      <w:bookmarkStart w:id="41" w:name="_Toc394695559"/>
      <w:bookmarkStart w:id="42" w:name="_Toc57992115"/>
      <w:bookmarkStart w:id="43" w:name="_Toc57992039"/>
      <w:bookmarkStart w:id="44" w:name="_Toc57992267"/>
      <w:bookmarkStart w:id="45" w:name="_Toc57991583"/>
      <w:r>
        <w:rPr>
          <w:rFonts w:hint="eastAsia"/>
          <w:b/>
          <w:sz w:val="28"/>
        </w:rPr>
        <w:t>七、对本次招标提出</w:t>
      </w:r>
      <w:r>
        <w:rPr>
          <w:b/>
          <w:sz w:val="28"/>
        </w:rPr>
        <w:t>询问，请按以下方式</w:t>
      </w:r>
      <w:r>
        <w:rPr>
          <w:rFonts w:hint="eastAsia"/>
          <w:b/>
          <w:sz w:val="28"/>
        </w:rPr>
        <w:t>联系</w:t>
      </w:r>
      <w:bookmarkEnd w:id="41"/>
      <w:r>
        <w:rPr>
          <w:rFonts w:hint="eastAsia"/>
          <w:b/>
          <w:sz w:val="28"/>
        </w:rPr>
        <w:t>。</w:t>
      </w:r>
      <w:bookmarkEnd w:id="42"/>
      <w:bookmarkEnd w:id="43"/>
      <w:bookmarkEnd w:id="44"/>
      <w:bookmarkEnd w:id="45"/>
    </w:p>
    <w:p w14:paraId="105B9CE5">
      <w:pPr>
        <w:wordWrap w:val="0"/>
        <w:adjustRightInd w:val="0"/>
        <w:snapToGrid w:val="0"/>
        <w:ind w:firstLine="480" w:firstLineChars="200"/>
        <w:rPr>
          <w:szCs w:val="28"/>
        </w:rPr>
      </w:pPr>
      <w:r>
        <w:rPr>
          <w:rFonts w:hint="eastAsia"/>
          <w:szCs w:val="28"/>
        </w:rPr>
        <w:t>1</w:t>
      </w:r>
      <w:r>
        <w:rPr>
          <w:rFonts w:hint="eastAsia"/>
          <w:szCs w:val="21"/>
        </w:rPr>
        <w:t>．</w:t>
      </w:r>
      <w:r>
        <w:rPr>
          <w:rFonts w:hint="eastAsia"/>
          <w:szCs w:val="28"/>
        </w:rPr>
        <w:t>采购人信息</w:t>
      </w:r>
    </w:p>
    <w:p w14:paraId="259EB3D1">
      <w:pPr>
        <w:wordWrap w:val="0"/>
        <w:adjustRightInd w:val="0"/>
        <w:snapToGrid w:val="0"/>
        <w:ind w:firstLine="480" w:firstLineChars="200"/>
        <w:rPr>
          <w:szCs w:val="28"/>
        </w:rPr>
      </w:pPr>
      <w:r>
        <w:rPr>
          <w:rFonts w:hint="eastAsia"/>
          <w:szCs w:val="28"/>
        </w:rPr>
        <w:t>名称</w:t>
      </w:r>
      <w:r>
        <w:rPr>
          <w:szCs w:val="28"/>
        </w:rPr>
        <w:t>：</w:t>
      </w:r>
      <w:r>
        <w:rPr>
          <w:rFonts w:hint="eastAsia"/>
        </w:rPr>
        <w:t>淮安市淮安医院</w:t>
      </w:r>
    </w:p>
    <w:p w14:paraId="54651C5C">
      <w:pPr>
        <w:wordWrap w:val="0"/>
        <w:adjustRightInd w:val="0"/>
        <w:snapToGrid w:val="0"/>
        <w:ind w:firstLine="480" w:firstLineChars="200"/>
        <w:rPr>
          <w:szCs w:val="28"/>
        </w:rPr>
      </w:pPr>
      <w:r>
        <w:rPr>
          <w:rFonts w:hint="eastAsia"/>
          <w:szCs w:val="28"/>
        </w:rPr>
        <w:t>地址</w:t>
      </w:r>
      <w:r>
        <w:rPr>
          <w:szCs w:val="28"/>
        </w:rPr>
        <w:t>：</w:t>
      </w:r>
      <w:r>
        <w:rPr>
          <w:rFonts w:hint="eastAsia"/>
        </w:rPr>
        <w:t>淮安市淮安区山阳大道19号</w:t>
      </w:r>
    </w:p>
    <w:p w14:paraId="45FDE18B">
      <w:pPr>
        <w:wordWrap w:val="0"/>
        <w:adjustRightInd w:val="0"/>
        <w:snapToGrid w:val="0"/>
        <w:ind w:firstLine="480" w:firstLineChars="200"/>
        <w:rPr>
          <w:szCs w:val="24"/>
        </w:rPr>
      </w:pPr>
      <w:r>
        <w:rPr>
          <w:rFonts w:hint="eastAsia"/>
          <w:szCs w:val="28"/>
        </w:rPr>
        <w:t>联系方式</w:t>
      </w:r>
      <w:r>
        <w:rPr>
          <w:szCs w:val="28"/>
        </w:rPr>
        <w:t>：孙俊满  0517-85105136</w:t>
      </w:r>
    </w:p>
    <w:p w14:paraId="37C26F75">
      <w:pPr>
        <w:wordWrap w:val="0"/>
        <w:adjustRightInd w:val="0"/>
        <w:snapToGrid w:val="0"/>
        <w:ind w:firstLine="480" w:firstLineChars="200"/>
        <w:rPr>
          <w:szCs w:val="28"/>
        </w:rPr>
      </w:pPr>
      <w:r>
        <w:rPr>
          <w:rFonts w:hint="eastAsia"/>
          <w:szCs w:val="28"/>
        </w:rPr>
        <w:t>2</w:t>
      </w:r>
      <w:r>
        <w:rPr>
          <w:rFonts w:hint="eastAsia"/>
          <w:szCs w:val="21"/>
        </w:rPr>
        <w:t>．</w:t>
      </w:r>
      <w:r>
        <w:rPr>
          <w:rFonts w:hint="eastAsia"/>
          <w:szCs w:val="28"/>
        </w:rPr>
        <w:t>采购代理机构信息</w:t>
      </w:r>
    </w:p>
    <w:p w14:paraId="393AACCD">
      <w:pPr>
        <w:wordWrap w:val="0"/>
        <w:adjustRightInd w:val="0"/>
        <w:snapToGrid w:val="0"/>
        <w:ind w:firstLine="480" w:firstLineChars="200"/>
        <w:rPr>
          <w:szCs w:val="24"/>
        </w:rPr>
      </w:pPr>
      <w:r>
        <w:rPr>
          <w:rFonts w:hint="eastAsia"/>
          <w:szCs w:val="28"/>
        </w:rPr>
        <w:t>名称</w:t>
      </w:r>
      <w:r>
        <w:rPr>
          <w:szCs w:val="28"/>
        </w:rPr>
        <w:t>：</w:t>
      </w:r>
      <w:r>
        <w:rPr>
          <w:rFonts w:hint="eastAsia"/>
          <w:szCs w:val="28"/>
        </w:rPr>
        <w:t>江苏阳光建设项目管理有限公司</w:t>
      </w:r>
    </w:p>
    <w:p w14:paraId="1B041163">
      <w:pPr>
        <w:wordWrap w:val="0"/>
        <w:adjustRightInd w:val="0"/>
        <w:snapToGrid w:val="0"/>
        <w:ind w:firstLine="480" w:firstLineChars="200"/>
        <w:rPr>
          <w:szCs w:val="24"/>
        </w:rPr>
      </w:pPr>
      <w:r>
        <w:rPr>
          <w:rFonts w:hint="eastAsia"/>
          <w:szCs w:val="28"/>
        </w:rPr>
        <w:t>地址</w:t>
      </w:r>
      <w:r>
        <w:rPr>
          <w:szCs w:val="28"/>
        </w:rPr>
        <w:t>：</w:t>
      </w:r>
      <w:r>
        <w:rPr>
          <w:rFonts w:hint="eastAsia"/>
          <w:szCs w:val="28"/>
        </w:rPr>
        <w:t>淮安市中天优诗美地花园（东门）商铺2</w:t>
      </w:r>
    </w:p>
    <w:p w14:paraId="061BBF70">
      <w:pPr>
        <w:wordWrap w:val="0"/>
        <w:adjustRightInd w:val="0"/>
        <w:snapToGrid w:val="0"/>
        <w:ind w:firstLine="480" w:firstLineChars="200"/>
        <w:rPr>
          <w:szCs w:val="24"/>
        </w:rPr>
      </w:pPr>
      <w:r>
        <w:rPr>
          <w:rFonts w:hint="eastAsia"/>
          <w:szCs w:val="28"/>
        </w:rPr>
        <w:t>联系方式</w:t>
      </w:r>
      <w:r>
        <w:rPr>
          <w:szCs w:val="28"/>
        </w:rPr>
        <w:t>：</w:t>
      </w:r>
      <w:r>
        <w:rPr>
          <w:rFonts w:hint="eastAsia"/>
        </w:rPr>
        <w:t>李晨晨、张想</w:t>
      </w:r>
      <w:r>
        <w:rPr>
          <w:szCs w:val="24"/>
        </w:rPr>
        <w:t xml:space="preserve">  </w:t>
      </w:r>
      <w:r>
        <w:rPr>
          <w:rFonts w:hint="eastAsia"/>
          <w:szCs w:val="24"/>
        </w:rPr>
        <w:t>18105236160</w:t>
      </w:r>
    </w:p>
    <w:p w14:paraId="718BCF33">
      <w:pPr>
        <w:wordWrap w:val="0"/>
        <w:adjustRightInd w:val="0"/>
        <w:snapToGrid w:val="0"/>
        <w:ind w:firstLine="480" w:firstLineChars="200"/>
        <w:rPr>
          <w:szCs w:val="28"/>
        </w:rPr>
      </w:pPr>
      <w:r>
        <w:rPr>
          <w:szCs w:val="28"/>
        </w:rPr>
        <w:t>3</w:t>
      </w:r>
      <w:r>
        <w:rPr>
          <w:rFonts w:hint="eastAsia"/>
          <w:szCs w:val="21"/>
        </w:rPr>
        <w:t>．</w:t>
      </w:r>
      <w:r>
        <w:rPr>
          <w:szCs w:val="28"/>
        </w:rPr>
        <w:t>项目联系方式</w:t>
      </w:r>
    </w:p>
    <w:p w14:paraId="1B98DB7B">
      <w:pPr>
        <w:wordWrap w:val="0"/>
        <w:adjustRightInd w:val="0"/>
        <w:snapToGrid w:val="0"/>
        <w:ind w:firstLine="480" w:firstLineChars="200"/>
        <w:rPr>
          <w:szCs w:val="24"/>
        </w:rPr>
      </w:pPr>
      <w:r>
        <w:rPr>
          <w:rFonts w:hint="eastAsia"/>
          <w:szCs w:val="24"/>
        </w:rPr>
        <w:t>项目联系人</w:t>
      </w:r>
      <w:r>
        <w:rPr>
          <w:szCs w:val="24"/>
        </w:rPr>
        <w:t>：</w:t>
      </w:r>
      <w:r>
        <w:rPr>
          <w:rFonts w:hint="eastAsia"/>
        </w:rPr>
        <w:t>李晨晨、张想</w:t>
      </w:r>
    </w:p>
    <w:p w14:paraId="5228AC37">
      <w:pPr>
        <w:wordWrap w:val="0"/>
        <w:adjustRightInd w:val="0"/>
        <w:snapToGrid w:val="0"/>
        <w:ind w:firstLine="480" w:firstLineChars="200"/>
        <w:rPr>
          <w:szCs w:val="28"/>
        </w:rPr>
      </w:pPr>
      <w:r>
        <w:rPr>
          <w:rFonts w:hint="eastAsia"/>
          <w:szCs w:val="24"/>
        </w:rPr>
        <w:t>电话</w:t>
      </w:r>
      <w:r>
        <w:rPr>
          <w:szCs w:val="24"/>
        </w:rPr>
        <w:t>：</w:t>
      </w:r>
      <w:r>
        <w:rPr>
          <w:rFonts w:hint="eastAsia"/>
          <w:szCs w:val="24"/>
        </w:rPr>
        <w:t>18105236160</w:t>
      </w:r>
    </w:p>
    <w:p w14:paraId="7D638C19">
      <w:pPr>
        <w:wordWrap w:val="0"/>
        <w:adjustRightInd w:val="0"/>
        <w:snapToGrid w:val="0"/>
        <w:jc w:val="center"/>
        <w:outlineLvl w:val="0"/>
        <w:rPr>
          <w:b/>
          <w:sz w:val="36"/>
        </w:rPr>
      </w:pPr>
      <w:r>
        <w:rPr>
          <w:szCs w:val="28"/>
        </w:rPr>
        <w:br w:type="page"/>
      </w:r>
      <w:bookmarkEnd w:id="10"/>
      <w:bookmarkEnd w:id="11"/>
      <w:bookmarkEnd w:id="12"/>
      <w:bookmarkStart w:id="46" w:name="_Toc57992042"/>
      <w:bookmarkStart w:id="47" w:name="_Toc57992270"/>
      <w:bookmarkStart w:id="48" w:name="_Toc57991134"/>
      <w:bookmarkStart w:id="49" w:name="_Toc57992793"/>
      <w:bookmarkStart w:id="50" w:name="_Toc144974495"/>
      <w:bookmarkStart w:id="51" w:name="_Toc242781701"/>
      <w:bookmarkStart w:id="52" w:name="_Toc394695561"/>
      <w:bookmarkStart w:id="53" w:name="_Toc152042303"/>
      <w:bookmarkStart w:id="54" w:name="_Toc352708852"/>
      <w:bookmarkStart w:id="55" w:name="_Toc179632544"/>
      <w:bookmarkStart w:id="56" w:name="_Toc152045527"/>
      <w:bookmarkStart w:id="57" w:name="_Toc57992118"/>
      <w:bookmarkStart w:id="58" w:name="_Toc57991586"/>
      <w:r>
        <w:rPr>
          <w:rFonts w:hint="eastAsia"/>
          <w:b/>
          <w:sz w:val="36"/>
        </w:rPr>
        <w:t>第二章  投标人须知</w:t>
      </w:r>
      <w:bookmarkEnd w:id="46"/>
      <w:bookmarkEnd w:id="47"/>
      <w:bookmarkEnd w:id="48"/>
      <w:bookmarkEnd w:id="49"/>
      <w:bookmarkEnd w:id="50"/>
      <w:bookmarkEnd w:id="51"/>
      <w:bookmarkEnd w:id="52"/>
      <w:bookmarkEnd w:id="53"/>
      <w:bookmarkEnd w:id="54"/>
      <w:bookmarkEnd w:id="55"/>
      <w:bookmarkEnd w:id="56"/>
      <w:bookmarkEnd w:id="57"/>
      <w:bookmarkEnd w:id="58"/>
    </w:p>
    <w:p w14:paraId="6F029E47">
      <w:pPr>
        <w:pStyle w:val="48"/>
        <w:numPr>
          <w:ilvl w:val="0"/>
          <w:numId w:val="2"/>
        </w:numPr>
        <w:wordWrap w:val="0"/>
        <w:adjustRightInd w:val="0"/>
        <w:snapToGrid w:val="0"/>
        <w:ind w:firstLineChars="0"/>
        <w:outlineLvl w:val="1"/>
        <w:rPr>
          <w:b/>
          <w:sz w:val="30"/>
          <w:szCs w:val="24"/>
        </w:rPr>
      </w:pPr>
      <w:bookmarkStart w:id="59" w:name="_Toc57992043"/>
      <w:bookmarkStart w:id="60" w:name="_Toc179632546"/>
      <w:bookmarkStart w:id="61" w:name="_Toc57991587"/>
      <w:bookmarkStart w:id="62" w:name="_Toc394695562"/>
      <w:bookmarkStart w:id="63" w:name="_Toc144974497"/>
      <w:bookmarkStart w:id="64" w:name="_Toc57992119"/>
      <w:bookmarkStart w:id="65" w:name="_Toc152045529"/>
      <w:bookmarkStart w:id="66" w:name="_Toc57992271"/>
      <w:bookmarkStart w:id="67" w:name="_Toc152042305"/>
      <w:bookmarkStart w:id="68" w:name="_Toc352708854"/>
      <w:r>
        <w:rPr>
          <w:rFonts w:hint="eastAsia"/>
          <w:b/>
          <w:sz w:val="30"/>
          <w:szCs w:val="24"/>
        </w:rPr>
        <w:t>总则</w:t>
      </w:r>
      <w:bookmarkEnd w:id="59"/>
      <w:bookmarkEnd w:id="60"/>
      <w:bookmarkEnd w:id="61"/>
      <w:bookmarkEnd w:id="62"/>
      <w:bookmarkEnd w:id="63"/>
      <w:bookmarkEnd w:id="64"/>
      <w:bookmarkEnd w:id="65"/>
      <w:bookmarkEnd w:id="66"/>
      <w:bookmarkEnd w:id="67"/>
      <w:bookmarkEnd w:id="68"/>
    </w:p>
    <w:p w14:paraId="527F0C18">
      <w:pPr>
        <w:pStyle w:val="4"/>
        <w:adjustRightInd w:val="0"/>
        <w:snapToGrid w:val="0"/>
      </w:pPr>
      <w:r>
        <w:rPr>
          <w:rFonts w:hint="eastAsia"/>
        </w:rPr>
        <w:t>适用范围</w:t>
      </w:r>
    </w:p>
    <w:p w14:paraId="6EFFC9C3">
      <w:pPr>
        <w:wordWrap w:val="0"/>
        <w:adjustRightInd w:val="0"/>
        <w:snapToGrid w:val="0"/>
        <w:ind w:firstLine="480" w:firstLineChars="200"/>
      </w:pPr>
      <w:r>
        <w:rPr>
          <w:rFonts w:hint="eastAsia"/>
        </w:rPr>
        <w:t>本招标文件仅适用于本次投标邀请中所述项目</w:t>
      </w:r>
      <w:r>
        <w:t>的采购</w:t>
      </w:r>
      <w:r>
        <w:rPr>
          <w:rFonts w:hint="eastAsia"/>
        </w:rPr>
        <w:t>。</w:t>
      </w:r>
    </w:p>
    <w:p w14:paraId="65EC1DE5">
      <w:pPr>
        <w:pStyle w:val="4"/>
        <w:adjustRightInd w:val="0"/>
        <w:snapToGrid w:val="0"/>
      </w:pPr>
      <w:bookmarkStart w:id="69" w:name="_Toc394695564"/>
      <w:bookmarkStart w:id="70" w:name="_Toc57992603"/>
      <w:bookmarkStart w:id="71" w:name="_Toc57992121"/>
      <w:bookmarkStart w:id="72" w:name="_Toc57992273"/>
      <w:bookmarkStart w:id="73" w:name="_Toc57991589"/>
      <w:r>
        <w:rPr>
          <w:rFonts w:hint="eastAsia"/>
        </w:rPr>
        <w:t>合格的</w:t>
      </w:r>
      <w:bookmarkEnd w:id="69"/>
      <w:r>
        <w:rPr>
          <w:rFonts w:hint="eastAsia"/>
        </w:rPr>
        <w:t>投标人</w:t>
      </w:r>
      <w:bookmarkEnd w:id="70"/>
      <w:bookmarkEnd w:id="71"/>
      <w:bookmarkEnd w:id="72"/>
      <w:bookmarkEnd w:id="73"/>
    </w:p>
    <w:p w14:paraId="2E43D54D">
      <w:pPr>
        <w:numPr>
          <w:ilvl w:val="1"/>
          <w:numId w:val="1"/>
        </w:numPr>
        <w:wordWrap w:val="0"/>
        <w:adjustRightInd w:val="0"/>
        <w:snapToGrid w:val="0"/>
      </w:pPr>
      <w:r>
        <w:rPr>
          <w:rFonts w:hint="eastAsia"/>
        </w:rPr>
        <w:t>满足第一章投标邀请中投标人资格要求的规定。</w:t>
      </w:r>
    </w:p>
    <w:p w14:paraId="7B5AAF27">
      <w:pPr>
        <w:numPr>
          <w:ilvl w:val="1"/>
          <w:numId w:val="1"/>
        </w:numPr>
        <w:wordWrap w:val="0"/>
        <w:adjustRightInd w:val="0"/>
        <w:snapToGrid w:val="0"/>
      </w:pPr>
      <w:r>
        <w:rPr>
          <w:rFonts w:hint="eastAsia"/>
        </w:rPr>
        <w:t>满足本招标文件实质性</w:t>
      </w:r>
      <w:r>
        <w:t>要求和条件</w:t>
      </w:r>
      <w:r>
        <w:rPr>
          <w:rFonts w:hint="eastAsia"/>
        </w:rPr>
        <w:t>的规定。</w:t>
      </w:r>
    </w:p>
    <w:p w14:paraId="60FE769C">
      <w:pPr>
        <w:pStyle w:val="4"/>
        <w:adjustRightInd w:val="0"/>
        <w:snapToGrid w:val="0"/>
      </w:pPr>
      <w:bookmarkStart w:id="74" w:name="_Toc57992122"/>
      <w:bookmarkStart w:id="75" w:name="_Toc57992604"/>
      <w:bookmarkStart w:id="76" w:name="_Toc57992274"/>
      <w:bookmarkStart w:id="77" w:name="_Toc57991590"/>
      <w:r>
        <w:rPr>
          <w:rFonts w:hint="eastAsia"/>
        </w:rPr>
        <w:t>法律适用</w:t>
      </w:r>
      <w:bookmarkEnd w:id="74"/>
      <w:bookmarkEnd w:id="75"/>
      <w:bookmarkEnd w:id="76"/>
      <w:bookmarkEnd w:id="77"/>
    </w:p>
    <w:p w14:paraId="1D1919DD">
      <w:pPr>
        <w:numPr>
          <w:ilvl w:val="1"/>
          <w:numId w:val="1"/>
        </w:numPr>
        <w:wordWrap w:val="0"/>
        <w:adjustRightInd w:val="0"/>
        <w:snapToGrid w:val="0"/>
      </w:pPr>
      <w:r>
        <w:rPr>
          <w:rFonts w:hint="eastAsia"/>
        </w:rPr>
        <w:t>《中华人民共和国政府采购法》、《中华人民共和国政府采购法实施条例》、《政府采购货物和服务招标投标管理办法》</w:t>
      </w:r>
      <w:r>
        <w:t>等有关法律、法规和规章的规定</w:t>
      </w:r>
      <w:r>
        <w:rPr>
          <w:rFonts w:hint="eastAsia"/>
        </w:rPr>
        <w:t>。</w:t>
      </w:r>
    </w:p>
    <w:p w14:paraId="6701E8EF">
      <w:pPr>
        <w:numPr>
          <w:ilvl w:val="1"/>
          <w:numId w:val="1"/>
        </w:numPr>
        <w:wordWrap w:val="0"/>
        <w:adjustRightInd w:val="0"/>
        <w:snapToGrid w:val="0"/>
      </w:pPr>
      <w:r>
        <w:rPr>
          <w:rFonts w:hint="eastAsia"/>
          <w:spacing w:val="-2"/>
        </w:rPr>
        <w:t>在本项目政府采购活动过程中，如果所执行的标准有更新的，按照最新标准执行</w:t>
      </w:r>
      <w:r>
        <w:rPr>
          <w:rFonts w:hint="eastAsia"/>
        </w:rPr>
        <w:t>。</w:t>
      </w:r>
    </w:p>
    <w:p w14:paraId="4F51F4C3">
      <w:pPr>
        <w:pStyle w:val="4"/>
        <w:adjustRightInd w:val="0"/>
        <w:snapToGrid w:val="0"/>
      </w:pPr>
      <w:bookmarkStart w:id="78" w:name="_Toc57992605"/>
      <w:bookmarkStart w:id="79" w:name="_Toc57992275"/>
      <w:bookmarkStart w:id="80" w:name="_Toc57991591"/>
      <w:bookmarkStart w:id="81" w:name="_Toc394695565"/>
      <w:bookmarkStart w:id="82" w:name="_Toc57992123"/>
      <w:r>
        <w:rPr>
          <w:rFonts w:hint="eastAsia"/>
        </w:rPr>
        <w:t>投标费用</w:t>
      </w:r>
      <w:bookmarkEnd w:id="78"/>
      <w:bookmarkEnd w:id="79"/>
      <w:bookmarkEnd w:id="80"/>
      <w:bookmarkEnd w:id="81"/>
      <w:bookmarkEnd w:id="82"/>
    </w:p>
    <w:p w14:paraId="1627B1D0">
      <w:pPr>
        <w:numPr>
          <w:ilvl w:val="1"/>
          <w:numId w:val="1"/>
        </w:numPr>
        <w:wordWrap w:val="0"/>
        <w:adjustRightInd w:val="0"/>
        <w:snapToGrid w:val="0"/>
      </w:pPr>
      <w:r>
        <w:rPr>
          <w:rFonts w:hint="eastAsia"/>
        </w:rPr>
        <w:t>投标人应自行承担所有与参加本次投标有关的费用。无论投标</w:t>
      </w:r>
      <w:r>
        <w:t>的</w:t>
      </w:r>
      <w:r>
        <w:rPr>
          <w:rFonts w:hint="eastAsia"/>
        </w:rPr>
        <w:t>结果如何，采购人、采购代理机构在任何情况下均无义务和责任承担这些费用。</w:t>
      </w:r>
    </w:p>
    <w:p w14:paraId="0BDD2B4B">
      <w:pPr>
        <w:numPr>
          <w:ilvl w:val="1"/>
          <w:numId w:val="1"/>
        </w:numPr>
        <w:wordWrap w:val="0"/>
        <w:adjustRightInd w:val="0"/>
        <w:snapToGrid w:val="0"/>
      </w:pPr>
      <w:r>
        <w:t>本项目采购预算包含代理服务费，依据委托代理协议的</w:t>
      </w:r>
      <w:r>
        <w:rPr>
          <w:rFonts w:hint="eastAsia"/>
        </w:rPr>
        <w:t>约</w:t>
      </w:r>
      <w:r>
        <w:t>定</w:t>
      </w:r>
      <w:r>
        <w:rPr>
          <w:rFonts w:hint="eastAsia"/>
        </w:rPr>
        <w:t>，</w:t>
      </w:r>
      <w:r>
        <w:t>本项目代理服务费由</w:t>
      </w:r>
      <w:r>
        <w:rPr>
          <w:rFonts w:hint="eastAsia"/>
        </w:rPr>
        <w:t>中标人</w:t>
      </w:r>
      <w:r>
        <w:t>支付</w:t>
      </w:r>
      <w:r>
        <w:rPr>
          <w:rFonts w:hint="eastAsia"/>
        </w:rPr>
        <w:t>，投标人</w:t>
      </w:r>
      <w:r>
        <w:t>报价</w:t>
      </w:r>
      <w:r>
        <w:rPr>
          <w:rFonts w:hint="eastAsia"/>
        </w:rPr>
        <w:t>须</w:t>
      </w:r>
      <w:r>
        <w:t>全额包含该费</w:t>
      </w:r>
      <w:r>
        <w:rPr>
          <w:rFonts w:hint="eastAsia"/>
        </w:rPr>
        <w:t>用</w:t>
      </w:r>
      <w:r>
        <w:t>且不得单独列项</w:t>
      </w:r>
      <w:r>
        <w:rPr>
          <w:rFonts w:hint="eastAsia"/>
        </w:rPr>
        <w:t>。</w:t>
      </w:r>
      <w:r>
        <w:t>代理服务费</w:t>
      </w:r>
      <w:r>
        <w:rPr>
          <w:rFonts w:hint="eastAsia"/>
        </w:rPr>
        <w:t>按照《江苏省政府采购代理服务收费指导意见》（苏政采协〔2024〕20号）收费标准的2</w:t>
      </w:r>
      <w:r>
        <w:t>0%收取</w:t>
      </w:r>
      <w:r>
        <w:rPr>
          <w:rFonts w:hint="eastAsia"/>
        </w:rPr>
        <w:t>，中标人</w:t>
      </w:r>
      <w:r>
        <w:t>须于</w:t>
      </w:r>
      <w:r>
        <w:rPr>
          <w:rFonts w:hint="eastAsia"/>
        </w:rPr>
        <w:t>中标</w:t>
      </w:r>
      <w:r>
        <w:t>通知书</w:t>
      </w:r>
      <w:r>
        <w:rPr>
          <w:rFonts w:hint="eastAsia"/>
          <w:szCs w:val="21"/>
        </w:rPr>
        <w:t>发出之日起</w:t>
      </w:r>
      <w:r>
        <w:rPr>
          <w:szCs w:val="21"/>
        </w:rPr>
        <w:t>5</w:t>
      </w:r>
      <w:r>
        <w:rPr>
          <w:rFonts w:hint="eastAsia"/>
        </w:rPr>
        <w:t>个工作日</w:t>
      </w:r>
      <w:r>
        <w:rPr>
          <w:rFonts w:hint="eastAsia"/>
          <w:szCs w:val="21"/>
        </w:rPr>
        <w:t>内</w:t>
      </w:r>
      <w:r>
        <w:t>向</w:t>
      </w:r>
      <w:r>
        <w:rPr>
          <w:rFonts w:hint="eastAsia"/>
          <w:szCs w:val="28"/>
        </w:rPr>
        <w:t>江苏阳光建设项目管理有限公司</w:t>
      </w:r>
      <w:r>
        <w:t>一次性付清</w:t>
      </w:r>
      <w:r>
        <w:rPr>
          <w:rFonts w:hint="eastAsia"/>
          <w:szCs w:val="21"/>
        </w:rPr>
        <w:t>，建议采用数字人民币形式支付</w:t>
      </w:r>
      <w:r>
        <w:t>。</w:t>
      </w:r>
    </w:p>
    <w:p w14:paraId="3ED28E99">
      <w:pPr>
        <w:pStyle w:val="4"/>
        <w:adjustRightInd w:val="0"/>
        <w:snapToGrid w:val="0"/>
      </w:pPr>
      <w:bookmarkStart w:id="83" w:name="_Toc57992129"/>
      <w:bookmarkStart w:id="84" w:name="_Toc57991597"/>
      <w:bookmarkStart w:id="85" w:name="_Toc57992281"/>
      <w:bookmarkStart w:id="86" w:name="_Toc57992609"/>
      <w:bookmarkStart w:id="87" w:name="_Toc394695574"/>
      <w:r>
        <w:rPr>
          <w:rFonts w:hint="eastAsia"/>
        </w:rPr>
        <w:t>语言文字及</w:t>
      </w:r>
      <w:bookmarkEnd w:id="83"/>
      <w:bookmarkEnd w:id="84"/>
      <w:bookmarkEnd w:id="85"/>
      <w:bookmarkEnd w:id="86"/>
      <w:bookmarkEnd w:id="87"/>
      <w:r>
        <w:rPr>
          <w:rFonts w:hint="eastAsia"/>
        </w:rPr>
        <w:t>计量单位</w:t>
      </w:r>
    </w:p>
    <w:p w14:paraId="2EB55FD2">
      <w:pPr>
        <w:numPr>
          <w:ilvl w:val="1"/>
          <w:numId w:val="1"/>
        </w:numPr>
        <w:wordWrap w:val="0"/>
        <w:adjustRightInd w:val="0"/>
        <w:snapToGrid w:val="0"/>
      </w:pPr>
      <w:r>
        <w:t>除专用术语外，与</w:t>
      </w:r>
      <w:r>
        <w:rPr>
          <w:rFonts w:hint="eastAsia"/>
        </w:rPr>
        <w:t>招标</w:t>
      </w:r>
      <w:r>
        <w:t>投标活动有关的语言均使用</w:t>
      </w:r>
      <w:r>
        <w:rPr>
          <w:rFonts w:hint="eastAsia"/>
        </w:rPr>
        <w:t>简体</w:t>
      </w:r>
      <w:r>
        <w:t>中文，必要时专用术语应附有</w:t>
      </w:r>
      <w:r>
        <w:rPr>
          <w:rFonts w:hint="eastAsia"/>
        </w:rPr>
        <w:t>简体</w:t>
      </w:r>
      <w:r>
        <w:t>中文注释。</w:t>
      </w:r>
    </w:p>
    <w:p w14:paraId="7F29C5C4">
      <w:pPr>
        <w:numPr>
          <w:ilvl w:val="1"/>
          <w:numId w:val="1"/>
        </w:numPr>
        <w:wordWrap w:val="0"/>
        <w:adjustRightInd w:val="0"/>
        <w:snapToGrid w:val="0"/>
      </w:pPr>
      <w:r>
        <w:rPr>
          <w:rFonts w:hint="eastAsia"/>
        </w:rPr>
        <w:t>除招标文件另有规定外，</w:t>
      </w:r>
      <w:r>
        <w:t>所有计量均采用中华人民共和国法定计量单位</w:t>
      </w:r>
      <w:r>
        <w:rPr>
          <w:rFonts w:hint="eastAsia"/>
        </w:rPr>
        <w:t>。</w:t>
      </w:r>
    </w:p>
    <w:p w14:paraId="0094DF2D">
      <w:pPr>
        <w:pStyle w:val="4"/>
        <w:adjustRightInd w:val="0"/>
        <w:snapToGrid w:val="0"/>
      </w:pPr>
      <w:r>
        <w:rPr>
          <w:rFonts w:hint="eastAsia"/>
        </w:rPr>
        <w:t>招标文件的约束力</w:t>
      </w:r>
    </w:p>
    <w:p w14:paraId="6A427545">
      <w:pPr>
        <w:wordWrap w:val="0"/>
        <w:adjustRightInd w:val="0"/>
        <w:snapToGrid w:val="0"/>
        <w:ind w:firstLine="480" w:firstLineChars="200"/>
      </w:pPr>
      <w:r>
        <w:rPr>
          <w:rFonts w:hint="eastAsia"/>
        </w:rPr>
        <w:t>投标人一旦参加本项目采购活动，即被认为接受了本招标文件的规定和约束。</w:t>
      </w:r>
    </w:p>
    <w:p w14:paraId="1299D38D">
      <w:pPr>
        <w:pStyle w:val="48"/>
        <w:numPr>
          <w:ilvl w:val="0"/>
          <w:numId w:val="2"/>
        </w:numPr>
        <w:wordWrap w:val="0"/>
        <w:adjustRightInd w:val="0"/>
        <w:snapToGrid w:val="0"/>
        <w:ind w:firstLineChars="0"/>
        <w:outlineLvl w:val="1"/>
        <w:rPr>
          <w:b/>
          <w:sz w:val="30"/>
          <w:szCs w:val="24"/>
        </w:rPr>
      </w:pPr>
      <w:bookmarkStart w:id="88" w:name="_Toc57991592"/>
      <w:bookmarkStart w:id="89" w:name="_Toc57992276"/>
      <w:bookmarkStart w:id="90" w:name="_Toc57992044"/>
      <w:bookmarkStart w:id="91" w:name="_Toc57992124"/>
      <w:r>
        <w:rPr>
          <w:rFonts w:hint="eastAsia"/>
          <w:b/>
          <w:sz w:val="30"/>
          <w:szCs w:val="24"/>
        </w:rPr>
        <w:t>招标文件</w:t>
      </w:r>
      <w:bookmarkEnd w:id="88"/>
      <w:bookmarkEnd w:id="89"/>
      <w:bookmarkEnd w:id="90"/>
      <w:bookmarkEnd w:id="91"/>
    </w:p>
    <w:p w14:paraId="3255945A">
      <w:pPr>
        <w:pStyle w:val="4"/>
        <w:adjustRightInd w:val="0"/>
        <w:snapToGrid w:val="0"/>
      </w:pPr>
      <w:bookmarkStart w:id="92" w:name="_Toc57992125"/>
      <w:bookmarkStart w:id="93" w:name="_Toc57992606"/>
      <w:bookmarkStart w:id="94" w:name="_Toc394695570"/>
      <w:bookmarkStart w:id="95" w:name="_Toc57991593"/>
      <w:bookmarkStart w:id="96" w:name="_Toc57992277"/>
      <w:r>
        <w:rPr>
          <w:rFonts w:hint="eastAsia"/>
        </w:rPr>
        <w:t>招标文件</w:t>
      </w:r>
      <w:bookmarkEnd w:id="92"/>
      <w:bookmarkEnd w:id="93"/>
      <w:bookmarkEnd w:id="94"/>
      <w:bookmarkEnd w:id="95"/>
      <w:bookmarkEnd w:id="96"/>
      <w:r>
        <w:rPr>
          <w:rFonts w:hint="eastAsia"/>
        </w:rPr>
        <w:t>构成</w:t>
      </w:r>
    </w:p>
    <w:p w14:paraId="18290927">
      <w:pPr>
        <w:numPr>
          <w:ilvl w:val="1"/>
          <w:numId w:val="1"/>
        </w:numPr>
        <w:wordWrap w:val="0"/>
        <w:adjustRightInd w:val="0"/>
        <w:snapToGrid w:val="0"/>
      </w:pPr>
      <w:r>
        <w:rPr>
          <w:rFonts w:hint="eastAsia"/>
        </w:rPr>
        <w:t>本招标文件包括投标邀请、投标人须知、评标方法和标准、合同条款及格式、项目采购需求、投标文件格式等内容。</w:t>
      </w:r>
    </w:p>
    <w:p w14:paraId="7950E971">
      <w:pPr>
        <w:numPr>
          <w:ilvl w:val="1"/>
          <w:numId w:val="1"/>
        </w:numPr>
        <w:wordWrap w:val="0"/>
        <w:adjustRightInd w:val="0"/>
        <w:snapToGrid w:val="0"/>
      </w:pPr>
      <w:r>
        <w:t>根据本章第8</w:t>
      </w:r>
      <w:r>
        <w:rPr>
          <w:rFonts w:hint="eastAsia"/>
        </w:rPr>
        <w:t>条</w:t>
      </w:r>
      <w:r>
        <w:t>对</w:t>
      </w:r>
      <w:r>
        <w:rPr>
          <w:rFonts w:hint="eastAsia"/>
        </w:rPr>
        <w:t>招标</w:t>
      </w:r>
      <w:r>
        <w:t>文件所作的澄清、修改，构成</w:t>
      </w:r>
      <w:r>
        <w:rPr>
          <w:rFonts w:hint="eastAsia"/>
        </w:rPr>
        <w:t>招标</w:t>
      </w:r>
      <w:r>
        <w:t>文件的组成部分</w:t>
      </w:r>
      <w:r>
        <w:rPr>
          <w:rFonts w:hint="eastAsia"/>
        </w:rPr>
        <w:t>，并对投标人具有约束力</w:t>
      </w:r>
      <w:r>
        <w:t>。</w:t>
      </w:r>
      <w:r>
        <w:rPr>
          <w:rFonts w:hint="eastAsia"/>
        </w:rPr>
        <w:t>当招标文件及其澄清、修改等内容在同一内容的表述上不一致时或者相互矛盾时，若无其他特别说明均以最后发布的文件为准。</w:t>
      </w:r>
    </w:p>
    <w:p w14:paraId="301890CF">
      <w:pPr>
        <w:numPr>
          <w:ilvl w:val="1"/>
          <w:numId w:val="1"/>
        </w:numPr>
        <w:wordWrap w:val="0"/>
        <w:adjustRightInd w:val="0"/>
        <w:snapToGrid w:val="0"/>
      </w:pPr>
      <w:r>
        <w:rPr>
          <w:rFonts w:hint="eastAsia"/>
        </w:rPr>
        <w:t>请仔细检查招标文件是否齐全，如有缺漏请立即与采购代理机构联系解决</w:t>
      </w:r>
      <w:r>
        <w:t>。</w:t>
      </w:r>
    </w:p>
    <w:p w14:paraId="3978194F">
      <w:pPr>
        <w:pStyle w:val="4"/>
        <w:adjustRightInd w:val="0"/>
        <w:snapToGrid w:val="0"/>
      </w:pPr>
      <w:r>
        <w:rPr>
          <w:rFonts w:hint="eastAsia"/>
        </w:rPr>
        <w:t>招标文件的</w:t>
      </w:r>
      <w:r>
        <w:rPr>
          <w:szCs w:val="22"/>
        </w:rPr>
        <w:t>澄清</w:t>
      </w:r>
      <w:r>
        <w:rPr>
          <w:rFonts w:hint="eastAsia"/>
          <w:szCs w:val="22"/>
        </w:rPr>
        <w:t>与</w:t>
      </w:r>
      <w:r>
        <w:rPr>
          <w:szCs w:val="22"/>
        </w:rPr>
        <w:t>修改</w:t>
      </w:r>
    </w:p>
    <w:p w14:paraId="4F6FC9CF">
      <w:pPr>
        <w:numPr>
          <w:ilvl w:val="1"/>
          <w:numId w:val="1"/>
        </w:numPr>
        <w:wordWrap w:val="0"/>
        <w:adjustRightInd w:val="0"/>
        <w:snapToGrid w:val="0"/>
      </w:pPr>
      <w:r>
        <w:rPr>
          <w:rFonts w:hint="eastAsia"/>
          <w:spacing w:val="-2"/>
        </w:rPr>
        <w:t>在投标截止时间前，</w:t>
      </w:r>
      <w:r>
        <w:rPr>
          <w:spacing w:val="-2"/>
        </w:rPr>
        <w:t>采购人或者采购代理机构可以对</w:t>
      </w:r>
      <w:r>
        <w:rPr>
          <w:rFonts w:hint="eastAsia"/>
          <w:spacing w:val="-2"/>
        </w:rPr>
        <w:t>招标</w:t>
      </w:r>
      <w:r>
        <w:rPr>
          <w:spacing w:val="-2"/>
        </w:rPr>
        <w:t>文件进行澄清或者修改</w:t>
      </w:r>
      <w:r>
        <w:rPr>
          <w:rFonts w:hint="eastAsia"/>
          <w:spacing w:val="-2"/>
        </w:rPr>
        <w:t>。</w:t>
      </w:r>
      <w:r>
        <w:t>澄清</w:t>
      </w:r>
      <w:r>
        <w:rPr>
          <w:rFonts w:hint="eastAsia"/>
        </w:rPr>
        <w:t>与</w:t>
      </w:r>
      <w:r>
        <w:t>修改</w:t>
      </w:r>
      <w:r>
        <w:rPr>
          <w:rFonts w:hint="eastAsia"/>
        </w:rPr>
        <w:t>将在江苏政府采购网、淮安市政府采购网以发布更正公告的方式公布，更正公告一经上网发布即视为</w:t>
      </w:r>
      <w:r>
        <w:t>以书面形式通知所有获取</w:t>
      </w:r>
      <w:r>
        <w:rPr>
          <w:rFonts w:hint="eastAsia"/>
        </w:rPr>
        <w:t>招标</w:t>
      </w:r>
      <w:r>
        <w:t>文件的</w:t>
      </w:r>
      <w:r>
        <w:rPr>
          <w:rFonts w:hint="eastAsia"/>
        </w:rPr>
        <w:t>潜在投标人。</w:t>
      </w:r>
    </w:p>
    <w:p w14:paraId="0E9DE970">
      <w:pPr>
        <w:numPr>
          <w:ilvl w:val="1"/>
          <w:numId w:val="1"/>
        </w:numPr>
        <w:wordWrap w:val="0"/>
        <w:adjustRightInd w:val="0"/>
        <w:snapToGrid w:val="0"/>
      </w:pPr>
      <w:r>
        <w:t>采购人或者采购代理机构</w:t>
      </w:r>
      <w:r>
        <w:rPr>
          <w:rFonts w:hint="eastAsia"/>
        </w:rPr>
        <w:t>有权按照法定的要求</w:t>
      </w:r>
      <w:r>
        <w:t>在</w:t>
      </w:r>
      <w:r>
        <w:rPr>
          <w:rFonts w:hint="eastAsia"/>
        </w:rPr>
        <w:t>更正公告</w:t>
      </w:r>
      <w:r>
        <w:t>中通知</w:t>
      </w:r>
      <w:r>
        <w:rPr>
          <w:rFonts w:hint="eastAsia"/>
        </w:rPr>
        <w:t>投标人</w:t>
      </w:r>
      <w:r>
        <w:t>推迟</w:t>
      </w:r>
      <w:r>
        <w:rPr>
          <w:rFonts w:hint="eastAsia"/>
        </w:rPr>
        <w:t>投标截止时间和开标时间。</w:t>
      </w:r>
    </w:p>
    <w:p w14:paraId="5B111BFE">
      <w:pPr>
        <w:numPr>
          <w:ilvl w:val="1"/>
          <w:numId w:val="1"/>
        </w:numPr>
        <w:wordWrap w:val="0"/>
        <w:adjustRightInd w:val="0"/>
        <w:snapToGrid w:val="0"/>
      </w:pPr>
      <w:r>
        <w:rPr>
          <w:rFonts w:hint="eastAsia"/>
        </w:rPr>
        <w:t>在</w:t>
      </w:r>
      <w:r>
        <w:rPr>
          <w:rFonts w:hint="eastAsia"/>
          <w:spacing w:val="-2"/>
        </w:rPr>
        <w:t>投标截止时间前</w:t>
      </w:r>
      <w:r>
        <w:rPr>
          <w:rFonts w:hint="eastAsia"/>
        </w:rPr>
        <w:t>，投标人应主动上网查询有关本项目</w:t>
      </w:r>
      <w:r>
        <w:rPr>
          <w:rFonts w:hint="eastAsia"/>
          <w:szCs w:val="28"/>
        </w:rPr>
        <w:t>变动或修改</w:t>
      </w:r>
      <w:r>
        <w:rPr>
          <w:rFonts w:hint="eastAsia"/>
        </w:rPr>
        <w:t>信息，</w:t>
      </w:r>
      <w:r>
        <w:t>采购人</w:t>
      </w:r>
      <w:r>
        <w:rPr>
          <w:rFonts w:hint="eastAsia"/>
        </w:rPr>
        <w:t>、采购代理机构不承担投标人未及时关注相关信息引发的相关责任。</w:t>
      </w:r>
    </w:p>
    <w:p w14:paraId="3A6BC2DB">
      <w:pPr>
        <w:pStyle w:val="48"/>
        <w:numPr>
          <w:ilvl w:val="0"/>
          <w:numId w:val="2"/>
        </w:numPr>
        <w:wordWrap w:val="0"/>
        <w:adjustRightInd w:val="0"/>
        <w:snapToGrid w:val="0"/>
        <w:ind w:firstLineChars="0"/>
        <w:outlineLvl w:val="1"/>
        <w:rPr>
          <w:b/>
          <w:sz w:val="30"/>
          <w:szCs w:val="24"/>
        </w:rPr>
      </w:pPr>
      <w:bookmarkStart w:id="97" w:name="_Toc57992045"/>
      <w:bookmarkStart w:id="98" w:name="_Toc57992128"/>
      <w:bookmarkStart w:id="99" w:name="_Toc57992280"/>
      <w:bookmarkStart w:id="100" w:name="_Toc57991596"/>
      <w:r>
        <w:rPr>
          <w:rFonts w:hint="eastAsia"/>
          <w:b/>
          <w:sz w:val="30"/>
          <w:szCs w:val="24"/>
        </w:rPr>
        <w:t>投标文件</w:t>
      </w:r>
      <w:bookmarkEnd w:id="97"/>
      <w:bookmarkEnd w:id="98"/>
      <w:bookmarkEnd w:id="99"/>
      <w:bookmarkEnd w:id="100"/>
      <w:r>
        <w:rPr>
          <w:rFonts w:hint="eastAsia"/>
          <w:b/>
          <w:sz w:val="30"/>
          <w:szCs w:val="24"/>
        </w:rPr>
        <w:t>的编制</w:t>
      </w:r>
    </w:p>
    <w:p w14:paraId="531F0E65">
      <w:pPr>
        <w:pStyle w:val="4"/>
        <w:adjustRightInd w:val="0"/>
        <w:snapToGrid w:val="0"/>
      </w:pPr>
      <w:bookmarkStart w:id="101" w:name="_Toc394695575"/>
      <w:bookmarkStart w:id="102" w:name="_Toc57992282"/>
      <w:bookmarkStart w:id="103" w:name="_Toc57992610"/>
      <w:bookmarkStart w:id="104" w:name="_Toc57991598"/>
      <w:bookmarkStart w:id="105" w:name="_Toc57992130"/>
      <w:r>
        <w:rPr>
          <w:rFonts w:hint="eastAsia"/>
        </w:rPr>
        <w:t>投标文件</w:t>
      </w:r>
      <w:bookmarkEnd w:id="101"/>
      <w:bookmarkEnd w:id="102"/>
      <w:bookmarkEnd w:id="103"/>
      <w:bookmarkEnd w:id="104"/>
      <w:bookmarkEnd w:id="105"/>
      <w:r>
        <w:rPr>
          <w:rFonts w:hint="eastAsia"/>
        </w:rPr>
        <w:t>构成</w:t>
      </w:r>
    </w:p>
    <w:p w14:paraId="6978136D">
      <w:pPr>
        <w:numPr>
          <w:ilvl w:val="1"/>
          <w:numId w:val="1"/>
        </w:numPr>
        <w:wordWrap w:val="0"/>
        <w:adjustRightInd w:val="0"/>
        <w:snapToGrid w:val="0"/>
      </w:pPr>
      <w:r>
        <w:rPr>
          <w:rFonts w:hint="eastAsia"/>
        </w:rPr>
        <w:t>投标人编写的投标文件应包括资格证明文件、符合性证明文件、投标分项报价表、技术要求响应及偏离表、商务要求响应及偏离表、其他证明文件、投标函、开标一览表等部分。请投标人根据本招标文件的要求在指定模块中上传相应的投标材料，未按招标文件要求在指定模块上传相应的投标材料的，视同未提交该投标材料处理。</w:t>
      </w:r>
    </w:p>
    <w:p w14:paraId="3E8E3B87">
      <w:pPr>
        <w:numPr>
          <w:ilvl w:val="1"/>
          <w:numId w:val="1"/>
        </w:numPr>
        <w:wordWrap w:val="0"/>
        <w:adjustRightInd w:val="0"/>
        <w:snapToGrid w:val="0"/>
      </w:pPr>
      <w:r>
        <w:rPr>
          <w:rFonts w:hint="eastAsia"/>
        </w:rPr>
        <w:t>如标书制作工具中格式和内容与“江苏政府采购网”、“淮安市政府采购网”发布的招标文件不一致，请以“江苏政府采购网”、“淮安市政府采购网”发布的招标文件为准。</w:t>
      </w:r>
    </w:p>
    <w:p w14:paraId="718E7857">
      <w:pPr>
        <w:numPr>
          <w:ilvl w:val="1"/>
          <w:numId w:val="1"/>
        </w:numPr>
        <w:wordWrap w:val="0"/>
        <w:adjustRightInd w:val="0"/>
        <w:snapToGrid w:val="0"/>
      </w:pPr>
      <w:r>
        <w:rPr>
          <w:rFonts w:hint="eastAsia"/>
        </w:rPr>
        <w:t>本文件要求提供的扫描件需为对相关材料的原件进行彩色（扫描或拍照）后生成的彩色电子件（扫描或照片），要求提供的网页截图至少包括网站网址、查询内容、电脑截屏时间，内容要完整清晰，否则造成无法评审或部分影响评审的责任由投标人自负。</w:t>
      </w:r>
    </w:p>
    <w:p w14:paraId="01AB9AB2">
      <w:pPr>
        <w:numPr>
          <w:ilvl w:val="1"/>
          <w:numId w:val="1"/>
        </w:numPr>
        <w:wordWrap w:val="0"/>
        <w:adjustRightInd w:val="0"/>
        <w:snapToGrid w:val="0"/>
      </w:pPr>
      <w:r>
        <w:rPr>
          <w:rFonts w:hint="eastAsia"/>
        </w:rPr>
        <w:t>单位负责人是指单位法定代表人或者法律、行政法规规定代表单位行使职权的主要负责人。若投标人为</w:t>
      </w:r>
      <w:r>
        <w:t>非法人</w:t>
      </w:r>
      <w:r>
        <w:rPr>
          <w:rFonts w:hint="eastAsia"/>
        </w:rPr>
        <w:t>组织，</w:t>
      </w:r>
      <w:r>
        <w:rPr>
          <w:rFonts w:hint="eastAsia"/>
          <w:szCs w:val="28"/>
        </w:rPr>
        <w:t>本文件中的法定代表人同时也指其他组织的负责人</w:t>
      </w:r>
      <w:r>
        <w:rPr>
          <w:rFonts w:hint="eastAsia"/>
        </w:rPr>
        <w:t>；若投标人为自然人的，应为其本人。</w:t>
      </w:r>
    </w:p>
    <w:p w14:paraId="2F5A4029">
      <w:pPr>
        <w:numPr>
          <w:ilvl w:val="1"/>
          <w:numId w:val="1"/>
        </w:numPr>
        <w:wordWrap w:val="0"/>
        <w:adjustRightInd w:val="0"/>
        <w:snapToGrid w:val="0"/>
      </w:pPr>
      <w:r>
        <w:rPr>
          <w:rFonts w:hint="eastAsia"/>
        </w:rPr>
        <w:t>投标文件应当对招标文件提出的要求和条件作出明确响应。投标文件在满足招标文件实质性要求的基础上，可以提出比招标文件要求更有利于采购人的承诺。</w:t>
      </w:r>
    </w:p>
    <w:p w14:paraId="345C1FCB">
      <w:pPr>
        <w:numPr>
          <w:ilvl w:val="0"/>
          <w:numId w:val="1"/>
        </w:numPr>
        <w:wordWrap w:val="0"/>
        <w:adjustRightInd w:val="0"/>
        <w:snapToGrid w:val="0"/>
        <w:outlineLvl w:val="2"/>
        <w:rPr>
          <w:b/>
          <w:bCs/>
          <w:szCs w:val="32"/>
        </w:rPr>
      </w:pPr>
      <w:r>
        <w:rPr>
          <w:rFonts w:hint="eastAsia"/>
          <w:b/>
          <w:bCs/>
          <w:szCs w:val="32"/>
        </w:rPr>
        <w:t>证明投标人及投标标的符合招标文件规定的文件</w:t>
      </w:r>
    </w:p>
    <w:p w14:paraId="4D3C7062">
      <w:pPr>
        <w:numPr>
          <w:ilvl w:val="1"/>
          <w:numId w:val="1"/>
        </w:numPr>
        <w:wordWrap w:val="0"/>
        <w:adjustRightInd w:val="0"/>
        <w:snapToGrid w:val="0"/>
      </w:pPr>
      <w:r>
        <w:rPr>
          <w:rFonts w:hint="eastAsia"/>
          <w:spacing w:val="-4"/>
        </w:rPr>
        <w:t>投标人应按照招标文件要求提交证明文件，证明其及投标标的符合招标文件规定</w:t>
      </w:r>
      <w:r>
        <w:rPr>
          <w:rFonts w:hint="eastAsia"/>
        </w:rPr>
        <w:t>。</w:t>
      </w:r>
    </w:p>
    <w:p w14:paraId="22B03DF0">
      <w:pPr>
        <w:numPr>
          <w:ilvl w:val="1"/>
          <w:numId w:val="1"/>
        </w:numPr>
        <w:wordWrap w:val="0"/>
        <w:adjustRightInd w:val="0"/>
        <w:snapToGrid w:val="0"/>
      </w:pPr>
      <w:r>
        <w:rPr>
          <w:rFonts w:hint="eastAsia"/>
        </w:rPr>
        <w:t>招标文件对证明文件无明确形式要求的，证明文件可以以文字资料、图纸和数据等形式提交。</w:t>
      </w:r>
    </w:p>
    <w:p w14:paraId="5E44EDF6">
      <w:pPr>
        <w:pStyle w:val="4"/>
        <w:adjustRightInd w:val="0"/>
        <w:snapToGrid w:val="0"/>
      </w:pPr>
      <w:bookmarkStart w:id="106" w:name="_Toc57992132"/>
      <w:bookmarkStart w:id="107" w:name="_Toc57992284"/>
      <w:bookmarkStart w:id="108" w:name="_Toc57991600"/>
      <w:bookmarkStart w:id="109" w:name="_Toc57992612"/>
      <w:r>
        <w:rPr>
          <w:rFonts w:hint="eastAsia"/>
        </w:rPr>
        <w:t>投标分项报价</w:t>
      </w:r>
      <w:bookmarkEnd w:id="106"/>
      <w:bookmarkEnd w:id="107"/>
      <w:bookmarkEnd w:id="108"/>
      <w:bookmarkEnd w:id="109"/>
      <w:r>
        <w:rPr>
          <w:rFonts w:hint="eastAsia"/>
        </w:rPr>
        <w:t>表</w:t>
      </w:r>
    </w:p>
    <w:p w14:paraId="1569E50A">
      <w:pPr>
        <w:numPr>
          <w:ilvl w:val="1"/>
          <w:numId w:val="1"/>
        </w:numPr>
        <w:wordWrap w:val="0"/>
        <w:adjustRightInd w:val="0"/>
        <w:snapToGrid w:val="0"/>
      </w:pPr>
      <w:r>
        <w:rPr>
          <w:rFonts w:hint="eastAsia"/>
        </w:rPr>
        <w:t>投标人应按照招标文件规定格式填报投标分项报价表。</w:t>
      </w:r>
    </w:p>
    <w:p w14:paraId="1A846EFA">
      <w:pPr>
        <w:numPr>
          <w:ilvl w:val="1"/>
          <w:numId w:val="1"/>
        </w:numPr>
        <w:wordWrap w:val="0"/>
        <w:adjustRightInd w:val="0"/>
        <w:snapToGrid w:val="0"/>
      </w:pPr>
      <w:r>
        <w:rPr>
          <w:rFonts w:hint="eastAsia"/>
        </w:rPr>
        <w:t>投标货币。投标文件中的单价和总价无特殊规定的采用人民币报价，以元为单位标注。招标文件中另有规定的按规定执行。</w:t>
      </w:r>
    </w:p>
    <w:p w14:paraId="1875CD02">
      <w:pPr>
        <w:numPr>
          <w:ilvl w:val="1"/>
          <w:numId w:val="1"/>
        </w:numPr>
        <w:wordWrap w:val="0"/>
        <w:adjustRightInd w:val="0"/>
        <w:snapToGrid w:val="0"/>
      </w:pPr>
      <w:r>
        <w:rPr>
          <w:rFonts w:hint="eastAsia"/>
        </w:rPr>
        <w:t>本项目投标报价采用总承包方式，投标人</w:t>
      </w:r>
      <w:r>
        <w:t>的报价</w:t>
      </w:r>
      <w:r>
        <w:rPr>
          <w:rFonts w:hint="eastAsia"/>
        </w:rPr>
        <w:t>应包括完成本项目服务所需的人工（工资、社会保险、福利、服装、培训等）、服务所用设备工具购置、服务所用材料消耗、交通、通讯、住宿餐饮、调查、资料收集及整理分析、测试</w:t>
      </w:r>
      <w:r>
        <w:t>检验、</w:t>
      </w:r>
      <w:r>
        <w:rPr>
          <w:rFonts w:hint="eastAsia"/>
        </w:rPr>
        <w:t>验收、环境交付、培训、</w:t>
      </w:r>
      <w:r>
        <w:t>质量保证、</w:t>
      </w:r>
      <w:r>
        <w:rPr>
          <w:rFonts w:hint="eastAsia"/>
        </w:rPr>
        <w:t>管理、利润、</w:t>
      </w:r>
      <w:r>
        <w:t>税费</w:t>
      </w:r>
      <w:r>
        <w:rPr>
          <w:rFonts w:hint="eastAsia"/>
        </w:rPr>
        <w:t>以及</w:t>
      </w:r>
      <w:r>
        <w:t>为完成本项目所发生的全部相关费用</w:t>
      </w:r>
      <w:r>
        <w:rPr>
          <w:rFonts w:hint="eastAsia"/>
        </w:rPr>
        <w:t>；</w:t>
      </w:r>
      <w:r>
        <w:rPr>
          <w:rFonts w:hint="eastAsia"/>
          <w:szCs w:val="21"/>
        </w:rPr>
        <w:t>除本文件明列可调整项目费用</w:t>
      </w:r>
      <w:r>
        <w:rPr>
          <w:szCs w:val="21"/>
        </w:rPr>
        <w:t>外</w:t>
      </w:r>
      <w:r>
        <w:rPr>
          <w:rFonts w:hint="eastAsia"/>
        </w:rPr>
        <w:t>，采购人将不再支付报价以外的任何费用</w:t>
      </w:r>
      <w:r>
        <w:t>。</w:t>
      </w:r>
    </w:p>
    <w:p w14:paraId="7A467D8B">
      <w:pPr>
        <w:numPr>
          <w:ilvl w:val="1"/>
          <w:numId w:val="1"/>
        </w:numPr>
        <w:wordWrap w:val="0"/>
        <w:adjustRightInd w:val="0"/>
        <w:snapToGrid w:val="0"/>
      </w:pPr>
      <w:r>
        <w:rPr>
          <w:rFonts w:hint="eastAsia"/>
        </w:rPr>
        <w:t>采购人、采购代理机构不接受备选的投标方案或有选择的报价。</w:t>
      </w:r>
    </w:p>
    <w:p w14:paraId="7D4B4A0F">
      <w:pPr>
        <w:numPr>
          <w:ilvl w:val="1"/>
          <w:numId w:val="1"/>
        </w:numPr>
        <w:wordWrap w:val="0"/>
        <w:adjustRightInd w:val="0"/>
        <w:snapToGrid w:val="0"/>
      </w:pPr>
      <w:r>
        <w:rPr>
          <w:rFonts w:hint="eastAsia"/>
        </w:rPr>
        <w:t>投标人的任何错漏、优惠、竞争性报价不得作为减轻责任、减少服务、增加收费、降低质量的理由。</w:t>
      </w:r>
    </w:p>
    <w:p w14:paraId="4C65185C">
      <w:pPr>
        <w:numPr>
          <w:ilvl w:val="0"/>
          <w:numId w:val="1"/>
        </w:numPr>
        <w:wordWrap w:val="0"/>
        <w:adjustRightInd w:val="0"/>
        <w:snapToGrid w:val="0"/>
        <w:outlineLvl w:val="2"/>
        <w:rPr>
          <w:b/>
          <w:bCs/>
          <w:szCs w:val="32"/>
        </w:rPr>
      </w:pPr>
      <w:r>
        <w:rPr>
          <w:rFonts w:hint="eastAsia"/>
          <w:b/>
          <w:bCs/>
          <w:szCs w:val="32"/>
        </w:rPr>
        <w:t>技术要求响应及偏离表、商务要求响应及偏离表</w:t>
      </w:r>
    </w:p>
    <w:p w14:paraId="5D646573">
      <w:pPr>
        <w:numPr>
          <w:ilvl w:val="1"/>
          <w:numId w:val="1"/>
        </w:numPr>
        <w:wordWrap w:val="0"/>
        <w:adjustRightInd w:val="0"/>
        <w:snapToGrid w:val="0"/>
      </w:pPr>
      <w:r>
        <w:rPr>
          <w:rFonts w:hint="eastAsia"/>
          <w:szCs w:val="21"/>
        </w:rPr>
        <w:t>技术要求是指对采购标的的功能和质量要求，包括性能、材料、结构、外观、安全，或者服务内容和标准等。商务要求是指取得采购标的的时间、地点、财务和服务要求，包括交付（实施）的时间（期限）和地点（范围），付款条件（进度和方式），包装和运输，售后服务，保险等。</w:t>
      </w:r>
      <w:r>
        <w:rPr>
          <w:rFonts w:hint="eastAsia"/>
          <w:spacing w:val="-4"/>
        </w:rPr>
        <w:t>投标人需</w:t>
      </w:r>
      <w:r>
        <w:rPr>
          <w:rFonts w:hint="eastAsia"/>
        </w:rPr>
        <w:t>按照招标文件要求</w:t>
      </w:r>
      <w:r>
        <w:rPr>
          <w:rFonts w:hint="eastAsia"/>
          <w:spacing w:val="-4"/>
        </w:rPr>
        <w:t>对招标文件中的技术要求和商务要求作出响应或偏离，并说明原因</w:t>
      </w:r>
      <w:r>
        <w:rPr>
          <w:rFonts w:hint="eastAsia"/>
        </w:rPr>
        <w:t>。</w:t>
      </w:r>
    </w:p>
    <w:p w14:paraId="6F94D96C">
      <w:pPr>
        <w:numPr>
          <w:ilvl w:val="1"/>
          <w:numId w:val="1"/>
        </w:numPr>
        <w:wordWrap w:val="0"/>
        <w:adjustRightInd w:val="0"/>
        <w:snapToGrid w:val="0"/>
      </w:pPr>
      <w:r>
        <w:rPr>
          <w:rFonts w:hint="eastAsia"/>
        </w:rPr>
        <w:t>投标人需按照招标文件要求，在投标文件中提供与技术要求和商务要求相关的证明材料或承诺书，以及投标人认为需要的其他技术文件或说明</w:t>
      </w:r>
      <w:r>
        <w:t>。</w:t>
      </w:r>
    </w:p>
    <w:p w14:paraId="3C65EC9C">
      <w:pPr>
        <w:numPr>
          <w:ilvl w:val="0"/>
          <w:numId w:val="1"/>
        </w:numPr>
        <w:wordWrap w:val="0"/>
        <w:adjustRightInd w:val="0"/>
        <w:snapToGrid w:val="0"/>
        <w:outlineLvl w:val="2"/>
        <w:rPr>
          <w:b/>
          <w:bCs/>
          <w:szCs w:val="32"/>
        </w:rPr>
      </w:pPr>
      <w:bookmarkStart w:id="110" w:name="_Toc57992134"/>
      <w:bookmarkStart w:id="111" w:name="_Toc57992286"/>
      <w:bookmarkStart w:id="112" w:name="_Toc57991602"/>
      <w:bookmarkStart w:id="113" w:name="_Toc57992614"/>
      <w:r>
        <w:rPr>
          <w:b/>
          <w:bCs/>
          <w:szCs w:val="32"/>
        </w:rPr>
        <w:t>服务承诺</w:t>
      </w:r>
      <w:bookmarkEnd w:id="110"/>
      <w:bookmarkEnd w:id="111"/>
      <w:bookmarkEnd w:id="112"/>
      <w:bookmarkEnd w:id="113"/>
      <w:r>
        <w:rPr>
          <w:rFonts w:hint="eastAsia"/>
          <w:b/>
          <w:bCs/>
          <w:szCs w:val="32"/>
        </w:rPr>
        <w:t>、培训计划、人员安排及其他</w:t>
      </w:r>
      <w:r>
        <w:rPr>
          <w:rFonts w:hint="eastAsia"/>
          <w:bCs/>
          <w:szCs w:val="32"/>
        </w:rPr>
        <w:t>（如有）</w:t>
      </w:r>
    </w:p>
    <w:p w14:paraId="756D9B32">
      <w:pPr>
        <w:numPr>
          <w:ilvl w:val="1"/>
          <w:numId w:val="1"/>
        </w:numPr>
        <w:wordWrap w:val="0"/>
        <w:adjustRightInd w:val="0"/>
        <w:snapToGrid w:val="0"/>
      </w:pPr>
      <w:r>
        <w:rPr>
          <w:rFonts w:hint="eastAsia"/>
        </w:rPr>
        <w:t>投标人需</w:t>
      </w:r>
      <w:r>
        <w:t>根据</w:t>
      </w:r>
      <w:r>
        <w:rPr>
          <w:rFonts w:hint="eastAsia"/>
        </w:rPr>
        <w:t>招标</w:t>
      </w:r>
      <w:r>
        <w:t>文件要求</w:t>
      </w:r>
      <w:r>
        <w:rPr>
          <w:rFonts w:hint="eastAsia"/>
        </w:rPr>
        <w:t>提供有关</w:t>
      </w:r>
      <w:r>
        <w:t>服务人员稳定管理、作业安全规范、响应时效、问题整改管控、应急事项处置、廉洁履职、保密约束</w:t>
      </w:r>
      <w:r>
        <w:rPr>
          <w:rFonts w:hint="eastAsia"/>
        </w:rPr>
        <w:t>的对应</w:t>
      </w:r>
      <w:r>
        <w:t>保障措施。</w:t>
      </w:r>
    </w:p>
    <w:p w14:paraId="08E7C700">
      <w:pPr>
        <w:numPr>
          <w:ilvl w:val="1"/>
          <w:numId w:val="1"/>
        </w:numPr>
        <w:wordWrap w:val="0"/>
        <w:adjustRightInd w:val="0"/>
        <w:snapToGrid w:val="0"/>
      </w:pPr>
      <w:r>
        <w:rPr>
          <w:rFonts w:hint="eastAsia"/>
        </w:rPr>
        <w:t>投标人需根据招标文件要求提供投标标的的主要组成部分、功能设计、实现思路及关键技术等。</w:t>
      </w:r>
    </w:p>
    <w:p w14:paraId="2E112F1C">
      <w:pPr>
        <w:numPr>
          <w:ilvl w:val="0"/>
          <w:numId w:val="1"/>
        </w:numPr>
        <w:wordWrap w:val="0"/>
        <w:adjustRightInd w:val="0"/>
        <w:snapToGrid w:val="0"/>
        <w:outlineLvl w:val="2"/>
        <w:rPr>
          <w:b/>
          <w:bCs/>
          <w:szCs w:val="32"/>
        </w:rPr>
      </w:pPr>
      <w:bookmarkStart w:id="114" w:name="_Toc57992131"/>
      <w:bookmarkStart w:id="115" w:name="_Toc57991599"/>
      <w:bookmarkStart w:id="116" w:name="_Toc57992283"/>
      <w:bookmarkStart w:id="117" w:name="_Toc57992611"/>
      <w:r>
        <w:rPr>
          <w:rFonts w:hint="eastAsia"/>
          <w:b/>
          <w:bCs/>
          <w:szCs w:val="32"/>
        </w:rPr>
        <w:t>投标函和开标一览表</w:t>
      </w:r>
      <w:bookmarkEnd w:id="114"/>
      <w:bookmarkEnd w:id="115"/>
      <w:bookmarkEnd w:id="116"/>
      <w:bookmarkEnd w:id="117"/>
    </w:p>
    <w:p w14:paraId="64491DF6">
      <w:pPr>
        <w:numPr>
          <w:ilvl w:val="1"/>
          <w:numId w:val="1"/>
        </w:numPr>
        <w:wordWrap w:val="0"/>
        <w:adjustRightInd w:val="0"/>
        <w:snapToGrid w:val="0"/>
      </w:pPr>
      <w:r>
        <w:rPr>
          <w:rFonts w:hint="eastAsia"/>
        </w:rPr>
        <w:t>投标人应按照招标文件中提供的格式完整、正确填写投标函、开标一览表。</w:t>
      </w:r>
    </w:p>
    <w:p w14:paraId="640F4992">
      <w:pPr>
        <w:numPr>
          <w:ilvl w:val="1"/>
          <w:numId w:val="1"/>
        </w:numPr>
        <w:wordWrap w:val="0"/>
        <w:adjustRightInd w:val="0"/>
        <w:snapToGrid w:val="0"/>
      </w:pPr>
      <w:r>
        <w:rPr>
          <w:rFonts w:hint="eastAsia"/>
          <w:spacing w:val="-2"/>
        </w:rPr>
        <w:t>对于采用货币报价的项目，开标一览表中的投标总报价应与投标分项报价表中的投标总报价一致，如不一致，不作为无效投标处理，但评标时按开标一览表中价格为准</w:t>
      </w:r>
      <w:r>
        <w:rPr>
          <w:rFonts w:hint="eastAsia"/>
        </w:rPr>
        <w:t>。</w:t>
      </w:r>
    </w:p>
    <w:p w14:paraId="398652C3">
      <w:pPr>
        <w:pStyle w:val="4"/>
        <w:adjustRightInd w:val="0"/>
        <w:snapToGrid w:val="0"/>
      </w:pPr>
      <w:bookmarkStart w:id="118" w:name="_Toc57992288"/>
      <w:bookmarkStart w:id="119" w:name="_Toc57992616"/>
      <w:bookmarkStart w:id="120" w:name="_Toc57992136"/>
      <w:bookmarkStart w:id="121" w:name="_Toc57991604"/>
      <w:r>
        <w:rPr>
          <w:rFonts w:hint="eastAsia"/>
        </w:rPr>
        <w:t>投标有效期</w:t>
      </w:r>
      <w:bookmarkEnd w:id="118"/>
      <w:bookmarkEnd w:id="119"/>
      <w:bookmarkEnd w:id="120"/>
      <w:bookmarkEnd w:id="121"/>
    </w:p>
    <w:p w14:paraId="7121CBD1">
      <w:pPr>
        <w:numPr>
          <w:ilvl w:val="1"/>
          <w:numId w:val="1"/>
        </w:numPr>
        <w:wordWrap w:val="0"/>
        <w:adjustRightInd w:val="0"/>
        <w:snapToGrid w:val="0"/>
      </w:pPr>
      <w:r>
        <w:rPr>
          <w:rFonts w:hint="eastAsia"/>
        </w:rPr>
        <w:t>投标有效期从提交投标文件的截止之日起</w:t>
      </w:r>
      <w:r>
        <w:t>90</w:t>
      </w:r>
      <w:r>
        <w:rPr>
          <w:rFonts w:hint="eastAsia"/>
        </w:rPr>
        <w:t>天。投标有效期比规定短的将被视为未实质性响应招标文件而予以拒绝。</w:t>
      </w:r>
    </w:p>
    <w:p w14:paraId="38950DFB">
      <w:pPr>
        <w:numPr>
          <w:ilvl w:val="1"/>
          <w:numId w:val="1"/>
        </w:numPr>
        <w:wordWrap w:val="0"/>
        <w:adjustRightInd w:val="0"/>
        <w:snapToGrid w:val="0"/>
      </w:pPr>
      <w:r>
        <w:rPr>
          <w:rFonts w:hint="eastAsia"/>
        </w:rPr>
        <w:t>在特殊情况下，采购代理机构于原投标有效期满之前，可向投标人提出延长投标有效期的要求。这种要求与答复均应采用书面形式。投标人可以拒绝采购代理机构的这一要求而放弃投标，同意延长投标有效期的投标人既不能要求也不允许修改其投标文件。受投标有效期约束的所有权利与义务均延长至新的有效期。</w:t>
      </w:r>
    </w:p>
    <w:p w14:paraId="4946362B">
      <w:pPr>
        <w:pStyle w:val="48"/>
        <w:numPr>
          <w:ilvl w:val="0"/>
          <w:numId w:val="2"/>
        </w:numPr>
        <w:wordWrap w:val="0"/>
        <w:adjustRightInd w:val="0"/>
        <w:snapToGrid w:val="0"/>
        <w:ind w:firstLineChars="0"/>
        <w:outlineLvl w:val="1"/>
        <w:rPr>
          <w:b/>
          <w:sz w:val="30"/>
          <w:szCs w:val="24"/>
        </w:rPr>
      </w:pPr>
      <w:bookmarkStart w:id="122" w:name="_Toc57991606"/>
      <w:bookmarkStart w:id="123" w:name="_Toc394695580"/>
      <w:bookmarkStart w:id="124" w:name="_Toc57992290"/>
      <w:bookmarkStart w:id="125" w:name="_Toc57992138"/>
      <w:bookmarkStart w:id="126" w:name="_Toc57992046"/>
      <w:r>
        <w:rPr>
          <w:rFonts w:hint="eastAsia"/>
          <w:b/>
          <w:sz w:val="30"/>
          <w:szCs w:val="24"/>
        </w:rPr>
        <w:t>投标</w:t>
      </w:r>
      <w:bookmarkEnd w:id="122"/>
      <w:bookmarkEnd w:id="123"/>
      <w:bookmarkEnd w:id="124"/>
      <w:bookmarkEnd w:id="125"/>
      <w:bookmarkEnd w:id="126"/>
      <w:r>
        <w:rPr>
          <w:rFonts w:hint="eastAsia"/>
          <w:b/>
          <w:sz w:val="30"/>
          <w:szCs w:val="24"/>
        </w:rPr>
        <w:t>文件的上传</w:t>
      </w:r>
    </w:p>
    <w:p w14:paraId="2598DD40">
      <w:pPr>
        <w:pStyle w:val="4"/>
        <w:adjustRightInd w:val="0"/>
        <w:snapToGrid w:val="0"/>
      </w:pPr>
      <w:bookmarkStart w:id="127" w:name="_Toc57992291"/>
      <w:bookmarkStart w:id="128" w:name="_Toc38315871"/>
      <w:bookmarkStart w:id="129" w:name="_Toc57992139"/>
      <w:bookmarkStart w:id="130" w:name="_Toc57992618"/>
      <w:bookmarkStart w:id="131" w:name="_Toc57991607"/>
      <w:r>
        <w:rPr>
          <w:rFonts w:hint="eastAsia"/>
        </w:rPr>
        <w:t>投标文件的</w:t>
      </w:r>
      <w:bookmarkEnd w:id="127"/>
      <w:bookmarkEnd w:id="128"/>
      <w:bookmarkEnd w:id="129"/>
      <w:bookmarkEnd w:id="130"/>
      <w:bookmarkEnd w:id="131"/>
      <w:r>
        <w:rPr>
          <w:rFonts w:hint="eastAsia"/>
        </w:rPr>
        <w:t>上传</w:t>
      </w:r>
    </w:p>
    <w:p w14:paraId="746C9A9E">
      <w:pPr>
        <w:numPr>
          <w:ilvl w:val="1"/>
          <w:numId w:val="1"/>
        </w:numPr>
        <w:wordWrap w:val="0"/>
        <w:adjustRightInd w:val="0"/>
        <w:snapToGrid w:val="0"/>
      </w:pPr>
      <w:r>
        <w:rPr>
          <w:rFonts w:hint="eastAsia"/>
          <w:spacing w:val="-4"/>
        </w:rPr>
        <w:t>投标人应当按照《操作手册》规定，在投标截止时间前</w:t>
      </w:r>
      <w:r>
        <w:rPr>
          <w:spacing w:val="-4"/>
        </w:rPr>
        <w:t>制作</w:t>
      </w:r>
      <w:r>
        <w:rPr>
          <w:rFonts w:hint="eastAsia"/>
          <w:spacing w:val="-4"/>
        </w:rPr>
        <w:t>并上传电子投标文件</w:t>
      </w:r>
      <w:r>
        <w:rPr>
          <w:rFonts w:hint="eastAsia"/>
        </w:rPr>
        <w:t>。</w:t>
      </w:r>
    </w:p>
    <w:p w14:paraId="05748C59">
      <w:pPr>
        <w:numPr>
          <w:ilvl w:val="1"/>
          <w:numId w:val="1"/>
        </w:numPr>
        <w:wordWrap w:val="0"/>
        <w:adjustRightInd w:val="0"/>
        <w:snapToGrid w:val="0"/>
      </w:pPr>
      <w:r>
        <w:rPr>
          <w:rFonts w:hint="eastAsia"/>
        </w:rPr>
        <w:t>投标人上传的电子投标文件内容不清楚或不清晰的（含扫描件），造成无法评审或部分影响评审的，责任由投标人自负。</w:t>
      </w:r>
    </w:p>
    <w:p w14:paraId="6338EA00">
      <w:pPr>
        <w:numPr>
          <w:ilvl w:val="1"/>
          <w:numId w:val="1"/>
        </w:numPr>
        <w:wordWrap w:val="0"/>
        <w:adjustRightInd w:val="0"/>
        <w:snapToGrid w:val="0"/>
      </w:pPr>
      <w:r>
        <w:rPr>
          <w:rFonts w:hint="eastAsia"/>
        </w:rPr>
        <w:t>投标人上传电子投标文件的时间不得迟于招标公告中规定的投标截止时间。</w:t>
      </w:r>
    </w:p>
    <w:p w14:paraId="197600A2">
      <w:pPr>
        <w:numPr>
          <w:ilvl w:val="1"/>
          <w:numId w:val="1"/>
        </w:numPr>
        <w:wordWrap w:val="0"/>
        <w:adjustRightInd w:val="0"/>
        <w:snapToGrid w:val="0"/>
      </w:pPr>
      <w:r>
        <w:rPr>
          <w:rFonts w:hint="eastAsia"/>
        </w:rPr>
        <w:t>采购人、采购代理机构可以按照本章第</w:t>
      </w:r>
      <w:r>
        <w:t>8</w:t>
      </w:r>
      <w:r>
        <w:rPr>
          <w:rFonts w:hint="eastAsia"/>
        </w:rPr>
        <w:t>条规定，通过修改招标文件酌情延长投标截止时间，在此情况下，投标人的所有权利和义务以及投标人受制约的截止时间均应以延长后新的截止时间为准。</w:t>
      </w:r>
    </w:p>
    <w:p w14:paraId="5F02F947">
      <w:pPr>
        <w:pStyle w:val="4"/>
        <w:adjustRightInd w:val="0"/>
        <w:snapToGrid w:val="0"/>
      </w:pPr>
      <w:r>
        <w:rPr>
          <w:rFonts w:hint="eastAsia"/>
        </w:rPr>
        <w:t>投标文件被拒收的情形</w:t>
      </w:r>
    </w:p>
    <w:p w14:paraId="1021FC00">
      <w:pPr>
        <w:wordWrap w:val="0"/>
        <w:adjustRightInd w:val="0"/>
        <w:snapToGrid w:val="0"/>
        <w:ind w:firstLine="480" w:firstLineChars="200"/>
      </w:pPr>
      <w:r>
        <w:rPr>
          <w:rFonts w:hint="eastAsia"/>
        </w:rPr>
        <w:t>在招标文件规定的提交投标文件截止时间后上传的任何电子投标文件。</w:t>
      </w:r>
    </w:p>
    <w:p w14:paraId="02CD525D">
      <w:pPr>
        <w:pStyle w:val="4"/>
        <w:adjustRightInd w:val="0"/>
        <w:snapToGrid w:val="0"/>
      </w:pPr>
      <w:bookmarkStart w:id="132" w:name="_Toc57992622"/>
      <w:bookmarkStart w:id="133" w:name="_Toc57992143"/>
      <w:bookmarkStart w:id="134" w:name="_Toc57991611"/>
      <w:bookmarkStart w:id="135" w:name="_Toc57992295"/>
      <w:bookmarkStart w:id="136" w:name="_Toc394695584"/>
      <w:r>
        <w:rPr>
          <w:rFonts w:hint="eastAsia"/>
        </w:rPr>
        <w:t>投标文件的撤回和</w:t>
      </w:r>
      <w:bookmarkEnd w:id="132"/>
      <w:bookmarkEnd w:id="133"/>
      <w:bookmarkEnd w:id="134"/>
      <w:bookmarkEnd w:id="135"/>
      <w:bookmarkEnd w:id="136"/>
      <w:r>
        <w:rPr>
          <w:rFonts w:hint="eastAsia"/>
        </w:rPr>
        <w:t>修改</w:t>
      </w:r>
    </w:p>
    <w:p w14:paraId="19DD5C68">
      <w:pPr>
        <w:numPr>
          <w:ilvl w:val="1"/>
          <w:numId w:val="1"/>
        </w:numPr>
        <w:wordWrap w:val="0"/>
        <w:adjustRightInd w:val="0"/>
        <w:snapToGrid w:val="0"/>
      </w:pPr>
      <w:r>
        <w:rPr>
          <w:rFonts w:hint="eastAsia"/>
        </w:rPr>
        <w:t>投标文件的撤回</w:t>
      </w:r>
    </w:p>
    <w:p w14:paraId="5C2EB21C">
      <w:pPr>
        <w:numPr>
          <w:ilvl w:val="2"/>
          <w:numId w:val="1"/>
        </w:numPr>
        <w:wordWrap w:val="0"/>
        <w:adjustRightInd w:val="0"/>
        <w:snapToGrid w:val="0"/>
      </w:pPr>
      <w:r>
        <w:rPr>
          <w:rFonts w:hint="eastAsia"/>
        </w:rPr>
        <w:t>投标人可在投标截止时间前，登录“苏采云”撤回其电子投标文件，具体操作方法见《操作手册》。</w:t>
      </w:r>
    </w:p>
    <w:p w14:paraId="0673D316">
      <w:pPr>
        <w:numPr>
          <w:ilvl w:val="2"/>
          <w:numId w:val="1"/>
        </w:numPr>
        <w:wordWrap w:val="0"/>
        <w:adjustRightInd w:val="0"/>
        <w:snapToGrid w:val="0"/>
      </w:pPr>
      <w:r>
        <w:rPr>
          <w:rFonts w:hint="eastAsia"/>
        </w:rPr>
        <w:t>投标人在投标截止时间前撤回电子投标文件，且未重新上传的，则认为其不再参与本项目投标活动。</w:t>
      </w:r>
    </w:p>
    <w:p w14:paraId="2475B096">
      <w:pPr>
        <w:numPr>
          <w:ilvl w:val="1"/>
          <w:numId w:val="1"/>
        </w:numPr>
        <w:wordWrap w:val="0"/>
        <w:adjustRightInd w:val="0"/>
        <w:snapToGrid w:val="0"/>
      </w:pPr>
      <w:r>
        <w:rPr>
          <w:rFonts w:hint="eastAsia"/>
        </w:rPr>
        <w:t>投标文件的修改</w:t>
      </w:r>
    </w:p>
    <w:p w14:paraId="520429CE">
      <w:pPr>
        <w:wordWrap w:val="0"/>
        <w:adjustRightInd w:val="0"/>
        <w:snapToGrid w:val="0"/>
        <w:ind w:firstLine="480" w:firstLineChars="200"/>
      </w:pPr>
      <w:r>
        <w:rPr>
          <w:rFonts w:hint="eastAsia"/>
        </w:rPr>
        <w:t>投标人可在投标截止时间前，登录“苏采云”对其电子投标文件进行修改，具体操作方法见《操作手册》，电子投标文件以最终完成上传的为准。</w:t>
      </w:r>
    </w:p>
    <w:p w14:paraId="04C4B056">
      <w:pPr>
        <w:numPr>
          <w:ilvl w:val="1"/>
          <w:numId w:val="1"/>
        </w:numPr>
        <w:wordWrap w:val="0"/>
        <w:adjustRightInd w:val="0"/>
        <w:snapToGrid w:val="0"/>
      </w:pPr>
      <w:r>
        <w:rPr>
          <w:rFonts w:hint="eastAsia"/>
        </w:rPr>
        <w:t>在投标截止时间起至投标有效期满前，投标人不得撤回、修改其电子投标文件。</w:t>
      </w:r>
    </w:p>
    <w:p w14:paraId="08AD8752">
      <w:pPr>
        <w:pStyle w:val="48"/>
        <w:numPr>
          <w:ilvl w:val="0"/>
          <w:numId w:val="2"/>
        </w:numPr>
        <w:wordWrap w:val="0"/>
        <w:adjustRightInd w:val="0"/>
        <w:snapToGrid w:val="0"/>
        <w:ind w:firstLineChars="0"/>
        <w:outlineLvl w:val="1"/>
        <w:rPr>
          <w:b/>
          <w:sz w:val="30"/>
          <w:szCs w:val="24"/>
        </w:rPr>
      </w:pPr>
      <w:bookmarkStart w:id="137" w:name="_Toc57992144"/>
      <w:bookmarkStart w:id="138" w:name="_Toc57992296"/>
      <w:bookmarkStart w:id="139" w:name="_Toc57992047"/>
      <w:bookmarkStart w:id="140" w:name="_Toc57991612"/>
      <w:r>
        <w:rPr>
          <w:rFonts w:hint="eastAsia"/>
          <w:b/>
          <w:sz w:val="30"/>
          <w:szCs w:val="24"/>
        </w:rPr>
        <w:t>开标与</w:t>
      </w:r>
      <w:r>
        <w:rPr>
          <w:b/>
          <w:sz w:val="30"/>
          <w:szCs w:val="24"/>
        </w:rPr>
        <w:t>评标</w:t>
      </w:r>
      <w:bookmarkEnd w:id="137"/>
      <w:bookmarkEnd w:id="138"/>
      <w:bookmarkEnd w:id="139"/>
      <w:bookmarkEnd w:id="140"/>
    </w:p>
    <w:p w14:paraId="042D117C">
      <w:pPr>
        <w:pStyle w:val="4"/>
        <w:adjustRightInd w:val="0"/>
        <w:snapToGrid w:val="0"/>
      </w:pPr>
      <w:bookmarkStart w:id="141" w:name="_Toc57991613"/>
      <w:bookmarkStart w:id="142" w:name="_Toc57992145"/>
      <w:bookmarkStart w:id="143" w:name="_Toc57992297"/>
      <w:bookmarkStart w:id="144" w:name="_Toc57992623"/>
      <w:r>
        <w:rPr>
          <w:rFonts w:hint="eastAsia"/>
        </w:rPr>
        <w:t>开标</w:t>
      </w:r>
      <w:bookmarkEnd w:id="141"/>
      <w:bookmarkEnd w:id="142"/>
      <w:bookmarkEnd w:id="143"/>
      <w:bookmarkEnd w:id="144"/>
    </w:p>
    <w:p w14:paraId="50047A78">
      <w:pPr>
        <w:numPr>
          <w:ilvl w:val="1"/>
          <w:numId w:val="1"/>
        </w:numPr>
        <w:wordWrap w:val="0"/>
        <w:adjustRightInd w:val="0"/>
        <w:snapToGrid w:val="0"/>
      </w:pPr>
      <w:r>
        <w:rPr>
          <w:rFonts w:hint="eastAsia"/>
        </w:rPr>
        <w:t>采购代理机构将在招标公告中规定的时间和地点组织开标。投标人应当按照《操作手册》规定，</w:t>
      </w:r>
      <w:r>
        <w:t>参加开标活动</w:t>
      </w:r>
      <w:r>
        <w:rPr>
          <w:rFonts w:hint="eastAsia"/>
        </w:rPr>
        <w:t>和在苏采云系统规定的时间内对投标文件进行解密。</w:t>
      </w:r>
    </w:p>
    <w:p w14:paraId="56DB1ED1">
      <w:pPr>
        <w:numPr>
          <w:ilvl w:val="1"/>
          <w:numId w:val="1"/>
        </w:numPr>
        <w:wordWrap w:val="0"/>
        <w:adjustRightInd w:val="0"/>
        <w:snapToGrid w:val="0"/>
      </w:pPr>
      <w:r>
        <w:rPr>
          <w:rFonts w:hint="eastAsia"/>
        </w:rPr>
        <w:t>开标仪式由采购代理机构组织。苏采云系统将自动对</w:t>
      </w:r>
      <w:r>
        <w:t>项目进行开标，</w:t>
      </w:r>
      <w:r>
        <w:rPr>
          <w:rFonts w:hint="eastAsia"/>
        </w:rPr>
        <w:t>并宣布各投标人名称和投标价格。开标时，投标人不足3家的，不得开标。</w:t>
      </w:r>
    </w:p>
    <w:p w14:paraId="2F3A0DDF">
      <w:pPr>
        <w:numPr>
          <w:ilvl w:val="1"/>
          <w:numId w:val="1"/>
        </w:numPr>
        <w:wordWrap w:val="0"/>
        <w:adjustRightInd w:val="0"/>
        <w:snapToGrid w:val="0"/>
      </w:pPr>
      <w:r>
        <w:rPr>
          <w:rFonts w:hint="eastAsia"/>
        </w:rPr>
        <w:t>投标人在开标过程中涉及到的投标文件解密、开标结果确认等工作，应按照《操作手册》规定执行。</w:t>
      </w:r>
    </w:p>
    <w:p w14:paraId="6132E499">
      <w:pPr>
        <w:numPr>
          <w:ilvl w:val="1"/>
          <w:numId w:val="1"/>
        </w:numPr>
        <w:wordWrap w:val="0"/>
        <w:adjustRightInd w:val="0"/>
        <w:snapToGrid w:val="0"/>
      </w:pPr>
      <w:r>
        <w:rPr>
          <w:rFonts w:hint="eastAsia"/>
        </w:rPr>
        <w:t>投标人如果对开标过程和开标记录有疑义，应当根据《操作手册》规定提出，如苏采云系统中《开标记录表》宣布后5分钟内未提出的，视同认可开标结果。</w:t>
      </w:r>
    </w:p>
    <w:p w14:paraId="7878B172">
      <w:pPr>
        <w:pStyle w:val="4"/>
        <w:adjustRightInd w:val="0"/>
        <w:snapToGrid w:val="0"/>
      </w:pPr>
      <w:r>
        <w:rPr>
          <w:rFonts w:hint="eastAsia"/>
        </w:rPr>
        <w:t>评标委员会</w:t>
      </w:r>
    </w:p>
    <w:p w14:paraId="493C69E2">
      <w:pPr>
        <w:numPr>
          <w:ilvl w:val="1"/>
          <w:numId w:val="1"/>
        </w:numPr>
        <w:wordWrap w:val="0"/>
        <w:adjustRightInd w:val="0"/>
        <w:snapToGrid w:val="0"/>
      </w:pPr>
      <w:r>
        <w:rPr>
          <w:rFonts w:hint="eastAsia"/>
        </w:rPr>
        <w:t>开标后，采购代理机构将立即组织评标委员会（以下简称评委会）进行评标。</w:t>
      </w:r>
    </w:p>
    <w:p w14:paraId="2DB6EC87">
      <w:pPr>
        <w:numPr>
          <w:ilvl w:val="1"/>
          <w:numId w:val="1"/>
        </w:numPr>
        <w:wordWrap w:val="0"/>
        <w:adjustRightInd w:val="0"/>
        <w:snapToGrid w:val="0"/>
      </w:pPr>
      <w:r>
        <w:rPr>
          <w:rFonts w:hint="eastAsia"/>
        </w:rPr>
        <w:t>评委会由采购人代表和有关技术、经济等方面的专家组成，且人员构成符合政府采购有关规定。</w:t>
      </w:r>
    </w:p>
    <w:p w14:paraId="5D9CC052">
      <w:pPr>
        <w:numPr>
          <w:ilvl w:val="1"/>
          <w:numId w:val="1"/>
        </w:numPr>
        <w:wordWrap w:val="0"/>
        <w:adjustRightInd w:val="0"/>
        <w:snapToGrid w:val="0"/>
      </w:pPr>
      <w:r>
        <w:rPr>
          <w:rFonts w:hint="eastAsia"/>
        </w:rPr>
        <w:t>评委会独立工作，负责评审所有投标文件并确定中标候选人</w:t>
      </w:r>
      <w:r>
        <w:t>。</w:t>
      </w:r>
    </w:p>
    <w:p w14:paraId="618AFC5A">
      <w:pPr>
        <w:pStyle w:val="4"/>
        <w:adjustRightInd w:val="0"/>
        <w:snapToGrid w:val="0"/>
      </w:pPr>
      <w:bookmarkStart w:id="145" w:name="_Toc57991617"/>
      <w:bookmarkStart w:id="146" w:name="_Toc57992149"/>
      <w:bookmarkStart w:id="147" w:name="_Toc57992301"/>
      <w:bookmarkStart w:id="148" w:name="_Toc57992627"/>
      <w:r>
        <w:rPr>
          <w:rFonts w:hint="eastAsia"/>
        </w:rPr>
        <w:t>评标过程的保密</w:t>
      </w:r>
      <w:bookmarkEnd w:id="145"/>
      <w:bookmarkEnd w:id="146"/>
      <w:bookmarkEnd w:id="147"/>
      <w:bookmarkEnd w:id="148"/>
      <w:r>
        <w:rPr>
          <w:rFonts w:hint="eastAsia"/>
        </w:rPr>
        <w:t>与公正</w:t>
      </w:r>
    </w:p>
    <w:p w14:paraId="2BFFFE7C">
      <w:pPr>
        <w:numPr>
          <w:ilvl w:val="1"/>
          <w:numId w:val="1"/>
        </w:numPr>
        <w:wordWrap w:val="0"/>
        <w:adjustRightInd w:val="0"/>
        <w:snapToGrid w:val="0"/>
      </w:pPr>
      <w:r>
        <w:rPr>
          <w:rFonts w:hint="eastAsia"/>
        </w:rPr>
        <w:t>凡是与审查、澄清、评价和比较投标的有关资料以及授标建议等，采购人、评委、采购代理机构均不得向投标人或与评标无关的其他人员透露。</w:t>
      </w:r>
    </w:p>
    <w:p w14:paraId="16D2A335">
      <w:pPr>
        <w:numPr>
          <w:ilvl w:val="1"/>
          <w:numId w:val="1"/>
        </w:numPr>
        <w:wordWrap w:val="0"/>
        <w:adjustRightInd w:val="0"/>
        <w:snapToGrid w:val="0"/>
      </w:pPr>
      <w:r>
        <w:rPr>
          <w:rFonts w:hint="eastAsia"/>
        </w:rPr>
        <w:t>评标委员会成员名单在开标前确定，并在评标结果公告前保密。</w:t>
      </w:r>
    </w:p>
    <w:p w14:paraId="29CBD8A9">
      <w:pPr>
        <w:numPr>
          <w:ilvl w:val="1"/>
          <w:numId w:val="1"/>
        </w:numPr>
        <w:wordWrap w:val="0"/>
        <w:adjustRightInd w:val="0"/>
        <w:snapToGrid w:val="0"/>
      </w:pPr>
      <w:r>
        <w:rPr>
          <w:rFonts w:hint="eastAsia"/>
        </w:rPr>
        <w:t>在评标过程中，投标人不得以任何行为影响评标过程，否则其投标文件将被作为</w:t>
      </w:r>
      <w:r>
        <w:rPr>
          <w:rFonts w:hint="eastAsia"/>
          <w:b/>
        </w:rPr>
        <w:t>无效投标文件</w:t>
      </w:r>
      <w:r>
        <w:rPr>
          <w:rFonts w:hint="eastAsia"/>
        </w:rPr>
        <w:t>。</w:t>
      </w:r>
    </w:p>
    <w:p w14:paraId="0C438BE9">
      <w:pPr>
        <w:numPr>
          <w:ilvl w:val="1"/>
          <w:numId w:val="1"/>
        </w:numPr>
        <w:wordWrap w:val="0"/>
        <w:adjustRightInd w:val="0"/>
        <w:snapToGrid w:val="0"/>
      </w:pPr>
      <w:r>
        <w:rPr>
          <w:rFonts w:hint="eastAsia"/>
        </w:rPr>
        <w:t>评标委员会发现招标文件内容违反国家有关强制性规定或者招标文件存在歧义、重大缺陷导致评标工作无法进行时，应当停止评标并向采购人或者采购代理机构书面说明情况。采购人或者采购代理机构确认后，应当修改招标文件，重新组织采购活动。</w:t>
      </w:r>
    </w:p>
    <w:p w14:paraId="165B2C2F">
      <w:pPr>
        <w:numPr>
          <w:ilvl w:val="1"/>
          <w:numId w:val="1"/>
        </w:numPr>
        <w:wordWrap w:val="0"/>
        <w:adjustRightInd w:val="0"/>
        <w:snapToGrid w:val="0"/>
      </w:pPr>
      <w:r>
        <w:rPr>
          <w:rFonts w:hint="eastAsia"/>
        </w:rPr>
        <w:t>在项目评审期间，采购代理机构将有专门人员与投标人进行联络。</w:t>
      </w:r>
    </w:p>
    <w:p w14:paraId="42BAC5F0">
      <w:pPr>
        <w:numPr>
          <w:ilvl w:val="1"/>
          <w:numId w:val="1"/>
        </w:numPr>
        <w:wordWrap w:val="0"/>
        <w:adjustRightInd w:val="0"/>
        <w:snapToGrid w:val="0"/>
      </w:pPr>
      <w:r>
        <w:rPr>
          <w:rFonts w:hint="eastAsia"/>
        </w:rPr>
        <w:t>采购代理机构和评标委员会不向未中标的投标人解释未中标原因，也不公布评标过程中的相关细节。</w:t>
      </w:r>
    </w:p>
    <w:p w14:paraId="1248713D">
      <w:pPr>
        <w:numPr>
          <w:ilvl w:val="1"/>
          <w:numId w:val="1"/>
        </w:numPr>
        <w:wordWrap w:val="0"/>
        <w:adjustRightInd w:val="0"/>
        <w:snapToGrid w:val="0"/>
      </w:pPr>
      <w:r>
        <w:rPr>
          <w:rFonts w:hint="eastAsia"/>
        </w:rPr>
        <w:t>采用综合评分法的项目，未中标的投标人可于中标结果公告期限届满之日起通过苏采云系统查看自己的评审得分及排序情况。</w:t>
      </w:r>
    </w:p>
    <w:p w14:paraId="002CFDF7">
      <w:pPr>
        <w:pStyle w:val="4"/>
        <w:adjustRightInd w:val="0"/>
        <w:snapToGrid w:val="0"/>
      </w:pPr>
      <w:r>
        <w:rPr>
          <w:rFonts w:hint="eastAsia"/>
        </w:rPr>
        <w:t>投标文件的澄清</w:t>
      </w:r>
    </w:p>
    <w:p w14:paraId="5917A72C">
      <w:pPr>
        <w:numPr>
          <w:ilvl w:val="1"/>
          <w:numId w:val="1"/>
        </w:numPr>
        <w:wordWrap w:val="0"/>
        <w:adjustRightInd w:val="0"/>
        <w:snapToGrid w:val="0"/>
      </w:pPr>
      <w:r>
        <w:rPr>
          <w:rFonts w:hint="eastAsia"/>
        </w:rPr>
        <w:t>评标期间，评委会对投标文件中含义不明确、同类问题表述不一致或者有明显文字和计算错误的内容，有权要求投标人作出必要的澄清、说明或者补正。</w:t>
      </w:r>
    </w:p>
    <w:p w14:paraId="7B7536E6">
      <w:pPr>
        <w:wordWrap w:val="0"/>
        <w:adjustRightInd w:val="0"/>
        <w:snapToGrid w:val="0"/>
        <w:ind w:firstLine="480" w:firstLineChars="200"/>
      </w:pPr>
      <w:r>
        <w:rPr>
          <w:rFonts w:hint="eastAsia"/>
        </w:rPr>
        <w:t>投标人的澄清、说明或者补正不得超出投标文件的范围或者改变投标文件的实质性内容。评</w:t>
      </w:r>
      <w:r>
        <w:t>委会并非对每个投标人都做澄清要求</w:t>
      </w:r>
      <w:r>
        <w:rPr>
          <w:rFonts w:hint="eastAsia"/>
        </w:rPr>
        <w:t>。</w:t>
      </w:r>
    </w:p>
    <w:p w14:paraId="5AC7FDB4">
      <w:pPr>
        <w:numPr>
          <w:ilvl w:val="1"/>
          <w:numId w:val="1"/>
        </w:numPr>
        <w:wordWrap w:val="0"/>
        <w:adjustRightInd w:val="0"/>
        <w:snapToGrid w:val="0"/>
      </w:pPr>
      <w:r>
        <w:rPr>
          <w:rFonts w:hint="eastAsia"/>
        </w:rPr>
        <w:t>需要投标人进行澄清、说明和补正的，评委会将通过苏采云系统向投标人发出“澄清要求函”，接到“澄清要求函”的投标人应当按照要求在苏采云系统中提交“澄清响应函”并加盖CA电子公章。澄清、说明和补正的内容作为投标文件的补充部分，具体操作方式见《操作手册》。</w:t>
      </w:r>
    </w:p>
    <w:p w14:paraId="455CCED0">
      <w:pPr>
        <w:numPr>
          <w:ilvl w:val="1"/>
          <w:numId w:val="1"/>
        </w:numPr>
        <w:wordWrap w:val="0"/>
        <w:adjustRightInd w:val="0"/>
        <w:snapToGrid w:val="0"/>
      </w:pPr>
      <w:r>
        <w:rPr>
          <w:rFonts w:hint="eastAsia"/>
        </w:rPr>
        <w:t>接到评委会澄清、说明和补正要求的投标人如未按规定作出澄清、说明和补正，其风险由投标人自行承担。评标</w:t>
      </w:r>
      <w:r>
        <w:t>委员会不接受</w:t>
      </w:r>
      <w:r>
        <w:rPr>
          <w:rFonts w:hint="eastAsia"/>
        </w:rPr>
        <w:t>投标人</w:t>
      </w:r>
      <w:r>
        <w:t>主动提出的</w:t>
      </w:r>
      <w:r>
        <w:rPr>
          <w:rFonts w:hint="eastAsia"/>
        </w:rPr>
        <w:t>澄清、说明或者补正</w:t>
      </w:r>
      <w:r>
        <w:t>。</w:t>
      </w:r>
    </w:p>
    <w:p w14:paraId="1476D509">
      <w:pPr>
        <w:pStyle w:val="4"/>
        <w:adjustRightInd w:val="0"/>
        <w:snapToGrid w:val="0"/>
      </w:pPr>
      <w:r>
        <w:rPr>
          <w:rFonts w:hint="eastAsia"/>
        </w:rPr>
        <w:t>投标文件的审查</w:t>
      </w:r>
    </w:p>
    <w:p w14:paraId="2DD77B15">
      <w:pPr>
        <w:numPr>
          <w:ilvl w:val="1"/>
          <w:numId w:val="1"/>
        </w:numPr>
        <w:wordWrap w:val="0"/>
        <w:adjustRightInd w:val="0"/>
        <w:snapToGrid w:val="0"/>
        <w:rPr>
          <w:b/>
        </w:rPr>
      </w:pPr>
      <w:r>
        <w:rPr>
          <w:rFonts w:hint="eastAsia"/>
        </w:rPr>
        <w:t>投标文件审查分为资格审查和符合性审查。</w:t>
      </w:r>
    </w:p>
    <w:p w14:paraId="3E99B30A">
      <w:pPr>
        <w:numPr>
          <w:ilvl w:val="2"/>
          <w:numId w:val="1"/>
        </w:numPr>
        <w:wordWrap w:val="0"/>
        <w:adjustRightInd w:val="0"/>
        <w:snapToGrid w:val="0"/>
      </w:pPr>
      <w:r>
        <w:rPr>
          <w:rFonts w:hint="eastAsia"/>
          <w:b/>
        </w:rPr>
        <w:t>资格审查：</w:t>
      </w:r>
      <w:r>
        <w:rPr>
          <w:rFonts w:hint="eastAsia"/>
        </w:rPr>
        <w:t>依据法律法规和招标文件的规定，由采购人对投标文件中的资格证明文件进行审查，以确定投标人是否具备投标资格。资格审查的结论，采购人以书面形式向评标委员会进行反馈。</w:t>
      </w:r>
    </w:p>
    <w:p w14:paraId="29765B61">
      <w:pPr>
        <w:wordWrap w:val="0"/>
        <w:adjustRightInd w:val="0"/>
        <w:snapToGrid w:val="0"/>
        <w:ind w:firstLine="480" w:firstLineChars="200"/>
        <w:rPr>
          <w:szCs w:val="28"/>
        </w:rPr>
      </w:pPr>
      <w:r>
        <w:rPr>
          <w:rFonts w:hint="eastAsia"/>
        </w:rPr>
        <w:t>采购人在进行资格审查的同时，将在“信用中国”网站（www.creditchina.gov.cn）查询投标人的信用记录，以确定投标人是否具备投标资格，查询结果留存并归档。</w:t>
      </w:r>
    </w:p>
    <w:p w14:paraId="3C9C5C6C">
      <w:pPr>
        <w:numPr>
          <w:ilvl w:val="2"/>
          <w:numId w:val="1"/>
        </w:numPr>
        <w:wordWrap w:val="0"/>
        <w:adjustRightInd w:val="0"/>
        <w:snapToGrid w:val="0"/>
      </w:pPr>
      <w:r>
        <w:rPr>
          <w:rFonts w:hint="eastAsia"/>
          <w:b/>
        </w:rPr>
        <w:t>符合性审查：</w:t>
      </w:r>
      <w:r>
        <w:rPr>
          <w:rFonts w:hint="eastAsia"/>
        </w:rPr>
        <w:t>依据招标文件的规定，由评委会从投标文件的有效性、完整性和对招标文件的响应程度进行审查，以确定是否对招标文件的实质性要求作出响应。</w:t>
      </w:r>
    </w:p>
    <w:p w14:paraId="55928050">
      <w:pPr>
        <w:numPr>
          <w:ilvl w:val="2"/>
          <w:numId w:val="1"/>
        </w:numPr>
        <w:wordWrap w:val="0"/>
        <w:adjustRightInd w:val="0"/>
        <w:snapToGrid w:val="0"/>
      </w:pPr>
      <w:r>
        <w:rPr>
          <w:rFonts w:hint="eastAsia"/>
        </w:rPr>
        <w:t>未通过资格审查或符合性审查的投标人，采购代理机构将在苏采云系统中告知其未通过的原因。评标结束后，采购代理机构将不再告知其未通过的原因。</w:t>
      </w:r>
    </w:p>
    <w:p w14:paraId="7051582C">
      <w:pPr>
        <w:numPr>
          <w:ilvl w:val="1"/>
          <w:numId w:val="1"/>
        </w:numPr>
        <w:wordWrap w:val="0"/>
        <w:adjustRightInd w:val="0"/>
        <w:snapToGrid w:val="0"/>
      </w:pPr>
      <w:r>
        <w:rPr>
          <w:rFonts w:hint="eastAsia"/>
        </w:rPr>
        <w:t>在详细评标之前，评委会将首先审查每份投标文件是否实质性响应了招标文件的要求。实质性响应的投标应该是与招标文件要求的全部条款、条件和规格相符，没有重大偏离或保留的投标。</w:t>
      </w:r>
    </w:p>
    <w:p w14:paraId="7BB08B63">
      <w:pPr>
        <w:wordWrap w:val="0"/>
        <w:adjustRightInd w:val="0"/>
        <w:snapToGrid w:val="0"/>
        <w:ind w:firstLine="480" w:firstLineChars="200"/>
      </w:pPr>
      <w:r>
        <w:rPr>
          <w:rFonts w:hint="eastAsia"/>
        </w:rPr>
        <w:t>所谓重大偏离或保留是指与招标文件规定的实质性要求存在负偏离，或者在实质上与招标文件不一致，而且限制了合同中买方和采购代理机构的权利或投标人的义务，纠正这些偏离或保留将会对其他实质性响应要求的投标人的竞争地位产生不公正的影响。重大偏离的认定需经过评委会以少数服从多数的原则作出结论。评委决定投标文件的响应性只根据投标文件本身的内容，而不寻求外部的证据。</w:t>
      </w:r>
    </w:p>
    <w:p w14:paraId="3EE05B76">
      <w:pPr>
        <w:numPr>
          <w:ilvl w:val="1"/>
          <w:numId w:val="1"/>
        </w:numPr>
        <w:wordWrap w:val="0"/>
        <w:adjustRightInd w:val="0"/>
        <w:snapToGrid w:val="0"/>
      </w:pPr>
      <w:r>
        <w:rPr>
          <w:rFonts w:hint="eastAsia"/>
        </w:rPr>
        <w:t>未实质性响应招标文件的投标文件按</w:t>
      </w:r>
      <w:r>
        <w:rPr>
          <w:rFonts w:hint="eastAsia"/>
          <w:b/>
        </w:rPr>
        <w:t>无效投标处理</w:t>
      </w:r>
      <w:r>
        <w:rPr>
          <w:rFonts w:hint="eastAsia"/>
        </w:rPr>
        <w:t>，投标人不得通过修改或撤销不合要求的偏离或保留而使其投标成为实质性响应的投标。</w:t>
      </w:r>
    </w:p>
    <w:p w14:paraId="40219981">
      <w:pPr>
        <w:pStyle w:val="4"/>
        <w:adjustRightInd w:val="0"/>
        <w:snapToGrid w:val="0"/>
      </w:pPr>
      <w:r>
        <w:rPr>
          <w:rFonts w:hint="eastAsia"/>
        </w:rPr>
        <w:t>比较和评价</w:t>
      </w:r>
    </w:p>
    <w:p w14:paraId="640AC952">
      <w:pPr>
        <w:numPr>
          <w:ilvl w:val="1"/>
          <w:numId w:val="1"/>
        </w:numPr>
        <w:wordWrap w:val="0"/>
        <w:adjustRightInd w:val="0"/>
        <w:snapToGrid w:val="0"/>
      </w:pPr>
      <w:r>
        <w:rPr>
          <w:rFonts w:hint="eastAsia"/>
          <w:szCs w:val="24"/>
        </w:rPr>
        <w:t>评标委员会应当按照招标文件</w:t>
      </w:r>
      <w:r>
        <w:rPr>
          <w:rFonts w:hint="eastAsia"/>
        </w:rPr>
        <w:t>第三章规定</w:t>
      </w:r>
      <w:r>
        <w:rPr>
          <w:rFonts w:hint="eastAsia"/>
          <w:szCs w:val="24"/>
        </w:rPr>
        <w:t>的评标方法和标准，对符合性审查合格的投标文件进行商务和技术评估，综合比较与评价；</w:t>
      </w:r>
      <w:r>
        <w:rPr>
          <w:szCs w:val="24"/>
        </w:rPr>
        <w:t>未通过符合性审查的投标文件不得进入比较与评价</w:t>
      </w:r>
      <w:r>
        <w:rPr>
          <w:rFonts w:hint="eastAsia"/>
          <w:szCs w:val="24"/>
        </w:rPr>
        <w:t>。</w:t>
      </w:r>
    </w:p>
    <w:p w14:paraId="2AB11F01">
      <w:pPr>
        <w:numPr>
          <w:ilvl w:val="1"/>
          <w:numId w:val="1"/>
        </w:numPr>
        <w:wordWrap w:val="0"/>
        <w:adjustRightInd w:val="0"/>
        <w:snapToGrid w:val="0"/>
      </w:pPr>
      <w:r>
        <w:rPr>
          <w:rFonts w:hint="eastAsia"/>
          <w:szCs w:val="24"/>
        </w:rPr>
        <w:t>评标时，评标委员会各成员应当独立对每个投标人的投标文件进行评价，并汇总每个投标人的得分。</w:t>
      </w:r>
      <w:r>
        <w:rPr>
          <w:rFonts w:hint="eastAsia"/>
        </w:rPr>
        <w:t>评分分值计算保留小数点后两位，小数点后第三位“四舍五入”。</w:t>
      </w:r>
      <w:r>
        <w:rPr>
          <w:rFonts w:hint="eastAsia"/>
          <w:szCs w:val="24"/>
        </w:rPr>
        <w:t>评标过程中，不得去掉报价中的最高报价和最低报价。</w:t>
      </w:r>
    </w:p>
    <w:p w14:paraId="67FF2D52">
      <w:pPr>
        <w:numPr>
          <w:ilvl w:val="1"/>
          <w:numId w:val="1"/>
        </w:numPr>
        <w:wordWrap w:val="0"/>
        <w:adjustRightInd w:val="0"/>
        <w:snapToGrid w:val="0"/>
      </w:pPr>
      <w:r>
        <w:rPr>
          <w:rFonts w:hint="eastAsia"/>
        </w:rPr>
        <w:t>投标报价须包含招标文件全部内容，如投标分项报价表有缺漏视为已含在其他各项报价中。投标文件报价出现前后不一致的，按照下列规定修正：</w:t>
      </w:r>
    </w:p>
    <w:p w14:paraId="437A9953">
      <w:pPr>
        <w:pStyle w:val="48"/>
        <w:numPr>
          <w:ilvl w:val="0"/>
          <w:numId w:val="3"/>
        </w:numPr>
        <w:wordWrap w:val="0"/>
        <w:adjustRightInd w:val="0"/>
        <w:snapToGrid w:val="0"/>
        <w:ind w:firstLine="480"/>
      </w:pPr>
      <w:r>
        <w:rPr>
          <w:rFonts w:hint="eastAsia"/>
        </w:rPr>
        <w:t>投标文件中开标一览表内容与投标文件中相应内容不一致的，以开标一览表为准；</w:t>
      </w:r>
    </w:p>
    <w:p w14:paraId="5158ECA1">
      <w:pPr>
        <w:pStyle w:val="48"/>
        <w:numPr>
          <w:ilvl w:val="0"/>
          <w:numId w:val="3"/>
        </w:numPr>
        <w:wordWrap w:val="0"/>
        <w:adjustRightInd w:val="0"/>
        <w:snapToGrid w:val="0"/>
        <w:ind w:firstLine="480"/>
      </w:pPr>
      <w:r>
        <w:rPr>
          <w:rFonts w:hint="eastAsia"/>
        </w:rPr>
        <w:t>大写金额和小写金额不一致的，以大写金额为准；</w:t>
      </w:r>
    </w:p>
    <w:p w14:paraId="5B7AB068">
      <w:pPr>
        <w:pStyle w:val="48"/>
        <w:numPr>
          <w:ilvl w:val="0"/>
          <w:numId w:val="3"/>
        </w:numPr>
        <w:wordWrap w:val="0"/>
        <w:adjustRightInd w:val="0"/>
        <w:snapToGrid w:val="0"/>
        <w:ind w:firstLine="480"/>
      </w:pPr>
      <w:r>
        <w:rPr>
          <w:rFonts w:hint="eastAsia"/>
        </w:rPr>
        <w:t>单价金额小数点或者百分比有明显错位的，以开标一览表的总价为准，并修改单价；</w:t>
      </w:r>
    </w:p>
    <w:p w14:paraId="0CCE7068">
      <w:pPr>
        <w:pStyle w:val="48"/>
        <w:numPr>
          <w:ilvl w:val="0"/>
          <w:numId w:val="3"/>
        </w:numPr>
        <w:wordWrap w:val="0"/>
        <w:adjustRightInd w:val="0"/>
        <w:snapToGrid w:val="0"/>
        <w:ind w:firstLine="480"/>
      </w:pPr>
      <w:r>
        <w:rPr>
          <w:rFonts w:hint="eastAsia"/>
        </w:rPr>
        <w:t>总价金额与按单价汇总金额不一致的，以单价金额计算结果为准。</w:t>
      </w:r>
    </w:p>
    <w:p w14:paraId="66BB0B76">
      <w:pPr>
        <w:wordWrap w:val="0"/>
        <w:adjustRightInd w:val="0"/>
        <w:snapToGrid w:val="0"/>
        <w:ind w:firstLine="480" w:firstLineChars="200"/>
      </w:pPr>
      <w:r>
        <w:rPr>
          <w:rFonts w:hint="eastAsia"/>
        </w:rPr>
        <w:t>同时出现两种以上错误的，按照前款规定的顺序修正。</w:t>
      </w:r>
      <w:r>
        <w:rPr>
          <w:rFonts w:hint="eastAsia" w:cs="Arial"/>
          <w:szCs w:val="24"/>
        </w:rPr>
        <w:t>修正后的报价按照本章第</w:t>
      </w:r>
      <w:r>
        <w:rPr>
          <w:rFonts w:cs="Arial"/>
          <w:szCs w:val="24"/>
        </w:rPr>
        <w:t>22</w:t>
      </w:r>
      <w:r>
        <w:rPr>
          <w:rFonts w:hint="eastAsia" w:cs="Arial"/>
          <w:szCs w:val="24"/>
        </w:rPr>
        <w:t>条的规定经投标人确认后产生约束力，投标人不确认的，其</w:t>
      </w:r>
      <w:r>
        <w:rPr>
          <w:rFonts w:hint="eastAsia" w:cs="Arial"/>
          <w:b/>
          <w:szCs w:val="24"/>
        </w:rPr>
        <w:t>投标无效</w:t>
      </w:r>
      <w:r>
        <w:rPr>
          <w:rFonts w:hint="eastAsia" w:cs="Arial"/>
          <w:szCs w:val="24"/>
        </w:rPr>
        <w:t>。</w:t>
      </w:r>
    </w:p>
    <w:p w14:paraId="1565CB2A">
      <w:pPr>
        <w:numPr>
          <w:ilvl w:val="1"/>
          <w:numId w:val="1"/>
        </w:numPr>
        <w:wordWrap w:val="0"/>
        <w:adjustRightInd w:val="0"/>
        <w:snapToGrid w:val="0"/>
        <w:rPr>
          <w:b/>
        </w:rPr>
      </w:pPr>
      <w:r>
        <w:rPr>
          <w:rFonts w:hint="eastAsia"/>
          <w:b/>
        </w:rPr>
        <w:t>异常低价投标</w:t>
      </w:r>
      <w:r>
        <w:rPr>
          <w:b/>
        </w:rPr>
        <w:t>审查</w:t>
      </w:r>
    </w:p>
    <w:p w14:paraId="7D2FCA51">
      <w:pPr>
        <w:numPr>
          <w:ilvl w:val="2"/>
          <w:numId w:val="1"/>
        </w:numPr>
        <w:wordWrap w:val="0"/>
        <w:adjustRightInd w:val="0"/>
        <w:snapToGrid w:val="0"/>
        <w:ind w:firstLine="480" w:firstLineChars="200"/>
      </w:pPr>
      <w:r>
        <w:rPr>
          <w:rFonts w:hint="eastAsia"/>
        </w:rPr>
        <w:t>出现下列情形之一的，评标委员会应当启动异常低价投标审查程序：</w:t>
      </w:r>
    </w:p>
    <w:p w14:paraId="2D71913E">
      <w:pPr>
        <w:pStyle w:val="48"/>
        <w:numPr>
          <w:ilvl w:val="0"/>
          <w:numId w:val="4"/>
        </w:numPr>
        <w:wordWrap w:val="0"/>
        <w:adjustRightInd w:val="0"/>
        <w:snapToGrid w:val="0"/>
        <w:ind w:firstLine="480"/>
        <w:rPr>
          <w:rFonts w:cs="Arial"/>
          <w:szCs w:val="24"/>
        </w:rPr>
      </w:pPr>
      <w:r>
        <w:rPr>
          <w:rFonts w:hint="eastAsia" w:cs="Arial"/>
          <w:szCs w:val="24"/>
        </w:rPr>
        <w:t>投标报价低于全部通过符合性审查投标人投标报价平均值</w:t>
      </w:r>
      <w:r>
        <w:rPr>
          <w:rFonts w:cs="Arial"/>
          <w:szCs w:val="24"/>
        </w:rPr>
        <w:t>65</w:t>
      </w:r>
      <w:r>
        <w:rPr>
          <w:rFonts w:hint="eastAsia" w:cs="Arial"/>
          <w:szCs w:val="24"/>
        </w:rPr>
        <w:t>%的，即投标报价&lt;全部通过符合性审查投标人投标报价平均值×</w:t>
      </w:r>
      <w:r>
        <w:rPr>
          <w:rFonts w:cs="Arial"/>
          <w:szCs w:val="24"/>
        </w:rPr>
        <w:t>65</w:t>
      </w:r>
      <w:r>
        <w:rPr>
          <w:rFonts w:hint="eastAsia" w:cs="Arial"/>
          <w:szCs w:val="24"/>
        </w:rPr>
        <w:t>%；</w:t>
      </w:r>
    </w:p>
    <w:p w14:paraId="78DDCF43">
      <w:pPr>
        <w:pStyle w:val="48"/>
        <w:numPr>
          <w:ilvl w:val="0"/>
          <w:numId w:val="4"/>
        </w:numPr>
        <w:wordWrap w:val="0"/>
        <w:adjustRightInd w:val="0"/>
        <w:snapToGrid w:val="0"/>
        <w:ind w:firstLine="480"/>
        <w:rPr>
          <w:rFonts w:cs="Arial"/>
          <w:szCs w:val="24"/>
        </w:rPr>
      </w:pPr>
      <w:r>
        <w:rPr>
          <w:rFonts w:hint="eastAsia" w:cs="Arial"/>
          <w:szCs w:val="24"/>
        </w:rPr>
        <w:t>投标报价低于通过符合性审查的次低报价投标人投标报价</w:t>
      </w:r>
      <w:r>
        <w:rPr>
          <w:rFonts w:cs="Arial"/>
          <w:szCs w:val="24"/>
        </w:rPr>
        <w:t>65</w:t>
      </w:r>
      <w:r>
        <w:rPr>
          <w:rFonts w:hint="eastAsia" w:cs="Arial"/>
          <w:szCs w:val="24"/>
        </w:rPr>
        <w:t>%的，即投标报价&lt;通过符合性审查的次低报价投标人投标报价×</w:t>
      </w:r>
      <w:r>
        <w:rPr>
          <w:rFonts w:cs="Arial"/>
          <w:szCs w:val="24"/>
        </w:rPr>
        <w:t>65</w:t>
      </w:r>
      <w:r>
        <w:rPr>
          <w:rFonts w:hint="eastAsia" w:cs="Arial"/>
          <w:szCs w:val="24"/>
        </w:rPr>
        <w:t>%；</w:t>
      </w:r>
    </w:p>
    <w:p w14:paraId="70653213">
      <w:pPr>
        <w:pStyle w:val="48"/>
        <w:numPr>
          <w:ilvl w:val="0"/>
          <w:numId w:val="4"/>
        </w:numPr>
        <w:wordWrap w:val="0"/>
        <w:adjustRightInd w:val="0"/>
        <w:snapToGrid w:val="0"/>
        <w:ind w:firstLine="480"/>
        <w:rPr>
          <w:rFonts w:cs="Arial"/>
          <w:szCs w:val="24"/>
        </w:rPr>
      </w:pPr>
      <w:r>
        <w:rPr>
          <w:rFonts w:hint="eastAsia" w:cs="Arial"/>
          <w:szCs w:val="24"/>
        </w:rPr>
        <w:t>投</w:t>
      </w:r>
      <w:r>
        <w:rPr>
          <w:rFonts w:hint="eastAsia" w:cs="Arial"/>
          <w:spacing w:val="-4"/>
          <w:szCs w:val="24"/>
        </w:rPr>
        <w:t>标报价低于采购项目最高限价</w:t>
      </w:r>
      <w:r>
        <w:rPr>
          <w:rFonts w:cs="Arial"/>
          <w:spacing w:val="-4"/>
          <w:szCs w:val="24"/>
        </w:rPr>
        <w:t>50</w:t>
      </w:r>
      <w:r>
        <w:rPr>
          <w:rFonts w:hint="eastAsia" w:cs="Arial"/>
          <w:spacing w:val="-4"/>
          <w:szCs w:val="24"/>
        </w:rPr>
        <w:t>%的，即投标报价&lt;采购项目最高限价×</w:t>
      </w:r>
      <w:r>
        <w:rPr>
          <w:rFonts w:cs="Arial"/>
          <w:spacing w:val="-4"/>
          <w:szCs w:val="24"/>
        </w:rPr>
        <w:t>50</w:t>
      </w:r>
      <w:r>
        <w:rPr>
          <w:rFonts w:hint="eastAsia" w:cs="Arial"/>
          <w:spacing w:val="-4"/>
          <w:szCs w:val="24"/>
        </w:rPr>
        <w:t>%</w:t>
      </w:r>
      <w:r>
        <w:rPr>
          <w:rFonts w:hint="eastAsia" w:cs="Arial"/>
          <w:szCs w:val="24"/>
        </w:rPr>
        <w:t>；</w:t>
      </w:r>
    </w:p>
    <w:p w14:paraId="753F031A">
      <w:pPr>
        <w:pStyle w:val="48"/>
        <w:numPr>
          <w:ilvl w:val="0"/>
          <w:numId w:val="4"/>
        </w:numPr>
        <w:wordWrap w:val="0"/>
        <w:adjustRightInd w:val="0"/>
        <w:snapToGrid w:val="0"/>
        <w:ind w:firstLine="480"/>
        <w:rPr>
          <w:rFonts w:cs="Arial"/>
          <w:szCs w:val="24"/>
        </w:rPr>
      </w:pPr>
      <w:r>
        <w:rPr>
          <w:rFonts w:hint="eastAsia" w:cs="Arial"/>
          <w:szCs w:val="24"/>
        </w:rPr>
        <w:t>评标委员会基于专业判断，认为投标人报价过低，有可能影响产品质量或者不能诚信履约的其他情形。</w:t>
      </w:r>
    </w:p>
    <w:p w14:paraId="0D66F48F">
      <w:pPr>
        <w:numPr>
          <w:ilvl w:val="2"/>
          <w:numId w:val="1"/>
        </w:numPr>
        <w:wordWrap w:val="0"/>
        <w:adjustRightInd w:val="0"/>
        <w:snapToGrid w:val="0"/>
        <w:ind w:firstLine="480" w:firstLineChars="200"/>
      </w:pPr>
      <w:r>
        <w:rPr>
          <w:rFonts w:hint="eastAsia"/>
        </w:rPr>
        <w:t>评标委员会启动异常低价投标审查后，属于前述第（1）项至第（4）项情形的，应当要求相关</w:t>
      </w:r>
      <w:r>
        <w:rPr>
          <w:rFonts w:hint="eastAsia" w:cs="Arial"/>
          <w:szCs w:val="24"/>
        </w:rPr>
        <w:t>投标人</w:t>
      </w:r>
      <w:r>
        <w:rPr>
          <w:rFonts w:hint="eastAsia"/>
        </w:rPr>
        <w:t>在评标现场合理的时间内对投标价格作出解释，提供项目具体成本测算等与报价合理性相关的书面说明及必要的证明材料，包括但不限于原材料成本、人工成本、制造费用等，给予相关</w:t>
      </w:r>
      <w:r>
        <w:rPr>
          <w:rFonts w:hint="eastAsia" w:cs="Arial"/>
          <w:szCs w:val="24"/>
        </w:rPr>
        <w:t>投标人</w:t>
      </w:r>
      <w:r>
        <w:rPr>
          <w:rFonts w:hint="eastAsia"/>
        </w:rPr>
        <w:t>的合理时间一般不少于30分钟。其中，属于前述第（3）项情形，</w:t>
      </w:r>
      <w:r>
        <w:rPr>
          <w:rFonts w:hint="eastAsia" w:cs="Arial"/>
          <w:szCs w:val="24"/>
        </w:rPr>
        <w:t>投标人</w:t>
      </w:r>
      <w:r>
        <w:rPr>
          <w:rFonts w:hint="eastAsia"/>
        </w:rPr>
        <w:t>已随投标文件一并提交相关书面说明及必要的证明材料的，在评标现场可不再重复提交。</w:t>
      </w:r>
    </w:p>
    <w:p w14:paraId="41C0CC05">
      <w:pPr>
        <w:numPr>
          <w:ilvl w:val="2"/>
          <w:numId w:val="1"/>
        </w:numPr>
        <w:wordWrap w:val="0"/>
        <w:adjustRightInd w:val="0"/>
        <w:snapToGrid w:val="0"/>
        <w:ind w:firstLine="480" w:firstLineChars="200"/>
      </w:pPr>
      <w:r>
        <w:rPr>
          <w:rFonts w:hint="eastAsia"/>
        </w:rPr>
        <w:t>评标委员会依据专业经验，参考同类项目中标（成交）价格、类似产品市场价格水平、行业人工费用标准、国家有关部门指导行业协会发布的行业平均成本等情况，对报价合理性进行判断。</w:t>
      </w:r>
      <w:r>
        <w:rPr>
          <w:rFonts w:hint="eastAsia" w:cs="Arial"/>
          <w:szCs w:val="24"/>
        </w:rPr>
        <w:t>投标人</w:t>
      </w:r>
      <w:r>
        <w:rPr>
          <w:rFonts w:hint="eastAsia"/>
        </w:rPr>
        <w:t>不能提供书面说明、证明材料，或者提供的书面说明、证明材料不能证明其报价合理性的，评标委员会应当将其作为</w:t>
      </w:r>
      <w:r>
        <w:rPr>
          <w:rFonts w:hint="eastAsia"/>
          <w:b/>
        </w:rPr>
        <w:t>无效投标处理</w:t>
      </w:r>
      <w:r>
        <w:rPr>
          <w:rFonts w:hint="eastAsia"/>
        </w:rPr>
        <w:t>。</w:t>
      </w:r>
    </w:p>
    <w:p w14:paraId="1C5FACE4">
      <w:pPr>
        <w:numPr>
          <w:ilvl w:val="2"/>
          <w:numId w:val="1"/>
        </w:numPr>
        <w:wordWrap w:val="0"/>
        <w:adjustRightInd w:val="0"/>
        <w:snapToGrid w:val="0"/>
        <w:ind w:firstLine="480" w:firstLineChars="200"/>
      </w:pPr>
      <w:r>
        <w:rPr>
          <w:rFonts w:hint="eastAsia"/>
        </w:rPr>
        <w:t>异常低价投标审查的启动原因、审查意见和审查结果应当在评标报告中记录，并随</w:t>
      </w:r>
      <w:r>
        <w:rPr>
          <w:rFonts w:hint="eastAsia" w:cs="Arial"/>
          <w:szCs w:val="24"/>
        </w:rPr>
        <w:t>投标人</w:t>
      </w:r>
      <w:r>
        <w:rPr>
          <w:rFonts w:hint="eastAsia"/>
        </w:rPr>
        <w:t>提供的相关书面说明及证明材料，以及评标委员会有关互联网浏览、查询历史一并归档。</w:t>
      </w:r>
    </w:p>
    <w:p w14:paraId="1D786ED6">
      <w:pPr>
        <w:numPr>
          <w:ilvl w:val="1"/>
          <w:numId w:val="1"/>
        </w:numPr>
        <w:wordWrap w:val="0"/>
        <w:adjustRightInd w:val="0"/>
        <w:snapToGrid w:val="0"/>
      </w:pPr>
      <w:r>
        <w:rPr>
          <w:rFonts w:hint="eastAsia"/>
        </w:rPr>
        <w:t>投标人在开标与评标全过程中应保持通讯畅通，及时登录苏采云系统查阅</w:t>
      </w:r>
      <w:r>
        <w:t>、答复相关</w:t>
      </w:r>
      <w:r>
        <w:rPr>
          <w:rFonts w:hint="eastAsia"/>
        </w:rPr>
        <w:t>信息</w:t>
      </w:r>
      <w:r>
        <w:t>，</w:t>
      </w:r>
      <w:r>
        <w:rPr>
          <w:rFonts w:hint="eastAsia"/>
        </w:rPr>
        <w:t>并安排专人与采购</w:t>
      </w:r>
      <w:r>
        <w:rPr>
          <w:rFonts w:hint="eastAsia"/>
          <w:spacing w:val="-4"/>
        </w:rPr>
        <w:t>代理机构</w:t>
      </w:r>
      <w:r>
        <w:rPr>
          <w:rFonts w:hint="eastAsia"/>
        </w:rPr>
        <w:t>及评标委员会联系。</w:t>
      </w:r>
    </w:p>
    <w:p w14:paraId="3040D093">
      <w:pPr>
        <w:pStyle w:val="4"/>
        <w:adjustRightInd w:val="0"/>
        <w:snapToGrid w:val="0"/>
      </w:pPr>
      <w:r>
        <w:rPr>
          <w:rFonts w:hint="eastAsia"/>
        </w:rPr>
        <w:t>推荐中标候选人</w:t>
      </w:r>
    </w:p>
    <w:p w14:paraId="418E6028">
      <w:pPr>
        <w:numPr>
          <w:ilvl w:val="1"/>
          <w:numId w:val="1"/>
        </w:numPr>
        <w:wordWrap w:val="0"/>
        <w:adjustRightInd w:val="0"/>
        <w:snapToGrid w:val="0"/>
        <w:rPr>
          <w:szCs w:val="24"/>
        </w:rPr>
      </w:pPr>
      <w:r>
        <w:rPr>
          <w:rFonts w:hint="eastAsia"/>
          <w:szCs w:val="24"/>
        </w:rPr>
        <w:t>中标候选人的选取原则和数量见招标文件第三章规定。</w:t>
      </w:r>
    </w:p>
    <w:p w14:paraId="0E0BC6AF">
      <w:pPr>
        <w:numPr>
          <w:ilvl w:val="1"/>
          <w:numId w:val="1"/>
        </w:numPr>
        <w:wordWrap w:val="0"/>
        <w:adjustRightInd w:val="0"/>
        <w:snapToGrid w:val="0"/>
        <w:rPr>
          <w:szCs w:val="24"/>
        </w:rPr>
      </w:pPr>
      <w:r>
        <w:rPr>
          <w:rFonts w:hint="eastAsia"/>
          <w:szCs w:val="24"/>
        </w:rPr>
        <w:t>评标委员会要对评分汇总情况进行复核</w:t>
      </w:r>
      <w:r>
        <w:rPr>
          <w:szCs w:val="24"/>
        </w:rPr>
        <w:t>，特别是对排名第一的、报价最低的、投标文件被认定为无效的情形进行重点复核</w:t>
      </w:r>
      <w:r>
        <w:rPr>
          <w:rFonts w:hint="eastAsia"/>
          <w:szCs w:val="24"/>
        </w:rPr>
        <w:t>。评标结果汇总完成后，除分值汇总计算错误、分项评分超出评分标准范围、评标委员会成员对客观评审因素评</w:t>
      </w:r>
      <w:r>
        <w:rPr>
          <w:rFonts w:hint="eastAsia"/>
        </w:rPr>
        <w:t>分不一致、经评标委员会认定评分畸高、畸低的情形外，任何人不得修改评标结果。评标报告签署前，经复核发现存在以上除外情形之一的，评标委员会应当当场修改评标结果，并在评标报告中记载。</w:t>
      </w:r>
    </w:p>
    <w:p w14:paraId="74D1ED7B">
      <w:pPr>
        <w:numPr>
          <w:ilvl w:val="1"/>
          <w:numId w:val="1"/>
        </w:numPr>
        <w:wordWrap w:val="0"/>
        <w:adjustRightInd w:val="0"/>
        <w:snapToGrid w:val="0"/>
        <w:rPr>
          <w:szCs w:val="24"/>
        </w:rPr>
      </w:pPr>
      <w:r>
        <w:rPr>
          <w:rFonts w:hint="eastAsia"/>
          <w:szCs w:val="24"/>
        </w:rPr>
        <w:t>评标委员会根据全体评标成员签字的原始评标记录和评标结果编写评标报告。评标委员会成员对需要共同认定的事项存在争议的，应当按照少数服从多数的原则作出结论。持不同意见的评标委员会成员应当在评标报告上签署不同意见及理由，否则视为同意评标报告。</w:t>
      </w:r>
    </w:p>
    <w:p w14:paraId="34907395">
      <w:pPr>
        <w:pStyle w:val="4"/>
        <w:adjustRightInd w:val="0"/>
        <w:snapToGrid w:val="0"/>
      </w:pPr>
      <w:r>
        <w:rPr>
          <w:rFonts w:hint="eastAsia"/>
        </w:rPr>
        <w:t>无效投标条款和废标条款</w:t>
      </w:r>
    </w:p>
    <w:p w14:paraId="24AEE430">
      <w:pPr>
        <w:numPr>
          <w:ilvl w:val="1"/>
          <w:numId w:val="1"/>
        </w:numPr>
        <w:wordWrap w:val="0"/>
        <w:adjustRightInd w:val="0"/>
        <w:snapToGrid w:val="0"/>
        <w:rPr>
          <w:b/>
        </w:rPr>
      </w:pPr>
      <w:r>
        <w:rPr>
          <w:rFonts w:hint="eastAsia"/>
          <w:b/>
        </w:rPr>
        <w:t>无效投标条款</w:t>
      </w:r>
    </w:p>
    <w:p w14:paraId="6474BCBC">
      <w:pPr>
        <w:pStyle w:val="48"/>
        <w:numPr>
          <w:ilvl w:val="0"/>
          <w:numId w:val="5"/>
        </w:numPr>
        <w:wordWrap w:val="0"/>
        <w:adjustRightInd w:val="0"/>
        <w:snapToGrid w:val="0"/>
        <w:ind w:firstLine="480"/>
      </w:pPr>
      <w:r>
        <w:rPr>
          <w:rFonts w:hint="eastAsia"/>
        </w:rPr>
        <w:t>投标人在苏采云系统规定的时间内未成功解密电子投标文件的；</w:t>
      </w:r>
    </w:p>
    <w:p w14:paraId="6D795415">
      <w:pPr>
        <w:pStyle w:val="48"/>
        <w:numPr>
          <w:ilvl w:val="0"/>
          <w:numId w:val="5"/>
        </w:numPr>
        <w:wordWrap w:val="0"/>
        <w:adjustRightInd w:val="0"/>
        <w:snapToGrid w:val="0"/>
        <w:ind w:firstLine="480"/>
      </w:pPr>
      <w:r>
        <w:rPr>
          <w:rFonts w:hint="eastAsia"/>
        </w:rPr>
        <w:t>投标人未按照招标文件要求上传电子投标文件的；</w:t>
      </w:r>
    </w:p>
    <w:p w14:paraId="629B9706">
      <w:pPr>
        <w:pStyle w:val="48"/>
        <w:numPr>
          <w:ilvl w:val="0"/>
          <w:numId w:val="5"/>
        </w:numPr>
        <w:wordWrap w:val="0"/>
        <w:adjustRightInd w:val="0"/>
        <w:snapToGrid w:val="0"/>
        <w:ind w:firstLine="480"/>
      </w:pPr>
      <w:r>
        <w:rPr>
          <w:rFonts w:hint="eastAsia"/>
        </w:rPr>
        <w:t>同一投标人提交两个及以上不同的投标文件或者</w:t>
      </w:r>
      <w:r>
        <w:t>投标报价</w:t>
      </w:r>
      <w:r>
        <w:rPr>
          <w:rFonts w:hint="eastAsia"/>
        </w:rPr>
        <w:t>，但招标文件要求提交备选方案的除外；</w:t>
      </w:r>
    </w:p>
    <w:p w14:paraId="05FDA284">
      <w:pPr>
        <w:pStyle w:val="48"/>
        <w:numPr>
          <w:ilvl w:val="0"/>
          <w:numId w:val="5"/>
        </w:numPr>
        <w:wordWrap w:val="0"/>
        <w:adjustRightInd w:val="0"/>
        <w:snapToGrid w:val="0"/>
        <w:ind w:firstLine="480"/>
      </w:pPr>
      <w:r>
        <w:rPr>
          <w:rFonts w:hint="eastAsia"/>
        </w:rPr>
        <w:t>投标人不具备招标文件中规定资格要求的；</w:t>
      </w:r>
    </w:p>
    <w:p w14:paraId="6E50538E">
      <w:pPr>
        <w:pStyle w:val="48"/>
        <w:numPr>
          <w:ilvl w:val="0"/>
          <w:numId w:val="5"/>
        </w:numPr>
        <w:wordWrap w:val="0"/>
        <w:adjustRightInd w:val="0"/>
        <w:snapToGrid w:val="0"/>
        <w:ind w:firstLine="480"/>
      </w:pPr>
      <w:r>
        <w:rPr>
          <w:rFonts w:hint="eastAsia"/>
        </w:rPr>
        <w:t>投标人被“信用中国”网站（www.creditchina.gov.cn）列入失信被执行人或重大税收违法案件当事人名单或政府采购严重失信行为记录名单。或查询“信用中国”网站后发现投标人存在其他不符合《中华人民共和国政府采购法》第二十二条规定条件的信用记录；</w:t>
      </w:r>
    </w:p>
    <w:p w14:paraId="1AA251DE">
      <w:pPr>
        <w:pStyle w:val="48"/>
        <w:numPr>
          <w:ilvl w:val="0"/>
          <w:numId w:val="5"/>
        </w:numPr>
        <w:wordWrap w:val="0"/>
        <w:adjustRightInd w:val="0"/>
        <w:snapToGrid w:val="0"/>
        <w:ind w:firstLine="480"/>
      </w:pPr>
      <w:r>
        <w:rPr>
          <w:rFonts w:hint="eastAsia"/>
        </w:rPr>
        <w:t>投标人的报价超过了采购预算或最高限价的；</w:t>
      </w:r>
    </w:p>
    <w:p w14:paraId="602B7F0C">
      <w:pPr>
        <w:pStyle w:val="48"/>
        <w:numPr>
          <w:ilvl w:val="0"/>
          <w:numId w:val="5"/>
        </w:numPr>
        <w:wordWrap w:val="0"/>
        <w:adjustRightInd w:val="0"/>
        <w:snapToGrid w:val="0"/>
        <w:ind w:firstLine="480"/>
      </w:pPr>
      <w:r>
        <w:rPr>
          <w:rFonts w:hint="eastAsia"/>
        </w:rPr>
        <w:t>未通过符合性审查的；</w:t>
      </w:r>
    </w:p>
    <w:p w14:paraId="7FB5E18C">
      <w:pPr>
        <w:pStyle w:val="48"/>
        <w:numPr>
          <w:ilvl w:val="0"/>
          <w:numId w:val="5"/>
        </w:numPr>
        <w:wordWrap w:val="0"/>
        <w:adjustRightInd w:val="0"/>
        <w:snapToGrid w:val="0"/>
        <w:ind w:firstLine="480"/>
      </w:pPr>
      <w:bookmarkStart w:id="149" w:name="OLE_LINK62"/>
      <w:bookmarkStart w:id="150" w:name="OLE_LINK63"/>
      <w:r>
        <w:t>投标文件中承诺的投标有效期</w:t>
      </w:r>
      <w:r>
        <w:rPr>
          <w:rFonts w:hint="eastAsia"/>
        </w:rPr>
        <w:t>不符合</w:t>
      </w:r>
      <w:r>
        <w:t>招标文件中载明的投标有效期</w:t>
      </w:r>
      <w:r>
        <w:rPr>
          <w:rFonts w:hint="eastAsia"/>
        </w:rPr>
        <w:t>规定</w:t>
      </w:r>
      <w:r>
        <w:t>的</w:t>
      </w:r>
      <w:bookmarkEnd w:id="149"/>
      <w:bookmarkEnd w:id="150"/>
      <w:r>
        <w:rPr>
          <w:rFonts w:hint="eastAsia"/>
        </w:rPr>
        <w:t>；</w:t>
      </w:r>
    </w:p>
    <w:p w14:paraId="7F9AB12A">
      <w:pPr>
        <w:pStyle w:val="48"/>
        <w:numPr>
          <w:ilvl w:val="0"/>
          <w:numId w:val="5"/>
        </w:numPr>
        <w:wordWrap w:val="0"/>
        <w:adjustRightInd w:val="0"/>
        <w:snapToGrid w:val="0"/>
        <w:ind w:firstLine="480"/>
      </w:pPr>
      <w:r>
        <w:rPr>
          <w:rFonts w:hint="eastAsia"/>
        </w:rPr>
        <w:t>不符合招标文件中规定的实质性要求和条件的（实质性要求和条件是指本招标文件</w:t>
      </w:r>
      <w:bookmarkStart w:id="151" w:name="OLE_LINK193"/>
      <w:bookmarkStart w:id="152" w:name="OLE_LINK314"/>
      <w:bookmarkStart w:id="153" w:name="OLE_LINK192"/>
      <w:bookmarkStart w:id="154" w:name="OLE_LINK225"/>
      <w:r>
        <w:rPr>
          <w:rFonts w:hint="eastAsia" w:cs="Arial"/>
        </w:rPr>
        <w:t>中</w:t>
      </w:r>
      <w:bookmarkEnd w:id="151"/>
      <w:bookmarkEnd w:id="152"/>
      <w:bookmarkEnd w:id="153"/>
      <w:bookmarkEnd w:id="154"/>
      <w:bookmarkStart w:id="155" w:name="OLE_LINK181"/>
      <w:bookmarkStart w:id="156" w:name="OLE_LINK137"/>
      <w:bookmarkStart w:id="157" w:name="OLE_LINK138"/>
      <w:r>
        <w:rPr>
          <w:rFonts w:hint="eastAsia"/>
          <w:szCs w:val="28"/>
        </w:rPr>
        <w:t>以“</w:t>
      </w:r>
      <w:bookmarkStart w:id="158" w:name="OLE_LINK180"/>
      <w:bookmarkStart w:id="159" w:name="OLE_LINK179"/>
      <w:r>
        <w:rPr>
          <w:rFonts w:hint="eastAsia"/>
          <w:szCs w:val="28"/>
        </w:rPr>
        <w:t>★</w:t>
      </w:r>
      <w:bookmarkEnd w:id="158"/>
      <w:bookmarkEnd w:id="159"/>
      <w:r>
        <w:rPr>
          <w:rFonts w:hint="eastAsia"/>
          <w:szCs w:val="28"/>
        </w:rPr>
        <w:t>”号标注的</w:t>
      </w:r>
      <w:r>
        <w:rPr>
          <w:rFonts w:hint="eastAsia" w:cs="Arial"/>
        </w:rPr>
        <w:t>商务和技术要求</w:t>
      </w:r>
      <w:bookmarkEnd w:id="155"/>
      <w:bookmarkEnd w:id="156"/>
      <w:bookmarkEnd w:id="157"/>
      <w:r>
        <w:rPr>
          <w:rFonts w:hint="eastAsia"/>
        </w:rPr>
        <w:t>）；</w:t>
      </w:r>
    </w:p>
    <w:p w14:paraId="6C8B9B74">
      <w:pPr>
        <w:pStyle w:val="48"/>
        <w:numPr>
          <w:ilvl w:val="0"/>
          <w:numId w:val="5"/>
        </w:numPr>
        <w:wordWrap w:val="0"/>
        <w:adjustRightInd w:val="0"/>
        <w:snapToGrid w:val="0"/>
        <w:ind w:firstLine="480"/>
      </w:pPr>
      <w:r>
        <w:rPr>
          <w:rFonts w:hint="eastAsia"/>
        </w:rPr>
        <w:t>投标文件未按照招标文件要求加盖CA电子公章的；</w:t>
      </w:r>
    </w:p>
    <w:p w14:paraId="42D7B371">
      <w:pPr>
        <w:pStyle w:val="48"/>
        <w:numPr>
          <w:ilvl w:val="0"/>
          <w:numId w:val="5"/>
        </w:numPr>
        <w:wordWrap w:val="0"/>
        <w:adjustRightInd w:val="0"/>
        <w:snapToGrid w:val="0"/>
        <w:ind w:firstLine="480"/>
      </w:pPr>
      <w:r>
        <w:rPr>
          <w:rFonts w:hint="eastAsia"/>
        </w:rPr>
        <w:t>投标文件含有采购人不能接受的附加条件的；</w:t>
      </w:r>
    </w:p>
    <w:p w14:paraId="680BCB18">
      <w:pPr>
        <w:pStyle w:val="48"/>
        <w:numPr>
          <w:ilvl w:val="0"/>
          <w:numId w:val="5"/>
        </w:numPr>
        <w:wordWrap w:val="0"/>
        <w:adjustRightInd w:val="0"/>
        <w:snapToGrid w:val="0"/>
        <w:ind w:firstLine="480"/>
      </w:pPr>
      <w:r>
        <w:t>投标文件报价出现前后不一致时，投标人对修正后的报价</w:t>
      </w:r>
      <w:r>
        <w:rPr>
          <w:rFonts w:hint="eastAsia"/>
        </w:rPr>
        <w:t>不</w:t>
      </w:r>
      <w:r>
        <w:t>确认</w:t>
      </w:r>
      <w:r>
        <w:rPr>
          <w:rFonts w:hint="eastAsia"/>
        </w:rPr>
        <w:t>的；</w:t>
      </w:r>
    </w:p>
    <w:p w14:paraId="3D17A1E3">
      <w:pPr>
        <w:pStyle w:val="48"/>
        <w:numPr>
          <w:ilvl w:val="0"/>
          <w:numId w:val="5"/>
        </w:numPr>
        <w:wordWrap w:val="0"/>
        <w:adjustRightInd w:val="0"/>
        <w:snapToGrid w:val="0"/>
        <w:ind w:firstLine="480"/>
      </w:pPr>
      <w:r>
        <w:rPr>
          <w:rFonts w:hint="eastAsia"/>
        </w:rPr>
        <w:t>评标委员会按照本招标文件规定对投标人进行异常低价投标审查后，认为投标人不</w:t>
      </w:r>
    </w:p>
    <w:p w14:paraId="78E7EC38">
      <w:pPr>
        <w:pStyle w:val="48"/>
        <w:numPr>
          <w:ilvl w:val="0"/>
          <w:numId w:val="5"/>
        </w:numPr>
        <w:wordWrap w:val="0"/>
        <w:adjustRightInd w:val="0"/>
        <w:snapToGrid w:val="0"/>
        <w:ind w:firstLine="480"/>
      </w:pPr>
      <w:r>
        <w:rPr>
          <w:rFonts w:hint="eastAsia"/>
        </w:rPr>
        <w:t>法律、法规和招标文件规定的其他无效情形。</w:t>
      </w:r>
    </w:p>
    <w:p w14:paraId="745E2111">
      <w:pPr>
        <w:numPr>
          <w:ilvl w:val="1"/>
          <w:numId w:val="1"/>
        </w:numPr>
        <w:wordWrap w:val="0"/>
        <w:adjustRightInd w:val="0"/>
        <w:snapToGrid w:val="0"/>
        <w:rPr>
          <w:b/>
          <w:spacing w:val="-4"/>
          <w:szCs w:val="24"/>
        </w:rPr>
      </w:pPr>
      <w:r>
        <w:rPr>
          <w:b/>
          <w:spacing w:val="-4"/>
          <w:szCs w:val="24"/>
        </w:rPr>
        <w:t>有下列情形之一的，</w:t>
      </w:r>
      <w:r>
        <w:rPr>
          <w:rFonts w:hint="eastAsia"/>
          <w:b/>
          <w:spacing w:val="-4"/>
          <w:szCs w:val="24"/>
        </w:rPr>
        <w:t>视为投标人</w:t>
      </w:r>
      <w:r>
        <w:rPr>
          <w:b/>
          <w:spacing w:val="-4"/>
          <w:szCs w:val="24"/>
        </w:rPr>
        <w:t>串通</w:t>
      </w:r>
      <w:r>
        <w:rPr>
          <w:rFonts w:hint="eastAsia"/>
          <w:b/>
          <w:spacing w:val="-4"/>
          <w:szCs w:val="24"/>
        </w:rPr>
        <w:t>投标，投标无效：</w:t>
      </w:r>
    </w:p>
    <w:p w14:paraId="5A278BC6">
      <w:pPr>
        <w:pStyle w:val="48"/>
        <w:numPr>
          <w:ilvl w:val="0"/>
          <w:numId w:val="6"/>
        </w:numPr>
        <w:wordWrap w:val="0"/>
        <w:adjustRightInd w:val="0"/>
        <w:snapToGrid w:val="0"/>
        <w:ind w:firstLine="480"/>
      </w:pPr>
      <w:r>
        <w:rPr>
          <w:rFonts w:hint="eastAsia"/>
        </w:rPr>
        <w:t>不同投标人的投标文件由同一单位或者个人编制；</w:t>
      </w:r>
    </w:p>
    <w:p w14:paraId="3A2A1BD9">
      <w:pPr>
        <w:pStyle w:val="48"/>
        <w:numPr>
          <w:ilvl w:val="0"/>
          <w:numId w:val="6"/>
        </w:numPr>
        <w:wordWrap w:val="0"/>
        <w:adjustRightInd w:val="0"/>
        <w:snapToGrid w:val="0"/>
        <w:ind w:firstLine="480"/>
      </w:pPr>
      <w:r>
        <w:rPr>
          <w:rFonts w:hint="eastAsia"/>
        </w:rPr>
        <w:t>不同投标人委托同一单位或者个人办理投标事宜；</w:t>
      </w:r>
    </w:p>
    <w:p w14:paraId="7C7B2367">
      <w:pPr>
        <w:pStyle w:val="48"/>
        <w:numPr>
          <w:ilvl w:val="0"/>
          <w:numId w:val="6"/>
        </w:numPr>
        <w:wordWrap w:val="0"/>
        <w:adjustRightInd w:val="0"/>
        <w:snapToGrid w:val="0"/>
        <w:ind w:firstLine="480"/>
      </w:pPr>
      <w:r>
        <w:rPr>
          <w:rFonts w:hint="eastAsia"/>
        </w:rPr>
        <w:t>不同投标人的投标文件载明的项目管理成员或者联系人员为同一人；</w:t>
      </w:r>
    </w:p>
    <w:p w14:paraId="1B0A22E0">
      <w:pPr>
        <w:pStyle w:val="48"/>
        <w:numPr>
          <w:ilvl w:val="0"/>
          <w:numId w:val="6"/>
        </w:numPr>
        <w:wordWrap w:val="0"/>
        <w:adjustRightInd w:val="0"/>
        <w:snapToGrid w:val="0"/>
        <w:ind w:firstLine="480"/>
      </w:pPr>
      <w:r>
        <w:rPr>
          <w:rFonts w:hint="eastAsia"/>
        </w:rPr>
        <w:t>不同投标人的投标文件异常一致或者投标报价呈规律性差异；</w:t>
      </w:r>
    </w:p>
    <w:p w14:paraId="6EE8B9F9">
      <w:pPr>
        <w:pStyle w:val="48"/>
        <w:numPr>
          <w:ilvl w:val="0"/>
          <w:numId w:val="6"/>
        </w:numPr>
        <w:wordWrap w:val="0"/>
        <w:adjustRightInd w:val="0"/>
        <w:snapToGrid w:val="0"/>
        <w:ind w:firstLine="480"/>
      </w:pPr>
      <w:r>
        <w:rPr>
          <w:rFonts w:hint="eastAsia"/>
        </w:rPr>
        <w:t>不同投标人的投标文件相互混装。</w:t>
      </w:r>
    </w:p>
    <w:p w14:paraId="7133740C">
      <w:pPr>
        <w:numPr>
          <w:ilvl w:val="1"/>
          <w:numId w:val="1"/>
        </w:numPr>
        <w:wordWrap w:val="0"/>
        <w:adjustRightInd w:val="0"/>
        <w:snapToGrid w:val="0"/>
        <w:rPr>
          <w:b/>
        </w:rPr>
      </w:pPr>
      <w:r>
        <w:rPr>
          <w:rFonts w:hint="eastAsia"/>
          <w:b/>
        </w:rPr>
        <w:t>废标条款</w:t>
      </w:r>
    </w:p>
    <w:p w14:paraId="5DF7F475">
      <w:pPr>
        <w:pStyle w:val="48"/>
        <w:numPr>
          <w:ilvl w:val="0"/>
          <w:numId w:val="7"/>
        </w:numPr>
        <w:wordWrap w:val="0"/>
        <w:adjustRightInd w:val="0"/>
        <w:snapToGrid w:val="0"/>
        <w:ind w:firstLine="480"/>
        <w:rPr>
          <w:szCs w:val="24"/>
        </w:rPr>
      </w:pPr>
      <w:r>
        <w:rPr>
          <w:rFonts w:hint="eastAsia"/>
          <w:szCs w:val="24"/>
        </w:rPr>
        <w:t>符合专业条件的供应商或者对招标文件作实质响应的供应商不足三家的；</w:t>
      </w:r>
    </w:p>
    <w:p w14:paraId="0C6A0F56">
      <w:pPr>
        <w:pStyle w:val="48"/>
        <w:numPr>
          <w:ilvl w:val="0"/>
          <w:numId w:val="7"/>
        </w:numPr>
        <w:wordWrap w:val="0"/>
        <w:adjustRightInd w:val="0"/>
        <w:snapToGrid w:val="0"/>
        <w:ind w:firstLine="480"/>
        <w:rPr>
          <w:szCs w:val="24"/>
        </w:rPr>
      </w:pPr>
      <w:r>
        <w:rPr>
          <w:rFonts w:hint="eastAsia"/>
          <w:szCs w:val="24"/>
        </w:rPr>
        <w:t>出现影响采购公正的违法、违规行为的；</w:t>
      </w:r>
    </w:p>
    <w:p w14:paraId="5BDB201F">
      <w:pPr>
        <w:pStyle w:val="48"/>
        <w:numPr>
          <w:ilvl w:val="0"/>
          <w:numId w:val="7"/>
        </w:numPr>
        <w:wordWrap w:val="0"/>
        <w:adjustRightInd w:val="0"/>
        <w:snapToGrid w:val="0"/>
        <w:ind w:firstLine="480"/>
        <w:rPr>
          <w:szCs w:val="24"/>
        </w:rPr>
      </w:pPr>
      <w:r>
        <w:rPr>
          <w:rFonts w:hint="eastAsia"/>
          <w:szCs w:val="24"/>
        </w:rPr>
        <w:t>投标人的报价均超过了采购预算或最高限价，采购人不能支付的；</w:t>
      </w:r>
    </w:p>
    <w:p w14:paraId="006C22DA">
      <w:pPr>
        <w:pStyle w:val="48"/>
        <w:numPr>
          <w:ilvl w:val="0"/>
          <w:numId w:val="7"/>
        </w:numPr>
        <w:wordWrap w:val="0"/>
        <w:adjustRightInd w:val="0"/>
        <w:snapToGrid w:val="0"/>
        <w:ind w:firstLine="480"/>
        <w:rPr>
          <w:szCs w:val="24"/>
        </w:rPr>
      </w:pPr>
      <w:r>
        <w:rPr>
          <w:rFonts w:hint="eastAsia"/>
          <w:szCs w:val="24"/>
        </w:rPr>
        <w:t>因重大变故，采购任务取消的；</w:t>
      </w:r>
    </w:p>
    <w:p w14:paraId="4F81B3A6">
      <w:pPr>
        <w:pStyle w:val="48"/>
        <w:numPr>
          <w:ilvl w:val="0"/>
          <w:numId w:val="7"/>
        </w:numPr>
        <w:wordWrap w:val="0"/>
        <w:adjustRightInd w:val="0"/>
        <w:snapToGrid w:val="0"/>
        <w:ind w:firstLine="480"/>
        <w:rPr>
          <w:szCs w:val="24"/>
        </w:rPr>
      </w:pPr>
      <w:r>
        <w:rPr>
          <w:rFonts w:hint="eastAsia"/>
          <w:szCs w:val="24"/>
        </w:rPr>
        <w:t>因苏采云系统故障</w:t>
      </w:r>
      <w:r>
        <w:rPr>
          <w:szCs w:val="24"/>
        </w:rPr>
        <w:t>原因造成开标不成功</w:t>
      </w:r>
      <w:r>
        <w:rPr>
          <w:rFonts w:hint="eastAsia"/>
          <w:szCs w:val="24"/>
        </w:rPr>
        <w:t>的</w:t>
      </w:r>
      <w:r>
        <w:rPr>
          <w:szCs w:val="24"/>
        </w:rPr>
        <w:t>。</w:t>
      </w:r>
    </w:p>
    <w:p w14:paraId="3DD5D8D3">
      <w:pPr>
        <w:numPr>
          <w:ilvl w:val="1"/>
          <w:numId w:val="1"/>
        </w:numPr>
        <w:wordWrap w:val="0"/>
        <w:adjustRightInd w:val="0"/>
        <w:snapToGrid w:val="0"/>
        <w:rPr>
          <w:szCs w:val="24"/>
        </w:rPr>
      </w:pPr>
      <w:r>
        <w:rPr>
          <w:rFonts w:hint="eastAsia"/>
          <w:szCs w:val="24"/>
        </w:rPr>
        <w:t>投标截止时间结束后参加投标的供应商不足三家的处理：</w:t>
      </w:r>
    </w:p>
    <w:p w14:paraId="4FEBDCB6">
      <w:pPr>
        <w:wordWrap w:val="0"/>
        <w:adjustRightInd w:val="0"/>
        <w:snapToGrid w:val="0"/>
        <w:ind w:firstLine="480" w:firstLineChars="200"/>
      </w:pPr>
      <w:r>
        <w:rPr>
          <w:rFonts w:hint="eastAsia"/>
        </w:rPr>
        <w:t>如出现投标截止时间结束后参加投标的投标人或者在评标期间对招标文件做出实质响应的供应商不足三家情况，按政府采购相关规定执行。</w:t>
      </w:r>
    </w:p>
    <w:p w14:paraId="267F0597">
      <w:pPr>
        <w:pStyle w:val="48"/>
        <w:numPr>
          <w:ilvl w:val="0"/>
          <w:numId w:val="2"/>
        </w:numPr>
        <w:wordWrap w:val="0"/>
        <w:adjustRightInd w:val="0"/>
        <w:snapToGrid w:val="0"/>
        <w:ind w:firstLineChars="0"/>
        <w:outlineLvl w:val="1"/>
        <w:rPr>
          <w:b/>
          <w:sz w:val="30"/>
          <w:szCs w:val="24"/>
        </w:rPr>
      </w:pPr>
      <w:bookmarkStart w:id="160" w:name="_Toc394695593"/>
      <w:bookmarkStart w:id="161" w:name="_Toc57991618"/>
      <w:bookmarkStart w:id="162" w:name="_Toc57992048"/>
      <w:bookmarkStart w:id="163" w:name="_Toc57992302"/>
      <w:bookmarkStart w:id="164" w:name="_Toc57992150"/>
      <w:r>
        <w:rPr>
          <w:rFonts w:hint="eastAsia"/>
          <w:b/>
          <w:sz w:val="30"/>
          <w:szCs w:val="24"/>
        </w:rPr>
        <w:t>定标</w:t>
      </w:r>
      <w:bookmarkEnd w:id="160"/>
      <w:bookmarkEnd w:id="161"/>
      <w:bookmarkEnd w:id="162"/>
      <w:bookmarkEnd w:id="163"/>
      <w:bookmarkEnd w:id="164"/>
    </w:p>
    <w:p w14:paraId="720632AA">
      <w:pPr>
        <w:pStyle w:val="4"/>
        <w:adjustRightInd w:val="0"/>
        <w:snapToGrid w:val="0"/>
      </w:pPr>
      <w:bookmarkStart w:id="165" w:name="_Toc57992151"/>
      <w:bookmarkStart w:id="166" w:name="_Toc57992628"/>
      <w:bookmarkStart w:id="167" w:name="_Toc57991619"/>
      <w:bookmarkStart w:id="168" w:name="_Toc57992303"/>
      <w:bookmarkStart w:id="169" w:name="_Toc394695594"/>
      <w:r>
        <w:rPr>
          <w:rFonts w:hint="eastAsia"/>
        </w:rPr>
        <w:t>确定中标</w:t>
      </w:r>
      <w:bookmarkEnd w:id="165"/>
      <w:bookmarkEnd w:id="166"/>
      <w:bookmarkEnd w:id="167"/>
      <w:bookmarkEnd w:id="168"/>
      <w:r>
        <w:rPr>
          <w:rFonts w:hint="eastAsia"/>
        </w:rPr>
        <w:t>人</w:t>
      </w:r>
    </w:p>
    <w:p w14:paraId="72D2A887">
      <w:pPr>
        <w:numPr>
          <w:ilvl w:val="1"/>
          <w:numId w:val="1"/>
        </w:numPr>
        <w:wordWrap w:val="0"/>
        <w:adjustRightInd w:val="0"/>
        <w:snapToGrid w:val="0"/>
        <w:rPr>
          <w:szCs w:val="24"/>
        </w:rPr>
      </w:pPr>
      <w:r>
        <w:rPr>
          <w:rFonts w:hint="eastAsia"/>
          <w:szCs w:val="24"/>
        </w:rPr>
        <w:t>采购人</w:t>
      </w:r>
      <w:r>
        <w:rPr>
          <w:rFonts w:hint="eastAsia"/>
        </w:rPr>
        <w:t>将在评标报告确定的中标候选人名单中按顺序</w:t>
      </w:r>
      <w:r>
        <w:rPr>
          <w:rFonts w:hint="eastAsia"/>
          <w:szCs w:val="24"/>
        </w:rPr>
        <w:t>确定中标人。</w:t>
      </w:r>
    </w:p>
    <w:p w14:paraId="16983E27">
      <w:pPr>
        <w:numPr>
          <w:ilvl w:val="1"/>
          <w:numId w:val="1"/>
        </w:numPr>
        <w:wordWrap w:val="0"/>
        <w:adjustRightInd w:val="0"/>
        <w:snapToGrid w:val="0"/>
        <w:rPr>
          <w:szCs w:val="24"/>
        </w:rPr>
      </w:pPr>
      <w:r>
        <w:rPr>
          <w:rFonts w:hint="eastAsia"/>
          <w:szCs w:val="24"/>
        </w:rPr>
        <w:t>采购</w:t>
      </w:r>
      <w:bookmarkStart w:id="170" w:name="OLE_LINK6"/>
      <w:bookmarkStart w:id="171" w:name="OLE_LINK5"/>
      <w:r>
        <w:rPr>
          <w:rFonts w:hint="eastAsia"/>
          <w:szCs w:val="24"/>
        </w:rPr>
        <w:t>代理机构</w:t>
      </w:r>
      <w:bookmarkEnd w:id="170"/>
      <w:bookmarkEnd w:id="171"/>
      <w:r>
        <w:rPr>
          <w:rFonts w:hint="eastAsia"/>
          <w:szCs w:val="24"/>
        </w:rPr>
        <w:t>将在“江苏政府采购网”、“淮安市政府采购网”</w:t>
      </w:r>
      <w:r>
        <w:rPr>
          <w:rFonts w:hint="eastAsia"/>
        </w:rPr>
        <w:t xml:space="preserve"> 公告中标结果</w:t>
      </w:r>
      <w:r>
        <w:rPr>
          <w:rFonts w:hint="eastAsia"/>
          <w:szCs w:val="24"/>
        </w:rPr>
        <w:t>，公告期限为1个工作日。</w:t>
      </w:r>
    </w:p>
    <w:p w14:paraId="6995226D">
      <w:pPr>
        <w:numPr>
          <w:ilvl w:val="1"/>
          <w:numId w:val="1"/>
        </w:numPr>
        <w:wordWrap w:val="0"/>
        <w:adjustRightInd w:val="0"/>
        <w:snapToGrid w:val="0"/>
        <w:rPr>
          <w:szCs w:val="24"/>
        </w:rPr>
      </w:pPr>
      <w:r>
        <w:rPr>
          <w:rFonts w:hint="eastAsia" w:cs="Arial"/>
          <w:bCs/>
        </w:rPr>
        <w:t>投标人应对其提交的投标文件</w:t>
      </w:r>
      <w:r>
        <w:rPr>
          <w:rFonts w:cs="宋体"/>
          <w:szCs w:val="21"/>
        </w:rPr>
        <w:t>及有关资料</w:t>
      </w:r>
      <w:r>
        <w:rPr>
          <w:rFonts w:hint="eastAsia" w:cs="Arial"/>
          <w:bCs/>
        </w:rPr>
        <w:t>的真实性负责，采购人保留对投标人提供的</w:t>
      </w:r>
      <w:r>
        <w:rPr>
          <w:rFonts w:hint="eastAsia"/>
          <w:szCs w:val="24"/>
        </w:rPr>
        <w:t>数据和资料（包括</w:t>
      </w:r>
      <w:r>
        <w:t>相关证明原件</w:t>
      </w:r>
      <w:r>
        <w:rPr>
          <w:rFonts w:hint="eastAsia"/>
          <w:szCs w:val="24"/>
        </w:rPr>
        <w:t>）</w:t>
      </w:r>
      <w:r>
        <w:rPr>
          <w:rFonts w:hint="eastAsia" w:cs="Arial"/>
          <w:bCs/>
        </w:rPr>
        <w:t>随时</w:t>
      </w:r>
      <w:r>
        <w:t>进行核验</w:t>
      </w:r>
      <w:r>
        <w:rPr>
          <w:rFonts w:hint="eastAsia" w:cs="Arial"/>
          <w:bCs/>
        </w:rPr>
        <w:t>的权利。若</w:t>
      </w:r>
      <w:r>
        <w:rPr>
          <w:rFonts w:hint="eastAsia"/>
          <w:szCs w:val="21"/>
        </w:rPr>
        <w:t>查实</w:t>
      </w:r>
      <w:r>
        <w:rPr>
          <w:rFonts w:hint="eastAsia" w:cs="Arial"/>
          <w:bCs/>
        </w:rPr>
        <w:t>投标人投标</w:t>
      </w:r>
      <w:r>
        <w:rPr>
          <w:rFonts w:hint="eastAsia"/>
          <w:szCs w:val="21"/>
        </w:rPr>
        <w:t>文件中有与事实不符的承诺</w:t>
      </w:r>
      <w:bookmarkStart w:id="172" w:name="OLE_LINK82"/>
      <w:bookmarkStart w:id="173" w:name="OLE_LINK83"/>
      <w:r>
        <w:rPr>
          <w:rFonts w:hint="eastAsia"/>
          <w:szCs w:val="21"/>
        </w:rPr>
        <w:t>（声明）或证明</w:t>
      </w:r>
      <w:bookmarkEnd w:id="172"/>
      <w:bookmarkEnd w:id="173"/>
      <w:r>
        <w:rPr>
          <w:rFonts w:hint="eastAsia"/>
          <w:szCs w:val="21"/>
        </w:rPr>
        <w:t>材料</w:t>
      </w:r>
      <w:r>
        <w:rPr>
          <w:rFonts w:hint="eastAsia"/>
        </w:rPr>
        <w:t>，或者投标人无正当理由拒不配合核查的，</w:t>
      </w:r>
      <w:r>
        <w:rPr>
          <w:rFonts w:hint="eastAsia"/>
          <w:szCs w:val="21"/>
        </w:rPr>
        <w:t>采购人</w:t>
      </w:r>
      <w:r>
        <w:rPr>
          <w:rFonts w:hint="eastAsia"/>
        </w:rPr>
        <w:t>有权</w:t>
      </w:r>
      <w:r>
        <w:rPr>
          <w:rFonts w:cs="Arial"/>
          <w:bCs/>
        </w:rPr>
        <w:t>取消其</w:t>
      </w:r>
      <w:r>
        <w:rPr>
          <w:rFonts w:hint="eastAsia" w:cs="Arial"/>
          <w:bCs/>
        </w:rPr>
        <w:t>投标或中标</w:t>
      </w:r>
      <w:r>
        <w:rPr>
          <w:rFonts w:cs="Arial"/>
          <w:bCs/>
        </w:rPr>
        <w:t>资格</w:t>
      </w:r>
      <w:r>
        <w:rPr>
          <w:rFonts w:hint="eastAsia"/>
        </w:rPr>
        <w:t>。</w:t>
      </w:r>
    </w:p>
    <w:p w14:paraId="19569BA6">
      <w:pPr>
        <w:numPr>
          <w:ilvl w:val="1"/>
          <w:numId w:val="1"/>
        </w:numPr>
        <w:wordWrap w:val="0"/>
        <w:adjustRightInd w:val="0"/>
        <w:snapToGrid w:val="0"/>
        <w:rPr>
          <w:b/>
          <w:szCs w:val="24"/>
        </w:rPr>
      </w:pPr>
      <w:r>
        <w:rPr>
          <w:rFonts w:hint="eastAsia"/>
          <w:b/>
          <w:szCs w:val="24"/>
        </w:rPr>
        <w:t>若有充分证据证明，</w:t>
      </w:r>
      <w:r>
        <w:rPr>
          <w:rFonts w:hint="eastAsia"/>
          <w:b/>
        </w:rPr>
        <w:t>投标人</w:t>
      </w:r>
      <w:r>
        <w:rPr>
          <w:b/>
        </w:rPr>
        <w:t>有下列情形之一的，</w:t>
      </w:r>
      <w:r>
        <w:rPr>
          <w:rFonts w:hint="eastAsia"/>
          <w:b/>
        </w:rPr>
        <w:t>一经查实</w:t>
      </w:r>
      <w:r>
        <w:rPr>
          <w:b/>
        </w:rPr>
        <w:t>中标无效</w:t>
      </w:r>
      <w:r>
        <w:rPr>
          <w:rFonts w:hint="eastAsia"/>
          <w:b/>
          <w:szCs w:val="24"/>
        </w:rPr>
        <w:t>：</w:t>
      </w:r>
    </w:p>
    <w:p w14:paraId="2A9DDFEF">
      <w:pPr>
        <w:pStyle w:val="48"/>
        <w:numPr>
          <w:ilvl w:val="0"/>
          <w:numId w:val="8"/>
        </w:numPr>
        <w:wordWrap w:val="0"/>
        <w:adjustRightInd w:val="0"/>
        <w:snapToGrid w:val="0"/>
        <w:ind w:firstLine="480"/>
      </w:pPr>
      <w:r>
        <w:rPr>
          <w:rFonts w:hint="eastAsia"/>
        </w:rPr>
        <w:t>提供虚假材料谋取中标的；</w:t>
      </w:r>
    </w:p>
    <w:p w14:paraId="05A4A93F">
      <w:pPr>
        <w:pStyle w:val="48"/>
        <w:numPr>
          <w:ilvl w:val="0"/>
          <w:numId w:val="8"/>
        </w:numPr>
        <w:wordWrap w:val="0"/>
        <w:adjustRightInd w:val="0"/>
        <w:snapToGrid w:val="0"/>
        <w:ind w:firstLine="480"/>
      </w:pPr>
      <w:r>
        <w:rPr>
          <w:rFonts w:hint="eastAsia"/>
        </w:rPr>
        <w:t>采取不正当手段诋毁、排挤其他供应商的；</w:t>
      </w:r>
    </w:p>
    <w:p w14:paraId="18FD8C10">
      <w:pPr>
        <w:pStyle w:val="48"/>
        <w:numPr>
          <w:ilvl w:val="0"/>
          <w:numId w:val="8"/>
        </w:numPr>
        <w:wordWrap w:val="0"/>
        <w:adjustRightInd w:val="0"/>
        <w:snapToGrid w:val="0"/>
        <w:ind w:firstLine="480"/>
      </w:pPr>
      <w:r>
        <w:rPr>
          <w:rFonts w:hint="eastAsia"/>
        </w:rPr>
        <w:t>与采购人、其他供应商或者采购代理机构恶意串通的；</w:t>
      </w:r>
    </w:p>
    <w:p w14:paraId="51F301CD">
      <w:pPr>
        <w:pStyle w:val="48"/>
        <w:numPr>
          <w:ilvl w:val="0"/>
          <w:numId w:val="8"/>
        </w:numPr>
        <w:wordWrap w:val="0"/>
        <w:adjustRightInd w:val="0"/>
        <w:snapToGrid w:val="0"/>
        <w:ind w:firstLine="480"/>
      </w:pPr>
      <w:r>
        <w:rPr>
          <w:rFonts w:hint="eastAsia"/>
        </w:rPr>
        <w:t>向采购人、采购代理机构或者评标委员会</w:t>
      </w:r>
      <w:r>
        <w:t>成员</w:t>
      </w:r>
      <w:r>
        <w:rPr>
          <w:rFonts w:hint="eastAsia"/>
        </w:rPr>
        <w:t>行贿或者提供其他不正当利益；</w:t>
      </w:r>
    </w:p>
    <w:p w14:paraId="7298F3F4">
      <w:pPr>
        <w:pStyle w:val="48"/>
        <w:numPr>
          <w:ilvl w:val="0"/>
          <w:numId w:val="8"/>
        </w:numPr>
        <w:wordWrap w:val="0"/>
        <w:adjustRightInd w:val="0"/>
        <w:snapToGrid w:val="0"/>
        <w:ind w:firstLine="480"/>
      </w:pPr>
      <w:r>
        <w:rPr>
          <w:rFonts w:hint="eastAsia"/>
        </w:rPr>
        <w:t>在招标采购过程中与采购人进行协商谈判的；</w:t>
      </w:r>
    </w:p>
    <w:p w14:paraId="70D3D9B7">
      <w:pPr>
        <w:pStyle w:val="48"/>
        <w:numPr>
          <w:ilvl w:val="0"/>
          <w:numId w:val="8"/>
        </w:numPr>
        <w:wordWrap w:val="0"/>
        <w:adjustRightInd w:val="0"/>
        <w:snapToGrid w:val="0"/>
        <w:ind w:firstLine="480"/>
      </w:pPr>
      <w:r>
        <w:t>中标后无正当理由拒不与采购人签订政府采购合同；</w:t>
      </w:r>
    </w:p>
    <w:p w14:paraId="0A5427E9">
      <w:pPr>
        <w:pStyle w:val="48"/>
        <w:numPr>
          <w:ilvl w:val="0"/>
          <w:numId w:val="8"/>
        </w:numPr>
        <w:wordWrap w:val="0"/>
        <w:adjustRightInd w:val="0"/>
        <w:snapToGrid w:val="0"/>
        <w:ind w:firstLine="480"/>
      </w:pPr>
      <w:r>
        <w:t>未按照</w:t>
      </w:r>
      <w:r>
        <w:rPr>
          <w:rFonts w:hint="eastAsia"/>
        </w:rPr>
        <w:t>招标</w:t>
      </w:r>
      <w:r>
        <w:t>文件确定的事项签订政府采购合同；</w:t>
      </w:r>
    </w:p>
    <w:p w14:paraId="598BD4CF">
      <w:pPr>
        <w:pStyle w:val="48"/>
        <w:numPr>
          <w:ilvl w:val="0"/>
          <w:numId w:val="8"/>
        </w:numPr>
        <w:wordWrap w:val="0"/>
        <w:adjustRightInd w:val="0"/>
        <w:snapToGrid w:val="0"/>
        <w:ind w:firstLine="480"/>
      </w:pPr>
      <w:r>
        <w:t>将政府采购合同转包；</w:t>
      </w:r>
    </w:p>
    <w:p w14:paraId="646FE7C2">
      <w:pPr>
        <w:pStyle w:val="48"/>
        <w:numPr>
          <w:ilvl w:val="0"/>
          <w:numId w:val="8"/>
        </w:numPr>
        <w:wordWrap w:val="0"/>
        <w:adjustRightInd w:val="0"/>
        <w:snapToGrid w:val="0"/>
        <w:ind w:firstLine="480"/>
      </w:pPr>
      <w:r>
        <w:t>提供假冒伪劣产品；</w:t>
      </w:r>
    </w:p>
    <w:p w14:paraId="341AE028">
      <w:pPr>
        <w:pStyle w:val="48"/>
        <w:numPr>
          <w:ilvl w:val="0"/>
          <w:numId w:val="8"/>
        </w:numPr>
        <w:wordWrap w:val="0"/>
        <w:adjustRightInd w:val="0"/>
        <w:snapToGrid w:val="0"/>
        <w:ind w:firstLine="480"/>
      </w:pPr>
      <w:r>
        <w:t>擅自变更、中止或者终止政府采购合同</w:t>
      </w:r>
      <w:r>
        <w:rPr>
          <w:rFonts w:hint="eastAsia"/>
        </w:rPr>
        <w:t>；</w:t>
      </w:r>
    </w:p>
    <w:p w14:paraId="061640D7">
      <w:pPr>
        <w:pStyle w:val="48"/>
        <w:numPr>
          <w:ilvl w:val="0"/>
          <w:numId w:val="8"/>
        </w:numPr>
        <w:wordWrap w:val="0"/>
        <w:adjustRightInd w:val="0"/>
        <w:snapToGrid w:val="0"/>
        <w:ind w:firstLine="480"/>
      </w:pPr>
      <w:r>
        <w:rPr>
          <w:rFonts w:hint="eastAsia"/>
        </w:rPr>
        <w:t>属于本文件规定的无效情形，但在评标过程中又未被评标委员会发现的。</w:t>
      </w:r>
    </w:p>
    <w:p w14:paraId="1EC23792">
      <w:pPr>
        <w:wordWrap w:val="0"/>
        <w:adjustRightInd w:val="0"/>
        <w:snapToGrid w:val="0"/>
        <w:ind w:firstLine="480" w:firstLineChars="200"/>
      </w:pPr>
      <w:r>
        <w:rPr>
          <w:rFonts w:hint="eastAsia"/>
        </w:rPr>
        <w:t>注：投标人有上述第（1）至（1</w:t>
      </w:r>
      <w:r>
        <w:t>0</w:t>
      </w:r>
      <w:r>
        <w:rPr>
          <w:rFonts w:hint="eastAsia"/>
        </w:rPr>
        <w:t>）项情形之一的，</w:t>
      </w:r>
      <w:r>
        <w:t>依照</w:t>
      </w:r>
      <w:r>
        <w:rPr>
          <w:rFonts w:hint="eastAsia"/>
        </w:rPr>
        <w:t>《中华人民共和国</w:t>
      </w:r>
      <w:r>
        <w:t>政府采购法</w:t>
      </w:r>
      <w:r>
        <w:rPr>
          <w:rFonts w:hint="eastAsia"/>
        </w:rPr>
        <w:t>》</w:t>
      </w:r>
      <w:r>
        <w:t>第七十七条第一款的规定追究</w:t>
      </w:r>
      <w:r>
        <w:rPr>
          <w:rFonts w:hint="eastAsia"/>
        </w:rPr>
        <w:t>其</w:t>
      </w:r>
      <w:r>
        <w:t>法律责任</w:t>
      </w:r>
      <w:r>
        <w:rPr>
          <w:rFonts w:hint="eastAsia"/>
        </w:rPr>
        <w:t>。</w:t>
      </w:r>
    </w:p>
    <w:p w14:paraId="1BDAB01C">
      <w:pPr>
        <w:numPr>
          <w:ilvl w:val="1"/>
          <w:numId w:val="1"/>
        </w:numPr>
        <w:wordWrap w:val="0"/>
        <w:adjustRightInd w:val="0"/>
        <w:snapToGrid w:val="0"/>
        <w:rPr>
          <w:rFonts w:cs="Arial"/>
          <w:bCs/>
        </w:rPr>
      </w:pPr>
      <w:r>
        <w:rPr>
          <w:rFonts w:hint="eastAsia" w:cs="Arial"/>
          <w:bCs/>
        </w:rPr>
        <w:t>中标结果改变且采购合同尚未履行（其中采购合同已签订须撤销合同）的，合格投标人符合法定数量时，采购人</w:t>
      </w:r>
      <w:r>
        <w:rPr>
          <w:rFonts w:cs="Arial"/>
          <w:bCs/>
        </w:rPr>
        <w:t>可以按照评</w:t>
      </w:r>
      <w:r>
        <w:rPr>
          <w:rFonts w:hint="eastAsia" w:cs="Arial"/>
          <w:bCs/>
        </w:rPr>
        <w:t>标</w:t>
      </w:r>
      <w:r>
        <w:rPr>
          <w:rFonts w:cs="Arial"/>
          <w:bCs/>
        </w:rPr>
        <w:t>报告推荐的</w:t>
      </w:r>
      <w:r>
        <w:rPr>
          <w:rFonts w:hint="eastAsia" w:cs="Arial"/>
          <w:bCs/>
        </w:rPr>
        <w:t>中标</w:t>
      </w:r>
      <w:r>
        <w:rPr>
          <w:rFonts w:cs="Arial"/>
          <w:bCs/>
        </w:rPr>
        <w:t>候选</w:t>
      </w:r>
      <w:r>
        <w:rPr>
          <w:rFonts w:hint="eastAsia" w:cs="Arial"/>
          <w:bCs/>
        </w:rPr>
        <w:t>人</w:t>
      </w:r>
      <w:r>
        <w:rPr>
          <w:rFonts w:cs="Arial"/>
          <w:bCs/>
        </w:rPr>
        <w:t>名单排序，确定合格的下一候选</w:t>
      </w:r>
      <w:r>
        <w:rPr>
          <w:rFonts w:hint="eastAsia" w:cs="Arial"/>
          <w:bCs/>
        </w:rPr>
        <w:t>人</w:t>
      </w:r>
      <w:r>
        <w:rPr>
          <w:rFonts w:cs="Arial"/>
          <w:bCs/>
        </w:rPr>
        <w:t>为</w:t>
      </w:r>
      <w:r>
        <w:rPr>
          <w:rFonts w:hint="eastAsia" w:cs="Arial"/>
          <w:bCs/>
        </w:rPr>
        <w:t>中标</w:t>
      </w:r>
      <w:r>
        <w:rPr>
          <w:rFonts w:cs="Arial"/>
          <w:bCs/>
        </w:rPr>
        <w:t>候选</w:t>
      </w:r>
      <w:r>
        <w:rPr>
          <w:rFonts w:hint="eastAsia" w:cs="Arial"/>
          <w:bCs/>
        </w:rPr>
        <w:t>人</w:t>
      </w:r>
      <w:r>
        <w:rPr>
          <w:rFonts w:cs="Arial"/>
          <w:bCs/>
        </w:rPr>
        <w:t>，</w:t>
      </w:r>
      <w:r>
        <w:rPr>
          <w:rFonts w:hint="eastAsia" w:cs="Arial"/>
          <w:bCs/>
        </w:rPr>
        <w:t>否则</w:t>
      </w:r>
      <w:r>
        <w:rPr>
          <w:rFonts w:cs="Arial"/>
          <w:bCs/>
        </w:rPr>
        <w:t>重新开展采购活动</w:t>
      </w:r>
      <w:r>
        <w:rPr>
          <w:rFonts w:hint="eastAsia" w:cs="Arial"/>
          <w:bCs/>
        </w:rPr>
        <w:t>。</w:t>
      </w:r>
    </w:p>
    <w:p w14:paraId="2FA2F45F">
      <w:pPr>
        <w:numPr>
          <w:ilvl w:val="1"/>
          <w:numId w:val="1"/>
        </w:numPr>
        <w:wordWrap w:val="0"/>
        <w:adjustRightInd w:val="0"/>
        <w:snapToGrid w:val="0"/>
      </w:pPr>
      <w:r>
        <w:rPr>
          <w:rFonts w:hint="eastAsia"/>
        </w:rPr>
        <w:t>废标后，</w:t>
      </w:r>
      <w:r>
        <w:rPr>
          <w:rFonts w:hint="eastAsia" w:cs="Arial"/>
          <w:kern w:val="0"/>
          <w:szCs w:val="32"/>
        </w:rPr>
        <w:t>除采购任务取消情形外，应当重新组织招标；需要采取其他方式采购的，应当在采购活动开始前获得</w:t>
      </w:r>
      <w:r>
        <w:rPr>
          <w:rFonts w:hint="eastAsia"/>
          <w:szCs w:val="24"/>
        </w:rPr>
        <w:t>同级</w:t>
      </w:r>
      <w:r>
        <w:rPr>
          <w:rFonts w:hint="eastAsia" w:cs="Arial"/>
          <w:kern w:val="0"/>
          <w:szCs w:val="32"/>
        </w:rPr>
        <w:t>政府采购监督管理部门或者政府有关部门批准。</w:t>
      </w:r>
    </w:p>
    <w:p w14:paraId="19859DF5">
      <w:pPr>
        <w:numPr>
          <w:ilvl w:val="1"/>
          <w:numId w:val="1"/>
        </w:numPr>
        <w:wordWrap w:val="0"/>
        <w:adjustRightInd w:val="0"/>
        <w:snapToGrid w:val="0"/>
      </w:pPr>
      <w:r>
        <w:rPr>
          <w:rFonts w:hint="eastAsia"/>
        </w:rPr>
        <w:t>投标截止后投标人不足3家或者通过资格审查或符合性审查的投标人不足3家的，除采购任务取消情形外，按照以下方式处理：</w:t>
      </w:r>
    </w:p>
    <w:p w14:paraId="36097162">
      <w:pPr>
        <w:pStyle w:val="48"/>
        <w:numPr>
          <w:ilvl w:val="0"/>
          <w:numId w:val="9"/>
        </w:numPr>
        <w:wordWrap w:val="0"/>
        <w:adjustRightInd w:val="0"/>
        <w:snapToGrid w:val="0"/>
        <w:ind w:firstLine="480"/>
      </w:pPr>
      <w:r>
        <w:rPr>
          <w:rFonts w:hint="eastAsia"/>
        </w:rPr>
        <w:t>招标文件存在不合理条款或者招标程序不符合规定的，采购人、采购代理机构改正后依法重新招标；</w:t>
      </w:r>
    </w:p>
    <w:p w14:paraId="234F8AFB">
      <w:pPr>
        <w:pStyle w:val="48"/>
        <w:numPr>
          <w:ilvl w:val="0"/>
          <w:numId w:val="9"/>
        </w:numPr>
        <w:wordWrap w:val="0"/>
        <w:adjustRightInd w:val="0"/>
        <w:snapToGrid w:val="0"/>
        <w:ind w:firstLine="480"/>
      </w:pPr>
      <w:r>
        <w:rPr>
          <w:rFonts w:hint="eastAsia"/>
        </w:rPr>
        <w:t>招标文件没有不合理条款、招标程序符合规定，需要采用其他采购方式采购的，采购人应当依法报同级政府采购监督管理部门批准。</w:t>
      </w:r>
    </w:p>
    <w:p w14:paraId="3D937283">
      <w:pPr>
        <w:pStyle w:val="4"/>
        <w:adjustRightInd w:val="0"/>
        <w:snapToGrid w:val="0"/>
      </w:pPr>
      <w:r>
        <w:rPr>
          <w:rFonts w:hint="eastAsia"/>
        </w:rPr>
        <w:t>质疑处理</w:t>
      </w:r>
    </w:p>
    <w:p w14:paraId="5C9CCF53">
      <w:pPr>
        <w:numPr>
          <w:ilvl w:val="1"/>
          <w:numId w:val="1"/>
        </w:numPr>
        <w:wordWrap w:val="0"/>
        <w:adjustRightInd w:val="0"/>
        <w:snapToGrid w:val="0"/>
        <w:rPr>
          <w:szCs w:val="24"/>
        </w:rPr>
      </w:pPr>
      <w:r>
        <w:rPr>
          <w:rFonts w:hint="eastAsia"/>
          <w:szCs w:val="24"/>
        </w:rPr>
        <w:t>投标人认为采购文件、采购过程和中标结果使自己的权益受到损害的，可以在知道或者应知其权益受到损害之日起七个工作日内，以电子文件形式通过“苏采云平台”</w:t>
      </w:r>
      <w:r>
        <w:rPr>
          <w:rFonts w:hint="eastAsia"/>
          <w:szCs w:val="28"/>
        </w:rPr>
        <w:t>→</w:t>
      </w:r>
      <w:r>
        <w:rPr>
          <w:rFonts w:hint="eastAsia"/>
          <w:szCs w:val="24"/>
        </w:rPr>
        <w:t>“供应商“登录，从”项目质疑申请”模块提出质疑。未通过交易平台提交的、七个工作日之外以及未按</w:t>
      </w:r>
      <w:r>
        <w:rPr>
          <w:rFonts w:hint="eastAsia"/>
        </w:rPr>
        <w:t>本章第</w:t>
      </w:r>
      <w:r>
        <w:rPr>
          <w:szCs w:val="24"/>
        </w:rPr>
        <w:t>28</w:t>
      </w:r>
      <w:r>
        <w:rPr>
          <w:rFonts w:hint="eastAsia"/>
          <w:szCs w:val="24"/>
        </w:rPr>
        <w:t>.5款的要求提出质疑的均不予受理。</w:t>
      </w:r>
    </w:p>
    <w:p w14:paraId="06CA84CA">
      <w:pPr>
        <w:numPr>
          <w:ilvl w:val="1"/>
          <w:numId w:val="1"/>
        </w:numPr>
        <w:wordWrap w:val="0"/>
        <w:adjustRightInd w:val="0"/>
        <w:snapToGrid w:val="0"/>
        <w:rPr>
          <w:szCs w:val="24"/>
        </w:rPr>
      </w:pPr>
      <w:r>
        <w:rPr>
          <w:rFonts w:hint="eastAsia"/>
          <w:szCs w:val="24"/>
        </w:rPr>
        <w:t>上述应知其权益受到损害之日是指：</w:t>
      </w:r>
    </w:p>
    <w:p w14:paraId="2254E07F">
      <w:pPr>
        <w:numPr>
          <w:ilvl w:val="0"/>
          <w:numId w:val="10"/>
        </w:numPr>
        <w:wordWrap w:val="0"/>
        <w:adjustRightInd w:val="0"/>
        <w:snapToGrid w:val="0"/>
        <w:ind w:firstLine="480" w:firstLineChars="200"/>
      </w:pPr>
      <w:r>
        <w:t>对</w:t>
      </w:r>
      <w:r>
        <w:rPr>
          <w:rFonts w:hint="eastAsia"/>
        </w:rPr>
        <w:t>招标文件</w:t>
      </w:r>
      <w:r>
        <w:t>提出质疑的，</w:t>
      </w:r>
      <w:r>
        <w:rPr>
          <w:rFonts w:hint="eastAsia"/>
        </w:rPr>
        <w:t>为招标文件公告</w:t>
      </w:r>
      <w:r>
        <w:t>期限届满之日起计算；</w:t>
      </w:r>
    </w:p>
    <w:p w14:paraId="2D353AEF">
      <w:pPr>
        <w:numPr>
          <w:ilvl w:val="0"/>
          <w:numId w:val="10"/>
        </w:numPr>
        <w:wordWrap w:val="0"/>
        <w:adjustRightInd w:val="0"/>
        <w:snapToGrid w:val="0"/>
        <w:ind w:firstLine="480" w:firstLineChars="200"/>
      </w:pPr>
      <w:r>
        <w:t>对</w:t>
      </w:r>
      <w:r>
        <w:rPr>
          <w:rFonts w:hint="eastAsia"/>
        </w:rPr>
        <w:t>采购</w:t>
      </w:r>
      <w:r>
        <w:t>过程提出质疑的，</w:t>
      </w:r>
      <w:r>
        <w:rPr>
          <w:rFonts w:hint="eastAsia"/>
        </w:rPr>
        <w:t>为各采购</w:t>
      </w:r>
      <w:r>
        <w:t>程序环节结束之日起计算；</w:t>
      </w:r>
    </w:p>
    <w:p w14:paraId="6E22B1A5">
      <w:pPr>
        <w:numPr>
          <w:ilvl w:val="0"/>
          <w:numId w:val="10"/>
        </w:numPr>
        <w:wordWrap w:val="0"/>
        <w:adjustRightInd w:val="0"/>
        <w:snapToGrid w:val="0"/>
        <w:ind w:firstLine="480" w:firstLineChars="200"/>
      </w:pPr>
      <w:r>
        <w:t>对</w:t>
      </w:r>
      <w:r>
        <w:rPr>
          <w:rFonts w:hint="eastAsia"/>
        </w:rPr>
        <w:t>中标</w:t>
      </w:r>
      <w:r>
        <w:t>结果提出质疑的，</w:t>
      </w:r>
      <w:r>
        <w:rPr>
          <w:rFonts w:hint="eastAsia"/>
        </w:rPr>
        <w:t>为中标</w:t>
      </w:r>
      <w:r>
        <w:t>结果公告期限届满之日起计算。</w:t>
      </w:r>
    </w:p>
    <w:p w14:paraId="44060A71">
      <w:pPr>
        <w:numPr>
          <w:ilvl w:val="1"/>
          <w:numId w:val="1"/>
        </w:numPr>
        <w:wordWrap w:val="0"/>
        <w:adjustRightInd w:val="0"/>
        <w:snapToGrid w:val="0"/>
        <w:rPr>
          <w:szCs w:val="24"/>
        </w:rPr>
      </w:pPr>
      <w:r>
        <w:rPr>
          <w:rFonts w:hint="eastAsia"/>
          <w:szCs w:val="24"/>
        </w:rPr>
        <w:t>质疑投标人是指直接参加本次投标活动的投标人，未参加投标活动的投标人或在投标活动中自身权益未受到损害的投标人所提出的质疑不予受理。</w:t>
      </w:r>
    </w:p>
    <w:p w14:paraId="36CB6280">
      <w:pPr>
        <w:numPr>
          <w:ilvl w:val="1"/>
          <w:numId w:val="1"/>
        </w:numPr>
        <w:wordWrap w:val="0"/>
        <w:adjustRightInd w:val="0"/>
        <w:snapToGrid w:val="0"/>
        <w:rPr>
          <w:szCs w:val="24"/>
        </w:rPr>
      </w:pPr>
      <w:r>
        <w:rPr>
          <w:rFonts w:hint="eastAsia"/>
          <w:szCs w:val="24"/>
        </w:rPr>
        <w:t>质疑投标人在法定质疑期内应当一次性针对同一采购程序环节提出质疑。若质疑投标人针对同一环节提出两次及两次以上质疑，仅受理第一次提出的质疑。</w:t>
      </w:r>
    </w:p>
    <w:p w14:paraId="338E8CFC">
      <w:pPr>
        <w:numPr>
          <w:ilvl w:val="1"/>
          <w:numId w:val="1"/>
        </w:numPr>
        <w:wordWrap w:val="0"/>
        <w:adjustRightInd w:val="0"/>
        <w:snapToGrid w:val="0"/>
        <w:rPr>
          <w:szCs w:val="24"/>
        </w:rPr>
      </w:pPr>
      <w:r>
        <w:rPr>
          <w:rFonts w:hint="eastAsia"/>
          <w:szCs w:val="24"/>
        </w:rPr>
        <w:t>质疑函</w:t>
      </w:r>
      <w:r>
        <w:t>使用财政部制定的《政府采购供应商质疑函范本》（</w:t>
      </w:r>
      <w:r>
        <w:rPr>
          <w:rFonts w:hint="eastAsia"/>
        </w:rPr>
        <w:t>可以从中国政府采购网“下载专区”中下载</w:t>
      </w:r>
      <w:r>
        <w:t>）</w:t>
      </w:r>
      <w:r>
        <w:rPr>
          <w:rFonts w:hint="eastAsia"/>
        </w:rPr>
        <w:t>，</w:t>
      </w:r>
      <w:r>
        <w:rPr>
          <w:rFonts w:hint="eastAsia"/>
          <w:szCs w:val="24"/>
        </w:rPr>
        <w:t>应当包括以下主要内容，附上相关证明材料。否则，采购代理机构不予受理。</w:t>
      </w:r>
    </w:p>
    <w:p w14:paraId="7EC37A22">
      <w:pPr>
        <w:numPr>
          <w:ilvl w:val="0"/>
          <w:numId w:val="11"/>
        </w:numPr>
        <w:wordWrap w:val="0"/>
        <w:adjustRightInd w:val="0"/>
        <w:snapToGrid w:val="0"/>
        <w:ind w:firstLine="480" w:firstLineChars="200"/>
      </w:pPr>
      <w:r>
        <w:rPr>
          <w:rFonts w:hint="eastAsia"/>
        </w:rPr>
        <w:t>质疑投标人的名称、地址、邮编、联系人及联系电话；</w:t>
      </w:r>
    </w:p>
    <w:p w14:paraId="2C315B58">
      <w:pPr>
        <w:numPr>
          <w:ilvl w:val="0"/>
          <w:numId w:val="11"/>
        </w:numPr>
        <w:wordWrap w:val="0"/>
        <w:adjustRightInd w:val="0"/>
        <w:snapToGrid w:val="0"/>
        <w:ind w:firstLine="480" w:firstLineChars="200"/>
      </w:pPr>
      <w:r>
        <w:rPr>
          <w:rFonts w:hint="eastAsia"/>
        </w:rPr>
        <w:t>质疑项目的名称、编号；</w:t>
      </w:r>
    </w:p>
    <w:p w14:paraId="7C8A1582">
      <w:pPr>
        <w:numPr>
          <w:ilvl w:val="0"/>
          <w:numId w:val="11"/>
        </w:numPr>
        <w:wordWrap w:val="0"/>
        <w:adjustRightInd w:val="0"/>
        <w:snapToGrid w:val="0"/>
        <w:ind w:firstLine="480" w:firstLineChars="200"/>
      </w:pPr>
      <w:r>
        <w:rPr>
          <w:rFonts w:hint="eastAsia"/>
        </w:rPr>
        <w:t>具体、明确的质疑事项和与质疑事实相关的请求；</w:t>
      </w:r>
    </w:p>
    <w:p w14:paraId="5868148F">
      <w:pPr>
        <w:numPr>
          <w:ilvl w:val="0"/>
          <w:numId w:val="11"/>
        </w:numPr>
        <w:wordWrap w:val="0"/>
        <w:adjustRightInd w:val="0"/>
        <w:snapToGrid w:val="0"/>
        <w:ind w:firstLine="480" w:firstLineChars="200"/>
      </w:pPr>
      <w:r>
        <w:rPr>
          <w:rFonts w:hint="eastAsia"/>
        </w:rPr>
        <w:t>事实依据；</w:t>
      </w:r>
    </w:p>
    <w:p w14:paraId="2BE9A75D">
      <w:pPr>
        <w:numPr>
          <w:ilvl w:val="0"/>
          <w:numId w:val="11"/>
        </w:numPr>
        <w:wordWrap w:val="0"/>
        <w:adjustRightInd w:val="0"/>
        <w:snapToGrid w:val="0"/>
        <w:ind w:firstLine="480" w:firstLineChars="200"/>
      </w:pPr>
      <w:r>
        <w:rPr>
          <w:rFonts w:hint="eastAsia"/>
        </w:rPr>
        <w:t>必要的法律依据；</w:t>
      </w:r>
    </w:p>
    <w:p w14:paraId="3DC66677">
      <w:pPr>
        <w:numPr>
          <w:ilvl w:val="0"/>
          <w:numId w:val="11"/>
        </w:numPr>
        <w:wordWrap w:val="0"/>
        <w:adjustRightInd w:val="0"/>
        <w:snapToGrid w:val="0"/>
        <w:ind w:firstLine="480" w:firstLineChars="200"/>
      </w:pPr>
      <w:r>
        <w:rPr>
          <w:rFonts w:hint="eastAsia"/>
        </w:rPr>
        <w:t>提起质疑的日期；</w:t>
      </w:r>
    </w:p>
    <w:p w14:paraId="7F55A83C">
      <w:pPr>
        <w:wordWrap w:val="0"/>
        <w:adjustRightInd w:val="0"/>
        <w:snapToGrid w:val="0"/>
        <w:ind w:firstLine="480" w:firstLineChars="200"/>
      </w:pPr>
      <w:r>
        <w:rPr>
          <w:rFonts w:hint="eastAsia"/>
        </w:rPr>
        <w:t>【质疑函必须署名，由法定代表人或者其授权代表签字，并加盖</w:t>
      </w:r>
      <w:r>
        <w:rPr>
          <w:rFonts w:hint="eastAsia"/>
          <w:bCs/>
          <w:szCs w:val="28"/>
        </w:rPr>
        <w:t>CA电子公章</w:t>
      </w:r>
      <w:r>
        <w:rPr>
          <w:rFonts w:hint="eastAsia"/>
        </w:rPr>
        <w:t>。授权代表签字的，还需提供法定代表人出具的办理质疑事项授权书（授权中必须载明具体权限、期限和事项）。】</w:t>
      </w:r>
    </w:p>
    <w:p w14:paraId="1424112B">
      <w:pPr>
        <w:numPr>
          <w:ilvl w:val="1"/>
          <w:numId w:val="1"/>
        </w:numPr>
        <w:wordWrap w:val="0"/>
        <w:adjustRightInd w:val="0"/>
        <w:snapToGrid w:val="0"/>
        <w:rPr>
          <w:szCs w:val="24"/>
        </w:rPr>
      </w:pPr>
      <w:r>
        <w:rPr>
          <w:rFonts w:hint="eastAsia"/>
          <w:szCs w:val="24"/>
        </w:rPr>
        <w:t>投标人（含潜在投标人）对采购方式、采购需求、投标人资格条件、评标方法和标准、合同文本的询问、质疑请向采购人提出，由采购人负责答复。投标人对其他事项的询问、质疑请向采购代理机构提出，由采购代理机构负责答复。</w:t>
      </w:r>
    </w:p>
    <w:p w14:paraId="46B34C67">
      <w:pPr>
        <w:numPr>
          <w:ilvl w:val="1"/>
          <w:numId w:val="1"/>
        </w:numPr>
        <w:wordWrap w:val="0"/>
        <w:adjustRightInd w:val="0"/>
        <w:snapToGrid w:val="0"/>
        <w:rPr>
          <w:szCs w:val="24"/>
        </w:rPr>
      </w:pPr>
      <w:r>
        <w:rPr>
          <w:rFonts w:hint="eastAsia"/>
          <w:szCs w:val="24"/>
        </w:rPr>
        <w:t>采购人、采购代理机构收到质疑函后，将对质疑的形式和内容进行审查，如质疑函内容、格式不符合规定，采购人、采购代理机构将告知质疑人进行补正。质疑人应当在法定质疑期限内进行补正并重新提交质疑函，拒不补正或者超过法定期限后未重新提交质疑函的，为无效质疑，采购人、采购代理机构有权不予受理。</w:t>
      </w:r>
    </w:p>
    <w:p w14:paraId="6786E495">
      <w:pPr>
        <w:numPr>
          <w:ilvl w:val="1"/>
          <w:numId w:val="1"/>
        </w:numPr>
        <w:wordWrap w:val="0"/>
        <w:adjustRightInd w:val="0"/>
        <w:snapToGrid w:val="0"/>
        <w:rPr>
          <w:szCs w:val="24"/>
        </w:rPr>
      </w:pPr>
      <w:r>
        <w:rPr>
          <w:rFonts w:hint="eastAsia"/>
          <w:szCs w:val="24"/>
        </w:rPr>
        <w:t>对于内容、格式符合规定的质疑函，</w:t>
      </w:r>
      <w:r>
        <w:rPr>
          <w:rFonts w:hint="eastAsia"/>
        </w:rPr>
        <w:t>采购人</w:t>
      </w:r>
      <w:r>
        <w:t>、</w:t>
      </w:r>
      <w:r>
        <w:rPr>
          <w:rFonts w:hint="eastAsia"/>
          <w:szCs w:val="24"/>
        </w:rPr>
        <w:t>采购代理机构将在七个工作日内以电子文件形式作出答复，但质疑答复的内容不涉及商业秘密。如果质疑投标人还需要纸质形式回复函的，需主动与采购代理机构联系索取，或者在质疑函中明确提出该要求。</w:t>
      </w:r>
    </w:p>
    <w:p w14:paraId="3CFC07D0">
      <w:pPr>
        <w:numPr>
          <w:ilvl w:val="1"/>
          <w:numId w:val="1"/>
        </w:numPr>
        <w:wordWrap w:val="0"/>
        <w:adjustRightInd w:val="0"/>
        <w:snapToGrid w:val="0"/>
        <w:rPr>
          <w:szCs w:val="24"/>
        </w:rPr>
      </w:pPr>
      <w:r>
        <w:rPr>
          <w:rFonts w:hint="eastAsia"/>
          <w:szCs w:val="24"/>
        </w:rPr>
        <w:t>投标人提出的质疑必须有理、有据，不得恶意质疑或提交虚假质疑。否则，一经查实，采购人有权依据政府采购的有关规定，报请同级政府采购监督管理部门对该投标人列入失信行为或不良行为记录名单，进行相应的行政处罚。</w:t>
      </w:r>
    </w:p>
    <w:p w14:paraId="2BC48EAE">
      <w:pPr>
        <w:pStyle w:val="4"/>
        <w:adjustRightInd w:val="0"/>
        <w:snapToGrid w:val="0"/>
      </w:pPr>
      <w:r>
        <w:rPr>
          <w:rFonts w:hint="eastAsia"/>
        </w:rPr>
        <w:t>中标通知书</w:t>
      </w:r>
    </w:p>
    <w:p w14:paraId="2EA27411">
      <w:pPr>
        <w:numPr>
          <w:ilvl w:val="1"/>
          <w:numId w:val="1"/>
        </w:numPr>
        <w:wordWrap w:val="0"/>
        <w:adjustRightInd w:val="0"/>
        <w:snapToGrid w:val="0"/>
        <w:rPr>
          <w:szCs w:val="24"/>
        </w:rPr>
      </w:pPr>
      <w:r>
        <w:rPr>
          <w:rFonts w:hint="eastAsia"/>
          <w:szCs w:val="24"/>
        </w:rPr>
        <w:t>中标结果确定后，采购代理机构将向中标人发出中标通知书。请中标人在中标结果公告届满之日起30日内，使用CA数字证书登录苏采云系统及时下载中标通知书。因系统存储空间有限，自中标结果公告届满之日起30日后，苏采云系统不再保证提供下载中标通知书服务，因未及时下载而造成的不利后果由中标人自行承担。</w:t>
      </w:r>
    </w:p>
    <w:p w14:paraId="294B7543">
      <w:pPr>
        <w:numPr>
          <w:ilvl w:val="1"/>
          <w:numId w:val="1"/>
        </w:numPr>
        <w:wordWrap w:val="0"/>
        <w:adjustRightInd w:val="0"/>
        <w:snapToGrid w:val="0"/>
        <w:rPr>
          <w:szCs w:val="24"/>
        </w:rPr>
      </w:pPr>
      <w:r>
        <w:rPr>
          <w:rFonts w:hint="eastAsia"/>
          <w:szCs w:val="24"/>
        </w:rPr>
        <w:t>中标通知书将是合同的一个组成部分。对采购人和中标供应商均具有法律效力。中标通知书发出后，采购人改变中标结果的，或者中标供应商放弃中标项目的，应当依法承担法律责任。</w:t>
      </w:r>
    </w:p>
    <w:p w14:paraId="4EDE50F3">
      <w:pPr>
        <w:numPr>
          <w:ilvl w:val="1"/>
          <w:numId w:val="1"/>
        </w:numPr>
        <w:wordWrap w:val="0"/>
        <w:adjustRightInd w:val="0"/>
        <w:snapToGrid w:val="0"/>
        <w:rPr>
          <w:szCs w:val="24"/>
        </w:rPr>
      </w:pPr>
      <w:r>
        <w:rPr>
          <w:rFonts w:hint="eastAsia"/>
        </w:rPr>
        <w:t>中标人须在</w:t>
      </w:r>
      <w:r>
        <w:rPr>
          <w:rFonts w:hint="eastAsia"/>
          <w:szCs w:val="21"/>
        </w:rPr>
        <w:t>中标通知书发出之日起5</w:t>
      </w:r>
      <w:r>
        <w:rPr>
          <w:rFonts w:hint="eastAsia"/>
        </w:rPr>
        <w:t>个工作日</w:t>
      </w:r>
      <w:r>
        <w:rPr>
          <w:rFonts w:hint="eastAsia"/>
          <w:szCs w:val="21"/>
        </w:rPr>
        <w:t>内</w:t>
      </w:r>
      <w:r>
        <w:rPr>
          <w:rFonts w:hint="eastAsia"/>
          <w:szCs w:val="28"/>
        </w:rPr>
        <w:t>并在签订采购合同前</w:t>
      </w:r>
      <w:r>
        <w:rPr>
          <w:rFonts w:hint="eastAsia"/>
        </w:rPr>
        <w:t>向采购人提供三份与电子投标文件一致的纸质投标文件（胶装打印完整）。</w:t>
      </w:r>
    </w:p>
    <w:p w14:paraId="41D44A4D">
      <w:pPr>
        <w:pStyle w:val="48"/>
        <w:numPr>
          <w:ilvl w:val="0"/>
          <w:numId w:val="2"/>
        </w:numPr>
        <w:wordWrap w:val="0"/>
        <w:adjustRightInd w:val="0"/>
        <w:snapToGrid w:val="0"/>
        <w:ind w:firstLineChars="0"/>
        <w:outlineLvl w:val="1"/>
        <w:rPr>
          <w:b/>
          <w:sz w:val="30"/>
          <w:szCs w:val="24"/>
        </w:rPr>
      </w:pPr>
      <w:bookmarkStart w:id="174" w:name="_Toc120614220"/>
      <w:bookmarkStart w:id="175" w:name="_Toc16938552"/>
      <w:bookmarkStart w:id="176" w:name="_Toc513029236"/>
      <w:bookmarkStart w:id="177" w:name="_Toc20823308"/>
      <w:r>
        <w:rPr>
          <w:rFonts w:hint="eastAsia"/>
          <w:b/>
          <w:sz w:val="30"/>
          <w:szCs w:val="24"/>
        </w:rPr>
        <w:t>授予合同</w:t>
      </w:r>
      <w:bookmarkEnd w:id="174"/>
    </w:p>
    <w:bookmarkEnd w:id="175"/>
    <w:bookmarkEnd w:id="176"/>
    <w:bookmarkEnd w:id="177"/>
    <w:p w14:paraId="0DB745A1">
      <w:pPr>
        <w:pStyle w:val="4"/>
        <w:adjustRightInd w:val="0"/>
        <w:snapToGrid w:val="0"/>
      </w:pPr>
      <w:bookmarkStart w:id="178" w:name="_Toc513029237"/>
      <w:bookmarkStart w:id="179" w:name="_Toc16938553"/>
      <w:bookmarkStart w:id="180" w:name="_Toc20823309"/>
      <w:r>
        <w:rPr>
          <w:rFonts w:hint="eastAsia"/>
          <w:szCs w:val="28"/>
        </w:rPr>
        <w:t>本次招标不收取</w:t>
      </w:r>
      <w:r>
        <w:rPr>
          <w:rFonts w:hint="eastAsia"/>
        </w:rPr>
        <w:t>履约保证金</w:t>
      </w:r>
      <w:r>
        <w:rPr>
          <w:rFonts w:hint="eastAsia"/>
          <w:szCs w:val="28"/>
        </w:rPr>
        <w:t>。</w:t>
      </w:r>
    </w:p>
    <w:p w14:paraId="4AF6D7DA">
      <w:pPr>
        <w:pStyle w:val="4"/>
        <w:adjustRightInd w:val="0"/>
        <w:snapToGrid w:val="0"/>
      </w:pPr>
      <w:r>
        <w:rPr>
          <w:rFonts w:hint="eastAsia"/>
        </w:rPr>
        <w:t>签订合同</w:t>
      </w:r>
    </w:p>
    <w:p w14:paraId="7AC3A008">
      <w:pPr>
        <w:numPr>
          <w:ilvl w:val="1"/>
          <w:numId w:val="1"/>
        </w:numPr>
        <w:wordWrap w:val="0"/>
        <w:adjustRightInd w:val="0"/>
        <w:snapToGrid w:val="0"/>
        <w:rPr>
          <w:szCs w:val="24"/>
        </w:rPr>
      </w:pPr>
      <w:r>
        <w:rPr>
          <w:rFonts w:hint="eastAsia"/>
        </w:rPr>
        <w:t>采购人应自中标通知书发出之日起30日内，按照招标文件和中标人投标文件的规定，与中标人签订书面合同。所签订的合同不得对招标文件确定的事项和中标人投标文件作实质性修改。</w:t>
      </w:r>
    </w:p>
    <w:p w14:paraId="3DDF4AF1">
      <w:pPr>
        <w:numPr>
          <w:ilvl w:val="1"/>
          <w:numId w:val="1"/>
        </w:numPr>
        <w:wordWrap w:val="0"/>
        <w:adjustRightInd w:val="0"/>
        <w:snapToGrid w:val="0"/>
        <w:rPr>
          <w:szCs w:val="24"/>
        </w:rPr>
      </w:pPr>
      <w:r>
        <w:rPr>
          <w:rFonts w:hint="eastAsia"/>
          <w:szCs w:val="24"/>
        </w:rPr>
        <w:t>招标文件、中标人的投标文件及招标过程中有关澄清、承诺文件均应作为合同附件。</w:t>
      </w:r>
    </w:p>
    <w:p w14:paraId="3A4AD917">
      <w:pPr>
        <w:numPr>
          <w:ilvl w:val="1"/>
          <w:numId w:val="1"/>
        </w:numPr>
        <w:wordWrap w:val="0"/>
        <w:adjustRightInd w:val="0"/>
        <w:snapToGrid w:val="0"/>
        <w:rPr>
          <w:szCs w:val="24"/>
        </w:rPr>
      </w:pPr>
      <w:r>
        <w:rPr>
          <w:rFonts w:hint="eastAsia"/>
          <w:szCs w:val="21"/>
        </w:rPr>
        <w:t>签订合同后，中标人不得将合同标的进行转包。未经采购人同意，中标人也不得采取分包方式履行合同，否则采购人有权终止合同。转包或分包造成采购人损失的，中标人应承担相应赔偿责任。</w:t>
      </w:r>
    </w:p>
    <w:p w14:paraId="64772384">
      <w:pPr>
        <w:numPr>
          <w:ilvl w:val="1"/>
          <w:numId w:val="1"/>
        </w:numPr>
        <w:wordWrap w:val="0"/>
        <w:adjustRightInd w:val="0"/>
        <w:snapToGrid w:val="0"/>
        <w:rPr>
          <w:szCs w:val="24"/>
        </w:rPr>
      </w:pPr>
      <w:r>
        <w:rPr>
          <w:rFonts w:hint="eastAsia"/>
        </w:rPr>
        <w:t>对投标报价触发异常低价投标审查程序后仍中标的供应商，采购人要重点关注其履约承诺、实际履约情况等。对可以分期实施的采购项目，实行分期考核、分期验收、分期支付，及时掌握供应商履约进展。如供应商不履行合同或者未按合同约定履行合同导致验收不合格的，采购人应当依法追究其违约责任。</w:t>
      </w:r>
    </w:p>
    <w:p w14:paraId="499A68D4">
      <w:pPr>
        <w:numPr>
          <w:ilvl w:val="1"/>
          <w:numId w:val="1"/>
        </w:numPr>
        <w:wordWrap w:val="0"/>
        <w:adjustRightInd w:val="0"/>
        <w:snapToGrid w:val="0"/>
        <w:rPr>
          <w:szCs w:val="24"/>
        </w:rPr>
      </w:pPr>
      <w:r>
        <w:rPr>
          <w:bCs/>
          <w:szCs w:val="28"/>
        </w:rPr>
        <w:t>询问或者质疑事项可能影响中标结果的，采购人应当暂停签订合同，已经签订合同的，应当中止履行合同。</w:t>
      </w:r>
    </w:p>
    <w:p w14:paraId="43B459BE">
      <w:pPr>
        <w:pStyle w:val="4"/>
        <w:adjustRightInd w:val="0"/>
        <w:snapToGrid w:val="0"/>
      </w:pPr>
      <w:r>
        <w:rPr>
          <w:rFonts w:hint="eastAsia"/>
        </w:rPr>
        <w:t>标的物的追加</w:t>
      </w:r>
    </w:p>
    <w:p w14:paraId="78E3A7DC">
      <w:pPr>
        <w:wordWrap w:val="0"/>
        <w:adjustRightInd w:val="0"/>
        <w:snapToGrid w:val="0"/>
        <w:ind w:firstLine="480" w:firstLineChars="200"/>
      </w:pPr>
      <w:r>
        <w:rPr>
          <w:rFonts w:hint="eastAsia"/>
        </w:rPr>
        <w:t>政府采购合同履行中，采购人需追加与合同标的相同的服务（包含与服务相关的货物）的，在不改变合同其他条款的前提下，可以与中标人协商签订补充合同，但所有补充合同的采购金额不超过原合同金额10%。</w:t>
      </w:r>
    </w:p>
    <w:bookmarkEnd w:id="169"/>
    <w:bookmarkEnd w:id="178"/>
    <w:bookmarkEnd w:id="179"/>
    <w:bookmarkEnd w:id="180"/>
    <w:p w14:paraId="50AB9AF5">
      <w:pPr>
        <w:pStyle w:val="48"/>
        <w:numPr>
          <w:ilvl w:val="0"/>
          <w:numId w:val="2"/>
        </w:numPr>
        <w:wordWrap w:val="0"/>
        <w:adjustRightInd w:val="0"/>
        <w:snapToGrid w:val="0"/>
        <w:ind w:firstLineChars="0"/>
        <w:outlineLvl w:val="1"/>
        <w:rPr>
          <w:b/>
          <w:sz w:val="30"/>
          <w:szCs w:val="24"/>
        </w:rPr>
      </w:pPr>
      <w:bookmarkStart w:id="181" w:name="_Toc57992158"/>
      <w:bookmarkStart w:id="182" w:name="_Toc57991626"/>
      <w:bookmarkStart w:id="183" w:name="_Toc57992310"/>
      <w:bookmarkStart w:id="184" w:name="_Toc57992050"/>
      <w:r>
        <w:rPr>
          <w:rFonts w:hint="eastAsia"/>
          <w:b/>
          <w:sz w:val="30"/>
          <w:szCs w:val="24"/>
        </w:rPr>
        <w:t>政府采购政策功能落实</w:t>
      </w:r>
      <w:bookmarkEnd w:id="181"/>
      <w:bookmarkEnd w:id="182"/>
      <w:bookmarkEnd w:id="183"/>
      <w:bookmarkEnd w:id="184"/>
    </w:p>
    <w:p w14:paraId="6264828B">
      <w:pPr>
        <w:pStyle w:val="4"/>
        <w:adjustRightInd w:val="0"/>
        <w:snapToGrid w:val="0"/>
      </w:pPr>
      <w:bookmarkStart w:id="185" w:name="_Toc57992311"/>
      <w:bookmarkStart w:id="186" w:name="_Toc57992159"/>
      <w:bookmarkStart w:id="187" w:name="_Toc57991627"/>
      <w:r>
        <w:rPr>
          <w:rFonts w:hint="eastAsia"/>
        </w:rPr>
        <w:t>促进中小企业发展政策</w:t>
      </w:r>
      <w:bookmarkEnd w:id="185"/>
      <w:bookmarkEnd w:id="186"/>
      <w:bookmarkEnd w:id="187"/>
    </w:p>
    <w:p w14:paraId="44F0EAA8">
      <w:pPr>
        <w:numPr>
          <w:ilvl w:val="1"/>
          <w:numId w:val="1"/>
        </w:numPr>
        <w:wordWrap w:val="0"/>
        <w:adjustRightInd w:val="0"/>
        <w:snapToGrid w:val="0"/>
      </w:pPr>
      <w:r>
        <w:rPr>
          <w:rFonts w:hint="eastAsia"/>
          <w:szCs w:val="21"/>
        </w:rPr>
        <w:t>本项目专门面向中小企业采购</w:t>
      </w:r>
    </w:p>
    <w:p w14:paraId="33334902">
      <w:pPr>
        <w:pStyle w:val="48"/>
        <w:numPr>
          <w:ilvl w:val="0"/>
          <w:numId w:val="12"/>
        </w:numPr>
        <w:wordWrap w:val="0"/>
        <w:adjustRightInd w:val="0"/>
        <w:snapToGrid w:val="0"/>
        <w:ind w:firstLine="480"/>
        <w:rPr>
          <w:szCs w:val="21"/>
        </w:rPr>
      </w:pPr>
      <w:r>
        <w:rPr>
          <w:rFonts w:hint="eastAsia"/>
          <w:szCs w:val="21"/>
        </w:rPr>
        <w:t>投标人提供的服务由中小企业承接，即提供服务的人员为中小企业依照《中华人民共和国劳动合同法》订立劳动合同的从业人员。</w:t>
      </w:r>
    </w:p>
    <w:p w14:paraId="5184AB91">
      <w:pPr>
        <w:pStyle w:val="48"/>
        <w:numPr>
          <w:ilvl w:val="0"/>
          <w:numId w:val="12"/>
        </w:numPr>
        <w:wordWrap w:val="0"/>
        <w:adjustRightInd w:val="0"/>
        <w:snapToGrid w:val="0"/>
        <w:ind w:firstLine="480"/>
        <w:rPr>
          <w:szCs w:val="21"/>
        </w:rPr>
      </w:pPr>
      <w:r>
        <w:rPr>
          <w:rFonts w:hint="eastAsia"/>
          <w:szCs w:val="21"/>
        </w:rPr>
        <w:t>在政府采购活动中，监狱和戒毒企业（简称监狱企业）、残疾人福利性单位视同小微企业；符合中小企业划分标准的个体工商户，在政府采购活动中视同中小企业；享受本办法规定的中小企业扶持政策。</w:t>
      </w:r>
    </w:p>
    <w:p w14:paraId="57A6029D">
      <w:pPr>
        <w:numPr>
          <w:ilvl w:val="1"/>
          <w:numId w:val="1"/>
        </w:numPr>
        <w:wordWrap w:val="0"/>
        <w:adjustRightInd w:val="0"/>
        <w:snapToGrid w:val="0"/>
      </w:pPr>
      <w:r>
        <w:rPr>
          <w:rFonts w:hint="eastAsia"/>
        </w:rPr>
        <w:t>中小微型企业</w:t>
      </w:r>
    </w:p>
    <w:p w14:paraId="16BF328E">
      <w:pPr>
        <w:pStyle w:val="48"/>
        <w:numPr>
          <w:ilvl w:val="0"/>
          <w:numId w:val="13"/>
        </w:numPr>
        <w:wordWrap w:val="0"/>
        <w:adjustRightInd w:val="0"/>
        <w:snapToGrid w:val="0"/>
        <w:ind w:firstLine="480"/>
      </w:pPr>
      <w:r>
        <w:rPr>
          <w:rFonts w:hint="eastAsia"/>
        </w:rPr>
        <w:t>投标人需按照招标文件的要求提供相应的《中小企业声明函》，格式详见招标文件第六章“示范格式”。</w:t>
      </w:r>
    </w:p>
    <w:p w14:paraId="40032C2E">
      <w:pPr>
        <w:pStyle w:val="48"/>
        <w:numPr>
          <w:ilvl w:val="0"/>
          <w:numId w:val="13"/>
        </w:numPr>
        <w:wordWrap w:val="0"/>
        <w:adjustRightInd w:val="0"/>
        <w:snapToGrid w:val="0"/>
        <w:ind w:firstLine="480"/>
      </w:pPr>
      <w:r>
        <w:rPr>
          <w:rFonts w:hint="eastAsia"/>
        </w:rPr>
        <w:t>企业标准请参照《政府采购促进中小企业发展管理办法》（财库〔2020〕46号）文件规定自行填写。</w:t>
      </w:r>
    </w:p>
    <w:p w14:paraId="54C2BC33">
      <w:pPr>
        <w:numPr>
          <w:ilvl w:val="1"/>
          <w:numId w:val="1"/>
        </w:numPr>
        <w:wordWrap w:val="0"/>
        <w:adjustRightInd w:val="0"/>
        <w:snapToGrid w:val="0"/>
      </w:pPr>
      <w:r>
        <w:rPr>
          <w:rFonts w:hint="eastAsia"/>
        </w:rPr>
        <w:t>残疾人福利性单位</w:t>
      </w:r>
    </w:p>
    <w:p w14:paraId="4DBAC20C">
      <w:pPr>
        <w:pStyle w:val="48"/>
        <w:numPr>
          <w:ilvl w:val="0"/>
          <w:numId w:val="14"/>
        </w:numPr>
        <w:wordWrap w:val="0"/>
        <w:adjustRightInd w:val="0"/>
        <w:snapToGrid w:val="0"/>
        <w:ind w:firstLine="480"/>
      </w:pPr>
      <w:r>
        <w:rPr>
          <w:rFonts w:hint="eastAsia"/>
        </w:rPr>
        <w:t>残疾人福利性单位需按照招标文件的要求提供《残疾人福利性单位声明函》，格式详见招标文件第六章“示范格式”。</w:t>
      </w:r>
    </w:p>
    <w:p w14:paraId="10B3382E">
      <w:pPr>
        <w:pStyle w:val="48"/>
        <w:numPr>
          <w:ilvl w:val="0"/>
          <w:numId w:val="14"/>
        </w:numPr>
        <w:wordWrap w:val="0"/>
        <w:adjustRightInd w:val="0"/>
        <w:snapToGrid w:val="0"/>
        <w:ind w:firstLine="480"/>
      </w:pPr>
      <w:r>
        <w:rPr>
          <w:rFonts w:hint="eastAsia"/>
        </w:rPr>
        <w:t>残疾人福利性单位标准请参照《关于促进残疾人就业政府采购政策的通知》（财库〔2017〕141号）。</w:t>
      </w:r>
    </w:p>
    <w:p w14:paraId="467EECD1">
      <w:pPr>
        <w:numPr>
          <w:ilvl w:val="1"/>
          <w:numId w:val="1"/>
        </w:numPr>
        <w:wordWrap w:val="0"/>
        <w:adjustRightInd w:val="0"/>
        <w:snapToGrid w:val="0"/>
      </w:pPr>
      <w:r>
        <w:rPr>
          <w:rFonts w:hint="eastAsia"/>
        </w:rPr>
        <w:t>监狱和</w:t>
      </w:r>
      <w:r>
        <w:t>戒毒</w:t>
      </w:r>
      <w:r>
        <w:rPr>
          <w:rFonts w:hint="eastAsia"/>
        </w:rPr>
        <w:t>企业</w:t>
      </w:r>
    </w:p>
    <w:p w14:paraId="0E4FD8EF">
      <w:pPr>
        <w:pStyle w:val="48"/>
        <w:numPr>
          <w:ilvl w:val="0"/>
          <w:numId w:val="15"/>
        </w:numPr>
        <w:wordWrap w:val="0"/>
        <w:adjustRightInd w:val="0"/>
        <w:snapToGrid w:val="0"/>
        <w:ind w:firstLine="480"/>
      </w:pPr>
      <w:r>
        <w:rPr>
          <w:rFonts w:hint="eastAsia"/>
        </w:rPr>
        <w:t>监狱企业参加政府采购活动时，需提供由省级以上监狱管理局、戒毒管理局（含新疆生产建设兵团）出具的属于监狱企业的证明文件（投标文件中上传加盖出具单位公章的电子件）。</w:t>
      </w:r>
    </w:p>
    <w:p w14:paraId="2841F57C">
      <w:pPr>
        <w:pStyle w:val="48"/>
        <w:numPr>
          <w:ilvl w:val="0"/>
          <w:numId w:val="15"/>
        </w:numPr>
        <w:wordWrap w:val="0"/>
        <w:adjustRightInd w:val="0"/>
        <w:snapToGrid w:val="0"/>
        <w:ind w:firstLine="480"/>
        <w:rPr>
          <w:szCs w:val="21"/>
        </w:rPr>
      </w:pPr>
      <w:r>
        <w:rPr>
          <w:rFonts w:hint="eastAsia"/>
          <w:szCs w:val="21"/>
        </w:rPr>
        <w:t>监狱企业标准请参照《关于政府采购支持监狱企业发展有关问题的通知》（财库〔201</w:t>
      </w:r>
      <w:r>
        <w:rPr>
          <w:szCs w:val="21"/>
        </w:rPr>
        <w:t>4</w:t>
      </w:r>
      <w:r>
        <w:rPr>
          <w:rFonts w:hint="eastAsia"/>
          <w:szCs w:val="21"/>
        </w:rPr>
        <w:t>〕68号）。</w:t>
      </w:r>
    </w:p>
    <w:p w14:paraId="0573536B">
      <w:pPr>
        <w:numPr>
          <w:ilvl w:val="1"/>
          <w:numId w:val="1"/>
        </w:numPr>
        <w:wordWrap w:val="0"/>
        <w:adjustRightInd w:val="0"/>
        <w:snapToGrid w:val="0"/>
        <w:rPr>
          <w:szCs w:val="21"/>
        </w:rPr>
      </w:pPr>
      <w:r>
        <w:rPr>
          <w:rFonts w:hint="eastAsia"/>
          <w:szCs w:val="24"/>
        </w:rPr>
        <w:t>投标人如不提供</w:t>
      </w:r>
      <w:r>
        <w:rPr>
          <w:rFonts w:hint="eastAsia"/>
        </w:rPr>
        <w:t>中小企业声明函、残疾人福利性单位声明函、监狱企业证明文件三者之一，</w:t>
      </w:r>
      <w:r>
        <w:rPr>
          <w:rFonts w:hint="eastAsia"/>
          <w:szCs w:val="24"/>
        </w:rPr>
        <w:t>或所提供的不</w:t>
      </w:r>
      <w:r>
        <w:rPr>
          <w:rFonts w:hint="eastAsia"/>
        </w:rPr>
        <w:t>符合要求</w:t>
      </w:r>
      <w:r>
        <w:rPr>
          <w:rFonts w:hint="eastAsia"/>
          <w:szCs w:val="24"/>
        </w:rPr>
        <w:t>，则</w:t>
      </w:r>
      <w:r>
        <w:t>不能通过资格审查</w:t>
      </w:r>
      <w:r>
        <w:rPr>
          <w:rFonts w:hint="eastAsia"/>
          <w:szCs w:val="21"/>
        </w:rPr>
        <w:t>。</w:t>
      </w:r>
    </w:p>
    <w:p w14:paraId="3453DA48">
      <w:pPr>
        <w:numPr>
          <w:ilvl w:val="0"/>
          <w:numId w:val="1"/>
        </w:numPr>
        <w:wordWrap w:val="0"/>
        <w:adjustRightInd w:val="0"/>
        <w:snapToGrid w:val="0"/>
        <w:outlineLvl w:val="2"/>
        <w:rPr>
          <w:b/>
          <w:bCs/>
          <w:szCs w:val="32"/>
        </w:rPr>
      </w:pPr>
      <w:r>
        <w:rPr>
          <w:rFonts w:hint="eastAsia"/>
          <w:b/>
          <w:bCs/>
          <w:szCs w:val="32"/>
        </w:rPr>
        <w:t>采购本国产品的支持政策</w:t>
      </w:r>
      <w:r>
        <w:rPr>
          <w:rFonts w:hint="eastAsia"/>
        </w:rPr>
        <w:t>（本项目不涉及）</w:t>
      </w:r>
    </w:p>
    <w:p w14:paraId="67B53728">
      <w:pPr>
        <w:numPr>
          <w:ilvl w:val="0"/>
          <w:numId w:val="1"/>
        </w:numPr>
        <w:wordWrap w:val="0"/>
        <w:adjustRightInd w:val="0"/>
        <w:snapToGrid w:val="0"/>
        <w:outlineLvl w:val="2"/>
        <w:rPr>
          <w:b/>
          <w:bCs/>
          <w:szCs w:val="32"/>
        </w:rPr>
      </w:pPr>
      <w:r>
        <w:rPr>
          <w:rFonts w:hint="eastAsia"/>
          <w:b/>
          <w:bCs/>
          <w:szCs w:val="32"/>
        </w:rPr>
        <w:t>节能、环保政策</w:t>
      </w:r>
      <w:r>
        <w:rPr>
          <w:rFonts w:hint="eastAsia"/>
        </w:rPr>
        <w:t>（本项目不涉及）</w:t>
      </w:r>
    </w:p>
    <w:p w14:paraId="2E11EA60">
      <w:pPr>
        <w:pStyle w:val="4"/>
        <w:adjustRightInd w:val="0"/>
        <w:snapToGrid w:val="0"/>
      </w:pPr>
      <w:r>
        <w:rPr>
          <w:rFonts w:hint="eastAsia"/>
        </w:rPr>
        <w:t>政府绿色采购</w:t>
      </w:r>
    </w:p>
    <w:p w14:paraId="00592D7C">
      <w:pPr>
        <w:wordWrap w:val="0"/>
        <w:adjustRightInd w:val="0"/>
        <w:snapToGrid w:val="0"/>
        <w:ind w:firstLine="480" w:firstLineChars="200"/>
        <w:rPr>
          <w:bCs/>
          <w:szCs w:val="28"/>
        </w:rPr>
      </w:pPr>
      <w:r>
        <w:rPr>
          <w:rFonts w:hint="eastAsia"/>
          <w:bCs/>
          <w:szCs w:val="28"/>
        </w:rPr>
        <w:t>根据《江苏省财政厅关于加强政府绿色采购有关事项的通知》（苏财购〔2023〕65号）的要求，落实政府绿色采购相关政策，具体如下：</w:t>
      </w:r>
    </w:p>
    <w:p w14:paraId="7832A1E5">
      <w:pPr>
        <w:numPr>
          <w:ilvl w:val="1"/>
          <w:numId w:val="1"/>
        </w:numPr>
        <w:wordWrap w:val="0"/>
        <w:adjustRightInd w:val="0"/>
        <w:snapToGrid w:val="0"/>
        <w:rPr>
          <w:bCs/>
          <w:szCs w:val="28"/>
        </w:rPr>
      </w:pPr>
      <w:r>
        <w:rPr>
          <w:rFonts w:hint="eastAsia"/>
          <w:bCs/>
          <w:szCs w:val="28"/>
        </w:rPr>
        <w:t>本项目为服务类采购项目，应在服务过程中加强绿色低碳管理。</w:t>
      </w:r>
    </w:p>
    <w:p w14:paraId="5F2F6CFF">
      <w:pPr>
        <w:numPr>
          <w:ilvl w:val="1"/>
          <w:numId w:val="1"/>
        </w:numPr>
        <w:wordWrap w:val="0"/>
        <w:adjustRightInd w:val="0"/>
        <w:snapToGrid w:val="0"/>
        <w:rPr>
          <w:bCs/>
          <w:szCs w:val="28"/>
        </w:rPr>
      </w:pPr>
      <w:r>
        <w:rPr>
          <w:rFonts w:hint="eastAsia"/>
          <w:bCs/>
          <w:szCs w:val="28"/>
        </w:rPr>
        <w:t>本项目中涉及商品和快递的</w:t>
      </w:r>
      <w:r>
        <w:rPr>
          <w:bCs/>
          <w:szCs w:val="28"/>
        </w:rPr>
        <w:t>包装应按照</w:t>
      </w:r>
      <w:r>
        <w:rPr>
          <w:rFonts w:hint="eastAsia"/>
          <w:bCs/>
          <w:szCs w:val="28"/>
        </w:rPr>
        <w:t>“财办库〔</w:t>
      </w:r>
      <w:r>
        <w:rPr>
          <w:bCs/>
          <w:szCs w:val="28"/>
        </w:rPr>
        <w:t>2020</w:t>
      </w:r>
      <w:r>
        <w:rPr>
          <w:rFonts w:hint="eastAsia"/>
          <w:bCs/>
          <w:szCs w:val="28"/>
        </w:rPr>
        <w:t>〕</w:t>
      </w:r>
      <w:r>
        <w:rPr>
          <w:bCs/>
          <w:szCs w:val="28"/>
        </w:rPr>
        <w:t>123</w:t>
      </w:r>
      <w:r>
        <w:rPr>
          <w:rFonts w:hint="eastAsia"/>
          <w:bCs/>
          <w:szCs w:val="28"/>
        </w:rPr>
        <w:t>号《</w:t>
      </w:r>
      <w:r>
        <w:rPr>
          <w:bCs/>
          <w:szCs w:val="28"/>
        </w:rPr>
        <w:t>关于印发《商品包装政府采购需求标准（试行）》、《快递包装政府采购需求标准（试行）》的通知</w:t>
      </w:r>
      <w:r>
        <w:rPr>
          <w:rFonts w:hint="eastAsia"/>
          <w:bCs/>
          <w:szCs w:val="28"/>
        </w:rPr>
        <w:t>》”</w:t>
      </w:r>
      <w:r>
        <w:rPr>
          <w:bCs/>
          <w:szCs w:val="28"/>
        </w:rPr>
        <w:t>执行</w:t>
      </w:r>
      <w:r>
        <w:rPr>
          <w:rFonts w:hint="eastAsia"/>
          <w:bCs/>
          <w:szCs w:val="28"/>
        </w:rPr>
        <w:t>，在供货、安装过程中能做到低碳物流、环保节约、提高资源利用率。</w:t>
      </w:r>
    </w:p>
    <w:p w14:paraId="39756B46">
      <w:pPr>
        <w:numPr>
          <w:ilvl w:val="1"/>
          <w:numId w:val="1"/>
        </w:numPr>
        <w:wordWrap w:val="0"/>
        <w:adjustRightInd w:val="0"/>
        <w:snapToGrid w:val="0"/>
        <w:rPr>
          <w:bCs/>
          <w:szCs w:val="28"/>
        </w:rPr>
      </w:pPr>
      <w:r>
        <w:rPr>
          <w:rFonts w:hint="eastAsia"/>
          <w:szCs w:val="21"/>
        </w:rPr>
        <w:t>本项目中涉及涂料、胶黏剂、油墨、清洗剂等挥发性有机物产品的，要执行国家和江苏省VOCs含量限制标准，</w:t>
      </w:r>
      <w:r>
        <w:rPr>
          <w:bCs/>
          <w:szCs w:val="28"/>
        </w:rPr>
        <w:t>优先使用低挥发性原辅材料，使用低VOCs含量的涂料、胶黏剂等</w:t>
      </w:r>
      <w:r>
        <w:rPr>
          <w:rFonts w:hint="eastAsia"/>
          <w:bCs/>
          <w:szCs w:val="28"/>
        </w:rPr>
        <w:t>。</w:t>
      </w:r>
    </w:p>
    <w:p w14:paraId="68A120D6">
      <w:pPr>
        <w:pStyle w:val="4"/>
        <w:adjustRightInd w:val="0"/>
        <w:snapToGrid w:val="0"/>
      </w:pPr>
      <w:r>
        <w:rPr>
          <w:rFonts w:hint="eastAsia"/>
        </w:rPr>
        <w:t>履约资金扶持政策</w:t>
      </w:r>
      <w:r>
        <w:rPr>
          <w:rFonts w:hint="eastAsia"/>
          <w:b w:val="0"/>
        </w:rPr>
        <w:t>（本项目不涉及）</w:t>
      </w:r>
    </w:p>
    <w:p w14:paraId="1B5698F6">
      <w:pPr>
        <w:wordWrap w:val="0"/>
        <w:adjustRightInd w:val="0"/>
        <w:snapToGrid w:val="0"/>
        <w:jc w:val="center"/>
        <w:outlineLvl w:val="0"/>
        <w:rPr>
          <w:b/>
          <w:sz w:val="36"/>
        </w:rPr>
      </w:pPr>
      <w:r>
        <w:br w:type="page"/>
      </w:r>
      <w:bookmarkStart w:id="188" w:name="_Toc57991135"/>
      <w:bookmarkStart w:id="189" w:name="_Toc57991628"/>
      <w:bookmarkStart w:id="190" w:name="_Toc242781702"/>
      <w:bookmarkStart w:id="191" w:name="_Toc57992051"/>
      <w:bookmarkStart w:id="192" w:name="_Toc57992160"/>
      <w:bookmarkStart w:id="193" w:name="_Toc57992794"/>
      <w:bookmarkStart w:id="194" w:name="_Toc57992312"/>
      <w:r>
        <w:rPr>
          <w:rFonts w:hint="eastAsia"/>
          <w:b/>
          <w:sz w:val="36"/>
        </w:rPr>
        <w:t>第三章  评标方法和标准</w:t>
      </w:r>
      <w:bookmarkEnd w:id="188"/>
      <w:bookmarkEnd w:id="189"/>
      <w:bookmarkEnd w:id="190"/>
      <w:bookmarkEnd w:id="191"/>
      <w:bookmarkEnd w:id="192"/>
      <w:bookmarkEnd w:id="193"/>
      <w:bookmarkEnd w:id="194"/>
    </w:p>
    <w:p w14:paraId="6436C47F">
      <w:pPr>
        <w:numPr>
          <w:ilvl w:val="0"/>
          <w:numId w:val="16"/>
        </w:numPr>
        <w:wordWrap w:val="0"/>
        <w:adjustRightInd w:val="0"/>
        <w:snapToGrid w:val="0"/>
        <w:outlineLvl w:val="1"/>
        <w:rPr>
          <w:b/>
          <w:sz w:val="30"/>
          <w:szCs w:val="24"/>
        </w:rPr>
      </w:pPr>
      <w:r>
        <w:rPr>
          <w:rFonts w:hint="eastAsia"/>
          <w:b/>
          <w:sz w:val="30"/>
          <w:szCs w:val="24"/>
        </w:rPr>
        <w:t>评标方法</w:t>
      </w:r>
    </w:p>
    <w:p w14:paraId="241D1FA5">
      <w:pPr>
        <w:wordWrap w:val="0"/>
        <w:adjustRightInd w:val="0"/>
        <w:snapToGrid w:val="0"/>
        <w:ind w:firstLine="480" w:firstLineChars="200"/>
        <w:rPr>
          <w:szCs w:val="28"/>
        </w:rPr>
      </w:pPr>
      <w:r>
        <w:rPr>
          <w:rFonts w:hint="eastAsia"/>
          <w:szCs w:val="28"/>
        </w:rPr>
        <w:t>本项目采用综合评分法。评标委员会仅对确定为实质上响应招标文件要求的投标文件进行评价和比较。综合评分法，是指投标文件满足招标文件全部实质性要求，且按照评审因素的量化指标评审得分最高的投标人为中标候选人的评标方法。</w:t>
      </w:r>
    </w:p>
    <w:p w14:paraId="23F76891">
      <w:pPr>
        <w:numPr>
          <w:ilvl w:val="0"/>
          <w:numId w:val="16"/>
        </w:numPr>
        <w:wordWrap w:val="0"/>
        <w:adjustRightInd w:val="0"/>
        <w:snapToGrid w:val="0"/>
        <w:outlineLvl w:val="1"/>
        <w:rPr>
          <w:b/>
          <w:sz w:val="30"/>
          <w:szCs w:val="24"/>
        </w:rPr>
      </w:pPr>
      <w:bookmarkStart w:id="195" w:name="_Toc57991630"/>
      <w:bookmarkStart w:id="196" w:name="_Toc57992053"/>
      <w:bookmarkStart w:id="197" w:name="_Toc57992314"/>
      <w:bookmarkStart w:id="198" w:name="_Toc57992162"/>
      <w:r>
        <w:rPr>
          <w:rFonts w:hint="eastAsia"/>
          <w:b/>
          <w:sz w:val="30"/>
          <w:szCs w:val="24"/>
        </w:rPr>
        <w:t>评标</w:t>
      </w:r>
      <w:bookmarkEnd w:id="195"/>
      <w:bookmarkEnd w:id="196"/>
      <w:bookmarkEnd w:id="197"/>
      <w:bookmarkEnd w:id="198"/>
      <w:r>
        <w:rPr>
          <w:rFonts w:hint="eastAsia"/>
          <w:b/>
          <w:sz w:val="30"/>
          <w:szCs w:val="24"/>
        </w:rPr>
        <w:t>标准</w:t>
      </w:r>
    </w:p>
    <w:p w14:paraId="65733FD1">
      <w:pPr>
        <w:wordWrap w:val="0"/>
        <w:adjustRightInd w:val="0"/>
        <w:snapToGrid w:val="0"/>
        <w:ind w:firstLine="480" w:firstLineChars="200"/>
        <w:rPr>
          <w:szCs w:val="24"/>
        </w:rPr>
      </w:pPr>
      <w:r>
        <w:rPr>
          <w:rFonts w:hint="eastAsia"/>
          <w:szCs w:val="28"/>
        </w:rPr>
        <w:t>评标委员会将依据下列评标标准进行评标，本评标标准的总分为</w:t>
      </w:r>
      <w:r>
        <w:rPr>
          <w:szCs w:val="28"/>
        </w:rPr>
        <w:t>10</w:t>
      </w:r>
      <w:r>
        <w:rPr>
          <w:rFonts w:hint="eastAsia"/>
          <w:szCs w:val="28"/>
        </w:rPr>
        <w:t>0分。</w:t>
      </w:r>
      <w:r>
        <w:rPr>
          <w:rFonts w:hint="eastAsia"/>
          <w:szCs w:val="24"/>
        </w:rPr>
        <w:t>评标结果按评审后得分由高到低顺序排列。得分相同的，按投标报价由低到高顺序排列；得分且投标报价相同的，</w:t>
      </w:r>
      <w:r>
        <w:rPr>
          <w:szCs w:val="24"/>
        </w:rPr>
        <w:t>由</w:t>
      </w:r>
      <w:r>
        <w:rPr>
          <w:rFonts w:hint="eastAsia"/>
          <w:szCs w:val="24"/>
        </w:rPr>
        <w:t>评标委员会通过随机抽取的方式</w:t>
      </w:r>
      <w:r>
        <w:rPr>
          <w:szCs w:val="24"/>
        </w:rPr>
        <w:t>确定</w:t>
      </w:r>
      <w:r>
        <w:rPr>
          <w:rFonts w:hint="eastAsia"/>
          <w:szCs w:val="24"/>
        </w:rPr>
        <w:t>中标人候选人排序。投标文件满足招标文件全部实质性要求，且按照评审因素的量化指标评审得分最高的投标人为排名第一的中标候选人。</w:t>
      </w:r>
      <w:r>
        <w:rPr>
          <w:szCs w:val="28"/>
        </w:rPr>
        <w:t>本项目选取 3家中标候选人</w:t>
      </w:r>
      <w:r>
        <w:rPr>
          <w:rFonts w:hint="eastAsia"/>
          <w:szCs w:val="28"/>
        </w:rPr>
        <w:t>。</w:t>
      </w:r>
    </w:p>
    <w:p w14:paraId="73552C84">
      <w:pPr>
        <w:numPr>
          <w:ilvl w:val="0"/>
          <w:numId w:val="17"/>
        </w:numPr>
        <w:wordWrap w:val="0"/>
        <w:adjustRightInd w:val="0"/>
        <w:snapToGrid w:val="0"/>
        <w:ind w:firstLine="482" w:firstLineChars="200"/>
        <w:outlineLvl w:val="2"/>
        <w:rPr>
          <w:szCs w:val="28"/>
        </w:rPr>
      </w:pPr>
      <w:bookmarkStart w:id="199" w:name="OLE_LINK42"/>
      <w:r>
        <w:rPr>
          <w:rFonts w:hint="eastAsia"/>
          <w:b/>
          <w:szCs w:val="28"/>
        </w:rPr>
        <w:t>价格</w:t>
      </w:r>
      <w:r>
        <w:rPr>
          <w:rFonts w:hint="eastAsia"/>
          <w:szCs w:val="28"/>
        </w:rPr>
        <w:t>：15分</w:t>
      </w:r>
    </w:p>
    <w:bookmarkEnd w:id="199"/>
    <w:p w14:paraId="2599BC24">
      <w:pPr>
        <w:wordWrap w:val="0"/>
        <w:adjustRightInd w:val="0"/>
        <w:snapToGrid w:val="0"/>
        <w:ind w:firstLine="480" w:firstLineChars="200"/>
        <w:rPr>
          <w:szCs w:val="28"/>
        </w:rPr>
      </w:pPr>
      <w:r>
        <w:rPr>
          <w:rFonts w:hint="eastAsia"/>
          <w:szCs w:val="28"/>
        </w:rPr>
        <w:t>采用低价优先法计算，即满足招标文件要求且投标价格最低</w:t>
      </w:r>
      <w:r>
        <w:rPr>
          <w:szCs w:val="28"/>
        </w:rPr>
        <w:t>的投标报价</w:t>
      </w:r>
      <w:r>
        <w:rPr>
          <w:rFonts w:hint="eastAsia"/>
          <w:szCs w:val="28"/>
        </w:rPr>
        <w:t>为评标基准价，其价格分为满分。其他投标人的价格分统一按照下列公式计算（小数点保留两位）：</w:t>
      </w:r>
    </w:p>
    <w:p w14:paraId="15D3720B">
      <w:pPr>
        <w:wordWrap w:val="0"/>
        <w:adjustRightInd w:val="0"/>
        <w:snapToGrid w:val="0"/>
        <w:ind w:firstLine="480" w:firstLineChars="200"/>
        <w:rPr>
          <w:szCs w:val="28"/>
        </w:rPr>
      </w:pPr>
      <w:r>
        <w:rPr>
          <w:rFonts w:hint="eastAsia"/>
          <w:szCs w:val="28"/>
        </w:rPr>
        <w:t>投标报价得分＝（评标基准价∕投标报价）×15分</w:t>
      </w:r>
    </w:p>
    <w:p w14:paraId="66455ABE">
      <w:pPr>
        <w:numPr>
          <w:ilvl w:val="0"/>
          <w:numId w:val="17"/>
        </w:numPr>
        <w:wordWrap w:val="0"/>
        <w:adjustRightInd w:val="0"/>
        <w:snapToGrid w:val="0"/>
        <w:ind w:firstLine="482" w:firstLineChars="200"/>
        <w:outlineLvl w:val="2"/>
        <w:rPr>
          <w:szCs w:val="28"/>
        </w:rPr>
      </w:pPr>
      <w:bookmarkStart w:id="200" w:name="OLE_LINK37"/>
      <w:bookmarkStart w:id="201" w:name="OLE_LINK38"/>
      <w:r>
        <w:rPr>
          <w:rFonts w:hint="eastAsia"/>
          <w:b/>
          <w:szCs w:val="28"/>
        </w:rPr>
        <w:t>方案部分</w:t>
      </w:r>
      <w:r>
        <w:rPr>
          <w:rFonts w:hint="eastAsia"/>
          <w:szCs w:val="28"/>
        </w:rPr>
        <w:t>：45分</w:t>
      </w:r>
    </w:p>
    <w:p w14:paraId="411E404E">
      <w:pPr>
        <w:wordWrap w:val="0"/>
        <w:ind w:firstLine="480" w:firstLineChars="200"/>
        <w:outlineLvl w:val="3"/>
      </w:pPr>
      <w:r>
        <w:rPr>
          <w:rFonts w:hint="eastAsia"/>
        </w:rPr>
        <w:t>1、</w:t>
      </w:r>
      <w:r>
        <w:rPr>
          <w:rFonts w:hint="eastAsia"/>
          <w:szCs w:val="28"/>
        </w:rPr>
        <w:t>整体服务理念与方案</w:t>
      </w:r>
      <w:r>
        <w:rPr>
          <w:rFonts w:hint="eastAsia"/>
        </w:rPr>
        <w:t>：6分</w:t>
      </w:r>
    </w:p>
    <w:p w14:paraId="4095CFDF">
      <w:pPr>
        <w:wordWrap w:val="0"/>
        <w:ind w:firstLine="480" w:firstLineChars="200"/>
        <w:rPr>
          <w:szCs w:val="21"/>
        </w:rPr>
      </w:pPr>
      <w:r>
        <w:rPr>
          <w:rFonts w:hint="eastAsia"/>
          <w:szCs w:val="21"/>
        </w:rPr>
        <w:t>投标人根据本项目需求和实际情况，制定</w:t>
      </w:r>
      <w:r>
        <w:rPr>
          <w:rFonts w:hint="eastAsia"/>
        </w:rPr>
        <w:t>符合</w:t>
      </w:r>
      <w:r>
        <w:rPr>
          <w:rFonts w:hint="eastAsia"/>
          <w:szCs w:val="21"/>
        </w:rPr>
        <w:t>场景实情</w:t>
      </w:r>
      <w:r>
        <w:rPr>
          <w:rFonts w:hint="eastAsia"/>
        </w:rPr>
        <w:t>、完整详细</w:t>
      </w:r>
      <w:r>
        <w:rPr>
          <w:rFonts w:hint="eastAsia"/>
          <w:szCs w:val="28"/>
        </w:rPr>
        <w:t>、</w:t>
      </w:r>
      <w:r>
        <w:rPr>
          <w:szCs w:val="28"/>
        </w:rPr>
        <w:t>切实可行</w:t>
      </w:r>
      <w:r>
        <w:rPr>
          <w:rFonts w:hint="eastAsia"/>
        </w:rPr>
        <w:t>的</w:t>
      </w:r>
      <w:r>
        <w:rPr>
          <w:rFonts w:hint="eastAsia"/>
          <w:szCs w:val="21"/>
        </w:rPr>
        <w:t>整体服务理念与方案，包括但不限于：管理服务目标、特色与亮点，服务理念、管理服务定位等</w:t>
      </w:r>
      <w:r>
        <w:t>4</w:t>
      </w:r>
      <w:r>
        <w:rPr>
          <w:rFonts w:hint="eastAsia"/>
        </w:rPr>
        <w:t>项</w:t>
      </w:r>
      <w:r>
        <w:rPr>
          <w:rFonts w:hint="eastAsia"/>
          <w:szCs w:val="28"/>
          <w:lang w:val="zh-CN"/>
        </w:rPr>
        <w:t>内容</w:t>
      </w:r>
      <w:r>
        <w:rPr>
          <w:rFonts w:hint="eastAsia"/>
          <w:szCs w:val="21"/>
        </w:rPr>
        <w:t>。</w:t>
      </w:r>
    </w:p>
    <w:p w14:paraId="4E5473A7">
      <w:pPr>
        <w:wordWrap w:val="0"/>
        <w:ind w:firstLine="480" w:firstLineChars="200"/>
        <w:rPr>
          <w:szCs w:val="21"/>
        </w:rPr>
      </w:pPr>
      <w:r>
        <w:rPr>
          <w:rFonts w:hint="eastAsia"/>
          <w:szCs w:val="28"/>
          <w:lang w:val="zh-CN"/>
        </w:rPr>
        <w:t>内容完整并符合或优于项目需求且无瑕疵的</w:t>
      </w:r>
      <w:r>
        <w:rPr>
          <w:rFonts w:hint="eastAsia"/>
          <w:szCs w:val="21"/>
        </w:rPr>
        <w:t>得6分，</w:t>
      </w:r>
      <w:r>
        <w:rPr>
          <w:rFonts w:hint="eastAsia"/>
          <w:szCs w:val="28"/>
          <w:lang w:val="zh-CN"/>
        </w:rPr>
        <w:t>存在1处瑕疵的</w:t>
      </w:r>
      <w:r>
        <w:rPr>
          <w:rFonts w:hint="eastAsia"/>
          <w:szCs w:val="21"/>
        </w:rPr>
        <w:t>得</w:t>
      </w:r>
      <w:r>
        <w:rPr>
          <w:szCs w:val="21"/>
        </w:rPr>
        <w:t>4</w:t>
      </w:r>
      <w:r>
        <w:rPr>
          <w:rFonts w:hint="eastAsia"/>
          <w:szCs w:val="21"/>
        </w:rPr>
        <w:t>分</w:t>
      </w:r>
      <w:r>
        <w:rPr>
          <w:rFonts w:hint="eastAsia"/>
          <w:szCs w:val="28"/>
          <w:lang w:val="zh-CN"/>
        </w:rPr>
        <w:t>，存在</w:t>
      </w:r>
      <w:r>
        <w:rPr>
          <w:szCs w:val="28"/>
          <w:lang w:val="zh-CN"/>
        </w:rPr>
        <w:t>2</w:t>
      </w:r>
      <w:r>
        <w:rPr>
          <w:rFonts w:hint="eastAsia"/>
          <w:szCs w:val="28"/>
          <w:lang w:val="zh-CN"/>
        </w:rPr>
        <w:t>处瑕疵的</w:t>
      </w:r>
      <w:r>
        <w:rPr>
          <w:rFonts w:hint="eastAsia"/>
          <w:szCs w:val="21"/>
        </w:rPr>
        <w:t>得2分</w:t>
      </w:r>
      <w:r>
        <w:rPr>
          <w:rFonts w:hint="eastAsia"/>
          <w:szCs w:val="28"/>
          <w:lang w:val="zh-CN"/>
        </w:rPr>
        <w:t>，存在</w:t>
      </w:r>
      <w:r>
        <w:rPr>
          <w:szCs w:val="28"/>
          <w:lang w:val="zh-CN"/>
        </w:rPr>
        <w:t>3</w:t>
      </w:r>
      <w:r>
        <w:rPr>
          <w:rFonts w:hint="eastAsia"/>
          <w:szCs w:val="28"/>
          <w:lang w:val="zh-CN"/>
        </w:rPr>
        <w:t>处及以上瑕疵的</w:t>
      </w:r>
      <w:r>
        <w:rPr>
          <w:rFonts w:hint="eastAsia"/>
          <w:szCs w:val="21"/>
        </w:rPr>
        <w:t>得</w:t>
      </w:r>
      <w:r>
        <w:rPr>
          <w:szCs w:val="21"/>
        </w:rPr>
        <w:t>1</w:t>
      </w:r>
      <w:r>
        <w:rPr>
          <w:rFonts w:hint="eastAsia"/>
          <w:szCs w:val="21"/>
        </w:rPr>
        <w:t>分</w:t>
      </w:r>
      <w:r>
        <w:rPr>
          <w:rFonts w:hint="eastAsia"/>
          <w:szCs w:val="28"/>
          <w:lang w:val="zh-CN"/>
        </w:rPr>
        <w:t>，不符合项目需求或</w:t>
      </w:r>
      <w:r>
        <w:rPr>
          <w:rFonts w:hint="eastAsia"/>
          <w:szCs w:val="28"/>
        </w:rPr>
        <w:t>不</w:t>
      </w:r>
      <w:r>
        <w:rPr>
          <w:szCs w:val="28"/>
        </w:rPr>
        <w:t>提供</w:t>
      </w:r>
      <w:r>
        <w:rPr>
          <w:rFonts w:hint="eastAsia"/>
          <w:szCs w:val="28"/>
        </w:rPr>
        <w:t>的不得分。</w:t>
      </w:r>
    </w:p>
    <w:p w14:paraId="18E5BF1D">
      <w:pPr>
        <w:wordWrap w:val="0"/>
        <w:ind w:firstLine="480" w:firstLineChars="200"/>
        <w:outlineLvl w:val="3"/>
      </w:pPr>
      <w:r>
        <w:t>2</w:t>
      </w:r>
      <w:r>
        <w:rPr>
          <w:rFonts w:hint="eastAsia"/>
        </w:rPr>
        <w:t>、管理方案：6分</w:t>
      </w:r>
    </w:p>
    <w:p w14:paraId="40E16F29">
      <w:pPr>
        <w:wordWrap w:val="0"/>
        <w:ind w:firstLine="480" w:firstLineChars="200"/>
        <w:rPr>
          <w:szCs w:val="28"/>
          <w:lang w:val="zh-CN"/>
        </w:rPr>
      </w:pPr>
      <w:r>
        <w:rPr>
          <w:rFonts w:hint="eastAsia"/>
        </w:rPr>
        <w:t>投标人根据本项目需求和实际情况，制定符合运作流程、完整详细</w:t>
      </w:r>
      <w:r>
        <w:rPr>
          <w:rFonts w:hint="eastAsia"/>
          <w:szCs w:val="28"/>
        </w:rPr>
        <w:t>、</w:t>
      </w:r>
      <w:r>
        <w:rPr>
          <w:szCs w:val="28"/>
        </w:rPr>
        <w:t>切实可行</w:t>
      </w:r>
      <w:r>
        <w:rPr>
          <w:rFonts w:hint="eastAsia"/>
        </w:rPr>
        <w:t>的管理方案，包括但不限于：</w:t>
      </w:r>
      <w:r>
        <w:rPr>
          <w:rFonts w:hint="eastAsia"/>
          <w:szCs w:val="21"/>
        </w:rPr>
        <w:t>项目负责人能力与经验等情况介绍、管理理念和方法、组织管理、人力资源管理、培训管理（培训包含但不限于企业文化、人力资源、沟通技巧、形象礼仪、消防、心肺复苏等）、绩效和激励、日常运营和现场管理、质量监控与管理</w:t>
      </w:r>
      <w:r>
        <w:rPr>
          <w:rFonts w:hint="eastAsia"/>
          <w:szCs w:val="28"/>
          <w:lang w:val="zh-CN"/>
        </w:rPr>
        <w:t>等</w:t>
      </w:r>
      <w:r>
        <w:t>8</w:t>
      </w:r>
      <w:r>
        <w:rPr>
          <w:rFonts w:hint="eastAsia"/>
        </w:rPr>
        <w:t>项</w:t>
      </w:r>
      <w:r>
        <w:rPr>
          <w:rFonts w:hint="eastAsia"/>
          <w:szCs w:val="28"/>
          <w:lang w:val="zh-CN"/>
        </w:rPr>
        <w:t>内容。</w:t>
      </w:r>
    </w:p>
    <w:p w14:paraId="23725781">
      <w:pPr>
        <w:wordWrap w:val="0"/>
        <w:ind w:firstLine="480" w:firstLineChars="200"/>
        <w:rPr>
          <w:szCs w:val="28"/>
          <w:lang w:val="zh-CN"/>
        </w:rPr>
      </w:pPr>
      <w:r>
        <w:rPr>
          <w:rFonts w:hint="eastAsia"/>
          <w:szCs w:val="28"/>
          <w:lang w:val="zh-CN"/>
        </w:rPr>
        <w:t>内容完整并符合或优于项目需求且无瑕疵的</w:t>
      </w:r>
      <w:r>
        <w:rPr>
          <w:rFonts w:hint="eastAsia"/>
          <w:szCs w:val="21"/>
        </w:rPr>
        <w:t>得6分，</w:t>
      </w:r>
      <w:r>
        <w:rPr>
          <w:rFonts w:hint="eastAsia"/>
          <w:szCs w:val="28"/>
          <w:lang w:val="zh-CN"/>
        </w:rPr>
        <w:t>存在1处瑕疵的</w:t>
      </w:r>
      <w:r>
        <w:rPr>
          <w:rFonts w:hint="eastAsia"/>
          <w:szCs w:val="21"/>
        </w:rPr>
        <w:t>得</w:t>
      </w:r>
      <w:r>
        <w:rPr>
          <w:szCs w:val="21"/>
        </w:rPr>
        <w:t>4</w:t>
      </w:r>
      <w:r>
        <w:rPr>
          <w:rFonts w:hint="eastAsia"/>
          <w:szCs w:val="21"/>
        </w:rPr>
        <w:t>分</w:t>
      </w:r>
      <w:r>
        <w:rPr>
          <w:rFonts w:hint="eastAsia"/>
          <w:szCs w:val="28"/>
          <w:lang w:val="zh-CN"/>
        </w:rPr>
        <w:t>，存在</w:t>
      </w:r>
      <w:r>
        <w:rPr>
          <w:szCs w:val="28"/>
          <w:lang w:val="zh-CN"/>
        </w:rPr>
        <w:t>2</w:t>
      </w:r>
      <w:r>
        <w:rPr>
          <w:rFonts w:hint="eastAsia"/>
          <w:szCs w:val="28"/>
          <w:lang w:val="zh-CN"/>
        </w:rPr>
        <w:t>处瑕疵的</w:t>
      </w:r>
      <w:r>
        <w:rPr>
          <w:rFonts w:hint="eastAsia"/>
          <w:szCs w:val="21"/>
        </w:rPr>
        <w:t>得2分</w:t>
      </w:r>
      <w:r>
        <w:rPr>
          <w:rFonts w:hint="eastAsia"/>
          <w:szCs w:val="28"/>
          <w:lang w:val="zh-CN"/>
        </w:rPr>
        <w:t>，存在3处及以上瑕疵的</w:t>
      </w:r>
      <w:r>
        <w:rPr>
          <w:rFonts w:hint="eastAsia"/>
          <w:szCs w:val="21"/>
        </w:rPr>
        <w:t>得</w:t>
      </w:r>
      <w:r>
        <w:rPr>
          <w:szCs w:val="21"/>
        </w:rPr>
        <w:t>1</w:t>
      </w:r>
      <w:r>
        <w:rPr>
          <w:rFonts w:hint="eastAsia"/>
          <w:szCs w:val="21"/>
        </w:rPr>
        <w:t>分</w:t>
      </w:r>
      <w:r>
        <w:rPr>
          <w:rFonts w:hint="eastAsia"/>
          <w:szCs w:val="28"/>
          <w:lang w:val="zh-CN"/>
        </w:rPr>
        <w:t>，不符合项目需求或</w:t>
      </w:r>
      <w:r>
        <w:rPr>
          <w:rFonts w:hint="eastAsia"/>
          <w:szCs w:val="28"/>
        </w:rPr>
        <w:t>不</w:t>
      </w:r>
      <w:r>
        <w:rPr>
          <w:szCs w:val="28"/>
        </w:rPr>
        <w:t>提供</w:t>
      </w:r>
      <w:r>
        <w:rPr>
          <w:rFonts w:hint="eastAsia"/>
          <w:szCs w:val="28"/>
        </w:rPr>
        <w:t>的不得分。</w:t>
      </w:r>
    </w:p>
    <w:p w14:paraId="7493C102">
      <w:pPr>
        <w:wordWrap w:val="0"/>
        <w:ind w:firstLine="480" w:firstLineChars="200"/>
        <w:outlineLvl w:val="3"/>
        <w:rPr>
          <w:szCs w:val="28"/>
        </w:rPr>
      </w:pPr>
      <w:r>
        <w:rPr>
          <w:rFonts w:hint="eastAsia" w:cs="宋体"/>
          <w:szCs w:val="24"/>
        </w:rPr>
        <w:t>3、实施考核方案</w:t>
      </w:r>
      <w:r>
        <w:rPr>
          <w:rFonts w:hint="eastAsia"/>
          <w:szCs w:val="28"/>
        </w:rPr>
        <w:t>：6分</w:t>
      </w:r>
    </w:p>
    <w:p w14:paraId="63605F10">
      <w:pPr>
        <w:wordWrap w:val="0"/>
        <w:ind w:firstLine="480" w:firstLineChars="200"/>
      </w:pPr>
      <w:r>
        <w:rPr>
          <w:rFonts w:hint="eastAsia"/>
        </w:rPr>
        <w:t>投标人根据本项目</w:t>
      </w:r>
      <w:r>
        <w:rPr>
          <w:rFonts w:hint="eastAsia"/>
          <w:szCs w:val="21"/>
        </w:rPr>
        <w:t>需求和实际情况，制定符合操作规范、</w:t>
      </w:r>
      <w:r>
        <w:rPr>
          <w:rFonts w:hint="eastAsia"/>
        </w:rPr>
        <w:t>完整详细</w:t>
      </w:r>
      <w:r>
        <w:rPr>
          <w:rFonts w:hint="eastAsia"/>
          <w:szCs w:val="28"/>
        </w:rPr>
        <w:t>、</w:t>
      </w:r>
      <w:r>
        <w:rPr>
          <w:szCs w:val="28"/>
        </w:rPr>
        <w:t>切实可行</w:t>
      </w:r>
      <w:r>
        <w:rPr>
          <w:rFonts w:hint="eastAsia"/>
          <w:szCs w:val="21"/>
        </w:rPr>
        <w:t>的</w:t>
      </w:r>
      <w:r>
        <w:rPr>
          <w:rFonts w:hint="eastAsia" w:cs="宋体"/>
          <w:szCs w:val="24"/>
        </w:rPr>
        <w:t>实施考核方案</w:t>
      </w:r>
      <w:r>
        <w:rPr>
          <w:rFonts w:hint="eastAsia"/>
          <w:szCs w:val="21"/>
        </w:rPr>
        <w:t>，包括但不限于：</w:t>
      </w:r>
      <w:r>
        <w:rPr>
          <w:rFonts w:hint="eastAsia" w:cs="宋体"/>
          <w:szCs w:val="24"/>
        </w:rPr>
        <w:t>实施中的工作、周期、需要院方配合的内容、后期考核方案</w:t>
      </w:r>
      <w:r>
        <w:rPr>
          <w:rFonts w:hint="eastAsia"/>
        </w:rPr>
        <w:t>等</w:t>
      </w:r>
      <w:r>
        <w:t>4</w:t>
      </w:r>
      <w:r>
        <w:rPr>
          <w:rFonts w:hint="eastAsia"/>
        </w:rPr>
        <w:t>项</w:t>
      </w:r>
      <w:r>
        <w:rPr>
          <w:rFonts w:hint="eastAsia"/>
          <w:szCs w:val="28"/>
          <w:lang w:val="zh-CN"/>
        </w:rPr>
        <w:t>内容</w:t>
      </w:r>
      <w:r>
        <w:rPr>
          <w:rFonts w:hint="eastAsia"/>
        </w:rPr>
        <w:t>。</w:t>
      </w:r>
    </w:p>
    <w:p w14:paraId="032BD40A">
      <w:pPr>
        <w:wordWrap w:val="0"/>
        <w:ind w:firstLine="480" w:firstLineChars="200"/>
        <w:rPr>
          <w:szCs w:val="28"/>
        </w:rPr>
      </w:pPr>
      <w:r>
        <w:rPr>
          <w:rFonts w:hint="eastAsia"/>
          <w:szCs w:val="28"/>
          <w:lang w:val="zh-CN"/>
        </w:rPr>
        <w:t>内容完整并符合或优于项目需求且无瑕疵的</w:t>
      </w:r>
      <w:r>
        <w:rPr>
          <w:rFonts w:hint="eastAsia"/>
          <w:szCs w:val="21"/>
        </w:rPr>
        <w:t>得6分，</w:t>
      </w:r>
      <w:r>
        <w:rPr>
          <w:rFonts w:hint="eastAsia"/>
          <w:szCs w:val="28"/>
          <w:lang w:val="zh-CN"/>
        </w:rPr>
        <w:t>存在1处瑕疵的</w:t>
      </w:r>
      <w:r>
        <w:rPr>
          <w:rFonts w:hint="eastAsia"/>
          <w:szCs w:val="21"/>
        </w:rPr>
        <w:t>得</w:t>
      </w:r>
      <w:r>
        <w:rPr>
          <w:szCs w:val="21"/>
        </w:rPr>
        <w:t>4</w:t>
      </w:r>
      <w:r>
        <w:rPr>
          <w:rFonts w:hint="eastAsia"/>
          <w:szCs w:val="21"/>
        </w:rPr>
        <w:t>分</w:t>
      </w:r>
      <w:r>
        <w:rPr>
          <w:rFonts w:hint="eastAsia"/>
          <w:szCs w:val="28"/>
          <w:lang w:val="zh-CN"/>
        </w:rPr>
        <w:t>，存在</w:t>
      </w:r>
      <w:r>
        <w:rPr>
          <w:szCs w:val="28"/>
          <w:lang w:val="zh-CN"/>
        </w:rPr>
        <w:t>2</w:t>
      </w:r>
      <w:r>
        <w:rPr>
          <w:rFonts w:hint="eastAsia"/>
          <w:szCs w:val="28"/>
          <w:lang w:val="zh-CN"/>
        </w:rPr>
        <w:t>处瑕疵的</w:t>
      </w:r>
      <w:r>
        <w:rPr>
          <w:rFonts w:hint="eastAsia"/>
          <w:szCs w:val="21"/>
        </w:rPr>
        <w:t>得2分</w:t>
      </w:r>
      <w:r>
        <w:rPr>
          <w:rFonts w:hint="eastAsia"/>
          <w:szCs w:val="28"/>
          <w:lang w:val="zh-CN"/>
        </w:rPr>
        <w:t>，存在</w:t>
      </w:r>
      <w:r>
        <w:rPr>
          <w:szCs w:val="28"/>
          <w:lang w:val="zh-CN"/>
        </w:rPr>
        <w:t>3</w:t>
      </w:r>
      <w:r>
        <w:rPr>
          <w:rFonts w:hint="eastAsia"/>
          <w:szCs w:val="28"/>
          <w:lang w:val="zh-CN"/>
        </w:rPr>
        <w:t>处及以上瑕疵的</w:t>
      </w:r>
      <w:r>
        <w:rPr>
          <w:rFonts w:hint="eastAsia"/>
          <w:szCs w:val="21"/>
        </w:rPr>
        <w:t>得</w:t>
      </w:r>
      <w:r>
        <w:rPr>
          <w:szCs w:val="21"/>
        </w:rPr>
        <w:t>1</w:t>
      </w:r>
      <w:r>
        <w:rPr>
          <w:rFonts w:hint="eastAsia"/>
          <w:szCs w:val="21"/>
        </w:rPr>
        <w:t>分</w:t>
      </w:r>
      <w:r>
        <w:rPr>
          <w:rFonts w:hint="eastAsia"/>
          <w:szCs w:val="28"/>
          <w:lang w:val="zh-CN"/>
        </w:rPr>
        <w:t>，不符合项目需求或</w:t>
      </w:r>
      <w:r>
        <w:rPr>
          <w:rFonts w:hint="eastAsia"/>
          <w:szCs w:val="28"/>
        </w:rPr>
        <w:t>不</w:t>
      </w:r>
      <w:r>
        <w:rPr>
          <w:szCs w:val="28"/>
        </w:rPr>
        <w:t>提供</w:t>
      </w:r>
      <w:r>
        <w:rPr>
          <w:rFonts w:hint="eastAsia"/>
          <w:szCs w:val="28"/>
        </w:rPr>
        <w:t>的不得分。</w:t>
      </w:r>
    </w:p>
    <w:p w14:paraId="43723456">
      <w:pPr>
        <w:wordWrap w:val="0"/>
        <w:ind w:firstLine="480" w:firstLineChars="200"/>
        <w:outlineLvl w:val="3"/>
        <w:rPr>
          <w:szCs w:val="28"/>
        </w:rPr>
      </w:pPr>
      <w:r>
        <w:rPr>
          <w:rFonts w:hint="eastAsia"/>
        </w:rPr>
        <w:t>4、应急预案</w:t>
      </w:r>
      <w:r>
        <w:rPr>
          <w:rFonts w:hint="eastAsia"/>
          <w:szCs w:val="28"/>
        </w:rPr>
        <w:t>：</w:t>
      </w:r>
      <w:r>
        <w:rPr>
          <w:szCs w:val="28"/>
        </w:rPr>
        <w:t>6</w:t>
      </w:r>
      <w:r>
        <w:rPr>
          <w:rFonts w:hint="eastAsia"/>
          <w:szCs w:val="28"/>
        </w:rPr>
        <w:t>分</w:t>
      </w:r>
    </w:p>
    <w:p w14:paraId="0F4EA3A2">
      <w:pPr>
        <w:wordWrap w:val="0"/>
        <w:ind w:firstLine="480" w:firstLineChars="200"/>
        <w:rPr>
          <w:rFonts w:cs="Segoe UI"/>
          <w:shd w:val="clear" w:color="auto" w:fill="FFFFFF"/>
        </w:rPr>
      </w:pPr>
      <w:r>
        <w:rPr>
          <w:rFonts w:hint="eastAsia"/>
        </w:rPr>
        <w:t>投标人根据本项目</w:t>
      </w:r>
      <w:r>
        <w:rPr>
          <w:rFonts w:hint="eastAsia"/>
          <w:szCs w:val="21"/>
        </w:rPr>
        <w:t>需求和实际情况，制定符合</w:t>
      </w:r>
      <w:r>
        <w:rPr>
          <w:rFonts w:hint="eastAsia"/>
        </w:rPr>
        <w:t>能有效减少后期风险、完整详细</w:t>
      </w:r>
      <w:r>
        <w:rPr>
          <w:rFonts w:hint="eastAsia"/>
          <w:szCs w:val="28"/>
        </w:rPr>
        <w:t>、</w:t>
      </w:r>
      <w:r>
        <w:rPr>
          <w:szCs w:val="28"/>
        </w:rPr>
        <w:t>切实可行</w:t>
      </w:r>
      <w:r>
        <w:rPr>
          <w:rFonts w:hint="eastAsia"/>
          <w:szCs w:val="21"/>
        </w:rPr>
        <w:t>的</w:t>
      </w:r>
      <w:r>
        <w:rPr>
          <w:rFonts w:hint="eastAsia"/>
        </w:rPr>
        <w:t>应急预案</w:t>
      </w:r>
      <w:r>
        <w:rPr>
          <w:rFonts w:hint="eastAsia"/>
          <w:szCs w:val="21"/>
        </w:rPr>
        <w:t>，包括但不限于：</w:t>
      </w:r>
      <w:r>
        <w:rPr>
          <w:szCs w:val="28"/>
          <w:lang w:val="zh-CN"/>
        </w:rPr>
        <w:t>火情火警紧急处理、紧急疏散、</w:t>
      </w:r>
      <w:r>
        <w:rPr>
          <w:rFonts w:hint="eastAsia"/>
        </w:rPr>
        <w:t>停水停电、</w:t>
      </w:r>
      <w:r>
        <w:rPr>
          <w:szCs w:val="28"/>
          <w:lang w:val="zh-CN"/>
        </w:rPr>
        <w:t>恶劣天气应对</w:t>
      </w:r>
      <w:r>
        <w:rPr>
          <w:rFonts w:hint="eastAsia"/>
        </w:rPr>
        <w:t>（冰雹、暴雨、暴雪、台风、地震等）、</w:t>
      </w:r>
      <w:r>
        <w:rPr>
          <w:rFonts w:hint="eastAsia"/>
          <w:szCs w:val="28"/>
        </w:rPr>
        <w:t>重大抢救急救、医患投诉、治安事件、服务人员不足或流失、信息系统故障、公共设施故障、客户紧急需求</w:t>
      </w:r>
      <w:r>
        <w:rPr>
          <w:rFonts w:hint="eastAsia" w:cs="Segoe UI"/>
          <w:shd w:val="clear" w:color="auto" w:fill="FFFFFF"/>
        </w:rPr>
        <w:t>等</w:t>
      </w:r>
      <w:r>
        <w:t>11</w:t>
      </w:r>
      <w:r>
        <w:rPr>
          <w:rFonts w:hint="eastAsia"/>
        </w:rPr>
        <w:t>项</w:t>
      </w:r>
      <w:r>
        <w:rPr>
          <w:rFonts w:hint="eastAsia"/>
          <w:szCs w:val="28"/>
          <w:lang w:val="zh-CN"/>
        </w:rPr>
        <w:t>内容</w:t>
      </w:r>
      <w:r>
        <w:rPr>
          <w:rFonts w:hint="eastAsia" w:cs="Segoe UI"/>
          <w:shd w:val="clear" w:color="auto" w:fill="FFFFFF"/>
        </w:rPr>
        <w:t>。</w:t>
      </w:r>
    </w:p>
    <w:p w14:paraId="56E846E8">
      <w:pPr>
        <w:wordWrap w:val="0"/>
        <w:ind w:firstLine="480" w:firstLineChars="200"/>
        <w:rPr>
          <w:szCs w:val="21"/>
        </w:rPr>
      </w:pPr>
      <w:r>
        <w:rPr>
          <w:rFonts w:hint="eastAsia"/>
          <w:szCs w:val="28"/>
          <w:lang w:val="zh-CN"/>
        </w:rPr>
        <w:t>内容完整并符合或优于项目需求且无瑕疵的</w:t>
      </w:r>
      <w:r>
        <w:rPr>
          <w:rFonts w:hint="eastAsia"/>
          <w:szCs w:val="21"/>
        </w:rPr>
        <w:t>得</w:t>
      </w:r>
      <w:r>
        <w:rPr>
          <w:szCs w:val="21"/>
        </w:rPr>
        <w:t>6</w:t>
      </w:r>
      <w:r>
        <w:rPr>
          <w:rFonts w:hint="eastAsia"/>
          <w:szCs w:val="21"/>
        </w:rPr>
        <w:t>分，</w:t>
      </w:r>
      <w:r>
        <w:rPr>
          <w:rFonts w:hint="eastAsia"/>
          <w:szCs w:val="28"/>
          <w:lang w:val="zh-CN"/>
        </w:rPr>
        <w:t>存在1处瑕疵的</w:t>
      </w:r>
      <w:r>
        <w:rPr>
          <w:rFonts w:hint="eastAsia"/>
          <w:szCs w:val="21"/>
        </w:rPr>
        <w:t>得4分</w:t>
      </w:r>
      <w:r>
        <w:rPr>
          <w:rFonts w:hint="eastAsia"/>
          <w:szCs w:val="28"/>
          <w:lang w:val="zh-CN"/>
        </w:rPr>
        <w:t>，存在</w:t>
      </w:r>
      <w:r>
        <w:rPr>
          <w:szCs w:val="28"/>
          <w:lang w:val="zh-CN"/>
        </w:rPr>
        <w:t>2</w:t>
      </w:r>
      <w:r>
        <w:rPr>
          <w:rFonts w:hint="eastAsia"/>
          <w:szCs w:val="28"/>
          <w:lang w:val="zh-CN"/>
        </w:rPr>
        <w:t>处瑕疵的</w:t>
      </w:r>
      <w:r>
        <w:rPr>
          <w:rFonts w:hint="eastAsia"/>
          <w:szCs w:val="21"/>
        </w:rPr>
        <w:t>得2分</w:t>
      </w:r>
      <w:r>
        <w:rPr>
          <w:rFonts w:hint="eastAsia"/>
          <w:szCs w:val="28"/>
          <w:lang w:val="zh-CN"/>
        </w:rPr>
        <w:t>，存在3处及以上瑕疵的</w:t>
      </w:r>
      <w:r>
        <w:rPr>
          <w:rFonts w:hint="eastAsia"/>
          <w:szCs w:val="21"/>
        </w:rPr>
        <w:t>得</w:t>
      </w:r>
      <w:r>
        <w:rPr>
          <w:szCs w:val="21"/>
        </w:rPr>
        <w:t>1</w:t>
      </w:r>
      <w:r>
        <w:rPr>
          <w:rFonts w:hint="eastAsia"/>
          <w:szCs w:val="21"/>
        </w:rPr>
        <w:t>分</w:t>
      </w:r>
      <w:r>
        <w:rPr>
          <w:rFonts w:hint="eastAsia"/>
          <w:szCs w:val="28"/>
          <w:lang w:val="zh-CN"/>
        </w:rPr>
        <w:t>，不符合项目需求或</w:t>
      </w:r>
      <w:r>
        <w:rPr>
          <w:rFonts w:hint="eastAsia"/>
          <w:szCs w:val="28"/>
        </w:rPr>
        <w:t>不</w:t>
      </w:r>
      <w:r>
        <w:rPr>
          <w:szCs w:val="28"/>
        </w:rPr>
        <w:t>提供</w:t>
      </w:r>
      <w:r>
        <w:rPr>
          <w:rFonts w:hint="eastAsia"/>
          <w:szCs w:val="28"/>
        </w:rPr>
        <w:t>的不得分。</w:t>
      </w:r>
    </w:p>
    <w:p w14:paraId="27F50FF2">
      <w:pPr>
        <w:wordWrap w:val="0"/>
        <w:ind w:firstLine="480" w:firstLineChars="200"/>
        <w:outlineLvl w:val="3"/>
        <w:rPr>
          <w:szCs w:val="28"/>
        </w:rPr>
      </w:pPr>
      <w:r>
        <w:rPr>
          <w:rFonts w:hint="eastAsia"/>
        </w:rPr>
        <w:t>5、现场客服手册：</w:t>
      </w:r>
      <w:r>
        <w:rPr>
          <w:rFonts w:hint="eastAsia"/>
          <w:szCs w:val="28"/>
        </w:rPr>
        <w:t>6分</w:t>
      </w:r>
    </w:p>
    <w:p w14:paraId="7F716C56">
      <w:pPr>
        <w:wordWrap w:val="0"/>
        <w:ind w:firstLine="480" w:firstLineChars="200"/>
        <w:rPr>
          <w:rFonts w:cs="Segoe UI"/>
          <w:shd w:val="clear" w:color="auto" w:fill="FFFFFF"/>
        </w:rPr>
      </w:pPr>
      <w:r>
        <w:rPr>
          <w:rFonts w:hint="eastAsia"/>
          <w:szCs w:val="21"/>
        </w:rPr>
        <w:t>投标人根据</w:t>
      </w:r>
      <w:r>
        <w:rPr>
          <w:rFonts w:hint="eastAsia"/>
        </w:rPr>
        <w:t>本项目</w:t>
      </w:r>
      <w:r>
        <w:rPr>
          <w:rFonts w:hint="eastAsia"/>
          <w:szCs w:val="21"/>
        </w:rPr>
        <w:t>需求和实际情况，制定符合操作标准化</w:t>
      </w:r>
      <w:r>
        <w:rPr>
          <w:rFonts w:hint="eastAsia"/>
        </w:rPr>
        <w:t>、完整详细</w:t>
      </w:r>
      <w:r>
        <w:rPr>
          <w:rFonts w:hint="eastAsia"/>
          <w:szCs w:val="28"/>
        </w:rPr>
        <w:t>、</w:t>
      </w:r>
      <w:r>
        <w:rPr>
          <w:szCs w:val="28"/>
        </w:rPr>
        <w:t>切实可行</w:t>
      </w:r>
      <w:r>
        <w:rPr>
          <w:rFonts w:hint="eastAsia"/>
          <w:szCs w:val="21"/>
        </w:rPr>
        <w:t>的</w:t>
      </w:r>
      <w:r>
        <w:rPr>
          <w:rFonts w:hint="eastAsia"/>
        </w:rPr>
        <w:t>现场客服手册</w:t>
      </w:r>
      <w:r>
        <w:rPr>
          <w:rFonts w:hint="eastAsia"/>
          <w:szCs w:val="21"/>
        </w:rPr>
        <w:t>，包括但不限于：</w:t>
      </w:r>
      <w:r>
        <w:rPr>
          <w:rFonts w:hint="eastAsia"/>
        </w:rPr>
        <w:t>客服手册的目的、服务总则、服务形象规范、服务行为规范、工作时间与休假、绩效管理体系</w:t>
      </w:r>
      <w:r>
        <w:rPr>
          <w:rFonts w:hint="eastAsia" w:cs="Segoe UI"/>
          <w:shd w:val="clear" w:color="auto" w:fill="FFFFFF"/>
        </w:rPr>
        <w:t>等</w:t>
      </w:r>
      <w:r>
        <w:t>6</w:t>
      </w:r>
      <w:r>
        <w:rPr>
          <w:rFonts w:hint="eastAsia"/>
        </w:rPr>
        <w:t>项</w:t>
      </w:r>
      <w:r>
        <w:rPr>
          <w:rFonts w:hint="eastAsia"/>
          <w:szCs w:val="28"/>
          <w:lang w:val="zh-CN"/>
        </w:rPr>
        <w:t>内容</w:t>
      </w:r>
      <w:r>
        <w:rPr>
          <w:rFonts w:hint="eastAsia" w:cs="Segoe UI"/>
          <w:shd w:val="clear" w:color="auto" w:fill="FFFFFF"/>
        </w:rPr>
        <w:t>。</w:t>
      </w:r>
    </w:p>
    <w:p w14:paraId="3D560CA3">
      <w:pPr>
        <w:wordWrap w:val="0"/>
        <w:ind w:firstLine="480" w:firstLineChars="200"/>
        <w:rPr>
          <w:szCs w:val="21"/>
        </w:rPr>
      </w:pPr>
      <w:r>
        <w:rPr>
          <w:rFonts w:hint="eastAsia"/>
          <w:szCs w:val="28"/>
          <w:lang w:val="zh-CN"/>
        </w:rPr>
        <w:t>内容完整并符合或优于项目需求且无瑕疵的</w:t>
      </w:r>
      <w:r>
        <w:rPr>
          <w:rFonts w:hint="eastAsia"/>
          <w:szCs w:val="21"/>
        </w:rPr>
        <w:t>得6分，</w:t>
      </w:r>
      <w:r>
        <w:rPr>
          <w:rFonts w:hint="eastAsia"/>
          <w:szCs w:val="28"/>
          <w:lang w:val="zh-CN"/>
        </w:rPr>
        <w:t>存在1处瑕疵的</w:t>
      </w:r>
      <w:r>
        <w:rPr>
          <w:rFonts w:hint="eastAsia"/>
          <w:szCs w:val="21"/>
        </w:rPr>
        <w:t>得4分</w:t>
      </w:r>
      <w:r>
        <w:rPr>
          <w:rFonts w:hint="eastAsia"/>
          <w:szCs w:val="28"/>
          <w:lang w:val="zh-CN"/>
        </w:rPr>
        <w:t>，存在</w:t>
      </w:r>
      <w:r>
        <w:rPr>
          <w:szCs w:val="28"/>
          <w:lang w:val="zh-CN"/>
        </w:rPr>
        <w:t>2</w:t>
      </w:r>
      <w:r>
        <w:rPr>
          <w:rFonts w:hint="eastAsia"/>
          <w:szCs w:val="28"/>
          <w:lang w:val="zh-CN"/>
        </w:rPr>
        <w:t>处瑕疵的</w:t>
      </w:r>
      <w:r>
        <w:rPr>
          <w:rFonts w:hint="eastAsia"/>
          <w:szCs w:val="21"/>
        </w:rPr>
        <w:t>得</w:t>
      </w:r>
      <w:r>
        <w:rPr>
          <w:szCs w:val="21"/>
        </w:rPr>
        <w:t>2</w:t>
      </w:r>
      <w:r>
        <w:rPr>
          <w:rFonts w:hint="eastAsia"/>
          <w:szCs w:val="21"/>
        </w:rPr>
        <w:t>分</w:t>
      </w:r>
      <w:r>
        <w:rPr>
          <w:rFonts w:hint="eastAsia"/>
          <w:szCs w:val="28"/>
          <w:lang w:val="zh-CN"/>
        </w:rPr>
        <w:t>，存在</w:t>
      </w:r>
      <w:r>
        <w:rPr>
          <w:szCs w:val="28"/>
          <w:lang w:val="zh-CN"/>
        </w:rPr>
        <w:t>3</w:t>
      </w:r>
      <w:r>
        <w:rPr>
          <w:rFonts w:hint="eastAsia"/>
          <w:szCs w:val="28"/>
          <w:lang w:val="zh-CN"/>
        </w:rPr>
        <w:t>处及以上瑕疵的</w:t>
      </w:r>
      <w:r>
        <w:rPr>
          <w:rFonts w:hint="eastAsia"/>
          <w:szCs w:val="21"/>
        </w:rPr>
        <w:t>得</w:t>
      </w:r>
      <w:r>
        <w:rPr>
          <w:szCs w:val="21"/>
        </w:rPr>
        <w:t>1</w:t>
      </w:r>
      <w:r>
        <w:rPr>
          <w:rFonts w:hint="eastAsia"/>
          <w:szCs w:val="21"/>
        </w:rPr>
        <w:t>分</w:t>
      </w:r>
      <w:r>
        <w:rPr>
          <w:rFonts w:hint="eastAsia"/>
          <w:szCs w:val="28"/>
          <w:lang w:val="zh-CN"/>
        </w:rPr>
        <w:t>，不符合项目需求或</w:t>
      </w:r>
      <w:r>
        <w:rPr>
          <w:rFonts w:hint="eastAsia"/>
          <w:szCs w:val="28"/>
        </w:rPr>
        <w:t>不</w:t>
      </w:r>
      <w:r>
        <w:rPr>
          <w:szCs w:val="28"/>
        </w:rPr>
        <w:t>提供</w:t>
      </w:r>
      <w:r>
        <w:rPr>
          <w:rFonts w:hint="eastAsia"/>
          <w:szCs w:val="28"/>
        </w:rPr>
        <w:t>的不得分。</w:t>
      </w:r>
    </w:p>
    <w:p w14:paraId="292FAA8C">
      <w:pPr>
        <w:wordWrap w:val="0"/>
        <w:ind w:firstLine="480" w:firstLineChars="200"/>
        <w:outlineLvl w:val="3"/>
        <w:rPr>
          <w:szCs w:val="28"/>
        </w:rPr>
      </w:pPr>
      <w:r>
        <w:rPr>
          <w:rFonts w:hint="eastAsia"/>
        </w:rPr>
        <w:t>6、服务外包的实施和导入：</w:t>
      </w:r>
      <w:r>
        <w:rPr>
          <w:rFonts w:hint="eastAsia"/>
          <w:szCs w:val="28"/>
        </w:rPr>
        <w:t>6分</w:t>
      </w:r>
    </w:p>
    <w:p w14:paraId="24AE94D4">
      <w:pPr>
        <w:wordWrap w:val="0"/>
        <w:ind w:firstLine="480" w:firstLineChars="200"/>
        <w:rPr>
          <w:rFonts w:cs="Segoe UI"/>
          <w:shd w:val="clear" w:color="auto" w:fill="FFFFFF"/>
        </w:rPr>
      </w:pPr>
      <w:r>
        <w:rPr>
          <w:rFonts w:hint="eastAsia"/>
          <w:szCs w:val="21"/>
        </w:rPr>
        <w:t>投标人根据</w:t>
      </w:r>
      <w:r>
        <w:rPr>
          <w:rFonts w:hint="eastAsia"/>
        </w:rPr>
        <w:t>本项目</w:t>
      </w:r>
      <w:r>
        <w:rPr>
          <w:rFonts w:hint="eastAsia"/>
          <w:szCs w:val="21"/>
        </w:rPr>
        <w:t>需求和实际情况，制定符合医院特色</w:t>
      </w:r>
      <w:r>
        <w:rPr>
          <w:rFonts w:hint="eastAsia"/>
        </w:rPr>
        <w:t>、完整详细</w:t>
      </w:r>
      <w:r>
        <w:rPr>
          <w:rFonts w:hint="eastAsia"/>
          <w:szCs w:val="28"/>
        </w:rPr>
        <w:t>、</w:t>
      </w:r>
      <w:r>
        <w:rPr>
          <w:szCs w:val="28"/>
        </w:rPr>
        <w:t>切实可行</w:t>
      </w:r>
      <w:r>
        <w:rPr>
          <w:rFonts w:hint="eastAsia"/>
          <w:szCs w:val="21"/>
        </w:rPr>
        <w:t>的</w:t>
      </w:r>
      <w:r>
        <w:rPr>
          <w:rFonts w:hint="eastAsia"/>
        </w:rPr>
        <w:t>服务外包的实施和导入</w:t>
      </w:r>
      <w:r>
        <w:rPr>
          <w:rFonts w:hint="eastAsia"/>
          <w:szCs w:val="21"/>
        </w:rPr>
        <w:t>，包括但不限于：</w:t>
      </w:r>
      <w:r>
        <w:rPr>
          <w:rFonts w:hint="eastAsia"/>
          <w:szCs w:val="28"/>
          <w:lang w:val="zh-CN"/>
        </w:rPr>
        <w:t>实施中的工作、准备的制度、周期、需要院方配合的内容</w:t>
      </w:r>
      <w:r>
        <w:rPr>
          <w:rFonts w:hint="eastAsia" w:cs="Segoe UI"/>
          <w:shd w:val="clear" w:color="auto" w:fill="FFFFFF"/>
        </w:rPr>
        <w:t>等</w:t>
      </w:r>
      <w:r>
        <w:t>4</w:t>
      </w:r>
      <w:r>
        <w:rPr>
          <w:rFonts w:hint="eastAsia"/>
        </w:rPr>
        <w:t>项</w:t>
      </w:r>
      <w:r>
        <w:rPr>
          <w:rFonts w:hint="eastAsia"/>
          <w:szCs w:val="28"/>
          <w:lang w:val="zh-CN"/>
        </w:rPr>
        <w:t>内容</w:t>
      </w:r>
      <w:r>
        <w:rPr>
          <w:rFonts w:hint="eastAsia" w:cs="Segoe UI"/>
          <w:shd w:val="clear" w:color="auto" w:fill="FFFFFF"/>
        </w:rPr>
        <w:t>。</w:t>
      </w:r>
    </w:p>
    <w:p w14:paraId="589045EE">
      <w:pPr>
        <w:wordWrap w:val="0"/>
        <w:ind w:firstLine="480" w:firstLineChars="200"/>
        <w:rPr>
          <w:szCs w:val="28"/>
        </w:rPr>
      </w:pPr>
      <w:r>
        <w:rPr>
          <w:rFonts w:hint="eastAsia"/>
          <w:szCs w:val="28"/>
          <w:lang w:val="zh-CN"/>
        </w:rPr>
        <w:t>内容完整并符合或优于项目需求且无瑕疵的</w:t>
      </w:r>
      <w:r>
        <w:rPr>
          <w:rFonts w:hint="eastAsia"/>
          <w:szCs w:val="21"/>
        </w:rPr>
        <w:t>得6分，</w:t>
      </w:r>
      <w:r>
        <w:rPr>
          <w:rFonts w:hint="eastAsia"/>
          <w:szCs w:val="28"/>
          <w:lang w:val="zh-CN"/>
        </w:rPr>
        <w:t>存在1处瑕疵的</w:t>
      </w:r>
      <w:r>
        <w:rPr>
          <w:rFonts w:hint="eastAsia"/>
          <w:szCs w:val="21"/>
        </w:rPr>
        <w:t>得</w:t>
      </w:r>
      <w:r>
        <w:rPr>
          <w:szCs w:val="21"/>
        </w:rPr>
        <w:t>4</w:t>
      </w:r>
      <w:r>
        <w:rPr>
          <w:rFonts w:hint="eastAsia"/>
          <w:szCs w:val="21"/>
        </w:rPr>
        <w:t>分</w:t>
      </w:r>
      <w:r>
        <w:rPr>
          <w:rFonts w:hint="eastAsia"/>
          <w:szCs w:val="28"/>
          <w:lang w:val="zh-CN"/>
        </w:rPr>
        <w:t>，存在</w:t>
      </w:r>
      <w:r>
        <w:rPr>
          <w:szCs w:val="28"/>
          <w:lang w:val="zh-CN"/>
        </w:rPr>
        <w:t>2</w:t>
      </w:r>
      <w:r>
        <w:rPr>
          <w:rFonts w:hint="eastAsia"/>
          <w:szCs w:val="28"/>
          <w:lang w:val="zh-CN"/>
        </w:rPr>
        <w:t>处瑕疵的</w:t>
      </w:r>
      <w:r>
        <w:rPr>
          <w:rFonts w:hint="eastAsia"/>
          <w:szCs w:val="21"/>
        </w:rPr>
        <w:t>得2分</w:t>
      </w:r>
      <w:r>
        <w:rPr>
          <w:rFonts w:hint="eastAsia"/>
          <w:szCs w:val="28"/>
          <w:lang w:val="zh-CN"/>
        </w:rPr>
        <w:t>，存在</w:t>
      </w:r>
      <w:r>
        <w:rPr>
          <w:szCs w:val="28"/>
          <w:lang w:val="zh-CN"/>
        </w:rPr>
        <w:t>3</w:t>
      </w:r>
      <w:r>
        <w:rPr>
          <w:rFonts w:hint="eastAsia"/>
          <w:szCs w:val="28"/>
          <w:lang w:val="zh-CN"/>
        </w:rPr>
        <w:t>处及以上瑕疵的</w:t>
      </w:r>
      <w:r>
        <w:rPr>
          <w:rFonts w:hint="eastAsia"/>
          <w:szCs w:val="21"/>
        </w:rPr>
        <w:t>得</w:t>
      </w:r>
      <w:r>
        <w:rPr>
          <w:szCs w:val="21"/>
        </w:rPr>
        <w:t>1</w:t>
      </w:r>
      <w:r>
        <w:rPr>
          <w:rFonts w:hint="eastAsia"/>
          <w:szCs w:val="21"/>
        </w:rPr>
        <w:t>分</w:t>
      </w:r>
      <w:r>
        <w:rPr>
          <w:rFonts w:hint="eastAsia"/>
          <w:szCs w:val="28"/>
          <w:lang w:val="zh-CN"/>
        </w:rPr>
        <w:t>，不符合项目需求或</w:t>
      </w:r>
      <w:r>
        <w:rPr>
          <w:rFonts w:hint="eastAsia"/>
          <w:szCs w:val="28"/>
        </w:rPr>
        <w:t>不</w:t>
      </w:r>
      <w:r>
        <w:rPr>
          <w:szCs w:val="28"/>
        </w:rPr>
        <w:t>提供</w:t>
      </w:r>
      <w:r>
        <w:rPr>
          <w:rFonts w:hint="eastAsia"/>
          <w:szCs w:val="28"/>
        </w:rPr>
        <w:t>的不得分。</w:t>
      </w:r>
    </w:p>
    <w:p w14:paraId="24979F70">
      <w:pPr>
        <w:wordWrap w:val="0"/>
        <w:ind w:firstLine="480" w:firstLineChars="200"/>
        <w:rPr>
          <w:szCs w:val="28"/>
        </w:rPr>
      </w:pPr>
      <w:r>
        <w:rPr>
          <w:rFonts w:hint="eastAsia"/>
          <w:szCs w:val="28"/>
        </w:rPr>
        <w:t>7、进退场交接方案：5分</w:t>
      </w:r>
    </w:p>
    <w:p w14:paraId="67CC3FD6">
      <w:pPr>
        <w:wordWrap w:val="0"/>
        <w:ind w:firstLine="480" w:firstLineChars="200"/>
        <w:rPr>
          <w:szCs w:val="28"/>
        </w:rPr>
      </w:pPr>
      <w:r>
        <w:rPr>
          <w:rFonts w:hint="eastAsia"/>
          <w:szCs w:val="28"/>
        </w:rPr>
        <w:t>投标人根据本项目需求和实际情况，制定符合作业流程、完整详细、切实可行的进退场交接方案，确保人员平稳过渡，包括但不限于：范围、岗位、资料、待解决问题、需要院方配合的内容等5项内容。</w:t>
      </w:r>
    </w:p>
    <w:p w14:paraId="0CC37F3D">
      <w:pPr>
        <w:wordWrap w:val="0"/>
        <w:ind w:firstLine="480" w:firstLineChars="200"/>
        <w:rPr>
          <w:szCs w:val="28"/>
        </w:rPr>
      </w:pPr>
      <w:r>
        <w:rPr>
          <w:rFonts w:hint="eastAsia"/>
          <w:szCs w:val="28"/>
        </w:rPr>
        <w:t>内容完整并符合或优于项目需求且无瑕疵的得5分，存在1处瑕疵的得4分，存在2处瑕疵的得3分，存在3处及以上瑕疵的得1分，不符合项目需求或不提供的不得分。</w:t>
      </w:r>
    </w:p>
    <w:p w14:paraId="3F3DD10F">
      <w:pPr>
        <w:pStyle w:val="48"/>
        <w:wordWrap w:val="0"/>
        <w:ind w:firstLine="480"/>
        <w:rPr>
          <w:rFonts w:cs="Arial"/>
          <w:bCs/>
        </w:rPr>
      </w:pPr>
      <w:r>
        <w:rPr>
          <w:rFonts w:hint="eastAsia"/>
          <w:szCs w:val="28"/>
        </w:rPr>
        <w:t>8、</w:t>
      </w:r>
      <w:r>
        <w:rPr>
          <w:rFonts w:hint="eastAsia"/>
        </w:rPr>
        <w:t>投标人根据本项目需求和场景实情</w:t>
      </w:r>
      <w:r>
        <w:t>提供对应得门诊</w:t>
      </w:r>
      <w:r>
        <w:rPr>
          <w:rFonts w:hint="eastAsia"/>
        </w:rPr>
        <w:t>的</w:t>
      </w:r>
      <w:r>
        <w:rPr>
          <w:rFonts w:hint="eastAsia"/>
          <w:lang w:val="zh-CN"/>
        </w:rPr>
        <w:t>增值服务</w:t>
      </w:r>
      <w:r>
        <w:rPr>
          <w:rFonts w:hint="eastAsia" w:cs="宋体"/>
          <w:szCs w:val="24"/>
        </w:rPr>
        <w:t>（</w:t>
      </w:r>
      <w:r>
        <w:rPr>
          <w:rFonts w:hint="eastAsia"/>
          <w:szCs w:val="28"/>
          <w:lang w:val="zh-CN"/>
        </w:rPr>
        <w:t>格式自拟并加盖</w:t>
      </w:r>
      <w:r>
        <w:rPr>
          <w:rFonts w:hint="eastAsia"/>
          <w:bCs/>
          <w:szCs w:val="28"/>
        </w:rPr>
        <w:t>CA电子公章</w:t>
      </w:r>
      <w:r>
        <w:rPr>
          <w:rFonts w:hint="eastAsia" w:cs="宋体"/>
          <w:szCs w:val="24"/>
        </w:rPr>
        <w:t>）</w:t>
      </w:r>
      <w:r>
        <w:rPr>
          <w:rFonts w:hint="eastAsia"/>
          <w:szCs w:val="21"/>
        </w:rPr>
        <w:t>，每提供一项有利于项目实施且具体可操作的增值服务措施的得</w:t>
      </w:r>
      <w:r>
        <w:rPr>
          <w:szCs w:val="21"/>
        </w:rPr>
        <w:t>1</w:t>
      </w:r>
      <w:r>
        <w:rPr>
          <w:rFonts w:hint="eastAsia"/>
          <w:szCs w:val="21"/>
        </w:rPr>
        <w:t>分，本项最多得4分</w:t>
      </w:r>
      <w:r>
        <w:rPr>
          <w:rFonts w:hint="eastAsia"/>
          <w:szCs w:val="28"/>
          <w:lang w:val="zh-CN"/>
        </w:rPr>
        <w:t>，</w:t>
      </w:r>
      <w:r>
        <w:rPr>
          <w:rFonts w:hint="eastAsia"/>
          <w:szCs w:val="28"/>
        </w:rPr>
        <w:t>不</w:t>
      </w:r>
      <w:r>
        <w:rPr>
          <w:szCs w:val="28"/>
        </w:rPr>
        <w:t>提供</w:t>
      </w:r>
      <w:r>
        <w:rPr>
          <w:rFonts w:hint="eastAsia"/>
          <w:szCs w:val="28"/>
        </w:rPr>
        <w:t>不得分</w:t>
      </w:r>
      <w:r>
        <w:rPr>
          <w:rFonts w:hint="eastAsia" w:cs="Arial"/>
          <w:bCs/>
        </w:rPr>
        <w:t>。</w:t>
      </w:r>
    </w:p>
    <w:p w14:paraId="5856640F">
      <w:pPr>
        <w:wordWrap w:val="0"/>
        <w:ind w:firstLine="480" w:firstLineChars="200"/>
        <w:rPr>
          <w:b/>
        </w:rPr>
      </w:pPr>
      <w:r>
        <w:rPr>
          <w:rFonts w:hint="eastAsia"/>
          <w:szCs w:val="28"/>
          <w:lang w:val="zh-CN"/>
        </w:rPr>
        <w:t>注：上述瑕疵是指：方案内容存在缺项、仅对标题进行复述或承诺而无具体说明、内容与实际情况不符或与项目无关或与项目不匹配、内容表述错误或前后矛盾或存在歧义、内容凭空编造、科学原理或逻辑错误、项目信息错误（包括时间、地点、名称等）、不符合本项目涉及的相关规范或标准要求、内容存在不可能实现的夸大情形等任意一种情形。</w:t>
      </w:r>
    </w:p>
    <w:bookmarkEnd w:id="200"/>
    <w:bookmarkEnd w:id="201"/>
    <w:p w14:paraId="40E4CC17">
      <w:pPr>
        <w:numPr>
          <w:ilvl w:val="0"/>
          <w:numId w:val="17"/>
        </w:numPr>
        <w:wordWrap w:val="0"/>
        <w:adjustRightInd w:val="0"/>
        <w:snapToGrid w:val="0"/>
        <w:ind w:firstLine="482" w:firstLineChars="200"/>
        <w:outlineLvl w:val="2"/>
        <w:rPr>
          <w:szCs w:val="28"/>
        </w:rPr>
      </w:pPr>
      <w:r>
        <w:rPr>
          <w:rFonts w:hint="eastAsia"/>
          <w:b/>
          <w:szCs w:val="28"/>
        </w:rPr>
        <w:t>商务部分</w:t>
      </w:r>
      <w:r>
        <w:rPr>
          <w:rFonts w:hint="eastAsia"/>
          <w:szCs w:val="28"/>
        </w:rPr>
        <w:t>：40分</w:t>
      </w:r>
    </w:p>
    <w:p w14:paraId="24765C6F">
      <w:pPr>
        <w:numPr>
          <w:ilvl w:val="0"/>
          <w:numId w:val="18"/>
        </w:numPr>
        <w:wordWrap w:val="0"/>
        <w:adjustRightInd w:val="0"/>
        <w:snapToGrid w:val="0"/>
        <w:ind w:firstLine="480" w:firstLineChars="200"/>
        <w:rPr>
          <w:rFonts w:cs="宋体"/>
          <w:szCs w:val="28"/>
        </w:rPr>
      </w:pPr>
      <w:r>
        <w:rPr>
          <w:rFonts w:hint="eastAsia"/>
          <w:szCs w:val="21"/>
        </w:rPr>
        <w:t>投标人具有国家认监委认可机构颁发的有效的</w:t>
      </w:r>
      <w:r>
        <w:rPr>
          <w:szCs w:val="21"/>
        </w:rPr>
        <w:t>ISO</w:t>
      </w:r>
      <w:r>
        <w:rPr>
          <w:rFonts w:hint="eastAsia"/>
          <w:szCs w:val="21"/>
        </w:rPr>
        <w:t>9001质量管理体系认证证书、</w:t>
      </w:r>
      <w:r>
        <w:rPr>
          <w:szCs w:val="21"/>
        </w:rPr>
        <w:t>ISO1</w:t>
      </w:r>
      <w:r>
        <w:rPr>
          <w:rFonts w:hint="eastAsia"/>
          <w:szCs w:val="21"/>
        </w:rPr>
        <w:t>4001环境管理体系认证证书、</w:t>
      </w:r>
      <w:r>
        <w:rPr>
          <w:szCs w:val="21"/>
        </w:rPr>
        <w:t>ISO45001</w:t>
      </w:r>
      <w:r>
        <w:rPr>
          <w:rFonts w:hint="eastAsia"/>
          <w:szCs w:val="21"/>
        </w:rPr>
        <w:t>职业健康安全管理体系认证证书的</w:t>
      </w:r>
      <w:r>
        <w:rPr>
          <w:rFonts w:hint="eastAsia"/>
          <w:bCs/>
          <w:szCs w:val="28"/>
        </w:rPr>
        <w:t>，</w:t>
      </w:r>
      <w:r>
        <w:rPr>
          <w:rFonts w:hint="eastAsia"/>
          <w:szCs w:val="21"/>
        </w:rPr>
        <w:t>每有1个得2分，本项最多得6分。</w:t>
      </w:r>
      <w:r>
        <w:rPr>
          <w:rFonts w:hint="eastAsia"/>
          <w:bCs/>
          <w:szCs w:val="28"/>
        </w:rPr>
        <w:t>（</w:t>
      </w:r>
      <w:r>
        <w:rPr>
          <w:bCs/>
          <w:szCs w:val="28"/>
        </w:rPr>
        <w:t>提供</w:t>
      </w:r>
      <w:r>
        <w:rPr>
          <w:rFonts w:hint="eastAsia"/>
          <w:bCs/>
          <w:szCs w:val="28"/>
        </w:rPr>
        <w:t>认证</w:t>
      </w:r>
      <w:r>
        <w:rPr>
          <w:bCs/>
          <w:szCs w:val="28"/>
        </w:rPr>
        <w:t>证书</w:t>
      </w:r>
      <w:r>
        <w:rPr>
          <w:rFonts w:hint="eastAsia"/>
          <w:bCs/>
          <w:szCs w:val="28"/>
        </w:rPr>
        <w:t>扫描件及该证书在全国认证认可信息公共服务平台（http://</w:t>
      </w:r>
      <w:r>
        <w:rPr>
          <w:bCs/>
          <w:szCs w:val="28"/>
        </w:rPr>
        <w:t>cx</w:t>
      </w:r>
      <w:r>
        <w:rPr>
          <w:rFonts w:hint="eastAsia"/>
          <w:bCs/>
          <w:szCs w:val="28"/>
        </w:rPr>
        <w:t>.cnca.cn）查询结果网页截图，并加盖CA电子公章，两者</w:t>
      </w:r>
      <w:r>
        <w:rPr>
          <w:rFonts w:hint="eastAsia"/>
          <w:szCs w:val="28"/>
        </w:rPr>
        <w:t>缺一不可得分</w:t>
      </w:r>
      <w:r>
        <w:rPr>
          <w:rFonts w:hint="eastAsia"/>
          <w:bCs/>
          <w:szCs w:val="28"/>
        </w:rPr>
        <w:t>）</w:t>
      </w:r>
    </w:p>
    <w:p w14:paraId="5EA668A3">
      <w:pPr>
        <w:numPr>
          <w:ilvl w:val="0"/>
          <w:numId w:val="18"/>
        </w:numPr>
        <w:wordWrap w:val="0"/>
        <w:adjustRightInd w:val="0"/>
        <w:snapToGrid w:val="0"/>
        <w:ind w:firstLine="480" w:firstLineChars="200"/>
        <w:rPr>
          <w:rFonts w:cs="宋体"/>
          <w:szCs w:val="28"/>
        </w:rPr>
      </w:pPr>
      <w:r>
        <w:rPr>
          <w:rFonts w:hint="eastAsia"/>
          <w:szCs w:val="21"/>
        </w:rPr>
        <w:t>投标人具有国家认监委认可机构颁发的有效的</w:t>
      </w:r>
      <w:r>
        <w:rPr>
          <w:szCs w:val="21"/>
        </w:rPr>
        <w:t>ISO27001</w:t>
      </w:r>
      <w:r>
        <w:rPr>
          <w:rFonts w:hint="eastAsia"/>
          <w:szCs w:val="21"/>
        </w:rPr>
        <w:t>信息安全管理体系认证证书或者</w:t>
      </w:r>
      <w:r>
        <w:rPr>
          <w:szCs w:val="21"/>
        </w:rPr>
        <w:t>ISO2</w:t>
      </w:r>
      <w:r>
        <w:rPr>
          <w:rFonts w:hint="eastAsia"/>
          <w:szCs w:val="21"/>
        </w:rPr>
        <w:t>23</w:t>
      </w:r>
      <w:r>
        <w:rPr>
          <w:szCs w:val="21"/>
        </w:rPr>
        <w:t>01业务连续性体系认证证书</w:t>
      </w:r>
      <w:r>
        <w:rPr>
          <w:rFonts w:hint="eastAsia"/>
          <w:szCs w:val="21"/>
        </w:rPr>
        <w:t>的得2分，本项最多得2分。</w:t>
      </w:r>
      <w:r>
        <w:rPr>
          <w:rFonts w:hint="eastAsia"/>
          <w:bCs/>
          <w:szCs w:val="28"/>
        </w:rPr>
        <w:t>（</w:t>
      </w:r>
      <w:r>
        <w:rPr>
          <w:bCs/>
          <w:szCs w:val="28"/>
        </w:rPr>
        <w:t>提供</w:t>
      </w:r>
      <w:r>
        <w:rPr>
          <w:rFonts w:hint="eastAsia"/>
          <w:bCs/>
          <w:szCs w:val="28"/>
        </w:rPr>
        <w:t>认证</w:t>
      </w:r>
      <w:r>
        <w:rPr>
          <w:bCs/>
          <w:szCs w:val="28"/>
        </w:rPr>
        <w:t>证书</w:t>
      </w:r>
      <w:r>
        <w:rPr>
          <w:rFonts w:hint="eastAsia"/>
          <w:bCs/>
          <w:szCs w:val="28"/>
        </w:rPr>
        <w:t>扫描件及该证书在全国认证认可信息公共服务平台（http://</w:t>
      </w:r>
      <w:r>
        <w:rPr>
          <w:bCs/>
          <w:szCs w:val="28"/>
        </w:rPr>
        <w:t>cx</w:t>
      </w:r>
      <w:r>
        <w:rPr>
          <w:rFonts w:hint="eastAsia"/>
          <w:bCs/>
          <w:szCs w:val="28"/>
        </w:rPr>
        <w:t>.cnca.cn）查询结果网页截图，并加盖CA电子公章，两者</w:t>
      </w:r>
      <w:r>
        <w:rPr>
          <w:rFonts w:hint="eastAsia"/>
          <w:szCs w:val="28"/>
        </w:rPr>
        <w:t>缺一不可得分</w:t>
      </w:r>
      <w:r>
        <w:rPr>
          <w:rFonts w:hint="eastAsia"/>
          <w:bCs/>
          <w:szCs w:val="28"/>
        </w:rPr>
        <w:t>）</w:t>
      </w:r>
    </w:p>
    <w:p w14:paraId="414D24BE">
      <w:pPr>
        <w:numPr>
          <w:ilvl w:val="0"/>
          <w:numId w:val="18"/>
        </w:numPr>
        <w:wordWrap w:val="0"/>
        <w:adjustRightInd w:val="0"/>
        <w:snapToGrid w:val="0"/>
        <w:ind w:firstLine="480" w:firstLineChars="200"/>
        <w:rPr>
          <w:bCs/>
          <w:szCs w:val="28"/>
        </w:rPr>
      </w:pPr>
      <w:r>
        <w:rPr>
          <w:rFonts w:hint="eastAsia"/>
          <w:szCs w:val="21"/>
        </w:rPr>
        <w:t>投标人针对本项目</w:t>
      </w:r>
      <w:r>
        <w:rPr>
          <w:szCs w:val="21"/>
        </w:rPr>
        <w:t>拟派项目负责人</w:t>
      </w:r>
      <w:r>
        <w:rPr>
          <w:rFonts w:hint="eastAsia"/>
          <w:szCs w:val="21"/>
        </w:rPr>
        <w:t>：8分</w:t>
      </w:r>
    </w:p>
    <w:p w14:paraId="30C6FADB">
      <w:pPr>
        <w:wordWrap w:val="0"/>
        <w:adjustRightInd w:val="0"/>
        <w:snapToGrid w:val="0"/>
        <w:ind w:firstLine="480" w:firstLineChars="200"/>
        <w:rPr>
          <w:bCs/>
          <w:szCs w:val="28"/>
        </w:rPr>
      </w:pPr>
      <w:r>
        <w:rPr>
          <w:rFonts w:hint="eastAsia"/>
          <w:szCs w:val="21"/>
        </w:rPr>
        <w:t>（1）拟派项目负责人具有</w:t>
      </w:r>
      <w:r>
        <w:rPr>
          <w:szCs w:val="21"/>
        </w:rPr>
        <w:t>本科及以上学历且取得相应学位的</w:t>
      </w:r>
      <w:r>
        <w:rPr>
          <w:rFonts w:hint="eastAsia"/>
          <w:szCs w:val="21"/>
        </w:rPr>
        <w:t>得3分，</w:t>
      </w:r>
      <w:r>
        <w:rPr>
          <w:szCs w:val="21"/>
        </w:rPr>
        <w:t>大专学历</w:t>
      </w:r>
      <w:r>
        <w:rPr>
          <w:rFonts w:hint="eastAsia"/>
          <w:szCs w:val="21"/>
        </w:rPr>
        <w:t>得2分，</w:t>
      </w:r>
      <w:r>
        <w:rPr>
          <w:szCs w:val="21"/>
        </w:rPr>
        <w:t>中专学历</w:t>
      </w:r>
      <w:r>
        <w:rPr>
          <w:rFonts w:hint="eastAsia"/>
          <w:szCs w:val="21"/>
        </w:rPr>
        <w:t>得1分，本项最多得3分。</w:t>
      </w:r>
      <w:r>
        <w:rPr>
          <w:rFonts w:hint="eastAsia"/>
          <w:bCs/>
          <w:szCs w:val="28"/>
        </w:rPr>
        <w:t>（</w:t>
      </w:r>
      <w:r>
        <w:rPr>
          <w:bCs/>
          <w:szCs w:val="28"/>
        </w:rPr>
        <w:t>提供</w:t>
      </w:r>
      <w:r>
        <w:rPr>
          <w:szCs w:val="21"/>
        </w:rPr>
        <w:t>学历证书</w:t>
      </w:r>
      <w:r>
        <w:rPr>
          <w:rFonts w:hint="eastAsia"/>
          <w:szCs w:val="21"/>
        </w:rPr>
        <w:t>和</w:t>
      </w:r>
      <w:r>
        <w:rPr>
          <w:szCs w:val="21"/>
        </w:rPr>
        <w:t>学位证书（大专及以下学历无需提供）</w:t>
      </w:r>
      <w:r>
        <w:rPr>
          <w:rFonts w:hint="eastAsia"/>
          <w:szCs w:val="21"/>
        </w:rPr>
        <w:t>的</w:t>
      </w:r>
      <w:r>
        <w:rPr>
          <w:rFonts w:hint="eastAsia"/>
        </w:rPr>
        <w:t>扫描件</w:t>
      </w:r>
      <w:r>
        <w:rPr>
          <w:rFonts w:hint="eastAsia"/>
          <w:bCs/>
          <w:szCs w:val="28"/>
        </w:rPr>
        <w:t>并加盖CA电子公章，</w:t>
      </w:r>
      <w:r>
        <w:rPr>
          <w:bCs/>
          <w:szCs w:val="28"/>
        </w:rPr>
        <w:t>材料不全或未提供</w:t>
      </w:r>
      <w:r>
        <w:rPr>
          <w:rFonts w:hint="eastAsia"/>
          <w:szCs w:val="28"/>
        </w:rPr>
        <w:t>不可得分</w:t>
      </w:r>
      <w:r>
        <w:rPr>
          <w:rFonts w:hint="eastAsia"/>
          <w:bCs/>
          <w:szCs w:val="28"/>
        </w:rPr>
        <w:t>）</w:t>
      </w:r>
    </w:p>
    <w:p w14:paraId="745F9CCC">
      <w:pPr>
        <w:wordWrap w:val="0"/>
        <w:adjustRightInd w:val="0"/>
        <w:snapToGrid w:val="0"/>
        <w:ind w:firstLine="480" w:firstLineChars="200"/>
        <w:rPr>
          <w:bCs/>
          <w:szCs w:val="28"/>
        </w:rPr>
      </w:pPr>
      <w:r>
        <w:rPr>
          <w:rFonts w:hint="eastAsia"/>
          <w:szCs w:val="21"/>
        </w:rPr>
        <w:t>（2）拟派项目负责人</w:t>
      </w:r>
      <w:r>
        <w:rPr>
          <w:rFonts w:hint="eastAsia"/>
        </w:rPr>
        <w:t>具备</w:t>
      </w:r>
      <w:r>
        <w:t>门（急）诊导医导诊、客服（不含保洁、保安、护工等后勤类服务外包）项目</w:t>
      </w:r>
      <w:r>
        <w:rPr>
          <w:rFonts w:hint="eastAsia"/>
        </w:rPr>
        <w:t>作为项目负责人的管理经验</w:t>
      </w:r>
      <w:r>
        <w:t>，</w:t>
      </w:r>
      <w:r>
        <w:rPr>
          <w:rFonts w:hint="eastAsia"/>
        </w:rPr>
        <w:t>有五年及以上</w:t>
      </w:r>
      <w:r>
        <w:t>工作经验</w:t>
      </w:r>
      <w:r>
        <w:rPr>
          <w:rFonts w:hint="eastAsia"/>
        </w:rPr>
        <w:t>得3分，</w:t>
      </w:r>
      <w:r>
        <w:t>有三年及以上工作经验得2分，三年以下工作经验不得分</w:t>
      </w:r>
      <w:r>
        <w:rPr>
          <w:rFonts w:hint="eastAsia"/>
        </w:rPr>
        <w:t>，</w:t>
      </w:r>
      <w:r>
        <w:rPr>
          <w:rFonts w:hint="eastAsia"/>
          <w:szCs w:val="21"/>
        </w:rPr>
        <w:t>本项最多得3分</w:t>
      </w:r>
      <w:r>
        <w:t>。（提供合同原件扫描件加盖CA电子公章，不提供不得分；如合同中无法反映项目负责人姓名</w:t>
      </w:r>
      <w:r>
        <w:rPr>
          <w:rFonts w:hint="eastAsia"/>
        </w:rPr>
        <w:t>或作为此项目的</w:t>
      </w:r>
      <w:r>
        <w:t>项目负责人的</w:t>
      </w:r>
      <w:r>
        <w:rPr>
          <w:rFonts w:hint="eastAsia"/>
        </w:rPr>
        <w:t>，</w:t>
      </w:r>
      <w:r>
        <w:t>须提供</w:t>
      </w:r>
      <w:r>
        <w:rPr>
          <w:rFonts w:hint="eastAsia"/>
        </w:rPr>
        <w:t>加盖</w:t>
      </w:r>
      <w:r>
        <w:t>服务采购单位</w:t>
      </w:r>
      <w:r>
        <w:rPr>
          <w:rFonts w:hint="eastAsia"/>
          <w:szCs w:val="21"/>
        </w:rPr>
        <w:t>公章的</w:t>
      </w:r>
      <w:r>
        <w:t>书面证明材料（如工作经验证明）</w:t>
      </w:r>
      <w:r>
        <w:rPr>
          <w:rFonts w:hint="eastAsia"/>
        </w:rPr>
        <w:t>并加盖</w:t>
      </w:r>
      <w:r>
        <w:t>CA电子公章</w:t>
      </w:r>
      <w:r>
        <w:rPr>
          <w:rFonts w:hint="eastAsia" w:cs="宋体"/>
          <w:bCs/>
        </w:rPr>
        <w:t>，否则不予认可</w:t>
      </w:r>
      <w:r>
        <w:rPr>
          <w:rFonts w:hint="eastAsia"/>
          <w:bCs/>
          <w:szCs w:val="28"/>
        </w:rPr>
        <w:t>）</w:t>
      </w:r>
    </w:p>
    <w:p w14:paraId="5CD240BC">
      <w:pPr>
        <w:wordWrap w:val="0"/>
        <w:adjustRightInd w:val="0"/>
        <w:snapToGrid w:val="0"/>
        <w:ind w:firstLine="480" w:firstLineChars="200"/>
        <w:rPr>
          <w:bCs/>
          <w:szCs w:val="28"/>
        </w:rPr>
      </w:pPr>
      <w:r>
        <w:rPr>
          <w:rFonts w:hint="eastAsia"/>
          <w:szCs w:val="21"/>
        </w:rPr>
        <w:t>（3）拟派项目负责人具有</w:t>
      </w:r>
      <w:r>
        <w:rPr>
          <w:szCs w:val="21"/>
        </w:rPr>
        <w:t>人力资源和社会保障部门或其备案的评价机构颁发的</w:t>
      </w:r>
      <w:r>
        <w:t>企业人力资源管理职业技能等级证书三级</w:t>
      </w:r>
      <w:r>
        <w:rPr>
          <w:rFonts w:hint="eastAsia"/>
        </w:rPr>
        <w:t>及以上</w:t>
      </w:r>
      <w:r>
        <w:t>的得2分</w:t>
      </w:r>
      <w:r>
        <w:rPr>
          <w:rFonts w:hint="eastAsia"/>
        </w:rPr>
        <w:t>。</w:t>
      </w:r>
      <w:r>
        <w:t>（提供</w:t>
      </w:r>
      <w:r>
        <w:rPr>
          <w:bCs/>
          <w:szCs w:val="28"/>
        </w:rPr>
        <w:t>证书和该证书在“人力资源和社会保障用户中心”（https://www.12333.gov.cn/cas/login?service=https://zscx.osta.org.cn）查询结果网页截图</w:t>
      </w:r>
      <w:r>
        <w:rPr>
          <w:rFonts w:hint="eastAsia" w:cs="宋体"/>
          <w:szCs w:val="21"/>
        </w:rPr>
        <w:t>的扫描</w:t>
      </w:r>
      <w:r>
        <w:rPr>
          <w:rFonts w:hint="eastAsia"/>
          <w:bCs/>
          <w:szCs w:val="28"/>
        </w:rPr>
        <w:t>件并加盖CA电子公章，两者</w:t>
      </w:r>
      <w:r>
        <w:rPr>
          <w:rFonts w:hint="eastAsia"/>
          <w:szCs w:val="28"/>
        </w:rPr>
        <w:t>缺一不可得分</w:t>
      </w:r>
      <w:r>
        <w:rPr>
          <w:rFonts w:hint="eastAsia"/>
          <w:bCs/>
          <w:szCs w:val="28"/>
        </w:rPr>
        <w:t>）</w:t>
      </w:r>
    </w:p>
    <w:p w14:paraId="3A4C4B2C">
      <w:pPr>
        <w:numPr>
          <w:ilvl w:val="0"/>
          <w:numId w:val="18"/>
        </w:numPr>
        <w:wordWrap w:val="0"/>
        <w:adjustRightInd w:val="0"/>
        <w:snapToGrid w:val="0"/>
        <w:ind w:firstLine="480" w:firstLineChars="200"/>
        <w:rPr>
          <w:bCs/>
          <w:szCs w:val="28"/>
        </w:rPr>
      </w:pPr>
      <w:r>
        <w:rPr>
          <w:bCs/>
          <w:szCs w:val="28"/>
        </w:rPr>
        <w:t>投标人针对本项目</w:t>
      </w:r>
      <w:r>
        <w:rPr>
          <w:szCs w:val="21"/>
        </w:rPr>
        <w:t>拟投入项目团队（不含项目负责人）</w:t>
      </w:r>
      <w:r>
        <w:rPr>
          <w:bCs/>
          <w:szCs w:val="28"/>
        </w:rPr>
        <w:t>人员持有以下证书的</w:t>
      </w:r>
      <w:r>
        <w:rPr>
          <w:rFonts w:hint="eastAsia"/>
          <w:bCs/>
          <w:szCs w:val="28"/>
        </w:rPr>
        <w:t>，</w:t>
      </w:r>
      <w:r>
        <w:rPr>
          <w:bCs/>
          <w:szCs w:val="28"/>
        </w:rPr>
        <w:t>每类证书得2分，本项最多得</w:t>
      </w:r>
      <w:r>
        <w:rPr>
          <w:rFonts w:hint="eastAsia"/>
          <w:bCs/>
          <w:szCs w:val="28"/>
        </w:rPr>
        <w:t>4</w:t>
      </w:r>
      <w:r>
        <w:rPr>
          <w:bCs/>
          <w:szCs w:val="28"/>
        </w:rPr>
        <w:t>分</w:t>
      </w:r>
      <w:r>
        <w:rPr>
          <w:szCs w:val="21"/>
        </w:rPr>
        <w:t>（提供相关证书的原件扫描件并加盖CA电子公章，不提供</w:t>
      </w:r>
      <w:r>
        <w:rPr>
          <w:rFonts w:hint="eastAsia"/>
          <w:szCs w:val="21"/>
        </w:rPr>
        <w:t>对应证书评分项</w:t>
      </w:r>
      <w:r>
        <w:rPr>
          <w:szCs w:val="21"/>
        </w:rPr>
        <w:t>不得分</w:t>
      </w:r>
      <w:r>
        <w:rPr>
          <w:rFonts w:hint="eastAsia"/>
          <w:szCs w:val="21"/>
        </w:rPr>
        <w:t>；</w:t>
      </w:r>
      <w:r>
        <w:rPr>
          <w:szCs w:val="21"/>
        </w:rPr>
        <w:t>同一人员持有多类证书的，可累计计分）</w:t>
      </w:r>
    </w:p>
    <w:p w14:paraId="6B64C696">
      <w:pPr>
        <w:wordWrap w:val="0"/>
        <w:adjustRightInd w:val="0"/>
        <w:snapToGrid w:val="0"/>
        <w:ind w:firstLine="480" w:firstLineChars="200"/>
        <w:rPr>
          <w:szCs w:val="21"/>
        </w:rPr>
      </w:pPr>
      <w:r>
        <w:rPr>
          <w:rFonts w:hint="eastAsia"/>
          <w:szCs w:val="21"/>
        </w:rPr>
        <w:t>（1）持有应急救援员国家职业资格证书或职业技能等级证书（证书须在有效期内，由省级及以上应急管理部门或人社部备案的评价机构颁发</w:t>
      </w:r>
      <w:r>
        <w:rPr>
          <w:rFonts w:hint="eastAsia" w:cs="宋体"/>
          <w:bCs/>
        </w:rPr>
        <w:t>，否则不予认可</w:t>
      </w:r>
      <w:r>
        <w:rPr>
          <w:rFonts w:hint="eastAsia"/>
          <w:szCs w:val="21"/>
        </w:rPr>
        <w:t>）；</w:t>
      </w:r>
    </w:p>
    <w:p w14:paraId="54AA9EF0">
      <w:pPr>
        <w:wordWrap w:val="0"/>
        <w:adjustRightInd w:val="0"/>
        <w:snapToGrid w:val="0"/>
        <w:ind w:firstLine="480" w:firstLineChars="200"/>
        <w:rPr>
          <w:szCs w:val="21"/>
        </w:rPr>
      </w:pPr>
      <w:r>
        <w:rPr>
          <w:rFonts w:hint="eastAsia"/>
          <w:szCs w:val="21"/>
        </w:rPr>
        <w:t>（2）持有劳动关系协调员职业技能等级证书（由人社部备案的职业技能等级认定评价机构颁发，全国联网可查</w:t>
      </w:r>
      <w:r>
        <w:rPr>
          <w:rFonts w:hint="eastAsia" w:cs="宋体"/>
          <w:bCs/>
        </w:rPr>
        <w:t>，否则不予认可</w:t>
      </w:r>
      <w:r>
        <w:rPr>
          <w:rFonts w:hint="eastAsia"/>
          <w:szCs w:val="21"/>
        </w:rPr>
        <w:t>）；</w:t>
      </w:r>
    </w:p>
    <w:p w14:paraId="777D6AC8">
      <w:pPr>
        <w:numPr>
          <w:ilvl w:val="0"/>
          <w:numId w:val="18"/>
        </w:numPr>
        <w:wordWrap w:val="0"/>
        <w:adjustRightInd w:val="0"/>
        <w:snapToGrid w:val="0"/>
        <w:ind w:firstLine="480" w:firstLineChars="200"/>
        <w:rPr>
          <w:rFonts w:cs="宋体"/>
          <w:szCs w:val="28"/>
        </w:rPr>
      </w:pPr>
      <w:r>
        <w:rPr>
          <w:rFonts w:hint="eastAsia" w:cs="宋体"/>
          <w:szCs w:val="28"/>
        </w:rPr>
        <w:t>投标人自</w:t>
      </w:r>
      <w:r>
        <w:rPr>
          <w:rFonts w:hint="eastAsia"/>
          <w:szCs w:val="21"/>
        </w:rPr>
        <w:t>20</w:t>
      </w:r>
      <w:r>
        <w:rPr>
          <w:szCs w:val="21"/>
        </w:rPr>
        <w:t>2</w:t>
      </w:r>
      <w:r>
        <w:rPr>
          <w:rFonts w:hint="eastAsia"/>
          <w:szCs w:val="21"/>
        </w:rPr>
        <w:t>3年</w:t>
      </w:r>
      <w:r>
        <w:rPr>
          <w:szCs w:val="21"/>
        </w:rPr>
        <w:t>1</w:t>
      </w:r>
      <w:r>
        <w:rPr>
          <w:rFonts w:hint="eastAsia"/>
          <w:szCs w:val="21"/>
        </w:rPr>
        <w:t>月1日（指</w:t>
      </w:r>
      <w:r>
        <w:rPr>
          <w:szCs w:val="21"/>
        </w:rPr>
        <w:t>合同</w:t>
      </w:r>
      <w:r>
        <w:rPr>
          <w:rFonts w:hint="eastAsia"/>
          <w:szCs w:val="21"/>
        </w:rPr>
        <w:t>签订日期）以来承接过</w:t>
      </w:r>
      <w:r>
        <w:rPr>
          <w:rFonts w:hint="eastAsia"/>
          <w:szCs w:val="28"/>
          <w:lang w:val="zh-CN"/>
        </w:rPr>
        <w:t>门（急）诊导医导诊</w:t>
      </w:r>
      <w:r>
        <w:rPr>
          <w:szCs w:val="28"/>
          <w:lang w:val="zh-CN"/>
        </w:rPr>
        <w:t>、客服</w:t>
      </w:r>
      <w:r>
        <w:rPr>
          <w:rFonts w:hint="eastAsia"/>
          <w:szCs w:val="21"/>
        </w:rPr>
        <w:t>（</w:t>
      </w:r>
      <w:r>
        <w:rPr>
          <w:rFonts w:hint="eastAsia"/>
          <w:szCs w:val="28"/>
          <w:lang w:val="zh-CN"/>
        </w:rPr>
        <w:t>不含保洁、保安</w:t>
      </w:r>
      <w:r>
        <w:rPr>
          <w:rFonts w:hint="eastAsia"/>
          <w:szCs w:val="21"/>
        </w:rPr>
        <w:t>、护工</w:t>
      </w:r>
      <w:r>
        <w:rPr>
          <w:rFonts w:hint="eastAsia"/>
          <w:szCs w:val="28"/>
          <w:lang w:val="zh-CN"/>
        </w:rPr>
        <w:t>等后勤类服务外包</w:t>
      </w:r>
      <w:r>
        <w:rPr>
          <w:rFonts w:hint="eastAsia"/>
          <w:szCs w:val="21"/>
        </w:rPr>
        <w:t>）项目成功案例，每提供一个成功案例得2分，本项最多得10分</w:t>
      </w:r>
      <w:r>
        <w:rPr>
          <w:rFonts w:hint="eastAsia"/>
          <w:szCs w:val="28"/>
        </w:rPr>
        <w:t>。</w:t>
      </w:r>
      <w:r>
        <w:rPr>
          <w:rFonts w:hint="eastAsia"/>
          <w:szCs w:val="21"/>
        </w:rPr>
        <w:t>（提供</w:t>
      </w:r>
      <w:r>
        <w:rPr>
          <w:rFonts w:hint="eastAsia"/>
          <w:bCs/>
          <w:szCs w:val="28"/>
        </w:rPr>
        <w:t>合同</w:t>
      </w:r>
      <w:r>
        <w:rPr>
          <w:rFonts w:hint="eastAsia"/>
        </w:rPr>
        <w:t>原件</w:t>
      </w:r>
      <w:r>
        <w:rPr>
          <w:rFonts w:hint="eastAsia"/>
          <w:bCs/>
          <w:szCs w:val="28"/>
        </w:rPr>
        <w:t>扫描件并加盖CA电子公章</w:t>
      </w:r>
      <w:r>
        <w:rPr>
          <w:rFonts w:hint="eastAsia"/>
          <w:szCs w:val="21"/>
        </w:rPr>
        <w:t>，</w:t>
      </w:r>
      <w:r>
        <w:rPr>
          <w:szCs w:val="28"/>
        </w:rPr>
        <w:t>不提供不得分</w:t>
      </w:r>
      <w:r>
        <w:rPr>
          <w:rFonts w:hint="eastAsia"/>
          <w:bCs/>
          <w:szCs w:val="28"/>
        </w:rPr>
        <w:t>；</w:t>
      </w:r>
      <w:r>
        <w:rPr>
          <w:rFonts w:hint="eastAsia"/>
          <w:szCs w:val="24"/>
        </w:rPr>
        <w:t>同一甲方多次、多年度委托的同一家单位的，只计算一次分值</w:t>
      </w:r>
      <w:r>
        <w:rPr>
          <w:rFonts w:hint="eastAsia"/>
          <w:szCs w:val="21"/>
        </w:rPr>
        <w:t>）</w:t>
      </w:r>
    </w:p>
    <w:p w14:paraId="2B9D9D82">
      <w:pPr>
        <w:numPr>
          <w:ilvl w:val="0"/>
          <w:numId w:val="18"/>
        </w:numPr>
        <w:wordWrap w:val="0"/>
        <w:adjustRightInd w:val="0"/>
        <w:snapToGrid w:val="0"/>
        <w:ind w:firstLine="480" w:firstLineChars="200"/>
        <w:rPr>
          <w:rFonts w:cs="宋体"/>
          <w:szCs w:val="28"/>
        </w:rPr>
      </w:pPr>
      <w:r>
        <w:rPr>
          <w:rFonts w:cs="宋体"/>
          <w:szCs w:val="28"/>
        </w:rPr>
        <w:t>投标人承接</w:t>
      </w:r>
      <w:r>
        <w:rPr>
          <w:rFonts w:hint="eastAsia" w:cs="宋体"/>
          <w:szCs w:val="28"/>
        </w:rPr>
        <w:t>的</w:t>
      </w:r>
      <w:r>
        <w:rPr>
          <w:rFonts w:cs="宋体"/>
          <w:szCs w:val="28"/>
        </w:rPr>
        <w:t>门（急）诊导医导诊、客服（不含保洁、保安、护工等后勤类服务外包）项目</w:t>
      </w:r>
      <w:r>
        <w:rPr>
          <w:rFonts w:hint="eastAsia" w:cs="宋体"/>
          <w:szCs w:val="28"/>
        </w:rPr>
        <w:t>获得</w:t>
      </w:r>
      <w:r>
        <w:rPr>
          <w:rFonts w:hint="eastAsia"/>
          <w:szCs w:val="21"/>
        </w:rPr>
        <w:t>满意或优秀的服务评价</w:t>
      </w:r>
      <w:r>
        <w:rPr>
          <w:rFonts w:cs="宋体"/>
          <w:szCs w:val="28"/>
        </w:rPr>
        <w:t>，每提供一个</w:t>
      </w:r>
      <w:r>
        <w:rPr>
          <w:rFonts w:hint="eastAsia"/>
          <w:szCs w:val="21"/>
        </w:rPr>
        <w:t>满意或优秀的服务评价</w:t>
      </w:r>
      <w:r>
        <w:rPr>
          <w:rFonts w:cs="宋体"/>
          <w:szCs w:val="28"/>
        </w:rPr>
        <w:t>得1分，本项最多得</w:t>
      </w:r>
      <w:r>
        <w:rPr>
          <w:rFonts w:hint="eastAsia" w:cs="宋体"/>
          <w:szCs w:val="28"/>
        </w:rPr>
        <w:t>5</w:t>
      </w:r>
      <w:r>
        <w:rPr>
          <w:rFonts w:cs="宋体"/>
          <w:szCs w:val="28"/>
        </w:rPr>
        <w:t>分</w:t>
      </w:r>
      <w:r>
        <w:rPr>
          <w:rFonts w:hint="eastAsia" w:cs="宋体"/>
          <w:szCs w:val="28"/>
        </w:rPr>
        <w:t>。</w:t>
      </w:r>
      <w:r>
        <w:rPr>
          <w:rFonts w:hint="eastAsia"/>
          <w:szCs w:val="21"/>
        </w:rPr>
        <w:t>（提供加盖被服务单位或被服务单位主管部门公章的服务评价（服务评价为满意或优秀）证明的</w:t>
      </w:r>
      <w:r>
        <w:rPr>
          <w:rFonts w:hint="eastAsia"/>
        </w:rPr>
        <w:t>原件</w:t>
      </w:r>
      <w:r>
        <w:rPr>
          <w:rFonts w:hint="eastAsia"/>
          <w:bCs/>
          <w:szCs w:val="28"/>
        </w:rPr>
        <w:t>扫描件</w:t>
      </w:r>
      <w:r>
        <w:rPr>
          <w:rFonts w:hint="eastAsia"/>
          <w:szCs w:val="21"/>
        </w:rPr>
        <w:t>，同时提供被服务单位联系人、联系电话，</w:t>
      </w:r>
      <w:r>
        <w:rPr>
          <w:rFonts w:hint="eastAsia"/>
          <w:bCs/>
          <w:szCs w:val="28"/>
        </w:rPr>
        <w:t>并加盖CA电子公章</w:t>
      </w:r>
      <w:r>
        <w:rPr>
          <w:rFonts w:hint="eastAsia"/>
          <w:szCs w:val="21"/>
        </w:rPr>
        <w:t>，</w:t>
      </w:r>
      <w:r>
        <w:rPr>
          <w:rFonts w:hint="eastAsia"/>
          <w:szCs w:val="28"/>
        </w:rPr>
        <w:t>缺一不可得分</w:t>
      </w:r>
      <w:r>
        <w:rPr>
          <w:rFonts w:hint="eastAsia"/>
          <w:bCs/>
          <w:szCs w:val="28"/>
        </w:rPr>
        <w:t>；</w:t>
      </w:r>
      <w:r>
        <w:rPr>
          <w:rFonts w:hint="eastAsia"/>
          <w:szCs w:val="24"/>
        </w:rPr>
        <w:t>同一甲方多次、多年度委托的同一家单位的，只计算一次分值；所提供业绩可与上一条评分重复计分</w:t>
      </w:r>
      <w:r>
        <w:rPr>
          <w:rFonts w:hint="eastAsia"/>
          <w:szCs w:val="21"/>
        </w:rPr>
        <w:t>）</w:t>
      </w:r>
    </w:p>
    <w:p w14:paraId="58BFEDBD">
      <w:pPr>
        <w:numPr>
          <w:ilvl w:val="0"/>
          <w:numId w:val="18"/>
        </w:numPr>
        <w:wordWrap w:val="0"/>
        <w:adjustRightInd w:val="0"/>
        <w:snapToGrid w:val="0"/>
        <w:ind w:firstLine="480" w:firstLineChars="200"/>
        <w:rPr>
          <w:rFonts w:cs="Arial"/>
          <w:bCs/>
        </w:rPr>
      </w:pPr>
      <w:r>
        <w:rPr>
          <w:rFonts w:cs="Arial"/>
          <w:bCs/>
        </w:rPr>
        <w:t>供应商具有支持本项目的信息化运营管理软件平台</w:t>
      </w:r>
      <w:r>
        <w:rPr>
          <w:rFonts w:hint="eastAsia" w:cs="Arial"/>
          <w:bCs/>
        </w:rPr>
        <w:t>的</w:t>
      </w:r>
      <w:r>
        <w:rPr>
          <w:rFonts w:cs="Arial"/>
          <w:bCs/>
        </w:rPr>
        <w:t>得5分</w:t>
      </w:r>
      <w:r>
        <w:rPr>
          <w:rFonts w:hint="eastAsia" w:cs="Arial"/>
          <w:bCs/>
        </w:rPr>
        <w:t>。</w:t>
      </w:r>
    </w:p>
    <w:p w14:paraId="7C8A0E50">
      <w:pPr>
        <w:pStyle w:val="48"/>
        <w:wordWrap w:val="0"/>
        <w:ind w:firstLine="480"/>
        <w:rPr>
          <w:rFonts w:cs="Arial"/>
          <w:bCs/>
        </w:rPr>
      </w:pPr>
      <w:r>
        <w:rPr>
          <w:rFonts w:cs="Arial"/>
          <w:bCs/>
        </w:rPr>
        <w:t>提供系统可操作界面截图软件</w:t>
      </w:r>
      <w:r>
        <w:rPr>
          <w:rFonts w:hint="eastAsia" w:cs="Arial"/>
          <w:bCs/>
        </w:rPr>
        <w:t>、</w:t>
      </w:r>
      <w:r>
        <w:rPr>
          <w:rFonts w:cs="Arial"/>
          <w:bCs/>
        </w:rPr>
        <w:t>著作权证书的原件扫描件</w:t>
      </w:r>
      <w:r>
        <w:rPr>
          <w:rFonts w:hint="eastAsia" w:cs="Arial"/>
          <w:bCs/>
        </w:rPr>
        <w:t>，或者提供签订合同前会配备</w:t>
      </w:r>
      <w:r>
        <w:rPr>
          <w:rFonts w:cs="Arial"/>
          <w:bCs/>
        </w:rPr>
        <w:t>信息化运营管理软件平台</w:t>
      </w:r>
      <w:r>
        <w:rPr>
          <w:rFonts w:hint="eastAsia" w:cs="Arial"/>
          <w:bCs/>
        </w:rPr>
        <w:t>的承诺书（承诺书格式自拟，</w:t>
      </w:r>
      <w:r>
        <w:rPr>
          <w:rFonts w:cs="Arial"/>
          <w:bCs/>
        </w:rPr>
        <w:t>并加盖CA电子公章</w:t>
      </w:r>
      <w:r>
        <w:rPr>
          <w:rFonts w:hint="eastAsia" w:cs="Arial"/>
          <w:bCs/>
        </w:rPr>
        <w:t>）</w:t>
      </w:r>
      <w:r>
        <w:rPr>
          <w:rFonts w:cs="Arial"/>
          <w:bCs/>
        </w:rPr>
        <w:t>。</w:t>
      </w:r>
      <w:r>
        <w:rPr>
          <w:rFonts w:hint="eastAsia" w:cs="Arial"/>
          <w:bCs/>
        </w:rPr>
        <w:t>提供承诺书的需在签订合同前提供项目</w:t>
      </w:r>
      <w:r>
        <w:rPr>
          <w:rFonts w:cs="Arial"/>
          <w:bCs/>
        </w:rPr>
        <w:t>信息化运营管理软件</w:t>
      </w:r>
      <w:r>
        <w:rPr>
          <w:rFonts w:hint="eastAsia" w:cs="Arial"/>
          <w:bCs/>
        </w:rPr>
        <w:t>及著作权证书的原件供采购人查验，如不实取消中标资格。</w:t>
      </w:r>
    </w:p>
    <w:p w14:paraId="52B42311">
      <w:pPr>
        <w:pStyle w:val="48"/>
        <w:wordWrap w:val="0"/>
        <w:ind w:firstLine="480"/>
        <w:rPr>
          <w:rFonts w:cs="Arial"/>
          <w:bCs/>
        </w:rPr>
      </w:pPr>
      <w:r>
        <w:rPr>
          <w:rFonts w:hint="eastAsia" w:cs="Arial"/>
          <w:bCs/>
        </w:rPr>
        <w:t>注：所有参与评分人员必须提供自</w:t>
      </w:r>
      <w:r>
        <w:rPr>
          <w:rFonts w:cs="Arial"/>
          <w:bCs/>
        </w:rPr>
        <w:t>2026年3月1日以来任意1个月投标人为其缴纳的社保证明的扫描件并加盖CA电子公章</w:t>
      </w:r>
      <w:r>
        <w:rPr>
          <w:rFonts w:hint="eastAsia" w:cs="Arial"/>
          <w:bCs/>
        </w:rPr>
        <w:t>，</w:t>
      </w:r>
      <w:r>
        <w:rPr>
          <w:rFonts w:hint="eastAsia" w:cs="宋体"/>
          <w:bCs/>
        </w:rPr>
        <w:t>否则不予认可。</w:t>
      </w:r>
    </w:p>
    <w:p w14:paraId="3B13A2A2">
      <w:pPr>
        <w:wordWrap w:val="0"/>
        <w:adjustRightInd w:val="0"/>
        <w:snapToGrid w:val="0"/>
        <w:jc w:val="center"/>
        <w:outlineLvl w:val="0"/>
        <w:rPr>
          <w:b/>
          <w:sz w:val="36"/>
        </w:rPr>
      </w:pPr>
      <w:r>
        <w:rPr>
          <w:szCs w:val="24"/>
        </w:rPr>
        <w:br w:type="page"/>
      </w:r>
      <w:bookmarkStart w:id="202" w:name="_Toc394695600"/>
      <w:bookmarkStart w:id="203" w:name="_Toc352708925"/>
      <w:bookmarkStart w:id="204" w:name="_Toc152042387"/>
      <w:bookmarkStart w:id="205" w:name="_Toc144974577"/>
      <w:bookmarkStart w:id="206" w:name="_Toc179632627"/>
      <w:bookmarkStart w:id="207" w:name="_Toc152045609"/>
      <w:bookmarkStart w:id="208" w:name="_Toc57992055"/>
      <w:bookmarkStart w:id="209" w:name="_Toc57992164"/>
      <w:bookmarkStart w:id="210" w:name="_Toc242781703"/>
      <w:bookmarkStart w:id="211" w:name="_Toc57992795"/>
      <w:bookmarkStart w:id="212" w:name="_Toc57991136"/>
      <w:bookmarkStart w:id="213" w:name="_Toc57991632"/>
      <w:bookmarkStart w:id="214" w:name="_Toc57992316"/>
      <w:r>
        <w:rPr>
          <w:rFonts w:hint="eastAsia"/>
          <w:b/>
          <w:sz w:val="36"/>
        </w:rPr>
        <w:t>第四</w:t>
      </w:r>
      <w:bookmarkEnd w:id="202"/>
      <w:bookmarkEnd w:id="203"/>
      <w:bookmarkEnd w:id="204"/>
      <w:bookmarkEnd w:id="205"/>
      <w:bookmarkEnd w:id="206"/>
      <w:bookmarkEnd w:id="207"/>
      <w:r>
        <w:rPr>
          <w:rFonts w:hint="eastAsia"/>
          <w:b/>
          <w:sz w:val="36"/>
        </w:rPr>
        <w:t>章  合同条款及格式</w:t>
      </w:r>
      <w:bookmarkEnd w:id="208"/>
      <w:bookmarkEnd w:id="209"/>
      <w:bookmarkEnd w:id="210"/>
      <w:bookmarkEnd w:id="211"/>
      <w:bookmarkEnd w:id="212"/>
      <w:bookmarkEnd w:id="213"/>
      <w:bookmarkEnd w:id="214"/>
    </w:p>
    <w:p w14:paraId="7B52ED46">
      <w:pPr>
        <w:wordWrap w:val="0"/>
        <w:adjustRightInd w:val="0"/>
        <w:snapToGrid w:val="0"/>
        <w:ind w:firstLine="480" w:firstLineChars="200"/>
        <w:rPr>
          <w:bCs/>
          <w:szCs w:val="28"/>
        </w:rPr>
      </w:pPr>
      <w:bookmarkStart w:id="215" w:name="_Toc57992796"/>
      <w:bookmarkStart w:id="216" w:name="_Toc57992088"/>
      <w:bookmarkStart w:id="217" w:name="_Toc57991702"/>
      <w:bookmarkStart w:id="218" w:name="_Toc57991137"/>
      <w:bookmarkStart w:id="219" w:name="_Toc57992386"/>
      <w:bookmarkStart w:id="220" w:name="_Toc57992234"/>
      <w:r>
        <w:rPr>
          <w:rFonts w:hint="eastAsia"/>
          <w:bCs/>
          <w:szCs w:val="28"/>
        </w:rPr>
        <w:t>注：以下为采购人提出中标后签订本项目合同的条款，投标人必须实质性响应，中标人不得提出实质性的修改，关于专用条款将由采购人与中标人结合本项目具体情况协商后签订。</w:t>
      </w:r>
    </w:p>
    <w:p w14:paraId="3765A11F">
      <w:pPr>
        <w:wordWrap w:val="0"/>
        <w:adjustRightInd w:val="0"/>
        <w:snapToGrid w:val="0"/>
        <w:rPr>
          <w:bCs/>
          <w:szCs w:val="28"/>
        </w:rPr>
      </w:pPr>
    </w:p>
    <w:p w14:paraId="1ACD58A3">
      <w:pPr>
        <w:wordWrap w:val="0"/>
        <w:rPr>
          <w:bCs/>
          <w:szCs w:val="28"/>
        </w:rPr>
      </w:pPr>
    </w:p>
    <w:p w14:paraId="52CE1BC3">
      <w:pPr>
        <w:pStyle w:val="68"/>
        <w:tabs>
          <w:tab w:val="left" w:pos="0"/>
          <w:tab w:val="left" w:pos="510"/>
          <w:tab w:val="left" w:pos="567"/>
          <w:tab w:val="left" w:pos="601"/>
        </w:tabs>
        <w:jc w:val="center"/>
        <w:rPr>
          <w:rFonts w:cs="黑体"/>
          <w:b/>
          <w:bCs/>
          <w:spacing w:val="20"/>
          <w:w w:val="90"/>
          <w:sz w:val="70"/>
          <w:szCs w:val="70"/>
        </w:rPr>
      </w:pPr>
    </w:p>
    <w:p w14:paraId="480BEAAC">
      <w:pPr>
        <w:pStyle w:val="68"/>
        <w:tabs>
          <w:tab w:val="left" w:pos="0"/>
          <w:tab w:val="left" w:pos="510"/>
          <w:tab w:val="left" w:pos="567"/>
          <w:tab w:val="left" w:pos="601"/>
        </w:tabs>
        <w:jc w:val="center"/>
        <w:rPr>
          <w:rFonts w:cs="黑体"/>
          <w:b/>
          <w:bCs/>
          <w:spacing w:val="20"/>
          <w:w w:val="90"/>
          <w:sz w:val="70"/>
          <w:szCs w:val="70"/>
        </w:rPr>
      </w:pPr>
    </w:p>
    <w:p w14:paraId="0C36925E">
      <w:pPr>
        <w:pStyle w:val="68"/>
        <w:tabs>
          <w:tab w:val="left" w:pos="0"/>
          <w:tab w:val="left" w:pos="510"/>
          <w:tab w:val="left" w:pos="567"/>
          <w:tab w:val="left" w:pos="601"/>
        </w:tabs>
        <w:jc w:val="center"/>
        <w:rPr>
          <w:rFonts w:cs="黑体"/>
          <w:b/>
          <w:bCs/>
          <w:spacing w:val="20"/>
          <w:w w:val="90"/>
          <w:sz w:val="70"/>
          <w:szCs w:val="70"/>
        </w:rPr>
      </w:pPr>
      <w:r>
        <w:rPr>
          <w:rFonts w:hint="eastAsia" w:cs="黑体"/>
          <w:b/>
          <w:bCs/>
          <w:spacing w:val="20"/>
          <w:w w:val="90"/>
          <w:sz w:val="70"/>
          <w:szCs w:val="70"/>
        </w:rPr>
        <w:t xml:space="preserve"> 门急诊服务外包项目合同</w:t>
      </w:r>
    </w:p>
    <w:p w14:paraId="2499D75F">
      <w:pPr>
        <w:pStyle w:val="68"/>
        <w:tabs>
          <w:tab w:val="left" w:pos="0"/>
          <w:tab w:val="left" w:pos="510"/>
          <w:tab w:val="left" w:pos="567"/>
          <w:tab w:val="left" w:pos="601"/>
        </w:tabs>
        <w:rPr>
          <w:rFonts w:eastAsia="黑体" w:cs="黑体"/>
          <w:b/>
          <w:bCs/>
          <w:sz w:val="70"/>
          <w:szCs w:val="70"/>
        </w:rPr>
      </w:pPr>
    </w:p>
    <w:p w14:paraId="3CE82C55">
      <w:pPr>
        <w:pStyle w:val="68"/>
        <w:tabs>
          <w:tab w:val="left" w:pos="0"/>
          <w:tab w:val="left" w:pos="510"/>
          <w:tab w:val="left" w:pos="567"/>
          <w:tab w:val="left" w:pos="601"/>
        </w:tabs>
        <w:rPr>
          <w:rFonts w:eastAsia="黑体" w:cs="黑体"/>
          <w:b/>
          <w:bCs/>
          <w:sz w:val="70"/>
          <w:szCs w:val="70"/>
        </w:rPr>
      </w:pPr>
    </w:p>
    <w:p w14:paraId="31F98408">
      <w:pPr>
        <w:pStyle w:val="68"/>
        <w:tabs>
          <w:tab w:val="left" w:pos="0"/>
          <w:tab w:val="left" w:pos="510"/>
          <w:tab w:val="left" w:pos="567"/>
          <w:tab w:val="left" w:pos="601"/>
        </w:tabs>
        <w:rPr>
          <w:rFonts w:eastAsia="黑体" w:cs="黑体"/>
          <w:b/>
          <w:bCs/>
          <w:sz w:val="70"/>
          <w:szCs w:val="70"/>
        </w:rPr>
      </w:pPr>
    </w:p>
    <w:p w14:paraId="4C4B07DD">
      <w:pPr>
        <w:pStyle w:val="68"/>
        <w:tabs>
          <w:tab w:val="left" w:pos="0"/>
          <w:tab w:val="left" w:pos="510"/>
          <w:tab w:val="left" w:pos="567"/>
          <w:tab w:val="left" w:pos="601"/>
        </w:tabs>
        <w:rPr>
          <w:rFonts w:eastAsia="黑体" w:cs="黑体"/>
          <w:b/>
          <w:bCs/>
          <w:sz w:val="70"/>
          <w:szCs w:val="70"/>
        </w:rPr>
      </w:pPr>
    </w:p>
    <w:p w14:paraId="757984C5">
      <w:pPr>
        <w:pStyle w:val="68"/>
        <w:tabs>
          <w:tab w:val="left" w:pos="0"/>
          <w:tab w:val="left" w:pos="510"/>
          <w:tab w:val="left" w:pos="567"/>
          <w:tab w:val="left" w:pos="601"/>
        </w:tabs>
        <w:rPr>
          <w:rFonts w:eastAsia="黑体" w:cs="黑体"/>
          <w:b/>
          <w:bCs/>
          <w:sz w:val="70"/>
          <w:szCs w:val="70"/>
        </w:rPr>
      </w:pPr>
    </w:p>
    <w:p w14:paraId="51E77173">
      <w:pPr>
        <w:pStyle w:val="29"/>
        <w:ind w:left="1440" w:leftChars="600" w:firstLine="601"/>
        <w:rPr>
          <w:rFonts w:ascii="Times New Roman" w:hAnsi="Times New Roman"/>
          <w:b/>
          <w:sz w:val="30"/>
          <w:szCs w:val="30"/>
          <w:u w:val="single"/>
        </w:rPr>
      </w:pPr>
      <w:r>
        <w:rPr>
          <w:rFonts w:hint="eastAsia" w:ascii="Times New Roman" w:hAnsi="Times New Roman"/>
          <w:b/>
          <w:sz w:val="30"/>
          <w:szCs w:val="30"/>
        </w:rPr>
        <w:t>甲方：</w:t>
      </w:r>
      <w:r>
        <w:rPr>
          <w:rFonts w:hint="eastAsia" w:ascii="Times New Roman" w:hAnsi="Times New Roman"/>
          <w:b/>
          <w:sz w:val="30"/>
          <w:szCs w:val="30"/>
          <w:u w:val="single"/>
        </w:rPr>
        <w:t xml:space="preserve">    </w:t>
      </w:r>
      <w:r>
        <w:rPr>
          <w:rFonts w:hint="eastAsia" w:ascii="Times New Roman" w:hAnsi="Times New Roman"/>
          <w:sz w:val="30"/>
          <w:szCs w:val="30"/>
          <w:u w:val="single"/>
        </w:rPr>
        <w:t xml:space="preserve"> </w:t>
      </w:r>
      <w:r>
        <w:rPr>
          <w:rFonts w:ascii="Times New Roman" w:hAnsi="Times New Roman"/>
          <w:sz w:val="30"/>
          <w:szCs w:val="30"/>
          <w:u w:val="single"/>
        </w:rPr>
        <w:t xml:space="preserve">                    </w:t>
      </w:r>
      <w:r>
        <w:rPr>
          <w:rFonts w:hint="eastAsia" w:ascii="Times New Roman" w:hAnsi="Times New Roman"/>
          <w:sz w:val="30"/>
          <w:szCs w:val="30"/>
          <w:u w:val="single"/>
        </w:rPr>
        <w:t xml:space="preserve">       </w:t>
      </w:r>
    </w:p>
    <w:p w14:paraId="36F83A98">
      <w:pPr>
        <w:pStyle w:val="29"/>
        <w:ind w:left="1440" w:leftChars="600" w:firstLine="601"/>
        <w:rPr>
          <w:rFonts w:ascii="Times New Roman" w:hAnsi="Times New Roman"/>
          <w:b/>
          <w:sz w:val="30"/>
          <w:szCs w:val="30"/>
          <w:u w:val="single"/>
        </w:rPr>
      </w:pPr>
      <w:r>
        <w:rPr>
          <w:rFonts w:hint="eastAsia" w:ascii="Times New Roman" w:hAnsi="Times New Roman"/>
          <w:b/>
          <w:sz w:val="30"/>
          <w:szCs w:val="30"/>
        </w:rPr>
        <w:t>乙方：</w:t>
      </w:r>
      <w:r>
        <w:rPr>
          <w:rFonts w:hint="eastAsia" w:ascii="Times New Roman" w:hAnsi="Times New Roman"/>
          <w:b/>
          <w:sz w:val="30"/>
          <w:szCs w:val="30"/>
          <w:u w:val="single"/>
        </w:rPr>
        <w:t xml:space="preserve">   </w:t>
      </w:r>
      <w:r>
        <w:rPr>
          <w:rFonts w:hint="eastAsia" w:ascii="Times New Roman" w:hAnsi="Times New Roman"/>
          <w:sz w:val="30"/>
          <w:szCs w:val="30"/>
          <w:u w:val="single"/>
        </w:rPr>
        <w:t xml:space="preserve"> </w:t>
      </w:r>
      <w:r>
        <w:rPr>
          <w:rFonts w:ascii="Times New Roman" w:hAnsi="Times New Roman"/>
          <w:sz w:val="30"/>
          <w:szCs w:val="30"/>
          <w:u w:val="single"/>
        </w:rPr>
        <w:t xml:space="preserve">                           </w:t>
      </w:r>
      <w:r>
        <w:rPr>
          <w:rFonts w:hint="eastAsia" w:ascii="Times New Roman" w:hAnsi="Times New Roman"/>
          <w:b/>
          <w:sz w:val="30"/>
          <w:szCs w:val="30"/>
          <w:u w:val="single"/>
        </w:rPr>
        <w:t xml:space="preserve"> </w:t>
      </w:r>
    </w:p>
    <w:p w14:paraId="6BECAFAF">
      <w:pPr>
        <w:pStyle w:val="29"/>
        <w:tabs>
          <w:tab w:val="left" w:pos="7740"/>
        </w:tabs>
        <w:ind w:left="1440" w:leftChars="600" w:firstLine="601"/>
        <w:rPr>
          <w:rFonts w:ascii="Times New Roman" w:hAnsi="Times New Roman" w:eastAsia="黑体" w:cs="黑体"/>
          <w:b/>
          <w:bCs/>
          <w:sz w:val="28"/>
          <w:szCs w:val="28"/>
        </w:rPr>
      </w:pPr>
      <w:r>
        <w:rPr>
          <w:rFonts w:hint="eastAsia" w:ascii="Times New Roman" w:hAnsi="Times New Roman"/>
          <w:b/>
          <w:sz w:val="30"/>
          <w:szCs w:val="30"/>
        </w:rPr>
        <w:t>签订</w:t>
      </w:r>
      <w:r>
        <w:rPr>
          <w:rFonts w:ascii="Times New Roman" w:hAnsi="Times New Roman"/>
          <w:b/>
          <w:sz w:val="30"/>
          <w:szCs w:val="30"/>
        </w:rPr>
        <w:t>日期：</w:t>
      </w:r>
      <w:r>
        <w:rPr>
          <w:rFonts w:hint="eastAsia" w:ascii="Times New Roman" w:hAnsi="Times New Roman"/>
          <w:sz w:val="30"/>
          <w:szCs w:val="30"/>
          <w:u w:val="single"/>
        </w:rPr>
        <w:t xml:space="preserve"> </w:t>
      </w:r>
      <w:r>
        <w:rPr>
          <w:rFonts w:ascii="Times New Roman" w:hAnsi="Times New Roman"/>
          <w:sz w:val="30"/>
          <w:szCs w:val="30"/>
          <w:u w:val="single"/>
        </w:rPr>
        <w:t xml:space="preserve">                   </w:t>
      </w:r>
      <w:r>
        <w:rPr>
          <w:rFonts w:hint="eastAsia" w:ascii="Times New Roman" w:hAnsi="Times New Roman"/>
          <w:sz w:val="30"/>
          <w:szCs w:val="30"/>
          <w:u w:val="single"/>
        </w:rPr>
        <w:t xml:space="preserve">        </w:t>
      </w:r>
      <w:r>
        <w:rPr>
          <w:rFonts w:ascii="Times New Roman" w:hAnsi="Times New Roman" w:eastAsia="黑体" w:cs="黑体"/>
          <w:b/>
          <w:bCs/>
          <w:sz w:val="28"/>
          <w:szCs w:val="28"/>
        </w:rPr>
        <w:br w:type="page"/>
      </w:r>
    </w:p>
    <w:p w14:paraId="721CBDF0">
      <w:pPr>
        <w:pStyle w:val="68"/>
        <w:tabs>
          <w:tab w:val="left" w:pos="0"/>
          <w:tab w:val="left" w:pos="510"/>
          <w:tab w:val="left" w:pos="567"/>
          <w:tab w:val="left" w:pos="601"/>
        </w:tabs>
        <w:spacing w:line="360" w:lineRule="auto"/>
        <w:jc w:val="center"/>
        <w:rPr>
          <w:b/>
          <w:bCs/>
          <w:sz w:val="28"/>
          <w:szCs w:val="28"/>
        </w:rPr>
      </w:pPr>
      <w:r>
        <w:rPr>
          <w:b/>
          <w:bCs/>
          <w:sz w:val="28"/>
          <w:szCs w:val="28"/>
        </w:rPr>
        <w:t xml:space="preserve">  </w:t>
      </w:r>
      <w:r>
        <w:rPr>
          <w:rFonts w:hint="eastAsia" w:eastAsia="黑体" w:cs="黑体"/>
          <w:b/>
          <w:bCs/>
          <w:sz w:val="28"/>
          <w:szCs w:val="28"/>
        </w:rPr>
        <w:t>目</w:t>
      </w:r>
      <w:r>
        <w:rPr>
          <w:b/>
          <w:bCs/>
          <w:sz w:val="28"/>
          <w:szCs w:val="28"/>
        </w:rPr>
        <w:t xml:space="preserve">  </w:t>
      </w:r>
      <w:r>
        <w:rPr>
          <w:rFonts w:hint="eastAsia" w:eastAsia="黑体" w:cs="黑体"/>
          <w:b/>
          <w:bCs/>
          <w:sz w:val="28"/>
          <w:szCs w:val="28"/>
        </w:rPr>
        <w:t>录</w:t>
      </w:r>
    </w:p>
    <w:p w14:paraId="53AF99A5">
      <w:pPr>
        <w:pStyle w:val="68"/>
        <w:tabs>
          <w:tab w:val="left" w:pos="0"/>
          <w:tab w:val="left" w:pos="510"/>
          <w:tab w:val="left" w:pos="567"/>
          <w:tab w:val="left" w:pos="601"/>
        </w:tabs>
        <w:spacing w:line="360" w:lineRule="auto"/>
      </w:pPr>
    </w:p>
    <w:p w14:paraId="12A639B8">
      <w:pPr>
        <w:pStyle w:val="68"/>
        <w:tabs>
          <w:tab w:val="left" w:pos="0"/>
          <w:tab w:val="left" w:pos="510"/>
          <w:tab w:val="left" w:pos="567"/>
          <w:tab w:val="left" w:pos="601"/>
        </w:tabs>
        <w:spacing w:line="480" w:lineRule="auto"/>
        <w:ind w:firstLine="1400" w:firstLineChars="500"/>
        <w:jc w:val="both"/>
        <w:rPr>
          <w:rFonts w:cs="宋体"/>
          <w:sz w:val="28"/>
        </w:rPr>
      </w:pPr>
      <w:r>
        <w:rPr>
          <w:rFonts w:hint="eastAsia" w:cs="宋体"/>
          <w:sz w:val="28"/>
        </w:rPr>
        <w:t>第一章</w:t>
      </w:r>
      <w:r>
        <w:rPr>
          <w:rFonts w:cs="宋体"/>
          <w:sz w:val="28"/>
        </w:rPr>
        <w:tab/>
      </w:r>
      <w:r>
        <w:rPr>
          <w:rFonts w:cs="宋体"/>
          <w:sz w:val="28"/>
        </w:rPr>
        <w:tab/>
      </w:r>
      <w:r>
        <w:rPr>
          <w:rFonts w:hint="eastAsia" w:cs="宋体"/>
          <w:sz w:val="28"/>
        </w:rPr>
        <w:t>总则</w:t>
      </w:r>
    </w:p>
    <w:p w14:paraId="0E00F51B">
      <w:pPr>
        <w:pStyle w:val="68"/>
        <w:tabs>
          <w:tab w:val="left" w:pos="0"/>
          <w:tab w:val="left" w:pos="510"/>
          <w:tab w:val="left" w:pos="567"/>
          <w:tab w:val="left" w:pos="601"/>
        </w:tabs>
        <w:spacing w:line="480" w:lineRule="auto"/>
        <w:ind w:firstLine="1400" w:firstLineChars="500"/>
        <w:jc w:val="both"/>
        <w:rPr>
          <w:rFonts w:cs="宋体"/>
          <w:sz w:val="28"/>
        </w:rPr>
      </w:pPr>
      <w:r>
        <w:rPr>
          <w:rFonts w:hint="eastAsia" w:cs="宋体"/>
          <w:sz w:val="28"/>
        </w:rPr>
        <w:t>第二章</w:t>
      </w:r>
      <w:r>
        <w:rPr>
          <w:rFonts w:cs="宋体"/>
          <w:sz w:val="28"/>
        </w:rPr>
        <w:tab/>
      </w:r>
      <w:r>
        <w:rPr>
          <w:rFonts w:cs="宋体"/>
          <w:sz w:val="28"/>
        </w:rPr>
        <w:tab/>
      </w:r>
      <w:r>
        <w:rPr>
          <w:rFonts w:hint="eastAsia" w:cs="宋体"/>
          <w:sz w:val="28"/>
        </w:rPr>
        <w:t>服务合作项目范围和方式</w:t>
      </w:r>
    </w:p>
    <w:p w14:paraId="55C7B532">
      <w:pPr>
        <w:pStyle w:val="68"/>
        <w:tabs>
          <w:tab w:val="left" w:pos="0"/>
          <w:tab w:val="left" w:pos="510"/>
          <w:tab w:val="left" w:pos="567"/>
          <w:tab w:val="left" w:pos="601"/>
        </w:tabs>
        <w:spacing w:line="480" w:lineRule="auto"/>
        <w:ind w:firstLine="1400" w:firstLineChars="500"/>
        <w:jc w:val="both"/>
        <w:rPr>
          <w:rFonts w:cs="宋体"/>
          <w:sz w:val="28"/>
        </w:rPr>
      </w:pPr>
      <w:r>
        <w:rPr>
          <w:rFonts w:hint="eastAsia" w:cs="宋体"/>
          <w:sz w:val="28"/>
        </w:rPr>
        <w:t>第三章</w:t>
      </w:r>
      <w:r>
        <w:rPr>
          <w:rFonts w:cs="宋体"/>
          <w:sz w:val="28"/>
        </w:rPr>
        <w:tab/>
      </w:r>
      <w:r>
        <w:rPr>
          <w:rFonts w:cs="宋体"/>
          <w:sz w:val="28"/>
        </w:rPr>
        <w:tab/>
      </w:r>
      <w:r>
        <w:rPr>
          <w:rFonts w:hint="eastAsia" w:cs="宋体"/>
          <w:sz w:val="28"/>
        </w:rPr>
        <w:t>合作期限</w:t>
      </w:r>
    </w:p>
    <w:p w14:paraId="697F1554">
      <w:pPr>
        <w:pStyle w:val="68"/>
        <w:tabs>
          <w:tab w:val="left" w:pos="0"/>
          <w:tab w:val="left" w:pos="510"/>
          <w:tab w:val="left" w:pos="567"/>
          <w:tab w:val="left" w:pos="601"/>
        </w:tabs>
        <w:spacing w:line="480" w:lineRule="auto"/>
        <w:ind w:firstLine="1400" w:firstLineChars="500"/>
        <w:jc w:val="both"/>
        <w:rPr>
          <w:rFonts w:cs="宋体"/>
          <w:sz w:val="28"/>
        </w:rPr>
      </w:pPr>
      <w:r>
        <w:rPr>
          <w:rFonts w:hint="eastAsia" w:cs="宋体"/>
          <w:sz w:val="28"/>
        </w:rPr>
        <w:t>第四章</w:t>
      </w:r>
      <w:r>
        <w:rPr>
          <w:rFonts w:cs="宋体"/>
          <w:sz w:val="28"/>
        </w:rPr>
        <w:tab/>
      </w:r>
      <w:r>
        <w:rPr>
          <w:rFonts w:cs="宋体"/>
          <w:sz w:val="28"/>
        </w:rPr>
        <w:tab/>
      </w:r>
      <w:r>
        <w:rPr>
          <w:rFonts w:hint="eastAsia" w:cs="宋体"/>
          <w:sz w:val="28"/>
        </w:rPr>
        <w:t>费用支付标准和结算方式</w:t>
      </w:r>
    </w:p>
    <w:p w14:paraId="4B62335F">
      <w:pPr>
        <w:pStyle w:val="68"/>
        <w:tabs>
          <w:tab w:val="left" w:pos="0"/>
          <w:tab w:val="left" w:pos="510"/>
          <w:tab w:val="left" w:pos="567"/>
          <w:tab w:val="left" w:pos="601"/>
        </w:tabs>
        <w:spacing w:line="480" w:lineRule="auto"/>
        <w:ind w:firstLine="1400" w:firstLineChars="500"/>
        <w:jc w:val="both"/>
        <w:rPr>
          <w:rFonts w:cs="宋体"/>
          <w:sz w:val="28"/>
        </w:rPr>
      </w:pPr>
      <w:r>
        <w:rPr>
          <w:rFonts w:hint="eastAsia" w:cs="宋体"/>
          <w:sz w:val="28"/>
        </w:rPr>
        <w:t>第五章</w:t>
      </w:r>
      <w:r>
        <w:rPr>
          <w:rFonts w:cs="宋体"/>
          <w:sz w:val="28"/>
        </w:rPr>
        <w:tab/>
      </w:r>
      <w:r>
        <w:rPr>
          <w:rFonts w:cs="宋体"/>
          <w:sz w:val="28"/>
        </w:rPr>
        <w:tab/>
      </w:r>
      <w:r>
        <w:rPr>
          <w:rFonts w:hint="eastAsia" w:cs="宋体"/>
          <w:sz w:val="28"/>
        </w:rPr>
        <w:t>权利和义务</w:t>
      </w:r>
    </w:p>
    <w:p w14:paraId="1159A705">
      <w:pPr>
        <w:pStyle w:val="68"/>
        <w:tabs>
          <w:tab w:val="left" w:pos="0"/>
          <w:tab w:val="left" w:pos="510"/>
          <w:tab w:val="left" w:pos="567"/>
          <w:tab w:val="left" w:pos="601"/>
        </w:tabs>
        <w:spacing w:line="480" w:lineRule="auto"/>
        <w:ind w:firstLine="1400" w:firstLineChars="500"/>
        <w:jc w:val="both"/>
        <w:rPr>
          <w:rFonts w:cs="宋体"/>
          <w:sz w:val="28"/>
        </w:rPr>
      </w:pPr>
      <w:r>
        <w:rPr>
          <w:rFonts w:hint="eastAsia" w:cs="宋体"/>
          <w:sz w:val="28"/>
        </w:rPr>
        <w:t>第六章</w:t>
      </w:r>
      <w:r>
        <w:rPr>
          <w:rFonts w:cs="宋体"/>
          <w:sz w:val="28"/>
        </w:rPr>
        <w:tab/>
      </w:r>
      <w:r>
        <w:rPr>
          <w:rFonts w:cs="宋体"/>
          <w:sz w:val="28"/>
        </w:rPr>
        <w:tab/>
      </w:r>
      <w:r>
        <w:rPr>
          <w:rFonts w:hint="eastAsia" w:cs="宋体"/>
          <w:sz w:val="28"/>
        </w:rPr>
        <w:t>违约责任</w:t>
      </w:r>
    </w:p>
    <w:p w14:paraId="376926AF">
      <w:pPr>
        <w:pStyle w:val="68"/>
        <w:tabs>
          <w:tab w:val="left" w:pos="0"/>
          <w:tab w:val="left" w:pos="510"/>
          <w:tab w:val="left" w:pos="567"/>
          <w:tab w:val="left" w:pos="601"/>
        </w:tabs>
        <w:spacing w:line="480" w:lineRule="auto"/>
        <w:ind w:firstLine="1400" w:firstLineChars="500"/>
        <w:jc w:val="both"/>
        <w:rPr>
          <w:rFonts w:cs="宋体"/>
          <w:sz w:val="28"/>
        </w:rPr>
      </w:pPr>
      <w:r>
        <w:rPr>
          <w:rFonts w:hint="eastAsia" w:cs="宋体"/>
          <w:sz w:val="28"/>
        </w:rPr>
        <w:t>第七章</w:t>
      </w:r>
      <w:r>
        <w:rPr>
          <w:rFonts w:cs="宋体"/>
          <w:sz w:val="28"/>
        </w:rPr>
        <w:tab/>
      </w:r>
      <w:r>
        <w:rPr>
          <w:rFonts w:cs="宋体"/>
          <w:sz w:val="28"/>
        </w:rPr>
        <w:tab/>
      </w:r>
      <w:r>
        <w:rPr>
          <w:rFonts w:hint="eastAsia" w:cs="宋体"/>
          <w:sz w:val="28"/>
        </w:rPr>
        <w:t>变更和终止</w:t>
      </w:r>
    </w:p>
    <w:p w14:paraId="57FDE66F">
      <w:pPr>
        <w:pStyle w:val="68"/>
        <w:tabs>
          <w:tab w:val="left" w:pos="0"/>
          <w:tab w:val="left" w:pos="510"/>
          <w:tab w:val="left" w:pos="567"/>
          <w:tab w:val="left" w:pos="601"/>
        </w:tabs>
        <w:spacing w:line="480" w:lineRule="auto"/>
        <w:ind w:firstLine="1400" w:firstLineChars="500"/>
        <w:jc w:val="both"/>
        <w:rPr>
          <w:rFonts w:cs="宋体"/>
          <w:sz w:val="28"/>
        </w:rPr>
      </w:pPr>
      <w:r>
        <w:rPr>
          <w:rFonts w:hint="eastAsia" w:cs="宋体"/>
          <w:sz w:val="28"/>
        </w:rPr>
        <w:t>第八章</w:t>
      </w:r>
      <w:r>
        <w:rPr>
          <w:rFonts w:cs="宋体"/>
          <w:sz w:val="28"/>
        </w:rPr>
        <w:tab/>
      </w:r>
      <w:r>
        <w:rPr>
          <w:rFonts w:cs="宋体"/>
          <w:sz w:val="28"/>
        </w:rPr>
        <w:tab/>
      </w:r>
      <w:r>
        <w:rPr>
          <w:rFonts w:hint="eastAsia" w:cs="宋体"/>
          <w:sz w:val="28"/>
        </w:rPr>
        <w:t>附则</w:t>
      </w:r>
    </w:p>
    <w:p w14:paraId="427E0884">
      <w:pPr>
        <w:pStyle w:val="68"/>
        <w:tabs>
          <w:tab w:val="left" w:pos="0"/>
          <w:tab w:val="left" w:pos="510"/>
          <w:tab w:val="left" w:pos="567"/>
          <w:tab w:val="left" w:pos="601"/>
        </w:tabs>
        <w:spacing w:line="560" w:lineRule="exact"/>
        <w:jc w:val="center"/>
        <w:outlineLvl w:val="2"/>
        <w:rPr>
          <w:rFonts w:cs="黑体"/>
          <w:b/>
          <w:bCs/>
          <w:sz w:val="28"/>
          <w:szCs w:val="28"/>
        </w:rPr>
      </w:pPr>
      <w:r>
        <w:rPr>
          <w:rFonts w:cs="黑体"/>
          <w:b/>
          <w:bCs/>
          <w:sz w:val="28"/>
          <w:szCs w:val="28"/>
        </w:rPr>
        <w:br w:type="page"/>
      </w:r>
      <w:r>
        <w:rPr>
          <w:rFonts w:hint="eastAsia" w:cs="黑体"/>
          <w:b/>
          <w:bCs/>
          <w:sz w:val="28"/>
          <w:szCs w:val="28"/>
        </w:rPr>
        <w:t>第一章</w:t>
      </w:r>
      <w:r>
        <w:rPr>
          <w:b/>
          <w:bCs/>
          <w:sz w:val="28"/>
          <w:szCs w:val="28"/>
        </w:rPr>
        <w:t xml:space="preserve">  </w:t>
      </w:r>
      <w:r>
        <w:rPr>
          <w:rFonts w:hint="eastAsia" w:cs="黑体"/>
          <w:b/>
          <w:bCs/>
          <w:sz w:val="28"/>
          <w:szCs w:val="28"/>
        </w:rPr>
        <w:t>总 则</w:t>
      </w:r>
    </w:p>
    <w:p w14:paraId="781981C6">
      <w:pPr>
        <w:pStyle w:val="68"/>
        <w:tabs>
          <w:tab w:val="left" w:pos="0"/>
          <w:tab w:val="left" w:pos="405"/>
          <w:tab w:val="left" w:pos="567"/>
          <w:tab w:val="left" w:pos="601"/>
          <w:tab w:val="left" w:pos="1980"/>
        </w:tabs>
        <w:wordWrap w:val="0"/>
        <w:spacing w:line="500" w:lineRule="exact"/>
        <w:ind w:firstLine="482" w:firstLineChars="200"/>
        <w:rPr>
          <w:szCs w:val="21"/>
        </w:rPr>
      </w:pPr>
      <w:r>
        <w:rPr>
          <w:rFonts w:hint="eastAsia" w:cs="宋体"/>
          <w:b/>
          <w:szCs w:val="21"/>
        </w:rPr>
        <w:t>第一</w:t>
      </w:r>
      <w:r>
        <w:rPr>
          <w:rFonts w:hint="eastAsia"/>
          <w:b/>
          <w:szCs w:val="21"/>
        </w:rPr>
        <w:t>条</w:t>
      </w:r>
      <w:r>
        <w:rPr>
          <w:rFonts w:hint="eastAsia"/>
          <w:szCs w:val="21"/>
        </w:rPr>
        <w:t xml:space="preserve"> 为了构建和谐互信的医患关系，全面营造良好的医疗生态环境，</w:t>
      </w:r>
      <w:r>
        <w:rPr>
          <w:rFonts w:hint="eastAsia"/>
          <w:szCs w:val="21"/>
          <w:u w:val="single"/>
        </w:rPr>
        <w:t xml:space="preserve"> </w:t>
      </w:r>
      <w:r>
        <w:rPr>
          <w:szCs w:val="21"/>
          <w:u w:val="single"/>
        </w:rPr>
        <w:t xml:space="preserve">            </w:t>
      </w:r>
      <w:r>
        <w:rPr>
          <w:rFonts w:hint="eastAsia"/>
          <w:szCs w:val="21"/>
        </w:rPr>
        <w:t>（以下简称甲方）与</w:t>
      </w:r>
      <w:r>
        <w:rPr>
          <w:rFonts w:hint="eastAsia"/>
          <w:szCs w:val="21"/>
          <w:u w:val="single"/>
        </w:rPr>
        <w:t xml:space="preserve"> </w:t>
      </w:r>
      <w:r>
        <w:rPr>
          <w:szCs w:val="21"/>
          <w:u w:val="single"/>
        </w:rPr>
        <w:t xml:space="preserve">             </w:t>
      </w:r>
      <w:r>
        <w:rPr>
          <w:rFonts w:hint="eastAsia"/>
          <w:szCs w:val="21"/>
        </w:rPr>
        <w:t>（以下简称乙方）（通过公开招标采购），就门诊服务外包合作事宜，共同签署本合作方案，以资共同遵守。</w:t>
      </w:r>
    </w:p>
    <w:p w14:paraId="05947042">
      <w:pPr>
        <w:pStyle w:val="68"/>
        <w:tabs>
          <w:tab w:val="left" w:pos="0"/>
          <w:tab w:val="left" w:pos="405"/>
          <w:tab w:val="left" w:pos="567"/>
          <w:tab w:val="left" w:pos="601"/>
          <w:tab w:val="left" w:pos="1980"/>
        </w:tabs>
        <w:wordWrap w:val="0"/>
        <w:spacing w:line="500" w:lineRule="exact"/>
        <w:ind w:firstLine="480" w:firstLineChars="200"/>
        <w:rPr>
          <w:szCs w:val="21"/>
        </w:rPr>
      </w:pPr>
      <w:r>
        <w:rPr>
          <w:rFonts w:hint="eastAsia" w:cs="宋体"/>
          <w:szCs w:val="21"/>
        </w:rPr>
        <w:t>本合作方案对甲乙双方权利义务、服务性质、服务内容、费用作相关约定。其他未尽事项或在执行过程中，双方认为需增加</w:t>
      </w:r>
      <w:r>
        <w:rPr>
          <w:rFonts w:hint="eastAsia"/>
          <w:szCs w:val="21"/>
        </w:rPr>
        <w:t>补充条款或说明的，补充条款可作为本合作方案的附件，与本合作方案具有同等的法律效力。</w:t>
      </w:r>
    </w:p>
    <w:p w14:paraId="2AA35A09">
      <w:pPr>
        <w:pStyle w:val="68"/>
        <w:tabs>
          <w:tab w:val="left" w:pos="0"/>
          <w:tab w:val="left" w:pos="405"/>
          <w:tab w:val="left" w:pos="567"/>
          <w:tab w:val="left" w:pos="601"/>
          <w:tab w:val="left" w:pos="1980"/>
        </w:tabs>
        <w:wordWrap w:val="0"/>
        <w:spacing w:line="500" w:lineRule="exact"/>
        <w:ind w:firstLine="482" w:firstLineChars="200"/>
        <w:rPr>
          <w:rFonts w:cs="宋体"/>
          <w:szCs w:val="21"/>
        </w:rPr>
      </w:pPr>
      <w:r>
        <w:rPr>
          <w:rFonts w:hint="eastAsia" w:cs="宋体"/>
          <w:b/>
          <w:bCs/>
          <w:szCs w:val="21"/>
        </w:rPr>
        <w:t xml:space="preserve">第二条 </w:t>
      </w:r>
      <w:r>
        <w:rPr>
          <w:rFonts w:hint="eastAsia" w:cs="宋体"/>
          <w:bCs/>
          <w:szCs w:val="21"/>
        </w:rPr>
        <w:t>服务</w:t>
      </w:r>
      <w:r>
        <w:rPr>
          <w:rFonts w:hint="eastAsia" w:cs="宋体"/>
          <w:szCs w:val="21"/>
        </w:rPr>
        <w:t>合作定义：甲方根据自身业务需要，将</w:t>
      </w:r>
      <w:r>
        <w:rPr>
          <w:rFonts w:hint="eastAsia"/>
          <w:szCs w:val="21"/>
        </w:rPr>
        <w:t>医院</w:t>
      </w:r>
      <w:r>
        <w:rPr>
          <w:rFonts w:hint="eastAsia" w:cs="宋体"/>
          <w:szCs w:val="21"/>
        </w:rPr>
        <w:t>门急诊服务业务交由</w:t>
      </w:r>
      <w:r>
        <w:rPr>
          <w:rFonts w:cs="宋体"/>
          <w:szCs w:val="21"/>
        </w:rPr>
        <w:t>具有</w:t>
      </w:r>
      <w:r>
        <w:rPr>
          <w:rFonts w:hint="eastAsia" w:cs="宋体"/>
          <w:szCs w:val="21"/>
        </w:rPr>
        <w:t>该类业务服务</w:t>
      </w:r>
      <w:r>
        <w:rPr>
          <w:rFonts w:cs="宋体"/>
          <w:szCs w:val="21"/>
        </w:rPr>
        <w:t>经验</w:t>
      </w:r>
      <w:r>
        <w:rPr>
          <w:rFonts w:hint="eastAsia" w:cs="宋体"/>
          <w:szCs w:val="21"/>
        </w:rPr>
        <w:t>、</w:t>
      </w:r>
      <w:r>
        <w:rPr>
          <w:rFonts w:cs="宋体"/>
          <w:szCs w:val="21"/>
        </w:rPr>
        <w:t>良好的业绩、以及具备</w:t>
      </w:r>
      <w:r>
        <w:rPr>
          <w:rFonts w:hint="eastAsia" w:cs="宋体"/>
          <w:szCs w:val="21"/>
        </w:rPr>
        <w:t>高效</w:t>
      </w:r>
      <w:r>
        <w:rPr>
          <w:rFonts w:cs="宋体"/>
          <w:szCs w:val="21"/>
        </w:rPr>
        <w:t>管理团队</w:t>
      </w:r>
      <w:r>
        <w:rPr>
          <w:rFonts w:hint="eastAsia" w:cs="宋体"/>
          <w:szCs w:val="21"/>
        </w:rPr>
        <w:t>的乙方进行服务，要求乙方服务人员到甲方的服务场所，利用甲方的服务工具和场所，乙方承诺在确保满足甲方要求的服务标准的前提下，于本方案合作期内，为甲方提供相应合作项目服务，由甲方向乙方支付项目服务费用。</w:t>
      </w:r>
    </w:p>
    <w:p w14:paraId="57C1DEBD">
      <w:pPr>
        <w:pStyle w:val="68"/>
        <w:tabs>
          <w:tab w:val="left" w:pos="0"/>
          <w:tab w:val="left" w:pos="405"/>
          <w:tab w:val="left" w:pos="567"/>
          <w:tab w:val="left" w:pos="601"/>
          <w:tab w:val="left" w:pos="1980"/>
        </w:tabs>
        <w:wordWrap w:val="0"/>
        <w:spacing w:line="500" w:lineRule="exact"/>
        <w:ind w:firstLine="482" w:firstLineChars="200"/>
        <w:rPr>
          <w:szCs w:val="21"/>
        </w:rPr>
      </w:pPr>
      <w:r>
        <w:rPr>
          <w:rFonts w:hint="eastAsia"/>
          <w:b/>
          <w:szCs w:val="21"/>
        </w:rPr>
        <w:t>第三条</w:t>
      </w:r>
      <w:r>
        <w:rPr>
          <w:rFonts w:hint="eastAsia"/>
          <w:szCs w:val="21"/>
        </w:rPr>
        <w:t xml:space="preserve"> 乙方合作服务人员：是指乙方派出的符合本合作资格条件的、在甲方从事本合作规定的合作项目范围以内工作的人员。所有服务人员在劳动人事、工资福利、社会保险等各方面均隶属于乙方。乙方有义务在本合作有效期内维持其与合作服务人员合法的劳动合作关系，不得因与合作服务人员间就劳动法律关系或在其他方面的任何争议或瑕疵影响其履行在本合作项下的义务。</w:t>
      </w:r>
    </w:p>
    <w:p w14:paraId="438ADFD6">
      <w:pPr>
        <w:pStyle w:val="68"/>
        <w:tabs>
          <w:tab w:val="left" w:pos="0"/>
          <w:tab w:val="left" w:pos="405"/>
          <w:tab w:val="left" w:pos="567"/>
          <w:tab w:val="left" w:pos="601"/>
          <w:tab w:val="left" w:pos="1980"/>
        </w:tabs>
        <w:wordWrap w:val="0"/>
        <w:spacing w:line="500" w:lineRule="exact"/>
        <w:ind w:firstLine="482" w:firstLineChars="200"/>
        <w:rPr>
          <w:rFonts w:cs="宋体"/>
          <w:szCs w:val="21"/>
        </w:rPr>
      </w:pPr>
      <w:r>
        <w:rPr>
          <w:rFonts w:hint="eastAsia"/>
          <w:b/>
          <w:szCs w:val="21"/>
        </w:rPr>
        <w:t>第四条</w:t>
      </w:r>
      <w:r>
        <w:rPr>
          <w:rFonts w:hint="eastAsia"/>
          <w:szCs w:val="21"/>
        </w:rPr>
        <w:t xml:space="preserve"> 除双方另有约定外，甲、</w:t>
      </w:r>
      <w:r>
        <w:rPr>
          <w:rFonts w:hint="eastAsia" w:cs="宋体"/>
          <w:szCs w:val="21"/>
        </w:rPr>
        <w:t>乙双方之间任何与本合作相关的正式信函以及结算，均使用并且只能使用本方案中甲、乙双方指定的地址和银行开户帐号。</w:t>
      </w:r>
    </w:p>
    <w:tbl>
      <w:tblPr>
        <w:tblStyle w:val="31"/>
        <w:tblW w:w="5005" w:type="pct"/>
        <w:tblInd w:w="0" w:type="dxa"/>
        <w:tblLayout w:type="autofit"/>
        <w:tblCellMar>
          <w:top w:w="0" w:type="dxa"/>
          <w:left w:w="108" w:type="dxa"/>
          <w:bottom w:w="0" w:type="dxa"/>
          <w:right w:w="108" w:type="dxa"/>
        </w:tblCellMar>
      </w:tblPr>
      <w:tblGrid>
        <w:gridCol w:w="1554"/>
        <w:gridCol w:w="3194"/>
        <w:gridCol w:w="1491"/>
        <w:gridCol w:w="2840"/>
      </w:tblGrid>
      <w:tr w14:paraId="66E71C31">
        <w:tblPrEx>
          <w:tblCellMar>
            <w:top w:w="0" w:type="dxa"/>
            <w:left w:w="108" w:type="dxa"/>
            <w:bottom w:w="0" w:type="dxa"/>
            <w:right w:w="108" w:type="dxa"/>
          </w:tblCellMar>
        </w:tblPrEx>
        <w:trPr>
          <w:trHeight w:val="376" w:hRule="atLeast"/>
        </w:trPr>
        <w:tc>
          <w:tcPr>
            <w:tcW w:w="2615" w:type="pct"/>
            <w:gridSpan w:val="2"/>
            <w:tcBorders>
              <w:top w:val="single" w:color="auto" w:sz="6" w:space="0"/>
              <w:left w:val="single" w:color="auto" w:sz="6" w:space="0"/>
              <w:bottom w:val="single" w:color="auto" w:sz="6" w:space="0"/>
              <w:right w:val="single" w:color="auto" w:sz="6" w:space="0"/>
            </w:tcBorders>
            <w:vAlign w:val="center"/>
          </w:tcPr>
          <w:p w14:paraId="41B9F327">
            <w:pPr>
              <w:pStyle w:val="68"/>
              <w:spacing w:line="500" w:lineRule="exact"/>
              <w:jc w:val="center"/>
              <w:rPr>
                <w:b/>
                <w:szCs w:val="18"/>
              </w:rPr>
            </w:pPr>
            <w:r>
              <w:rPr>
                <w:rFonts w:hint="eastAsia" w:cs="宋体"/>
                <w:b/>
                <w:szCs w:val="18"/>
              </w:rPr>
              <w:t>甲</w:t>
            </w:r>
            <w:r>
              <w:rPr>
                <w:b/>
                <w:szCs w:val="18"/>
              </w:rPr>
              <w:t xml:space="preserve">              </w:t>
            </w:r>
            <w:r>
              <w:rPr>
                <w:rFonts w:hint="eastAsia" w:cs="宋体"/>
                <w:b/>
                <w:szCs w:val="18"/>
              </w:rPr>
              <w:t>方</w:t>
            </w:r>
          </w:p>
        </w:tc>
        <w:tc>
          <w:tcPr>
            <w:tcW w:w="2385" w:type="pct"/>
            <w:gridSpan w:val="2"/>
            <w:tcBorders>
              <w:top w:val="single" w:color="auto" w:sz="6" w:space="0"/>
              <w:left w:val="single" w:color="auto" w:sz="6" w:space="0"/>
              <w:bottom w:val="single" w:color="auto" w:sz="6" w:space="0"/>
              <w:right w:val="single" w:color="auto" w:sz="6" w:space="0"/>
            </w:tcBorders>
            <w:vAlign w:val="center"/>
          </w:tcPr>
          <w:p w14:paraId="15B1F3EA">
            <w:pPr>
              <w:pStyle w:val="68"/>
              <w:spacing w:line="500" w:lineRule="exact"/>
              <w:jc w:val="center"/>
              <w:rPr>
                <w:b/>
                <w:szCs w:val="18"/>
              </w:rPr>
            </w:pPr>
            <w:r>
              <w:rPr>
                <w:rFonts w:hint="eastAsia" w:cs="宋体"/>
                <w:b/>
                <w:szCs w:val="18"/>
              </w:rPr>
              <w:t>乙</w:t>
            </w:r>
            <w:r>
              <w:rPr>
                <w:b/>
                <w:szCs w:val="18"/>
              </w:rPr>
              <w:t xml:space="preserve">               </w:t>
            </w:r>
            <w:r>
              <w:rPr>
                <w:rFonts w:hint="eastAsia" w:cs="宋体"/>
                <w:b/>
                <w:szCs w:val="18"/>
              </w:rPr>
              <w:t>方</w:t>
            </w:r>
          </w:p>
        </w:tc>
      </w:tr>
      <w:tr w14:paraId="290CEEF1">
        <w:tblPrEx>
          <w:tblCellMar>
            <w:top w:w="0" w:type="dxa"/>
            <w:left w:w="51" w:type="dxa"/>
            <w:bottom w:w="0" w:type="dxa"/>
            <w:right w:w="51" w:type="dxa"/>
          </w:tblCellMar>
        </w:tblPrEx>
        <w:trPr>
          <w:trHeight w:val="571" w:hRule="atLeast"/>
        </w:trPr>
        <w:tc>
          <w:tcPr>
            <w:tcW w:w="856" w:type="pct"/>
            <w:tcBorders>
              <w:top w:val="single" w:color="auto" w:sz="6" w:space="0"/>
              <w:left w:val="single" w:color="auto" w:sz="6" w:space="0"/>
              <w:bottom w:val="single" w:color="auto" w:sz="6" w:space="0"/>
              <w:right w:val="single" w:color="auto" w:sz="6" w:space="0"/>
            </w:tcBorders>
            <w:vAlign w:val="center"/>
          </w:tcPr>
          <w:p w14:paraId="4B3168E1">
            <w:pPr>
              <w:pStyle w:val="68"/>
              <w:spacing w:line="500" w:lineRule="exact"/>
              <w:jc w:val="center"/>
              <w:rPr>
                <w:szCs w:val="18"/>
              </w:rPr>
            </w:pPr>
            <w:r>
              <w:rPr>
                <w:rFonts w:hint="eastAsia" w:cs="宋体"/>
                <w:szCs w:val="18"/>
              </w:rPr>
              <w:t>名</w:t>
            </w:r>
            <w:r>
              <w:rPr>
                <w:szCs w:val="18"/>
              </w:rPr>
              <w:t xml:space="preserve">  </w:t>
            </w:r>
            <w:r>
              <w:rPr>
                <w:rFonts w:hint="eastAsia"/>
                <w:szCs w:val="18"/>
              </w:rPr>
              <w:t xml:space="preserve"> </w:t>
            </w:r>
            <w:r>
              <w:rPr>
                <w:szCs w:val="18"/>
              </w:rPr>
              <w:t xml:space="preserve"> </w:t>
            </w:r>
            <w:r>
              <w:rPr>
                <w:rFonts w:hint="eastAsia" w:cs="宋体"/>
                <w:szCs w:val="18"/>
              </w:rPr>
              <w:t>称</w:t>
            </w:r>
          </w:p>
        </w:tc>
        <w:tc>
          <w:tcPr>
            <w:tcW w:w="1759" w:type="pct"/>
            <w:tcBorders>
              <w:top w:val="single" w:color="auto" w:sz="6" w:space="0"/>
              <w:left w:val="single" w:color="auto" w:sz="6" w:space="0"/>
              <w:bottom w:val="single" w:color="auto" w:sz="6" w:space="0"/>
              <w:right w:val="single" w:color="auto" w:sz="6" w:space="0"/>
            </w:tcBorders>
            <w:vAlign w:val="center"/>
          </w:tcPr>
          <w:p w14:paraId="41915ADA">
            <w:pPr>
              <w:spacing w:line="500" w:lineRule="exact"/>
              <w:rPr>
                <w:szCs w:val="18"/>
              </w:rPr>
            </w:pPr>
          </w:p>
        </w:tc>
        <w:tc>
          <w:tcPr>
            <w:tcW w:w="821" w:type="pct"/>
            <w:tcBorders>
              <w:top w:val="single" w:color="auto" w:sz="6" w:space="0"/>
              <w:left w:val="single" w:color="auto" w:sz="6" w:space="0"/>
              <w:bottom w:val="single" w:color="auto" w:sz="6" w:space="0"/>
              <w:right w:val="single" w:color="auto" w:sz="6" w:space="0"/>
            </w:tcBorders>
            <w:vAlign w:val="center"/>
          </w:tcPr>
          <w:p w14:paraId="0057323E">
            <w:pPr>
              <w:pStyle w:val="68"/>
              <w:spacing w:line="500" w:lineRule="exact"/>
              <w:jc w:val="center"/>
              <w:rPr>
                <w:szCs w:val="18"/>
              </w:rPr>
            </w:pPr>
            <w:r>
              <w:rPr>
                <w:rFonts w:hint="eastAsia" w:cs="宋体"/>
                <w:szCs w:val="18"/>
              </w:rPr>
              <w:t>名</w:t>
            </w:r>
            <w:r>
              <w:rPr>
                <w:szCs w:val="18"/>
              </w:rPr>
              <w:t xml:space="preserve">  </w:t>
            </w:r>
            <w:r>
              <w:rPr>
                <w:rFonts w:hint="eastAsia"/>
                <w:szCs w:val="18"/>
              </w:rPr>
              <w:t xml:space="preserve"> </w:t>
            </w:r>
            <w:r>
              <w:rPr>
                <w:szCs w:val="18"/>
              </w:rPr>
              <w:t xml:space="preserve">  </w:t>
            </w:r>
            <w:r>
              <w:rPr>
                <w:rFonts w:hint="eastAsia" w:cs="宋体"/>
                <w:szCs w:val="18"/>
              </w:rPr>
              <w:t>称</w:t>
            </w:r>
          </w:p>
        </w:tc>
        <w:tc>
          <w:tcPr>
            <w:tcW w:w="1563" w:type="pct"/>
            <w:tcBorders>
              <w:top w:val="single" w:color="auto" w:sz="6" w:space="0"/>
              <w:left w:val="single" w:color="auto" w:sz="6" w:space="0"/>
              <w:bottom w:val="single" w:color="auto" w:sz="6" w:space="0"/>
              <w:right w:val="single" w:color="auto" w:sz="6" w:space="0"/>
            </w:tcBorders>
            <w:vAlign w:val="center"/>
          </w:tcPr>
          <w:p w14:paraId="2C2F2E38">
            <w:pPr>
              <w:spacing w:line="500" w:lineRule="exact"/>
              <w:rPr>
                <w:szCs w:val="18"/>
              </w:rPr>
            </w:pPr>
          </w:p>
        </w:tc>
      </w:tr>
      <w:tr w14:paraId="63902DCD">
        <w:tblPrEx>
          <w:tblCellMar>
            <w:top w:w="0" w:type="dxa"/>
            <w:left w:w="108" w:type="dxa"/>
            <w:bottom w:w="0" w:type="dxa"/>
            <w:right w:w="108" w:type="dxa"/>
          </w:tblCellMar>
        </w:tblPrEx>
        <w:trPr>
          <w:trHeight w:val="341" w:hRule="atLeast"/>
        </w:trPr>
        <w:tc>
          <w:tcPr>
            <w:tcW w:w="856" w:type="pct"/>
            <w:tcBorders>
              <w:top w:val="single" w:color="auto" w:sz="6" w:space="0"/>
              <w:left w:val="single" w:color="auto" w:sz="6" w:space="0"/>
              <w:bottom w:val="single" w:color="auto" w:sz="6" w:space="0"/>
              <w:right w:val="single" w:color="auto" w:sz="6" w:space="0"/>
            </w:tcBorders>
            <w:vAlign w:val="center"/>
          </w:tcPr>
          <w:p w14:paraId="7037582F">
            <w:pPr>
              <w:pStyle w:val="21"/>
              <w:spacing w:line="500" w:lineRule="exact"/>
              <w:jc w:val="center"/>
              <w:rPr>
                <w:sz w:val="24"/>
              </w:rPr>
            </w:pPr>
            <w:r>
              <w:rPr>
                <w:rFonts w:hint="eastAsia"/>
                <w:sz w:val="24"/>
              </w:rPr>
              <w:t>通讯地址</w:t>
            </w:r>
          </w:p>
        </w:tc>
        <w:tc>
          <w:tcPr>
            <w:tcW w:w="1759" w:type="pct"/>
            <w:tcBorders>
              <w:top w:val="single" w:color="auto" w:sz="6" w:space="0"/>
              <w:left w:val="single" w:color="auto" w:sz="6" w:space="0"/>
              <w:bottom w:val="single" w:color="auto" w:sz="6" w:space="0"/>
              <w:right w:val="single" w:color="auto" w:sz="6" w:space="0"/>
            </w:tcBorders>
            <w:vAlign w:val="center"/>
          </w:tcPr>
          <w:p w14:paraId="163EEB9A">
            <w:pPr>
              <w:spacing w:line="500" w:lineRule="exact"/>
              <w:rPr>
                <w:szCs w:val="18"/>
              </w:rPr>
            </w:pPr>
          </w:p>
        </w:tc>
        <w:tc>
          <w:tcPr>
            <w:tcW w:w="821" w:type="pct"/>
            <w:tcBorders>
              <w:top w:val="single" w:color="auto" w:sz="6" w:space="0"/>
              <w:left w:val="single" w:color="auto" w:sz="6" w:space="0"/>
              <w:bottom w:val="single" w:color="auto" w:sz="6" w:space="0"/>
              <w:right w:val="single" w:color="auto" w:sz="6" w:space="0"/>
            </w:tcBorders>
            <w:vAlign w:val="center"/>
          </w:tcPr>
          <w:p w14:paraId="06E13569">
            <w:pPr>
              <w:pStyle w:val="21"/>
              <w:spacing w:line="500" w:lineRule="exact"/>
              <w:jc w:val="center"/>
              <w:rPr>
                <w:sz w:val="24"/>
              </w:rPr>
            </w:pPr>
            <w:r>
              <w:rPr>
                <w:rFonts w:hint="eastAsia"/>
                <w:sz w:val="24"/>
              </w:rPr>
              <w:t>通讯地址</w:t>
            </w:r>
          </w:p>
        </w:tc>
        <w:tc>
          <w:tcPr>
            <w:tcW w:w="1563" w:type="pct"/>
            <w:tcBorders>
              <w:top w:val="single" w:color="auto" w:sz="6" w:space="0"/>
              <w:left w:val="single" w:color="auto" w:sz="6" w:space="0"/>
              <w:bottom w:val="single" w:color="auto" w:sz="6" w:space="0"/>
              <w:right w:val="single" w:color="auto" w:sz="6" w:space="0"/>
            </w:tcBorders>
            <w:vAlign w:val="center"/>
          </w:tcPr>
          <w:p w14:paraId="08CAB50B">
            <w:pPr>
              <w:spacing w:line="500" w:lineRule="exact"/>
              <w:rPr>
                <w:szCs w:val="18"/>
              </w:rPr>
            </w:pPr>
          </w:p>
        </w:tc>
      </w:tr>
      <w:tr w14:paraId="0B82C0E4">
        <w:tblPrEx>
          <w:tblCellMar>
            <w:top w:w="0" w:type="dxa"/>
            <w:left w:w="108" w:type="dxa"/>
            <w:bottom w:w="0" w:type="dxa"/>
            <w:right w:w="108" w:type="dxa"/>
          </w:tblCellMar>
        </w:tblPrEx>
        <w:trPr>
          <w:trHeight w:val="454" w:hRule="atLeast"/>
        </w:trPr>
        <w:tc>
          <w:tcPr>
            <w:tcW w:w="856" w:type="pct"/>
            <w:tcBorders>
              <w:top w:val="single" w:color="auto" w:sz="6" w:space="0"/>
              <w:left w:val="single" w:color="auto" w:sz="6" w:space="0"/>
              <w:bottom w:val="single" w:color="auto" w:sz="6" w:space="0"/>
              <w:right w:val="single" w:color="auto" w:sz="6" w:space="0"/>
            </w:tcBorders>
            <w:vAlign w:val="center"/>
          </w:tcPr>
          <w:p w14:paraId="2D3A0444">
            <w:pPr>
              <w:pStyle w:val="21"/>
              <w:spacing w:line="500" w:lineRule="exact"/>
              <w:jc w:val="center"/>
              <w:rPr>
                <w:sz w:val="24"/>
              </w:rPr>
            </w:pPr>
            <w:r>
              <w:rPr>
                <w:rFonts w:hint="eastAsia"/>
                <w:sz w:val="24"/>
              </w:rPr>
              <w:t>邮</w:t>
            </w:r>
            <w:r>
              <w:rPr>
                <w:sz w:val="24"/>
              </w:rPr>
              <w:t xml:space="preserve">    </w:t>
            </w:r>
            <w:r>
              <w:rPr>
                <w:rFonts w:hint="eastAsia"/>
                <w:sz w:val="24"/>
              </w:rPr>
              <w:t>编</w:t>
            </w:r>
          </w:p>
        </w:tc>
        <w:tc>
          <w:tcPr>
            <w:tcW w:w="1759" w:type="pct"/>
            <w:tcBorders>
              <w:top w:val="single" w:color="auto" w:sz="6" w:space="0"/>
              <w:left w:val="single" w:color="auto" w:sz="6" w:space="0"/>
              <w:bottom w:val="single" w:color="auto" w:sz="6" w:space="0"/>
              <w:right w:val="single" w:color="auto" w:sz="6" w:space="0"/>
            </w:tcBorders>
            <w:vAlign w:val="center"/>
          </w:tcPr>
          <w:p w14:paraId="25C262AC">
            <w:pPr>
              <w:spacing w:line="500" w:lineRule="exact"/>
              <w:rPr>
                <w:szCs w:val="18"/>
              </w:rPr>
            </w:pPr>
          </w:p>
        </w:tc>
        <w:tc>
          <w:tcPr>
            <w:tcW w:w="821" w:type="pct"/>
            <w:tcBorders>
              <w:top w:val="single" w:color="auto" w:sz="6" w:space="0"/>
              <w:left w:val="single" w:color="auto" w:sz="6" w:space="0"/>
              <w:bottom w:val="single" w:color="auto" w:sz="6" w:space="0"/>
              <w:right w:val="single" w:color="auto" w:sz="6" w:space="0"/>
            </w:tcBorders>
            <w:vAlign w:val="center"/>
          </w:tcPr>
          <w:p w14:paraId="2D501C47">
            <w:pPr>
              <w:pStyle w:val="21"/>
              <w:spacing w:line="500" w:lineRule="exact"/>
              <w:jc w:val="center"/>
              <w:rPr>
                <w:sz w:val="24"/>
              </w:rPr>
            </w:pPr>
            <w:r>
              <w:rPr>
                <w:rFonts w:hint="eastAsia"/>
                <w:sz w:val="24"/>
              </w:rPr>
              <w:t>邮</w:t>
            </w:r>
            <w:r>
              <w:rPr>
                <w:sz w:val="24"/>
              </w:rPr>
              <w:t xml:space="preserve">    </w:t>
            </w:r>
            <w:r>
              <w:rPr>
                <w:rFonts w:hint="eastAsia"/>
                <w:sz w:val="24"/>
              </w:rPr>
              <w:t>编</w:t>
            </w:r>
          </w:p>
        </w:tc>
        <w:tc>
          <w:tcPr>
            <w:tcW w:w="1563" w:type="pct"/>
            <w:tcBorders>
              <w:top w:val="single" w:color="auto" w:sz="6" w:space="0"/>
              <w:left w:val="single" w:color="auto" w:sz="6" w:space="0"/>
              <w:bottom w:val="single" w:color="auto" w:sz="6" w:space="0"/>
              <w:right w:val="single" w:color="auto" w:sz="6" w:space="0"/>
            </w:tcBorders>
            <w:vAlign w:val="center"/>
          </w:tcPr>
          <w:p w14:paraId="7559A7AE">
            <w:pPr>
              <w:spacing w:line="500" w:lineRule="exact"/>
              <w:rPr>
                <w:szCs w:val="18"/>
              </w:rPr>
            </w:pPr>
          </w:p>
        </w:tc>
      </w:tr>
      <w:tr w14:paraId="3476B50D">
        <w:tblPrEx>
          <w:tblCellMar>
            <w:top w:w="0" w:type="dxa"/>
            <w:left w:w="108" w:type="dxa"/>
            <w:bottom w:w="0" w:type="dxa"/>
            <w:right w:w="108" w:type="dxa"/>
          </w:tblCellMar>
        </w:tblPrEx>
        <w:trPr>
          <w:trHeight w:val="454" w:hRule="atLeast"/>
        </w:trPr>
        <w:tc>
          <w:tcPr>
            <w:tcW w:w="856" w:type="pct"/>
            <w:tcBorders>
              <w:top w:val="single" w:color="auto" w:sz="6" w:space="0"/>
              <w:left w:val="single" w:color="auto" w:sz="6" w:space="0"/>
              <w:bottom w:val="single" w:color="auto" w:sz="6" w:space="0"/>
              <w:right w:val="single" w:color="auto" w:sz="6" w:space="0"/>
            </w:tcBorders>
            <w:vAlign w:val="center"/>
          </w:tcPr>
          <w:p w14:paraId="322E95EA">
            <w:pPr>
              <w:spacing w:line="500" w:lineRule="exact"/>
              <w:jc w:val="center"/>
              <w:rPr>
                <w:szCs w:val="18"/>
              </w:rPr>
            </w:pPr>
            <w:r>
              <w:rPr>
                <w:rFonts w:hint="eastAsia"/>
                <w:szCs w:val="18"/>
              </w:rPr>
              <w:t>电</w:t>
            </w:r>
            <w:r>
              <w:rPr>
                <w:szCs w:val="18"/>
              </w:rPr>
              <w:t xml:space="preserve">    </w:t>
            </w:r>
            <w:r>
              <w:rPr>
                <w:rFonts w:hint="eastAsia"/>
                <w:szCs w:val="18"/>
              </w:rPr>
              <w:t>话</w:t>
            </w:r>
          </w:p>
        </w:tc>
        <w:tc>
          <w:tcPr>
            <w:tcW w:w="1759" w:type="pct"/>
            <w:tcBorders>
              <w:top w:val="single" w:color="auto" w:sz="6" w:space="0"/>
              <w:left w:val="single" w:color="auto" w:sz="6" w:space="0"/>
              <w:bottom w:val="single" w:color="auto" w:sz="6" w:space="0"/>
              <w:right w:val="single" w:color="auto" w:sz="6" w:space="0"/>
            </w:tcBorders>
            <w:vAlign w:val="center"/>
          </w:tcPr>
          <w:p w14:paraId="4039F67E">
            <w:pPr>
              <w:spacing w:line="500" w:lineRule="exact"/>
              <w:rPr>
                <w:szCs w:val="18"/>
              </w:rPr>
            </w:pPr>
          </w:p>
        </w:tc>
        <w:tc>
          <w:tcPr>
            <w:tcW w:w="821" w:type="pct"/>
            <w:tcBorders>
              <w:top w:val="single" w:color="auto" w:sz="6" w:space="0"/>
              <w:left w:val="single" w:color="auto" w:sz="6" w:space="0"/>
              <w:bottom w:val="single" w:color="auto" w:sz="6" w:space="0"/>
              <w:right w:val="single" w:color="auto" w:sz="6" w:space="0"/>
            </w:tcBorders>
            <w:vAlign w:val="center"/>
          </w:tcPr>
          <w:p w14:paraId="0AB21A5E">
            <w:pPr>
              <w:pStyle w:val="21"/>
              <w:spacing w:line="500" w:lineRule="exact"/>
              <w:jc w:val="center"/>
              <w:rPr>
                <w:sz w:val="24"/>
              </w:rPr>
            </w:pPr>
            <w:r>
              <w:rPr>
                <w:rFonts w:hint="eastAsia"/>
                <w:sz w:val="24"/>
              </w:rPr>
              <w:t>电</w:t>
            </w:r>
            <w:r>
              <w:rPr>
                <w:sz w:val="24"/>
              </w:rPr>
              <w:t xml:space="preserve">    </w:t>
            </w:r>
            <w:r>
              <w:rPr>
                <w:rFonts w:hint="eastAsia"/>
                <w:sz w:val="24"/>
              </w:rPr>
              <w:t>话</w:t>
            </w:r>
          </w:p>
        </w:tc>
        <w:tc>
          <w:tcPr>
            <w:tcW w:w="1563" w:type="pct"/>
            <w:tcBorders>
              <w:top w:val="single" w:color="auto" w:sz="6" w:space="0"/>
              <w:left w:val="single" w:color="auto" w:sz="6" w:space="0"/>
              <w:bottom w:val="single" w:color="auto" w:sz="6" w:space="0"/>
              <w:right w:val="single" w:color="auto" w:sz="6" w:space="0"/>
            </w:tcBorders>
            <w:vAlign w:val="center"/>
          </w:tcPr>
          <w:p w14:paraId="6DAA2C69">
            <w:pPr>
              <w:spacing w:line="500" w:lineRule="exact"/>
              <w:rPr>
                <w:szCs w:val="18"/>
              </w:rPr>
            </w:pPr>
          </w:p>
        </w:tc>
      </w:tr>
      <w:tr w14:paraId="19315E64">
        <w:tblPrEx>
          <w:tblCellMar>
            <w:top w:w="0" w:type="dxa"/>
            <w:left w:w="108" w:type="dxa"/>
            <w:bottom w:w="0" w:type="dxa"/>
            <w:right w:w="108" w:type="dxa"/>
          </w:tblCellMar>
        </w:tblPrEx>
        <w:trPr>
          <w:trHeight w:val="454" w:hRule="atLeast"/>
        </w:trPr>
        <w:tc>
          <w:tcPr>
            <w:tcW w:w="856" w:type="pct"/>
            <w:tcBorders>
              <w:top w:val="single" w:color="auto" w:sz="6" w:space="0"/>
              <w:left w:val="single" w:color="auto" w:sz="6" w:space="0"/>
              <w:bottom w:val="single" w:color="auto" w:sz="6" w:space="0"/>
              <w:right w:val="single" w:color="auto" w:sz="6" w:space="0"/>
            </w:tcBorders>
            <w:vAlign w:val="center"/>
          </w:tcPr>
          <w:p w14:paraId="490C85C5">
            <w:pPr>
              <w:spacing w:line="500" w:lineRule="exact"/>
              <w:jc w:val="center"/>
              <w:rPr>
                <w:szCs w:val="18"/>
              </w:rPr>
            </w:pPr>
            <w:r>
              <w:rPr>
                <w:rFonts w:hint="eastAsia"/>
                <w:szCs w:val="18"/>
              </w:rPr>
              <w:t>传</w:t>
            </w:r>
            <w:r>
              <w:rPr>
                <w:szCs w:val="18"/>
              </w:rPr>
              <w:t xml:space="preserve">    </w:t>
            </w:r>
            <w:r>
              <w:rPr>
                <w:rFonts w:hint="eastAsia"/>
                <w:szCs w:val="18"/>
              </w:rPr>
              <w:t>真</w:t>
            </w:r>
          </w:p>
        </w:tc>
        <w:tc>
          <w:tcPr>
            <w:tcW w:w="1759" w:type="pct"/>
            <w:tcBorders>
              <w:top w:val="single" w:color="auto" w:sz="6" w:space="0"/>
              <w:left w:val="single" w:color="auto" w:sz="6" w:space="0"/>
              <w:bottom w:val="single" w:color="auto" w:sz="6" w:space="0"/>
              <w:right w:val="single" w:color="auto" w:sz="6" w:space="0"/>
            </w:tcBorders>
            <w:vAlign w:val="center"/>
          </w:tcPr>
          <w:p w14:paraId="0074AC70">
            <w:pPr>
              <w:spacing w:line="500" w:lineRule="exact"/>
              <w:rPr>
                <w:szCs w:val="18"/>
              </w:rPr>
            </w:pPr>
          </w:p>
        </w:tc>
        <w:tc>
          <w:tcPr>
            <w:tcW w:w="821" w:type="pct"/>
            <w:tcBorders>
              <w:top w:val="single" w:color="auto" w:sz="6" w:space="0"/>
              <w:left w:val="single" w:color="auto" w:sz="6" w:space="0"/>
              <w:bottom w:val="single" w:color="auto" w:sz="6" w:space="0"/>
              <w:right w:val="single" w:color="auto" w:sz="6" w:space="0"/>
            </w:tcBorders>
            <w:vAlign w:val="center"/>
          </w:tcPr>
          <w:p w14:paraId="1707FE4F">
            <w:pPr>
              <w:pStyle w:val="68"/>
              <w:spacing w:line="500" w:lineRule="exact"/>
              <w:jc w:val="center"/>
              <w:rPr>
                <w:szCs w:val="18"/>
              </w:rPr>
            </w:pPr>
            <w:r>
              <w:rPr>
                <w:rFonts w:hint="eastAsia" w:cs="宋体"/>
                <w:szCs w:val="18"/>
              </w:rPr>
              <w:t>传</w:t>
            </w:r>
            <w:r>
              <w:rPr>
                <w:szCs w:val="18"/>
              </w:rPr>
              <w:t xml:space="preserve">    </w:t>
            </w:r>
            <w:r>
              <w:rPr>
                <w:rFonts w:hint="eastAsia" w:cs="宋体"/>
                <w:szCs w:val="18"/>
              </w:rPr>
              <w:t>真</w:t>
            </w:r>
          </w:p>
        </w:tc>
        <w:tc>
          <w:tcPr>
            <w:tcW w:w="1563" w:type="pct"/>
            <w:tcBorders>
              <w:top w:val="single" w:color="auto" w:sz="6" w:space="0"/>
              <w:left w:val="single" w:color="auto" w:sz="6" w:space="0"/>
              <w:bottom w:val="single" w:color="auto" w:sz="6" w:space="0"/>
              <w:right w:val="single" w:color="auto" w:sz="6" w:space="0"/>
            </w:tcBorders>
            <w:vAlign w:val="center"/>
          </w:tcPr>
          <w:p w14:paraId="28B3EA54">
            <w:pPr>
              <w:spacing w:line="500" w:lineRule="exact"/>
              <w:rPr>
                <w:szCs w:val="18"/>
              </w:rPr>
            </w:pPr>
          </w:p>
        </w:tc>
      </w:tr>
      <w:tr w14:paraId="7684709E">
        <w:tblPrEx>
          <w:tblCellMar>
            <w:top w:w="0" w:type="dxa"/>
            <w:left w:w="108" w:type="dxa"/>
            <w:bottom w:w="0" w:type="dxa"/>
            <w:right w:w="108" w:type="dxa"/>
          </w:tblCellMar>
        </w:tblPrEx>
        <w:trPr>
          <w:trHeight w:val="454" w:hRule="atLeast"/>
        </w:trPr>
        <w:tc>
          <w:tcPr>
            <w:tcW w:w="856" w:type="pct"/>
            <w:tcBorders>
              <w:top w:val="single" w:color="auto" w:sz="6" w:space="0"/>
              <w:left w:val="single" w:color="auto" w:sz="6" w:space="0"/>
              <w:bottom w:val="single" w:color="auto" w:sz="6" w:space="0"/>
              <w:right w:val="single" w:color="auto" w:sz="6" w:space="0"/>
            </w:tcBorders>
            <w:vAlign w:val="center"/>
          </w:tcPr>
          <w:p w14:paraId="15FED133">
            <w:pPr>
              <w:pStyle w:val="68"/>
              <w:spacing w:line="500" w:lineRule="exact"/>
              <w:jc w:val="center"/>
              <w:rPr>
                <w:szCs w:val="18"/>
              </w:rPr>
            </w:pPr>
            <w:r>
              <w:rPr>
                <w:rFonts w:hint="eastAsia" w:cs="宋体"/>
                <w:szCs w:val="18"/>
              </w:rPr>
              <w:t>汇款人名称</w:t>
            </w:r>
          </w:p>
        </w:tc>
        <w:tc>
          <w:tcPr>
            <w:tcW w:w="1759" w:type="pct"/>
            <w:tcBorders>
              <w:top w:val="single" w:color="auto" w:sz="6" w:space="0"/>
              <w:left w:val="single" w:color="auto" w:sz="6" w:space="0"/>
              <w:bottom w:val="single" w:color="auto" w:sz="6" w:space="0"/>
              <w:right w:val="single" w:color="auto" w:sz="6" w:space="0"/>
            </w:tcBorders>
            <w:vAlign w:val="center"/>
          </w:tcPr>
          <w:p w14:paraId="6BAC4975">
            <w:pPr>
              <w:spacing w:line="500" w:lineRule="exact"/>
              <w:rPr>
                <w:szCs w:val="18"/>
              </w:rPr>
            </w:pPr>
          </w:p>
        </w:tc>
        <w:tc>
          <w:tcPr>
            <w:tcW w:w="821" w:type="pct"/>
            <w:tcBorders>
              <w:top w:val="single" w:color="auto" w:sz="6" w:space="0"/>
              <w:left w:val="single" w:color="auto" w:sz="6" w:space="0"/>
              <w:bottom w:val="single" w:color="auto" w:sz="6" w:space="0"/>
              <w:right w:val="single" w:color="auto" w:sz="6" w:space="0"/>
            </w:tcBorders>
            <w:vAlign w:val="center"/>
          </w:tcPr>
          <w:p w14:paraId="4B8B1157">
            <w:pPr>
              <w:pStyle w:val="68"/>
              <w:spacing w:line="500" w:lineRule="exact"/>
              <w:jc w:val="center"/>
              <w:rPr>
                <w:szCs w:val="18"/>
              </w:rPr>
            </w:pPr>
            <w:r>
              <w:rPr>
                <w:rFonts w:hint="eastAsia" w:cs="宋体"/>
                <w:szCs w:val="18"/>
              </w:rPr>
              <w:t>收款人名称</w:t>
            </w:r>
          </w:p>
        </w:tc>
        <w:tc>
          <w:tcPr>
            <w:tcW w:w="1563" w:type="pct"/>
            <w:tcBorders>
              <w:top w:val="single" w:color="auto" w:sz="6" w:space="0"/>
              <w:left w:val="single" w:color="auto" w:sz="6" w:space="0"/>
              <w:bottom w:val="single" w:color="auto" w:sz="6" w:space="0"/>
              <w:right w:val="single" w:color="auto" w:sz="6" w:space="0"/>
            </w:tcBorders>
            <w:vAlign w:val="center"/>
          </w:tcPr>
          <w:p w14:paraId="31251431">
            <w:pPr>
              <w:pStyle w:val="68"/>
              <w:spacing w:line="500" w:lineRule="exact"/>
              <w:rPr>
                <w:szCs w:val="18"/>
              </w:rPr>
            </w:pPr>
          </w:p>
        </w:tc>
      </w:tr>
      <w:tr w14:paraId="06621B62">
        <w:tblPrEx>
          <w:tblCellMar>
            <w:top w:w="0" w:type="dxa"/>
            <w:left w:w="108" w:type="dxa"/>
            <w:bottom w:w="0" w:type="dxa"/>
            <w:right w:w="108" w:type="dxa"/>
          </w:tblCellMar>
        </w:tblPrEx>
        <w:trPr>
          <w:trHeight w:val="454" w:hRule="atLeast"/>
        </w:trPr>
        <w:tc>
          <w:tcPr>
            <w:tcW w:w="856" w:type="pct"/>
            <w:tcBorders>
              <w:top w:val="single" w:color="auto" w:sz="6" w:space="0"/>
              <w:left w:val="single" w:color="auto" w:sz="6" w:space="0"/>
              <w:bottom w:val="single" w:color="auto" w:sz="6" w:space="0"/>
              <w:right w:val="single" w:color="auto" w:sz="6" w:space="0"/>
            </w:tcBorders>
            <w:vAlign w:val="center"/>
          </w:tcPr>
          <w:p w14:paraId="51E14EEA">
            <w:pPr>
              <w:pStyle w:val="68"/>
              <w:spacing w:line="500" w:lineRule="exact"/>
              <w:jc w:val="center"/>
              <w:rPr>
                <w:szCs w:val="18"/>
              </w:rPr>
            </w:pPr>
            <w:r>
              <w:rPr>
                <w:rFonts w:hint="eastAsia" w:cs="宋体"/>
                <w:szCs w:val="18"/>
              </w:rPr>
              <w:t>开户银行</w:t>
            </w:r>
          </w:p>
        </w:tc>
        <w:tc>
          <w:tcPr>
            <w:tcW w:w="1759" w:type="pct"/>
            <w:tcBorders>
              <w:top w:val="single" w:color="auto" w:sz="6" w:space="0"/>
              <w:left w:val="single" w:color="auto" w:sz="6" w:space="0"/>
              <w:bottom w:val="single" w:color="auto" w:sz="6" w:space="0"/>
              <w:right w:val="single" w:color="auto" w:sz="6" w:space="0"/>
            </w:tcBorders>
            <w:vAlign w:val="center"/>
          </w:tcPr>
          <w:p w14:paraId="4B9D480A">
            <w:pPr>
              <w:spacing w:line="500" w:lineRule="exact"/>
              <w:rPr>
                <w:szCs w:val="18"/>
              </w:rPr>
            </w:pPr>
          </w:p>
        </w:tc>
        <w:tc>
          <w:tcPr>
            <w:tcW w:w="821" w:type="pct"/>
            <w:tcBorders>
              <w:top w:val="single" w:color="auto" w:sz="6" w:space="0"/>
              <w:left w:val="single" w:color="auto" w:sz="6" w:space="0"/>
              <w:bottom w:val="single" w:color="auto" w:sz="6" w:space="0"/>
              <w:right w:val="single" w:color="auto" w:sz="6" w:space="0"/>
            </w:tcBorders>
            <w:vAlign w:val="center"/>
          </w:tcPr>
          <w:p w14:paraId="6BE18A16">
            <w:pPr>
              <w:pStyle w:val="68"/>
              <w:spacing w:line="500" w:lineRule="exact"/>
              <w:jc w:val="center"/>
              <w:rPr>
                <w:szCs w:val="18"/>
              </w:rPr>
            </w:pPr>
            <w:r>
              <w:rPr>
                <w:rFonts w:hint="eastAsia" w:cs="宋体"/>
                <w:szCs w:val="18"/>
              </w:rPr>
              <w:t>开户银行</w:t>
            </w:r>
          </w:p>
        </w:tc>
        <w:tc>
          <w:tcPr>
            <w:tcW w:w="1563" w:type="pct"/>
            <w:tcBorders>
              <w:top w:val="single" w:color="auto" w:sz="6" w:space="0"/>
              <w:left w:val="single" w:color="auto" w:sz="6" w:space="0"/>
              <w:bottom w:val="single" w:color="auto" w:sz="6" w:space="0"/>
              <w:right w:val="single" w:color="auto" w:sz="6" w:space="0"/>
            </w:tcBorders>
            <w:vAlign w:val="center"/>
          </w:tcPr>
          <w:p w14:paraId="467B61C2">
            <w:pPr>
              <w:pStyle w:val="68"/>
              <w:spacing w:line="500" w:lineRule="exact"/>
              <w:rPr>
                <w:szCs w:val="18"/>
              </w:rPr>
            </w:pPr>
          </w:p>
        </w:tc>
      </w:tr>
      <w:tr w14:paraId="569B7E49">
        <w:tblPrEx>
          <w:tblCellMar>
            <w:top w:w="0" w:type="dxa"/>
            <w:left w:w="108" w:type="dxa"/>
            <w:bottom w:w="0" w:type="dxa"/>
            <w:right w:w="108" w:type="dxa"/>
          </w:tblCellMar>
        </w:tblPrEx>
        <w:trPr>
          <w:trHeight w:val="181" w:hRule="atLeast"/>
        </w:trPr>
        <w:tc>
          <w:tcPr>
            <w:tcW w:w="856" w:type="pct"/>
            <w:tcBorders>
              <w:top w:val="single" w:color="auto" w:sz="6" w:space="0"/>
              <w:left w:val="single" w:color="auto" w:sz="6" w:space="0"/>
              <w:bottom w:val="single" w:color="auto" w:sz="6" w:space="0"/>
              <w:right w:val="single" w:color="auto" w:sz="6" w:space="0"/>
            </w:tcBorders>
            <w:vAlign w:val="center"/>
          </w:tcPr>
          <w:p w14:paraId="7CC13226">
            <w:pPr>
              <w:pStyle w:val="68"/>
              <w:spacing w:line="500" w:lineRule="exact"/>
              <w:jc w:val="center"/>
              <w:rPr>
                <w:szCs w:val="18"/>
              </w:rPr>
            </w:pPr>
            <w:r>
              <w:rPr>
                <w:rFonts w:hint="eastAsia" w:cs="宋体"/>
                <w:szCs w:val="18"/>
              </w:rPr>
              <w:t>银行帐号</w:t>
            </w:r>
          </w:p>
        </w:tc>
        <w:tc>
          <w:tcPr>
            <w:tcW w:w="1759" w:type="pct"/>
            <w:tcBorders>
              <w:top w:val="single" w:color="auto" w:sz="6" w:space="0"/>
              <w:left w:val="single" w:color="auto" w:sz="6" w:space="0"/>
              <w:bottom w:val="single" w:color="auto" w:sz="6" w:space="0"/>
              <w:right w:val="single" w:color="auto" w:sz="6" w:space="0"/>
            </w:tcBorders>
            <w:vAlign w:val="center"/>
          </w:tcPr>
          <w:p w14:paraId="1AADDAD0">
            <w:pPr>
              <w:spacing w:line="500" w:lineRule="exact"/>
              <w:rPr>
                <w:szCs w:val="18"/>
              </w:rPr>
            </w:pPr>
          </w:p>
        </w:tc>
        <w:tc>
          <w:tcPr>
            <w:tcW w:w="821" w:type="pct"/>
            <w:tcBorders>
              <w:top w:val="single" w:color="auto" w:sz="6" w:space="0"/>
              <w:left w:val="single" w:color="auto" w:sz="6" w:space="0"/>
              <w:bottom w:val="single" w:color="auto" w:sz="6" w:space="0"/>
              <w:right w:val="single" w:color="auto" w:sz="6" w:space="0"/>
            </w:tcBorders>
            <w:vAlign w:val="center"/>
          </w:tcPr>
          <w:p w14:paraId="1AB00C8C">
            <w:pPr>
              <w:pStyle w:val="68"/>
              <w:spacing w:line="500" w:lineRule="exact"/>
              <w:jc w:val="center"/>
              <w:rPr>
                <w:szCs w:val="18"/>
              </w:rPr>
            </w:pPr>
            <w:r>
              <w:rPr>
                <w:rFonts w:hint="eastAsia" w:cs="宋体"/>
                <w:szCs w:val="18"/>
              </w:rPr>
              <w:t>银行帐号</w:t>
            </w:r>
          </w:p>
        </w:tc>
        <w:tc>
          <w:tcPr>
            <w:tcW w:w="1563" w:type="pct"/>
            <w:tcBorders>
              <w:top w:val="single" w:color="auto" w:sz="6" w:space="0"/>
              <w:left w:val="single" w:color="auto" w:sz="6" w:space="0"/>
              <w:bottom w:val="single" w:color="auto" w:sz="6" w:space="0"/>
              <w:right w:val="single" w:color="auto" w:sz="6" w:space="0"/>
            </w:tcBorders>
            <w:vAlign w:val="center"/>
          </w:tcPr>
          <w:p w14:paraId="6EDE0610">
            <w:pPr>
              <w:pStyle w:val="68"/>
              <w:spacing w:line="500" w:lineRule="exact"/>
              <w:rPr>
                <w:rFonts w:cs="宋体"/>
                <w:szCs w:val="18"/>
              </w:rPr>
            </w:pPr>
          </w:p>
        </w:tc>
      </w:tr>
    </w:tbl>
    <w:p w14:paraId="264894B5">
      <w:pPr>
        <w:pStyle w:val="68"/>
        <w:tabs>
          <w:tab w:val="left" w:pos="0"/>
          <w:tab w:val="left" w:pos="567"/>
          <w:tab w:val="left" w:pos="601"/>
        </w:tabs>
        <w:spacing w:before="120" w:beforeLines="50" w:line="500" w:lineRule="exact"/>
        <w:ind w:left="204" w:leftChars="85" w:firstLine="482" w:firstLineChars="200"/>
        <w:rPr>
          <w:rFonts w:cs="宋体"/>
          <w:b/>
          <w:szCs w:val="21"/>
        </w:rPr>
      </w:pPr>
    </w:p>
    <w:p w14:paraId="497DA398">
      <w:pPr>
        <w:pStyle w:val="68"/>
        <w:tabs>
          <w:tab w:val="left" w:pos="0"/>
          <w:tab w:val="left" w:pos="567"/>
          <w:tab w:val="left" w:pos="601"/>
        </w:tabs>
        <w:spacing w:before="120" w:beforeLines="50" w:line="500" w:lineRule="exact"/>
        <w:ind w:left="204" w:leftChars="85" w:firstLine="482" w:firstLineChars="200"/>
        <w:rPr>
          <w:rFonts w:cs="宋体"/>
          <w:szCs w:val="21"/>
        </w:rPr>
      </w:pPr>
      <w:r>
        <w:rPr>
          <w:rFonts w:hint="eastAsia" w:cs="宋体"/>
          <w:b/>
          <w:szCs w:val="21"/>
        </w:rPr>
        <w:t>第五条</w:t>
      </w:r>
      <w:r>
        <w:rPr>
          <w:rFonts w:hint="eastAsia" w:cs="宋体"/>
          <w:szCs w:val="21"/>
        </w:rPr>
        <w:t xml:space="preserve"> 甲乙任一方的名称、法定地址若有变更，变更一方应至少提前十个工作日书面通知对方。该书面通知须加盖变更方公章并经本合作授权代表签字确认后生效；甲乙双方的帐户名称、开户银行、银行帐号有变更的，变更方应在本合作约定的相关付款期限十个工作日前以加盖财务专用章的书面文件的原件通知对方。</w:t>
      </w:r>
    </w:p>
    <w:p w14:paraId="73F9CEC4">
      <w:pPr>
        <w:spacing w:before="120" w:line="500" w:lineRule="exact"/>
        <w:jc w:val="center"/>
        <w:outlineLvl w:val="2"/>
        <w:rPr>
          <w:b/>
          <w:bCs/>
          <w:sz w:val="28"/>
          <w:szCs w:val="28"/>
        </w:rPr>
      </w:pPr>
      <w:r>
        <w:rPr>
          <w:rFonts w:hint="eastAsia"/>
          <w:b/>
          <w:bCs/>
          <w:sz w:val="28"/>
          <w:szCs w:val="28"/>
        </w:rPr>
        <w:t>第二章</w:t>
      </w:r>
      <w:r>
        <w:rPr>
          <w:b/>
          <w:bCs/>
          <w:sz w:val="28"/>
          <w:szCs w:val="28"/>
        </w:rPr>
        <w:t xml:space="preserve">  </w:t>
      </w:r>
      <w:r>
        <w:rPr>
          <w:rFonts w:hint="eastAsia"/>
          <w:b/>
          <w:bCs/>
          <w:sz w:val="28"/>
          <w:szCs w:val="28"/>
        </w:rPr>
        <w:t>服务合作项目范围和方式</w:t>
      </w:r>
    </w:p>
    <w:p w14:paraId="517E1928">
      <w:pPr>
        <w:pStyle w:val="68"/>
        <w:tabs>
          <w:tab w:val="left" w:pos="0"/>
          <w:tab w:val="left" w:pos="405"/>
          <w:tab w:val="left" w:pos="567"/>
          <w:tab w:val="left" w:pos="601"/>
        </w:tabs>
        <w:spacing w:before="120" w:beforeLines="50" w:line="500" w:lineRule="exact"/>
        <w:ind w:firstLine="718" w:firstLineChars="298"/>
        <w:rPr>
          <w:rFonts w:cs="宋体"/>
          <w:szCs w:val="21"/>
        </w:rPr>
      </w:pPr>
      <w:r>
        <w:rPr>
          <w:rFonts w:hint="eastAsia" w:cs="宋体"/>
          <w:b/>
          <w:szCs w:val="21"/>
        </w:rPr>
        <w:t>第六条</w:t>
      </w:r>
      <w:r>
        <w:rPr>
          <w:rFonts w:hint="eastAsia" w:cs="宋体"/>
          <w:szCs w:val="21"/>
        </w:rPr>
        <w:t xml:space="preserve"> 服务合作内容范围：甲方将不限于门诊一站式服务中心、门急诊各科室、自助机导医等门诊服务与乙方合作，乙方派遣相关服务人员在甲方客户门急诊大厅及科室等提供相应的服务。</w:t>
      </w:r>
    </w:p>
    <w:p w14:paraId="6D97F95B">
      <w:pPr>
        <w:spacing w:before="120" w:line="500" w:lineRule="exact"/>
        <w:ind w:firstLine="480" w:firstLineChars="200"/>
        <w:rPr>
          <w:rFonts w:cs="宋体"/>
          <w:szCs w:val="21"/>
        </w:rPr>
      </w:pPr>
      <w:r>
        <w:rPr>
          <w:rFonts w:hint="eastAsia" w:cs="宋体"/>
          <w:szCs w:val="21"/>
        </w:rPr>
        <w:t>服务内容包括：</w:t>
      </w:r>
    </w:p>
    <w:p w14:paraId="7A46127D">
      <w:pPr>
        <w:spacing w:line="420" w:lineRule="exact"/>
        <w:rPr>
          <w:b/>
          <w:szCs w:val="21"/>
        </w:rPr>
      </w:pPr>
      <w:r>
        <w:rPr>
          <w:rFonts w:hint="eastAsia"/>
          <w:b/>
          <w:szCs w:val="21"/>
        </w:rPr>
        <w:t>1.1门诊导医服务人员</w:t>
      </w:r>
    </w:p>
    <w:p w14:paraId="6D403E1E">
      <w:pPr>
        <w:numPr>
          <w:ilvl w:val="0"/>
          <w:numId w:val="19"/>
        </w:numPr>
        <w:spacing w:line="420" w:lineRule="exact"/>
        <w:jc w:val="left"/>
        <w:rPr>
          <w:szCs w:val="21"/>
        </w:rPr>
      </w:pPr>
      <w:r>
        <w:rPr>
          <w:rFonts w:hint="eastAsia"/>
          <w:szCs w:val="21"/>
        </w:rPr>
        <w:t>每天早上提前15分钟上班，开展导医工作。</w:t>
      </w:r>
    </w:p>
    <w:p w14:paraId="549BF6B7">
      <w:pPr>
        <w:numPr>
          <w:ilvl w:val="0"/>
          <w:numId w:val="19"/>
        </w:numPr>
        <w:spacing w:line="420" w:lineRule="exact"/>
        <w:jc w:val="left"/>
        <w:rPr>
          <w:szCs w:val="21"/>
        </w:rPr>
      </w:pPr>
      <w:r>
        <w:rPr>
          <w:rFonts w:hint="eastAsia"/>
          <w:szCs w:val="21"/>
        </w:rPr>
        <w:t>负责导医导诊、预检分诊、咨询预约、各种地点指引等门诊服务工作，随时接受咨询。</w:t>
      </w:r>
    </w:p>
    <w:p w14:paraId="7E54A105">
      <w:pPr>
        <w:numPr>
          <w:ilvl w:val="0"/>
          <w:numId w:val="19"/>
        </w:numPr>
        <w:spacing w:line="420" w:lineRule="exact"/>
        <w:jc w:val="left"/>
        <w:rPr>
          <w:szCs w:val="21"/>
        </w:rPr>
      </w:pPr>
      <w:r>
        <w:rPr>
          <w:rFonts w:hint="eastAsia"/>
          <w:szCs w:val="21"/>
        </w:rPr>
        <w:t>高峰时对病人进行分流及引导，维持门诊良好的就诊秩序与整洁的就诊环境。</w:t>
      </w:r>
    </w:p>
    <w:p w14:paraId="0FB23528">
      <w:pPr>
        <w:numPr>
          <w:ilvl w:val="0"/>
          <w:numId w:val="19"/>
        </w:numPr>
        <w:spacing w:line="420" w:lineRule="exact"/>
        <w:jc w:val="left"/>
        <w:rPr>
          <w:szCs w:val="21"/>
        </w:rPr>
      </w:pPr>
      <w:r>
        <w:rPr>
          <w:rFonts w:hint="eastAsia"/>
          <w:szCs w:val="21"/>
        </w:rPr>
        <w:t>认真落实承诺的各项便民措施，办理轮椅借用登记手续。</w:t>
      </w:r>
    </w:p>
    <w:p w14:paraId="42ADE838">
      <w:pPr>
        <w:numPr>
          <w:ilvl w:val="0"/>
          <w:numId w:val="19"/>
        </w:numPr>
        <w:spacing w:line="420" w:lineRule="exact"/>
        <w:jc w:val="left"/>
        <w:rPr>
          <w:szCs w:val="21"/>
        </w:rPr>
      </w:pPr>
      <w:r>
        <w:rPr>
          <w:rFonts w:hint="eastAsia"/>
          <w:szCs w:val="21"/>
        </w:rPr>
        <w:t>为初诊病人提供信息咨询，指导选择专科医生，指引就诊路线。</w:t>
      </w:r>
    </w:p>
    <w:p w14:paraId="24B27806">
      <w:pPr>
        <w:numPr>
          <w:ilvl w:val="0"/>
          <w:numId w:val="19"/>
        </w:numPr>
        <w:spacing w:line="420" w:lineRule="exact"/>
        <w:jc w:val="left"/>
        <w:rPr>
          <w:szCs w:val="21"/>
        </w:rPr>
      </w:pPr>
      <w:r>
        <w:rPr>
          <w:rFonts w:hint="eastAsia"/>
          <w:szCs w:val="21"/>
        </w:rPr>
        <w:t>指导“医卡通”办理相关手续，帮助病人信息登记（填写信息）。</w:t>
      </w:r>
    </w:p>
    <w:p w14:paraId="6DB34330">
      <w:pPr>
        <w:numPr>
          <w:ilvl w:val="0"/>
          <w:numId w:val="19"/>
        </w:numPr>
        <w:spacing w:line="420" w:lineRule="exact"/>
        <w:jc w:val="left"/>
        <w:rPr>
          <w:szCs w:val="21"/>
        </w:rPr>
      </w:pPr>
      <w:r>
        <w:rPr>
          <w:rFonts w:hint="eastAsia"/>
          <w:szCs w:val="21"/>
        </w:rPr>
        <w:t>指导病人使用自助设备，电子病历的打印，帮助病人自助打印门诊检验报告单，必要时帮病人打印门诊发票清单。</w:t>
      </w:r>
    </w:p>
    <w:p w14:paraId="11256D72">
      <w:pPr>
        <w:numPr>
          <w:ilvl w:val="0"/>
          <w:numId w:val="19"/>
        </w:numPr>
        <w:spacing w:line="420" w:lineRule="exact"/>
        <w:jc w:val="left"/>
        <w:rPr>
          <w:szCs w:val="21"/>
        </w:rPr>
      </w:pPr>
      <w:r>
        <w:rPr>
          <w:rFonts w:hint="eastAsia"/>
          <w:szCs w:val="21"/>
        </w:rPr>
        <w:t>对孕妇、儿童、伤残、重症、无陪客患者实行陪诊、陪检等援助式服务。</w:t>
      </w:r>
    </w:p>
    <w:p w14:paraId="63E45C32">
      <w:pPr>
        <w:numPr>
          <w:ilvl w:val="0"/>
          <w:numId w:val="19"/>
        </w:numPr>
        <w:spacing w:line="420" w:lineRule="exact"/>
        <w:jc w:val="left"/>
        <w:rPr>
          <w:szCs w:val="21"/>
        </w:rPr>
      </w:pPr>
      <w:r>
        <w:rPr>
          <w:rFonts w:hint="eastAsia"/>
          <w:szCs w:val="21"/>
        </w:rPr>
        <w:t>帮助病人办理住院登记手续、并指导病人至住院病区。</w:t>
      </w:r>
    </w:p>
    <w:p w14:paraId="4AB1C354">
      <w:pPr>
        <w:numPr>
          <w:ilvl w:val="0"/>
          <w:numId w:val="19"/>
        </w:numPr>
        <w:spacing w:line="420" w:lineRule="exact"/>
        <w:jc w:val="left"/>
        <w:rPr>
          <w:szCs w:val="21"/>
        </w:rPr>
      </w:pPr>
      <w:r>
        <w:rPr>
          <w:rFonts w:hint="eastAsia"/>
          <w:szCs w:val="21"/>
        </w:rPr>
        <w:t>接受病人投诉并登记处理，协调医患关系。</w:t>
      </w:r>
    </w:p>
    <w:p w14:paraId="209F4D34">
      <w:pPr>
        <w:numPr>
          <w:ilvl w:val="0"/>
          <w:numId w:val="19"/>
        </w:numPr>
        <w:spacing w:line="420" w:lineRule="exact"/>
        <w:jc w:val="left"/>
        <w:rPr>
          <w:szCs w:val="21"/>
        </w:rPr>
      </w:pPr>
      <w:r>
        <w:rPr>
          <w:rFonts w:hint="eastAsia"/>
          <w:szCs w:val="21"/>
        </w:rPr>
        <w:t>发放一次性杯子和各种健康教育资料。</w:t>
      </w:r>
    </w:p>
    <w:p w14:paraId="1A6175A5">
      <w:pPr>
        <w:numPr>
          <w:ilvl w:val="0"/>
          <w:numId w:val="19"/>
        </w:numPr>
        <w:spacing w:line="420" w:lineRule="exact"/>
        <w:jc w:val="left"/>
        <w:rPr>
          <w:szCs w:val="21"/>
        </w:rPr>
      </w:pPr>
      <w:r>
        <w:rPr>
          <w:rFonts w:hint="eastAsia"/>
          <w:szCs w:val="21"/>
        </w:rPr>
        <w:t>发放“检查报告单”，并协调与此相关问题。</w:t>
      </w:r>
    </w:p>
    <w:p w14:paraId="27EB05CC">
      <w:pPr>
        <w:numPr>
          <w:ilvl w:val="0"/>
          <w:numId w:val="19"/>
        </w:numPr>
        <w:spacing w:line="420" w:lineRule="exact"/>
        <w:jc w:val="left"/>
        <w:rPr>
          <w:szCs w:val="21"/>
        </w:rPr>
      </w:pPr>
      <w:r>
        <w:rPr>
          <w:rFonts w:hint="eastAsia"/>
          <w:szCs w:val="21"/>
        </w:rPr>
        <w:t>按病人需求为其联系安排“特需门诊”、“专家门诊”。</w:t>
      </w:r>
    </w:p>
    <w:p w14:paraId="7E4A2831">
      <w:pPr>
        <w:numPr>
          <w:ilvl w:val="0"/>
          <w:numId w:val="19"/>
        </w:numPr>
        <w:spacing w:line="420" w:lineRule="exact"/>
        <w:jc w:val="left"/>
        <w:rPr>
          <w:szCs w:val="21"/>
        </w:rPr>
      </w:pPr>
      <w:r>
        <w:rPr>
          <w:rFonts w:hint="eastAsia"/>
          <w:szCs w:val="21"/>
        </w:rPr>
        <w:t>接受各类咨询：医院科室布局查询、检查治疗流程咨询、医院专科介绍、专家介绍、电话咨询、病人查询等。</w:t>
      </w:r>
    </w:p>
    <w:p w14:paraId="7DF4CBC5">
      <w:pPr>
        <w:numPr>
          <w:ilvl w:val="0"/>
          <w:numId w:val="19"/>
        </w:numPr>
        <w:spacing w:line="420" w:lineRule="exact"/>
        <w:jc w:val="left"/>
        <w:rPr>
          <w:szCs w:val="21"/>
        </w:rPr>
      </w:pPr>
      <w:r>
        <w:rPr>
          <w:rFonts w:hint="eastAsia"/>
          <w:szCs w:val="21"/>
        </w:rPr>
        <w:t>自动扶梯安全管理：对乘自动扶梯的患者应加强安全告知和指导工作，严防意外发生。</w:t>
      </w:r>
    </w:p>
    <w:p w14:paraId="333A3B07">
      <w:pPr>
        <w:numPr>
          <w:ilvl w:val="0"/>
          <w:numId w:val="19"/>
        </w:numPr>
        <w:spacing w:line="420" w:lineRule="exact"/>
        <w:jc w:val="left"/>
        <w:rPr>
          <w:szCs w:val="21"/>
        </w:rPr>
      </w:pPr>
      <w:r>
        <w:rPr>
          <w:rFonts w:hint="eastAsia"/>
          <w:szCs w:val="21"/>
        </w:rPr>
        <w:t>发现紧急情况或意外事件、标牌和电子屏损坏及时报告、报修、通知相应部门，及时处理。劝阻吸烟者，注意节能和按需开灯。</w:t>
      </w:r>
    </w:p>
    <w:p w14:paraId="5BF75C20">
      <w:pPr>
        <w:numPr>
          <w:ilvl w:val="0"/>
          <w:numId w:val="19"/>
        </w:numPr>
        <w:spacing w:line="420" w:lineRule="exact"/>
        <w:jc w:val="left"/>
        <w:rPr>
          <w:szCs w:val="21"/>
        </w:rPr>
      </w:pPr>
      <w:r>
        <w:rPr>
          <w:rFonts w:hint="eastAsia"/>
          <w:szCs w:val="21"/>
        </w:rPr>
        <w:t>下班前负责关闭导医分管区域的电脑、电灯、空调、门窗，并负责收好导医物品：电脑、打印机、椅子、轮椅、平车等物品。</w:t>
      </w:r>
    </w:p>
    <w:p w14:paraId="3B9616A2">
      <w:pPr>
        <w:numPr>
          <w:ilvl w:val="0"/>
          <w:numId w:val="19"/>
        </w:numPr>
        <w:spacing w:line="420" w:lineRule="exact"/>
        <w:jc w:val="left"/>
        <w:rPr>
          <w:szCs w:val="21"/>
        </w:rPr>
      </w:pPr>
      <w:r>
        <w:rPr>
          <w:rFonts w:hint="eastAsia"/>
          <w:szCs w:val="21"/>
        </w:rPr>
        <w:t>其它大厅导诊服务等。</w:t>
      </w:r>
    </w:p>
    <w:p w14:paraId="07EF2AFC">
      <w:pPr>
        <w:spacing w:line="420" w:lineRule="exact"/>
        <w:rPr>
          <w:b/>
          <w:szCs w:val="21"/>
        </w:rPr>
      </w:pPr>
      <w:r>
        <w:rPr>
          <w:rFonts w:hint="eastAsia"/>
          <w:b/>
          <w:szCs w:val="21"/>
        </w:rPr>
        <w:t>1.2门诊楼层区域服务人员</w:t>
      </w:r>
    </w:p>
    <w:p w14:paraId="7D50A8C2">
      <w:pPr>
        <w:numPr>
          <w:ilvl w:val="0"/>
          <w:numId w:val="19"/>
        </w:numPr>
        <w:spacing w:line="420" w:lineRule="exact"/>
        <w:jc w:val="left"/>
        <w:rPr>
          <w:szCs w:val="21"/>
        </w:rPr>
      </w:pPr>
      <w:r>
        <w:rPr>
          <w:rFonts w:hint="eastAsia"/>
          <w:szCs w:val="21"/>
        </w:rPr>
        <w:t>每天早上提前15分钟上班，开展分诊工作。</w:t>
      </w:r>
    </w:p>
    <w:p w14:paraId="1A6728EB">
      <w:pPr>
        <w:numPr>
          <w:ilvl w:val="0"/>
          <w:numId w:val="19"/>
        </w:numPr>
        <w:spacing w:line="420" w:lineRule="exact"/>
        <w:jc w:val="left"/>
        <w:rPr>
          <w:szCs w:val="21"/>
        </w:rPr>
      </w:pPr>
      <w:r>
        <w:rPr>
          <w:rFonts w:hint="eastAsia"/>
          <w:szCs w:val="21"/>
        </w:rPr>
        <w:t>主动帮助孕妇、儿童、弱、残、孕患者就诊，必要时协调帮助轮椅推送病人检查、治疗。</w:t>
      </w:r>
    </w:p>
    <w:p w14:paraId="02997E64">
      <w:pPr>
        <w:numPr>
          <w:ilvl w:val="0"/>
          <w:numId w:val="19"/>
        </w:numPr>
        <w:spacing w:line="420" w:lineRule="exact"/>
        <w:jc w:val="left"/>
        <w:rPr>
          <w:szCs w:val="21"/>
        </w:rPr>
      </w:pPr>
      <w:r>
        <w:rPr>
          <w:rFonts w:hint="eastAsia"/>
          <w:szCs w:val="21"/>
        </w:rPr>
        <w:t>经常观察侯诊病员的病情变化，对病情较重的病员应安排提前诊治或联系护送至急诊科处理。</w:t>
      </w:r>
    </w:p>
    <w:p w14:paraId="55926C96">
      <w:pPr>
        <w:numPr>
          <w:ilvl w:val="0"/>
          <w:numId w:val="19"/>
        </w:numPr>
        <w:spacing w:line="420" w:lineRule="exact"/>
        <w:jc w:val="left"/>
        <w:rPr>
          <w:szCs w:val="21"/>
        </w:rPr>
      </w:pPr>
      <w:r>
        <w:rPr>
          <w:szCs w:val="21"/>
        </w:rPr>
        <w:t>做好导诊，指导患者准确挂号，告知就诊流程，指引患者就诊楼层，位置</w:t>
      </w:r>
      <w:r>
        <w:rPr>
          <w:rFonts w:hint="eastAsia"/>
          <w:szCs w:val="21"/>
        </w:rPr>
        <w:t>。</w:t>
      </w:r>
    </w:p>
    <w:p w14:paraId="6D5CA16A">
      <w:pPr>
        <w:numPr>
          <w:ilvl w:val="0"/>
          <w:numId w:val="19"/>
        </w:numPr>
        <w:spacing w:line="420" w:lineRule="exact"/>
        <w:jc w:val="left"/>
        <w:rPr>
          <w:szCs w:val="21"/>
        </w:rPr>
      </w:pPr>
      <w:r>
        <w:rPr>
          <w:rFonts w:hint="eastAsia"/>
          <w:szCs w:val="21"/>
        </w:rPr>
        <w:t>协调帮助患者办理住院手续并指导病人至病区。</w:t>
      </w:r>
    </w:p>
    <w:p w14:paraId="15A95812">
      <w:pPr>
        <w:numPr>
          <w:ilvl w:val="0"/>
          <w:numId w:val="19"/>
        </w:numPr>
        <w:spacing w:line="420" w:lineRule="exact"/>
        <w:jc w:val="left"/>
        <w:rPr>
          <w:szCs w:val="21"/>
        </w:rPr>
      </w:pPr>
      <w:r>
        <w:rPr>
          <w:rFonts w:hint="eastAsia"/>
          <w:szCs w:val="21"/>
        </w:rPr>
        <w:t>保持工作台面及诊疗场所的清洁，下班前整理干净。</w:t>
      </w:r>
    </w:p>
    <w:p w14:paraId="1CA4680F">
      <w:pPr>
        <w:numPr>
          <w:ilvl w:val="0"/>
          <w:numId w:val="19"/>
        </w:numPr>
        <w:spacing w:line="420" w:lineRule="exact"/>
        <w:jc w:val="left"/>
        <w:rPr>
          <w:szCs w:val="21"/>
        </w:rPr>
      </w:pPr>
      <w:r>
        <w:rPr>
          <w:rFonts w:hint="eastAsia"/>
          <w:szCs w:val="21"/>
        </w:rPr>
        <w:t>严格做好各分诊区域门诊出诊医生的登记签到与联系工作，确保随时知晓当班坐诊医师在岗和离岗情况。</w:t>
      </w:r>
    </w:p>
    <w:p w14:paraId="6A38BFCB">
      <w:pPr>
        <w:numPr>
          <w:ilvl w:val="0"/>
          <w:numId w:val="19"/>
        </w:numPr>
        <w:spacing w:line="420" w:lineRule="exact"/>
        <w:jc w:val="left"/>
        <w:rPr>
          <w:szCs w:val="21"/>
        </w:rPr>
      </w:pPr>
      <w:r>
        <w:rPr>
          <w:rFonts w:hint="eastAsia"/>
          <w:szCs w:val="21"/>
        </w:rPr>
        <w:t>下班前负责检查各分诊区域诊室房间的电脑、电灯、空调、门窗、水龙头关闭情况。</w:t>
      </w:r>
    </w:p>
    <w:p w14:paraId="1E22BF5E">
      <w:pPr>
        <w:numPr>
          <w:ilvl w:val="0"/>
          <w:numId w:val="19"/>
        </w:numPr>
        <w:spacing w:line="420" w:lineRule="exact"/>
        <w:jc w:val="left"/>
        <w:rPr>
          <w:szCs w:val="21"/>
        </w:rPr>
      </w:pPr>
      <w:r>
        <w:rPr>
          <w:rFonts w:hint="eastAsia"/>
          <w:szCs w:val="21"/>
        </w:rPr>
        <w:t>其它科室导诊服务等。</w:t>
      </w:r>
    </w:p>
    <w:p w14:paraId="36142CDA">
      <w:pPr>
        <w:spacing w:line="420" w:lineRule="exact"/>
        <w:rPr>
          <w:b/>
          <w:szCs w:val="21"/>
        </w:rPr>
      </w:pPr>
      <w:r>
        <w:rPr>
          <w:rFonts w:hint="eastAsia"/>
          <w:b/>
          <w:szCs w:val="21"/>
        </w:rPr>
        <w:t>1.3医技科室服务人员</w:t>
      </w:r>
    </w:p>
    <w:p w14:paraId="3F096769">
      <w:pPr>
        <w:numPr>
          <w:ilvl w:val="0"/>
          <w:numId w:val="20"/>
        </w:numPr>
        <w:spacing w:line="420" w:lineRule="exact"/>
        <w:jc w:val="left"/>
        <w:rPr>
          <w:b/>
          <w:szCs w:val="21"/>
        </w:rPr>
      </w:pPr>
      <w:r>
        <w:rPr>
          <w:rFonts w:hint="eastAsia"/>
          <w:szCs w:val="21"/>
        </w:rPr>
        <w:t>在管理人员和护士长的领导及治疗医生的指导下进行工作。</w:t>
      </w:r>
    </w:p>
    <w:p w14:paraId="66D0F42B">
      <w:pPr>
        <w:numPr>
          <w:ilvl w:val="0"/>
          <w:numId w:val="20"/>
        </w:numPr>
        <w:spacing w:line="420" w:lineRule="exact"/>
        <w:jc w:val="left"/>
        <w:rPr>
          <w:b/>
          <w:szCs w:val="21"/>
        </w:rPr>
      </w:pPr>
      <w:r>
        <w:rPr>
          <w:rFonts w:hint="eastAsia"/>
          <w:szCs w:val="21"/>
        </w:rPr>
        <w:t>负责检查前的准备工作。</w:t>
      </w:r>
    </w:p>
    <w:p w14:paraId="79340B55">
      <w:pPr>
        <w:numPr>
          <w:ilvl w:val="0"/>
          <w:numId w:val="20"/>
        </w:numPr>
        <w:spacing w:line="420" w:lineRule="exact"/>
        <w:jc w:val="left"/>
        <w:rPr>
          <w:szCs w:val="21"/>
        </w:rPr>
      </w:pPr>
      <w:r>
        <w:rPr>
          <w:rFonts w:hint="eastAsia"/>
          <w:szCs w:val="21"/>
        </w:rPr>
        <w:t>做好叫号、咨询工作，维持诊室秩序。</w:t>
      </w:r>
    </w:p>
    <w:p w14:paraId="5CA3A36E">
      <w:pPr>
        <w:numPr>
          <w:ilvl w:val="0"/>
          <w:numId w:val="20"/>
        </w:numPr>
        <w:spacing w:line="420" w:lineRule="exact"/>
        <w:jc w:val="left"/>
        <w:rPr>
          <w:szCs w:val="21"/>
        </w:rPr>
      </w:pPr>
      <w:r>
        <w:rPr>
          <w:rFonts w:hint="eastAsia"/>
          <w:szCs w:val="21"/>
        </w:rPr>
        <w:t xml:space="preserve">做好预约挂号工作。 </w:t>
      </w:r>
    </w:p>
    <w:p w14:paraId="0CC18E01">
      <w:pPr>
        <w:numPr>
          <w:ilvl w:val="0"/>
          <w:numId w:val="20"/>
        </w:numPr>
        <w:spacing w:line="420" w:lineRule="exact"/>
        <w:jc w:val="left"/>
        <w:rPr>
          <w:b/>
          <w:szCs w:val="21"/>
        </w:rPr>
      </w:pPr>
      <w:r>
        <w:rPr>
          <w:rFonts w:hint="eastAsia"/>
          <w:szCs w:val="21"/>
        </w:rPr>
        <w:t>做好物品、器材的保管及维护工作。</w:t>
      </w:r>
    </w:p>
    <w:p w14:paraId="78716412">
      <w:pPr>
        <w:numPr>
          <w:ilvl w:val="0"/>
          <w:numId w:val="20"/>
        </w:numPr>
        <w:spacing w:line="420" w:lineRule="exact"/>
        <w:jc w:val="left"/>
        <w:rPr>
          <w:b/>
          <w:szCs w:val="21"/>
        </w:rPr>
      </w:pPr>
      <w:r>
        <w:rPr>
          <w:rFonts w:hint="eastAsia"/>
          <w:szCs w:val="21"/>
        </w:rPr>
        <w:t>协助护士处理意外突发事件。</w:t>
      </w:r>
    </w:p>
    <w:p w14:paraId="31191115">
      <w:pPr>
        <w:numPr>
          <w:ilvl w:val="0"/>
          <w:numId w:val="20"/>
        </w:numPr>
        <w:spacing w:line="420" w:lineRule="exact"/>
        <w:jc w:val="left"/>
        <w:rPr>
          <w:b/>
          <w:szCs w:val="21"/>
        </w:rPr>
      </w:pPr>
      <w:r>
        <w:rPr>
          <w:rFonts w:hint="eastAsia"/>
          <w:szCs w:val="21"/>
        </w:rPr>
        <w:t>负责受理接待患者投诉，做好解释工作。</w:t>
      </w:r>
    </w:p>
    <w:p w14:paraId="29B126ED">
      <w:pPr>
        <w:numPr>
          <w:ilvl w:val="0"/>
          <w:numId w:val="20"/>
        </w:numPr>
        <w:spacing w:line="420" w:lineRule="exact"/>
        <w:jc w:val="left"/>
        <w:rPr>
          <w:b/>
          <w:szCs w:val="21"/>
        </w:rPr>
      </w:pPr>
      <w:r>
        <w:rPr>
          <w:rFonts w:hint="eastAsia"/>
          <w:szCs w:val="21"/>
        </w:rPr>
        <w:t>做好抽血排号、检验单发放等技能工作</w:t>
      </w:r>
    </w:p>
    <w:p w14:paraId="0C2F12D7">
      <w:pPr>
        <w:numPr>
          <w:ilvl w:val="0"/>
          <w:numId w:val="20"/>
        </w:numPr>
        <w:spacing w:line="420" w:lineRule="exact"/>
        <w:jc w:val="left"/>
        <w:rPr>
          <w:b/>
          <w:szCs w:val="21"/>
        </w:rPr>
      </w:pPr>
      <w:r>
        <w:rPr>
          <w:rFonts w:hint="eastAsia"/>
          <w:szCs w:val="21"/>
        </w:rPr>
        <w:t>其它医技科室服务等</w:t>
      </w:r>
    </w:p>
    <w:p w14:paraId="04F27330">
      <w:pPr>
        <w:spacing w:line="420" w:lineRule="exact"/>
        <w:rPr>
          <w:b/>
          <w:szCs w:val="21"/>
        </w:rPr>
      </w:pPr>
      <w:r>
        <w:rPr>
          <w:rFonts w:hint="eastAsia"/>
          <w:b/>
          <w:szCs w:val="21"/>
        </w:rPr>
        <w:t>1.4自助机岗位服务人员</w:t>
      </w:r>
    </w:p>
    <w:p w14:paraId="6439AAF0">
      <w:pPr>
        <w:numPr>
          <w:ilvl w:val="0"/>
          <w:numId w:val="20"/>
        </w:numPr>
        <w:spacing w:line="240" w:lineRule="auto"/>
        <w:rPr>
          <w:szCs w:val="21"/>
        </w:rPr>
      </w:pPr>
      <w:r>
        <w:rPr>
          <w:rFonts w:hint="eastAsia"/>
          <w:szCs w:val="21"/>
        </w:rPr>
        <w:t>每天早上提前</w:t>
      </w:r>
      <w:r>
        <w:rPr>
          <w:szCs w:val="21"/>
        </w:rPr>
        <w:t>15分钟上班，开展工作</w:t>
      </w:r>
      <w:r>
        <w:rPr>
          <w:rFonts w:hint="eastAsia"/>
          <w:szCs w:val="21"/>
        </w:rPr>
        <w:t>。</w:t>
      </w:r>
    </w:p>
    <w:p w14:paraId="135FA35D">
      <w:pPr>
        <w:numPr>
          <w:ilvl w:val="0"/>
          <w:numId w:val="20"/>
        </w:numPr>
        <w:spacing w:line="420" w:lineRule="exact"/>
        <w:jc w:val="left"/>
        <w:rPr>
          <w:szCs w:val="21"/>
        </w:rPr>
      </w:pPr>
      <w:r>
        <w:rPr>
          <w:rFonts w:hint="eastAsia"/>
          <w:szCs w:val="21"/>
        </w:rPr>
        <w:t>查阅前一天的工作交接本，了解有无需要处理的问题。</w:t>
      </w:r>
    </w:p>
    <w:p w14:paraId="570AE905">
      <w:pPr>
        <w:numPr>
          <w:ilvl w:val="0"/>
          <w:numId w:val="20"/>
        </w:numPr>
        <w:spacing w:line="420" w:lineRule="exact"/>
        <w:jc w:val="left"/>
        <w:rPr>
          <w:szCs w:val="21"/>
        </w:rPr>
      </w:pPr>
      <w:r>
        <w:rPr>
          <w:rFonts w:hint="eastAsia"/>
          <w:szCs w:val="21"/>
        </w:rPr>
        <w:t>检查一下每个机器的电源插头是否插好，以防在使用过程中突然断电，造成困扰</w:t>
      </w:r>
    </w:p>
    <w:p w14:paraId="589A5489">
      <w:pPr>
        <w:numPr>
          <w:ilvl w:val="0"/>
          <w:numId w:val="20"/>
        </w:numPr>
        <w:spacing w:line="420" w:lineRule="exact"/>
        <w:jc w:val="left"/>
        <w:rPr>
          <w:szCs w:val="21"/>
        </w:rPr>
      </w:pPr>
      <w:r>
        <w:rPr>
          <w:rFonts w:hint="eastAsia"/>
          <w:szCs w:val="21"/>
        </w:rPr>
        <w:t>帮助未挂号的患者使用自助机挂号。</w:t>
      </w:r>
    </w:p>
    <w:p w14:paraId="33A9DEF1">
      <w:pPr>
        <w:numPr>
          <w:ilvl w:val="0"/>
          <w:numId w:val="20"/>
        </w:numPr>
        <w:spacing w:line="240" w:lineRule="auto"/>
        <w:rPr>
          <w:szCs w:val="21"/>
        </w:rPr>
      </w:pPr>
      <w:r>
        <w:rPr>
          <w:rFonts w:hint="eastAsia"/>
          <w:szCs w:val="21"/>
        </w:rPr>
        <w:t>负责导医导诊、各种地点指引等门诊服务工作，随时接受咨询。</w:t>
      </w:r>
    </w:p>
    <w:p w14:paraId="16DA8EDB">
      <w:pPr>
        <w:numPr>
          <w:ilvl w:val="0"/>
          <w:numId w:val="20"/>
        </w:numPr>
        <w:spacing w:line="420" w:lineRule="exact"/>
        <w:jc w:val="left"/>
        <w:rPr>
          <w:szCs w:val="21"/>
        </w:rPr>
      </w:pPr>
      <w:r>
        <w:rPr>
          <w:rFonts w:hint="eastAsia"/>
          <w:szCs w:val="21"/>
        </w:rPr>
        <w:t>正确引导挂到号的患者去相对应诊室取号，等待叫号。</w:t>
      </w:r>
    </w:p>
    <w:p w14:paraId="59A73017">
      <w:pPr>
        <w:numPr>
          <w:ilvl w:val="0"/>
          <w:numId w:val="20"/>
        </w:numPr>
        <w:spacing w:line="420" w:lineRule="exact"/>
        <w:jc w:val="left"/>
        <w:rPr>
          <w:szCs w:val="21"/>
        </w:rPr>
      </w:pPr>
      <w:r>
        <w:rPr>
          <w:szCs w:val="21"/>
        </w:rPr>
        <w:t>耐心帮助家属解答问题</w:t>
      </w:r>
      <w:r>
        <w:rPr>
          <w:rFonts w:hint="eastAsia"/>
          <w:szCs w:val="21"/>
        </w:rPr>
        <w:t>。</w:t>
      </w:r>
    </w:p>
    <w:p w14:paraId="7DECB599">
      <w:pPr>
        <w:numPr>
          <w:ilvl w:val="0"/>
          <w:numId w:val="20"/>
        </w:numPr>
        <w:spacing w:line="420" w:lineRule="exact"/>
        <w:jc w:val="left"/>
        <w:rPr>
          <w:szCs w:val="21"/>
        </w:rPr>
      </w:pPr>
      <w:r>
        <w:rPr>
          <w:szCs w:val="21"/>
        </w:rPr>
        <w:t>工作中，如发现自助机出现问题，先自我排查，挂故障牌，报有关部门维修</w:t>
      </w:r>
      <w:r>
        <w:rPr>
          <w:rFonts w:hint="eastAsia"/>
          <w:szCs w:val="21"/>
        </w:rPr>
        <w:t>。</w:t>
      </w:r>
    </w:p>
    <w:p w14:paraId="7CFFA737">
      <w:pPr>
        <w:numPr>
          <w:ilvl w:val="0"/>
          <w:numId w:val="20"/>
        </w:numPr>
        <w:spacing w:line="420" w:lineRule="exact"/>
        <w:jc w:val="left"/>
        <w:rPr>
          <w:szCs w:val="21"/>
        </w:rPr>
      </w:pPr>
      <w:r>
        <w:rPr>
          <w:rFonts w:hint="eastAsia"/>
          <w:szCs w:val="21"/>
        </w:rPr>
        <w:t>负责分流医院窗口排队患者到自助设备操作。</w:t>
      </w:r>
    </w:p>
    <w:p w14:paraId="76BED3E6">
      <w:pPr>
        <w:numPr>
          <w:ilvl w:val="0"/>
          <w:numId w:val="20"/>
        </w:numPr>
        <w:spacing w:line="420" w:lineRule="exact"/>
        <w:jc w:val="left"/>
        <w:rPr>
          <w:szCs w:val="21"/>
        </w:rPr>
      </w:pPr>
      <w:r>
        <w:rPr>
          <w:szCs w:val="21"/>
        </w:rPr>
        <w:t>负责对医院患者进行银医通自助设备操作指导</w:t>
      </w:r>
      <w:r>
        <w:rPr>
          <w:rFonts w:hint="eastAsia"/>
          <w:szCs w:val="21"/>
        </w:rPr>
        <w:t>。</w:t>
      </w:r>
    </w:p>
    <w:p w14:paraId="11D4268D">
      <w:pPr>
        <w:numPr>
          <w:ilvl w:val="0"/>
          <w:numId w:val="20"/>
        </w:numPr>
        <w:spacing w:line="420" w:lineRule="exact"/>
        <w:jc w:val="left"/>
        <w:rPr>
          <w:szCs w:val="21"/>
        </w:rPr>
      </w:pPr>
      <w:r>
        <w:rPr>
          <w:szCs w:val="21"/>
        </w:rPr>
        <w:t>负责对医院的银医通自助设备做好日常维护及故障报送</w:t>
      </w:r>
      <w:r>
        <w:rPr>
          <w:rFonts w:hint="eastAsia"/>
          <w:szCs w:val="21"/>
        </w:rPr>
        <w:t>。</w:t>
      </w:r>
    </w:p>
    <w:p w14:paraId="12D7BCC7">
      <w:pPr>
        <w:numPr>
          <w:ilvl w:val="0"/>
          <w:numId w:val="20"/>
        </w:numPr>
        <w:spacing w:line="420" w:lineRule="exact"/>
        <w:jc w:val="left"/>
        <w:rPr>
          <w:szCs w:val="21"/>
        </w:rPr>
      </w:pPr>
      <w:r>
        <w:rPr>
          <w:rFonts w:hint="eastAsia"/>
          <w:szCs w:val="21"/>
        </w:rPr>
        <w:t>做好各岗位人员的调配。</w:t>
      </w:r>
    </w:p>
    <w:p w14:paraId="7971D1B1">
      <w:pPr>
        <w:numPr>
          <w:ilvl w:val="0"/>
          <w:numId w:val="20"/>
        </w:numPr>
        <w:spacing w:line="420" w:lineRule="exact"/>
        <w:jc w:val="left"/>
        <w:rPr>
          <w:szCs w:val="21"/>
        </w:rPr>
      </w:pPr>
      <w:r>
        <w:rPr>
          <w:rFonts w:hint="eastAsia"/>
          <w:szCs w:val="21"/>
        </w:rPr>
        <w:t>全院所有导医、收费人员的管理。</w:t>
      </w:r>
    </w:p>
    <w:p w14:paraId="1E86645F">
      <w:pPr>
        <w:numPr>
          <w:ilvl w:val="0"/>
          <w:numId w:val="21"/>
        </w:numPr>
        <w:spacing w:line="500" w:lineRule="exact"/>
        <w:rPr>
          <w:rFonts w:cs="宋体"/>
          <w:b/>
          <w:szCs w:val="21"/>
        </w:rPr>
      </w:pPr>
      <w:r>
        <w:rPr>
          <w:rFonts w:hint="eastAsia" w:cs="宋体"/>
          <w:b/>
          <w:szCs w:val="21"/>
        </w:rPr>
        <w:t>服务质量和服务标准：</w:t>
      </w:r>
    </w:p>
    <w:p w14:paraId="24C547BC">
      <w:pPr>
        <w:numPr>
          <w:ilvl w:val="0"/>
          <w:numId w:val="22"/>
        </w:numPr>
        <w:spacing w:line="500" w:lineRule="exact"/>
        <w:rPr>
          <w:szCs w:val="21"/>
        </w:rPr>
      </w:pPr>
      <w:r>
        <w:rPr>
          <w:rFonts w:hint="eastAsia"/>
          <w:szCs w:val="21"/>
        </w:rPr>
        <w:t>服务人员具有应有的职业道德，遵循社会公德，为就诊人员创建健康、文明服务环境；</w:t>
      </w:r>
    </w:p>
    <w:p w14:paraId="3F5DCC1E">
      <w:pPr>
        <w:numPr>
          <w:ilvl w:val="0"/>
          <w:numId w:val="22"/>
        </w:numPr>
        <w:spacing w:line="500" w:lineRule="exact"/>
        <w:rPr>
          <w:szCs w:val="21"/>
        </w:rPr>
      </w:pPr>
      <w:r>
        <w:rPr>
          <w:rFonts w:hint="eastAsia"/>
          <w:szCs w:val="21"/>
        </w:rPr>
        <w:t>服务人员对门诊服务工作具备基本业务知识和技能，并能快速、准确运用；</w:t>
      </w:r>
    </w:p>
    <w:p w14:paraId="0C6C660E">
      <w:pPr>
        <w:numPr>
          <w:ilvl w:val="0"/>
          <w:numId w:val="22"/>
        </w:numPr>
        <w:spacing w:line="500" w:lineRule="exact"/>
        <w:rPr>
          <w:szCs w:val="21"/>
        </w:rPr>
      </w:pPr>
      <w:r>
        <w:rPr>
          <w:rFonts w:hint="eastAsia"/>
          <w:szCs w:val="21"/>
        </w:rPr>
        <w:t>服务人员熟悉医院的服务流程、服务内容，能耐心、亲切的应答就诊人员的提问，正确指导患者就诊；</w:t>
      </w:r>
    </w:p>
    <w:p w14:paraId="3593E1AE">
      <w:pPr>
        <w:numPr>
          <w:ilvl w:val="0"/>
          <w:numId w:val="22"/>
        </w:numPr>
        <w:spacing w:line="500" w:lineRule="exact"/>
        <w:rPr>
          <w:szCs w:val="21"/>
        </w:rPr>
      </w:pPr>
      <w:r>
        <w:rPr>
          <w:rFonts w:hint="eastAsia"/>
          <w:szCs w:val="21"/>
        </w:rPr>
        <w:t>服务人员能及时发现就诊人员的需求，主动服务，与就诊人员交谈时，做到用心倾听；</w:t>
      </w:r>
    </w:p>
    <w:p w14:paraId="0545ABB4">
      <w:pPr>
        <w:numPr>
          <w:ilvl w:val="0"/>
          <w:numId w:val="22"/>
        </w:numPr>
        <w:spacing w:line="500" w:lineRule="exact"/>
        <w:rPr>
          <w:szCs w:val="21"/>
        </w:rPr>
      </w:pPr>
      <w:r>
        <w:rPr>
          <w:rFonts w:hint="eastAsia"/>
          <w:szCs w:val="21"/>
        </w:rPr>
        <w:t>服务人员仪容仪表端庄、大方、整洁，着装、配饰统一标准；</w:t>
      </w:r>
    </w:p>
    <w:p w14:paraId="5CD8C38C">
      <w:pPr>
        <w:numPr>
          <w:ilvl w:val="0"/>
          <w:numId w:val="22"/>
        </w:numPr>
        <w:spacing w:line="500" w:lineRule="exact"/>
        <w:rPr>
          <w:szCs w:val="21"/>
        </w:rPr>
      </w:pPr>
      <w:r>
        <w:rPr>
          <w:rFonts w:hint="eastAsia"/>
          <w:szCs w:val="21"/>
        </w:rPr>
        <w:t>服务人员站、坐、行姿符合岗位规范和要求，保持微笑；</w:t>
      </w:r>
    </w:p>
    <w:p w14:paraId="02D2C3AE">
      <w:pPr>
        <w:numPr>
          <w:ilvl w:val="0"/>
          <w:numId w:val="22"/>
        </w:numPr>
        <w:spacing w:line="500" w:lineRule="exact"/>
        <w:rPr>
          <w:szCs w:val="21"/>
        </w:rPr>
      </w:pPr>
      <w:r>
        <w:rPr>
          <w:rFonts w:hint="eastAsia"/>
          <w:szCs w:val="21"/>
        </w:rPr>
        <w:t>服务人员礼貌用语、工作用语统一标准，工作期间首选使用普通话；</w:t>
      </w:r>
    </w:p>
    <w:p w14:paraId="6AA99A50">
      <w:pPr>
        <w:numPr>
          <w:ilvl w:val="0"/>
          <w:numId w:val="22"/>
        </w:numPr>
        <w:spacing w:line="500" w:lineRule="exact"/>
        <w:rPr>
          <w:szCs w:val="21"/>
        </w:rPr>
      </w:pPr>
      <w:r>
        <w:rPr>
          <w:rFonts w:hint="eastAsia"/>
          <w:szCs w:val="21"/>
        </w:rPr>
        <w:t>服务人员准时上、下班，不迟到早退，不脱岗。上班时间不玩手机，接听电话注意场合、注意音量、不超规定时间；</w:t>
      </w:r>
    </w:p>
    <w:p w14:paraId="0791E06F">
      <w:pPr>
        <w:numPr>
          <w:ilvl w:val="0"/>
          <w:numId w:val="22"/>
        </w:numPr>
        <w:spacing w:line="500" w:lineRule="exact"/>
        <w:rPr>
          <w:szCs w:val="21"/>
        </w:rPr>
      </w:pPr>
      <w:r>
        <w:rPr>
          <w:rFonts w:hint="eastAsia"/>
          <w:szCs w:val="21"/>
        </w:rPr>
        <w:t>服务人员维持现场秩序和主动疏导就诊人员；</w:t>
      </w:r>
    </w:p>
    <w:p w14:paraId="025BC5FD">
      <w:pPr>
        <w:numPr>
          <w:ilvl w:val="0"/>
          <w:numId w:val="22"/>
        </w:numPr>
        <w:spacing w:line="500" w:lineRule="exact"/>
        <w:rPr>
          <w:szCs w:val="21"/>
        </w:rPr>
      </w:pPr>
      <w:r>
        <w:rPr>
          <w:rFonts w:hint="eastAsia"/>
          <w:szCs w:val="21"/>
        </w:rPr>
        <w:t>服务人员对有需要特殊帮助的就诊人员（如残疾人士、行动不便的老年人等）应主动予以帮助；对需要走绿色通道的就诊人员及时与医院总值班进行联系；</w:t>
      </w:r>
    </w:p>
    <w:p w14:paraId="15C72F37">
      <w:pPr>
        <w:numPr>
          <w:ilvl w:val="0"/>
          <w:numId w:val="22"/>
        </w:numPr>
        <w:spacing w:line="500" w:lineRule="exact"/>
        <w:rPr>
          <w:szCs w:val="21"/>
        </w:rPr>
      </w:pPr>
      <w:r>
        <w:rPr>
          <w:rFonts w:hint="eastAsia"/>
          <w:szCs w:val="21"/>
        </w:rPr>
        <w:t>管理人员接到投诉，及时与医院相关部门沟通、协调，正确、快速进行处理。服务中如有差错，应道歉并立即更正；</w:t>
      </w:r>
    </w:p>
    <w:p w14:paraId="156AFC38">
      <w:pPr>
        <w:numPr>
          <w:ilvl w:val="0"/>
          <w:numId w:val="22"/>
        </w:numPr>
        <w:spacing w:line="500" w:lineRule="exact"/>
        <w:rPr>
          <w:rFonts w:cs="宋体"/>
          <w:b/>
          <w:szCs w:val="21"/>
        </w:rPr>
      </w:pPr>
      <w:r>
        <w:rPr>
          <w:rFonts w:hint="eastAsia"/>
          <w:szCs w:val="21"/>
        </w:rPr>
        <w:t>其它服务标准等。</w:t>
      </w:r>
    </w:p>
    <w:p w14:paraId="445AB368">
      <w:pPr>
        <w:spacing w:before="120" w:line="500" w:lineRule="exact"/>
        <w:ind w:firstLine="482" w:firstLineChars="200"/>
        <w:rPr>
          <w:rFonts w:cs="宋体"/>
          <w:b/>
          <w:szCs w:val="21"/>
        </w:rPr>
      </w:pPr>
      <w:r>
        <w:rPr>
          <w:rFonts w:cs="宋体"/>
          <w:b/>
          <w:szCs w:val="21"/>
        </w:rPr>
        <w:t>第七条</w:t>
      </w:r>
      <w:r>
        <w:rPr>
          <w:rFonts w:hint="eastAsia" w:cs="宋体"/>
          <w:b/>
          <w:szCs w:val="21"/>
        </w:rPr>
        <w:t xml:space="preserve"> 服务性质、数量及相关约定</w:t>
      </w:r>
    </w:p>
    <w:p w14:paraId="66A1660F">
      <w:pPr>
        <w:pStyle w:val="68"/>
        <w:tabs>
          <w:tab w:val="left" w:pos="0"/>
          <w:tab w:val="left" w:pos="180"/>
          <w:tab w:val="left" w:pos="601"/>
        </w:tabs>
        <w:spacing w:before="120" w:beforeLines="50" w:line="500" w:lineRule="exact"/>
        <w:ind w:left="204" w:leftChars="85" w:firstLine="440"/>
        <w:rPr>
          <w:rFonts w:cs="宋体"/>
          <w:szCs w:val="21"/>
        </w:rPr>
      </w:pPr>
      <w:r>
        <w:rPr>
          <w:rFonts w:hint="eastAsia" w:cs="宋体"/>
          <w:szCs w:val="21"/>
        </w:rPr>
        <w:t xml:space="preserve">（一）门诊服务服务人员数量： </w:t>
      </w:r>
      <w:r>
        <w:rPr>
          <w:rFonts w:cs="宋体"/>
          <w:szCs w:val="21"/>
          <w:u w:val="single"/>
        </w:rPr>
        <w:t xml:space="preserve">      </w:t>
      </w:r>
      <w:r>
        <w:rPr>
          <w:rFonts w:hint="eastAsia" w:cs="宋体"/>
          <w:szCs w:val="21"/>
        </w:rPr>
        <w:t xml:space="preserve"> ， </w:t>
      </w:r>
    </w:p>
    <w:p w14:paraId="58D54003">
      <w:pPr>
        <w:pStyle w:val="68"/>
        <w:tabs>
          <w:tab w:val="left" w:pos="0"/>
          <w:tab w:val="left" w:pos="180"/>
          <w:tab w:val="left" w:pos="601"/>
        </w:tabs>
        <w:spacing w:before="120" w:beforeLines="50" w:line="500" w:lineRule="exact"/>
        <w:ind w:left="204" w:leftChars="85" w:firstLine="440"/>
        <w:rPr>
          <w:rFonts w:cs="宋体"/>
          <w:szCs w:val="21"/>
          <w:u w:val="single"/>
        </w:rPr>
      </w:pPr>
      <w:r>
        <w:rPr>
          <w:rFonts w:hint="eastAsia" w:cs="宋体"/>
          <w:szCs w:val="21"/>
        </w:rPr>
        <w:t>（二）服务区域：门诊区域</w:t>
      </w:r>
      <w:r>
        <w:rPr>
          <w:rFonts w:hint="eastAsia"/>
          <w:szCs w:val="21"/>
          <w:u w:val="single"/>
        </w:rPr>
        <w:t xml:space="preserve"> </w:t>
      </w:r>
      <w:r>
        <w:rPr>
          <w:szCs w:val="21"/>
          <w:u w:val="single"/>
        </w:rPr>
        <w:t xml:space="preserve">       </w:t>
      </w:r>
    </w:p>
    <w:p w14:paraId="0805A8E1">
      <w:pPr>
        <w:pStyle w:val="68"/>
        <w:tabs>
          <w:tab w:val="left" w:pos="0"/>
          <w:tab w:val="left" w:pos="180"/>
          <w:tab w:val="left" w:pos="601"/>
        </w:tabs>
        <w:spacing w:before="120" w:beforeLines="50" w:line="500" w:lineRule="exact"/>
        <w:ind w:left="204" w:leftChars="85" w:firstLine="440"/>
        <w:rPr>
          <w:rFonts w:cs="宋体"/>
          <w:szCs w:val="21"/>
        </w:rPr>
      </w:pPr>
      <w:r>
        <w:rPr>
          <w:rFonts w:hint="eastAsia" w:cs="宋体"/>
          <w:szCs w:val="21"/>
        </w:rPr>
        <w:t>（三）服务时间：周一到周日（整周），每周工作时间不超过40个小时（含40个小时），具体时间段可根据甲方要求安排，国假上班、加班、夜班等按照国家或者甲方相关规定另算工资。</w:t>
      </w:r>
    </w:p>
    <w:p w14:paraId="5C2C87E5">
      <w:pPr>
        <w:spacing w:before="120" w:line="500" w:lineRule="exact"/>
        <w:ind w:firstLine="480" w:firstLineChars="200"/>
        <w:rPr>
          <w:rFonts w:cs="宋体"/>
          <w:szCs w:val="21"/>
        </w:rPr>
      </w:pPr>
      <w:r>
        <w:rPr>
          <w:rFonts w:cs="宋体"/>
          <w:szCs w:val="21"/>
        </w:rPr>
        <w:tab/>
      </w:r>
      <w:r>
        <w:rPr>
          <w:rFonts w:hint="eastAsia" w:cs="宋体"/>
          <w:szCs w:val="21"/>
        </w:rPr>
        <w:t>本条</w:t>
      </w:r>
      <w:r>
        <w:rPr>
          <w:rFonts w:cs="宋体"/>
          <w:szCs w:val="21"/>
        </w:rPr>
        <w:t>约定在执行过程中如有变更</w:t>
      </w:r>
      <w:r>
        <w:rPr>
          <w:rFonts w:hint="eastAsia" w:cs="宋体"/>
          <w:szCs w:val="21"/>
        </w:rPr>
        <w:t>，甲方应提前30个工作日以书面方式通知乙方，根据双方协商，必要时签订补充协议或对协议进行变更。</w:t>
      </w:r>
    </w:p>
    <w:p w14:paraId="336632F6">
      <w:pPr>
        <w:spacing w:before="120" w:line="500" w:lineRule="exact"/>
        <w:ind w:firstLine="482" w:firstLineChars="200"/>
        <w:rPr>
          <w:rFonts w:cs="宋体"/>
          <w:szCs w:val="21"/>
        </w:rPr>
      </w:pPr>
      <w:r>
        <w:rPr>
          <w:rFonts w:hint="eastAsia" w:cs="宋体"/>
          <w:b/>
          <w:szCs w:val="21"/>
        </w:rPr>
        <w:t>第八条</w:t>
      </w:r>
      <w:r>
        <w:rPr>
          <w:rFonts w:hint="eastAsia" w:cs="宋体"/>
          <w:szCs w:val="21"/>
        </w:rPr>
        <w:t xml:space="preserve">  甲方负责提供服务场地、设备、设施、工具，并承担服务项目的日常运作费用，包括但不限于水电费、电话费、办公用品、办公耗材等。</w:t>
      </w:r>
    </w:p>
    <w:p w14:paraId="72BDC7E1">
      <w:pPr>
        <w:spacing w:before="120" w:line="500" w:lineRule="exact"/>
        <w:jc w:val="center"/>
        <w:outlineLvl w:val="2"/>
        <w:rPr>
          <w:b/>
          <w:bCs/>
          <w:sz w:val="28"/>
          <w:szCs w:val="28"/>
        </w:rPr>
      </w:pPr>
      <w:r>
        <w:rPr>
          <w:rFonts w:hint="eastAsia"/>
          <w:b/>
          <w:bCs/>
          <w:sz w:val="28"/>
          <w:szCs w:val="28"/>
        </w:rPr>
        <w:t>第三章</w:t>
      </w:r>
      <w:r>
        <w:rPr>
          <w:b/>
          <w:bCs/>
          <w:sz w:val="28"/>
          <w:szCs w:val="28"/>
        </w:rPr>
        <w:t xml:space="preserve">  </w:t>
      </w:r>
      <w:r>
        <w:rPr>
          <w:rFonts w:hint="eastAsia"/>
          <w:b/>
          <w:bCs/>
          <w:sz w:val="28"/>
          <w:szCs w:val="28"/>
        </w:rPr>
        <w:t>合作期限</w:t>
      </w:r>
    </w:p>
    <w:p w14:paraId="75A9EBA3">
      <w:pPr>
        <w:adjustRightInd w:val="0"/>
        <w:snapToGrid w:val="0"/>
        <w:spacing w:before="30" w:after="30" w:line="500" w:lineRule="exact"/>
        <w:ind w:firstLine="600" w:firstLineChars="249"/>
        <w:rPr>
          <w:rFonts w:cs="宋体"/>
          <w:szCs w:val="21"/>
        </w:rPr>
      </w:pPr>
      <w:r>
        <w:rPr>
          <w:rFonts w:hint="eastAsia" w:cs="宋体"/>
          <w:b/>
          <w:szCs w:val="21"/>
        </w:rPr>
        <w:t>第九条</w:t>
      </w:r>
      <w:r>
        <w:rPr>
          <w:szCs w:val="21"/>
        </w:rPr>
        <w:t xml:space="preserve"> </w:t>
      </w:r>
      <w:r>
        <w:rPr>
          <w:rFonts w:hint="eastAsia"/>
          <w:szCs w:val="21"/>
        </w:rPr>
        <w:t>本合作期限从</w:t>
      </w:r>
      <w:r>
        <w:rPr>
          <w:szCs w:val="21"/>
          <w:u w:val="single"/>
        </w:rPr>
        <w:t xml:space="preserve">         </w:t>
      </w:r>
      <w:r>
        <w:rPr>
          <w:rFonts w:hint="eastAsia"/>
          <w:szCs w:val="21"/>
          <w:u w:val="single"/>
        </w:rPr>
        <w:t xml:space="preserve"> </w:t>
      </w:r>
      <w:r>
        <w:rPr>
          <w:rFonts w:hint="eastAsia"/>
          <w:szCs w:val="21"/>
        </w:rPr>
        <w:t>起至</w:t>
      </w:r>
      <w:r>
        <w:rPr>
          <w:rFonts w:hint="eastAsia"/>
          <w:szCs w:val="21"/>
          <w:u w:val="single"/>
        </w:rPr>
        <w:t xml:space="preserve"> </w:t>
      </w:r>
      <w:r>
        <w:rPr>
          <w:szCs w:val="21"/>
          <w:u w:val="single"/>
        </w:rPr>
        <w:t xml:space="preserve">          </w:t>
      </w:r>
      <w:r>
        <w:rPr>
          <w:rFonts w:hint="eastAsia"/>
          <w:szCs w:val="21"/>
        </w:rPr>
        <w:t>。任何一方若终止合作，</w:t>
      </w:r>
      <w:r>
        <w:rPr>
          <w:rFonts w:hint="eastAsia" w:cs="宋体"/>
          <w:szCs w:val="21"/>
        </w:rPr>
        <w:t>应提前30个工作日以书面形式通知对方并协助处理有关善后事宜。任何一方未提前30个工作日通知对方的，那么造成的一切损失由违约方负责。</w:t>
      </w:r>
    </w:p>
    <w:p w14:paraId="12C1B172">
      <w:pPr>
        <w:spacing w:before="120" w:line="500" w:lineRule="exact"/>
        <w:jc w:val="center"/>
        <w:outlineLvl w:val="2"/>
        <w:rPr>
          <w:sz w:val="28"/>
          <w:szCs w:val="28"/>
        </w:rPr>
      </w:pPr>
      <w:r>
        <w:rPr>
          <w:rFonts w:hint="eastAsia"/>
          <w:b/>
          <w:bCs/>
          <w:sz w:val="28"/>
          <w:szCs w:val="28"/>
        </w:rPr>
        <w:t>第四章</w:t>
      </w:r>
      <w:r>
        <w:rPr>
          <w:b/>
          <w:bCs/>
          <w:sz w:val="28"/>
          <w:szCs w:val="28"/>
        </w:rPr>
        <w:t xml:space="preserve"> </w:t>
      </w:r>
      <w:r>
        <w:rPr>
          <w:rFonts w:hint="eastAsia"/>
          <w:b/>
          <w:bCs/>
          <w:sz w:val="28"/>
          <w:szCs w:val="28"/>
        </w:rPr>
        <w:t>合作费</w:t>
      </w:r>
      <w:r>
        <w:rPr>
          <w:b/>
          <w:bCs/>
          <w:sz w:val="28"/>
          <w:szCs w:val="28"/>
        </w:rPr>
        <w:t>标准和</w:t>
      </w:r>
      <w:r>
        <w:rPr>
          <w:rFonts w:hint="eastAsia"/>
          <w:b/>
          <w:bCs/>
          <w:sz w:val="28"/>
          <w:szCs w:val="28"/>
        </w:rPr>
        <w:t>结算</w:t>
      </w:r>
      <w:r>
        <w:rPr>
          <w:b/>
          <w:bCs/>
          <w:sz w:val="28"/>
          <w:szCs w:val="28"/>
        </w:rPr>
        <w:t>方式</w:t>
      </w:r>
    </w:p>
    <w:p w14:paraId="2BC1252D">
      <w:pPr>
        <w:adjustRightInd w:val="0"/>
        <w:snapToGrid w:val="0"/>
        <w:spacing w:before="30" w:after="30" w:line="500" w:lineRule="exact"/>
        <w:ind w:firstLine="600" w:firstLineChars="249"/>
        <w:rPr>
          <w:szCs w:val="21"/>
        </w:rPr>
      </w:pPr>
      <w:r>
        <w:rPr>
          <w:rFonts w:hint="eastAsia" w:cs="宋体"/>
          <w:b/>
          <w:szCs w:val="21"/>
        </w:rPr>
        <w:t>第十</w:t>
      </w:r>
      <w:r>
        <w:rPr>
          <w:rFonts w:hint="eastAsia"/>
          <w:b/>
          <w:szCs w:val="21"/>
        </w:rPr>
        <w:t>条</w:t>
      </w:r>
      <w:r>
        <w:rPr>
          <w:b/>
          <w:szCs w:val="21"/>
        </w:rPr>
        <w:t xml:space="preserve"> </w:t>
      </w:r>
      <w:r>
        <w:rPr>
          <w:rFonts w:hint="eastAsia"/>
          <w:szCs w:val="21"/>
        </w:rPr>
        <w:t xml:space="preserve"> 合作服务费用构成</w:t>
      </w:r>
    </w:p>
    <w:p w14:paraId="2BBC031E">
      <w:pPr>
        <w:adjustRightInd w:val="0"/>
        <w:snapToGrid w:val="0"/>
        <w:spacing w:before="30" w:after="30" w:line="500" w:lineRule="exact"/>
        <w:ind w:firstLine="597" w:firstLineChars="249"/>
        <w:rPr>
          <w:szCs w:val="21"/>
        </w:rPr>
      </w:pPr>
      <w:r>
        <w:rPr>
          <w:rFonts w:hint="eastAsia"/>
          <w:szCs w:val="21"/>
        </w:rPr>
        <w:t xml:space="preserve">甲方支付给乙方的费用分为：月固定服务费，每月结算一次。 </w:t>
      </w:r>
    </w:p>
    <w:p w14:paraId="66D07295">
      <w:pPr>
        <w:adjustRightInd w:val="0"/>
        <w:snapToGrid w:val="0"/>
        <w:spacing w:before="30" w:after="30" w:line="500" w:lineRule="exact"/>
        <w:ind w:firstLine="597" w:firstLineChars="249"/>
        <w:rPr>
          <w:szCs w:val="21"/>
        </w:rPr>
      </w:pPr>
      <w:r>
        <w:rPr>
          <w:rFonts w:hint="eastAsia"/>
          <w:szCs w:val="21"/>
        </w:rPr>
        <w:t>（一）固定费用：门诊客服月固定服务费按</w:t>
      </w:r>
      <w:r>
        <w:rPr>
          <w:rFonts w:hint="eastAsia"/>
          <w:szCs w:val="21"/>
          <w:u w:val="single"/>
        </w:rPr>
        <w:t>_</w:t>
      </w:r>
      <w:r>
        <w:rPr>
          <w:szCs w:val="21"/>
          <w:u w:val="single"/>
        </w:rPr>
        <w:t xml:space="preserve">  </w:t>
      </w:r>
      <w:r>
        <w:rPr>
          <w:rFonts w:hint="eastAsia"/>
          <w:szCs w:val="21"/>
          <w:u w:val="single"/>
        </w:rPr>
        <w:t xml:space="preserve"> </w:t>
      </w:r>
      <w:r>
        <w:rPr>
          <w:rFonts w:hint="eastAsia"/>
          <w:szCs w:val="21"/>
        </w:rPr>
        <w:t>元/人/月的标准收取，每月甲方支付给乙方的服务费用为</w:t>
      </w:r>
      <w:r>
        <w:rPr>
          <w:rFonts w:hint="eastAsia"/>
          <w:szCs w:val="21"/>
          <w:u w:val="single"/>
        </w:rPr>
        <w:t>_</w:t>
      </w:r>
      <w:r>
        <w:rPr>
          <w:szCs w:val="21"/>
          <w:u w:val="single"/>
        </w:rPr>
        <w:t xml:space="preserve">  </w:t>
      </w:r>
      <w:r>
        <w:rPr>
          <w:rFonts w:hint="eastAsia"/>
          <w:szCs w:val="21"/>
          <w:u w:val="single"/>
        </w:rPr>
        <w:t xml:space="preserve">  </w:t>
      </w:r>
      <w:r>
        <w:rPr>
          <w:rFonts w:hint="eastAsia"/>
          <w:szCs w:val="21"/>
        </w:rPr>
        <w:t>元 ╳ 服务人数，不足一整月的按照当月实际上岗天数与当月完整工作日数比例支付服务费用，服务费从服务人员接受培训之日算起。</w:t>
      </w:r>
    </w:p>
    <w:p w14:paraId="65C8B26A">
      <w:pPr>
        <w:adjustRightInd w:val="0"/>
        <w:snapToGrid w:val="0"/>
        <w:spacing w:before="30" w:after="30" w:line="500" w:lineRule="exact"/>
        <w:ind w:firstLine="597" w:firstLineChars="249"/>
        <w:rPr>
          <w:szCs w:val="21"/>
        </w:rPr>
      </w:pPr>
      <w:r>
        <w:rPr>
          <w:rFonts w:hint="eastAsia"/>
          <w:szCs w:val="21"/>
        </w:rPr>
        <w:t>合作签署使用人数为_</w:t>
      </w:r>
      <w:r>
        <w:rPr>
          <w:szCs w:val="21"/>
          <w:u w:val="single"/>
        </w:rPr>
        <w:t xml:space="preserve">    </w:t>
      </w:r>
      <w:r>
        <w:rPr>
          <w:rFonts w:hint="eastAsia"/>
          <w:szCs w:val="21"/>
        </w:rPr>
        <w:t>人，合作期内若甲方提出服务人员数量的变更，则按照变更后的人数及标准支付服务费用，无须另外签订合作。</w:t>
      </w:r>
    </w:p>
    <w:p w14:paraId="5F71891D">
      <w:pPr>
        <w:adjustRightInd w:val="0"/>
        <w:snapToGrid w:val="0"/>
        <w:spacing w:before="30" w:after="30" w:line="500" w:lineRule="exact"/>
        <w:ind w:firstLine="600" w:firstLineChars="249"/>
        <w:rPr>
          <w:szCs w:val="21"/>
        </w:rPr>
      </w:pPr>
      <w:r>
        <w:rPr>
          <w:rFonts w:hint="eastAsia" w:cs="宋体"/>
          <w:b/>
          <w:szCs w:val="21"/>
        </w:rPr>
        <w:t>第十一</w:t>
      </w:r>
      <w:r>
        <w:rPr>
          <w:rFonts w:hint="eastAsia"/>
          <w:b/>
          <w:szCs w:val="21"/>
        </w:rPr>
        <w:t>条</w:t>
      </w:r>
      <w:r>
        <w:rPr>
          <w:b/>
          <w:szCs w:val="21"/>
        </w:rPr>
        <w:t xml:space="preserve"> </w:t>
      </w:r>
      <w:r>
        <w:rPr>
          <w:rFonts w:hint="eastAsia"/>
          <w:szCs w:val="21"/>
        </w:rPr>
        <w:t xml:space="preserve"> </w:t>
      </w:r>
      <w:r>
        <w:rPr>
          <w:szCs w:val="21"/>
        </w:rPr>
        <w:t>结算方式</w:t>
      </w:r>
      <w:r>
        <w:rPr>
          <w:rFonts w:hint="eastAsia"/>
          <w:szCs w:val="21"/>
        </w:rPr>
        <w:t>、</w:t>
      </w:r>
      <w:r>
        <w:rPr>
          <w:szCs w:val="21"/>
        </w:rPr>
        <w:t>程序</w:t>
      </w:r>
      <w:r>
        <w:rPr>
          <w:rFonts w:hint="eastAsia"/>
          <w:szCs w:val="21"/>
        </w:rPr>
        <w:t>及其他</w:t>
      </w:r>
    </w:p>
    <w:p w14:paraId="21A5FA00">
      <w:pPr>
        <w:numPr>
          <w:ilvl w:val="0"/>
          <w:numId w:val="23"/>
        </w:numPr>
        <w:spacing w:line="500" w:lineRule="exact"/>
        <w:ind w:left="0" w:firstLine="480" w:firstLineChars="200"/>
        <w:jc w:val="left"/>
        <w:rPr>
          <w:rFonts w:cs="宋体"/>
          <w:szCs w:val="21"/>
        </w:rPr>
      </w:pPr>
      <w:r>
        <w:rPr>
          <w:rFonts w:cs="宋体"/>
          <w:szCs w:val="21"/>
        </w:rPr>
        <w:t>以银行转账的方式进行结算；</w:t>
      </w:r>
    </w:p>
    <w:p w14:paraId="77748B04">
      <w:pPr>
        <w:numPr>
          <w:ilvl w:val="0"/>
          <w:numId w:val="23"/>
        </w:numPr>
        <w:spacing w:line="500" w:lineRule="exact"/>
        <w:ind w:left="0" w:firstLine="480" w:firstLineChars="200"/>
        <w:jc w:val="left"/>
        <w:rPr>
          <w:rFonts w:cs="宋体"/>
          <w:szCs w:val="21"/>
        </w:rPr>
      </w:pPr>
      <w:r>
        <w:rPr>
          <w:rFonts w:cs="宋体"/>
          <w:szCs w:val="21"/>
        </w:rPr>
        <w:t>每月5号前，乙方提供上月《人员考勤表》、《服务费清单》、服务费发票等。</w:t>
      </w:r>
    </w:p>
    <w:p w14:paraId="4D06216C">
      <w:pPr>
        <w:numPr>
          <w:ilvl w:val="0"/>
          <w:numId w:val="23"/>
        </w:numPr>
        <w:spacing w:line="500" w:lineRule="exact"/>
        <w:ind w:left="0" w:firstLine="480" w:firstLineChars="200"/>
        <w:jc w:val="left"/>
        <w:rPr>
          <w:rFonts w:cs="宋体"/>
          <w:szCs w:val="21"/>
        </w:rPr>
      </w:pPr>
      <w:r>
        <w:rPr>
          <w:rFonts w:cs="宋体"/>
          <w:szCs w:val="21"/>
        </w:rPr>
        <w:t>甲方应于收到乙方发票后5个工作日内完成服务费支付。</w:t>
      </w:r>
    </w:p>
    <w:p w14:paraId="7F3D0792">
      <w:pPr>
        <w:numPr>
          <w:ilvl w:val="0"/>
          <w:numId w:val="23"/>
        </w:numPr>
        <w:spacing w:line="500" w:lineRule="exact"/>
        <w:ind w:left="0" w:firstLine="480" w:firstLineChars="200"/>
        <w:jc w:val="left"/>
        <w:rPr>
          <w:rFonts w:cs="宋体"/>
          <w:szCs w:val="21"/>
        </w:rPr>
      </w:pPr>
      <w:r>
        <w:rPr>
          <w:rFonts w:cs="宋体"/>
          <w:szCs w:val="21"/>
        </w:rPr>
        <w:t>如遇特殊情况加班，按照相关规定，经双方协商确定后，另</w:t>
      </w:r>
      <w:r>
        <w:rPr>
          <w:rFonts w:hint="eastAsia" w:cs="宋体"/>
          <w:szCs w:val="21"/>
        </w:rPr>
        <w:t>行计</w:t>
      </w:r>
      <w:r>
        <w:rPr>
          <w:rFonts w:cs="宋体"/>
          <w:szCs w:val="21"/>
        </w:rPr>
        <w:t>算加班工资。</w:t>
      </w:r>
    </w:p>
    <w:p w14:paraId="635855FC">
      <w:pPr>
        <w:numPr>
          <w:ilvl w:val="0"/>
          <w:numId w:val="23"/>
        </w:numPr>
        <w:spacing w:line="500" w:lineRule="exact"/>
        <w:ind w:left="0" w:firstLine="480" w:firstLineChars="200"/>
        <w:jc w:val="left"/>
        <w:rPr>
          <w:rFonts w:cs="宋体"/>
          <w:szCs w:val="21"/>
        </w:rPr>
      </w:pPr>
      <w:r>
        <w:rPr>
          <w:rFonts w:hint="eastAsia" w:cs="宋体"/>
          <w:szCs w:val="21"/>
        </w:rPr>
        <w:t>合同期内如遇政府政策调整最低工资、社保缴费标准及税费，新标准与旧标准之间所产生的费用（差额含公司和个人部分），由甲方支付相应的差额费用。凭工作交接单书面确认，不再</w:t>
      </w:r>
      <w:r>
        <w:rPr>
          <w:rFonts w:cs="宋体"/>
          <w:szCs w:val="21"/>
        </w:rPr>
        <w:t>另外签订</w:t>
      </w:r>
      <w:r>
        <w:rPr>
          <w:rFonts w:hint="eastAsia" w:cs="宋体"/>
          <w:szCs w:val="21"/>
        </w:rPr>
        <w:t>补充</w:t>
      </w:r>
      <w:r>
        <w:rPr>
          <w:rFonts w:cs="宋体"/>
          <w:szCs w:val="21"/>
        </w:rPr>
        <w:t>合</w:t>
      </w:r>
      <w:r>
        <w:rPr>
          <w:rFonts w:hint="eastAsia" w:cs="宋体"/>
          <w:szCs w:val="21"/>
        </w:rPr>
        <w:t>同</w:t>
      </w:r>
      <w:r>
        <w:rPr>
          <w:rFonts w:cs="宋体"/>
          <w:szCs w:val="21"/>
        </w:rPr>
        <w:t>。</w:t>
      </w:r>
    </w:p>
    <w:p w14:paraId="4EE79EC1">
      <w:pPr>
        <w:spacing w:before="120" w:line="500" w:lineRule="exact"/>
        <w:jc w:val="center"/>
        <w:outlineLvl w:val="2"/>
        <w:rPr>
          <w:b/>
          <w:bCs/>
          <w:sz w:val="28"/>
          <w:szCs w:val="28"/>
        </w:rPr>
      </w:pPr>
      <w:r>
        <w:rPr>
          <w:rFonts w:hint="eastAsia"/>
          <w:b/>
          <w:bCs/>
          <w:sz w:val="28"/>
          <w:szCs w:val="28"/>
        </w:rPr>
        <w:t>第五章</w:t>
      </w:r>
      <w:r>
        <w:rPr>
          <w:b/>
          <w:bCs/>
          <w:sz w:val="28"/>
          <w:szCs w:val="28"/>
        </w:rPr>
        <w:t xml:space="preserve">  </w:t>
      </w:r>
      <w:r>
        <w:rPr>
          <w:rFonts w:hint="eastAsia"/>
          <w:b/>
          <w:bCs/>
          <w:sz w:val="28"/>
          <w:szCs w:val="28"/>
        </w:rPr>
        <w:t>权利和义务</w:t>
      </w:r>
    </w:p>
    <w:p w14:paraId="26C235C5">
      <w:pPr>
        <w:spacing w:before="120" w:line="500" w:lineRule="exact"/>
        <w:ind w:firstLine="600" w:firstLineChars="249"/>
        <w:rPr>
          <w:rFonts w:cs="宋体"/>
          <w:szCs w:val="21"/>
        </w:rPr>
      </w:pPr>
      <w:r>
        <w:rPr>
          <w:rFonts w:hint="eastAsia"/>
          <w:b/>
          <w:szCs w:val="21"/>
        </w:rPr>
        <w:t xml:space="preserve">第十二条 </w:t>
      </w:r>
      <w:r>
        <w:rPr>
          <w:rFonts w:hint="eastAsia" w:cs="宋体"/>
          <w:szCs w:val="21"/>
        </w:rPr>
        <w:t>甲方的权利：</w:t>
      </w:r>
    </w:p>
    <w:p w14:paraId="03959060">
      <w:pPr>
        <w:pStyle w:val="68"/>
        <w:tabs>
          <w:tab w:val="left" w:pos="0"/>
          <w:tab w:val="left" w:pos="405"/>
          <w:tab w:val="left" w:pos="567"/>
          <w:tab w:val="left" w:pos="601"/>
          <w:tab w:val="left" w:pos="1980"/>
        </w:tabs>
        <w:spacing w:line="500" w:lineRule="exact"/>
        <w:ind w:firstLine="480" w:firstLineChars="200"/>
        <w:rPr>
          <w:rFonts w:cs="宋体"/>
          <w:szCs w:val="21"/>
        </w:rPr>
      </w:pPr>
      <w:r>
        <w:rPr>
          <w:rFonts w:hint="eastAsia"/>
          <w:szCs w:val="21"/>
        </w:rPr>
        <w:t>（一）甲方有权监督乙方的服务工作，并进行月度质量考核。乙方服务人员必须严格执行甲方的工作制度及岗位职责，在集体或重大事件中乙方服务人员必须服从甲方的统一调度及接受甲方临时派遣的工作，乙方应按照甲方的合理要求，对服务中存在的不足予以改进；</w:t>
      </w:r>
    </w:p>
    <w:p w14:paraId="1BD06322">
      <w:pPr>
        <w:spacing w:line="500" w:lineRule="exact"/>
        <w:ind w:firstLine="480" w:firstLineChars="200"/>
        <w:rPr>
          <w:rFonts w:cs="宋体"/>
          <w:szCs w:val="21"/>
        </w:rPr>
      </w:pPr>
      <w:r>
        <w:rPr>
          <w:rFonts w:hint="eastAsia" w:cs="宋体"/>
          <w:szCs w:val="21"/>
        </w:rPr>
        <w:t>（二）甲方有权查看乙方服务人员的身份证明、健康证明、技能证书等相关档案，若相关条件不符合岗位要求，甲方有权要求乙方更换相关人员或对岗位进行调整；</w:t>
      </w:r>
    </w:p>
    <w:p w14:paraId="2477C1EE">
      <w:pPr>
        <w:spacing w:line="500" w:lineRule="exact"/>
        <w:ind w:firstLine="480" w:firstLineChars="200"/>
        <w:rPr>
          <w:rFonts w:cs="宋体"/>
          <w:szCs w:val="21"/>
        </w:rPr>
      </w:pPr>
      <w:r>
        <w:rPr>
          <w:rFonts w:hint="eastAsia" w:cs="宋体"/>
          <w:szCs w:val="21"/>
        </w:rPr>
        <w:t>（三） 甲方有权要求参加服务人员的面试、筛选等过程，并向乙方提供专业意见。经录用后，在工作中考核不合格的，甲方有权建议乙方更换服务人员；</w:t>
      </w:r>
    </w:p>
    <w:p w14:paraId="2157923E">
      <w:pPr>
        <w:spacing w:line="500" w:lineRule="exact"/>
        <w:ind w:firstLine="480" w:firstLineChars="200"/>
        <w:rPr>
          <w:rFonts w:cs="宋体"/>
          <w:szCs w:val="21"/>
        </w:rPr>
      </w:pPr>
      <w:r>
        <w:rPr>
          <w:rFonts w:hint="eastAsia" w:cs="宋体"/>
          <w:szCs w:val="21"/>
        </w:rPr>
        <w:t>（四）甲方有权制止乙方服务人员在其工作场所内从事与服务无关的活动；</w:t>
      </w:r>
    </w:p>
    <w:p w14:paraId="379212A4">
      <w:pPr>
        <w:spacing w:line="500" w:lineRule="exact"/>
        <w:ind w:firstLine="600" w:firstLineChars="250"/>
        <w:rPr>
          <w:szCs w:val="21"/>
        </w:rPr>
      </w:pPr>
      <w:r>
        <w:rPr>
          <w:rFonts w:hint="eastAsia" w:cs="宋体"/>
          <w:szCs w:val="21"/>
        </w:rPr>
        <w:t>(五)</w:t>
      </w:r>
      <w:r>
        <w:rPr>
          <w:rFonts w:hint="eastAsia"/>
          <w:szCs w:val="21"/>
        </w:rPr>
        <w:t xml:space="preserve"> 甲方有权根据工作需要制订相应的服务规范、考评办法，甲方有权要求乙方服务人员遵照甲方的服务规范和本合作方案的规定为甲方提供服务。甲方根据相关服务项目的质量考核指标要求，按月对乙方的服务质量进行考核；</w:t>
      </w:r>
    </w:p>
    <w:p w14:paraId="79E1E74E">
      <w:pPr>
        <w:spacing w:before="120" w:line="500" w:lineRule="exact"/>
        <w:ind w:firstLine="600" w:firstLineChars="249"/>
        <w:rPr>
          <w:b/>
          <w:szCs w:val="21"/>
        </w:rPr>
      </w:pPr>
      <w:r>
        <w:rPr>
          <w:rFonts w:hint="eastAsia"/>
          <w:b/>
          <w:szCs w:val="21"/>
        </w:rPr>
        <w:t xml:space="preserve">第十三条  </w:t>
      </w:r>
      <w:r>
        <w:rPr>
          <w:rFonts w:hint="eastAsia"/>
          <w:szCs w:val="21"/>
        </w:rPr>
        <w:t>甲方的义务：</w:t>
      </w:r>
    </w:p>
    <w:p w14:paraId="6A739159">
      <w:pPr>
        <w:pStyle w:val="68"/>
        <w:tabs>
          <w:tab w:val="left" w:pos="0"/>
          <w:tab w:val="left" w:pos="405"/>
          <w:tab w:val="left" w:pos="567"/>
          <w:tab w:val="left" w:pos="601"/>
          <w:tab w:val="left" w:pos="1980"/>
        </w:tabs>
        <w:spacing w:line="500" w:lineRule="exact"/>
        <w:ind w:firstLine="480" w:firstLineChars="200"/>
        <w:rPr>
          <w:rFonts w:cs="宋体"/>
          <w:kern w:val="2"/>
          <w:szCs w:val="21"/>
        </w:rPr>
      </w:pPr>
      <w:r>
        <w:rPr>
          <w:rFonts w:hint="eastAsia" w:cs="宋体"/>
          <w:kern w:val="2"/>
          <w:szCs w:val="21"/>
        </w:rPr>
        <w:t>（一）甲方应明确乙方工作岗位及具体要求，如有变动或人员岗位数量增减，应于期望调整日提前30个工作日以上，以书面形式向乙方进行反馈,双方达成一致后方可执行。</w:t>
      </w:r>
    </w:p>
    <w:p w14:paraId="6E9BE077">
      <w:pPr>
        <w:pStyle w:val="68"/>
        <w:tabs>
          <w:tab w:val="left" w:pos="0"/>
          <w:tab w:val="left" w:pos="405"/>
          <w:tab w:val="left" w:pos="567"/>
          <w:tab w:val="left" w:pos="601"/>
          <w:tab w:val="left" w:pos="1980"/>
        </w:tabs>
        <w:spacing w:line="500" w:lineRule="exact"/>
        <w:ind w:firstLine="480" w:firstLineChars="200"/>
        <w:rPr>
          <w:rFonts w:cs="宋体"/>
          <w:kern w:val="2"/>
          <w:szCs w:val="21"/>
        </w:rPr>
      </w:pPr>
      <w:r>
        <w:rPr>
          <w:rFonts w:hint="eastAsia" w:cs="宋体"/>
          <w:kern w:val="2"/>
          <w:szCs w:val="21"/>
        </w:rPr>
        <w:t>（二）甲方有义务及时支付乙方服务费用。</w:t>
      </w:r>
    </w:p>
    <w:p w14:paraId="6CFF2CF7">
      <w:pPr>
        <w:pStyle w:val="68"/>
        <w:tabs>
          <w:tab w:val="left" w:pos="0"/>
          <w:tab w:val="left" w:pos="405"/>
          <w:tab w:val="left" w:pos="567"/>
          <w:tab w:val="left" w:pos="601"/>
          <w:tab w:val="left" w:pos="1980"/>
        </w:tabs>
        <w:spacing w:line="500" w:lineRule="exact"/>
        <w:ind w:firstLine="480" w:firstLineChars="200"/>
        <w:rPr>
          <w:rFonts w:cs="宋体"/>
          <w:kern w:val="2"/>
          <w:szCs w:val="21"/>
        </w:rPr>
      </w:pPr>
      <w:r>
        <w:rPr>
          <w:rFonts w:hint="eastAsia" w:cs="宋体"/>
          <w:kern w:val="2"/>
          <w:szCs w:val="21"/>
        </w:rPr>
        <w:t>（三）甲方确定乙方上岗人数，乙方必须保证出勤人数，保持员工的相对稳定，不影响甲方正常工作的开展。</w:t>
      </w:r>
    </w:p>
    <w:p w14:paraId="146CE3C3">
      <w:pPr>
        <w:pStyle w:val="68"/>
        <w:tabs>
          <w:tab w:val="left" w:pos="0"/>
          <w:tab w:val="left" w:pos="405"/>
          <w:tab w:val="left" w:pos="567"/>
          <w:tab w:val="left" w:pos="601"/>
          <w:tab w:val="left" w:pos="1980"/>
        </w:tabs>
        <w:spacing w:line="500" w:lineRule="exact"/>
        <w:ind w:firstLine="480" w:firstLineChars="200"/>
        <w:rPr>
          <w:rFonts w:cs="宋体"/>
          <w:kern w:val="2"/>
          <w:szCs w:val="21"/>
        </w:rPr>
      </w:pPr>
      <w:r>
        <w:rPr>
          <w:rFonts w:hint="eastAsia" w:cs="宋体"/>
          <w:kern w:val="2"/>
          <w:szCs w:val="21"/>
        </w:rPr>
        <w:t>（四）甲方有义务配合乙方进行服务满意度调查、质量改进、员工培训等工作的开展。</w:t>
      </w:r>
    </w:p>
    <w:p w14:paraId="306A7633">
      <w:pPr>
        <w:pStyle w:val="68"/>
        <w:tabs>
          <w:tab w:val="left" w:pos="0"/>
          <w:tab w:val="left" w:pos="405"/>
          <w:tab w:val="left" w:pos="567"/>
          <w:tab w:val="left" w:pos="601"/>
          <w:tab w:val="left" w:pos="1980"/>
        </w:tabs>
        <w:spacing w:line="500" w:lineRule="exact"/>
        <w:ind w:firstLine="480" w:firstLineChars="200"/>
        <w:rPr>
          <w:rFonts w:cs="宋体"/>
          <w:kern w:val="2"/>
          <w:szCs w:val="21"/>
        </w:rPr>
      </w:pPr>
      <w:r>
        <w:rPr>
          <w:rFonts w:hint="eastAsia" w:cs="宋体"/>
          <w:kern w:val="2"/>
          <w:szCs w:val="21"/>
        </w:rPr>
        <w:t>（五）甲方有义务对本合作所涉及的商务信息内容进行保密，未经乙方许可，不应向任何第三方透露服务价格等内容。</w:t>
      </w:r>
    </w:p>
    <w:p w14:paraId="7F454B81">
      <w:pPr>
        <w:pStyle w:val="68"/>
        <w:tabs>
          <w:tab w:val="left" w:pos="0"/>
          <w:tab w:val="left" w:pos="405"/>
          <w:tab w:val="left" w:pos="567"/>
          <w:tab w:val="left" w:pos="601"/>
          <w:tab w:val="left" w:pos="1980"/>
        </w:tabs>
        <w:spacing w:line="500" w:lineRule="exact"/>
        <w:ind w:firstLine="480" w:firstLineChars="200"/>
        <w:rPr>
          <w:rFonts w:cs="宋体"/>
          <w:kern w:val="2"/>
          <w:szCs w:val="21"/>
        </w:rPr>
      </w:pPr>
      <w:r>
        <w:rPr>
          <w:rFonts w:hint="eastAsia" w:cs="宋体"/>
          <w:kern w:val="2"/>
          <w:szCs w:val="21"/>
        </w:rPr>
        <w:t>（六）甲方有义务提供乙方客服人员工作时的耗材，比如口罩，手套，消毒用品，防护服等</w:t>
      </w:r>
    </w:p>
    <w:p w14:paraId="206E90EC">
      <w:pPr>
        <w:pStyle w:val="68"/>
        <w:tabs>
          <w:tab w:val="left" w:pos="0"/>
          <w:tab w:val="left" w:pos="405"/>
          <w:tab w:val="left" w:pos="567"/>
          <w:tab w:val="left" w:pos="601"/>
          <w:tab w:val="left" w:pos="1980"/>
        </w:tabs>
        <w:spacing w:line="500" w:lineRule="exact"/>
        <w:ind w:firstLine="482" w:firstLineChars="200"/>
        <w:rPr>
          <w:b/>
          <w:szCs w:val="21"/>
        </w:rPr>
      </w:pPr>
      <w:r>
        <w:rPr>
          <w:rFonts w:hint="eastAsia"/>
          <w:b/>
          <w:szCs w:val="21"/>
        </w:rPr>
        <w:t xml:space="preserve">第十四条 </w:t>
      </w:r>
      <w:r>
        <w:rPr>
          <w:rFonts w:hint="eastAsia"/>
          <w:szCs w:val="21"/>
        </w:rPr>
        <w:t>乙方的权利</w:t>
      </w:r>
    </w:p>
    <w:p w14:paraId="4CBA675B">
      <w:pPr>
        <w:spacing w:line="500" w:lineRule="exact"/>
        <w:ind w:firstLine="480" w:firstLineChars="200"/>
        <w:rPr>
          <w:rFonts w:cs="宋体"/>
          <w:szCs w:val="21"/>
        </w:rPr>
      </w:pPr>
      <w:r>
        <w:rPr>
          <w:rFonts w:hint="eastAsia" w:cs="宋体"/>
          <w:szCs w:val="21"/>
        </w:rPr>
        <w:t>（一）乙方有权利向甲方询问、了解投诉或服务人员反映情况的真实性，甲方有义务配合乙方进行情况核实。</w:t>
      </w:r>
    </w:p>
    <w:p w14:paraId="261BDBB0">
      <w:pPr>
        <w:spacing w:line="500" w:lineRule="exact"/>
        <w:ind w:firstLine="480" w:firstLineChars="200"/>
        <w:rPr>
          <w:rFonts w:cs="宋体"/>
          <w:szCs w:val="21"/>
        </w:rPr>
      </w:pPr>
      <w:r>
        <w:rPr>
          <w:rFonts w:hint="eastAsia" w:cs="宋体"/>
          <w:szCs w:val="21"/>
        </w:rPr>
        <w:t>（二）乙方对派至甲方的服务人员有管理权，甲方对乙方的管理可以提出合理的建议，同时对乙方的管理方法和管理工具有义务支持。</w:t>
      </w:r>
    </w:p>
    <w:p w14:paraId="15C7A94F">
      <w:pPr>
        <w:spacing w:line="500" w:lineRule="exact"/>
        <w:ind w:firstLine="480" w:firstLineChars="200"/>
        <w:rPr>
          <w:rFonts w:cs="宋体"/>
          <w:szCs w:val="21"/>
        </w:rPr>
      </w:pPr>
      <w:r>
        <w:rPr>
          <w:rFonts w:hint="eastAsia" w:cs="宋体"/>
          <w:szCs w:val="21"/>
        </w:rPr>
        <w:t>（三）当甲方要求的服务人员达到10人及以上时，乙方有权要求派到医院的管理人员只参与日常管理和协调工作，不再参与日常的本职工作，同时管理人员的费用以服务人员基本费用的标准计入合作服务总费用。服务人员在10人以内的，配备一名主管，给予机动岗位，能做部分管理和协调工作。</w:t>
      </w:r>
    </w:p>
    <w:p w14:paraId="27B70249">
      <w:pPr>
        <w:spacing w:line="500" w:lineRule="exact"/>
        <w:ind w:firstLine="600" w:firstLineChars="250"/>
        <w:jc w:val="left"/>
        <w:rPr>
          <w:szCs w:val="21"/>
        </w:rPr>
      </w:pPr>
      <w:r>
        <w:rPr>
          <w:rFonts w:hint="eastAsia" w:cs="宋体"/>
          <w:szCs w:val="21"/>
        </w:rPr>
        <w:t>（四）</w:t>
      </w:r>
      <w:r>
        <w:rPr>
          <w:rFonts w:hint="eastAsia"/>
          <w:szCs w:val="21"/>
        </w:rPr>
        <w:t>甲方需要乙方服务人员加班或者上夜班的（指每周工作时间超过40个小时之外的工作安排），乙方有权要求甲方按照国家或者行业标准支付加班费或者夜班费。</w:t>
      </w:r>
    </w:p>
    <w:p w14:paraId="32DF620B">
      <w:pPr>
        <w:spacing w:line="500" w:lineRule="exact"/>
        <w:ind w:firstLine="480" w:firstLineChars="200"/>
        <w:rPr>
          <w:rFonts w:cs="宋体"/>
          <w:szCs w:val="21"/>
        </w:rPr>
      </w:pPr>
      <w:r>
        <w:rPr>
          <w:rFonts w:hint="eastAsia" w:cs="宋体"/>
          <w:szCs w:val="21"/>
        </w:rPr>
        <w:t>（五）对于甲方安排的工作,如涉及专业医疗技能服务或者与合同规定不相关的工作，乙方有权力进行拒绝，同时产生的一切损失由甲方负责。</w:t>
      </w:r>
    </w:p>
    <w:p w14:paraId="3EC10A53">
      <w:pPr>
        <w:spacing w:line="500" w:lineRule="exact"/>
        <w:ind w:firstLine="480" w:firstLineChars="200"/>
        <w:jc w:val="left"/>
        <w:rPr>
          <w:szCs w:val="21"/>
        </w:rPr>
      </w:pPr>
      <w:r>
        <w:rPr>
          <w:rFonts w:hint="eastAsia"/>
          <w:szCs w:val="21"/>
        </w:rPr>
        <w:t>（六）乙方可根据客服人员实际工作量大小，提出服务人员数量调整的权利。</w:t>
      </w:r>
    </w:p>
    <w:p w14:paraId="0EB5F330">
      <w:pPr>
        <w:spacing w:line="500" w:lineRule="exact"/>
        <w:ind w:firstLine="480" w:firstLineChars="200"/>
        <w:jc w:val="left"/>
        <w:rPr>
          <w:szCs w:val="21"/>
        </w:rPr>
      </w:pPr>
      <w:r>
        <w:rPr>
          <w:rFonts w:hint="eastAsia" w:cs="宋体"/>
          <w:szCs w:val="21"/>
        </w:rPr>
        <w:t>（七）在合作期内</w:t>
      </w:r>
      <w:r>
        <w:rPr>
          <w:rFonts w:hint="eastAsia"/>
          <w:szCs w:val="21"/>
        </w:rPr>
        <w:t>甲方如需增加服务人员，按照合同所确定的人均费用增加相应金额。</w:t>
      </w:r>
    </w:p>
    <w:p w14:paraId="753F3487">
      <w:pPr>
        <w:spacing w:line="500" w:lineRule="exact"/>
        <w:ind w:firstLine="480" w:firstLineChars="200"/>
        <w:jc w:val="left"/>
        <w:rPr>
          <w:szCs w:val="21"/>
        </w:rPr>
      </w:pPr>
      <w:r>
        <w:rPr>
          <w:rFonts w:hint="eastAsia" w:cs="宋体"/>
          <w:szCs w:val="21"/>
        </w:rPr>
        <w:t>（八）</w:t>
      </w:r>
      <w:r>
        <w:rPr>
          <w:rFonts w:hint="eastAsia"/>
          <w:szCs w:val="21"/>
        </w:rPr>
        <w:t>合同期内如遇政府政策调整最低工资、社保缴费标准及税费，新标准与旧标准之间所产生的费用，由甲方支付相应的差额费用。凭工作交接单书面确认，不再</w:t>
      </w:r>
      <w:r>
        <w:rPr>
          <w:szCs w:val="21"/>
        </w:rPr>
        <w:t>另外签订</w:t>
      </w:r>
      <w:r>
        <w:rPr>
          <w:rFonts w:hint="eastAsia"/>
          <w:szCs w:val="21"/>
        </w:rPr>
        <w:t>补充</w:t>
      </w:r>
      <w:r>
        <w:rPr>
          <w:szCs w:val="21"/>
        </w:rPr>
        <w:t>合</w:t>
      </w:r>
      <w:r>
        <w:rPr>
          <w:rFonts w:hint="eastAsia"/>
          <w:szCs w:val="21"/>
        </w:rPr>
        <w:t>同</w:t>
      </w:r>
      <w:r>
        <w:rPr>
          <w:szCs w:val="21"/>
        </w:rPr>
        <w:t>。</w:t>
      </w:r>
    </w:p>
    <w:p w14:paraId="14CF12CF">
      <w:pPr>
        <w:spacing w:line="500" w:lineRule="exact"/>
        <w:ind w:firstLine="482" w:firstLineChars="200"/>
        <w:rPr>
          <w:szCs w:val="21"/>
        </w:rPr>
      </w:pPr>
      <w:r>
        <w:rPr>
          <w:rFonts w:hint="eastAsia"/>
          <w:b/>
          <w:szCs w:val="21"/>
        </w:rPr>
        <w:t>第十五条</w:t>
      </w:r>
      <w:r>
        <w:rPr>
          <w:rFonts w:hint="eastAsia"/>
          <w:szCs w:val="21"/>
        </w:rPr>
        <w:t xml:space="preserve"> 乙方的义务</w:t>
      </w:r>
    </w:p>
    <w:p w14:paraId="67115B19">
      <w:pPr>
        <w:spacing w:line="500" w:lineRule="exact"/>
        <w:ind w:firstLine="480" w:firstLineChars="200"/>
        <w:rPr>
          <w:rFonts w:cs="宋体"/>
          <w:szCs w:val="21"/>
        </w:rPr>
      </w:pPr>
      <w:r>
        <w:rPr>
          <w:rFonts w:hint="eastAsia" w:cs="宋体"/>
          <w:szCs w:val="21"/>
        </w:rPr>
        <w:t>（一）乙方应保证具有履行本合作的法定资质。</w:t>
      </w:r>
    </w:p>
    <w:p w14:paraId="1FE0CE5D">
      <w:pPr>
        <w:spacing w:line="500" w:lineRule="exact"/>
        <w:ind w:firstLine="480" w:firstLineChars="200"/>
        <w:rPr>
          <w:rFonts w:cs="宋体"/>
          <w:szCs w:val="21"/>
        </w:rPr>
      </w:pPr>
      <w:r>
        <w:rPr>
          <w:rFonts w:hint="eastAsia" w:cs="宋体"/>
          <w:szCs w:val="21"/>
        </w:rPr>
        <w:t>（二）乙方应保证严格遵守中华人民共和国的相关法律法规，同时承诺遵守甲方医疗机构的相关规定。</w:t>
      </w:r>
    </w:p>
    <w:p w14:paraId="0E597811">
      <w:pPr>
        <w:spacing w:line="500" w:lineRule="exact"/>
        <w:ind w:firstLine="480" w:firstLineChars="200"/>
        <w:rPr>
          <w:rFonts w:cs="宋体"/>
          <w:szCs w:val="21"/>
        </w:rPr>
      </w:pPr>
      <w:r>
        <w:rPr>
          <w:rFonts w:hint="eastAsia" w:cs="宋体"/>
          <w:szCs w:val="21"/>
        </w:rPr>
        <w:t>（三）乙方应根据甲方的工作要求，选派符合甲方要求的服务人员到甲方指定的工作地点工作。</w:t>
      </w:r>
    </w:p>
    <w:p w14:paraId="195FD315">
      <w:pPr>
        <w:spacing w:line="500" w:lineRule="exact"/>
        <w:ind w:firstLine="480" w:firstLineChars="200"/>
        <w:rPr>
          <w:rFonts w:cs="宋体"/>
          <w:szCs w:val="21"/>
        </w:rPr>
      </w:pPr>
      <w:r>
        <w:rPr>
          <w:rFonts w:hint="eastAsia" w:cs="宋体"/>
          <w:szCs w:val="21"/>
        </w:rPr>
        <w:t>（四）乙方服务人员按照规定统一着装，乙方服务人员应严格遵守甲方规定的工作时间，不得迟到早退。</w:t>
      </w:r>
    </w:p>
    <w:p w14:paraId="0C319B3B">
      <w:pPr>
        <w:pStyle w:val="68"/>
        <w:tabs>
          <w:tab w:val="left" w:pos="0"/>
          <w:tab w:val="left" w:pos="405"/>
          <w:tab w:val="left" w:pos="567"/>
          <w:tab w:val="left" w:pos="601"/>
          <w:tab w:val="left" w:pos="1980"/>
        </w:tabs>
        <w:spacing w:line="500" w:lineRule="exact"/>
        <w:ind w:firstLine="480" w:firstLineChars="200"/>
        <w:rPr>
          <w:szCs w:val="21"/>
        </w:rPr>
      </w:pPr>
      <w:r>
        <w:rPr>
          <w:rFonts w:hint="eastAsia"/>
          <w:szCs w:val="21"/>
        </w:rPr>
        <w:t>（五）乙方应根据甲方要求，对派至甲方的员工实施岗前培训，培训内容应包括医疗机构及其科室的有关规章制度、工作流程、岗位技能等。涉及到甲方业务的培训，甲方有义务进行配合。</w:t>
      </w:r>
    </w:p>
    <w:p w14:paraId="661CEEAA">
      <w:pPr>
        <w:pStyle w:val="68"/>
        <w:tabs>
          <w:tab w:val="left" w:pos="0"/>
          <w:tab w:val="left" w:pos="405"/>
          <w:tab w:val="left" w:pos="567"/>
          <w:tab w:val="left" w:pos="601"/>
          <w:tab w:val="left" w:pos="1980"/>
        </w:tabs>
        <w:spacing w:line="500" w:lineRule="exact"/>
        <w:ind w:firstLine="480" w:firstLineChars="200"/>
        <w:rPr>
          <w:szCs w:val="21"/>
        </w:rPr>
      </w:pPr>
      <w:r>
        <w:rPr>
          <w:rFonts w:hint="eastAsia"/>
          <w:szCs w:val="21"/>
        </w:rPr>
        <w:t>（六）乙方可设置管理人员，负责乙方服务人员的管理和监督，乙方服务人员接受甲方管理人员的监督和检查。</w:t>
      </w:r>
    </w:p>
    <w:p w14:paraId="7EFCCD7D">
      <w:pPr>
        <w:pStyle w:val="68"/>
        <w:tabs>
          <w:tab w:val="left" w:pos="0"/>
          <w:tab w:val="left" w:pos="405"/>
          <w:tab w:val="left" w:pos="567"/>
          <w:tab w:val="left" w:pos="601"/>
          <w:tab w:val="left" w:pos="1980"/>
        </w:tabs>
        <w:spacing w:line="500" w:lineRule="exact"/>
        <w:ind w:firstLine="480" w:firstLineChars="200"/>
        <w:rPr>
          <w:szCs w:val="21"/>
        </w:rPr>
      </w:pPr>
      <w:r>
        <w:rPr>
          <w:rFonts w:hint="eastAsia"/>
          <w:szCs w:val="21"/>
        </w:rPr>
        <w:t>（七）乙方管理人员应及时与甲方相关管理部门确认乙方服务人员的工作表现，如甲方发现乙方服务人员的工作方式、工作态度、工作能力存在不足，乙方应采取有效措施及时改进。对于经过教导仍不适合需求的乙方服务人员，甲方有权要求乙方进行更换，乙方再合理期限内未能辞换的，甲方有权解除本合同。</w:t>
      </w:r>
    </w:p>
    <w:p w14:paraId="43643D87">
      <w:pPr>
        <w:pStyle w:val="68"/>
        <w:tabs>
          <w:tab w:val="left" w:pos="0"/>
          <w:tab w:val="left" w:pos="405"/>
          <w:tab w:val="left" w:pos="567"/>
          <w:tab w:val="left" w:pos="601"/>
          <w:tab w:val="left" w:pos="1980"/>
        </w:tabs>
        <w:spacing w:line="500" w:lineRule="exact"/>
        <w:ind w:firstLine="480" w:firstLineChars="200"/>
        <w:rPr>
          <w:szCs w:val="21"/>
        </w:rPr>
      </w:pPr>
      <w:r>
        <w:rPr>
          <w:rFonts w:hint="eastAsia"/>
          <w:szCs w:val="21"/>
        </w:rPr>
        <w:t>（八）乙方应对各项服务过程进行记录,对各项记录和数据进行分析,并制定相应的服务优化方案和计划,与甲方达成共识后执行。</w:t>
      </w:r>
    </w:p>
    <w:p w14:paraId="77994D77">
      <w:pPr>
        <w:spacing w:line="500" w:lineRule="exact"/>
        <w:ind w:firstLine="480" w:firstLineChars="200"/>
        <w:rPr>
          <w:rFonts w:cs="宋体"/>
          <w:szCs w:val="21"/>
        </w:rPr>
      </w:pPr>
      <w:r>
        <w:rPr>
          <w:rFonts w:hint="eastAsia"/>
          <w:szCs w:val="21"/>
        </w:rPr>
        <w:t>（九）</w:t>
      </w:r>
      <w:r>
        <w:rPr>
          <w:rFonts w:hint="eastAsia" w:cs="宋体"/>
          <w:szCs w:val="21"/>
        </w:rPr>
        <w:t>乙方应根据当地政府的有关规定，按月支付员工工资，为员工按规定缴纳社会保险及支付其他国家规定的相关费用，乙方支付给员工的工资不得低于当地政府规定的最低工资。劳资及保险等纠纷与甲方无关，因保险、工资等被政府行政部门查处与甲方无关。乙方服务人员发生工伤事故的（在甲方工作期间），一切费用由乙方承担。</w:t>
      </w:r>
    </w:p>
    <w:p w14:paraId="4F3DBDDF">
      <w:pPr>
        <w:pStyle w:val="68"/>
        <w:tabs>
          <w:tab w:val="left" w:pos="0"/>
          <w:tab w:val="left" w:pos="405"/>
          <w:tab w:val="left" w:pos="567"/>
          <w:tab w:val="left" w:pos="601"/>
          <w:tab w:val="left" w:pos="1980"/>
        </w:tabs>
        <w:spacing w:line="500" w:lineRule="exact"/>
        <w:ind w:firstLine="360" w:firstLineChars="150"/>
        <w:rPr>
          <w:szCs w:val="21"/>
        </w:rPr>
      </w:pPr>
      <w:r>
        <w:rPr>
          <w:rFonts w:hint="eastAsia"/>
          <w:szCs w:val="21"/>
        </w:rPr>
        <w:t>（十）乙方服务人员如因不履行职责或违反职业道德被投诉后，乙方应与甲方一起进行调查，经查证属实，应当要求乙方员工及时改正；调查处理情况应及时告知投诉人，乙方自己备案以便查询。</w:t>
      </w:r>
    </w:p>
    <w:p w14:paraId="0EAA06BB">
      <w:pPr>
        <w:pStyle w:val="69"/>
        <w:shd w:val="clear" w:color="auto" w:fill="FFFFFF"/>
        <w:spacing w:before="0" w:beforeAutospacing="0" w:after="0" w:afterAutospacing="0" w:line="500" w:lineRule="exact"/>
        <w:ind w:firstLine="360" w:firstLineChars="150"/>
        <w:rPr>
          <w:rFonts w:ascii="Times New Roman" w:hAnsi="Times New Roman"/>
          <w:szCs w:val="21"/>
        </w:rPr>
      </w:pPr>
      <w:r>
        <w:rPr>
          <w:rFonts w:hint="eastAsia" w:ascii="Times New Roman" w:hAnsi="Times New Roman"/>
          <w:szCs w:val="21"/>
        </w:rPr>
        <w:t>（十二）乙方服务人员从甲方领取的工作工具、设备和其他物品，由甲方负责登记管理，在乙方</w:t>
      </w:r>
    </w:p>
    <w:p w14:paraId="2BD0EAEF">
      <w:pPr>
        <w:pStyle w:val="70"/>
        <w:shd w:val="clear" w:color="auto" w:fill="FFFFFF"/>
        <w:spacing w:before="0" w:beforeAutospacing="0" w:after="0" w:afterAutospacing="0" w:line="500" w:lineRule="exact"/>
        <w:rPr>
          <w:rFonts w:ascii="Times New Roman" w:hAnsi="Times New Roman"/>
          <w:spacing w:val="-11"/>
          <w:szCs w:val="21"/>
        </w:rPr>
      </w:pPr>
      <w:r>
        <w:rPr>
          <w:rFonts w:hint="eastAsia" w:ascii="Times New Roman" w:hAnsi="Times New Roman"/>
          <w:szCs w:val="21"/>
        </w:rPr>
        <w:t>服务人员离职时，由乙方负责协助收回交还甲方，发生缺失由乙方负责按原价赔偿。</w:t>
      </w:r>
    </w:p>
    <w:p w14:paraId="08D192BE">
      <w:pPr>
        <w:pStyle w:val="68"/>
        <w:tabs>
          <w:tab w:val="left" w:pos="0"/>
          <w:tab w:val="left" w:pos="567"/>
          <w:tab w:val="left" w:pos="601"/>
          <w:tab w:val="left" w:pos="1980"/>
        </w:tabs>
        <w:spacing w:line="500" w:lineRule="exact"/>
        <w:ind w:firstLine="360" w:firstLineChars="150"/>
        <w:rPr>
          <w:szCs w:val="21"/>
        </w:rPr>
      </w:pPr>
      <w:r>
        <w:rPr>
          <w:rFonts w:hint="eastAsia" w:cs="宋体"/>
          <w:szCs w:val="21"/>
        </w:rPr>
        <w:t>（</w:t>
      </w:r>
      <w:r>
        <w:rPr>
          <w:rFonts w:hint="eastAsia"/>
          <w:szCs w:val="21"/>
        </w:rPr>
        <w:t>十三</w:t>
      </w:r>
      <w:r>
        <w:rPr>
          <w:rFonts w:hint="eastAsia" w:cs="宋体"/>
          <w:szCs w:val="21"/>
        </w:rPr>
        <w:t>）</w:t>
      </w:r>
      <w:r>
        <w:rPr>
          <w:rFonts w:hint="eastAsia"/>
          <w:szCs w:val="21"/>
        </w:rPr>
        <w:t>乙方不得将本合作的内容向甲乙双方以</w:t>
      </w:r>
      <w:r>
        <w:rPr>
          <w:rFonts w:hint="eastAsia" w:cs="宋体"/>
          <w:szCs w:val="21"/>
        </w:rPr>
        <w:t>外的、与签订和履行本合作无关的任何第三方透露，不得泄露各方的商业秘</w:t>
      </w:r>
      <w:r>
        <w:rPr>
          <w:rFonts w:hint="eastAsia"/>
          <w:szCs w:val="21"/>
        </w:rPr>
        <w:t>密（包括本合作方案及其附件和合作签订前的各项方案）。</w:t>
      </w:r>
    </w:p>
    <w:p w14:paraId="6AF7342D">
      <w:pPr>
        <w:spacing w:before="120" w:line="500" w:lineRule="exact"/>
        <w:jc w:val="center"/>
        <w:outlineLvl w:val="2"/>
        <w:rPr>
          <w:b/>
          <w:bCs/>
        </w:rPr>
      </w:pPr>
      <w:r>
        <w:rPr>
          <w:rFonts w:hint="eastAsia"/>
          <w:b/>
          <w:bCs/>
        </w:rPr>
        <w:t>第六章  违约责任</w:t>
      </w:r>
    </w:p>
    <w:p w14:paraId="2899822F">
      <w:pPr>
        <w:tabs>
          <w:tab w:val="left" w:pos="900"/>
        </w:tabs>
        <w:adjustRightInd w:val="0"/>
        <w:snapToGrid w:val="0"/>
        <w:spacing w:before="30" w:after="30" w:line="500" w:lineRule="exact"/>
        <w:ind w:firstLine="482" w:firstLineChars="200"/>
        <w:rPr>
          <w:b/>
          <w:szCs w:val="21"/>
        </w:rPr>
      </w:pPr>
      <w:r>
        <w:rPr>
          <w:rFonts w:hint="eastAsia"/>
          <w:b/>
          <w:szCs w:val="21"/>
        </w:rPr>
        <w:t>第十六条</w:t>
      </w:r>
      <w:r>
        <w:rPr>
          <w:rFonts w:hint="eastAsia"/>
          <w:szCs w:val="21"/>
        </w:rPr>
        <w:t xml:space="preserve"> 任何一方违反或擅自变更本合作的约定，应当承担由此给对方造成的经济损失和相关责任。</w:t>
      </w:r>
    </w:p>
    <w:p w14:paraId="242404D7">
      <w:pPr>
        <w:tabs>
          <w:tab w:val="left" w:pos="900"/>
        </w:tabs>
        <w:adjustRightInd w:val="0"/>
        <w:snapToGrid w:val="0"/>
        <w:spacing w:before="30" w:after="30" w:line="500" w:lineRule="exact"/>
        <w:ind w:firstLine="482" w:firstLineChars="200"/>
        <w:rPr>
          <w:szCs w:val="21"/>
        </w:rPr>
      </w:pPr>
      <w:r>
        <w:rPr>
          <w:rFonts w:hint="eastAsia"/>
          <w:b/>
          <w:szCs w:val="21"/>
        </w:rPr>
        <w:t xml:space="preserve">第十七条 </w:t>
      </w:r>
      <w:r>
        <w:rPr>
          <w:rFonts w:hint="eastAsia"/>
          <w:szCs w:val="21"/>
        </w:rPr>
        <w:t>因甲方原因不能按合作规定的时间及时支付合作费，甲方每日应按3</w:t>
      </w:r>
      <w:r>
        <w:rPr>
          <w:szCs w:val="21"/>
        </w:rPr>
        <w:t>‰</w:t>
      </w:r>
      <w:r>
        <w:rPr>
          <w:rFonts w:hint="eastAsia"/>
          <w:szCs w:val="21"/>
        </w:rPr>
        <w:t xml:space="preserve">的比例向乙方支付拖欠部分的违约金。甲方连续拖欠款项达三个月以上，致使合作无法履行，乙方有权解除合作，并依法追回欠款和违约金。 </w:t>
      </w:r>
    </w:p>
    <w:p w14:paraId="14DA75B0">
      <w:pPr>
        <w:adjustRightInd w:val="0"/>
        <w:snapToGrid w:val="0"/>
        <w:spacing w:before="30" w:after="30" w:line="500" w:lineRule="exact"/>
        <w:ind w:firstLine="482" w:firstLineChars="200"/>
        <w:rPr>
          <w:szCs w:val="21"/>
        </w:rPr>
      </w:pPr>
      <w:r>
        <w:rPr>
          <w:rFonts w:hint="eastAsia"/>
          <w:b/>
          <w:szCs w:val="21"/>
        </w:rPr>
        <w:t xml:space="preserve">第十八条 </w:t>
      </w:r>
      <w:r>
        <w:rPr>
          <w:b/>
          <w:szCs w:val="21"/>
        </w:rPr>
        <w:t xml:space="preserve"> </w:t>
      </w:r>
      <w:r>
        <w:rPr>
          <w:rFonts w:hint="eastAsia"/>
          <w:szCs w:val="21"/>
        </w:rPr>
        <w:t>乙方无正当理由，未按时支付派出甲方合作服务人员的工资及办理各种社会保险等福利的，逾期15日以上的，甲乙双方可终止本合作的履行，由此造成的损失和一切法律责任，由乙方自行承担。</w:t>
      </w:r>
    </w:p>
    <w:p w14:paraId="1BE1A2A7">
      <w:pPr>
        <w:adjustRightInd w:val="0"/>
        <w:snapToGrid w:val="0"/>
        <w:spacing w:before="30" w:after="30" w:line="500" w:lineRule="exact"/>
        <w:ind w:firstLine="482" w:firstLineChars="200"/>
        <w:rPr>
          <w:szCs w:val="21"/>
        </w:rPr>
      </w:pPr>
      <w:r>
        <w:rPr>
          <w:rFonts w:hint="eastAsia"/>
          <w:b/>
          <w:szCs w:val="21"/>
        </w:rPr>
        <w:t xml:space="preserve">第十九条 </w:t>
      </w:r>
      <w:r>
        <w:rPr>
          <w:rFonts w:hint="eastAsia"/>
          <w:szCs w:val="21"/>
        </w:rPr>
        <w:t>甲方无正当理由，未按时支付甲方服务费用而导致乙方的服务人员工资及办理各种社会保险等福利的，逾期15日以上的，甲乙双方可终止本合作的履行，由此造成的损失和一切法律责任，由甲方自行承担。</w:t>
      </w:r>
    </w:p>
    <w:p w14:paraId="3A299F9C">
      <w:pPr>
        <w:adjustRightInd w:val="0"/>
        <w:snapToGrid w:val="0"/>
        <w:spacing w:before="30" w:after="30" w:line="500" w:lineRule="exact"/>
        <w:ind w:firstLine="482" w:firstLineChars="200"/>
        <w:rPr>
          <w:szCs w:val="21"/>
        </w:rPr>
      </w:pPr>
      <w:r>
        <w:rPr>
          <w:rFonts w:hint="eastAsia"/>
          <w:b/>
          <w:szCs w:val="21"/>
        </w:rPr>
        <w:t xml:space="preserve">第二十条 </w:t>
      </w:r>
      <w:r>
        <w:rPr>
          <w:rFonts w:hint="eastAsia"/>
          <w:szCs w:val="21"/>
        </w:rPr>
        <w:t>甲乙任何一方按照本合作规定索取违约金或赔偿金时，应书面通知违约方并说明违约金或赔偿金额；违约方应在收到对方发出的书面索赔通知的十个工作日内按索赔要求支付违约金或经济赔偿；如违约方对违约金或赔偿金额有异议，应在收到通知后七个工作日内通知对方，双方应在收到对方的通知或答复后尽快协商明确违约责任。</w:t>
      </w:r>
    </w:p>
    <w:p w14:paraId="69DCED53">
      <w:pPr>
        <w:spacing w:line="500" w:lineRule="exact"/>
        <w:ind w:firstLine="482" w:firstLineChars="200"/>
        <w:rPr>
          <w:szCs w:val="21"/>
        </w:rPr>
      </w:pPr>
      <w:r>
        <w:rPr>
          <w:rFonts w:hint="eastAsia"/>
          <w:b/>
          <w:szCs w:val="21"/>
        </w:rPr>
        <w:t>第二十一条</w:t>
      </w:r>
      <w:r>
        <w:rPr>
          <w:rFonts w:hint="eastAsia"/>
          <w:szCs w:val="21"/>
        </w:rPr>
        <w:t xml:space="preserve"> 因执行本合同方案发生的一切争议，双方应首先友好协商解决。经协商不能解决，可向甲方所在地人民法院提起诉讼。在诉讼期间，除必须在诉讼过程中进行解决的问题外，合作方案其余部分应继续履行</w:t>
      </w:r>
    </w:p>
    <w:p w14:paraId="5B897832">
      <w:pPr>
        <w:spacing w:before="120" w:line="500" w:lineRule="exact"/>
        <w:jc w:val="center"/>
        <w:outlineLvl w:val="2"/>
        <w:rPr>
          <w:b/>
          <w:bCs/>
        </w:rPr>
      </w:pPr>
      <w:r>
        <w:rPr>
          <w:rFonts w:hint="eastAsia"/>
          <w:b/>
          <w:bCs/>
        </w:rPr>
        <w:t>第七章</w:t>
      </w:r>
      <w:r>
        <w:rPr>
          <w:b/>
          <w:bCs/>
        </w:rPr>
        <w:t xml:space="preserve"> </w:t>
      </w:r>
      <w:r>
        <w:rPr>
          <w:rFonts w:hint="eastAsia"/>
          <w:b/>
          <w:bCs/>
        </w:rPr>
        <w:t xml:space="preserve"> 合作变更和终止，不可抗力</w:t>
      </w:r>
    </w:p>
    <w:p w14:paraId="43D4F759">
      <w:pPr>
        <w:tabs>
          <w:tab w:val="left" w:pos="0"/>
          <w:tab w:val="left" w:pos="5940"/>
        </w:tabs>
        <w:spacing w:line="500" w:lineRule="exact"/>
        <w:ind w:firstLine="467" w:firstLineChars="194"/>
        <w:jc w:val="left"/>
        <w:rPr>
          <w:szCs w:val="21"/>
        </w:rPr>
      </w:pPr>
      <w:r>
        <w:rPr>
          <w:rFonts w:hint="eastAsia"/>
          <w:b/>
          <w:szCs w:val="21"/>
        </w:rPr>
        <w:t xml:space="preserve">第二十二条 </w:t>
      </w:r>
      <w:r>
        <w:rPr>
          <w:rFonts w:hint="eastAsia"/>
          <w:szCs w:val="21"/>
        </w:rPr>
        <w:t>甲、乙双方有一方有正当理由要求变更本合作，须提前30个工作日以书面形式通知对方并协商解决，经双方协商一致后签署书面变更合同。</w:t>
      </w:r>
    </w:p>
    <w:p w14:paraId="5C21DB5C">
      <w:pPr>
        <w:tabs>
          <w:tab w:val="left" w:pos="900"/>
        </w:tabs>
        <w:adjustRightInd w:val="0"/>
        <w:snapToGrid w:val="0"/>
        <w:spacing w:before="30" w:after="30" w:line="500" w:lineRule="exact"/>
        <w:ind w:firstLine="482" w:firstLineChars="200"/>
        <w:rPr>
          <w:szCs w:val="21"/>
        </w:rPr>
      </w:pPr>
      <w:r>
        <w:rPr>
          <w:rFonts w:hint="eastAsia"/>
          <w:b/>
          <w:szCs w:val="21"/>
        </w:rPr>
        <w:t xml:space="preserve">第二十三条 </w:t>
      </w:r>
      <w:r>
        <w:rPr>
          <w:rFonts w:hint="eastAsia"/>
          <w:szCs w:val="21"/>
        </w:rPr>
        <w:t>本合作方案期满双方不再续约或者因一方违约导致本合作无法履行，则本合作方案项目终止。任何一方若终止合作，应提前30个工作日以书面形式通知对方并协助处理有关善后事宜，合作的终止不得损害第三方的利益，双方应为此做出合理安排。如合作终止，任何一方未提前30个工作日通知对方，那么造成的一切损失由违约方负责。</w:t>
      </w:r>
    </w:p>
    <w:p w14:paraId="19E943F2">
      <w:pPr>
        <w:spacing w:before="120" w:line="500" w:lineRule="exact"/>
        <w:jc w:val="center"/>
        <w:outlineLvl w:val="2"/>
        <w:rPr>
          <w:b/>
          <w:bCs/>
        </w:rPr>
      </w:pPr>
      <w:r>
        <w:rPr>
          <w:rFonts w:hint="eastAsia"/>
          <w:b/>
          <w:bCs/>
        </w:rPr>
        <w:t>第八章</w:t>
      </w:r>
      <w:r>
        <w:rPr>
          <w:b/>
          <w:bCs/>
        </w:rPr>
        <w:t xml:space="preserve"> </w:t>
      </w:r>
      <w:r>
        <w:rPr>
          <w:rFonts w:hint="eastAsia"/>
          <w:b/>
          <w:bCs/>
        </w:rPr>
        <w:t xml:space="preserve"> 附则</w:t>
      </w:r>
    </w:p>
    <w:p w14:paraId="24E0677E">
      <w:pPr>
        <w:tabs>
          <w:tab w:val="left" w:pos="900"/>
        </w:tabs>
        <w:adjustRightInd w:val="0"/>
        <w:snapToGrid w:val="0"/>
        <w:spacing w:before="30" w:after="30" w:line="500" w:lineRule="exact"/>
        <w:ind w:firstLine="482" w:firstLineChars="200"/>
        <w:rPr>
          <w:szCs w:val="21"/>
        </w:rPr>
      </w:pPr>
      <w:r>
        <w:rPr>
          <w:b/>
          <w:szCs w:val="21"/>
        </w:rPr>
        <w:t>第</w:t>
      </w:r>
      <w:r>
        <w:rPr>
          <w:rFonts w:hint="eastAsia"/>
          <w:b/>
          <w:szCs w:val="21"/>
        </w:rPr>
        <w:t>二</w:t>
      </w:r>
      <w:r>
        <w:rPr>
          <w:b/>
          <w:szCs w:val="21"/>
        </w:rPr>
        <w:t>十</w:t>
      </w:r>
      <w:r>
        <w:rPr>
          <w:rFonts w:hint="eastAsia"/>
          <w:b/>
          <w:szCs w:val="21"/>
        </w:rPr>
        <w:t>四</w:t>
      </w:r>
      <w:r>
        <w:rPr>
          <w:b/>
          <w:szCs w:val="21"/>
        </w:rPr>
        <w:t xml:space="preserve">条 </w:t>
      </w:r>
      <w:r>
        <w:rPr>
          <w:bCs/>
          <w:szCs w:val="21"/>
        </w:rPr>
        <w:t>本合作</w:t>
      </w:r>
      <w:r>
        <w:rPr>
          <w:rFonts w:hint="eastAsia"/>
          <w:bCs/>
          <w:szCs w:val="21"/>
        </w:rPr>
        <w:t>方案</w:t>
      </w:r>
      <w:r>
        <w:rPr>
          <w:bCs/>
          <w:szCs w:val="21"/>
        </w:rPr>
        <w:t>中涉及的所有“</w:t>
      </w:r>
      <w:r>
        <w:rPr>
          <w:szCs w:val="21"/>
        </w:rPr>
        <w:t>通知”、“同意”、“确认”等事项均应以书面形式做出，并作为依据。</w:t>
      </w:r>
    </w:p>
    <w:p w14:paraId="4FEF18AD">
      <w:pPr>
        <w:tabs>
          <w:tab w:val="left" w:pos="900"/>
        </w:tabs>
        <w:adjustRightInd w:val="0"/>
        <w:snapToGrid w:val="0"/>
        <w:spacing w:before="30" w:after="30" w:line="500" w:lineRule="exact"/>
        <w:ind w:firstLine="482" w:firstLineChars="200"/>
        <w:rPr>
          <w:szCs w:val="21"/>
        </w:rPr>
      </w:pPr>
      <w:r>
        <w:rPr>
          <w:rFonts w:hint="eastAsia"/>
          <w:b/>
          <w:szCs w:val="21"/>
        </w:rPr>
        <w:t xml:space="preserve">第二十五条 </w:t>
      </w:r>
      <w:r>
        <w:rPr>
          <w:rFonts w:hint="eastAsia" w:cs="宋体"/>
          <w:szCs w:val="21"/>
        </w:rPr>
        <w:t>本合作方案有关附件及补充协议是本合作方案不可分割的组成部分，与本合作方案具有同等法律效力；</w:t>
      </w:r>
      <w:r>
        <w:rPr>
          <w:rFonts w:hint="eastAsia"/>
          <w:szCs w:val="21"/>
        </w:rPr>
        <w:t>本合作方案未尽事宜，双方另行协商并签署补充合作，作为本合作方案的附件，具有同等法律效力。</w:t>
      </w:r>
    </w:p>
    <w:p w14:paraId="22927EC4">
      <w:pPr>
        <w:tabs>
          <w:tab w:val="left" w:pos="900"/>
        </w:tabs>
        <w:adjustRightInd w:val="0"/>
        <w:snapToGrid w:val="0"/>
        <w:spacing w:before="30" w:after="30" w:line="500" w:lineRule="exact"/>
        <w:ind w:firstLine="482" w:firstLineChars="200"/>
        <w:rPr>
          <w:szCs w:val="21"/>
        </w:rPr>
      </w:pPr>
      <w:r>
        <w:rPr>
          <w:rFonts w:hint="eastAsia"/>
          <w:b/>
          <w:szCs w:val="21"/>
        </w:rPr>
        <w:t>第二十六条</w:t>
      </w:r>
      <w:r>
        <w:rPr>
          <w:b/>
          <w:szCs w:val="21"/>
        </w:rPr>
        <w:t xml:space="preserve"> </w:t>
      </w:r>
      <w:r>
        <w:rPr>
          <w:rFonts w:hint="eastAsia"/>
          <w:szCs w:val="21"/>
        </w:rPr>
        <w:t>本合作方案一式肆份，甲乙双方各执二份，经双方有权签字人签字并加盖单位公章之日起生效，至合作终止之日失效。</w:t>
      </w:r>
    </w:p>
    <w:p w14:paraId="6915D77A">
      <w:pPr>
        <w:tabs>
          <w:tab w:val="left" w:pos="900"/>
        </w:tabs>
        <w:adjustRightInd w:val="0"/>
        <w:snapToGrid w:val="0"/>
        <w:spacing w:before="30" w:after="30" w:line="500" w:lineRule="exact"/>
        <w:ind w:firstLine="482" w:firstLineChars="200"/>
        <w:rPr>
          <w:szCs w:val="21"/>
        </w:rPr>
      </w:pPr>
      <w:r>
        <w:rPr>
          <w:rFonts w:hint="eastAsia"/>
          <w:b/>
          <w:bCs/>
        </w:rPr>
        <w:t>甲方：（盖章）                        乙方：（盖章）</w:t>
      </w:r>
    </w:p>
    <w:p w14:paraId="05F85EF5">
      <w:pPr>
        <w:tabs>
          <w:tab w:val="left" w:pos="900"/>
        </w:tabs>
        <w:adjustRightInd w:val="0"/>
        <w:snapToGrid w:val="0"/>
        <w:spacing w:before="30" w:after="30" w:line="500" w:lineRule="exact"/>
        <w:ind w:firstLine="482" w:firstLineChars="200"/>
        <w:rPr>
          <w:szCs w:val="21"/>
        </w:rPr>
      </w:pPr>
      <w:r>
        <w:rPr>
          <w:rFonts w:hint="eastAsia"/>
          <w:b/>
          <w:bCs/>
        </w:rPr>
        <w:t>授权签约人签字：                     授权签约人签字：</w:t>
      </w:r>
    </w:p>
    <w:p w14:paraId="245F853E">
      <w:pPr>
        <w:adjustRightInd w:val="0"/>
        <w:snapToGrid w:val="0"/>
        <w:spacing w:before="30" w:after="30" w:line="500" w:lineRule="exact"/>
        <w:ind w:firstLine="482" w:firstLineChars="200"/>
      </w:pPr>
      <w:r>
        <w:rPr>
          <w:rFonts w:hint="eastAsia"/>
          <w:b/>
          <w:bCs/>
        </w:rPr>
        <w:t>签订时间：</w:t>
      </w:r>
      <w:r>
        <w:rPr>
          <w:rFonts w:hint="eastAsia"/>
          <w:b/>
          <w:bCs/>
          <w:u w:val="single"/>
        </w:rPr>
        <w:t xml:space="preserve"> </w:t>
      </w:r>
      <w:r>
        <w:rPr>
          <w:rFonts w:hint="eastAsia"/>
          <w:bCs/>
          <w:u w:val="single"/>
        </w:rPr>
        <w:t xml:space="preserve">       </w:t>
      </w:r>
      <w:r>
        <w:rPr>
          <w:rFonts w:hint="eastAsia"/>
        </w:rPr>
        <w:t>年</w:t>
      </w:r>
      <w:r>
        <w:rPr>
          <w:rFonts w:hint="eastAsia"/>
          <w:bCs/>
          <w:u w:val="single"/>
        </w:rPr>
        <w:t xml:space="preserve">    </w:t>
      </w:r>
      <w:r>
        <w:rPr>
          <w:rFonts w:hint="eastAsia"/>
        </w:rPr>
        <w:t>月</w:t>
      </w:r>
      <w:r>
        <w:rPr>
          <w:rFonts w:hint="eastAsia"/>
          <w:bCs/>
          <w:u w:val="single"/>
        </w:rPr>
        <w:t xml:space="preserve">    </w:t>
      </w:r>
      <w:r>
        <w:rPr>
          <w:rFonts w:hint="eastAsia"/>
        </w:rPr>
        <w:t xml:space="preserve">日     </w:t>
      </w:r>
      <w:r>
        <w:rPr>
          <w:rFonts w:hint="eastAsia"/>
          <w:b/>
          <w:bCs/>
        </w:rPr>
        <w:t>签订时间：</w:t>
      </w:r>
      <w:r>
        <w:rPr>
          <w:rFonts w:hint="eastAsia"/>
        </w:rPr>
        <w:t>__</w:t>
      </w:r>
      <w:r>
        <w:rPr>
          <w:rFonts w:hint="eastAsia"/>
          <w:u w:val="single"/>
        </w:rPr>
        <w:t xml:space="preserve">  </w:t>
      </w:r>
      <w:r>
        <w:rPr>
          <w:rFonts w:hint="eastAsia"/>
        </w:rPr>
        <w:t>_</w:t>
      </w:r>
      <w:r>
        <w:rPr>
          <w:rFonts w:hint="eastAsia"/>
          <w:u w:val="single"/>
        </w:rPr>
        <w:t xml:space="preserve"> _</w:t>
      </w:r>
      <w:r>
        <w:rPr>
          <w:rFonts w:hint="eastAsia"/>
        </w:rPr>
        <w:t>_年</w:t>
      </w:r>
      <w:r>
        <w:softHyphen/>
      </w:r>
      <w:r>
        <w:softHyphen/>
      </w:r>
      <w:r>
        <w:softHyphen/>
      </w:r>
      <w:r>
        <w:t>__</w:t>
      </w:r>
      <w:r>
        <w:rPr>
          <w:rFonts w:hint="eastAsia"/>
          <w:u w:val="single"/>
        </w:rPr>
        <w:t xml:space="preserve">   </w:t>
      </w:r>
      <w:r>
        <w:rPr>
          <w:rFonts w:hint="eastAsia"/>
        </w:rPr>
        <w:t>月___</w:t>
      </w:r>
      <w:r>
        <w:rPr>
          <w:rFonts w:hint="eastAsia"/>
          <w:u w:val="single"/>
        </w:rPr>
        <w:t xml:space="preserve">  </w:t>
      </w:r>
      <w:r>
        <w:rPr>
          <w:rFonts w:hint="eastAsia"/>
        </w:rPr>
        <w:t>日</w:t>
      </w:r>
    </w:p>
    <w:p w14:paraId="1729948B">
      <w:pPr>
        <w:adjustRightInd w:val="0"/>
        <w:snapToGrid w:val="0"/>
        <w:spacing w:before="30" w:after="30" w:line="500" w:lineRule="exact"/>
        <w:ind w:firstLine="884" w:firstLineChars="200"/>
        <w:rPr>
          <w:rFonts w:cs="宋体"/>
          <w:b/>
          <w:bCs/>
          <w:spacing w:val="-20"/>
          <w:kern w:val="44"/>
          <w:sz w:val="48"/>
          <w:szCs w:val="48"/>
        </w:rPr>
      </w:pPr>
    </w:p>
    <w:p w14:paraId="6601ABFE">
      <w:pPr>
        <w:wordWrap w:val="0"/>
        <w:adjustRightInd w:val="0"/>
        <w:snapToGrid w:val="0"/>
        <w:jc w:val="center"/>
        <w:outlineLvl w:val="0"/>
        <w:rPr>
          <w:b/>
          <w:sz w:val="36"/>
        </w:rPr>
      </w:pPr>
      <w:r>
        <w:br w:type="page"/>
      </w:r>
      <w:bookmarkStart w:id="221" w:name="_Toc242781704"/>
      <w:r>
        <w:rPr>
          <w:rFonts w:hint="eastAsia"/>
          <w:b/>
          <w:sz w:val="36"/>
        </w:rPr>
        <w:t>第五章  项目采购需求</w:t>
      </w:r>
      <w:bookmarkEnd w:id="215"/>
      <w:bookmarkEnd w:id="216"/>
      <w:bookmarkEnd w:id="217"/>
      <w:bookmarkEnd w:id="218"/>
      <w:bookmarkEnd w:id="219"/>
      <w:bookmarkEnd w:id="220"/>
      <w:bookmarkEnd w:id="221"/>
    </w:p>
    <w:p w14:paraId="42D54C34">
      <w:pPr>
        <w:pStyle w:val="48"/>
        <w:numPr>
          <w:ilvl w:val="0"/>
          <w:numId w:val="24"/>
        </w:numPr>
        <w:wordWrap w:val="0"/>
        <w:adjustRightInd w:val="0"/>
        <w:snapToGrid w:val="0"/>
        <w:ind w:firstLineChars="0"/>
        <w:outlineLvl w:val="1"/>
        <w:rPr>
          <w:rFonts w:eastAsia="黑体"/>
          <w:sz w:val="30"/>
          <w:szCs w:val="21"/>
        </w:rPr>
      </w:pPr>
      <w:r>
        <w:rPr>
          <w:rFonts w:eastAsia="黑体"/>
          <w:sz w:val="30"/>
          <w:szCs w:val="21"/>
        </w:rPr>
        <w:t>服务内容和标准</w:t>
      </w:r>
    </w:p>
    <w:p w14:paraId="0BD934F8">
      <w:pPr>
        <w:pStyle w:val="48"/>
        <w:numPr>
          <w:ilvl w:val="0"/>
          <w:numId w:val="25"/>
        </w:numPr>
        <w:tabs>
          <w:tab w:val="left" w:pos="0"/>
          <w:tab w:val="left" w:pos="567"/>
          <w:tab w:val="left" w:pos="993"/>
          <w:tab w:val="left" w:pos="1134"/>
        </w:tabs>
        <w:wordWrap w:val="0"/>
        <w:adjustRightInd w:val="0"/>
        <w:snapToGrid w:val="0"/>
        <w:ind w:firstLine="280" w:firstLineChars="100"/>
        <w:outlineLvl w:val="2"/>
        <w:rPr>
          <w:rFonts w:eastAsia="黑体"/>
          <w:sz w:val="28"/>
          <w:szCs w:val="21"/>
        </w:rPr>
      </w:pPr>
      <w:r>
        <w:rPr>
          <w:rFonts w:ascii="Segoe UI Symbol" w:hAnsi="Segoe UI Symbol" w:eastAsia="黑体" w:cs="Segoe UI Symbol"/>
          <w:sz w:val="28"/>
          <w:szCs w:val="21"/>
        </w:rPr>
        <w:t>★</w:t>
      </w:r>
      <w:r>
        <w:rPr>
          <w:rFonts w:hint="eastAsia" w:eastAsia="黑体"/>
          <w:sz w:val="28"/>
          <w:szCs w:val="21"/>
        </w:rPr>
        <w:t>基本要求</w:t>
      </w:r>
    </w:p>
    <w:p w14:paraId="4D4B0EF0">
      <w:pPr>
        <w:tabs>
          <w:tab w:val="left" w:pos="0"/>
          <w:tab w:val="left" w:pos="567"/>
          <w:tab w:val="left" w:pos="993"/>
          <w:tab w:val="left" w:pos="1134"/>
        </w:tabs>
        <w:wordWrap w:val="0"/>
        <w:adjustRightInd w:val="0"/>
        <w:snapToGrid w:val="0"/>
        <w:ind w:firstLine="480" w:firstLineChars="200"/>
        <w:rPr>
          <w:szCs w:val="21"/>
        </w:rPr>
      </w:pPr>
      <w:r>
        <w:rPr>
          <w:rFonts w:cs="宋体"/>
          <w:szCs w:val="24"/>
        </w:rPr>
        <w:t>1</w:t>
      </w:r>
      <w:r>
        <w:rPr>
          <w:rFonts w:hint="eastAsia" w:cs="宋体"/>
          <w:szCs w:val="24"/>
        </w:rPr>
        <w:t>、</w:t>
      </w:r>
      <w:r>
        <w:rPr>
          <w:rFonts w:hint="eastAsia"/>
          <w:szCs w:val="21"/>
        </w:rPr>
        <w:t>服务实施团队</w:t>
      </w:r>
    </w:p>
    <w:p w14:paraId="5388E17B">
      <w:pPr>
        <w:wordWrap w:val="0"/>
        <w:ind w:firstLine="480" w:firstLineChars="200"/>
        <w:rPr>
          <w:rFonts w:cs="仿宋"/>
          <w:szCs w:val="28"/>
        </w:rPr>
      </w:pPr>
      <w:r>
        <w:rPr>
          <w:rFonts w:hint="eastAsia" w:cs="仿宋"/>
          <w:szCs w:val="28"/>
        </w:rPr>
        <w:t>本项目需设置1名项目负责人，不少于</w:t>
      </w:r>
      <w:r>
        <w:rPr>
          <w:rFonts w:cs="仿宋"/>
          <w:szCs w:val="28"/>
        </w:rPr>
        <w:t>2</w:t>
      </w:r>
      <w:r>
        <w:rPr>
          <w:rFonts w:hint="eastAsia" w:cs="仿宋"/>
          <w:szCs w:val="28"/>
        </w:rPr>
        <w:t>名管理人员，均需具有相关项目的实施</w:t>
      </w:r>
      <w:r>
        <w:rPr>
          <w:rFonts w:hint="eastAsia"/>
          <w:szCs w:val="21"/>
        </w:rPr>
        <w:t>能力与</w:t>
      </w:r>
      <w:r>
        <w:rPr>
          <w:rFonts w:hint="eastAsia" w:cs="仿宋"/>
          <w:szCs w:val="28"/>
        </w:rPr>
        <w:t>经验。</w:t>
      </w:r>
      <w:r>
        <w:rPr>
          <w:rFonts w:hint="eastAsia" w:cs="仿宋"/>
          <w:b/>
          <w:szCs w:val="28"/>
        </w:rPr>
        <w:t>（投标文件中需提供</w:t>
      </w:r>
      <w:r>
        <w:rPr>
          <w:rFonts w:hint="eastAsia"/>
          <w:b/>
          <w:szCs w:val="21"/>
        </w:rPr>
        <w:t>服务实施团队配备表</w:t>
      </w:r>
      <w:r>
        <w:rPr>
          <w:rFonts w:hint="eastAsia"/>
          <w:b/>
          <w:szCs w:val="24"/>
        </w:rPr>
        <w:t>并加盖CA电子公章</w:t>
      </w:r>
      <w:r>
        <w:rPr>
          <w:rFonts w:hint="eastAsia" w:cs="仿宋"/>
          <w:b/>
          <w:szCs w:val="28"/>
        </w:rPr>
        <w:t>）</w:t>
      </w:r>
    </w:p>
    <w:p w14:paraId="453F12C9">
      <w:pPr>
        <w:wordWrap w:val="0"/>
        <w:ind w:firstLine="480" w:firstLineChars="200"/>
        <w:rPr>
          <w:rFonts w:cs="仿宋"/>
          <w:szCs w:val="28"/>
        </w:rPr>
      </w:pPr>
      <w:r>
        <w:rPr>
          <w:rFonts w:cs="仿宋"/>
          <w:szCs w:val="28"/>
        </w:rPr>
        <w:t>2</w:t>
      </w:r>
      <w:r>
        <w:rPr>
          <w:rFonts w:hint="eastAsia" w:cs="仿宋"/>
          <w:szCs w:val="28"/>
        </w:rPr>
        <w:t>、驻场人员岗位类别、数量</w:t>
      </w:r>
    </w:p>
    <w:tbl>
      <w:tblPr>
        <w:tblStyle w:val="31"/>
        <w:tblW w:w="8974" w:type="dxa"/>
        <w:tblInd w:w="93" w:type="dxa"/>
        <w:tblLayout w:type="fixed"/>
        <w:tblCellMar>
          <w:top w:w="0" w:type="dxa"/>
          <w:left w:w="108" w:type="dxa"/>
          <w:bottom w:w="0" w:type="dxa"/>
          <w:right w:w="108" w:type="dxa"/>
        </w:tblCellMar>
      </w:tblPr>
      <w:tblGrid>
        <w:gridCol w:w="753"/>
        <w:gridCol w:w="2410"/>
        <w:gridCol w:w="850"/>
        <w:gridCol w:w="4961"/>
      </w:tblGrid>
      <w:tr w14:paraId="168ABC81">
        <w:tblPrEx>
          <w:tblCellMar>
            <w:top w:w="0" w:type="dxa"/>
            <w:left w:w="108" w:type="dxa"/>
            <w:bottom w:w="0" w:type="dxa"/>
            <w:right w:w="108" w:type="dxa"/>
          </w:tblCellMar>
        </w:tblPrEx>
        <w:trPr>
          <w:trHeight w:val="454" w:hRule="atLeast"/>
        </w:trPr>
        <w:tc>
          <w:tcPr>
            <w:tcW w:w="753" w:type="dxa"/>
            <w:tcBorders>
              <w:top w:val="single" w:color="000000" w:sz="4" w:space="0"/>
              <w:left w:val="single" w:color="000000" w:sz="4" w:space="0"/>
              <w:bottom w:val="single" w:color="000000" w:sz="4" w:space="0"/>
              <w:right w:val="single" w:color="000000" w:sz="4" w:space="0"/>
            </w:tcBorders>
            <w:noWrap/>
            <w:vAlign w:val="center"/>
          </w:tcPr>
          <w:p w14:paraId="1FC08077">
            <w:pPr>
              <w:wordWrap w:val="0"/>
              <w:spacing w:line="300" w:lineRule="auto"/>
              <w:jc w:val="center"/>
              <w:textAlignment w:val="center"/>
              <w:rPr>
                <w:rFonts w:cs="宋体"/>
                <w:b/>
                <w:bCs/>
                <w:szCs w:val="21"/>
              </w:rPr>
            </w:pPr>
            <w:r>
              <w:rPr>
                <w:rFonts w:hint="eastAsia" w:cs="宋体"/>
                <w:b/>
                <w:bCs/>
                <w:szCs w:val="21"/>
              </w:rPr>
              <w:t>序号</w:t>
            </w:r>
          </w:p>
        </w:tc>
        <w:tc>
          <w:tcPr>
            <w:tcW w:w="2410" w:type="dxa"/>
            <w:tcBorders>
              <w:top w:val="single" w:color="000000" w:sz="4" w:space="0"/>
              <w:left w:val="single" w:color="000000" w:sz="4" w:space="0"/>
              <w:bottom w:val="single" w:color="000000" w:sz="4" w:space="0"/>
              <w:right w:val="single" w:color="000000" w:sz="4" w:space="0"/>
            </w:tcBorders>
            <w:noWrap/>
            <w:vAlign w:val="center"/>
          </w:tcPr>
          <w:p w14:paraId="370D07BC">
            <w:pPr>
              <w:wordWrap w:val="0"/>
              <w:spacing w:line="300" w:lineRule="auto"/>
              <w:jc w:val="center"/>
              <w:textAlignment w:val="center"/>
              <w:rPr>
                <w:rFonts w:cs="宋体"/>
                <w:b/>
                <w:bCs/>
                <w:szCs w:val="21"/>
              </w:rPr>
            </w:pPr>
            <w:r>
              <w:rPr>
                <w:rFonts w:hint="eastAsia" w:cs="宋体"/>
                <w:b/>
                <w:bCs/>
                <w:szCs w:val="21"/>
              </w:rPr>
              <w:t>岗位</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09EE7B1C">
            <w:pPr>
              <w:wordWrap w:val="0"/>
              <w:spacing w:line="300" w:lineRule="auto"/>
              <w:jc w:val="center"/>
              <w:textAlignment w:val="center"/>
              <w:rPr>
                <w:rFonts w:cs="宋体"/>
                <w:b/>
                <w:bCs/>
                <w:szCs w:val="21"/>
              </w:rPr>
            </w:pPr>
            <w:r>
              <w:rPr>
                <w:rFonts w:hint="eastAsia" w:cs="宋体"/>
                <w:b/>
                <w:bCs/>
                <w:szCs w:val="21"/>
              </w:rPr>
              <w:t>人数</w:t>
            </w:r>
          </w:p>
        </w:tc>
        <w:tc>
          <w:tcPr>
            <w:tcW w:w="4961" w:type="dxa"/>
            <w:tcBorders>
              <w:top w:val="single" w:color="000000" w:sz="4" w:space="0"/>
              <w:left w:val="single" w:color="000000" w:sz="4" w:space="0"/>
              <w:bottom w:val="single" w:color="000000" w:sz="4" w:space="0"/>
              <w:right w:val="single" w:color="000000" w:sz="4" w:space="0"/>
            </w:tcBorders>
            <w:noWrap/>
            <w:vAlign w:val="center"/>
          </w:tcPr>
          <w:p w14:paraId="1CF5A369">
            <w:pPr>
              <w:wordWrap w:val="0"/>
              <w:spacing w:line="300" w:lineRule="auto"/>
              <w:jc w:val="center"/>
              <w:textAlignment w:val="center"/>
              <w:rPr>
                <w:rFonts w:cs="宋体"/>
                <w:b/>
                <w:bCs/>
                <w:szCs w:val="21"/>
              </w:rPr>
            </w:pPr>
            <w:r>
              <w:rPr>
                <w:rFonts w:hint="eastAsia" w:cs="宋体"/>
                <w:b/>
                <w:bCs/>
                <w:szCs w:val="21"/>
              </w:rPr>
              <w:t>工作时间及入职条件</w:t>
            </w:r>
          </w:p>
        </w:tc>
      </w:tr>
      <w:tr w14:paraId="250CE3DF">
        <w:tblPrEx>
          <w:tblCellMar>
            <w:top w:w="0" w:type="dxa"/>
            <w:left w:w="108" w:type="dxa"/>
            <w:bottom w:w="0" w:type="dxa"/>
            <w:right w:w="108" w:type="dxa"/>
          </w:tblCellMar>
        </w:tblPrEx>
        <w:trPr>
          <w:trHeight w:val="454" w:hRule="atLeast"/>
        </w:trPr>
        <w:tc>
          <w:tcPr>
            <w:tcW w:w="753" w:type="dxa"/>
            <w:tcBorders>
              <w:top w:val="single" w:color="000000" w:sz="4" w:space="0"/>
              <w:left w:val="single" w:color="000000" w:sz="4" w:space="0"/>
              <w:bottom w:val="single" w:color="000000" w:sz="4" w:space="0"/>
              <w:right w:val="single" w:color="000000" w:sz="4" w:space="0"/>
            </w:tcBorders>
            <w:noWrap/>
            <w:vAlign w:val="center"/>
          </w:tcPr>
          <w:p w14:paraId="636E4DAB">
            <w:pPr>
              <w:wordWrap w:val="0"/>
              <w:spacing w:line="300" w:lineRule="auto"/>
              <w:jc w:val="center"/>
              <w:textAlignment w:val="center"/>
              <w:rPr>
                <w:rFonts w:cs="宋体"/>
                <w:szCs w:val="21"/>
              </w:rPr>
            </w:pPr>
            <w:r>
              <w:rPr>
                <w:rFonts w:hint="eastAsia" w:cs="宋体"/>
                <w:szCs w:val="21"/>
              </w:rPr>
              <w:t>1</w:t>
            </w:r>
          </w:p>
        </w:tc>
        <w:tc>
          <w:tcPr>
            <w:tcW w:w="2410" w:type="dxa"/>
            <w:tcBorders>
              <w:top w:val="single" w:color="000000" w:sz="4" w:space="0"/>
              <w:bottom w:val="single" w:color="000000" w:sz="4" w:space="0"/>
            </w:tcBorders>
            <w:noWrap/>
            <w:vAlign w:val="center"/>
          </w:tcPr>
          <w:p w14:paraId="19A68ACA">
            <w:pPr>
              <w:wordWrap w:val="0"/>
              <w:spacing w:line="300" w:lineRule="auto"/>
              <w:jc w:val="center"/>
              <w:textAlignment w:val="center"/>
              <w:rPr>
                <w:rFonts w:cs="宋体"/>
                <w:szCs w:val="21"/>
              </w:rPr>
            </w:pPr>
            <w:r>
              <w:rPr>
                <w:rFonts w:hint="eastAsia" w:cs="宋体"/>
                <w:szCs w:val="21"/>
              </w:rPr>
              <w:t>一楼导医台</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25272FEA">
            <w:pPr>
              <w:wordWrap w:val="0"/>
              <w:spacing w:line="300" w:lineRule="auto"/>
              <w:jc w:val="center"/>
              <w:textAlignment w:val="center"/>
              <w:rPr>
                <w:rFonts w:cs="宋体"/>
                <w:szCs w:val="21"/>
              </w:rPr>
            </w:pPr>
            <w:r>
              <w:rPr>
                <w:rFonts w:hint="eastAsia" w:cs="宋体"/>
                <w:szCs w:val="21"/>
              </w:rPr>
              <w:t>3</w:t>
            </w:r>
          </w:p>
        </w:tc>
        <w:tc>
          <w:tcPr>
            <w:tcW w:w="4961" w:type="dxa"/>
            <w:vMerge w:val="restart"/>
            <w:tcBorders>
              <w:top w:val="single" w:color="000000" w:sz="4" w:space="0"/>
              <w:left w:val="single" w:color="000000" w:sz="4" w:space="0"/>
              <w:right w:val="single" w:color="000000" w:sz="4" w:space="0"/>
            </w:tcBorders>
            <w:noWrap/>
            <w:vAlign w:val="center"/>
          </w:tcPr>
          <w:p w14:paraId="6B65F740">
            <w:pPr>
              <w:spacing w:line="300" w:lineRule="auto"/>
              <w:textAlignment w:val="center"/>
              <w:rPr>
                <w:rFonts w:cs="宋体"/>
                <w:szCs w:val="21"/>
              </w:rPr>
            </w:pPr>
            <w:r>
              <w:rPr>
                <w:rFonts w:hint="eastAsia" w:cs="宋体"/>
                <w:szCs w:val="21"/>
              </w:rPr>
              <w:t>1、每周不超过4</w:t>
            </w:r>
            <w:r>
              <w:rPr>
                <w:rFonts w:cs="宋体"/>
                <w:szCs w:val="21"/>
              </w:rPr>
              <w:t>0</w:t>
            </w:r>
            <w:r>
              <w:rPr>
                <w:rFonts w:hint="eastAsia" w:cs="宋体"/>
                <w:szCs w:val="21"/>
              </w:rPr>
              <w:t>小时。</w:t>
            </w:r>
          </w:p>
          <w:p w14:paraId="41CB4AE3">
            <w:pPr>
              <w:spacing w:line="300" w:lineRule="auto"/>
              <w:textAlignment w:val="center"/>
              <w:rPr>
                <w:rFonts w:cs="宋体"/>
                <w:szCs w:val="21"/>
              </w:rPr>
            </w:pPr>
            <w:r>
              <w:rPr>
                <w:rFonts w:cs="宋体"/>
                <w:szCs w:val="21"/>
              </w:rPr>
              <w:t>2</w:t>
            </w:r>
            <w:r>
              <w:rPr>
                <w:rFonts w:hint="eastAsia" w:cs="宋体"/>
                <w:szCs w:val="21"/>
              </w:rPr>
              <w:t>、入职条件</w:t>
            </w:r>
          </w:p>
          <w:p w14:paraId="2F04AB07">
            <w:pPr>
              <w:wordWrap w:val="0"/>
              <w:spacing w:line="300" w:lineRule="auto"/>
              <w:textAlignment w:val="center"/>
              <w:rPr>
                <w:rFonts w:cs="宋体"/>
                <w:szCs w:val="21"/>
              </w:rPr>
            </w:pPr>
            <w:r>
              <w:rPr>
                <w:rFonts w:hint="eastAsia" w:cs="宋体"/>
                <w:szCs w:val="21"/>
              </w:rPr>
              <w:t>（1）人员年龄要求女性，18-4</w:t>
            </w:r>
            <w:r>
              <w:rPr>
                <w:rFonts w:cs="宋体"/>
                <w:szCs w:val="21"/>
              </w:rPr>
              <w:t>0</w:t>
            </w:r>
            <w:r>
              <w:rPr>
                <w:rFonts w:hint="eastAsia" w:cs="宋体"/>
                <w:szCs w:val="21"/>
              </w:rPr>
              <w:t>周岁以内，160cm以上；</w:t>
            </w:r>
          </w:p>
          <w:p w14:paraId="6121E6BC">
            <w:pPr>
              <w:wordWrap w:val="0"/>
              <w:spacing w:line="300" w:lineRule="auto"/>
              <w:textAlignment w:val="center"/>
              <w:rPr>
                <w:rFonts w:cs="宋体"/>
                <w:szCs w:val="21"/>
              </w:rPr>
            </w:pPr>
            <w:r>
              <w:rPr>
                <w:rFonts w:hint="eastAsia" w:cs="宋体"/>
                <w:szCs w:val="21"/>
              </w:rPr>
              <w:t>（2）性格开朗，善于与人沟通；</w:t>
            </w:r>
          </w:p>
          <w:p w14:paraId="6C9DA72A">
            <w:pPr>
              <w:wordWrap w:val="0"/>
              <w:spacing w:line="300" w:lineRule="auto"/>
              <w:textAlignment w:val="center"/>
              <w:rPr>
                <w:rFonts w:cs="宋体"/>
                <w:szCs w:val="21"/>
              </w:rPr>
            </w:pPr>
            <w:r>
              <w:rPr>
                <w:rFonts w:hint="eastAsia" w:cs="宋体"/>
                <w:szCs w:val="21"/>
              </w:rPr>
              <w:t>（3）学历要求中专及以上，护理专业优先；</w:t>
            </w:r>
          </w:p>
          <w:p w14:paraId="7722F389">
            <w:pPr>
              <w:wordWrap w:val="0"/>
              <w:spacing w:line="300" w:lineRule="auto"/>
              <w:textAlignment w:val="center"/>
              <w:rPr>
                <w:rFonts w:cs="宋体"/>
                <w:szCs w:val="21"/>
              </w:rPr>
            </w:pPr>
            <w:r>
              <w:rPr>
                <w:rFonts w:hint="eastAsia" w:cs="宋体"/>
                <w:szCs w:val="21"/>
              </w:rPr>
              <w:t>（4）上岗员工100%经过基础培训才能上岗；</w:t>
            </w:r>
          </w:p>
          <w:p w14:paraId="12E5C396">
            <w:pPr>
              <w:wordWrap w:val="0"/>
              <w:spacing w:line="300" w:lineRule="auto"/>
              <w:textAlignment w:val="center"/>
              <w:rPr>
                <w:rFonts w:cs="宋体"/>
                <w:szCs w:val="21"/>
              </w:rPr>
            </w:pPr>
            <w:r>
              <w:rPr>
                <w:rFonts w:hint="eastAsia" w:cs="宋体"/>
                <w:szCs w:val="21"/>
              </w:rPr>
              <w:t>（5）身体健康、无传染病、精神性疾病；</w:t>
            </w:r>
          </w:p>
          <w:p w14:paraId="138D0BDD">
            <w:pPr>
              <w:wordWrap w:val="0"/>
              <w:spacing w:line="300" w:lineRule="auto"/>
              <w:textAlignment w:val="center"/>
              <w:rPr>
                <w:rFonts w:cs="宋体"/>
                <w:szCs w:val="21"/>
              </w:rPr>
            </w:pPr>
            <w:r>
              <w:rPr>
                <w:rFonts w:hint="eastAsia" w:cs="宋体"/>
                <w:szCs w:val="21"/>
              </w:rPr>
              <w:t>（6）员工需统一着装上岗。</w:t>
            </w:r>
          </w:p>
        </w:tc>
      </w:tr>
      <w:tr w14:paraId="18EF12AD">
        <w:tblPrEx>
          <w:tblCellMar>
            <w:top w:w="0" w:type="dxa"/>
            <w:left w:w="108" w:type="dxa"/>
            <w:bottom w:w="0" w:type="dxa"/>
            <w:right w:w="108" w:type="dxa"/>
          </w:tblCellMar>
        </w:tblPrEx>
        <w:trPr>
          <w:trHeight w:val="454" w:hRule="atLeast"/>
        </w:trPr>
        <w:tc>
          <w:tcPr>
            <w:tcW w:w="753" w:type="dxa"/>
            <w:tcBorders>
              <w:top w:val="single" w:color="000000" w:sz="4" w:space="0"/>
              <w:left w:val="single" w:color="000000" w:sz="4" w:space="0"/>
              <w:bottom w:val="single" w:color="000000" w:sz="4" w:space="0"/>
              <w:right w:val="single" w:color="000000" w:sz="4" w:space="0"/>
            </w:tcBorders>
            <w:noWrap/>
            <w:vAlign w:val="center"/>
          </w:tcPr>
          <w:p w14:paraId="7A8E9988">
            <w:pPr>
              <w:wordWrap w:val="0"/>
              <w:spacing w:line="300" w:lineRule="auto"/>
              <w:jc w:val="center"/>
              <w:textAlignment w:val="center"/>
              <w:rPr>
                <w:rFonts w:cs="宋体"/>
                <w:szCs w:val="21"/>
              </w:rPr>
            </w:pPr>
            <w:r>
              <w:rPr>
                <w:rFonts w:hint="eastAsia" w:cs="宋体"/>
                <w:szCs w:val="21"/>
              </w:rPr>
              <w:t>2</w:t>
            </w:r>
          </w:p>
        </w:tc>
        <w:tc>
          <w:tcPr>
            <w:tcW w:w="2410" w:type="dxa"/>
            <w:tcBorders>
              <w:top w:val="single" w:color="000000" w:sz="4" w:space="0"/>
              <w:bottom w:val="single" w:color="000000" w:sz="4" w:space="0"/>
            </w:tcBorders>
            <w:noWrap/>
            <w:vAlign w:val="center"/>
          </w:tcPr>
          <w:p w14:paraId="4BA4E719">
            <w:pPr>
              <w:wordWrap w:val="0"/>
              <w:spacing w:line="300" w:lineRule="auto"/>
              <w:jc w:val="center"/>
              <w:textAlignment w:val="center"/>
              <w:rPr>
                <w:rFonts w:cs="宋体"/>
                <w:szCs w:val="21"/>
              </w:rPr>
            </w:pPr>
            <w:r>
              <w:rPr>
                <w:rFonts w:hint="eastAsia" w:cs="宋体"/>
                <w:szCs w:val="21"/>
              </w:rPr>
              <w:t>二楼导医台</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10428B1E">
            <w:pPr>
              <w:wordWrap w:val="0"/>
              <w:spacing w:line="300" w:lineRule="auto"/>
              <w:jc w:val="center"/>
              <w:textAlignment w:val="center"/>
              <w:rPr>
                <w:rFonts w:cs="宋体"/>
                <w:szCs w:val="21"/>
              </w:rPr>
            </w:pPr>
            <w:r>
              <w:rPr>
                <w:rFonts w:hint="eastAsia" w:cs="宋体"/>
                <w:szCs w:val="21"/>
              </w:rPr>
              <w:t>1</w:t>
            </w:r>
          </w:p>
        </w:tc>
        <w:tc>
          <w:tcPr>
            <w:tcW w:w="4961" w:type="dxa"/>
            <w:vMerge w:val="continue"/>
            <w:tcBorders>
              <w:left w:val="single" w:color="000000" w:sz="4" w:space="0"/>
              <w:right w:val="single" w:color="000000" w:sz="4" w:space="0"/>
            </w:tcBorders>
            <w:noWrap/>
            <w:vAlign w:val="center"/>
          </w:tcPr>
          <w:p w14:paraId="63DFB9FD">
            <w:pPr>
              <w:wordWrap w:val="0"/>
              <w:spacing w:line="300" w:lineRule="auto"/>
              <w:jc w:val="center"/>
              <w:rPr>
                <w:rFonts w:cs="宋体"/>
                <w:szCs w:val="21"/>
              </w:rPr>
            </w:pPr>
          </w:p>
        </w:tc>
      </w:tr>
      <w:tr w14:paraId="1DFBAC63">
        <w:tblPrEx>
          <w:tblCellMar>
            <w:top w:w="0" w:type="dxa"/>
            <w:left w:w="108" w:type="dxa"/>
            <w:bottom w:w="0" w:type="dxa"/>
            <w:right w:w="108" w:type="dxa"/>
          </w:tblCellMar>
        </w:tblPrEx>
        <w:trPr>
          <w:trHeight w:val="454" w:hRule="atLeast"/>
        </w:trPr>
        <w:tc>
          <w:tcPr>
            <w:tcW w:w="753" w:type="dxa"/>
            <w:tcBorders>
              <w:top w:val="single" w:color="000000" w:sz="4" w:space="0"/>
              <w:left w:val="single" w:color="000000" w:sz="4" w:space="0"/>
              <w:bottom w:val="single" w:color="000000" w:sz="4" w:space="0"/>
              <w:right w:val="single" w:color="000000" w:sz="4" w:space="0"/>
            </w:tcBorders>
            <w:noWrap/>
            <w:vAlign w:val="center"/>
          </w:tcPr>
          <w:p w14:paraId="26AC42AD">
            <w:pPr>
              <w:wordWrap w:val="0"/>
              <w:spacing w:line="300" w:lineRule="auto"/>
              <w:jc w:val="center"/>
              <w:textAlignment w:val="center"/>
              <w:rPr>
                <w:rFonts w:cs="宋体"/>
                <w:szCs w:val="21"/>
              </w:rPr>
            </w:pPr>
            <w:r>
              <w:rPr>
                <w:rFonts w:hint="eastAsia" w:cs="宋体"/>
                <w:szCs w:val="21"/>
              </w:rPr>
              <w:t>3</w:t>
            </w:r>
          </w:p>
        </w:tc>
        <w:tc>
          <w:tcPr>
            <w:tcW w:w="2410" w:type="dxa"/>
            <w:tcBorders>
              <w:top w:val="single" w:color="000000" w:sz="4" w:space="0"/>
              <w:bottom w:val="single" w:color="000000" w:sz="4" w:space="0"/>
            </w:tcBorders>
            <w:noWrap/>
            <w:vAlign w:val="center"/>
          </w:tcPr>
          <w:p w14:paraId="3986B9CB">
            <w:pPr>
              <w:wordWrap w:val="0"/>
              <w:spacing w:line="300" w:lineRule="auto"/>
              <w:jc w:val="center"/>
              <w:textAlignment w:val="center"/>
              <w:rPr>
                <w:rFonts w:cs="宋体"/>
                <w:szCs w:val="21"/>
              </w:rPr>
            </w:pPr>
            <w:r>
              <w:rPr>
                <w:rFonts w:hint="eastAsia" w:cs="宋体"/>
                <w:szCs w:val="21"/>
              </w:rPr>
              <w:t>三楼导医台</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00927D83">
            <w:pPr>
              <w:wordWrap w:val="0"/>
              <w:spacing w:line="300" w:lineRule="auto"/>
              <w:jc w:val="center"/>
              <w:textAlignment w:val="center"/>
              <w:rPr>
                <w:rFonts w:cs="宋体"/>
                <w:szCs w:val="21"/>
              </w:rPr>
            </w:pPr>
            <w:r>
              <w:rPr>
                <w:rFonts w:hint="eastAsia" w:cs="宋体"/>
                <w:szCs w:val="21"/>
              </w:rPr>
              <w:t>1</w:t>
            </w:r>
          </w:p>
        </w:tc>
        <w:tc>
          <w:tcPr>
            <w:tcW w:w="4961" w:type="dxa"/>
            <w:vMerge w:val="continue"/>
            <w:tcBorders>
              <w:left w:val="single" w:color="000000" w:sz="4" w:space="0"/>
              <w:right w:val="single" w:color="000000" w:sz="4" w:space="0"/>
            </w:tcBorders>
            <w:noWrap/>
            <w:vAlign w:val="center"/>
          </w:tcPr>
          <w:p w14:paraId="0EE5B920">
            <w:pPr>
              <w:wordWrap w:val="0"/>
              <w:spacing w:line="300" w:lineRule="auto"/>
              <w:jc w:val="center"/>
              <w:rPr>
                <w:rFonts w:cs="宋体"/>
                <w:szCs w:val="21"/>
              </w:rPr>
            </w:pPr>
          </w:p>
        </w:tc>
      </w:tr>
      <w:tr w14:paraId="1C79CBE9">
        <w:tblPrEx>
          <w:tblCellMar>
            <w:top w:w="0" w:type="dxa"/>
            <w:left w:w="108" w:type="dxa"/>
            <w:bottom w:w="0" w:type="dxa"/>
            <w:right w:w="108" w:type="dxa"/>
          </w:tblCellMar>
        </w:tblPrEx>
        <w:trPr>
          <w:trHeight w:val="454" w:hRule="atLeast"/>
        </w:trPr>
        <w:tc>
          <w:tcPr>
            <w:tcW w:w="753" w:type="dxa"/>
            <w:tcBorders>
              <w:top w:val="single" w:color="000000" w:sz="4" w:space="0"/>
              <w:left w:val="single" w:color="000000" w:sz="4" w:space="0"/>
              <w:bottom w:val="single" w:color="000000" w:sz="4" w:space="0"/>
              <w:right w:val="single" w:color="000000" w:sz="4" w:space="0"/>
            </w:tcBorders>
            <w:noWrap/>
            <w:vAlign w:val="center"/>
          </w:tcPr>
          <w:p w14:paraId="5B1113F0">
            <w:pPr>
              <w:wordWrap w:val="0"/>
              <w:spacing w:line="300" w:lineRule="auto"/>
              <w:jc w:val="center"/>
              <w:textAlignment w:val="center"/>
              <w:rPr>
                <w:rFonts w:cs="宋体"/>
                <w:szCs w:val="21"/>
              </w:rPr>
            </w:pPr>
            <w:r>
              <w:rPr>
                <w:rFonts w:hint="eastAsia" w:cs="宋体"/>
                <w:szCs w:val="21"/>
              </w:rPr>
              <w:t>4</w:t>
            </w:r>
          </w:p>
        </w:tc>
        <w:tc>
          <w:tcPr>
            <w:tcW w:w="2410" w:type="dxa"/>
            <w:tcBorders>
              <w:top w:val="single" w:color="000000" w:sz="4" w:space="0"/>
              <w:bottom w:val="single" w:color="000000" w:sz="4" w:space="0"/>
            </w:tcBorders>
            <w:noWrap/>
            <w:vAlign w:val="center"/>
          </w:tcPr>
          <w:p w14:paraId="3936C8B3">
            <w:pPr>
              <w:wordWrap w:val="0"/>
              <w:spacing w:line="300" w:lineRule="auto"/>
              <w:jc w:val="center"/>
              <w:textAlignment w:val="center"/>
              <w:rPr>
                <w:rFonts w:cs="宋体"/>
                <w:szCs w:val="21"/>
              </w:rPr>
            </w:pPr>
            <w:r>
              <w:rPr>
                <w:rFonts w:hint="eastAsia" w:cs="宋体"/>
                <w:szCs w:val="21"/>
              </w:rPr>
              <w:t>自助机</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05BE4968">
            <w:pPr>
              <w:wordWrap w:val="0"/>
              <w:spacing w:line="300" w:lineRule="auto"/>
              <w:jc w:val="center"/>
              <w:textAlignment w:val="center"/>
              <w:rPr>
                <w:rFonts w:cs="宋体"/>
                <w:szCs w:val="21"/>
              </w:rPr>
            </w:pPr>
            <w:r>
              <w:rPr>
                <w:rFonts w:hint="eastAsia" w:cs="宋体"/>
                <w:szCs w:val="21"/>
              </w:rPr>
              <w:t>2</w:t>
            </w:r>
          </w:p>
        </w:tc>
        <w:tc>
          <w:tcPr>
            <w:tcW w:w="4961" w:type="dxa"/>
            <w:vMerge w:val="continue"/>
            <w:tcBorders>
              <w:left w:val="single" w:color="000000" w:sz="4" w:space="0"/>
              <w:right w:val="single" w:color="000000" w:sz="4" w:space="0"/>
            </w:tcBorders>
            <w:noWrap/>
            <w:vAlign w:val="center"/>
          </w:tcPr>
          <w:p w14:paraId="7012CE1B">
            <w:pPr>
              <w:wordWrap w:val="0"/>
              <w:spacing w:line="300" w:lineRule="auto"/>
              <w:jc w:val="center"/>
              <w:rPr>
                <w:rFonts w:cs="宋体"/>
                <w:szCs w:val="21"/>
              </w:rPr>
            </w:pPr>
          </w:p>
        </w:tc>
      </w:tr>
      <w:tr w14:paraId="2F5F4C62">
        <w:tblPrEx>
          <w:tblCellMar>
            <w:top w:w="0" w:type="dxa"/>
            <w:left w:w="108" w:type="dxa"/>
            <w:bottom w:w="0" w:type="dxa"/>
            <w:right w:w="108" w:type="dxa"/>
          </w:tblCellMar>
        </w:tblPrEx>
        <w:trPr>
          <w:trHeight w:val="454" w:hRule="atLeast"/>
        </w:trPr>
        <w:tc>
          <w:tcPr>
            <w:tcW w:w="753" w:type="dxa"/>
            <w:tcBorders>
              <w:top w:val="single" w:color="000000" w:sz="4" w:space="0"/>
              <w:left w:val="single" w:color="000000" w:sz="4" w:space="0"/>
              <w:bottom w:val="single" w:color="000000" w:sz="4" w:space="0"/>
              <w:right w:val="single" w:color="000000" w:sz="4" w:space="0"/>
            </w:tcBorders>
            <w:noWrap/>
            <w:vAlign w:val="center"/>
          </w:tcPr>
          <w:p w14:paraId="079064EB">
            <w:pPr>
              <w:wordWrap w:val="0"/>
              <w:spacing w:line="300" w:lineRule="auto"/>
              <w:jc w:val="center"/>
              <w:textAlignment w:val="center"/>
              <w:rPr>
                <w:rFonts w:cs="宋体"/>
                <w:szCs w:val="21"/>
              </w:rPr>
            </w:pPr>
            <w:r>
              <w:rPr>
                <w:rFonts w:hint="eastAsia" w:cs="宋体"/>
                <w:szCs w:val="21"/>
              </w:rPr>
              <w:t>5</w:t>
            </w:r>
          </w:p>
        </w:tc>
        <w:tc>
          <w:tcPr>
            <w:tcW w:w="2410" w:type="dxa"/>
            <w:tcBorders>
              <w:top w:val="single" w:color="000000" w:sz="4" w:space="0"/>
              <w:bottom w:val="single" w:color="000000" w:sz="4" w:space="0"/>
            </w:tcBorders>
            <w:noWrap/>
            <w:vAlign w:val="center"/>
          </w:tcPr>
          <w:p w14:paraId="497C327C">
            <w:pPr>
              <w:wordWrap w:val="0"/>
              <w:spacing w:line="300" w:lineRule="auto"/>
              <w:jc w:val="center"/>
              <w:textAlignment w:val="center"/>
              <w:rPr>
                <w:rFonts w:cs="宋体"/>
                <w:szCs w:val="21"/>
              </w:rPr>
            </w:pPr>
            <w:r>
              <w:rPr>
                <w:rFonts w:hint="eastAsia" w:cs="宋体"/>
                <w:szCs w:val="21"/>
              </w:rPr>
              <w:t>分诊台</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3CA991D8">
            <w:pPr>
              <w:wordWrap w:val="0"/>
              <w:spacing w:line="300" w:lineRule="auto"/>
              <w:jc w:val="center"/>
              <w:textAlignment w:val="center"/>
              <w:rPr>
                <w:rFonts w:cs="宋体"/>
                <w:szCs w:val="21"/>
              </w:rPr>
            </w:pPr>
            <w:r>
              <w:rPr>
                <w:rFonts w:hint="eastAsia" w:cs="宋体"/>
                <w:szCs w:val="21"/>
              </w:rPr>
              <w:t>6</w:t>
            </w:r>
          </w:p>
        </w:tc>
        <w:tc>
          <w:tcPr>
            <w:tcW w:w="4961" w:type="dxa"/>
            <w:vMerge w:val="continue"/>
            <w:tcBorders>
              <w:left w:val="single" w:color="000000" w:sz="4" w:space="0"/>
              <w:right w:val="single" w:color="000000" w:sz="4" w:space="0"/>
            </w:tcBorders>
            <w:noWrap/>
            <w:vAlign w:val="center"/>
          </w:tcPr>
          <w:p w14:paraId="504CDA4B">
            <w:pPr>
              <w:wordWrap w:val="0"/>
              <w:spacing w:line="300" w:lineRule="auto"/>
              <w:jc w:val="center"/>
              <w:rPr>
                <w:rFonts w:cs="宋体"/>
                <w:szCs w:val="21"/>
              </w:rPr>
            </w:pPr>
          </w:p>
        </w:tc>
      </w:tr>
      <w:tr w14:paraId="550CB025">
        <w:tblPrEx>
          <w:tblCellMar>
            <w:top w:w="0" w:type="dxa"/>
            <w:left w:w="108" w:type="dxa"/>
            <w:bottom w:w="0" w:type="dxa"/>
            <w:right w:w="108" w:type="dxa"/>
          </w:tblCellMar>
        </w:tblPrEx>
        <w:trPr>
          <w:trHeight w:val="454" w:hRule="atLeast"/>
        </w:trPr>
        <w:tc>
          <w:tcPr>
            <w:tcW w:w="753" w:type="dxa"/>
            <w:tcBorders>
              <w:top w:val="single" w:color="000000" w:sz="4" w:space="0"/>
              <w:left w:val="single" w:color="000000" w:sz="4" w:space="0"/>
              <w:bottom w:val="single" w:color="000000" w:sz="4" w:space="0"/>
              <w:right w:val="single" w:color="000000" w:sz="4" w:space="0"/>
            </w:tcBorders>
            <w:noWrap/>
            <w:vAlign w:val="center"/>
          </w:tcPr>
          <w:p w14:paraId="76021CF9">
            <w:pPr>
              <w:wordWrap w:val="0"/>
              <w:spacing w:line="300" w:lineRule="auto"/>
              <w:jc w:val="center"/>
              <w:rPr>
                <w:rFonts w:cs="宋体"/>
                <w:szCs w:val="21"/>
              </w:rPr>
            </w:pPr>
            <w:r>
              <w:rPr>
                <w:rFonts w:hint="eastAsia" w:cs="宋体"/>
                <w:szCs w:val="21"/>
              </w:rPr>
              <w:t>6</w:t>
            </w:r>
          </w:p>
        </w:tc>
        <w:tc>
          <w:tcPr>
            <w:tcW w:w="2410" w:type="dxa"/>
            <w:tcBorders>
              <w:top w:val="single" w:color="000000" w:sz="4" w:space="0"/>
              <w:bottom w:val="single" w:color="000000" w:sz="4" w:space="0"/>
            </w:tcBorders>
            <w:noWrap/>
            <w:vAlign w:val="center"/>
          </w:tcPr>
          <w:p w14:paraId="4A1E6056">
            <w:pPr>
              <w:wordWrap w:val="0"/>
              <w:spacing w:line="300" w:lineRule="auto"/>
              <w:jc w:val="center"/>
              <w:textAlignment w:val="center"/>
              <w:rPr>
                <w:rFonts w:cs="宋体"/>
                <w:szCs w:val="21"/>
              </w:rPr>
            </w:pPr>
            <w:r>
              <w:rPr>
                <w:rFonts w:hint="eastAsia" w:cs="宋体"/>
                <w:szCs w:val="21"/>
              </w:rPr>
              <w:t>机动岗</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0A62A208">
            <w:pPr>
              <w:wordWrap w:val="0"/>
              <w:spacing w:line="300" w:lineRule="auto"/>
              <w:jc w:val="center"/>
              <w:textAlignment w:val="center"/>
              <w:rPr>
                <w:rFonts w:cs="宋体"/>
                <w:bCs/>
                <w:szCs w:val="21"/>
              </w:rPr>
            </w:pPr>
            <w:r>
              <w:rPr>
                <w:rFonts w:hint="eastAsia" w:cs="宋体"/>
                <w:bCs/>
                <w:szCs w:val="21"/>
              </w:rPr>
              <w:t>1</w:t>
            </w:r>
          </w:p>
        </w:tc>
        <w:tc>
          <w:tcPr>
            <w:tcW w:w="4961" w:type="dxa"/>
            <w:vMerge w:val="continue"/>
            <w:tcBorders>
              <w:left w:val="single" w:color="000000" w:sz="4" w:space="0"/>
              <w:right w:val="single" w:color="000000" w:sz="4" w:space="0"/>
            </w:tcBorders>
            <w:noWrap/>
            <w:vAlign w:val="center"/>
          </w:tcPr>
          <w:p w14:paraId="04EEB7C5">
            <w:pPr>
              <w:wordWrap w:val="0"/>
              <w:spacing w:line="300" w:lineRule="auto"/>
              <w:jc w:val="center"/>
              <w:rPr>
                <w:rFonts w:cs="宋体"/>
                <w:szCs w:val="21"/>
              </w:rPr>
            </w:pPr>
          </w:p>
        </w:tc>
      </w:tr>
      <w:tr w14:paraId="640B200D">
        <w:tblPrEx>
          <w:tblCellMar>
            <w:top w:w="0" w:type="dxa"/>
            <w:left w:w="108" w:type="dxa"/>
            <w:bottom w:w="0" w:type="dxa"/>
            <w:right w:w="108" w:type="dxa"/>
          </w:tblCellMar>
        </w:tblPrEx>
        <w:trPr>
          <w:trHeight w:val="454" w:hRule="atLeast"/>
        </w:trPr>
        <w:tc>
          <w:tcPr>
            <w:tcW w:w="753" w:type="dxa"/>
            <w:tcBorders>
              <w:top w:val="single" w:color="000000" w:sz="4" w:space="0"/>
              <w:left w:val="single" w:color="000000" w:sz="4" w:space="0"/>
              <w:bottom w:val="single" w:color="000000" w:sz="4" w:space="0"/>
              <w:right w:val="single" w:color="000000" w:sz="4" w:space="0"/>
            </w:tcBorders>
            <w:noWrap/>
            <w:vAlign w:val="center"/>
          </w:tcPr>
          <w:p w14:paraId="62CE6264">
            <w:pPr>
              <w:wordWrap w:val="0"/>
              <w:spacing w:line="300" w:lineRule="auto"/>
              <w:jc w:val="center"/>
              <w:rPr>
                <w:rFonts w:cs="宋体"/>
                <w:szCs w:val="21"/>
              </w:rPr>
            </w:pPr>
            <w:r>
              <w:rPr>
                <w:rFonts w:hint="eastAsia" w:cs="宋体"/>
                <w:szCs w:val="21"/>
              </w:rPr>
              <w:t>7</w:t>
            </w:r>
          </w:p>
        </w:tc>
        <w:tc>
          <w:tcPr>
            <w:tcW w:w="2410" w:type="dxa"/>
            <w:tcBorders>
              <w:top w:val="single" w:color="000000" w:sz="4" w:space="0"/>
              <w:bottom w:val="single" w:color="000000" w:sz="4" w:space="0"/>
            </w:tcBorders>
            <w:noWrap/>
            <w:vAlign w:val="center"/>
          </w:tcPr>
          <w:p w14:paraId="22A18633">
            <w:pPr>
              <w:wordWrap w:val="0"/>
              <w:spacing w:line="300" w:lineRule="auto"/>
              <w:jc w:val="center"/>
              <w:textAlignment w:val="center"/>
              <w:rPr>
                <w:rFonts w:cs="宋体"/>
                <w:szCs w:val="21"/>
              </w:rPr>
            </w:pPr>
            <w:r>
              <w:rPr>
                <w:rFonts w:hint="eastAsia" w:cs="宋体"/>
                <w:szCs w:val="21"/>
              </w:rPr>
              <w:t>医保政策咨询岗</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29A60D46">
            <w:pPr>
              <w:wordWrap w:val="0"/>
              <w:spacing w:line="300" w:lineRule="auto"/>
              <w:jc w:val="center"/>
              <w:textAlignment w:val="center"/>
              <w:rPr>
                <w:rFonts w:cs="宋体"/>
                <w:bCs/>
                <w:szCs w:val="21"/>
              </w:rPr>
            </w:pPr>
            <w:r>
              <w:rPr>
                <w:rFonts w:hint="eastAsia" w:cs="宋体"/>
                <w:bCs/>
                <w:szCs w:val="21"/>
              </w:rPr>
              <w:t>2</w:t>
            </w:r>
          </w:p>
        </w:tc>
        <w:tc>
          <w:tcPr>
            <w:tcW w:w="4961" w:type="dxa"/>
            <w:vMerge w:val="continue"/>
            <w:tcBorders>
              <w:left w:val="single" w:color="000000" w:sz="4" w:space="0"/>
              <w:right w:val="single" w:color="000000" w:sz="4" w:space="0"/>
            </w:tcBorders>
            <w:noWrap/>
            <w:vAlign w:val="center"/>
          </w:tcPr>
          <w:p w14:paraId="6257F97D">
            <w:pPr>
              <w:wordWrap w:val="0"/>
              <w:spacing w:line="300" w:lineRule="auto"/>
              <w:jc w:val="center"/>
              <w:rPr>
                <w:rFonts w:cs="宋体"/>
                <w:szCs w:val="21"/>
              </w:rPr>
            </w:pPr>
          </w:p>
        </w:tc>
      </w:tr>
      <w:tr w14:paraId="2F4C3D54">
        <w:tblPrEx>
          <w:tblCellMar>
            <w:top w:w="0" w:type="dxa"/>
            <w:left w:w="108" w:type="dxa"/>
            <w:bottom w:w="0" w:type="dxa"/>
            <w:right w:w="108" w:type="dxa"/>
          </w:tblCellMar>
        </w:tblPrEx>
        <w:trPr>
          <w:trHeight w:val="454" w:hRule="atLeast"/>
        </w:trPr>
        <w:tc>
          <w:tcPr>
            <w:tcW w:w="3163" w:type="dxa"/>
            <w:gridSpan w:val="2"/>
            <w:tcBorders>
              <w:top w:val="single" w:color="000000" w:sz="4" w:space="0"/>
              <w:left w:val="single" w:color="000000" w:sz="4" w:space="0"/>
              <w:bottom w:val="single" w:color="000000" w:sz="4" w:space="0"/>
            </w:tcBorders>
            <w:noWrap/>
            <w:vAlign w:val="center"/>
          </w:tcPr>
          <w:p w14:paraId="19D9854A">
            <w:pPr>
              <w:wordWrap w:val="0"/>
              <w:spacing w:line="300" w:lineRule="auto"/>
              <w:jc w:val="center"/>
              <w:textAlignment w:val="center"/>
              <w:rPr>
                <w:rFonts w:cs="宋体"/>
                <w:szCs w:val="21"/>
              </w:rPr>
            </w:pPr>
            <w:r>
              <w:rPr>
                <w:rFonts w:hint="eastAsia" w:cs="宋体"/>
                <w:szCs w:val="21"/>
              </w:rPr>
              <w:t>合计</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48DB374E">
            <w:pPr>
              <w:wordWrap w:val="0"/>
              <w:spacing w:line="300" w:lineRule="auto"/>
              <w:jc w:val="center"/>
              <w:textAlignment w:val="center"/>
              <w:rPr>
                <w:rFonts w:cs="宋体"/>
                <w:bCs/>
                <w:szCs w:val="21"/>
              </w:rPr>
            </w:pPr>
            <w:r>
              <w:rPr>
                <w:rFonts w:hint="eastAsia" w:cs="宋体"/>
                <w:bCs/>
                <w:szCs w:val="21"/>
              </w:rPr>
              <w:t>1</w:t>
            </w:r>
            <w:r>
              <w:rPr>
                <w:rFonts w:cs="宋体"/>
                <w:bCs/>
                <w:szCs w:val="21"/>
              </w:rPr>
              <w:t>6</w:t>
            </w:r>
          </w:p>
        </w:tc>
        <w:tc>
          <w:tcPr>
            <w:tcW w:w="4961" w:type="dxa"/>
            <w:vMerge w:val="continue"/>
            <w:tcBorders>
              <w:left w:val="single" w:color="000000" w:sz="4" w:space="0"/>
              <w:bottom w:val="single" w:color="000000" w:sz="4" w:space="0"/>
              <w:right w:val="single" w:color="000000" w:sz="4" w:space="0"/>
            </w:tcBorders>
            <w:noWrap/>
            <w:vAlign w:val="center"/>
          </w:tcPr>
          <w:p w14:paraId="1CE599DC">
            <w:pPr>
              <w:wordWrap w:val="0"/>
              <w:spacing w:line="300" w:lineRule="auto"/>
              <w:jc w:val="center"/>
              <w:rPr>
                <w:rFonts w:cs="宋体"/>
                <w:szCs w:val="21"/>
              </w:rPr>
            </w:pPr>
          </w:p>
        </w:tc>
      </w:tr>
    </w:tbl>
    <w:p w14:paraId="59887DDD">
      <w:pPr>
        <w:tabs>
          <w:tab w:val="left" w:pos="0"/>
          <w:tab w:val="left" w:pos="567"/>
          <w:tab w:val="left" w:pos="993"/>
          <w:tab w:val="left" w:pos="1134"/>
        </w:tabs>
        <w:wordWrap w:val="0"/>
        <w:rPr>
          <w:rFonts w:cs="宋体"/>
          <w:szCs w:val="24"/>
        </w:rPr>
      </w:pPr>
      <w:r>
        <w:rPr>
          <w:rFonts w:hint="eastAsia"/>
          <w:szCs w:val="21"/>
        </w:rPr>
        <w:t>注：实际用人情况根据医院需求，每月服务人数与医院确认。</w:t>
      </w:r>
      <w:r>
        <w:rPr>
          <w:rFonts w:hint="eastAsia" w:cs="宋体"/>
          <w:szCs w:val="24"/>
        </w:rPr>
        <w:t>中标单位需要为每一位</w:t>
      </w:r>
      <w:r>
        <w:rPr>
          <w:rFonts w:cs="宋体"/>
          <w:szCs w:val="24"/>
        </w:rPr>
        <w:t>服务实施团队</w:t>
      </w:r>
      <w:r>
        <w:rPr>
          <w:rFonts w:hint="eastAsia" w:cs="宋体"/>
          <w:szCs w:val="24"/>
        </w:rPr>
        <w:t>和</w:t>
      </w:r>
      <w:r>
        <w:rPr>
          <w:rFonts w:cs="宋体"/>
          <w:szCs w:val="24"/>
        </w:rPr>
        <w:t>驻场人员</w:t>
      </w:r>
      <w:r>
        <w:rPr>
          <w:rFonts w:hint="eastAsia" w:cs="宋体"/>
          <w:szCs w:val="24"/>
        </w:rPr>
        <w:t>缴纳社会保险，中标后采购人有权在服务期内随时要求中标人提供人员社保证明，中标人应当提供社保证明；如若中标人提供不出，采购人有权</w:t>
      </w:r>
      <w:r>
        <w:rPr>
          <w:rFonts w:cs="宋体"/>
          <w:szCs w:val="24"/>
        </w:rPr>
        <w:t>终止合同并报送政府采购监管部门，且</w:t>
      </w:r>
      <w:r>
        <w:rPr>
          <w:rFonts w:hint="eastAsia" w:cs="宋体"/>
          <w:szCs w:val="24"/>
        </w:rPr>
        <w:t>采购人</w:t>
      </w:r>
      <w:r>
        <w:rPr>
          <w:rFonts w:cs="宋体"/>
          <w:szCs w:val="24"/>
        </w:rPr>
        <w:t>不承担任何法律责任和经济责任。</w:t>
      </w:r>
    </w:p>
    <w:p w14:paraId="788005BC">
      <w:pPr>
        <w:pStyle w:val="48"/>
        <w:numPr>
          <w:ilvl w:val="0"/>
          <w:numId w:val="25"/>
        </w:numPr>
        <w:tabs>
          <w:tab w:val="left" w:pos="0"/>
          <w:tab w:val="left" w:pos="567"/>
          <w:tab w:val="left" w:pos="993"/>
          <w:tab w:val="left" w:pos="1134"/>
        </w:tabs>
        <w:wordWrap w:val="0"/>
        <w:adjustRightInd w:val="0"/>
        <w:snapToGrid w:val="0"/>
        <w:ind w:firstLine="280" w:firstLineChars="100"/>
        <w:outlineLvl w:val="2"/>
        <w:rPr>
          <w:rFonts w:eastAsia="黑体"/>
          <w:sz w:val="28"/>
          <w:szCs w:val="21"/>
        </w:rPr>
      </w:pPr>
      <w:r>
        <w:rPr>
          <w:rFonts w:eastAsia="黑体"/>
          <w:sz w:val="28"/>
          <w:szCs w:val="21"/>
        </w:rPr>
        <w:t>岗位服务要求</w:t>
      </w:r>
    </w:p>
    <w:p w14:paraId="5805A349">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1、导医岗服务要求</w:t>
      </w:r>
    </w:p>
    <w:p w14:paraId="6B561ECE">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遵守法律法规和医院规章制度，服从工作安排，认真工作。</w:t>
      </w:r>
    </w:p>
    <w:p w14:paraId="61E8A544">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按要求着装，做到仪表端庄，态度和蔼、接待热情，微笑服务，使用文明礼貌用语，杜绝服务忌语。</w:t>
      </w:r>
    </w:p>
    <w:p w14:paraId="35191937">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落实首问负责制，使用文明用语、规范手势耐心做好患者沟通和引导，不得与患者发生争执。</w:t>
      </w:r>
    </w:p>
    <w:p w14:paraId="1EE921F5">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熟练掌握医院科室布局、预约挂号、检查检验等流程，主动回应患者咨询，做到有问必答，帮助有需要的患者挂号、缴费、查询、打印，提供便民服务。</w:t>
      </w:r>
    </w:p>
    <w:p w14:paraId="70C878B6">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维持公共区域就诊秩序，注意观察患者的病情变化，如遇危重病人，及时汇报并配合医护人员做好患者转运。</w:t>
      </w:r>
    </w:p>
    <w:p w14:paraId="55CBCD9C">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认真履行岗位要求，准时上岗，不得迟到、早退、无故缺岗，严格执行请假制定。</w:t>
      </w:r>
    </w:p>
    <w:p w14:paraId="069BBE4E">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发现停电、设备故障等突发紧急情况，要及时上报，根据工作安排参与处置。</w:t>
      </w:r>
    </w:p>
    <w:p w14:paraId="1FE067A4">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保持工作台物品摆放整齐，工作区域干净整洁。</w:t>
      </w:r>
    </w:p>
    <w:p w14:paraId="7EF4C5FB">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完成医院交办的其他工作。</w:t>
      </w:r>
    </w:p>
    <w:p w14:paraId="5A7EEF91">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2、导医经理</w:t>
      </w:r>
    </w:p>
    <w:p w14:paraId="52B98051">
      <w:pPr>
        <w:tabs>
          <w:tab w:val="left" w:pos="0"/>
          <w:tab w:val="left" w:pos="567"/>
          <w:tab w:val="left" w:pos="993"/>
          <w:tab w:val="left" w:pos="1134"/>
        </w:tabs>
        <w:wordWrap w:val="0"/>
        <w:adjustRightInd w:val="0"/>
        <w:snapToGrid w:val="0"/>
        <w:ind w:firstLine="480" w:firstLineChars="200"/>
        <w:rPr>
          <w:rFonts w:cs="宋体"/>
          <w:szCs w:val="24"/>
        </w:rPr>
      </w:pPr>
      <w:r>
        <w:rPr>
          <w:rFonts w:cs="宋体"/>
          <w:szCs w:val="24"/>
        </w:rPr>
        <w:t>熟练</w:t>
      </w:r>
      <w:r>
        <w:rPr>
          <w:rFonts w:hint="eastAsia" w:cs="宋体"/>
          <w:szCs w:val="24"/>
        </w:rPr>
        <w:t>掌握</w:t>
      </w:r>
      <w:r>
        <w:rPr>
          <w:rFonts w:cs="宋体"/>
          <w:szCs w:val="24"/>
        </w:rPr>
        <w:t>门诊区</w:t>
      </w:r>
      <w:r>
        <w:rPr>
          <w:rFonts w:hint="eastAsia" w:cs="宋体"/>
          <w:szCs w:val="24"/>
        </w:rPr>
        <w:t>域</w:t>
      </w:r>
      <w:r>
        <w:rPr>
          <w:rFonts w:cs="宋体"/>
          <w:szCs w:val="24"/>
        </w:rPr>
        <w:t>导医服务内容和工作标准。</w:t>
      </w:r>
      <w:r>
        <w:rPr>
          <w:rFonts w:hint="eastAsia" w:cs="宋体"/>
          <w:szCs w:val="24"/>
        </w:rPr>
        <w:t></w:t>
      </w:r>
    </w:p>
    <w:p w14:paraId="317C79D2">
      <w:pPr>
        <w:tabs>
          <w:tab w:val="left" w:pos="0"/>
          <w:tab w:val="left" w:pos="567"/>
          <w:tab w:val="left" w:pos="993"/>
          <w:tab w:val="left" w:pos="1134"/>
        </w:tabs>
        <w:wordWrap w:val="0"/>
        <w:adjustRightInd w:val="0"/>
        <w:snapToGrid w:val="0"/>
        <w:ind w:firstLine="480" w:firstLineChars="200"/>
        <w:rPr>
          <w:rFonts w:cs="宋体"/>
          <w:szCs w:val="24"/>
        </w:rPr>
      </w:pPr>
      <w:r>
        <w:rPr>
          <w:rFonts w:cs="宋体"/>
          <w:szCs w:val="24"/>
        </w:rPr>
        <w:t>负责导医现场管理、绩效考核、创新与标准化推进、培训、质量监督、医院其他管理事项。</w:t>
      </w:r>
    </w:p>
    <w:p w14:paraId="0F5A3154">
      <w:pPr>
        <w:tabs>
          <w:tab w:val="left" w:pos="0"/>
          <w:tab w:val="left" w:pos="567"/>
          <w:tab w:val="left" w:pos="993"/>
          <w:tab w:val="left" w:pos="1134"/>
        </w:tabs>
        <w:wordWrap w:val="0"/>
        <w:adjustRightInd w:val="0"/>
        <w:snapToGrid w:val="0"/>
        <w:ind w:firstLine="480" w:firstLineChars="200"/>
        <w:rPr>
          <w:rFonts w:cs="宋体"/>
          <w:szCs w:val="24"/>
        </w:rPr>
      </w:pPr>
      <w:r>
        <w:rPr>
          <w:rFonts w:cs="宋体"/>
          <w:szCs w:val="24"/>
        </w:rPr>
        <w:t>具备较强的沟通协调能力。</w:t>
      </w:r>
    </w:p>
    <w:p w14:paraId="1223144C">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3、内控管理</w:t>
      </w:r>
    </w:p>
    <w:p w14:paraId="2D96B9B1">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除现场导医岗位（含经理）外，中标单位内部应配备独立的督查管理人员，定期对驻场工作人员进行内控督查，督查包括导医经理在内的所有导医工作。</w:t>
      </w:r>
    </w:p>
    <w:p w14:paraId="54D61DEA">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4、★其他</w:t>
      </w:r>
    </w:p>
    <w:p w14:paraId="3546871B">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（1）中标单位</w:t>
      </w:r>
      <w:r>
        <w:rPr>
          <w:rFonts w:hint="eastAsia" w:cs="Arial"/>
          <w:szCs w:val="24"/>
        </w:rPr>
        <w:t>需要为每一位在职员工缴纳五险</w:t>
      </w:r>
      <w:r>
        <w:rPr>
          <w:rFonts w:hint="eastAsia"/>
          <w:szCs w:val="28"/>
        </w:rPr>
        <w:t>。合同期内如遇政府调整社保缴费基数及调高最低工资标准，新标准与旧标准之间所产生的费用，由采购人支付相应的差额费用；国家法定节假日上班当天（根据排班表）、加班、夜班由采购人按当地市加班费核算标准支付并由供应商发给员工或者给予员工调休。</w:t>
      </w:r>
    </w:p>
    <w:p w14:paraId="6DB9DC44">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（2）投标总报价一次报定，报价应包含人员工资、服务费用、培训费、管理费、利润、税金以及所有风险、责任等各项应有的所有费用。</w:t>
      </w:r>
    </w:p>
    <w:p w14:paraId="0E440528">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（3）投标报价在包含总价的同时也必须有分项报价，超出预算价格按废标处理，实际结算价格以实际用工人数为准。</w:t>
      </w:r>
    </w:p>
    <w:p w14:paraId="62868B19">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w:t>
      </w:r>
      <w:r>
        <w:rPr>
          <w:rFonts w:cs="宋体"/>
          <w:szCs w:val="24"/>
        </w:rPr>
        <w:t>4</w:t>
      </w:r>
      <w:r>
        <w:rPr>
          <w:rFonts w:hint="eastAsia" w:cs="宋体"/>
          <w:szCs w:val="24"/>
        </w:rPr>
        <w:t>）投标人必须具备独立完成本项目的能力，了解项目情况及详细需求。投标人应承担前期调研的责任和风险，投标人中标后，不得以不完全了解现场情况为理由而向采购单位提出任何索赔的要求，对此采购单位不承担任何责任并将不作任何答复与考虑。</w:t>
      </w:r>
    </w:p>
    <w:p w14:paraId="5E93276E">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w:t>
      </w:r>
      <w:r>
        <w:rPr>
          <w:rFonts w:cs="宋体"/>
          <w:szCs w:val="24"/>
        </w:rPr>
        <w:t>5</w:t>
      </w:r>
      <w:r>
        <w:rPr>
          <w:rFonts w:hint="eastAsia" w:cs="宋体"/>
          <w:szCs w:val="24"/>
        </w:rPr>
        <w:t>）</w:t>
      </w:r>
      <w:r>
        <w:rPr>
          <w:rFonts w:cs="宋体"/>
          <w:bCs/>
          <w:szCs w:val="24"/>
        </w:rPr>
        <w:t>合同生效后中标人必须</w:t>
      </w:r>
      <w:r>
        <w:rPr>
          <w:rFonts w:hint="eastAsia" w:cs="宋体"/>
          <w:bCs/>
          <w:szCs w:val="24"/>
        </w:rPr>
        <w:t>7</w:t>
      </w:r>
      <w:r>
        <w:rPr>
          <w:rFonts w:cs="宋体"/>
          <w:bCs/>
          <w:szCs w:val="24"/>
        </w:rPr>
        <w:t>天内完成服务交接、提供合格人员现场服务</w:t>
      </w:r>
      <w:r>
        <w:rPr>
          <w:rFonts w:hint="eastAsia" w:cs="宋体"/>
          <w:bCs/>
          <w:szCs w:val="24"/>
        </w:rPr>
        <w:t>；拟签订合同的服务期为叁年。</w:t>
      </w:r>
    </w:p>
    <w:p w14:paraId="16B3D5E3">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w:t>
      </w:r>
      <w:r>
        <w:rPr>
          <w:rFonts w:cs="宋体"/>
          <w:szCs w:val="24"/>
        </w:rPr>
        <w:t>6</w:t>
      </w:r>
      <w:r>
        <w:rPr>
          <w:rFonts w:hint="eastAsia" w:cs="宋体"/>
          <w:szCs w:val="24"/>
        </w:rPr>
        <w:t>）供应商必须具备独立完成本项目的能力，因此各供应商在招标前进行调研，了解项目情况及详细需求；采购人不组织统一查勘，由供应商自行前往采购人处查勘函。</w:t>
      </w:r>
    </w:p>
    <w:p w14:paraId="562058EB">
      <w:pPr>
        <w:pStyle w:val="48"/>
        <w:numPr>
          <w:ilvl w:val="0"/>
          <w:numId w:val="25"/>
        </w:numPr>
        <w:tabs>
          <w:tab w:val="left" w:pos="0"/>
          <w:tab w:val="left" w:pos="567"/>
          <w:tab w:val="left" w:pos="993"/>
          <w:tab w:val="left" w:pos="1134"/>
        </w:tabs>
        <w:wordWrap w:val="0"/>
        <w:adjustRightInd w:val="0"/>
        <w:snapToGrid w:val="0"/>
        <w:ind w:firstLine="280" w:firstLineChars="100"/>
        <w:outlineLvl w:val="2"/>
        <w:rPr>
          <w:rFonts w:eastAsia="黑体"/>
          <w:sz w:val="28"/>
          <w:szCs w:val="21"/>
        </w:rPr>
      </w:pPr>
      <w:r>
        <w:rPr>
          <w:rFonts w:hint="eastAsia" w:eastAsia="黑体"/>
          <w:sz w:val="28"/>
          <w:szCs w:val="21"/>
        </w:rPr>
        <w:t>服务投入</w:t>
      </w:r>
    </w:p>
    <w:p w14:paraId="32000504">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1、人员要求</w:t>
      </w:r>
    </w:p>
    <w:p w14:paraId="45CD3588">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（1）人员年龄要求40周岁以内；</w:t>
      </w:r>
    </w:p>
    <w:p w14:paraId="6C8B7C65">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（2）经过基础培训能胜任岗位要求；</w:t>
      </w:r>
    </w:p>
    <w:p w14:paraId="3E300E4D">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（3）身心健康、无传染病、精神性疾病；</w:t>
      </w:r>
    </w:p>
    <w:p w14:paraId="54A1711E">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（4）员工需统一着装上岗、站立服务；</w:t>
      </w:r>
    </w:p>
    <w:p w14:paraId="507D813C">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（5）公司内部有岗前培训，服务人员100%经过岗前培训合格才上岗；</w:t>
      </w:r>
    </w:p>
    <w:p w14:paraId="79D3C5DE">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（6）投标人为本项目配备的所有人员需无犯罪记录。</w:t>
      </w:r>
    </w:p>
    <w:p w14:paraId="4C5AC524">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2、导医服务方案内容要求具体如下</w:t>
      </w:r>
    </w:p>
    <w:p w14:paraId="5149DAB5">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（1）门诊导医导诊服务的目标阐述：包括运营成本、患者满意度等方面，要求内容全面完整、理解得当、条理清晰；</w:t>
      </w:r>
    </w:p>
    <w:p w14:paraId="1958296C">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（2）门诊导医导诊服务的具体内容、特色与亮点：要求内容全面完整、条理清晰；</w:t>
      </w:r>
    </w:p>
    <w:p w14:paraId="6639DBA4">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（3）岗位的具体配置：包括岗位名称、主要职责、工作形式及聘任要求等，要求项目团队组织管理机构配备合理，有明确和全面的岗位分工和职责划分；</w:t>
      </w:r>
    </w:p>
    <w:p w14:paraId="54AC0063">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4）具体管理方案：包括项目负责人的情况介绍、管理理念和方法、组织管理、人力资源管理、培训计划、绩效和激励、日常运营和现场管理、质监监控与管理，要求方案全面完整、措施有力、处置得当、科学合理；</w:t>
      </w:r>
    </w:p>
    <w:p w14:paraId="6597BFB0">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（5）服务推广方案：包括日常推广和宣传、院内推广活动策划、公共媒体宣传，要求方案全面完整、措施有力、处置得当、科学合理；</w:t>
      </w:r>
    </w:p>
    <w:p w14:paraId="09A1A818">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（6）服务内容的实施和导入：实施中的工作、周期以及需要院方配合的内容，要求方案全面完整，实施步骤细化明确、科学合理，可操作性强，对顺利实施有保障；</w:t>
      </w:r>
    </w:p>
    <w:p w14:paraId="19BA5C70">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7）突发事件应急预案：应急处置预案应结合医院项目特点，考虑全面，有公共卫生（疫情防控等）、人员安全、治安秩序、各类纠纷、消防、工作手册等，要求方案全面完整、措施有力、处置得当、科学合理；</w:t>
      </w:r>
    </w:p>
    <w:p w14:paraId="1D79059D">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3、项目辅助管理系统配备及项目增值服务要求。</w:t>
      </w:r>
    </w:p>
    <w:p w14:paraId="46D9121B">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1）投标人需有完善的项目管理信息系统，以提高项目管理的效率，定期对项目的相关数据进行分析，并持续改善日常管理。项目管理信息系统至少包括项目台账系统、人事管理系统等，并能与医院共享相关管理的数据与信息，方便医院主管部门对派驻项目的人员进行管理，并及时掌握项目的运作情况。</w:t>
      </w:r>
    </w:p>
    <w:p w14:paraId="109866E2">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2）项目增值服务要求：随着我国老龄化进程的加速，老年人口数量的快速增长，陪诊和助老服务越来越成为一个重要的社会问题。乙方如能提供陪诊和助老服务将对提升医院形象改善医院服务具有非常重要的意义，对此要求乙方能够为本项目对应门诊提供陪诊和助老服务等增值服务，包括配备陪诊或助老软件系统，编制陪诊和助老服务方案等。</w:t>
      </w:r>
    </w:p>
    <w:p w14:paraId="41AFB41C">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 xml:space="preserve">4、优惠承诺 </w:t>
      </w:r>
    </w:p>
    <w:p w14:paraId="0C9D5F01">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投标单位需投标文件中提供以下优惠服务措施：</w:t>
      </w:r>
    </w:p>
    <w:p w14:paraId="0C52721F">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（1）提供医院服务礼仪培训服务每年不少于2场。</w:t>
      </w:r>
    </w:p>
    <w:p w14:paraId="51F0D10C">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（2） AHA培训每年不少于2场。</w:t>
      </w:r>
    </w:p>
    <w:p w14:paraId="5C8B0908">
      <w:pPr>
        <w:pStyle w:val="48"/>
        <w:numPr>
          <w:ilvl w:val="0"/>
          <w:numId w:val="25"/>
        </w:numPr>
        <w:wordWrap w:val="0"/>
        <w:adjustRightInd w:val="0"/>
        <w:snapToGrid w:val="0"/>
        <w:ind w:firstLine="280" w:firstLineChars="100"/>
        <w:outlineLvl w:val="2"/>
        <w:rPr>
          <w:rFonts w:eastAsia="黑体"/>
          <w:sz w:val="28"/>
          <w:szCs w:val="21"/>
        </w:rPr>
      </w:pPr>
      <w:r>
        <w:rPr>
          <w:rFonts w:hint="eastAsia" w:eastAsia="黑体"/>
          <w:sz w:val="28"/>
          <w:szCs w:val="21"/>
        </w:rPr>
        <w:t>服务质量考核</w:t>
      </w:r>
    </w:p>
    <w:p w14:paraId="5B255C70">
      <w:pPr>
        <w:tabs>
          <w:tab w:val="left" w:pos="0"/>
          <w:tab w:val="left" w:pos="567"/>
          <w:tab w:val="left" w:pos="993"/>
          <w:tab w:val="left" w:pos="1134"/>
        </w:tabs>
        <w:wordWrap w:val="0"/>
        <w:adjustRightInd w:val="0"/>
        <w:snapToGrid w:val="0"/>
        <w:ind w:firstLine="480" w:firstLineChars="200"/>
        <w:rPr>
          <w:rFonts w:cs="宋体"/>
          <w:szCs w:val="24"/>
        </w:rPr>
      </w:pPr>
      <w:r>
        <w:rPr>
          <w:rFonts w:hint="eastAsia" w:cs="宋体"/>
          <w:szCs w:val="24"/>
        </w:rPr>
        <w:t>采购人对供应商采用月度百分制考核，月度考核得分85以上为整体符合服务要求，85分以下的，每减1分扣款500元*1。因乙方管理不善而造成服务质量不符合要求的人员，扣款50元/人次。特别约定：月度考核得分70以下的甲方有权单方面通知乙方解除协议而且不承担任何责任。考核内容与标准如下表，在履约过程中，采购人可根据工作要求变化和实际执行情况动态调整考核内容与标准，供应商应完全配合。除日常工作考核外，导医应参加采购人组织的培训与考核。如导医当次考核不合格后经再次培训考核仍不合格的，则采购人按每不合格人次扣除供应商费用200元/人次。在管理中，如导医当月投诉超过2件或者每季度投诉超过3件，采购人研判有效，则扣除供应商费用500元/件。</w:t>
      </w:r>
    </w:p>
    <w:p w14:paraId="0C5F702C">
      <w:pPr>
        <w:tabs>
          <w:tab w:val="left" w:pos="0"/>
          <w:tab w:val="left" w:pos="567"/>
          <w:tab w:val="left" w:pos="993"/>
          <w:tab w:val="left" w:pos="1134"/>
        </w:tabs>
        <w:adjustRightInd w:val="0"/>
        <w:snapToGrid w:val="0"/>
        <w:ind w:firstLine="482" w:firstLineChars="200"/>
        <w:jc w:val="center"/>
        <w:rPr>
          <w:szCs w:val="28"/>
          <w:lang w:val="zh-CN"/>
        </w:rPr>
      </w:pPr>
      <w:r>
        <w:rPr>
          <w:rFonts w:hint="eastAsia"/>
          <w:b/>
        </w:rPr>
        <w:t>门诊导医导诊服务考核办法</w:t>
      </w:r>
    </w:p>
    <w:tbl>
      <w:tblPr>
        <w:tblStyle w:val="31"/>
        <w:tblW w:w="5067" w:type="pct"/>
        <w:jc w:val="center"/>
        <w:tblLayout w:type="autofit"/>
        <w:tblCellMar>
          <w:top w:w="0" w:type="dxa"/>
          <w:left w:w="0" w:type="dxa"/>
          <w:bottom w:w="0" w:type="dxa"/>
          <w:right w:w="0" w:type="dxa"/>
        </w:tblCellMar>
      </w:tblPr>
      <w:tblGrid>
        <w:gridCol w:w="1190"/>
        <w:gridCol w:w="4506"/>
        <w:gridCol w:w="800"/>
        <w:gridCol w:w="1718"/>
        <w:gridCol w:w="978"/>
      </w:tblGrid>
      <w:tr w14:paraId="0C2B7DA7">
        <w:trPr>
          <w:trHeight w:val="314" w:hRule="atLeast"/>
          <w:jc w:val="center"/>
        </w:trPr>
        <w:tc>
          <w:tcPr>
            <w:tcW w:w="64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5EFA56">
            <w:r>
              <w:rPr>
                <w:rFonts w:hint="eastAsia"/>
                <w:kern w:val="0"/>
              </w:rPr>
              <w:t>考核项目</w:t>
            </w:r>
          </w:p>
        </w:tc>
        <w:tc>
          <w:tcPr>
            <w:tcW w:w="245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B6917C">
            <w:r>
              <w:rPr>
                <w:rFonts w:hint="eastAsia"/>
                <w:kern w:val="0"/>
              </w:rPr>
              <w:t>考核内容</w:t>
            </w:r>
          </w:p>
        </w:tc>
        <w:tc>
          <w:tcPr>
            <w:tcW w:w="43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F7E62A">
            <w:r>
              <w:rPr>
                <w:rFonts w:hint="eastAsia"/>
                <w:kern w:val="0"/>
              </w:rPr>
              <w:t>标准分</w:t>
            </w:r>
          </w:p>
        </w:tc>
        <w:tc>
          <w:tcPr>
            <w:tcW w:w="9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45A1DC">
            <w:r>
              <w:rPr>
                <w:rFonts w:hint="eastAsia"/>
                <w:kern w:val="0"/>
              </w:rPr>
              <w:t>考核标准</w:t>
            </w:r>
          </w:p>
        </w:tc>
        <w:tc>
          <w:tcPr>
            <w:tcW w:w="53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5F757F">
            <w:r>
              <w:rPr>
                <w:rFonts w:hint="eastAsia"/>
                <w:kern w:val="0"/>
              </w:rPr>
              <w:t>考核得分</w:t>
            </w:r>
          </w:p>
        </w:tc>
      </w:tr>
      <w:tr w14:paraId="1642A2B5">
        <w:tblPrEx>
          <w:tblCellMar>
            <w:top w:w="0" w:type="dxa"/>
            <w:left w:w="0" w:type="dxa"/>
            <w:bottom w:w="0" w:type="dxa"/>
            <w:right w:w="0" w:type="dxa"/>
          </w:tblCellMar>
        </w:tblPrEx>
        <w:trPr>
          <w:trHeight w:val="314" w:hRule="atLeast"/>
          <w:jc w:val="center"/>
        </w:trPr>
        <w:tc>
          <w:tcPr>
            <w:tcW w:w="647" w:type="pct"/>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803486">
            <w:pPr>
              <w:rPr>
                <w:shd w:val="clear" w:color="auto" w:fill="FFFFFF"/>
              </w:rPr>
            </w:pPr>
            <w:r>
              <w:rPr>
                <w:shd w:val="clear" w:color="auto" w:fill="FFFFFF"/>
              </w:rPr>
              <w:t>仪容仪表</w:t>
            </w:r>
          </w:p>
          <w:p w14:paraId="006BF61D">
            <w:pPr>
              <w:rPr>
                <w:rFonts w:cs="宋体"/>
              </w:rPr>
            </w:pPr>
            <w:r>
              <w:rPr>
                <w:shd w:val="clear" w:color="auto" w:fill="FFFFFF"/>
              </w:rPr>
              <w:t>（</w:t>
            </w:r>
            <w:r>
              <w:rPr>
                <w:rFonts w:hint="eastAsia"/>
                <w:shd w:val="clear" w:color="auto" w:fill="FFFFFF"/>
              </w:rPr>
              <w:t>17</w:t>
            </w:r>
            <w:r>
              <w:rPr>
                <w:shd w:val="clear" w:color="auto" w:fill="FFFFFF"/>
              </w:rPr>
              <w:t>分）</w:t>
            </w:r>
          </w:p>
        </w:tc>
        <w:tc>
          <w:tcPr>
            <w:tcW w:w="245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48CD6CB5">
            <w:pPr>
              <w:rPr>
                <w:rFonts w:cs="宋体"/>
                <w:b/>
              </w:rPr>
            </w:pPr>
            <w:r>
              <w:rPr>
                <w:shd w:val="clear" w:color="auto" w:fill="FFFFFF"/>
              </w:rPr>
              <w:t>着统一工装，干净整洁，无污渍、无破损。</w:t>
            </w:r>
          </w:p>
        </w:tc>
        <w:tc>
          <w:tcPr>
            <w:tcW w:w="43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D0421C">
            <w:pPr>
              <w:jc w:val="center"/>
              <w:rPr>
                <w:rFonts w:cs="宋体"/>
              </w:rPr>
            </w:pPr>
            <w:r>
              <w:rPr>
                <w:shd w:val="clear" w:color="auto" w:fill="FFFFFF"/>
              </w:rPr>
              <w:t>2</w:t>
            </w:r>
          </w:p>
        </w:tc>
        <w:tc>
          <w:tcPr>
            <w:tcW w:w="9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84EFC2">
            <w:pPr>
              <w:rPr>
                <w:b/>
              </w:rPr>
            </w:pPr>
            <w:r>
              <w:rPr>
                <w:rFonts w:hint="eastAsia"/>
                <w:shd w:val="clear" w:color="auto" w:fill="FFFFFF"/>
              </w:rPr>
              <w:t>一项不符扣2分</w:t>
            </w:r>
          </w:p>
        </w:tc>
        <w:tc>
          <w:tcPr>
            <w:tcW w:w="53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EEB92C"/>
        </w:tc>
      </w:tr>
      <w:tr w14:paraId="5E0A7A5B">
        <w:tblPrEx>
          <w:tblCellMar>
            <w:top w:w="0" w:type="dxa"/>
            <w:left w:w="0" w:type="dxa"/>
            <w:bottom w:w="0" w:type="dxa"/>
            <w:right w:w="0" w:type="dxa"/>
          </w:tblCellMar>
        </w:tblPrEx>
        <w:trPr>
          <w:trHeight w:val="314" w:hRule="atLeast"/>
          <w:jc w:val="center"/>
        </w:trPr>
        <w:tc>
          <w:tcPr>
            <w:tcW w:w="647"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68A571"/>
        </w:tc>
        <w:tc>
          <w:tcPr>
            <w:tcW w:w="245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6A9F8F8E">
            <w:pPr>
              <w:rPr>
                <w:rFonts w:cs="宋体"/>
                <w:b/>
              </w:rPr>
            </w:pPr>
            <w:r>
              <w:rPr>
                <w:shd w:val="clear" w:color="auto" w:fill="FFFFFF"/>
              </w:rPr>
              <w:t>内里着统一衬衫，清洁无褶皱，衬衫下摆须掖在裤内。</w:t>
            </w:r>
          </w:p>
        </w:tc>
        <w:tc>
          <w:tcPr>
            <w:tcW w:w="43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531A93">
            <w:pPr>
              <w:jc w:val="center"/>
              <w:rPr>
                <w:rFonts w:cs="宋体"/>
              </w:rPr>
            </w:pPr>
            <w:r>
              <w:rPr>
                <w:shd w:val="clear" w:color="auto" w:fill="FFFFFF"/>
              </w:rPr>
              <w:t>3</w:t>
            </w:r>
          </w:p>
        </w:tc>
        <w:tc>
          <w:tcPr>
            <w:tcW w:w="9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2F20AA">
            <w:pPr>
              <w:rPr>
                <w:b/>
              </w:rPr>
            </w:pPr>
            <w:r>
              <w:rPr>
                <w:rFonts w:hint="eastAsia"/>
                <w:shd w:val="clear" w:color="auto" w:fill="FFFFFF"/>
              </w:rPr>
              <w:t>一项不符扣</w:t>
            </w:r>
            <w:r>
              <w:rPr>
                <w:shd w:val="clear" w:color="auto" w:fill="FFFFFF"/>
              </w:rPr>
              <w:t>3</w:t>
            </w:r>
            <w:r>
              <w:rPr>
                <w:rFonts w:hint="eastAsia"/>
                <w:shd w:val="clear" w:color="auto" w:fill="FFFFFF"/>
              </w:rPr>
              <w:t>分</w:t>
            </w:r>
          </w:p>
        </w:tc>
        <w:tc>
          <w:tcPr>
            <w:tcW w:w="53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04FA7D"/>
        </w:tc>
      </w:tr>
      <w:tr w14:paraId="7AECEEC5">
        <w:tblPrEx>
          <w:tblCellMar>
            <w:top w:w="0" w:type="dxa"/>
            <w:left w:w="0" w:type="dxa"/>
            <w:bottom w:w="0" w:type="dxa"/>
            <w:right w:w="0" w:type="dxa"/>
          </w:tblCellMar>
        </w:tblPrEx>
        <w:trPr>
          <w:trHeight w:val="314" w:hRule="atLeast"/>
          <w:jc w:val="center"/>
        </w:trPr>
        <w:tc>
          <w:tcPr>
            <w:tcW w:w="647"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04D2F1"/>
        </w:tc>
        <w:tc>
          <w:tcPr>
            <w:tcW w:w="245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7B1D583D">
            <w:pPr>
              <w:rPr>
                <w:rFonts w:cs="宋体"/>
                <w:b/>
              </w:rPr>
            </w:pPr>
            <w:r>
              <w:rPr>
                <w:shd w:val="clear" w:color="auto" w:fill="FFFFFF"/>
              </w:rPr>
              <w:t>工作期间佩戴工牌，统一佩戴</w:t>
            </w:r>
            <w:r>
              <w:rPr>
                <w:rFonts w:hint="eastAsia"/>
                <w:shd w:val="clear" w:color="auto" w:fill="FFFFFF"/>
              </w:rPr>
              <w:t>在</w:t>
            </w:r>
            <w:r>
              <w:rPr>
                <w:shd w:val="clear" w:color="auto" w:fill="FFFFFF"/>
              </w:rPr>
              <w:t>明显位置，不得挂在腰间。</w:t>
            </w:r>
          </w:p>
        </w:tc>
        <w:tc>
          <w:tcPr>
            <w:tcW w:w="43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CF238F">
            <w:pPr>
              <w:jc w:val="center"/>
              <w:rPr>
                <w:rFonts w:cs="宋体"/>
              </w:rPr>
            </w:pPr>
            <w:r>
              <w:rPr>
                <w:shd w:val="clear" w:color="auto" w:fill="FFFFFF"/>
              </w:rPr>
              <w:t>3</w:t>
            </w:r>
          </w:p>
        </w:tc>
        <w:tc>
          <w:tcPr>
            <w:tcW w:w="9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93E11E">
            <w:pPr>
              <w:rPr>
                <w:b/>
              </w:rPr>
            </w:pPr>
            <w:r>
              <w:rPr>
                <w:rFonts w:hint="eastAsia"/>
                <w:shd w:val="clear" w:color="auto" w:fill="FFFFFF"/>
              </w:rPr>
              <w:t>一项不符扣</w:t>
            </w:r>
            <w:r>
              <w:rPr>
                <w:shd w:val="clear" w:color="auto" w:fill="FFFFFF"/>
              </w:rPr>
              <w:t>3</w:t>
            </w:r>
            <w:r>
              <w:rPr>
                <w:rFonts w:hint="eastAsia"/>
                <w:shd w:val="clear" w:color="auto" w:fill="FFFFFF"/>
              </w:rPr>
              <w:t>分</w:t>
            </w:r>
          </w:p>
        </w:tc>
        <w:tc>
          <w:tcPr>
            <w:tcW w:w="53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301045"/>
        </w:tc>
      </w:tr>
      <w:tr w14:paraId="3FEB49BA">
        <w:tblPrEx>
          <w:tblCellMar>
            <w:top w:w="0" w:type="dxa"/>
            <w:left w:w="0" w:type="dxa"/>
            <w:bottom w:w="0" w:type="dxa"/>
            <w:right w:w="0" w:type="dxa"/>
          </w:tblCellMar>
        </w:tblPrEx>
        <w:trPr>
          <w:trHeight w:val="314" w:hRule="atLeast"/>
          <w:jc w:val="center"/>
        </w:trPr>
        <w:tc>
          <w:tcPr>
            <w:tcW w:w="647"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90F53F"/>
        </w:tc>
        <w:tc>
          <w:tcPr>
            <w:tcW w:w="245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4A1D717D">
            <w:pPr>
              <w:rPr>
                <w:rFonts w:cs="宋体"/>
                <w:b/>
              </w:rPr>
            </w:pPr>
            <w:r>
              <w:rPr>
                <w:shd w:val="clear" w:color="auto" w:fill="FFFFFF"/>
              </w:rPr>
              <w:t>面部清洁，可淡妆上岗，不得涂有色指甲油。</w:t>
            </w:r>
          </w:p>
        </w:tc>
        <w:tc>
          <w:tcPr>
            <w:tcW w:w="43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97AF23">
            <w:pPr>
              <w:jc w:val="center"/>
              <w:rPr>
                <w:rFonts w:cs="宋体"/>
              </w:rPr>
            </w:pPr>
            <w:r>
              <w:rPr>
                <w:shd w:val="clear" w:color="auto" w:fill="FFFFFF"/>
              </w:rPr>
              <w:t>3</w:t>
            </w:r>
          </w:p>
        </w:tc>
        <w:tc>
          <w:tcPr>
            <w:tcW w:w="9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26ACAD">
            <w:pPr>
              <w:rPr>
                <w:b/>
              </w:rPr>
            </w:pPr>
            <w:r>
              <w:rPr>
                <w:rFonts w:hint="eastAsia"/>
                <w:shd w:val="clear" w:color="auto" w:fill="FFFFFF"/>
              </w:rPr>
              <w:t>一项不符扣</w:t>
            </w:r>
            <w:r>
              <w:rPr>
                <w:shd w:val="clear" w:color="auto" w:fill="FFFFFF"/>
              </w:rPr>
              <w:t>3</w:t>
            </w:r>
            <w:r>
              <w:rPr>
                <w:rFonts w:hint="eastAsia"/>
                <w:shd w:val="clear" w:color="auto" w:fill="FFFFFF"/>
              </w:rPr>
              <w:t>分</w:t>
            </w:r>
          </w:p>
        </w:tc>
        <w:tc>
          <w:tcPr>
            <w:tcW w:w="53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BB5652"/>
        </w:tc>
      </w:tr>
      <w:tr w14:paraId="4EEBEFB2">
        <w:tblPrEx>
          <w:tblCellMar>
            <w:top w:w="0" w:type="dxa"/>
            <w:left w:w="0" w:type="dxa"/>
            <w:bottom w:w="0" w:type="dxa"/>
            <w:right w:w="0" w:type="dxa"/>
          </w:tblCellMar>
        </w:tblPrEx>
        <w:trPr>
          <w:trHeight w:val="401" w:hRule="atLeast"/>
          <w:jc w:val="center"/>
        </w:trPr>
        <w:tc>
          <w:tcPr>
            <w:tcW w:w="647"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78386A"/>
        </w:tc>
        <w:tc>
          <w:tcPr>
            <w:tcW w:w="245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5F191E29">
            <w:pPr>
              <w:rPr>
                <w:rFonts w:cs="宋体"/>
                <w:b/>
              </w:rPr>
            </w:pPr>
            <w:r>
              <w:rPr>
                <w:shd w:val="clear" w:color="auto" w:fill="FFFFFF"/>
              </w:rPr>
              <w:t>工作期间佩戴饰品应简单得体，不易过度张扬。</w:t>
            </w:r>
          </w:p>
        </w:tc>
        <w:tc>
          <w:tcPr>
            <w:tcW w:w="43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A6FB0F">
            <w:pPr>
              <w:jc w:val="center"/>
              <w:rPr>
                <w:rFonts w:cs="宋体"/>
              </w:rPr>
            </w:pPr>
            <w:r>
              <w:rPr>
                <w:shd w:val="clear" w:color="auto" w:fill="FFFFFF"/>
              </w:rPr>
              <w:t>3</w:t>
            </w:r>
          </w:p>
        </w:tc>
        <w:tc>
          <w:tcPr>
            <w:tcW w:w="9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FA6B6E">
            <w:pPr>
              <w:rPr>
                <w:b/>
              </w:rPr>
            </w:pPr>
            <w:r>
              <w:rPr>
                <w:rFonts w:hint="eastAsia"/>
                <w:shd w:val="clear" w:color="auto" w:fill="FFFFFF"/>
              </w:rPr>
              <w:t>一项不符扣</w:t>
            </w:r>
            <w:r>
              <w:rPr>
                <w:shd w:val="clear" w:color="auto" w:fill="FFFFFF"/>
              </w:rPr>
              <w:t>3</w:t>
            </w:r>
            <w:r>
              <w:rPr>
                <w:rFonts w:hint="eastAsia"/>
                <w:shd w:val="clear" w:color="auto" w:fill="FFFFFF"/>
              </w:rPr>
              <w:t>分</w:t>
            </w:r>
          </w:p>
        </w:tc>
        <w:tc>
          <w:tcPr>
            <w:tcW w:w="53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F833E6"/>
        </w:tc>
      </w:tr>
      <w:tr w14:paraId="00282FF6">
        <w:tblPrEx>
          <w:tblCellMar>
            <w:top w:w="0" w:type="dxa"/>
            <w:left w:w="0" w:type="dxa"/>
            <w:bottom w:w="0" w:type="dxa"/>
            <w:right w:w="0" w:type="dxa"/>
          </w:tblCellMar>
        </w:tblPrEx>
        <w:trPr>
          <w:trHeight w:val="314" w:hRule="atLeast"/>
          <w:jc w:val="center"/>
        </w:trPr>
        <w:tc>
          <w:tcPr>
            <w:tcW w:w="647"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57644B"/>
        </w:tc>
        <w:tc>
          <w:tcPr>
            <w:tcW w:w="245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4FAF68E9">
            <w:pPr>
              <w:rPr>
                <w:rFonts w:cs="宋体"/>
                <w:b/>
              </w:rPr>
            </w:pPr>
            <w:r>
              <w:rPr>
                <w:shd w:val="clear" w:color="auto" w:fill="FFFFFF"/>
              </w:rPr>
              <w:t>头发梳理齐整，不染异样颜色，刘海不遮眉，侧发不掩耳，长发需用自行固定。</w:t>
            </w:r>
          </w:p>
        </w:tc>
        <w:tc>
          <w:tcPr>
            <w:tcW w:w="43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58A06B">
            <w:pPr>
              <w:jc w:val="center"/>
              <w:rPr>
                <w:rFonts w:cs="宋体"/>
              </w:rPr>
            </w:pPr>
            <w:r>
              <w:rPr>
                <w:shd w:val="clear" w:color="auto" w:fill="FFFFFF"/>
              </w:rPr>
              <w:t>3</w:t>
            </w:r>
          </w:p>
        </w:tc>
        <w:tc>
          <w:tcPr>
            <w:tcW w:w="9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0EE052">
            <w:pPr>
              <w:rPr>
                <w:b/>
              </w:rPr>
            </w:pPr>
            <w:r>
              <w:rPr>
                <w:rFonts w:hint="eastAsia"/>
                <w:shd w:val="clear" w:color="auto" w:fill="FFFFFF"/>
              </w:rPr>
              <w:t>一项不符扣</w:t>
            </w:r>
            <w:r>
              <w:rPr>
                <w:shd w:val="clear" w:color="auto" w:fill="FFFFFF"/>
              </w:rPr>
              <w:t>3</w:t>
            </w:r>
            <w:r>
              <w:rPr>
                <w:rFonts w:hint="eastAsia"/>
                <w:shd w:val="clear" w:color="auto" w:fill="FFFFFF"/>
              </w:rPr>
              <w:t>分</w:t>
            </w:r>
          </w:p>
        </w:tc>
        <w:tc>
          <w:tcPr>
            <w:tcW w:w="53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C06D26"/>
        </w:tc>
      </w:tr>
      <w:tr w14:paraId="3EEAA02D">
        <w:tblPrEx>
          <w:tblCellMar>
            <w:top w:w="0" w:type="dxa"/>
            <w:left w:w="0" w:type="dxa"/>
            <w:bottom w:w="0" w:type="dxa"/>
            <w:right w:w="0" w:type="dxa"/>
          </w:tblCellMar>
        </w:tblPrEx>
        <w:trPr>
          <w:trHeight w:val="314" w:hRule="atLeast"/>
          <w:jc w:val="center"/>
        </w:trPr>
        <w:tc>
          <w:tcPr>
            <w:tcW w:w="647" w:type="pct"/>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20C4AC16">
            <w:r>
              <w:rPr>
                <w:rFonts w:hint="eastAsia"/>
                <w:kern w:val="0"/>
              </w:rPr>
              <w:t>服务规范</w:t>
            </w:r>
          </w:p>
          <w:p w14:paraId="340A98EB">
            <w:pPr>
              <w:rPr>
                <w:rFonts w:cs="宋体"/>
              </w:rPr>
            </w:pPr>
            <w:r>
              <w:rPr>
                <w:shd w:val="clear" w:color="auto" w:fill="FFFFFF"/>
              </w:rPr>
              <w:t>（</w:t>
            </w:r>
            <w:r>
              <w:rPr>
                <w:rFonts w:hint="eastAsia"/>
                <w:shd w:val="clear" w:color="auto" w:fill="FFFFFF"/>
              </w:rPr>
              <w:t>14</w:t>
            </w:r>
            <w:r>
              <w:rPr>
                <w:shd w:val="clear" w:color="auto" w:fill="FFFFFF"/>
              </w:rPr>
              <w:t>分）</w:t>
            </w:r>
          </w:p>
        </w:tc>
        <w:tc>
          <w:tcPr>
            <w:tcW w:w="245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159937D4">
            <w:pPr>
              <w:rPr>
                <w:shd w:val="clear" w:color="auto" w:fill="FFFFFF"/>
              </w:rPr>
            </w:pPr>
            <w:r>
              <w:rPr>
                <w:shd w:val="clear" w:color="auto" w:fill="FFFFFF"/>
              </w:rPr>
              <w:t>执行首问负责制，与患者沟通应语速适中，给患者亲和感。</w:t>
            </w:r>
          </w:p>
        </w:tc>
        <w:tc>
          <w:tcPr>
            <w:tcW w:w="43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FF8C4B">
            <w:pPr>
              <w:jc w:val="center"/>
              <w:rPr>
                <w:shd w:val="clear" w:color="auto" w:fill="FFFFFF"/>
              </w:rPr>
            </w:pPr>
            <w:r>
              <w:rPr>
                <w:shd w:val="clear" w:color="auto" w:fill="FFFFFF"/>
              </w:rPr>
              <w:t>2</w:t>
            </w:r>
          </w:p>
        </w:tc>
        <w:tc>
          <w:tcPr>
            <w:tcW w:w="9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B5EFA4">
            <w:pPr>
              <w:rPr>
                <w:shd w:val="clear" w:color="auto" w:fill="FFFFFF"/>
              </w:rPr>
            </w:pPr>
            <w:r>
              <w:rPr>
                <w:rFonts w:hint="eastAsia"/>
                <w:shd w:val="clear" w:color="auto" w:fill="FFFFFF"/>
              </w:rPr>
              <w:t>一项不符扣2分</w:t>
            </w:r>
          </w:p>
        </w:tc>
        <w:tc>
          <w:tcPr>
            <w:tcW w:w="53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B72A9C"/>
        </w:tc>
      </w:tr>
      <w:tr w14:paraId="4487EA8F">
        <w:tblPrEx>
          <w:tblCellMar>
            <w:top w:w="0" w:type="dxa"/>
            <w:left w:w="0" w:type="dxa"/>
            <w:bottom w:w="0" w:type="dxa"/>
            <w:right w:w="0" w:type="dxa"/>
          </w:tblCellMar>
        </w:tblPrEx>
        <w:trPr>
          <w:trHeight w:val="177" w:hRule="atLeast"/>
          <w:jc w:val="center"/>
        </w:trPr>
        <w:tc>
          <w:tcPr>
            <w:tcW w:w="647" w:type="pct"/>
            <w:vMerge w:val="continue"/>
            <w:tcBorders>
              <w:left w:val="single" w:color="000000" w:sz="4" w:space="0"/>
              <w:right w:val="single" w:color="000000" w:sz="4" w:space="0"/>
            </w:tcBorders>
            <w:tcMar>
              <w:top w:w="15" w:type="dxa"/>
              <w:left w:w="15" w:type="dxa"/>
              <w:right w:w="15" w:type="dxa"/>
            </w:tcMar>
            <w:vAlign w:val="center"/>
          </w:tcPr>
          <w:p w14:paraId="4A0FC1B4">
            <w:pPr>
              <w:rPr>
                <w:shd w:val="clear" w:color="auto" w:fill="FFFFFF"/>
              </w:rPr>
            </w:pPr>
          </w:p>
        </w:tc>
        <w:tc>
          <w:tcPr>
            <w:tcW w:w="245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86EAAF">
            <w:pPr>
              <w:rPr>
                <w:shd w:val="clear" w:color="auto" w:fill="FFFFFF"/>
              </w:rPr>
            </w:pPr>
            <w:r>
              <w:rPr>
                <w:shd w:val="clear" w:color="auto" w:fill="FFFFFF"/>
              </w:rPr>
              <w:t>使用文明、规范性服务语言</w:t>
            </w:r>
            <w:r>
              <w:rPr>
                <w:rFonts w:hint="eastAsia"/>
                <w:shd w:val="clear" w:color="auto" w:fill="FFFFFF"/>
              </w:rPr>
              <w:t>；</w:t>
            </w:r>
            <w:r>
              <w:rPr>
                <w:shd w:val="clear" w:color="auto" w:fill="FFFFFF"/>
              </w:rPr>
              <w:t>不得使用服务禁语。</w:t>
            </w:r>
          </w:p>
        </w:tc>
        <w:tc>
          <w:tcPr>
            <w:tcW w:w="43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E622AD">
            <w:pPr>
              <w:jc w:val="center"/>
              <w:rPr>
                <w:shd w:val="clear" w:color="auto" w:fill="FFFFFF"/>
              </w:rPr>
            </w:pPr>
            <w:r>
              <w:rPr>
                <w:shd w:val="clear" w:color="auto" w:fill="FFFFFF"/>
              </w:rPr>
              <w:t>4</w:t>
            </w:r>
          </w:p>
        </w:tc>
        <w:tc>
          <w:tcPr>
            <w:tcW w:w="9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CD1E4A">
            <w:pPr>
              <w:rPr>
                <w:shd w:val="clear" w:color="auto" w:fill="FFFFFF"/>
              </w:rPr>
            </w:pPr>
            <w:r>
              <w:rPr>
                <w:rFonts w:hint="eastAsia"/>
                <w:shd w:val="clear" w:color="auto" w:fill="FFFFFF"/>
              </w:rPr>
              <w:t>一项不符扣2分</w:t>
            </w:r>
          </w:p>
        </w:tc>
        <w:tc>
          <w:tcPr>
            <w:tcW w:w="53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0FD5BF"/>
        </w:tc>
      </w:tr>
      <w:tr w14:paraId="26341995">
        <w:tblPrEx>
          <w:tblCellMar>
            <w:top w:w="0" w:type="dxa"/>
            <w:left w:w="0" w:type="dxa"/>
            <w:bottom w:w="0" w:type="dxa"/>
            <w:right w:w="0" w:type="dxa"/>
          </w:tblCellMar>
        </w:tblPrEx>
        <w:trPr>
          <w:trHeight w:val="314" w:hRule="atLeast"/>
          <w:jc w:val="center"/>
        </w:trPr>
        <w:tc>
          <w:tcPr>
            <w:tcW w:w="647" w:type="pct"/>
            <w:vMerge w:val="continue"/>
            <w:tcBorders>
              <w:left w:val="single" w:color="000000" w:sz="4" w:space="0"/>
              <w:right w:val="single" w:color="000000" w:sz="4" w:space="0"/>
            </w:tcBorders>
            <w:tcMar>
              <w:top w:w="15" w:type="dxa"/>
              <w:left w:w="15" w:type="dxa"/>
              <w:right w:w="15" w:type="dxa"/>
            </w:tcMar>
            <w:vAlign w:val="center"/>
          </w:tcPr>
          <w:p w14:paraId="2D3E588D">
            <w:pPr>
              <w:rPr>
                <w:shd w:val="clear" w:color="auto" w:fill="FFFFFF"/>
              </w:rPr>
            </w:pPr>
          </w:p>
        </w:tc>
        <w:tc>
          <w:tcPr>
            <w:tcW w:w="245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4BD7E294">
            <w:pPr>
              <w:rPr>
                <w:shd w:val="clear" w:color="auto" w:fill="FFFFFF"/>
              </w:rPr>
            </w:pPr>
            <w:r>
              <w:rPr>
                <w:shd w:val="clear" w:color="auto" w:fill="FFFFFF"/>
              </w:rPr>
              <w:t>接待患者咨询，应礼貌热情，有问必答</w:t>
            </w:r>
            <w:r>
              <w:rPr>
                <w:rFonts w:hint="eastAsia"/>
                <w:shd w:val="clear" w:color="auto" w:fill="FFFFFF"/>
              </w:rPr>
              <w:t>；</w:t>
            </w:r>
            <w:r>
              <w:rPr>
                <w:shd w:val="clear" w:color="auto" w:fill="FFFFFF"/>
              </w:rPr>
              <w:t>患者出现误解时</w:t>
            </w:r>
            <w:r>
              <w:rPr>
                <w:rFonts w:hint="eastAsia"/>
                <w:shd w:val="clear" w:color="auto" w:fill="FFFFFF"/>
              </w:rPr>
              <w:t>，</w:t>
            </w:r>
            <w:r>
              <w:rPr>
                <w:shd w:val="clear" w:color="auto" w:fill="FFFFFF"/>
              </w:rPr>
              <w:t>耐心解释，及时汇报诊区老师，禁止争吵。</w:t>
            </w:r>
          </w:p>
        </w:tc>
        <w:tc>
          <w:tcPr>
            <w:tcW w:w="43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1C1AF0">
            <w:pPr>
              <w:jc w:val="center"/>
              <w:rPr>
                <w:shd w:val="clear" w:color="auto" w:fill="FFFFFF"/>
              </w:rPr>
            </w:pPr>
            <w:r>
              <w:rPr>
                <w:shd w:val="clear" w:color="auto" w:fill="FFFFFF"/>
              </w:rPr>
              <w:t>4</w:t>
            </w:r>
          </w:p>
        </w:tc>
        <w:tc>
          <w:tcPr>
            <w:tcW w:w="9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42347E">
            <w:pPr>
              <w:rPr>
                <w:shd w:val="clear" w:color="auto" w:fill="FFFFFF"/>
              </w:rPr>
            </w:pPr>
            <w:r>
              <w:rPr>
                <w:rFonts w:hint="eastAsia"/>
                <w:shd w:val="clear" w:color="auto" w:fill="FFFFFF"/>
              </w:rPr>
              <w:t>一项不符扣</w:t>
            </w:r>
            <w:r>
              <w:rPr>
                <w:shd w:val="clear" w:color="auto" w:fill="FFFFFF"/>
              </w:rPr>
              <w:t>2</w:t>
            </w:r>
            <w:r>
              <w:rPr>
                <w:rFonts w:hint="eastAsia"/>
                <w:shd w:val="clear" w:color="auto" w:fill="FFFFFF"/>
              </w:rPr>
              <w:t>分</w:t>
            </w:r>
          </w:p>
        </w:tc>
        <w:tc>
          <w:tcPr>
            <w:tcW w:w="53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E48E4E"/>
        </w:tc>
      </w:tr>
      <w:tr w14:paraId="054DAF0D">
        <w:tblPrEx>
          <w:tblCellMar>
            <w:top w:w="0" w:type="dxa"/>
            <w:left w:w="0" w:type="dxa"/>
            <w:bottom w:w="0" w:type="dxa"/>
            <w:right w:w="0" w:type="dxa"/>
          </w:tblCellMar>
        </w:tblPrEx>
        <w:trPr>
          <w:trHeight w:val="314" w:hRule="atLeast"/>
          <w:jc w:val="center"/>
        </w:trPr>
        <w:tc>
          <w:tcPr>
            <w:tcW w:w="647" w:type="pct"/>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37C63B67">
            <w:pPr>
              <w:rPr>
                <w:shd w:val="clear" w:color="auto" w:fill="FFFFFF"/>
              </w:rPr>
            </w:pPr>
          </w:p>
        </w:tc>
        <w:tc>
          <w:tcPr>
            <w:tcW w:w="245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E1A2D4">
            <w:pPr>
              <w:rPr>
                <w:shd w:val="clear" w:color="auto" w:fill="FFFFFF"/>
              </w:rPr>
            </w:pPr>
            <w:r>
              <w:rPr>
                <w:shd w:val="clear" w:color="auto" w:fill="FFFFFF"/>
              </w:rPr>
              <w:t>为患者指引时，</w:t>
            </w:r>
            <w:r>
              <w:rPr>
                <w:rFonts w:hint="eastAsia"/>
                <w:shd w:val="clear" w:color="auto" w:fill="FFFFFF"/>
              </w:rPr>
              <w:t>使用规范引导，清晰易懂、引导正确。</w:t>
            </w:r>
          </w:p>
        </w:tc>
        <w:tc>
          <w:tcPr>
            <w:tcW w:w="43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3072A3">
            <w:pPr>
              <w:jc w:val="center"/>
              <w:rPr>
                <w:shd w:val="clear" w:color="auto" w:fill="FFFFFF"/>
              </w:rPr>
            </w:pPr>
            <w:r>
              <w:rPr>
                <w:shd w:val="clear" w:color="auto" w:fill="FFFFFF"/>
              </w:rPr>
              <w:t>4</w:t>
            </w:r>
          </w:p>
        </w:tc>
        <w:tc>
          <w:tcPr>
            <w:tcW w:w="9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AAA5F7">
            <w:pPr>
              <w:rPr>
                <w:shd w:val="clear" w:color="auto" w:fill="FFFFFF"/>
              </w:rPr>
            </w:pPr>
            <w:r>
              <w:rPr>
                <w:rFonts w:hint="eastAsia"/>
                <w:shd w:val="clear" w:color="auto" w:fill="FFFFFF"/>
              </w:rPr>
              <w:t>一项不符扣</w:t>
            </w:r>
            <w:r>
              <w:rPr>
                <w:shd w:val="clear" w:color="auto" w:fill="FFFFFF"/>
              </w:rPr>
              <w:t>4</w:t>
            </w:r>
            <w:r>
              <w:rPr>
                <w:rFonts w:hint="eastAsia"/>
                <w:shd w:val="clear" w:color="auto" w:fill="FFFFFF"/>
              </w:rPr>
              <w:t>分</w:t>
            </w:r>
          </w:p>
        </w:tc>
        <w:tc>
          <w:tcPr>
            <w:tcW w:w="53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ADCAE5"/>
        </w:tc>
      </w:tr>
      <w:tr w14:paraId="79407615">
        <w:tblPrEx>
          <w:tblCellMar>
            <w:top w:w="0" w:type="dxa"/>
            <w:left w:w="0" w:type="dxa"/>
            <w:bottom w:w="0" w:type="dxa"/>
            <w:right w:w="0" w:type="dxa"/>
          </w:tblCellMar>
        </w:tblPrEx>
        <w:trPr>
          <w:trHeight w:val="314" w:hRule="atLeast"/>
          <w:jc w:val="center"/>
        </w:trPr>
        <w:tc>
          <w:tcPr>
            <w:tcW w:w="647" w:type="pct"/>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4142F1">
            <w:r>
              <w:rPr>
                <w:rFonts w:hint="eastAsia"/>
                <w:kern w:val="0"/>
              </w:rPr>
              <w:t>工作纪律</w:t>
            </w:r>
          </w:p>
          <w:p w14:paraId="32B1DA63">
            <w:pPr>
              <w:rPr>
                <w:bCs/>
                <w:shd w:val="clear" w:color="auto" w:fill="FFFFFF"/>
              </w:rPr>
            </w:pPr>
            <w:r>
              <w:rPr>
                <w:rFonts w:hint="eastAsia"/>
                <w:kern w:val="0"/>
              </w:rPr>
              <w:t>（</w:t>
            </w:r>
            <w:r>
              <w:rPr>
                <w:kern w:val="0"/>
              </w:rPr>
              <w:t>1</w:t>
            </w:r>
            <w:r>
              <w:rPr>
                <w:rFonts w:hint="eastAsia"/>
                <w:kern w:val="0"/>
              </w:rPr>
              <w:t>7分）</w:t>
            </w:r>
          </w:p>
        </w:tc>
        <w:tc>
          <w:tcPr>
            <w:tcW w:w="245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6C13E2B3">
            <w:pPr>
              <w:rPr>
                <w:shd w:val="clear" w:color="auto" w:fill="FFFFFF"/>
              </w:rPr>
            </w:pPr>
            <w:r>
              <w:rPr>
                <w:shd w:val="clear" w:color="auto" w:fill="FFFFFF"/>
              </w:rPr>
              <w:t>按时上下班，不得无故迟到、早退、旷工或中途擅自离开工作岗位</w:t>
            </w:r>
            <w:r>
              <w:rPr>
                <w:rFonts w:hint="eastAsia"/>
                <w:shd w:val="clear" w:color="auto" w:fill="FFFFFF"/>
              </w:rPr>
              <w:t>；</w:t>
            </w:r>
            <w:r>
              <w:rPr>
                <w:shd w:val="clear" w:color="auto" w:fill="FFFFFF"/>
              </w:rPr>
              <w:t>严格请假制度，特殊情况提前报备。</w:t>
            </w:r>
          </w:p>
        </w:tc>
        <w:tc>
          <w:tcPr>
            <w:tcW w:w="43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ECEBF5">
            <w:pPr>
              <w:jc w:val="center"/>
              <w:rPr>
                <w:shd w:val="clear" w:color="auto" w:fill="FFFFFF"/>
              </w:rPr>
            </w:pPr>
            <w:r>
              <w:rPr>
                <w:shd w:val="clear" w:color="auto" w:fill="FFFFFF"/>
              </w:rPr>
              <w:t>6</w:t>
            </w:r>
          </w:p>
        </w:tc>
        <w:tc>
          <w:tcPr>
            <w:tcW w:w="9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24E475">
            <w:pPr>
              <w:rPr>
                <w:shd w:val="clear" w:color="auto" w:fill="FFFFFF"/>
              </w:rPr>
            </w:pPr>
            <w:r>
              <w:rPr>
                <w:rFonts w:hint="eastAsia"/>
                <w:shd w:val="clear" w:color="auto" w:fill="FFFFFF"/>
              </w:rPr>
              <w:t>一项不符扣3分</w:t>
            </w:r>
          </w:p>
        </w:tc>
        <w:tc>
          <w:tcPr>
            <w:tcW w:w="53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5D16CC"/>
        </w:tc>
      </w:tr>
      <w:tr w14:paraId="6B9369FF">
        <w:tblPrEx>
          <w:tblCellMar>
            <w:top w:w="0" w:type="dxa"/>
            <w:left w:w="0" w:type="dxa"/>
            <w:bottom w:w="0" w:type="dxa"/>
            <w:right w:w="0" w:type="dxa"/>
          </w:tblCellMar>
        </w:tblPrEx>
        <w:trPr>
          <w:trHeight w:val="314" w:hRule="atLeast"/>
          <w:jc w:val="center"/>
        </w:trPr>
        <w:tc>
          <w:tcPr>
            <w:tcW w:w="647"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FF0C00">
            <w:pPr>
              <w:rPr>
                <w:shd w:val="clear" w:color="auto" w:fill="FFFFFF"/>
              </w:rPr>
            </w:pPr>
          </w:p>
        </w:tc>
        <w:tc>
          <w:tcPr>
            <w:tcW w:w="245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7C25F5">
            <w:pPr>
              <w:rPr>
                <w:shd w:val="clear" w:color="auto" w:fill="FFFFFF"/>
              </w:rPr>
            </w:pPr>
            <w:r>
              <w:rPr>
                <w:rFonts w:hint="eastAsia"/>
                <w:shd w:val="clear" w:color="auto" w:fill="FFFFFF"/>
              </w:rPr>
              <w:t>①按规定参加组织的培训，如有特殊情况需提前报备。</w:t>
            </w:r>
            <w:r>
              <w:rPr>
                <w:rFonts w:hint="eastAsia" w:cs="宋体"/>
                <w:shd w:val="clear" w:color="auto" w:fill="FFFFFF"/>
              </w:rPr>
              <w:t>②</w:t>
            </w:r>
            <w:r>
              <w:rPr>
                <w:rFonts w:hint="eastAsia"/>
                <w:shd w:val="clear" w:color="auto" w:fill="FFFFFF"/>
              </w:rPr>
              <w:t>按规定参加组织的考核，如考核不合格需参加补考，如有特殊情况需提前报备。</w:t>
            </w:r>
          </w:p>
        </w:tc>
        <w:tc>
          <w:tcPr>
            <w:tcW w:w="43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C8E632">
            <w:pPr>
              <w:jc w:val="center"/>
              <w:rPr>
                <w:shd w:val="clear" w:color="auto" w:fill="FFFFFF"/>
              </w:rPr>
            </w:pPr>
            <w:r>
              <w:rPr>
                <w:shd w:val="clear" w:color="auto" w:fill="FFFFFF"/>
              </w:rPr>
              <w:t>6</w:t>
            </w:r>
          </w:p>
        </w:tc>
        <w:tc>
          <w:tcPr>
            <w:tcW w:w="9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33DCDD">
            <w:pPr>
              <w:rPr>
                <w:shd w:val="clear" w:color="auto" w:fill="FFFFFF"/>
              </w:rPr>
            </w:pPr>
            <w:r>
              <w:rPr>
                <w:rFonts w:hint="eastAsia"/>
                <w:shd w:val="clear" w:color="auto" w:fill="FFFFFF"/>
              </w:rPr>
              <w:t>一项不符扣3分</w:t>
            </w:r>
          </w:p>
        </w:tc>
        <w:tc>
          <w:tcPr>
            <w:tcW w:w="53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ACD5CF"/>
        </w:tc>
      </w:tr>
      <w:tr w14:paraId="1AD9D9FF">
        <w:tblPrEx>
          <w:tblCellMar>
            <w:top w:w="0" w:type="dxa"/>
            <w:left w:w="0" w:type="dxa"/>
            <w:bottom w:w="0" w:type="dxa"/>
            <w:right w:w="0" w:type="dxa"/>
          </w:tblCellMar>
        </w:tblPrEx>
        <w:trPr>
          <w:trHeight w:val="314" w:hRule="atLeast"/>
          <w:jc w:val="center"/>
        </w:trPr>
        <w:tc>
          <w:tcPr>
            <w:tcW w:w="647"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5648F6">
            <w:pPr>
              <w:rPr>
                <w:shd w:val="clear" w:color="auto" w:fill="FFFFFF"/>
              </w:rPr>
            </w:pPr>
          </w:p>
        </w:tc>
        <w:tc>
          <w:tcPr>
            <w:tcW w:w="245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3639B971">
            <w:pPr>
              <w:rPr>
                <w:shd w:val="clear" w:color="auto" w:fill="FFFFFF"/>
              </w:rPr>
            </w:pPr>
            <w:r>
              <w:rPr>
                <w:shd w:val="clear" w:color="auto" w:fill="FFFFFF"/>
              </w:rPr>
              <w:t>在岗期间不准玩手机、聚堆聊天、串岗聊天等做与工作无关的事情</w:t>
            </w:r>
            <w:r>
              <w:rPr>
                <w:rFonts w:eastAsia="方正小标宋简体"/>
                <w:shd w:val="clear" w:color="auto" w:fill="FFFFFF"/>
              </w:rPr>
              <w:t>。</w:t>
            </w:r>
          </w:p>
        </w:tc>
        <w:tc>
          <w:tcPr>
            <w:tcW w:w="43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8C071B">
            <w:pPr>
              <w:jc w:val="center"/>
              <w:rPr>
                <w:shd w:val="clear" w:color="auto" w:fill="FFFFFF"/>
              </w:rPr>
            </w:pPr>
            <w:r>
              <w:rPr>
                <w:shd w:val="clear" w:color="auto" w:fill="FFFFFF"/>
              </w:rPr>
              <w:t>3</w:t>
            </w:r>
          </w:p>
        </w:tc>
        <w:tc>
          <w:tcPr>
            <w:tcW w:w="9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F97598">
            <w:pPr>
              <w:rPr>
                <w:shd w:val="clear" w:color="auto" w:fill="FFFFFF"/>
              </w:rPr>
            </w:pPr>
            <w:r>
              <w:rPr>
                <w:rFonts w:hint="eastAsia"/>
                <w:shd w:val="clear" w:color="auto" w:fill="FFFFFF"/>
              </w:rPr>
              <w:t>一项不符扣3分</w:t>
            </w:r>
          </w:p>
        </w:tc>
        <w:tc>
          <w:tcPr>
            <w:tcW w:w="53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211972"/>
        </w:tc>
      </w:tr>
      <w:tr w14:paraId="46A2CB5A">
        <w:tblPrEx>
          <w:tblCellMar>
            <w:top w:w="0" w:type="dxa"/>
            <w:left w:w="0" w:type="dxa"/>
            <w:bottom w:w="0" w:type="dxa"/>
            <w:right w:w="0" w:type="dxa"/>
          </w:tblCellMar>
        </w:tblPrEx>
        <w:trPr>
          <w:trHeight w:val="667" w:hRule="atLeast"/>
          <w:jc w:val="center"/>
        </w:trPr>
        <w:tc>
          <w:tcPr>
            <w:tcW w:w="647"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8CCC3A">
            <w:pPr>
              <w:rPr>
                <w:shd w:val="clear" w:color="auto" w:fill="FFFFFF"/>
              </w:rPr>
            </w:pPr>
          </w:p>
        </w:tc>
        <w:tc>
          <w:tcPr>
            <w:tcW w:w="245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5E839693">
            <w:pPr>
              <w:rPr>
                <w:shd w:val="clear" w:color="auto" w:fill="FFFFFF"/>
              </w:rPr>
            </w:pPr>
            <w:r>
              <w:rPr>
                <w:rFonts w:hint="eastAsia"/>
                <w:shd w:val="clear" w:color="auto" w:fill="FFFFFF"/>
              </w:rPr>
              <w:t>准时参加部门和科室培训，不可以无故缺席，有特殊情况需提前报备</w:t>
            </w:r>
            <w:r>
              <w:rPr>
                <w:rFonts w:hint="eastAsia" w:ascii="方正小标宋简体" w:eastAsia="方正小标宋简体"/>
                <w:shd w:val="clear" w:color="auto" w:fill="FFFFFF"/>
              </w:rPr>
              <w:t>。</w:t>
            </w:r>
          </w:p>
        </w:tc>
        <w:tc>
          <w:tcPr>
            <w:tcW w:w="43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346682">
            <w:pPr>
              <w:jc w:val="center"/>
              <w:rPr>
                <w:shd w:val="clear" w:color="auto" w:fill="FFFFFF"/>
              </w:rPr>
            </w:pPr>
            <w:r>
              <w:rPr>
                <w:shd w:val="clear" w:color="auto" w:fill="FFFFFF"/>
              </w:rPr>
              <w:t>2</w:t>
            </w:r>
          </w:p>
        </w:tc>
        <w:tc>
          <w:tcPr>
            <w:tcW w:w="9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4D72A6">
            <w:pPr>
              <w:rPr>
                <w:shd w:val="clear" w:color="auto" w:fill="FFFFFF"/>
              </w:rPr>
            </w:pPr>
            <w:r>
              <w:rPr>
                <w:rFonts w:hint="eastAsia"/>
                <w:shd w:val="clear" w:color="auto" w:fill="FFFFFF"/>
              </w:rPr>
              <w:t>一项不符扣2分</w:t>
            </w:r>
          </w:p>
        </w:tc>
        <w:tc>
          <w:tcPr>
            <w:tcW w:w="53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343A06"/>
        </w:tc>
      </w:tr>
      <w:tr w14:paraId="1E7424DD">
        <w:tblPrEx>
          <w:tblCellMar>
            <w:top w:w="0" w:type="dxa"/>
            <w:left w:w="0" w:type="dxa"/>
            <w:bottom w:w="0" w:type="dxa"/>
            <w:right w:w="0" w:type="dxa"/>
          </w:tblCellMar>
        </w:tblPrEx>
        <w:trPr>
          <w:trHeight w:val="314" w:hRule="atLeast"/>
          <w:jc w:val="center"/>
        </w:trPr>
        <w:tc>
          <w:tcPr>
            <w:tcW w:w="647" w:type="pct"/>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6006FF">
            <w:pPr>
              <w:rPr>
                <w:shd w:val="clear" w:color="auto" w:fill="FFFFFF"/>
              </w:rPr>
            </w:pPr>
            <w:r>
              <w:rPr>
                <w:shd w:val="clear" w:color="auto" w:fill="FFFFFF"/>
              </w:rPr>
              <w:t>岗位履职</w:t>
            </w:r>
          </w:p>
          <w:p w14:paraId="74F95387">
            <w:pPr>
              <w:rPr>
                <w:shd w:val="clear" w:color="auto" w:fill="FFFFFF"/>
              </w:rPr>
            </w:pPr>
            <w:r>
              <w:rPr>
                <w:shd w:val="clear" w:color="auto" w:fill="FFFFFF"/>
              </w:rPr>
              <w:t>（32分）</w:t>
            </w:r>
          </w:p>
        </w:tc>
        <w:tc>
          <w:tcPr>
            <w:tcW w:w="245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065BA7">
            <w:pPr>
              <w:rPr>
                <w:shd w:val="clear" w:color="auto" w:fill="FFFFFF"/>
              </w:rPr>
            </w:pPr>
            <w:r>
              <w:t>做好开诊前的准备工作，做好便民服务台和健康角的卫生工作。</w:t>
            </w:r>
          </w:p>
        </w:tc>
        <w:tc>
          <w:tcPr>
            <w:tcW w:w="43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F6E804">
            <w:pPr>
              <w:jc w:val="center"/>
              <w:rPr>
                <w:shd w:val="clear" w:color="auto" w:fill="FFFFFF"/>
              </w:rPr>
            </w:pPr>
            <w:r>
              <w:rPr>
                <w:shd w:val="clear" w:color="auto" w:fill="FFFFFF"/>
              </w:rPr>
              <w:t>3</w:t>
            </w:r>
          </w:p>
        </w:tc>
        <w:tc>
          <w:tcPr>
            <w:tcW w:w="9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2D2FACD5">
            <w:pPr>
              <w:rPr>
                <w:shd w:val="clear" w:color="auto" w:fill="FFFFFF"/>
              </w:rPr>
            </w:pPr>
            <w:r>
              <w:rPr>
                <w:rFonts w:hint="eastAsia"/>
                <w:shd w:val="clear" w:color="auto" w:fill="FFFFFF"/>
              </w:rPr>
              <w:t>一项不符扣3分。</w:t>
            </w:r>
          </w:p>
        </w:tc>
        <w:tc>
          <w:tcPr>
            <w:tcW w:w="53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0636E1"/>
        </w:tc>
      </w:tr>
      <w:tr w14:paraId="7320AE9D">
        <w:tblPrEx>
          <w:tblCellMar>
            <w:top w:w="0" w:type="dxa"/>
            <w:left w:w="0" w:type="dxa"/>
            <w:bottom w:w="0" w:type="dxa"/>
            <w:right w:w="0" w:type="dxa"/>
          </w:tblCellMar>
        </w:tblPrEx>
        <w:trPr>
          <w:trHeight w:val="510" w:hRule="atLeast"/>
          <w:jc w:val="center"/>
        </w:trPr>
        <w:tc>
          <w:tcPr>
            <w:tcW w:w="647"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B704EE">
            <w:pPr>
              <w:rPr>
                <w:shd w:val="clear" w:color="auto" w:fill="FFFFFF"/>
              </w:rPr>
            </w:pPr>
          </w:p>
        </w:tc>
        <w:tc>
          <w:tcPr>
            <w:tcW w:w="245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4505B6">
            <w:pPr>
              <w:rPr>
                <w:shd w:val="clear" w:color="auto" w:fill="FFFFFF"/>
              </w:rPr>
            </w:pPr>
            <w:r>
              <w:t>负责导诊</w:t>
            </w:r>
            <w:r>
              <w:rPr>
                <w:rFonts w:hint="eastAsia"/>
              </w:rPr>
              <w:t>、</w:t>
            </w:r>
            <w:r>
              <w:t>门诊预约，各种地点的指引工作。</w:t>
            </w:r>
          </w:p>
        </w:tc>
        <w:tc>
          <w:tcPr>
            <w:tcW w:w="43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F8FC80">
            <w:pPr>
              <w:jc w:val="center"/>
              <w:rPr>
                <w:shd w:val="clear" w:color="auto" w:fill="FFFFFF"/>
              </w:rPr>
            </w:pPr>
            <w:r>
              <w:rPr>
                <w:shd w:val="clear" w:color="auto" w:fill="FFFFFF"/>
              </w:rPr>
              <w:t>3</w:t>
            </w:r>
          </w:p>
        </w:tc>
        <w:tc>
          <w:tcPr>
            <w:tcW w:w="9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24FB64C3">
            <w:pPr>
              <w:rPr>
                <w:shd w:val="clear" w:color="auto" w:fill="FFFFFF"/>
              </w:rPr>
            </w:pPr>
            <w:r>
              <w:rPr>
                <w:rFonts w:hint="eastAsia"/>
                <w:shd w:val="clear" w:color="auto" w:fill="FFFFFF"/>
              </w:rPr>
              <w:t>一项不符扣3分。</w:t>
            </w:r>
          </w:p>
        </w:tc>
        <w:tc>
          <w:tcPr>
            <w:tcW w:w="53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555166"/>
        </w:tc>
      </w:tr>
      <w:tr w14:paraId="3C1FE4F0">
        <w:tblPrEx>
          <w:tblCellMar>
            <w:top w:w="0" w:type="dxa"/>
            <w:left w:w="0" w:type="dxa"/>
            <w:bottom w:w="0" w:type="dxa"/>
            <w:right w:w="0" w:type="dxa"/>
          </w:tblCellMar>
        </w:tblPrEx>
        <w:trPr>
          <w:trHeight w:val="314" w:hRule="atLeast"/>
          <w:jc w:val="center"/>
        </w:trPr>
        <w:tc>
          <w:tcPr>
            <w:tcW w:w="647"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D7A0D7">
            <w:pPr>
              <w:rPr>
                <w:shd w:val="clear" w:color="auto" w:fill="FFFFFF"/>
              </w:rPr>
            </w:pPr>
          </w:p>
        </w:tc>
        <w:tc>
          <w:tcPr>
            <w:tcW w:w="245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422FD9">
            <w:pPr>
              <w:rPr>
                <w:shd w:val="clear" w:color="auto" w:fill="FFFFFF"/>
              </w:rPr>
            </w:pPr>
            <w:r>
              <w:t>留意公共区域人流动态，维持就诊秩序，人过多时注意疏导安排。</w:t>
            </w:r>
          </w:p>
        </w:tc>
        <w:tc>
          <w:tcPr>
            <w:tcW w:w="43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326636">
            <w:pPr>
              <w:jc w:val="center"/>
              <w:rPr>
                <w:shd w:val="clear" w:color="auto" w:fill="FFFFFF"/>
              </w:rPr>
            </w:pPr>
            <w:r>
              <w:rPr>
                <w:shd w:val="clear" w:color="auto" w:fill="FFFFFF"/>
              </w:rPr>
              <w:t>3</w:t>
            </w:r>
          </w:p>
        </w:tc>
        <w:tc>
          <w:tcPr>
            <w:tcW w:w="9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3C87D8F2">
            <w:pPr>
              <w:rPr>
                <w:shd w:val="clear" w:color="auto" w:fill="FFFFFF"/>
              </w:rPr>
            </w:pPr>
            <w:r>
              <w:rPr>
                <w:rFonts w:hint="eastAsia"/>
                <w:shd w:val="clear" w:color="auto" w:fill="FFFFFF"/>
              </w:rPr>
              <w:t>一项不符扣3分。</w:t>
            </w:r>
          </w:p>
        </w:tc>
        <w:tc>
          <w:tcPr>
            <w:tcW w:w="53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9A7FA6"/>
        </w:tc>
      </w:tr>
      <w:tr w14:paraId="4F44C0EC">
        <w:tblPrEx>
          <w:tblCellMar>
            <w:top w:w="0" w:type="dxa"/>
            <w:left w:w="0" w:type="dxa"/>
            <w:bottom w:w="0" w:type="dxa"/>
            <w:right w:w="0" w:type="dxa"/>
          </w:tblCellMar>
        </w:tblPrEx>
        <w:trPr>
          <w:trHeight w:val="314" w:hRule="atLeast"/>
          <w:jc w:val="center"/>
        </w:trPr>
        <w:tc>
          <w:tcPr>
            <w:tcW w:w="647"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9E98AA">
            <w:pPr>
              <w:rPr>
                <w:shd w:val="clear" w:color="auto" w:fill="FFFFFF"/>
              </w:rPr>
            </w:pPr>
          </w:p>
        </w:tc>
        <w:tc>
          <w:tcPr>
            <w:tcW w:w="245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53848E">
            <w:pPr>
              <w:rPr>
                <w:shd w:val="clear" w:color="auto" w:fill="FFFFFF"/>
              </w:rPr>
            </w:pPr>
            <w:r>
              <w:t>接受各类咨询：医院科室布局、检查治疗流程咨询、互联网医院预约咨询。</w:t>
            </w:r>
          </w:p>
        </w:tc>
        <w:tc>
          <w:tcPr>
            <w:tcW w:w="43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110A69">
            <w:pPr>
              <w:jc w:val="center"/>
              <w:rPr>
                <w:shd w:val="clear" w:color="auto" w:fill="FFFFFF"/>
              </w:rPr>
            </w:pPr>
            <w:r>
              <w:rPr>
                <w:shd w:val="clear" w:color="auto" w:fill="FFFFFF"/>
              </w:rPr>
              <w:t>3</w:t>
            </w:r>
          </w:p>
        </w:tc>
        <w:tc>
          <w:tcPr>
            <w:tcW w:w="9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C93B47">
            <w:pPr>
              <w:rPr>
                <w:shd w:val="clear" w:color="auto" w:fill="FFFFFF"/>
              </w:rPr>
            </w:pPr>
            <w:r>
              <w:rPr>
                <w:rFonts w:hint="eastAsia"/>
                <w:shd w:val="clear" w:color="auto" w:fill="FFFFFF"/>
              </w:rPr>
              <w:t>一项不符扣3分。</w:t>
            </w:r>
          </w:p>
        </w:tc>
        <w:tc>
          <w:tcPr>
            <w:tcW w:w="53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F40A88"/>
        </w:tc>
      </w:tr>
      <w:tr w14:paraId="46671903">
        <w:tblPrEx>
          <w:tblCellMar>
            <w:top w:w="0" w:type="dxa"/>
            <w:left w:w="0" w:type="dxa"/>
            <w:bottom w:w="0" w:type="dxa"/>
            <w:right w:w="0" w:type="dxa"/>
          </w:tblCellMar>
        </w:tblPrEx>
        <w:trPr>
          <w:trHeight w:val="314" w:hRule="atLeast"/>
          <w:jc w:val="center"/>
        </w:trPr>
        <w:tc>
          <w:tcPr>
            <w:tcW w:w="647"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A9FC72">
            <w:pPr>
              <w:rPr>
                <w:shd w:val="clear" w:color="auto" w:fill="FFFFFF"/>
              </w:rPr>
            </w:pPr>
          </w:p>
        </w:tc>
        <w:tc>
          <w:tcPr>
            <w:tcW w:w="245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466BAB">
            <w:pPr>
              <w:rPr>
                <w:shd w:val="clear" w:color="auto" w:fill="FFFFFF"/>
              </w:rPr>
            </w:pPr>
            <w:r>
              <w:t>主动帮助、指导有需要的患者挂号、查询、打印、提供轮椅等。</w:t>
            </w:r>
          </w:p>
        </w:tc>
        <w:tc>
          <w:tcPr>
            <w:tcW w:w="43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9D5930">
            <w:pPr>
              <w:jc w:val="center"/>
              <w:rPr>
                <w:shd w:val="clear" w:color="auto" w:fill="FFFFFF"/>
              </w:rPr>
            </w:pPr>
            <w:r>
              <w:rPr>
                <w:rFonts w:hint="eastAsia"/>
                <w:shd w:val="clear" w:color="auto" w:fill="FFFFFF"/>
              </w:rPr>
              <w:t>6</w:t>
            </w:r>
          </w:p>
        </w:tc>
        <w:tc>
          <w:tcPr>
            <w:tcW w:w="9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7346A6">
            <w:pPr>
              <w:rPr>
                <w:shd w:val="clear" w:color="auto" w:fill="FFFFFF"/>
              </w:rPr>
            </w:pPr>
            <w:r>
              <w:rPr>
                <w:rFonts w:hint="eastAsia"/>
                <w:shd w:val="clear" w:color="auto" w:fill="FFFFFF"/>
              </w:rPr>
              <w:t>一项不符扣6分。</w:t>
            </w:r>
          </w:p>
        </w:tc>
        <w:tc>
          <w:tcPr>
            <w:tcW w:w="53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6A41B2"/>
        </w:tc>
      </w:tr>
      <w:tr w14:paraId="38FCF450">
        <w:tblPrEx>
          <w:tblCellMar>
            <w:top w:w="0" w:type="dxa"/>
            <w:left w:w="0" w:type="dxa"/>
            <w:bottom w:w="0" w:type="dxa"/>
            <w:right w:w="0" w:type="dxa"/>
          </w:tblCellMar>
        </w:tblPrEx>
        <w:trPr>
          <w:trHeight w:val="314" w:hRule="atLeast"/>
          <w:jc w:val="center"/>
        </w:trPr>
        <w:tc>
          <w:tcPr>
            <w:tcW w:w="647"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376FA3">
            <w:pPr>
              <w:rPr>
                <w:shd w:val="clear" w:color="auto" w:fill="FFFFFF"/>
              </w:rPr>
            </w:pPr>
          </w:p>
        </w:tc>
        <w:tc>
          <w:tcPr>
            <w:tcW w:w="245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C2C177">
            <w:pPr>
              <w:rPr>
                <w:shd w:val="clear" w:color="auto" w:fill="FFFFFF"/>
              </w:rPr>
            </w:pPr>
            <w:r>
              <w:rPr>
                <w:rFonts w:hint="eastAsia"/>
              </w:rPr>
              <w:t>维持公共区域就诊秩序，注意观察患者的病情变化，如遇危重病人，及时汇报并配合医护人员做好患者转运。</w:t>
            </w:r>
          </w:p>
        </w:tc>
        <w:tc>
          <w:tcPr>
            <w:tcW w:w="43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84D8CF">
            <w:pPr>
              <w:jc w:val="center"/>
              <w:rPr>
                <w:shd w:val="clear" w:color="auto" w:fill="FFFFFF"/>
              </w:rPr>
            </w:pPr>
            <w:r>
              <w:rPr>
                <w:rFonts w:hint="eastAsia"/>
                <w:shd w:val="clear" w:color="auto" w:fill="FFFFFF"/>
              </w:rPr>
              <w:t>6</w:t>
            </w:r>
          </w:p>
        </w:tc>
        <w:tc>
          <w:tcPr>
            <w:tcW w:w="9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7E4A4D">
            <w:pPr>
              <w:rPr>
                <w:shd w:val="clear" w:color="auto" w:fill="FFFFFF"/>
              </w:rPr>
            </w:pPr>
            <w:r>
              <w:rPr>
                <w:rFonts w:hint="eastAsia"/>
                <w:shd w:val="clear" w:color="auto" w:fill="FFFFFF"/>
              </w:rPr>
              <w:t>一项不符扣6分。</w:t>
            </w:r>
          </w:p>
        </w:tc>
        <w:tc>
          <w:tcPr>
            <w:tcW w:w="53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F5424B"/>
        </w:tc>
      </w:tr>
      <w:tr w14:paraId="169B9E5E">
        <w:tblPrEx>
          <w:tblCellMar>
            <w:top w:w="0" w:type="dxa"/>
            <w:left w:w="0" w:type="dxa"/>
            <w:bottom w:w="0" w:type="dxa"/>
            <w:right w:w="0" w:type="dxa"/>
          </w:tblCellMar>
        </w:tblPrEx>
        <w:trPr>
          <w:trHeight w:val="314" w:hRule="atLeast"/>
          <w:jc w:val="center"/>
        </w:trPr>
        <w:tc>
          <w:tcPr>
            <w:tcW w:w="647"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357C53">
            <w:pPr>
              <w:rPr>
                <w:shd w:val="clear" w:color="auto" w:fill="FFFFFF"/>
              </w:rPr>
            </w:pPr>
          </w:p>
        </w:tc>
        <w:tc>
          <w:tcPr>
            <w:tcW w:w="245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EF7623">
            <w:pPr>
              <w:rPr>
                <w:shd w:val="clear" w:color="auto" w:fill="FFFFFF"/>
              </w:rPr>
            </w:pPr>
            <w:r>
              <w:t>积极应对紧急情况或意外事件，如火情、漫水、电梯故障</w:t>
            </w:r>
            <w:r>
              <w:rPr>
                <w:rFonts w:hint="eastAsia"/>
              </w:rPr>
              <w:t>、</w:t>
            </w:r>
            <w:r>
              <w:t>标牌、电子屏、自助设备等故障，及时报告、及时处理。</w:t>
            </w:r>
          </w:p>
        </w:tc>
        <w:tc>
          <w:tcPr>
            <w:tcW w:w="43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93EB77">
            <w:pPr>
              <w:jc w:val="center"/>
              <w:rPr>
                <w:shd w:val="clear" w:color="auto" w:fill="FFFFFF"/>
              </w:rPr>
            </w:pPr>
            <w:r>
              <w:rPr>
                <w:shd w:val="clear" w:color="auto" w:fill="FFFFFF"/>
              </w:rPr>
              <w:t>4</w:t>
            </w:r>
          </w:p>
        </w:tc>
        <w:tc>
          <w:tcPr>
            <w:tcW w:w="9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BD0A67">
            <w:pPr>
              <w:rPr>
                <w:shd w:val="clear" w:color="auto" w:fill="FFFFFF"/>
              </w:rPr>
            </w:pPr>
            <w:r>
              <w:rPr>
                <w:rFonts w:hint="eastAsia"/>
                <w:shd w:val="clear" w:color="auto" w:fill="FFFFFF"/>
              </w:rPr>
              <w:t>一项不符扣4分。</w:t>
            </w:r>
          </w:p>
        </w:tc>
        <w:tc>
          <w:tcPr>
            <w:tcW w:w="53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44C08D"/>
        </w:tc>
      </w:tr>
      <w:tr w14:paraId="292BBBD2">
        <w:tblPrEx>
          <w:tblCellMar>
            <w:top w:w="0" w:type="dxa"/>
            <w:left w:w="0" w:type="dxa"/>
            <w:bottom w:w="0" w:type="dxa"/>
            <w:right w:w="0" w:type="dxa"/>
          </w:tblCellMar>
        </w:tblPrEx>
        <w:trPr>
          <w:trHeight w:val="314" w:hRule="atLeast"/>
          <w:jc w:val="center"/>
        </w:trPr>
        <w:tc>
          <w:tcPr>
            <w:tcW w:w="647"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173804">
            <w:pPr>
              <w:rPr>
                <w:shd w:val="clear" w:color="auto" w:fill="FFFFFF"/>
              </w:rPr>
            </w:pPr>
          </w:p>
        </w:tc>
        <w:tc>
          <w:tcPr>
            <w:tcW w:w="245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CCD04F">
            <w:pPr>
              <w:rPr>
                <w:shd w:val="clear" w:color="auto" w:fill="FFFFFF"/>
              </w:rPr>
            </w:pPr>
            <w:r>
              <w:rPr>
                <w:rFonts w:hint="eastAsia" w:cs="宋体"/>
                <w:shd w:val="clear" w:color="auto" w:fill="FFFFFF"/>
              </w:rPr>
              <w:t>①</w:t>
            </w:r>
            <w:r>
              <w:t>落实首诉负责制，耐心向患者沟通解释，如遇困难及时请示</w:t>
            </w:r>
            <w:r>
              <w:rPr>
                <w:rFonts w:hint="eastAsia"/>
              </w:rPr>
              <w:t>；</w:t>
            </w:r>
            <w:r>
              <w:t>经解释仍未解决需门诊办协助的，提前报备门诊办研判。</w:t>
            </w:r>
          </w:p>
        </w:tc>
        <w:tc>
          <w:tcPr>
            <w:tcW w:w="43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606566">
            <w:pPr>
              <w:jc w:val="center"/>
              <w:rPr>
                <w:shd w:val="clear" w:color="auto" w:fill="FFFFFF"/>
              </w:rPr>
            </w:pPr>
            <w:r>
              <w:rPr>
                <w:shd w:val="clear" w:color="auto" w:fill="FFFFFF"/>
              </w:rPr>
              <w:t>4</w:t>
            </w:r>
          </w:p>
        </w:tc>
        <w:tc>
          <w:tcPr>
            <w:tcW w:w="9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1F0040">
            <w:pPr>
              <w:rPr>
                <w:shd w:val="clear" w:color="auto" w:fill="FFFFFF"/>
              </w:rPr>
            </w:pPr>
            <w:r>
              <w:rPr>
                <w:rFonts w:hint="eastAsia"/>
                <w:shd w:val="clear" w:color="auto" w:fill="FFFFFF"/>
              </w:rPr>
              <w:t>一项不符扣2分。</w:t>
            </w:r>
          </w:p>
        </w:tc>
        <w:tc>
          <w:tcPr>
            <w:tcW w:w="53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597D60"/>
        </w:tc>
      </w:tr>
      <w:tr w14:paraId="5C3882BB">
        <w:tblPrEx>
          <w:tblCellMar>
            <w:top w:w="0" w:type="dxa"/>
            <w:left w:w="0" w:type="dxa"/>
            <w:bottom w:w="0" w:type="dxa"/>
            <w:right w:w="0" w:type="dxa"/>
          </w:tblCellMar>
        </w:tblPrEx>
        <w:trPr>
          <w:trHeight w:val="314" w:hRule="atLeast"/>
          <w:jc w:val="center"/>
        </w:trPr>
        <w:tc>
          <w:tcPr>
            <w:tcW w:w="1319"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D12901">
            <w:pPr>
              <w:rPr>
                <w:shd w:val="clear" w:color="auto" w:fill="FFFFFF"/>
              </w:rPr>
            </w:pPr>
            <w:r>
              <w:rPr>
                <w:shd w:val="clear" w:color="auto" w:fill="FFFFFF"/>
              </w:rPr>
              <w:t>行为作风</w:t>
            </w:r>
          </w:p>
          <w:p w14:paraId="2C1ECA4E">
            <w:pPr>
              <w:rPr>
                <w:shd w:val="clear" w:color="auto" w:fill="FFFFFF"/>
              </w:rPr>
            </w:pPr>
            <w:r>
              <w:rPr>
                <w:shd w:val="clear" w:color="auto" w:fill="FFFFFF"/>
              </w:rPr>
              <w:t>（20分）</w:t>
            </w:r>
          </w:p>
        </w:tc>
        <w:tc>
          <w:tcPr>
            <w:tcW w:w="49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43DBFE">
            <w:r>
              <w:rPr>
                <w:rFonts w:hint="eastAsia"/>
              </w:rPr>
              <w:t>维护医院的良好形象及声誉，不传播违反法律法规、医院规章的信息。</w:t>
            </w:r>
          </w:p>
        </w:tc>
        <w:tc>
          <w:tcPr>
            <w:tcW w:w="8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5B67F5">
            <w:pPr>
              <w:jc w:val="center"/>
              <w:rPr>
                <w:shd w:val="clear" w:color="auto" w:fill="FFFFFF"/>
              </w:rPr>
            </w:pPr>
            <w:r>
              <w:rPr>
                <w:shd w:val="clear" w:color="auto" w:fill="FFFFFF"/>
              </w:rPr>
              <w:t>5</w:t>
            </w:r>
          </w:p>
        </w:tc>
        <w:tc>
          <w:tcPr>
            <w:tcW w:w="190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AFDCD3">
            <w:pPr>
              <w:rPr>
                <w:shd w:val="clear" w:color="auto" w:fill="FFFFFF"/>
              </w:rPr>
            </w:pPr>
            <w:r>
              <w:rPr>
                <w:shd w:val="clear" w:color="auto" w:fill="FFFFFF"/>
              </w:rPr>
              <w:t>一项不符扣5分。</w:t>
            </w:r>
          </w:p>
        </w:tc>
        <w:tc>
          <w:tcPr>
            <w:tcW w:w="53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B754AE"/>
        </w:tc>
      </w:tr>
      <w:tr w14:paraId="1B5F172C">
        <w:tblPrEx>
          <w:tblCellMar>
            <w:top w:w="0" w:type="dxa"/>
            <w:left w:w="0" w:type="dxa"/>
            <w:bottom w:w="0" w:type="dxa"/>
            <w:right w:w="0" w:type="dxa"/>
          </w:tblCellMar>
        </w:tblPrEx>
        <w:trPr>
          <w:trHeight w:val="314" w:hRule="atLeast"/>
          <w:jc w:val="center"/>
        </w:trPr>
        <w:tc>
          <w:tcPr>
            <w:tcW w:w="131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FC32DF">
            <w:pPr>
              <w:rPr>
                <w:shd w:val="clear" w:color="auto" w:fill="FFFFFF"/>
              </w:rPr>
            </w:pPr>
          </w:p>
        </w:tc>
        <w:tc>
          <w:tcPr>
            <w:tcW w:w="49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388747">
            <w:r>
              <w:rPr>
                <w:rFonts w:hint="eastAsia"/>
              </w:rPr>
              <w:t>爱护医院的公共财产</w:t>
            </w:r>
          </w:p>
        </w:tc>
        <w:tc>
          <w:tcPr>
            <w:tcW w:w="8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AA88C9">
            <w:pPr>
              <w:jc w:val="center"/>
              <w:rPr>
                <w:shd w:val="clear" w:color="auto" w:fill="FFFFFF"/>
              </w:rPr>
            </w:pPr>
            <w:r>
              <w:rPr>
                <w:shd w:val="clear" w:color="auto" w:fill="FFFFFF"/>
              </w:rPr>
              <w:t>5</w:t>
            </w:r>
          </w:p>
        </w:tc>
        <w:tc>
          <w:tcPr>
            <w:tcW w:w="190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4E4044">
            <w:pPr>
              <w:rPr>
                <w:shd w:val="clear" w:color="auto" w:fill="FFFFFF"/>
              </w:rPr>
            </w:pPr>
            <w:r>
              <w:rPr>
                <w:shd w:val="clear" w:color="auto" w:fill="FFFFFF"/>
              </w:rPr>
              <w:t>一项不符扣5分。</w:t>
            </w:r>
          </w:p>
        </w:tc>
        <w:tc>
          <w:tcPr>
            <w:tcW w:w="53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0441DB"/>
        </w:tc>
      </w:tr>
      <w:tr w14:paraId="412087EF">
        <w:tblPrEx>
          <w:tblCellMar>
            <w:top w:w="0" w:type="dxa"/>
            <w:left w:w="0" w:type="dxa"/>
            <w:bottom w:w="0" w:type="dxa"/>
            <w:right w:w="0" w:type="dxa"/>
          </w:tblCellMar>
        </w:tblPrEx>
        <w:trPr>
          <w:trHeight w:val="314" w:hRule="atLeast"/>
          <w:jc w:val="center"/>
        </w:trPr>
        <w:tc>
          <w:tcPr>
            <w:tcW w:w="131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08B7B2">
            <w:pPr>
              <w:rPr>
                <w:shd w:val="clear" w:color="auto" w:fill="FFFFFF"/>
              </w:rPr>
            </w:pPr>
          </w:p>
        </w:tc>
        <w:tc>
          <w:tcPr>
            <w:tcW w:w="49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7BFC4C">
            <w:r>
              <w:rPr>
                <w:rFonts w:hint="eastAsia"/>
              </w:rPr>
              <w:t>①不得收受患方任何形式的钱财。②不得利用岗位及工作便利谋取不当利益。</w:t>
            </w:r>
          </w:p>
        </w:tc>
        <w:tc>
          <w:tcPr>
            <w:tcW w:w="8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8ABC86">
            <w:pPr>
              <w:jc w:val="center"/>
              <w:rPr>
                <w:shd w:val="clear" w:color="auto" w:fill="FFFFFF"/>
              </w:rPr>
            </w:pPr>
            <w:r>
              <w:rPr>
                <w:shd w:val="clear" w:color="auto" w:fill="FFFFFF"/>
              </w:rPr>
              <w:t>10</w:t>
            </w:r>
          </w:p>
        </w:tc>
        <w:tc>
          <w:tcPr>
            <w:tcW w:w="190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6F38C2">
            <w:pPr>
              <w:rPr>
                <w:shd w:val="clear" w:color="auto" w:fill="FFFFFF"/>
              </w:rPr>
            </w:pPr>
            <w:r>
              <w:rPr>
                <w:shd w:val="clear" w:color="auto" w:fill="FFFFFF"/>
              </w:rPr>
              <w:t>一项不符扣10分。</w:t>
            </w:r>
          </w:p>
        </w:tc>
        <w:tc>
          <w:tcPr>
            <w:tcW w:w="53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E144FE"/>
        </w:tc>
      </w:tr>
    </w:tbl>
    <w:p w14:paraId="050ADA25">
      <w:pPr>
        <w:tabs>
          <w:tab w:val="left" w:pos="0"/>
          <w:tab w:val="left" w:pos="567"/>
          <w:tab w:val="left" w:pos="993"/>
          <w:tab w:val="left" w:pos="1134"/>
        </w:tabs>
        <w:wordWrap w:val="0"/>
        <w:adjustRightInd w:val="0"/>
        <w:snapToGrid w:val="0"/>
        <w:ind w:firstLine="480" w:firstLineChars="200"/>
        <w:rPr>
          <w:rFonts w:cs="宋体"/>
          <w:szCs w:val="24"/>
        </w:rPr>
      </w:pPr>
    </w:p>
    <w:p w14:paraId="062D3ADF">
      <w:pPr>
        <w:pStyle w:val="48"/>
        <w:numPr>
          <w:ilvl w:val="0"/>
          <w:numId w:val="24"/>
        </w:numPr>
        <w:wordWrap w:val="0"/>
        <w:adjustRightInd w:val="0"/>
        <w:snapToGrid w:val="0"/>
        <w:ind w:firstLineChars="0"/>
        <w:outlineLvl w:val="1"/>
        <w:rPr>
          <w:rFonts w:eastAsia="黑体"/>
          <w:sz w:val="30"/>
          <w:szCs w:val="21"/>
        </w:rPr>
      </w:pPr>
      <w:r>
        <w:rPr>
          <w:rFonts w:hint="eastAsia" w:eastAsia="黑体"/>
          <w:sz w:val="30"/>
          <w:szCs w:val="21"/>
        </w:rPr>
        <w:t>商务要求</w:t>
      </w:r>
    </w:p>
    <w:p w14:paraId="10383D14">
      <w:pPr>
        <w:pStyle w:val="48"/>
        <w:numPr>
          <w:ilvl w:val="0"/>
          <w:numId w:val="26"/>
        </w:numPr>
        <w:tabs>
          <w:tab w:val="left" w:pos="0"/>
          <w:tab w:val="left" w:pos="567"/>
          <w:tab w:val="left" w:pos="993"/>
          <w:tab w:val="left" w:pos="1134"/>
        </w:tabs>
        <w:wordWrap w:val="0"/>
        <w:adjustRightInd w:val="0"/>
        <w:snapToGrid w:val="0"/>
        <w:ind w:firstLine="280" w:firstLineChars="100"/>
        <w:outlineLvl w:val="2"/>
        <w:rPr>
          <w:rFonts w:eastAsia="黑体"/>
          <w:sz w:val="28"/>
          <w:szCs w:val="21"/>
        </w:rPr>
      </w:pPr>
      <w:r>
        <w:rPr>
          <w:rFonts w:hint="eastAsia" w:eastAsia="黑体"/>
          <w:sz w:val="28"/>
          <w:szCs w:val="21"/>
        </w:rPr>
        <w:t>实施的期限和地点</w:t>
      </w:r>
    </w:p>
    <w:p w14:paraId="5A0E8D02">
      <w:pPr>
        <w:pStyle w:val="48"/>
        <w:numPr>
          <w:ilvl w:val="0"/>
          <w:numId w:val="27"/>
        </w:numPr>
        <w:tabs>
          <w:tab w:val="left" w:pos="0"/>
          <w:tab w:val="left" w:pos="567"/>
          <w:tab w:val="left" w:pos="993"/>
          <w:tab w:val="left" w:pos="1134"/>
        </w:tabs>
        <w:wordWrap w:val="0"/>
        <w:adjustRightInd w:val="0"/>
        <w:snapToGrid w:val="0"/>
        <w:ind w:firstLine="482"/>
      </w:pPr>
      <w:r>
        <w:rPr>
          <w:rFonts w:hint="eastAsia"/>
          <w:b/>
          <w:szCs w:val="21"/>
        </w:rPr>
        <w:t>★</w:t>
      </w:r>
      <w:r>
        <w:rPr>
          <w:rFonts w:hint="eastAsia"/>
          <w:b/>
        </w:rPr>
        <w:t>服务期限</w:t>
      </w:r>
      <w:r>
        <w:rPr>
          <w:rFonts w:hint="eastAsia"/>
        </w:rPr>
        <w:t>：</w:t>
      </w:r>
      <w:r>
        <w:rPr>
          <w:rFonts w:hint="eastAsia"/>
          <w:lang w:val="en-US" w:eastAsia="zh-CN"/>
        </w:rPr>
        <w:t>合同签订后一年</w:t>
      </w:r>
      <w:bookmarkStart w:id="302" w:name="_GoBack"/>
      <w:bookmarkEnd w:id="302"/>
      <w:r>
        <w:rPr>
          <w:szCs w:val="21"/>
        </w:rPr>
        <w:t>。</w:t>
      </w:r>
    </w:p>
    <w:p w14:paraId="7B446E66">
      <w:pPr>
        <w:pStyle w:val="48"/>
        <w:numPr>
          <w:ilvl w:val="0"/>
          <w:numId w:val="27"/>
        </w:numPr>
        <w:tabs>
          <w:tab w:val="left" w:pos="0"/>
          <w:tab w:val="left" w:pos="567"/>
          <w:tab w:val="left" w:pos="993"/>
          <w:tab w:val="left" w:pos="1134"/>
        </w:tabs>
        <w:wordWrap w:val="0"/>
        <w:adjustRightInd w:val="0"/>
        <w:snapToGrid w:val="0"/>
        <w:ind w:firstLine="480"/>
      </w:pPr>
      <w:r>
        <w:rPr>
          <w:rFonts w:hint="eastAsia"/>
        </w:rPr>
        <w:t>服务地点：由采购人指定。</w:t>
      </w:r>
    </w:p>
    <w:p w14:paraId="0B4C35BF">
      <w:pPr>
        <w:pStyle w:val="48"/>
        <w:numPr>
          <w:ilvl w:val="0"/>
          <w:numId w:val="26"/>
        </w:numPr>
        <w:tabs>
          <w:tab w:val="left" w:pos="0"/>
          <w:tab w:val="left" w:pos="567"/>
          <w:tab w:val="left" w:pos="993"/>
          <w:tab w:val="left" w:pos="1134"/>
        </w:tabs>
        <w:wordWrap w:val="0"/>
        <w:adjustRightInd w:val="0"/>
        <w:snapToGrid w:val="0"/>
        <w:ind w:firstLine="280" w:firstLineChars="100"/>
        <w:outlineLvl w:val="2"/>
        <w:rPr>
          <w:rFonts w:eastAsia="黑体"/>
          <w:sz w:val="28"/>
          <w:szCs w:val="21"/>
        </w:rPr>
      </w:pPr>
      <w:r>
        <w:rPr>
          <w:rFonts w:hint="eastAsia" w:eastAsia="黑体"/>
          <w:sz w:val="28"/>
          <w:szCs w:val="21"/>
        </w:rPr>
        <w:t>★付款条件</w:t>
      </w:r>
    </w:p>
    <w:p w14:paraId="05B68914">
      <w:pPr>
        <w:tabs>
          <w:tab w:val="left" w:pos="0"/>
          <w:tab w:val="left" w:pos="567"/>
          <w:tab w:val="left" w:pos="993"/>
          <w:tab w:val="left" w:pos="1134"/>
        </w:tabs>
        <w:wordWrap w:val="0"/>
        <w:adjustRightInd w:val="0"/>
        <w:snapToGrid w:val="0"/>
        <w:ind w:firstLine="480" w:firstLineChars="200"/>
        <w:rPr>
          <w:szCs w:val="21"/>
        </w:rPr>
      </w:pPr>
      <w:r>
        <w:rPr>
          <w:rFonts w:hint="eastAsia"/>
          <w:szCs w:val="21"/>
        </w:rPr>
        <w:t>合同签订后采购人按月据实结算。</w:t>
      </w:r>
    </w:p>
    <w:p w14:paraId="68AB6389">
      <w:pPr>
        <w:pStyle w:val="48"/>
        <w:numPr>
          <w:ilvl w:val="0"/>
          <w:numId w:val="26"/>
        </w:numPr>
        <w:tabs>
          <w:tab w:val="left" w:pos="0"/>
          <w:tab w:val="left" w:pos="567"/>
          <w:tab w:val="left" w:pos="993"/>
          <w:tab w:val="left" w:pos="1134"/>
        </w:tabs>
        <w:wordWrap w:val="0"/>
        <w:adjustRightInd w:val="0"/>
        <w:snapToGrid w:val="0"/>
        <w:ind w:firstLine="280" w:firstLineChars="100"/>
        <w:outlineLvl w:val="2"/>
        <w:rPr>
          <w:rFonts w:eastAsia="黑体"/>
          <w:sz w:val="28"/>
          <w:szCs w:val="21"/>
        </w:rPr>
      </w:pPr>
      <w:r>
        <w:rPr>
          <w:rFonts w:hint="eastAsia" w:eastAsia="黑体"/>
          <w:sz w:val="28"/>
          <w:szCs w:val="21"/>
        </w:rPr>
        <w:t>其他商务要求</w:t>
      </w:r>
    </w:p>
    <w:p w14:paraId="6D0F56C3">
      <w:pPr>
        <w:pStyle w:val="48"/>
        <w:numPr>
          <w:ilvl w:val="0"/>
          <w:numId w:val="28"/>
        </w:numPr>
        <w:tabs>
          <w:tab w:val="left" w:pos="0"/>
          <w:tab w:val="left" w:pos="567"/>
          <w:tab w:val="left" w:pos="993"/>
          <w:tab w:val="left" w:pos="1134"/>
        </w:tabs>
        <w:wordWrap w:val="0"/>
        <w:adjustRightInd w:val="0"/>
        <w:snapToGrid w:val="0"/>
        <w:ind w:firstLine="480"/>
        <w:rPr>
          <w:rFonts w:cs="仿宋"/>
          <w:bCs/>
          <w:szCs w:val="28"/>
        </w:rPr>
      </w:pPr>
      <w:r>
        <w:rPr>
          <w:rFonts w:hint="eastAsia" w:cs="Arial"/>
          <w:szCs w:val="24"/>
        </w:rPr>
        <w:t>供应商提供的</w:t>
      </w:r>
      <w:r>
        <w:rPr>
          <w:rFonts w:hint="eastAsia"/>
          <w:bCs/>
          <w:szCs w:val="28"/>
        </w:rPr>
        <w:t>服务</w:t>
      </w:r>
      <w:r>
        <w:t>（包含与服务相关的货物）</w:t>
      </w:r>
      <w:r>
        <w:rPr>
          <w:rFonts w:hint="eastAsia"/>
          <w:bCs/>
          <w:szCs w:val="28"/>
        </w:rPr>
        <w:t>须符合合同约定，服务人员、设备配备完整，</w:t>
      </w:r>
      <w:r>
        <w:rPr>
          <w:rFonts w:hint="eastAsia" w:cs="Arial"/>
          <w:szCs w:val="24"/>
        </w:rPr>
        <w:t>响应及时有效，</w:t>
      </w:r>
      <w:r>
        <w:rPr>
          <w:rFonts w:hint="eastAsia"/>
          <w:bCs/>
          <w:szCs w:val="28"/>
        </w:rPr>
        <w:t>记录</w:t>
      </w:r>
      <w:r>
        <w:rPr>
          <w:rFonts w:hint="eastAsia" w:cs="Arial"/>
          <w:szCs w:val="24"/>
        </w:rPr>
        <w:t>真实准确，数据安全且合法合规，</w:t>
      </w:r>
      <w:r>
        <w:rPr>
          <w:rFonts w:hint="eastAsia"/>
          <w:bCs/>
          <w:szCs w:val="28"/>
        </w:rPr>
        <w:t>合同履约时间、地点、方式及服务承诺实现</w:t>
      </w:r>
      <w:r>
        <w:rPr>
          <w:rFonts w:hint="eastAsia"/>
          <w:szCs w:val="21"/>
        </w:rPr>
        <w:t>，且</w:t>
      </w:r>
      <w:r>
        <w:rPr>
          <w:rFonts w:hint="eastAsia"/>
          <w:bCs/>
          <w:szCs w:val="28"/>
        </w:rPr>
        <w:t>应符合</w:t>
      </w:r>
      <w:r>
        <w:rPr>
          <w:bCs/>
          <w:szCs w:val="28"/>
        </w:rPr>
        <w:t>国家标准</w:t>
      </w:r>
      <w:r>
        <w:rPr>
          <w:rFonts w:hint="eastAsia" w:cs="宋体"/>
          <w:bCs/>
        </w:rPr>
        <w:t>或相关行业标准（以较严格标准为准）和政策要求</w:t>
      </w:r>
      <w:r>
        <w:rPr>
          <w:rFonts w:hint="eastAsia"/>
          <w:bCs/>
          <w:szCs w:val="28"/>
        </w:rPr>
        <w:t>。</w:t>
      </w:r>
    </w:p>
    <w:p w14:paraId="250A2658">
      <w:pPr>
        <w:pStyle w:val="48"/>
        <w:numPr>
          <w:ilvl w:val="0"/>
          <w:numId w:val="28"/>
        </w:numPr>
        <w:tabs>
          <w:tab w:val="left" w:pos="0"/>
          <w:tab w:val="left" w:pos="567"/>
          <w:tab w:val="left" w:pos="993"/>
          <w:tab w:val="left" w:pos="1134"/>
        </w:tabs>
        <w:wordWrap w:val="0"/>
        <w:adjustRightInd w:val="0"/>
        <w:snapToGrid w:val="0"/>
        <w:ind w:firstLine="480"/>
        <w:rPr>
          <w:rFonts w:cs="仿宋"/>
          <w:bCs/>
          <w:szCs w:val="28"/>
        </w:rPr>
      </w:pPr>
      <w:r>
        <w:rPr>
          <w:rFonts w:hint="eastAsia" w:cs="Arial"/>
          <w:szCs w:val="24"/>
        </w:rPr>
        <w:t>供应商应向采购人提供全方位及时而有效的</w:t>
      </w:r>
      <w:r>
        <w:rPr>
          <w:szCs w:val="21"/>
        </w:rPr>
        <w:t>7</w:t>
      </w:r>
      <w:r>
        <w:rPr>
          <w:rFonts w:hint="eastAsia"/>
          <w:szCs w:val="21"/>
        </w:rPr>
        <w:t>×</w:t>
      </w:r>
      <w:r>
        <w:rPr>
          <w:szCs w:val="21"/>
        </w:rPr>
        <w:t>24</w:t>
      </w:r>
      <w:r>
        <w:rPr>
          <w:rFonts w:hint="eastAsia"/>
          <w:szCs w:val="21"/>
        </w:rPr>
        <w:t>小时</w:t>
      </w:r>
      <w:r>
        <w:rPr>
          <w:rFonts w:hint="eastAsia"/>
          <w:bCs/>
          <w:szCs w:val="28"/>
        </w:rPr>
        <w:t>技术支持和服务。</w:t>
      </w:r>
    </w:p>
    <w:p w14:paraId="116DD198">
      <w:pPr>
        <w:pStyle w:val="48"/>
        <w:numPr>
          <w:ilvl w:val="0"/>
          <w:numId w:val="28"/>
        </w:numPr>
        <w:tabs>
          <w:tab w:val="left" w:pos="0"/>
          <w:tab w:val="left" w:pos="567"/>
          <w:tab w:val="left" w:pos="993"/>
          <w:tab w:val="left" w:pos="1134"/>
        </w:tabs>
        <w:wordWrap w:val="0"/>
        <w:adjustRightInd w:val="0"/>
        <w:snapToGrid w:val="0"/>
        <w:ind w:firstLine="480"/>
        <w:rPr>
          <w:bCs/>
          <w:szCs w:val="28"/>
        </w:rPr>
      </w:pPr>
      <w:r>
        <w:rPr>
          <w:rFonts w:hint="eastAsia"/>
          <w:szCs w:val="21"/>
        </w:rPr>
        <w:t>采购人按照《江苏省政府采购履约验收管理办法》（苏财规〔</w:t>
      </w:r>
      <w:r>
        <w:rPr>
          <w:szCs w:val="21"/>
        </w:rPr>
        <w:t>2024</w:t>
      </w:r>
      <w:r>
        <w:rPr>
          <w:rFonts w:hint="eastAsia"/>
          <w:szCs w:val="21"/>
        </w:rPr>
        <w:t>〕</w:t>
      </w:r>
      <w:r>
        <w:rPr>
          <w:szCs w:val="21"/>
        </w:rPr>
        <w:t>7</w:t>
      </w:r>
      <w:r>
        <w:rPr>
          <w:rFonts w:hint="eastAsia"/>
          <w:szCs w:val="21"/>
        </w:rPr>
        <w:t>号）、合同中有关履约验收的内容，以及招标文件、投标文件组织验收。</w:t>
      </w:r>
    </w:p>
    <w:p w14:paraId="3D0E5C9B">
      <w:pPr>
        <w:pStyle w:val="48"/>
        <w:numPr>
          <w:ilvl w:val="0"/>
          <w:numId w:val="28"/>
        </w:numPr>
        <w:tabs>
          <w:tab w:val="left" w:pos="0"/>
          <w:tab w:val="left" w:pos="567"/>
          <w:tab w:val="left" w:pos="993"/>
          <w:tab w:val="left" w:pos="1134"/>
        </w:tabs>
        <w:wordWrap w:val="0"/>
        <w:adjustRightInd w:val="0"/>
        <w:snapToGrid w:val="0"/>
        <w:ind w:firstLine="480"/>
        <w:rPr>
          <w:bCs/>
          <w:szCs w:val="28"/>
        </w:rPr>
      </w:pPr>
      <w:r>
        <w:rPr>
          <w:rFonts w:hint="eastAsia" w:cs="Arial"/>
          <w:szCs w:val="24"/>
        </w:rPr>
        <w:t>本项目对服务期内的服务实施情况按</w:t>
      </w:r>
      <w:r>
        <w:rPr>
          <w:rFonts w:hint="eastAsia"/>
          <w:szCs w:val="21"/>
        </w:rPr>
        <w:t>“门诊导医导诊服务考核办法”要求分期进行考核验收，结合考核情况和服务效果进行分期考核验收</w:t>
      </w:r>
      <w:r>
        <w:rPr>
          <w:rFonts w:hint="eastAsia"/>
          <w:szCs w:val="28"/>
        </w:rPr>
        <w:t>。</w:t>
      </w:r>
      <w:r>
        <w:rPr>
          <w:rFonts w:cs="宋体"/>
        </w:rPr>
        <w:t>履约验收发生的检测（检验）费</w:t>
      </w:r>
      <w:r>
        <w:rPr>
          <w:rFonts w:hint="eastAsia" w:cs="宋体"/>
        </w:rPr>
        <w:t>和</w:t>
      </w:r>
      <w:r>
        <w:rPr>
          <w:rFonts w:cs="宋体"/>
        </w:rPr>
        <w:t>专业技术人员费用等费用支出，由供应商一方承担。</w:t>
      </w:r>
    </w:p>
    <w:p w14:paraId="6B037C79">
      <w:pPr>
        <w:pStyle w:val="48"/>
        <w:numPr>
          <w:ilvl w:val="0"/>
          <w:numId w:val="28"/>
        </w:numPr>
        <w:tabs>
          <w:tab w:val="left" w:pos="0"/>
          <w:tab w:val="left" w:pos="567"/>
          <w:tab w:val="left" w:pos="993"/>
          <w:tab w:val="left" w:pos="1134"/>
        </w:tabs>
        <w:wordWrap w:val="0"/>
        <w:adjustRightInd w:val="0"/>
        <w:snapToGrid w:val="0"/>
        <w:ind w:firstLine="480"/>
        <w:rPr>
          <w:bCs/>
          <w:szCs w:val="28"/>
        </w:rPr>
      </w:pPr>
      <w:r>
        <w:rPr>
          <w:rFonts w:hint="eastAsia" w:cs="宋体"/>
        </w:rPr>
        <w:t>项目实施期间供应商所发生的或供应商实施场地内发生的或供应商原因造成的安全事故，</w:t>
      </w:r>
      <w:r>
        <w:rPr>
          <w:rFonts w:hint="eastAsia" w:cs="Arial"/>
          <w:szCs w:val="24"/>
        </w:rPr>
        <w:t>均应由供应商负责按有关规定处理善后事宜</w:t>
      </w:r>
      <w:r>
        <w:rPr>
          <w:rFonts w:hint="eastAsia" w:cs="宋体"/>
        </w:rPr>
        <w:t>，并承担给采购人造成的损失。</w:t>
      </w:r>
      <w:r>
        <w:rPr>
          <w:rFonts w:hint="eastAsia"/>
          <w:szCs w:val="21"/>
        </w:rPr>
        <w:t>供应商必须做好各项安全防护措施，</w:t>
      </w:r>
      <w:r>
        <w:rPr>
          <w:szCs w:val="21"/>
        </w:rPr>
        <w:t>保证项目实施中相关人员的人身安全</w:t>
      </w:r>
      <w:r>
        <w:rPr>
          <w:rFonts w:hint="eastAsia"/>
          <w:szCs w:val="21"/>
        </w:rPr>
        <w:t>。</w:t>
      </w:r>
    </w:p>
    <w:p w14:paraId="7FCB29CF">
      <w:pPr>
        <w:pStyle w:val="48"/>
        <w:numPr>
          <w:ilvl w:val="0"/>
          <w:numId w:val="28"/>
        </w:numPr>
        <w:tabs>
          <w:tab w:val="left" w:pos="0"/>
          <w:tab w:val="left" w:pos="567"/>
          <w:tab w:val="left" w:pos="993"/>
          <w:tab w:val="left" w:pos="1134"/>
        </w:tabs>
        <w:wordWrap w:val="0"/>
        <w:adjustRightInd w:val="0"/>
        <w:snapToGrid w:val="0"/>
        <w:ind w:firstLine="480"/>
        <w:rPr>
          <w:rFonts w:cs="仿宋"/>
          <w:bCs/>
          <w:szCs w:val="28"/>
        </w:rPr>
      </w:pPr>
      <w:r>
        <w:rPr>
          <w:rFonts w:hint="eastAsia" w:cs="宋体"/>
        </w:rPr>
        <w:t>基于项目合同履行形成的知识产权和其他权益，其权属归采购人所有。</w:t>
      </w:r>
      <w:r>
        <w:rPr>
          <w:rFonts w:hint="eastAsia"/>
        </w:rPr>
        <w:t>供应</w:t>
      </w:r>
      <w:r>
        <w:rPr>
          <w:rFonts w:hint="eastAsia" w:cs="宋体"/>
        </w:rPr>
        <w:t>商</w:t>
      </w:r>
      <w:r>
        <w:rPr>
          <w:rFonts w:hint="eastAsia"/>
          <w:szCs w:val="21"/>
        </w:rPr>
        <w:t>应当保证，</w:t>
      </w:r>
      <w:r>
        <w:rPr>
          <w:rFonts w:hint="eastAsia" w:cs="仿宋"/>
          <w:bCs/>
          <w:szCs w:val="28"/>
        </w:rPr>
        <w:t>采购人</w:t>
      </w:r>
      <w:r>
        <w:rPr>
          <w:rFonts w:hint="eastAsia"/>
          <w:szCs w:val="21"/>
        </w:rPr>
        <w:t>在使用、接受其提供的</w:t>
      </w:r>
      <w:r>
        <w:t>服务（包含与服务相关的货物）</w:t>
      </w:r>
      <w:r>
        <w:rPr>
          <w:rFonts w:cs="Arial"/>
          <w:szCs w:val="24"/>
        </w:rPr>
        <w:t>或其中的任何一部分</w:t>
      </w:r>
      <w:r>
        <w:rPr>
          <w:rFonts w:hint="eastAsia" w:cs="Arial"/>
          <w:szCs w:val="24"/>
        </w:rPr>
        <w:t>不受第三方提出侵犯其知识产权的指控</w:t>
      </w:r>
      <w:r>
        <w:rPr>
          <w:rFonts w:hint="eastAsia" w:cs="宋体"/>
        </w:rPr>
        <w:t>，对此采购人不承担任何连带责任或赔偿责任。</w:t>
      </w:r>
      <w:r>
        <w:rPr>
          <w:rFonts w:hint="eastAsia"/>
          <w:szCs w:val="21"/>
        </w:rPr>
        <w:t>本项目涉及到相关知识产权的任何信息，供应商应自行通过合法途径获取。</w:t>
      </w:r>
    </w:p>
    <w:p w14:paraId="300FF425">
      <w:pPr>
        <w:pStyle w:val="48"/>
        <w:numPr>
          <w:ilvl w:val="0"/>
          <w:numId w:val="28"/>
        </w:numPr>
        <w:tabs>
          <w:tab w:val="left" w:pos="0"/>
          <w:tab w:val="left" w:pos="567"/>
          <w:tab w:val="left" w:pos="993"/>
          <w:tab w:val="left" w:pos="1134"/>
        </w:tabs>
        <w:wordWrap w:val="0"/>
        <w:adjustRightInd w:val="0"/>
        <w:snapToGrid w:val="0"/>
        <w:ind w:firstLine="480"/>
        <w:rPr>
          <w:rFonts w:cs="仿宋"/>
          <w:bCs/>
          <w:szCs w:val="28"/>
        </w:rPr>
      </w:pPr>
      <w:r>
        <w:rPr>
          <w:rFonts w:hint="eastAsia"/>
          <w:szCs w:val="21"/>
        </w:rPr>
        <w:t>供应商</w:t>
      </w:r>
      <w:r>
        <w:rPr>
          <w:szCs w:val="21"/>
        </w:rPr>
        <w:t>保证，如果</w:t>
      </w:r>
      <w:r>
        <w:rPr>
          <w:rFonts w:hint="eastAsia"/>
        </w:rPr>
        <w:t>供应商</w:t>
      </w:r>
      <w:r>
        <w:rPr>
          <w:rFonts w:hint="eastAsia"/>
          <w:szCs w:val="21"/>
        </w:rPr>
        <w:t>提供的</w:t>
      </w:r>
      <w:r>
        <w:rPr>
          <w:rFonts w:cs="宋体"/>
        </w:rPr>
        <w:t>合同</w:t>
      </w:r>
      <w:r>
        <w:rPr>
          <w:rFonts w:hint="eastAsia" w:cs="宋体"/>
        </w:rPr>
        <w:t>标的</w:t>
      </w:r>
      <w:r>
        <w:rPr>
          <w:rFonts w:hint="eastAsia"/>
          <w:szCs w:val="21"/>
        </w:rPr>
        <w:t>与合同不符，或证明</w:t>
      </w:r>
      <w:r>
        <w:rPr>
          <w:rFonts w:hint="eastAsia" w:cs="仿宋"/>
          <w:bCs/>
          <w:szCs w:val="28"/>
        </w:rPr>
        <w:t>存在</w:t>
      </w:r>
      <w:r>
        <w:rPr>
          <w:rFonts w:hint="eastAsia"/>
          <w:szCs w:val="21"/>
        </w:rPr>
        <w:t>缺陷的，包括潜在的缺陷等，</w:t>
      </w:r>
      <w:r>
        <w:rPr>
          <w:szCs w:val="21"/>
        </w:rPr>
        <w:t>由供应商无偿补足并</w:t>
      </w:r>
      <w:r>
        <w:rPr>
          <w:rFonts w:cs="宋体"/>
        </w:rPr>
        <w:t>负全部责任</w:t>
      </w:r>
      <w:r>
        <w:rPr>
          <w:rFonts w:hint="eastAsia" w:cs="仿宋"/>
          <w:bCs/>
          <w:szCs w:val="28"/>
        </w:rPr>
        <w:t>，</w:t>
      </w:r>
      <w:r>
        <w:rPr>
          <w:rFonts w:hint="eastAsia"/>
          <w:szCs w:val="21"/>
        </w:rPr>
        <w:t>并且采购人有权向供应商提出索赔。</w:t>
      </w:r>
    </w:p>
    <w:p w14:paraId="6F15F25A">
      <w:pPr>
        <w:pStyle w:val="48"/>
        <w:numPr>
          <w:ilvl w:val="0"/>
          <w:numId w:val="28"/>
        </w:numPr>
        <w:tabs>
          <w:tab w:val="left" w:pos="0"/>
          <w:tab w:val="left" w:pos="567"/>
          <w:tab w:val="left" w:pos="993"/>
          <w:tab w:val="left" w:pos="1134"/>
        </w:tabs>
        <w:wordWrap w:val="0"/>
        <w:adjustRightInd w:val="0"/>
        <w:snapToGrid w:val="0"/>
        <w:ind w:firstLine="480"/>
        <w:rPr>
          <w:rFonts w:cs="仿宋"/>
          <w:bCs/>
          <w:szCs w:val="28"/>
        </w:rPr>
      </w:pPr>
      <w:r>
        <w:rPr>
          <w:rFonts w:hint="eastAsia" w:cs="Arial"/>
          <w:szCs w:val="24"/>
        </w:rPr>
        <w:t>项目实施期间可能由于客户的需要而对方案进行相应的客户化修改</w:t>
      </w:r>
      <w:r>
        <w:rPr>
          <w:rFonts w:hint="eastAsia"/>
          <w:bCs/>
          <w:szCs w:val="28"/>
        </w:rPr>
        <w:t>，投标人必须无条件满足。</w:t>
      </w:r>
    </w:p>
    <w:p w14:paraId="37FF4867">
      <w:pPr>
        <w:pStyle w:val="48"/>
        <w:numPr>
          <w:ilvl w:val="0"/>
          <w:numId w:val="28"/>
        </w:numPr>
        <w:tabs>
          <w:tab w:val="left" w:pos="0"/>
          <w:tab w:val="left" w:pos="567"/>
          <w:tab w:val="left" w:pos="993"/>
          <w:tab w:val="left" w:pos="1134"/>
        </w:tabs>
        <w:wordWrap w:val="0"/>
        <w:adjustRightInd w:val="0"/>
        <w:snapToGrid w:val="0"/>
        <w:ind w:firstLine="480"/>
        <w:rPr>
          <w:rFonts w:cs="仿宋"/>
          <w:bCs/>
          <w:szCs w:val="28"/>
        </w:rPr>
      </w:pPr>
      <w:r>
        <w:rPr>
          <w:rFonts w:hint="eastAsia" w:cs="Arial"/>
          <w:szCs w:val="24"/>
        </w:rPr>
        <w:t>投标人报价之前可现场考察</w:t>
      </w:r>
      <w:r>
        <w:rPr>
          <w:rFonts w:hint="eastAsia"/>
          <w:szCs w:val="21"/>
        </w:rPr>
        <w:t>。投标人现场考察</w:t>
      </w:r>
      <w:r>
        <w:rPr>
          <w:szCs w:val="21"/>
        </w:rPr>
        <w:t>发生的费用自理</w:t>
      </w:r>
      <w:r>
        <w:rPr>
          <w:rFonts w:hint="eastAsia"/>
          <w:szCs w:val="21"/>
        </w:rPr>
        <w:t>，并</w:t>
      </w:r>
      <w:r>
        <w:rPr>
          <w:szCs w:val="21"/>
        </w:rPr>
        <w:t>自行负责在</w:t>
      </w:r>
      <w:r>
        <w:rPr>
          <w:rFonts w:hint="eastAsia"/>
          <w:szCs w:val="21"/>
        </w:rPr>
        <w:t>现场考察</w:t>
      </w:r>
      <w:r>
        <w:rPr>
          <w:szCs w:val="21"/>
        </w:rPr>
        <w:t>中所发生的人员伤亡和财产损失。</w:t>
      </w:r>
    </w:p>
    <w:p w14:paraId="1818CBE4">
      <w:pPr>
        <w:pStyle w:val="48"/>
        <w:numPr>
          <w:ilvl w:val="0"/>
          <w:numId w:val="28"/>
        </w:numPr>
        <w:tabs>
          <w:tab w:val="left" w:pos="0"/>
          <w:tab w:val="left" w:pos="567"/>
          <w:tab w:val="left" w:pos="993"/>
          <w:tab w:val="left" w:pos="1134"/>
        </w:tabs>
        <w:wordWrap w:val="0"/>
        <w:adjustRightInd w:val="0"/>
        <w:snapToGrid w:val="0"/>
        <w:ind w:firstLine="480"/>
        <w:rPr>
          <w:rFonts w:cs="宋体"/>
          <w:bCs/>
          <w:szCs w:val="21"/>
        </w:rPr>
      </w:pPr>
      <w:r>
        <w:rPr>
          <w:rFonts w:hint="eastAsia" w:cs="Arial"/>
          <w:szCs w:val="24"/>
        </w:rPr>
        <w:t>投标人</w:t>
      </w:r>
      <w:r>
        <w:rPr>
          <w:rFonts w:hint="eastAsia" w:cs="Arial"/>
          <w:bCs/>
          <w:szCs w:val="24"/>
        </w:rPr>
        <w:t>递交投标文件</w:t>
      </w:r>
      <w:r>
        <w:rPr>
          <w:rFonts w:hint="eastAsia" w:cs="宋体"/>
          <w:bCs/>
          <w:szCs w:val="21"/>
        </w:rPr>
        <w:t>，即</w:t>
      </w:r>
      <w:r>
        <w:rPr>
          <w:rFonts w:cs="宋体"/>
          <w:bCs/>
          <w:szCs w:val="21"/>
        </w:rPr>
        <w:t>被认为</w:t>
      </w:r>
      <w:r>
        <w:rPr>
          <w:rFonts w:cs="宋体"/>
          <w:szCs w:val="21"/>
          <w:lang w:bidi="ar"/>
        </w:rPr>
        <w:t>已在本项目</w:t>
      </w:r>
      <w:r>
        <w:rPr>
          <w:rFonts w:hint="eastAsia" w:cs="宋体"/>
          <w:szCs w:val="21"/>
          <w:lang w:bidi="ar"/>
        </w:rPr>
        <w:t>采购</w:t>
      </w:r>
      <w:r>
        <w:rPr>
          <w:rFonts w:cs="宋体"/>
          <w:szCs w:val="21"/>
          <w:lang w:bidi="ar"/>
        </w:rPr>
        <w:t>阶段</w:t>
      </w:r>
      <w:r>
        <w:rPr>
          <w:rFonts w:hint="eastAsia" w:cs="宋体"/>
          <w:szCs w:val="24"/>
        </w:rPr>
        <w:t>自行</w:t>
      </w:r>
      <w:r>
        <w:rPr>
          <w:rFonts w:hint="eastAsia" w:cs="宋体"/>
          <w:szCs w:val="21"/>
          <w:lang w:bidi="ar"/>
        </w:rPr>
        <w:t>对项目现场进行了</w:t>
      </w:r>
      <w:r>
        <w:rPr>
          <w:rFonts w:hint="eastAsia"/>
          <w:szCs w:val="21"/>
        </w:rPr>
        <w:t>考察</w:t>
      </w:r>
      <w:r>
        <w:rPr>
          <w:rFonts w:hint="eastAsia" w:cs="宋体"/>
          <w:szCs w:val="21"/>
          <w:lang w:bidi="ar"/>
        </w:rPr>
        <w:t>，并</w:t>
      </w:r>
      <w:r>
        <w:rPr>
          <w:rFonts w:hint="eastAsia" w:cs="宋体"/>
          <w:bCs/>
          <w:szCs w:val="21"/>
        </w:rPr>
        <w:t>已充分</w:t>
      </w:r>
      <w:r>
        <w:rPr>
          <w:rFonts w:cs="宋体"/>
          <w:bCs/>
          <w:szCs w:val="21"/>
        </w:rPr>
        <w:t>考虑</w:t>
      </w:r>
      <w:r>
        <w:rPr>
          <w:rFonts w:hint="eastAsia" w:cs="宋体"/>
          <w:bCs/>
          <w:szCs w:val="21"/>
        </w:rPr>
        <w:t>了应承担的风险与责任。</w:t>
      </w:r>
      <w:r>
        <w:rPr>
          <w:rFonts w:hint="eastAsia" w:cs="宋体"/>
          <w:szCs w:val="21"/>
          <w:lang w:bidi="ar"/>
        </w:rPr>
        <w:t>投标人</w:t>
      </w:r>
      <w:r>
        <w:rPr>
          <w:rFonts w:hint="eastAsia" w:cs="宋体"/>
          <w:bCs/>
          <w:szCs w:val="21"/>
        </w:rPr>
        <w:t>不得因为招标文件提供的资料和数据不准确、不全面，以及未能现场考察或考察后未能获取准确数据为由，要求调整中标合同价或</w:t>
      </w:r>
      <w:r>
        <w:rPr>
          <w:rFonts w:cs="宋体"/>
          <w:bCs/>
          <w:szCs w:val="21"/>
        </w:rPr>
        <w:t>合同期限</w:t>
      </w:r>
      <w:r>
        <w:rPr>
          <w:rFonts w:hint="eastAsia" w:cs="宋体"/>
          <w:bCs/>
          <w:szCs w:val="21"/>
        </w:rPr>
        <w:t>，对此采购人不承担任何责任并将不作任何答复与考虑。</w:t>
      </w:r>
    </w:p>
    <w:p w14:paraId="0A52B13D">
      <w:pPr>
        <w:wordWrap w:val="0"/>
        <w:adjustRightInd w:val="0"/>
        <w:snapToGrid w:val="0"/>
        <w:jc w:val="center"/>
        <w:outlineLvl w:val="0"/>
        <w:rPr>
          <w:b/>
          <w:sz w:val="36"/>
        </w:rPr>
      </w:pPr>
      <w:r>
        <w:br w:type="page"/>
      </w:r>
      <w:bookmarkStart w:id="222" w:name="_Toc179632806"/>
      <w:bookmarkStart w:id="223" w:name="_Toc152045786"/>
      <w:bookmarkStart w:id="224" w:name="_Toc57992096"/>
      <w:bookmarkStart w:id="225" w:name="_Toc57991138"/>
      <w:bookmarkStart w:id="226" w:name="_Toc57992242"/>
      <w:bookmarkStart w:id="227" w:name="_Toc144974855"/>
      <w:bookmarkStart w:id="228" w:name="_Toc57992797"/>
      <w:bookmarkStart w:id="229" w:name="_Toc57992394"/>
      <w:bookmarkStart w:id="230" w:name="_Toc394695619"/>
      <w:bookmarkStart w:id="231" w:name="_Toc152042575"/>
      <w:bookmarkStart w:id="232" w:name="_Toc57991710"/>
      <w:bookmarkStart w:id="233" w:name="_Toc352708927"/>
      <w:bookmarkStart w:id="234" w:name="_Toc242781705"/>
      <w:r>
        <w:rPr>
          <w:rFonts w:hint="eastAsia"/>
          <w:b/>
          <w:sz w:val="36"/>
        </w:rPr>
        <w:t>第六章  投标文件</w:t>
      </w:r>
      <w:bookmarkEnd w:id="222"/>
      <w:bookmarkEnd w:id="223"/>
      <w:bookmarkEnd w:id="224"/>
      <w:bookmarkEnd w:id="225"/>
      <w:bookmarkEnd w:id="226"/>
      <w:bookmarkEnd w:id="227"/>
      <w:bookmarkEnd w:id="228"/>
      <w:bookmarkEnd w:id="229"/>
      <w:bookmarkEnd w:id="230"/>
      <w:bookmarkEnd w:id="231"/>
      <w:bookmarkEnd w:id="232"/>
      <w:bookmarkEnd w:id="233"/>
      <w:r>
        <w:rPr>
          <w:rFonts w:hint="eastAsia"/>
          <w:b/>
          <w:sz w:val="36"/>
        </w:rPr>
        <w:t>格式</w:t>
      </w:r>
      <w:bookmarkEnd w:id="234"/>
    </w:p>
    <w:p w14:paraId="2166289C">
      <w:pPr>
        <w:wordWrap w:val="0"/>
        <w:adjustRightInd w:val="0"/>
        <w:snapToGrid w:val="0"/>
        <w:rPr>
          <w:szCs w:val="24"/>
        </w:rPr>
      </w:pPr>
    </w:p>
    <w:p w14:paraId="6730AC08">
      <w:pPr>
        <w:wordWrap w:val="0"/>
        <w:adjustRightInd w:val="0"/>
        <w:snapToGrid w:val="0"/>
        <w:rPr>
          <w:szCs w:val="24"/>
        </w:rPr>
      </w:pPr>
    </w:p>
    <w:p w14:paraId="5144940F">
      <w:pPr>
        <w:wordWrap w:val="0"/>
        <w:adjustRightInd w:val="0"/>
        <w:snapToGrid w:val="0"/>
        <w:rPr>
          <w:szCs w:val="24"/>
        </w:rPr>
      </w:pPr>
    </w:p>
    <w:p w14:paraId="4EF0E588">
      <w:pPr>
        <w:wordWrap w:val="0"/>
        <w:adjustRightInd w:val="0"/>
        <w:snapToGrid w:val="0"/>
        <w:rPr>
          <w:szCs w:val="24"/>
        </w:rPr>
      </w:pPr>
    </w:p>
    <w:p w14:paraId="0AA26355">
      <w:pPr>
        <w:wordWrap w:val="0"/>
        <w:adjustRightInd w:val="0"/>
        <w:snapToGrid w:val="0"/>
        <w:rPr>
          <w:szCs w:val="24"/>
        </w:rPr>
      </w:pPr>
    </w:p>
    <w:p w14:paraId="12C96DF4">
      <w:pPr>
        <w:wordWrap w:val="0"/>
        <w:adjustRightInd w:val="0"/>
        <w:snapToGrid w:val="0"/>
        <w:jc w:val="center"/>
        <w:rPr>
          <w:szCs w:val="24"/>
        </w:rPr>
      </w:pPr>
      <w:r>
        <w:rPr>
          <w:rFonts w:hint="eastAsia"/>
          <w:b/>
          <w:bCs/>
          <w:sz w:val="72"/>
          <w:szCs w:val="72"/>
        </w:rPr>
        <w:t>投标文件</w:t>
      </w:r>
    </w:p>
    <w:p w14:paraId="548BD459">
      <w:pPr>
        <w:wordWrap w:val="0"/>
        <w:adjustRightInd w:val="0"/>
        <w:snapToGrid w:val="0"/>
        <w:rPr>
          <w:szCs w:val="24"/>
        </w:rPr>
      </w:pPr>
    </w:p>
    <w:p w14:paraId="135E48B4">
      <w:pPr>
        <w:wordWrap w:val="0"/>
        <w:adjustRightInd w:val="0"/>
        <w:snapToGrid w:val="0"/>
        <w:rPr>
          <w:szCs w:val="24"/>
        </w:rPr>
      </w:pPr>
    </w:p>
    <w:p w14:paraId="2317EA39">
      <w:pPr>
        <w:wordWrap w:val="0"/>
        <w:adjustRightInd w:val="0"/>
        <w:snapToGrid w:val="0"/>
        <w:rPr>
          <w:szCs w:val="24"/>
        </w:rPr>
      </w:pPr>
    </w:p>
    <w:p w14:paraId="67815576">
      <w:pPr>
        <w:wordWrap w:val="0"/>
        <w:adjustRightInd w:val="0"/>
        <w:snapToGrid w:val="0"/>
        <w:rPr>
          <w:szCs w:val="24"/>
        </w:rPr>
      </w:pPr>
    </w:p>
    <w:p w14:paraId="67B87804">
      <w:pPr>
        <w:wordWrap w:val="0"/>
        <w:adjustRightInd w:val="0"/>
        <w:snapToGrid w:val="0"/>
        <w:ind w:firstLine="1084" w:firstLineChars="300"/>
        <w:rPr>
          <w:b/>
          <w:sz w:val="36"/>
          <w:szCs w:val="28"/>
        </w:rPr>
      </w:pPr>
      <w:r>
        <w:rPr>
          <w:b/>
          <w:sz w:val="36"/>
          <w:szCs w:val="28"/>
        </w:rPr>
        <w:t>项</w:t>
      </w:r>
      <w:r>
        <w:rPr>
          <w:rFonts w:hint="eastAsia"/>
          <w:b/>
          <w:sz w:val="36"/>
          <w:szCs w:val="28"/>
        </w:rPr>
        <w:t xml:space="preserve"> </w:t>
      </w:r>
      <w:r>
        <w:rPr>
          <w:b/>
          <w:sz w:val="36"/>
          <w:szCs w:val="28"/>
        </w:rPr>
        <w:t>目</w:t>
      </w:r>
      <w:r>
        <w:rPr>
          <w:rFonts w:hint="eastAsia"/>
          <w:b/>
          <w:sz w:val="36"/>
          <w:szCs w:val="28"/>
        </w:rPr>
        <w:t xml:space="preserve"> </w:t>
      </w:r>
      <w:r>
        <w:rPr>
          <w:b/>
          <w:sz w:val="36"/>
          <w:szCs w:val="28"/>
        </w:rPr>
        <w:t>名</w:t>
      </w:r>
      <w:r>
        <w:rPr>
          <w:rFonts w:hint="eastAsia"/>
          <w:b/>
          <w:sz w:val="36"/>
          <w:szCs w:val="28"/>
        </w:rPr>
        <w:t xml:space="preserve"> </w:t>
      </w:r>
      <w:r>
        <w:rPr>
          <w:b/>
          <w:sz w:val="36"/>
          <w:szCs w:val="28"/>
        </w:rPr>
        <w:t>称：</w:t>
      </w:r>
      <w:r>
        <w:rPr>
          <w:rFonts w:hint="eastAsia"/>
          <w:b/>
          <w:bCs/>
          <w:sz w:val="36"/>
          <w:szCs w:val="36"/>
          <w:u w:val="single"/>
        </w:rPr>
        <w:t xml:space="preserve"> </w:t>
      </w:r>
      <w:r>
        <w:rPr>
          <w:b/>
          <w:bCs/>
          <w:sz w:val="36"/>
          <w:szCs w:val="36"/>
          <w:u w:val="single"/>
        </w:rPr>
        <w:t xml:space="preserve">                   </w:t>
      </w:r>
    </w:p>
    <w:p w14:paraId="2AE11DBA">
      <w:pPr>
        <w:wordWrap w:val="0"/>
        <w:adjustRightInd w:val="0"/>
        <w:snapToGrid w:val="0"/>
        <w:ind w:firstLine="1446" w:firstLineChars="400"/>
        <w:rPr>
          <w:b/>
          <w:sz w:val="36"/>
          <w:szCs w:val="28"/>
        </w:rPr>
      </w:pPr>
    </w:p>
    <w:p w14:paraId="193E2E1B">
      <w:pPr>
        <w:wordWrap w:val="0"/>
        <w:adjustRightInd w:val="0"/>
        <w:snapToGrid w:val="0"/>
        <w:ind w:firstLine="1084" w:firstLineChars="300"/>
        <w:rPr>
          <w:b/>
          <w:sz w:val="36"/>
          <w:szCs w:val="28"/>
        </w:rPr>
      </w:pPr>
      <w:r>
        <w:rPr>
          <w:b/>
          <w:sz w:val="36"/>
          <w:szCs w:val="28"/>
        </w:rPr>
        <w:t>项</w:t>
      </w:r>
      <w:r>
        <w:rPr>
          <w:rFonts w:hint="eastAsia"/>
          <w:b/>
          <w:sz w:val="36"/>
          <w:szCs w:val="28"/>
        </w:rPr>
        <w:t xml:space="preserve"> </w:t>
      </w:r>
      <w:r>
        <w:rPr>
          <w:b/>
          <w:sz w:val="36"/>
          <w:szCs w:val="28"/>
        </w:rPr>
        <w:t>目</w:t>
      </w:r>
      <w:r>
        <w:rPr>
          <w:rFonts w:hint="eastAsia"/>
          <w:b/>
          <w:sz w:val="36"/>
          <w:szCs w:val="28"/>
        </w:rPr>
        <w:t xml:space="preserve"> 编 号</w:t>
      </w:r>
      <w:r>
        <w:rPr>
          <w:b/>
          <w:sz w:val="36"/>
          <w:szCs w:val="28"/>
        </w:rPr>
        <w:t>：</w:t>
      </w:r>
      <w:r>
        <w:rPr>
          <w:rFonts w:hint="eastAsia"/>
          <w:b/>
          <w:bCs/>
          <w:sz w:val="36"/>
          <w:szCs w:val="36"/>
          <w:u w:val="single"/>
        </w:rPr>
        <w:t xml:space="preserve"> </w:t>
      </w:r>
      <w:r>
        <w:rPr>
          <w:b/>
          <w:bCs/>
          <w:sz w:val="36"/>
          <w:szCs w:val="36"/>
          <w:u w:val="single"/>
        </w:rPr>
        <w:t xml:space="preserve">                   </w:t>
      </w:r>
    </w:p>
    <w:p w14:paraId="017B8ADE">
      <w:pPr>
        <w:wordWrap w:val="0"/>
        <w:adjustRightInd w:val="0"/>
        <w:snapToGrid w:val="0"/>
        <w:ind w:firstLine="1446" w:firstLineChars="400"/>
        <w:rPr>
          <w:b/>
          <w:sz w:val="36"/>
          <w:szCs w:val="28"/>
        </w:rPr>
      </w:pPr>
    </w:p>
    <w:p w14:paraId="7B8B1DF1">
      <w:pPr>
        <w:wordWrap w:val="0"/>
        <w:adjustRightInd w:val="0"/>
        <w:snapToGrid w:val="0"/>
        <w:ind w:firstLine="1084" w:firstLineChars="300"/>
        <w:rPr>
          <w:b/>
          <w:sz w:val="36"/>
          <w:szCs w:val="28"/>
        </w:rPr>
      </w:pPr>
      <w:r>
        <w:rPr>
          <w:rFonts w:hint="eastAsia"/>
          <w:b/>
          <w:sz w:val="36"/>
          <w:szCs w:val="28"/>
        </w:rPr>
        <w:t xml:space="preserve">投标人名称 </w:t>
      </w:r>
      <w:r>
        <w:rPr>
          <w:b/>
          <w:sz w:val="36"/>
          <w:szCs w:val="28"/>
        </w:rPr>
        <w:t>：</w:t>
      </w:r>
      <w:r>
        <w:rPr>
          <w:rFonts w:hint="eastAsia"/>
          <w:b/>
          <w:bCs/>
          <w:sz w:val="36"/>
          <w:szCs w:val="36"/>
          <w:u w:val="single"/>
        </w:rPr>
        <w:t>（加盖CA电子公章）</w:t>
      </w:r>
    </w:p>
    <w:p w14:paraId="2308A8B4">
      <w:pPr>
        <w:wordWrap w:val="0"/>
        <w:adjustRightInd w:val="0"/>
        <w:snapToGrid w:val="0"/>
        <w:ind w:firstLine="1084" w:firstLineChars="300"/>
        <w:rPr>
          <w:b/>
          <w:sz w:val="36"/>
          <w:szCs w:val="28"/>
        </w:rPr>
      </w:pPr>
    </w:p>
    <w:p w14:paraId="1E3CD40A">
      <w:pPr>
        <w:wordWrap w:val="0"/>
        <w:adjustRightInd w:val="0"/>
        <w:snapToGrid w:val="0"/>
        <w:ind w:firstLine="1084" w:firstLineChars="300"/>
      </w:pPr>
      <w:r>
        <w:rPr>
          <w:rFonts w:hint="eastAsia"/>
          <w:b/>
          <w:sz w:val="36"/>
          <w:szCs w:val="28"/>
        </w:rPr>
        <w:t>日期 ：</w:t>
      </w:r>
      <w:r>
        <w:rPr>
          <w:rFonts w:hint="eastAsia"/>
          <w:b/>
          <w:bCs/>
          <w:sz w:val="36"/>
          <w:szCs w:val="36"/>
          <w:u w:val="single"/>
        </w:rPr>
        <w:t xml:space="preserve"> </w:t>
      </w:r>
      <w:r>
        <w:rPr>
          <w:b/>
          <w:bCs/>
          <w:sz w:val="36"/>
          <w:szCs w:val="36"/>
          <w:u w:val="single"/>
        </w:rPr>
        <w:t xml:space="preserve">                   </w:t>
      </w:r>
    </w:p>
    <w:p w14:paraId="1E9F4486">
      <w:pPr>
        <w:numPr>
          <w:ilvl w:val="0"/>
          <w:numId w:val="29"/>
        </w:numPr>
        <w:wordWrap w:val="0"/>
        <w:adjustRightInd w:val="0"/>
        <w:snapToGrid w:val="0"/>
        <w:jc w:val="center"/>
        <w:outlineLvl w:val="1"/>
        <w:rPr>
          <w:b/>
          <w:sz w:val="36"/>
          <w:szCs w:val="21"/>
        </w:rPr>
      </w:pPr>
      <w:r>
        <w:rPr>
          <w:szCs w:val="24"/>
        </w:rPr>
        <w:br w:type="page"/>
      </w:r>
      <w:r>
        <w:rPr>
          <w:rFonts w:hint="eastAsia"/>
          <w:b/>
          <w:sz w:val="36"/>
          <w:szCs w:val="21"/>
        </w:rPr>
        <w:t>投标函</w:t>
      </w:r>
    </w:p>
    <w:p w14:paraId="5F1487B1">
      <w:pPr>
        <w:wordWrap w:val="0"/>
        <w:adjustRightInd w:val="0"/>
        <w:snapToGrid w:val="0"/>
        <w:rPr>
          <w:bCs/>
          <w:szCs w:val="28"/>
        </w:rPr>
      </w:pPr>
    </w:p>
    <w:p w14:paraId="31A6884A">
      <w:pPr>
        <w:wordWrap w:val="0"/>
        <w:adjustRightInd w:val="0"/>
        <w:snapToGrid w:val="0"/>
        <w:rPr>
          <w:szCs w:val="21"/>
        </w:rPr>
      </w:pPr>
      <w:r>
        <w:rPr>
          <w:rFonts w:hint="eastAsia"/>
        </w:rPr>
        <w:t>淮安市淮安医院</w:t>
      </w:r>
      <w:r>
        <w:rPr>
          <w:rFonts w:hint="eastAsia"/>
          <w:szCs w:val="21"/>
        </w:rPr>
        <w:t>：</w:t>
      </w:r>
    </w:p>
    <w:p w14:paraId="5CC74371">
      <w:pPr>
        <w:tabs>
          <w:tab w:val="center" w:pos="4621"/>
        </w:tabs>
        <w:wordWrap w:val="0"/>
        <w:adjustRightInd w:val="0"/>
        <w:snapToGrid w:val="0"/>
        <w:ind w:firstLine="480" w:firstLineChars="200"/>
        <w:rPr>
          <w:rFonts w:cs="Arial"/>
          <w:szCs w:val="24"/>
        </w:rPr>
      </w:pPr>
      <w:r>
        <w:rPr>
          <w:rFonts w:hint="eastAsia"/>
          <w:szCs w:val="52"/>
        </w:rPr>
        <w:t>根据贵方的</w:t>
      </w:r>
      <w:r>
        <w:rPr>
          <w:u w:val="single"/>
        </w:rPr>
        <w:t xml:space="preserve">                </w:t>
      </w:r>
      <w:r>
        <w:rPr>
          <w:rFonts w:hint="eastAsia" w:cs="宋体"/>
          <w:szCs w:val="21"/>
        </w:rPr>
        <w:t>（项目名称）（项目编号</w:t>
      </w:r>
      <w:r>
        <w:rPr>
          <w:rFonts w:cs="宋体"/>
          <w:szCs w:val="21"/>
        </w:rPr>
        <w:t>：</w:t>
      </w:r>
      <w:r>
        <w:rPr>
          <w:u w:val="single"/>
        </w:rPr>
        <w:t xml:space="preserve">                </w:t>
      </w:r>
      <w:r>
        <w:rPr>
          <w:rFonts w:hint="eastAsia" w:cs="宋体"/>
          <w:szCs w:val="21"/>
        </w:rPr>
        <w:t>）招标</w:t>
      </w:r>
      <w:r>
        <w:rPr>
          <w:rFonts w:hint="eastAsia"/>
        </w:rPr>
        <w:t>文件</w:t>
      </w:r>
      <w:r>
        <w:rPr>
          <w:rFonts w:hint="eastAsia"/>
          <w:szCs w:val="28"/>
        </w:rPr>
        <w:t>，正式授权下述签字人</w:t>
      </w:r>
      <w:bookmarkStart w:id="235" w:name="OLE_LINK212"/>
      <w:bookmarkStart w:id="236" w:name="OLE_LINK210"/>
      <w:r>
        <w:rPr>
          <w:szCs w:val="28"/>
          <w:u w:val="single"/>
        </w:rPr>
        <w:t xml:space="preserve">          </w:t>
      </w:r>
      <w:bookmarkEnd w:id="235"/>
      <w:bookmarkEnd w:id="236"/>
      <w:r>
        <w:rPr>
          <w:rFonts w:hint="eastAsia"/>
          <w:szCs w:val="28"/>
        </w:rPr>
        <w:t>（姓名和职务）代表</w:t>
      </w:r>
      <w:r>
        <w:rPr>
          <w:u w:val="single"/>
        </w:rPr>
        <w:t xml:space="preserve">                </w:t>
      </w:r>
      <w:r>
        <w:rPr>
          <w:rFonts w:hint="eastAsia"/>
          <w:szCs w:val="28"/>
        </w:rPr>
        <w:t>（投标人名称），全权处理本次项目投标的有关事宜。</w:t>
      </w:r>
    </w:p>
    <w:p w14:paraId="6373279B">
      <w:pPr>
        <w:wordWrap w:val="0"/>
        <w:adjustRightInd w:val="0"/>
        <w:snapToGrid w:val="0"/>
        <w:ind w:firstLine="480" w:firstLineChars="200"/>
      </w:pPr>
      <w:r>
        <w:t>1</w:t>
      </w:r>
      <w:r>
        <w:rPr>
          <w:szCs w:val="21"/>
        </w:rPr>
        <w:t>．</w:t>
      </w:r>
      <w:r>
        <w:rPr>
          <w:rFonts w:hint="eastAsia"/>
          <w:szCs w:val="21"/>
        </w:rPr>
        <w:t>我方</w:t>
      </w:r>
      <w:r>
        <w:rPr>
          <w:szCs w:val="21"/>
        </w:rPr>
        <w:t>愿以</w:t>
      </w:r>
      <w:r>
        <w:rPr>
          <w:rFonts w:hint="eastAsia"/>
        </w:rPr>
        <w:t>开标一览表中的投标总报价</w:t>
      </w:r>
      <w:r>
        <w:rPr>
          <w:rFonts w:hint="eastAsia"/>
          <w:szCs w:val="21"/>
        </w:rPr>
        <w:t>，</w:t>
      </w:r>
      <w:r>
        <w:rPr>
          <w:rFonts w:cs="Arial"/>
          <w:szCs w:val="24"/>
        </w:rPr>
        <w:t>按</w:t>
      </w:r>
      <w:r>
        <w:rPr>
          <w:rFonts w:hint="eastAsia" w:cs="Arial"/>
          <w:szCs w:val="24"/>
        </w:rPr>
        <w:t>招标</w:t>
      </w:r>
      <w:r>
        <w:rPr>
          <w:rFonts w:cs="Arial"/>
          <w:szCs w:val="24"/>
        </w:rPr>
        <w:t>文件规定的各项要求，向</w:t>
      </w:r>
      <w:r>
        <w:rPr>
          <w:rFonts w:hint="eastAsia" w:cs="Arial"/>
          <w:szCs w:val="24"/>
        </w:rPr>
        <w:t>贵</w:t>
      </w:r>
      <w:r>
        <w:rPr>
          <w:rFonts w:cs="Arial"/>
          <w:szCs w:val="24"/>
        </w:rPr>
        <w:t>方提供所需</w:t>
      </w:r>
      <w:r>
        <w:t>服务（包含与服务相关的货物）</w:t>
      </w:r>
      <w:r>
        <w:rPr>
          <w:rFonts w:hint="eastAsia"/>
        </w:rPr>
        <w:t>。</w:t>
      </w:r>
    </w:p>
    <w:p w14:paraId="53C3522E">
      <w:pPr>
        <w:wordWrap w:val="0"/>
        <w:adjustRightInd w:val="0"/>
        <w:snapToGrid w:val="0"/>
        <w:ind w:firstLine="480" w:firstLineChars="200"/>
        <w:rPr>
          <w:szCs w:val="24"/>
        </w:rPr>
      </w:pPr>
      <w:r>
        <w:t>2</w:t>
      </w:r>
      <w:r>
        <w:rPr>
          <w:szCs w:val="21"/>
        </w:rPr>
        <w:t>．</w:t>
      </w:r>
      <w:r>
        <w:rPr>
          <w:rFonts w:hint="eastAsia"/>
          <w:szCs w:val="24"/>
        </w:rPr>
        <w:t>我们完全理解贵方不一定将合同授予最低报价的的</w:t>
      </w:r>
      <w:r>
        <w:rPr>
          <w:rFonts w:hint="eastAsia" w:cs="宋体"/>
          <w:szCs w:val="21"/>
        </w:rPr>
        <w:t>投标人</w:t>
      </w:r>
      <w:r>
        <w:rPr>
          <w:rFonts w:hint="eastAsia"/>
        </w:rPr>
        <w:t>。</w:t>
      </w:r>
    </w:p>
    <w:p w14:paraId="073485A2">
      <w:pPr>
        <w:wordWrap w:val="0"/>
        <w:adjustRightInd w:val="0"/>
        <w:snapToGrid w:val="0"/>
        <w:ind w:firstLine="480" w:firstLineChars="200"/>
        <w:rPr>
          <w:szCs w:val="24"/>
        </w:rPr>
      </w:pPr>
      <w:r>
        <w:rPr>
          <w:szCs w:val="24"/>
        </w:rPr>
        <w:t>3</w:t>
      </w:r>
      <w:r>
        <w:rPr>
          <w:szCs w:val="21"/>
        </w:rPr>
        <w:t>．</w:t>
      </w:r>
      <w:r>
        <w:rPr>
          <w:rFonts w:hint="eastAsia"/>
          <w:szCs w:val="24"/>
        </w:rPr>
        <w:t>我们已详细审核全部招标文件及其有效补充文件，我们知道必须放弃提出含糊不清或误解问题的权利</w:t>
      </w:r>
      <w:bookmarkStart w:id="237" w:name="OLE_LINK3"/>
      <w:r>
        <w:rPr>
          <w:rFonts w:hint="eastAsia"/>
          <w:szCs w:val="24"/>
        </w:rPr>
        <w:t>，严格遵守招标</w:t>
      </w:r>
      <w:r>
        <w:rPr>
          <w:rFonts w:hint="eastAsia"/>
        </w:rPr>
        <w:t>文件的各项</w:t>
      </w:r>
      <w:r>
        <w:rPr>
          <w:rFonts w:hint="eastAsia"/>
          <w:szCs w:val="24"/>
        </w:rPr>
        <w:t>规定</w:t>
      </w:r>
      <w:bookmarkEnd w:id="237"/>
      <w:r>
        <w:rPr>
          <w:szCs w:val="24"/>
        </w:rPr>
        <w:t>。</w:t>
      </w:r>
    </w:p>
    <w:p w14:paraId="04F73FF1">
      <w:pPr>
        <w:wordWrap w:val="0"/>
        <w:adjustRightInd w:val="0"/>
        <w:snapToGrid w:val="0"/>
        <w:ind w:firstLine="480" w:firstLineChars="200"/>
        <w:rPr>
          <w:szCs w:val="24"/>
        </w:rPr>
      </w:pPr>
      <w:r>
        <w:rPr>
          <w:szCs w:val="24"/>
        </w:rPr>
        <w:t>4．</w:t>
      </w:r>
      <w:r>
        <w:rPr>
          <w:rFonts w:hint="eastAsia"/>
          <w:szCs w:val="24"/>
        </w:rPr>
        <w:t>我方同意本投标文件的投标有效期为从提交投标文件的截止之日起</w:t>
      </w:r>
      <w:r>
        <w:rPr>
          <w:szCs w:val="21"/>
          <w:u w:val="single"/>
        </w:rPr>
        <w:t>90</w:t>
      </w:r>
      <w:r>
        <w:rPr>
          <w:rFonts w:hint="eastAsia"/>
          <w:szCs w:val="24"/>
        </w:rPr>
        <w:t>天，在此期间本投标文件将始终对我方具有约束力，并可随时被接受。</w:t>
      </w:r>
    </w:p>
    <w:p w14:paraId="1C5CBAD9">
      <w:pPr>
        <w:wordWrap w:val="0"/>
        <w:adjustRightInd w:val="0"/>
        <w:snapToGrid w:val="0"/>
        <w:ind w:firstLine="480" w:firstLineChars="200"/>
        <w:rPr>
          <w:szCs w:val="24"/>
        </w:rPr>
      </w:pPr>
      <w:r>
        <w:rPr>
          <w:szCs w:val="24"/>
        </w:rPr>
        <w:t>5</w:t>
      </w:r>
      <w:r>
        <w:rPr>
          <w:szCs w:val="21"/>
        </w:rPr>
        <w:t>．</w:t>
      </w:r>
      <w:r>
        <w:rPr>
          <w:rFonts w:hint="eastAsia"/>
          <w:szCs w:val="24"/>
        </w:rPr>
        <w:t>我方同意向贵方提供贵方可能要求的与投标有关的任何数据或资料，并保证已提供和将</w:t>
      </w:r>
      <w:r>
        <w:rPr>
          <w:rFonts w:hint="eastAsia" w:cs="Arial"/>
          <w:szCs w:val="24"/>
        </w:rPr>
        <w:t>要提供的文件是</w:t>
      </w:r>
      <w:r>
        <w:rPr>
          <w:rFonts w:cs="Arial"/>
          <w:szCs w:val="24"/>
        </w:rPr>
        <w:t>真实</w:t>
      </w:r>
      <w:r>
        <w:rPr>
          <w:rFonts w:hint="eastAsia" w:cs="Arial"/>
          <w:szCs w:val="24"/>
        </w:rPr>
        <w:t>的</w:t>
      </w:r>
      <w:r>
        <w:rPr>
          <w:rFonts w:cs="Arial"/>
          <w:szCs w:val="24"/>
        </w:rPr>
        <w:t>、</w:t>
      </w:r>
      <w:r>
        <w:rPr>
          <w:rFonts w:hint="eastAsia" w:cs="Arial"/>
          <w:szCs w:val="24"/>
        </w:rPr>
        <w:t>准确的。</w:t>
      </w:r>
    </w:p>
    <w:p w14:paraId="2C78D673">
      <w:pPr>
        <w:wordWrap w:val="0"/>
        <w:adjustRightInd w:val="0"/>
        <w:snapToGrid w:val="0"/>
        <w:ind w:firstLine="480" w:firstLineChars="200"/>
        <w:rPr>
          <w:szCs w:val="24"/>
        </w:rPr>
      </w:pPr>
      <w:r>
        <w:rPr>
          <w:szCs w:val="24"/>
        </w:rPr>
        <w:t>6</w:t>
      </w:r>
      <w:r>
        <w:rPr>
          <w:szCs w:val="21"/>
        </w:rPr>
        <w:t>．</w:t>
      </w:r>
      <w:r>
        <w:t>若我方</w:t>
      </w:r>
      <w:r>
        <w:rPr>
          <w:rFonts w:hint="eastAsia" w:cs="Arial"/>
          <w:szCs w:val="24"/>
        </w:rPr>
        <w:t>中标</w:t>
      </w:r>
      <w:r>
        <w:rPr>
          <w:szCs w:val="24"/>
        </w:rPr>
        <w:t>，我方</w:t>
      </w:r>
      <w:r>
        <w:rPr>
          <w:rFonts w:hint="eastAsia"/>
        </w:rPr>
        <w:t>将</w:t>
      </w:r>
      <w:r>
        <w:rPr>
          <w:szCs w:val="24"/>
        </w:rPr>
        <w:t>在</w:t>
      </w:r>
      <w:r>
        <w:rPr>
          <w:rFonts w:hint="eastAsia"/>
          <w:szCs w:val="24"/>
        </w:rPr>
        <w:t>中标</w:t>
      </w:r>
      <w:r>
        <w:rPr>
          <w:szCs w:val="24"/>
        </w:rPr>
        <w:t>通知书规定的期限内与</w:t>
      </w:r>
      <w:r>
        <w:rPr>
          <w:rFonts w:hint="eastAsia" w:cs="Arial"/>
          <w:szCs w:val="24"/>
        </w:rPr>
        <w:t>贵</w:t>
      </w:r>
      <w:r>
        <w:rPr>
          <w:szCs w:val="24"/>
        </w:rPr>
        <w:t>方签订合同</w:t>
      </w:r>
      <w:r>
        <w:rPr>
          <w:rFonts w:hint="eastAsia"/>
          <w:szCs w:val="24"/>
        </w:rPr>
        <w:t>，</w:t>
      </w:r>
      <w:r>
        <w:rPr>
          <w:szCs w:val="24"/>
        </w:rPr>
        <w:t>签订合同时不向</w:t>
      </w:r>
      <w:r>
        <w:rPr>
          <w:rFonts w:hint="eastAsia"/>
          <w:szCs w:val="24"/>
        </w:rPr>
        <w:t>贵</w:t>
      </w:r>
      <w:r>
        <w:rPr>
          <w:szCs w:val="24"/>
        </w:rPr>
        <w:t>方提出附加条件</w:t>
      </w:r>
      <w:r>
        <w:rPr>
          <w:rFonts w:hint="eastAsia"/>
          <w:szCs w:val="24"/>
        </w:rPr>
        <w:t>。</w:t>
      </w:r>
    </w:p>
    <w:p w14:paraId="32C7B56C">
      <w:pPr>
        <w:wordWrap w:val="0"/>
        <w:adjustRightInd w:val="0"/>
        <w:snapToGrid w:val="0"/>
        <w:ind w:firstLine="480" w:firstLineChars="200"/>
      </w:pPr>
      <w:r>
        <w:rPr>
          <w:szCs w:val="24"/>
        </w:rPr>
        <w:t>7</w:t>
      </w:r>
      <w:r>
        <w:rPr>
          <w:szCs w:val="21"/>
        </w:rPr>
        <w:t>．</w:t>
      </w:r>
      <w:r>
        <w:rPr>
          <w:rFonts w:cs="Arial"/>
          <w:szCs w:val="24"/>
        </w:rPr>
        <w:t>一旦我方</w:t>
      </w:r>
      <w:r>
        <w:rPr>
          <w:rFonts w:hint="eastAsia" w:cs="Arial"/>
          <w:szCs w:val="24"/>
        </w:rPr>
        <w:t>中标</w:t>
      </w:r>
      <w:r>
        <w:rPr>
          <w:rFonts w:cs="Arial"/>
          <w:szCs w:val="24"/>
        </w:rPr>
        <w:t>，我方将根据</w:t>
      </w:r>
      <w:r>
        <w:rPr>
          <w:rFonts w:hint="eastAsia" w:cs="Arial"/>
          <w:szCs w:val="24"/>
        </w:rPr>
        <w:t>招标</w:t>
      </w:r>
      <w:r>
        <w:rPr>
          <w:rFonts w:cs="Arial"/>
          <w:szCs w:val="24"/>
        </w:rPr>
        <w:t>文件的规定，严格履行合同的责任和义务，并保证在</w:t>
      </w:r>
      <w:r>
        <w:rPr>
          <w:rFonts w:hint="eastAsia" w:cs="Arial"/>
          <w:szCs w:val="24"/>
        </w:rPr>
        <w:t>招标</w:t>
      </w:r>
      <w:r>
        <w:rPr>
          <w:rFonts w:cs="Arial"/>
          <w:szCs w:val="24"/>
        </w:rPr>
        <w:t>文件规定的</w:t>
      </w:r>
      <w:r>
        <w:rPr>
          <w:rFonts w:hint="eastAsia" w:cs="Arial"/>
          <w:szCs w:val="24"/>
        </w:rPr>
        <w:t>时间</w:t>
      </w:r>
      <w:bookmarkStart w:id="238" w:name="OLE_LINK201"/>
      <w:bookmarkStart w:id="239" w:name="OLE_LINK206"/>
      <w:r>
        <w:rPr>
          <w:rFonts w:hint="eastAsia"/>
          <w:szCs w:val="24"/>
        </w:rPr>
        <w:t>完成项目，</w:t>
      </w:r>
      <w:r>
        <w:rPr>
          <w:szCs w:val="24"/>
        </w:rPr>
        <w:t>交付</w:t>
      </w:r>
      <w:r>
        <w:rPr>
          <w:rFonts w:hint="eastAsia"/>
          <w:szCs w:val="24"/>
        </w:rPr>
        <w:t>贵</w:t>
      </w:r>
      <w:r>
        <w:rPr>
          <w:szCs w:val="24"/>
        </w:rPr>
        <w:t>方验</w:t>
      </w:r>
      <w:r>
        <w:rPr>
          <w:rFonts w:cs="Arial"/>
          <w:szCs w:val="24"/>
        </w:rPr>
        <w:t>收、使用</w:t>
      </w:r>
      <w:bookmarkEnd w:id="238"/>
      <w:bookmarkEnd w:id="239"/>
      <w:r>
        <w:rPr>
          <w:rFonts w:cs="Arial"/>
          <w:szCs w:val="24"/>
        </w:rPr>
        <w:t>。</w:t>
      </w:r>
    </w:p>
    <w:p w14:paraId="3287BA31">
      <w:pPr>
        <w:wordWrap w:val="0"/>
        <w:adjustRightInd w:val="0"/>
        <w:snapToGrid w:val="0"/>
        <w:ind w:firstLine="480" w:firstLineChars="200"/>
      </w:pPr>
      <w:r>
        <w:t>8</w:t>
      </w:r>
      <w:r>
        <w:rPr>
          <w:szCs w:val="21"/>
        </w:rPr>
        <w:t>．我方</w:t>
      </w:r>
      <w:r>
        <w:rPr>
          <w:rFonts w:hint="eastAsia"/>
          <w:szCs w:val="21"/>
        </w:rPr>
        <w:t>承诺</w:t>
      </w:r>
      <w:r>
        <w:rPr>
          <w:szCs w:val="24"/>
        </w:rPr>
        <w:t>在本次</w:t>
      </w:r>
      <w:r>
        <w:rPr>
          <w:rFonts w:hint="eastAsia"/>
          <w:szCs w:val="24"/>
        </w:rPr>
        <w:t>投标</w:t>
      </w:r>
      <w:r>
        <w:rPr>
          <w:szCs w:val="24"/>
        </w:rPr>
        <w:t>过程中</w:t>
      </w:r>
      <w:r>
        <w:rPr>
          <w:rFonts w:hint="eastAsia"/>
          <w:szCs w:val="21"/>
        </w:rPr>
        <w:t>不</w:t>
      </w:r>
      <w:r>
        <w:rPr>
          <w:szCs w:val="21"/>
        </w:rPr>
        <w:t>弄虚作假</w:t>
      </w:r>
      <w:r>
        <w:rPr>
          <w:rFonts w:hint="eastAsia"/>
          <w:szCs w:val="21"/>
        </w:rPr>
        <w:t>、不参与围标串标、不以“内卷式”低价竞争、不恶意提出质疑、投诉或者举报</w:t>
      </w:r>
      <w:r>
        <w:rPr>
          <w:rFonts w:hint="eastAsia"/>
          <w:szCs w:val="24"/>
        </w:rPr>
        <w:t>，</w:t>
      </w:r>
      <w:r>
        <w:rPr>
          <w:szCs w:val="24"/>
        </w:rPr>
        <w:t>并愿意承担因</w:t>
      </w:r>
      <w:r>
        <w:rPr>
          <w:rFonts w:hint="eastAsia"/>
          <w:szCs w:val="24"/>
        </w:rPr>
        <w:t>此</w:t>
      </w:r>
      <w:r>
        <w:rPr>
          <w:szCs w:val="24"/>
        </w:rPr>
        <w:t>所引起的一切法律责任</w:t>
      </w:r>
      <w:r>
        <w:rPr>
          <w:rFonts w:hint="eastAsia"/>
        </w:rPr>
        <w:t>。</w:t>
      </w:r>
    </w:p>
    <w:p w14:paraId="1BFEA7FE">
      <w:pPr>
        <w:wordWrap w:val="0"/>
        <w:adjustRightInd w:val="0"/>
        <w:snapToGrid w:val="0"/>
        <w:ind w:firstLine="480" w:firstLineChars="200"/>
      </w:pPr>
    </w:p>
    <w:p w14:paraId="137F8BF9">
      <w:pPr>
        <w:wordWrap w:val="0"/>
        <w:adjustRightInd w:val="0"/>
        <w:snapToGrid w:val="0"/>
        <w:ind w:firstLine="2400" w:firstLineChars="1000"/>
        <w:rPr>
          <w:rFonts w:cs="宋体"/>
          <w:szCs w:val="21"/>
          <w:u w:val="single"/>
        </w:rPr>
      </w:pPr>
      <w:r>
        <w:rPr>
          <w:rFonts w:hint="eastAsia" w:cs="宋体"/>
          <w:szCs w:val="21"/>
        </w:rPr>
        <w:t>投标人名称（</w:t>
      </w:r>
      <w:r>
        <w:rPr>
          <w:rFonts w:hint="eastAsia"/>
          <w:bCs/>
          <w:szCs w:val="28"/>
        </w:rPr>
        <w:t>CA电子公章</w:t>
      </w:r>
      <w:r>
        <w:rPr>
          <w:rFonts w:hint="eastAsia" w:cs="宋体"/>
          <w:szCs w:val="21"/>
        </w:rPr>
        <w:t>）：</w:t>
      </w:r>
      <w:r>
        <w:rPr>
          <w:rFonts w:hint="eastAsia"/>
          <w:szCs w:val="24"/>
          <w:u w:val="single"/>
        </w:rPr>
        <w:t xml:space="preserve">    </w:t>
      </w:r>
      <w:r>
        <w:rPr>
          <w:szCs w:val="24"/>
          <w:u w:val="single"/>
        </w:rPr>
        <w:t xml:space="preserve">  </w:t>
      </w:r>
      <w:r>
        <w:rPr>
          <w:rFonts w:hint="eastAsia"/>
          <w:szCs w:val="24"/>
          <w:u w:val="single"/>
        </w:rPr>
        <w:t xml:space="preserve"> </w:t>
      </w:r>
      <w:r>
        <w:rPr>
          <w:szCs w:val="24"/>
          <w:u w:val="single"/>
        </w:rPr>
        <w:t xml:space="preserve"> </w:t>
      </w:r>
      <w:r>
        <w:rPr>
          <w:rFonts w:hint="eastAsia"/>
          <w:szCs w:val="24"/>
          <w:u w:val="single"/>
        </w:rPr>
        <w:t xml:space="preserve"> </w:t>
      </w:r>
      <w:r>
        <w:rPr>
          <w:szCs w:val="24"/>
          <w:u w:val="single"/>
        </w:rPr>
        <w:t xml:space="preserve">  </w:t>
      </w:r>
      <w:r>
        <w:rPr>
          <w:rFonts w:hint="eastAsia"/>
          <w:szCs w:val="24"/>
          <w:u w:val="single"/>
        </w:rPr>
        <w:t xml:space="preserve"> </w:t>
      </w:r>
      <w:r>
        <w:rPr>
          <w:szCs w:val="24"/>
          <w:u w:val="single"/>
        </w:rPr>
        <w:t xml:space="preserve">  </w:t>
      </w:r>
      <w:r>
        <w:rPr>
          <w:rFonts w:hint="eastAsia"/>
          <w:szCs w:val="24"/>
          <w:u w:val="single"/>
        </w:rPr>
        <w:t xml:space="preserve">    </w:t>
      </w:r>
    </w:p>
    <w:p w14:paraId="1F299AFD">
      <w:pPr>
        <w:wordWrap w:val="0"/>
        <w:adjustRightInd w:val="0"/>
        <w:snapToGrid w:val="0"/>
        <w:ind w:firstLine="2400" w:firstLineChars="1000"/>
        <w:rPr>
          <w:szCs w:val="24"/>
          <w:u w:val="single"/>
        </w:rPr>
      </w:pPr>
      <w:r>
        <w:rPr>
          <w:rFonts w:hint="eastAsia"/>
          <w:szCs w:val="24"/>
        </w:rPr>
        <w:t>地址：</w:t>
      </w:r>
      <w:r>
        <w:rPr>
          <w:rFonts w:hint="eastAsia"/>
          <w:szCs w:val="24"/>
          <w:u w:val="single"/>
        </w:rPr>
        <w:t xml:space="preserve">    </w:t>
      </w:r>
      <w:r>
        <w:rPr>
          <w:szCs w:val="24"/>
          <w:u w:val="single"/>
        </w:rPr>
        <w:t xml:space="preserve">   </w:t>
      </w:r>
      <w:r>
        <w:rPr>
          <w:rFonts w:hint="eastAsia"/>
          <w:szCs w:val="24"/>
          <w:u w:val="single"/>
        </w:rPr>
        <w:t xml:space="preserve">  </w:t>
      </w:r>
      <w:r>
        <w:rPr>
          <w:szCs w:val="24"/>
          <w:u w:val="single"/>
        </w:rPr>
        <w:t xml:space="preserve"> </w:t>
      </w:r>
      <w:r>
        <w:rPr>
          <w:rFonts w:hint="eastAsia"/>
          <w:szCs w:val="24"/>
          <w:u w:val="single"/>
        </w:rPr>
        <w:t xml:space="preserve"> </w:t>
      </w:r>
      <w:r>
        <w:rPr>
          <w:szCs w:val="24"/>
          <w:u w:val="single"/>
        </w:rPr>
        <w:t xml:space="preserve">  </w:t>
      </w:r>
      <w:r>
        <w:rPr>
          <w:rFonts w:hint="eastAsia"/>
          <w:szCs w:val="24"/>
          <w:u w:val="single"/>
        </w:rPr>
        <w:t xml:space="preserve">   </w:t>
      </w:r>
      <w:r>
        <w:rPr>
          <w:rFonts w:hint="eastAsia"/>
          <w:szCs w:val="24"/>
        </w:rPr>
        <w:t>邮编：</w:t>
      </w:r>
      <w:r>
        <w:rPr>
          <w:rFonts w:hint="eastAsia"/>
          <w:szCs w:val="24"/>
          <w:u w:val="single"/>
        </w:rPr>
        <w:t xml:space="preserve">    </w:t>
      </w:r>
      <w:r>
        <w:rPr>
          <w:szCs w:val="24"/>
          <w:u w:val="single"/>
        </w:rPr>
        <w:t xml:space="preserve">    </w:t>
      </w:r>
      <w:r>
        <w:rPr>
          <w:rFonts w:hint="eastAsia"/>
          <w:szCs w:val="24"/>
          <w:u w:val="single"/>
        </w:rPr>
        <w:t xml:space="preserve">   </w:t>
      </w:r>
      <w:r>
        <w:rPr>
          <w:szCs w:val="24"/>
          <w:u w:val="single"/>
        </w:rPr>
        <w:t xml:space="preserve">  </w:t>
      </w:r>
      <w:r>
        <w:rPr>
          <w:rFonts w:hint="eastAsia"/>
          <w:szCs w:val="24"/>
          <w:u w:val="single"/>
        </w:rPr>
        <w:t xml:space="preserve">   </w:t>
      </w:r>
    </w:p>
    <w:p w14:paraId="1A2B92FC">
      <w:pPr>
        <w:wordWrap w:val="0"/>
        <w:adjustRightInd w:val="0"/>
        <w:snapToGrid w:val="0"/>
        <w:ind w:firstLine="2400" w:firstLineChars="1000"/>
        <w:rPr>
          <w:szCs w:val="24"/>
          <w:u w:val="single"/>
        </w:rPr>
      </w:pPr>
      <w:r>
        <w:rPr>
          <w:rFonts w:hint="eastAsia"/>
          <w:szCs w:val="24"/>
        </w:rPr>
        <w:t>电话：</w:t>
      </w:r>
      <w:r>
        <w:rPr>
          <w:rFonts w:hint="eastAsia"/>
          <w:szCs w:val="24"/>
          <w:u w:val="single"/>
        </w:rPr>
        <w:t xml:space="preserve">    </w:t>
      </w:r>
      <w:r>
        <w:rPr>
          <w:szCs w:val="24"/>
          <w:u w:val="single"/>
        </w:rPr>
        <w:t xml:space="preserve">      </w:t>
      </w:r>
      <w:r>
        <w:rPr>
          <w:rFonts w:hint="eastAsia"/>
          <w:szCs w:val="24"/>
          <w:u w:val="single"/>
        </w:rPr>
        <w:t xml:space="preserve">      </w:t>
      </w:r>
      <w:r>
        <w:rPr>
          <w:rFonts w:hint="eastAsia"/>
          <w:szCs w:val="24"/>
        </w:rPr>
        <w:t>传真：</w:t>
      </w:r>
      <w:r>
        <w:rPr>
          <w:rFonts w:hint="eastAsia"/>
          <w:szCs w:val="24"/>
          <w:u w:val="single"/>
        </w:rPr>
        <w:t xml:space="preserve">    </w:t>
      </w:r>
      <w:r>
        <w:rPr>
          <w:szCs w:val="24"/>
          <w:u w:val="single"/>
        </w:rPr>
        <w:t xml:space="preserve">    </w:t>
      </w:r>
      <w:r>
        <w:rPr>
          <w:rFonts w:hint="eastAsia"/>
          <w:szCs w:val="24"/>
          <w:u w:val="single"/>
        </w:rPr>
        <w:t xml:space="preserve">   </w:t>
      </w:r>
      <w:r>
        <w:rPr>
          <w:szCs w:val="24"/>
          <w:u w:val="single"/>
        </w:rPr>
        <w:t xml:space="preserve">  </w:t>
      </w:r>
      <w:r>
        <w:rPr>
          <w:rFonts w:hint="eastAsia"/>
          <w:szCs w:val="24"/>
          <w:u w:val="single"/>
        </w:rPr>
        <w:t xml:space="preserve">   </w:t>
      </w:r>
    </w:p>
    <w:p w14:paraId="14B2946F">
      <w:pPr>
        <w:wordWrap w:val="0"/>
        <w:adjustRightInd w:val="0"/>
        <w:snapToGrid w:val="0"/>
        <w:ind w:firstLine="2400" w:firstLineChars="1000"/>
        <w:rPr>
          <w:rFonts w:cs="宋体"/>
          <w:szCs w:val="21"/>
        </w:rPr>
      </w:pPr>
      <w:r>
        <w:rPr>
          <w:rFonts w:hint="eastAsia"/>
          <w:szCs w:val="24"/>
        </w:rPr>
        <w:t>日期：</w:t>
      </w:r>
      <w:r>
        <w:rPr>
          <w:szCs w:val="21"/>
          <w:u w:val="single"/>
        </w:rPr>
        <w:t xml:space="preserve">          </w:t>
      </w:r>
      <w:r>
        <w:rPr>
          <w:szCs w:val="21"/>
        </w:rPr>
        <w:t>年</w:t>
      </w:r>
      <w:r>
        <w:rPr>
          <w:szCs w:val="21"/>
          <w:u w:val="single"/>
        </w:rPr>
        <w:t xml:space="preserve">    </w:t>
      </w:r>
      <w:r>
        <w:rPr>
          <w:szCs w:val="21"/>
        </w:rPr>
        <w:t>月</w:t>
      </w:r>
      <w:r>
        <w:rPr>
          <w:szCs w:val="21"/>
          <w:u w:val="single"/>
        </w:rPr>
        <w:t xml:space="preserve">    </w:t>
      </w:r>
      <w:r>
        <w:rPr>
          <w:szCs w:val="21"/>
        </w:rPr>
        <w:t>日</w:t>
      </w:r>
    </w:p>
    <w:p w14:paraId="21F5135C">
      <w:pPr>
        <w:numPr>
          <w:ilvl w:val="0"/>
          <w:numId w:val="29"/>
        </w:numPr>
        <w:wordWrap w:val="0"/>
        <w:adjustRightInd w:val="0"/>
        <w:snapToGrid w:val="0"/>
        <w:jc w:val="center"/>
        <w:outlineLvl w:val="1"/>
        <w:rPr>
          <w:b/>
          <w:sz w:val="36"/>
          <w:szCs w:val="21"/>
        </w:rPr>
      </w:pPr>
      <w:r>
        <w:rPr>
          <w:szCs w:val="28"/>
        </w:rPr>
        <w:br w:type="page"/>
      </w:r>
      <w:r>
        <w:rPr>
          <w:rFonts w:hint="eastAsia"/>
          <w:b/>
          <w:sz w:val="36"/>
          <w:szCs w:val="21"/>
        </w:rPr>
        <w:t>开标一览表（总价）</w:t>
      </w:r>
    </w:p>
    <w:p w14:paraId="51F46A44">
      <w:pPr>
        <w:wordWrap w:val="0"/>
        <w:adjustRightInd w:val="0"/>
        <w:snapToGrid w:val="0"/>
        <w:rPr>
          <w:szCs w:val="28"/>
        </w:rPr>
      </w:pPr>
      <w:r>
        <w:rPr>
          <w:rFonts w:hint="eastAsia"/>
          <w:szCs w:val="28"/>
        </w:rPr>
        <w:t>投标人全称（C</w:t>
      </w:r>
      <w:r>
        <w:rPr>
          <w:szCs w:val="28"/>
        </w:rPr>
        <w:t>A</w:t>
      </w:r>
      <w:r>
        <w:rPr>
          <w:rFonts w:hint="eastAsia"/>
          <w:szCs w:val="28"/>
        </w:rPr>
        <w:t>签章）：</w:t>
      </w:r>
    </w:p>
    <w:p w14:paraId="289D953C">
      <w:pPr>
        <w:wordWrap w:val="0"/>
        <w:adjustRightInd w:val="0"/>
        <w:snapToGrid w:val="0"/>
        <w:rPr>
          <w:szCs w:val="28"/>
        </w:rPr>
      </w:pPr>
      <w:r>
        <w:rPr>
          <w:rFonts w:hint="eastAsia"/>
          <w:szCs w:val="28"/>
        </w:rPr>
        <w:t>项目名称：</w:t>
      </w:r>
    </w:p>
    <w:p w14:paraId="4072F32B">
      <w:pPr>
        <w:wordWrap w:val="0"/>
        <w:adjustRightInd w:val="0"/>
        <w:snapToGrid w:val="0"/>
        <w:rPr>
          <w:szCs w:val="28"/>
        </w:rPr>
      </w:pPr>
      <w:r>
        <w:rPr>
          <w:rFonts w:hint="eastAsia"/>
          <w:szCs w:val="28"/>
        </w:rPr>
        <w:t>项目编号：</w:t>
      </w:r>
    </w:p>
    <w:p w14:paraId="14E78055">
      <w:pPr>
        <w:wordWrap w:val="0"/>
        <w:adjustRightInd w:val="0"/>
        <w:snapToGrid w:val="0"/>
        <w:rPr>
          <w:szCs w:val="28"/>
        </w:rPr>
      </w:pPr>
      <w:r>
        <w:rPr>
          <w:rFonts w:hint="eastAsia"/>
          <w:szCs w:val="28"/>
        </w:rPr>
        <w:t>分包号：</w:t>
      </w:r>
    </w:p>
    <w:tbl>
      <w:tblPr>
        <w:tblStyle w:val="31"/>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2"/>
      </w:tblGrid>
      <w:tr w14:paraId="0C418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exact"/>
        </w:trPr>
        <w:tc>
          <w:tcPr>
            <w:tcW w:w="9072" w:type="dxa"/>
            <w:vAlign w:val="center"/>
          </w:tcPr>
          <w:p w14:paraId="1032E9D7">
            <w:pPr>
              <w:tabs>
                <w:tab w:val="left" w:pos="900"/>
              </w:tabs>
              <w:wordWrap w:val="0"/>
              <w:adjustRightInd w:val="0"/>
              <w:snapToGrid w:val="0"/>
              <w:spacing w:line="300" w:lineRule="auto"/>
              <w:jc w:val="center"/>
            </w:pPr>
            <w:r>
              <w:rPr>
                <w:rFonts w:hint="eastAsia"/>
              </w:rPr>
              <w:t>总价（小写）</w:t>
            </w:r>
          </w:p>
        </w:tc>
      </w:tr>
      <w:tr w14:paraId="3304C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trPr>
        <w:tc>
          <w:tcPr>
            <w:tcW w:w="9072" w:type="dxa"/>
            <w:vAlign w:val="center"/>
          </w:tcPr>
          <w:p w14:paraId="4A3D76D6">
            <w:pPr>
              <w:wordWrap w:val="0"/>
              <w:adjustRightInd w:val="0"/>
              <w:snapToGrid w:val="0"/>
              <w:spacing w:line="300" w:lineRule="auto"/>
              <w:jc w:val="center"/>
            </w:pPr>
            <w:r>
              <w:rPr>
                <w:szCs w:val="21"/>
                <w:u w:val="single"/>
              </w:rPr>
              <w:t xml:space="preserve">                       </w:t>
            </w:r>
            <w:r>
              <w:rPr>
                <w:rFonts w:hint="eastAsia"/>
              </w:rPr>
              <w:t>元</w:t>
            </w:r>
          </w:p>
        </w:tc>
      </w:tr>
    </w:tbl>
    <w:p w14:paraId="58D5F4E3">
      <w:pPr>
        <w:wordWrap w:val="0"/>
        <w:adjustRightInd w:val="0"/>
        <w:snapToGrid w:val="0"/>
        <w:rPr>
          <w:szCs w:val="28"/>
        </w:rPr>
      </w:pPr>
    </w:p>
    <w:p w14:paraId="23209064">
      <w:pPr>
        <w:wordWrap w:val="0"/>
        <w:adjustRightInd w:val="0"/>
        <w:snapToGrid w:val="0"/>
        <w:rPr>
          <w:szCs w:val="28"/>
        </w:rPr>
      </w:pPr>
      <w:r>
        <w:rPr>
          <w:rFonts w:hint="eastAsia"/>
          <w:szCs w:val="28"/>
        </w:rPr>
        <w:t>日期：</w:t>
      </w:r>
      <w:r>
        <w:rPr>
          <w:szCs w:val="21"/>
          <w:u w:val="single"/>
        </w:rPr>
        <w:t xml:space="preserve">            </w:t>
      </w:r>
      <w:r>
        <w:rPr>
          <w:szCs w:val="21"/>
        </w:rPr>
        <w:t>年</w:t>
      </w:r>
      <w:r>
        <w:rPr>
          <w:szCs w:val="21"/>
          <w:u w:val="single"/>
        </w:rPr>
        <w:t xml:space="preserve">            </w:t>
      </w:r>
      <w:r>
        <w:rPr>
          <w:szCs w:val="21"/>
        </w:rPr>
        <w:t>月</w:t>
      </w:r>
      <w:r>
        <w:rPr>
          <w:szCs w:val="21"/>
          <w:u w:val="single"/>
        </w:rPr>
        <w:t xml:space="preserve">            </w:t>
      </w:r>
      <w:r>
        <w:rPr>
          <w:szCs w:val="21"/>
        </w:rPr>
        <w:t>日</w:t>
      </w:r>
    </w:p>
    <w:p w14:paraId="335023B2">
      <w:pPr>
        <w:wordWrap w:val="0"/>
        <w:adjustRightInd w:val="0"/>
        <w:snapToGrid w:val="0"/>
        <w:rPr>
          <w:szCs w:val="28"/>
        </w:rPr>
      </w:pPr>
    </w:p>
    <w:p w14:paraId="24763590">
      <w:pPr>
        <w:wordWrap w:val="0"/>
        <w:adjustRightInd w:val="0"/>
        <w:snapToGrid w:val="0"/>
        <w:rPr>
          <w:rFonts w:cs="宋体"/>
        </w:rPr>
      </w:pPr>
      <w:r>
        <w:rPr>
          <w:rFonts w:hint="eastAsia"/>
          <w:szCs w:val="28"/>
        </w:rPr>
        <w:t>注：</w:t>
      </w:r>
      <w:r>
        <w:rPr>
          <w:rFonts w:hint="eastAsia"/>
        </w:rPr>
        <w:t>此</w:t>
      </w:r>
      <w:r>
        <w:rPr>
          <w:rFonts w:cs="宋体"/>
        </w:rPr>
        <w:t>表中</w:t>
      </w:r>
      <w:r>
        <w:rPr>
          <w:rFonts w:hint="eastAsia" w:cs="宋体"/>
        </w:rPr>
        <w:t>，投标总报价</w:t>
      </w:r>
      <w:r>
        <w:rPr>
          <w:rFonts w:cs="宋体"/>
        </w:rPr>
        <w:t>即为优惠后报价</w:t>
      </w:r>
      <w:r>
        <w:rPr>
          <w:rFonts w:hint="eastAsia" w:cs="宋体"/>
        </w:rPr>
        <w:t>，</w:t>
      </w:r>
      <w:r>
        <w:rPr>
          <w:rFonts w:hint="eastAsia"/>
          <w:szCs w:val="28"/>
        </w:rPr>
        <w:t>应与投标分项报价表中的</w:t>
      </w:r>
      <w:r>
        <w:rPr>
          <w:rFonts w:hint="eastAsia" w:cs="Courier New"/>
          <w:szCs w:val="24"/>
        </w:rPr>
        <w:t>投标总报价</w:t>
      </w:r>
      <w:r>
        <w:rPr>
          <w:rFonts w:hint="eastAsia"/>
          <w:szCs w:val="28"/>
        </w:rPr>
        <w:t>相一致</w:t>
      </w:r>
      <w:r>
        <w:rPr>
          <w:rFonts w:cs="宋体"/>
        </w:rPr>
        <w:t>，并作为评标依据。</w:t>
      </w:r>
    </w:p>
    <w:p w14:paraId="72967C4F">
      <w:pPr>
        <w:wordWrap w:val="0"/>
        <w:adjustRightInd w:val="0"/>
        <w:snapToGrid w:val="0"/>
        <w:rPr>
          <w:rFonts w:cs="宋体"/>
        </w:rPr>
      </w:pPr>
    </w:p>
    <w:p w14:paraId="122BE2FB">
      <w:pPr>
        <w:numPr>
          <w:ilvl w:val="0"/>
          <w:numId w:val="29"/>
        </w:numPr>
        <w:wordWrap w:val="0"/>
        <w:adjustRightInd w:val="0"/>
        <w:snapToGrid w:val="0"/>
        <w:jc w:val="center"/>
        <w:outlineLvl w:val="1"/>
        <w:rPr>
          <w:b/>
          <w:sz w:val="36"/>
          <w:szCs w:val="21"/>
        </w:rPr>
      </w:pPr>
      <w:r>
        <w:rPr>
          <w:sz w:val="20"/>
          <w:szCs w:val="20"/>
        </w:rPr>
        <w:br w:type="page"/>
      </w:r>
      <w:r>
        <w:rPr>
          <w:rFonts w:hint="eastAsia"/>
          <w:b/>
          <w:sz w:val="36"/>
          <w:szCs w:val="21"/>
        </w:rPr>
        <w:t>投标分项报价表</w:t>
      </w:r>
    </w:p>
    <w:tbl>
      <w:tblPr>
        <w:tblStyle w:val="31"/>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2547"/>
        <w:gridCol w:w="2268"/>
        <w:gridCol w:w="1417"/>
        <w:gridCol w:w="2131"/>
      </w:tblGrid>
      <w:tr w14:paraId="7FCB6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9" w:type="dxa"/>
            <w:vAlign w:val="center"/>
          </w:tcPr>
          <w:p w14:paraId="171538E8">
            <w:pPr>
              <w:wordWrap w:val="0"/>
              <w:spacing w:line="240" w:lineRule="auto"/>
              <w:jc w:val="center"/>
              <w:rPr>
                <w:szCs w:val="21"/>
              </w:rPr>
            </w:pPr>
            <w:r>
              <w:rPr>
                <w:rFonts w:hint="eastAsia"/>
                <w:szCs w:val="21"/>
              </w:rPr>
              <w:t>序号</w:t>
            </w:r>
          </w:p>
        </w:tc>
        <w:tc>
          <w:tcPr>
            <w:tcW w:w="2547" w:type="dxa"/>
            <w:vAlign w:val="center"/>
          </w:tcPr>
          <w:p w14:paraId="2434D887">
            <w:pPr>
              <w:wordWrap w:val="0"/>
              <w:spacing w:line="240" w:lineRule="auto"/>
              <w:jc w:val="center"/>
              <w:rPr>
                <w:szCs w:val="21"/>
              </w:rPr>
            </w:pPr>
            <w:r>
              <w:rPr>
                <w:rFonts w:hint="eastAsia"/>
                <w:szCs w:val="21"/>
              </w:rPr>
              <w:t>服务（项目）名称</w:t>
            </w:r>
          </w:p>
        </w:tc>
        <w:tc>
          <w:tcPr>
            <w:tcW w:w="2268" w:type="dxa"/>
            <w:vAlign w:val="center"/>
          </w:tcPr>
          <w:p w14:paraId="1A636805">
            <w:pPr>
              <w:wordWrap w:val="0"/>
              <w:spacing w:line="240" w:lineRule="auto"/>
              <w:jc w:val="center"/>
              <w:rPr>
                <w:szCs w:val="21"/>
              </w:rPr>
            </w:pPr>
            <w:r>
              <w:rPr>
                <w:rFonts w:hint="eastAsia"/>
                <w:szCs w:val="21"/>
              </w:rPr>
              <w:t>费用构成</w:t>
            </w:r>
          </w:p>
        </w:tc>
        <w:tc>
          <w:tcPr>
            <w:tcW w:w="1417" w:type="dxa"/>
            <w:vAlign w:val="center"/>
          </w:tcPr>
          <w:p w14:paraId="729A4B66">
            <w:pPr>
              <w:wordWrap w:val="0"/>
              <w:spacing w:line="240" w:lineRule="auto"/>
              <w:jc w:val="center"/>
              <w:rPr>
                <w:szCs w:val="21"/>
              </w:rPr>
            </w:pPr>
            <w:r>
              <w:rPr>
                <w:rFonts w:hint="eastAsia"/>
                <w:szCs w:val="21"/>
              </w:rPr>
              <w:t>金额（元）</w:t>
            </w:r>
          </w:p>
        </w:tc>
        <w:tc>
          <w:tcPr>
            <w:tcW w:w="2131" w:type="dxa"/>
            <w:vAlign w:val="center"/>
          </w:tcPr>
          <w:p w14:paraId="244B821D">
            <w:pPr>
              <w:wordWrap w:val="0"/>
              <w:spacing w:line="240" w:lineRule="auto"/>
              <w:jc w:val="center"/>
              <w:rPr>
                <w:szCs w:val="21"/>
              </w:rPr>
            </w:pPr>
            <w:r>
              <w:rPr>
                <w:rFonts w:hint="eastAsia"/>
                <w:szCs w:val="21"/>
              </w:rPr>
              <w:t>备注</w:t>
            </w:r>
          </w:p>
        </w:tc>
      </w:tr>
      <w:tr w14:paraId="463E1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9" w:type="dxa"/>
            <w:vAlign w:val="center"/>
          </w:tcPr>
          <w:p w14:paraId="396E3788">
            <w:pPr>
              <w:wordWrap w:val="0"/>
              <w:spacing w:line="240" w:lineRule="auto"/>
              <w:jc w:val="center"/>
              <w:rPr>
                <w:rFonts w:cs="宋体"/>
                <w:b/>
              </w:rPr>
            </w:pPr>
          </w:p>
        </w:tc>
        <w:tc>
          <w:tcPr>
            <w:tcW w:w="2547" w:type="dxa"/>
            <w:vAlign w:val="center"/>
          </w:tcPr>
          <w:p w14:paraId="54552E27">
            <w:pPr>
              <w:wordWrap w:val="0"/>
              <w:spacing w:line="240" w:lineRule="auto"/>
              <w:rPr>
                <w:b/>
                <w:szCs w:val="21"/>
              </w:rPr>
            </w:pPr>
          </w:p>
        </w:tc>
        <w:tc>
          <w:tcPr>
            <w:tcW w:w="2268" w:type="dxa"/>
            <w:vAlign w:val="center"/>
          </w:tcPr>
          <w:p w14:paraId="62D86E86">
            <w:pPr>
              <w:wordWrap w:val="0"/>
              <w:spacing w:line="240" w:lineRule="auto"/>
              <w:rPr>
                <w:szCs w:val="21"/>
              </w:rPr>
            </w:pPr>
          </w:p>
        </w:tc>
        <w:tc>
          <w:tcPr>
            <w:tcW w:w="1417" w:type="dxa"/>
            <w:vAlign w:val="center"/>
          </w:tcPr>
          <w:p w14:paraId="2414FB26">
            <w:pPr>
              <w:wordWrap w:val="0"/>
              <w:spacing w:line="240" w:lineRule="auto"/>
              <w:jc w:val="center"/>
              <w:rPr>
                <w:szCs w:val="21"/>
              </w:rPr>
            </w:pPr>
          </w:p>
        </w:tc>
        <w:tc>
          <w:tcPr>
            <w:tcW w:w="2131" w:type="dxa"/>
            <w:vAlign w:val="center"/>
          </w:tcPr>
          <w:p w14:paraId="53F3ACEE">
            <w:pPr>
              <w:wordWrap w:val="0"/>
              <w:spacing w:line="240" w:lineRule="auto"/>
              <w:rPr>
                <w:szCs w:val="21"/>
              </w:rPr>
            </w:pPr>
          </w:p>
        </w:tc>
      </w:tr>
      <w:tr w14:paraId="0AD2C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9" w:type="dxa"/>
            <w:vAlign w:val="center"/>
          </w:tcPr>
          <w:p w14:paraId="56C3376F">
            <w:pPr>
              <w:wordWrap w:val="0"/>
              <w:spacing w:line="240" w:lineRule="auto"/>
              <w:jc w:val="center"/>
            </w:pPr>
          </w:p>
        </w:tc>
        <w:tc>
          <w:tcPr>
            <w:tcW w:w="2547" w:type="dxa"/>
            <w:vAlign w:val="center"/>
          </w:tcPr>
          <w:p w14:paraId="1A3273B8">
            <w:pPr>
              <w:wordWrap w:val="0"/>
              <w:spacing w:line="240" w:lineRule="auto"/>
              <w:rPr>
                <w:szCs w:val="21"/>
              </w:rPr>
            </w:pPr>
          </w:p>
        </w:tc>
        <w:tc>
          <w:tcPr>
            <w:tcW w:w="2268" w:type="dxa"/>
            <w:vAlign w:val="center"/>
          </w:tcPr>
          <w:p w14:paraId="1C8E1DE2">
            <w:pPr>
              <w:wordWrap w:val="0"/>
              <w:spacing w:line="240" w:lineRule="auto"/>
              <w:rPr>
                <w:szCs w:val="21"/>
              </w:rPr>
            </w:pPr>
          </w:p>
        </w:tc>
        <w:tc>
          <w:tcPr>
            <w:tcW w:w="1417" w:type="dxa"/>
            <w:vAlign w:val="center"/>
          </w:tcPr>
          <w:p w14:paraId="131D17E2">
            <w:pPr>
              <w:wordWrap w:val="0"/>
              <w:spacing w:line="240" w:lineRule="auto"/>
              <w:jc w:val="center"/>
              <w:rPr>
                <w:szCs w:val="21"/>
              </w:rPr>
            </w:pPr>
          </w:p>
        </w:tc>
        <w:tc>
          <w:tcPr>
            <w:tcW w:w="2131" w:type="dxa"/>
            <w:vAlign w:val="center"/>
          </w:tcPr>
          <w:p w14:paraId="5E29F617">
            <w:pPr>
              <w:spacing w:line="240" w:lineRule="auto"/>
              <w:rPr>
                <w:szCs w:val="21"/>
              </w:rPr>
            </w:pPr>
          </w:p>
        </w:tc>
      </w:tr>
      <w:tr w14:paraId="1AB5D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9" w:type="dxa"/>
            <w:vAlign w:val="center"/>
          </w:tcPr>
          <w:p w14:paraId="53C31931">
            <w:pPr>
              <w:spacing w:line="240" w:lineRule="auto"/>
              <w:jc w:val="center"/>
              <w:rPr>
                <w:rFonts w:cs="宋体"/>
              </w:rPr>
            </w:pPr>
          </w:p>
        </w:tc>
        <w:tc>
          <w:tcPr>
            <w:tcW w:w="2547" w:type="dxa"/>
            <w:vAlign w:val="center"/>
          </w:tcPr>
          <w:p w14:paraId="7EAA443D">
            <w:pPr>
              <w:wordWrap w:val="0"/>
              <w:spacing w:line="240" w:lineRule="auto"/>
              <w:rPr>
                <w:szCs w:val="21"/>
              </w:rPr>
            </w:pPr>
          </w:p>
        </w:tc>
        <w:tc>
          <w:tcPr>
            <w:tcW w:w="2268" w:type="dxa"/>
            <w:vAlign w:val="center"/>
          </w:tcPr>
          <w:p w14:paraId="6508D763">
            <w:pPr>
              <w:wordWrap w:val="0"/>
              <w:spacing w:line="240" w:lineRule="auto"/>
              <w:rPr>
                <w:szCs w:val="21"/>
              </w:rPr>
            </w:pPr>
          </w:p>
        </w:tc>
        <w:tc>
          <w:tcPr>
            <w:tcW w:w="1417" w:type="dxa"/>
            <w:vAlign w:val="center"/>
          </w:tcPr>
          <w:p w14:paraId="1F3BDB4A">
            <w:pPr>
              <w:wordWrap w:val="0"/>
              <w:spacing w:line="240" w:lineRule="auto"/>
              <w:jc w:val="center"/>
              <w:rPr>
                <w:szCs w:val="21"/>
              </w:rPr>
            </w:pPr>
          </w:p>
        </w:tc>
        <w:tc>
          <w:tcPr>
            <w:tcW w:w="2131" w:type="dxa"/>
            <w:vAlign w:val="center"/>
          </w:tcPr>
          <w:p w14:paraId="5658760E">
            <w:pPr>
              <w:wordWrap w:val="0"/>
              <w:spacing w:line="240" w:lineRule="auto"/>
              <w:rPr>
                <w:szCs w:val="21"/>
              </w:rPr>
            </w:pPr>
          </w:p>
        </w:tc>
      </w:tr>
      <w:tr w14:paraId="45C36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9" w:type="dxa"/>
            <w:vAlign w:val="center"/>
          </w:tcPr>
          <w:p w14:paraId="4E280E3B">
            <w:pPr>
              <w:spacing w:line="240" w:lineRule="auto"/>
              <w:jc w:val="center"/>
              <w:rPr>
                <w:rFonts w:cs="宋体"/>
              </w:rPr>
            </w:pPr>
          </w:p>
        </w:tc>
        <w:tc>
          <w:tcPr>
            <w:tcW w:w="2547" w:type="dxa"/>
            <w:vAlign w:val="center"/>
          </w:tcPr>
          <w:p w14:paraId="71B6D80E">
            <w:pPr>
              <w:wordWrap w:val="0"/>
              <w:spacing w:line="240" w:lineRule="auto"/>
              <w:rPr>
                <w:szCs w:val="21"/>
              </w:rPr>
            </w:pPr>
          </w:p>
        </w:tc>
        <w:tc>
          <w:tcPr>
            <w:tcW w:w="2268" w:type="dxa"/>
            <w:vAlign w:val="center"/>
          </w:tcPr>
          <w:p w14:paraId="0E8B7D23">
            <w:pPr>
              <w:wordWrap w:val="0"/>
              <w:spacing w:line="240" w:lineRule="auto"/>
              <w:rPr>
                <w:szCs w:val="21"/>
              </w:rPr>
            </w:pPr>
          </w:p>
        </w:tc>
        <w:tc>
          <w:tcPr>
            <w:tcW w:w="1417" w:type="dxa"/>
            <w:vAlign w:val="center"/>
          </w:tcPr>
          <w:p w14:paraId="184C587F">
            <w:pPr>
              <w:wordWrap w:val="0"/>
              <w:spacing w:line="240" w:lineRule="auto"/>
              <w:jc w:val="center"/>
              <w:rPr>
                <w:szCs w:val="21"/>
              </w:rPr>
            </w:pPr>
          </w:p>
        </w:tc>
        <w:tc>
          <w:tcPr>
            <w:tcW w:w="2131" w:type="dxa"/>
            <w:vAlign w:val="center"/>
          </w:tcPr>
          <w:p w14:paraId="43EBBD21">
            <w:pPr>
              <w:wordWrap w:val="0"/>
              <w:spacing w:line="240" w:lineRule="auto"/>
              <w:rPr>
                <w:szCs w:val="21"/>
              </w:rPr>
            </w:pPr>
          </w:p>
        </w:tc>
      </w:tr>
      <w:tr w14:paraId="5C467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9" w:type="dxa"/>
            <w:vAlign w:val="center"/>
          </w:tcPr>
          <w:p w14:paraId="75910441">
            <w:pPr>
              <w:spacing w:line="240" w:lineRule="auto"/>
              <w:jc w:val="center"/>
              <w:rPr>
                <w:rFonts w:cs="宋体"/>
                <w:b/>
              </w:rPr>
            </w:pPr>
          </w:p>
        </w:tc>
        <w:tc>
          <w:tcPr>
            <w:tcW w:w="2547" w:type="dxa"/>
            <w:vAlign w:val="center"/>
          </w:tcPr>
          <w:p w14:paraId="575D2F6B">
            <w:pPr>
              <w:wordWrap w:val="0"/>
              <w:spacing w:line="240" w:lineRule="auto"/>
              <w:rPr>
                <w:b/>
                <w:szCs w:val="21"/>
              </w:rPr>
            </w:pPr>
          </w:p>
        </w:tc>
        <w:tc>
          <w:tcPr>
            <w:tcW w:w="2268" w:type="dxa"/>
            <w:vAlign w:val="center"/>
          </w:tcPr>
          <w:p w14:paraId="2CF0F4D0">
            <w:pPr>
              <w:wordWrap w:val="0"/>
              <w:spacing w:line="240" w:lineRule="auto"/>
              <w:rPr>
                <w:szCs w:val="21"/>
              </w:rPr>
            </w:pPr>
          </w:p>
        </w:tc>
        <w:tc>
          <w:tcPr>
            <w:tcW w:w="1417" w:type="dxa"/>
            <w:vAlign w:val="center"/>
          </w:tcPr>
          <w:p w14:paraId="32EC9A58">
            <w:pPr>
              <w:wordWrap w:val="0"/>
              <w:spacing w:line="240" w:lineRule="auto"/>
              <w:jc w:val="center"/>
              <w:rPr>
                <w:szCs w:val="21"/>
              </w:rPr>
            </w:pPr>
          </w:p>
        </w:tc>
        <w:tc>
          <w:tcPr>
            <w:tcW w:w="2131" w:type="dxa"/>
            <w:vAlign w:val="center"/>
          </w:tcPr>
          <w:p w14:paraId="39E9E016">
            <w:pPr>
              <w:wordWrap w:val="0"/>
              <w:spacing w:line="240" w:lineRule="auto"/>
              <w:rPr>
                <w:szCs w:val="21"/>
              </w:rPr>
            </w:pPr>
          </w:p>
        </w:tc>
      </w:tr>
      <w:tr w14:paraId="60AEC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9" w:type="dxa"/>
            <w:vAlign w:val="center"/>
          </w:tcPr>
          <w:p w14:paraId="161F09DC">
            <w:pPr>
              <w:spacing w:line="240" w:lineRule="auto"/>
              <w:jc w:val="center"/>
              <w:rPr>
                <w:rFonts w:cs="宋体"/>
              </w:rPr>
            </w:pPr>
          </w:p>
        </w:tc>
        <w:tc>
          <w:tcPr>
            <w:tcW w:w="2547" w:type="dxa"/>
            <w:vAlign w:val="center"/>
          </w:tcPr>
          <w:p w14:paraId="3FC9F39F">
            <w:pPr>
              <w:wordWrap w:val="0"/>
              <w:spacing w:line="240" w:lineRule="auto"/>
              <w:rPr>
                <w:szCs w:val="21"/>
              </w:rPr>
            </w:pPr>
          </w:p>
        </w:tc>
        <w:tc>
          <w:tcPr>
            <w:tcW w:w="2268" w:type="dxa"/>
            <w:vAlign w:val="center"/>
          </w:tcPr>
          <w:p w14:paraId="4193E52A">
            <w:pPr>
              <w:wordWrap w:val="0"/>
              <w:spacing w:line="240" w:lineRule="auto"/>
              <w:rPr>
                <w:szCs w:val="21"/>
              </w:rPr>
            </w:pPr>
          </w:p>
        </w:tc>
        <w:tc>
          <w:tcPr>
            <w:tcW w:w="1417" w:type="dxa"/>
            <w:vAlign w:val="center"/>
          </w:tcPr>
          <w:p w14:paraId="61CB6442">
            <w:pPr>
              <w:wordWrap w:val="0"/>
              <w:spacing w:line="240" w:lineRule="auto"/>
              <w:jc w:val="center"/>
              <w:rPr>
                <w:szCs w:val="21"/>
              </w:rPr>
            </w:pPr>
          </w:p>
        </w:tc>
        <w:tc>
          <w:tcPr>
            <w:tcW w:w="2131" w:type="dxa"/>
            <w:vAlign w:val="center"/>
          </w:tcPr>
          <w:p w14:paraId="52D2164F">
            <w:pPr>
              <w:wordWrap w:val="0"/>
              <w:spacing w:line="240" w:lineRule="auto"/>
              <w:rPr>
                <w:szCs w:val="21"/>
              </w:rPr>
            </w:pPr>
          </w:p>
        </w:tc>
      </w:tr>
      <w:tr w14:paraId="71D7A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9" w:type="dxa"/>
            <w:vAlign w:val="center"/>
          </w:tcPr>
          <w:p w14:paraId="2C5BA86A">
            <w:pPr>
              <w:spacing w:line="240" w:lineRule="auto"/>
              <w:jc w:val="center"/>
              <w:rPr>
                <w:rFonts w:cs="宋体"/>
                <w:b/>
              </w:rPr>
            </w:pPr>
            <w:r>
              <w:rPr>
                <w:rFonts w:hint="eastAsia"/>
                <w:szCs w:val="28"/>
              </w:rPr>
              <w:t>…</w:t>
            </w:r>
          </w:p>
        </w:tc>
        <w:tc>
          <w:tcPr>
            <w:tcW w:w="2547" w:type="dxa"/>
            <w:vAlign w:val="center"/>
          </w:tcPr>
          <w:p w14:paraId="5358A8D9">
            <w:pPr>
              <w:wordWrap w:val="0"/>
              <w:spacing w:line="240" w:lineRule="auto"/>
              <w:rPr>
                <w:b/>
                <w:szCs w:val="21"/>
              </w:rPr>
            </w:pPr>
          </w:p>
        </w:tc>
        <w:tc>
          <w:tcPr>
            <w:tcW w:w="2268" w:type="dxa"/>
            <w:vAlign w:val="center"/>
          </w:tcPr>
          <w:p w14:paraId="0B526B78">
            <w:pPr>
              <w:wordWrap w:val="0"/>
              <w:spacing w:line="240" w:lineRule="auto"/>
              <w:rPr>
                <w:szCs w:val="21"/>
              </w:rPr>
            </w:pPr>
          </w:p>
        </w:tc>
        <w:tc>
          <w:tcPr>
            <w:tcW w:w="1417" w:type="dxa"/>
            <w:vAlign w:val="center"/>
          </w:tcPr>
          <w:p w14:paraId="73F19DE0">
            <w:pPr>
              <w:wordWrap w:val="0"/>
              <w:spacing w:line="240" w:lineRule="auto"/>
              <w:jc w:val="center"/>
              <w:rPr>
                <w:szCs w:val="21"/>
              </w:rPr>
            </w:pPr>
          </w:p>
        </w:tc>
        <w:tc>
          <w:tcPr>
            <w:tcW w:w="2131" w:type="dxa"/>
            <w:vAlign w:val="center"/>
          </w:tcPr>
          <w:p w14:paraId="17429EED">
            <w:pPr>
              <w:wordWrap w:val="0"/>
              <w:spacing w:line="240" w:lineRule="auto"/>
              <w:rPr>
                <w:szCs w:val="21"/>
              </w:rPr>
            </w:pPr>
          </w:p>
        </w:tc>
      </w:tr>
      <w:tr w14:paraId="61F09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524" w:type="dxa"/>
            <w:gridSpan w:val="3"/>
            <w:vAlign w:val="center"/>
          </w:tcPr>
          <w:p w14:paraId="79A20C9A">
            <w:pPr>
              <w:wordWrap w:val="0"/>
              <w:spacing w:line="240" w:lineRule="auto"/>
              <w:jc w:val="center"/>
              <w:rPr>
                <w:szCs w:val="21"/>
              </w:rPr>
            </w:pPr>
            <w:r>
              <w:rPr>
                <w:rFonts w:hint="eastAsia" w:cs="Courier New"/>
                <w:szCs w:val="24"/>
              </w:rPr>
              <w:t>投标总报价（年）</w:t>
            </w:r>
          </w:p>
        </w:tc>
        <w:tc>
          <w:tcPr>
            <w:tcW w:w="1417" w:type="dxa"/>
            <w:vAlign w:val="center"/>
          </w:tcPr>
          <w:p w14:paraId="58CA7624">
            <w:pPr>
              <w:wordWrap w:val="0"/>
              <w:spacing w:line="240" w:lineRule="auto"/>
              <w:jc w:val="center"/>
              <w:rPr>
                <w:szCs w:val="21"/>
              </w:rPr>
            </w:pPr>
          </w:p>
        </w:tc>
        <w:tc>
          <w:tcPr>
            <w:tcW w:w="2131" w:type="dxa"/>
            <w:vAlign w:val="center"/>
          </w:tcPr>
          <w:p w14:paraId="6A232934">
            <w:pPr>
              <w:wordWrap w:val="0"/>
              <w:spacing w:line="240" w:lineRule="auto"/>
              <w:rPr>
                <w:szCs w:val="21"/>
              </w:rPr>
            </w:pPr>
          </w:p>
        </w:tc>
      </w:tr>
    </w:tbl>
    <w:p w14:paraId="362A7D49">
      <w:pPr>
        <w:wordWrap w:val="0"/>
        <w:adjustRightInd w:val="0"/>
        <w:snapToGrid w:val="0"/>
        <w:rPr>
          <w:rFonts w:cs="宋体"/>
          <w:szCs w:val="21"/>
        </w:rPr>
      </w:pPr>
    </w:p>
    <w:p w14:paraId="12D8164D">
      <w:pPr>
        <w:wordWrap w:val="0"/>
        <w:adjustRightInd w:val="0"/>
        <w:snapToGrid w:val="0"/>
        <w:rPr>
          <w:szCs w:val="28"/>
        </w:rPr>
      </w:pPr>
      <w:r>
        <w:rPr>
          <w:rFonts w:hint="eastAsia" w:cs="宋体"/>
          <w:szCs w:val="21"/>
        </w:rPr>
        <w:t>注：</w:t>
      </w:r>
      <w:r>
        <w:rPr>
          <w:rFonts w:hint="eastAsia"/>
          <w:szCs w:val="28"/>
        </w:rPr>
        <w:t>（1）此表为表样，行数可自行添加，但表式不变，并加盖CA电子公章。</w:t>
      </w:r>
    </w:p>
    <w:p w14:paraId="06DC432B">
      <w:pPr>
        <w:wordWrap w:val="0"/>
        <w:adjustRightInd w:val="0"/>
        <w:snapToGrid w:val="0"/>
        <w:rPr>
          <w:szCs w:val="28"/>
        </w:rPr>
      </w:pPr>
      <w:r>
        <w:rPr>
          <w:rFonts w:hint="eastAsia"/>
          <w:szCs w:val="28"/>
        </w:rPr>
        <w:t>（2）本项目投标报价采用总承包方式，投标人的报价应包括完成本项目服务所需的人工（工资、社会保险、福利、服装、培训等）、服务所用设备工具购置、服务所用材料消耗、交通、通讯、住宿餐饮、调查、资料收集及整理分析、测试检验、验收、环境交付、培训、质量保证、售后服务、管理、利润、税费以及为完成本项目所发生的全部相关费用；除本文件明列可调整项目费用外，采购人将不再支付报价以外的任何费用。</w:t>
      </w:r>
    </w:p>
    <w:p w14:paraId="58E888F8">
      <w:pPr>
        <w:wordWrap w:val="0"/>
        <w:adjustRightInd w:val="0"/>
        <w:snapToGrid w:val="0"/>
        <w:rPr>
          <w:szCs w:val="24"/>
        </w:rPr>
      </w:pPr>
      <w:r>
        <w:rPr>
          <w:rFonts w:hint="eastAsia"/>
          <w:szCs w:val="28"/>
        </w:rPr>
        <w:t>（3）“投标分项报价表”中“投标总报价”数额应当与“开标一览表”中“总价”数额一致</w:t>
      </w:r>
      <w:r>
        <w:rPr>
          <w:szCs w:val="24"/>
        </w:rPr>
        <w:t>。</w:t>
      </w:r>
    </w:p>
    <w:p w14:paraId="6BDB7260">
      <w:pPr>
        <w:numPr>
          <w:ilvl w:val="0"/>
          <w:numId w:val="29"/>
        </w:numPr>
        <w:wordWrap w:val="0"/>
        <w:adjustRightInd w:val="0"/>
        <w:snapToGrid w:val="0"/>
        <w:jc w:val="center"/>
        <w:outlineLvl w:val="1"/>
        <w:rPr>
          <w:b/>
          <w:sz w:val="36"/>
          <w:szCs w:val="21"/>
        </w:rPr>
      </w:pPr>
      <w:r>
        <w:rPr>
          <w:szCs w:val="24"/>
        </w:rPr>
        <w:br w:type="page"/>
      </w:r>
      <w:r>
        <w:rPr>
          <w:rFonts w:hint="eastAsia"/>
          <w:b/>
          <w:sz w:val="36"/>
          <w:szCs w:val="21"/>
        </w:rPr>
        <w:t>技术要求响应及偏离表</w:t>
      </w:r>
    </w:p>
    <w:tbl>
      <w:tblPr>
        <w:tblStyle w:val="31"/>
        <w:tblW w:w="9067"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04"/>
        <w:gridCol w:w="2552"/>
        <w:gridCol w:w="3118"/>
        <w:gridCol w:w="1701"/>
        <w:gridCol w:w="992"/>
      </w:tblGrid>
      <w:tr w14:paraId="142670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04" w:type="dxa"/>
            <w:tcBorders>
              <w:top w:val="single" w:color="auto" w:sz="4" w:space="0"/>
              <w:left w:val="single" w:color="auto" w:sz="4" w:space="0"/>
              <w:bottom w:val="single" w:color="auto" w:sz="4" w:space="0"/>
              <w:right w:val="single" w:color="auto" w:sz="4" w:space="0"/>
            </w:tcBorders>
            <w:vAlign w:val="center"/>
          </w:tcPr>
          <w:p w14:paraId="638843F9">
            <w:pPr>
              <w:wordWrap w:val="0"/>
              <w:adjustRightInd w:val="0"/>
              <w:snapToGrid w:val="0"/>
              <w:spacing w:line="300" w:lineRule="auto"/>
              <w:jc w:val="center"/>
              <w:rPr>
                <w:szCs w:val="28"/>
              </w:rPr>
            </w:pPr>
            <w:r>
              <w:rPr>
                <w:rFonts w:hint="eastAsia"/>
                <w:szCs w:val="28"/>
              </w:rPr>
              <w:t>序号</w:t>
            </w:r>
          </w:p>
        </w:tc>
        <w:tc>
          <w:tcPr>
            <w:tcW w:w="2552" w:type="dxa"/>
            <w:tcBorders>
              <w:top w:val="single" w:color="auto" w:sz="4" w:space="0"/>
              <w:left w:val="single" w:color="auto" w:sz="4" w:space="0"/>
              <w:bottom w:val="single" w:color="auto" w:sz="4" w:space="0"/>
              <w:right w:val="single" w:color="auto" w:sz="4" w:space="0"/>
            </w:tcBorders>
            <w:vAlign w:val="center"/>
          </w:tcPr>
          <w:p w14:paraId="7DA4A243">
            <w:pPr>
              <w:wordWrap w:val="0"/>
              <w:adjustRightInd w:val="0"/>
              <w:snapToGrid w:val="0"/>
              <w:spacing w:line="300" w:lineRule="auto"/>
              <w:jc w:val="center"/>
              <w:rPr>
                <w:szCs w:val="28"/>
              </w:rPr>
            </w:pPr>
            <w:r>
              <w:rPr>
                <w:rFonts w:hint="eastAsia"/>
                <w:szCs w:val="28"/>
              </w:rPr>
              <w:t>招标文件要求</w:t>
            </w:r>
          </w:p>
        </w:tc>
        <w:tc>
          <w:tcPr>
            <w:tcW w:w="3118" w:type="dxa"/>
            <w:tcBorders>
              <w:top w:val="single" w:color="auto" w:sz="4" w:space="0"/>
              <w:left w:val="single" w:color="auto" w:sz="4" w:space="0"/>
              <w:bottom w:val="single" w:color="auto" w:sz="4" w:space="0"/>
              <w:right w:val="single" w:color="auto" w:sz="4" w:space="0"/>
            </w:tcBorders>
            <w:vAlign w:val="center"/>
          </w:tcPr>
          <w:p w14:paraId="2FF1D961">
            <w:pPr>
              <w:wordWrap w:val="0"/>
              <w:adjustRightInd w:val="0"/>
              <w:snapToGrid w:val="0"/>
              <w:spacing w:line="300" w:lineRule="auto"/>
              <w:jc w:val="center"/>
              <w:rPr>
                <w:szCs w:val="28"/>
              </w:rPr>
            </w:pPr>
            <w:r>
              <w:rPr>
                <w:rFonts w:hint="eastAsia"/>
                <w:szCs w:val="28"/>
              </w:rPr>
              <w:t>投标响应内容</w:t>
            </w:r>
          </w:p>
        </w:tc>
        <w:tc>
          <w:tcPr>
            <w:tcW w:w="1701" w:type="dxa"/>
            <w:tcBorders>
              <w:top w:val="single" w:color="auto" w:sz="4" w:space="0"/>
              <w:left w:val="single" w:color="auto" w:sz="4" w:space="0"/>
              <w:bottom w:val="single" w:color="auto" w:sz="4" w:space="0"/>
              <w:right w:val="single" w:color="auto" w:sz="4" w:space="0"/>
            </w:tcBorders>
            <w:vAlign w:val="center"/>
          </w:tcPr>
          <w:p w14:paraId="6C2D2D96">
            <w:pPr>
              <w:wordWrap w:val="0"/>
              <w:adjustRightInd w:val="0"/>
              <w:snapToGrid w:val="0"/>
              <w:spacing w:line="300" w:lineRule="auto"/>
              <w:jc w:val="center"/>
              <w:rPr>
                <w:szCs w:val="28"/>
              </w:rPr>
            </w:pPr>
            <w:r>
              <w:rPr>
                <w:rFonts w:hint="eastAsia"/>
                <w:szCs w:val="28"/>
              </w:rPr>
              <w:t>正偏离、无偏离或负偏离</w:t>
            </w:r>
          </w:p>
        </w:tc>
        <w:tc>
          <w:tcPr>
            <w:tcW w:w="992" w:type="dxa"/>
            <w:tcBorders>
              <w:top w:val="single" w:color="auto" w:sz="4" w:space="0"/>
              <w:left w:val="single" w:color="auto" w:sz="4" w:space="0"/>
              <w:bottom w:val="single" w:color="auto" w:sz="4" w:space="0"/>
              <w:right w:val="single" w:color="auto" w:sz="4" w:space="0"/>
            </w:tcBorders>
            <w:vAlign w:val="center"/>
          </w:tcPr>
          <w:p w14:paraId="1C3ABB0C">
            <w:pPr>
              <w:wordWrap w:val="0"/>
              <w:adjustRightInd w:val="0"/>
              <w:snapToGrid w:val="0"/>
              <w:spacing w:line="300" w:lineRule="auto"/>
              <w:jc w:val="center"/>
              <w:rPr>
                <w:szCs w:val="28"/>
              </w:rPr>
            </w:pPr>
            <w:r>
              <w:rPr>
                <w:rFonts w:hint="eastAsia"/>
                <w:szCs w:val="28"/>
              </w:rPr>
              <w:t>备注</w:t>
            </w:r>
          </w:p>
        </w:tc>
      </w:tr>
      <w:tr w14:paraId="4BE62F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067" w:type="dxa"/>
            <w:gridSpan w:val="5"/>
            <w:tcBorders>
              <w:top w:val="single" w:color="auto" w:sz="4" w:space="0"/>
              <w:left w:val="single" w:color="auto" w:sz="4" w:space="0"/>
              <w:bottom w:val="single" w:color="auto" w:sz="4" w:space="0"/>
              <w:right w:val="single" w:color="auto" w:sz="4" w:space="0"/>
            </w:tcBorders>
            <w:vAlign w:val="center"/>
          </w:tcPr>
          <w:p w14:paraId="21A4D759">
            <w:pPr>
              <w:wordWrap w:val="0"/>
              <w:adjustRightInd w:val="0"/>
              <w:snapToGrid w:val="0"/>
              <w:spacing w:line="300" w:lineRule="auto"/>
              <w:jc w:val="center"/>
              <w:rPr>
                <w:szCs w:val="28"/>
              </w:rPr>
            </w:pPr>
            <w:r>
              <w:rPr>
                <w:rFonts w:hint="eastAsia"/>
                <w:szCs w:val="28"/>
              </w:rPr>
              <w:t>实质性要求响应及偏离</w:t>
            </w:r>
          </w:p>
        </w:tc>
      </w:tr>
      <w:tr w14:paraId="7FF245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04" w:type="dxa"/>
            <w:tcBorders>
              <w:top w:val="single" w:color="auto" w:sz="4" w:space="0"/>
              <w:left w:val="single" w:color="auto" w:sz="4" w:space="0"/>
              <w:bottom w:val="single" w:color="auto" w:sz="4" w:space="0"/>
              <w:right w:val="single" w:color="auto" w:sz="4" w:space="0"/>
            </w:tcBorders>
            <w:vAlign w:val="center"/>
          </w:tcPr>
          <w:p w14:paraId="58AB9906">
            <w:pPr>
              <w:wordWrap w:val="0"/>
              <w:adjustRightInd w:val="0"/>
              <w:snapToGrid w:val="0"/>
              <w:spacing w:line="300" w:lineRule="auto"/>
              <w:jc w:val="center"/>
              <w:rPr>
                <w:szCs w:val="28"/>
              </w:rPr>
            </w:pPr>
          </w:p>
        </w:tc>
        <w:tc>
          <w:tcPr>
            <w:tcW w:w="2552" w:type="dxa"/>
            <w:tcBorders>
              <w:top w:val="single" w:color="auto" w:sz="4" w:space="0"/>
              <w:left w:val="single" w:color="auto" w:sz="4" w:space="0"/>
              <w:bottom w:val="single" w:color="auto" w:sz="4" w:space="0"/>
              <w:right w:val="single" w:color="auto" w:sz="4" w:space="0"/>
            </w:tcBorders>
            <w:vAlign w:val="center"/>
          </w:tcPr>
          <w:p w14:paraId="4A1A5B50">
            <w:pPr>
              <w:wordWrap w:val="0"/>
              <w:adjustRightInd w:val="0"/>
              <w:snapToGrid w:val="0"/>
              <w:spacing w:line="300" w:lineRule="auto"/>
              <w:rPr>
                <w:szCs w:val="28"/>
              </w:rPr>
            </w:pPr>
          </w:p>
        </w:tc>
        <w:tc>
          <w:tcPr>
            <w:tcW w:w="3118" w:type="dxa"/>
            <w:tcBorders>
              <w:top w:val="single" w:color="auto" w:sz="4" w:space="0"/>
              <w:left w:val="single" w:color="auto" w:sz="4" w:space="0"/>
              <w:bottom w:val="single" w:color="auto" w:sz="4" w:space="0"/>
              <w:right w:val="single" w:color="auto" w:sz="4" w:space="0"/>
            </w:tcBorders>
            <w:vAlign w:val="center"/>
          </w:tcPr>
          <w:p w14:paraId="702DE79F">
            <w:pPr>
              <w:wordWrap w:val="0"/>
              <w:adjustRightInd w:val="0"/>
              <w:snapToGrid w:val="0"/>
              <w:spacing w:line="300" w:lineRule="auto"/>
              <w:jc w:val="center"/>
              <w:rPr>
                <w:szCs w:val="28"/>
              </w:rPr>
            </w:pPr>
          </w:p>
        </w:tc>
        <w:tc>
          <w:tcPr>
            <w:tcW w:w="1701" w:type="dxa"/>
            <w:tcBorders>
              <w:top w:val="single" w:color="auto" w:sz="4" w:space="0"/>
              <w:left w:val="single" w:color="auto" w:sz="4" w:space="0"/>
              <w:bottom w:val="single" w:color="auto" w:sz="4" w:space="0"/>
              <w:right w:val="single" w:color="auto" w:sz="4" w:space="0"/>
            </w:tcBorders>
            <w:vAlign w:val="center"/>
          </w:tcPr>
          <w:p w14:paraId="2C1BBD9E">
            <w:pPr>
              <w:wordWrap w:val="0"/>
              <w:adjustRightInd w:val="0"/>
              <w:snapToGrid w:val="0"/>
              <w:spacing w:line="300" w:lineRule="auto"/>
              <w:jc w:val="center"/>
              <w:rPr>
                <w:szCs w:val="28"/>
              </w:rPr>
            </w:pPr>
          </w:p>
        </w:tc>
        <w:tc>
          <w:tcPr>
            <w:tcW w:w="992" w:type="dxa"/>
            <w:tcBorders>
              <w:top w:val="single" w:color="auto" w:sz="4" w:space="0"/>
              <w:left w:val="single" w:color="auto" w:sz="4" w:space="0"/>
              <w:bottom w:val="single" w:color="auto" w:sz="4" w:space="0"/>
              <w:right w:val="single" w:color="auto" w:sz="4" w:space="0"/>
            </w:tcBorders>
            <w:vAlign w:val="center"/>
          </w:tcPr>
          <w:p w14:paraId="3F461DCE">
            <w:pPr>
              <w:wordWrap w:val="0"/>
              <w:adjustRightInd w:val="0"/>
              <w:snapToGrid w:val="0"/>
              <w:spacing w:line="300" w:lineRule="auto"/>
              <w:jc w:val="center"/>
              <w:rPr>
                <w:szCs w:val="28"/>
              </w:rPr>
            </w:pPr>
          </w:p>
        </w:tc>
      </w:tr>
      <w:tr w14:paraId="7CA5A1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04" w:type="dxa"/>
            <w:tcBorders>
              <w:top w:val="single" w:color="auto" w:sz="4" w:space="0"/>
              <w:left w:val="single" w:color="auto" w:sz="4" w:space="0"/>
              <w:bottom w:val="single" w:color="auto" w:sz="4" w:space="0"/>
              <w:right w:val="single" w:color="auto" w:sz="4" w:space="0"/>
            </w:tcBorders>
            <w:vAlign w:val="center"/>
          </w:tcPr>
          <w:p w14:paraId="0C66B4AB">
            <w:pPr>
              <w:wordWrap w:val="0"/>
              <w:adjustRightInd w:val="0"/>
              <w:snapToGrid w:val="0"/>
              <w:spacing w:line="300" w:lineRule="auto"/>
              <w:jc w:val="center"/>
              <w:rPr>
                <w:szCs w:val="28"/>
              </w:rPr>
            </w:pPr>
          </w:p>
        </w:tc>
        <w:tc>
          <w:tcPr>
            <w:tcW w:w="2552" w:type="dxa"/>
            <w:tcBorders>
              <w:top w:val="single" w:color="auto" w:sz="4" w:space="0"/>
              <w:left w:val="single" w:color="auto" w:sz="4" w:space="0"/>
              <w:bottom w:val="single" w:color="auto" w:sz="4" w:space="0"/>
              <w:right w:val="single" w:color="auto" w:sz="4" w:space="0"/>
            </w:tcBorders>
            <w:vAlign w:val="center"/>
          </w:tcPr>
          <w:p w14:paraId="5B2DC2FC">
            <w:pPr>
              <w:wordWrap w:val="0"/>
              <w:adjustRightInd w:val="0"/>
              <w:snapToGrid w:val="0"/>
              <w:spacing w:line="300" w:lineRule="auto"/>
              <w:rPr>
                <w:szCs w:val="28"/>
              </w:rPr>
            </w:pPr>
          </w:p>
        </w:tc>
        <w:tc>
          <w:tcPr>
            <w:tcW w:w="3118" w:type="dxa"/>
            <w:tcBorders>
              <w:top w:val="single" w:color="auto" w:sz="4" w:space="0"/>
              <w:left w:val="single" w:color="auto" w:sz="4" w:space="0"/>
              <w:bottom w:val="single" w:color="auto" w:sz="4" w:space="0"/>
              <w:right w:val="single" w:color="auto" w:sz="4" w:space="0"/>
            </w:tcBorders>
            <w:vAlign w:val="center"/>
          </w:tcPr>
          <w:p w14:paraId="059E269A">
            <w:pPr>
              <w:wordWrap w:val="0"/>
              <w:adjustRightInd w:val="0"/>
              <w:snapToGrid w:val="0"/>
              <w:spacing w:line="300" w:lineRule="auto"/>
              <w:jc w:val="center"/>
              <w:rPr>
                <w:szCs w:val="28"/>
              </w:rPr>
            </w:pPr>
          </w:p>
        </w:tc>
        <w:tc>
          <w:tcPr>
            <w:tcW w:w="1701" w:type="dxa"/>
            <w:tcBorders>
              <w:top w:val="single" w:color="auto" w:sz="4" w:space="0"/>
              <w:left w:val="single" w:color="auto" w:sz="4" w:space="0"/>
              <w:bottom w:val="single" w:color="auto" w:sz="4" w:space="0"/>
              <w:right w:val="single" w:color="auto" w:sz="4" w:space="0"/>
            </w:tcBorders>
            <w:vAlign w:val="center"/>
          </w:tcPr>
          <w:p w14:paraId="1F3B8863">
            <w:pPr>
              <w:wordWrap w:val="0"/>
              <w:adjustRightInd w:val="0"/>
              <w:snapToGrid w:val="0"/>
              <w:spacing w:line="300" w:lineRule="auto"/>
              <w:jc w:val="center"/>
              <w:rPr>
                <w:szCs w:val="28"/>
              </w:rPr>
            </w:pPr>
          </w:p>
        </w:tc>
        <w:tc>
          <w:tcPr>
            <w:tcW w:w="992" w:type="dxa"/>
            <w:tcBorders>
              <w:top w:val="single" w:color="auto" w:sz="4" w:space="0"/>
              <w:left w:val="single" w:color="auto" w:sz="4" w:space="0"/>
              <w:bottom w:val="single" w:color="auto" w:sz="4" w:space="0"/>
              <w:right w:val="single" w:color="auto" w:sz="4" w:space="0"/>
            </w:tcBorders>
            <w:vAlign w:val="center"/>
          </w:tcPr>
          <w:p w14:paraId="49EBF869">
            <w:pPr>
              <w:wordWrap w:val="0"/>
              <w:adjustRightInd w:val="0"/>
              <w:snapToGrid w:val="0"/>
              <w:spacing w:line="300" w:lineRule="auto"/>
              <w:jc w:val="center"/>
              <w:rPr>
                <w:szCs w:val="28"/>
              </w:rPr>
            </w:pPr>
          </w:p>
        </w:tc>
      </w:tr>
      <w:tr w14:paraId="608CAB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04" w:type="dxa"/>
            <w:tcBorders>
              <w:top w:val="single" w:color="auto" w:sz="4" w:space="0"/>
              <w:left w:val="single" w:color="auto" w:sz="4" w:space="0"/>
              <w:bottom w:val="single" w:color="auto" w:sz="4" w:space="0"/>
              <w:right w:val="single" w:color="auto" w:sz="4" w:space="0"/>
            </w:tcBorders>
            <w:vAlign w:val="center"/>
          </w:tcPr>
          <w:p w14:paraId="7939036D">
            <w:pPr>
              <w:wordWrap w:val="0"/>
              <w:adjustRightInd w:val="0"/>
              <w:snapToGrid w:val="0"/>
              <w:spacing w:line="300" w:lineRule="auto"/>
              <w:jc w:val="center"/>
              <w:rPr>
                <w:szCs w:val="28"/>
              </w:rPr>
            </w:pPr>
          </w:p>
        </w:tc>
        <w:tc>
          <w:tcPr>
            <w:tcW w:w="2552" w:type="dxa"/>
            <w:tcBorders>
              <w:top w:val="single" w:color="auto" w:sz="4" w:space="0"/>
              <w:left w:val="single" w:color="auto" w:sz="4" w:space="0"/>
              <w:bottom w:val="single" w:color="auto" w:sz="4" w:space="0"/>
              <w:right w:val="single" w:color="auto" w:sz="4" w:space="0"/>
            </w:tcBorders>
            <w:vAlign w:val="center"/>
          </w:tcPr>
          <w:p w14:paraId="1B455DD1">
            <w:pPr>
              <w:wordWrap w:val="0"/>
              <w:adjustRightInd w:val="0"/>
              <w:snapToGrid w:val="0"/>
              <w:spacing w:line="300" w:lineRule="auto"/>
              <w:rPr>
                <w:szCs w:val="28"/>
              </w:rPr>
            </w:pPr>
          </w:p>
        </w:tc>
        <w:tc>
          <w:tcPr>
            <w:tcW w:w="3118" w:type="dxa"/>
            <w:tcBorders>
              <w:top w:val="single" w:color="auto" w:sz="4" w:space="0"/>
              <w:left w:val="single" w:color="auto" w:sz="4" w:space="0"/>
              <w:bottom w:val="single" w:color="auto" w:sz="4" w:space="0"/>
              <w:right w:val="single" w:color="auto" w:sz="4" w:space="0"/>
            </w:tcBorders>
            <w:vAlign w:val="center"/>
          </w:tcPr>
          <w:p w14:paraId="4F2CE016">
            <w:pPr>
              <w:wordWrap w:val="0"/>
              <w:adjustRightInd w:val="0"/>
              <w:snapToGrid w:val="0"/>
              <w:spacing w:line="300" w:lineRule="auto"/>
              <w:jc w:val="center"/>
              <w:rPr>
                <w:szCs w:val="28"/>
              </w:rPr>
            </w:pPr>
          </w:p>
        </w:tc>
        <w:tc>
          <w:tcPr>
            <w:tcW w:w="1701" w:type="dxa"/>
            <w:tcBorders>
              <w:top w:val="single" w:color="auto" w:sz="4" w:space="0"/>
              <w:left w:val="single" w:color="auto" w:sz="4" w:space="0"/>
              <w:bottom w:val="single" w:color="auto" w:sz="4" w:space="0"/>
              <w:right w:val="single" w:color="auto" w:sz="4" w:space="0"/>
            </w:tcBorders>
            <w:vAlign w:val="center"/>
          </w:tcPr>
          <w:p w14:paraId="079D7893">
            <w:pPr>
              <w:wordWrap w:val="0"/>
              <w:adjustRightInd w:val="0"/>
              <w:snapToGrid w:val="0"/>
              <w:spacing w:line="300" w:lineRule="auto"/>
              <w:jc w:val="center"/>
              <w:rPr>
                <w:szCs w:val="28"/>
              </w:rPr>
            </w:pPr>
          </w:p>
        </w:tc>
        <w:tc>
          <w:tcPr>
            <w:tcW w:w="992" w:type="dxa"/>
            <w:tcBorders>
              <w:top w:val="single" w:color="auto" w:sz="4" w:space="0"/>
              <w:left w:val="single" w:color="auto" w:sz="4" w:space="0"/>
              <w:bottom w:val="single" w:color="auto" w:sz="4" w:space="0"/>
              <w:right w:val="single" w:color="auto" w:sz="4" w:space="0"/>
            </w:tcBorders>
            <w:vAlign w:val="center"/>
          </w:tcPr>
          <w:p w14:paraId="3F2744F1">
            <w:pPr>
              <w:wordWrap w:val="0"/>
              <w:adjustRightInd w:val="0"/>
              <w:snapToGrid w:val="0"/>
              <w:spacing w:line="300" w:lineRule="auto"/>
              <w:jc w:val="center"/>
              <w:rPr>
                <w:szCs w:val="28"/>
              </w:rPr>
            </w:pPr>
          </w:p>
        </w:tc>
      </w:tr>
      <w:tr w14:paraId="1AD9C5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04" w:type="dxa"/>
            <w:tcBorders>
              <w:top w:val="single" w:color="auto" w:sz="4" w:space="0"/>
              <w:left w:val="single" w:color="auto" w:sz="4" w:space="0"/>
              <w:bottom w:val="single" w:color="auto" w:sz="4" w:space="0"/>
              <w:right w:val="single" w:color="auto" w:sz="4" w:space="0"/>
            </w:tcBorders>
            <w:vAlign w:val="center"/>
          </w:tcPr>
          <w:p w14:paraId="0F9ACCE0">
            <w:pPr>
              <w:wordWrap w:val="0"/>
              <w:adjustRightInd w:val="0"/>
              <w:snapToGrid w:val="0"/>
              <w:spacing w:line="300" w:lineRule="auto"/>
              <w:jc w:val="center"/>
              <w:rPr>
                <w:szCs w:val="28"/>
              </w:rPr>
            </w:pPr>
          </w:p>
        </w:tc>
        <w:tc>
          <w:tcPr>
            <w:tcW w:w="2552" w:type="dxa"/>
            <w:tcBorders>
              <w:top w:val="single" w:color="auto" w:sz="4" w:space="0"/>
              <w:left w:val="single" w:color="auto" w:sz="4" w:space="0"/>
              <w:bottom w:val="single" w:color="auto" w:sz="4" w:space="0"/>
              <w:right w:val="single" w:color="auto" w:sz="4" w:space="0"/>
            </w:tcBorders>
            <w:vAlign w:val="center"/>
          </w:tcPr>
          <w:p w14:paraId="40B25C48">
            <w:pPr>
              <w:wordWrap w:val="0"/>
              <w:adjustRightInd w:val="0"/>
              <w:snapToGrid w:val="0"/>
              <w:spacing w:line="300" w:lineRule="auto"/>
              <w:rPr>
                <w:szCs w:val="28"/>
              </w:rPr>
            </w:pPr>
          </w:p>
        </w:tc>
        <w:tc>
          <w:tcPr>
            <w:tcW w:w="3118" w:type="dxa"/>
            <w:tcBorders>
              <w:top w:val="single" w:color="auto" w:sz="4" w:space="0"/>
              <w:left w:val="single" w:color="auto" w:sz="4" w:space="0"/>
              <w:bottom w:val="single" w:color="auto" w:sz="4" w:space="0"/>
              <w:right w:val="single" w:color="auto" w:sz="4" w:space="0"/>
            </w:tcBorders>
            <w:vAlign w:val="center"/>
          </w:tcPr>
          <w:p w14:paraId="158B04C2">
            <w:pPr>
              <w:wordWrap w:val="0"/>
              <w:adjustRightInd w:val="0"/>
              <w:snapToGrid w:val="0"/>
              <w:spacing w:line="300" w:lineRule="auto"/>
              <w:jc w:val="center"/>
              <w:rPr>
                <w:szCs w:val="28"/>
              </w:rPr>
            </w:pPr>
          </w:p>
        </w:tc>
        <w:tc>
          <w:tcPr>
            <w:tcW w:w="1701" w:type="dxa"/>
            <w:tcBorders>
              <w:top w:val="single" w:color="auto" w:sz="4" w:space="0"/>
              <w:left w:val="single" w:color="auto" w:sz="4" w:space="0"/>
              <w:bottom w:val="single" w:color="auto" w:sz="4" w:space="0"/>
              <w:right w:val="single" w:color="auto" w:sz="4" w:space="0"/>
            </w:tcBorders>
            <w:vAlign w:val="center"/>
          </w:tcPr>
          <w:p w14:paraId="11424EB6">
            <w:pPr>
              <w:wordWrap w:val="0"/>
              <w:adjustRightInd w:val="0"/>
              <w:snapToGrid w:val="0"/>
              <w:spacing w:line="300" w:lineRule="auto"/>
              <w:jc w:val="center"/>
              <w:rPr>
                <w:szCs w:val="28"/>
              </w:rPr>
            </w:pPr>
          </w:p>
        </w:tc>
        <w:tc>
          <w:tcPr>
            <w:tcW w:w="992" w:type="dxa"/>
            <w:tcBorders>
              <w:top w:val="single" w:color="auto" w:sz="4" w:space="0"/>
              <w:left w:val="single" w:color="auto" w:sz="4" w:space="0"/>
              <w:bottom w:val="single" w:color="auto" w:sz="4" w:space="0"/>
              <w:right w:val="single" w:color="auto" w:sz="4" w:space="0"/>
            </w:tcBorders>
            <w:vAlign w:val="center"/>
          </w:tcPr>
          <w:p w14:paraId="37D2537D">
            <w:pPr>
              <w:wordWrap w:val="0"/>
              <w:adjustRightInd w:val="0"/>
              <w:snapToGrid w:val="0"/>
              <w:spacing w:line="300" w:lineRule="auto"/>
              <w:jc w:val="center"/>
              <w:rPr>
                <w:szCs w:val="28"/>
              </w:rPr>
            </w:pPr>
          </w:p>
        </w:tc>
      </w:tr>
      <w:tr w14:paraId="37EFBC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04" w:type="dxa"/>
            <w:tcBorders>
              <w:top w:val="single" w:color="auto" w:sz="4" w:space="0"/>
              <w:left w:val="single" w:color="auto" w:sz="4" w:space="0"/>
              <w:bottom w:val="single" w:color="auto" w:sz="4" w:space="0"/>
              <w:right w:val="single" w:color="auto" w:sz="4" w:space="0"/>
            </w:tcBorders>
            <w:vAlign w:val="center"/>
          </w:tcPr>
          <w:p w14:paraId="2F6DC589">
            <w:pPr>
              <w:wordWrap w:val="0"/>
              <w:adjustRightInd w:val="0"/>
              <w:snapToGrid w:val="0"/>
              <w:spacing w:line="300" w:lineRule="auto"/>
              <w:jc w:val="center"/>
              <w:rPr>
                <w:szCs w:val="28"/>
              </w:rPr>
            </w:pPr>
            <w:r>
              <w:rPr>
                <w:rFonts w:hint="eastAsia"/>
                <w:szCs w:val="28"/>
              </w:rPr>
              <w:t>…</w:t>
            </w:r>
          </w:p>
        </w:tc>
        <w:tc>
          <w:tcPr>
            <w:tcW w:w="2552" w:type="dxa"/>
            <w:tcBorders>
              <w:top w:val="single" w:color="auto" w:sz="4" w:space="0"/>
              <w:left w:val="single" w:color="auto" w:sz="4" w:space="0"/>
              <w:bottom w:val="single" w:color="auto" w:sz="4" w:space="0"/>
              <w:right w:val="single" w:color="auto" w:sz="4" w:space="0"/>
            </w:tcBorders>
            <w:vAlign w:val="center"/>
          </w:tcPr>
          <w:p w14:paraId="213FD41D">
            <w:pPr>
              <w:wordWrap w:val="0"/>
              <w:adjustRightInd w:val="0"/>
              <w:snapToGrid w:val="0"/>
              <w:spacing w:line="300" w:lineRule="auto"/>
              <w:jc w:val="center"/>
              <w:rPr>
                <w:rFonts w:cs="Arial"/>
                <w:szCs w:val="28"/>
              </w:rPr>
            </w:pPr>
          </w:p>
        </w:tc>
        <w:tc>
          <w:tcPr>
            <w:tcW w:w="3118" w:type="dxa"/>
            <w:tcBorders>
              <w:top w:val="single" w:color="auto" w:sz="4" w:space="0"/>
              <w:left w:val="single" w:color="auto" w:sz="4" w:space="0"/>
              <w:bottom w:val="single" w:color="auto" w:sz="4" w:space="0"/>
              <w:right w:val="single" w:color="auto" w:sz="4" w:space="0"/>
            </w:tcBorders>
            <w:vAlign w:val="center"/>
          </w:tcPr>
          <w:p w14:paraId="28B930FB">
            <w:pPr>
              <w:wordWrap w:val="0"/>
              <w:adjustRightInd w:val="0"/>
              <w:snapToGrid w:val="0"/>
              <w:spacing w:line="300" w:lineRule="auto"/>
              <w:jc w:val="center"/>
              <w:rPr>
                <w:rFonts w:cs="Arial"/>
                <w:szCs w:val="28"/>
              </w:rPr>
            </w:pPr>
          </w:p>
        </w:tc>
        <w:tc>
          <w:tcPr>
            <w:tcW w:w="1701" w:type="dxa"/>
            <w:tcBorders>
              <w:top w:val="single" w:color="auto" w:sz="4" w:space="0"/>
              <w:left w:val="single" w:color="auto" w:sz="4" w:space="0"/>
              <w:bottom w:val="single" w:color="auto" w:sz="4" w:space="0"/>
              <w:right w:val="single" w:color="auto" w:sz="4" w:space="0"/>
            </w:tcBorders>
            <w:vAlign w:val="center"/>
          </w:tcPr>
          <w:p w14:paraId="6398DBDB">
            <w:pPr>
              <w:wordWrap w:val="0"/>
              <w:adjustRightInd w:val="0"/>
              <w:snapToGrid w:val="0"/>
              <w:spacing w:line="300" w:lineRule="auto"/>
              <w:jc w:val="center"/>
              <w:rPr>
                <w:rFonts w:cs="Arial"/>
                <w:szCs w:val="28"/>
              </w:rPr>
            </w:pPr>
          </w:p>
        </w:tc>
        <w:tc>
          <w:tcPr>
            <w:tcW w:w="992" w:type="dxa"/>
            <w:tcBorders>
              <w:top w:val="single" w:color="auto" w:sz="4" w:space="0"/>
              <w:left w:val="single" w:color="auto" w:sz="4" w:space="0"/>
              <w:bottom w:val="single" w:color="auto" w:sz="4" w:space="0"/>
              <w:right w:val="single" w:color="auto" w:sz="4" w:space="0"/>
            </w:tcBorders>
            <w:vAlign w:val="center"/>
          </w:tcPr>
          <w:p w14:paraId="7A37561E">
            <w:pPr>
              <w:wordWrap w:val="0"/>
              <w:adjustRightInd w:val="0"/>
              <w:snapToGrid w:val="0"/>
              <w:spacing w:line="300" w:lineRule="auto"/>
              <w:jc w:val="center"/>
              <w:rPr>
                <w:rFonts w:cs="Arial"/>
                <w:szCs w:val="28"/>
              </w:rPr>
            </w:pPr>
          </w:p>
        </w:tc>
      </w:tr>
      <w:tr w14:paraId="0D3EFA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067" w:type="dxa"/>
            <w:gridSpan w:val="5"/>
            <w:tcBorders>
              <w:top w:val="single" w:color="auto" w:sz="4" w:space="0"/>
              <w:left w:val="single" w:color="auto" w:sz="4" w:space="0"/>
              <w:bottom w:val="single" w:color="auto" w:sz="4" w:space="0"/>
              <w:right w:val="single" w:color="auto" w:sz="4" w:space="0"/>
            </w:tcBorders>
            <w:vAlign w:val="center"/>
          </w:tcPr>
          <w:p w14:paraId="032DC082">
            <w:pPr>
              <w:wordWrap w:val="0"/>
              <w:adjustRightInd w:val="0"/>
              <w:snapToGrid w:val="0"/>
              <w:spacing w:line="300" w:lineRule="auto"/>
              <w:jc w:val="center"/>
              <w:rPr>
                <w:rFonts w:cs="Arial"/>
                <w:szCs w:val="28"/>
              </w:rPr>
            </w:pPr>
            <w:r>
              <w:rPr>
                <w:rFonts w:hint="eastAsia"/>
                <w:szCs w:val="21"/>
              </w:rPr>
              <w:t>非</w:t>
            </w:r>
            <w:r>
              <w:rPr>
                <w:szCs w:val="28"/>
              </w:rPr>
              <w:t>实质性</w:t>
            </w:r>
            <w:r>
              <w:rPr>
                <w:rFonts w:hint="eastAsia"/>
                <w:szCs w:val="28"/>
              </w:rPr>
              <w:t>要求偏离</w:t>
            </w:r>
          </w:p>
        </w:tc>
      </w:tr>
      <w:tr w14:paraId="1F2389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04" w:type="dxa"/>
            <w:tcBorders>
              <w:top w:val="single" w:color="auto" w:sz="4" w:space="0"/>
              <w:left w:val="single" w:color="auto" w:sz="4" w:space="0"/>
              <w:bottom w:val="single" w:color="auto" w:sz="4" w:space="0"/>
              <w:right w:val="single" w:color="auto" w:sz="4" w:space="0"/>
            </w:tcBorders>
            <w:vAlign w:val="center"/>
          </w:tcPr>
          <w:p w14:paraId="44214C81">
            <w:pPr>
              <w:wordWrap w:val="0"/>
              <w:adjustRightInd w:val="0"/>
              <w:snapToGrid w:val="0"/>
              <w:spacing w:line="300" w:lineRule="auto"/>
              <w:jc w:val="center"/>
              <w:rPr>
                <w:szCs w:val="28"/>
              </w:rPr>
            </w:pPr>
          </w:p>
        </w:tc>
        <w:tc>
          <w:tcPr>
            <w:tcW w:w="2552" w:type="dxa"/>
            <w:tcBorders>
              <w:top w:val="single" w:color="auto" w:sz="4" w:space="0"/>
              <w:left w:val="single" w:color="auto" w:sz="4" w:space="0"/>
              <w:bottom w:val="single" w:color="auto" w:sz="4" w:space="0"/>
              <w:right w:val="single" w:color="auto" w:sz="4" w:space="0"/>
            </w:tcBorders>
            <w:vAlign w:val="center"/>
          </w:tcPr>
          <w:p w14:paraId="4C80B7D0">
            <w:pPr>
              <w:wordWrap w:val="0"/>
              <w:adjustRightInd w:val="0"/>
              <w:snapToGrid w:val="0"/>
              <w:spacing w:line="300" w:lineRule="auto"/>
              <w:jc w:val="center"/>
              <w:rPr>
                <w:rFonts w:cs="Arial"/>
                <w:szCs w:val="28"/>
              </w:rPr>
            </w:pPr>
          </w:p>
        </w:tc>
        <w:tc>
          <w:tcPr>
            <w:tcW w:w="3118" w:type="dxa"/>
            <w:tcBorders>
              <w:top w:val="single" w:color="auto" w:sz="4" w:space="0"/>
              <w:left w:val="single" w:color="auto" w:sz="4" w:space="0"/>
              <w:bottom w:val="single" w:color="auto" w:sz="4" w:space="0"/>
              <w:right w:val="single" w:color="auto" w:sz="4" w:space="0"/>
            </w:tcBorders>
            <w:vAlign w:val="center"/>
          </w:tcPr>
          <w:p w14:paraId="011871A5">
            <w:pPr>
              <w:wordWrap w:val="0"/>
              <w:adjustRightInd w:val="0"/>
              <w:snapToGrid w:val="0"/>
              <w:spacing w:line="300" w:lineRule="auto"/>
              <w:jc w:val="center"/>
              <w:rPr>
                <w:rFonts w:cs="Arial"/>
                <w:szCs w:val="28"/>
              </w:rPr>
            </w:pPr>
          </w:p>
        </w:tc>
        <w:tc>
          <w:tcPr>
            <w:tcW w:w="1701" w:type="dxa"/>
            <w:tcBorders>
              <w:top w:val="single" w:color="auto" w:sz="4" w:space="0"/>
              <w:left w:val="single" w:color="auto" w:sz="4" w:space="0"/>
              <w:bottom w:val="single" w:color="auto" w:sz="4" w:space="0"/>
              <w:right w:val="single" w:color="auto" w:sz="4" w:space="0"/>
            </w:tcBorders>
            <w:vAlign w:val="center"/>
          </w:tcPr>
          <w:p w14:paraId="21CC7A92">
            <w:pPr>
              <w:wordWrap w:val="0"/>
              <w:adjustRightInd w:val="0"/>
              <w:snapToGrid w:val="0"/>
              <w:spacing w:line="300" w:lineRule="auto"/>
              <w:jc w:val="center"/>
              <w:rPr>
                <w:rFonts w:cs="Arial"/>
                <w:szCs w:val="28"/>
              </w:rPr>
            </w:pPr>
          </w:p>
        </w:tc>
        <w:tc>
          <w:tcPr>
            <w:tcW w:w="992" w:type="dxa"/>
            <w:tcBorders>
              <w:top w:val="single" w:color="auto" w:sz="4" w:space="0"/>
              <w:left w:val="single" w:color="auto" w:sz="4" w:space="0"/>
              <w:bottom w:val="single" w:color="auto" w:sz="4" w:space="0"/>
              <w:right w:val="single" w:color="auto" w:sz="4" w:space="0"/>
            </w:tcBorders>
            <w:vAlign w:val="center"/>
          </w:tcPr>
          <w:p w14:paraId="3C86EC49">
            <w:pPr>
              <w:wordWrap w:val="0"/>
              <w:adjustRightInd w:val="0"/>
              <w:snapToGrid w:val="0"/>
              <w:spacing w:line="300" w:lineRule="auto"/>
              <w:jc w:val="center"/>
              <w:rPr>
                <w:rFonts w:cs="Arial"/>
                <w:szCs w:val="28"/>
              </w:rPr>
            </w:pPr>
          </w:p>
        </w:tc>
      </w:tr>
      <w:tr w14:paraId="5CFF2E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04" w:type="dxa"/>
            <w:tcBorders>
              <w:top w:val="single" w:color="auto" w:sz="4" w:space="0"/>
              <w:left w:val="single" w:color="auto" w:sz="4" w:space="0"/>
              <w:bottom w:val="single" w:color="auto" w:sz="4" w:space="0"/>
              <w:right w:val="single" w:color="auto" w:sz="4" w:space="0"/>
            </w:tcBorders>
            <w:vAlign w:val="center"/>
          </w:tcPr>
          <w:p w14:paraId="31521448">
            <w:pPr>
              <w:wordWrap w:val="0"/>
              <w:adjustRightInd w:val="0"/>
              <w:snapToGrid w:val="0"/>
              <w:spacing w:line="300" w:lineRule="auto"/>
              <w:jc w:val="center"/>
              <w:rPr>
                <w:szCs w:val="28"/>
              </w:rPr>
            </w:pPr>
          </w:p>
        </w:tc>
        <w:tc>
          <w:tcPr>
            <w:tcW w:w="2552" w:type="dxa"/>
            <w:tcBorders>
              <w:top w:val="single" w:color="auto" w:sz="4" w:space="0"/>
              <w:left w:val="single" w:color="auto" w:sz="4" w:space="0"/>
              <w:bottom w:val="single" w:color="auto" w:sz="4" w:space="0"/>
              <w:right w:val="single" w:color="auto" w:sz="4" w:space="0"/>
            </w:tcBorders>
            <w:vAlign w:val="center"/>
          </w:tcPr>
          <w:p w14:paraId="34E0E9F2">
            <w:pPr>
              <w:wordWrap w:val="0"/>
              <w:adjustRightInd w:val="0"/>
              <w:snapToGrid w:val="0"/>
              <w:spacing w:line="300" w:lineRule="auto"/>
              <w:jc w:val="center"/>
              <w:rPr>
                <w:rFonts w:cs="Arial"/>
                <w:szCs w:val="28"/>
              </w:rPr>
            </w:pPr>
          </w:p>
        </w:tc>
        <w:tc>
          <w:tcPr>
            <w:tcW w:w="3118" w:type="dxa"/>
            <w:tcBorders>
              <w:top w:val="single" w:color="auto" w:sz="4" w:space="0"/>
              <w:left w:val="single" w:color="auto" w:sz="4" w:space="0"/>
              <w:bottom w:val="single" w:color="auto" w:sz="4" w:space="0"/>
              <w:right w:val="single" w:color="auto" w:sz="4" w:space="0"/>
            </w:tcBorders>
            <w:vAlign w:val="center"/>
          </w:tcPr>
          <w:p w14:paraId="337BAFF2">
            <w:pPr>
              <w:wordWrap w:val="0"/>
              <w:adjustRightInd w:val="0"/>
              <w:snapToGrid w:val="0"/>
              <w:spacing w:line="300" w:lineRule="auto"/>
              <w:jc w:val="center"/>
              <w:rPr>
                <w:rFonts w:cs="Arial"/>
                <w:szCs w:val="28"/>
              </w:rPr>
            </w:pPr>
          </w:p>
        </w:tc>
        <w:tc>
          <w:tcPr>
            <w:tcW w:w="1701" w:type="dxa"/>
            <w:tcBorders>
              <w:top w:val="single" w:color="auto" w:sz="4" w:space="0"/>
              <w:left w:val="single" w:color="auto" w:sz="4" w:space="0"/>
              <w:bottom w:val="single" w:color="auto" w:sz="4" w:space="0"/>
              <w:right w:val="single" w:color="auto" w:sz="4" w:space="0"/>
            </w:tcBorders>
            <w:vAlign w:val="center"/>
          </w:tcPr>
          <w:p w14:paraId="2B19B83F">
            <w:pPr>
              <w:wordWrap w:val="0"/>
              <w:adjustRightInd w:val="0"/>
              <w:snapToGrid w:val="0"/>
              <w:spacing w:line="300" w:lineRule="auto"/>
              <w:jc w:val="center"/>
              <w:rPr>
                <w:rFonts w:cs="Arial"/>
                <w:szCs w:val="28"/>
              </w:rPr>
            </w:pPr>
          </w:p>
        </w:tc>
        <w:tc>
          <w:tcPr>
            <w:tcW w:w="992" w:type="dxa"/>
            <w:tcBorders>
              <w:top w:val="single" w:color="auto" w:sz="4" w:space="0"/>
              <w:left w:val="single" w:color="auto" w:sz="4" w:space="0"/>
              <w:bottom w:val="single" w:color="auto" w:sz="4" w:space="0"/>
              <w:right w:val="single" w:color="auto" w:sz="4" w:space="0"/>
            </w:tcBorders>
            <w:vAlign w:val="center"/>
          </w:tcPr>
          <w:p w14:paraId="14BE20DB">
            <w:pPr>
              <w:wordWrap w:val="0"/>
              <w:adjustRightInd w:val="0"/>
              <w:snapToGrid w:val="0"/>
              <w:spacing w:line="300" w:lineRule="auto"/>
              <w:jc w:val="center"/>
              <w:rPr>
                <w:rFonts w:cs="Arial"/>
                <w:szCs w:val="28"/>
              </w:rPr>
            </w:pPr>
          </w:p>
        </w:tc>
      </w:tr>
      <w:tr w14:paraId="0CB889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04" w:type="dxa"/>
            <w:tcBorders>
              <w:top w:val="single" w:color="auto" w:sz="4" w:space="0"/>
              <w:left w:val="single" w:color="auto" w:sz="4" w:space="0"/>
              <w:bottom w:val="single" w:color="auto" w:sz="4" w:space="0"/>
              <w:right w:val="single" w:color="auto" w:sz="4" w:space="0"/>
            </w:tcBorders>
            <w:vAlign w:val="center"/>
          </w:tcPr>
          <w:p w14:paraId="44A6CBA5">
            <w:pPr>
              <w:wordWrap w:val="0"/>
              <w:adjustRightInd w:val="0"/>
              <w:snapToGrid w:val="0"/>
              <w:spacing w:line="300" w:lineRule="auto"/>
              <w:jc w:val="center"/>
              <w:rPr>
                <w:szCs w:val="28"/>
              </w:rPr>
            </w:pPr>
          </w:p>
        </w:tc>
        <w:tc>
          <w:tcPr>
            <w:tcW w:w="2552" w:type="dxa"/>
            <w:tcBorders>
              <w:top w:val="single" w:color="auto" w:sz="4" w:space="0"/>
              <w:left w:val="single" w:color="auto" w:sz="4" w:space="0"/>
              <w:bottom w:val="single" w:color="auto" w:sz="4" w:space="0"/>
              <w:right w:val="single" w:color="auto" w:sz="4" w:space="0"/>
            </w:tcBorders>
            <w:vAlign w:val="center"/>
          </w:tcPr>
          <w:p w14:paraId="4DDF642A">
            <w:pPr>
              <w:wordWrap w:val="0"/>
              <w:adjustRightInd w:val="0"/>
              <w:snapToGrid w:val="0"/>
              <w:spacing w:line="300" w:lineRule="auto"/>
              <w:jc w:val="center"/>
              <w:rPr>
                <w:rFonts w:cs="Arial"/>
                <w:szCs w:val="28"/>
              </w:rPr>
            </w:pPr>
          </w:p>
        </w:tc>
        <w:tc>
          <w:tcPr>
            <w:tcW w:w="3118" w:type="dxa"/>
            <w:tcBorders>
              <w:top w:val="single" w:color="auto" w:sz="4" w:space="0"/>
              <w:left w:val="single" w:color="auto" w:sz="4" w:space="0"/>
              <w:bottom w:val="single" w:color="auto" w:sz="4" w:space="0"/>
              <w:right w:val="single" w:color="auto" w:sz="4" w:space="0"/>
            </w:tcBorders>
            <w:vAlign w:val="center"/>
          </w:tcPr>
          <w:p w14:paraId="0E127654">
            <w:pPr>
              <w:wordWrap w:val="0"/>
              <w:adjustRightInd w:val="0"/>
              <w:snapToGrid w:val="0"/>
              <w:spacing w:line="300" w:lineRule="auto"/>
              <w:jc w:val="center"/>
              <w:rPr>
                <w:rFonts w:cs="Arial"/>
                <w:szCs w:val="28"/>
              </w:rPr>
            </w:pPr>
          </w:p>
        </w:tc>
        <w:tc>
          <w:tcPr>
            <w:tcW w:w="1701" w:type="dxa"/>
            <w:tcBorders>
              <w:top w:val="single" w:color="auto" w:sz="4" w:space="0"/>
              <w:left w:val="single" w:color="auto" w:sz="4" w:space="0"/>
              <w:bottom w:val="single" w:color="auto" w:sz="4" w:space="0"/>
              <w:right w:val="single" w:color="auto" w:sz="4" w:space="0"/>
            </w:tcBorders>
            <w:vAlign w:val="center"/>
          </w:tcPr>
          <w:p w14:paraId="75522A89">
            <w:pPr>
              <w:wordWrap w:val="0"/>
              <w:adjustRightInd w:val="0"/>
              <w:snapToGrid w:val="0"/>
              <w:spacing w:line="300" w:lineRule="auto"/>
              <w:jc w:val="center"/>
              <w:rPr>
                <w:rFonts w:cs="Arial"/>
                <w:szCs w:val="28"/>
              </w:rPr>
            </w:pPr>
          </w:p>
        </w:tc>
        <w:tc>
          <w:tcPr>
            <w:tcW w:w="992" w:type="dxa"/>
            <w:tcBorders>
              <w:top w:val="single" w:color="auto" w:sz="4" w:space="0"/>
              <w:left w:val="single" w:color="auto" w:sz="4" w:space="0"/>
              <w:bottom w:val="single" w:color="auto" w:sz="4" w:space="0"/>
              <w:right w:val="single" w:color="auto" w:sz="4" w:space="0"/>
            </w:tcBorders>
            <w:vAlign w:val="center"/>
          </w:tcPr>
          <w:p w14:paraId="6C36C88C">
            <w:pPr>
              <w:wordWrap w:val="0"/>
              <w:adjustRightInd w:val="0"/>
              <w:snapToGrid w:val="0"/>
              <w:spacing w:line="300" w:lineRule="auto"/>
              <w:jc w:val="center"/>
              <w:rPr>
                <w:rFonts w:cs="Arial"/>
                <w:szCs w:val="28"/>
              </w:rPr>
            </w:pPr>
          </w:p>
        </w:tc>
      </w:tr>
      <w:tr w14:paraId="367F03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04" w:type="dxa"/>
            <w:tcBorders>
              <w:top w:val="single" w:color="auto" w:sz="4" w:space="0"/>
              <w:left w:val="single" w:color="auto" w:sz="4" w:space="0"/>
              <w:bottom w:val="single" w:color="auto" w:sz="4" w:space="0"/>
              <w:right w:val="single" w:color="auto" w:sz="4" w:space="0"/>
            </w:tcBorders>
            <w:vAlign w:val="center"/>
          </w:tcPr>
          <w:p w14:paraId="1E831A88">
            <w:pPr>
              <w:wordWrap w:val="0"/>
              <w:adjustRightInd w:val="0"/>
              <w:snapToGrid w:val="0"/>
              <w:spacing w:line="300" w:lineRule="auto"/>
              <w:jc w:val="center"/>
              <w:rPr>
                <w:szCs w:val="28"/>
              </w:rPr>
            </w:pPr>
          </w:p>
        </w:tc>
        <w:tc>
          <w:tcPr>
            <w:tcW w:w="2552" w:type="dxa"/>
            <w:tcBorders>
              <w:top w:val="single" w:color="auto" w:sz="4" w:space="0"/>
              <w:left w:val="single" w:color="auto" w:sz="4" w:space="0"/>
              <w:bottom w:val="single" w:color="auto" w:sz="4" w:space="0"/>
              <w:right w:val="single" w:color="auto" w:sz="4" w:space="0"/>
            </w:tcBorders>
            <w:vAlign w:val="center"/>
          </w:tcPr>
          <w:p w14:paraId="269DA17C">
            <w:pPr>
              <w:wordWrap w:val="0"/>
              <w:adjustRightInd w:val="0"/>
              <w:snapToGrid w:val="0"/>
              <w:spacing w:line="300" w:lineRule="auto"/>
              <w:jc w:val="center"/>
              <w:rPr>
                <w:rFonts w:cs="Arial"/>
                <w:szCs w:val="28"/>
              </w:rPr>
            </w:pPr>
          </w:p>
        </w:tc>
        <w:tc>
          <w:tcPr>
            <w:tcW w:w="3118" w:type="dxa"/>
            <w:tcBorders>
              <w:top w:val="single" w:color="auto" w:sz="4" w:space="0"/>
              <w:left w:val="single" w:color="auto" w:sz="4" w:space="0"/>
              <w:bottom w:val="single" w:color="auto" w:sz="4" w:space="0"/>
              <w:right w:val="single" w:color="auto" w:sz="4" w:space="0"/>
            </w:tcBorders>
            <w:vAlign w:val="center"/>
          </w:tcPr>
          <w:p w14:paraId="0848CFDE">
            <w:pPr>
              <w:wordWrap w:val="0"/>
              <w:adjustRightInd w:val="0"/>
              <w:snapToGrid w:val="0"/>
              <w:spacing w:line="300" w:lineRule="auto"/>
              <w:jc w:val="center"/>
              <w:rPr>
                <w:rFonts w:cs="Arial"/>
                <w:szCs w:val="28"/>
              </w:rPr>
            </w:pPr>
          </w:p>
        </w:tc>
        <w:tc>
          <w:tcPr>
            <w:tcW w:w="1701" w:type="dxa"/>
            <w:tcBorders>
              <w:top w:val="single" w:color="auto" w:sz="4" w:space="0"/>
              <w:left w:val="single" w:color="auto" w:sz="4" w:space="0"/>
              <w:bottom w:val="single" w:color="auto" w:sz="4" w:space="0"/>
              <w:right w:val="single" w:color="auto" w:sz="4" w:space="0"/>
            </w:tcBorders>
            <w:vAlign w:val="center"/>
          </w:tcPr>
          <w:p w14:paraId="6C5B2581">
            <w:pPr>
              <w:wordWrap w:val="0"/>
              <w:adjustRightInd w:val="0"/>
              <w:snapToGrid w:val="0"/>
              <w:spacing w:line="300" w:lineRule="auto"/>
              <w:jc w:val="center"/>
              <w:rPr>
                <w:rFonts w:cs="Arial"/>
                <w:szCs w:val="28"/>
              </w:rPr>
            </w:pPr>
          </w:p>
        </w:tc>
        <w:tc>
          <w:tcPr>
            <w:tcW w:w="992" w:type="dxa"/>
            <w:tcBorders>
              <w:top w:val="single" w:color="auto" w:sz="4" w:space="0"/>
              <w:left w:val="single" w:color="auto" w:sz="4" w:space="0"/>
              <w:bottom w:val="single" w:color="auto" w:sz="4" w:space="0"/>
              <w:right w:val="single" w:color="auto" w:sz="4" w:space="0"/>
            </w:tcBorders>
            <w:vAlign w:val="center"/>
          </w:tcPr>
          <w:p w14:paraId="7FBAA5FE">
            <w:pPr>
              <w:wordWrap w:val="0"/>
              <w:adjustRightInd w:val="0"/>
              <w:snapToGrid w:val="0"/>
              <w:spacing w:line="300" w:lineRule="auto"/>
              <w:jc w:val="center"/>
              <w:rPr>
                <w:rFonts w:cs="Arial"/>
                <w:szCs w:val="28"/>
              </w:rPr>
            </w:pPr>
          </w:p>
        </w:tc>
      </w:tr>
      <w:tr w14:paraId="7E2793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04" w:type="dxa"/>
            <w:tcBorders>
              <w:top w:val="single" w:color="auto" w:sz="4" w:space="0"/>
              <w:left w:val="single" w:color="auto" w:sz="4" w:space="0"/>
              <w:bottom w:val="single" w:color="auto" w:sz="4" w:space="0"/>
              <w:right w:val="single" w:color="auto" w:sz="4" w:space="0"/>
            </w:tcBorders>
            <w:vAlign w:val="center"/>
          </w:tcPr>
          <w:p w14:paraId="41AD73F7">
            <w:pPr>
              <w:wordWrap w:val="0"/>
              <w:adjustRightInd w:val="0"/>
              <w:snapToGrid w:val="0"/>
              <w:spacing w:line="300" w:lineRule="auto"/>
              <w:jc w:val="center"/>
              <w:rPr>
                <w:szCs w:val="28"/>
              </w:rPr>
            </w:pPr>
            <w:r>
              <w:rPr>
                <w:rFonts w:hint="eastAsia"/>
                <w:szCs w:val="28"/>
              </w:rPr>
              <w:t>…</w:t>
            </w:r>
          </w:p>
        </w:tc>
        <w:tc>
          <w:tcPr>
            <w:tcW w:w="2552" w:type="dxa"/>
            <w:tcBorders>
              <w:top w:val="single" w:color="auto" w:sz="4" w:space="0"/>
              <w:left w:val="single" w:color="auto" w:sz="4" w:space="0"/>
              <w:bottom w:val="single" w:color="auto" w:sz="4" w:space="0"/>
              <w:right w:val="single" w:color="auto" w:sz="4" w:space="0"/>
            </w:tcBorders>
            <w:vAlign w:val="center"/>
          </w:tcPr>
          <w:p w14:paraId="364694E9">
            <w:pPr>
              <w:wordWrap w:val="0"/>
              <w:adjustRightInd w:val="0"/>
              <w:snapToGrid w:val="0"/>
              <w:spacing w:line="300" w:lineRule="auto"/>
              <w:jc w:val="center"/>
              <w:rPr>
                <w:rFonts w:cs="Arial"/>
                <w:szCs w:val="28"/>
              </w:rPr>
            </w:pPr>
          </w:p>
        </w:tc>
        <w:tc>
          <w:tcPr>
            <w:tcW w:w="3118" w:type="dxa"/>
            <w:tcBorders>
              <w:top w:val="single" w:color="auto" w:sz="4" w:space="0"/>
              <w:left w:val="single" w:color="auto" w:sz="4" w:space="0"/>
              <w:bottom w:val="single" w:color="auto" w:sz="4" w:space="0"/>
              <w:right w:val="single" w:color="auto" w:sz="4" w:space="0"/>
            </w:tcBorders>
            <w:vAlign w:val="center"/>
          </w:tcPr>
          <w:p w14:paraId="4CCB81BD">
            <w:pPr>
              <w:wordWrap w:val="0"/>
              <w:adjustRightInd w:val="0"/>
              <w:snapToGrid w:val="0"/>
              <w:spacing w:line="300" w:lineRule="auto"/>
              <w:jc w:val="center"/>
              <w:rPr>
                <w:rFonts w:cs="Arial"/>
                <w:szCs w:val="28"/>
              </w:rPr>
            </w:pPr>
          </w:p>
        </w:tc>
        <w:tc>
          <w:tcPr>
            <w:tcW w:w="1701" w:type="dxa"/>
            <w:tcBorders>
              <w:top w:val="single" w:color="auto" w:sz="4" w:space="0"/>
              <w:left w:val="single" w:color="auto" w:sz="4" w:space="0"/>
              <w:bottom w:val="single" w:color="auto" w:sz="4" w:space="0"/>
              <w:right w:val="single" w:color="auto" w:sz="4" w:space="0"/>
            </w:tcBorders>
            <w:vAlign w:val="center"/>
          </w:tcPr>
          <w:p w14:paraId="363D1A5C">
            <w:pPr>
              <w:wordWrap w:val="0"/>
              <w:adjustRightInd w:val="0"/>
              <w:snapToGrid w:val="0"/>
              <w:spacing w:line="300" w:lineRule="auto"/>
              <w:jc w:val="center"/>
              <w:rPr>
                <w:rFonts w:cs="Arial"/>
                <w:szCs w:val="28"/>
              </w:rPr>
            </w:pPr>
          </w:p>
        </w:tc>
        <w:tc>
          <w:tcPr>
            <w:tcW w:w="992" w:type="dxa"/>
            <w:tcBorders>
              <w:top w:val="single" w:color="auto" w:sz="4" w:space="0"/>
              <w:left w:val="single" w:color="auto" w:sz="4" w:space="0"/>
              <w:bottom w:val="single" w:color="auto" w:sz="4" w:space="0"/>
              <w:right w:val="single" w:color="auto" w:sz="4" w:space="0"/>
            </w:tcBorders>
            <w:vAlign w:val="center"/>
          </w:tcPr>
          <w:p w14:paraId="61290812">
            <w:pPr>
              <w:wordWrap w:val="0"/>
              <w:adjustRightInd w:val="0"/>
              <w:snapToGrid w:val="0"/>
              <w:spacing w:line="300" w:lineRule="auto"/>
              <w:jc w:val="center"/>
              <w:rPr>
                <w:rFonts w:cs="Arial"/>
                <w:szCs w:val="28"/>
              </w:rPr>
            </w:pPr>
          </w:p>
        </w:tc>
      </w:tr>
      <w:tr w14:paraId="3A58DA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4" w:hRule="atLeast"/>
        </w:trPr>
        <w:tc>
          <w:tcPr>
            <w:tcW w:w="9067" w:type="dxa"/>
            <w:gridSpan w:val="5"/>
            <w:tcBorders>
              <w:top w:val="single" w:color="auto" w:sz="4" w:space="0"/>
              <w:left w:val="single" w:color="auto" w:sz="4" w:space="0"/>
              <w:bottom w:val="single" w:color="auto" w:sz="4" w:space="0"/>
            </w:tcBorders>
            <w:vAlign w:val="center"/>
          </w:tcPr>
          <w:p w14:paraId="4F5CE8B9">
            <w:pPr>
              <w:wordWrap w:val="0"/>
              <w:adjustRightInd w:val="0"/>
              <w:snapToGrid w:val="0"/>
              <w:spacing w:line="300" w:lineRule="auto"/>
              <w:rPr>
                <w:rFonts w:cs="Arial"/>
                <w:szCs w:val="28"/>
              </w:rPr>
            </w:pPr>
            <w:r>
              <w:rPr>
                <w:rFonts w:hint="eastAsia"/>
                <w:szCs w:val="28"/>
              </w:rPr>
              <w:t>我方</w:t>
            </w:r>
            <w:r>
              <w:rPr>
                <w:szCs w:val="28"/>
              </w:rPr>
              <w:t>声明：除本表列</w:t>
            </w:r>
            <w:r>
              <w:rPr>
                <w:rFonts w:hint="eastAsia"/>
                <w:szCs w:val="28"/>
              </w:rPr>
              <w:t>出的</w:t>
            </w:r>
            <w:r>
              <w:rPr>
                <w:szCs w:val="28"/>
              </w:rPr>
              <w:t>偏</w:t>
            </w:r>
            <w:r>
              <w:rPr>
                <w:rFonts w:hint="eastAsia"/>
                <w:szCs w:val="28"/>
              </w:rPr>
              <w:t>离</w:t>
            </w:r>
            <w:r>
              <w:rPr>
                <w:szCs w:val="28"/>
              </w:rPr>
              <w:t>外，我</w:t>
            </w:r>
            <w:r>
              <w:rPr>
                <w:rFonts w:hint="eastAsia"/>
                <w:szCs w:val="28"/>
              </w:rPr>
              <w:t>方对招标文件中的所有技术</w:t>
            </w:r>
            <w:r>
              <w:rPr>
                <w:szCs w:val="28"/>
              </w:rPr>
              <w:t>要求</w:t>
            </w:r>
            <w:r>
              <w:rPr>
                <w:rFonts w:hint="eastAsia"/>
                <w:szCs w:val="28"/>
              </w:rPr>
              <w:t>完全响应</w:t>
            </w:r>
            <w:r>
              <w:rPr>
                <w:rFonts w:hint="eastAsia"/>
              </w:rPr>
              <w:t>，</w:t>
            </w:r>
            <w:r>
              <w:rPr>
                <w:szCs w:val="28"/>
              </w:rPr>
              <w:t>无偏离。</w:t>
            </w:r>
          </w:p>
        </w:tc>
      </w:tr>
    </w:tbl>
    <w:p w14:paraId="7DBB6E52">
      <w:pPr>
        <w:wordWrap w:val="0"/>
        <w:adjustRightInd w:val="0"/>
        <w:snapToGrid w:val="0"/>
        <w:rPr>
          <w:szCs w:val="28"/>
        </w:rPr>
      </w:pPr>
    </w:p>
    <w:p w14:paraId="1A844264">
      <w:pPr>
        <w:wordWrap w:val="0"/>
        <w:adjustRightInd w:val="0"/>
        <w:snapToGrid w:val="0"/>
        <w:rPr>
          <w:szCs w:val="28"/>
        </w:rPr>
      </w:pPr>
      <w:r>
        <w:rPr>
          <w:rFonts w:hint="eastAsia"/>
          <w:szCs w:val="28"/>
        </w:rPr>
        <w:t>注：（</w:t>
      </w:r>
      <w:r>
        <w:rPr>
          <w:szCs w:val="28"/>
        </w:rPr>
        <w:t>1</w:t>
      </w:r>
      <w:r>
        <w:rPr>
          <w:rFonts w:hint="eastAsia"/>
          <w:szCs w:val="28"/>
        </w:rPr>
        <w:t>）此表为表样，行数可自行添加，但表式不变</w:t>
      </w:r>
      <w:r>
        <w:rPr>
          <w:rFonts w:hint="eastAsia"/>
          <w:szCs w:val="24"/>
        </w:rPr>
        <w:t>，并加盖CA电子公章</w:t>
      </w:r>
      <w:r>
        <w:rPr>
          <w:rFonts w:hint="eastAsia"/>
          <w:szCs w:val="28"/>
        </w:rPr>
        <w:t>。</w:t>
      </w:r>
    </w:p>
    <w:p w14:paraId="483B6DAD">
      <w:pPr>
        <w:wordWrap w:val="0"/>
        <w:adjustRightInd w:val="0"/>
        <w:snapToGrid w:val="0"/>
        <w:ind w:firstLine="360" w:firstLineChars="150"/>
      </w:pPr>
      <w:bookmarkStart w:id="240" w:name="OLE_LINK48"/>
      <w:bookmarkStart w:id="241" w:name="OLE_LINK56"/>
      <w:bookmarkStart w:id="242" w:name="OLE_LINK47"/>
      <w:bookmarkStart w:id="243" w:name="OLE_LINK11"/>
      <w:bookmarkStart w:id="244" w:name="OLE_LINK20"/>
      <w:bookmarkStart w:id="245" w:name="OLE_LINK18"/>
      <w:bookmarkStart w:id="246" w:name="OLE_LINK1"/>
      <w:r>
        <w:rPr>
          <w:rFonts w:hint="eastAsia"/>
          <w:szCs w:val="28"/>
        </w:rPr>
        <w:t>（</w:t>
      </w:r>
      <w:r>
        <w:rPr>
          <w:szCs w:val="28"/>
        </w:rPr>
        <w:t>2</w:t>
      </w:r>
      <w:r>
        <w:rPr>
          <w:rFonts w:hint="eastAsia"/>
          <w:szCs w:val="28"/>
        </w:rPr>
        <w:t>）</w:t>
      </w:r>
      <w:bookmarkStart w:id="247" w:name="OLE_LINK120"/>
      <w:bookmarkStart w:id="248" w:name="OLE_LINK121"/>
      <w:bookmarkStart w:id="249" w:name="OLE_LINK44"/>
      <w:bookmarkStart w:id="250" w:name="OLE_LINK43"/>
      <w:r>
        <w:rPr>
          <w:rFonts w:hint="eastAsia"/>
          <w:szCs w:val="28"/>
        </w:rPr>
        <w:t>投标人</w:t>
      </w:r>
      <w:r>
        <w:t>须对</w:t>
      </w:r>
      <w:r>
        <w:rPr>
          <w:rFonts w:hint="eastAsia"/>
        </w:rPr>
        <w:t>招标</w:t>
      </w:r>
      <w:r>
        <w:t>文件技术要求中</w:t>
      </w:r>
      <w:r>
        <w:rPr>
          <w:rFonts w:hint="eastAsia"/>
        </w:rPr>
        <w:t>的</w:t>
      </w:r>
      <w:r>
        <w:t>所有实质性</w:t>
      </w:r>
      <w:r>
        <w:rPr>
          <w:rFonts w:hint="eastAsia"/>
        </w:rPr>
        <w:t>要求（</w:t>
      </w:r>
      <w:r>
        <w:rPr>
          <w:rFonts w:hint="eastAsia"/>
          <w:szCs w:val="21"/>
        </w:rPr>
        <w:t>标注“★”条款</w:t>
      </w:r>
      <w:r>
        <w:rPr>
          <w:rFonts w:hint="eastAsia"/>
        </w:rPr>
        <w:t>）</w:t>
      </w:r>
      <w:r>
        <w:t>逐条作出明确响应</w:t>
      </w:r>
      <w:r>
        <w:rPr>
          <w:rFonts w:hint="eastAsia"/>
        </w:rPr>
        <w:t>；</w:t>
      </w:r>
      <w:bookmarkStart w:id="251" w:name="OLE_LINK64"/>
      <w:r>
        <w:rPr>
          <w:rFonts w:hint="eastAsia"/>
        </w:rPr>
        <w:t>非实质性要求（未标注“★”条款）若存在正偏离、负偏离的，须</w:t>
      </w:r>
      <w:r>
        <w:t>逐条列明偏离内容</w:t>
      </w:r>
      <w:r>
        <w:rPr>
          <w:rFonts w:hint="eastAsia"/>
        </w:rPr>
        <w:t>；</w:t>
      </w:r>
      <w:bookmarkEnd w:id="240"/>
      <w:bookmarkEnd w:id="241"/>
      <w:bookmarkEnd w:id="242"/>
      <w:bookmarkEnd w:id="247"/>
      <w:bookmarkEnd w:id="248"/>
      <w:bookmarkEnd w:id="251"/>
      <w:r>
        <w:rPr>
          <w:rFonts w:hint="eastAsia"/>
        </w:rPr>
        <w:t>投标响应时不得对原有条款进行直接复制粘贴及简单表述为完全响应，否则将影响该项评价。</w:t>
      </w:r>
    </w:p>
    <w:bookmarkEnd w:id="243"/>
    <w:bookmarkEnd w:id="244"/>
    <w:bookmarkEnd w:id="245"/>
    <w:bookmarkEnd w:id="246"/>
    <w:bookmarkEnd w:id="249"/>
    <w:bookmarkEnd w:id="250"/>
    <w:p w14:paraId="18D6EF88">
      <w:pPr>
        <w:wordWrap w:val="0"/>
        <w:adjustRightInd w:val="0"/>
        <w:snapToGrid w:val="0"/>
        <w:ind w:firstLine="360" w:firstLineChars="150"/>
        <w:rPr>
          <w:szCs w:val="28"/>
        </w:rPr>
      </w:pPr>
      <w:r>
        <w:rPr>
          <w:rFonts w:hint="eastAsia"/>
          <w:szCs w:val="21"/>
        </w:rPr>
        <w:t>（</w:t>
      </w:r>
      <w:r>
        <w:rPr>
          <w:szCs w:val="21"/>
        </w:rPr>
        <w:t>3</w:t>
      </w:r>
      <w:r>
        <w:rPr>
          <w:rFonts w:hint="eastAsia"/>
          <w:szCs w:val="21"/>
        </w:rPr>
        <w:t>）</w:t>
      </w:r>
      <w:bookmarkStart w:id="252" w:name="OLE_LINK130"/>
      <w:bookmarkStart w:id="253" w:name="OLE_LINK129"/>
      <w:r>
        <w:rPr>
          <w:rFonts w:hint="eastAsia"/>
          <w:szCs w:val="28"/>
        </w:rPr>
        <w:t>投标人</w:t>
      </w:r>
      <w:r>
        <w:t>未</w:t>
      </w:r>
      <w:r>
        <w:rPr>
          <w:rFonts w:hint="eastAsia"/>
        </w:rPr>
        <w:t>对</w:t>
      </w:r>
      <w:r>
        <w:t>实质性</w:t>
      </w:r>
      <w:r>
        <w:rPr>
          <w:rFonts w:hint="eastAsia"/>
        </w:rPr>
        <w:t>要求逐条作出明确</w:t>
      </w:r>
      <w:r>
        <w:t>响应</w:t>
      </w:r>
      <w:r>
        <w:rPr>
          <w:rFonts w:hint="eastAsia"/>
        </w:rPr>
        <w:t>，或经查实</w:t>
      </w:r>
      <w:r>
        <w:rPr>
          <w:rFonts w:hint="eastAsia"/>
          <w:szCs w:val="28"/>
        </w:rPr>
        <w:t>投标人</w:t>
      </w:r>
      <w:r>
        <w:rPr>
          <w:rFonts w:hint="eastAsia"/>
        </w:rPr>
        <w:t>存在隐瞒偏离、虚假响应情形的，其</w:t>
      </w:r>
      <w:r>
        <w:rPr>
          <w:rFonts w:hint="eastAsia"/>
          <w:b/>
          <w:szCs w:val="28"/>
        </w:rPr>
        <w:t>投标</w:t>
      </w:r>
      <w:r>
        <w:rPr>
          <w:b/>
          <w:szCs w:val="28"/>
        </w:rPr>
        <w:t>无效</w:t>
      </w:r>
      <w:r>
        <w:rPr>
          <w:rFonts w:hint="eastAsia"/>
        </w:rPr>
        <w:t>。</w:t>
      </w:r>
      <w:bookmarkEnd w:id="252"/>
      <w:bookmarkEnd w:id="253"/>
    </w:p>
    <w:p w14:paraId="382AFDCA">
      <w:pPr>
        <w:wordWrap w:val="0"/>
        <w:adjustRightInd w:val="0"/>
        <w:snapToGrid w:val="0"/>
        <w:ind w:firstLine="360" w:firstLineChars="150"/>
        <w:rPr>
          <w:szCs w:val="28"/>
        </w:rPr>
      </w:pPr>
      <w:r>
        <w:rPr>
          <w:szCs w:val="28"/>
        </w:rPr>
        <w:t>（4）如提供其他技术文件或详细说明，可列于该表之下并加盖CA电子公章。</w:t>
      </w:r>
    </w:p>
    <w:p w14:paraId="08AFEFE7">
      <w:pPr>
        <w:numPr>
          <w:ilvl w:val="0"/>
          <w:numId w:val="29"/>
        </w:numPr>
        <w:wordWrap w:val="0"/>
        <w:adjustRightInd w:val="0"/>
        <w:snapToGrid w:val="0"/>
        <w:jc w:val="center"/>
        <w:outlineLvl w:val="1"/>
        <w:rPr>
          <w:b/>
          <w:sz w:val="36"/>
          <w:szCs w:val="21"/>
        </w:rPr>
      </w:pPr>
      <w:r>
        <w:rPr>
          <w:szCs w:val="24"/>
        </w:rPr>
        <w:br w:type="page"/>
      </w:r>
      <w:r>
        <w:rPr>
          <w:rFonts w:hint="eastAsia"/>
          <w:b/>
          <w:sz w:val="36"/>
          <w:szCs w:val="21"/>
        </w:rPr>
        <w:t>商务要求响应及偏离表</w:t>
      </w:r>
    </w:p>
    <w:tbl>
      <w:tblPr>
        <w:tblStyle w:val="31"/>
        <w:tblW w:w="9067"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04"/>
        <w:gridCol w:w="2552"/>
        <w:gridCol w:w="3118"/>
        <w:gridCol w:w="1701"/>
        <w:gridCol w:w="992"/>
      </w:tblGrid>
      <w:tr w14:paraId="737E9D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04" w:type="dxa"/>
            <w:tcBorders>
              <w:top w:val="single" w:color="auto" w:sz="4" w:space="0"/>
              <w:left w:val="single" w:color="auto" w:sz="4" w:space="0"/>
              <w:bottom w:val="single" w:color="auto" w:sz="4" w:space="0"/>
              <w:right w:val="single" w:color="auto" w:sz="4" w:space="0"/>
            </w:tcBorders>
            <w:vAlign w:val="center"/>
          </w:tcPr>
          <w:p w14:paraId="60932CEF">
            <w:pPr>
              <w:wordWrap w:val="0"/>
              <w:adjustRightInd w:val="0"/>
              <w:snapToGrid w:val="0"/>
              <w:spacing w:line="300" w:lineRule="auto"/>
              <w:jc w:val="center"/>
              <w:rPr>
                <w:szCs w:val="28"/>
              </w:rPr>
            </w:pPr>
            <w:r>
              <w:rPr>
                <w:rFonts w:hint="eastAsia"/>
                <w:szCs w:val="28"/>
              </w:rPr>
              <w:t>序号</w:t>
            </w:r>
          </w:p>
        </w:tc>
        <w:tc>
          <w:tcPr>
            <w:tcW w:w="2552" w:type="dxa"/>
            <w:tcBorders>
              <w:top w:val="single" w:color="auto" w:sz="4" w:space="0"/>
              <w:left w:val="single" w:color="auto" w:sz="4" w:space="0"/>
              <w:bottom w:val="single" w:color="auto" w:sz="4" w:space="0"/>
              <w:right w:val="single" w:color="auto" w:sz="4" w:space="0"/>
            </w:tcBorders>
            <w:vAlign w:val="center"/>
          </w:tcPr>
          <w:p w14:paraId="092FB9A0">
            <w:pPr>
              <w:wordWrap w:val="0"/>
              <w:adjustRightInd w:val="0"/>
              <w:snapToGrid w:val="0"/>
              <w:spacing w:line="300" w:lineRule="auto"/>
              <w:jc w:val="center"/>
              <w:rPr>
                <w:szCs w:val="28"/>
              </w:rPr>
            </w:pPr>
            <w:r>
              <w:rPr>
                <w:rFonts w:hint="eastAsia"/>
                <w:szCs w:val="28"/>
              </w:rPr>
              <w:t>招标文件要求</w:t>
            </w:r>
          </w:p>
        </w:tc>
        <w:tc>
          <w:tcPr>
            <w:tcW w:w="3118" w:type="dxa"/>
            <w:tcBorders>
              <w:top w:val="single" w:color="auto" w:sz="4" w:space="0"/>
              <w:left w:val="single" w:color="auto" w:sz="4" w:space="0"/>
              <w:bottom w:val="single" w:color="auto" w:sz="4" w:space="0"/>
              <w:right w:val="single" w:color="auto" w:sz="4" w:space="0"/>
            </w:tcBorders>
            <w:vAlign w:val="center"/>
          </w:tcPr>
          <w:p w14:paraId="06F0D8B7">
            <w:pPr>
              <w:wordWrap w:val="0"/>
              <w:adjustRightInd w:val="0"/>
              <w:snapToGrid w:val="0"/>
              <w:spacing w:line="300" w:lineRule="auto"/>
              <w:jc w:val="center"/>
              <w:rPr>
                <w:szCs w:val="28"/>
              </w:rPr>
            </w:pPr>
            <w:r>
              <w:rPr>
                <w:rFonts w:hint="eastAsia"/>
                <w:szCs w:val="28"/>
              </w:rPr>
              <w:t>投标响应内容</w:t>
            </w:r>
          </w:p>
        </w:tc>
        <w:tc>
          <w:tcPr>
            <w:tcW w:w="1701" w:type="dxa"/>
            <w:tcBorders>
              <w:top w:val="single" w:color="auto" w:sz="4" w:space="0"/>
              <w:left w:val="single" w:color="auto" w:sz="4" w:space="0"/>
              <w:bottom w:val="single" w:color="auto" w:sz="4" w:space="0"/>
              <w:right w:val="single" w:color="auto" w:sz="4" w:space="0"/>
            </w:tcBorders>
            <w:vAlign w:val="center"/>
          </w:tcPr>
          <w:p w14:paraId="60B690B0">
            <w:pPr>
              <w:wordWrap w:val="0"/>
              <w:adjustRightInd w:val="0"/>
              <w:snapToGrid w:val="0"/>
              <w:spacing w:line="300" w:lineRule="auto"/>
              <w:jc w:val="center"/>
              <w:rPr>
                <w:szCs w:val="28"/>
              </w:rPr>
            </w:pPr>
            <w:r>
              <w:rPr>
                <w:rFonts w:hint="eastAsia"/>
                <w:szCs w:val="28"/>
              </w:rPr>
              <w:t>正偏离、无偏离或负偏离</w:t>
            </w:r>
          </w:p>
        </w:tc>
        <w:tc>
          <w:tcPr>
            <w:tcW w:w="992" w:type="dxa"/>
            <w:tcBorders>
              <w:top w:val="single" w:color="auto" w:sz="4" w:space="0"/>
              <w:left w:val="single" w:color="auto" w:sz="4" w:space="0"/>
              <w:bottom w:val="single" w:color="auto" w:sz="4" w:space="0"/>
              <w:right w:val="single" w:color="auto" w:sz="4" w:space="0"/>
            </w:tcBorders>
            <w:vAlign w:val="center"/>
          </w:tcPr>
          <w:p w14:paraId="56D99038">
            <w:pPr>
              <w:wordWrap w:val="0"/>
              <w:adjustRightInd w:val="0"/>
              <w:snapToGrid w:val="0"/>
              <w:spacing w:line="300" w:lineRule="auto"/>
              <w:jc w:val="center"/>
              <w:rPr>
                <w:szCs w:val="28"/>
              </w:rPr>
            </w:pPr>
            <w:r>
              <w:rPr>
                <w:rFonts w:hint="eastAsia"/>
                <w:szCs w:val="28"/>
              </w:rPr>
              <w:t>备注</w:t>
            </w:r>
          </w:p>
        </w:tc>
      </w:tr>
      <w:tr w14:paraId="7AB855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067" w:type="dxa"/>
            <w:gridSpan w:val="5"/>
            <w:tcBorders>
              <w:top w:val="single" w:color="auto" w:sz="4" w:space="0"/>
              <w:left w:val="single" w:color="auto" w:sz="4" w:space="0"/>
              <w:bottom w:val="single" w:color="auto" w:sz="4" w:space="0"/>
              <w:right w:val="single" w:color="auto" w:sz="4" w:space="0"/>
            </w:tcBorders>
            <w:vAlign w:val="center"/>
          </w:tcPr>
          <w:p w14:paraId="5B7A37B7">
            <w:pPr>
              <w:wordWrap w:val="0"/>
              <w:adjustRightInd w:val="0"/>
              <w:snapToGrid w:val="0"/>
              <w:spacing w:line="300" w:lineRule="auto"/>
              <w:jc w:val="center"/>
              <w:rPr>
                <w:szCs w:val="28"/>
              </w:rPr>
            </w:pPr>
            <w:r>
              <w:rPr>
                <w:rFonts w:hint="eastAsia"/>
                <w:szCs w:val="28"/>
              </w:rPr>
              <w:t>实质性要求响应及偏离</w:t>
            </w:r>
          </w:p>
        </w:tc>
      </w:tr>
      <w:tr w14:paraId="40AE96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04" w:type="dxa"/>
            <w:tcBorders>
              <w:top w:val="single" w:color="auto" w:sz="4" w:space="0"/>
              <w:left w:val="single" w:color="auto" w:sz="4" w:space="0"/>
              <w:bottom w:val="single" w:color="auto" w:sz="4" w:space="0"/>
              <w:right w:val="single" w:color="auto" w:sz="4" w:space="0"/>
            </w:tcBorders>
            <w:vAlign w:val="center"/>
          </w:tcPr>
          <w:p w14:paraId="0CC814C5">
            <w:pPr>
              <w:wordWrap w:val="0"/>
              <w:adjustRightInd w:val="0"/>
              <w:snapToGrid w:val="0"/>
              <w:spacing w:line="300" w:lineRule="auto"/>
              <w:jc w:val="center"/>
              <w:rPr>
                <w:szCs w:val="28"/>
              </w:rPr>
            </w:pPr>
          </w:p>
        </w:tc>
        <w:tc>
          <w:tcPr>
            <w:tcW w:w="2552" w:type="dxa"/>
            <w:tcBorders>
              <w:top w:val="single" w:color="auto" w:sz="4" w:space="0"/>
              <w:left w:val="single" w:color="auto" w:sz="4" w:space="0"/>
              <w:bottom w:val="single" w:color="auto" w:sz="4" w:space="0"/>
              <w:right w:val="single" w:color="auto" w:sz="4" w:space="0"/>
            </w:tcBorders>
            <w:vAlign w:val="center"/>
          </w:tcPr>
          <w:p w14:paraId="72D18A3A">
            <w:pPr>
              <w:wordWrap w:val="0"/>
              <w:adjustRightInd w:val="0"/>
              <w:snapToGrid w:val="0"/>
              <w:spacing w:line="300" w:lineRule="auto"/>
              <w:rPr>
                <w:szCs w:val="28"/>
              </w:rPr>
            </w:pPr>
          </w:p>
        </w:tc>
        <w:tc>
          <w:tcPr>
            <w:tcW w:w="3118" w:type="dxa"/>
            <w:tcBorders>
              <w:top w:val="single" w:color="auto" w:sz="4" w:space="0"/>
              <w:left w:val="single" w:color="auto" w:sz="4" w:space="0"/>
              <w:bottom w:val="single" w:color="auto" w:sz="4" w:space="0"/>
              <w:right w:val="single" w:color="auto" w:sz="4" w:space="0"/>
            </w:tcBorders>
            <w:vAlign w:val="center"/>
          </w:tcPr>
          <w:p w14:paraId="6BB0C9E7">
            <w:pPr>
              <w:wordWrap w:val="0"/>
              <w:adjustRightInd w:val="0"/>
              <w:snapToGrid w:val="0"/>
              <w:spacing w:line="300" w:lineRule="auto"/>
              <w:jc w:val="center"/>
              <w:rPr>
                <w:szCs w:val="28"/>
              </w:rPr>
            </w:pPr>
          </w:p>
        </w:tc>
        <w:tc>
          <w:tcPr>
            <w:tcW w:w="1701" w:type="dxa"/>
            <w:tcBorders>
              <w:top w:val="single" w:color="auto" w:sz="4" w:space="0"/>
              <w:left w:val="single" w:color="auto" w:sz="4" w:space="0"/>
              <w:bottom w:val="single" w:color="auto" w:sz="4" w:space="0"/>
              <w:right w:val="single" w:color="auto" w:sz="4" w:space="0"/>
            </w:tcBorders>
            <w:vAlign w:val="center"/>
          </w:tcPr>
          <w:p w14:paraId="783EA66A">
            <w:pPr>
              <w:wordWrap w:val="0"/>
              <w:adjustRightInd w:val="0"/>
              <w:snapToGrid w:val="0"/>
              <w:spacing w:line="300" w:lineRule="auto"/>
              <w:jc w:val="center"/>
              <w:rPr>
                <w:szCs w:val="28"/>
              </w:rPr>
            </w:pPr>
          </w:p>
        </w:tc>
        <w:tc>
          <w:tcPr>
            <w:tcW w:w="992" w:type="dxa"/>
            <w:tcBorders>
              <w:top w:val="single" w:color="auto" w:sz="4" w:space="0"/>
              <w:left w:val="single" w:color="auto" w:sz="4" w:space="0"/>
              <w:bottom w:val="single" w:color="auto" w:sz="4" w:space="0"/>
              <w:right w:val="single" w:color="auto" w:sz="4" w:space="0"/>
            </w:tcBorders>
            <w:vAlign w:val="center"/>
          </w:tcPr>
          <w:p w14:paraId="16832852">
            <w:pPr>
              <w:wordWrap w:val="0"/>
              <w:adjustRightInd w:val="0"/>
              <w:snapToGrid w:val="0"/>
              <w:spacing w:line="300" w:lineRule="auto"/>
              <w:jc w:val="center"/>
              <w:rPr>
                <w:szCs w:val="28"/>
              </w:rPr>
            </w:pPr>
          </w:p>
        </w:tc>
      </w:tr>
      <w:tr w14:paraId="53F46F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04" w:type="dxa"/>
            <w:tcBorders>
              <w:top w:val="single" w:color="auto" w:sz="4" w:space="0"/>
              <w:left w:val="single" w:color="auto" w:sz="4" w:space="0"/>
              <w:bottom w:val="single" w:color="auto" w:sz="4" w:space="0"/>
              <w:right w:val="single" w:color="auto" w:sz="4" w:space="0"/>
            </w:tcBorders>
            <w:vAlign w:val="center"/>
          </w:tcPr>
          <w:p w14:paraId="04CAB5E5">
            <w:pPr>
              <w:wordWrap w:val="0"/>
              <w:adjustRightInd w:val="0"/>
              <w:snapToGrid w:val="0"/>
              <w:spacing w:line="300" w:lineRule="auto"/>
              <w:jc w:val="center"/>
              <w:rPr>
                <w:szCs w:val="28"/>
              </w:rPr>
            </w:pPr>
          </w:p>
        </w:tc>
        <w:tc>
          <w:tcPr>
            <w:tcW w:w="2552" w:type="dxa"/>
            <w:tcBorders>
              <w:top w:val="single" w:color="auto" w:sz="4" w:space="0"/>
              <w:left w:val="single" w:color="auto" w:sz="4" w:space="0"/>
              <w:bottom w:val="single" w:color="auto" w:sz="4" w:space="0"/>
              <w:right w:val="single" w:color="auto" w:sz="4" w:space="0"/>
            </w:tcBorders>
            <w:vAlign w:val="center"/>
          </w:tcPr>
          <w:p w14:paraId="6FB0B255">
            <w:pPr>
              <w:wordWrap w:val="0"/>
              <w:adjustRightInd w:val="0"/>
              <w:snapToGrid w:val="0"/>
              <w:spacing w:line="300" w:lineRule="auto"/>
              <w:rPr>
                <w:szCs w:val="28"/>
              </w:rPr>
            </w:pPr>
          </w:p>
        </w:tc>
        <w:tc>
          <w:tcPr>
            <w:tcW w:w="3118" w:type="dxa"/>
            <w:tcBorders>
              <w:top w:val="single" w:color="auto" w:sz="4" w:space="0"/>
              <w:left w:val="single" w:color="auto" w:sz="4" w:space="0"/>
              <w:bottom w:val="single" w:color="auto" w:sz="4" w:space="0"/>
              <w:right w:val="single" w:color="auto" w:sz="4" w:space="0"/>
            </w:tcBorders>
            <w:vAlign w:val="center"/>
          </w:tcPr>
          <w:p w14:paraId="68B66428">
            <w:pPr>
              <w:wordWrap w:val="0"/>
              <w:adjustRightInd w:val="0"/>
              <w:snapToGrid w:val="0"/>
              <w:spacing w:line="300" w:lineRule="auto"/>
              <w:jc w:val="center"/>
              <w:rPr>
                <w:szCs w:val="28"/>
              </w:rPr>
            </w:pPr>
          </w:p>
        </w:tc>
        <w:tc>
          <w:tcPr>
            <w:tcW w:w="1701" w:type="dxa"/>
            <w:tcBorders>
              <w:top w:val="single" w:color="auto" w:sz="4" w:space="0"/>
              <w:left w:val="single" w:color="auto" w:sz="4" w:space="0"/>
              <w:bottom w:val="single" w:color="auto" w:sz="4" w:space="0"/>
              <w:right w:val="single" w:color="auto" w:sz="4" w:space="0"/>
            </w:tcBorders>
            <w:vAlign w:val="center"/>
          </w:tcPr>
          <w:p w14:paraId="382D4758">
            <w:pPr>
              <w:wordWrap w:val="0"/>
              <w:adjustRightInd w:val="0"/>
              <w:snapToGrid w:val="0"/>
              <w:spacing w:line="300" w:lineRule="auto"/>
              <w:jc w:val="center"/>
              <w:rPr>
                <w:szCs w:val="28"/>
              </w:rPr>
            </w:pPr>
          </w:p>
        </w:tc>
        <w:tc>
          <w:tcPr>
            <w:tcW w:w="992" w:type="dxa"/>
            <w:tcBorders>
              <w:top w:val="single" w:color="auto" w:sz="4" w:space="0"/>
              <w:left w:val="single" w:color="auto" w:sz="4" w:space="0"/>
              <w:bottom w:val="single" w:color="auto" w:sz="4" w:space="0"/>
              <w:right w:val="single" w:color="auto" w:sz="4" w:space="0"/>
            </w:tcBorders>
            <w:vAlign w:val="center"/>
          </w:tcPr>
          <w:p w14:paraId="3C16DBA0">
            <w:pPr>
              <w:wordWrap w:val="0"/>
              <w:adjustRightInd w:val="0"/>
              <w:snapToGrid w:val="0"/>
              <w:spacing w:line="300" w:lineRule="auto"/>
              <w:jc w:val="center"/>
              <w:rPr>
                <w:szCs w:val="28"/>
              </w:rPr>
            </w:pPr>
          </w:p>
        </w:tc>
      </w:tr>
      <w:tr w14:paraId="108DFB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04" w:type="dxa"/>
            <w:tcBorders>
              <w:top w:val="single" w:color="auto" w:sz="4" w:space="0"/>
              <w:left w:val="single" w:color="auto" w:sz="4" w:space="0"/>
              <w:bottom w:val="single" w:color="auto" w:sz="4" w:space="0"/>
              <w:right w:val="single" w:color="auto" w:sz="4" w:space="0"/>
            </w:tcBorders>
            <w:vAlign w:val="center"/>
          </w:tcPr>
          <w:p w14:paraId="63571A73">
            <w:pPr>
              <w:wordWrap w:val="0"/>
              <w:adjustRightInd w:val="0"/>
              <w:snapToGrid w:val="0"/>
              <w:spacing w:line="300" w:lineRule="auto"/>
              <w:jc w:val="center"/>
              <w:rPr>
                <w:szCs w:val="28"/>
              </w:rPr>
            </w:pPr>
          </w:p>
        </w:tc>
        <w:tc>
          <w:tcPr>
            <w:tcW w:w="2552" w:type="dxa"/>
            <w:tcBorders>
              <w:top w:val="single" w:color="auto" w:sz="4" w:space="0"/>
              <w:left w:val="single" w:color="auto" w:sz="4" w:space="0"/>
              <w:bottom w:val="single" w:color="auto" w:sz="4" w:space="0"/>
              <w:right w:val="single" w:color="auto" w:sz="4" w:space="0"/>
            </w:tcBorders>
            <w:vAlign w:val="center"/>
          </w:tcPr>
          <w:p w14:paraId="1F9E9E19">
            <w:pPr>
              <w:wordWrap w:val="0"/>
              <w:adjustRightInd w:val="0"/>
              <w:snapToGrid w:val="0"/>
              <w:spacing w:line="300" w:lineRule="auto"/>
              <w:rPr>
                <w:szCs w:val="28"/>
              </w:rPr>
            </w:pPr>
          </w:p>
        </w:tc>
        <w:tc>
          <w:tcPr>
            <w:tcW w:w="3118" w:type="dxa"/>
            <w:tcBorders>
              <w:top w:val="single" w:color="auto" w:sz="4" w:space="0"/>
              <w:left w:val="single" w:color="auto" w:sz="4" w:space="0"/>
              <w:bottom w:val="single" w:color="auto" w:sz="4" w:space="0"/>
              <w:right w:val="single" w:color="auto" w:sz="4" w:space="0"/>
            </w:tcBorders>
            <w:vAlign w:val="center"/>
          </w:tcPr>
          <w:p w14:paraId="2323E346">
            <w:pPr>
              <w:wordWrap w:val="0"/>
              <w:adjustRightInd w:val="0"/>
              <w:snapToGrid w:val="0"/>
              <w:spacing w:line="300" w:lineRule="auto"/>
              <w:jc w:val="center"/>
              <w:rPr>
                <w:szCs w:val="28"/>
              </w:rPr>
            </w:pPr>
          </w:p>
        </w:tc>
        <w:tc>
          <w:tcPr>
            <w:tcW w:w="1701" w:type="dxa"/>
            <w:tcBorders>
              <w:top w:val="single" w:color="auto" w:sz="4" w:space="0"/>
              <w:left w:val="single" w:color="auto" w:sz="4" w:space="0"/>
              <w:bottom w:val="single" w:color="auto" w:sz="4" w:space="0"/>
              <w:right w:val="single" w:color="auto" w:sz="4" w:space="0"/>
            </w:tcBorders>
            <w:vAlign w:val="center"/>
          </w:tcPr>
          <w:p w14:paraId="32D2C521">
            <w:pPr>
              <w:wordWrap w:val="0"/>
              <w:adjustRightInd w:val="0"/>
              <w:snapToGrid w:val="0"/>
              <w:spacing w:line="300" w:lineRule="auto"/>
              <w:jc w:val="center"/>
              <w:rPr>
                <w:szCs w:val="28"/>
              </w:rPr>
            </w:pPr>
          </w:p>
        </w:tc>
        <w:tc>
          <w:tcPr>
            <w:tcW w:w="992" w:type="dxa"/>
            <w:tcBorders>
              <w:top w:val="single" w:color="auto" w:sz="4" w:space="0"/>
              <w:left w:val="single" w:color="auto" w:sz="4" w:space="0"/>
              <w:bottom w:val="single" w:color="auto" w:sz="4" w:space="0"/>
              <w:right w:val="single" w:color="auto" w:sz="4" w:space="0"/>
            </w:tcBorders>
            <w:vAlign w:val="center"/>
          </w:tcPr>
          <w:p w14:paraId="5AE14E84">
            <w:pPr>
              <w:wordWrap w:val="0"/>
              <w:adjustRightInd w:val="0"/>
              <w:snapToGrid w:val="0"/>
              <w:spacing w:line="300" w:lineRule="auto"/>
              <w:jc w:val="center"/>
              <w:rPr>
                <w:szCs w:val="28"/>
              </w:rPr>
            </w:pPr>
          </w:p>
        </w:tc>
      </w:tr>
      <w:tr w14:paraId="376312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04" w:type="dxa"/>
            <w:tcBorders>
              <w:top w:val="single" w:color="auto" w:sz="4" w:space="0"/>
              <w:left w:val="single" w:color="auto" w:sz="4" w:space="0"/>
              <w:bottom w:val="single" w:color="auto" w:sz="4" w:space="0"/>
              <w:right w:val="single" w:color="auto" w:sz="4" w:space="0"/>
            </w:tcBorders>
            <w:vAlign w:val="center"/>
          </w:tcPr>
          <w:p w14:paraId="31F1F236">
            <w:pPr>
              <w:wordWrap w:val="0"/>
              <w:adjustRightInd w:val="0"/>
              <w:snapToGrid w:val="0"/>
              <w:spacing w:line="300" w:lineRule="auto"/>
              <w:jc w:val="center"/>
              <w:rPr>
                <w:szCs w:val="28"/>
              </w:rPr>
            </w:pPr>
          </w:p>
        </w:tc>
        <w:tc>
          <w:tcPr>
            <w:tcW w:w="2552" w:type="dxa"/>
            <w:tcBorders>
              <w:top w:val="single" w:color="auto" w:sz="4" w:space="0"/>
              <w:left w:val="single" w:color="auto" w:sz="4" w:space="0"/>
              <w:bottom w:val="single" w:color="auto" w:sz="4" w:space="0"/>
              <w:right w:val="single" w:color="auto" w:sz="4" w:space="0"/>
            </w:tcBorders>
            <w:vAlign w:val="center"/>
          </w:tcPr>
          <w:p w14:paraId="29E5D504">
            <w:pPr>
              <w:wordWrap w:val="0"/>
              <w:adjustRightInd w:val="0"/>
              <w:snapToGrid w:val="0"/>
              <w:spacing w:line="300" w:lineRule="auto"/>
              <w:rPr>
                <w:szCs w:val="28"/>
              </w:rPr>
            </w:pPr>
          </w:p>
        </w:tc>
        <w:tc>
          <w:tcPr>
            <w:tcW w:w="3118" w:type="dxa"/>
            <w:tcBorders>
              <w:top w:val="single" w:color="auto" w:sz="4" w:space="0"/>
              <w:left w:val="single" w:color="auto" w:sz="4" w:space="0"/>
              <w:bottom w:val="single" w:color="auto" w:sz="4" w:space="0"/>
              <w:right w:val="single" w:color="auto" w:sz="4" w:space="0"/>
            </w:tcBorders>
            <w:vAlign w:val="center"/>
          </w:tcPr>
          <w:p w14:paraId="7129B44C">
            <w:pPr>
              <w:wordWrap w:val="0"/>
              <w:adjustRightInd w:val="0"/>
              <w:snapToGrid w:val="0"/>
              <w:spacing w:line="300" w:lineRule="auto"/>
              <w:jc w:val="center"/>
              <w:rPr>
                <w:szCs w:val="28"/>
              </w:rPr>
            </w:pPr>
          </w:p>
        </w:tc>
        <w:tc>
          <w:tcPr>
            <w:tcW w:w="1701" w:type="dxa"/>
            <w:tcBorders>
              <w:top w:val="single" w:color="auto" w:sz="4" w:space="0"/>
              <w:left w:val="single" w:color="auto" w:sz="4" w:space="0"/>
              <w:bottom w:val="single" w:color="auto" w:sz="4" w:space="0"/>
              <w:right w:val="single" w:color="auto" w:sz="4" w:space="0"/>
            </w:tcBorders>
            <w:vAlign w:val="center"/>
          </w:tcPr>
          <w:p w14:paraId="67F6AA23">
            <w:pPr>
              <w:wordWrap w:val="0"/>
              <w:adjustRightInd w:val="0"/>
              <w:snapToGrid w:val="0"/>
              <w:spacing w:line="300" w:lineRule="auto"/>
              <w:jc w:val="center"/>
              <w:rPr>
                <w:szCs w:val="28"/>
              </w:rPr>
            </w:pPr>
          </w:p>
        </w:tc>
        <w:tc>
          <w:tcPr>
            <w:tcW w:w="992" w:type="dxa"/>
            <w:tcBorders>
              <w:top w:val="single" w:color="auto" w:sz="4" w:space="0"/>
              <w:left w:val="single" w:color="auto" w:sz="4" w:space="0"/>
              <w:bottom w:val="single" w:color="auto" w:sz="4" w:space="0"/>
              <w:right w:val="single" w:color="auto" w:sz="4" w:space="0"/>
            </w:tcBorders>
            <w:vAlign w:val="center"/>
          </w:tcPr>
          <w:p w14:paraId="7CE9FB85">
            <w:pPr>
              <w:wordWrap w:val="0"/>
              <w:adjustRightInd w:val="0"/>
              <w:snapToGrid w:val="0"/>
              <w:spacing w:line="300" w:lineRule="auto"/>
              <w:jc w:val="center"/>
              <w:rPr>
                <w:szCs w:val="28"/>
              </w:rPr>
            </w:pPr>
          </w:p>
        </w:tc>
      </w:tr>
      <w:tr w14:paraId="512DB3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04" w:type="dxa"/>
            <w:tcBorders>
              <w:top w:val="single" w:color="auto" w:sz="4" w:space="0"/>
              <w:left w:val="single" w:color="auto" w:sz="4" w:space="0"/>
              <w:bottom w:val="single" w:color="auto" w:sz="4" w:space="0"/>
              <w:right w:val="single" w:color="auto" w:sz="4" w:space="0"/>
            </w:tcBorders>
            <w:vAlign w:val="center"/>
          </w:tcPr>
          <w:p w14:paraId="6EC3FC68">
            <w:pPr>
              <w:wordWrap w:val="0"/>
              <w:adjustRightInd w:val="0"/>
              <w:snapToGrid w:val="0"/>
              <w:spacing w:line="300" w:lineRule="auto"/>
              <w:jc w:val="center"/>
              <w:rPr>
                <w:szCs w:val="28"/>
              </w:rPr>
            </w:pPr>
            <w:r>
              <w:rPr>
                <w:rFonts w:hint="eastAsia"/>
                <w:szCs w:val="28"/>
              </w:rPr>
              <w:t>…</w:t>
            </w:r>
          </w:p>
        </w:tc>
        <w:tc>
          <w:tcPr>
            <w:tcW w:w="2552" w:type="dxa"/>
            <w:tcBorders>
              <w:top w:val="single" w:color="auto" w:sz="4" w:space="0"/>
              <w:left w:val="single" w:color="auto" w:sz="4" w:space="0"/>
              <w:bottom w:val="single" w:color="auto" w:sz="4" w:space="0"/>
              <w:right w:val="single" w:color="auto" w:sz="4" w:space="0"/>
            </w:tcBorders>
            <w:vAlign w:val="center"/>
          </w:tcPr>
          <w:p w14:paraId="6FB70954">
            <w:pPr>
              <w:wordWrap w:val="0"/>
              <w:adjustRightInd w:val="0"/>
              <w:snapToGrid w:val="0"/>
              <w:spacing w:line="300" w:lineRule="auto"/>
              <w:rPr>
                <w:szCs w:val="28"/>
              </w:rPr>
            </w:pPr>
          </w:p>
        </w:tc>
        <w:tc>
          <w:tcPr>
            <w:tcW w:w="3118" w:type="dxa"/>
            <w:tcBorders>
              <w:top w:val="single" w:color="auto" w:sz="4" w:space="0"/>
              <w:left w:val="single" w:color="auto" w:sz="4" w:space="0"/>
              <w:bottom w:val="single" w:color="auto" w:sz="4" w:space="0"/>
              <w:right w:val="single" w:color="auto" w:sz="4" w:space="0"/>
            </w:tcBorders>
            <w:vAlign w:val="center"/>
          </w:tcPr>
          <w:p w14:paraId="5BEDDCEA">
            <w:pPr>
              <w:wordWrap w:val="0"/>
              <w:adjustRightInd w:val="0"/>
              <w:snapToGrid w:val="0"/>
              <w:spacing w:line="300" w:lineRule="auto"/>
              <w:jc w:val="center"/>
              <w:rPr>
                <w:szCs w:val="28"/>
              </w:rPr>
            </w:pPr>
          </w:p>
        </w:tc>
        <w:tc>
          <w:tcPr>
            <w:tcW w:w="1701" w:type="dxa"/>
            <w:tcBorders>
              <w:top w:val="single" w:color="auto" w:sz="4" w:space="0"/>
              <w:left w:val="single" w:color="auto" w:sz="4" w:space="0"/>
              <w:bottom w:val="single" w:color="auto" w:sz="4" w:space="0"/>
              <w:right w:val="single" w:color="auto" w:sz="4" w:space="0"/>
            </w:tcBorders>
            <w:vAlign w:val="center"/>
          </w:tcPr>
          <w:p w14:paraId="4F40F185">
            <w:pPr>
              <w:wordWrap w:val="0"/>
              <w:adjustRightInd w:val="0"/>
              <w:snapToGrid w:val="0"/>
              <w:spacing w:line="300" w:lineRule="auto"/>
              <w:jc w:val="center"/>
              <w:rPr>
                <w:szCs w:val="28"/>
              </w:rPr>
            </w:pPr>
          </w:p>
        </w:tc>
        <w:tc>
          <w:tcPr>
            <w:tcW w:w="992" w:type="dxa"/>
            <w:tcBorders>
              <w:top w:val="single" w:color="auto" w:sz="4" w:space="0"/>
              <w:left w:val="single" w:color="auto" w:sz="4" w:space="0"/>
              <w:bottom w:val="single" w:color="auto" w:sz="4" w:space="0"/>
              <w:right w:val="single" w:color="auto" w:sz="4" w:space="0"/>
            </w:tcBorders>
            <w:vAlign w:val="center"/>
          </w:tcPr>
          <w:p w14:paraId="097E6678">
            <w:pPr>
              <w:wordWrap w:val="0"/>
              <w:adjustRightInd w:val="0"/>
              <w:snapToGrid w:val="0"/>
              <w:spacing w:line="300" w:lineRule="auto"/>
              <w:jc w:val="center"/>
              <w:rPr>
                <w:szCs w:val="28"/>
              </w:rPr>
            </w:pPr>
          </w:p>
        </w:tc>
      </w:tr>
      <w:tr w14:paraId="420084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067" w:type="dxa"/>
            <w:gridSpan w:val="5"/>
            <w:tcBorders>
              <w:top w:val="single" w:color="auto" w:sz="4" w:space="0"/>
              <w:left w:val="single" w:color="auto" w:sz="4" w:space="0"/>
              <w:bottom w:val="single" w:color="auto" w:sz="4" w:space="0"/>
              <w:right w:val="single" w:color="auto" w:sz="4" w:space="0"/>
            </w:tcBorders>
            <w:vAlign w:val="center"/>
          </w:tcPr>
          <w:p w14:paraId="61457E06">
            <w:pPr>
              <w:wordWrap w:val="0"/>
              <w:adjustRightInd w:val="0"/>
              <w:snapToGrid w:val="0"/>
              <w:spacing w:line="300" w:lineRule="auto"/>
              <w:jc w:val="center"/>
              <w:rPr>
                <w:szCs w:val="28"/>
              </w:rPr>
            </w:pPr>
            <w:r>
              <w:rPr>
                <w:rFonts w:hint="eastAsia"/>
                <w:szCs w:val="21"/>
              </w:rPr>
              <w:t>非</w:t>
            </w:r>
            <w:r>
              <w:rPr>
                <w:szCs w:val="28"/>
              </w:rPr>
              <w:t>实质性</w:t>
            </w:r>
            <w:r>
              <w:rPr>
                <w:rFonts w:hint="eastAsia"/>
                <w:szCs w:val="28"/>
              </w:rPr>
              <w:t>要求偏离</w:t>
            </w:r>
          </w:p>
        </w:tc>
      </w:tr>
      <w:tr w14:paraId="1D6E0A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04" w:type="dxa"/>
            <w:tcBorders>
              <w:top w:val="single" w:color="auto" w:sz="4" w:space="0"/>
              <w:left w:val="single" w:color="auto" w:sz="4" w:space="0"/>
              <w:bottom w:val="single" w:color="auto" w:sz="4" w:space="0"/>
              <w:right w:val="single" w:color="auto" w:sz="4" w:space="0"/>
            </w:tcBorders>
            <w:vAlign w:val="center"/>
          </w:tcPr>
          <w:p w14:paraId="28DD4298">
            <w:pPr>
              <w:adjustRightInd w:val="0"/>
              <w:snapToGrid w:val="0"/>
              <w:spacing w:line="300" w:lineRule="auto"/>
              <w:jc w:val="center"/>
              <w:rPr>
                <w:szCs w:val="28"/>
              </w:rPr>
            </w:pPr>
          </w:p>
        </w:tc>
        <w:tc>
          <w:tcPr>
            <w:tcW w:w="2552" w:type="dxa"/>
            <w:tcBorders>
              <w:top w:val="single" w:color="auto" w:sz="4" w:space="0"/>
              <w:left w:val="single" w:color="auto" w:sz="4" w:space="0"/>
              <w:bottom w:val="single" w:color="auto" w:sz="4" w:space="0"/>
              <w:right w:val="single" w:color="auto" w:sz="4" w:space="0"/>
            </w:tcBorders>
            <w:vAlign w:val="center"/>
          </w:tcPr>
          <w:p w14:paraId="4B508A6C">
            <w:pPr>
              <w:wordWrap w:val="0"/>
              <w:adjustRightInd w:val="0"/>
              <w:snapToGrid w:val="0"/>
              <w:spacing w:line="300" w:lineRule="auto"/>
              <w:rPr>
                <w:szCs w:val="28"/>
              </w:rPr>
            </w:pPr>
          </w:p>
        </w:tc>
        <w:tc>
          <w:tcPr>
            <w:tcW w:w="3118" w:type="dxa"/>
            <w:tcBorders>
              <w:top w:val="single" w:color="auto" w:sz="4" w:space="0"/>
              <w:left w:val="single" w:color="auto" w:sz="4" w:space="0"/>
              <w:bottom w:val="single" w:color="auto" w:sz="4" w:space="0"/>
              <w:right w:val="single" w:color="auto" w:sz="4" w:space="0"/>
            </w:tcBorders>
            <w:vAlign w:val="center"/>
          </w:tcPr>
          <w:p w14:paraId="6BDB3CD4">
            <w:pPr>
              <w:wordWrap w:val="0"/>
              <w:adjustRightInd w:val="0"/>
              <w:snapToGrid w:val="0"/>
              <w:spacing w:line="300" w:lineRule="auto"/>
              <w:jc w:val="center"/>
              <w:rPr>
                <w:szCs w:val="28"/>
              </w:rPr>
            </w:pPr>
          </w:p>
        </w:tc>
        <w:tc>
          <w:tcPr>
            <w:tcW w:w="1701" w:type="dxa"/>
            <w:tcBorders>
              <w:top w:val="single" w:color="auto" w:sz="4" w:space="0"/>
              <w:left w:val="single" w:color="auto" w:sz="4" w:space="0"/>
              <w:bottom w:val="single" w:color="auto" w:sz="4" w:space="0"/>
              <w:right w:val="single" w:color="auto" w:sz="4" w:space="0"/>
            </w:tcBorders>
            <w:vAlign w:val="center"/>
          </w:tcPr>
          <w:p w14:paraId="54B98AEC">
            <w:pPr>
              <w:wordWrap w:val="0"/>
              <w:adjustRightInd w:val="0"/>
              <w:snapToGrid w:val="0"/>
              <w:spacing w:line="300" w:lineRule="auto"/>
              <w:jc w:val="center"/>
              <w:rPr>
                <w:szCs w:val="28"/>
              </w:rPr>
            </w:pPr>
          </w:p>
        </w:tc>
        <w:tc>
          <w:tcPr>
            <w:tcW w:w="992" w:type="dxa"/>
            <w:tcBorders>
              <w:top w:val="single" w:color="auto" w:sz="4" w:space="0"/>
              <w:left w:val="single" w:color="auto" w:sz="4" w:space="0"/>
              <w:bottom w:val="single" w:color="auto" w:sz="4" w:space="0"/>
              <w:right w:val="single" w:color="auto" w:sz="4" w:space="0"/>
            </w:tcBorders>
            <w:vAlign w:val="center"/>
          </w:tcPr>
          <w:p w14:paraId="6D136DF4">
            <w:pPr>
              <w:wordWrap w:val="0"/>
              <w:adjustRightInd w:val="0"/>
              <w:snapToGrid w:val="0"/>
              <w:spacing w:line="300" w:lineRule="auto"/>
              <w:jc w:val="center"/>
              <w:rPr>
                <w:szCs w:val="28"/>
              </w:rPr>
            </w:pPr>
          </w:p>
        </w:tc>
      </w:tr>
      <w:tr w14:paraId="6B1F24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04" w:type="dxa"/>
            <w:tcBorders>
              <w:top w:val="single" w:color="auto" w:sz="4" w:space="0"/>
              <w:left w:val="single" w:color="auto" w:sz="4" w:space="0"/>
              <w:bottom w:val="single" w:color="auto" w:sz="4" w:space="0"/>
              <w:right w:val="single" w:color="auto" w:sz="4" w:space="0"/>
            </w:tcBorders>
            <w:vAlign w:val="center"/>
          </w:tcPr>
          <w:p w14:paraId="21A4EAB4">
            <w:pPr>
              <w:adjustRightInd w:val="0"/>
              <w:snapToGrid w:val="0"/>
              <w:spacing w:line="300" w:lineRule="auto"/>
              <w:jc w:val="center"/>
              <w:rPr>
                <w:szCs w:val="28"/>
              </w:rPr>
            </w:pPr>
          </w:p>
        </w:tc>
        <w:tc>
          <w:tcPr>
            <w:tcW w:w="2552" w:type="dxa"/>
            <w:tcBorders>
              <w:top w:val="single" w:color="auto" w:sz="4" w:space="0"/>
              <w:left w:val="single" w:color="auto" w:sz="4" w:space="0"/>
              <w:bottom w:val="single" w:color="auto" w:sz="4" w:space="0"/>
              <w:right w:val="single" w:color="auto" w:sz="4" w:space="0"/>
            </w:tcBorders>
            <w:vAlign w:val="center"/>
          </w:tcPr>
          <w:p w14:paraId="4ECCCA5D">
            <w:pPr>
              <w:wordWrap w:val="0"/>
              <w:adjustRightInd w:val="0"/>
              <w:snapToGrid w:val="0"/>
              <w:spacing w:line="300" w:lineRule="auto"/>
              <w:rPr>
                <w:szCs w:val="28"/>
              </w:rPr>
            </w:pPr>
          </w:p>
        </w:tc>
        <w:tc>
          <w:tcPr>
            <w:tcW w:w="3118" w:type="dxa"/>
            <w:tcBorders>
              <w:top w:val="single" w:color="auto" w:sz="4" w:space="0"/>
              <w:left w:val="single" w:color="auto" w:sz="4" w:space="0"/>
              <w:bottom w:val="single" w:color="auto" w:sz="4" w:space="0"/>
              <w:right w:val="single" w:color="auto" w:sz="4" w:space="0"/>
            </w:tcBorders>
            <w:vAlign w:val="center"/>
          </w:tcPr>
          <w:p w14:paraId="217C3CDC">
            <w:pPr>
              <w:wordWrap w:val="0"/>
              <w:adjustRightInd w:val="0"/>
              <w:snapToGrid w:val="0"/>
              <w:spacing w:line="300" w:lineRule="auto"/>
              <w:jc w:val="center"/>
              <w:rPr>
                <w:szCs w:val="28"/>
              </w:rPr>
            </w:pPr>
          </w:p>
        </w:tc>
        <w:tc>
          <w:tcPr>
            <w:tcW w:w="1701" w:type="dxa"/>
            <w:tcBorders>
              <w:top w:val="single" w:color="auto" w:sz="4" w:space="0"/>
              <w:left w:val="single" w:color="auto" w:sz="4" w:space="0"/>
              <w:bottom w:val="single" w:color="auto" w:sz="4" w:space="0"/>
              <w:right w:val="single" w:color="auto" w:sz="4" w:space="0"/>
            </w:tcBorders>
            <w:vAlign w:val="center"/>
          </w:tcPr>
          <w:p w14:paraId="36378D0E">
            <w:pPr>
              <w:wordWrap w:val="0"/>
              <w:adjustRightInd w:val="0"/>
              <w:snapToGrid w:val="0"/>
              <w:spacing w:line="300" w:lineRule="auto"/>
              <w:jc w:val="center"/>
              <w:rPr>
                <w:szCs w:val="28"/>
              </w:rPr>
            </w:pPr>
          </w:p>
        </w:tc>
        <w:tc>
          <w:tcPr>
            <w:tcW w:w="992" w:type="dxa"/>
            <w:tcBorders>
              <w:top w:val="single" w:color="auto" w:sz="4" w:space="0"/>
              <w:left w:val="single" w:color="auto" w:sz="4" w:space="0"/>
              <w:bottom w:val="single" w:color="auto" w:sz="4" w:space="0"/>
              <w:right w:val="single" w:color="auto" w:sz="4" w:space="0"/>
            </w:tcBorders>
            <w:vAlign w:val="center"/>
          </w:tcPr>
          <w:p w14:paraId="0C2B105B">
            <w:pPr>
              <w:wordWrap w:val="0"/>
              <w:adjustRightInd w:val="0"/>
              <w:snapToGrid w:val="0"/>
              <w:spacing w:line="300" w:lineRule="auto"/>
              <w:jc w:val="center"/>
              <w:rPr>
                <w:szCs w:val="28"/>
              </w:rPr>
            </w:pPr>
          </w:p>
        </w:tc>
      </w:tr>
      <w:tr w14:paraId="37A12E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04" w:type="dxa"/>
            <w:tcBorders>
              <w:top w:val="single" w:color="auto" w:sz="4" w:space="0"/>
              <w:left w:val="single" w:color="auto" w:sz="4" w:space="0"/>
              <w:bottom w:val="single" w:color="auto" w:sz="4" w:space="0"/>
              <w:right w:val="single" w:color="auto" w:sz="4" w:space="0"/>
            </w:tcBorders>
            <w:vAlign w:val="center"/>
          </w:tcPr>
          <w:p w14:paraId="24C2CB32">
            <w:pPr>
              <w:adjustRightInd w:val="0"/>
              <w:snapToGrid w:val="0"/>
              <w:spacing w:line="300" w:lineRule="auto"/>
              <w:jc w:val="center"/>
              <w:rPr>
                <w:szCs w:val="28"/>
              </w:rPr>
            </w:pPr>
          </w:p>
        </w:tc>
        <w:tc>
          <w:tcPr>
            <w:tcW w:w="2552" w:type="dxa"/>
            <w:tcBorders>
              <w:top w:val="single" w:color="auto" w:sz="4" w:space="0"/>
              <w:left w:val="single" w:color="auto" w:sz="4" w:space="0"/>
              <w:bottom w:val="single" w:color="auto" w:sz="4" w:space="0"/>
              <w:right w:val="single" w:color="auto" w:sz="4" w:space="0"/>
            </w:tcBorders>
            <w:vAlign w:val="center"/>
          </w:tcPr>
          <w:p w14:paraId="5FF9F4AF">
            <w:pPr>
              <w:wordWrap w:val="0"/>
              <w:adjustRightInd w:val="0"/>
              <w:snapToGrid w:val="0"/>
              <w:spacing w:line="300" w:lineRule="auto"/>
              <w:rPr>
                <w:szCs w:val="28"/>
              </w:rPr>
            </w:pPr>
          </w:p>
        </w:tc>
        <w:tc>
          <w:tcPr>
            <w:tcW w:w="3118" w:type="dxa"/>
            <w:tcBorders>
              <w:top w:val="single" w:color="auto" w:sz="4" w:space="0"/>
              <w:left w:val="single" w:color="auto" w:sz="4" w:space="0"/>
              <w:bottom w:val="single" w:color="auto" w:sz="4" w:space="0"/>
              <w:right w:val="single" w:color="auto" w:sz="4" w:space="0"/>
            </w:tcBorders>
            <w:vAlign w:val="center"/>
          </w:tcPr>
          <w:p w14:paraId="132CCE45">
            <w:pPr>
              <w:wordWrap w:val="0"/>
              <w:adjustRightInd w:val="0"/>
              <w:snapToGrid w:val="0"/>
              <w:spacing w:line="300" w:lineRule="auto"/>
              <w:jc w:val="center"/>
              <w:rPr>
                <w:szCs w:val="28"/>
              </w:rPr>
            </w:pPr>
          </w:p>
        </w:tc>
        <w:tc>
          <w:tcPr>
            <w:tcW w:w="1701" w:type="dxa"/>
            <w:tcBorders>
              <w:top w:val="single" w:color="auto" w:sz="4" w:space="0"/>
              <w:left w:val="single" w:color="auto" w:sz="4" w:space="0"/>
              <w:bottom w:val="single" w:color="auto" w:sz="4" w:space="0"/>
              <w:right w:val="single" w:color="auto" w:sz="4" w:space="0"/>
            </w:tcBorders>
            <w:vAlign w:val="center"/>
          </w:tcPr>
          <w:p w14:paraId="38F1E7BC">
            <w:pPr>
              <w:wordWrap w:val="0"/>
              <w:adjustRightInd w:val="0"/>
              <w:snapToGrid w:val="0"/>
              <w:spacing w:line="300" w:lineRule="auto"/>
              <w:jc w:val="center"/>
              <w:rPr>
                <w:szCs w:val="28"/>
              </w:rPr>
            </w:pPr>
          </w:p>
        </w:tc>
        <w:tc>
          <w:tcPr>
            <w:tcW w:w="992" w:type="dxa"/>
            <w:tcBorders>
              <w:top w:val="single" w:color="auto" w:sz="4" w:space="0"/>
              <w:left w:val="single" w:color="auto" w:sz="4" w:space="0"/>
              <w:bottom w:val="single" w:color="auto" w:sz="4" w:space="0"/>
              <w:right w:val="single" w:color="auto" w:sz="4" w:space="0"/>
            </w:tcBorders>
            <w:vAlign w:val="center"/>
          </w:tcPr>
          <w:p w14:paraId="3353F9C1">
            <w:pPr>
              <w:wordWrap w:val="0"/>
              <w:adjustRightInd w:val="0"/>
              <w:snapToGrid w:val="0"/>
              <w:spacing w:line="300" w:lineRule="auto"/>
              <w:jc w:val="center"/>
              <w:rPr>
                <w:szCs w:val="28"/>
              </w:rPr>
            </w:pPr>
          </w:p>
        </w:tc>
      </w:tr>
      <w:tr w14:paraId="5BC770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04" w:type="dxa"/>
            <w:tcBorders>
              <w:top w:val="single" w:color="auto" w:sz="4" w:space="0"/>
              <w:left w:val="single" w:color="auto" w:sz="4" w:space="0"/>
              <w:bottom w:val="single" w:color="auto" w:sz="4" w:space="0"/>
              <w:right w:val="single" w:color="auto" w:sz="4" w:space="0"/>
            </w:tcBorders>
            <w:vAlign w:val="center"/>
          </w:tcPr>
          <w:p w14:paraId="3D8249C8">
            <w:pPr>
              <w:wordWrap w:val="0"/>
              <w:adjustRightInd w:val="0"/>
              <w:snapToGrid w:val="0"/>
              <w:spacing w:line="300" w:lineRule="auto"/>
              <w:jc w:val="center"/>
              <w:rPr>
                <w:szCs w:val="28"/>
              </w:rPr>
            </w:pPr>
          </w:p>
        </w:tc>
        <w:tc>
          <w:tcPr>
            <w:tcW w:w="2552" w:type="dxa"/>
            <w:tcBorders>
              <w:top w:val="single" w:color="auto" w:sz="4" w:space="0"/>
              <w:left w:val="single" w:color="auto" w:sz="4" w:space="0"/>
              <w:bottom w:val="single" w:color="auto" w:sz="4" w:space="0"/>
              <w:right w:val="single" w:color="auto" w:sz="4" w:space="0"/>
            </w:tcBorders>
            <w:vAlign w:val="center"/>
          </w:tcPr>
          <w:p w14:paraId="4A55509A">
            <w:pPr>
              <w:wordWrap w:val="0"/>
              <w:adjustRightInd w:val="0"/>
              <w:snapToGrid w:val="0"/>
              <w:spacing w:line="300" w:lineRule="auto"/>
              <w:rPr>
                <w:szCs w:val="28"/>
              </w:rPr>
            </w:pPr>
          </w:p>
        </w:tc>
        <w:tc>
          <w:tcPr>
            <w:tcW w:w="3118" w:type="dxa"/>
            <w:tcBorders>
              <w:top w:val="single" w:color="auto" w:sz="4" w:space="0"/>
              <w:left w:val="single" w:color="auto" w:sz="4" w:space="0"/>
              <w:bottom w:val="single" w:color="auto" w:sz="4" w:space="0"/>
              <w:right w:val="single" w:color="auto" w:sz="4" w:space="0"/>
            </w:tcBorders>
            <w:vAlign w:val="center"/>
          </w:tcPr>
          <w:p w14:paraId="460200B5">
            <w:pPr>
              <w:wordWrap w:val="0"/>
              <w:adjustRightInd w:val="0"/>
              <w:snapToGrid w:val="0"/>
              <w:spacing w:line="300" w:lineRule="auto"/>
              <w:jc w:val="center"/>
              <w:rPr>
                <w:szCs w:val="28"/>
              </w:rPr>
            </w:pPr>
          </w:p>
        </w:tc>
        <w:tc>
          <w:tcPr>
            <w:tcW w:w="1701" w:type="dxa"/>
            <w:tcBorders>
              <w:top w:val="single" w:color="auto" w:sz="4" w:space="0"/>
              <w:left w:val="single" w:color="auto" w:sz="4" w:space="0"/>
              <w:bottom w:val="single" w:color="auto" w:sz="4" w:space="0"/>
              <w:right w:val="single" w:color="auto" w:sz="4" w:space="0"/>
            </w:tcBorders>
            <w:vAlign w:val="center"/>
          </w:tcPr>
          <w:p w14:paraId="55E1F4A6">
            <w:pPr>
              <w:wordWrap w:val="0"/>
              <w:adjustRightInd w:val="0"/>
              <w:snapToGrid w:val="0"/>
              <w:spacing w:line="300" w:lineRule="auto"/>
              <w:jc w:val="center"/>
              <w:rPr>
                <w:szCs w:val="28"/>
              </w:rPr>
            </w:pPr>
          </w:p>
        </w:tc>
        <w:tc>
          <w:tcPr>
            <w:tcW w:w="992" w:type="dxa"/>
            <w:tcBorders>
              <w:top w:val="single" w:color="auto" w:sz="4" w:space="0"/>
              <w:left w:val="single" w:color="auto" w:sz="4" w:space="0"/>
              <w:bottom w:val="single" w:color="auto" w:sz="4" w:space="0"/>
              <w:right w:val="single" w:color="auto" w:sz="4" w:space="0"/>
            </w:tcBorders>
            <w:vAlign w:val="center"/>
          </w:tcPr>
          <w:p w14:paraId="5873566D">
            <w:pPr>
              <w:wordWrap w:val="0"/>
              <w:adjustRightInd w:val="0"/>
              <w:snapToGrid w:val="0"/>
              <w:spacing w:line="300" w:lineRule="auto"/>
              <w:jc w:val="center"/>
              <w:rPr>
                <w:szCs w:val="28"/>
              </w:rPr>
            </w:pPr>
          </w:p>
        </w:tc>
      </w:tr>
      <w:tr w14:paraId="01A5BE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04" w:type="dxa"/>
            <w:tcBorders>
              <w:top w:val="single" w:color="auto" w:sz="4" w:space="0"/>
              <w:left w:val="single" w:color="auto" w:sz="4" w:space="0"/>
              <w:bottom w:val="single" w:color="auto" w:sz="4" w:space="0"/>
              <w:right w:val="single" w:color="auto" w:sz="4" w:space="0"/>
            </w:tcBorders>
            <w:vAlign w:val="center"/>
          </w:tcPr>
          <w:p w14:paraId="0D312E31">
            <w:pPr>
              <w:wordWrap w:val="0"/>
              <w:adjustRightInd w:val="0"/>
              <w:snapToGrid w:val="0"/>
              <w:spacing w:line="300" w:lineRule="auto"/>
              <w:jc w:val="center"/>
              <w:rPr>
                <w:szCs w:val="28"/>
              </w:rPr>
            </w:pPr>
            <w:bookmarkStart w:id="254" w:name="OLE_LINK345"/>
            <w:bookmarkStart w:id="255" w:name="OLE_LINK346"/>
            <w:bookmarkStart w:id="256" w:name="OLE_LINK344"/>
            <w:r>
              <w:rPr>
                <w:rFonts w:hint="eastAsia"/>
                <w:szCs w:val="28"/>
              </w:rPr>
              <w:t>…</w:t>
            </w:r>
            <w:bookmarkEnd w:id="254"/>
            <w:bookmarkEnd w:id="255"/>
            <w:bookmarkEnd w:id="256"/>
          </w:p>
        </w:tc>
        <w:tc>
          <w:tcPr>
            <w:tcW w:w="2552" w:type="dxa"/>
            <w:tcBorders>
              <w:top w:val="single" w:color="auto" w:sz="4" w:space="0"/>
              <w:left w:val="single" w:color="auto" w:sz="4" w:space="0"/>
              <w:bottom w:val="single" w:color="auto" w:sz="4" w:space="0"/>
              <w:right w:val="single" w:color="auto" w:sz="4" w:space="0"/>
            </w:tcBorders>
            <w:vAlign w:val="center"/>
          </w:tcPr>
          <w:p w14:paraId="32C5B570">
            <w:pPr>
              <w:wordWrap w:val="0"/>
              <w:adjustRightInd w:val="0"/>
              <w:snapToGrid w:val="0"/>
              <w:spacing w:line="300" w:lineRule="auto"/>
              <w:jc w:val="center"/>
              <w:rPr>
                <w:rFonts w:cs="Arial"/>
                <w:szCs w:val="28"/>
              </w:rPr>
            </w:pPr>
          </w:p>
        </w:tc>
        <w:tc>
          <w:tcPr>
            <w:tcW w:w="3118" w:type="dxa"/>
            <w:tcBorders>
              <w:top w:val="single" w:color="auto" w:sz="4" w:space="0"/>
              <w:left w:val="single" w:color="auto" w:sz="4" w:space="0"/>
              <w:bottom w:val="single" w:color="auto" w:sz="4" w:space="0"/>
              <w:right w:val="single" w:color="auto" w:sz="4" w:space="0"/>
            </w:tcBorders>
            <w:vAlign w:val="center"/>
          </w:tcPr>
          <w:p w14:paraId="65CE66E5">
            <w:pPr>
              <w:wordWrap w:val="0"/>
              <w:adjustRightInd w:val="0"/>
              <w:snapToGrid w:val="0"/>
              <w:spacing w:line="300" w:lineRule="auto"/>
              <w:jc w:val="center"/>
              <w:rPr>
                <w:rFonts w:cs="Arial"/>
                <w:szCs w:val="28"/>
              </w:rPr>
            </w:pPr>
          </w:p>
        </w:tc>
        <w:tc>
          <w:tcPr>
            <w:tcW w:w="1701" w:type="dxa"/>
            <w:tcBorders>
              <w:top w:val="single" w:color="auto" w:sz="4" w:space="0"/>
              <w:left w:val="single" w:color="auto" w:sz="4" w:space="0"/>
              <w:bottom w:val="single" w:color="auto" w:sz="4" w:space="0"/>
              <w:right w:val="single" w:color="auto" w:sz="4" w:space="0"/>
            </w:tcBorders>
            <w:vAlign w:val="center"/>
          </w:tcPr>
          <w:p w14:paraId="3A4E5DE5">
            <w:pPr>
              <w:wordWrap w:val="0"/>
              <w:adjustRightInd w:val="0"/>
              <w:snapToGrid w:val="0"/>
              <w:spacing w:line="300" w:lineRule="auto"/>
              <w:jc w:val="center"/>
              <w:rPr>
                <w:rFonts w:cs="Arial"/>
                <w:szCs w:val="28"/>
              </w:rPr>
            </w:pPr>
          </w:p>
        </w:tc>
        <w:tc>
          <w:tcPr>
            <w:tcW w:w="992" w:type="dxa"/>
            <w:tcBorders>
              <w:top w:val="single" w:color="auto" w:sz="4" w:space="0"/>
              <w:left w:val="single" w:color="auto" w:sz="4" w:space="0"/>
              <w:bottom w:val="single" w:color="auto" w:sz="4" w:space="0"/>
              <w:right w:val="single" w:color="auto" w:sz="4" w:space="0"/>
            </w:tcBorders>
            <w:vAlign w:val="center"/>
          </w:tcPr>
          <w:p w14:paraId="6B74F9F3">
            <w:pPr>
              <w:wordWrap w:val="0"/>
              <w:adjustRightInd w:val="0"/>
              <w:snapToGrid w:val="0"/>
              <w:spacing w:line="300" w:lineRule="auto"/>
              <w:jc w:val="center"/>
              <w:rPr>
                <w:rFonts w:cs="Arial"/>
                <w:szCs w:val="28"/>
              </w:rPr>
            </w:pPr>
          </w:p>
        </w:tc>
      </w:tr>
      <w:tr w14:paraId="5543DF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4" w:hRule="atLeast"/>
        </w:trPr>
        <w:tc>
          <w:tcPr>
            <w:tcW w:w="9067" w:type="dxa"/>
            <w:gridSpan w:val="5"/>
            <w:tcBorders>
              <w:top w:val="single" w:color="auto" w:sz="4" w:space="0"/>
              <w:left w:val="single" w:color="auto" w:sz="4" w:space="0"/>
              <w:bottom w:val="single" w:color="auto" w:sz="4" w:space="0"/>
            </w:tcBorders>
            <w:vAlign w:val="center"/>
          </w:tcPr>
          <w:p w14:paraId="4E84BC98">
            <w:pPr>
              <w:wordWrap w:val="0"/>
              <w:adjustRightInd w:val="0"/>
              <w:snapToGrid w:val="0"/>
              <w:spacing w:line="300" w:lineRule="auto"/>
              <w:rPr>
                <w:rFonts w:cs="Arial"/>
                <w:szCs w:val="28"/>
              </w:rPr>
            </w:pPr>
            <w:r>
              <w:rPr>
                <w:rFonts w:hint="eastAsia"/>
                <w:szCs w:val="28"/>
              </w:rPr>
              <w:t>我方</w:t>
            </w:r>
            <w:r>
              <w:rPr>
                <w:szCs w:val="28"/>
              </w:rPr>
              <w:t>声明：除本表列</w:t>
            </w:r>
            <w:r>
              <w:rPr>
                <w:rFonts w:hint="eastAsia"/>
                <w:szCs w:val="28"/>
              </w:rPr>
              <w:t>出的</w:t>
            </w:r>
            <w:r>
              <w:rPr>
                <w:szCs w:val="28"/>
              </w:rPr>
              <w:t>偏</w:t>
            </w:r>
            <w:r>
              <w:rPr>
                <w:rFonts w:hint="eastAsia"/>
                <w:szCs w:val="28"/>
              </w:rPr>
              <w:t>离</w:t>
            </w:r>
            <w:r>
              <w:rPr>
                <w:szCs w:val="28"/>
              </w:rPr>
              <w:t>外，我</w:t>
            </w:r>
            <w:r>
              <w:rPr>
                <w:rFonts w:hint="eastAsia"/>
                <w:szCs w:val="28"/>
              </w:rPr>
              <w:t>方对招标文件中的所有商务</w:t>
            </w:r>
            <w:r>
              <w:rPr>
                <w:szCs w:val="28"/>
              </w:rPr>
              <w:t>要求</w:t>
            </w:r>
            <w:r>
              <w:rPr>
                <w:rFonts w:hint="eastAsia"/>
                <w:szCs w:val="28"/>
              </w:rPr>
              <w:t>完全响应</w:t>
            </w:r>
            <w:r>
              <w:rPr>
                <w:rFonts w:hint="eastAsia"/>
              </w:rPr>
              <w:t>，</w:t>
            </w:r>
            <w:r>
              <w:rPr>
                <w:szCs w:val="28"/>
              </w:rPr>
              <w:t>无偏离。</w:t>
            </w:r>
          </w:p>
        </w:tc>
      </w:tr>
    </w:tbl>
    <w:p w14:paraId="27E7ACBC">
      <w:pPr>
        <w:wordWrap w:val="0"/>
        <w:adjustRightInd w:val="0"/>
        <w:snapToGrid w:val="0"/>
        <w:rPr>
          <w:szCs w:val="28"/>
        </w:rPr>
      </w:pPr>
    </w:p>
    <w:p w14:paraId="7DDA826F">
      <w:pPr>
        <w:wordWrap w:val="0"/>
        <w:adjustRightInd w:val="0"/>
        <w:snapToGrid w:val="0"/>
        <w:rPr>
          <w:szCs w:val="28"/>
        </w:rPr>
      </w:pPr>
      <w:r>
        <w:rPr>
          <w:rFonts w:hint="eastAsia"/>
          <w:szCs w:val="28"/>
        </w:rPr>
        <w:t>注：（</w:t>
      </w:r>
      <w:r>
        <w:rPr>
          <w:szCs w:val="28"/>
        </w:rPr>
        <w:t>1</w:t>
      </w:r>
      <w:r>
        <w:rPr>
          <w:rFonts w:hint="eastAsia"/>
          <w:szCs w:val="28"/>
        </w:rPr>
        <w:t>）此表为表样，行数可自行添加，但表式不变</w:t>
      </w:r>
      <w:r>
        <w:rPr>
          <w:rFonts w:hint="eastAsia"/>
          <w:szCs w:val="24"/>
        </w:rPr>
        <w:t>，并加盖CA电子公章</w:t>
      </w:r>
      <w:r>
        <w:rPr>
          <w:rFonts w:hint="eastAsia"/>
          <w:szCs w:val="28"/>
        </w:rPr>
        <w:t>。</w:t>
      </w:r>
    </w:p>
    <w:p w14:paraId="42CAC9DF">
      <w:pPr>
        <w:wordWrap w:val="0"/>
        <w:adjustRightInd w:val="0"/>
        <w:snapToGrid w:val="0"/>
        <w:ind w:firstLine="360" w:firstLineChars="150"/>
        <w:rPr>
          <w:szCs w:val="28"/>
        </w:rPr>
      </w:pPr>
      <w:r>
        <w:rPr>
          <w:rFonts w:hint="eastAsia"/>
          <w:szCs w:val="28"/>
        </w:rPr>
        <w:t>（</w:t>
      </w:r>
      <w:r>
        <w:rPr>
          <w:szCs w:val="28"/>
        </w:rPr>
        <w:t>2</w:t>
      </w:r>
      <w:r>
        <w:rPr>
          <w:rFonts w:hint="eastAsia"/>
          <w:szCs w:val="28"/>
        </w:rPr>
        <w:t>）</w:t>
      </w:r>
      <w:bookmarkStart w:id="257" w:name="OLE_LINK29"/>
      <w:bookmarkStart w:id="258" w:name="OLE_LINK30"/>
      <w:r>
        <w:rPr>
          <w:rFonts w:hint="eastAsia"/>
          <w:szCs w:val="28"/>
        </w:rPr>
        <w:t>投标人</w:t>
      </w:r>
      <w:r>
        <w:t>须对</w:t>
      </w:r>
      <w:r>
        <w:rPr>
          <w:rFonts w:hint="eastAsia"/>
        </w:rPr>
        <w:t>招标</w:t>
      </w:r>
      <w:r>
        <w:t>文件</w:t>
      </w:r>
      <w:r>
        <w:rPr>
          <w:rFonts w:hint="eastAsia" w:ascii="Arial" w:hAnsi="Arial" w:cs="Arial"/>
          <w:shd w:val="clear" w:color="auto" w:fill="FFFFFF"/>
        </w:rPr>
        <w:t>商务</w:t>
      </w:r>
      <w:r>
        <w:t>要求中</w:t>
      </w:r>
      <w:r>
        <w:rPr>
          <w:rFonts w:hint="eastAsia"/>
        </w:rPr>
        <w:t>的所有实质性</w:t>
      </w:r>
      <w:bookmarkStart w:id="259" w:name="OLE_LINK78"/>
      <w:r>
        <w:rPr>
          <w:rFonts w:hint="eastAsia"/>
        </w:rPr>
        <w:t>要求（</w:t>
      </w:r>
      <w:r>
        <w:rPr>
          <w:rFonts w:hint="eastAsia"/>
          <w:szCs w:val="21"/>
        </w:rPr>
        <w:t>标注“★”条款</w:t>
      </w:r>
      <w:r>
        <w:rPr>
          <w:rFonts w:hint="eastAsia"/>
        </w:rPr>
        <w:t>）</w:t>
      </w:r>
      <w:bookmarkEnd w:id="259"/>
      <w:r>
        <w:t>逐条作出明确响应</w:t>
      </w:r>
      <w:bookmarkEnd w:id="257"/>
      <w:bookmarkEnd w:id="258"/>
      <w:r>
        <w:rPr>
          <w:rFonts w:hint="eastAsia"/>
        </w:rPr>
        <w:t>；非实质性要求（未标注“★”条款）若存在正偏离、负偏离的，须</w:t>
      </w:r>
      <w:r>
        <w:t>逐条列明偏离内容</w:t>
      </w:r>
      <w:r>
        <w:rPr>
          <w:rFonts w:hint="eastAsia"/>
        </w:rPr>
        <w:t>；投标响应时不得对原有条款进行直接复制粘贴及简单表述为完全响应，否则将影响该项评价。</w:t>
      </w:r>
    </w:p>
    <w:p w14:paraId="752D1ED5">
      <w:pPr>
        <w:wordWrap w:val="0"/>
        <w:adjustRightInd w:val="0"/>
        <w:snapToGrid w:val="0"/>
        <w:ind w:firstLine="360" w:firstLineChars="150"/>
        <w:rPr>
          <w:szCs w:val="28"/>
        </w:rPr>
      </w:pPr>
      <w:r>
        <w:rPr>
          <w:rFonts w:hint="eastAsia"/>
          <w:szCs w:val="28"/>
        </w:rPr>
        <w:t>（</w:t>
      </w:r>
      <w:r>
        <w:rPr>
          <w:szCs w:val="28"/>
        </w:rPr>
        <w:t>3</w:t>
      </w:r>
      <w:r>
        <w:rPr>
          <w:rFonts w:hint="eastAsia"/>
          <w:szCs w:val="28"/>
        </w:rPr>
        <w:t>）投标人</w:t>
      </w:r>
      <w:r>
        <w:t>未</w:t>
      </w:r>
      <w:r>
        <w:rPr>
          <w:rFonts w:hint="eastAsia"/>
        </w:rPr>
        <w:t>对</w:t>
      </w:r>
      <w:r>
        <w:t>实质性</w:t>
      </w:r>
      <w:r>
        <w:rPr>
          <w:rFonts w:hint="eastAsia"/>
        </w:rPr>
        <w:t>要求逐条作出明确</w:t>
      </w:r>
      <w:r>
        <w:t>响应</w:t>
      </w:r>
      <w:r>
        <w:rPr>
          <w:rFonts w:hint="eastAsia"/>
        </w:rPr>
        <w:t>，或经查实</w:t>
      </w:r>
      <w:r>
        <w:rPr>
          <w:rFonts w:hint="eastAsia"/>
          <w:szCs w:val="28"/>
        </w:rPr>
        <w:t>投标人</w:t>
      </w:r>
      <w:r>
        <w:rPr>
          <w:rFonts w:hint="eastAsia"/>
        </w:rPr>
        <w:t>存在隐瞒偏离、虚假响应情形的，其</w:t>
      </w:r>
      <w:r>
        <w:rPr>
          <w:rFonts w:hint="eastAsia"/>
          <w:b/>
          <w:szCs w:val="28"/>
        </w:rPr>
        <w:t>投标</w:t>
      </w:r>
      <w:r>
        <w:rPr>
          <w:b/>
          <w:szCs w:val="28"/>
        </w:rPr>
        <w:t>无效</w:t>
      </w:r>
      <w:r>
        <w:rPr>
          <w:rFonts w:hint="eastAsia"/>
        </w:rPr>
        <w:t>。</w:t>
      </w:r>
    </w:p>
    <w:p w14:paraId="7B55D168">
      <w:pPr>
        <w:wordWrap w:val="0"/>
        <w:ind w:firstLine="360" w:firstLineChars="150"/>
        <w:rPr>
          <w:szCs w:val="28"/>
        </w:rPr>
      </w:pPr>
      <w:r>
        <w:rPr>
          <w:rFonts w:hint="eastAsia"/>
          <w:szCs w:val="21"/>
        </w:rPr>
        <w:t>（</w:t>
      </w:r>
      <w:r>
        <w:rPr>
          <w:szCs w:val="21"/>
        </w:rPr>
        <w:t>4</w:t>
      </w:r>
      <w:r>
        <w:rPr>
          <w:rFonts w:hint="eastAsia"/>
          <w:szCs w:val="21"/>
        </w:rPr>
        <w:t>）</w:t>
      </w:r>
      <w:r>
        <w:rPr>
          <w:rFonts w:hint="eastAsia"/>
          <w:szCs w:val="28"/>
        </w:rPr>
        <w:t>如提供</w:t>
      </w:r>
      <w:r>
        <w:rPr>
          <w:szCs w:val="28"/>
        </w:rPr>
        <w:t>其他技术文件</w:t>
      </w:r>
      <w:r>
        <w:t>或</w:t>
      </w:r>
      <w:r>
        <w:rPr>
          <w:rFonts w:hint="eastAsia"/>
        </w:rPr>
        <w:t>详细</w:t>
      </w:r>
      <w:r>
        <w:t>说明</w:t>
      </w:r>
      <w:r>
        <w:rPr>
          <w:rFonts w:hint="eastAsia"/>
          <w:szCs w:val="28"/>
        </w:rPr>
        <w:t>，可列于</w:t>
      </w:r>
      <w:r>
        <w:rPr>
          <w:szCs w:val="28"/>
        </w:rPr>
        <w:t>该表之下</w:t>
      </w:r>
      <w:r>
        <w:rPr>
          <w:rFonts w:hint="eastAsia"/>
          <w:szCs w:val="28"/>
        </w:rPr>
        <w:t>并加盖</w:t>
      </w:r>
      <w:r>
        <w:rPr>
          <w:rFonts w:hint="eastAsia"/>
          <w:szCs w:val="24"/>
        </w:rPr>
        <w:t>CA电子公章</w:t>
      </w:r>
      <w:r>
        <w:rPr>
          <w:rFonts w:hint="eastAsia"/>
          <w:szCs w:val="28"/>
        </w:rPr>
        <w:t>。</w:t>
      </w:r>
    </w:p>
    <w:p w14:paraId="7E576F4D">
      <w:pPr>
        <w:wordWrap w:val="0"/>
        <w:adjustRightInd w:val="0"/>
        <w:snapToGrid w:val="0"/>
        <w:ind w:firstLine="360" w:firstLineChars="150"/>
        <w:rPr>
          <w:szCs w:val="28"/>
        </w:rPr>
      </w:pPr>
    </w:p>
    <w:p w14:paraId="5F04D3AD">
      <w:pPr>
        <w:numPr>
          <w:ilvl w:val="0"/>
          <w:numId w:val="29"/>
        </w:numPr>
        <w:wordWrap w:val="0"/>
        <w:adjustRightInd w:val="0"/>
        <w:snapToGrid w:val="0"/>
        <w:jc w:val="center"/>
        <w:outlineLvl w:val="1"/>
        <w:rPr>
          <w:b/>
          <w:sz w:val="36"/>
          <w:szCs w:val="21"/>
        </w:rPr>
      </w:pPr>
      <w:r>
        <w:rPr>
          <w:szCs w:val="28"/>
        </w:rPr>
        <w:br w:type="page"/>
      </w:r>
      <w:r>
        <w:rPr>
          <w:rFonts w:hint="eastAsia"/>
          <w:b/>
          <w:sz w:val="36"/>
          <w:szCs w:val="21"/>
        </w:rPr>
        <w:t>服务承诺</w:t>
      </w:r>
    </w:p>
    <w:p w14:paraId="559A3AE0">
      <w:pPr>
        <w:wordWrap w:val="0"/>
        <w:adjustRightInd w:val="0"/>
        <w:snapToGrid w:val="0"/>
        <w:ind w:firstLine="480" w:firstLineChars="200"/>
      </w:pPr>
      <w:r>
        <w:rPr>
          <w:rFonts w:hint="eastAsia"/>
        </w:rPr>
        <w:t>投标人的服务承诺</w:t>
      </w:r>
      <w:r>
        <w:t>（</w:t>
      </w:r>
      <w:r>
        <w:rPr>
          <w:rFonts w:hint="eastAsia"/>
          <w:szCs w:val="21"/>
        </w:rPr>
        <w:t>格式自拟并加盖CA电子公章</w:t>
      </w:r>
      <w:r>
        <w:t>）</w:t>
      </w:r>
      <w:r>
        <w:rPr>
          <w:rFonts w:hint="eastAsia"/>
        </w:rPr>
        <w:t>不能低于招标文件中对于服务的要求。</w:t>
      </w:r>
    </w:p>
    <w:p w14:paraId="18D190B3">
      <w:pPr>
        <w:numPr>
          <w:ilvl w:val="0"/>
          <w:numId w:val="29"/>
        </w:numPr>
        <w:wordWrap w:val="0"/>
        <w:adjustRightInd w:val="0"/>
        <w:snapToGrid w:val="0"/>
        <w:jc w:val="center"/>
        <w:outlineLvl w:val="1"/>
        <w:rPr>
          <w:b/>
          <w:sz w:val="36"/>
          <w:szCs w:val="21"/>
        </w:rPr>
      </w:pPr>
      <w:r>
        <w:rPr>
          <w:szCs w:val="28"/>
        </w:rPr>
        <w:br w:type="page"/>
      </w:r>
      <w:r>
        <w:rPr>
          <w:rFonts w:hint="eastAsia"/>
          <w:b/>
          <w:sz w:val="36"/>
          <w:szCs w:val="21"/>
        </w:rPr>
        <w:t>人员配备表</w:t>
      </w:r>
    </w:p>
    <w:tbl>
      <w:tblPr>
        <w:tblStyle w:val="31"/>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992"/>
        <w:gridCol w:w="709"/>
        <w:gridCol w:w="709"/>
        <w:gridCol w:w="1052"/>
        <w:gridCol w:w="1125"/>
        <w:gridCol w:w="1039"/>
        <w:gridCol w:w="1462"/>
        <w:gridCol w:w="1275"/>
      </w:tblGrid>
      <w:tr w14:paraId="5E394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Align w:val="center"/>
          </w:tcPr>
          <w:p w14:paraId="3AA8D707">
            <w:pPr>
              <w:wordWrap w:val="0"/>
              <w:adjustRightInd w:val="0"/>
              <w:snapToGrid w:val="0"/>
              <w:spacing w:line="240" w:lineRule="auto"/>
              <w:jc w:val="center"/>
            </w:pPr>
            <w:r>
              <w:rPr>
                <w:rFonts w:hint="eastAsia"/>
              </w:rPr>
              <w:t>序号</w:t>
            </w:r>
          </w:p>
        </w:tc>
        <w:tc>
          <w:tcPr>
            <w:tcW w:w="992" w:type="dxa"/>
            <w:vAlign w:val="center"/>
          </w:tcPr>
          <w:p w14:paraId="7A4E03A0">
            <w:pPr>
              <w:wordWrap w:val="0"/>
              <w:adjustRightInd w:val="0"/>
              <w:snapToGrid w:val="0"/>
              <w:spacing w:line="240" w:lineRule="auto"/>
              <w:jc w:val="center"/>
            </w:pPr>
            <w:r>
              <w:rPr>
                <w:rFonts w:hint="eastAsia"/>
              </w:rPr>
              <w:t>姓名</w:t>
            </w:r>
          </w:p>
        </w:tc>
        <w:tc>
          <w:tcPr>
            <w:tcW w:w="709" w:type="dxa"/>
            <w:vAlign w:val="center"/>
          </w:tcPr>
          <w:p w14:paraId="1DEE1A65">
            <w:pPr>
              <w:wordWrap w:val="0"/>
              <w:adjustRightInd w:val="0"/>
              <w:snapToGrid w:val="0"/>
              <w:spacing w:line="240" w:lineRule="auto"/>
              <w:jc w:val="center"/>
            </w:pPr>
            <w:r>
              <w:rPr>
                <w:rFonts w:hint="eastAsia"/>
              </w:rPr>
              <w:t>性别</w:t>
            </w:r>
          </w:p>
        </w:tc>
        <w:tc>
          <w:tcPr>
            <w:tcW w:w="709" w:type="dxa"/>
            <w:vAlign w:val="center"/>
          </w:tcPr>
          <w:p w14:paraId="5277658A">
            <w:pPr>
              <w:wordWrap w:val="0"/>
              <w:adjustRightInd w:val="0"/>
              <w:snapToGrid w:val="0"/>
              <w:spacing w:line="240" w:lineRule="auto"/>
              <w:jc w:val="center"/>
            </w:pPr>
            <w:r>
              <w:rPr>
                <w:rFonts w:hint="eastAsia"/>
              </w:rPr>
              <w:t>年龄</w:t>
            </w:r>
          </w:p>
        </w:tc>
        <w:tc>
          <w:tcPr>
            <w:tcW w:w="1052" w:type="dxa"/>
            <w:vAlign w:val="center"/>
          </w:tcPr>
          <w:p w14:paraId="497F3899">
            <w:pPr>
              <w:wordWrap w:val="0"/>
              <w:adjustRightInd w:val="0"/>
              <w:snapToGrid w:val="0"/>
              <w:spacing w:line="240" w:lineRule="auto"/>
              <w:jc w:val="center"/>
            </w:pPr>
            <w:r>
              <w:rPr>
                <w:rFonts w:hint="eastAsia"/>
              </w:rPr>
              <w:t>学历</w:t>
            </w:r>
          </w:p>
        </w:tc>
        <w:tc>
          <w:tcPr>
            <w:tcW w:w="1125" w:type="dxa"/>
            <w:vAlign w:val="center"/>
          </w:tcPr>
          <w:p w14:paraId="30AB1AC7">
            <w:pPr>
              <w:wordWrap w:val="0"/>
              <w:adjustRightInd w:val="0"/>
              <w:snapToGrid w:val="0"/>
              <w:spacing w:line="240" w:lineRule="auto"/>
              <w:jc w:val="center"/>
            </w:pPr>
            <w:r>
              <w:rPr>
                <w:rFonts w:hint="eastAsia"/>
              </w:rPr>
              <w:t>专业</w:t>
            </w:r>
          </w:p>
        </w:tc>
        <w:tc>
          <w:tcPr>
            <w:tcW w:w="1039" w:type="dxa"/>
            <w:vAlign w:val="center"/>
          </w:tcPr>
          <w:p w14:paraId="2F2F0BED">
            <w:pPr>
              <w:wordWrap w:val="0"/>
              <w:adjustRightInd w:val="0"/>
              <w:snapToGrid w:val="0"/>
              <w:spacing w:line="240" w:lineRule="auto"/>
              <w:jc w:val="center"/>
            </w:pPr>
            <w:r>
              <w:rPr>
                <w:rFonts w:hint="eastAsia"/>
              </w:rPr>
              <w:t>职称</w:t>
            </w:r>
          </w:p>
        </w:tc>
        <w:tc>
          <w:tcPr>
            <w:tcW w:w="1462" w:type="dxa"/>
            <w:vAlign w:val="center"/>
          </w:tcPr>
          <w:p w14:paraId="3AE94F73">
            <w:pPr>
              <w:wordWrap w:val="0"/>
              <w:adjustRightInd w:val="0"/>
              <w:snapToGrid w:val="0"/>
              <w:spacing w:line="240" w:lineRule="auto"/>
              <w:jc w:val="center"/>
            </w:pPr>
            <w:r>
              <w:rPr>
                <w:rFonts w:hint="eastAsia"/>
              </w:rPr>
              <w:t>相关证书</w:t>
            </w:r>
          </w:p>
        </w:tc>
        <w:tc>
          <w:tcPr>
            <w:tcW w:w="1275" w:type="dxa"/>
            <w:vAlign w:val="center"/>
          </w:tcPr>
          <w:p w14:paraId="2399CC24">
            <w:pPr>
              <w:wordWrap w:val="0"/>
              <w:adjustRightInd w:val="0"/>
              <w:snapToGrid w:val="0"/>
              <w:spacing w:line="240" w:lineRule="auto"/>
              <w:jc w:val="center"/>
            </w:pPr>
            <w:r>
              <w:rPr>
                <w:rFonts w:hint="eastAsia"/>
              </w:rPr>
              <w:t>拟任岗位</w:t>
            </w:r>
          </w:p>
        </w:tc>
      </w:tr>
      <w:tr w14:paraId="38FE9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Align w:val="center"/>
          </w:tcPr>
          <w:p w14:paraId="557F27CA">
            <w:pPr>
              <w:wordWrap w:val="0"/>
              <w:adjustRightInd w:val="0"/>
              <w:snapToGrid w:val="0"/>
              <w:spacing w:line="240" w:lineRule="auto"/>
              <w:jc w:val="center"/>
            </w:pPr>
          </w:p>
        </w:tc>
        <w:tc>
          <w:tcPr>
            <w:tcW w:w="992" w:type="dxa"/>
            <w:vAlign w:val="center"/>
          </w:tcPr>
          <w:p w14:paraId="0A265038">
            <w:pPr>
              <w:wordWrap w:val="0"/>
              <w:adjustRightInd w:val="0"/>
              <w:snapToGrid w:val="0"/>
              <w:spacing w:line="240" w:lineRule="auto"/>
              <w:jc w:val="center"/>
            </w:pPr>
          </w:p>
        </w:tc>
        <w:tc>
          <w:tcPr>
            <w:tcW w:w="709" w:type="dxa"/>
            <w:vAlign w:val="center"/>
          </w:tcPr>
          <w:p w14:paraId="7AE03408">
            <w:pPr>
              <w:wordWrap w:val="0"/>
              <w:adjustRightInd w:val="0"/>
              <w:snapToGrid w:val="0"/>
              <w:spacing w:line="240" w:lineRule="auto"/>
              <w:jc w:val="center"/>
            </w:pPr>
          </w:p>
        </w:tc>
        <w:tc>
          <w:tcPr>
            <w:tcW w:w="709" w:type="dxa"/>
            <w:vAlign w:val="center"/>
          </w:tcPr>
          <w:p w14:paraId="0638FFE2">
            <w:pPr>
              <w:wordWrap w:val="0"/>
              <w:adjustRightInd w:val="0"/>
              <w:snapToGrid w:val="0"/>
              <w:spacing w:line="240" w:lineRule="auto"/>
              <w:jc w:val="center"/>
            </w:pPr>
          </w:p>
        </w:tc>
        <w:tc>
          <w:tcPr>
            <w:tcW w:w="1052" w:type="dxa"/>
            <w:vAlign w:val="center"/>
          </w:tcPr>
          <w:p w14:paraId="53BD4702">
            <w:pPr>
              <w:wordWrap w:val="0"/>
              <w:adjustRightInd w:val="0"/>
              <w:snapToGrid w:val="0"/>
              <w:spacing w:line="240" w:lineRule="auto"/>
              <w:jc w:val="center"/>
            </w:pPr>
          </w:p>
        </w:tc>
        <w:tc>
          <w:tcPr>
            <w:tcW w:w="1125" w:type="dxa"/>
            <w:vAlign w:val="center"/>
          </w:tcPr>
          <w:p w14:paraId="1F5A03A0">
            <w:pPr>
              <w:wordWrap w:val="0"/>
              <w:adjustRightInd w:val="0"/>
              <w:snapToGrid w:val="0"/>
              <w:spacing w:line="240" w:lineRule="auto"/>
              <w:jc w:val="center"/>
            </w:pPr>
          </w:p>
        </w:tc>
        <w:tc>
          <w:tcPr>
            <w:tcW w:w="1039" w:type="dxa"/>
            <w:vAlign w:val="center"/>
          </w:tcPr>
          <w:p w14:paraId="5B49DA2E">
            <w:pPr>
              <w:wordWrap w:val="0"/>
              <w:adjustRightInd w:val="0"/>
              <w:snapToGrid w:val="0"/>
              <w:spacing w:line="240" w:lineRule="auto"/>
              <w:jc w:val="center"/>
            </w:pPr>
          </w:p>
        </w:tc>
        <w:tc>
          <w:tcPr>
            <w:tcW w:w="1462" w:type="dxa"/>
            <w:vAlign w:val="center"/>
          </w:tcPr>
          <w:p w14:paraId="3B43F45F">
            <w:pPr>
              <w:wordWrap w:val="0"/>
              <w:adjustRightInd w:val="0"/>
              <w:snapToGrid w:val="0"/>
              <w:spacing w:line="240" w:lineRule="auto"/>
              <w:jc w:val="center"/>
            </w:pPr>
          </w:p>
        </w:tc>
        <w:tc>
          <w:tcPr>
            <w:tcW w:w="1275" w:type="dxa"/>
            <w:vAlign w:val="center"/>
          </w:tcPr>
          <w:p w14:paraId="3902BC4D">
            <w:pPr>
              <w:wordWrap w:val="0"/>
              <w:adjustRightInd w:val="0"/>
              <w:snapToGrid w:val="0"/>
              <w:spacing w:line="240" w:lineRule="auto"/>
              <w:jc w:val="center"/>
            </w:pPr>
          </w:p>
        </w:tc>
      </w:tr>
      <w:tr w14:paraId="19F41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Align w:val="center"/>
          </w:tcPr>
          <w:p w14:paraId="1ADA10B3">
            <w:pPr>
              <w:wordWrap w:val="0"/>
              <w:adjustRightInd w:val="0"/>
              <w:snapToGrid w:val="0"/>
              <w:spacing w:line="240" w:lineRule="auto"/>
              <w:jc w:val="center"/>
            </w:pPr>
          </w:p>
        </w:tc>
        <w:tc>
          <w:tcPr>
            <w:tcW w:w="992" w:type="dxa"/>
            <w:vAlign w:val="center"/>
          </w:tcPr>
          <w:p w14:paraId="3ABF54A1">
            <w:pPr>
              <w:wordWrap w:val="0"/>
              <w:adjustRightInd w:val="0"/>
              <w:snapToGrid w:val="0"/>
              <w:spacing w:line="240" w:lineRule="auto"/>
              <w:jc w:val="center"/>
            </w:pPr>
          </w:p>
        </w:tc>
        <w:tc>
          <w:tcPr>
            <w:tcW w:w="709" w:type="dxa"/>
            <w:vAlign w:val="center"/>
          </w:tcPr>
          <w:p w14:paraId="591E87C4">
            <w:pPr>
              <w:wordWrap w:val="0"/>
              <w:adjustRightInd w:val="0"/>
              <w:snapToGrid w:val="0"/>
              <w:spacing w:line="240" w:lineRule="auto"/>
              <w:jc w:val="center"/>
            </w:pPr>
          </w:p>
        </w:tc>
        <w:tc>
          <w:tcPr>
            <w:tcW w:w="709" w:type="dxa"/>
            <w:vAlign w:val="center"/>
          </w:tcPr>
          <w:p w14:paraId="034B5DE5">
            <w:pPr>
              <w:wordWrap w:val="0"/>
              <w:adjustRightInd w:val="0"/>
              <w:snapToGrid w:val="0"/>
              <w:spacing w:line="240" w:lineRule="auto"/>
              <w:jc w:val="center"/>
            </w:pPr>
          </w:p>
        </w:tc>
        <w:tc>
          <w:tcPr>
            <w:tcW w:w="1052" w:type="dxa"/>
            <w:vAlign w:val="center"/>
          </w:tcPr>
          <w:p w14:paraId="7D5DDF0C">
            <w:pPr>
              <w:wordWrap w:val="0"/>
              <w:adjustRightInd w:val="0"/>
              <w:snapToGrid w:val="0"/>
              <w:spacing w:line="240" w:lineRule="auto"/>
              <w:jc w:val="center"/>
            </w:pPr>
          </w:p>
        </w:tc>
        <w:tc>
          <w:tcPr>
            <w:tcW w:w="1125" w:type="dxa"/>
            <w:vAlign w:val="center"/>
          </w:tcPr>
          <w:p w14:paraId="1542CCCB">
            <w:pPr>
              <w:wordWrap w:val="0"/>
              <w:adjustRightInd w:val="0"/>
              <w:snapToGrid w:val="0"/>
              <w:spacing w:line="240" w:lineRule="auto"/>
              <w:jc w:val="center"/>
            </w:pPr>
          </w:p>
        </w:tc>
        <w:tc>
          <w:tcPr>
            <w:tcW w:w="1039" w:type="dxa"/>
            <w:vAlign w:val="center"/>
          </w:tcPr>
          <w:p w14:paraId="3EB754D9">
            <w:pPr>
              <w:wordWrap w:val="0"/>
              <w:adjustRightInd w:val="0"/>
              <w:snapToGrid w:val="0"/>
              <w:spacing w:line="240" w:lineRule="auto"/>
              <w:jc w:val="center"/>
            </w:pPr>
          </w:p>
        </w:tc>
        <w:tc>
          <w:tcPr>
            <w:tcW w:w="1462" w:type="dxa"/>
            <w:vAlign w:val="center"/>
          </w:tcPr>
          <w:p w14:paraId="1A3EDF27">
            <w:pPr>
              <w:wordWrap w:val="0"/>
              <w:adjustRightInd w:val="0"/>
              <w:snapToGrid w:val="0"/>
              <w:spacing w:line="240" w:lineRule="auto"/>
              <w:jc w:val="center"/>
            </w:pPr>
          </w:p>
        </w:tc>
        <w:tc>
          <w:tcPr>
            <w:tcW w:w="1275" w:type="dxa"/>
            <w:vAlign w:val="center"/>
          </w:tcPr>
          <w:p w14:paraId="7903983B">
            <w:pPr>
              <w:wordWrap w:val="0"/>
              <w:adjustRightInd w:val="0"/>
              <w:snapToGrid w:val="0"/>
              <w:spacing w:line="240" w:lineRule="auto"/>
              <w:jc w:val="center"/>
            </w:pPr>
          </w:p>
        </w:tc>
      </w:tr>
      <w:tr w14:paraId="25F96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Align w:val="center"/>
          </w:tcPr>
          <w:p w14:paraId="433F4F94">
            <w:pPr>
              <w:wordWrap w:val="0"/>
              <w:adjustRightInd w:val="0"/>
              <w:snapToGrid w:val="0"/>
              <w:spacing w:line="240" w:lineRule="auto"/>
              <w:jc w:val="center"/>
            </w:pPr>
          </w:p>
        </w:tc>
        <w:tc>
          <w:tcPr>
            <w:tcW w:w="992" w:type="dxa"/>
            <w:vAlign w:val="center"/>
          </w:tcPr>
          <w:p w14:paraId="6EDCC684">
            <w:pPr>
              <w:wordWrap w:val="0"/>
              <w:adjustRightInd w:val="0"/>
              <w:snapToGrid w:val="0"/>
              <w:spacing w:line="240" w:lineRule="auto"/>
              <w:jc w:val="center"/>
            </w:pPr>
          </w:p>
        </w:tc>
        <w:tc>
          <w:tcPr>
            <w:tcW w:w="709" w:type="dxa"/>
            <w:vAlign w:val="center"/>
          </w:tcPr>
          <w:p w14:paraId="26B8A96B">
            <w:pPr>
              <w:wordWrap w:val="0"/>
              <w:adjustRightInd w:val="0"/>
              <w:snapToGrid w:val="0"/>
              <w:spacing w:line="240" w:lineRule="auto"/>
              <w:jc w:val="center"/>
            </w:pPr>
          </w:p>
        </w:tc>
        <w:tc>
          <w:tcPr>
            <w:tcW w:w="709" w:type="dxa"/>
            <w:vAlign w:val="center"/>
          </w:tcPr>
          <w:p w14:paraId="15484444">
            <w:pPr>
              <w:wordWrap w:val="0"/>
              <w:adjustRightInd w:val="0"/>
              <w:snapToGrid w:val="0"/>
              <w:spacing w:line="240" w:lineRule="auto"/>
              <w:jc w:val="center"/>
            </w:pPr>
          </w:p>
        </w:tc>
        <w:tc>
          <w:tcPr>
            <w:tcW w:w="1052" w:type="dxa"/>
            <w:vAlign w:val="center"/>
          </w:tcPr>
          <w:p w14:paraId="106FA8BE">
            <w:pPr>
              <w:wordWrap w:val="0"/>
              <w:adjustRightInd w:val="0"/>
              <w:snapToGrid w:val="0"/>
              <w:spacing w:line="240" w:lineRule="auto"/>
              <w:jc w:val="center"/>
            </w:pPr>
          </w:p>
        </w:tc>
        <w:tc>
          <w:tcPr>
            <w:tcW w:w="1125" w:type="dxa"/>
            <w:vAlign w:val="center"/>
          </w:tcPr>
          <w:p w14:paraId="26A931CE">
            <w:pPr>
              <w:wordWrap w:val="0"/>
              <w:adjustRightInd w:val="0"/>
              <w:snapToGrid w:val="0"/>
              <w:spacing w:line="240" w:lineRule="auto"/>
              <w:jc w:val="center"/>
            </w:pPr>
          </w:p>
        </w:tc>
        <w:tc>
          <w:tcPr>
            <w:tcW w:w="1039" w:type="dxa"/>
            <w:vAlign w:val="center"/>
          </w:tcPr>
          <w:p w14:paraId="43E868D4">
            <w:pPr>
              <w:wordWrap w:val="0"/>
              <w:adjustRightInd w:val="0"/>
              <w:snapToGrid w:val="0"/>
              <w:spacing w:line="240" w:lineRule="auto"/>
              <w:jc w:val="center"/>
            </w:pPr>
          </w:p>
        </w:tc>
        <w:tc>
          <w:tcPr>
            <w:tcW w:w="1462" w:type="dxa"/>
            <w:vAlign w:val="center"/>
          </w:tcPr>
          <w:p w14:paraId="460A614F">
            <w:pPr>
              <w:wordWrap w:val="0"/>
              <w:adjustRightInd w:val="0"/>
              <w:snapToGrid w:val="0"/>
              <w:spacing w:line="240" w:lineRule="auto"/>
              <w:jc w:val="center"/>
            </w:pPr>
          </w:p>
        </w:tc>
        <w:tc>
          <w:tcPr>
            <w:tcW w:w="1275" w:type="dxa"/>
            <w:vAlign w:val="center"/>
          </w:tcPr>
          <w:p w14:paraId="1743FACE">
            <w:pPr>
              <w:wordWrap w:val="0"/>
              <w:adjustRightInd w:val="0"/>
              <w:snapToGrid w:val="0"/>
              <w:spacing w:line="240" w:lineRule="auto"/>
              <w:jc w:val="center"/>
            </w:pPr>
          </w:p>
        </w:tc>
      </w:tr>
      <w:tr w14:paraId="50032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Align w:val="center"/>
          </w:tcPr>
          <w:p w14:paraId="6B2E26DF">
            <w:pPr>
              <w:wordWrap w:val="0"/>
              <w:adjustRightInd w:val="0"/>
              <w:snapToGrid w:val="0"/>
              <w:spacing w:line="240" w:lineRule="auto"/>
              <w:jc w:val="center"/>
            </w:pPr>
          </w:p>
        </w:tc>
        <w:tc>
          <w:tcPr>
            <w:tcW w:w="992" w:type="dxa"/>
            <w:vAlign w:val="center"/>
          </w:tcPr>
          <w:p w14:paraId="6496232F">
            <w:pPr>
              <w:wordWrap w:val="0"/>
              <w:adjustRightInd w:val="0"/>
              <w:snapToGrid w:val="0"/>
              <w:spacing w:line="240" w:lineRule="auto"/>
              <w:jc w:val="center"/>
            </w:pPr>
          </w:p>
        </w:tc>
        <w:tc>
          <w:tcPr>
            <w:tcW w:w="709" w:type="dxa"/>
            <w:vAlign w:val="center"/>
          </w:tcPr>
          <w:p w14:paraId="6ED0AABF">
            <w:pPr>
              <w:wordWrap w:val="0"/>
              <w:adjustRightInd w:val="0"/>
              <w:snapToGrid w:val="0"/>
              <w:spacing w:line="240" w:lineRule="auto"/>
              <w:jc w:val="center"/>
            </w:pPr>
          </w:p>
        </w:tc>
        <w:tc>
          <w:tcPr>
            <w:tcW w:w="709" w:type="dxa"/>
            <w:vAlign w:val="center"/>
          </w:tcPr>
          <w:p w14:paraId="56335812">
            <w:pPr>
              <w:wordWrap w:val="0"/>
              <w:adjustRightInd w:val="0"/>
              <w:snapToGrid w:val="0"/>
              <w:spacing w:line="240" w:lineRule="auto"/>
              <w:jc w:val="center"/>
            </w:pPr>
          </w:p>
        </w:tc>
        <w:tc>
          <w:tcPr>
            <w:tcW w:w="1052" w:type="dxa"/>
            <w:vAlign w:val="center"/>
          </w:tcPr>
          <w:p w14:paraId="0AC69FF5">
            <w:pPr>
              <w:wordWrap w:val="0"/>
              <w:adjustRightInd w:val="0"/>
              <w:snapToGrid w:val="0"/>
              <w:spacing w:line="240" w:lineRule="auto"/>
              <w:jc w:val="center"/>
            </w:pPr>
          </w:p>
        </w:tc>
        <w:tc>
          <w:tcPr>
            <w:tcW w:w="1125" w:type="dxa"/>
            <w:vAlign w:val="center"/>
          </w:tcPr>
          <w:p w14:paraId="00F31F53">
            <w:pPr>
              <w:wordWrap w:val="0"/>
              <w:adjustRightInd w:val="0"/>
              <w:snapToGrid w:val="0"/>
              <w:spacing w:line="240" w:lineRule="auto"/>
              <w:jc w:val="center"/>
            </w:pPr>
          </w:p>
        </w:tc>
        <w:tc>
          <w:tcPr>
            <w:tcW w:w="1039" w:type="dxa"/>
            <w:vAlign w:val="center"/>
          </w:tcPr>
          <w:p w14:paraId="0A0551CD">
            <w:pPr>
              <w:wordWrap w:val="0"/>
              <w:adjustRightInd w:val="0"/>
              <w:snapToGrid w:val="0"/>
              <w:spacing w:line="240" w:lineRule="auto"/>
              <w:jc w:val="center"/>
            </w:pPr>
          </w:p>
        </w:tc>
        <w:tc>
          <w:tcPr>
            <w:tcW w:w="1462" w:type="dxa"/>
            <w:vAlign w:val="center"/>
          </w:tcPr>
          <w:p w14:paraId="091FE41E">
            <w:pPr>
              <w:wordWrap w:val="0"/>
              <w:adjustRightInd w:val="0"/>
              <w:snapToGrid w:val="0"/>
              <w:spacing w:line="240" w:lineRule="auto"/>
              <w:jc w:val="center"/>
            </w:pPr>
          </w:p>
        </w:tc>
        <w:tc>
          <w:tcPr>
            <w:tcW w:w="1275" w:type="dxa"/>
            <w:vAlign w:val="center"/>
          </w:tcPr>
          <w:p w14:paraId="277F0C2F">
            <w:pPr>
              <w:wordWrap w:val="0"/>
              <w:adjustRightInd w:val="0"/>
              <w:snapToGrid w:val="0"/>
              <w:spacing w:line="240" w:lineRule="auto"/>
              <w:jc w:val="center"/>
            </w:pPr>
          </w:p>
        </w:tc>
      </w:tr>
      <w:tr w14:paraId="5AB85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Align w:val="center"/>
          </w:tcPr>
          <w:p w14:paraId="24367CC7">
            <w:pPr>
              <w:wordWrap w:val="0"/>
              <w:adjustRightInd w:val="0"/>
              <w:snapToGrid w:val="0"/>
              <w:spacing w:line="240" w:lineRule="auto"/>
              <w:jc w:val="center"/>
            </w:pPr>
          </w:p>
        </w:tc>
        <w:tc>
          <w:tcPr>
            <w:tcW w:w="992" w:type="dxa"/>
            <w:vAlign w:val="center"/>
          </w:tcPr>
          <w:p w14:paraId="595DA33A">
            <w:pPr>
              <w:wordWrap w:val="0"/>
              <w:adjustRightInd w:val="0"/>
              <w:snapToGrid w:val="0"/>
              <w:spacing w:line="240" w:lineRule="auto"/>
              <w:jc w:val="center"/>
            </w:pPr>
          </w:p>
        </w:tc>
        <w:tc>
          <w:tcPr>
            <w:tcW w:w="709" w:type="dxa"/>
            <w:vAlign w:val="center"/>
          </w:tcPr>
          <w:p w14:paraId="784BC61A">
            <w:pPr>
              <w:wordWrap w:val="0"/>
              <w:adjustRightInd w:val="0"/>
              <w:snapToGrid w:val="0"/>
              <w:spacing w:line="240" w:lineRule="auto"/>
              <w:jc w:val="center"/>
            </w:pPr>
          </w:p>
        </w:tc>
        <w:tc>
          <w:tcPr>
            <w:tcW w:w="709" w:type="dxa"/>
            <w:vAlign w:val="center"/>
          </w:tcPr>
          <w:p w14:paraId="0DFBD214">
            <w:pPr>
              <w:wordWrap w:val="0"/>
              <w:adjustRightInd w:val="0"/>
              <w:snapToGrid w:val="0"/>
              <w:spacing w:line="240" w:lineRule="auto"/>
              <w:jc w:val="center"/>
            </w:pPr>
          </w:p>
        </w:tc>
        <w:tc>
          <w:tcPr>
            <w:tcW w:w="1052" w:type="dxa"/>
            <w:vAlign w:val="center"/>
          </w:tcPr>
          <w:p w14:paraId="10B6FBD8">
            <w:pPr>
              <w:wordWrap w:val="0"/>
              <w:adjustRightInd w:val="0"/>
              <w:snapToGrid w:val="0"/>
              <w:spacing w:line="240" w:lineRule="auto"/>
              <w:jc w:val="center"/>
            </w:pPr>
          </w:p>
        </w:tc>
        <w:tc>
          <w:tcPr>
            <w:tcW w:w="1125" w:type="dxa"/>
            <w:vAlign w:val="center"/>
          </w:tcPr>
          <w:p w14:paraId="56E8583F">
            <w:pPr>
              <w:wordWrap w:val="0"/>
              <w:adjustRightInd w:val="0"/>
              <w:snapToGrid w:val="0"/>
              <w:spacing w:line="240" w:lineRule="auto"/>
              <w:jc w:val="center"/>
            </w:pPr>
          </w:p>
        </w:tc>
        <w:tc>
          <w:tcPr>
            <w:tcW w:w="1039" w:type="dxa"/>
            <w:vAlign w:val="center"/>
          </w:tcPr>
          <w:p w14:paraId="2A8E4D5E">
            <w:pPr>
              <w:wordWrap w:val="0"/>
              <w:adjustRightInd w:val="0"/>
              <w:snapToGrid w:val="0"/>
              <w:spacing w:line="240" w:lineRule="auto"/>
              <w:jc w:val="center"/>
            </w:pPr>
          </w:p>
        </w:tc>
        <w:tc>
          <w:tcPr>
            <w:tcW w:w="1462" w:type="dxa"/>
            <w:vAlign w:val="center"/>
          </w:tcPr>
          <w:p w14:paraId="303AD8E1">
            <w:pPr>
              <w:wordWrap w:val="0"/>
              <w:adjustRightInd w:val="0"/>
              <w:snapToGrid w:val="0"/>
              <w:spacing w:line="240" w:lineRule="auto"/>
              <w:jc w:val="center"/>
            </w:pPr>
          </w:p>
        </w:tc>
        <w:tc>
          <w:tcPr>
            <w:tcW w:w="1275" w:type="dxa"/>
            <w:vAlign w:val="center"/>
          </w:tcPr>
          <w:p w14:paraId="5C9EFF63">
            <w:pPr>
              <w:wordWrap w:val="0"/>
              <w:adjustRightInd w:val="0"/>
              <w:snapToGrid w:val="0"/>
              <w:spacing w:line="240" w:lineRule="auto"/>
              <w:jc w:val="center"/>
            </w:pPr>
          </w:p>
        </w:tc>
      </w:tr>
      <w:tr w14:paraId="0927C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Align w:val="center"/>
          </w:tcPr>
          <w:p w14:paraId="6CC914F2">
            <w:pPr>
              <w:wordWrap w:val="0"/>
              <w:adjustRightInd w:val="0"/>
              <w:snapToGrid w:val="0"/>
              <w:spacing w:line="240" w:lineRule="auto"/>
              <w:jc w:val="center"/>
            </w:pPr>
          </w:p>
        </w:tc>
        <w:tc>
          <w:tcPr>
            <w:tcW w:w="992" w:type="dxa"/>
            <w:vAlign w:val="center"/>
          </w:tcPr>
          <w:p w14:paraId="79356FE9">
            <w:pPr>
              <w:wordWrap w:val="0"/>
              <w:adjustRightInd w:val="0"/>
              <w:snapToGrid w:val="0"/>
              <w:spacing w:line="240" w:lineRule="auto"/>
              <w:jc w:val="center"/>
            </w:pPr>
          </w:p>
        </w:tc>
        <w:tc>
          <w:tcPr>
            <w:tcW w:w="709" w:type="dxa"/>
            <w:vAlign w:val="center"/>
          </w:tcPr>
          <w:p w14:paraId="12134258">
            <w:pPr>
              <w:wordWrap w:val="0"/>
              <w:adjustRightInd w:val="0"/>
              <w:snapToGrid w:val="0"/>
              <w:spacing w:line="240" w:lineRule="auto"/>
              <w:jc w:val="center"/>
            </w:pPr>
          </w:p>
        </w:tc>
        <w:tc>
          <w:tcPr>
            <w:tcW w:w="709" w:type="dxa"/>
            <w:vAlign w:val="center"/>
          </w:tcPr>
          <w:p w14:paraId="07E4F7D3">
            <w:pPr>
              <w:wordWrap w:val="0"/>
              <w:adjustRightInd w:val="0"/>
              <w:snapToGrid w:val="0"/>
              <w:spacing w:line="240" w:lineRule="auto"/>
              <w:jc w:val="center"/>
            </w:pPr>
          </w:p>
        </w:tc>
        <w:tc>
          <w:tcPr>
            <w:tcW w:w="1052" w:type="dxa"/>
            <w:vAlign w:val="center"/>
          </w:tcPr>
          <w:p w14:paraId="7604028F">
            <w:pPr>
              <w:wordWrap w:val="0"/>
              <w:adjustRightInd w:val="0"/>
              <w:snapToGrid w:val="0"/>
              <w:spacing w:line="240" w:lineRule="auto"/>
              <w:jc w:val="center"/>
            </w:pPr>
          </w:p>
        </w:tc>
        <w:tc>
          <w:tcPr>
            <w:tcW w:w="1125" w:type="dxa"/>
            <w:vAlign w:val="center"/>
          </w:tcPr>
          <w:p w14:paraId="12E32EE6">
            <w:pPr>
              <w:wordWrap w:val="0"/>
              <w:adjustRightInd w:val="0"/>
              <w:snapToGrid w:val="0"/>
              <w:spacing w:line="240" w:lineRule="auto"/>
              <w:jc w:val="center"/>
            </w:pPr>
          </w:p>
        </w:tc>
        <w:tc>
          <w:tcPr>
            <w:tcW w:w="1039" w:type="dxa"/>
            <w:vAlign w:val="center"/>
          </w:tcPr>
          <w:p w14:paraId="308AE647">
            <w:pPr>
              <w:wordWrap w:val="0"/>
              <w:adjustRightInd w:val="0"/>
              <w:snapToGrid w:val="0"/>
              <w:spacing w:line="240" w:lineRule="auto"/>
              <w:jc w:val="center"/>
            </w:pPr>
          </w:p>
        </w:tc>
        <w:tc>
          <w:tcPr>
            <w:tcW w:w="1462" w:type="dxa"/>
            <w:vAlign w:val="center"/>
          </w:tcPr>
          <w:p w14:paraId="5BB0F886">
            <w:pPr>
              <w:wordWrap w:val="0"/>
              <w:adjustRightInd w:val="0"/>
              <w:snapToGrid w:val="0"/>
              <w:spacing w:line="240" w:lineRule="auto"/>
              <w:jc w:val="center"/>
            </w:pPr>
          </w:p>
        </w:tc>
        <w:tc>
          <w:tcPr>
            <w:tcW w:w="1275" w:type="dxa"/>
            <w:vAlign w:val="center"/>
          </w:tcPr>
          <w:p w14:paraId="2F3B1881">
            <w:pPr>
              <w:wordWrap w:val="0"/>
              <w:adjustRightInd w:val="0"/>
              <w:snapToGrid w:val="0"/>
              <w:spacing w:line="240" w:lineRule="auto"/>
              <w:jc w:val="center"/>
            </w:pPr>
          </w:p>
        </w:tc>
      </w:tr>
      <w:tr w14:paraId="29D57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Align w:val="center"/>
          </w:tcPr>
          <w:p w14:paraId="573B220F">
            <w:pPr>
              <w:wordWrap w:val="0"/>
              <w:adjustRightInd w:val="0"/>
              <w:snapToGrid w:val="0"/>
              <w:spacing w:line="240" w:lineRule="auto"/>
              <w:jc w:val="center"/>
            </w:pPr>
          </w:p>
        </w:tc>
        <w:tc>
          <w:tcPr>
            <w:tcW w:w="992" w:type="dxa"/>
            <w:vAlign w:val="center"/>
          </w:tcPr>
          <w:p w14:paraId="129674DD">
            <w:pPr>
              <w:wordWrap w:val="0"/>
              <w:adjustRightInd w:val="0"/>
              <w:snapToGrid w:val="0"/>
              <w:spacing w:line="240" w:lineRule="auto"/>
              <w:jc w:val="center"/>
            </w:pPr>
          </w:p>
        </w:tc>
        <w:tc>
          <w:tcPr>
            <w:tcW w:w="709" w:type="dxa"/>
            <w:vAlign w:val="center"/>
          </w:tcPr>
          <w:p w14:paraId="310E0CD7">
            <w:pPr>
              <w:wordWrap w:val="0"/>
              <w:adjustRightInd w:val="0"/>
              <w:snapToGrid w:val="0"/>
              <w:spacing w:line="240" w:lineRule="auto"/>
              <w:jc w:val="center"/>
            </w:pPr>
          </w:p>
        </w:tc>
        <w:tc>
          <w:tcPr>
            <w:tcW w:w="709" w:type="dxa"/>
            <w:vAlign w:val="center"/>
          </w:tcPr>
          <w:p w14:paraId="030F63AF">
            <w:pPr>
              <w:wordWrap w:val="0"/>
              <w:adjustRightInd w:val="0"/>
              <w:snapToGrid w:val="0"/>
              <w:spacing w:line="240" w:lineRule="auto"/>
              <w:jc w:val="center"/>
            </w:pPr>
          </w:p>
        </w:tc>
        <w:tc>
          <w:tcPr>
            <w:tcW w:w="1052" w:type="dxa"/>
            <w:vAlign w:val="center"/>
          </w:tcPr>
          <w:p w14:paraId="006FE04F">
            <w:pPr>
              <w:wordWrap w:val="0"/>
              <w:adjustRightInd w:val="0"/>
              <w:snapToGrid w:val="0"/>
              <w:spacing w:line="240" w:lineRule="auto"/>
              <w:jc w:val="center"/>
            </w:pPr>
          </w:p>
        </w:tc>
        <w:tc>
          <w:tcPr>
            <w:tcW w:w="1125" w:type="dxa"/>
            <w:vAlign w:val="center"/>
          </w:tcPr>
          <w:p w14:paraId="5EFCDEDD">
            <w:pPr>
              <w:wordWrap w:val="0"/>
              <w:adjustRightInd w:val="0"/>
              <w:snapToGrid w:val="0"/>
              <w:spacing w:line="240" w:lineRule="auto"/>
              <w:jc w:val="center"/>
            </w:pPr>
          </w:p>
        </w:tc>
        <w:tc>
          <w:tcPr>
            <w:tcW w:w="1039" w:type="dxa"/>
            <w:vAlign w:val="center"/>
          </w:tcPr>
          <w:p w14:paraId="25FE9C8C">
            <w:pPr>
              <w:wordWrap w:val="0"/>
              <w:adjustRightInd w:val="0"/>
              <w:snapToGrid w:val="0"/>
              <w:spacing w:line="240" w:lineRule="auto"/>
              <w:jc w:val="center"/>
            </w:pPr>
          </w:p>
        </w:tc>
        <w:tc>
          <w:tcPr>
            <w:tcW w:w="1462" w:type="dxa"/>
            <w:vAlign w:val="center"/>
          </w:tcPr>
          <w:p w14:paraId="33C86C8B">
            <w:pPr>
              <w:wordWrap w:val="0"/>
              <w:adjustRightInd w:val="0"/>
              <w:snapToGrid w:val="0"/>
              <w:spacing w:line="240" w:lineRule="auto"/>
              <w:jc w:val="center"/>
            </w:pPr>
          </w:p>
        </w:tc>
        <w:tc>
          <w:tcPr>
            <w:tcW w:w="1275" w:type="dxa"/>
            <w:vAlign w:val="center"/>
          </w:tcPr>
          <w:p w14:paraId="2AF8E77D">
            <w:pPr>
              <w:wordWrap w:val="0"/>
              <w:adjustRightInd w:val="0"/>
              <w:snapToGrid w:val="0"/>
              <w:spacing w:line="240" w:lineRule="auto"/>
              <w:jc w:val="center"/>
            </w:pPr>
          </w:p>
        </w:tc>
      </w:tr>
      <w:tr w14:paraId="213B7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Align w:val="center"/>
          </w:tcPr>
          <w:p w14:paraId="7DFC508C">
            <w:pPr>
              <w:wordWrap w:val="0"/>
              <w:adjustRightInd w:val="0"/>
              <w:snapToGrid w:val="0"/>
              <w:spacing w:line="240" w:lineRule="auto"/>
              <w:jc w:val="center"/>
            </w:pPr>
          </w:p>
        </w:tc>
        <w:tc>
          <w:tcPr>
            <w:tcW w:w="992" w:type="dxa"/>
            <w:vAlign w:val="center"/>
          </w:tcPr>
          <w:p w14:paraId="53AB1793">
            <w:pPr>
              <w:wordWrap w:val="0"/>
              <w:adjustRightInd w:val="0"/>
              <w:snapToGrid w:val="0"/>
              <w:spacing w:line="240" w:lineRule="auto"/>
              <w:jc w:val="center"/>
            </w:pPr>
          </w:p>
        </w:tc>
        <w:tc>
          <w:tcPr>
            <w:tcW w:w="709" w:type="dxa"/>
            <w:vAlign w:val="center"/>
          </w:tcPr>
          <w:p w14:paraId="65B44109">
            <w:pPr>
              <w:wordWrap w:val="0"/>
              <w:adjustRightInd w:val="0"/>
              <w:snapToGrid w:val="0"/>
              <w:spacing w:line="240" w:lineRule="auto"/>
              <w:jc w:val="center"/>
            </w:pPr>
          </w:p>
        </w:tc>
        <w:tc>
          <w:tcPr>
            <w:tcW w:w="709" w:type="dxa"/>
            <w:vAlign w:val="center"/>
          </w:tcPr>
          <w:p w14:paraId="4F2FDFEB">
            <w:pPr>
              <w:wordWrap w:val="0"/>
              <w:adjustRightInd w:val="0"/>
              <w:snapToGrid w:val="0"/>
              <w:spacing w:line="240" w:lineRule="auto"/>
              <w:jc w:val="center"/>
            </w:pPr>
          </w:p>
        </w:tc>
        <w:tc>
          <w:tcPr>
            <w:tcW w:w="1052" w:type="dxa"/>
            <w:vAlign w:val="center"/>
          </w:tcPr>
          <w:p w14:paraId="7AAE188D">
            <w:pPr>
              <w:wordWrap w:val="0"/>
              <w:adjustRightInd w:val="0"/>
              <w:snapToGrid w:val="0"/>
              <w:spacing w:line="240" w:lineRule="auto"/>
              <w:jc w:val="center"/>
            </w:pPr>
          </w:p>
        </w:tc>
        <w:tc>
          <w:tcPr>
            <w:tcW w:w="1125" w:type="dxa"/>
            <w:vAlign w:val="center"/>
          </w:tcPr>
          <w:p w14:paraId="03F0E5CB">
            <w:pPr>
              <w:wordWrap w:val="0"/>
              <w:adjustRightInd w:val="0"/>
              <w:snapToGrid w:val="0"/>
              <w:spacing w:line="240" w:lineRule="auto"/>
              <w:jc w:val="center"/>
            </w:pPr>
          </w:p>
        </w:tc>
        <w:tc>
          <w:tcPr>
            <w:tcW w:w="1039" w:type="dxa"/>
            <w:vAlign w:val="center"/>
          </w:tcPr>
          <w:p w14:paraId="4BAC46EE">
            <w:pPr>
              <w:wordWrap w:val="0"/>
              <w:adjustRightInd w:val="0"/>
              <w:snapToGrid w:val="0"/>
              <w:spacing w:line="240" w:lineRule="auto"/>
              <w:jc w:val="center"/>
            </w:pPr>
          </w:p>
        </w:tc>
        <w:tc>
          <w:tcPr>
            <w:tcW w:w="1462" w:type="dxa"/>
            <w:vAlign w:val="center"/>
          </w:tcPr>
          <w:p w14:paraId="2B29FC6B">
            <w:pPr>
              <w:wordWrap w:val="0"/>
              <w:adjustRightInd w:val="0"/>
              <w:snapToGrid w:val="0"/>
              <w:spacing w:line="240" w:lineRule="auto"/>
              <w:jc w:val="center"/>
            </w:pPr>
          </w:p>
        </w:tc>
        <w:tc>
          <w:tcPr>
            <w:tcW w:w="1275" w:type="dxa"/>
            <w:vAlign w:val="center"/>
          </w:tcPr>
          <w:p w14:paraId="04C55430">
            <w:pPr>
              <w:wordWrap w:val="0"/>
              <w:adjustRightInd w:val="0"/>
              <w:snapToGrid w:val="0"/>
              <w:spacing w:line="240" w:lineRule="auto"/>
              <w:jc w:val="center"/>
            </w:pPr>
          </w:p>
        </w:tc>
      </w:tr>
      <w:tr w14:paraId="2E5B7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9" w:type="dxa"/>
            <w:vAlign w:val="center"/>
          </w:tcPr>
          <w:p w14:paraId="02006A7B">
            <w:pPr>
              <w:wordWrap w:val="0"/>
              <w:adjustRightInd w:val="0"/>
              <w:snapToGrid w:val="0"/>
              <w:spacing w:line="240" w:lineRule="auto"/>
              <w:jc w:val="center"/>
            </w:pPr>
          </w:p>
        </w:tc>
        <w:tc>
          <w:tcPr>
            <w:tcW w:w="992" w:type="dxa"/>
            <w:vAlign w:val="center"/>
          </w:tcPr>
          <w:p w14:paraId="6501AD60">
            <w:pPr>
              <w:wordWrap w:val="0"/>
              <w:adjustRightInd w:val="0"/>
              <w:snapToGrid w:val="0"/>
              <w:spacing w:line="240" w:lineRule="auto"/>
              <w:jc w:val="center"/>
            </w:pPr>
          </w:p>
        </w:tc>
        <w:tc>
          <w:tcPr>
            <w:tcW w:w="709" w:type="dxa"/>
            <w:vAlign w:val="center"/>
          </w:tcPr>
          <w:p w14:paraId="0C651AAA">
            <w:pPr>
              <w:wordWrap w:val="0"/>
              <w:adjustRightInd w:val="0"/>
              <w:snapToGrid w:val="0"/>
              <w:spacing w:line="240" w:lineRule="auto"/>
              <w:jc w:val="center"/>
            </w:pPr>
          </w:p>
        </w:tc>
        <w:tc>
          <w:tcPr>
            <w:tcW w:w="709" w:type="dxa"/>
            <w:vAlign w:val="center"/>
          </w:tcPr>
          <w:p w14:paraId="1DBCAD9F">
            <w:pPr>
              <w:wordWrap w:val="0"/>
              <w:adjustRightInd w:val="0"/>
              <w:snapToGrid w:val="0"/>
              <w:spacing w:line="240" w:lineRule="auto"/>
              <w:jc w:val="center"/>
            </w:pPr>
          </w:p>
        </w:tc>
        <w:tc>
          <w:tcPr>
            <w:tcW w:w="1052" w:type="dxa"/>
            <w:vAlign w:val="center"/>
          </w:tcPr>
          <w:p w14:paraId="6A5D79A3">
            <w:pPr>
              <w:wordWrap w:val="0"/>
              <w:adjustRightInd w:val="0"/>
              <w:snapToGrid w:val="0"/>
              <w:spacing w:line="240" w:lineRule="auto"/>
              <w:jc w:val="center"/>
            </w:pPr>
          </w:p>
        </w:tc>
        <w:tc>
          <w:tcPr>
            <w:tcW w:w="1125" w:type="dxa"/>
            <w:vAlign w:val="center"/>
          </w:tcPr>
          <w:p w14:paraId="1F1049FE">
            <w:pPr>
              <w:wordWrap w:val="0"/>
              <w:adjustRightInd w:val="0"/>
              <w:snapToGrid w:val="0"/>
              <w:spacing w:line="240" w:lineRule="auto"/>
              <w:jc w:val="center"/>
            </w:pPr>
          </w:p>
        </w:tc>
        <w:tc>
          <w:tcPr>
            <w:tcW w:w="1039" w:type="dxa"/>
            <w:vAlign w:val="center"/>
          </w:tcPr>
          <w:p w14:paraId="4EF35EB4">
            <w:pPr>
              <w:wordWrap w:val="0"/>
              <w:adjustRightInd w:val="0"/>
              <w:snapToGrid w:val="0"/>
              <w:spacing w:line="240" w:lineRule="auto"/>
              <w:jc w:val="center"/>
            </w:pPr>
          </w:p>
        </w:tc>
        <w:tc>
          <w:tcPr>
            <w:tcW w:w="1462" w:type="dxa"/>
            <w:vAlign w:val="center"/>
          </w:tcPr>
          <w:p w14:paraId="6984F987">
            <w:pPr>
              <w:wordWrap w:val="0"/>
              <w:adjustRightInd w:val="0"/>
              <w:snapToGrid w:val="0"/>
              <w:spacing w:line="240" w:lineRule="auto"/>
              <w:jc w:val="center"/>
            </w:pPr>
          </w:p>
        </w:tc>
        <w:tc>
          <w:tcPr>
            <w:tcW w:w="1275" w:type="dxa"/>
            <w:vAlign w:val="center"/>
          </w:tcPr>
          <w:p w14:paraId="2D659D97">
            <w:pPr>
              <w:wordWrap w:val="0"/>
              <w:adjustRightInd w:val="0"/>
              <w:snapToGrid w:val="0"/>
              <w:spacing w:line="240" w:lineRule="auto"/>
              <w:jc w:val="center"/>
            </w:pPr>
          </w:p>
        </w:tc>
      </w:tr>
    </w:tbl>
    <w:p w14:paraId="054E7291">
      <w:pPr>
        <w:wordWrap w:val="0"/>
        <w:adjustRightInd w:val="0"/>
        <w:snapToGrid w:val="0"/>
        <w:rPr>
          <w:szCs w:val="28"/>
        </w:rPr>
      </w:pPr>
    </w:p>
    <w:p w14:paraId="2D8DE258">
      <w:pPr>
        <w:wordWrap w:val="0"/>
        <w:adjustRightInd w:val="0"/>
        <w:snapToGrid w:val="0"/>
        <w:rPr>
          <w:szCs w:val="28"/>
        </w:rPr>
      </w:pPr>
      <w:r>
        <w:rPr>
          <w:rFonts w:hint="eastAsia"/>
          <w:szCs w:val="28"/>
        </w:rPr>
        <w:t>注：此表为表样，行数可自行添加，但表式不变</w:t>
      </w:r>
      <w:r>
        <w:rPr>
          <w:rFonts w:hint="eastAsia"/>
          <w:szCs w:val="24"/>
        </w:rPr>
        <w:t>，</w:t>
      </w:r>
      <w:r>
        <w:rPr>
          <w:rFonts w:hint="eastAsia"/>
          <w:bCs/>
          <w:szCs w:val="28"/>
        </w:rPr>
        <w:t>并加盖CA电子公章</w:t>
      </w:r>
      <w:r>
        <w:rPr>
          <w:rFonts w:hint="eastAsia"/>
          <w:szCs w:val="28"/>
        </w:rPr>
        <w:t>。</w:t>
      </w:r>
    </w:p>
    <w:p w14:paraId="37311041">
      <w:pPr>
        <w:numPr>
          <w:ilvl w:val="0"/>
          <w:numId w:val="29"/>
        </w:numPr>
        <w:wordWrap w:val="0"/>
        <w:adjustRightInd w:val="0"/>
        <w:snapToGrid w:val="0"/>
        <w:jc w:val="center"/>
        <w:outlineLvl w:val="1"/>
        <w:rPr>
          <w:b/>
          <w:sz w:val="36"/>
          <w:szCs w:val="21"/>
        </w:rPr>
      </w:pPr>
      <w:r>
        <w:rPr>
          <w:szCs w:val="24"/>
        </w:rPr>
        <w:br w:type="page"/>
      </w:r>
      <w:bookmarkStart w:id="260" w:name="_Toc57992401"/>
      <w:bookmarkStart w:id="261" w:name="_Toc57992103"/>
      <w:bookmarkStart w:id="262" w:name="_Toc57991717"/>
      <w:bookmarkStart w:id="263" w:name="_Toc394695626"/>
      <w:bookmarkStart w:id="264" w:name="_Toc57992249"/>
      <w:r>
        <w:rPr>
          <w:rFonts w:hint="eastAsia"/>
          <w:b/>
          <w:sz w:val="36"/>
          <w:szCs w:val="21"/>
        </w:rPr>
        <w:t>资质审查时投标人必须提供的资格证明文件</w:t>
      </w:r>
      <w:bookmarkEnd w:id="260"/>
      <w:bookmarkEnd w:id="261"/>
      <w:bookmarkEnd w:id="262"/>
      <w:bookmarkEnd w:id="263"/>
      <w:bookmarkEnd w:id="264"/>
    </w:p>
    <w:p w14:paraId="70494F9F">
      <w:pPr>
        <w:pStyle w:val="48"/>
        <w:numPr>
          <w:ilvl w:val="0"/>
          <w:numId w:val="30"/>
        </w:numPr>
        <w:wordWrap w:val="0"/>
        <w:adjustRightInd w:val="0"/>
        <w:snapToGrid w:val="0"/>
        <w:ind w:firstLine="480"/>
      </w:pPr>
      <w:r>
        <w:rPr>
          <w:rFonts w:hint="eastAsia"/>
        </w:rPr>
        <w:t>投标人提供下列材料之一：</w:t>
      </w:r>
    </w:p>
    <w:p w14:paraId="478087F0">
      <w:pPr>
        <w:wordWrap w:val="0"/>
        <w:adjustRightInd w:val="0"/>
        <w:snapToGrid w:val="0"/>
        <w:ind w:firstLine="480" w:firstLineChars="200"/>
        <w:rPr>
          <w:szCs w:val="28"/>
        </w:rPr>
      </w:pPr>
      <w:r>
        <w:rPr>
          <w:rFonts w:hint="eastAsia"/>
          <w:szCs w:val="28"/>
        </w:rPr>
        <w:t>（1）法定代表人资格证明（格式详见示范格式一）和法定代表人身份证（</w:t>
      </w:r>
      <w:r>
        <w:rPr>
          <w:rFonts w:hint="eastAsia"/>
          <w:szCs w:val="21"/>
        </w:rPr>
        <w:t>扫描件并</w:t>
      </w:r>
      <w:r>
        <w:rPr>
          <w:rFonts w:hint="eastAsia"/>
          <w:szCs w:val="28"/>
        </w:rPr>
        <w:t>加盖CA电子公章）；</w:t>
      </w:r>
    </w:p>
    <w:p w14:paraId="28EBE1B9">
      <w:pPr>
        <w:wordWrap w:val="0"/>
        <w:adjustRightInd w:val="0"/>
        <w:snapToGrid w:val="0"/>
        <w:ind w:firstLine="480" w:firstLineChars="200"/>
        <w:rPr>
          <w:szCs w:val="28"/>
        </w:rPr>
      </w:pPr>
      <w:r>
        <w:rPr>
          <w:rFonts w:hint="eastAsia"/>
          <w:szCs w:val="28"/>
        </w:rPr>
        <w:t>（2）授权委托书（格式详见示范格式二）和受托人身份证（</w:t>
      </w:r>
      <w:r>
        <w:rPr>
          <w:rFonts w:hint="eastAsia"/>
          <w:szCs w:val="21"/>
        </w:rPr>
        <w:t>扫描件并</w:t>
      </w:r>
      <w:r>
        <w:rPr>
          <w:rFonts w:hint="eastAsia"/>
          <w:szCs w:val="28"/>
        </w:rPr>
        <w:t>加盖CA电子公章）。</w:t>
      </w:r>
    </w:p>
    <w:p w14:paraId="7C3F4062">
      <w:pPr>
        <w:pStyle w:val="48"/>
        <w:numPr>
          <w:ilvl w:val="0"/>
          <w:numId w:val="30"/>
        </w:numPr>
        <w:wordWrap w:val="0"/>
        <w:adjustRightInd w:val="0"/>
        <w:snapToGrid w:val="0"/>
        <w:ind w:firstLine="480"/>
        <w:rPr>
          <w:szCs w:val="20"/>
        </w:rPr>
      </w:pPr>
      <w:r>
        <w:rPr>
          <w:rFonts w:hint="eastAsia"/>
          <w:szCs w:val="20"/>
        </w:rPr>
        <w:t>提供下列</w:t>
      </w:r>
      <w:r>
        <w:rPr>
          <w:rFonts w:hint="eastAsia"/>
        </w:rPr>
        <w:t>材料</w:t>
      </w:r>
      <w:r>
        <w:rPr>
          <w:rFonts w:hint="eastAsia"/>
          <w:szCs w:val="20"/>
        </w:rPr>
        <w:t>之一</w:t>
      </w:r>
      <w:r>
        <w:rPr>
          <w:rFonts w:hint="eastAsia"/>
          <w:szCs w:val="21"/>
        </w:rPr>
        <w:t>（扫描件并</w:t>
      </w:r>
      <w:r>
        <w:rPr>
          <w:rFonts w:hint="eastAsia"/>
          <w:szCs w:val="28"/>
        </w:rPr>
        <w:t>加盖CA电子公章</w:t>
      </w:r>
      <w:r>
        <w:rPr>
          <w:rFonts w:hint="eastAsia"/>
          <w:szCs w:val="21"/>
        </w:rPr>
        <w:t>）</w:t>
      </w:r>
      <w:r>
        <w:rPr>
          <w:rFonts w:hint="eastAsia"/>
          <w:szCs w:val="20"/>
        </w:rPr>
        <w:t>：</w:t>
      </w:r>
    </w:p>
    <w:p w14:paraId="2195E910">
      <w:pPr>
        <w:wordWrap w:val="0"/>
        <w:adjustRightInd w:val="0"/>
        <w:snapToGrid w:val="0"/>
        <w:ind w:firstLine="480" w:firstLineChars="200"/>
        <w:rPr>
          <w:szCs w:val="20"/>
        </w:rPr>
      </w:pPr>
      <w:r>
        <w:rPr>
          <w:rFonts w:hint="eastAsia"/>
          <w:szCs w:val="20"/>
        </w:rPr>
        <w:t>（1）投标人为企业（包括合伙企业）的，应提供其有效的营业执照；</w:t>
      </w:r>
    </w:p>
    <w:p w14:paraId="0F1ACF3A">
      <w:pPr>
        <w:wordWrap w:val="0"/>
        <w:adjustRightInd w:val="0"/>
        <w:snapToGrid w:val="0"/>
        <w:ind w:firstLine="480" w:firstLineChars="200"/>
        <w:rPr>
          <w:szCs w:val="20"/>
        </w:rPr>
      </w:pPr>
      <w:r>
        <w:rPr>
          <w:rFonts w:hint="eastAsia"/>
          <w:szCs w:val="20"/>
        </w:rPr>
        <w:t>（2）投标人为事业单位的，应提供其有效的事业单位法人证书；</w:t>
      </w:r>
    </w:p>
    <w:p w14:paraId="128C9155">
      <w:pPr>
        <w:wordWrap w:val="0"/>
        <w:adjustRightInd w:val="0"/>
        <w:snapToGrid w:val="0"/>
        <w:ind w:firstLine="480" w:firstLineChars="200"/>
        <w:rPr>
          <w:szCs w:val="20"/>
        </w:rPr>
      </w:pPr>
      <w:r>
        <w:rPr>
          <w:rFonts w:hint="eastAsia"/>
          <w:szCs w:val="20"/>
        </w:rPr>
        <w:t>（</w:t>
      </w:r>
      <w:r>
        <w:rPr>
          <w:szCs w:val="20"/>
        </w:rPr>
        <w:t>3</w:t>
      </w:r>
      <w:r>
        <w:rPr>
          <w:rFonts w:hint="eastAsia"/>
          <w:szCs w:val="20"/>
        </w:rPr>
        <w:t>）投标人为非企业机构的，应提供其有效的执业许可证或</w:t>
      </w:r>
      <w:r>
        <w:rPr>
          <w:szCs w:val="20"/>
        </w:rPr>
        <w:t>登记证书</w:t>
      </w:r>
      <w:r>
        <w:rPr>
          <w:rFonts w:hint="eastAsia"/>
          <w:szCs w:val="20"/>
        </w:rPr>
        <w:t>等证明文件；</w:t>
      </w:r>
    </w:p>
    <w:p w14:paraId="35B01244">
      <w:pPr>
        <w:wordWrap w:val="0"/>
        <w:adjustRightInd w:val="0"/>
        <w:snapToGrid w:val="0"/>
        <w:ind w:firstLine="480" w:firstLineChars="200"/>
        <w:rPr>
          <w:szCs w:val="20"/>
        </w:rPr>
      </w:pPr>
      <w:r>
        <w:rPr>
          <w:rFonts w:hint="eastAsia"/>
          <w:szCs w:val="20"/>
        </w:rPr>
        <w:t>（</w:t>
      </w:r>
      <w:r>
        <w:rPr>
          <w:szCs w:val="20"/>
        </w:rPr>
        <w:t>4</w:t>
      </w:r>
      <w:r>
        <w:rPr>
          <w:rFonts w:hint="eastAsia"/>
          <w:szCs w:val="20"/>
        </w:rPr>
        <w:t>）投标人为个体工商户的，应提供其有效的个体工商户营业执照；</w:t>
      </w:r>
    </w:p>
    <w:p w14:paraId="3EB990DF">
      <w:pPr>
        <w:wordWrap w:val="0"/>
        <w:adjustRightInd w:val="0"/>
        <w:snapToGrid w:val="0"/>
        <w:ind w:firstLine="480" w:firstLineChars="200"/>
        <w:rPr>
          <w:szCs w:val="20"/>
        </w:rPr>
      </w:pPr>
      <w:r>
        <w:rPr>
          <w:rFonts w:hint="eastAsia"/>
          <w:szCs w:val="20"/>
        </w:rPr>
        <w:t>（</w:t>
      </w:r>
      <w:r>
        <w:rPr>
          <w:szCs w:val="20"/>
        </w:rPr>
        <w:t>5</w:t>
      </w:r>
      <w:r>
        <w:rPr>
          <w:rFonts w:hint="eastAsia"/>
          <w:szCs w:val="20"/>
        </w:rPr>
        <w:t>）投标人是自然人的，应提供其有效的自然人身份证明。</w:t>
      </w:r>
    </w:p>
    <w:p w14:paraId="6FF79081">
      <w:pPr>
        <w:wordWrap w:val="0"/>
        <w:adjustRightInd w:val="0"/>
        <w:snapToGrid w:val="0"/>
        <w:ind w:firstLine="480" w:firstLineChars="200"/>
        <w:rPr>
          <w:szCs w:val="20"/>
        </w:rPr>
      </w:pPr>
      <w:r>
        <w:rPr>
          <w:rFonts w:hint="eastAsia"/>
          <w:szCs w:val="20"/>
        </w:rPr>
        <w:t>注：分支机构不得参加采购活动，但</w:t>
      </w:r>
      <w:r>
        <w:rPr>
          <w:szCs w:val="20"/>
        </w:rPr>
        <w:t>银行、保险、石油石化、电力、电信等</w:t>
      </w:r>
      <w:r>
        <w:rPr>
          <w:rFonts w:hint="eastAsia"/>
          <w:szCs w:val="20"/>
        </w:rPr>
        <w:t>特殊</w:t>
      </w:r>
      <w:r>
        <w:rPr>
          <w:szCs w:val="20"/>
        </w:rPr>
        <w:t>行业分支机构</w:t>
      </w:r>
      <w:r>
        <w:rPr>
          <w:rFonts w:hint="eastAsia"/>
          <w:szCs w:val="20"/>
        </w:rPr>
        <w:t>同时提供总公司相关授权</w:t>
      </w:r>
      <w:r>
        <w:rPr>
          <w:szCs w:val="20"/>
        </w:rPr>
        <w:t>其独立开展业务</w:t>
      </w:r>
      <w:r>
        <w:rPr>
          <w:rFonts w:hint="eastAsia"/>
          <w:szCs w:val="20"/>
        </w:rPr>
        <w:t>的证明即可参与。</w:t>
      </w:r>
    </w:p>
    <w:p w14:paraId="076F885F">
      <w:pPr>
        <w:pStyle w:val="48"/>
        <w:numPr>
          <w:ilvl w:val="0"/>
          <w:numId w:val="30"/>
        </w:numPr>
        <w:wordWrap w:val="0"/>
        <w:adjustRightInd w:val="0"/>
        <w:snapToGrid w:val="0"/>
        <w:ind w:firstLine="480"/>
        <w:rPr>
          <w:rFonts w:cs="宋体"/>
        </w:rPr>
      </w:pPr>
      <w:r>
        <w:rPr>
          <w:rFonts w:hint="eastAsia" w:cs="宋体"/>
        </w:rPr>
        <w:t>投标人符合《中华人民共和国政府采购法》第二十二条规定条件的声明函（格式详见示范格式三）。</w:t>
      </w:r>
    </w:p>
    <w:p w14:paraId="5CCF6061">
      <w:pPr>
        <w:pStyle w:val="48"/>
        <w:numPr>
          <w:ilvl w:val="0"/>
          <w:numId w:val="30"/>
        </w:numPr>
        <w:wordWrap w:val="0"/>
        <w:adjustRightInd w:val="0"/>
        <w:snapToGrid w:val="0"/>
        <w:ind w:firstLine="480"/>
        <w:rPr>
          <w:rFonts w:cs="宋体"/>
        </w:rPr>
      </w:pPr>
      <w:r>
        <w:rPr>
          <w:rFonts w:hint="eastAsia" w:cs="宋体"/>
        </w:rPr>
        <w:t>拒绝下述条件的供应商参加本次采购活动（提供诚信承诺书，格式详见示范格式四）：</w:t>
      </w:r>
    </w:p>
    <w:p w14:paraId="1AB1481A">
      <w:pPr>
        <w:wordWrap w:val="0"/>
        <w:adjustRightInd w:val="0"/>
        <w:snapToGrid w:val="0"/>
        <w:ind w:firstLine="480" w:firstLineChars="200"/>
        <w:rPr>
          <w:rFonts w:cs="宋体"/>
          <w:szCs w:val="21"/>
        </w:rPr>
      </w:pPr>
      <w:r>
        <w:rPr>
          <w:rFonts w:hint="eastAsia"/>
          <w:szCs w:val="21"/>
        </w:rPr>
        <w:t>（1）投标人单位负责人为同一人或者存在直接控股、管理关系的不同投标人，不得同时参加同一合同项下的政府采购活动；</w:t>
      </w:r>
    </w:p>
    <w:p w14:paraId="1E27BF46">
      <w:pPr>
        <w:wordWrap w:val="0"/>
        <w:adjustRightInd w:val="0"/>
        <w:snapToGrid w:val="0"/>
        <w:ind w:firstLine="480" w:firstLineChars="200"/>
        <w:rPr>
          <w:szCs w:val="21"/>
        </w:rPr>
      </w:pPr>
      <w:r>
        <w:rPr>
          <w:rFonts w:hint="eastAsia"/>
          <w:szCs w:val="21"/>
        </w:rPr>
        <w:t>（2）凡为采购项目提供整体设计、规范编制或者项目管理、监理、检测等服务的投标人，不得再参加本项目的采购活动；</w:t>
      </w:r>
    </w:p>
    <w:p w14:paraId="75E1B240">
      <w:pPr>
        <w:wordWrap w:val="0"/>
        <w:adjustRightInd w:val="0"/>
        <w:snapToGrid w:val="0"/>
        <w:ind w:firstLine="480" w:firstLineChars="200"/>
        <w:rPr>
          <w:szCs w:val="21"/>
        </w:rPr>
      </w:pPr>
      <w:r>
        <w:rPr>
          <w:rFonts w:hint="eastAsia"/>
          <w:szCs w:val="21"/>
        </w:rPr>
        <w:t>（3）投标人被“信用中国”网站、“中国政府采购网”列入失信被执行人、重大税收违法案件当事人名单、政府采购严重违法失信行为记录名单。</w:t>
      </w:r>
    </w:p>
    <w:p w14:paraId="6E802893">
      <w:pPr>
        <w:pStyle w:val="48"/>
        <w:numPr>
          <w:ilvl w:val="0"/>
          <w:numId w:val="30"/>
        </w:numPr>
        <w:wordWrap w:val="0"/>
        <w:adjustRightInd w:val="0"/>
        <w:snapToGrid w:val="0"/>
        <w:ind w:firstLine="480"/>
      </w:pPr>
      <w:r>
        <w:rPr>
          <w:szCs w:val="21"/>
        </w:rPr>
        <w:t>落实政府</w:t>
      </w:r>
      <w:r>
        <w:rPr>
          <w:rFonts w:hint="eastAsia"/>
          <w:szCs w:val="21"/>
        </w:rPr>
        <w:t>采购</w:t>
      </w:r>
      <w:r>
        <w:rPr>
          <w:szCs w:val="21"/>
        </w:rPr>
        <w:t>政策需满足的资格要求</w:t>
      </w:r>
      <w:r>
        <w:rPr>
          <w:rFonts w:hint="eastAsia"/>
          <w:szCs w:val="21"/>
        </w:rPr>
        <w:t>（本项目专门面向中小企业采购，</w:t>
      </w:r>
      <w:r>
        <w:rPr>
          <w:rFonts w:hint="eastAsia" w:cs="宋体"/>
        </w:rPr>
        <w:t>提供下列任一项材料即可</w:t>
      </w:r>
      <w:r>
        <w:rPr>
          <w:rFonts w:hint="eastAsia"/>
          <w:szCs w:val="21"/>
        </w:rPr>
        <w:t>）</w:t>
      </w:r>
      <w:r>
        <w:rPr>
          <w:szCs w:val="21"/>
        </w:rPr>
        <w:t>：</w:t>
      </w:r>
    </w:p>
    <w:p w14:paraId="45A17BD3">
      <w:pPr>
        <w:wordWrap w:val="0"/>
        <w:adjustRightInd w:val="0"/>
        <w:snapToGrid w:val="0"/>
        <w:ind w:firstLine="480" w:firstLineChars="200"/>
        <w:rPr>
          <w:szCs w:val="28"/>
        </w:rPr>
      </w:pPr>
      <w:r>
        <w:rPr>
          <w:rFonts w:hint="eastAsia"/>
          <w:szCs w:val="28"/>
        </w:rPr>
        <w:t>（1）中小企业声明函（详见示范格式五）；</w:t>
      </w:r>
    </w:p>
    <w:p w14:paraId="5F182132">
      <w:pPr>
        <w:wordWrap w:val="0"/>
        <w:adjustRightInd w:val="0"/>
        <w:snapToGrid w:val="0"/>
        <w:ind w:firstLine="480" w:firstLineChars="200"/>
        <w:rPr>
          <w:szCs w:val="28"/>
        </w:rPr>
      </w:pPr>
      <w:r>
        <w:rPr>
          <w:rFonts w:hint="eastAsia"/>
          <w:szCs w:val="28"/>
        </w:rPr>
        <w:t>（2）《残疾人福利性单位声明函》（详见示范格式六）；</w:t>
      </w:r>
    </w:p>
    <w:p w14:paraId="3BBE694F">
      <w:pPr>
        <w:wordWrap w:val="0"/>
        <w:adjustRightInd w:val="0"/>
        <w:snapToGrid w:val="0"/>
        <w:ind w:firstLine="480" w:firstLineChars="200"/>
        <w:rPr>
          <w:szCs w:val="28"/>
        </w:rPr>
      </w:pPr>
      <w:r>
        <w:rPr>
          <w:rFonts w:hint="eastAsia"/>
          <w:szCs w:val="28"/>
        </w:rPr>
        <w:t>（3）由省级以上监狱管理局、戒毒管理局（含新疆生产建设兵团）出具的属于监狱企业的证明文件（投标文件中上传加盖出具单位公章的电子件）。</w:t>
      </w:r>
    </w:p>
    <w:p w14:paraId="774AA165">
      <w:pPr>
        <w:pStyle w:val="48"/>
        <w:numPr>
          <w:ilvl w:val="0"/>
          <w:numId w:val="30"/>
        </w:numPr>
        <w:wordWrap w:val="0"/>
        <w:adjustRightInd w:val="0"/>
        <w:snapToGrid w:val="0"/>
        <w:ind w:firstLine="480"/>
        <w:rPr>
          <w:rFonts w:cs="宋体"/>
          <w:szCs w:val="21"/>
        </w:rPr>
      </w:pPr>
      <w:r>
        <w:rPr>
          <w:rFonts w:hint="eastAsia"/>
        </w:rPr>
        <w:t>本项目</w:t>
      </w:r>
      <w:r>
        <w:rPr>
          <w:rFonts w:hint="eastAsia"/>
          <w:szCs w:val="21"/>
        </w:rPr>
        <w:t>不</w:t>
      </w:r>
      <w:r>
        <w:rPr>
          <w:rFonts w:hint="eastAsia"/>
        </w:rPr>
        <w:t>接受联合体投标（符合条件即可，无需额外提供材料）</w:t>
      </w:r>
      <w:r>
        <w:rPr>
          <w:rFonts w:hint="eastAsia" w:cs="宋体"/>
          <w:bCs/>
          <w:szCs w:val="28"/>
        </w:rPr>
        <w:t>。</w:t>
      </w:r>
    </w:p>
    <w:p w14:paraId="051E9C00">
      <w:pPr>
        <w:wordWrap w:val="0"/>
        <w:adjustRightInd w:val="0"/>
        <w:snapToGrid w:val="0"/>
        <w:ind w:firstLine="480" w:firstLineChars="200"/>
        <w:rPr>
          <w:rFonts w:cs="Arial"/>
          <w:bCs/>
        </w:rPr>
      </w:pPr>
      <w:r>
        <w:rPr>
          <w:rFonts w:hint="eastAsia"/>
          <w:szCs w:val="28"/>
        </w:rPr>
        <w:t>注</w:t>
      </w:r>
      <w:r>
        <w:rPr>
          <w:szCs w:val="28"/>
        </w:rPr>
        <w:t>：</w:t>
      </w:r>
      <w:r>
        <w:rPr>
          <w:rFonts w:hint="eastAsia"/>
        </w:rPr>
        <w:t>上述是对投标人资质审查时，投标人必须提供的资格证明文件，如投标人未能提供上述资格证明文件以及发现投标人的资质条件不符合招标文件要求，可随时取消其投标或中标</w:t>
      </w:r>
      <w:r>
        <w:t>资格</w:t>
      </w:r>
      <w:r>
        <w:rPr>
          <w:rFonts w:hint="eastAsia"/>
        </w:rPr>
        <w:t>。</w:t>
      </w:r>
    </w:p>
    <w:p w14:paraId="02536CAB">
      <w:pPr>
        <w:numPr>
          <w:ilvl w:val="0"/>
          <w:numId w:val="29"/>
        </w:numPr>
        <w:wordWrap w:val="0"/>
        <w:adjustRightInd w:val="0"/>
        <w:snapToGrid w:val="0"/>
        <w:jc w:val="center"/>
        <w:outlineLvl w:val="1"/>
        <w:rPr>
          <w:b/>
          <w:sz w:val="36"/>
          <w:szCs w:val="21"/>
        </w:rPr>
      </w:pPr>
      <w:r>
        <w:rPr>
          <w:rFonts w:cs="Arial"/>
          <w:bCs/>
        </w:rPr>
        <w:br w:type="page"/>
      </w:r>
      <w:bookmarkStart w:id="265" w:name="_Toc57992251"/>
      <w:bookmarkStart w:id="266" w:name="_Toc57992105"/>
      <w:bookmarkStart w:id="267" w:name="_Toc57991719"/>
      <w:bookmarkStart w:id="268" w:name="_Toc57992403"/>
      <w:r>
        <w:rPr>
          <w:rFonts w:hint="eastAsia"/>
          <w:b/>
          <w:sz w:val="36"/>
          <w:szCs w:val="21"/>
        </w:rPr>
        <w:t>综合评分时投标人需提供的证明文件</w:t>
      </w:r>
      <w:bookmarkEnd w:id="265"/>
      <w:bookmarkEnd w:id="266"/>
      <w:bookmarkEnd w:id="267"/>
      <w:bookmarkEnd w:id="268"/>
    </w:p>
    <w:p w14:paraId="557C863B">
      <w:pPr>
        <w:wordWrap w:val="0"/>
        <w:adjustRightInd w:val="0"/>
        <w:snapToGrid w:val="0"/>
        <w:jc w:val="center"/>
      </w:pPr>
      <w:r>
        <w:rPr>
          <w:rFonts w:hint="eastAsia"/>
          <w:szCs w:val="21"/>
        </w:rPr>
        <w:t>（投标人根据第三章中评标标准的</w:t>
      </w:r>
      <w:r>
        <w:rPr>
          <w:rFonts w:hint="eastAsia"/>
          <w:szCs w:val="28"/>
        </w:rPr>
        <w:t>要求</w:t>
      </w:r>
      <w:r>
        <w:rPr>
          <w:rFonts w:hint="eastAsia"/>
          <w:szCs w:val="21"/>
        </w:rPr>
        <w:t>提供相关材料）</w:t>
      </w:r>
    </w:p>
    <w:p w14:paraId="2536626D">
      <w:pPr>
        <w:numPr>
          <w:ilvl w:val="0"/>
          <w:numId w:val="29"/>
        </w:numPr>
        <w:wordWrap w:val="0"/>
        <w:adjustRightInd w:val="0"/>
        <w:snapToGrid w:val="0"/>
        <w:jc w:val="center"/>
        <w:outlineLvl w:val="1"/>
        <w:rPr>
          <w:b/>
          <w:sz w:val="36"/>
          <w:szCs w:val="21"/>
        </w:rPr>
      </w:pPr>
      <w:r>
        <w:rPr>
          <w:rFonts w:cs="Arial"/>
          <w:bCs/>
        </w:rPr>
        <w:br w:type="page"/>
      </w:r>
      <w:bookmarkStart w:id="269" w:name="_Toc57992107"/>
      <w:bookmarkStart w:id="270" w:name="_Toc57992405"/>
      <w:bookmarkStart w:id="271" w:name="_Toc57991721"/>
      <w:bookmarkStart w:id="272" w:name="_Toc57992253"/>
      <w:r>
        <w:rPr>
          <w:rFonts w:hint="eastAsia"/>
          <w:b/>
          <w:sz w:val="36"/>
          <w:szCs w:val="21"/>
        </w:rPr>
        <w:t>示范格式</w:t>
      </w:r>
      <w:bookmarkEnd w:id="269"/>
      <w:bookmarkEnd w:id="270"/>
      <w:bookmarkEnd w:id="271"/>
      <w:bookmarkEnd w:id="272"/>
    </w:p>
    <w:p w14:paraId="326AA3AD">
      <w:pPr>
        <w:wordWrap w:val="0"/>
        <w:adjustRightInd w:val="0"/>
        <w:snapToGrid w:val="0"/>
        <w:rPr>
          <w:rFonts w:cs="Arial"/>
          <w:bCs/>
          <w:szCs w:val="24"/>
        </w:rPr>
      </w:pPr>
      <w:bookmarkStart w:id="273" w:name="_Toc394695628"/>
    </w:p>
    <w:p w14:paraId="4015E08A">
      <w:pPr>
        <w:wordWrap w:val="0"/>
        <w:adjustRightInd w:val="0"/>
        <w:snapToGrid w:val="0"/>
        <w:outlineLvl w:val="2"/>
        <w:rPr>
          <w:rFonts w:cs="Arial"/>
          <w:b/>
          <w:bCs/>
          <w:sz w:val="32"/>
          <w:szCs w:val="24"/>
        </w:rPr>
      </w:pPr>
      <w:bookmarkStart w:id="274" w:name="_Toc57992406"/>
      <w:bookmarkStart w:id="275" w:name="_Toc57992254"/>
      <w:bookmarkStart w:id="276" w:name="_Toc57991722"/>
      <w:r>
        <w:rPr>
          <w:rFonts w:hint="eastAsia" w:cs="Arial"/>
          <w:b/>
          <w:bCs/>
          <w:sz w:val="32"/>
          <w:szCs w:val="24"/>
        </w:rPr>
        <w:t>示范格式一</w:t>
      </w:r>
      <w:bookmarkEnd w:id="273"/>
      <w:bookmarkEnd w:id="274"/>
      <w:bookmarkEnd w:id="275"/>
      <w:bookmarkEnd w:id="276"/>
    </w:p>
    <w:p w14:paraId="2253ECEB">
      <w:pPr>
        <w:wordWrap w:val="0"/>
        <w:adjustRightInd w:val="0"/>
        <w:snapToGrid w:val="0"/>
        <w:rPr>
          <w:rFonts w:cs="Arial"/>
          <w:bCs/>
          <w:szCs w:val="24"/>
        </w:rPr>
      </w:pPr>
    </w:p>
    <w:p w14:paraId="08B4C499">
      <w:pPr>
        <w:wordWrap w:val="0"/>
        <w:adjustRightInd w:val="0"/>
        <w:snapToGrid w:val="0"/>
        <w:jc w:val="center"/>
        <w:rPr>
          <w:b/>
          <w:sz w:val="30"/>
          <w:szCs w:val="30"/>
        </w:rPr>
      </w:pPr>
      <w:bookmarkStart w:id="277" w:name="_Toc144974860"/>
      <w:bookmarkStart w:id="278" w:name="_Toc152042580"/>
      <w:bookmarkStart w:id="279" w:name="_Toc352708930"/>
      <w:bookmarkStart w:id="280" w:name="_Toc152045791"/>
      <w:bookmarkStart w:id="281" w:name="_Toc179632811"/>
      <w:r>
        <w:rPr>
          <w:b/>
          <w:sz w:val="30"/>
          <w:szCs w:val="30"/>
        </w:rPr>
        <w:t>法定代表人</w:t>
      </w:r>
      <w:r>
        <w:rPr>
          <w:rFonts w:hint="eastAsia"/>
          <w:b/>
          <w:sz w:val="30"/>
          <w:szCs w:val="30"/>
        </w:rPr>
        <w:t>资格</w:t>
      </w:r>
      <w:r>
        <w:rPr>
          <w:b/>
          <w:sz w:val="30"/>
          <w:szCs w:val="30"/>
        </w:rPr>
        <w:t>证明</w:t>
      </w:r>
      <w:bookmarkEnd w:id="277"/>
      <w:bookmarkEnd w:id="278"/>
      <w:bookmarkEnd w:id="279"/>
      <w:bookmarkEnd w:id="280"/>
      <w:bookmarkEnd w:id="281"/>
    </w:p>
    <w:p w14:paraId="19E6D12A">
      <w:pPr>
        <w:wordWrap w:val="0"/>
        <w:adjustRightInd w:val="0"/>
        <w:snapToGrid w:val="0"/>
        <w:rPr>
          <w:rFonts w:cs="宋体"/>
          <w:szCs w:val="21"/>
        </w:rPr>
      </w:pPr>
    </w:p>
    <w:p w14:paraId="46F2F8D9">
      <w:pPr>
        <w:wordWrap w:val="0"/>
        <w:adjustRightInd w:val="0"/>
        <w:snapToGrid w:val="0"/>
        <w:rPr>
          <w:szCs w:val="21"/>
        </w:rPr>
      </w:pPr>
      <w:r>
        <w:rPr>
          <w:rFonts w:hint="eastAsia"/>
          <w:szCs w:val="21"/>
        </w:rPr>
        <w:t>投标人名称</w:t>
      </w:r>
      <w:r>
        <w:rPr>
          <w:szCs w:val="21"/>
        </w:rPr>
        <w:t>：</w:t>
      </w:r>
      <w:r>
        <w:rPr>
          <w:u w:val="single"/>
        </w:rPr>
        <w:t xml:space="preserve">                    </w:t>
      </w:r>
    </w:p>
    <w:p w14:paraId="72416655">
      <w:pPr>
        <w:wordWrap w:val="0"/>
        <w:adjustRightInd w:val="0"/>
        <w:snapToGrid w:val="0"/>
        <w:rPr>
          <w:szCs w:val="21"/>
        </w:rPr>
      </w:pPr>
      <w:r>
        <w:rPr>
          <w:rFonts w:hint="eastAsia"/>
          <w:szCs w:val="21"/>
        </w:rPr>
        <w:t>地址</w:t>
      </w:r>
      <w:r>
        <w:rPr>
          <w:szCs w:val="21"/>
        </w:rPr>
        <w:t>：</w:t>
      </w:r>
      <w:r>
        <w:rPr>
          <w:u w:val="single"/>
        </w:rPr>
        <w:t xml:space="preserve">                        </w:t>
      </w:r>
    </w:p>
    <w:p w14:paraId="51FFD259">
      <w:pPr>
        <w:wordWrap w:val="0"/>
        <w:adjustRightInd w:val="0"/>
        <w:snapToGrid w:val="0"/>
        <w:rPr>
          <w:szCs w:val="21"/>
        </w:rPr>
      </w:pPr>
      <w:r>
        <w:rPr>
          <w:szCs w:val="21"/>
        </w:rPr>
        <w:t>姓名：</w:t>
      </w:r>
      <w:r>
        <w:rPr>
          <w:szCs w:val="21"/>
          <w:u w:val="single"/>
        </w:rPr>
        <w:t xml:space="preserve">          </w:t>
      </w:r>
      <w:r>
        <w:rPr>
          <w:szCs w:val="21"/>
        </w:rPr>
        <w:t>性别：</w:t>
      </w:r>
      <w:r>
        <w:rPr>
          <w:szCs w:val="21"/>
          <w:u w:val="single"/>
        </w:rPr>
        <w:t xml:space="preserve">          </w:t>
      </w:r>
      <w:r>
        <w:rPr>
          <w:szCs w:val="21"/>
        </w:rPr>
        <w:t>年龄：</w:t>
      </w:r>
      <w:r>
        <w:rPr>
          <w:szCs w:val="21"/>
          <w:u w:val="single"/>
        </w:rPr>
        <w:t xml:space="preserve">          </w:t>
      </w:r>
      <w:r>
        <w:rPr>
          <w:szCs w:val="21"/>
        </w:rPr>
        <w:t>职务：</w:t>
      </w:r>
      <w:r>
        <w:rPr>
          <w:szCs w:val="21"/>
          <w:u w:val="single"/>
        </w:rPr>
        <w:t xml:space="preserve">          </w:t>
      </w:r>
    </w:p>
    <w:p w14:paraId="5E3589C1">
      <w:pPr>
        <w:wordWrap w:val="0"/>
        <w:adjustRightInd w:val="0"/>
        <w:snapToGrid w:val="0"/>
        <w:ind w:firstLine="480" w:firstLineChars="200"/>
        <w:rPr>
          <w:szCs w:val="21"/>
        </w:rPr>
      </w:pPr>
    </w:p>
    <w:p w14:paraId="46F2A0C2">
      <w:pPr>
        <w:wordWrap w:val="0"/>
        <w:adjustRightInd w:val="0"/>
        <w:snapToGrid w:val="0"/>
        <w:ind w:firstLine="480" w:firstLineChars="200"/>
        <w:rPr>
          <w:szCs w:val="21"/>
        </w:rPr>
      </w:pPr>
      <w:r>
        <w:rPr>
          <w:szCs w:val="21"/>
        </w:rPr>
        <w:t>系</w:t>
      </w:r>
      <w:r>
        <w:rPr>
          <w:u w:val="single"/>
        </w:rPr>
        <w:t xml:space="preserve">                    </w:t>
      </w:r>
      <w:r>
        <w:rPr>
          <w:szCs w:val="21"/>
        </w:rPr>
        <w:t>（</w:t>
      </w:r>
      <w:r>
        <w:rPr>
          <w:rFonts w:hint="eastAsia"/>
          <w:szCs w:val="21"/>
        </w:rPr>
        <w:t>投标人</w:t>
      </w:r>
      <w:r>
        <w:rPr>
          <w:szCs w:val="21"/>
        </w:rPr>
        <w:t>名称）的法定代表人。</w:t>
      </w:r>
      <w:r>
        <w:rPr>
          <w:rFonts w:hint="eastAsia"/>
          <w:szCs w:val="21"/>
        </w:rPr>
        <w:t>为参与</w:t>
      </w:r>
      <w:r>
        <w:rPr>
          <w:u w:val="single"/>
        </w:rPr>
        <w:t xml:space="preserve">                    </w:t>
      </w:r>
      <w:r>
        <w:rPr>
          <w:rFonts w:hint="eastAsia"/>
          <w:szCs w:val="21"/>
        </w:rPr>
        <w:t>项目，签署上述项目的投标文件、进行招标、签署合同和处理与之有关的一切事务。</w:t>
      </w:r>
    </w:p>
    <w:p w14:paraId="650DFEAD">
      <w:pPr>
        <w:wordWrap w:val="0"/>
        <w:adjustRightInd w:val="0"/>
        <w:snapToGrid w:val="0"/>
        <w:ind w:firstLine="480" w:firstLineChars="200"/>
        <w:rPr>
          <w:szCs w:val="21"/>
        </w:rPr>
      </w:pPr>
    </w:p>
    <w:p w14:paraId="64F028A2">
      <w:pPr>
        <w:wordWrap w:val="0"/>
        <w:adjustRightInd w:val="0"/>
        <w:snapToGrid w:val="0"/>
        <w:ind w:firstLine="480" w:firstLineChars="200"/>
        <w:rPr>
          <w:szCs w:val="21"/>
        </w:rPr>
      </w:pPr>
      <w:r>
        <w:rPr>
          <w:szCs w:val="21"/>
        </w:rPr>
        <w:t>特此证明。</w:t>
      </w:r>
    </w:p>
    <w:p w14:paraId="6C53BD5E">
      <w:pPr>
        <w:wordWrap w:val="0"/>
        <w:adjustRightInd w:val="0"/>
        <w:snapToGrid w:val="0"/>
        <w:ind w:firstLine="480" w:firstLineChars="200"/>
        <w:rPr>
          <w:szCs w:val="21"/>
        </w:rPr>
      </w:pPr>
    </w:p>
    <w:p w14:paraId="6394BC47">
      <w:pPr>
        <w:wordWrap w:val="0"/>
        <w:adjustRightInd w:val="0"/>
        <w:snapToGrid w:val="0"/>
        <w:ind w:firstLine="480" w:firstLineChars="200"/>
        <w:rPr>
          <w:szCs w:val="21"/>
        </w:rPr>
      </w:pPr>
    </w:p>
    <w:p w14:paraId="5C07D6D1">
      <w:pPr>
        <w:wordWrap w:val="0"/>
        <w:adjustRightInd w:val="0"/>
        <w:snapToGrid w:val="0"/>
        <w:ind w:firstLine="2400" w:firstLineChars="1000"/>
        <w:rPr>
          <w:szCs w:val="21"/>
        </w:rPr>
      </w:pPr>
      <w:r>
        <w:rPr>
          <w:rFonts w:hint="eastAsia"/>
          <w:szCs w:val="21"/>
        </w:rPr>
        <w:t>投标人</w:t>
      </w:r>
      <w:r>
        <w:rPr>
          <w:szCs w:val="21"/>
        </w:rPr>
        <w:t>：</w:t>
      </w:r>
      <w:r>
        <w:rPr>
          <w:szCs w:val="21"/>
          <w:u w:val="single"/>
        </w:rPr>
        <w:t xml:space="preserve">        </w:t>
      </w:r>
      <w:r>
        <w:rPr>
          <w:rFonts w:hint="eastAsia"/>
          <w:i/>
          <w:szCs w:val="24"/>
          <w:u w:val="single"/>
        </w:rPr>
        <w:t>（CA电子公章）</w:t>
      </w:r>
      <w:r>
        <w:rPr>
          <w:szCs w:val="21"/>
          <w:u w:val="single"/>
        </w:rPr>
        <w:t xml:space="preserve">         </w:t>
      </w:r>
    </w:p>
    <w:p w14:paraId="33C906C3">
      <w:pPr>
        <w:wordWrap w:val="0"/>
        <w:adjustRightInd w:val="0"/>
        <w:snapToGrid w:val="0"/>
        <w:ind w:firstLine="2400" w:firstLineChars="1000"/>
        <w:rPr>
          <w:szCs w:val="21"/>
        </w:rPr>
      </w:pPr>
      <w:r>
        <w:rPr>
          <w:rFonts w:hint="eastAsia"/>
          <w:szCs w:val="24"/>
        </w:rPr>
        <w:t>日期：</w:t>
      </w:r>
      <w:r>
        <w:rPr>
          <w:szCs w:val="21"/>
          <w:u w:val="single"/>
        </w:rPr>
        <w:t xml:space="preserve">          </w:t>
      </w:r>
      <w:r>
        <w:rPr>
          <w:szCs w:val="21"/>
        </w:rPr>
        <w:t>年</w:t>
      </w:r>
      <w:r>
        <w:rPr>
          <w:szCs w:val="21"/>
          <w:u w:val="single"/>
        </w:rPr>
        <w:t xml:space="preserve">    </w:t>
      </w:r>
      <w:r>
        <w:rPr>
          <w:szCs w:val="21"/>
        </w:rPr>
        <w:t>月</w:t>
      </w:r>
      <w:r>
        <w:rPr>
          <w:szCs w:val="21"/>
          <w:u w:val="single"/>
        </w:rPr>
        <w:t xml:space="preserve">    </w:t>
      </w:r>
      <w:r>
        <w:rPr>
          <w:szCs w:val="21"/>
        </w:rPr>
        <w:t>日</w:t>
      </w:r>
    </w:p>
    <w:p w14:paraId="421543D3">
      <w:pPr>
        <w:wordWrap w:val="0"/>
        <w:adjustRightInd w:val="0"/>
        <w:snapToGrid w:val="0"/>
        <w:rPr>
          <w:rFonts w:cs="Arial"/>
          <w:bCs/>
          <w:szCs w:val="24"/>
        </w:rPr>
      </w:pPr>
    </w:p>
    <w:p w14:paraId="44D7DF73">
      <w:pPr>
        <w:wordWrap w:val="0"/>
        <w:adjustRightInd w:val="0"/>
        <w:snapToGrid w:val="0"/>
        <w:rPr>
          <w:rFonts w:cs="Arial"/>
          <w:bCs/>
          <w:szCs w:val="24"/>
        </w:rPr>
      </w:pPr>
      <w:r>
        <w:rPr>
          <w:rFonts w:hint="eastAsia" w:cs="Arial"/>
          <w:bCs/>
          <w:szCs w:val="24"/>
        </w:rPr>
        <w:t>注：</w:t>
      </w:r>
      <w:r>
        <w:rPr>
          <w:rFonts w:hint="eastAsia"/>
        </w:rPr>
        <w:t>投标人</w:t>
      </w:r>
      <w:r>
        <w:t>法定代表人</w:t>
      </w:r>
      <w:r>
        <w:rPr>
          <w:rFonts w:hint="eastAsia"/>
        </w:rPr>
        <w:t>参加投标的，必须附</w:t>
      </w:r>
      <w:r>
        <w:rPr>
          <w:rFonts w:hint="eastAsia"/>
          <w:szCs w:val="28"/>
        </w:rPr>
        <w:t>法定代表人身份证</w:t>
      </w:r>
      <w:r>
        <w:rPr>
          <w:rFonts w:hint="eastAsia"/>
          <w:szCs w:val="21"/>
        </w:rPr>
        <w:t>扫描件并</w:t>
      </w:r>
      <w:r>
        <w:rPr>
          <w:rFonts w:hint="eastAsia"/>
          <w:szCs w:val="28"/>
        </w:rPr>
        <w:t>加盖CA电子公章</w:t>
      </w:r>
      <w:r>
        <w:rPr>
          <w:rFonts w:hint="eastAsia"/>
        </w:rPr>
        <w:t>。投标人授权其他人参加投标</w:t>
      </w:r>
      <w:r>
        <w:rPr>
          <w:rFonts w:hint="eastAsia" w:cs="Arial"/>
          <w:bCs/>
          <w:szCs w:val="24"/>
        </w:rPr>
        <w:t>的，仅需填写“授权委托书”。</w:t>
      </w:r>
    </w:p>
    <w:p w14:paraId="28A42AE7">
      <w:pPr>
        <w:wordWrap w:val="0"/>
        <w:adjustRightInd w:val="0"/>
        <w:snapToGrid w:val="0"/>
        <w:outlineLvl w:val="2"/>
        <w:rPr>
          <w:rFonts w:cs="Arial"/>
          <w:b/>
          <w:bCs/>
          <w:sz w:val="32"/>
          <w:szCs w:val="24"/>
        </w:rPr>
      </w:pPr>
      <w:r>
        <w:rPr>
          <w:sz w:val="20"/>
          <w:szCs w:val="20"/>
        </w:rPr>
        <w:br w:type="page"/>
      </w:r>
      <w:bookmarkStart w:id="282" w:name="_Toc57992255"/>
      <w:bookmarkStart w:id="283" w:name="_Toc394695629"/>
      <w:bookmarkStart w:id="284" w:name="_Toc57991723"/>
      <w:bookmarkStart w:id="285" w:name="_Toc57992407"/>
      <w:r>
        <w:rPr>
          <w:rFonts w:hint="eastAsia" w:cs="Arial"/>
          <w:b/>
          <w:bCs/>
          <w:sz w:val="32"/>
          <w:szCs w:val="24"/>
        </w:rPr>
        <w:t>示范格式二</w:t>
      </w:r>
      <w:bookmarkEnd w:id="282"/>
      <w:bookmarkEnd w:id="283"/>
      <w:bookmarkEnd w:id="284"/>
      <w:bookmarkEnd w:id="285"/>
    </w:p>
    <w:p w14:paraId="3D0E9784">
      <w:pPr>
        <w:wordWrap w:val="0"/>
        <w:adjustRightInd w:val="0"/>
        <w:snapToGrid w:val="0"/>
        <w:rPr>
          <w:rFonts w:cs="Arial"/>
          <w:bCs/>
          <w:szCs w:val="24"/>
        </w:rPr>
      </w:pPr>
    </w:p>
    <w:p w14:paraId="73D7743F">
      <w:pPr>
        <w:wordWrap w:val="0"/>
        <w:adjustRightInd w:val="0"/>
        <w:snapToGrid w:val="0"/>
        <w:jc w:val="center"/>
        <w:rPr>
          <w:szCs w:val="21"/>
        </w:rPr>
      </w:pPr>
      <w:bookmarkStart w:id="286" w:name="_Toc144974861"/>
      <w:bookmarkStart w:id="287" w:name="_Toc152045792"/>
      <w:bookmarkStart w:id="288" w:name="_Toc179632812"/>
      <w:bookmarkStart w:id="289" w:name="_Toc352708931"/>
      <w:bookmarkStart w:id="290" w:name="_Toc152042581"/>
      <w:r>
        <w:rPr>
          <w:b/>
          <w:sz w:val="30"/>
          <w:szCs w:val="30"/>
        </w:rPr>
        <w:t>授权委托书</w:t>
      </w:r>
      <w:bookmarkEnd w:id="286"/>
      <w:bookmarkEnd w:id="287"/>
      <w:bookmarkEnd w:id="288"/>
      <w:bookmarkEnd w:id="289"/>
      <w:bookmarkEnd w:id="290"/>
    </w:p>
    <w:p w14:paraId="2B93982A">
      <w:pPr>
        <w:wordWrap w:val="0"/>
        <w:adjustRightInd w:val="0"/>
        <w:snapToGrid w:val="0"/>
        <w:rPr>
          <w:rFonts w:cs="Arial"/>
          <w:bCs/>
          <w:szCs w:val="24"/>
        </w:rPr>
      </w:pPr>
    </w:p>
    <w:p w14:paraId="58413FB9">
      <w:pPr>
        <w:wordWrap w:val="0"/>
        <w:adjustRightInd w:val="0"/>
        <w:snapToGrid w:val="0"/>
        <w:rPr>
          <w:szCs w:val="21"/>
        </w:rPr>
      </w:pPr>
      <w:r>
        <w:rPr>
          <w:rFonts w:hint="eastAsia"/>
          <w:szCs w:val="21"/>
        </w:rPr>
        <w:t>致</w:t>
      </w:r>
      <w:r>
        <w:rPr>
          <w:rFonts w:hint="eastAsia"/>
        </w:rPr>
        <w:t>淮安市淮安医院</w:t>
      </w:r>
      <w:r>
        <w:rPr>
          <w:rFonts w:hint="eastAsia"/>
          <w:szCs w:val="21"/>
        </w:rPr>
        <w:t>：</w:t>
      </w:r>
    </w:p>
    <w:p w14:paraId="5A368C73">
      <w:pPr>
        <w:wordWrap w:val="0"/>
        <w:adjustRightInd w:val="0"/>
        <w:snapToGrid w:val="0"/>
        <w:rPr>
          <w:szCs w:val="28"/>
        </w:rPr>
      </w:pPr>
      <w:r>
        <w:rPr>
          <w:rFonts w:hint="eastAsia"/>
          <w:szCs w:val="28"/>
        </w:rPr>
        <w:t>本授权书宣告：</w:t>
      </w:r>
    </w:p>
    <w:p w14:paraId="79B6F55C">
      <w:pPr>
        <w:wordWrap w:val="0"/>
        <w:adjustRightInd w:val="0"/>
        <w:snapToGrid w:val="0"/>
        <w:rPr>
          <w:szCs w:val="28"/>
        </w:rPr>
      </w:pPr>
      <w:r>
        <w:rPr>
          <w:rFonts w:hint="eastAsia"/>
          <w:szCs w:val="28"/>
        </w:rPr>
        <w:t>委托方：</w:t>
      </w:r>
      <w:r>
        <w:rPr>
          <w:rFonts w:hint="eastAsia"/>
          <w:szCs w:val="28"/>
          <w:u w:val="single"/>
        </w:rPr>
        <w:t xml:space="preserve">            </w:t>
      </w:r>
      <w:r>
        <w:rPr>
          <w:rFonts w:hint="eastAsia"/>
          <w:szCs w:val="28"/>
        </w:rPr>
        <w:t>地址：</w:t>
      </w:r>
      <w:r>
        <w:rPr>
          <w:rFonts w:hint="eastAsia"/>
          <w:szCs w:val="28"/>
          <w:u w:val="single"/>
        </w:rPr>
        <w:t xml:space="preserve">            </w:t>
      </w:r>
    </w:p>
    <w:p w14:paraId="7AEFC59A">
      <w:pPr>
        <w:wordWrap w:val="0"/>
        <w:adjustRightInd w:val="0"/>
        <w:snapToGrid w:val="0"/>
        <w:rPr>
          <w:szCs w:val="28"/>
          <w:u w:val="single"/>
        </w:rPr>
      </w:pPr>
      <w:r>
        <w:rPr>
          <w:rFonts w:hint="eastAsia"/>
          <w:szCs w:val="28"/>
        </w:rPr>
        <w:t>法定代表人：</w:t>
      </w:r>
      <w:r>
        <w:rPr>
          <w:rFonts w:hint="eastAsia"/>
          <w:szCs w:val="28"/>
          <w:u w:val="single"/>
        </w:rPr>
        <w:t xml:space="preserve">          </w:t>
      </w:r>
    </w:p>
    <w:p w14:paraId="5B7C9676">
      <w:pPr>
        <w:wordWrap w:val="0"/>
        <w:adjustRightInd w:val="0"/>
        <w:snapToGrid w:val="0"/>
        <w:rPr>
          <w:szCs w:val="28"/>
        </w:rPr>
      </w:pPr>
      <w:r>
        <w:rPr>
          <w:rFonts w:hint="eastAsia"/>
          <w:szCs w:val="28"/>
        </w:rPr>
        <w:t>受托人：姓名</w:t>
      </w:r>
      <w:r>
        <w:rPr>
          <w:rFonts w:hint="eastAsia"/>
          <w:szCs w:val="28"/>
          <w:u w:val="single"/>
        </w:rPr>
        <w:t xml:space="preserve">      </w:t>
      </w:r>
      <w:r>
        <w:rPr>
          <w:rFonts w:hint="eastAsia"/>
          <w:szCs w:val="28"/>
        </w:rPr>
        <w:t xml:space="preserve"> 性别：</w:t>
      </w:r>
      <w:r>
        <w:rPr>
          <w:rFonts w:hint="eastAsia"/>
          <w:szCs w:val="28"/>
          <w:u w:val="single"/>
        </w:rPr>
        <w:t xml:space="preserve">    </w:t>
      </w:r>
      <w:r>
        <w:rPr>
          <w:rFonts w:hint="eastAsia"/>
          <w:szCs w:val="28"/>
        </w:rPr>
        <w:t xml:space="preserve"> 出生日期：</w:t>
      </w:r>
      <w:r>
        <w:rPr>
          <w:szCs w:val="21"/>
          <w:u w:val="single"/>
        </w:rPr>
        <w:t xml:space="preserve">          </w:t>
      </w:r>
      <w:r>
        <w:rPr>
          <w:szCs w:val="21"/>
        </w:rPr>
        <w:t>年</w:t>
      </w:r>
      <w:r>
        <w:rPr>
          <w:szCs w:val="21"/>
          <w:u w:val="single"/>
        </w:rPr>
        <w:t xml:space="preserve">    </w:t>
      </w:r>
      <w:r>
        <w:rPr>
          <w:szCs w:val="21"/>
        </w:rPr>
        <w:t>月</w:t>
      </w:r>
      <w:r>
        <w:rPr>
          <w:szCs w:val="21"/>
          <w:u w:val="single"/>
        </w:rPr>
        <w:t xml:space="preserve">    </w:t>
      </w:r>
      <w:r>
        <w:rPr>
          <w:szCs w:val="21"/>
        </w:rPr>
        <w:t>日</w:t>
      </w:r>
    </w:p>
    <w:p w14:paraId="55A50DE6">
      <w:pPr>
        <w:wordWrap w:val="0"/>
        <w:adjustRightInd w:val="0"/>
        <w:snapToGrid w:val="0"/>
        <w:rPr>
          <w:szCs w:val="28"/>
        </w:rPr>
      </w:pPr>
      <w:r>
        <w:rPr>
          <w:rFonts w:hint="eastAsia"/>
          <w:szCs w:val="28"/>
        </w:rPr>
        <w:t>所在单位：</w:t>
      </w:r>
      <w:r>
        <w:rPr>
          <w:rFonts w:hint="eastAsia"/>
          <w:szCs w:val="28"/>
          <w:u w:val="single"/>
        </w:rPr>
        <w:t xml:space="preserve">                </w:t>
      </w:r>
      <w:r>
        <w:rPr>
          <w:rFonts w:hint="eastAsia"/>
          <w:szCs w:val="28"/>
        </w:rPr>
        <w:t>职务：</w:t>
      </w:r>
      <w:r>
        <w:rPr>
          <w:rFonts w:hint="eastAsia"/>
          <w:szCs w:val="28"/>
          <w:u w:val="single"/>
        </w:rPr>
        <w:t xml:space="preserve">           </w:t>
      </w:r>
    </w:p>
    <w:p w14:paraId="38131303">
      <w:pPr>
        <w:wordWrap w:val="0"/>
        <w:adjustRightInd w:val="0"/>
        <w:snapToGrid w:val="0"/>
        <w:rPr>
          <w:szCs w:val="28"/>
        </w:rPr>
      </w:pPr>
      <w:r>
        <w:rPr>
          <w:rFonts w:hint="eastAsia"/>
          <w:szCs w:val="28"/>
        </w:rPr>
        <w:t>身</w:t>
      </w:r>
      <w:r>
        <w:rPr>
          <w:szCs w:val="28"/>
        </w:rPr>
        <w:t xml:space="preserve"> </w:t>
      </w:r>
      <w:r>
        <w:rPr>
          <w:rFonts w:hint="eastAsia"/>
          <w:szCs w:val="28"/>
        </w:rPr>
        <w:t>份</w:t>
      </w:r>
      <w:r>
        <w:rPr>
          <w:szCs w:val="28"/>
        </w:rPr>
        <w:t xml:space="preserve"> </w:t>
      </w:r>
      <w:r>
        <w:rPr>
          <w:rFonts w:hint="eastAsia"/>
          <w:szCs w:val="28"/>
        </w:rPr>
        <w:t>证：</w:t>
      </w:r>
      <w:r>
        <w:rPr>
          <w:rFonts w:hint="eastAsia"/>
          <w:szCs w:val="28"/>
          <w:u w:val="single"/>
        </w:rPr>
        <w:t xml:space="preserve">                </w:t>
      </w:r>
      <w:r>
        <w:rPr>
          <w:rFonts w:hint="eastAsia"/>
          <w:szCs w:val="28"/>
        </w:rPr>
        <w:t>联系方式：</w:t>
      </w:r>
      <w:r>
        <w:rPr>
          <w:rFonts w:hint="eastAsia"/>
          <w:szCs w:val="28"/>
          <w:u w:val="single"/>
        </w:rPr>
        <w:t xml:space="preserve"> </w:t>
      </w:r>
      <w:r>
        <w:rPr>
          <w:szCs w:val="28"/>
          <w:u w:val="single"/>
        </w:rPr>
        <w:t xml:space="preserve"> </w:t>
      </w:r>
      <w:r>
        <w:rPr>
          <w:rFonts w:hint="eastAsia"/>
          <w:szCs w:val="28"/>
          <w:u w:val="single"/>
        </w:rPr>
        <w:t xml:space="preserve">     </w:t>
      </w:r>
    </w:p>
    <w:p w14:paraId="4ECD277D">
      <w:pPr>
        <w:wordWrap w:val="0"/>
        <w:adjustRightInd w:val="0"/>
        <w:snapToGrid w:val="0"/>
        <w:rPr>
          <w:rFonts w:cs="Arial"/>
          <w:bCs/>
          <w:szCs w:val="24"/>
        </w:rPr>
      </w:pPr>
    </w:p>
    <w:p w14:paraId="2F70D89A">
      <w:pPr>
        <w:wordWrap w:val="0"/>
        <w:adjustRightInd w:val="0"/>
        <w:snapToGrid w:val="0"/>
        <w:ind w:firstLine="480" w:firstLineChars="200"/>
        <w:rPr>
          <w:szCs w:val="21"/>
        </w:rPr>
      </w:pPr>
      <w:r>
        <w:rPr>
          <w:rFonts w:hint="eastAsia"/>
          <w:szCs w:val="21"/>
        </w:rPr>
        <w:t>兹委托受托人</w:t>
      </w:r>
      <w:r>
        <w:rPr>
          <w:szCs w:val="21"/>
          <w:u w:val="single"/>
        </w:rPr>
        <w:t xml:space="preserve">      </w:t>
      </w:r>
      <w:r>
        <w:rPr>
          <w:rFonts w:hint="eastAsia"/>
          <w:szCs w:val="21"/>
        </w:rPr>
        <w:t>代表我公司参加江苏阳光建设项目管理有限公司组织的（项目编号：</w:t>
      </w:r>
      <w:r>
        <w:rPr>
          <w:rFonts w:hint="eastAsia"/>
          <w:szCs w:val="21"/>
          <w:u w:val="single"/>
        </w:rPr>
        <w:t xml:space="preserve">           </w:t>
      </w:r>
      <w:r>
        <w:rPr>
          <w:rFonts w:hint="eastAsia"/>
          <w:szCs w:val="21"/>
        </w:rPr>
        <w:t>）</w:t>
      </w:r>
      <w:r>
        <w:rPr>
          <w:rFonts w:hint="eastAsia"/>
          <w:szCs w:val="21"/>
          <w:u w:val="single"/>
        </w:rPr>
        <w:t xml:space="preserve">    </w:t>
      </w:r>
      <w:r>
        <w:rPr>
          <w:szCs w:val="21"/>
          <w:u w:val="single"/>
        </w:rPr>
        <w:t xml:space="preserve">                    </w:t>
      </w:r>
      <w:r>
        <w:rPr>
          <w:rFonts w:hint="eastAsia"/>
          <w:szCs w:val="21"/>
        </w:rPr>
        <w:t>采购项目的政府采购活动，受托人有权在该招标活动中，以我单位的名义签署投标函和投标文件，与采购人</w:t>
      </w:r>
      <w:r>
        <w:rPr>
          <w:rFonts w:hint="eastAsia"/>
        </w:rPr>
        <w:t>、采购代理机构</w:t>
      </w:r>
      <w:r>
        <w:rPr>
          <w:rFonts w:hint="eastAsia"/>
          <w:szCs w:val="21"/>
        </w:rPr>
        <w:t>协商、澄清、解释，签订合同书并执行一切与此有关的事项。</w:t>
      </w:r>
    </w:p>
    <w:p w14:paraId="17325EE5">
      <w:pPr>
        <w:wordWrap w:val="0"/>
        <w:adjustRightInd w:val="0"/>
        <w:snapToGrid w:val="0"/>
        <w:ind w:firstLine="480" w:firstLineChars="200"/>
        <w:rPr>
          <w:szCs w:val="21"/>
        </w:rPr>
      </w:pPr>
      <w:r>
        <w:rPr>
          <w:rFonts w:hint="eastAsia"/>
          <w:szCs w:val="21"/>
        </w:rPr>
        <w:t>受托人在办理上述事宜过程中以其自己的名义所签署的所有文件我公司均予以承认。受托人无转委托权。</w:t>
      </w:r>
    </w:p>
    <w:p w14:paraId="026F2D98">
      <w:pPr>
        <w:wordWrap w:val="0"/>
        <w:adjustRightInd w:val="0"/>
        <w:snapToGrid w:val="0"/>
        <w:ind w:firstLine="480" w:firstLineChars="200"/>
        <w:rPr>
          <w:szCs w:val="21"/>
        </w:rPr>
      </w:pPr>
      <w:r>
        <w:rPr>
          <w:rFonts w:hint="eastAsia"/>
          <w:szCs w:val="21"/>
        </w:rPr>
        <w:t>委托期限：至上述事宜处理完毕止。</w:t>
      </w:r>
    </w:p>
    <w:p w14:paraId="7E34CEBF">
      <w:pPr>
        <w:wordWrap w:val="0"/>
        <w:adjustRightInd w:val="0"/>
        <w:snapToGrid w:val="0"/>
        <w:ind w:firstLine="480" w:firstLineChars="200"/>
        <w:rPr>
          <w:szCs w:val="21"/>
        </w:rPr>
      </w:pPr>
    </w:p>
    <w:p w14:paraId="4AEC6DE0">
      <w:pPr>
        <w:wordWrap w:val="0"/>
        <w:adjustRightInd w:val="0"/>
        <w:snapToGrid w:val="0"/>
        <w:ind w:firstLine="480" w:firstLineChars="200"/>
        <w:rPr>
          <w:szCs w:val="21"/>
        </w:rPr>
      </w:pPr>
    </w:p>
    <w:p w14:paraId="6B3FF7EC">
      <w:pPr>
        <w:wordWrap w:val="0"/>
        <w:adjustRightInd w:val="0"/>
        <w:snapToGrid w:val="0"/>
        <w:ind w:firstLine="2400" w:firstLineChars="1000"/>
        <w:rPr>
          <w:szCs w:val="21"/>
        </w:rPr>
      </w:pPr>
      <w:r>
        <w:rPr>
          <w:rFonts w:hint="eastAsia"/>
          <w:szCs w:val="21"/>
        </w:rPr>
        <w:t>投标人</w:t>
      </w:r>
      <w:r>
        <w:rPr>
          <w:szCs w:val="21"/>
        </w:rPr>
        <w:t>：</w:t>
      </w:r>
      <w:r>
        <w:rPr>
          <w:szCs w:val="21"/>
          <w:u w:val="single"/>
        </w:rPr>
        <w:t xml:space="preserve">        </w:t>
      </w:r>
      <w:r>
        <w:rPr>
          <w:rFonts w:hint="eastAsia"/>
          <w:i/>
          <w:szCs w:val="24"/>
          <w:u w:val="single"/>
        </w:rPr>
        <w:t>（CA电子公章）</w:t>
      </w:r>
      <w:r>
        <w:rPr>
          <w:szCs w:val="21"/>
          <w:u w:val="single"/>
        </w:rPr>
        <w:t xml:space="preserve">         </w:t>
      </w:r>
    </w:p>
    <w:p w14:paraId="101718DD">
      <w:pPr>
        <w:wordWrap w:val="0"/>
        <w:adjustRightInd w:val="0"/>
        <w:snapToGrid w:val="0"/>
        <w:ind w:firstLine="2400" w:firstLineChars="1000"/>
        <w:rPr>
          <w:bCs/>
          <w:szCs w:val="24"/>
        </w:rPr>
      </w:pPr>
      <w:r>
        <w:rPr>
          <w:rFonts w:hint="eastAsia"/>
          <w:szCs w:val="24"/>
        </w:rPr>
        <w:t>日期：</w:t>
      </w:r>
      <w:r>
        <w:rPr>
          <w:szCs w:val="21"/>
          <w:u w:val="single"/>
        </w:rPr>
        <w:t xml:space="preserve">          </w:t>
      </w:r>
      <w:r>
        <w:rPr>
          <w:szCs w:val="21"/>
        </w:rPr>
        <w:t>年</w:t>
      </w:r>
      <w:r>
        <w:rPr>
          <w:szCs w:val="21"/>
          <w:u w:val="single"/>
        </w:rPr>
        <w:t xml:space="preserve">    </w:t>
      </w:r>
      <w:r>
        <w:rPr>
          <w:szCs w:val="21"/>
        </w:rPr>
        <w:t>月</w:t>
      </w:r>
      <w:r>
        <w:rPr>
          <w:szCs w:val="21"/>
          <w:u w:val="single"/>
        </w:rPr>
        <w:t xml:space="preserve">    </w:t>
      </w:r>
      <w:r>
        <w:rPr>
          <w:szCs w:val="21"/>
        </w:rPr>
        <w:t>日</w:t>
      </w:r>
    </w:p>
    <w:p w14:paraId="6121A123">
      <w:pPr>
        <w:wordWrap w:val="0"/>
        <w:adjustRightInd w:val="0"/>
        <w:snapToGrid w:val="0"/>
        <w:rPr>
          <w:rFonts w:cs="Arial"/>
          <w:bCs/>
          <w:szCs w:val="24"/>
        </w:rPr>
      </w:pPr>
    </w:p>
    <w:p w14:paraId="622FA729">
      <w:pPr>
        <w:wordWrap w:val="0"/>
        <w:adjustRightInd w:val="0"/>
        <w:snapToGrid w:val="0"/>
        <w:rPr>
          <w:rFonts w:cs="Arial"/>
          <w:bCs/>
          <w:szCs w:val="24"/>
        </w:rPr>
      </w:pPr>
      <w:r>
        <w:rPr>
          <w:rFonts w:hint="eastAsia" w:cs="Arial"/>
          <w:bCs/>
          <w:szCs w:val="24"/>
        </w:rPr>
        <w:t>注：</w:t>
      </w:r>
      <w:r>
        <w:rPr>
          <w:rFonts w:hint="eastAsia"/>
        </w:rPr>
        <w:t>投标人</w:t>
      </w:r>
      <w:r>
        <w:rPr>
          <w:rFonts w:hint="eastAsia"/>
          <w:szCs w:val="21"/>
        </w:rPr>
        <w:t>委托受托人</w:t>
      </w:r>
      <w:r>
        <w:rPr>
          <w:rFonts w:hint="eastAsia"/>
        </w:rPr>
        <w:t>参加投标</w:t>
      </w:r>
      <w:r>
        <w:rPr>
          <w:rFonts w:hint="eastAsia" w:cs="Arial"/>
          <w:bCs/>
          <w:szCs w:val="24"/>
        </w:rPr>
        <w:t>的，</w:t>
      </w:r>
      <w:r>
        <w:rPr>
          <w:rFonts w:hint="eastAsia"/>
        </w:rPr>
        <w:t>必须附</w:t>
      </w:r>
      <w:r>
        <w:rPr>
          <w:rFonts w:hint="eastAsia"/>
          <w:szCs w:val="21"/>
        </w:rPr>
        <w:t>受托人</w:t>
      </w:r>
      <w:r>
        <w:rPr>
          <w:rFonts w:hint="eastAsia"/>
          <w:szCs w:val="28"/>
        </w:rPr>
        <w:t>身份证</w:t>
      </w:r>
      <w:r>
        <w:rPr>
          <w:rFonts w:hint="eastAsia"/>
          <w:szCs w:val="21"/>
        </w:rPr>
        <w:t>扫描件并</w:t>
      </w:r>
      <w:r>
        <w:rPr>
          <w:rFonts w:hint="eastAsia"/>
          <w:szCs w:val="28"/>
        </w:rPr>
        <w:t>加盖CA电子公章</w:t>
      </w:r>
      <w:r>
        <w:rPr>
          <w:rFonts w:hint="eastAsia" w:cs="Arial"/>
          <w:bCs/>
          <w:szCs w:val="24"/>
        </w:rPr>
        <w:t>。法定代表人直接</w:t>
      </w:r>
      <w:r>
        <w:rPr>
          <w:rFonts w:hint="eastAsia"/>
        </w:rPr>
        <w:t>参加投标</w:t>
      </w:r>
      <w:r>
        <w:rPr>
          <w:rFonts w:hint="eastAsia" w:cs="Arial"/>
          <w:bCs/>
          <w:szCs w:val="24"/>
        </w:rPr>
        <w:t>的，仅需填写“法定代表人资格证明”。</w:t>
      </w:r>
    </w:p>
    <w:p w14:paraId="592CBBDD">
      <w:pPr>
        <w:wordWrap w:val="0"/>
        <w:adjustRightInd w:val="0"/>
        <w:snapToGrid w:val="0"/>
        <w:outlineLvl w:val="2"/>
        <w:rPr>
          <w:rFonts w:cs="Arial"/>
          <w:b/>
          <w:bCs/>
          <w:sz w:val="32"/>
          <w:szCs w:val="24"/>
        </w:rPr>
      </w:pPr>
      <w:r>
        <w:rPr>
          <w:rFonts w:cs="Arial"/>
          <w:bCs/>
          <w:szCs w:val="24"/>
        </w:rPr>
        <w:br w:type="page"/>
      </w:r>
      <w:bookmarkStart w:id="291" w:name="_Toc57992257"/>
      <w:bookmarkStart w:id="292" w:name="_Toc57991725"/>
      <w:bookmarkStart w:id="293" w:name="_Toc57992409"/>
      <w:r>
        <w:rPr>
          <w:rFonts w:hint="eastAsia" w:cs="Arial"/>
          <w:b/>
          <w:bCs/>
          <w:sz w:val="32"/>
          <w:szCs w:val="24"/>
        </w:rPr>
        <w:t>示范格式</w:t>
      </w:r>
      <w:bookmarkEnd w:id="291"/>
      <w:bookmarkEnd w:id="292"/>
      <w:bookmarkEnd w:id="293"/>
      <w:r>
        <w:rPr>
          <w:rFonts w:hint="eastAsia" w:cs="Arial"/>
          <w:b/>
          <w:bCs/>
          <w:sz w:val="32"/>
          <w:szCs w:val="24"/>
        </w:rPr>
        <w:t>三</w:t>
      </w:r>
    </w:p>
    <w:p w14:paraId="243003AD">
      <w:pPr>
        <w:wordWrap w:val="0"/>
        <w:adjustRightInd w:val="0"/>
        <w:snapToGrid w:val="0"/>
        <w:rPr>
          <w:szCs w:val="21"/>
        </w:rPr>
      </w:pPr>
    </w:p>
    <w:p w14:paraId="6109B706">
      <w:pPr>
        <w:wordWrap w:val="0"/>
        <w:adjustRightInd w:val="0"/>
        <w:snapToGrid w:val="0"/>
        <w:jc w:val="center"/>
        <w:rPr>
          <w:b/>
          <w:sz w:val="30"/>
          <w:szCs w:val="30"/>
        </w:rPr>
      </w:pPr>
      <w:r>
        <w:rPr>
          <w:rFonts w:hint="eastAsia"/>
          <w:b/>
          <w:sz w:val="30"/>
          <w:szCs w:val="30"/>
        </w:rPr>
        <w:t>符合《中华人民共和国政府采购法》第二十二条规定条件的声明函</w:t>
      </w:r>
    </w:p>
    <w:p w14:paraId="4CBF3D57">
      <w:pPr>
        <w:wordWrap w:val="0"/>
        <w:adjustRightInd w:val="0"/>
        <w:snapToGrid w:val="0"/>
        <w:rPr>
          <w:bCs/>
          <w:szCs w:val="28"/>
        </w:rPr>
      </w:pPr>
    </w:p>
    <w:p w14:paraId="5FA11C7A">
      <w:pPr>
        <w:wordWrap w:val="0"/>
        <w:adjustRightInd w:val="0"/>
        <w:snapToGrid w:val="0"/>
        <w:rPr>
          <w:szCs w:val="21"/>
        </w:rPr>
      </w:pPr>
      <w:r>
        <w:rPr>
          <w:bCs/>
          <w:szCs w:val="28"/>
        </w:rPr>
        <w:t>致</w:t>
      </w:r>
      <w:r>
        <w:rPr>
          <w:rFonts w:hint="eastAsia"/>
        </w:rPr>
        <w:t>淮安市淮安医院</w:t>
      </w:r>
      <w:r>
        <w:rPr>
          <w:rFonts w:hint="eastAsia"/>
          <w:szCs w:val="21"/>
        </w:rPr>
        <w:t>：</w:t>
      </w:r>
    </w:p>
    <w:p w14:paraId="42CE6769">
      <w:pPr>
        <w:wordWrap w:val="0"/>
        <w:adjustRightInd w:val="0"/>
        <w:snapToGrid w:val="0"/>
        <w:ind w:firstLine="480" w:firstLineChars="200"/>
        <w:rPr>
          <w:szCs w:val="24"/>
        </w:rPr>
      </w:pPr>
      <w:r>
        <w:rPr>
          <w:rFonts w:hint="eastAsia"/>
          <w:szCs w:val="24"/>
        </w:rPr>
        <w:t>我方参加贵方组织实施的（项目编号：</w:t>
      </w:r>
      <w:r>
        <w:rPr>
          <w:rFonts w:hint="eastAsia"/>
          <w:szCs w:val="24"/>
          <w:u w:val="single"/>
        </w:rPr>
        <w:t xml:space="preserve">       </w:t>
      </w:r>
      <w:r>
        <w:rPr>
          <w:szCs w:val="24"/>
          <w:u w:val="single"/>
        </w:rPr>
        <w:t xml:space="preserve">    </w:t>
      </w:r>
      <w:r>
        <w:rPr>
          <w:rFonts w:hint="eastAsia"/>
          <w:szCs w:val="24"/>
        </w:rPr>
        <w:t>）</w:t>
      </w:r>
      <w:r>
        <w:rPr>
          <w:rFonts w:hint="eastAsia"/>
          <w:szCs w:val="24"/>
          <w:u w:val="single"/>
        </w:rPr>
        <w:t xml:space="preserve">    </w:t>
      </w:r>
      <w:r>
        <w:rPr>
          <w:szCs w:val="24"/>
          <w:u w:val="single"/>
        </w:rPr>
        <w:t xml:space="preserve">             </w:t>
      </w:r>
      <w:r>
        <w:rPr>
          <w:rFonts w:hint="eastAsia"/>
          <w:szCs w:val="24"/>
        </w:rPr>
        <w:t>采购项目的政府采购活动。针对《中华人民共和国政府采购法》第二十二条规定做出如下声明：</w:t>
      </w:r>
    </w:p>
    <w:p w14:paraId="036200FD">
      <w:pPr>
        <w:wordWrap w:val="0"/>
        <w:adjustRightInd w:val="0"/>
        <w:snapToGrid w:val="0"/>
        <w:ind w:firstLine="480" w:firstLineChars="200"/>
        <w:rPr>
          <w:szCs w:val="28"/>
        </w:rPr>
      </w:pPr>
      <w:r>
        <w:rPr>
          <w:rFonts w:hint="eastAsia"/>
          <w:szCs w:val="28"/>
        </w:rPr>
        <w:t>1</w:t>
      </w:r>
      <w:r>
        <w:rPr>
          <w:szCs w:val="21"/>
        </w:rPr>
        <w:t>．</w:t>
      </w:r>
      <w:r>
        <w:rPr>
          <w:rFonts w:hint="eastAsia"/>
          <w:szCs w:val="28"/>
        </w:rPr>
        <w:t>具有独立承担民事责任的能力；</w:t>
      </w:r>
    </w:p>
    <w:p w14:paraId="61CC9538">
      <w:pPr>
        <w:wordWrap w:val="0"/>
        <w:adjustRightInd w:val="0"/>
        <w:snapToGrid w:val="0"/>
        <w:ind w:firstLine="480" w:firstLineChars="200"/>
        <w:rPr>
          <w:szCs w:val="28"/>
        </w:rPr>
      </w:pPr>
      <w:r>
        <w:rPr>
          <w:szCs w:val="28"/>
        </w:rPr>
        <w:t>2</w:t>
      </w:r>
      <w:r>
        <w:rPr>
          <w:szCs w:val="21"/>
        </w:rPr>
        <w:t>．</w:t>
      </w:r>
      <w:r>
        <w:rPr>
          <w:rFonts w:hint="eastAsia"/>
          <w:szCs w:val="28"/>
        </w:rPr>
        <w:t>具有良好的商业信誉和健全的财务会计制度；</w:t>
      </w:r>
    </w:p>
    <w:p w14:paraId="00855EBD">
      <w:pPr>
        <w:wordWrap w:val="0"/>
        <w:adjustRightInd w:val="0"/>
        <w:snapToGrid w:val="0"/>
        <w:ind w:firstLine="480" w:firstLineChars="200"/>
        <w:rPr>
          <w:szCs w:val="28"/>
        </w:rPr>
      </w:pPr>
      <w:r>
        <w:rPr>
          <w:szCs w:val="28"/>
        </w:rPr>
        <w:t>3</w:t>
      </w:r>
      <w:r>
        <w:rPr>
          <w:szCs w:val="21"/>
        </w:rPr>
        <w:t>．</w:t>
      </w:r>
      <w:r>
        <w:rPr>
          <w:rFonts w:hint="eastAsia"/>
          <w:szCs w:val="28"/>
        </w:rPr>
        <w:t>具有履行合同所必需的设备和专业技术能力；</w:t>
      </w:r>
    </w:p>
    <w:p w14:paraId="17902086">
      <w:pPr>
        <w:wordWrap w:val="0"/>
        <w:adjustRightInd w:val="0"/>
        <w:snapToGrid w:val="0"/>
        <w:ind w:firstLine="480" w:firstLineChars="200"/>
        <w:rPr>
          <w:szCs w:val="28"/>
        </w:rPr>
      </w:pPr>
      <w:r>
        <w:rPr>
          <w:szCs w:val="28"/>
        </w:rPr>
        <w:t>4</w:t>
      </w:r>
      <w:r>
        <w:rPr>
          <w:szCs w:val="21"/>
        </w:rPr>
        <w:t>．</w:t>
      </w:r>
      <w:r>
        <w:rPr>
          <w:rFonts w:hint="eastAsia"/>
          <w:szCs w:val="28"/>
        </w:rPr>
        <w:t>有</w:t>
      </w:r>
      <w:r>
        <w:rPr>
          <w:szCs w:val="28"/>
        </w:rPr>
        <w:t>依法缴纳税收和社会保障资金</w:t>
      </w:r>
      <w:r>
        <w:rPr>
          <w:rFonts w:hint="eastAsia"/>
          <w:szCs w:val="28"/>
        </w:rPr>
        <w:t>的</w:t>
      </w:r>
      <w:r>
        <w:rPr>
          <w:szCs w:val="28"/>
        </w:rPr>
        <w:t>良好记录</w:t>
      </w:r>
      <w:r>
        <w:rPr>
          <w:rFonts w:hint="eastAsia"/>
          <w:szCs w:val="28"/>
        </w:rPr>
        <w:t>；</w:t>
      </w:r>
    </w:p>
    <w:p w14:paraId="0F3C8070">
      <w:pPr>
        <w:wordWrap w:val="0"/>
        <w:adjustRightInd w:val="0"/>
        <w:snapToGrid w:val="0"/>
        <w:ind w:firstLine="480" w:firstLineChars="200"/>
        <w:rPr>
          <w:szCs w:val="28"/>
        </w:rPr>
      </w:pPr>
      <w:r>
        <w:rPr>
          <w:szCs w:val="28"/>
        </w:rPr>
        <w:t>5</w:t>
      </w:r>
      <w:r>
        <w:rPr>
          <w:szCs w:val="21"/>
        </w:rPr>
        <w:t>．</w:t>
      </w:r>
      <w:r>
        <w:rPr>
          <w:rFonts w:hint="eastAsia"/>
          <w:szCs w:val="28"/>
        </w:rPr>
        <w:t>参加本次政府采购活动前三年内，在经营活动中没有因违法经营受到刑事处罚或者责令停产停业、吊销许可证或者执照、较大数额罚款等行政处罚；</w:t>
      </w:r>
    </w:p>
    <w:p w14:paraId="1F17F9CE">
      <w:pPr>
        <w:wordWrap w:val="0"/>
        <w:adjustRightInd w:val="0"/>
        <w:snapToGrid w:val="0"/>
        <w:ind w:firstLine="480" w:firstLineChars="200"/>
        <w:rPr>
          <w:szCs w:val="28"/>
        </w:rPr>
      </w:pPr>
      <w:r>
        <w:rPr>
          <w:rFonts w:hint="eastAsia"/>
          <w:szCs w:val="28"/>
        </w:rPr>
        <w:t>6</w:t>
      </w:r>
      <w:r>
        <w:rPr>
          <w:szCs w:val="21"/>
        </w:rPr>
        <w:t>．</w:t>
      </w:r>
      <w:r>
        <w:rPr>
          <w:rFonts w:hint="eastAsia"/>
          <w:szCs w:val="21"/>
        </w:rPr>
        <w:t>满足</w:t>
      </w:r>
      <w:r>
        <w:rPr>
          <w:rFonts w:hint="eastAsia"/>
          <w:szCs w:val="28"/>
        </w:rPr>
        <w:t>法律、行政法规规定的其他条件。</w:t>
      </w:r>
    </w:p>
    <w:p w14:paraId="75D71D00">
      <w:pPr>
        <w:wordWrap w:val="0"/>
        <w:adjustRightInd w:val="0"/>
        <w:snapToGrid w:val="0"/>
        <w:ind w:firstLine="480" w:firstLineChars="200"/>
        <w:rPr>
          <w:szCs w:val="28"/>
        </w:rPr>
      </w:pPr>
    </w:p>
    <w:p w14:paraId="5880844B">
      <w:pPr>
        <w:wordWrap w:val="0"/>
        <w:adjustRightInd w:val="0"/>
        <w:snapToGrid w:val="0"/>
        <w:ind w:firstLine="480" w:firstLineChars="200"/>
        <w:rPr>
          <w:szCs w:val="28"/>
        </w:rPr>
      </w:pPr>
    </w:p>
    <w:p w14:paraId="55601A12">
      <w:pPr>
        <w:wordWrap w:val="0"/>
        <w:adjustRightInd w:val="0"/>
        <w:snapToGrid w:val="0"/>
        <w:ind w:firstLine="2400" w:firstLineChars="1000"/>
        <w:rPr>
          <w:rFonts w:cs="楷体_GB2312"/>
          <w:szCs w:val="28"/>
          <w:lang w:val="zh-CN"/>
        </w:rPr>
      </w:pPr>
      <w:r>
        <w:rPr>
          <w:rFonts w:hint="eastAsia" w:cs="楷体_GB2312"/>
          <w:szCs w:val="28"/>
          <w:lang w:val="zh-CN"/>
        </w:rPr>
        <w:t>承诺人：</w:t>
      </w:r>
      <w:r>
        <w:rPr>
          <w:rFonts w:hint="eastAsia"/>
          <w:szCs w:val="24"/>
          <w:u w:val="single"/>
        </w:rPr>
        <w:t xml:space="preserve">      </w:t>
      </w:r>
      <w:r>
        <w:rPr>
          <w:rFonts w:hint="eastAsia"/>
          <w:i/>
          <w:szCs w:val="24"/>
          <w:u w:val="single"/>
        </w:rPr>
        <w:t>（CA电子公章）</w:t>
      </w:r>
      <w:r>
        <w:rPr>
          <w:szCs w:val="24"/>
          <w:u w:val="single"/>
        </w:rPr>
        <w:t xml:space="preserve">  </w:t>
      </w:r>
      <w:r>
        <w:rPr>
          <w:rFonts w:hint="eastAsia"/>
          <w:szCs w:val="24"/>
          <w:u w:val="single"/>
        </w:rPr>
        <w:t xml:space="preserve">     </w:t>
      </w:r>
    </w:p>
    <w:p w14:paraId="62D502CC">
      <w:pPr>
        <w:wordWrap w:val="0"/>
        <w:adjustRightInd w:val="0"/>
        <w:snapToGrid w:val="0"/>
        <w:ind w:firstLine="2400" w:firstLineChars="1000"/>
        <w:rPr>
          <w:rFonts w:cs="楷体_GB2312"/>
          <w:szCs w:val="28"/>
          <w:lang w:val="zh-CN"/>
        </w:rPr>
      </w:pPr>
      <w:r>
        <w:rPr>
          <w:rFonts w:hint="eastAsia" w:cs="楷体_GB2312"/>
          <w:szCs w:val="28"/>
          <w:lang w:val="zh-CN"/>
        </w:rPr>
        <w:t>日期：</w:t>
      </w:r>
      <w:r>
        <w:rPr>
          <w:rFonts w:cs="楷体_GB2312"/>
          <w:szCs w:val="28"/>
          <w:u w:val="single"/>
          <w:lang w:val="zh-CN"/>
        </w:rPr>
        <w:t xml:space="preserve">        </w:t>
      </w:r>
      <w:r>
        <w:rPr>
          <w:rFonts w:hint="eastAsia" w:cs="楷体_GB2312"/>
          <w:szCs w:val="28"/>
          <w:lang w:val="zh-CN"/>
        </w:rPr>
        <w:t>年</w:t>
      </w:r>
      <w:r>
        <w:rPr>
          <w:rFonts w:cs="楷体_GB2312"/>
          <w:szCs w:val="28"/>
          <w:u w:val="single"/>
          <w:lang w:val="zh-CN"/>
        </w:rPr>
        <w:t xml:space="preserve">     </w:t>
      </w:r>
      <w:r>
        <w:rPr>
          <w:rFonts w:hint="eastAsia" w:cs="楷体_GB2312"/>
          <w:szCs w:val="28"/>
          <w:lang w:val="zh-CN"/>
        </w:rPr>
        <w:t>月</w:t>
      </w:r>
      <w:r>
        <w:rPr>
          <w:rFonts w:cs="楷体_GB2312"/>
          <w:szCs w:val="28"/>
          <w:u w:val="single"/>
          <w:lang w:val="zh-CN"/>
        </w:rPr>
        <w:t xml:space="preserve">     </w:t>
      </w:r>
      <w:r>
        <w:rPr>
          <w:rFonts w:hint="eastAsia" w:cs="楷体_GB2312"/>
          <w:szCs w:val="28"/>
          <w:lang w:val="zh-CN"/>
        </w:rPr>
        <w:t>日</w:t>
      </w:r>
    </w:p>
    <w:p w14:paraId="20D93948">
      <w:pPr>
        <w:wordWrap w:val="0"/>
        <w:adjustRightInd w:val="0"/>
        <w:snapToGrid w:val="0"/>
        <w:outlineLvl w:val="2"/>
        <w:rPr>
          <w:rFonts w:cs="Arial"/>
          <w:b/>
          <w:bCs/>
          <w:sz w:val="32"/>
          <w:szCs w:val="24"/>
        </w:rPr>
      </w:pPr>
      <w:r>
        <w:rPr>
          <w:rFonts w:cs="Arial"/>
          <w:bCs/>
          <w:szCs w:val="24"/>
        </w:rPr>
        <w:br w:type="page"/>
      </w:r>
      <w:r>
        <w:rPr>
          <w:rFonts w:hint="eastAsia" w:cs="Arial"/>
          <w:b/>
          <w:bCs/>
          <w:sz w:val="32"/>
          <w:szCs w:val="24"/>
        </w:rPr>
        <w:t>示范格式四</w:t>
      </w:r>
    </w:p>
    <w:p w14:paraId="48774B95">
      <w:pPr>
        <w:wordWrap w:val="0"/>
        <w:adjustRightInd w:val="0"/>
        <w:snapToGrid w:val="0"/>
        <w:rPr>
          <w:szCs w:val="21"/>
        </w:rPr>
      </w:pPr>
    </w:p>
    <w:p w14:paraId="239B7776">
      <w:pPr>
        <w:wordWrap w:val="0"/>
        <w:adjustRightInd w:val="0"/>
        <w:snapToGrid w:val="0"/>
        <w:jc w:val="center"/>
        <w:rPr>
          <w:b/>
          <w:sz w:val="30"/>
          <w:szCs w:val="30"/>
        </w:rPr>
      </w:pPr>
      <w:r>
        <w:rPr>
          <w:rFonts w:hint="eastAsia"/>
          <w:b/>
          <w:sz w:val="30"/>
          <w:szCs w:val="30"/>
        </w:rPr>
        <w:t>诚信承诺书</w:t>
      </w:r>
    </w:p>
    <w:p w14:paraId="1E42A5AA">
      <w:pPr>
        <w:wordWrap w:val="0"/>
        <w:adjustRightInd w:val="0"/>
        <w:snapToGrid w:val="0"/>
        <w:rPr>
          <w:bCs/>
          <w:szCs w:val="28"/>
        </w:rPr>
      </w:pPr>
    </w:p>
    <w:p w14:paraId="7DDA1C48">
      <w:pPr>
        <w:wordWrap w:val="0"/>
        <w:adjustRightInd w:val="0"/>
        <w:snapToGrid w:val="0"/>
        <w:rPr>
          <w:szCs w:val="21"/>
        </w:rPr>
      </w:pPr>
      <w:r>
        <w:rPr>
          <w:bCs/>
          <w:szCs w:val="28"/>
        </w:rPr>
        <w:t>致</w:t>
      </w:r>
      <w:r>
        <w:rPr>
          <w:rFonts w:hint="eastAsia"/>
        </w:rPr>
        <w:t>淮安市淮安医院</w:t>
      </w:r>
      <w:r>
        <w:rPr>
          <w:rFonts w:hint="eastAsia"/>
          <w:szCs w:val="21"/>
        </w:rPr>
        <w:t>：</w:t>
      </w:r>
    </w:p>
    <w:p w14:paraId="337BF8D5">
      <w:pPr>
        <w:wordWrap w:val="0"/>
        <w:adjustRightInd w:val="0"/>
        <w:snapToGrid w:val="0"/>
        <w:ind w:firstLine="480" w:firstLineChars="200"/>
        <w:rPr>
          <w:szCs w:val="24"/>
        </w:rPr>
      </w:pPr>
      <w:r>
        <w:rPr>
          <w:rFonts w:hint="eastAsia"/>
          <w:szCs w:val="24"/>
        </w:rPr>
        <w:t>我方参加贵方组织实施的（项目编号：</w:t>
      </w:r>
      <w:r>
        <w:rPr>
          <w:rFonts w:hint="eastAsia"/>
          <w:szCs w:val="24"/>
          <w:u w:val="single"/>
        </w:rPr>
        <w:t xml:space="preserve">       </w:t>
      </w:r>
      <w:r>
        <w:rPr>
          <w:szCs w:val="24"/>
          <w:u w:val="single"/>
        </w:rPr>
        <w:t xml:space="preserve">    </w:t>
      </w:r>
      <w:r>
        <w:rPr>
          <w:rFonts w:hint="eastAsia"/>
          <w:szCs w:val="24"/>
        </w:rPr>
        <w:t>）</w:t>
      </w:r>
      <w:r>
        <w:rPr>
          <w:rFonts w:hint="eastAsia"/>
          <w:szCs w:val="24"/>
          <w:u w:val="single"/>
        </w:rPr>
        <w:t xml:space="preserve">    </w:t>
      </w:r>
      <w:r>
        <w:rPr>
          <w:szCs w:val="24"/>
          <w:u w:val="single"/>
        </w:rPr>
        <w:t xml:space="preserve">             </w:t>
      </w:r>
      <w:r>
        <w:rPr>
          <w:rFonts w:hint="eastAsia"/>
          <w:szCs w:val="24"/>
        </w:rPr>
        <w:t>采购项目的政府采购活动，我们郑重承诺如下：</w:t>
      </w:r>
    </w:p>
    <w:p w14:paraId="3605D4D4">
      <w:pPr>
        <w:wordWrap w:val="0"/>
        <w:adjustRightInd w:val="0"/>
        <w:snapToGrid w:val="0"/>
        <w:ind w:firstLine="480" w:firstLineChars="200"/>
        <w:rPr>
          <w:szCs w:val="21"/>
        </w:rPr>
      </w:pPr>
      <w:r>
        <w:rPr>
          <w:rFonts w:hint="eastAsia"/>
          <w:szCs w:val="21"/>
        </w:rPr>
        <w:t>1</w:t>
      </w:r>
      <w:r>
        <w:rPr>
          <w:szCs w:val="21"/>
        </w:rPr>
        <w:t>．</w:t>
      </w:r>
      <w:r>
        <w:rPr>
          <w:rFonts w:hint="eastAsia"/>
        </w:rPr>
        <w:t>与我方</w:t>
      </w:r>
      <w:r>
        <w:t>存在</w:t>
      </w:r>
      <w:r>
        <w:rPr>
          <w:rFonts w:hint="eastAsia"/>
        </w:rPr>
        <w:t>“</w:t>
      </w:r>
      <w:r>
        <w:rPr>
          <w:rFonts w:hint="eastAsia"/>
          <w:szCs w:val="21"/>
        </w:rPr>
        <w:t>单位负责人为同一人或者存在直接控股、管理关系</w:t>
      </w:r>
      <w:r>
        <w:rPr>
          <w:rFonts w:hint="eastAsia"/>
        </w:rPr>
        <w:t>”的其他单位信息如下（如有，不论其是否参加同一合同项下的政府采购活动均须填写；如</w:t>
      </w:r>
      <w:r>
        <w:t>无，填写</w:t>
      </w:r>
      <w:r>
        <w:rPr>
          <w:rFonts w:hint="eastAsia"/>
        </w:rPr>
        <w:t>“无”）</w:t>
      </w:r>
      <w:r>
        <w:rPr>
          <w:rFonts w:hint="eastAsia"/>
          <w:szCs w:val="21"/>
        </w:rPr>
        <w:t>：</w:t>
      </w:r>
      <w:r>
        <w:rPr>
          <w:u w:val="single"/>
        </w:rPr>
        <w:t xml:space="preserve">                </w:t>
      </w:r>
      <w:r>
        <w:rPr>
          <w:rFonts w:hint="eastAsia"/>
        </w:rPr>
        <w:t>，</w:t>
      </w:r>
      <w:r>
        <w:rPr>
          <w:rFonts w:hint="eastAsia"/>
          <w:szCs w:val="21"/>
        </w:rPr>
        <w:t>如同时参加同一合同项下的政府采购活动，我方自愿主动退出</w:t>
      </w:r>
      <w:r>
        <w:rPr>
          <w:rFonts w:hint="eastAsia"/>
        </w:rPr>
        <w:t>；</w:t>
      </w:r>
    </w:p>
    <w:p w14:paraId="18C28D81">
      <w:pPr>
        <w:wordWrap w:val="0"/>
        <w:adjustRightInd w:val="0"/>
        <w:snapToGrid w:val="0"/>
        <w:ind w:firstLine="480" w:firstLineChars="200"/>
        <w:rPr>
          <w:szCs w:val="21"/>
        </w:rPr>
      </w:pPr>
      <w:r>
        <w:rPr>
          <w:szCs w:val="21"/>
        </w:rPr>
        <w:t>2．</w:t>
      </w:r>
      <w:r>
        <w:rPr>
          <w:rFonts w:hint="eastAsia"/>
          <w:szCs w:val="28"/>
        </w:rPr>
        <w:t>我方没有为</w:t>
      </w:r>
      <w:r>
        <w:rPr>
          <w:rFonts w:hint="eastAsia"/>
        </w:rPr>
        <w:t>本</w:t>
      </w:r>
      <w:r>
        <w:t>项目</w:t>
      </w:r>
      <w:r>
        <w:rPr>
          <w:rFonts w:hint="eastAsia"/>
          <w:szCs w:val="28"/>
        </w:rPr>
        <w:t>提供整体设计、规范编制或者项目管理、监理、检测等服务</w:t>
      </w:r>
      <w:r>
        <w:rPr>
          <w:rFonts w:hint="eastAsia"/>
          <w:szCs w:val="21"/>
        </w:rPr>
        <w:t>；</w:t>
      </w:r>
    </w:p>
    <w:p w14:paraId="7ABB4216">
      <w:pPr>
        <w:wordWrap w:val="0"/>
        <w:adjustRightInd w:val="0"/>
        <w:snapToGrid w:val="0"/>
        <w:ind w:firstLine="480" w:firstLineChars="200"/>
        <w:rPr>
          <w:szCs w:val="21"/>
        </w:rPr>
      </w:pPr>
      <w:r>
        <w:rPr>
          <w:szCs w:val="21"/>
        </w:rPr>
        <w:t>3．</w:t>
      </w:r>
      <w:r>
        <w:rPr>
          <w:rFonts w:hint="eastAsia"/>
        </w:rPr>
        <w:t>参加本次采购活动前，</w:t>
      </w:r>
      <w:r>
        <w:rPr>
          <w:rFonts w:hint="eastAsia"/>
          <w:szCs w:val="28"/>
        </w:rPr>
        <w:t>我方没有</w:t>
      </w:r>
      <w:r>
        <w:rPr>
          <w:rFonts w:hint="eastAsia" w:cs="Arial"/>
        </w:rPr>
        <w:t>被“信用中国”网站</w:t>
      </w:r>
      <w:r>
        <w:rPr>
          <w:rFonts w:hint="eastAsia"/>
          <w:szCs w:val="21"/>
        </w:rPr>
        <w:t>、“中国政府采购网”</w:t>
      </w:r>
      <w:r>
        <w:rPr>
          <w:rFonts w:hint="eastAsia" w:cs="Arial"/>
        </w:rPr>
        <w:t>列入失信被执行人名单或重大税收违法案件当事人名单或政府采购严重失信行为记录名单，也不存在其他不符合《中华人民共和国政府采购法》第二十二条规定条件的信用记录</w:t>
      </w:r>
      <w:r>
        <w:rPr>
          <w:rFonts w:hint="eastAsia"/>
          <w:szCs w:val="28"/>
        </w:rPr>
        <w:t>；</w:t>
      </w:r>
    </w:p>
    <w:p w14:paraId="7CE336FB">
      <w:pPr>
        <w:wordWrap w:val="0"/>
        <w:adjustRightInd w:val="0"/>
        <w:snapToGrid w:val="0"/>
        <w:ind w:firstLine="480" w:firstLineChars="200"/>
      </w:pPr>
      <w:r>
        <w:rPr>
          <w:szCs w:val="21"/>
        </w:rPr>
        <w:t>4．</w:t>
      </w:r>
      <w:r>
        <w:rPr>
          <w:rFonts w:hint="eastAsia"/>
          <w:szCs w:val="21"/>
        </w:rPr>
        <w:t>我们将</w:t>
      </w:r>
      <w:r>
        <w:rPr>
          <w:rFonts w:hint="eastAsia"/>
        </w:rPr>
        <w:t>严格遵守</w:t>
      </w:r>
      <w:r>
        <w:rPr>
          <w:rFonts w:hint="eastAsia"/>
          <w:szCs w:val="28"/>
        </w:rPr>
        <w:t>《中华人民共和国</w:t>
      </w:r>
      <w:r>
        <w:rPr>
          <w:rFonts w:hint="eastAsia"/>
        </w:rPr>
        <w:t>民法典</w:t>
      </w:r>
      <w:r>
        <w:rPr>
          <w:rFonts w:hint="eastAsia"/>
          <w:szCs w:val="28"/>
        </w:rPr>
        <w:t>》</w:t>
      </w:r>
      <w:r>
        <w:rPr>
          <w:rFonts w:hint="eastAsia"/>
        </w:rPr>
        <w:t>、</w:t>
      </w:r>
      <w:r>
        <w:rPr>
          <w:rFonts w:hint="eastAsia"/>
          <w:szCs w:val="28"/>
        </w:rPr>
        <w:t>《中华人民共和国政府采购法》</w:t>
      </w:r>
      <w:r>
        <w:rPr>
          <w:rFonts w:hint="eastAsia"/>
        </w:rPr>
        <w:t>及其实施条例等法律法规和相关规定，按照公平竞争和诚实信用的原则，依法依规参与政府采购活动。</w:t>
      </w:r>
    </w:p>
    <w:p w14:paraId="33C13817">
      <w:pPr>
        <w:wordWrap w:val="0"/>
        <w:adjustRightInd w:val="0"/>
        <w:snapToGrid w:val="0"/>
        <w:ind w:firstLine="480" w:firstLineChars="200"/>
      </w:pPr>
    </w:p>
    <w:p w14:paraId="16919C68">
      <w:pPr>
        <w:wordWrap w:val="0"/>
        <w:adjustRightInd w:val="0"/>
        <w:snapToGrid w:val="0"/>
        <w:ind w:firstLine="480" w:firstLineChars="200"/>
      </w:pPr>
      <w:r>
        <w:rPr>
          <w:bCs/>
          <w:szCs w:val="28"/>
        </w:rPr>
        <w:t>本</w:t>
      </w:r>
      <w:r>
        <w:rPr>
          <w:rFonts w:hint="eastAsia"/>
          <w:bCs/>
          <w:szCs w:val="28"/>
        </w:rPr>
        <w:t>单位</w:t>
      </w:r>
      <w:r>
        <w:rPr>
          <w:rFonts w:hint="eastAsia"/>
        </w:rPr>
        <w:t>对上述承诺负责，并依法承担相应责任。</w:t>
      </w:r>
    </w:p>
    <w:p w14:paraId="6B29F149">
      <w:pPr>
        <w:wordWrap w:val="0"/>
        <w:adjustRightInd w:val="0"/>
        <w:snapToGrid w:val="0"/>
        <w:ind w:firstLine="480" w:firstLineChars="200"/>
        <w:rPr>
          <w:szCs w:val="28"/>
        </w:rPr>
      </w:pPr>
    </w:p>
    <w:p w14:paraId="431A5D81">
      <w:pPr>
        <w:wordWrap w:val="0"/>
        <w:adjustRightInd w:val="0"/>
        <w:snapToGrid w:val="0"/>
        <w:ind w:firstLine="480" w:firstLineChars="200"/>
        <w:rPr>
          <w:szCs w:val="28"/>
        </w:rPr>
      </w:pPr>
    </w:p>
    <w:p w14:paraId="6581EB90">
      <w:pPr>
        <w:wordWrap w:val="0"/>
        <w:adjustRightInd w:val="0"/>
        <w:snapToGrid w:val="0"/>
        <w:ind w:firstLine="2400" w:firstLineChars="1000"/>
        <w:rPr>
          <w:rFonts w:cs="楷体_GB2312"/>
          <w:szCs w:val="28"/>
          <w:lang w:val="zh-CN"/>
        </w:rPr>
      </w:pPr>
      <w:r>
        <w:rPr>
          <w:rFonts w:hint="eastAsia" w:cs="楷体_GB2312"/>
          <w:szCs w:val="28"/>
          <w:lang w:val="zh-CN"/>
        </w:rPr>
        <w:t>承诺人：</w:t>
      </w:r>
      <w:r>
        <w:rPr>
          <w:rFonts w:hint="eastAsia"/>
          <w:szCs w:val="24"/>
          <w:u w:val="single"/>
        </w:rPr>
        <w:t xml:space="preserve">      </w:t>
      </w:r>
      <w:r>
        <w:rPr>
          <w:rFonts w:hint="eastAsia"/>
          <w:i/>
          <w:szCs w:val="24"/>
          <w:u w:val="single"/>
        </w:rPr>
        <w:t>（CA电子公章）</w:t>
      </w:r>
      <w:r>
        <w:rPr>
          <w:szCs w:val="24"/>
          <w:u w:val="single"/>
        </w:rPr>
        <w:t xml:space="preserve">  </w:t>
      </w:r>
      <w:r>
        <w:rPr>
          <w:rFonts w:hint="eastAsia"/>
          <w:szCs w:val="24"/>
          <w:u w:val="single"/>
        </w:rPr>
        <w:t xml:space="preserve">     </w:t>
      </w:r>
    </w:p>
    <w:p w14:paraId="4436DB03">
      <w:pPr>
        <w:wordWrap w:val="0"/>
        <w:adjustRightInd w:val="0"/>
        <w:snapToGrid w:val="0"/>
        <w:ind w:firstLine="2400" w:firstLineChars="1000"/>
        <w:rPr>
          <w:rFonts w:cs="楷体_GB2312"/>
          <w:szCs w:val="28"/>
          <w:lang w:val="zh-CN"/>
        </w:rPr>
      </w:pPr>
      <w:r>
        <w:rPr>
          <w:rFonts w:hint="eastAsia" w:cs="楷体_GB2312"/>
          <w:szCs w:val="28"/>
          <w:lang w:val="zh-CN"/>
        </w:rPr>
        <w:t>日期：</w:t>
      </w:r>
      <w:r>
        <w:rPr>
          <w:rFonts w:cs="楷体_GB2312"/>
          <w:szCs w:val="28"/>
          <w:u w:val="single"/>
          <w:lang w:val="zh-CN"/>
        </w:rPr>
        <w:t xml:space="preserve">        </w:t>
      </w:r>
      <w:r>
        <w:rPr>
          <w:rFonts w:hint="eastAsia" w:cs="楷体_GB2312"/>
          <w:szCs w:val="28"/>
          <w:lang w:val="zh-CN"/>
        </w:rPr>
        <w:t>年</w:t>
      </w:r>
      <w:r>
        <w:rPr>
          <w:rFonts w:cs="楷体_GB2312"/>
          <w:szCs w:val="28"/>
          <w:u w:val="single"/>
          <w:lang w:val="zh-CN"/>
        </w:rPr>
        <w:t xml:space="preserve">     </w:t>
      </w:r>
      <w:r>
        <w:rPr>
          <w:rFonts w:hint="eastAsia" w:cs="楷体_GB2312"/>
          <w:szCs w:val="28"/>
          <w:lang w:val="zh-CN"/>
        </w:rPr>
        <w:t>月</w:t>
      </w:r>
      <w:r>
        <w:rPr>
          <w:rFonts w:cs="楷体_GB2312"/>
          <w:szCs w:val="28"/>
          <w:u w:val="single"/>
          <w:lang w:val="zh-CN"/>
        </w:rPr>
        <w:t xml:space="preserve">     </w:t>
      </w:r>
      <w:r>
        <w:rPr>
          <w:rFonts w:hint="eastAsia" w:cs="楷体_GB2312"/>
          <w:szCs w:val="28"/>
          <w:lang w:val="zh-CN"/>
        </w:rPr>
        <w:t>日</w:t>
      </w:r>
    </w:p>
    <w:p w14:paraId="077CEAEB">
      <w:pPr>
        <w:wordWrap w:val="0"/>
        <w:adjustRightInd w:val="0"/>
        <w:snapToGrid w:val="0"/>
        <w:outlineLvl w:val="2"/>
        <w:rPr>
          <w:rFonts w:cs="Arial"/>
          <w:b/>
          <w:bCs/>
          <w:sz w:val="32"/>
          <w:szCs w:val="24"/>
        </w:rPr>
      </w:pPr>
      <w:r>
        <w:rPr>
          <w:rFonts w:cs="Arial"/>
          <w:bCs/>
          <w:szCs w:val="24"/>
        </w:rPr>
        <w:br w:type="page"/>
      </w:r>
      <w:bookmarkStart w:id="294" w:name="_Toc57992258"/>
      <w:bookmarkStart w:id="295" w:name="_Toc57991726"/>
      <w:bookmarkStart w:id="296" w:name="_Toc57992410"/>
      <w:r>
        <w:rPr>
          <w:rFonts w:cs="Arial"/>
          <w:b/>
          <w:bCs/>
          <w:sz w:val="32"/>
          <w:szCs w:val="24"/>
        </w:rPr>
        <w:t>示范格式</w:t>
      </w:r>
      <w:bookmarkEnd w:id="294"/>
      <w:bookmarkEnd w:id="295"/>
      <w:bookmarkEnd w:id="296"/>
      <w:r>
        <w:rPr>
          <w:rFonts w:hint="eastAsia" w:cs="Arial"/>
          <w:b/>
          <w:bCs/>
          <w:sz w:val="32"/>
          <w:szCs w:val="24"/>
        </w:rPr>
        <w:t>五</w:t>
      </w:r>
    </w:p>
    <w:p w14:paraId="4BF1A7BA">
      <w:pPr>
        <w:wordWrap w:val="0"/>
        <w:adjustRightInd w:val="0"/>
        <w:snapToGrid w:val="0"/>
        <w:rPr>
          <w:bCs/>
          <w:szCs w:val="28"/>
        </w:rPr>
      </w:pPr>
    </w:p>
    <w:p w14:paraId="10BC6CBB">
      <w:pPr>
        <w:wordWrap w:val="0"/>
        <w:adjustRightInd w:val="0"/>
        <w:snapToGrid w:val="0"/>
        <w:jc w:val="center"/>
        <w:rPr>
          <w:b/>
          <w:sz w:val="30"/>
          <w:szCs w:val="30"/>
        </w:rPr>
      </w:pPr>
      <w:r>
        <w:rPr>
          <w:rFonts w:hint="eastAsia"/>
          <w:b/>
          <w:sz w:val="30"/>
          <w:szCs w:val="30"/>
        </w:rPr>
        <w:t>中小</w:t>
      </w:r>
      <w:r>
        <w:rPr>
          <w:b/>
          <w:sz w:val="30"/>
          <w:szCs w:val="30"/>
        </w:rPr>
        <w:t>企业声明函</w:t>
      </w:r>
      <w:r>
        <w:rPr>
          <w:rFonts w:hint="eastAsia"/>
          <w:b/>
          <w:sz w:val="30"/>
          <w:szCs w:val="30"/>
        </w:rPr>
        <w:t>（</w:t>
      </w:r>
      <w:r>
        <w:rPr>
          <w:b/>
          <w:sz w:val="30"/>
          <w:szCs w:val="30"/>
        </w:rPr>
        <w:t>服务</w:t>
      </w:r>
      <w:r>
        <w:rPr>
          <w:rFonts w:hint="eastAsia"/>
          <w:b/>
          <w:sz w:val="30"/>
          <w:szCs w:val="30"/>
        </w:rPr>
        <w:t>）</w:t>
      </w:r>
    </w:p>
    <w:p w14:paraId="27A3F377">
      <w:pPr>
        <w:wordWrap w:val="0"/>
        <w:adjustRightInd w:val="0"/>
        <w:snapToGrid w:val="0"/>
        <w:rPr>
          <w:bCs/>
          <w:szCs w:val="28"/>
        </w:rPr>
      </w:pPr>
    </w:p>
    <w:p w14:paraId="57BFD22D">
      <w:pPr>
        <w:wordWrap w:val="0"/>
        <w:adjustRightInd w:val="0"/>
        <w:snapToGrid w:val="0"/>
        <w:ind w:firstLine="480"/>
        <w:rPr>
          <w:bCs/>
          <w:szCs w:val="28"/>
        </w:rPr>
      </w:pPr>
      <w:r>
        <w:rPr>
          <w:bCs/>
          <w:szCs w:val="28"/>
        </w:rPr>
        <w:t>本</w:t>
      </w:r>
      <w:r>
        <w:rPr>
          <w:rFonts w:hint="eastAsia"/>
          <w:bCs/>
          <w:szCs w:val="28"/>
        </w:rPr>
        <w:t>公司（联合体）</w:t>
      </w:r>
      <w:r>
        <w:rPr>
          <w:bCs/>
          <w:szCs w:val="28"/>
        </w:rPr>
        <w:t>郑重声明，根据</w:t>
      </w:r>
      <w:r>
        <w:rPr>
          <w:rFonts w:hint="eastAsia"/>
          <w:bCs/>
          <w:szCs w:val="28"/>
        </w:rPr>
        <w:t>《政府采购促进中小企业发展管理办法》（财库〔2020〕46号）</w:t>
      </w:r>
      <w:r>
        <w:rPr>
          <w:bCs/>
          <w:szCs w:val="28"/>
        </w:rPr>
        <w:t>的规定，本</w:t>
      </w:r>
      <w:r>
        <w:rPr>
          <w:rFonts w:hint="eastAsia"/>
          <w:bCs/>
          <w:szCs w:val="28"/>
        </w:rPr>
        <w:t>公司（联合体）参加</w:t>
      </w:r>
      <w:r>
        <w:rPr>
          <w:rFonts w:hint="eastAsia"/>
          <w:bCs/>
          <w:szCs w:val="28"/>
          <w:u w:val="single"/>
        </w:rPr>
        <w:t xml:space="preserve">  </w:t>
      </w:r>
      <w:r>
        <w:rPr>
          <w:rFonts w:hint="eastAsia"/>
          <w:i/>
          <w:u w:val="single"/>
        </w:rPr>
        <w:t>（单位名称）</w:t>
      </w:r>
      <w:r>
        <w:rPr>
          <w:rFonts w:hint="eastAsia"/>
          <w:bCs/>
          <w:szCs w:val="28"/>
          <w:u w:val="single"/>
        </w:rPr>
        <w:t xml:space="preserve">  </w:t>
      </w:r>
      <w:r>
        <w:rPr>
          <w:bCs/>
          <w:szCs w:val="28"/>
        </w:rPr>
        <w:t>的</w:t>
      </w:r>
      <w:r>
        <w:rPr>
          <w:rFonts w:hint="eastAsia"/>
          <w:bCs/>
          <w:szCs w:val="28"/>
          <w:u w:val="single"/>
        </w:rPr>
        <w:t xml:space="preserve">  </w:t>
      </w:r>
      <w:r>
        <w:rPr>
          <w:rFonts w:hint="eastAsia"/>
          <w:i/>
          <w:u w:val="single"/>
        </w:rPr>
        <w:t>（项目名称）</w:t>
      </w:r>
      <w:r>
        <w:rPr>
          <w:rFonts w:hint="eastAsia"/>
          <w:bCs/>
          <w:szCs w:val="28"/>
          <w:u w:val="single"/>
        </w:rPr>
        <w:t xml:space="preserve">  </w:t>
      </w:r>
      <w:r>
        <w:rPr>
          <w:bCs/>
          <w:szCs w:val="28"/>
        </w:rPr>
        <w:t>采购活动</w:t>
      </w:r>
      <w:r>
        <w:rPr>
          <w:rFonts w:hint="eastAsia"/>
          <w:bCs/>
          <w:szCs w:val="28"/>
        </w:rPr>
        <w:t>，服务全部由符合政策要求的中小企业承接。相关企业（含联合体中的中小企业、签订分包意向协议的中小企业）的具体情况如下：</w:t>
      </w:r>
    </w:p>
    <w:p w14:paraId="74EF0028">
      <w:pPr>
        <w:wordWrap w:val="0"/>
        <w:adjustRightInd w:val="0"/>
        <w:snapToGrid w:val="0"/>
        <w:ind w:firstLine="480"/>
        <w:rPr>
          <w:bCs/>
          <w:szCs w:val="28"/>
        </w:rPr>
      </w:pPr>
      <w:r>
        <w:rPr>
          <w:rFonts w:hint="eastAsia"/>
          <w:bCs/>
          <w:szCs w:val="28"/>
        </w:rPr>
        <w:t>1.</w:t>
      </w:r>
      <w:r>
        <w:rPr>
          <w:rFonts w:hint="eastAsia"/>
          <w:bCs/>
          <w:szCs w:val="28"/>
          <w:u w:val="single"/>
        </w:rPr>
        <w:t xml:space="preserve"> </w:t>
      </w:r>
      <w:r>
        <w:rPr>
          <w:rFonts w:hint="eastAsia"/>
          <w:bCs/>
          <w:i/>
          <w:szCs w:val="28"/>
          <w:u w:val="single"/>
        </w:rPr>
        <w:t>（标的名称）</w:t>
      </w:r>
      <w:r>
        <w:rPr>
          <w:rFonts w:hint="eastAsia"/>
          <w:bCs/>
          <w:szCs w:val="28"/>
          <w:u w:val="single"/>
        </w:rPr>
        <w:t xml:space="preserve"> </w:t>
      </w:r>
      <w:r>
        <w:rPr>
          <w:rFonts w:hint="eastAsia"/>
          <w:bCs/>
          <w:szCs w:val="28"/>
        </w:rPr>
        <w:t>，属于</w:t>
      </w:r>
      <w:r>
        <w:rPr>
          <w:rFonts w:hint="eastAsia"/>
          <w:bCs/>
          <w:i/>
          <w:szCs w:val="28"/>
          <w:u w:val="single"/>
        </w:rPr>
        <w:t>（采购文件中明确的所属行业）</w:t>
      </w:r>
      <w:r>
        <w:rPr>
          <w:rFonts w:hint="eastAsia"/>
          <w:bCs/>
          <w:szCs w:val="28"/>
        </w:rPr>
        <w:t>；承接企业为</w:t>
      </w:r>
      <w:r>
        <w:rPr>
          <w:rFonts w:hint="eastAsia"/>
          <w:bCs/>
          <w:i/>
          <w:szCs w:val="28"/>
          <w:u w:val="single"/>
        </w:rPr>
        <w:t>（企业名称）</w:t>
      </w:r>
      <w:r>
        <w:rPr>
          <w:rFonts w:hint="eastAsia"/>
          <w:bCs/>
          <w:szCs w:val="28"/>
        </w:rPr>
        <w:t>，从业人员</w:t>
      </w:r>
      <w:r>
        <w:rPr>
          <w:rFonts w:hint="eastAsia"/>
          <w:bCs/>
          <w:szCs w:val="28"/>
          <w:u w:val="single"/>
        </w:rPr>
        <w:t xml:space="preserve">  </w:t>
      </w:r>
      <w:r>
        <w:rPr>
          <w:rFonts w:hint="eastAsia"/>
          <w:bCs/>
          <w:szCs w:val="28"/>
        </w:rPr>
        <w:t>人，营业收入为</w:t>
      </w:r>
      <w:r>
        <w:rPr>
          <w:rFonts w:hint="eastAsia"/>
          <w:bCs/>
          <w:szCs w:val="28"/>
          <w:u w:val="single"/>
        </w:rPr>
        <w:t xml:space="preserve">   </w:t>
      </w:r>
      <w:r>
        <w:rPr>
          <w:rFonts w:hint="eastAsia"/>
          <w:bCs/>
          <w:szCs w:val="28"/>
        </w:rPr>
        <w:t>万元，资产总额为</w:t>
      </w:r>
      <w:r>
        <w:rPr>
          <w:rFonts w:hint="eastAsia"/>
          <w:bCs/>
          <w:szCs w:val="28"/>
          <w:u w:val="single"/>
        </w:rPr>
        <w:t xml:space="preserve">   </w:t>
      </w:r>
      <w:r>
        <w:rPr>
          <w:rFonts w:hint="eastAsia"/>
          <w:bCs/>
          <w:szCs w:val="28"/>
        </w:rPr>
        <w:t>万元，属于</w:t>
      </w:r>
      <w:r>
        <w:rPr>
          <w:rFonts w:hint="eastAsia"/>
          <w:bCs/>
          <w:i/>
          <w:szCs w:val="28"/>
          <w:u w:val="single"/>
        </w:rPr>
        <w:t>（中型企业、小型企业、微型企业）</w:t>
      </w:r>
      <w:r>
        <w:rPr>
          <w:rFonts w:hint="eastAsia"/>
          <w:bCs/>
          <w:szCs w:val="28"/>
        </w:rPr>
        <w:t>；</w:t>
      </w:r>
    </w:p>
    <w:p w14:paraId="0FE5E962">
      <w:pPr>
        <w:wordWrap w:val="0"/>
        <w:adjustRightInd w:val="0"/>
        <w:snapToGrid w:val="0"/>
        <w:ind w:firstLine="480" w:firstLineChars="200"/>
        <w:rPr>
          <w:bCs/>
          <w:szCs w:val="28"/>
        </w:rPr>
      </w:pPr>
      <w:r>
        <w:rPr>
          <w:rFonts w:hint="eastAsia"/>
          <w:bCs/>
          <w:szCs w:val="28"/>
        </w:rPr>
        <w:t>2.</w:t>
      </w:r>
      <w:r>
        <w:rPr>
          <w:rFonts w:hint="eastAsia"/>
          <w:bCs/>
          <w:szCs w:val="28"/>
          <w:u w:val="single"/>
        </w:rPr>
        <w:t xml:space="preserve"> </w:t>
      </w:r>
      <w:r>
        <w:rPr>
          <w:rFonts w:hint="eastAsia"/>
          <w:bCs/>
          <w:i/>
          <w:szCs w:val="28"/>
          <w:u w:val="single"/>
        </w:rPr>
        <w:t>（标的名称）</w:t>
      </w:r>
      <w:r>
        <w:rPr>
          <w:rFonts w:hint="eastAsia"/>
          <w:bCs/>
          <w:szCs w:val="28"/>
          <w:u w:val="single"/>
        </w:rPr>
        <w:t xml:space="preserve"> </w:t>
      </w:r>
      <w:r>
        <w:rPr>
          <w:rFonts w:hint="eastAsia"/>
          <w:bCs/>
          <w:szCs w:val="28"/>
        </w:rPr>
        <w:t>，属于</w:t>
      </w:r>
      <w:r>
        <w:rPr>
          <w:rFonts w:hint="eastAsia"/>
          <w:bCs/>
          <w:i/>
          <w:szCs w:val="28"/>
          <w:u w:val="single"/>
        </w:rPr>
        <w:t>（采购文件中明确的所属行业）</w:t>
      </w:r>
      <w:r>
        <w:rPr>
          <w:rFonts w:hint="eastAsia"/>
          <w:bCs/>
          <w:szCs w:val="28"/>
        </w:rPr>
        <w:t>；承接企业为</w:t>
      </w:r>
      <w:r>
        <w:rPr>
          <w:rFonts w:hint="eastAsia"/>
          <w:bCs/>
          <w:i/>
          <w:szCs w:val="28"/>
          <w:u w:val="single"/>
        </w:rPr>
        <w:t>（企业名称）</w:t>
      </w:r>
      <w:r>
        <w:rPr>
          <w:rFonts w:hint="eastAsia"/>
          <w:bCs/>
          <w:szCs w:val="28"/>
        </w:rPr>
        <w:t>，从业人员</w:t>
      </w:r>
      <w:r>
        <w:rPr>
          <w:rFonts w:hint="eastAsia"/>
          <w:bCs/>
          <w:szCs w:val="28"/>
          <w:u w:val="single"/>
        </w:rPr>
        <w:t xml:space="preserve">   </w:t>
      </w:r>
      <w:r>
        <w:rPr>
          <w:rFonts w:hint="eastAsia"/>
          <w:bCs/>
          <w:szCs w:val="28"/>
        </w:rPr>
        <w:t>人，营业收入为</w:t>
      </w:r>
      <w:r>
        <w:rPr>
          <w:rFonts w:hint="eastAsia"/>
          <w:bCs/>
          <w:szCs w:val="28"/>
          <w:u w:val="single"/>
        </w:rPr>
        <w:t xml:space="preserve">   </w:t>
      </w:r>
      <w:r>
        <w:rPr>
          <w:rFonts w:hint="eastAsia"/>
          <w:bCs/>
          <w:szCs w:val="28"/>
        </w:rPr>
        <w:t>万元，资产总额为</w:t>
      </w:r>
      <w:r>
        <w:rPr>
          <w:rFonts w:hint="eastAsia"/>
          <w:bCs/>
          <w:szCs w:val="28"/>
          <w:u w:val="single"/>
        </w:rPr>
        <w:t xml:space="preserve">   </w:t>
      </w:r>
      <w:r>
        <w:rPr>
          <w:rFonts w:hint="eastAsia"/>
          <w:bCs/>
          <w:szCs w:val="28"/>
        </w:rPr>
        <w:t>万元，属于</w:t>
      </w:r>
      <w:r>
        <w:rPr>
          <w:rFonts w:hint="eastAsia"/>
          <w:bCs/>
          <w:i/>
          <w:szCs w:val="28"/>
          <w:u w:val="single"/>
        </w:rPr>
        <w:t>（中型企业、小型企业、微型企业）</w:t>
      </w:r>
      <w:r>
        <w:rPr>
          <w:rFonts w:hint="eastAsia"/>
          <w:bCs/>
          <w:szCs w:val="28"/>
        </w:rPr>
        <w:t>；</w:t>
      </w:r>
    </w:p>
    <w:p w14:paraId="023708FB">
      <w:pPr>
        <w:wordWrap w:val="0"/>
        <w:adjustRightInd w:val="0"/>
        <w:snapToGrid w:val="0"/>
        <w:ind w:firstLine="480"/>
        <w:rPr>
          <w:bCs/>
          <w:szCs w:val="28"/>
        </w:rPr>
      </w:pPr>
      <w:r>
        <w:rPr>
          <w:rFonts w:hint="eastAsia"/>
          <w:bCs/>
          <w:szCs w:val="28"/>
        </w:rPr>
        <w:t>……</w:t>
      </w:r>
    </w:p>
    <w:p w14:paraId="14603763">
      <w:pPr>
        <w:wordWrap w:val="0"/>
        <w:adjustRightInd w:val="0"/>
        <w:snapToGrid w:val="0"/>
        <w:ind w:firstLine="480"/>
        <w:rPr>
          <w:bCs/>
          <w:szCs w:val="28"/>
        </w:rPr>
      </w:pPr>
      <w:r>
        <w:rPr>
          <w:rFonts w:hint="eastAsia"/>
          <w:bCs/>
          <w:szCs w:val="28"/>
        </w:rPr>
        <w:t>以上企业，不属于大企业的分支机构，不存在控股股东为大企业的情形，也不存在与大企业的负责人为同一人的情形。</w:t>
      </w:r>
    </w:p>
    <w:p w14:paraId="4A399F44">
      <w:pPr>
        <w:wordWrap w:val="0"/>
        <w:adjustRightInd w:val="0"/>
        <w:snapToGrid w:val="0"/>
        <w:ind w:firstLine="480"/>
        <w:rPr>
          <w:bCs/>
          <w:szCs w:val="28"/>
        </w:rPr>
      </w:pPr>
      <w:r>
        <w:rPr>
          <w:rFonts w:hint="eastAsia"/>
          <w:bCs/>
          <w:szCs w:val="28"/>
        </w:rPr>
        <w:t>本企业对上述声明内容的真实性负责。如有虚假，将依法承担相应责任。</w:t>
      </w:r>
    </w:p>
    <w:p w14:paraId="1F9FDD6E">
      <w:pPr>
        <w:wordWrap w:val="0"/>
        <w:adjustRightInd w:val="0"/>
        <w:snapToGrid w:val="0"/>
        <w:ind w:firstLine="2400" w:firstLineChars="1000"/>
        <w:rPr>
          <w:rFonts w:cs="楷体_GB2312"/>
          <w:szCs w:val="28"/>
          <w:lang w:val="zh-CN"/>
        </w:rPr>
      </w:pPr>
    </w:p>
    <w:p w14:paraId="52FE83C0">
      <w:pPr>
        <w:wordWrap w:val="0"/>
        <w:adjustRightInd w:val="0"/>
        <w:snapToGrid w:val="0"/>
        <w:ind w:firstLine="2400" w:firstLineChars="1000"/>
        <w:rPr>
          <w:rFonts w:cs="楷体_GB2312"/>
          <w:szCs w:val="28"/>
          <w:u w:val="single"/>
          <w:lang w:val="zh-CN"/>
        </w:rPr>
      </w:pPr>
      <w:r>
        <w:rPr>
          <w:rFonts w:hint="eastAsia" w:cs="宋体"/>
          <w:szCs w:val="21"/>
        </w:rPr>
        <w:t>企业名称（加盖</w:t>
      </w:r>
      <w:r>
        <w:rPr>
          <w:rFonts w:hint="eastAsia"/>
          <w:szCs w:val="21"/>
        </w:rPr>
        <w:t>CA电子公章</w:t>
      </w:r>
      <w:r>
        <w:rPr>
          <w:rFonts w:hint="eastAsia" w:cs="宋体"/>
          <w:szCs w:val="21"/>
        </w:rPr>
        <w:t>）</w:t>
      </w:r>
      <w:r>
        <w:rPr>
          <w:rFonts w:hint="eastAsia"/>
          <w:szCs w:val="28"/>
        </w:rPr>
        <w:t>：</w:t>
      </w:r>
    </w:p>
    <w:p w14:paraId="09113ED6">
      <w:pPr>
        <w:wordWrap w:val="0"/>
        <w:adjustRightInd w:val="0"/>
        <w:snapToGrid w:val="0"/>
        <w:ind w:firstLine="2400" w:firstLineChars="1000"/>
        <w:rPr>
          <w:szCs w:val="24"/>
        </w:rPr>
      </w:pPr>
      <w:r>
        <w:rPr>
          <w:rFonts w:hint="eastAsia" w:cs="楷体_GB2312"/>
          <w:szCs w:val="28"/>
          <w:lang w:val="zh-CN"/>
        </w:rPr>
        <w:t>日期：</w:t>
      </w:r>
      <w:r>
        <w:rPr>
          <w:rFonts w:cs="楷体_GB2312"/>
          <w:szCs w:val="28"/>
          <w:u w:val="single"/>
          <w:lang w:val="zh-CN"/>
        </w:rPr>
        <w:t xml:space="preserve">        </w:t>
      </w:r>
      <w:r>
        <w:rPr>
          <w:rFonts w:hint="eastAsia" w:cs="楷体_GB2312"/>
          <w:szCs w:val="28"/>
          <w:lang w:val="zh-CN"/>
        </w:rPr>
        <w:t>年</w:t>
      </w:r>
      <w:r>
        <w:rPr>
          <w:rFonts w:cs="楷体_GB2312"/>
          <w:szCs w:val="28"/>
          <w:u w:val="single"/>
          <w:lang w:val="zh-CN"/>
        </w:rPr>
        <w:t xml:space="preserve">     </w:t>
      </w:r>
      <w:r>
        <w:rPr>
          <w:rFonts w:hint="eastAsia" w:cs="楷体_GB2312"/>
          <w:szCs w:val="28"/>
          <w:lang w:val="zh-CN"/>
        </w:rPr>
        <w:t>月</w:t>
      </w:r>
      <w:r>
        <w:rPr>
          <w:rFonts w:cs="楷体_GB2312"/>
          <w:szCs w:val="28"/>
          <w:u w:val="single"/>
          <w:lang w:val="zh-CN"/>
        </w:rPr>
        <w:t xml:space="preserve">     </w:t>
      </w:r>
      <w:r>
        <w:rPr>
          <w:rFonts w:hint="eastAsia" w:cs="楷体_GB2312"/>
          <w:szCs w:val="28"/>
          <w:lang w:val="zh-CN"/>
        </w:rPr>
        <w:t>日</w:t>
      </w:r>
    </w:p>
    <w:p w14:paraId="75A4424C">
      <w:pPr>
        <w:wordWrap w:val="0"/>
        <w:adjustRightInd w:val="0"/>
        <w:snapToGrid w:val="0"/>
        <w:rPr>
          <w:bCs/>
          <w:szCs w:val="28"/>
        </w:rPr>
      </w:pPr>
    </w:p>
    <w:p w14:paraId="39906468">
      <w:pPr>
        <w:wordWrap w:val="0"/>
        <w:adjustRightInd w:val="0"/>
        <w:snapToGrid w:val="0"/>
        <w:rPr>
          <w:bCs/>
          <w:szCs w:val="28"/>
        </w:rPr>
      </w:pPr>
      <w:r>
        <w:rPr>
          <w:rFonts w:hint="eastAsia"/>
          <w:bCs/>
          <w:szCs w:val="28"/>
        </w:rPr>
        <w:t>注：（1）从业人员、营业收入、资产总额填报上一年度数据，无上一年度数据的新成立企业可不填报。</w:t>
      </w:r>
    </w:p>
    <w:p w14:paraId="7325A765">
      <w:pPr>
        <w:wordWrap w:val="0"/>
        <w:adjustRightInd w:val="0"/>
        <w:snapToGrid w:val="0"/>
        <w:ind w:firstLine="360" w:firstLineChars="150"/>
        <w:rPr>
          <w:b/>
        </w:rPr>
      </w:pPr>
      <w:r>
        <w:rPr>
          <w:rFonts w:hint="eastAsia"/>
          <w:szCs w:val="21"/>
        </w:rPr>
        <w:t>（</w:t>
      </w:r>
      <w:r>
        <w:rPr>
          <w:szCs w:val="21"/>
        </w:rPr>
        <w:t>2</w:t>
      </w:r>
      <w:r>
        <w:rPr>
          <w:rFonts w:hint="eastAsia"/>
          <w:szCs w:val="21"/>
        </w:rPr>
        <w:t>）本项目采购标的对应的中小企业划分标准所属行业为</w:t>
      </w:r>
      <w:r>
        <w:rPr>
          <w:rFonts w:hint="eastAsia"/>
          <w:szCs w:val="21"/>
          <w:u w:val="single"/>
        </w:rPr>
        <w:t>其他未列明行业</w:t>
      </w:r>
      <w:r>
        <w:rPr>
          <w:rFonts w:hint="eastAsia"/>
          <w:szCs w:val="21"/>
        </w:rPr>
        <w:t>。从业人员300人以下的为中小微型企业。其中，从业人员100人及以上的为中型企业；从业人员10人及以上的为小型企业；从业人员10人以下的为微型企业。</w:t>
      </w:r>
    </w:p>
    <w:p w14:paraId="0693B865">
      <w:pPr>
        <w:wordWrap w:val="0"/>
        <w:adjustRightInd w:val="0"/>
        <w:snapToGrid w:val="0"/>
        <w:outlineLvl w:val="2"/>
        <w:rPr>
          <w:rFonts w:cs="Arial"/>
          <w:b/>
          <w:bCs/>
          <w:sz w:val="32"/>
          <w:szCs w:val="24"/>
        </w:rPr>
      </w:pPr>
      <w:r>
        <w:rPr>
          <w:bCs/>
          <w:szCs w:val="28"/>
        </w:rPr>
        <w:br w:type="page"/>
      </w:r>
      <w:bookmarkStart w:id="297" w:name="_Toc57991727"/>
      <w:bookmarkStart w:id="298" w:name="_Toc57992411"/>
      <w:bookmarkStart w:id="299" w:name="_Toc57992259"/>
      <w:r>
        <w:rPr>
          <w:rFonts w:cs="Arial"/>
          <w:b/>
          <w:bCs/>
          <w:sz w:val="32"/>
          <w:szCs w:val="24"/>
        </w:rPr>
        <w:t>示范格式</w:t>
      </w:r>
      <w:bookmarkEnd w:id="297"/>
      <w:bookmarkEnd w:id="298"/>
      <w:bookmarkEnd w:id="299"/>
      <w:r>
        <w:rPr>
          <w:rFonts w:hint="eastAsia" w:cs="Arial"/>
          <w:b/>
          <w:bCs/>
          <w:sz w:val="32"/>
          <w:szCs w:val="24"/>
        </w:rPr>
        <w:t>六</w:t>
      </w:r>
    </w:p>
    <w:p w14:paraId="6C15A0FA">
      <w:pPr>
        <w:wordWrap w:val="0"/>
        <w:adjustRightInd w:val="0"/>
        <w:snapToGrid w:val="0"/>
        <w:rPr>
          <w:bCs/>
          <w:szCs w:val="28"/>
        </w:rPr>
      </w:pPr>
    </w:p>
    <w:p w14:paraId="14CD900F">
      <w:pPr>
        <w:wordWrap w:val="0"/>
        <w:adjustRightInd w:val="0"/>
        <w:snapToGrid w:val="0"/>
        <w:jc w:val="center"/>
        <w:rPr>
          <w:b/>
          <w:sz w:val="30"/>
          <w:szCs w:val="30"/>
        </w:rPr>
      </w:pPr>
      <w:bookmarkStart w:id="300" w:name="OLE_LINK14"/>
      <w:bookmarkStart w:id="301" w:name="OLE_LINK13"/>
      <w:r>
        <w:rPr>
          <w:rFonts w:hint="eastAsia"/>
          <w:b/>
          <w:sz w:val="30"/>
          <w:szCs w:val="30"/>
        </w:rPr>
        <w:t>残疾人福利性单位声明函</w:t>
      </w:r>
    </w:p>
    <w:bookmarkEnd w:id="300"/>
    <w:bookmarkEnd w:id="301"/>
    <w:p w14:paraId="2D1C3F08">
      <w:pPr>
        <w:wordWrap w:val="0"/>
        <w:adjustRightInd w:val="0"/>
        <w:snapToGrid w:val="0"/>
        <w:rPr>
          <w:bCs/>
          <w:szCs w:val="28"/>
        </w:rPr>
      </w:pPr>
    </w:p>
    <w:p w14:paraId="2FAAD67F">
      <w:pPr>
        <w:wordWrap w:val="0"/>
        <w:adjustRightInd w:val="0"/>
        <w:snapToGrid w:val="0"/>
        <w:ind w:firstLine="480" w:firstLineChars="200"/>
        <w:rPr>
          <w:bCs/>
          <w:szCs w:val="28"/>
        </w:rPr>
      </w:pPr>
      <w:r>
        <w:rPr>
          <w:bCs/>
          <w:szCs w:val="28"/>
        </w:rPr>
        <w:t>本单位郑重声明，根据《财政部 民政部 中国残疾人联合会关于促进残疾人就业政府采购政策的通知》（财库〔2017〕141号）的规定，本单位为符合条件的残疾人福利性单位</w:t>
      </w:r>
      <w:r>
        <w:rPr>
          <w:rFonts w:hint="eastAsia"/>
          <w:bCs/>
          <w:szCs w:val="28"/>
        </w:rPr>
        <w:t>，且</w:t>
      </w:r>
      <w:r>
        <w:rPr>
          <w:bCs/>
          <w:szCs w:val="28"/>
        </w:rPr>
        <w:t>本单位参加</w:t>
      </w:r>
      <w:r>
        <w:rPr>
          <w:rFonts w:hint="eastAsia"/>
          <w:bCs/>
          <w:szCs w:val="28"/>
          <w:u w:val="single"/>
        </w:rPr>
        <w:t xml:space="preserve">   </w:t>
      </w:r>
      <w:r>
        <w:rPr>
          <w:bCs/>
          <w:szCs w:val="28"/>
          <w:u w:val="single"/>
        </w:rPr>
        <w:t xml:space="preserve">      </w:t>
      </w:r>
      <w:r>
        <w:rPr>
          <w:rFonts w:hint="eastAsia"/>
          <w:bCs/>
          <w:szCs w:val="28"/>
          <w:u w:val="single"/>
        </w:rPr>
        <w:t xml:space="preserve"> </w:t>
      </w:r>
      <w:r>
        <w:rPr>
          <w:rFonts w:hint="eastAsia"/>
          <w:bCs/>
          <w:szCs w:val="28"/>
        </w:rPr>
        <w:t>单位</w:t>
      </w:r>
      <w:r>
        <w:rPr>
          <w:bCs/>
          <w:szCs w:val="28"/>
        </w:rPr>
        <w:t>的</w:t>
      </w:r>
      <w:r>
        <w:rPr>
          <w:rFonts w:hint="eastAsia"/>
          <w:bCs/>
          <w:szCs w:val="28"/>
          <w:u w:val="single"/>
        </w:rPr>
        <w:t xml:space="preserve">   </w:t>
      </w:r>
      <w:r>
        <w:rPr>
          <w:bCs/>
          <w:szCs w:val="28"/>
          <w:u w:val="single"/>
        </w:rPr>
        <w:t xml:space="preserve">      </w:t>
      </w:r>
      <w:r>
        <w:rPr>
          <w:rFonts w:hint="eastAsia"/>
          <w:bCs/>
          <w:szCs w:val="28"/>
          <w:u w:val="single"/>
        </w:rPr>
        <w:t xml:space="preserve"> </w:t>
      </w:r>
      <w:r>
        <w:rPr>
          <w:bCs/>
          <w:szCs w:val="28"/>
        </w:rPr>
        <w:t>项目采购活动由本</w:t>
      </w:r>
      <w:r>
        <w:rPr>
          <w:rFonts w:hint="eastAsia"/>
          <w:bCs/>
          <w:szCs w:val="28"/>
        </w:rPr>
        <w:t>单位</w:t>
      </w:r>
      <w:r>
        <w:rPr>
          <w:bCs/>
          <w:szCs w:val="28"/>
        </w:rPr>
        <w:t>提供服务</w:t>
      </w:r>
      <w:r>
        <w:rPr>
          <w:rFonts w:hint="eastAsia"/>
          <w:bCs/>
          <w:szCs w:val="28"/>
        </w:rPr>
        <w:t>。</w:t>
      </w:r>
    </w:p>
    <w:p w14:paraId="47F38FA4">
      <w:pPr>
        <w:wordWrap w:val="0"/>
        <w:adjustRightInd w:val="0"/>
        <w:snapToGrid w:val="0"/>
        <w:ind w:firstLine="480" w:firstLineChars="200"/>
        <w:rPr>
          <w:bCs/>
          <w:szCs w:val="28"/>
        </w:rPr>
      </w:pPr>
      <w:r>
        <w:rPr>
          <w:bCs/>
          <w:szCs w:val="28"/>
        </w:rPr>
        <w:t>本</w:t>
      </w:r>
      <w:r>
        <w:rPr>
          <w:rFonts w:hint="eastAsia"/>
          <w:bCs/>
          <w:szCs w:val="28"/>
        </w:rPr>
        <w:t>单位</w:t>
      </w:r>
      <w:r>
        <w:rPr>
          <w:bCs/>
          <w:szCs w:val="28"/>
        </w:rPr>
        <w:t>对上述声明的真实性负责。如有虚假，将依法承担相应责任。</w:t>
      </w:r>
    </w:p>
    <w:p w14:paraId="65DA67AF">
      <w:pPr>
        <w:wordWrap w:val="0"/>
        <w:adjustRightInd w:val="0"/>
        <w:snapToGrid w:val="0"/>
        <w:ind w:firstLine="2400" w:firstLineChars="1000"/>
        <w:rPr>
          <w:rFonts w:cs="楷体_GB2312"/>
          <w:szCs w:val="28"/>
          <w:lang w:val="zh-CN"/>
        </w:rPr>
      </w:pPr>
    </w:p>
    <w:p w14:paraId="06C88E01">
      <w:pPr>
        <w:wordWrap w:val="0"/>
        <w:adjustRightInd w:val="0"/>
        <w:snapToGrid w:val="0"/>
        <w:ind w:firstLine="2400" w:firstLineChars="1000"/>
        <w:rPr>
          <w:rFonts w:cs="宋体"/>
          <w:szCs w:val="21"/>
        </w:rPr>
      </w:pPr>
      <w:r>
        <w:rPr>
          <w:rFonts w:hint="eastAsia" w:cs="宋体"/>
          <w:szCs w:val="21"/>
        </w:rPr>
        <w:t>单位名称（加盖CA电子公章）：</w:t>
      </w:r>
    </w:p>
    <w:p w14:paraId="3BC03C32">
      <w:pPr>
        <w:wordWrap w:val="0"/>
        <w:adjustRightInd w:val="0"/>
        <w:snapToGrid w:val="0"/>
        <w:ind w:firstLine="2400" w:firstLineChars="1000"/>
        <w:rPr>
          <w:bCs/>
          <w:szCs w:val="28"/>
        </w:rPr>
      </w:pPr>
      <w:r>
        <w:rPr>
          <w:rFonts w:hint="eastAsia" w:cs="楷体_GB2312"/>
          <w:szCs w:val="28"/>
          <w:lang w:val="zh-CN"/>
        </w:rPr>
        <w:t>日期：</w:t>
      </w:r>
    </w:p>
    <w:p w14:paraId="2F703F95">
      <w:pPr>
        <w:wordWrap w:val="0"/>
        <w:adjustRightInd w:val="0"/>
        <w:snapToGrid w:val="0"/>
        <w:ind w:firstLine="1200" w:firstLineChars="500"/>
        <w:rPr>
          <w:rFonts w:cs="宋体"/>
          <w:kern w:val="0"/>
          <w:szCs w:val="24"/>
        </w:rPr>
      </w:pPr>
    </w:p>
    <w:sectPr>
      <w:headerReference r:id="rId8" w:type="first"/>
      <w:headerReference r:id="rId6" w:type="default"/>
      <w:footerReference r:id="rId9" w:type="default"/>
      <w:headerReference r:id="rId7" w:type="even"/>
      <w:pgSz w:w="11906" w:h="16838"/>
      <w:pgMar w:top="1418" w:right="1418" w:bottom="1021" w:left="1418" w:header="680" w:footer="454" w:gutter="0"/>
      <w:pgNumType w:start="1"/>
      <w:cols w:space="425" w:num="1"/>
      <w:docGrid w:linePitch="327" w:charSpace="-384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彩云">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行楷">
    <w:panose1 w:val="02010800040101010101"/>
    <w:charset w:val="86"/>
    <w:family w:val="auto"/>
    <w:pitch w:val="default"/>
    <w:sig w:usb0="00000001" w:usb1="080F0000" w:usb2="00000000" w:usb3="00000000" w:csb0="00040000" w:csb1="00000000"/>
  </w:font>
  <w:font w:name="Segoe UI">
    <w:panose1 w:val="020B0502040204020203"/>
    <w:charset w:val="00"/>
    <w:family w:val="swiss"/>
    <w:pitch w:val="default"/>
    <w:sig w:usb0="E4002EFF" w:usb1="C000E47F" w:usb2="00000009" w:usb3="00000000" w:csb0="200001FF" w:csb1="00000000"/>
  </w:font>
  <w:font w:name="Segoe UI Symbol">
    <w:panose1 w:val="020B0502040204020203"/>
    <w:charset w:val="00"/>
    <w:family w:val="swiss"/>
    <w:pitch w:val="default"/>
    <w:sig w:usb0="800001E3" w:usb1="1200FFEF" w:usb2="00040000" w:usb3="04000000" w:csb0="00000001" w:csb1="4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D3821">
    <w:pPr>
      <w:jc w:val="center"/>
      <w:rPr>
        <w:sz w:val="18"/>
        <w:szCs w:val="21"/>
      </w:rPr>
    </w:pPr>
    <w:r>
      <w:rPr>
        <w:sz w:val="18"/>
        <w:szCs w:val="21"/>
      </w:rPr>
      <w:fldChar w:fldCharType="begin"/>
    </w:r>
    <w:r>
      <w:rPr>
        <w:sz w:val="18"/>
        <w:szCs w:val="21"/>
      </w:rPr>
      <w:instrText xml:space="preserve"> PAGE </w:instrText>
    </w:r>
    <w:r>
      <w:rPr>
        <w:sz w:val="18"/>
        <w:szCs w:val="21"/>
      </w:rPr>
      <w:fldChar w:fldCharType="separate"/>
    </w:r>
    <w:r>
      <w:rPr>
        <w:sz w:val="18"/>
        <w:szCs w:val="21"/>
      </w:rPr>
      <w:t>19</w:t>
    </w:r>
    <w:r>
      <w:rPr>
        <w:sz w:val="18"/>
        <w:szCs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FA1B7">
    <w:pPr>
      <w:wordWrap w:val="0"/>
      <w:spacing w:line="240" w:lineRule="auto"/>
      <w:rPr>
        <w:rFonts w:ascii="华文行楷" w:eastAsia="华文行楷"/>
        <w:sz w:val="28"/>
        <w:szCs w:val="28"/>
      </w:rPr>
    </w:pPr>
    <w:r>
      <w:rPr>
        <w:rFonts w:hint="eastAsia" w:ascii="华文行楷" w:eastAsia="华文行楷"/>
        <w:sz w:val="28"/>
        <w:szCs w:val="28"/>
      </w:rPr>
      <w:drawing>
        <wp:inline distT="0" distB="0" distL="0" distR="0">
          <wp:extent cx="1356995" cy="32385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57200" cy="324000"/>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2E438">
    <w:pPr>
      <w:spacing w:line="240" w:lineRule="auto"/>
      <w:rPr>
        <w:position w:val="24"/>
      </w:rPr>
    </w:pPr>
    <w:r>
      <w:rPr>
        <w:rFonts w:hint="eastAsia" w:eastAsia="华文行楷"/>
        <w:sz w:val="28"/>
        <w:szCs w:val="28"/>
      </w:rPr>
      <w:drawing>
        <wp:inline distT="0" distB="0" distL="0" distR="0">
          <wp:extent cx="1356995" cy="32385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57200" cy="324000"/>
                  </a:xfrm>
                  <a:prstGeom prst="rect">
                    <a:avLst/>
                  </a:prstGeom>
                </pic:spPr>
              </pic:pic>
            </a:graphicData>
          </a:graphic>
        </wp:inline>
      </w:drawing>
    </w:r>
    <w:r>
      <w:rPr>
        <w:rFonts w:hint="eastAsia" w:eastAsia="华文行楷"/>
        <w:sz w:val="28"/>
        <w:szCs w:val="28"/>
      </w:rPr>
      <w:t xml:space="preserve"> </w:t>
    </w:r>
    <w:r>
      <w:rPr>
        <w:rFonts w:hint="eastAsia" w:eastAsia="华文行楷"/>
        <w:position w:val="24"/>
        <w:sz w:val="28"/>
        <w:szCs w:val="28"/>
      </w:rPr>
      <w:t xml:space="preserve"> </w:t>
    </w:r>
    <w:r>
      <w:rPr>
        <w:rFonts w:eastAsia="华文行楷"/>
        <w:position w:val="24"/>
        <w:sz w:val="28"/>
        <w:szCs w:val="28"/>
      </w:rPr>
      <w:t xml:space="preserve">           </w:t>
    </w:r>
    <w:r>
      <w:rPr>
        <w:rFonts w:hint="eastAsia" w:eastAsia="华文行楷"/>
        <w:position w:val="24"/>
        <w:sz w:val="28"/>
        <w:szCs w:val="28"/>
      </w:rPr>
      <w:t>政府采购招标文件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4805F"/>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0B59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AB3832"/>
    <w:multiLevelType w:val="multilevel"/>
    <w:tmpl w:val="08AB3832"/>
    <w:lvl w:ilvl="0" w:tentative="0">
      <w:start w:val="1"/>
      <w:numFmt w:val="decimal"/>
      <w:suff w:val="nothing"/>
      <w:lvlText w:val="（%1）"/>
      <w:lvlJc w:val="left"/>
      <w:pPr>
        <w:ind w:left="0" w:firstLine="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94A053D"/>
    <w:multiLevelType w:val="multilevel"/>
    <w:tmpl w:val="094A053D"/>
    <w:lvl w:ilvl="0" w:tentative="0">
      <w:start w:val="2"/>
      <w:numFmt w:val="decimal"/>
      <w:lvlText w:val="%1"/>
      <w:lvlJc w:val="left"/>
      <w:pPr>
        <w:tabs>
          <w:tab w:val="left" w:pos="480"/>
        </w:tabs>
        <w:ind w:left="480" w:hanging="480"/>
      </w:pPr>
      <w:rPr>
        <w:rFonts w:hint="default"/>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B27147B"/>
    <w:multiLevelType w:val="multilevel"/>
    <w:tmpl w:val="0B27147B"/>
    <w:lvl w:ilvl="0" w:tentative="0">
      <w:start w:val="1"/>
      <w:numFmt w:val="decimal"/>
      <w:suff w:val="nothing"/>
      <w:lvlText w:val="（%1）"/>
      <w:lvlJc w:val="left"/>
      <w:pPr>
        <w:ind w:left="0" w:firstLine="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C140A86"/>
    <w:multiLevelType w:val="multilevel"/>
    <w:tmpl w:val="0C140A86"/>
    <w:lvl w:ilvl="0" w:tentative="0">
      <w:start w:val="1"/>
      <w:numFmt w:val="decimal"/>
      <w:suff w:val="nothing"/>
      <w:lvlText w:val="%1、"/>
      <w:lvlJc w:val="left"/>
      <w:pPr>
        <w:ind w:left="0" w:firstLine="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F0E4998"/>
    <w:multiLevelType w:val="multilevel"/>
    <w:tmpl w:val="0F0E4998"/>
    <w:lvl w:ilvl="0" w:tentative="0">
      <w:start w:val="1"/>
      <w:numFmt w:val="decimal"/>
      <w:suff w:val="nothing"/>
      <w:lvlText w:val="（%1）"/>
      <w:lvlJc w:val="left"/>
      <w:pPr>
        <w:ind w:left="0" w:firstLine="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1168081E"/>
    <w:multiLevelType w:val="multilevel"/>
    <w:tmpl w:val="1168081E"/>
    <w:lvl w:ilvl="0" w:tentative="0">
      <w:start w:val="1"/>
      <w:numFmt w:val="decimal"/>
      <w:suff w:val="nothing"/>
      <w:lvlText w:val="（%1）"/>
      <w:lvlJc w:val="left"/>
      <w:pPr>
        <w:ind w:left="0" w:firstLine="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19626EBA"/>
    <w:multiLevelType w:val="multilevel"/>
    <w:tmpl w:val="19626EBA"/>
    <w:lvl w:ilvl="0" w:tentative="0">
      <w:start w:val="1"/>
      <w:numFmt w:val="decimal"/>
      <w:suff w:val="nothing"/>
      <w:lvlText w:val="（%1）"/>
      <w:lvlJc w:val="left"/>
      <w:pPr>
        <w:ind w:left="0" w:firstLine="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1C297F2D"/>
    <w:multiLevelType w:val="multilevel"/>
    <w:tmpl w:val="1C297F2D"/>
    <w:lvl w:ilvl="0" w:tentative="0">
      <w:start w:val="1"/>
      <w:numFmt w:val="chineseCountingThousand"/>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7843912"/>
    <w:multiLevelType w:val="multilevel"/>
    <w:tmpl w:val="27843912"/>
    <w:lvl w:ilvl="0" w:tentative="0">
      <w:start w:val="1"/>
      <w:numFmt w:val="decimal"/>
      <w:suff w:val="nothing"/>
      <w:lvlText w:val="%1、"/>
      <w:lvlJc w:val="left"/>
      <w:pPr>
        <w:ind w:left="0" w:firstLine="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2A6B0B43"/>
    <w:multiLevelType w:val="multilevel"/>
    <w:tmpl w:val="2A6B0B43"/>
    <w:lvl w:ilvl="0" w:tentative="0">
      <w:start w:val="1"/>
      <w:numFmt w:val="decimal"/>
      <w:suff w:val="nothing"/>
      <w:lvlText w:val="%1、"/>
      <w:lvlJc w:val="left"/>
      <w:pPr>
        <w:ind w:left="0" w:firstLine="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2CBA1E98"/>
    <w:multiLevelType w:val="multilevel"/>
    <w:tmpl w:val="2CBA1E98"/>
    <w:lvl w:ilvl="0" w:tentative="0">
      <w:start w:val="1"/>
      <w:numFmt w:val="decimal"/>
      <w:suff w:val="nothing"/>
      <w:lvlText w:val="（%1）"/>
      <w:lvlJc w:val="left"/>
      <w:pPr>
        <w:ind w:left="0" w:firstLine="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317520E1"/>
    <w:multiLevelType w:val="multilevel"/>
    <w:tmpl w:val="317520E1"/>
    <w:lvl w:ilvl="0" w:tentative="0">
      <w:start w:val="1"/>
      <w:numFmt w:val="decimal"/>
      <w:suff w:val="nothing"/>
      <w:lvlText w:val="（%1）"/>
      <w:lvlJc w:val="left"/>
      <w:pPr>
        <w:ind w:left="0" w:firstLine="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362D0F08"/>
    <w:multiLevelType w:val="multilevel"/>
    <w:tmpl w:val="362D0F08"/>
    <w:lvl w:ilvl="0" w:tentative="0">
      <w:start w:val="1"/>
      <w:numFmt w:val="decimal"/>
      <w:suff w:val="nothing"/>
      <w:lvlText w:val="（%1）"/>
      <w:lvlJc w:val="left"/>
      <w:pPr>
        <w:ind w:left="0" w:firstLine="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3A656F7D"/>
    <w:multiLevelType w:val="multilevel"/>
    <w:tmpl w:val="3A656F7D"/>
    <w:lvl w:ilvl="0" w:tentative="0">
      <w:start w:val="1"/>
      <w:numFmt w:val="chineseCountingThousand"/>
      <w:suff w:val="nothing"/>
      <w:lvlText w:val="（%1）"/>
      <w:lvlJc w:val="left"/>
      <w:pPr>
        <w:ind w:left="0" w:firstLine="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42974FB8"/>
    <w:multiLevelType w:val="multilevel"/>
    <w:tmpl w:val="42974FB8"/>
    <w:lvl w:ilvl="0" w:tentative="0">
      <w:start w:val="1"/>
      <w:numFmt w:val="chineseCountingThousand"/>
      <w:suff w:val="nothing"/>
      <w:lvlText w:val="%1、"/>
      <w:lvlJc w:val="left"/>
      <w:pPr>
        <w:ind w:left="0" w:firstLine="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431D70EE"/>
    <w:multiLevelType w:val="multilevel"/>
    <w:tmpl w:val="431D70EE"/>
    <w:lvl w:ilvl="0" w:tentative="0">
      <w:start w:val="1"/>
      <w:numFmt w:val="chineseCountingThousand"/>
      <w:suff w:val="nothing"/>
      <w:lvlText w:val="%1、"/>
      <w:lvlJc w:val="left"/>
      <w:pPr>
        <w:ind w:left="0" w:firstLine="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441D4552"/>
    <w:multiLevelType w:val="multilevel"/>
    <w:tmpl w:val="441D4552"/>
    <w:lvl w:ilvl="0" w:tentative="0">
      <w:start w:val="1"/>
      <w:numFmt w:val="decimal"/>
      <w:pStyle w:val="4"/>
      <w:suff w:val="nothing"/>
      <w:lvlText w:val="%1.  "/>
      <w:lvlJc w:val="left"/>
      <w:pPr>
        <w:ind w:left="0" w:firstLine="0"/>
      </w:pPr>
      <w:rPr>
        <w:rFonts w:hint="eastAsia"/>
        <w:color w:val="auto"/>
      </w:rPr>
    </w:lvl>
    <w:lvl w:ilvl="1" w:tentative="0">
      <w:start w:val="1"/>
      <w:numFmt w:val="decimal"/>
      <w:suff w:val="nothing"/>
      <w:lvlText w:val="%1.%2  "/>
      <w:lvlJc w:val="left"/>
      <w:pPr>
        <w:ind w:left="0" w:firstLine="454"/>
      </w:pPr>
      <w:rPr>
        <w:rFonts w:hint="eastAsia"/>
        <w:b w:val="0"/>
        <w:dstrike w:val="0"/>
        <w:color w:val="auto"/>
      </w:rPr>
    </w:lvl>
    <w:lvl w:ilvl="2" w:tentative="0">
      <w:start w:val="1"/>
      <w:numFmt w:val="decimal"/>
      <w:suff w:val="nothing"/>
      <w:lvlText w:val="%1.%2.%3  "/>
      <w:lvlJc w:val="left"/>
      <w:pPr>
        <w:ind w:left="0" w:firstLine="454"/>
      </w:pPr>
      <w:rPr>
        <w:rFonts w:hint="eastAsia" w:cs="Times New Roman"/>
        <w:b w:val="0"/>
        <w:bCs w:val="0"/>
        <w:i w:val="0"/>
        <w:iCs w:val="0"/>
        <w:caps w:val="0"/>
        <w:smallCaps w:val="0"/>
        <w:strike w:val="0"/>
        <w:dstrike w:val="0"/>
        <w:vanish w:val="0"/>
        <w:color w:val="auto"/>
        <w:spacing w:val="0"/>
        <w:position w:val="0"/>
        <w:u w:val="none"/>
        <w:vertAlign w:val="baseline"/>
        <w14:shadow w14:blurRad="0" w14:dist="0" w14:dir="0" w14:sx="0" w14:sy="0" w14:kx="0" w14:ky="0" w14:algn="none">
          <w14:srgbClr w14:val="000000"/>
        </w14:shadow>
      </w:rPr>
    </w:lvl>
    <w:lvl w:ilvl="3" w:tentative="0">
      <w:start w:val="1"/>
      <w:numFmt w:val="decimal"/>
      <w:suff w:val="nothing"/>
      <w:lvlText w:val="%1.%2.%3.%4  "/>
      <w:lvlJc w:val="left"/>
      <w:pPr>
        <w:ind w:left="0" w:firstLine="454"/>
      </w:pPr>
      <w:rPr>
        <w:rFonts w:hint="eastAsia"/>
        <w:color w:val="auto"/>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7">
    <w:nsid w:val="4C3B44CE"/>
    <w:multiLevelType w:val="multilevel"/>
    <w:tmpl w:val="4C3B44CE"/>
    <w:lvl w:ilvl="0" w:tentative="0">
      <w:start w:val="1"/>
      <w:numFmt w:val="decimal"/>
      <w:suff w:val="nothing"/>
      <w:lvlText w:val="（%1）"/>
      <w:lvlJc w:val="left"/>
      <w:pPr>
        <w:ind w:left="0" w:firstLine="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4D6F69A8"/>
    <w:multiLevelType w:val="multilevel"/>
    <w:tmpl w:val="4D6F69A8"/>
    <w:lvl w:ilvl="0" w:tentative="0">
      <w:start w:val="1"/>
      <w:numFmt w:val="chineseCountingThousand"/>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53A93B6D"/>
    <w:multiLevelType w:val="multilevel"/>
    <w:tmpl w:val="53A93B6D"/>
    <w:lvl w:ilvl="0" w:tentative="0">
      <w:start w:val="1"/>
      <w:numFmt w:val="decimal"/>
      <w:suff w:val="nothing"/>
      <w:lvlText w:val="（%1）"/>
      <w:lvlJc w:val="left"/>
      <w:pPr>
        <w:ind w:left="0" w:firstLine="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545A54BE"/>
    <w:multiLevelType w:val="multilevel"/>
    <w:tmpl w:val="545A54BE"/>
    <w:lvl w:ilvl="0" w:tentative="0">
      <w:start w:val="1"/>
      <w:numFmt w:val="decimal"/>
      <w:suff w:val="nothing"/>
      <w:lvlText w:val="（%1）"/>
      <w:lvlJc w:val="left"/>
      <w:pPr>
        <w:ind w:left="0" w:firstLine="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57244587"/>
    <w:multiLevelType w:val="multilevel"/>
    <w:tmpl w:val="57244587"/>
    <w:lvl w:ilvl="0" w:tentative="0">
      <w:start w:val="1"/>
      <w:numFmt w:val="decimal"/>
      <w:suff w:val="nothing"/>
      <w:lvlText w:val="%1、"/>
      <w:lvlJc w:val="left"/>
      <w:pPr>
        <w:ind w:left="0" w:firstLine="0"/>
      </w:pPr>
      <w:rPr>
        <w:rFonts w:hint="eastAsia"/>
        <w:color w:val="auto"/>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2">
    <w:nsid w:val="598C2734"/>
    <w:multiLevelType w:val="multilevel"/>
    <w:tmpl w:val="598C2734"/>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5B133BB1"/>
    <w:multiLevelType w:val="multilevel"/>
    <w:tmpl w:val="5B133BB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4">
    <w:nsid w:val="5C94629A"/>
    <w:multiLevelType w:val="multilevel"/>
    <w:tmpl w:val="5C94629A"/>
    <w:lvl w:ilvl="0" w:tentative="0">
      <w:start w:val="1"/>
      <w:numFmt w:val="chineseCounting"/>
      <w:lvlText w:val="（%1）"/>
      <w:lvlJc w:val="left"/>
      <w:pPr>
        <w:ind w:left="1145" w:hanging="720"/>
      </w:pPr>
      <w:rPr>
        <w:rFonts w:hint="default" w:ascii="宋体" w:hAnsi="宋体"/>
        <w:w w:val="100"/>
      </w:rPr>
    </w:lvl>
    <w:lvl w:ilvl="1" w:tentative="0">
      <w:start w:val="1"/>
      <w:numFmt w:val="lowerLetter"/>
      <w:lvlText w:val="%2)"/>
      <w:lvlJc w:val="left"/>
      <w:pPr>
        <w:ind w:left="1363" w:hanging="420"/>
      </w:pPr>
      <w:rPr>
        <w:rFonts w:hint="default" w:ascii="宋体" w:hAnsi="宋体"/>
        <w:w w:val="100"/>
      </w:rPr>
    </w:lvl>
    <w:lvl w:ilvl="2" w:tentative="0">
      <w:start w:val="1"/>
      <w:numFmt w:val="lowerRoman"/>
      <w:lvlText w:val="%3."/>
      <w:lvlJc w:val="right"/>
      <w:pPr>
        <w:ind w:left="1783" w:hanging="420"/>
      </w:pPr>
      <w:rPr>
        <w:rFonts w:hint="default" w:ascii="宋体" w:hAnsi="宋体"/>
        <w:w w:val="100"/>
      </w:rPr>
    </w:lvl>
    <w:lvl w:ilvl="3" w:tentative="0">
      <w:start w:val="1"/>
      <w:numFmt w:val="decimal"/>
      <w:lvlText w:val="%4."/>
      <w:lvlJc w:val="left"/>
      <w:pPr>
        <w:ind w:left="2203" w:hanging="420"/>
      </w:pPr>
      <w:rPr>
        <w:rFonts w:hint="default" w:ascii="宋体" w:hAnsi="宋体"/>
        <w:w w:val="100"/>
      </w:rPr>
    </w:lvl>
    <w:lvl w:ilvl="4" w:tentative="0">
      <w:start w:val="1"/>
      <w:numFmt w:val="lowerLetter"/>
      <w:lvlText w:val="%5)"/>
      <w:lvlJc w:val="left"/>
      <w:pPr>
        <w:ind w:left="2623" w:hanging="420"/>
      </w:pPr>
      <w:rPr>
        <w:rFonts w:hint="default" w:ascii="宋体" w:hAnsi="宋体"/>
        <w:w w:val="100"/>
      </w:rPr>
    </w:lvl>
    <w:lvl w:ilvl="5" w:tentative="0">
      <w:start w:val="1"/>
      <w:numFmt w:val="lowerRoman"/>
      <w:lvlText w:val="%6."/>
      <w:lvlJc w:val="right"/>
      <w:pPr>
        <w:ind w:left="3043" w:hanging="420"/>
      </w:pPr>
      <w:rPr>
        <w:rFonts w:hint="default" w:ascii="宋体" w:hAnsi="宋体"/>
        <w:w w:val="100"/>
      </w:rPr>
    </w:lvl>
    <w:lvl w:ilvl="6" w:tentative="0">
      <w:start w:val="1"/>
      <w:numFmt w:val="decimal"/>
      <w:lvlText w:val="%7."/>
      <w:lvlJc w:val="left"/>
      <w:pPr>
        <w:ind w:left="3463" w:hanging="420"/>
      </w:pPr>
      <w:rPr>
        <w:rFonts w:hint="default" w:ascii="宋体" w:hAnsi="宋体"/>
        <w:w w:val="100"/>
      </w:rPr>
    </w:lvl>
    <w:lvl w:ilvl="7" w:tentative="0">
      <w:start w:val="1"/>
      <w:numFmt w:val="lowerLetter"/>
      <w:lvlText w:val="%8)"/>
      <w:lvlJc w:val="left"/>
      <w:pPr>
        <w:ind w:left="3883" w:hanging="420"/>
      </w:pPr>
      <w:rPr>
        <w:rFonts w:hint="default" w:ascii="宋体" w:hAnsi="宋体"/>
        <w:w w:val="100"/>
      </w:rPr>
    </w:lvl>
    <w:lvl w:ilvl="8" w:tentative="0">
      <w:start w:val="1"/>
      <w:numFmt w:val="lowerRoman"/>
      <w:lvlText w:val="%9."/>
      <w:lvlJc w:val="right"/>
      <w:pPr>
        <w:ind w:left="4303" w:hanging="420"/>
      </w:pPr>
      <w:rPr>
        <w:rFonts w:hint="default" w:ascii="宋体" w:hAnsi="宋体"/>
        <w:w w:val="100"/>
      </w:rPr>
    </w:lvl>
  </w:abstractNum>
  <w:abstractNum w:abstractNumId="25">
    <w:nsid w:val="5F0A4D8A"/>
    <w:multiLevelType w:val="multilevel"/>
    <w:tmpl w:val="5F0A4D8A"/>
    <w:lvl w:ilvl="0" w:tentative="0">
      <w:start w:val="1"/>
      <w:numFmt w:val="decimal"/>
      <w:suff w:val="nothing"/>
      <w:lvlText w:val="（%1）"/>
      <w:lvlJc w:val="left"/>
      <w:pPr>
        <w:ind w:left="0" w:firstLine="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6">
    <w:nsid w:val="5FB45978"/>
    <w:multiLevelType w:val="multilevel"/>
    <w:tmpl w:val="5FB45978"/>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7">
    <w:nsid w:val="646F3DCB"/>
    <w:multiLevelType w:val="multilevel"/>
    <w:tmpl w:val="646F3DCB"/>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8">
    <w:nsid w:val="70AC4D31"/>
    <w:multiLevelType w:val="multilevel"/>
    <w:tmpl w:val="70AC4D31"/>
    <w:lvl w:ilvl="0" w:tentative="0">
      <w:start w:val="1"/>
      <w:numFmt w:val="chineseCountingThousand"/>
      <w:suff w:val="nothing"/>
      <w:lvlText w:val="（%1）"/>
      <w:lvlJc w:val="left"/>
      <w:pPr>
        <w:ind w:left="0" w:firstLine="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7DDF2863"/>
    <w:multiLevelType w:val="multilevel"/>
    <w:tmpl w:val="7DDF2863"/>
    <w:lvl w:ilvl="0" w:tentative="0">
      <w:start w:val="1"/>
      <w:numFmt w:val="chineseCountingThousand"/>
      <w:suff w:val="nothing"/>
      <w:lvlText w:val="（%1）"/>
      <w:lvlJc w:val="left"/>
      <w:pPr>
        <w:ind w:left="0" w:firstLine="0"/>
      </w:pPr>
      <w:rPr>
        <w:rFonts w:hint="eastAsia"/>
        <w:color w:val="auto"/>
      </w:rPr>
    </w:lvl>
    <w:lvl w:ilvl="1" w:tentative="0">
      <w:start w:val="1"/>
      <w:numFmt w:val="decimal"/>
      <w:lvlText w:val="%2、"/>
      <w:lvlJc w:val="left"/>
      <w:pPr>
        <w:ind w:left="780" w:hanging="360"/>
      </w:pPr>
      <w:rPr>
        <w:rFonts w:hint="default"/>
        <w:color w:val="auto"/>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6"/>
  </w:num>
  <w:num w:numId="2">
    <w:abstractNumId w:val="18"/>
  </w:num>
  <w:num w:numId="3">
    <w:abstractNumId w:val="19"/>
  </w:num>
  <w:num w:numId="4">
    <w:abstractNumId w:val="22"/>
  </w:num>
  <w:num w:numId="5">
    <w:abstractNumId w:val="11"/>
  </w:num>
  <w:num w:numId="6">
    <w:abstractNumId w:val="0"/>
  </w:num>
  <w:num w:numId="7">
    <w:abstractNumId w:val="17"/>
  </w:num>
  <w:num w:numId="8">
    <w:abstractNumId w:val="10"/>
  </w:num>
  <w:num w:numId="9">
    <w:abstractNumId w:val="12"/>
  </w:num>
  <w:num w:numId="10">
    <w:abstractNumId w:val="25"/>
  </w:num>
  <w:num w:numId="11">
    <w:abstractNumId w:val="20"/>
  </w:num>
  <w:num w:numId="12">
    <w:abstractNumId w:val="2"/>
  </w:num>
  <w:num w:numId="13">
    <w:abstractNumId w:val="5"/>
  </w:num>
  <w:num w:numId="14">
    <w:abstractNumId w:val="6"/>
  </w:num>
  <w:num w:numId="15">
    <w:abstractNumId w:val="4"/>
  </w:num>
  <w:num w:numId="16">
    <w:abstractNumId w:val="15"/>
  </w:num>
  <w:num w:numId="17">
    <w:abstractNumId w:val="29"/>
  </w:num>
  <w:num w:numId="18">
    <w:abstractNumId w:val="8"/>
  </w:num>
  <w:num w:numId="19">
    <w:abstractNumId w:val="27"/>
  </w:num>
  <w:num w:numId="20">
    <w:abstractNumId w:val="26"/>
  </w:num>
  <w:num w:numId="21">
    <w:abstractNumId w:val="1"/>
  </w:num>
  <w:num w:numId="22">
    <w:abstractNumId w:val="23"/>
  </w:num>
  <w:num w:numId="23">
    <w:abstractNumId w:val="24"/>
  </w:num>
  <w:num w:numId="24">
    <w:abstractNumId w:val="7"/>
  </w:num>
  <w:num w:numId="25">
    <w:abstractNumId w:val="28"/>
  </w:num>
  <w:num w:numId="26">
    <w:abstractNumId w:val="13"/>
  </w:num>
  <w:num w:numId="27">
    <w:abstractNumId w:val="9"/>
  </w:num>
  <w:num w:numId="28">
    <w:abstractNumId w:val="3"/>
  </w:num>
  <w:num w:numId="29">
    <w:abstractNumId w:val="14"/>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hideGrammaticalErrors/>
  <w:documentProtection w:enforcement="0"/>
  <w:defaultTabStop w:val="420"/>
  <w:drawingGridHorizontalSpacing w:val="110"/>
  <w:drawingGridVerticalSpacing w:val="16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JmNDAwM2E0OWYxN2IzYTczNzA4Y2ViMzdjYzI5ZTgifQ=="/>
  </w:docVars>
  <w:rsids>
    <w:rsidRoot w:val="006670BC"/>
    <w:rsid w:val="00000788"/>
    <w:rsid w:val="00000934"/>
    <w:rsid w:val="00000B32"/>
    <w:rsid w:val="00001127"/>
    <w:rsid w:val="0000118B"/>
    <w:rsid w:val="000011E6"/>
    <w:rsid w:val="000012E2"/>
    <w:rsid w:val="00001855"/>
    <w:rsid w:val="000032B7"/>
    <w:rsid w:val="000034C9"/>
    <w:rsid w:val="00003631"/>
    <w:rsid w:val="000039A2"/>
    <w:rsid w:val="00003A9B"/>
    <w:rsid w:val="00003AE7"/>
    <w:rsid w:val="00004109"/>
    <w:rsid w:val="0000442A"/>
    <w:rsid w:val="0000447B"/>
    <w:rsid w:val="0000457E"/>
    <w:rsid w:val="00004BB9"/>
    <w:rsid w:val="00005412"/>
    <w:rsid w:val="00005CF5"/>
    <w:rsid w:val="00005DE5"/>
    <w:rsid w:val="00005FF1"/>
    <w:rsid w:val="000061D6"/>
    <w:rsid w:val="000063BA"/>
    <w:rsid w:val="000065A8"/>
    <w:rsid w:val="0000708D"/>
    <w:rsid w:val="000071E3"/>
    <w:rsid w:val="00007325"/>
    <w:rsid w:val="00007D9A"/>
    <w:rsid w:val="00007DC3"/>
    <w:rsid w:val="000108AF"/>
    <w:rsid w:val="00010905"/>
    <w:rsid w:val="00010E78"/>
    <w:rsid w:val="00011421"/>
    <w:rsid w:val="000120DD"/>
    <w:rsid w:val="000122F5"/>
    <w:rsid w:val="00012324"/>
    <w:rsid w:val="00012B33"/>
    <w:rsid w:val="00012B79"/>
    <w:rsid w:val="00012C14"/>
    <w:rsid w:val="00012E14"/>
    <w:rsid w:val="000131BA"/>
    <w:rsid w:val="000131CC"/>
    <w:rsid w:val="000131D1"/>
    <w:rsid w:val="0001327B"/>
    <w:rsid w:val="00013905"/>
    <w:rsid w:val="00013A0B"/>
    <w:rsid w:val="000142BE"/>
    <w:rsid w:val="00014BA4"/>
    <w:rsid w:val="00014C8D"/>
    <w:rsid w:val="00014F6F"/>
    <w:rsid w:val="000150BF"/>
    <w:rsid w:val="000156F5"/>
    <w:rsid w:val="00015920"/>
    <w:rsid w:val="00015A25"/>
    <w:rsid w:val="00016308"/>
    <w:rsid w:val="00016E23"/>
    <w:rsid w:val="00017082"/>
    <w:rsid w:val="000171D3"/>
    <w:rsid w:val="000172FD"/>
    <w:rsid w:val="00017504"/>
    <w:rsid w:val="000177B9"/>
    <w:rsid w:val="00017AF7"/>
    <w:rsid w:val="00017B9F"/>
    <w:rsid w:val="00017CDE"/>
    <w:rsid w:val="00017D60"/>
    <w:rsid w:val="0002056A"/>
    <w:rsid w:val="000205EA"/>
    <w:rsid w:val="00021219"/>
    <w:rsid w:val="000216CB"/>
    <w:rsid w:val="0002172B"/>
    <w:rsid w:val="00021AB6"/>
    <w:rsid w:val="00021CFD"/>
    <w:rsid w:val="000239C7"/>
    <w:rsid w:val="00024A83"/>
    <w:rsid w:val="00024D30"/>
    <w:rsid w:val="00024D4C"/>
    <w:rsid w:val="000250CF"/>
    <w:rsid w:val="0002568D"/>
    <w:rsid w:val="000257CC"/>
    <w:rsid w:val="00025A7E"/>
    <w:rsid w:val="00025BFF"/>
    <w:rsid w:val="000260E0"/>
    <w:rsid w:val="000266CE"/>
    <w:rsid w:val="00026821"/>
    <w:rsid w:val="00026825"/>
    <w:rsid w:val="00026D7A"/>
    <w:rsid w:val="000272AD"/>
    <w:rsid w:val="00027B08"/>
    <w:rsid w:val="00030071"/>
    <w:rsid w:val="000300D9"/>
    <w:rsid w:val="000306D0"/>
    <w:rsid w:val="000306E4"/>
    <w:rsid w:val="00030F6E"/>
    <w:rsid w:val="00031097"/>
    <w:rsid w:val="000315FC"/>
    <w:rsid w:val="00031720"/>
    <w:rsid w:val="0003241B"/>
    <w:rsid w:val="00032D1A"/>
    <w:rsid w:val="00032F3B"/>
    <w:rsid w:val="00033314"/>
    <w:rsid w:val="000336BF"/>
    <w:rsid w:val="00033BDB"/>
    <w:rsid w:val="000354D6"/>
    <w:rsid w:val="00035A14"/>
    <w:rsid w:val="00035AA2"/>
    <w:rsid w:val="00035B3E"/>
    <w:rsid w:val="000362C3"/>
    <w:rsid w:val="000366F2"/>
    <w:rsid w:val="00036977"/>
    <w:rsid w:val="00036B15"/>
    <w:rsid w:val="00036D3B"/>
    <w:rsid w:val="00036D5F"/>
    <w:rsid w:val="00036E61"/>
    <w:rsid w:val="00037438"/>
    <w:rsid w:val="00037479"/>
    <w:rsid w:val="00037D7B"/>
    <w:rsid w:val="0004035B"/>
    <w:rsid w:val="0004061F"/>
    <w:rsid w:val="00040BC0"/>
    <w:rsid w:val="00040F71"/>
    <w:rsid w:val="0004181C"/>
    <w:rsid w:val="00042237"/>
    <w:rsid w:val="0004244C"/>
    <w:rsid w:val="00042F28"/>
    <w:rsid w:val="000430A1"/>
    <w:rsid w:val="0004373B"/>
    <w:rsid w:val="000437F1"/>
    <w:rsid w:val="00043A40"/>
    <w:rsid w:val="00043AB4"/>
    <w:rsid w:val="00043BE8"/>
    <w:rsid w:val="00043D29"/>
    <w:rsid w:val="00044132"/>
    <w:rsid w:val="00044236"/>
    <w:rsid w:val="0004425B"/>
    <w:rsid w:val="00044D4D"/>
    <w:rsid w:val="00045539"/>
    <w:rsid w:val="00045940"/>
    <w:rsid w:val="00045A30"/>
    <w:rsid w:val="00045FD0"/>
    <w:rsid w:val="00046AFF"/>
    <w:rsid w:val="00046CC9"/>
    <w:rsid w:val="00046CE8"/>
    <w:rsid w:val="000473BD"/>
    <w:rsid w:val="000474EE"/>
    <w:rsid w:val="0004784F"/>
    <w:rsid w:val="000478B9"/>
    <w:rsid w:val="0005099F"/>
    <w:rsid w:val="00050A2E"/>
    <w:rsid w:val="00051127"/>
    <w:rsid w:val="00051BBA"/>
    <w:rsid w:val="00051F9A"/>
    <w:rsid w:val="000520AF"/>
    <w:rsid w:val="0005234B"/>
    <w:rsid w:val="00052A04"/>
    <w:rsid w:val="00052CB8"/>
    <w:rsid w:val="00052FDC"/>
    <w:rsid w:val="00053D8B"/>
    <w:rsid w:val="00054020"/>
    <w:rsid w:val="00054564"/>
    <w:rsid w:val="00054934"/>
    <w:rsid w:val="00054A5C"/>
    <w:rsid w:val="00054AA1"/>
    <w:rsid w:val="00054C1C"/>
    <w:rsid w:val="00054C6B"/>
    <w:rsid w:val="00055013"/>
    <w:rsid w:val="00055343"/>
    <w:rsid w:val="00055E74"/>
    <w:rsid w:val="00055FCF"/>
    <w:rsid w:val="00056584"/>
    <w:rsid w:val="0005691F"/>
    <w:rsid w:val="00056BDD"/>
    <w:rsid w:val="00056E1E"/>
    <w:rsid w:val="000576F3"/>
    <w:rsid w:val="00057739"/>
    <w:rsid w:val="0005780C"/>
    <w:rsid w:val="0005798D"/>
    <w:rsid w:val="00060266"/>
    <w:rsid w:val="000602EA"/>
    <w:rsid w:val="00060A85"/>
    <w:rsid w:val="00060D34"/>
    <w:rsid w:val="00060EB9"/>
    <w:rsid w:val="00060F1D"/>
    <w:rsid w:val="00061416"/>
    <w:rsid w:val="00061B2B"/>
    <w:rsid w:val="00061E0A"/>
    <w:rsid w:val="000626A7"/>
    <w:rsid w:val="00062921"/>
    <w:rsid w:val="00062B09"/>
    <w:rsid w:val="000637A6"/>
    <w:rsid w:val="0006380F"/>
    <w:rsid w:val="00063A70"/>
    <w:rsid w:val="00063DA6"/>
    <w:rsid w:val="00063EC8"/>
    <w:rsid w:val="00063EED"/>
    <w:rsid w:val="00064195"/>
    <w:rsid w:val="00064B00"/>
    <w:rsid w:val="00064F61"/>
    <w:rsid w:val="00065849"/>
    <w:rsid w:val="00065EEA"/>
    <w:rsid w:val="000667EE"/>
    <w:rsid w:val="00066E69"/>
    <w:rsid w:val="000670A3"/>
    <w:rsid w:val="00067183"/>
    <w:rsid w:val="00067238"/>
    <w:rsid w:val="00070031"/>
    <w:rsid w:val="000702D0"/>
    <w:rsid w:val="00070A56"/>
    <w:rsid w:val="00070C40"/>
    <w:rsid w:val="00070D1F"/>
    <w:rsid w:val="00070E7F"/>
    <w:rsid w:val="0007119F"/>
    <w:rsid w:val="0007161C"/>
    <w:rsid w:val="00071637"/>
    <w:rsid w:val="000725BD"/>
    <w:rsid w:val="00072917"/>
    <w:rsid w:val="00072BF6"/>
    <w:rsid w:val="00072F4F"/>
    <w:rsid w:val="00072FB1"/>
    <w:rsid w:val="0007356F"/>
    <w:rsid w:val="00073A7F"/>
    <w:rsid w:val="00074521"/>
    <w:rsid w:val="00074612"/>
    <w:rsid w:val="000748FE"/>
    <w:rsid w:val="00074D1A"/>
    <w:rsid w:val="00074DBC"/>
    <w:rsid w:val="00074FAA"/>
    <w:rsid w:val="00075650"/>
    <w:rsid w:val="00075F31"/>
    <w:rsid w:val="00077382"/>
    <w:rsid w:val="00077904"/>
    <w:rsid w:val="00077C2B"/>
    <w:rsid w:val="00077F57"/>
    <w:rsid w:val="00077F63"/>
    <w:rsid w:val="00080674"/>
    <w:rsid w:val="0008068B"/>
    <w:rsid w:val="000809AC"/>
    <w:rsid w:val="00080D7F"/>
    <w:rsid w:val="00080E15"/>
    <w:rsid w:val="00081037"/>
    <w:rsid w:val="000812D5"/>
    <w:rsid w:val="000813CC"/>
    <w:rsid w:val="00081F12"/>
    <w:rsid w:val="000824D1"/>
    <w:rsid w:val="000826C4"/>
    <w:rsid w:val="00082CDC"/>
    <w:rsid w:val="000830B0"/>
    <w:rsid w:val="00083C71"/>
    <w:rsid w:val="00083DE6"/>
    <w:rsid w:val="00084E0C"/>
    <w:rsid w:val="00084EF9"/>
    <w:rsid w:val="00085155"/>
    <w:rsid w:val="00085CDC"/>
    <w:rsid w:val="00085EF7"/>
    <w:rsid w:val="000865A8"/>
    <w:rsid w:val="000866F2"/>
    <w:rsid w:val="00086824"/>
    <w:rsid w:val="00086BA1"/>
    <w:rsid w:val="0008735D"/>
    <w:rsid w:val="00087587"/>
    <w:rsid w:val="0009066A"/>
    <w:rsid w:val="0009071D"/>
    <w:rsid w:val="00090D06"/>
    <w:rsid w:val="000910A0"/>
    <w:rsid w:val="00091452"/>
    <w:rsid w:val="0009179E"/>
    <w:rsid w:val="000917B7"/>
    <w:rsid w:val="000924B4"/>
    <w:rsid w:val="000926E7"/>
    <w:rsid w:val="000927D9"/>
    <w:rsid w:val="0009294D"/>
    <w:rsid w:val="00092ABA"/>
    <w:rsid w:val="00092DCC"/>
    <w:rsid w:val="000932D4"/>
    <w:rsid w:val="00093330"/>
    <w:rsid w:val="00093368"/>
    <w:rsid w:val="0009381C"/>
    <w:rsid w:val="00093B7B"/>
    <w:rsid w:val="00094519"/>
    <w:rsid w:val="0009508C"/>
    <w:rsid w:val="0009582E"/>
    <w:rsid w:val="0009588E"/>
    <w:rsid w:val="00095A84"/>
    <w:rsid w:val="00095AE8"/>
    <w:rsid w:val="00095BF5"/>
    <w:rsid w:val="00095F61"/>
    <w:rsid w:val="000973B8"/>
    <w:rsid w:val="000976E1"/>
    <w:rsid w:val="00097A79"/>
    <w:rsid w:val="000A0D12"/>
    <w:rsid w:val="000A1AD0"/>
    <w:rsid w:val="000A21B5"/>
    <w:rsid w:val="000A21EE"/>
    <w:rsid w:val="000A231C"/>
    <w:rsid w:val="000A2346"/>
    <w:rsid w:val="000A2C23"/>
    <w:rsid w:val="000A2DA4"/>
    <w:rsid w:val="000A2F9E"/>
    <w:rsid w:val="000A37CD"/>
    <w:rsid w:val="000A3EF3"/>
    <w:rsid w:val="000A4D37"/>
    <w:rsid w:val="000A4D8F"/>
    <w:rsid w:val="000A509D"/>
    <w:rsid w:val="000A53C3"/>
    <w:rsid w:val="000A55D5"/>
    <w:rsid w:val="000A5983"/>
    <w:rsid w:val="000A5E9B"/>
    <w:rsid w:val="000A6079"/>
    <w:rsid w:val="000A63F5"/>
    <w:rsid w:val="000A67EB"/>
    <w:rsid w:val="000A69A1"/>
    <w:rsid w:val="000A6B0A"/>
    <w:rsid w:val="000A6ED5"/>
    <w:rsid w:val="000A7041"/>
    <w:rsid w:val="000A720D"/>
    <w:rsid w:val="000A7CE2"/>
    <w:rsid w:val="000B016F"/>
    <w:rsid w:val="000B044A"/>
    <w:rsid w:val="000B096C"/>
    <w:rsid w:val="000B0BCD"/>
    <w:rsid w:val="000B1151"/>
    <w:rsid w:val="000B1580"/>
    <w:rsid w:val="000B1FC6"/>
    <w:rsid w:val="000B2047"/>
    <w:rsid w:val="000B2C70"/>
    <w:rsid w:val="000B313F"/>
    <w:rsid w:val="000B3574"/>
    <w:rsid w:val="000B3C2B"/>
    <w:rsid w:val="000B3C80"/>
    <w:rsid w:val="000B3D96"/>
    <w:rsid w:val="000B4027"/>
    <w:rsid w:val="000B40FF"/>
    <w:rsid w:val="000B45C9"/>
    <w:rsid w:val="000B47AB"/>
    <w:rsid w:val="000B57E1"/>
    <w:rsid w:val="000B5EB8"/>
    <w:rsid w:val="000B63E6"/>
    <w:rsid w:val="000B6586"/>
    <w:rsid w:val="000B669F"/>
    <w:rsid w:val="000B6730"/>
    <w:rsid w:val="000B71BC"/>
    <w:rsid w:val="000B7561"/>
    <w:rsid w:val="000B764E"/>
    <w:rsid w:val="000B796E"/>
    <w:rsid w:val="000B79CF"/>
    <w:rsid w:val="000B7CAC"/>
    <w:rsid w:val="000C076D"/>
    <w:rsid w:val="000C0D04"/>
    <w:rsid w:val="000C0DBD"/>
    <w:rsid w:val="000C0F97"/>
    <w:rsid w:val="000C0FEA"/>
    <w:rsid w:val="000C14A4"/>
    <w:rsid w:val="000C1500"/>
    <w:rsid w:val="000C19A5"/>
    <w:rsid w:val="000C2066"/>
    <w:rsid w:val="000C2386"/>
    <w:rsid w:val="000C23BC"/>
    <w:rsid w:val="000C24B6"/>
    <w:rsid w:val="000C2551"/>
    <w:rsid w:val="000C28BC"/>
    <w:rsid w:val="000C2E88"/>
    <w:rsid w:val="000C386D"/>
    <w:rsid w:val="000C3CF1"/>
    <w:rsid w:val="000C3F1D"/>
    <w:rsid w:val="000C43B1"/>
    <w:rsid w:val="000C442F"/>
    <w:rsid w:val="000C4EC6"/>
    <w:rsid w:val="000C4FD4"/>
    <w:rsid w:val="000C5704"/>
    <w:rsid w:val="000C584B"/>
    <w:rsid w:val="000C59E0"/>
    <w:rsid w:val="000C5E7C"/>
    <w:rsid w:val="000C614B"/>
    <w:rsid w:val="000C651B"/>
    <w:rsid w:val="000C6E68"/>
    <w:rsid w:val="000C728B"/>
    <w:rsid w:val="000C79E6"/>
    <w:rsid w:val="000C7AC9"/>
    <w:rsid w:val="000D058E"/>
    <w:rsid w:val="000D05AC"/>
    <w:rsid w:val="000D06FC"/>
    <w:rsid w:val="000D089F"/>
    <w:rsid w:val="000D0907"/>
    <w:rsid w:val="000D1115"/>
    <w:rsid w:val="000D129A"/>
    <w:rsid w:val="000D17FC"/>
    <w:rsid w:val="000D1DD2"/>
    <w:rsid w:val="000D232D"/>
    <w:rsid w:val="000D251E"/>
    <w:rsid w:val="000D2703"/>
    <w:rsid w:val="000D2B81"/>
    <w:rsid w:val="000D2FCE"/>
    <w:rsid w:val="000D313F"/>
    <w:rsid w:val="000D320B"/>
    <w:rsid w:val="000D3513"/>
    <w:rsid w:val="000D3986"/>
    <w:rsid w:val="000D3D8A"/>
    <w:rsid w:val="000D4409"/>
    <w:rsid w:val="000D4B49"/>
    <w:rsid w:val="000D4C22"/>
    <w:rsid w:val="000D5022"/>
    <w:rsid w:val="000D525B"/>
    <w:rsid w:val="000D586C"/>
    <w:rsid w:val="000D6AD8"/>
    <w:rsid w:val="000D705C"/>
    <w:rsid w:val="000D71DC"/>
    <w:rsid w:val="000D7F9F"/>
    <w:rsid w:val="000E012B"/>
    <w:rsid w:val="000E05C3"/>
    <w:rsid w:val="000E0879"/>
    <w:rsid w:val="000E0AB1"/>
    <w:rsid w:val="000E0BE8"/>
    <w:rsid w:val="000E0FBD"/>
    <w:rsid w:val="000E106A"/>
    <w:rsid w:val="000E1602"/>
    <w:rsid w:val="000E181A"/>
    <w:rsid w:val="000E1D4D"/>
    <w:rsid w:val="000E217A"/>
    <w:rsid w:val="000E21F7"/>
    <w:rsid w:val="000E25D1"/>
    <w:rsid w:val="000E263E"/>
    <w:rsid w:val="000E2CD2"/>
    <w:rsid w:val="000E2E61"/>
    <w:rsid w:val="000E3289"/>
    <w:rsid w:val="000E346D"/>
    <w:rsid w:val="000E36CC"/>
    <w:rsid w:val="000E3A2C"/>
    <w:rsid w:val="000E3C64"/>
    <w:rsid w:val="000E3CA2"/>
    <w:rsid w:val="000E4019"/>
    <w:rsid w:val="000E423D"/>
    <w:rsid w:val="000E46A0"/>
    <w:rsid w:val="000E47C6"/>
    <w:rsid w:val="000E4EEF"/>
    <w:rsid w:val="000E50C9"/>
    <w:rsid w:val="000E5327"/>
    <w:rsid w:val="000E5362"/>
    <w:rsid w:val="000E5453"/>
    <w:rsid w:val="000E6320"/>
    <w:rsid w:val="000E6D57"/>
    <w:rsid w:val="000E6F05"/>
    <w:rsid w:val="000E6FCD"/>
    <w:rsid w:val="000E7768"/>
    <w:rsid w:val="000E78F6"/>
    <w:rsid w:val="000E7964"/>
    <w:rsid w:val="000E7F7E"/>
    <w:rsid w:val="000F0117"/>
    <w:rsid w:val="000F0133"/>
    <w:rsid w:val="000F017C"/>
    <w:rsid w:val="000F031E"/>
    <w:rsid w:val="000F0783"/>
    <w:rsid w:val="000F0A22"/>
    <w:rsid w:val="000F13BF"/>
    <w:rsid w:val="000F1795"/>
    <w:rsid w:val="000F1CF9"/>
    <w:rsid w:val="000F1F8E"/>
    <w:rsid w:val="000F2235"/>
    <w:rsid w:val="000F2548"/>
    <w:rsid w:val="000F299C"/>
    <w:rsid w:val="000F2E4F"/>
    <w:rsid w:val="000F2FE1"/>
    <w:rsid w:val="000F3215"/>
    <w:rsid w:val="000F3622"/>
    <w:rsid w:val="000F3A8A"/>
    <w:rsid w:val="000F3DE7"/>
    <w:rsid w:val="000F4070"/>
    <w:rsid w:val="000F48F0"/>
    <w:rsid w:val="000F48FD"/>
    <w:rsid w:val="000F51F7"/>
    <w:rsid w:val="000F5242"/>
    <w:rsid w:val="000F57E9"/>
    <w:rsid w:val="000F5E68"/>
    <w:rsid w:val="000F5FED"/>
    <w:rsid w:val="000F6027"/>
    <w:rsid w:val="000F6476"/>
    <w:rsid w:val="000F65F9"/>
    <w:rsid w:val="000F6765"/>
    <w:rsid w:val="000F6AE4"/>
    <w:rsid w:val="000F714A"/>
    <w:rsid w:val="000F740D"/>
    <w:rsid w:val="000F7531"/>
    <w:rsid w:val="000F79AD"/>
    <w:rsid w:val="000F7ABF"/>
    <w:rsid w:val="001013DC"/>
    <w:rsid w:val="00101995"/>
    <w:rsid w:val="00101E7E"/>
    <w:rsid w:val="00102171"/>
    <w:rsid w:val="0010218F"/>
    <w:rsid w:val="001021F5"/>
    <w:rsid w:val="00102741"/>
    <w:rsid w:val="00102B9A"/>
    <w:rsid w:val="0010319C"/>
    <w:rsid w:val="0010371E"/>
    <w:rsid w:val="0010407E"/>
    <w:rsid w:val="00104196"/>
    <w:rsid w:val="0010492F"/>
    <w:rsid w:val="00104BAA"/>
    <w:rsid w:val="00105092"/>
    <w:rsid w:val="001052D5"/>
    <w:rsid w:val="00105748"/>
    <w:rsid w:val="00105948"/>
    <w:rsid w:val="001067B4"/>
    <w:rsid w:val="00106A98"/>
    <w:rsid w:val="00106CC0"/>
    <w:rsid w:val="00106EA9"/>
    <w:rsid w:val="00106EC2"/>
    <w:rsid w:val="00107770"/>
    <w:rsid w:val="00107C67"/>
    <w:rsid w:val="00107C95"/>
    <w:rsid w:val="00107E12"/>
    <w:rsid w:val="00110D6E"/>
    <w:rsid w:val="00110E4E"/>
    <w:rsid w:val="00111551"/>
    <w:rsid w:val="00111869"/>
    <w:rsid w:val="00112764"/>
    <w:rsid w:val="001128DF"/>
    <w:rsid w:val="0011294E"/>
    <w:rsid w:val="00113A21"/>
    <w:rsid w:val="00113ACE"/>
    <w:rsid w:val="00114097"/>
    <w:rsid w:val="001141D7"/>
    <w:rsid w:val="00114210"/>
    <w:rsid w:val="00114885"/>
    <w:rsid w:val="00114B7A"/>
    <w:rsid w:val="00114DCF"/>
    <w:rsid w:val="00114FF2"/>
    <w:rsid w:val="00115277"/>
    <w:rsid w:val="001156E4"/>
    <w:rsid w:val="001157FC"/>
    <w:rsid w:val="0011599D"/>
    <w:rsid w:val="001168BD"/>
    <w:rsid w:val="00116971"/>
    <w:rsid w:val="00116B7C"/>
    <w:rsid w:val="00116DEE"/>
    <w:rsid w:val="00117618"/>
    <w:rsid w:val="00117724"/>
    <w:rsid w:val="0011777F"/>
    <w:rsid w:val="00117D0C"/>
    <w:rsid w:val="00117E51"/>
    <w:rsid w:val="00117EE9"/>
    <w:rsid w:val="0012006C"/>
    <w:rsid w:val="001205B5"/>
    <w:rsid w:val="001206C9"/>
    <w:rsid w:val="0012083E"/>
    <w:rsid w:val="00120F5A"/>
    <w:rsid w:val="0012104F"/>
    <w:rsid w:val="00121054"/>
    <w:rsid w:val="001210BB"/>
    <w:rsid w:val="0012136B"/>
    <w:rsid w:val="001217CF"/>
    <w:rsid w:val="00121AC9"/>
    <w:rsid w:val="00121C23"/>
    <w:rsid w:val="0012229A"/>
    <w:rsid w:val="001223FD"/>
    <w:rsid w:val="001224F0"/>
    <w:rsid w:val="00122651"/>
    <w:rsid w:val="0012277E"/>
    <w:rsid w:val="00123180"/>
    <w:rsid w:val="00123470"/>
    <w:rsid w:val="00123AB4"/>
    <w:rsid w:val="001242A4"/>
    <w:rsid w:val="00124729"/>
    <w:rsid w:val="00125110"/>
    <w:rsid w:val="00125405"/>
    <w:rsid w:val="001258E9"/>
    <w:rsid w:val="001260FB"/>
    <w:rsid w:val="001260FE"/>
    <w:rsid w:val="00126C7E"/>
    <w:rsid w:val="0012714D"/>
    <w:rsid w:val="0012730F"/>
    <w:rsid w:val="00127FED"/>
    <w:rsid w:val="001300BA"/>
    <w:rsid w:val="00130390"/>
    <w:rsid w:val="00130687"/>
    <w:rsid w:val="00130F1F"/>
    <w:rsid w:val="00131BCA"/>
    <w:rsid w:val="00131CE1"/>
    <w:rsid w:val="00132BC1"/>
    <w:rsid w:val="00132C71"/>
    <w:rsid w:val="00133E6E"/>
    <w:rsid w:val="00133F5B"/>
    <w:rsid w:val="00133F99"/>
    <w:rsid w:val="00134513"/>
    <w:rsid w:val="00135210"/>
    <w:rsid w:val="001354CA"/>
    <w:rsid w:val="0013568D"/>
    <w:rsid w:val="00135D80"/>
    <w:rsid w:val="00135FD3"/>
    <w:rsid w:val="001368FC"/>
    <w:rsid w:val="00136A82"/>
    <w:rsid w:val="001375E2"/>
    <w:rsid w:val="0013771B"/>
    <w:rsid w:val="00137C5A"/>
    <w:rsid w:val="00137FE5"/>
    <w:rsid w:val="001405DD"/>
    <w:rsid w:val="00140917"/>
    <w:rsid w:val="001409AE"/>
    <w:rsid w:val="00140C89"/>
    <w:rsid w:val="00140F4D"/>
    <w:rsid w:val="001414D4"/>
    <w:rsid w:val="00141C9C"/>
    <w:rsid w:val="001424A4"/>
    <w:rsid w:val="001427C0"/>
    <w:rsid w:val="0014348A"/>
    <w:rsid w:val="0014390A"/>
    <w:rsid w:val="00143BB2"/>
    <w:rsid w:val="0014422A"/>
    <w:rsid w:val="00144D5B"/>
    <w:rsid w:val="00144D89"/>
    <w:rsid w:val="001454F0"/>
    <w:rsid w:val="001457F1"/>
    <w:rsid w:val="00145C21"/>
    <w:rsid w:val="0014622E"/>
    <w:rsid w:val="00146400"/>
    <w:rsid w:val="00146514"/>
    <w:rsid w:val="00146BE5"/>
    <w:rsid w:val="00146D03"/>
    <w:rsid w:val="00147A23"/>
    <w:rsid w:val="00147C93"/>
    <w:rsid w:val="00150130"/>
    <w:rsid w:val="00150310"/>
    <w:rsid w:val="001504E5"/>
    <w:rsid w:val="0015088E"/>
    <w:rsid w:val="00150D23"/>
    <w:rsid w:val="00150E3D"/>
    <w:rsid w:val="00151716"/>
    <w:rsid w:val="001522BC"/>
    <w:rsid w:val="00152424"/>
    <w:rsid w:val="00152BD3"/>
    <w:rsid w:val="00152C6C"/>
    <w:rsid w:val="0015410F"/>
    <w:rsid w:val="0015472E"/>
    <w:rsid w:val="00154B81"/>
    <w:rsid w:val="0015501C"/>
    <w:rsid w:val="00155B09"/>
    <w:rsid w:val="00155B3E"/>
    <w:rsid w:val="00155DF4"/>
    <w:rsid w:val="001561E9"/>
    <w:rsid w:val="00156302"/>
    <w:rsid w:val="0015651A"/>
    <w:rsid w:val="00156566"/>
    <w:rsid w:val="001566CC"/>
    <w:rsid w:val="00156C11"/>
    <w:rsid w:val="00156FB4"/>
    <w:rsid w:val="001571F4"/>
    <w:rsid w:val="00157588"/>
    <w:rsid w:val="001576D3"/>
    <w:rsid w:val="00157AD6"/>
    <w:rsid w:val="00157EE3"/>
    <w:rsid w:val="00157F08"/>
    <w:rsid w:val="001603D2"/>
    <w:rsid w:val="00161316"/>
    <w:rsid w:val="0016192C"/>
    <w:rsid w:val="00161A45"/>
    <w:rsid w:val="00161C86"/>
    <w:rsid w:val="00161D40"/>
    <w:rsid w:val="00161D82"/>
    <w:rsid w:val="00161FD3"/>
    <w:rsid w:val="00162146"/>
    <w:rsid w:val="00162275"/>
    <w:rsid w:val="00162677"/>
    <w:rsid w:val="00162C70"/>
    <w:rsid w:val="00163534"/>
    <w:rsid w:val="00163A81"/>
    <w:rsid w:val="00163ABC"/>
    <w:rsid w:val="00163B65"/>
    <w:rsid w:val="00163F55"/>
    <w:rsid w:val="00163FA4"/>
    <w:rsid w:val="00164540"/>
    <w:rsid w:val="0016470F"/>
    <w:rsid w:val="00164723"/>
    <w:rsid w:val="00164A31"/>
    <w:rsid w:val="00164ECE"/>
    <w:rsid w:val="00165152"/>
    <w:rsid w:val="00165385"/>
    <w:rsid w:val="00165571"/>
    <w:rsid w:val="001661A3"/>
    <w:rsid w:val="0016623F"/>
    <w:rsid w:val="00166377"/>
    <w:rsid w:val="001663AD"/>
    <w:rsid w:val="0016651E"/>
    <w:rsid w:val="001667C9"/>
    <w:rsid w:val="00166AB8"/>
    <w:rsid w:val="00166B01"/>
    <w:rsid w:val="00166EBF"/>
    <w:rsid w:val="00166F96"/>
    <w:rsid w:val="001672B3"/>
    <w:rsid w:val="001672EE"/>
    <w:rsid w:val="00167353"/>
    <w:rsid w:val="0016776D"/>
    <w:rsid w:val="00167809"/>
    <w:rsid w:val="001678AA"/>
    <w:rsid w:val="001678C1"/>
    <w:rsid w:val="00167994"/>
    <w:rsid w:val="0017030D"/>
    <w:rsid w:val="0017096E"/>
    <w:rsid w:val="001709D6"/>
    <w:rsid w:val="00170F81"/>
    <w:rsid w:val="001713BC"/>
    <w:rsid w:val="00171528"/>
    <w:rsid w:val="0017153C"/>
    <w:rsid w:val="001715F9"/>
    <w:rsid w:val="00171885"/>
    <w:rsid w:val="001720EE"/>
    <w:rsid w:val="0017220F"/>
    <w:rsid w:val="00172714"/>
    <w:rsid w:val="00172C20"/>
    <w:rsid w:val="00173000"/>
    <w:rsid w:val="00173414"/>
    <w:rsid w:val="001735E7"/>
    <w:rsid w:val="001737BC"/>
    <w:rsid w:val="00173C61"/>
    <w:rsid w:val="00174297"/>
    <w:rsid w:val="00174723"/>
    <w:rsid w:val="00174724"/>
    <w:rsid w:val="00174E9D"/>
    <w:rsid w:val="00175009"/>
    <w:rsid w:val="001751D1"/>
    <w:rsid w:val="001752DC"/>
    <w:rsid w:val="00175374"/>
    <w:rsid w:val="00175506"/>
    <w:rsid w:val="001761B2"/>
    <w:rsid w:val="001762EF"/>
    <w:rsid w:val="0017645C"/>
    <w:rsid w:val="0017665F"/>
    <w:rsid w:val="00176792"/>
    <w:rsid w:val="001769B2"/>
    <w:rsid w:val="00177253"/>
    <w:rsid w:val="001772BF"/>
    <w:rsid w:val="00177428"/>
    <w:rsid w:val="001775FC"/>
    <w:rsid w:val="00177B3E"/>
    <w:rsid w:val="00177E11"/>
    <w:rsid w:val="00177FDB"/>
    <w:rsid w:val="00177FF1"/>
    <w:rsid w:val="00180E06"/>
    <w:rsid w:val="00181295"/>
    <w:rsid w:val="0018170F"/>
    <w:rsid w:val="001818FC"/>
    <w:rsid w:val="001820D4"/>
    <w:rsid w:val="00182131"/>
    <w:rsid w:val="001822DC"/>
    <w:rsid w:val="0018238F"/>
    <w:rsid w:val="001827A0"/>
    <w:rsid w:val="001827AA"/>
    <w:rsid w:val="00182B37"/>
    <w:rsid w:val="00182F32"/>
    <w:rsid w:val="00183158"/>
    <w:rsid w:val="0018366F"/>
    <w:rsid w:val="00183794"/>
    <w:rsid w:val="00183854"/>
    <w:rsid w:val="0018395B"/>
    <w:rsid w:val="00183BE8"/>
    <w:rsid w:val="001843E5"/>
    <w:rsid w:val="00184474"/>
    <w:rsid w:val="001844AF"/>
    <w:rsid w:val="00184DF5"/>
    <w:rsid w:val="00184FE2"/>
    <w:rsid w:val="001851AC"/>
    <w:rsid w:val="001851BF"/>
    <w:rsid w:val="0018521F"/>
    <w:rsid w:val="00185735"/>
    <w:rsid w:val="00186005"/>
    <w:rsid w:val="00186037"/>
    <w:rsid w:val="00186986"/>
    <w:rsid w:val="00187267"/>
    <w:rsid w:val="00187604"/>
    <w:rsid w:val="00187740"/>
    <w:rsid w:val="001878CF"/>
    <w:rsid w:val="00187908"/>
    <w:rsid w:val="00187A0E"/>
    <w:rsid w:val="00187E53"/>
    <w:rsid w:val="001900B6"/>
    <w:rsid w:val="001900BC"/>
    <w:rsid w:val="001914DD"/>
    <w:rsid w:val="0019152E"/>
    <w:rsid w:val="001916C6"/>
    <w:rsid w:val="00191B5D"/>
    <w:rsid w:val="00191E39"/>
    <w:rsid w:val="00192007"/>
    <w:rsid w:val="0019225C"/>
    <w:rsid w:val="0019236E"/>
    <w:rsid w:val="001936A8"/>
    <w:rsid w:val="00193B41"/>
    <w:rsid w:val="00193E9E"/>
    <w:rsid w:val="00194195"/>
    <w:rsid w:val="001942BE"/>
    <w:rsid w:val="00194337"/>
    <w:rsid w:val="0019444D"/>
    <w:rsid w:val="00194666"/>
    <w:rsid w:val="00194802"/>
    <w:rsid w:val="00194F9C"/>
    <w:rsid w:val="001951CA"/>
    <w:rsid w:val="001953A7"/>
    <w:rsid w:val="00195B3C"/>
    <w:rsid w:val="00195E17"/>
    <w:rsid w:val="00195EA7"/>
    <w:rsid w:val="001961EC"/>
    <w:rsid w:val="001967F0"/>
    <w:rsid w:val="00196921"/>
    <w:rsid w:val="00196A39"/>
    <w:rsid w:val="00196A8F"/>
    <w:rsid w:val="00196FA4"/>
    <w:rsid w:val="00197AE5"/>
    <w:rsid w:val="00197C7E"/>
    <w:rsid w:val="001A00D0"/>
    <w:rsid w:val="001A0293"/>
    <w:rsid w:val="001A0404"/>
    <w:rsid w:val="001A084D"/>
    <w:rsid w:val="001A0A9F"/>
    <w:rsid w:val="001A0CA1"/>
    <w:rsid w:val="001A0D8C"/>
    <w:rsid w:val="001A147D"/>
    <w:rsid w:val="001A1584"/>
    <w:rsid w:val="001A1B82"/>
    <w:rsid w:val="001A1CF9"/>
    <w:rsid w:val="001A1D54"/>
    <w:rsid w:val="001A1E29"/>
    <w:rsid w:val="001A2181"/>
    <w:rsid w:val="001A2257"/>
    <w:rsid w:val="001A29D2"/>
    <w:rsid w:val="001A2AA2"/>
    <w:rsid w:val="001A2E12"/>
    <w:rsid w:val="001A2E1A"/>
    <w:rsid w:val="001A304B"/>
    <w:rsid w:val="001A3283"/>
    <w:rsid w:val="001A3963"/>
    <w:rsid w:val="001A3C6C"/>
    <w:rsid w:val="001A3DAC"/>
    <w:rsid w:val="001A42CC"/>
    <w:rsid w:val="001A461A"/>
    <w:rsid w:val="001A4703"/>
    <w:rsid w:val="001A4717"/>
    <w:rsid w:val="001A4A82"/>
    <w:rsid w:val="001A4B2D"/>
    <w:rsid w:val="001A4F65"/>
    <w:rsid w:val="001A55A2"/>
    <w:rsid w:val="001A57CB"/>
    <w:rsid w:val="001A5975"/>
    <w:rsid w:val="001A59D7"/>
    <w:rsid w:val="001A5A99"/>
    <w:rsid w:val="001A5BAC"/>
    <w:rsid w:val="001A685A"/>
    <w:rsid w:val="001A6886"/>
    <w:rsid w:val="001A6BA6"/>
    <w:rsid w:val="001A6D9E"/>
    <w:rsid w:val="001A72D3"/>
    <w:rsid w:val="001A785F"/>
    <w:rsid w:val="001A79F1"/>
    <w:rsid w:val="001A7C9C"/>
    <w:rsid w:val="001A7EEE"/>
    <w:rsid w:val="001B054F"/>
    <w:rsid w:val="001B0DF4"/>
    <w:rsid w:val="001B0F3C"/>
    <w:rsid w:val="001B1505"/>
    <w:rsid w:val="001B19BD"/>
    <w:rsid w:val="001B21D6"/>
    <w:rsid w:val="001B230F"/>
    <w:rsid w:val="001B2318"/>
    <w:rsid w:val="001B26AB"/>
    <w:rsid w:val="001B28C3"/>
    <w:rsid w:val="001B3405"/>
    <w:rsid w:val="001B3B2F"/>
    <w:rsid w:val="001B3FC7"/>
    <w:rsid w:val="001B4338"/>
    <w:rsid w:val="001B43A2"/>
    <w:rsid w:val="001B43ED"/>
    <w:rsid w:val="001B499B"/>
    <w:rsid w:val="001B4AD6"/>
    <w:rsid w:val="001B4B20"/>
    <w:rsid w:val="001B4C5A"/>
    <w:rsid w:val="001B54AA"/>
    <w:rsid w:val="001B5998"/>
    <w:rsid w:val="001B5D13"/>
    <w:rsid w:val="001B5DDF"/>
    <w:rsid w:val="001B60EF"/>
    <w:rsid w:val="001B7683"/>
    <w:rsid w:val="001B7769"/>
    <w:rsid w:val="001B7C66"/>
    <w:rsid w:val="001B7D28"/>
    <w:rsid w:val="001C0808"/>
    <w:rsid w:val="001C0DCF"/>
    <w:rsid w:val="001C18FE"/>
    <w:rsid w:val="001C1B71"/>
    <w:rsid w:val="001C1E11"/>
    <w:rsid w:val="001C2777"/>
    <w:rsid w:val="001C279E"/>
    <w:rsid w:val="001C27DE"/>
    <w:rsid w:val="001C2B85"/>
    <w:rsid w:val="001C2D05"/>
    <w:rsid w:val="001C2F20"/>
    <w:rsid w:val="001C2FD5"/>
    <w:rsid w:val="001C31E5"/>
    <w:rsid w:val="001C376B"/>
    <w:rsid w:val="001C39AE"/>
    <w:rsid w:val="001C3DB4"/>
    <w:rsid w:val="001C4C3E"/>
    <w:rsid w:val="001C52EE"/>
    <w:rsid w:val="001C5405"/>
    <w:rsid w:val="001C57C4"/>
    <w:rsid w:val="001C5AAB"/>
    <w:rsid w:val="001C5C70"/>
    <w:rsid w:val="001C62B0"/>
    <w:rsid w:val="001C6358"/>
    <w:rsid w:val="001C63DF"/>
    <w:rsid w:val="001C646D"/>
    <w:rsid w:val="001C6ADB"/>
    <w:rsid w:val="001C70FD"/>
    <w:rsid w:val="001C7FD2"/>
    <w:rsid w:val="001D002C"/>
    <w:rsid w:val="001D0879"/>
    <w:rsid w:val="001D0B04"/>
    <w:rsid w:val="001D0EE8"/>
    <w:rsid w:val="001D1071"/>
    <w:rsid w:val="001D11B8"/>
    <w:rsid w:val="001D13AE"/>
    <w:rsid w:val="001D1B3A"/>
    <w:rsid w:val="001D1B97"/>
    <w:rsid w:val="001D1C0C"/>
    <w:rsid w:val="001D2067"/>
    <w:rsid w:val="001D207A"/>
    <w:rsid w:val="001D22EE"/>
    <w:rsid w:val="001D24D3"/>
    <w:rsid w:val="001D2614"/>
    <w:rsid w:val="001D27B9"/>
    <w:rsid w:val="001D2920"/>
    <w:rsid w:val="001D2B4F"/>
    <w:rsid w:val="001D3121"/>
    <w:rsid w:val="001D355E"/>
    <w:rsid w:val="001D360C"/>
    <w:rsid w:val="001D39F2"/>
    <w:rsid w:val="001D43B1"/>
    <w:rsid w:val="001D4693"/>
    <w:rsid w:val="001D48AA"/>
    <w:rsid w:val="001D4B3A"/>
    <w:rsid w:val="001D4E41"/>
    <w:rsid w:val="001D524B"/>
    <w:rsid w:val="001D5320"/>
    <w:rsid w:val="001D5343"/>
    <w:rsid w:val="001D5D22"/>
    <w:rsid w:val="001D6819"/>
    <w:rsid w:val="001D73BA"/>
    <w:rsid w:val="001D7618"/>
    <w:rsid w:val="001D773F"/>
    <w:rsid w:val="001D788B"/>
    <w:rsid w:val="001D7B5F"/>
    <w:rsid w:val="001E026C"/>
    <w:rsid w:val="001E04A0"/>
    <w:rsid w:val="001E0647"/>
    <w:rsid w:val="001E0E1D"/>
    <w:rsid w:val="001E0EEC"/>
    <w:rsid w:val="001E136E"/>
    <w:rsid w:val="001E1408"/>
    <w:rsid w:val="001E181F"/>
    <w:rsid w:val="001E1845"/>
    <w:rsid w:val="001E1852"/>
    <w:rsid w:val="001E21AC"/>
    <w:rsid w:val="001E221D"/>
    <w:rsid w:val="001E234B"/>
    <w:rsid w:val="001E2667"/>
    <w:rsid w:val="001E2B53"/>
    <w:rsid w:val="001E2D30"/>
    <w:rsid w:val="001E2DFA"/>
    <w:rsid w:val="001E34BD"/>
    <w:rsid w:val="001E3AE5"/>
    <w:rsid w:val="001E3F39"/>
    <w:rsid w:val="001E4209"/>
    <w:rsid w:val="001E4406"/>
    <w:rsid w:val="001E44BE"/>
    <w:rsid w:val="001E4507"/>
    <w:rsid w:val="001E45CA"/>
    <w:rsid w:val="001E4A95"/>
    <w:rsid w:val="001E4DB3"/>
    <w:rsid w:val="001E4E0E"/>
    <w:rsid w:val="001E4E42"/>
    <w:rsid w:val="001E4FAD"/>
    <w:rsid w:val="001E506E"/>
    <w:rsid w:val="001E5257"/>
    <w:rsid w:val="001E565E"/>
    <w:rsid w:val="001E5A5A"/>
    <w:rsid w:val="001E5B71"/>
    <w:rsid w:val="001E608F"/>
    <w:rsid w:val="001E626B"/>
    <w:rsid w:val="001E64E4"/>
    <w:rsid w:val="001E6A2C"/>
    <w:rsid w:val="001E6C89"/>
    <w:rsid w:val="001E710C"/>
    <w:rsid w:val="001E726F"/>
    <w:rsid w:val="001E738A"/>
    <w:rsid w:val="001E7933"/>
    <w:rsid w:val="001E7E69"/>
    <w:rsid w:val="001F0283"/>
    <w:rsid w:val="001F0CBE"/>
    <w:rsid w:val="001F0FCA"/>
    <w:rsid w:val="001F1106"/>
    <w:rsid w:val="001F133D"/>
    <w:rsid w:val="001F1FE2"/>
    <w:rsid w:val="001F28B4"/>
    <w:rsid w:val="001F2A10"/>
    <w:rsid w:val="001F2C16"/>
    <w:rsid w:val="001F2D0E"/>
    <w:rsid w:val="001F3737"/>
    <w:rsid w:val="001F3790"/>
    <w:rsid w:val="001F383E"/>
    <w:rsid w:val="001F3B28"/>
    <w:rsid w:val="001F3CE4"/>
    <w:rsid w:val="001F4104"/>
    <w:rsid w:val="001F410F"/>
    <w:rsid w:val="001F440C"/>
    <w:rsid w:val="001F4DDD"/>
    <w:rsid w:val="001F4EE4"/>
    <w:rsid w:val="001F4F12"/>
    <w:rsid w:val="001F5FE5"/>
    <w:rsid w:val="001F600E"/>
    <w:rsid w:val="001F621B"/>
    <w:rsid w:val="001F6C75"/>
    <w:rsid w:val="001F7196"/>
    <w:rsid w:val="001F7C14"/>
    <w:rsid w:val="001F7EE4"/>
    <w:rsid w:val="00200007"/>
    <w:rsid w:val="0020012F"/>
    <w:rsid w:val="0020013F"/>
    <w:rsid w:val="00200D96"/>
    <w:rsid w:val="0020145F"/>
    <w:rsid w:val="00201504"/>
    <w:rsid w:val="00201698"/>
    <w:rsid w:val="0020176F"/>
    <w:rsid w:val="002018DD"/>
    <w:rsid w:val="0020197D"/>
    <w:rsid w:val="00201B99"/>
    <w:rsid w:val="00201C9C"/>
    <w:rsid w:val="002021B4"/>
    <w:rsid w:val="00202448"/>
    <w:rsid w:val="002028DF"/>
    <w:rsid w:val="00202A52"/>
    <w:rsid w:val="00202BD5"/>
    <w:rsid w:val="00202F9C"/>
    <w:rsid w:val="00203BDC"/>
    <w:rsid w:val="00203C6A"/>
    <w:rsid w:val="00203E8B"/>
    <w:rsid w:val="00203F64"/>
    <w:rsid w:val="002041DC"/>
    <w:rsid w:val="002042B1"/>
    <w:rsid w:val="002042BD"/>
    <w:rsid w:val="00204DA1"/>
    <w:rsid w:val="00205322"/>
    <w:rsid w:val="0020575E"/>
    <w:rsid w:val="00205771"/>
    <w:rsid w:val="00205A43"/>
    <w:rsid w:val="00206078"/>
    <w:rsid w:val="002060EC"/>
    <w:rsid w:val="0020637A"/>
    <w:rsid w:val="002064A3"/>
    <w:rsid w:val="0020668E"/>
    <w:rsid w:val="0020679B"/>
    <w:rsid w:val="00206A7D"/>
    <w:rsid w:val="00206AC0"/>
    <w:rsid w:val="00206CA5"/>
    <w:rsid w:val="00207038"/>
    <w:rsid w:val="002070C4"/>
    <w:rsid w:val="00207B2D"/>
    <w:rsid w:val="0021028E"/>
    <w:rsid w:val="002103B0"/>
    <w:rsid w:val="00210539"/>
    <w:rsid w:val="002106DE"/>
    <w:rsid w:val="002108CC"/>
    <w:rsid w:val="00210E18"/>
    <w:rsid w:val="00211372"/>
    <w:rsid w:val="0021142A"/>
    <w:rsid w:val="002119CD"/>
    <w:rsid w:val="002119D1"/>
    <w:rsid w:val="00211A3A"/>
    <w:rsid w:val="00211D2E"/>
    <w:rsid w:val="00211DA5"/>
    <w:rsid w:val="00211DC0"/>
    <w:rsid w:val="0021228A"/>
    <w:rsid w:val="0021298B"/>
    <w:rsid w:val="00212B3A"/>
    <w:rsid w:val="002132F4"/>
    <w:rsid w:val="002134ED"/>
    <w:rsid w:val="002135CE"/>
    <w:rsid w:val="0021373F"/>
    <w:rsid w:val="00213743"/>
    <w:rsid w:val="002138EB"/>
    <w:rsid w:val="00213A65"/>
    <w:rsid w:val="00213C1E"/>
    <w:rsid w:val="00213C7E"/>
    <w:rsid w:val="0021419D"/>
    <w:rsid w:val="00214EBA"/>
    <w:rsid w:val="00214F3F"/>
    <w:rsid w:val="00215DB3"/>
    <w:rsid w:val="00215F9B"/>
    <w:rsid w:val="0021605A"/>
    <w:rsid w:val="00216174"/>
    <w:rsid w:val="00216369"/>
    <w:rsid w:val="002166AA"/>
    <w:rsid w:val="00216963"/>
    <w:rsid w:val="00216B11"/>
    <w:rsid w:val="00216BE4"/>
    <w:rsid w:val="00216CB6"/>
    <w:rsid w:val="00216CDC"/>
    <w:rsid w:val="002175F5"/>
    <w:rsid w:val="00217F0C"/>
    <w:rsid w:val="002202E2"/>
    <w:rsid w:val="002204E2"/>
    <w:rsid w:val="00221313"/>
    <w:rsid w:val="00221335"/>
    <w:rsid w:val="00221C6B"/>
    <w:rsid w:val="00221EEC"/>
    <w:rsid w:val="002224C9"/>
    <w:rsid w:val="00222524"/>
    <w:rsid w:val="0022279D"/>
    <w:rsid w:val="002228F7"/>
    <w:rsid w:val="0022293B"/>
    <w:rsid w:val="00222CEA"/>
    <w:rsid w:val="00222EBC"/>
    <w:rsid w:val="0022323B"/>
    <w:rsid w:val="002236A5"/>
    <w:rsid w:val="00223855"/>
    <w:rsid w:val="002239C8"/>
    <w:rsid w:val="00224F3C"/>
    <w:rsid w:val="002256FC"/>
    <w:rsid w:val="0022616B"/>
    <w:rsid w:val="002263D2"/>
    <w:rsid w:val="00226673"/>
    <w:rsid w:val="00226B4C"/>
    <w:rsid w:val="00226FB6"/>
    <w:rsid w:val="0022712F"/>
    <w:rsid w:val="002271A2"/>
    <w:rsid w:val="0022764E"/>
    <w:rsid w:val="00227793"/>
    <w:rsid w:val="002277D9"/>
    <w:rsid w:val="00227A67"/>
    <w:rsid w:val="00227C8B"/>
    <w:rsid w:val="002300AD"/>
    <w:rsid w:val="0023030D"/>
    <w:rsid w:val="002305FD"/>
    <w:rsid w:val="00230DD9"/>
    <w:rsid w:val="002311D6"/>
    <w:rsid w:val="00231641"/>
    <w:rsid w:val="00231F61"/>
    <w:rsid w:val="00232312"/>
    <w:rsid w:val="00232986"/>
    <w:rsid w:val="00232C6F"/>
    <w:rsid w:val="00233246"/>
    <w:rsid w:val="00233880"/>
    <w:rsid w:val="00233941"/>
    <w:rsid w:val="00233D8A"/>
    <w:rsid w:val="00233F36"/>
    <w:rsid w:val="00234134"/>
    <w:rsid w:val="002342A6"/>
    <w:rsid w:val="002348B6"/>
    <w:rsid w:val="00234B37"/>
    <w:rsid w:val="00234C39"/>
    <w:rsid w:val="00234EF2"/>
    <w:rsid w:val="00235094"/>
    <w:rsid w:val="00235338"/>
    <w:rsid w:val="00235761"/>
    <w:rsid w:val="00235CB7"/>
    <w:rsid w:val="00235E74"/>
    <w:rsid w:val="00235EAF"/>
    <w:rsid w:val="002361BE"/>
    <w:rsid w:val="00236246"/>
    <w:rsid w:val="0023688B"/>
    <w:rsid w:val="00236FB2"/>
    <w:rsid w:val="0023718D"/>
    <w:rsid w:val="0023765A"/>
    <w:rsid w:val="00237763"/>
    <w:rsid w:val="0023796C"/>
    <w:rsid w:val="00237A72"/>
    <w:rsid w:val="00240209"/>
    <w:rsid w:val="00240705"/>
    <w:rsid w:val="0024094F"/>
    <w:rsid w:val="0024169F"/>
    <w:rsid w:val="0024170A"/>
    <w:rsid w:val="0024180A"/>
    <w:rsid w:val="002420B6"/>
    <w:rsid w:val="0024286A"/>
    <w:rsid w:val="00242E73"/>
    <w:rsid w:val="002435C8"/>
    <w:rsid w:val="0024373D"/>
    <w:rsid w:val="002437C9"/>
    <w:rsid w:val="00243920"/>
    <w:rsid w:val="00243AED"/>
    <w:rsid w:val="00243C96"/>
    <w:rsid w:val="0024490F"/>
    <w:rsid w:val="00244975"/>
    <w:rsid w:val="00244A7A"/>
    <w:rsid w:val="0024513C"/>
    <w:rsid w:val="002453F9"/>
    <w:rsid w:val="002456CF"/>
    <w:rsid w:val="00245B91"/>
    <w:rsid w:val="00245C7D"/>
    <w:rsid w:val="00245DFC"/>
    <w:rsid w:val="0024627E"/>
    <w:rsid w:val="00246E15"/>
    <w:rsid w:val="002470B8"/>
    <w:rsid w:val="002471E0"/>
    <w:rsid w:val="0024728F"/>
    <w:rsid w:val="002475D3"/>
    <w:rsid w:val="00247654"/>
    <w:rsid w:val="002476E6"/>
    <w:rsid w:val="002479FD"/>
    <w:rsid w:val="00247E79"/>
    <w:rsid w:val="0025074D"/>
    <w:rsid w:val="002508ED"/>
    <w:rsid w:val="002509E2"/>
    <w:rsid w:val="00250FB6"/>
    <w:rsid w:val="002511B0"/>
    <w:rsid w:val="00251390"/>
    <w:rsid w:val="002516EA"/>
    <w:rsid w:val="0025193D"/>
    <w:rsid w:val="00251B23"/>
    <w:rsid w:val="00251E03"/>
    <w:rsid w:val="002520FA"/>
    <w:rsid w:val="00252AB0"/>
    <w:rsid w:val="00252C73"/>
    <w:rsid w:val="00252C96"/>
    <w:rsid w:val="00252F3B"/>
    <w:rsid w:val="00253450"/>
    <w:rsid w:val="0025356E"/>
    <w:rsid w:val="0025374D"/>
    <w:rsid w:val="00253BD1"/>
    <w:rsid w:val="00253D37"/>
    <w:rsid w:val="00253EAA"/>
    <w:rsid w:val="00253F52"/>
    <w:rsid w:val="00254237"/>
    <w:rsid w:val="002542F3"/>
    <w:rsid w:val="002543AE"/>
    <w:rsid w:val="002544F2"/>
    <w:rsid w:val="00254531"/>
    <w:rsid w:val="002547EB"/>
    <w:rsid w:val="00254AC0"/>
    <w:rsid w:val="00254E86"/>
    <w:rsid w:val="002552AD"/>
    <w:rsid w:val="002552D1"/>
    <w:rsid w:val="0025541E"/>
    <w:rsid w:val="0025571F"/>
    <w:rsid w:val="00255773"/>
    <w:rsid w:val="00255774"/>
    <w:rsid w:val="0025643E"/>
    <w:rsid w:val="002565AB"/>
    <w:rsid w:val="00256D8E"/>
    <w:rsid w:val="00256DCB"/>
    <w:rsid w:val="00257074"/>
    <w:rsid w:val="00257189"/>
    <w:rsid w:val="0025719A"/>
    <w:rsid w:val="002577D4"/>
    <w:rsid w:val="00257AF4"/>
    <w:rsid w:val="00257C1B"/>
    <w:rsid w:val="00257CF3"/>
    <w:rsid w:val="00257F76"/>
    <w:rsid w:val="00260148"/>
    <w:rsid w:val="002602BD"/>
    <w:rsid w:val="0026164D"/>
    <w:rsid w:val="002619A4"/>
    <w:rsid w:val="00261B7D"/>
    <w:rsid w:val="002621AD"/>
    <w:rsid w:val="002622FB"/>
    <w:rsid w:val="0026231D"/>
    <w:rsid w:val="00262B32"/>
    <w:rsid w:val="0026332E"/>
    <w:rsid w:val="002637DD"/>
    <w:rsid w:val="00263970"/>
    <w:rsid w:val="00263CB0"/>
    <w:rsid w:val="00264247"/>
    <w:rsid w:val="0026438F"/>
    <w:rsid w:val="00264A5A"/>
    <w:rsid w:val="00264A70"/>
    <w:rsid w:val="00265063"/>
    <w:rsid w:val="0026586A"/>
    <w:rsid w:val="002658FB"/>
    <w:rsid w:val="00265A6F"/>
    <w:rsid w:val="002675C2"/>
    <w:rsid w:val="00267BC8"/>
    <w:rsid w:val="0027001B"/>
    <w:rsid w:val="002703D5"/>
    <w:rsid w:val="002703EB"/>
    <w:rsid w:val="002704BA"/>
    <w:rsid w:val="00270937"/>
    <w:rsid w:val="00270A51"/>
    <w:rsid w:val="00270A71"/>
    <w:rsid w:val="00270BA1"/>
    <w:rsid w:val="002713BA"/>
    <w:rsid w:val="0027141B"/>
    <w:rsid w:val="002714B4"/>
    <w:rsid w:val="00271750"/>
    <w:rsid w:val="0027182F"/>
    <w:rsid w:val="00272880"/>
    <w:rsid w:val="002728A9"/>
    <w:rsid w:val="00272B83"/>
    <w:rsid w:val="0027386D"/>
    <w:rsid w:val="002739C3"/>
    <w:rsid w:val="00273BB6"/>
    <w:rsid w:val="002743F7"/>
    <w:rsid w:val="00274853"/>
    <w:rsid w:val="00274A43"/>
    <w:rsid w:val="002751E2"/>
    <w:rsid w:val="002753ED"/>
    <w:rsid w:val="00275454"/>
    <w:rsid w:val="00275988"/>
    <w:rsid w:val="00275C55"/>
    <w:rsid w:val="002764CF"/>
    <w:rsid w:val="002767FC"/>
    <w:rsid w:val="00276A4E"/>
    <w:rsid w:val="00276AC5"/>
    <w:rsid w:val="00276B3E"/>
    <w:rsid w:val="00276E8D"/>
    <w:rsid w:val="00276EBA"/>
    <w:rsid w:val="00276FFF"/>
    <w:rsid w:val="002773FE"/>
    <w:rsid w:val="00277F42"/>
    <w:rsid w:val="00280403"/>
    <w:rsid w:val="002805B1"/>
    <w:rsid w:val="00280946"/>
    <w:rsid w:val="00280F61"/>
    <w:rsid w:val="00281820"/>
    <w:rsid w:val="00281C44"/>
    <w:rsid w:val="00281DB2"/>
    <w:rsid w:val="00281F70"/>
    <w:rsid w:val="00282448"/>
    <w:rsid w:val="002826B5"/>
    <w:rsid w:val="00282D3E"/>
    <w:rsid w:val="0028330C"/>
    <w:rsid w:val="002834B7"/>
    <w:rsid w:val="00283510"/>
    <w:rsid w:val="00283A7F"/>
    <w:rsid w:val="00283C6F"/>
    <w:rsid w:val="00283DD3"/>
    <w:rsid w:val="00283DE6"/>
    <w:rsid w:val="00283F3F"/>
    <w:rsid w:val="002842D8"/>
    <w:rsid w:val="0028431A"/>
    <w:rsid w:val="00284752"/>
    <w:rsid w:val="00284AE0"/>
    <w:rsid w:val="00284D49"/>
    <w:rsid w:val="00285176"/>
    <w:rsid w:val="0028542E"/>
    <w:rsid w:val="002857AF"/>
    <w:rsid w:val="002858AB"/>
    <w:rsid w:val="00285A6B"/>
    <w:rsid w:val="0028634A"/>
    <w:rsid w:val="002867C6"/>
    <w:rsid w:val="00286840"/>
    <w:rsid w:val="00286D10"/>
    <w:rsid w:val="00286D82"/>
    <w:rsid w:val="00286E50"/>
    <w:rsid w:val="00287516"/>
    <w:rsid w:val="002875EE"/>
    <w:rsid w:val="00287A50"/>
    <w:rsid w:val="00287B55"/>
    <w:rsid w:val="00290047"/>
    <w:rsid w:val="002907C8"/>
    <w:rsid w:val="00290F95"/>
    <w:rsid w:val="00291212"/>
    <w:rsid w:val="00291311"/>
    <w:rsid w:val="00291E34"/>
    <w:rsid w:val="002922BB"/>
    <w:rsid w:val="0029259B"/>
    <w:rsid w:val="002925FB"/>
    <w:rsid w:val="00292782"/>
    <w:rsid w:val="00292B8D"/>
    <w:rsid w:val="00292CBB"/>
    <w:rsid w:val="00292D75"/>
    <w:rsid w:val="00293165"/>
    <w:rsid w:val="00293187"/>
    <w:rsid w:val="002933CE"/>
    <w:rsid w:val="00293764"/>
    <w:rsid w:val="00293821"/>
    <w:rsid w:val="00294FBD"/>
    <w:rsid w:val="00295005"/>
    <w:rsid w:val="002950CE"/>
    <w:rsid w:val="00295113"/>
    <w:rsid w:val="00295169"/>
    <w:rsid w:val="0029529B"/>
    <w:rsid w:val="0029538B"/>
    <w:rsid w:val="00295560"/>
    <w:rsid w:val="00295A93"/>
    <w:rsid w:val="0029632A"/>
    <w:rsid w:val="0029659E"/>
    <w:rsid w:val="0029676E"/>
    <w:rsid w:val="00296820"/>
    <w:rsid w:val="00296F64"/>
    <w:rsid w:val="00297078"/>
    <w:rsid w:val="002970E8"/>
    <w:rsid w:val="002971CD"/>
    <w:rsid w:val="002972CA"/>
    <w:rsid w:val="00297862"/>
    <w:rsid w:val="00297972"/>
    <w:rsid w:val="00297EE1"/>
    <w:rsid w:val="002A03BC"/>
    <w:rsid w:val="002A0E0C"/>
    <w:rsid w:val="002A0EEB"/>
    <w:rsid w:val="002A0EFB"/>
    <w:rsid w:val="002A119E"/>
    <w:rsid w:val="002A141A"/>
    <w:rsid w:val="002A1FC6"/>
    <w:rsid w:val="002A22F2"/>
    <w:rsid w:val="002A249C"/>
    <w:rsid w:val="002A29DF"/>
    <w:rsid w:val="002A2B1E"/>
    <w:rsid w:val="002A2E6F"/>
    <w:rsid w:val="002A309F"/>
    <w:rsid w:val="002A3D68"/>
    <w:rsid w:val="002A4590"/>
    <w:rsid w:val="002A47F4"/>
    <w:rsid w:val="002A49C0"/>
    <w:rsid w:val="002A4CBC"/>
    <w:rsid w:val="002A4D66"/>
    <w:rsid w:val="002A5715"/>
    <w:rsid w:val="002A5B4F"/>
    <w:rsid w:val="002A628E"/>
    <w:rsid w:val="002A66BC"/>
    <w:rsid w:val="002A68C9"/>
    <w:rsid w:val="002A69E7"/>
    <w:rsid w:val="002A6C32"/>
    <w:rsid w:val="002A70CB"/>
    <w:rsid w:val="002A70E6"/>
    <w:rsid w:val="002A714F"/>
    <w:rsid w:val="002A7361"/>
    <w:rsid w:val="002A737C"/>
    <w:rsid w:val="002A7393"/>
    <w:rsid w:val="002A76EA"/>
    <w:rsid w:val="002A7A04"/>
    <w:rsid w:val="002A7E68"/>
    <w:rsid w:val="002B000C"/>
    <w:rsid w:val="002B0774"/>
    <w:rsid w:val="002B0AA7"/>
    <w:rsid w:val="002B122D"/>
    <w:rsid w:val="002B139C"/>
    <w:rsid w:val="002B18B6"/>
    <w:rsid w:val="002B1963"/>
    <w:rsid w:val="002B1AE5"/>
    <w:rsid w:val="002B1CF6"/>
    <w:rsid w:val="002B1FF5"/>
    <w:rsid w:val="002B2982"/>
    <w:rsid w:val="002B2B28"/>
    <w:rsid w:val="002B2EBB"/>
    <w:rsid w:val="002B320F"/>
    <w:rsid w:val="002B3248"/>
    <w:rsid w:val="002B3AAC"/>
    <w:rsid w:val="002B3D87"/>
    <w:rsid w:val="002B4DB3"/>
    <w:rsid w:val="002B5514"/>
    <w:rsid w:val="002B55EF"/>
    <w:rsid w:val="002B67FC"/>
    <w:rsid w:val="002B6852"/>
    <w:rsid w:val="002B6854"/>
    <w:rsid w:val="002B68AE"/>
    <w:rsid w:val="002B68CD"/>
    <w:rsid w:val="002B6943"/>
    <w:rsid w:val="002B6A68"/>
    <w:rsid w:val="002B72E0"/>
    <w:rsid w:val="002B740D"/>
    <w:rsid w:val="002B76B6"/>
    <w:rsid w:val="002B7C50"/>
    <w:rsid w:val="002C034F"/>
    <w:rsid w:val="002C03CF"/>
    <w:rsid w:val="002C09E6"/>
    <w:rsid w:val="002C0B86"/>
    <w:rsid w:val="002C0DF5"/>
    <w:rsid w:val="002C1690"/>
    <w:rsid w:val="002C19D0"/>
    <w:rsid w:val="002C23CB"/>
    <w:rsid w:val="002C2401"/>
    <w:rsid w:val="002C27E5"/>
    <w:rsid w:val="002C29B7"/>
    <w:rsid w:val="002C2C1D"/>
    <w:rsid w:val="002C2CE5"/>
    <w:rsid w:val="002C35E4"/>
    <w:rsid w:val="002C3716"/>
    <w:rsid w:val="002C3B1F"/>
    <w:rsid w:val="002C4868"/>
    <w:rsid w:val="002C498B"/>
    <w:rsid w:val="002C4BC7"/>
    <w:rsid w:val="002C4F0D"/>
    <w:rsid w:val="002C5273"/>
    <w:rsid w:val="002C5468"/>
    <w:rsid w:val="002C5651"/>
    <w:rsid w:val="002C5F40"/>
    <w:rsid w:val="002C67CF"/>
    <w:rsid w:val="002C70AA"/>
    <w:rsid w:val="002C7483"/>
    <w:rsid w:val="002C750D"/>
    <w:rsid w:val="002D0FB6"/>
    <w:rsid w:val="002D12B0"/>
    <w:rsid w:val="002D16E0"/>
    <w:rsid w:val="002D1FAF"/>
    <w:rsid w:val="002D238E"/>
    <w:rsid w:val="002D24FA"/>
    <w:rsid w:val="002D2699"/>
    <w:rsid w:val="002D2CFB"/>
    <w:rsid w:val="002D2D25"/>
    <w:rsid w:val="002D2DF5"/>
    <w:rsid w:val="002D2FFF"/>
    <w:rsid w:val="002D30FC"/>
    <w:rsid w:val="002D3468"/>
    <w:rsid w:val="002D39BF"/>
    <w:rsid w:val="002D3E3E"/>
    <w:rsid w:val="002D412F"/>
    <w:rsid w:val="002D440F"/>
    <w:rsid w:val="002D479E"/>
    <w:rsid w:val="002D4AC7"/>
    <w:rsid w:val="002D4CB7"/>
    <w:rsid w:val="002D5137"/>
    <w:rsid w:val="002D5895"/>
    <w:rsid w:val="002D5D07"/>
    <w:rsid w:val="002D5E8B"/>
    <w:rsid w:val="002D6022"/>
    <w:rsid w:val="002D6627"/>
    <w:rsid w:val="002D6A4F"/>
    <w:rsid w:val="002D705B"/>
    <w:rsid w:val="002D7160"/>
    <w:rsid w:val="002D7421"/>
    <w:rsid w:val="002D75E0"/>
    <w:rsid w:val="002D7C18"/>
    <w:rsid w:val="002E0132"/>
    <w:rsid w:val="002E0B15"/>
    <w:rsid w:val="002E0BD9"/>
    <w:rsid w:val="002E0C20"/>
    <w:rsid w:val="002E0C34"/>
    <w:rsid w:val="002E109F"/>
    <w:rsid w:val="002E112E"/>
    <w:rsid w:val="002E1E9A"/>
    <w:rsid w:val="002E204A"/>
    <w:rsid w:val="002E221C"/>
    <w:rsid w:val="002E2443"/>
    <w:rsid w:val="002E2D74"/>
    <w:rsid w:val="002E2EF3"/>
    <w:rsid w:val="002E3628"/>
    <w:rsid w:val="002E3C34"/>
    <w:rsid w:val="002E4375"/>
    <w:rsid w:val="002E43CF"/>
    <w:rsid w:val="002E44E7"/>
    <w:rsid w:val="002E455E"/>
    <w:rsid w:val="002E46F4"/>
    <w:rsid w:val="002E590C"/>
    <w:rsid w:val="002E5AB8"/>
    <w:rsid w:val="002E613D"/>
    <w:rsid w:val="002E691E"/>
    <w:rsid w:val="002E6941"/>
    <w:rsid w:val="002E6BF9"/>
    <w:rsid w:val="002E6D30"/>
    <w:rsid w:val="002E7D6A"/>
    <w:rsid w:val="002F0557"/>
    <w:rsid w:val="002F080B"/>
    <w:rsid w:val="002F12C5"/>
    <w:rsid w:val="002F159C"/>
    <w:rsid w:val="002F1D3E"/>
    <w:rsid w:val="002F1E0E"/>
    <w:rsid w:val="002F2172"/>
    <w:rsid w:val="002F2388"/>
    <w:rsid w:val="002F2C86"/>
    <w:rsid w:val="002F30CE"/>
    <w:rsid w:val="002F4202"/>
    <w:rsid w:val="002F4E5B"/>
    <w:rsid w:val="002F4FFF"/>
    <w:rsid w:val="002F53A1"/>
    <w:rsid w:val="002F553C"/>
    <w:rsid w:val="002F5615"/>
    <w:rsid w:val="002F57AC"/>
    <w:rsid w:val="002F589F"/>
    <w:rsid w:val="002F6385"/>
    <w:rsid w:val="002F6455"/>
    <w:rsid w:val="002F6724"/>
    <w:rsid w:val="002F6CB6"/>
    <w:rsid w:val="002F7066"/>
    <w:rsid w:val="002F77A5"/>
    <w:rsid w:val="002F798B"/>
    <w:rsid w:val="00300155"/>
    <w:rsid w:val="0030018C"/>
    <w:rsid w:val="0030023E"/>
    <w:rsid w:val="00300604"/>
    <w:rsid w:val="00300796"/>
    <w:rsid w:val="003009D0"/>
    <w:rsid w:val="0030144D"/>
    <w:rsid w:val="00301B54"/>
    <w:rsid w:val="00301DE4"/>
    <w:rsid w:val="00301E05"/>
    <w:rsid w:val="00301E42"/>
    <w:rsid w:val="0030200F"/>
    <w:rsid w:val="00302AA2"/>
    <w:rsid w:val="00302EA9"/>
    <w:rsid w:val="003033D3"/>
    <w:rsid w:val="00303919"/>
    <w:rsid w:val="00303F87"/>
    <w:rsid w:val="003040DF"/>
    <w:rsid w:val="00304400"/>
    <w:rsid w:val="00304609"/>
    <w:rsid w:val="003049A3"/>
    <w:rsid w:val="00304B56"/>
    <w:rsid w:val="00304BA8"/>
    <w:rsid w:val="00304F1E"/>
    <w:rsid w:val="00305014"/>
    <w:rsid w:val="0030572D"/>
    <w:rsid w:val="0030582B"/>
    <w:rsid w:val="00305872"/>
    <w:rsid w:val="003058BD"/>
    <w:rsid w:val="003059E5"/>
    <w:rsid w:val="00305DC0"/>
    <w:rsid w:val="0030625E"/>
    <w:rsid w:val="0030657B"/>
    <w:rsid w:val="003065D0"/>
    <w:rsid w:val="00306743"/>
    <w:rsid w:val="00306875"/>
    <w:rsid w:val="00306B25"/>
    <w:rsid w:val="00307120"/>
    <w:rsid w:val="00307688"/>
    <w:rsid w:val="00307C84"/>
    <w:rsid w:val="00307CDF"/>
    <w:rsid w:val="00307CE7"/>
    <w:rsid w:val="003103FE"/>
    <w:rsid w:val="00310682"/>
    <w:rsid w:val="00310862"/>
    <w:rsid w:val="00310A98"/>
    <w:rsid w:val="00310BB9"/>
    <w:rsid w:val="00310DC4"/>
    <w:rsid w:val="00310F9F"/>
    <w:rsid w:val="0031109F"/>
    <w:rsid w:val="0031197B"/>
    <w:rsid w:val="00311BB2"/>
    <w:rsid w:val="0031213F"/>
    <w:rsid w:val="0031239F"/>
    <w:rsid w:val="00312413"/>
    <w:rsid w:val="0031275A"/>
    <w:rsid w:val="00312F13"/>
    <w:rsid w:val="00313064"/>
    <w:rsid w:val="0031342B"/>
    <w:rsid w:val="003137D3"/>
    <w:rsid w:val="0031386F"/>
    <w:rsid w:val="00313B41"/>
    <w:rsid w:val="00313CA8"/>
    <w:rsid w:val="003141F8"/>
    <w:rsid w:val="0031424D"/>
    <w:rsid w:val="00314313"/>
    <w:rsid w:val="00314411"/>
    <w:rsid w:val="0031445D"/>
    <w:rsid w:val="00314480"/>
    <w:rsid w:val="00314647"/>
    <w:rsid w:val="003146A3"/>
    <w:rsid w:val="0031530A"/>
    <w:rsid w:val="003159CA"/>
    <w:rsid w:val="00315B9A"/>
    <w:rsid w:val="00315D0D"/>
    <w:rsid w:val="00316372"/>
    <w:rsid w:val="003169F7"/>
    <w:rsid w:val="00316F55"/>
    <w:rsid w:val="0031730D"/>
    <w:rsid w:val="0031764A"/>
    <w:rsid w:val="0031770B"/>
    <w:rsid w:val="00320443"/>
    <w:rsid w:val="003206AC"/>
    <w:rsid w:val="003207C7"/>
    <w:rsid w:val="003210CD"/>
    <w:rsid w:val="003211D7"/>
    <w:rsid w:val="0032156D"/>
    <w:rsid w:val="00321637"/>
    <w:rsid w:val="00321D14"/>
    <w:rsid w:val="00321E62"/>
    <w:rsid w:val="00321E9D"/>
    <w:rsid w:val="00321FEA"/>
    <w:rsid w:val="00322050"/>
    <w:rsid w:val="003221D6"/>
    <w:rsid w:val="003221E2"/>
    <w:rsid w:val="003222ED"/>
    <w:rsid w:val="003223D4"/>
    <w:rsid w:val="0032257B"/>
    <w:rsid w:val="00322965"/>
    <w:rsid w:val="00322C2C"/>
    <w:rsid w:val="0032316E"/>
    <w:rsid w:val="003234CA"/>
    <w:rsid w:val="0032354F"/>
    <w:rsid w:val="00323914"/>
    <w:rsid w:val="00323BE7"/>
    <w:rsid w:val="00323F43"/>
    <w:rsid w:val="003242B8"/>
    <w:rsid w:val="00324C45"/>
    <w:rsid w:val="00324E32"/>
    <w:rsid w:val="0032540C"/>
    <w:rsid w:val="003256CB"/>
    <w:rsid w:val="00326242"/>
    <w:rsid w:val="00326BD4"/>
    <w:rsid w:val="00326C1F"/>
    <w:rsid w:val="00327379"/>
    <w:rsid w:val="00327788"/>
    <w:rsid w:val="003279BD"/>
    <w:rsid w:val="00327D90"/>
    <w:rsid w:val="00330219"/>
    <w:rsid w:val="00330286"/>
    <w:rsid w:val="003306E0"/>
    <w:rsid w:val="00330A95"/>
    <w:rsid w:val="00330BC1"/>
    <w:rsid w:val="00330C40"/>
    <w:rsid w:val="00330CA2"/>
    <w:rsid w:val="00330FA4"/>
    <w:rsid w:val="003317D0"/>
    <w:rsid w:val="00331812"/>
    <w:rsid w:val="00331AA7"/>
    <w:rsid w:val="00331D58"/>
    <w:rsid w:val="003321D8"/>
    <w:rsid w:val="003324E8"/>
    <w:rsid w:val="003326A6"/>
    <w:rsid w:val="00332702"/>
    <w:rsid w:val="00332716"/>
    <w:rsid w:val="00332D3B"/>
    <w:rsid w:val="00333141"/>
    <w:rsid w:val="0033377C"/>
    <w:rsid w:val="00333CEF"/>
    <w:rsid w:val="003340C1"/>
    <w:rsid w:val="00334227"/>
    <w:rsid w:val="003349CF"/>
    <w:rsid w:val="003350E0"/>
    <w:rsid w:val="0033513C"/>
    <w:rsid w:val="00335517"/>
    <w:rsid w:val="00335527"/>
    <w:rsid w:val="003355B4"/>
    <w:rsid w:val="00335A74"/>
    <w:rsid w:val="00335B22"/>
    <w:rsid w:val="00335CB5"/>
    <w:rsid w:val="00335F47"/>
    <w:rsid w:val="00335F86"/>
    <w:rsid w:val="00336300"/>
    <w:rsid w:val="003368A2"/>
    <w:rsid w:val="00336900"/>
    <w:rsid w:val="00336ABB"/>
    <w:rsid w:val="00336D28"/>
    <w:rsid w:val="00336DF7"/>
    <w:rsid w:val="00337015"/>
    <w:rsid w:val="0033705D"/>
    <w:rsid w:val="0033708A"/>
    <w:rsid w:val="003371FF"/>
    <w:rsid w:val="0033745A"/>
    <w:rsid w:val="00337C00"/>
    <w:rsid w:val="00337C0A"/>
    <w:rsid w:val="00337DE8"/>
    <w:rsid w:val="00337F00"/>
    <w:rsid w:val="003409BE"/>
    <w:rsid w:val="00341630"/>
    <w:rsid w:val="00341EC9"/>
    <w:rsid w:val="00341F27"/>
    <w:rsid w:val="00341F7B"/>
    <w:rsid w:val="003424F5"/>
    <w:rsid w:val="00342B26"/>
    <w:rsid w:val="00342EFC"/>
    <w:rsid w:val="00343DAC"/>
    <w:rsid w:val="00344E21"/>
    <w:rsid w:val="00345454"/>
    <w:rsid w:val="003454A7"/>
    <w:rsid w:val="003454F9"/>
    <w:rsid w:val="003455D3"/>
    <w:rsid w:val="0034564A"/>
    <w:rsid w:val="003456EC"/>
    <w:rsid w:val="00345CA5"/>
    <w:rsid w:val="00345D17"/>
    <w:rsid w:val="00345E27"/>
    <w:rsid w:val="003465D3"/>
    <w:rsid w:val="003466E8"/>
    <w:rsid w:val="00346767"/>
    <w:rsid w:val="00346A48"/>
    <w:rsid w:val="00346C2A"/>
    <w:rsid w:val="00346C6C"/>
    <w:rsid w:val="00346E66"/>
    <w:rsid w:val="00346FE9"/>
    <w:rsid w:val="00347065"/>
    <w:rsid w:val="0034734C"/>
    <w:rsid w:val="003475B3"/>
    <w:rsid w:val="00347AD7"/>
    <w:rsid w:val="00347CA8"/>
    <w:rsid w:val="003500C1"/>
    <w:rsid w:val="0035017F"/>
    <w:rsid w:val="003501E8"/>
    <w:rsid w:val="0035059F"/>
    <w:rsid w:val="00350833"/>
    <w:rsid w:val="00351285"/>
    <w:rsid w:val="00351331"/>
    <w:rsid w:val="00351A7B"/>
    <w:rsid w:val="00351AE5"/>
    <w:rsid w:val="00351D2E"/>
    <w:rsid w:val="0035270D"/>
    <w:rsid w:val="00352B62"/>
    <w:rsid w:val="00353D86"/>
    <w:rsid w:val="00353F06"/>
    <w:rsid w:val="003543F1"/>
    <w:rsid w:val="00354734"/>
    <w:rsid w:val="003548A2"/>
    <w:rsid w:val="00354F4D"/>
    <w:rsid w:val="003550C7"/>
    <w:rsid w:val="00355BA1"/>
    <w:rsid w:val="003568B8"/>
    <w:rsid w:val="00356E0E"/>
    <w:rsid w:val="003571D2"/>
    <w:rsid w:val="003574F1"/>
    <w:rsid w:val="00357722"/>
    <w:rsid w:val="00357CF3"/>
    <w:rsid w:val="00357F99"/>
    <w:rsid w:val="003604DC"/>
    <w:rsid w:val="00362335"/>
    <w:rsid w:val="00362452"/>
    <w:rsid w:val="003629CA"/>
    <w:rsid w:val="00362B0C"/>
    <w:rsid w:val="0036311A"/>
    <w:rsid w:val="0036319E"/>
    <w:rsid w:val="00363342"/>
    <w:rsid w:val="00363AC7"/>
    <w:rsid w:val="00363B61"/>
    <w:rsid w:val="00363B95"/>
    <w:rsid w:val="00363CCC"/>
    <w:rsid w:val="00363DDA"/>
    <w:rsid w:val="00363EEE"/>
    <w:rsid w:val="0036411C"/>
    <w:rsid w:val="00364535"/>
    <w:rsid w:val="00364976"/>
    <w:rsid w:val="00364CA5"/>
    <w:rsid w:val="00364D78"/>
    <w:rsid w:val="00365241"/>
    <w:rsid w:val="00365655"/>
    <w:rsid w:val="00365A8E"/>
    <w:rsid w:val="00365FDA"/>
    <w:rsid w:val="0036678F"/>
    <w:rsid w:val="003667C9"/>
    <w:rsid w:val="00366A1E"/>
    <w:rsid w:val="00366B77"/>
    <w:rsid w:val="00366DC0"/>
    <w:rsid w:val="00366E57"/>
    <w:rsid w:val="00366F16"/>
    <w:rsid w:val="00367CF0"/>
    <w:rsid w:val="0037027C"/>
    <w:rsid w:val="00370316"/>
    <w:rsid w:val="00370427"/>
    <w:rsid w:val="0037065B"/>
    <w:rsid w:val="00371137"/>
    <w:rsid w:val="0037129A"/>
    <w:rsid w:val="0037157B"/>
    <w:rsid w:val="00371779"/>
    <w:rsid w:val="0037214D"/>
    <w:rsid w:val="0037245D"/>
    <w:rsid w:val="00372486"/>
    <w:rsid w:val="003727E8"/>
    <w:rsid w:val="00372CAE"/>
    <w:rsid w:val="00373176"/>
    <w:rsid w:val="003731EC"/>
    <w:rsid w:val="003736FB"/>
    <w:rsid w:val="00373F00"/>
    <w:rsid w:val="00373F4B"/>
    <w:rsid w:val="00374CDC"/>
    <w:rsid w:val="00374E60"/>
    <w:rsid w:val="00374F7E"/>
    <w:rsid w:val="003750B8"/>
    <w:rsid w:val="00375115"/>
    <w:rsid w:val="00375182"/>
    <w:rsid w:val="00375FAE"/>
    <w:rsid w:val="003762A7"/>
    <w:rsid w:val="00376582"/>
    <w:rsid w:val="003767A3"/>
    <w:rsid w:val="003768A2"/>
    <w:rsid w:val="00376E92"/>
    <w:rsid w:val="003776F7"/>
    <w:rsid w:val="00377A4E"/>
    <w:rsid w:val="00380002"/>
    <w:rsid w:val="00380E21"/>
    <w:rsid w:val="00380F7C"/>
    <w:rsid w:val="003810E5"/>
    <w:rsid w:val="00381136"/>
    <w:rsid w:val="00381B4E"/>
    <w:rsid w:val="00381B97"/>
    <w:rsid w:val="00381CB6"/>
    <w:rsid w:val="003823A1"/>
    <w:rsid w:val="003824EA"/>
    <w:rsid w:val="00382A61"/>
    <w:rsid w:val="00382FE8"/>
    <w:rsid w:val="00382FED"/>
    <w:rsid w:val="003831D4"/>
    <w:rsid w:val="00383225"/>
    <w:rsid w:val="00383337"/>
    <w:rsid w:val="00383B48"/>
    <w:rsid w:val="00383F5F"/>
    <w:rsid w:val="00384002"/>
    <w:rsid w:val="00384250"/>
    <w:rsid w:val="00384422"/>
    <w:rsid w:val="00384CDA"/>
    <w:rsid w:val="00384EFD"/>
    <w:rsid w:val="0038542F"/>
    <w:rsid w:val="00385761"/>
    <w:rsid w:val="00385D94"/>
    <w:rsid w:val="0038656A"/>
    <w:rsid w:val="003866D0"/>
    <w:rsid w:val="00386DC7"/>
    <w:rsid w:val="00386FCF"/>
    <w:rsid w:val="00387069"/>
    <w:rsid w:val="003872AC"/>
    <w:rsid w:val="003872FD"/>
    <w:rsid w:val="00387633"/>
    <w:rsid w:val="0038775F"/>
    <w:rsid w:val="003879A6"/>
    <w:rsid w:val="00387ED3"/>
    <w:rsid w:val="0039058B"/>
    <w:rsid w:val="003906B5"/>
    <w:rsid w:val="00391181"/>
    <w:rsid w:val="003912CD"/>
    <w:rsid w:val="0039151E"/>
    <w:rsid w:val="003916B6"/>
    <w:rsid w:val="00391CBC"/>
    <w:rsid w:val="00391D04"/>
    <w:rsid w:val="00391DD7"/>
    <w:rsid w:val="0039212F"/>
    <w:rsid w:val="003922CF"/>
    <w:rsid w:val="003925A0"/>
    <w:rsid w:val="00392602"/>
    <w:rsid w:val="00392AC0"/>
    <w:rsid w:val="00392B53"/>
    <w:rsid w:val="00392F62"/>
    <w:rsid w:val="00393E3B"/>
    <w:rsid w:val="00394213"/>
    <w:rsid w:val="003943EC"/>
    <w:rsid w:val="00394659"/>
    <w:rsid w:val="00394665"/>
    <w:rsid w:val="003946C9"/>
    <w:rsid w:val="003948BB"/>
    <w:rsid w:val="00394972"/>
    <w:rsid w:val="00394BC4"/>
    <w:rsid w:val="00394BC5"/>
    <w:rsid w:val="00394FD4"/>
    <w:rsid w:val="003951CF"/>
    <w:rsid w:val="00395379"/>
    <w:rsid w:val="003954E2"/>
    <w:rsid w:val="0039560C"/>
    <w:rsid w:val="00395D0B"/>
    <w:rsid w:val="00396E52"/>
    <w:rsid w:val="00397947"/>
    <w:rsid w:val="003A0113"/>
    <w:rsid w:val="003A02A2"/>
    <w:rsid w:val="003A0309"/>
    <w:rsid w:val="003A08B4"/>
    <w:rsid w:val="003A0AEB"/>
    <w:rsid w:val="003A0BE0"/>
    <w:rsid w:val="003A0F72"/>
    <w:rsid w:val="003A21B7"/>
    <w:rsid w:val="003A2A9E"/>
    <w:rsid w:val="003A3093"/>
    <w:rsid w:val="003A376C"/>
    <w:rsid w:val="003A396A"/>
    <w:rsid w:val="003A4026"/>
    <w:rsid w:val="003A40F6"/>
    <w:rsid w:val="003A4681"/>
    <w:rsid w:val="003A4704"/>
    <w:rsid w:val="003A4A34"/>
    <w:rsid w:val="003A4CCE"/>
    <w:rsid w:val="003A4E6B"/>
    <w:rsid w:val="003A50CD"/>
    <w:rsid w:val="003A5757"/>
    <w:rsid w:val="003A5822"/>
    <w:rsid w:val="003A5C5A"/>
    <w:rsid w:val="003A6457"/>
    <w:rsid w:val="003A71A5"/>
    <w:rsid w:val="003A75D8"/>
    <w:rsid w:val="003A77E4"/>
    <w:rsid w:val="003A784A"/>
    <w:rsid w:val="003A7927"/>
    <w:rsid w:val="003A7AFB"/>
    <w:rsid w:val="003A7B8A"/>
    <w:rsid w:val="003A7B9B"/>
    <w:rsid w:val="003B05BE"/>
    <w:rsid w:val="003B05C8"/>
    <w:rsid w:val="003B067D"/>
    <w:rsid w:val="003B098D"/>
    <w:rsid w:val="003B0CBD"/>
    <w:rsid w:val="003B0D2A"/>
    <w:rsid w:val="003B0D9B"/>
    <w:rsid w:val="003B10BC"/>
    <w:rsid w:val="003B2016"/>
    <w:rsid w:val="003B2279"/>
    <w:rsid w:val="003B26D0"/>
    <w:rsid w:val="003B280F"/>
    <w:rsid w:val="003B2999"/>
    <w:rsid w:val="003B335E"/>
    <w:rsid w:val="003B39EC"/>
    <w:rsid w:val="003B3FE1"/>
    <w:rsid w:val="003B4172"/>
    <w:rsid w:val="003B46EE"/>
    <w:rsid w:val="003B4D26"/>
    <w:rsid w:val="003B5AAD"/>
    <w:rsid w:val="003B5C7C"/>
    <w:rsid w:val="003B5CA1"/>
    <w:rsid w:val="003B609B"/>
    <w:rsid w:val="003B61E5"/>
    <w:rsid w:val="003B6219"/>
    <w:rsid w:val="003B62DE"/>
    <w:rsid w:val="003B63AF"/>
    <w:rsid w:val="003B6923"/>
    <w:rsid w:val="003B69BB"/>
    <w:rsid w:val="003B6B20"/>
    <w:rsid w:val="003B6D81"/>
    <w:rsid w:val="003B6D82"/>
    <w:rsid w:val="003B6F47"/>
    <w:rsid w:val="003B751D"/>
    <w:rsid w:val="003B754F"/>
    <w:rsid w:val="003B7721"/>
    <w:rsid w:val="003B7A66"/>
    <w:rsid w:val="003C0152"/>
    <w:rsid w:val="003C0160"/>
    <w:rsid w:val="003C0550"/>
    <w:rsid w:val="003C0839"/>
    <w:rsid w:val="003C0960"/>
    <w:rsid w:val="003C09C3"/>
    <w:rsid w:val="003C0FA8"/>
    <w:rsid w:val="003C1036"/>
    <w:rsid w:val="003C11FE"/>
    <w:rsid w:val="003C15DA"/>
    <w:rsid w:val="003C1788"/>
    <w:rsid w:val="003C17E1"/>
    <w:rsid w:val="003C17E2"/>
    <w:rsid w:val="003C1B35"/>
    <w:rsid w:val="003C1B4F"/>
    <w:rsid w:val="003C1F14"/>
    <w:rsid w:val="003C1F59"/>
    <w:rsid w:val="003C1FE9"/>
    <w:rsid w:val="003C2045"/>
    <w:rsid w:val="003C20F5"/>
    <w:rsid w:val="003C22CE"/>
    <w:rsid w:val="003C233B"/>
    <w:rsid w:val="003C2E35"/>
    <w:rsid w:val="003C332A"/>
    <w:rsid w:val="003C391A"/>
    <w:rsid w:val="003C3A01"/>
    <w:rsid w:val="003C3D22"/>
    <w:rsid w:val="003C3DC0"/>
    <w:rsid w:val="003C4321"/>
    <w:rsid w:val="003C4362"/>
    <w:rsid w:val="003C451D"/>
    <w:rsid w:val="003C4A04"/>
    <w:rsid w:val="003C577C"/>
    <w:rsid w:val="003C5864"/>
    <w:rsid w:val="003C59C6"/>
    <w:rsid w:val="003C5FAE"/>
    <w:rsid w:val="003C6286"/>
    <w:rsid w:val="003C69B4"/>
    <w:rsid w:val="003C6A7F"/>
    <w:rsid w:val="003C6CCA"/>
    <w:rsid w:val="003C720F"/>
    <w:rsid w:val="003C7437"/>
    <w:rsid w:val="003C7BD1"/>
    <w:rsid w:val="003D0A7A"/>
    <w:rsid w:val="003D181C"/>
    <w:rsid w:val="003D1CC0"/>
    <w:rsid w:val="003D1EF4"/>
    <w:rsid w:val="003D2587"/>
    <w:rsid w:val="003D301E"/>
    <w:rsid w:val="003D33BB"/>
    <w:rsid w:val="003D3AD2"/>
    <w:rsid w:val="003D3B9B"/>
    <w:rsid w:val="003D415E"/>
    <w:rsid w:val="003D41A5"/>
    <w:rsid w:val="003D4419"/>
    <w:rsid w:val="003D4527"/>
    <w:rsid w:val="003D4585"/>
    <w:rsid w:val="003D45B7"/>
    <w:rsid w:val="003D4849"/>
    <w:rsid w:val="003D4C01"/>
    <w:rsid w:val="003D4CC2"/>
    <w:rsid w:val="003D4D93"/>
    <w:rsid w:val="003D4F76"/>
    <w:rsid w:val="003D5416"/>
    <w:rsid w:val="003D542B"/>
    <w:rsid w:val="003D58E0"/>
    <w:rsid w:val="003D5D5D"/>
    <w:rsid w:val="003D5DB1"/>
    <w:rsid w:val="003D5E28"/>
    <w:rsid w:val="003D60F6"/>
    <w:rsid w:val="003D623E"/>
    <w:rsid w:val="003D6253"/>
    <w:rsid w:val="003D638B"/>
    <w:rsid w:val="003D663D"/>
    <w:rsid w:val="003D6974"/>
    <w:rsid w:val="003D6FE3"/>
    <w:rsid w:val="003D7B26"/>
    <w:rsid w:val="003E02AA"/>
    <w:rsid w:val="003E046B"/>
    <w:rsid w:val="003E04DD"/>
    <w:rsid w:val="003E07EA"/>
    <w:rsid w:val="003E0A29"/>
    <w:rsid w:val="003E0B55"/>
    <w:rsid w:val="003E0C45"/>
    <w:rsid w:val="003E180F"/>
    <w:rsid w:val="003E23B4"/>
    <w:rsid w:val="003E24A9"/>
    <w:rsid w:val="003E26FA"/>
    <w:rsid w:val="003E2C96"/>
    <w:rsid w:val="003E3298"/>
    <w:rsid w:val="003E3568"/>
    <w:rsid w:val="003E37AB"/>
    <w:rsid w:val="003E3C4F"/>
    <w:rsid w:val="003E43EA"/>
    <w:rsid w:val="003E4586"/>
    <w:rsid w:val="003E4D30"/>
    <w:rsid w:val="003E502D"/>
    <w:rsid w:val="003E517B"/>
    <w:rsid w:val="003E550C"/>
    <w:rsid w:val="003E55FA"/>
    <w:rsid w:val="003E578D"/>
    <w:rsid w:val="003E599E"/>
    <w:rsid w:val="003E5DEB"/>
    <w:rsid w:val="003E674B"/>
    <w:rsid w:val="003E68B1"/>
    <w:rsid w:val="003E6AFF"/>
    <w:rsid w:val="003E6D6C"/>
    <w:rsid w:val="003E7285"/>
    <w:rsid w:val="003E7BB8"/>
    <w:rsid w:val="003F0888"/>
    <w:rsid w:val="003F0B45"/>
    <w:rsid w:val="003F127C"/>
    <w:rsid w:val="003F1BF8"/>
    <w:rsid w:val="003F2206"/>
    <w:rsid w:val="003F2628"/>
    <w:rsid w:val="003F2B3E"/>
    <w:rsid w:val="003F2B65"/>
    <w:rsid w:val="003F2D53"/>
    <w:rsid w:val="003F2F09"/>
    <w:rsid w:val="003F2F9C"/>
    <w:rsid w:val="003F30DC"/>
    <w:rsid w:val="003F3658"/>
    <w:rsid w:val="003F37A4"/>
    <w:rsid w:val="003F39DC"/>
    <w:rsid w:val="003F4109"/>
    <w:rsid w:val="003F443C"/>
    <w:rsid w:val="003F4494"/>
    <w:rsid w:val="003F452C"/>
    <w:rsid w:val="003F45B7"/>
    <w:rsid w:val="003F4996"/>
    <w:rsid w:val="003F4AAE"/>
    <w:rsid w:val="003F4F1E"/>
    <w:rsid w:val="003F522A"/>
    <w:rsid w:val="003F53D8"/>
    <w:rsid w:val="003F58B1"/>
    <w:rsid w:val="003F59EC"/>
    <w:rsid w:val="003F5DED"/>
    <w:rsid w:val="003F6B51"/>
    <w:rsid w:val="003F6D64"/>
    <w:rsid w:val="003F750E"/>
    <w:rsid w:val="003F7521"/>
    <w:rsid w:val="003F7566"/>
    <w:rsid w:val="003F76BC"/>
    <w:rsid w:val="003F7B5C"/>
    <w:rsid w:val="003F7BB4"/>
    <w:rsid w:val="003F7BF3"/>
    <w:rsid w:val="003F7C32"/>
    <w:rsid w:val="0040028C"/>
    <w:rsid w:val="004004DD"/>
    <w:rsid w:val="00400539"/>
    <w:rsid w:val="00400663"/>
    <w:rsid w:val="004007E0"/>
    <w:rsid w:val="0040092A"/>
    <w:rsid w:val="004009C8"/>
    <w:rsid w:val="00400B48"/>
    <w:rsid w:val="004013BD"/>
    <w:rsid w:val="00401592"/>
    <w:rsid w:val="004016C0"/>
    <w:rsid w:val="00401D8F"/>
    <w:rsid w:val="004022AE"/>
    <w:rsid w:val="00402498"/>
    <w:rsid w:val="00402BE9"/>
    <w:rsid w:val="004030F8"/>
    <w:rsid w:val="00403160"/>
    <w:rsid w:val="0040386D"/>
    <w:rsid w:val="00403A10"/>
    <w:rsid w:val="00403ECB"/>
    <w:rsid w:val="0040451B"/>
    <w:rsid w:val="004045A8"/>
    <w:rsid w:val="00405495"/>
    <w:rsid w:val="0040591F"/>
    <w:rsid w:val="004066E4"/>
    <w:rsid w:val="004068FD"/>
    <w:rsid w:val="00406B92"/>
    <w:rsid w:val="0041079D"/>
    <w:rsid w:val="00410CED"/>
    <w:rsid w:val="0041246B"/>
    <w:rsid w:val="004124C9"/>
    <w:rsid w:val="004125BF"/>
    <w:rsid w:val="00412C7E"/>
    <w:rsid w:val="00413269"/>
    <w:rsid w:val="00413286"/>
    <w:rsid w:val="004133A3"/>
    <w:rsid w:val="00413977"/>
    <w:rsid w:val="00413E7D"/>
    <w:rsid w:val="00413FC4"/>
    <w:rsid w:val="0041420D"/>
    <w:rsid w:val="0041435D"/>
    <w:rsid w:val="00414533"/>
    <w:rsid w:val="00414600"/>
    <w:rsid w:val="0041464E"/>
    <w:rsid w:val="00414B85"/>
    <w:rsid w:val="00414FD6"/>
    <w:rsid w:val="004152CF"/>
    <w:rsid w:val="0041557F"/>
    <w:rsid w:val="00415617"/>
    <w:rsid w:val="00415B78"/>
    <w:rsid w:val="00415CDD"/>
    <w:rsid w:val="00415D3D"/>
    <w:rsid w:val="0041629B"/>
    <w:rsid w:val="004164E4"/>
    <w:rsid w:val="0041680A"/>
    <w:rsid w:val="004168A6"/>
    <w:rsid w:val="00416C1D"/>
    <w:rsid w:val="00416C39"/>
    <w:rsid w:val="00417C46"/>
    <w:rsid w:val="0042036D"/>
    <w:rsid w:val="00420A5C"/>
    <w:rsid w:val="00420C67"/>
    <w:rsid w:val="004214E0"/>
    <w:rsid w:val="00422143"/>
    <w:rsid w:val="0042214B"/>
    <w:rsid w:val="004229F8"/>
    <w:rsid w:val="00422A98"/>
    <w:rsid w:val="00422EE1"/>
    <w:rsid w:val="0042323F"/>
    <w:rsid w:val="00423EEC"/>
    <w:rsid w:val="00423F2A"/>
    <w:rsid w:val="00424056"/>
    <w:rsid w:val="00424507"/>
    <w:rsid w:val="00424642"/>
    <w:rsid w:val="00425147"/>
    <w:rsid w:val="004263B3"/>
    <w:rsid w:val="00426B7C"/>
    <w:rsid w:val="00426BCE"/>
    <w:rsid w:val="00426C10"/>
    <w:rsid w:val="00426DD2"/>
    <w:rsid w:val="00427282"/>
    <w:rsid w:val="00430EE8"/>
    <w:rsid w:val="00430EF2"/>
    <w:rsid w:val="00431063"/>
    <w:rsid w:val="00431459"/>
    <w:rsid w:val="0043170C"/>
    <w:rsid w:val="00431C89"/>
    <w:rsid w:val="00431F27"/>
    <w:rsid w:val="00432571"/>
    <w:rsid w:val="00432ADF"/>
    <w:rsid w:val="00432C5E"/>
    <w:rsid w:val="004331BB"/>
    <w:rsid w:val="004331F1"/>
    <w:rsid w:val="00433215"/>
    <w:rsid w:val="0043321A"/>
    <w:rsid w:val="00433742"/>
    <w:rsid w:val="00433AE4"/>
    <w:rsid w:val="00433BD3"/>
    <w:rsid w:val="00433DCA"/>
    <w:rsid w:val="00434A65"/>
    <w:rsid w:val="00434AF6"/>
    <w:rsid w:val="00434B70"/>
    <w:rsid w:val="00434D03"/>
    <w:rsid w:val="00434DAD"/>
    <w:rsid w:val="00434EA4"/>
    <w:rsid w:val="00435295"/>
    <w:rsid w:val="00435EC1"/>
    <w:rsid w:val="00435F98"/>
    <w:rsid w:val="004363D6"/>
    <w:rsid w:val="00436762"/>
    <w:rsid w:val="004367E4"/>
    <w:rsid w:val="0043684C"/>
    <w:rsid w:val="00436C5C"/>
    <w:rsid w:val="0043708C"/>
    <w:rsid w:val="00437380"/>
    <w:rsid w:val="004376DA"/>
    <w:rsid w:val="0043770F"/>
    <w:rsid w:val="00437817"/>
    <w:rsid w:val="0043792E"/>
    <w:rsid w:val="00437A0D"/>
    <w:rsid w:val="00437B6B"/>
    <w:rsid w:val="00437D66"/>
    <w:rsid w:val="00437DFB"/>
    <w:rsid w:val="00440078"/>
    <w:rsid w:val="00440C1A"/>
    <w:rsid w:val="00440D55"/>
    <w:rsid w:val="00440DE8"/>
    <w:rsid w:val="00440ED4"/>
    <w:rsid w:val="004417BA"/>
    <w:rsid w:val="00441D12"/>
    <w:rsid w:val="00441EF5"/>
    <w:rsid w:val="00442119"/>
    <w:rsid w:val="004421F1"/>
    <w:rsid w:val="004422F5"/>
    <w:rsid w:val="00442416"/>
    <w:rsid w:val="00442464"/>
    <w:rsid w:val="0044264B"/>
    <w:rsid w:val="00442863"/>
    <w:rsid w:val="004429AA"/>
    <w:rsid w:val="00442DF1"/>
    <w:rsid w:val="00442FE7"/>
    <w:rsid w:val="0044377E"/>
    <w:rsid w:val="004438CE"/>
    <w:rsid w:val="00443967"/>
    <w:rsid w:val="00443AAF"/>
    <w:rsid w:val="00443B42"/>
    <w:rsid w:val="00443C33"/>
    <w:rsid w:val="004442DE"/>
    <w:rsid w:val="004444E0"/>
    <w:rsid w:val="00444602"/>
    <w:rsid w:val="0044472F"/>
    <w:rsid w:val="00445294"/>
    <w:rsid w:val="00445388"/>
    <w:rsid w:val="0044548C"/>
    <w:rsid w:val="0044564E"/>
    <w:rsid w:val="00445698"/>
    <w:rsid w:val="0044571E"/>
    <w:rsid w:val="00445B55"/>
    <w:rsid w:val="00445B5D"/>
    <w:rsid w:val="00446144"/>
    <w:rsid w:val="0044615F"/>
    <w:rsid w:val="00446575"/>
    <w:rsid w:val="00446EED"/>
    <w:rsid w:val="00447133"/>
    <w:rsid w:val="00447BDD"/>
    <w:rsid w:val="00447EAA"/>
    <w:rsid w:val="00450797"/>
    <w:rsid w:val="00450C30"/>
    <w:rsid w:val="00450CDD"/>
    <w:rsid w:val="00450D50"/>
    <w:rsid w:val="0045108D"/>
    <w:rsid w:val="0045146A"/>
    <w:rsid w:val="00451C80"/>
    <w:rsid w:val="00452187"/>
    <w:rsid w:val="004528F5"/>
    <w:rsid w:val="00452B73"/>
    <w:rsid w:val="00452F36"/>
    <w:rsid w:val="00453696"/>
    <w:rsid w:val="00453B19"/>
    <w:rsid w:val="00453B9E"/>
    <w:rsid w:val="0045471A"/>
    <w:rsid w:val="0045493A"/>
    <w:rsid w:val="00454D58"/>
    <w:rsid w:val="004552EB"/>
    <w:rsid w:val="00455ED0"/>
    <w:rsid w:val="0045608A"/>
    <w:rsid w:val="00456699"/>
    <w:rsid w:val="004569FC"/>
    <w:rsid w:val="00456F97"/>
    <w:rsid w:val="004577C8"/>
    <w:rsid w:val="00457B5A"/>
    <w:rsid w:val="00457B83"/>
    <w:rsid w:val="00457B8E"/>
    <w:rsid w:val="00457F87"/>
    <w:rsid w:val="00460353"/>
    <w:rsid w:val="00460F08"/>
    <w:rsid w:val="004610BD"/>
    <w:rsid w:val="00461503"/>
    <w:rsid w:val="00461651"/>
    <w:rsid w:val="004619ED"/>
    <w:rsid w:val="00461BF3"/>
    <w:rsid w:val="00461C2E"/>
    <w:rsid w:val="00461EA0"/>
    <w:rsid w:val="0046222A"/>
    <w:rsid w:val="00462B45"/>
    <w:rsid w:val="00462FBC"/>
    <w:rsid w:val="00463061"/>
    <w:rsid w:val="0046320D"/>
    <w:rsid w:val="00463861"/>
    <w:rsid w:val="00463A1D"/>
    <w:rsid w:val="00463B12"/>
    <w:rsid w:val="00463B5B"/>
    <w:rsid w:val="00463E8D"/>
    <w:rsid w:val="004642DF"/>
    <w:rsid w:val="00464346"/>
    <w:rsid w:val="004644A9"/>
    <w:rsid w:val="00464D54"/>
    <w:rsid w:val="00464FD7"/>
    <w:rsid w:val="004654D9"/>
    <w:rsid w:val="0046586A"/>
    <w:rsid w:val="004659CE"/>
    <w:rsid w:val="00465E39"/>
    <w:rsid w:val="00465EAE"/>
    <w:rsid w:val="00465F07"/>
    <w:rsid w:val="00466A6E"/>
    <w:rsid w:val="00466AF8"/>
    <w:rsid w:val="00466BA8"/>
    <w:rsid w:val="00466F67"/>
    <w:rsid w:val="00466F94"/>
    <w:rsid w:val="00466FD1"/>
    <w:rsid w:val="0046768F"/>
    <w:rsid w:val="00467B6D"/>
    <w:rsid w:val="00467D9A"/>
    <w:rsid w:val="004701BD"/>
    <w:rsid w:val="0047080E"/>
    <w:rsid w:val="00470B79"/>
    <w:rsid w:val="00470DFB"/>
    <w:rsid w:val="00471253"/>
    <w:rsid w:val="0047148B"/>
    <w:rsid w:val="004718A5"/>
    <w:rsid w:val="004718C6"/>
    <w:rsid w:val="0047194D"/>
    <w:rsid w:val="00471A59"/>
    <w:rsid w:val="00471C3D"/>
    <w:rsid w:val="00471E35"/>
    <w:rsid w:val="00472539"/>
    <w:rsid w:val="004734BD"/>
    <w:rsid w:val="00473B40"/>
    <w:rsid w:val="00473BE9"/>
    <w:rsid w:val="00473FE8"/>
    <w:rsid w:val="004749B0"/>
    <w:rsid w:val="00474AEB"/>
    <w:rsid w:val="00474D63"/>
    <w:rsid w:val="00474E3B"/>
    <w:rsid w:val="004755FF"/>
    <w:rsid w:val="00475647"/>
    <w:rsid w:val="004758CD"/>
    <w:rsid w:val="00475A16"/>
    <w:rsid w:val="00475E4E"/>
    <w:rsid w:val="00475FA4"/>
    <w:rsid w:val="00476220"/>
    <w:rsid w:val="004762A0"/>
    <w:rsid w:val="0047670E"/>
    <w:rsid w:val="00476F67"/>
    <w:rsid w:val="004770A1"/>
    <w:rsid w:val="0047753D"/>
    <w:rsid w:val="004776A2"/>
    <w:rsid w:val="004778EA"/>
    <w:rsid w:val="00477C00"/>
    <w:rsid w:val="00477D9F"/>
    <w:rsid w:val="00477E75"/>
    <w:rsid w:val="00477F0B"/>
    <w:rsid w:val="00480167"/>
    <w:rsid w:val="0048092D"/>
    <w:rsid w:val="0048095E"/>
    <w:rsid w:val="004809D6"/>
    <w:rsid w:val="00480C75"/>
    <w:rsid w:val="00480E49"/>
    <w:rsid w:val="00480E6A"/>
    <w:rsid w:val="0048129F"/>
    <w:rsid w:val="00481852"/>
    <w:rsid w:val="00481CDD"/>
    <w:rsid w:val="0048234B"/>
    <w:rsid w:val="00482857"/>
    <w:rsid w:val="00482883"/>
    <w:rsid w:val="00482981"/>
    <w:rsid w:val="00482AFA"/>
    <w:rsid w:val="00482D7B"/>
    <w:rsid w:val="00482D8E"/>
    <w:rsid w:val="00482EFD"/>
    <w:rsid w:val="00483295"/>
    <w:rsid w:val="004839B0"/>
    <w:rsid w:val="00483CB8"/>
    <w:rsid w:val="00483D88"/>
    <w:rsid w:val="00483DF2"/>
    <w:rsid w:val="0048441C"/>
    <w:rsid w:val="004845D6"/>
    <w:rsid w:val="00484CD9"/>
    <w:rsid w:val="00484DB1"/>
    <w:rsid w:val="004852A9"/>
    <w:rsid w:val="004856A7"/>
    <w:rsid w:val="0048575C"/>
    <w:rsid w:val="0048580E"/>
    <w:rsid w:val="00485986"/>
    <w:rsid w:val="00485D6D"/>
    <w:rsid w:val="004860A1"/>
    <w:rsid w:val="00486E8B"/>
    <w:rsid w:val="004874A0"/>
    <w:rsid w:val="004876EA"/>
    <w:rsid w:val="00487A2C"/>
    <w:rsid w:val="00487E46"/>
    <w:rsid w:val="004902ED"/>
    <w:rsid w:val="004902FC"/>
    <w:rsid w:val="004905E8"/>
    <w:rsid w:val="00490628"/>
    <w:rsid w:val="0049078D"/>
    <w:rsid w:val="0049172C"/>
    <w:rsid w:val="00491A11"/>
    <w:rsid w:val="00491C95"/>
    <w:rsid w:val="00491F9D"/>
    <w:rsid w:val="0049219E"/>
    <w:rsid w:val="0049238D"/>
    <w:rsid w:val="00492468"/>
    <w:rsid w:val="00492471"/>
    <w:rsid w:val="00492B99"/>
    <w:rsid w:val="00492C6D"/>
    <w:rsid w:val="00492E75"/>
    <w:rsid w:val="00493C32"/>
    <w:rsid w:val="004941FB"/>
    <w:rsid w:val="00494311"/>
    <w:rsid w:val="00494724"/>
    <w:rsid w:val="0049480C"/>
    <w:rsid w:val="00494B30"/>
    <w:rsid w:val="00495508"/>
    <w:rsid w:val="0049555A"/>
    <w:rsid w:val="004955E3"/>
    <w:rsid w:val="00495B90"/>
    <w:rsid w:val="00495C0C"/>
    <w:rsid w:val="00495D1D"/>
    <w:rsid w:val="00495DA0"/>
    <w:rsid w:val="00495E6D"/>
    <w:rsid w:val="0049623A"/>
    <w:rsid w:val="00496306"/>
    <w:rsid w:val="00496937"/>
    <w:rsid w:val="004969D0"/>
    <w:rsid w:val="00496EEB"/>
    <w:rsid w:val="004971A3"/>
    <w:rsid w:val="00497517"/>
    <w:rsid w:val="00497816"/>
    <w:rsid w:val="00497C18"/>
    <w:rsid w:val="00497F47"/>
    <w:rsid w:val="004A035F"/>
    <w:rsid w:val="004A05ED"/>
    <w:rsid w:val="004A19E7"/>
    <w:rsid w:val="004A1BCC"/>
    <w:rsid w:val="004A1D88"/>
    <w:rsid w:val="004A24F5"/>
    <w:rsid w:val="004A32CF"/>
    <w:rsid w:val="004A3584"/>
    <w:rsid w:val="004A3590"/>
    <w:rsid w:val="004A3DE0"/>
    <w:rsid w:val="004A47F2"/>
    <w:rsid w:val="004A4807"/>
    <w:rsid w:val="004A4C46"/>
    <w:rsid w:val="004A5285"/>
    <w:rsid w:val="004A5800"/>
    <w:rsid w:val="004A5DFA"/>
    <w:rsid w:val="004A61CF"/>
    <w:rsid w:val="004A64C6"/>
    <w:rsid w:val="004A69BC"/>
    <w:rsid w:val="004A6BA3"/>
    <w:rsid w:val="004A7087"/>
    <w:rsid w:val="004A71C4"/>
    <w:rsid w:val="004A782A"/>
    <w:rsid w:val="004A7B60"/>
    <w:rsid w:val="004A7CFA"/>
    <w:rsid w:val="004B078A"/>
    <w:rsid w:val="004B0931"/>
    <w:rsid w:val="004B106B"/>
    <w:rsid w:val="004B1606"/>
    <w:rsid w:val="004B1719"/>
    <w:rsid w:val="004B1E43"/>
    <w:rsid w:val="004B2BE8"/>
    <w:rsid w:val="004B3200"/>
    <w:rsid w:val="004B360B"/>
    <w:rsid w:val="004B370C"/>
    <w:rsid w:val="004B4513"/>
    <w:rsid w:val="004B465A"/>
    <w:rsid w:val="004B4747"/>
    <w:rsid w:val="004B5049"/>
    <w:rsid w:val="004B5132"/>
    <w:rsid w:val="004B5550"/>
    <w:rsid w:val="004B5FBC"/>
    <w:rsid w:val="004B6022"/>
    <w:rsid w:val="004B60F0"/>
    <w:rsid w:val="004B6342"/>
    <w:rsid w:val="004B6AC8"/>
    <w:rsid w:val="004B6AE1"/>
    <w:rsid w:val="004B6B2B"/>
    <w:rsid w:val="004B6C37"/>
    <w:rsid w:val="004B73B2"/>
    <w:rsid w:val="004B7A3B"/>
    <w:rsid w:val="004C0BAB"/>
    <w:rsid w:val="004C1C0A"/>
    <w:rsid w:val="004C1E58"/>
    <w:rsid w:val="004C2168"/>
    <w:rsid w:val="004C2400"/>
    <w:rsid w:val="004C2744"/>
    <w:rsid w:val="004C280D"/>
    <w:rsid w:val="004C2DAF"/>
    <w:rsid w:val="004C333E"/>
    <w:rsid w:val="004C34E6"/>
    <w:rsid w:val="004C351E"/>
    <w:rsid w:val="004C35AC"/>
    <w:rsid w:val="004C3799"/>
    <w:rsid w:val="004C3AC2"/>
    <w:rsid w:val="004C3B20"/>
    <w:rsid w:val="004C3F42"/>
    <w:rsid w:val="004C433B"/>
    <w:rsid w:val="004C43DC"/>
    <w:rsid w:val="004C4D99"/>
    <w:rsid w:val="004C508F"/>
    <w:rsid w:val="004C50A1"/>
    <w:rsid w:val="004C5A15"/>
    <w:rsid w:val="004C5B0E"/>
    <w:rsid w:val="004C5BB4"/>
    <w:rsid w:val="004C5BD6"/>
    <w:rsid w:val="004C5CE6"/>
    <w:rsid w:val="004C64E2"/>
    <w:rsid w:val="004C6607"/>
    <w:rsid w:val="004C695B"/>
    <w:rsid w:val="004C6C74"/>
    <w:rsid w:val="004C6C82"/>
    <w:rsid w:val="004C6DCF"/>
    <w:rsid w:val="004C73B2"/>
    <w:rsid w:val="004C7683"/>
    <w:rsid w:val="004C76C9"/>
    <w:rsid w:val="004C7B1D"/>
    <w:rsid w:val="004C7E62"/>
    <w:rsid w:val="004C7FD0"/>
    <w:rsid w:val="004D0587"/>
    <w:rsid w:val="004D07C7"/>
    <w:rsid w:val="004D07FF"/>
    <w:rsid w:val="004D1166"/>
    <w:rsid w:val="004D11A2"/>
    <w:rsid w:val="004D1285"/>
    <w:rsid w:val="004D165B"/>
    <w:rsid w:val="004D17CD"/>
    <w:rsid w:val="004D17D7"/>
    <w:rsid w:val="004D1CBE"/>
    <w:rsid w:val="004D1D2B"/>
    <w:rsid w:val="004D1DB1"/>
    <w:rsid w:val="004D1EF5"/>
    <w:rsid w:val="004D235B"/>
    <w:rsid w:val="004D256E"/>
    <w:rsid w:val="004D2BF4"/>
    <w:rsid w:val="004D30D8"/>
    <w:rsid w:val="004D35B1"/>
    <w:rsid w:val="004D4240"/>
    <w:rsid w:val="004D43FF"/>
    <w:rsid w:val="004D49D8"/>
    <w:rsid w:val="004D4F77"/>
    <w:rsid w:val="004D4FEA"/>
    <w:rsid w:val="004D51D3"/>
    <w:rsid w:val="004D5D7C"/>
    <w:rsid w:val="004D6299"/>
    <w:rsid w:val="004D62D1"/>
    <w:rsid w:val="004D66C9"/>
    <w:rsid w:val="004D6B96"/>
    <w:rsid w:val="004D6FB2"/>
    <w:rsid w:val="004D7330"/>
    <w:rsid w:val="004D76EB"/>
    <w:rsid w:val="004D783F"/>
    <w:rsid w:val="004D7E2E"/>
    <w:rsid w:val="004D7FCB"/>
    <w:rsid w:val="004E03C5"/>
    <w:rsid w:val="004E0F6B"/>
    <w:rsid w:val="004E11EA"/>
    <w:rsid w:val="004E1264"/>
    <w:rsid w:val="004E1311"/>
    <w:rsid w:val="004E1373"/>
    <w:rsid w:val="004E1544"/>
    <w:rsid w:val="004E156F"/>
    <w:rsid w:val="004E1BD8"/>
    <w:rsid w:val="004E28B5"/>
    <w:rsid w:val="004E2E1B"/>
    <w:rsid w:val="004E3078"/>
    <w:rsid w:val="004E36AA"/>
    <w:rsid w:val="004E3A84"/>
    <w:rsid w:val="004E3D56"/>
    <w:rsid w:val="004E3D79"/>
    <w:rsid w:val="004E3FD7"/>
    <w:rsid w:val="004E4E9B"/>
    <w:rsid w:val="004E4ED8"/>
    <w:rsid w:val="004E545F"/>
    <w:rsid w:val="004E5B20"/>
    <w:rsid w:val="004E5D70"/>
    <w:rsid w:val="004E63DC"/>
    <w:rsid w:val="004E666F"/>
    <w:rsid w:val="004E687C"/>
    <w:rsid w:val="004E778B"/>
    <w:rsid w:val="004E7ACF"/>
    <w:rsid w:val="004E7AEE"/>
    <w:rsid w:val="004F0485"/>
    <w:rsid w:val="004F05EC"/>
    <w:rsid w:val="004F0655"/>
    <w:rsid w:val="004F0A01"/>
    <w:rsid w:val="004F17DB"/>
    <w:rsid w:val="004F2597"/>
    <w:rsid w:val="004F2697"/>
    <w:rsid w:val="004F28E7"/>
    <w:rsid w:val="004F2BDA"/>
    <w:rsid w:val="004F2C8E"/>
    <w:rsid w:val="004F34B6"/>
    <w:rsid w:val="004F36C6"/>
    <w:rsid w:val="004F374A"/>
    <w:rsid w:val="004F3B5D"/>
    <w:rsid w:val="004F3D6A"/>
    <w:rsid w:val="004F3F33"/>
    <w:rsid w:val="004F41F9"/>
    <w:rsid w:val="004F4802"/>
    <w:rsid w:val="004F493F"/>
    <w:rsid w:val="004F4B32"/>
    <w:rsid w:val="004F50D3"/>
    <w:rsid w:val="004F5335"/>
    <w:rsid w:val="004F5B3F"/>
    <w:rsid w:val="004F6629"/>
    <w:rsid w:val="004F6A2F"/>
    <w:rsid w:val="004F6EFC"/>
    <w:rsid w:val="004F6FFB"/>
    <w:rsid w:val="004F70FE"/>
    <w:rsid w:val="004F7620"/>
    <w:rsid w:val="004F7B41"/>
    <w:rsid w:val="005004AD"/>
    <w:rsid w:val="00500AC3"/>
    <w:rsid w:val="00500B56"/>
    <w:rsid w:val="005010BB"/>
    <w:rsid w:val="005014DD"/>
    <w:rsid w:val="0050195C"/>
    <w:rsid w:val="00502246"/>
    <w:rsid w:val="005027E1"/>
    <w:rsid w:val="005029B0"/>
    <w:rsid w:val="00502BA8"/>
    <w:rsid w:val="00502BC8"/>
    <w:rsid w:val="00502C5B"/>
    <w:rsid w:val="0050314B"/>
    <w:rsid w:val="005038A0"/>
    <w:rsid w:val="00503D24"/>
    <w:rsid w:val="00503ED9"/>
    <w:rsid w:val="005041A7"/>
    <w:rsid w:val="005042AB"/>
    <w:rsid w:val="00504A2E"/>
    <w:rsid w:val="00504D2D"/>
    <w:rsid w:val="00504EAD"/>
    <w:rsid w:val="005050E4"/>
    <w:rsid w:val="005052F0"/>
    <w:rsid w:val="005056F3"/>
    <w:rsid w:val="00506CA7"/>
    <w:rsid w:val="005070C7"/>
    <w:rsid w:val="00507257"/>
    <w:rsid w:val="0050741F"/>
    <w:rsid w:val="005075EF"/>
    <w:rsid w:val="0050775E"/>
    <w:rsid w:val="0050782F"/>
    <w:rsid w:val="00510C69"/>
    <w:rsid w:val="00510ECE"/>
    <w:rsid w:val="00510EE9"/>
    <w:rsid w:val="00510EF4"/>
    <w:rsid w:val="00511180"/>
    <w:rsid w:val="005114E0"/>
    <w:rsid w:val="00511B7C"/>
    <w:rsid w:val="00511CC1"/>
    <w:rsid w:val="00511E4E"/>
    <w:rsid w:val="00511EE7"/>
    <w:rsid w:val="00512681"/>
    <w:rsid w:val="0051353D"/>
    <w:rsid w:val="0051384B"/>
    <w:rsid w:val="00514053"/>
    <w:rsid w:val="0051423D"/>
    <w:rsid w:val="005144EB"/>
    <w:rsid w:val="00514861"/>
    <w:rsid w:val="005149AE"/>
    <w:rsid w:val="005157CB"/>
    <w:rsid w:val="0051638E"/>
    <w:rsid w:val="005163F2"/>
    <w:rsid w:val="0051656D"/>
    <w:rsid w:val="00516F47"/>
    <w:rsid w:val="005170CD"/>
    <w:rsid w:val="00517C96"/>
    <w:rsid w:val="00517EAC"/>
    <w:rsid w:val="0052000E"/>
    <w:rsid w:val="0052024C"/>
    <w:rsid w:val="00520358"/>
    <w:rsid w:val="00521461"/>
    <w:rsid w:val="005215AC"/>
    <w:rsid w:val="00521618"/>
    <w:rsid w:val="00521BBB"/>
    <w:rsid w:val="0052233E"/>
    <w:rsid w:val="0052255D"/>
    <w:rsid w:val="00522D79"/>
    <w:rsid w:val="00523374"/>
    <w:rsid w:val="005239C1"/>
    <w:rsid w:val="00523BB8"/>
    <w:rsid w:val="0052439B"/>
    <w:rsid w:val="00524751"/>
    <w:rsid w:val="00524D97"/>
    <w:rsid w:val="00525300"/>
    <w:rsid w:val="005253AF"/>
    <w:rsid w:val="00525631"/>
    <w:rsid w:val="0052569A"/>
    <w:rsid w:val="00525FB6"/>
    <w:rsid w:val="005267C8"/>
    <w:rsid w:val="00526817"/>
    <w:rsid w:val="00526893"/>
    <w:rsid w:val="005268EC"/>
    <w:rsid w:val="00526B53"/>
    <w:rsid w:val="00526E8D"/>
    <w:rsid w:val="00526F9C"/>
    <w:rsid w:val="00527084"/>
    <w:rsid w:val="0052789D"/>
    <w:rsid w:val="0052795E"/>
    <w:rsid w:val="00527B22"/>
    <w:rsid w:val="00527D53"/>
    <w:rsid w:val="0053033F"/>
    <w:rsid w:val="005307EF"/>
    <w:rsid w:val="00530A63"/>
    <w:rsid w:val="00530DE7"/>
    <w:rsid w:val="00530F8B"/>
    <w:rsid w:val="00531092"/>
    <w:rsid w:val="0053122B"/>
    <w:rsid w:val="0053159D"/>
    <w:rsid w:val="005316BC"/>
    <w:rsid w:val="005317C5"/>
    <w:rsid w:val="00531AB4"/>
    <w:rsid w:val="005321C7"/>
    <w:rsid w:val="005324A7"/>
    <w:rsid w:val="005325E2"/>
    <w:rsid w:val="005326DB"/>
    <w:rsid w:val="00532C55"/>
    <w:rsid w:val="00532EE1"/>
    <w:rsid w:val="0053333E"/>
    <w:rsid w:val="005333CC"/>
    <w:rsid w:val="005335CE"/>
    <w:rsid w:val="005338DD"/>
    <w:rsid w:val="00533BE2"/>
    <w:rsid w:val="0053446C"/>
    <w:rsid w:val="005346E1"/>
    <w:rsid w:val="00534CD0"/>
    <w:rsid w:val="00534F7F"/>
    <w:rsid w:val="00535515"/>
    <w:rsid w:val="00535DC5"/>
    <w:rsid w:val="00536096"/>
    <w:rsid w:val="00536B42"/>
    <w:rsid w:val="005371A5"/>
    <w:rsid w:val="0053787A"/>
    <w:rsid w:val="00537F50"/>
    <w:rsid w:val="0054022B"/>
    <w:rsid w:val="00540B7F"/>
    <w:rsid w:val="00541224"/>
    <w:rsid w:val="0054164D"/>
    <w:rsid w:val="00541969"/>
    <w:rsid w:val="00541A2A"/>
    <w:rsid w:val="0054228F"/>
    <w:rsid w:val="00542589"/>
    <w:rsid w:val="0054266B"/>
    <w:rsid w:val="00542B8D"/>
    <w:rsid w:val="00542DF8"/>
    <w:rsid w:val="00543214"/>
    <w:rsid w:val="005433E5"/>
    <w:rsid w:val="005434F1"/>
    <w:rsid w:val="00543584"/>
    <w:rsid w:val="00543A3B"/>
    <w:rsid w:val="005445FF"/>
    <w:rsid w:val="005446D7"/>
    <w:rsid w:val="0054477E"/>
    <w:rsid w:val="00544DD0"/>
    <w:rsid w:val="00544F4B"/>
    <w:rsid w:val="00545050"/>
    <w:rsid w:val="005455FA"/>
    <w:rsid w:val="00545C52"/>
    <w:rsid w:val="0054600C"/>
    <w:rsid w:val="005461F8"/>
    <w:rsid w:val="005465AC"/>
    <w:rsid w:val="005471C9"/>
    <w:rsid w:val="005472A0"/>
    <w:rsid w:val="005475EA"/>
    <w:rsid w:val="0054771C"/>
    <w:rsid w:val="005477E6"/>
    <w:rsid w:val="005479F1"/>
    <w:rsid w:val="00547ABC"/>
    <w:rsid w:val="0055022F"/>
    <w:rsid w:val="00550664"/>
    <w:rsid w:val="00550A94"/>
    <w:rsid w:val="00550D0D"/>
    <w:rsid w:val="0055135D"/>
    <w:rsid w:val="0055176F"/>
    <w:rsid w:val="005518BE"/>
    <w:rsid w:val="005519B3"/>
    <w:rsid w:val="005519F0"/>
    <w:rsid w:val="00551C15"/>
    <w:rsid w:val="00551CB7"/>
    <w:rsid w:val="00551CE4"/>
    <w:rsid w:val="00551CF5"/>
    <w:rsid w:val="00551F87"/>
    <w:rsid w:val="00552262"/>
    <w:rsid w:val="005525CB"/>
    <w:rsid w:val="00552851"/>
    <w:rsid w:val="00552ED7"/>
    <w:rsid w:val="005533A4"/>
    <w:rsid w:val="00553409"/>
    <w:rsid w:val="00553600"/>
    <w:rsid w:val="005538E1"/>
    <w:rsid w:val="00553ED6"/>
    <w:rsid w:val="00554242"/>
    <w:rsid w:val="005542E9"/>
    <w:rsid w:val="00554C31"/>
    <w:rsid w:val="0055506D"/>
    <w:rsid w:val="00555352"/>
    <w:rsid w:val="0055597A"/>
    <w:rsid w:val="00555D56"/>
    <w:rsid w:val="00555EE0"/>
    <w:rsid w:val="00556296"/>
    <w:rsid w:val="005562BA"/>
    <w:rsid w:val="005562EF"/>
    <w:rsid w:val="0055641B"/>
    <w:rsid w:val="005568AA"/>
    <w:rsid w:val="00556BB8"/>
    <w:rsid w:val="00556E1E"/>
    <w:rsid w:val="00556FC3"/>
    <w:rsid w:val="0055744F"/>
    <w:rsid w:val="00557F2F"/>
    <w:rsid w:val="0056042A"/>
    <w:rsid w:val="0056077E"/>
    <w:rsid w:val="00560B96"/>
    <w:rsid w:val="005611A5"/>
    <w:rsid w:val="00561380"/>
    <w:rsid w:val="0056146E"/>
    <w:rsid w:val="005615F2"/>
    <w:rsid w:val="005619F9"/>
    <w:rsid w:val="00561A17"/>
    <w:rsid w:val="00562080"/>
    <w:rsid w:val="005624CE"/>
    <w:rsid w:val="00562B63"/>
    <w:rsid w:val="005631EF"/>
    <w:rsid w:val="005639AF"/>
    <w:rsid w:val="00563D06"/>
    <w:rsid w:val="00564580"/>
    <w:rsid w:val="00564729"/>
    <w:rsid w:val="00564EE7"/>
    <w:rsid w:val="00565EBB"/>
    <w:rsid w:val="00565F91"/>
    <w:rsid w:val="00565FF1"/>
    <w:rsid w:val="00566228"/>
    <w:rsid w:val="00566537"/>
    <w:rsid w:val="00566B8E"/>
    <w:rsid w:val="00566CFA"/>
    <w:rsid w:val="00566E5F"/>
    <w:rsid w:val="00567051"/>
    <w:rsid w:val="005675D6"/>
    <w:rsid w:val="005675E2"/>
    <w:rsid w:val="00567641"/>
    <w:rsid w:val="005676A0"/>
    <w:rsid w:val="00567982"/>
    <w:rsid w:val="00567DCD"/>
    <w:rsid w:val="00570036"/>
    <w:rsid w:val="00570211"/>
    <w:rsid w:val="00570589"/>
    <w:rsid w:val="0057084F"/>
    <w:rsid w:val="00570863"/>
    <w:rsid w:val="00570B51"/>
    <w:rsid w:val="00571651"/>
    <w:rsid w:val="00571673"/>
    <w:rsid w:val="005717DD"/>
    <w:rsid w:val="00571BD6"/>
    <w:rsid w:val="005724E9"/>
    <w:rsid w:val="00572CDB"/>
    <w:rsid w:val="00572D84"/>
    <w:rsid w:val="00573196"/>
    <w:rsid w:val="005735E2"/>
    <w:rsid w:val="005755CE"/>
    <w:rsid w:val="0057583C"/>
    <w:rsid w:val="00575C53"/>
    <w:rsid w:val="00575D94"/>
    <w:rsid w:val="00576239"/>
    <w:rsid w:val="0057641C"/>
    <w:rsid w:val="00576D2A"/>
    <w:rsid w:val="005772CA"/>
    <w:rsid w:val="00577568"/>
    <w:rsid w:val="005775A4"/>
    <w:rsid w:val="00577A78"/>
    <w:rsid w:val="00577B21"/>
    <w:rsid w:val="00577EE0"/>
    <w:rsid w:val="00580609"/>
    <w:rsid w:val="0058075D"/>
    <w:rsid w:val="005807B2"/>
    <w:rsid w:val="005813C6"/>
    <w:rsid w:val="00581422"/>
    <w:rsid w:val="005814D3"/>
    <w:rsid w:val="005816AD"/>
    <w:rsid w:val="005818B6"/>
    <w:rsid w:val="00581E73"/>
    <w:rsid w:val="00581FD7"/>
    <w:rsid w:val="005825AE"/>
    <w:rsid w:val="00582DB5"/>
    <w:rsid w:val="0058362E"/>
    <w:rsid w:val="00583658"/>
    <w:rsid w:val="0058387F"/>
    <w:rsid w:val="005838F3"/>
    <w:rsid w:val="0058402A"/>
    <w:rsid w:val="00584CD7"/>
    <w:rsid w:val="00585DA5"/>
    <w:rsid w:val="00585F7C"/>
    <w:rsid w:val="00586662"/>
    <w:rsid w:val="00586976"/>
    <w:rsid w:val="00586A72"/>
    <w:rsid w:val="00586E2C"/>
    <w:rsid w:val="005870F3"/>
    <w:rsid w:val="005874E7"/>
    <w:rsid w:val="00587762"/>
    <w:rsid w:val="00587B5B"/>
    <w:rsid w:val="00587D27"/>
    <w:rsid w:val="00590849"/>
    <w:rsid w:val="00590BF3"/>
    <w:rsid w:val="00590C0A"/>
    <w:rsid w:val="00590D39"/>
    <w:rsid w:val="005917B6"/>
    <w:rsid w:val="00591BD5"/>
    <w:rsid w:val="00591E95"/>
    <w:rsid w:val="005929AE"/>
    <w:rsid w:val="00592E5B"/>
    <w:rsid w:val="00593144"/>
    <w:rsid w:val="0059355E"/>
    <w:rsid w:val="00593773"/>
    <w:rsid w:val="00593883"/>
    <w:rsid w:val="00593A03"/>
    <w:rsid w:val="005940B6"/>
    <w:rsid w:val="005946D2"/>
    <w:rsid w:val="00594EB4"/>
    <w:rsid w:val="005952F9"/>
    <w:rsid w:val="0059579A"/>
    <w:rsid w:val="005957D3"/>
    <w:rsid w:val="00595F92"/>
    <w:rsid w:val="00595FB1"/>
    <w:rsid w:val="00596106"/>
    <w:rsid w:val="005963FC"/>
    <w:rsid w:val="005964CF"/>
    <w:rsid w:val="00596EAA"/>
    <w:rsid w:val="0059712B"/>
    <w:rsid w:val="00597174"/>
    <w:rsid w:val="00597950"/>
    <w:rsid w:val="00597FA2"/>
    <w:rsid w:val="005A020A"/>
    <w:rsid w:val="005A0D8B"/>
    <w:rsid w:val="005A0F1F"/>
    <w:rsid w:val="005A102B"/>
    <w:rsid w:val="005A1809"/>
    <w:rsid w:val="005A18B1"/>
    <w:rsid w:val="005A1BE2"/>
    <w:rsid w:val="005A1FDA"/>
    <w:rsid w:val="005A2045"/>
    <w:rsid w:val="005A20F7"/>
    <w:rsid w:val="005A2340"/>
    <w:rsid w:val="005A2B98"/>
    <w:rsid w:val="005A2CE7"/>
    <w:rsid w:val="005A2F46"/>
    <w:rsid w:val="005A32AF"/>
    <w:rsid w:val="005A3461"/>
    <w:rsid w:val="005A3494"/>
    <w:rsid w:val="005A506D"/>
    <w:rsid w:val="005A5165"/>
    <w:rsid w:val="005A518D"/>
    <w:rsid w:val="005A64A2"/>
    <w:rsid w:val="005A657D"/>
    <w:rsid w:val="005A69A0"/>
    <w:rsid w:val="005A6E85"/>
    <w:rsid w:val="005A7863"/>
    <w:rsid w:val="005A7921"/>
    <w:rsid w:val="005A7A5A"/>
    <w:rsid w:val="005A7F2A"/>
    <w:rsid w:val="005B0323"/>
    <w:rsid w:val="005B05B8"/>
    <w:rsid w:val="005B0650"/>
    <w:rsid w:val="005B0A0B"/>
    <w:rsid w:val="005B1665"/>
    <w:rsid w:val="005B166E"/>
    <w:rsid w:val="005B1921"/>
    <w:rsid w:val="005B1A8C"/>
    <w:rsid w:val="005B1E05"/>
    <w:rsid w:val="005B2462"/>
    <w:rsid w:val="005B2B23"/>
    <w:rsid w:val="005B2CBB"/>
    <w:rsid w:val="005B2FA9"/>
    <w:rsid w:val="005B3F41"/>
    <w:rsid w:val="005B41CD"/>
    <w:rsid w:val="005B4330"/>
    <w:rsid w:val="005B4653"/>
    <w:rsid w:val="005B466D"/>
    <w:rsid w:val="005B49B6"/>
    <w:rsid w:val="005B49E4"/>
    <w:rsid w:val="005B4C9B"/>
    <w:rsid w:val="005B536B"/>
    <w:rsid w:val="005B5449"/>
    <w:rsid w:val="005B554B"/>
    <w:rsid w:val="005B57D8"/>
    <w:rsid w:val="005B57DD"/>
    <w:rsid w:val="005B596B"/>
    <w:rsid w:val="005B5DD7"/>
    <w:rsid w:val="005B6754"/>
    <w:rsid w:val="005B6D20"/>
    <w:rsid w:val="005B765D"/>
    <w:rsid w:val="005B7C03"/>
    <w:rsid w:val="005C0744"/>
    <w:rsid w:val="005C0C07"/>
    <w:rsid w:val="005C1643"/>
    <w:rsid w:val="005C1A0B"/>
    <w:rsid w:val="005C2008"/>
    <w:rsid w:val="005C219A"/>
    <w:rsid w:val="005C2542"/>
    <w:rsid w:val="005C25FA"/>
    <w:rsid w:val="005C2A73"/>
    <w:rsid w:val="005C2BDB"/>
    <w:rsid w:val="005C2E68"/>
    <w:rsid w:val="005C2F3A"/>
    <w:rsid w:val="005C2FA2"/>
    <w:rsid w:val="005C342A"/>
    <w:rsid w:val="005C3A74"/>
    <w:rsid w:val="005C4369"/>
    <w:rsid w:val="005C45E5"/>
    <w:rsid w:val="005C4629"/>
    <w:rsid w:val="005C57A9"/>
    <w:rsid w:val="005C5977"/>
    <w:rsid w:val="005C5A37"/>
    <w:rsid w:val="005C5B5F"/>
    <w:rsid w:val="005C5B6C"/>
    <w:rsid w:val="005C5ED2"/>
    <w:rsid w:val="005C5EE6"/>
    <w:rsid w:val="005C6733"/>
    <w:rsid w:val="005C67E3"/>
    <w:rsid w:val="005C6A8B"/>
    <w:rsid w:val="005C7177"/>
    <w:rsid w:val="005C71FA"/>
    <w:rsid w:val="005C7278"/>
    <w:rsid w:val="005C7465"/>
    <w:rsid w:val="005C7640"/>
    <w:rsid w:val="005C7D1B"/>
    <w:rsid w:val="005C7DD0"/>
    <w:rsid w:val="005D049A"/>
    <w:rsid w:val="005D0B25"/>
    <w:rsid w:val="005D0D2E"/>
    <w:rsid w:val="005D2EB2"/>
    <w:rsid w:val="005D31EE"/>
    <w:rsid w:val="005D359D"/>
    <w:rsid w:val="005D3B19"/>
    <w:rsid w:val="005D3BC0"/>
    <w:rsid w:val="005D3FFE"/>
    <w:rsid w:val="005D410E"/>
    <w:rsid w:val="005D42A4"/>
    <w:rsid w:val="005D472D"/>
    <w:rsid w:val="005D4A58"/>
    <w:rsid w:val="005D4C1C"/>
    <w:rsid w:val="005D4D19"/>
    <w:rsid w:val="005D4D51"/>
    <w:rsid w:val="005D4F99"/>
    <w:rsid w:val="005D57AD"/>
    <w:rsid w:val="005D648E"/>
    <w:rsid w:val="005D680D"/>
    <w:rsid w:val="005D6ABB"/>
    <w:rsid w:val="005D6F7E"/>
    <w:rsid w:val="005D70E4"/>
    <w:rsid w:val="005D7229"/>
    <w:rsid w:val="005D734F"/>
    <w:rsid w:val="005D73FA"/>
    <w:rsid w:val="005D791F"/>
    <w:rsid w:val="005D7BB6"/>
    <w:rsid w:val="005E00ED"/>
    <w:rsid w:val="005E0125"/>
    <w:rsid w:val="005E037E"/>
    <w:rsid w:val="005E0398"/>
    <w:rsid w:val="005E03E6"/>
    <w:rsid w:val="005E079F"/>
    <w:rsid w:val="005E0D6C"/>
    <w:rsid w:val="005E0F6F"/>
    <w:rsid w:val="005E1180"/>
    <w:rsid w:val="005E11AD"/>
    <w:rsid w:val="005E173E"/>
    <w:rsid w:val="005E2763"/>
    <w:rsid w:val="005E2812"/>
    <w:rsid w:val="005E297E"/>
    <w:rsid w:val="005E2B98"/>
    <w:rsid w:val="005E2E20"/>
    <w:rsid w:val="005E31FA"/>
    <w:rsid w:val="005E339A"/>
    <w:rsid w:val="005E3654"/>
    <w:rsid w:val="005E39D5"/>
    <w:rsid w:val="005E3C32"/>
    <w:rsid w:val="005E4658"/>
    <w:rsid w:val="005E47BC"/>
    <w:rsid w:val="005E47F1"/>
    <w:rsid w:val="005E49C6"/>
    <w:rsid w:val="005E4A13"/>
    <w:rsid w:val="005E5232"/>
    <w:rsid w:val="005E53F2"/>
    <w:rsid w:val="005E58F8"/>
    <w:rsid w:val="005E658C"/>
    <w:rsid w:val="005E6A01"/>
    <w:rsid w:val="005E6F41"/>
    <w:rsid w:val="005E7D03"/>
    <w:rsid w:val="005E7D32"/>
    <w:rsid w:val="005F00C3"/>
    <w:rsid w:val="005F0A51"/>
    <w:rsid w:val="005F0AF7"/>
    <w:rsid w:val="005F0C82"/>
    <w:rsid w:val="005F111D"/>
    <w:rsid w:val="005F1121"/>
    <w:rsid w:val="005F113F"/>
    <w:rsid w:val="005F1260"/>
    <w:rsid w:val="005F183B"/>
    <w:rsid w:val="005F1A88"/>
    <w:rsid w:val="005F1B01"/>
    <w:rsid w:val="005F1B5A"/>
    <w:rsid w:val="005F1DA7"/>
    <w:rsid w:val="005F1F96"/>
    <w:rsid w:val="005F23C8"/>
    <w:rsid w:val="005F2543"/>
    <w:rsid w:val="005F2F57"/>
    <w:rsid w:val="005F3B86"/>
    <w:rsid w:val="005F429D"/>
    <w:rsid w:val="005F4389"/>
    <w:rsid w:val="005F49BD"/>
    <w:rsid w:val="005F4DA1"/>
    <w:rsid w:val="005F5320"/>
    <w:rsid w:val="005F577E"/>
    <w:rsid w:val="005F5FAB"/>
    <w:rsid w:val="005F6427"/>
    <w:rsid w:val="005F67B4"/>
    <w:rsid w:val="005F6B64"/>
    <w:rsid w:val="005F711A"/>
    <w:rsid w:val="005F7685"/>
    <w:rsid w:val="005F7686"/>
    <w:rsid w:val="005F76CB"/>
    <w:rsid w:val="005F7BD5"/>
    <w:rsid w:val="005F7C1D"/>
    <w:rsid w:val="005F7DC2"/>
    <w:rsid w:val="0060039C"/>
    <w:rsid w:val="0060061F"/>
    <w:rsid w:val="006009E5"/>
    <w:rsid w:val="00600AE0"/>
    <w:rsid w:val="006012A0"/>
    <w:rsid w:val="006019EE"/>
    <w:rsid w:val="00601C1F"/>
    <w:rsid w:val="00602067"/>
    <w:rsid w:val="00602147"/>
    <w:rsid w:val="00602179"/>
    <w:rsid w:val="00602215"/>
    <w:rsid w:val="00602E06"/>
    <w:rsid w:val="006032EB"/>
    <w:rsid w:val="00603621"/>
    <w:rsid w:val="0060380F"/>
    <w:rsid w:val="00603C3F"/>
    <w:rsid w:val="00604023"/>
    <w:rsid w:val="006041C8"/>
    <w:rsid w:val="006042A8"/>
    <w:rsid w:val="006051F6"/>
    <w:rsid w:val="006051FD"/>
    <w:rsid w:val="00605B5E"/>
    <w:rsid w:val="00605B67"/>
    <w:rsid w:val="00605BC5"/>
    <w:rsid w:val="00605F3D"/>
    <w:rsid w:val="00605F5E"/>
    <w:rsid w:val="0060635B"/>
    <w:rsid w:val="00606884"/>
    <w:rsid w:val="00606991"/>
    <w:rsid w:val="006069C0"/>
    <w:rsid w:val="00606BF3"/>
    <w:rsid w:val="00606C07"/>
    <w:rsid w:val="00606EF3"/>
    <w:rsid w:val="006071C6"/>
    <w:rsid w:val="006072AB"/>
    <w:rsid w:val="0060799E"/>
    <w:rsid w:val="00607AE7"/>
    <w:rsid w:val="006100DD"/>
    <w:rsid w:val="0061056A"/>
    <w:rsid w:val="00610C2B"/>
    <w:rsid w:val="00611013"/>
    <w:rsid w:val="006111CD"/>
    <w:rsid w:val="006114A3"/>
    <w:rsid w:val="006114DF"/>
    <w:rsid w:val="00611859"/>
    <w:rsid w:val="00611D28"/>
    <w:rsid w:val="00612597"/>
    <w:rsid w:val="00612A3B"/>
    <w:rsid w:val="00612C3A"/>
    <w:rsid w:val="0061359E"/>
    <w:rsid w:val="00613771"/>
    <w:rsid w:val="006138F4"/>
    <w:rsid w:val="0061398C"/>
    <w:rsid w:val="00614168"/>
    <w:rsid w:val="00614224"/>
    <w:rsid w:val="006143C2"/>
    <w:rsid w:val="006143F6"/>
    <w:rsid w:val="00614796"/>
    <w:rsid w:val="006151A9"/>
    <w:rsid w:val="00615306"/>
    <w:rsid w:val="00615731"/>
    <w:rsid w:val="00615809"/>
    <w:rsid w:val="00615A90"/>
    <w:rsid w:val="00615E6F"/>
    <w:rsid w:val="00616033"/>
    <w:rsid w:val="0061651D"/>
    <w:rsid w:val="006165ED"/>
    <w:rsid w:val="0061677C"/>
    <w:rsid w:val="006169C8"/>
    <w:rsid w:val="00616D86"/>
    <w:rsid w:val="00616D93"/>
    <w:rsid w:val="00616FBD"/>
    <w:rsid w:val="006172A6"/>
    <w:rsid w:val="00617376"/>
    <w:rsid w:val="00617AA5"/>
    <w:rsid w:val="00617BD8"/>
    <w:rsid w:val="00617E40"/>
    <w:rsid w:val="006204B9"/>
    <w:rsid w:val="00620694"/>
    <w:rsid w:val="00620931"/>
    <w:rsid w:val="00620A62"/>
    <w:rsid w:val="00621061"/>
    <w:rsid w:val="00621CAD"/>
    <w:rsid w:val="00621F23"/>
    <w:rsid w:val="0062239D"/>
    <w:rsid w:val="006223A4"/>
    <w:rsid w:val="006225E2"/>
    <w:rsid w:val="00622652"/>
    <w:rsid w:val="0062270E"/>
    <w:rsid w:val="00622837"/>
    <w:rsid w:val="00622CC6"/>
    <w:rsid w:val="00623761"/>
    <w:rsid w:val="0062389D"/>
    <w:rsid w:val="00623D52"/>
    <w:rsid w:val="0062443A"/>
    <w:rsid w:val="006248A2"/>
    <w:rsid w:val="006248A9"/>
    <w:rsid w:val="00624DBA"/>
    <w:rsid w:val="00625752"/>
    <w:rsid w:val="0062577F"/>
    <w:rsid w:val="00625A21"/>
    <w:rsid w:val="00625AE2"/>
    <w:rsid w:val="00625C69"/>
    <w:rsid w:val="00626681"/>
    <w:rsid w:val="006266DE"/>
    <w:rsid w:val="00626A36"/>
    <w:rsid w:val="00626B59"/>
    <w:rsid w:val="00626E8B"/>
    <w:rsid w:val="006279D7"/>
    <w:rsid w:val="00627BFD"/>
    <w:rsid w:val="00627C80"/>
    <w:rsid w:val="00630B28"/>
    <w:rsid w:val="00630CAA"/>
    <w:rsid w:val="00630DB6"/>
    <w:rsid w:val="00630E8A"/>
    <w:rsid w:val="00631299"/>
    <w:rsid w:val="00631BBC"/>
    <w:rsid w:val="00631BE9"/>
    <w:rsid w:val="00631C07"/>
    <w:rsid w:val="00631E04"/>
    <w:rsid w:val="00631F51"/>
    <w:rsid w:val="00631FA9"/>
    <w:rsid w:val="006324BD"/>
    <w:rsid w:val="00632785"/>
    <w:rsid w:val="00632EB7"/>
    <w:rsid w:val="00633095"/>
    <w:rsid w:val="006333D2"/>
    <w:rsid w:val="006341E1"/>
    <w:rsid w:val="006342B0"/>
    <w:rsid w:val="00634DF3"/>
    <w:rsid w:val="00634EB2"/>
    <w:rsid w:val="006351F5"/>
    <w:rsid w:val="00635746"/>
    <w:rsid w:val="0063589F"/>
    <w:rsid w:val="0063590E"/>
    <w:rsid w:val="00635A6A"/>
    <w:rsid w:val="006367E0"/>
    <w:rsid w:val="00636C28"/>
    <w:rsid w:val="00636C40"/>
    <w:rsid w:val="00636E40"/>
    <w:rsid w:val="00636E57"/>
    <w:rsid w:val="00636E79"/>
    <w:rsid w:val="0063723B"/>
    <w:rsid w:val="006373F0"/>
    <w:rsid w:val="00637D36"/>
    <w:rsid w:val="00637F85"/>
    <w:rsid w:val="00640068"/>
    <w:rsid w:val="00640886"/>
    <w:rsid w:val="00640DF5"/>
    <w:rsid w:val="0064103F"/>
    <w:rsid w:val="00641223"/>
    <w:rsid w:val="00641950"/>
    <w:rsid w:val="00641A20"/>
    <w:rsid w:val="00641D24"/>
    <w:rsid w:val="00641EE7"/>
    <w:rsid w:val="0064222A"/>
    <w:rsid w:val="006423D3"/>
    <w:rsid w:val="00642952"/>
    <w:rsid w:val="00642B33"/>
    <w:rsid w:val="00642BF9"/>
    <w:rsid w:val="00642FFA"/>
    <w:rsid w:val="00643233"/>
    <w:rsid w:val="006434DC"/>
    <w:rsid w:val="00643620"/>
    <w:rsid w:val="00643A4C"/>
    <w:rsid w:val="00643ADD"/>
    <w:rsid w:val="00643B30"/>
    <w:rsid w:val="006440D4"/>
    <w:rsid w:val="006444E7"/>
    <w:rsid w:val="0064468C"/>
    <w:rsid w:val="00644A42"/>
    <w:rsid w:val="00644B55"/>
    <w:rsid w:val="00645366"/>
    <w:rsid w:val="006455AA"/>
    <w:rsid w:val="006456E7"/>
    <w:rsid w:val="00645818"/>
    <w:rsid w:val="006458AD"/>
    <w:rsid w:val="0064596D"/>
    <w:rsid w:val="00645B52"/>
    <w:rsid w:val="00646181"/>
    <w:rsid w:val="00646279"/>
    <w:rsid w:val="00646440"/>
    <w:rsid w:val="00646B0C"/>
    <w:rsid w:val="00646DD9"/>
    <w:rsid w:val="006470C6"/>
    <w:rsid w:val="006475F5"/>
    <w:rsid w:val="00647812"/>
    <w:rsid w:val="00647CF4"/>
    <w:rsid w:val="006501D2"/>
    <w:rsid w:val="00650226"/>
    <w:rsid w:val="00650452"/>
    <w:rsid w:val="006508D8"/>
    <w:rsid w:val="00650AAD"/>
    <w:rsid w:val="00650FF3"/>
    <w:rsid w:val="006514C7"/>
    <w:rsid w:val="00651621"/>
    <w:rsid w:val="006519AA"/>
    <w:rsid w:val="00651E7A"/>
    <w:rsid w:val="006520B9"/>
    <w:rsid w:val="00652167"/>
    <w:rsid w:val="00652345"/>
    <w:rsid w:val="0065242F"/>
    <w:rsid w:val="006524BD"/>
    <w:rsid w:val="00652E88"/>
    <w:rsid w:val="0065381D"/>
    <w:rsid w:val="00653A8F"/>
    <w:rsid w:val="00654376"/>
    <w:rsid w:val="006544BC"/>
    <w:rsid w:val="006546B3"/>
    <w:rsid w:val="006546E1"/>
    <w:rsid w:val="00654955"/>
    <w:rsid w:val="0065497C"/>
    <w:rsid w:val="00654A81"/>
    <w:rsid w:val="00654B98"/>
    <w:rsid w:val="00654C2F"/>
    <w:rsid w:val="00654DA8"/>
    <w:rsid w:val="006550BA"/>
    <w:rsid w:val="00655580"/>
    <w:rsid w:val="00655879"/>
    <w:rsid w:val="00655926"/>
    <w:rsid w:val="006563A2"/>
    <w:rsid w:val="006565AC"/>
    <w:rsid w:val="00656861"/>
    <w:rsid w:val="00656AF5"/>
    <w:rsid w:val="00656EB4"/>
    <w:rsid w:val="00657119"/>
    <w:rsid w:val="0065727C"/>
    <w:rsid w:val="006572F9"/>
    <w:rsid w:val="0065733A"/>
    <w:rsid w:val="006573D7"/>
    <w:rsid w:val="0065785D"/>
    <w:rsid w:val="00657A5B"/>
    <w:rsid w:val="0066001F"/>
    <w:rsid w:val="0066008B"/>
    <w:rsid w:val="00660259"/>
    <w:rsid w:val="00660402"/>
    <w:rsid w:val="0066057A"/>
    <w:rsid w:val="006605E9"/>
    <w:rsid w:val="0066075C"/>
    <w:rsid w:val="0066077D"/>
    <w:rsid w:val="0066099D"/>
    <w:rsid w:val="00660C8E"/>
    <w:rsid w:val="00660E61"/>
    <w:rsid w:val="00660E85"/>
    <w:rsid w:val="00661118"/>
    <w:rsid w:val="0066111F"/>
    <w:rsid w:val="00661844"/>
    <w:rsid w:val="00661A09"/>
    <w:rsid w:val="00661A59"/>
    <w:rsid w:val="00661AD2"/>
    <w:rsid w:val="00661AD5"/>
    <w:rsid w:val="00662BC2"/>
    <w:rsid w:val="006635CB"/>
    <w:rsid w:val="006639DC"/>
    <w:rsid w:val="00663C34"/>
    <w:rsid w:val="00664081"/>
    <w:rsid w:val="0066456C"/>
    <w:rsid w:val="00664702"/>
    <w:rsid w:val="006648BC"/>
    <w:rsid w:val="006649B8"/>
    <w:rsid w:val="00664B1F"/>
    <w:rsid w:val="00664F2F"/>
    <w:rsid w:val="00665207"/>
    <w:rsid w:val="0066530F"/>
    <w:rsid w:val="006654D1"/>
    <w:rsid w:val="00665A81"/>
    <w:rsid w:val="00665C2C"/>
    <w:rsid w:val="006663A3"/>
    <w:rsid w:val="00666463"/>
    <w:rsid w:val="006666DD"/>
    <w:rsid w:val="006667F5"/>
    <w:rsid w:val="00666DF9"/>
    <w:rsid w:val="0066704F"/>
    <w:rsid w:val="006670BC"/>
    <w:rsid w:val="006673CD"/>
    <w:rsid w:val="00667701"/>
    <w:rsid w:val="006679CC"/>
    <w:rsid w:val="00667FAB"/>
    <w:rsid w:val="00670092"/>
    <w:rsid w:val="00670220"/>
    <w:rsid w:val="00670FDE"/>
    <w:rsid w:val="00671631"/>
    <w:rsid w:val="00671CC8"/>
    <w:rsid w:val="00671F03"/>
    <w:rsid w:val="0067212A"/>
    <w:rsid w:val="006725A3"/>
    <w:rsid w:val="00672932"/>
    <w:rsid w:val="00673C26"/>
    <w:rsid w:val="0067402D"/>
    <w:rsid w:val="006740A8"/>
    <w:rsid w:val="006741A7"/>
    <w:rsid w:val="00674280"/>
    <w:rsid w:val="006743AE"/>
    <w:rsid w:val="006746B0"/>
    <w:rsid w:val="0067473E"/>
    <w:rsid w:val="00675804"/>
    <w:rsid w:val="006761BF"/>
    <w:rsid w:val="006761E8"/>
    <w:rsid w:val="006764FC"/>
    <w:rsid w:val="00676542"/>
    <w:rsid w:val="00676618"/>
    <w:rsid w:val="0067695A"/>
    <w:rsid w:val="00676BE5"/>
    <w:rsid w:val="006774DF"/>
    <w:rsid w:val="006775A5"/>
    <w:rsid w:val="00677613"/>
    <w:rsid w:val="00680521"/>
    <w:rsid w:val="006808C1"/>
    <w:rsid w:val="006809AA"/>
    <w:rsid w:val="00680BFC"/>
    <w:rsid w:val="0068154E"/>
    <w:rsid w:val="006818CC"/>
    <w:rsid w:val="00681BA4"/>
    <w:rsid w:val="00681C7A"/>
    <w:rsid w:val="00681E21"/>
    <w:rsid w:val="00682286"/>
    <w:rsid w:val="006826D6"/>
    <w:rsid w:val="006827D0"/>
    <w:rsid w:val="00682F8E"/>
    <w:rsid w:val="0068313B"/>
    <w:rsid w:val="006837E1"/>
    <w:rsid w:val="00683EA7"/>
    <w:rsid w:val="00683FA4"/>
    <w:rsid w:val="00684028"/>
    <w:rsid w:val="0068414E"/>
    <w:rsid w:val="006843FB"/>
    <w:rsid w:val="00684735"/>
    <w:rsid w:val="0068485A"/>
    <w:rsid w:val="0068529A"/>
    <w:rsid w:val="006852CA"/>
    <w:rsid w:val="00685371"/>
    <w:rsid w:val="00685B9B"/>
    <w:rsid w:val="00685DBA"/>
    <w:rsid w:val="00686015"/>
    <w:rsid w:val="00686114"/>
    <w:rsid w:val="006862F2"/>
    <w:rsid w:val="0068728F"/>
    <w:rsid w:val="00687390"/>
    <w:rsid w:val="006873AA"/>
    <w:rsid w:val="00687441"/>
    <w:rsid w:val="00687809"/>
    <w:rsid w:val="00687B13"/>
    <w:rsid w:val="00687DA4"/>
    <w:rsid w:val="00687FEA"/>
    <w:rsid w:val="00690171"/>
    <w:rsid w:val="006904F9"/>
    <w:rsid w:val="006905FB"/>
    <w:rsid w:val="006906FF"/>
    <w:rsid w:val="00690745"/>
    <w:rsid w:val="006909C5"/>
    <w:rsid w:val="00690C3B"/>
    <w:rsid w:val="00690E3F"/>
    <w:rsid w:val="00691361"/>
    <w:rsid w:val="0069144E"/>
    <w:rsid w:val="00691A2C"/>
    <w:rsid w:val="00692275"/>
    <w:rsid w:val="006924A9"/>
    <w:rsid w:val="00692809"/>
    <w:rsid w:val="00692CA7"/>
    <w:rsid w:val="006930CE"/>
    <w:rsid w:val="00693393"/>
    <w:rsid w:val="006936CF"/>
    <w:rsid w:val="00693907"/>
    <w:rsid w:val="00693D82"/>
    <w:rsid w:val="0069420E"/>
    <w:rsid w:val="0069444B"/>
    <w:rsid w:val="00694531"/>
    <w:rsid w:val="006948FF"/>
    <w:rsid w:val="00694EDE"/>
    <w:rsid w:val="00694FEB"/>
    <w:rsid w:val="00695BCE"/>
    <w:rsid w:val="00696044"/>
    <w:rsid w:val="006960BD"/>
    <w:rsid w:val="0069621D"/>
    <w:rsid w:val="00696504"/>
    <w:rsid w:val="00696638"/>
    <w:rsid w:val="00696F18"/>
    <w:rsid w:val="006970F6"/>
    <w:rsid w:val="0069771F"/>
    <w:rsid w:val="006977E0"/>
    <w:rsid w:val="006A0439"/>
    <w:rsid w:val="006A044F"/>
    <w:rsid w:val="006A0A16"/>
    <w:rsid w:val="006A12E0"/>
    <w:rsid w:val="006A1555"/>
    <w:rsid w:val="006A1565"/>
    <w:rsid w:val="006A21AB"/>
    <w:rsid w:val="006A279F"/>
    <w:rsid w:val="006A2DC7"/>
    <w:rsid w:val="006A31E7"/>
    <w:rsid w:val="006A35D3"/>
    <w:rsid w:val="006A38E0"/>
    <w:rsid w:val="006A38F7"/>
    <w:rsid w:val="006A3AA2"/>
    <w:rsid w:val="006A3DE2"/>
    <w:rsid w:val="006A428F"/>
    <w:rsid w:val="006A449E"/>
    <w:rsid w:val="006A4A9A"/>
    <w:rsid w:val="006A4AA8"/>
    <w:rsid w:val="006A4AEC"/>
    <w:rsid w:val="006A4B28"/>
    <w:rsid w:val="006A5CB8"/>
    <w:rsid w:val="006A649E"/>
    <w:rsid w:val="006A724E"/>
    <w:rsid w:val="006A7289"/>
    <w:rsid w:val="006B1091"/>
    <w:rsid w:val="006B13CD"/>
    <w:rsid w:val="006B1401"/>
    <w:rsid w:val="006B1F15"/>
    <w:rsid w:val="006B20AF"/>
    <w:rsid w:val="006B299D"/>
    <w:rsid w:val="006B29EE"/>
    <w:rsid w:val="006B2C34"/>
    <w:rsid w:val="006B2C7E"/>
    <w:rsid w:val="006B2C94"/>
    <w:rsid w:val="006B33CA"/>
    <w:rsid w:val="006B3A6C"/>
    <w:rsid w:val="006B3AF2"/>
    <w:rsid w:val="006B4040"/>
    <w:rsid w:val="006B4843"/>
    <w:rsid w:val="006B4ACE"/>
    <w:rsid w:val="006B4D26"/>
    <w:rsid w:val="006B52DD"/>
    <w:rsid w:val="006B5545"/>
    <w:rsid w:val="006B574C"/>
    <w:rsid w:val="006B5910"/>
    <w:rsid w:val="006B592A"/>
    <w:rsid w:val="006B5C41"/>
    <w:rsid w:val="006B5DAF"/>
    <w:rsid w:val="006B603F"/>
    <w:rsid w:val="006B60F4"/>
    <w:rsid w:val="006B65C4"/>
    <w:rsid w:val="006B68FB"/>
    <w:rsid w:val="006B6929"/>
    <w:rsid w:val="006B6B06"/>
    <w:rsid w:val="006B7198"/>
    <w:rsid w:val="006B7725"/>
    <w:rsid w:val="006B7BFF"/>
    <w:rsid w:val="006B7CE7"/>
    <w:rsid w:val="006B7DB7"/>
    <w:rsid w:val="006B7E0B"/>
    <w:rsid w:val="006B7F66"/>
    <w:rsid w:val="006B7FAC"/>
    <w:rsid w:val="006C0627"/>
    <w:rsid w:val="006C0634"/>
    <w:rsid w:val="006C0A63"/>
    <w:rsid w:val="006C0DE9"/>
    <w:rsid w:val="006C15B2"/>
    <w:rsid w:val="006C1603"/>
    <w:rsid w:val="006C2544"/>
    <w:rsid w:val="006C27B1"/>
    <w:rsid w:val="006C27F6"/>
    <w:rsid w:val="006C3CBF"/>
    <w:rsid w:val="006C3F1F"/>
    <w:rsid w:val="006C403B"/>
    <w:rsid w:val="006C5DED"/>
    <w:rsid w:val="006C5F32"/>
    <w:rsid w:val="006C62F9"/>
    <w:rsid w:val="006C6348"/>
    <w:rsid w:val="006C689D"/>
    <w:rsid w:val="006C6F3D"/>
    <w:rsid w:val="006C71AF"/>
    <w:rsid w:val="006C73A1"/>
    <w:rsid w:val="006C76DF"/>
    <w:rsid w:val="006C79FB"/>
    <w:rsid w:val="006C7EE1"/>
    <w:rsid w:val="006D004E"/>
    <w:rsid w:val="006D0095"/>
    <w:rsid w:val="006D02FE"/>
    <w:rsid w:val="006D0314"/>
    <w:rsid w:val="006D0802"/>
    <w:rsid w:val="006D16B2"/>
    <w:rsid w:val="006D1A07"/>
    <w:rsid w:val="006D1EAA"/>
    <w:rsid w:val="006D2CFE"/>
    <w:rsid w:val="006D2E34"/>
    <w:rsid w:val="006D2F00"/>
    <w:rsid w:val="006D3343"/>
    <w:rsid w:val="006D3739"/>
    <w:rsid w:val="006D3E74"/>
    <w:rsid w:val="006D401F"/>
    <w:rsid w:val="006D444E"/>
    <w:rsid w:val="006D4540"/>
    <w:rsid w:val="006D4976"/>
    <w:rsid w:val="006D4BE6"/>
    <w:rsid w:val="006D4CCB"/>
    <w:rsid w:val="006D4DC1"/>
    <w:rsid w:val="006D5006"/>
    <w:rsid w:val="006D517A"/>
    <w:rsid w:val="006D5193"/>
    <w:rsid w:val="006D5B36"/>
    <w:rsid w:val="006D687E"/>
    <w:rsid w:val="006D6FB0"/>
    <w:rsid w:val="006D76EF"/>
    <w:rsid w:val="006D7B0E"/>
    <w:rsid w:val="006D7CD1"/>
    <w:rsid w:val="006E0813"/>
    <w:rsid w:val="006E0A2C"/>
    <w:rsid w:val="006E0D25"/>
    <w:rsid w:val="006E1099"/>
    <w:rsid w:val="006E10A0"/>
    <w:rsid w:val="006E14A9"/>
    <w:rsid w:val="006E15EB"/>
    <w:rsid w:val="006E1A94"/>
    <w:rsid w:val="006E1E31"/>
    <w:rsid w:val="006E1E3F"/>
    <w:rsid w:val="006E22A5"/>
    <w:rsid w:val="006E2586"/>
    <w:rsid w:val="006E261D"/>
    <w:rsid w:val="006E26C1"/>
    <w:rsid w:val="006E2BDB"/>
    <w:rsid w:val="006E3137"/>
    <w:rsid w:val="006E3255"/>
    <w:rsid w:val="006E32A6"/>
    <w:rsid w:val="006E355E"/>
    <w:rsid w:val="006E36E0"/>
    <w:rsid w:val="006E3A53"/>
    <w:rsid w:val="006E3B01"/>
    <w:rsid w:val="006E3BCD"/>
    <w:rsid w:val="006E4037"/>
    <w:rsid w:val="006E4509"/>
    <w:rsid w:val="006E457E"/>
    <w:rsid w:val="006E4DAC"/>
    <w:rsid w:val="006E4E82"/>
    <w:rsid w:val="006E531F"/>
    <w:rsid w:val="006E5B04"/>
    <w:rsid w:val="006E5BE8"/>
    <w:rsid w:val="006E653F"/>
    <w:rsid w:val="006E6582"/>
    <w:rsid w:val="006E775E"/>
    <w:rsid w:val="006E7788"/>
    <w:rsid w:val="006E7A74"/>
    <w:rsid w:val="006F059F"/>
    <w:rsid w:val="006F0A78"/>
    <w:rsid w:val="006F0A7D"/>
    <w:rsid w:val="006F0D66"/>
    <w:rsid w:val="006F1882"/>
    <w:rsid w:val="006F198C"/>
    <w:rsid w:val="006F1BA5"/>
    <w:rsid w:val="006F23A5"/>
    <w:rsid w:val="006F2464"/>
    <w:rsid w:val="006F26AD"/>
    <w:rsid w:val="006F2A49"/>
    <w:rsid w:val="006F2E52"/>
    <w:rsid w:val="006F307E"/>
    <w:rsid w:val="006F3541"/>
    <w:rsid w:val="006F35F0"/>
    <w:rsid w:val="006F3C6E"/>
    <w:rsid w:val="006F4263"/>
    <w:rsid w:val="006F48A4"/>
    <w:rsid w:val="006F51DA"/>
    <w:rsid w:val="006F5289"/>
    <w:rsid w:val="006F5307"/>
    <w:rsid w:val="006F54EB"/>
    <w:rsid w:val="006F559B"/>
    <w:rsid w:val="006F59CC"/>
    <w:rsid w:val="006F5F6D"/>
    <w:rsid w:val="006F5FB0"/>
    <w:rsid w:val="006F6067"/>
    <w:rsid w:val="006F6165"/>
    <w:rsid w:val="006F62ED"/>
    <w:rsid w:val="006F6938"/>
    <w:rsid w:val="006F6B62"/>
    <w:rsid w:val="006F6D05"/>
    <w:rsid w:val="006F70CD"/>
    <w:rsid w:val="006F71ED"/>
    <w:rsid w:val="006F761A"/>
    <w:rsid w:val="00700105"/>
    <w:rsid w:val="0070039E"/>
    <w:rsid w:val="007003B7"/>
    <w:rsid w:val="00700E18"/>
    <w:rsid w:val="0070144C"/>
    <w:rsid w:val="0070145D"/>
    <w:rsid w:val="00701D4D"/>
    <w:rsid w:val="0070228C"/>
    <w:rsid w:val="0070232C"/>
    <w:rsid w:val="007026ED"/>
    <w:rsid w:val="00702809"/>
    <w:rsid w:val="007028BB"/>
    <w:rsid w:val="007032B1"/>
    <w:rsid w:val="0070366B"/>
    <w:rsid w:val="0070395D"/>
    <w:rsid w:val="00703AF3"/>
    <w:rsid w:val="00703F2A"/>
    <w:rsid w:val="00704333"/>
    <w:rsid w:val="00704489"/>
    <w:rsid w:val="007046FC"/>
    <w:rsid w:val="00704B04"/>
    <w:rsid w:val="00704B92"/>
    <w:rsid w:val="00704CEE"/>
    <w:rsid w:val="00704E8D"/>
    <w:rsid w:val="00705803"/>
    <w:rsid w:val="00705DC8"/>
    <w:rsid w:val="00706128"/>
    <w:rsid w:val="0070622A"/>
    <w:rsid w:val="00706318"/>
    <w:rsid w:val="00706959"/>
    <w:rsid w:val="00706E89"/>
    <w:rsid w:val="00706F67"/>
    <w:rsid w:val="00707287"/>
    <w:rsid w:val="00707629"/>
    <w:rsid w:val="007077D4"/>
    <w:rsid w:val="00707B8B"/>
    <w:rsid w:val="00707CE0"/>
    <w:rsid w:val="00707EE3"/>
    <w:rsid w:val="0071011D"/>
    <w:rsid w:val="0071016B"/>
    <w:rsid w:val="00710652"/>
    <w:rsid w:val="00710C27"/>
    <w:rsid w:val="00710D35"/>
    <w:rsid w:val="00711235"/>
    <w:rsid w:val="0071177D"/>
    <w:rsid w:val="00711F7D"/>
    <w:rsid w:val="00711FC8"/>
    <w:rsid w:val="00712456"/>
    <w:rsid w:val="00712812"/>
    <w:rsid w:val="00712B81"/>
    <w:rsid w:val="00712F59"/>
    <w:rsid w:val="007130EF"/>
    <w:rsid w:val="00713534"/>
    <w:rsid w:val="0071369E"/>
    <w:rsid w:val="0071377A"/>
    <w:rsid w:val="007138CC"/>
    <w:rsid w:val="007143DF"/>
    <w:rsid w:val="00714557"/>
    <w:rsid w:val="00714800"/>
    <w:rsid w:val="00714AA6"/>
    <w:rsid w:val="00714ED6"/>
    <w:rsid w:val="00714FAD"/>
    <w:rsid w:val="0071526F"/>
    <w:rsid w:val="0071539A"/>
    <w:rsid w:val="0071584D"/>
    <w:rsid w:val="00715B2A"/>
    <w:rsid w:val="00715C77"/>
    <w:rsid w:val="00716163"/>
    <w:rsid w:val="00716911"/>
    <w:rsid w:val="00716E6E"/>
    <w:rsid w:val="007171F2"/>
    <w:rsid w:val="00717989"/>
    <w:rsid w:val="00717A95"/>
    <w:rsid w:val="007206A7"/>
    <w:rsid w:val="00720886"/>
    <w:rsid w:val="00720CB4"/>
    <w:rsid w:val="007212BC"/>
    <w:rsid w:val="007212DD"/>
    <w:rsid w:val="0072131D"/>
    <w:rsid w:val="00721353"/>
    <w:rsid w:val="00721C0F"/>
    <w:rsid w:val="00721D61"/>
    <w:rsid w:val="00721E3E"/>
    <w:rsid w:val="0072251D"/>
    <w:rsid w:val="00722581"/>
    <w:rsid w:val="00723010"/>
    <w:rsid w:val="007230B0"/>
    <w:rsid w:val="00723356"/>
    <w:rsid w:val="00723376"/>
    <w:rsid w:val="007234E5"/>
    <w:rsid w:val="00723771"/>
    <w:rsid w:val="0072436F"/>
    <w:rsid w:val="0072483B"/>
    <w:rsid w:val="00724965"/>
    <w:rsid w:val="00724EDD"/>
    <w:rsid w:val="007255C4"/>
    <w:rsid w:val="0072573F"/>
    <w:rsid w:val="00725EDB"/>
    <w:rsid w:val="00726284"/>
    <w:rsid w:val="00727727"/>
    <w:rsid w:val="00727901"/>
    <w:rsid w:val="00727979"/>
    <w:rsid w:val="00727D8E"/>
    <w:rsid w:val="0073017D"/>
    <w:rsid w:val="00730205"/>
    <w:rsid w:val="007302EB"/>
    <w:rsid w:val="00730B3A"/>
    <w:rsid w:val="00730E33"/>
    <w:rsid w:val="00731051"/>
    <w:rsid w:val="00731E59"/>
    <w:rsid w:val="007320B5"/>
    <w:rsid w:val="007321C2"/>
    <w:rsid w:val="00732EA5"/>
    <w:rsid w:val="00733257"/>
    <w:rsid w:val="00733865"/>
    <w:rsid w:val="00733E98"/>
    <w:rsid w:val="00734022"/>
    <w:rsid w:val="0073406C"/>
    <w:rsid w:val="0073421C"/>
    <w:rsid w:val="007349F0"/>
    <w:rsid w:val="007349FE"/>
    <w:rsid w:val="00734A6C"/>
    <w:rsid w:val="00734C50"/>
    <w:rsid w:val="00735495"/>
    <w:rsid w:val="007358A0"/>
    <w:rsid w:val="00735ED2"/>
    <w:rsid w:val="0073607A"/>
    <w:rsid w:val="007360F6"/>
    <w:rsid w:val="007362FA"/>
    <w:rsid w:val="00736711"/>
    <w:rsid w:val="00736A4F"/>
    <w:rsid w:val="00736B6D"/>
    <w:rsid w:val="00736C5E"/>
    <w:rsid w:val="00736C6F"/>
    <w:rsid w:val="00736D05"/>
    <w:rsid w:val="00736DB7"/>
    <w:rsid w:val="00736E8B"/>
    <w:rsid w:val="0073708E"/>
    <w:rsid w:val="00737091"/>
    <w:rsid w:val="00737423"/>
    <w:rsid w:val="0073745C"/>
    <w:rsid w:val="0073775E"/>
    <w:rsid w:val="00737948"/>
    <w:rsid w:val="00737C98"/>
    <w:rsid w:val="0074010D"/>
    <w:rsid w:val="0074092C"/>
    <w:rsid w:val="00740ACE"/>
    <w:rsid w:val="0074158E"/>
    <w:rsid w:val="0074182D"/>
    <w:rsid w:val="00741D1C"/>
    <w:rsid w:val="00741ED2"/>
    <w:rsid w:val="00742579"/>
    <w:rsid w:val="007428BA"/>
    <w:rsid w:val="0074328D"/>
    <w:rsid w:val="0074332D"/>
    <w:rsid w:val="00743607"/>
    <w:rsid w:val="00743846"/>
    <w:rsid w:val="00743F62"/>
    <w:rsid w:val="00743FD3"/>
    <w:rsid w:val="0074426D"/>
    <w:rsid w:val="0074452E"/>
    <w:rsid w:val="00744F08"/>
    <w:rsid w:val="007452CC"/>
    <w:rsid w:val="00745491"/>
    <w:rsid w:val="007454AC"/>
    <w:rsid w:val="00745888"/>
    <w:rsid w:val="00745AFE"/>
    <w:rsid w:val="00745C41"/>
    <w:rsid w:val="00745D52"/>
    <w:rsid w:val="00746286"/>
    <w:rsid w:val="007473A9"/>
    <w:rsid w:val="00747780"/>
    <w:rsid w:val="0074778F"/>
    <w:rsid w:val="00747852"/>
    <w:rsid w:val="00747C3F"/>
    <w:rsid w:val="00747F0A"/>
    <w:rsid w:val="007500BC"/>
    <w:rsid w:val="007505A8"/>
    <w:rsid w:val="00750723"/>
    <w:rsid w:val="00750AEA"/>
    <w:rsid w:val="00750AED"/>
    <w:rsid w:val="00750C8E"/>
    <w:rsid w:val="00751784"/>
    <w:rsid w:val="0075245E"/>
    <w:rsid w:val="007526BD"/>
    <w:rsid w:val="007529A1"/>
    <w:rsid w:val="00752A46"/>
    <w:rsid w:val="00752A47"/>
    <w:rsid w:val="00752B19"/>
    <w:rsid w:val="00752B4B"/>
    <w:rsid w:val="00752DF6"/>
    <w:rsid w:val="0075311F"/>
    <w:rsid w:val="007532B8"/>
    <w:rsid w:val="0075354F"/>
    <w:rsid w:val="0075373E"/>
    <w:rsid w:val="0075399B"/>
    <w:rsid w:val="00753F31"/>
    <w:rsid w:val="007540E2"/>
    <w:rsid w:val="00754420"/>
    <w:rsid w:val="00754732"/>
    <w:rsid w:val="0075483C"/>
    <w:rsid w:val="007548AF"/>
    <w:rsid w:val="00754BD8"/>
    <w:rsid w:val="00754C20"/>
    <w:rsid w:val="00754CF0"/>
    <w:rsid w:val="00754FCC"/>
    <w:rsid w:val="00755049"/>
    <w:rsid w:val="0075505C"/>
    <w:rsid w:val="0075526C"/>
    <w:rsid w:val="0075551B"/>
    <w:rsid w:val="00755937"/>
    <w:rsid w:val="007560E0"/>
    <w:rsid w:val="007562F5"/>
    <w:rsid w:val="0075630F"/>
    <w:rsid w:val="00756405"/>
    <w:rsid w:val="007565D9"/>
    <w:rsid w:val="00756833"/>
    <w:rsid w:val="007568B5"/>
    <w:rsid w:val="00756C3A"/>
    <w:rsid w:val="00757545"/>
    <w:rsid w:val="007575E1"/>
    <w:rsid w:val="007575FC"/>
    <w:rsid w:val="00760361"/>
    <w:rsid w:val="00760495"/>
    <w:rsid w:val="00760C1D"/>
    <w:rsid w:val="00760E0C"/>
    <w:rsid w:val="00761273"/>
    <w:rsid w:val="007613D2"/>
    <w:rsid w:val="00761DD5"/>
    <w:rsid w:val="0076262B"/>
    <w:rsid w:val="007627E3"/>
    <w:rsid w:val="00762BC1"/>
    <w:rsid w:val="0076312A"/>
    <w:rsid w:val="007632B1"/>
    <w:rsid w:val="0076346C"/>
    <w:rsid w:val="00763686"/>
    <w:rsid w:val="0076377C"/>
    <w:rsid w:val="0076398E"/>
    <w:rsid w:val="00763AD6"/>
    <w:rsid w:val="00763B8F"/>
    <w:rsid w:val="00763E52"/>
    <w:rsid w:val="007640AD"/>
    <w:rsid w:val="007642CB"/>
    <w:rsid w:val="00764536"/>
    <w:rsid w:val="00764595"/>
    <w:rsid w:val="00764A85"/>
    <w:rsid w:val="00764DD4"/>
    <w:rsid w:val="007653FD"/>
    <w:rsid w:val="00765688"/>
    <w:rsid w:val="00765AC2"/>
    <w:rsid w:val="00765C92"/>
    <w:rsid w:val="00765E77"/>
    <w:rsid w:val="007661FC"/>
    <w:rsid w:val="00766251"/>
    <w:rsid w:val="007662EF"/>
    <w:rsid w:val="00766302"/>
    <w:rsid w:val="00766491"/>
    <w:rsid w:val="0076668B"/>
    <w:rsid w:val="00766980"/>
    <w:rsid w:val="007669A3"/>
    <w:rsid w:val="00766A0D"/>
    <w:rsid w:val="00766A89"/>
    <w:rsid w:val="0076720B"/>
    <w:rsid w:val="0076781D"/>
    <w:rsid w:val="00767C2A"/>
    <w:rsid w:val="007702E9"/>
    <w:rsid w:val="00770383"/>
    <w:rsid w:val="007711EF"/>
    <w:rsid w:val="0077147E"/>
    <w:rsid w:val="007718E7"/>
    <w:rsid w:val="00771B39"/>
    <w:rsid w:val="007720F0"/>
    <w:rsid w:val="007724EB"/>
    <w:rsid w:val="00772D2B"/>
    <w:rsid w:val="00772E84"/>
    <w:rsid w:val="00773167"/>
    <w:rsid w:val="00773176"/>
    <w:rsid w:val="00773206"/>
    <w:rsid w:val="0077334C"/>
    <w:rsid w:val="00773556"/>
    <w:rsid w:val="007738EB"/>
    <w:rsid w:val="0077407C"/>
    <w:rsid w:val="00774104"/>
    <w:rsid w:val="00774368"/>
    <w:rsid w:val="00774783"/>
    <w:rsid w:val="00774C55"/>
    <w:rsid w:val="00774CE3"/>
    <w:rsid w:val="00774EE7"/>
    <w:rsid w:val="007751A4"/>
    <w:rsid w:val="00775B98"/>
    <w:rsid w:val="00776017"/>
    <w:rsid w:val="0077635B"/>
    <w:rsid w:val="007763CF"/>
    <w:rsid w:val="007764BB"/>
    <w:rsid w:val="00776865"/>
    <w:rsid w:val="007768BF"/>
    <w:rsid w:val="00776ED8"/>
    <w:rsid w:val="00777BE9"/>
    <w:rsid w:val="0078016D"/>
    <w:rsid w:val="00780B85"/>
    <w:rsid w:val="00780DA2"/>
    <w:rsid w:val="00781691"/>
    <w:rsid w:val="007817C1"/>
    <w:rsid w:val="007827A1"/>
    <w:rsid w:val="00782A16"/>
    <w:rsid w:val="00783095"/>
    <w:rsid w:val="00783111"/>
    <w:rsid w:val="0078311B"/>
    <w:rsid w:val="00783659"/>
    <w:rsid w:val="007838B6"/>
    <w:rsid w:val="00783A55"/>
    <w:rsid w:val="00783CFB"/>
    <w:rsid w:val="00783D6E"/>
    <w:rsid w:val="0078412B"/>
    <w:rsid w:val="00784328"/>
    <w:rsid w:val="0078465F"/>
    <w:rsid w:val="00784DCD"/>
    <w:rsid w:val="00785288"/>
    <w:rsid w:val="00785299"/>
    <w:rsid w:val="007854B7"/>
    <w:rsid w:val="007862F9"/>
    <w:rsid w:val="00786431"/>
    <w:rsid w:val="00786474"/>
    <w:rsid w:val="00786A39"/>
    <w:rsid w:val="00786A43"/>
    <w:rsid w:val="00786DF7"/>
    <w:rsid w:val="007874A0"/>
    <w:rsid w:val="00787B4B"/>
    <w:rsid w:val="00787B9E"/>
    <w:rsid w:val="00787C52"/>
    <w:rsid w:val="007900A4"/>
    <w:rsid w:val="0079032D"/>
    <w:rsid w:val="0079033E"/>
    <w:rsid w:val="00790448"/>
    <w:rsid w:val="00790CAE"/>
    <w:rsid w:val="00790F05"/>
    <w:rsid w:val="00790F97"/>
    <w:rsid w:val="007911CD"/>
    <w:rsid w:val="007912A1"/>
    <w:rsid w:val="00791379"/>
    <w:rsid w:val="0079162D"/>
    <w:rsid w:val="007916DE"/>
    <w:rsid w:val="00791814"/>
    <w:rsid w:val="00791C73"/>
    <w:rsid w:val="00791F23"/>
    <w:rsid w:val="00791FE3"/>
    <w:rsid w:val="00792640"/>
    <w:rsid w:val="00792881"/>
    <w:rsid w:val="0079297E"/>
    <w:rsid w:val="00793271"/>
    <w:rsid w:val="00793AB1"/>
    <w:rsid w:val="00793B21"/>
    <w:rsid w:val="00793B47"/>
    <w:rsid w:val="00793C8D"/>
    <w:rsid w:val="00793D6E"/>
    <w:rsid w:val="00794110"/>
    <w:rsid w:val="00794491"/>
    <w:rsid w:val="0079469B"/>
    <w:rsid w:val="00794866"/>
    <w:rsid w:val="00794A1D"/>
    <w:rsid w:val="00794AA6"/>
    <w:rsid w:val="00794D80"/>
    <w:rsid w:val="00794E9C"/>
    <w:rsid w:val="007958A0"/>
    <w:rsid w:val="00795CA5"/>
    <w:rsid w:val="00795D8D"/>
    <w:rsid w:val="00796132"/>
    <w:rsid w:val="007963D4"/>
    <w:rsid w:val="007969D4"/>
    <w:rsid w:val="00796A35"/>
    <w:rsid w:val="00796AC1"/>
    <w:rsid w:val="00797418"/>
    <w:rsid w:val="00797682"/>
    <w:rsid w:val="00797815"/>
    <w:rsid w:val="00797B56"/>
    <w:rsid w:val="007A0200"/>
    <w:rsid w:val="007A0898"/>
    <w:rsid w:val="007A1050"/>
    <w:rsid w:val="007A1FCF"/>
    <w:rsid w:val="007A1FD0"/>
    <w:rsid w:val="007A222E"/>
    <w:rsid w:val="007A24AC"/>
    <w:rsid w:val="007A2CB5"/>
    <w:rsid w:val="007A2D09"/>
    <w:rsid w:val="007A2F86"/>
    <w:rsid w:val="007A319C"/>
    <w:rsid w:val="007A37C9"/>
    <w:rsid w:val="007A3B28"/>
    <w:rsid w:val="007A41BE"/>
    <w:rsid w:val="007A41FA"/>
    <w:rsid w:val="007A4766"/>
    <w:rsid w:val="007A4C53"/>
    <w:rsid w:val="007A5B54"/>
    <w:rsid w:val="007A5F49"/>
    <w:rsid w:val="007A71F6"/>
    <w:rsid w:val="007A7255"/>
    <w:rsid w:val="007A73A9"/>
    <w:rsid w:val="007A78D1"/>
    <w:rsid w:val="007A78DE"/>
    <w:rsid w:val="007A7993"/>
    <w:rsid w:val="007A79DB"/>
    <w:rsid w:val="007A7C24"/>
    <w:rsid w:val="007A7DF2"/>
    <w:rsid w:val="007A7EB3"/>
    <w:rsid w:val="007B03DE"/>
    <w:rsid w:val="007B04C1"/>
    <w:rsid w:val="007B0794"/>
    <w:rsid w:val="007B0A96"/>
    <w:rsid w:val="007B1595"/>
    <w:rsid w:val="007B174F"/>
    <w:rsid w:val="007B1C09"/>
    <w:rsid w:val="007B2056"/>
    <w:rsid w:val="007B2214"/>
    <w:rsid w:val="007B22DB"/>
    <w:rsid w:val="007B2B1C"/>
    <w:rsid w:val="007B2C76"/>
    <w:rsid w:val="007B31F0"/>
    <w:rsid w:val="007B3372"/>
    <w:rsid w:val="007B344C"/>
    <w:rsid w:val="007B3522"/>
    <w:rsid w:val="007B360F"/>
    <w:rsid w:val="007B3963"/>
    <w:rsid w:val="007B3A63"/>
    <w:rsid w:val="007B4140"/>
    <w:rsid w:val="007B417F"/>
    <w:rsid w:val="007B4725"/>
    <w:rsid w:val="007B4924"/>
    <w:rsid w:val="007B4CE6"/>
    <w:rsid w:val="007B4DA6"/>
    <w:rsid w:val="007B4EC6"/>
    <w:rsid w:val="007B4FE1"/>
    <w:rsid w:val="007B5806"/>
    <w:rsid w:val="007B5D7A"/>
    <w:rsid w:val="007B68A9"/>
    <w:rsid w:val="007B68DE"/>
    <w:rsid w:val="007B6E33"/>
    <w:rsid w:val="007B6E72"/>
    <w:rsid w:val="007B6FC2"/>
    <w:rsid w:val="007B703E"/>
    <w:rsid w:val="007B71A2"/>
    <w:rsid w:val="007B72CC"/>
    <w:rsid w:val="007B7331"/>
    <w:rsid w:val="007B7EBF"/>
    <w:rsid w:val="007C043E"/>
    <w:rsid w:val="007C0687"/>
    <w:rsid w:val="007C123B"/>
    <w:rsid w:val="007C12A0"/>
    <w:rsid w:val="007C1780"/>
    <w:rsid w:val="007C189B"/>
    <w:rsid w:val="007C1C05"/>
    <w:rsid w:val="007C1F24"/>
    <w:rsid w:val="007C271A"/>
    <w:rsid w:val="007C27EC"/>
    <w:rsid w:val="007C288D"/>
    <w:rsid w:val="007C289F"/>
    <w:rsid w:val="007C2FC7"/>
    <w:rsid w:val="007C35C8"/>
    <w:rsid w:val="007C36EF"/>
    <w:rsid w:val="007C3781"/>
    <w:rsid w:val="007C3899"/>
    <w:rsid w:val="007C3CA4"/>
    <w:rsid w:val="007C3DDC"/>
    <w:rsid w:val="007C483F"/>
    <w:rsid w:val="007C4D48"/>
    <w:rsid w:val="007C4EF6"/>
    <w:rsid w:val="007C4FBF"/>
    <w:rsid w:val="007C509A"/>
    <w:rsid w:val="007C5165"/>
    <w:rsid w:val="007C525F"/>
    <w:rsid w:val="007C5477"/>
    <w:rsid w:val="007C5494"/>
    <w:rsid w:val="007C5585"/>
    <w:rsid w:val="007C5D5B"/>
    <w:rsid w:val="007C5DA1"/>
    <w:rsid w:val="007C6993"/>
    <w:rsid w:val="007C6AD1"/>
    <w:rsid w:val="007C6E44"/>
    <w:rsid w:val="007C6E4A"/>
    <w:rsid w:val="007C6F22"/>
    <w:rsid w:val="007C76EB"/>
    <w:rsid w:val="007C7EDB"/>
    <w:rsid w:val="007D0817"/>
    <w:rsid w:val="007D1254"/>
    <w:rsid w:val="007D153C"/>
    <w:rsid w:val="007D17D2"/>
    <w:rsid w:val="007D195B"/>
    <w:rsid w:val="007D1A91"/>
    <w:rsid w:val="007D1CCD"/>
    <w:rsid w:val="007D1F46"/>
    <w:rsid w:val="007D2F7D"/>
    <w:rsid w:val="007D3135"/>
    <w:rsid w:val="007D38FD"/>
    <w:rsid w:val="007D3B95"/>
    <w:rsid w:val="007D437E"/>
    <w:rsid w:val="007D4778"/>
    <w:rsid w:val="007D4927"/>
    <w:rsid w:val="007D4C20"/>
    <w:rsid w:val="007D4C31"/>
    <w:rsid w:val="007D4D92"/>
    <w:rsid w:val="007D52A8"/>
    <w:rsid w:val="007D52E0"/>
    <w:rsid w:val="007D537D"/>
    <w:rsid w:val="007D595C"/>
    <w:rsid w:val="007D5A62"/>
    <w:rsid w:val="007D5AEB"/>
    <w:rsid w:val="007D5D59"/>
    <w:rsid w:val="007D5ED1"/>
    <w:rsid w:val="007D636F"/>
    <w:rsid w:val="007D651A"/>
    <w:rsid w:val="007D668A"/>
    <w:rsid w:val="007D6CBA"/>
    <w:rsid w:val="007D6D98"/>
    <w:rsid w:val="007D6DF3"/>
    <w:rsid w:val="007D7029"/>
    <w:rsid w:val="007D7A64"/>
    <w:rsid w:val="007D7D74"/>
    <w:rsid w:val="007D7E96"/>
    <w:rsid w:val="007D7F3C"/>
    <w:rsid w:val="007E00A6"/>
    <w:rsid w:val="007E01EF"/>
    <w:rsid w:val="007E0584"/>
    <w:rsid w:val="007E060F"/>
    <w:rsid w:val="007E0CAA"/>
    <w:rsid w:val="007E0F70"/>
    <w:rsid w:val="007E10C6"/>
    <w:rsid w:val="007E11C2"/>
    <w:rsid w:val="007E15A9"/>
    <w:rsid w:val="007E15AF"/>
    <w:rsid w:val="007E198A"/>
    <w:rsid w:val="007E19B1"/>
    <w:rsid w:val="007E21B3"/>
    <w:rsid w:val="007E2852"/>
    <w:rsid w:val="007E28AF"/>
    <w:rsid w:val="007E28B3"/>
    <w:rsid w:val="007E2918"/>
    <w:rsid w:val="007E305B"/>
    <w:rsid w:val="007E48E0"/>
    <w:rsid w:val="007E4CAA"/>
    <w:rsid w:val="007E509D"/>
    <w:rsid w:val="007E6399"/>
    <w:rsid w:val="007E6498"/>
    <w:rsid w:val="007E6782"/>
    <w:rsid w:val="007E685F"/>
    <w:rsid w:val="007E7061"/>
    <w:rsid w:val="007E70F0"/>
    <w:rsid w:val="007E74B2"/>
    <w:rsid w:val="007E794A"/>
    <w:rsid w:val="007E7ACF"/>
    <w:rsid w:val="007F0848"/>
    <w:rsid w:val="007F0906"/>
    <w:rsid w:val="007F0FC6"/>
    <w:rsid w:val="007F11E4"/>
    <w:rsid w:val="007F1C8E"/>
    <w:rsid w:val="007F22B3"/>
    <w:rsid w:val="007F2693"/>
    <w:rsid w:val="007F2A47"/>
    <w:rsid w:val="007F312B"/>
    <w:rsid w:val="007F3725"/>
    <w:rsid w:val="007F39BB"/>
    <w:rsid w:val="007F3A9F"/>
    <w:rsid w:val="007F3BD7"/>
    <w:rsid w:val="007F41A2"/>
    <w:rsid w:val="007F51F6"/>
    <w:rsid w:val="007F537B"/>
    <w:rsid w:val="007F565D"/>
    <w:rsid w:val="007F5822"/>
    <w:rsid w:val="007F58BC"/>
    <w:rsid w:val="007F5FD0"/>
    <w:rsid w:val="007F613D"/>
    <w:rsid w:val="007F69C7"/>
    <w:rsid w:val="007F6B13"/>
    <w:rsid w:val="007F7B2E"/>
    <w:rsid w:val="0080064E"/>
    <w:rsid w:val="008008D2"/>
    <w:rsid w:val="0080110E"/>
    <w:rsid w:val="0080185C"/>
    <w:rsid w:val="00802C62"/>
    <w:rsid w:val="008036AC"/>
    <w:rsid w:val="00803A37"/>
    <w:rsid w:val="00803E9F"/>
    <w:rsid w:val="00803ED8"/>
    <w:rsid w:val="00803FB3"/>
    <w:rsid w:val="00804377"/>
    <w:rsid w:val="0080468A"/>
    <w:rsid w:val="00804C58"/>
    <w:rsid w:val="00804F2D"/>
    <w:rsid w:val="00804F69"/>
    <w:rsid w:val="00805278"/>
    <w:rsid w:val="008052BD"/>
    <w:rsid w:val="00805C72"/>
    <w:rsid w:val="008062B1"/>
    <w:rsid w:val="00806402"/>
    <w:rsid w:val="00806AED"/>
    <w:rsid w:val="00806E0E"/>
    <w:rsid w:val="00806EF4"/>
    <w:rsid w:val="0080737F"/>
    <w:rsid w:val="00807779"/>
    <w:rsid w:val="00807DE1"/>
    <w:rsid w:val="00807EDB"/>
    <w:rsid w:val="00807EDC"/>
    <w:rsid w:val="008100AA"/>
    <w:rsid w:val="008104AA"/>
    <w:rsid w:val="0081072E"/>
    <w:rsid w:val="0081077D"/>
    <w:rsid w:val="008108E0"/>
    <w:rsid w:val="00810C21"/>
    <w:rsid w:val="00810D6A"/>
    <w:rsid w:val="008113D8"/>
    <w:rsid w:val="008114BA"/>
    <w:rsid w:val="0081158C"/>
    <w:rsid w:val="00812149"/>
    <w:rsid w:val="00812436"/>
    <w:rsid w:val="00812BD3"/>
    <w:rsid w:val="0081307E"/>
    <w:rsid w:val="008136AB"/>
    <w:rsid w:val="00813716"/>
    <w:rsid w:val="00813B3C"/>
    <w:rsid w:val="00813C3F"/>
    <w:rsid w:val="008142D3"/>
    <w:rsid w:val="0081437D"/>
    <w:rsid w:val="00814854"/>
    <w:rsid w:val="00814B67"/>
    <w:rsid w:val="00814B8F"/>
    <w:rsid w:val="00814D87"/>
    <w:rsid w:val="00815096"/>
    <w:rsid w:val="00815113"/>
    <w:rsid w:val="00815A05"/>
    <w:rsid w:val="00815FF3"/>
    <w:rsid w:val="00816621"/>
    <w:rsid w:val="0081667D"/>
    <w:rsid w:val="00816AFE"/>
    <w:rsid w:val="00816B93"/>
    <w:rsid w:val="00817100"/>
    <w:rsid w:val="008173D3"/>
    <w:rsid w:val="008177E7"/>
    <w:rsid w:val="008178D2"/>
    <w:rsid w:val="008178D7"/>
    <w:rsid w:val="00817DA0"/>
    <w:rsid w:val="00817E42"/>
    <w:rsid w:val="00817EA0"/>
    <w:rsid w:val="00817F4A"/>
    <w:rsid w:val="008203F0"/>
    <w:rsid w:val="0082077C"/>
    <w:rsid w:val="0082092D"/>
    <w:rsid w:val="00820B2A"/>
    <w:rsid w:val="00820C64"/>
    <w:rsid w:val="00820F6D"/>
    <w:rsid w:val="008211E5"/>
    <w:rsid w:val="00821AC3"/>
    <w:rsid w:val="00821B7F"/>
    <w:rsid w:val="00821BE9"/>
    <w:rsid w:val="008221C1"/>
    <w:rsid w:val="00822353"/>
    <w:rsid w:val="00822DC3"/>
    <w:rsid w:val="00822FC1"/>
    <w:rsid w:val="00823007"/>
    <w:rsid w:val="00823201"/>
    <w:rsid w:val="0082320E"/>
    <w:rsid w:val="00823717"/>
    <w:rsid w:val="0082381B"/>
    <w:rsid w:val="00823A50"/>
    <w:rsid w:val="00823F81"/>
    <w:rsid w:val="0082440C"/>
    <w:rsid w:val="008249E0"/>
    <w:rsid w:val="008250F4"/>
    <w:rsid w:val="0082531C"/>
    <w:rsid w:val="008256BA"/>
    <w:rsid w:val="0082570E"/>
    <w:rsid w:val="00825715"/>
    <w:rsid w:val="00825A59"/>
    <w:rsid w:val="00825D11"/>
    <w:rsid w:val="00825F86"/>
    <w:rsid w:val="00826303"/>
    <w:rsid w:val="00826391"/>
    <w:rsid w:val="00826558"/>
    <w:rsid w:val="0082661A"/>
    <w:rsid w:val="0082665B"/>
    <w:rsid w:val="0082669A"/>
    <w:rsid w:val="00826C02"/>
    <w:rsid w:val="008270C9"/>
    <w:rsid w:val="0082742F"/>
    <w:rsid w:val="008279B7"/>
    <w:rsid w:val="00827C36"/>
    <w:rsid w:val="00827D3A"/>
    <w:rsid w:val="00827F3D"/>
    <w:rsid w:val="00830034"/>
    <w:rsid w:val="00830182"/>
    <w:rsid w:val="00830609"/>
    <w:rsid w:val="008319BE"/>
    <w:rsid w:val="00831B98"/>
    <w:rsid w:val="00831DB4"/>
    <w:rsid w:val="00831EC2"/>
    <w:rsid w:val="008327F3"/>
    <w:rsid w:val="00832D83"/>
    <w:rsid w:val="00832F45"/>
    <w:rsid w:val="00833072"/>
    <w:rsid w:val="008331E9"/>
    <w:rsid w:val="008336AD"/>
    <w:rsid w:val="008338BD"/>
    <w:rsid w:val="00833B3A"/>
    <w:rsid w:val="00833C23"/>
    <w:rsid w:val="00833CE9"/>
    <w:rsid w:val="00833F99"/>
    <w:rsid w:val="00834692"/>
    <w:rsid w:val="00834F1B"/>
    <w:rsid w:val="00835544"/>
    <w:rsid w:val="008356CD"/>
    <w:rsid w:val="008358DE"/>
    <w:rsid w:val="00835DA6"/>
    <w:rsid w:val="00835EF4"/>
    <w:rsid w:val="008360AA"/>
    <w:rsid w:val="00836310"/>
    <w:rsid w:val="00836849"/>
    <w:rsid w:val="00836C44"/>
    <w:rsid w:val="0083723B"/>
    <w:rsid w:val="0083785C"/>
    <w:rsid w:val="00837953"/>
    <w:rsid w:val="008379DF"/>
    <w:rsid w:val="00837E72"/>
    <w:rsid w:val="008402B9"/>
    <w:rsid w:val="008408F2"/>
    <w:rsid w:val="00840925"/>
    <w:rsid w:val="00840FD7"/>
    <w:rsid w:val="008414C2"/>
    <w:rsid w:val="008417C2"/>
    <w:rsid w:val="00841C2E"/>
    <w:rsid w:val="00841E32"/>
    <w:rsid w:val="00841E8B"/>
    <w:rsid w:val="00842417"/>
    <w:rsid w:val="00842717"/>
    <w:rsid w:val="008429A3"/>
    <w:rsid w:val="00842BFC"/>
    <w:rsid w:val="00842C42"/>
    <w:rsid w:val="008431CA"/>
    <w:rsid w:val="00843958"/>
    <w:rsid w:val="00843A22"/>
    <w:rsid w:val="00843B53"/>
    <w:rsid w:val="00843D5F"/>
    <w:rsid w:val="00844143"/>
    <w:rsid w:val="00844267"/>
    <w:rsid w:val="008443ED"/>
    <w:rsid w:val="00844A66"/>
    <w:rsid w:val="00844AF3"/>
    <w:rsid w:val="00844EF1"/>
    <w:rsid w:val="008450DA"/>
    <w:rsid w:val="0084588E"/>
    <w:rsid w:val="00845D21"/>
    <w:rsid w:val="0084635F"/>
    <w:rsid w:val="0084687F"/>
    <w:rsid w:val="008468D1"/>
    <w:rsid w:val="008469C1"/>
    <w:rsid w:val="00846FE2"/>
    <w:rsid w:val="00847133"/>
    <w:rsid w:val="008471B7"/>
    <w:rsid w:val="0084752C"/>
    <w:rsid w:val="00850310"/>
    <w:rsid w:val="00850A66"/>
    <w:rsid w:val="00850AEE"/>
    <w:rsid w:val="00850DCB"/>
    <w:rsid w:val="00850F9D"/>
    <w:rsid w:val="0085154F"/>
    <w:rsid w:val="00851564"/>
    <w:rsid w:val="00851897"/>
    <w:rsid w:val="00851A6D"/>
    <w:rsid w:val="00851A6E"/>
    <w:rsid w:val="00852354"/>
    <w:rsid w:val="008528DB"/>
    <w:rsid w:val="00852C94"/>
    <w:rsid w:val="00852DEE"/>
    <w:rsid w:val="00852E4B"/>
    <w:rsid w:val="00853612"/>
    <w:rsid w:val="008536C4"/>
    <w:rsid w:val="00853961"/>
    <w:rsid w:val="00853A43"/>
    <w:rsid w:val="00853A4E"/>
    <w:rsid w:val="0085481C"/>
    <w:rsid w:val="00854829"/>
    <w:rsid w:val="00854A73"/>
    <w:rsid w:val="00854EC6"/>
    <w:rsid w:val="00855511"/>
    <w:rsid w:val="00855E60"/>
    <w:rsid w:val="00855F5E"/>
    <w:rsid w:val="008560FA"/>
    <w:rsid w:val="0085672D"/>
    <w:rsid w:val="008567AA"/>
    <w:rsid w:val="00856C35"/>
    <w:rsid w:val="00857258"/>
    <w:rsid w:val="008573D3"/>
    <w:rsid w:val="008575E0"/>
    <w:rsid w:val="008575F7"/>
    <w:rsid w:val="00860020"/>
    <w:rsid w:val="00860042"/>
    <w:rsid w:val="00860127"/>
    <w:rsid w:val="0086085E"/>
    <w:rsid w:val="00860C19"/>
    <w:rsid w:val="00861031"/>
    <w:rsid w:val="0086135C"/>
    <w:rsid w:val="00861833"/>
    <w:rsid w:val="00861E43"/>
    <w:rsid w:val="00862337"/>
    <w:rsid w:val="008626B8"/>
    <w:rsid w:val="00862AB1"/>
    <w:rsid w:val="00862CC3"/>
    <w:rsid w:val="00862F02"/>
    <w:rsid w:val="00863801"/>
    <w:rsid w:val="00863D79"/>
    <w:rsid w:val="008645A4"/>
    <w:rsid w:val="008646A8"/>
    <w:rsid w:val="008648A1"/>
    <w:rsid w:val="00864F41"/>
    <w:rsid w:val="00865505"/>
    <w:rsid w:val="00865806"/>
    <w:rsid w:val="008659EC"/>
    <w:rsid w:val="00865B1F"/>
    <w:rsid w:val="0086610E"/>
    <w:rsid w:val="008664F1"/>
    <w:rsid w:val="008665E7"/>
    <w:rsid w:val="008667F8"/>
    <w:rsid w:val="008668F6"/>
    <w:rsid w:val="00866994"/>
    <w:rsid w:val="00866FE9"/>
    <w:rsid w:val="00867531"/>
    <w:rsid w:val="00867B69"/>
    <w:rsid w:val="00867CA6"/>
    <w:rsid w:val="00867F19"/>
    <w:rsid w:val="00870591"/>
    <w:rsid w:val="0087107C"/>
    <w:rsid w:val="00871414"/>
    <w:rsid w:val="008716B1"/>
    <w:rsid w:val="008720B8"/>
    <w:rsid w:val="0087243A"/>
    <w:rsid w:val="00872820"/>
    <w:rsid w:val="00872B4E"/>
    <w:rsid w:val="008732E5"/>
    <w:rsid w:val="00874618"/>
    <w:rsid w:val="0087474C"/>
    <w:rsid w:val="008748ED"/>
    <w:rsid w:val="00874B67"/>
    <w:rsid w:val="00874EBE"/>
    <w:rsid w:val="00875112"/>
    <w:rsid w:val="008756BC"/>
    <w:rsid w:val="008756C7"/>
    <w:rsid w:val="0087572E"/>
    <w:rsid w:val="0087573D"/>
    <w:rsid w:val="00875956"/>
    <w:rsid w:val="008760A6"/>
    <w:rsid w:val="00876260"/>
    <w:rsid w:val="0087689B"/>
    <w:rsid w:val="00876F99"/>
    <w:rsid w:val="00877243"/>
    <w:rsid w:val="008773E8"/>
    <w:rsid w:val="00880129"/>
    <w:rsid w:val="00880483"/>
    <w:rsid w:val="00880633"/>
    <w:rsid w:val="00880790"/>
    <w:rsid w:val="00880A07"/>
    <w:rsid w:val="00880CCC"/>
    <w:rsid w:val="008818A8"/>
    <w:rsid w:val="00881B60"/>
    <w:rsid w:val="00881F1E"/>
    <w:rsid w:val="008821B6"/>
    <w:rsid w:val="00882D55"/>
    <w:rsid w:val="008832E8"/>
    <w:rsid w:val="00883333"/>
    <w:rsid w:val="00883B0E"/>
    <w:rsid w:val="00883DA9"/>
    <w:rsid w:val="00883E1B"/>
    <w:rsid w:val="00883F58"/>
    <w:rsid w:val="0088412D"/>
    <w:rsid w:val="00884247"/>
    <w:rsid w:val="00884818"/>
    <w:rsid w:val="008849D6"/>
    <w:rsid w:val="0088510B"/>
    <w:rsid w:val="0088521C"/>
    <w:rsid w:val="0088531F"/>
    <w:rsid w:val="00885500"/>
    <w:rsid w:val="008858A5"/>
    <w:rsid w:val="00885A33"/>
    <w:rsid w:val="00885C8B"/>
    <w:rsid w:val="00885F67"/>
    <w:rsid w:val="00886206"/>
    <w:rsid w:val="008863A9"/>
    <w:rsid w:val="008863AB"/>
    <w:rsid w:val="008866AF"/>
    <w:rsid w:val="00886831"/>
    <w:rsid w:val="00886C51"/>
    <w:rsid w:val="0088759C"/>
    <w:rsid w:val="008875CF"/>
    <w:rsid w:val="0088760F"/>
    <w:rsid w:val="00887794"/>
    <w:rsid w:val="00887830"/>
    <w:rsid w:val="00887F31"/>
    <w:rsid w:val="00890124"/>
    <w:rsid w:val="00890293"/>
    <w:rsid w:val="0089050A"/>
    <w:rsid w:val="00890661"/>
    <w:rsid w:val="00890761"/>
    <w:rsid w:val="00890983"/>
    <w:rsid w:val="00890F75"/>
    <w:rsid w:val="0089108B"/>
    <w:rsid w:val="00891130"/>
    <w:rsid w:val="00891A50"/>
    <w:rsid w:val="00891A96"/>
    <w:rsid w:val="00891D15"/>
    <w:rsid w:val="00891E1E"/>
    <w:rsid w:val="00892AD9"/>
    <w:rsid w:val="00892D68"/>
    <w:rsid w:val="00892E41"/>
    <w:rsid w:val="00892EC1"/>
    <w:rsid w:val="008939DC"/>
    <w:rsid w:val="00893C43"/>
    <w:rsid w:val="0089484B"/>
    <w:rsid w:val="00894886"/>
    <w:rsid w:val="00894A57"/>
    <w:rsid w:val="008955D6"/>
    <w:rsid w:val="00895B0B"/>
    <w:rsid w:val="00895FDB"/>
    <w:rsid w:val="008966BC"/>
    <w:rsid w:val="00896F91"/>
    <w:rsid w:val="0089723D"/>
    <w:rsid w:val="008978D7"/>
    <w:rsid w:val="0089790B"/>
    <w:rsid w:val="00897BEF"/>
    <w:rsid w:val="00897E68"/>
    <w:rsid w:val="008A05E8"/>
    <w:rsid w:val="008A0ACE"/>
    <w:rsid w:val="008A0AD7"/>
    <w:rsid w:val="008A0B86"/>
    <w:rsid w:val="008A0F8C"/>
    <w:rsid w:val="008A13E9"/>
    <w:rsid w:val="008A14EB"/>
    <w:rsid w:val="008A166F"/>
    <w:rsid w:val="008A1916"/>
    <w:rsid w:val="008A1982"/>
    <w:rsid w:val="008A1BAD"/>
    <w:rsid w:val="008A1D47"/>
    <w:rsid w:val="008A20A4"/>
    <w:rsid w:val="008A26C0"/>
    <w:rsid w:val="008A2769"/>
    <w:rsid w:val="008A28CE"/>
    <w:rsid w:val="008A29D6"/>
    <w:rsid w:val="008A2B61"/>
    <w:rsid w:val="008A2BDA"/>
    <w:rsid w:val="008A2E9B"/>
    <w:rsid w:val="008A34F3"/>
    <w:rsid w:val="008A3765"/>
    <w:rsid w:val="008A37A8"/>
    <w:rsid w:val="008A3905"/>
    <w:rsid w:val="008A3A89"/>
    <w:rsid w:val="008A3EC0"/>
    <w:rsid w:val="008A41E5"/>
    <w:rsid w:val="008A43C8"/>
    <w:rsid w:val="008A4467"/>
    <w:rsid w:val="008A4A2A"/>
    <w:rsid w:val="008A4B2E"/>
    <w:rsid w:val="008A4B90"/>
    <w:rsid w:val="008A4D26"/>
    <w:rsid w:val="008A4E51"/>
    <w:rsid w:val="008A5129"/>
    <w:rsid w:val="008A5281"/>
    <w:rsid w:val="008A5675"/>
    <w:rsid w:val="008A5728"/>
    <w:rsid w:val="008A5B03"/>
    <w:rsid w:val="008A6016"/>
    <w:rsid w:val="008A66A4"/>
    <w:rsid w:val="008A78FC"/>
    <w:rsid w:val="008A7A6F"/>
    <w:rsid w:val="008A7DFE"/>
    <w:rsid w:val="008B0928"/>
    <w:rsid w:val="008B0D70"/>
    <w:rsid w:val="008B1144"/>
    <w:rsid w:val="008B1147"/>
    <w:rsid w:val="008B1718"/>
    <w:rsid w:val="008B1BF2"/>
    <w:rsid w:val="008B22FF"/>
    <w:rsid w:val="008B237E"/>
    <w:rsid w:val="008B307F"/>
    <w:rsid w:val="008B3472"/>
    <w:rsid w:val="008B3AAA"/>
    <w:rsid w:val="008B3CDB"/>
    <w:rsid w:val="008B3EB1"/>
    <w:rsid w:val="008B4722"/>
    <w:rsid w:val="008B472D"/>
    <w:rsid w:val="008B4B2D"/>
    <w:rsid w:val="008B4FB2"/>
    <w:rsid w:val="008B5377"/>
    <w:rsid w:val="008B5691"/>
    <w:rsid w:val="008B660F"/>
    <w:rsid w:val="008B6E70"/>
    <w:rsid w:val="008B7168"/>
    <w:rsid w:val="008B755A"/>
    <w:rsid w:val="008B7687"/>
    <w:rsid w:val="008C04EF"/>
    <w:rsid w:val="008C0520"/>
    <w:rsid w:val="008C072F"/>
    <w:rsid w:val="008C0C14"/>
    <w:rsid w:val="008C0CD5"/>
    <w:rsid w:val="008C1E9F"/>
    <w:rsid w:val="008C24D1"/>
    <w:rsid w:val="008C292D"/>
    <w:rsid w:val="008C2EA4"/>
    <w:rsid w:val="008C2EF3"/>
    <w:rsid w:val="008C2F8D"/>
    <w:rsid w:val="008C331C"/>
    <w:rsid w:val="008C3740"/>
    <w:rsid w:val="008C3951"/>
    <w:rsid w:val="008C3AB1"/>
    <w:rsid w:val="008C3BB3"/>
    <w:rsid w:val="008C3CAF"/>
    <w:rsid w:val="008C3FDD"/>
    <w:rsid w:val="008C410F"/>
    <w:rsid w:val="008C4555"/>
    <w:rsid w:val="008C4617"/>
    <w:rsid w:val="008C49D1"/>
    <w:rsid w:val="008C4DA0"/>
    <w:rsid w:val="008C4F55"/>
    <w:rsid w:val="008C4F93"/>
    <w:rsid w:val="008C5559"/>
    <w:rsid w:val="008C5688"/>
    <w:rsid w:val="008C5923"/>
    <w:rsid w:val="008C5CC6"/>
    <w:rsid w:val="008C6643"/>
    <w:rsid w:val="008C66E2"/>
    <w:rsid w:val="008C676F"/>
    <w:rsid w:val="008C6BDD"/>
    <w:rsid w:val="008C6D84"/>
    <w:rsid w:val="008C6DC5"/>
    <w:rsid w:val="008C71CC"/>
    <w:rsid w:val="008C73CD"/>
    <w:rsid w:val="008C74B3"/>
    <w:rsid w:val="008C7897"/>
    <w:rsid w:val="008C78AE"/>
    <w:rsid w:val="008C7E83"/>
    <w:rsid w:val="008C7EE3"/>
    <w:rsid w:val="008D00D1"/>
    <w:rsid w:val="008D00E7"/>
    <w:rsid w:val="008D05B3"/>
    <w:rsid w:val="008D0689"/>
    <w:rsid w:val="008D0739"/>
    <w:rsid w:val="008D0964"/>
    <w:rsid w:val="008D17FC"/>
    <w:rsid w:val="008D1AC0"/>
    <w:rsid w:val="008D1AF6"/>
    <w:rsid w:val="008D20A4"/>
    <w:rsid w:val="008D218E"/>
    <w:rsid w:val="008D2290"/>
    <w:rsid w:val="008D22C3"/>
    <w:rsid w:val="008D2518"/>
    <w:rsid w:val="008D252F"/>
    <w:rsid w:val="008D2918"/>
    <w:rsid w:val="008D2BB0"/>
    <w:rsid w:val="008D3204"/>
    <w:rsid w:val="008D333C"/>
    <w:rsid w:val="008D3926"/>
    <w:rsid w:val="008D3BD6"/>
    <w:rsid w:val="008D4070"/>
    <w:rsid w:val="008D421F"/>
    <w:rsid w:val="008D459A"/>
    <w:rsid w:val="008D48CF"/>
    <w:rsid w:val="008D4970"/>
    <w:rsid w:val="008D4C0D"/>
    <w:rsid w:val="008D4D89"/>
    <w:rsid w:val="008D583C"/>
    <w:rsid w:val="008D5DA9"/>
    <w:rsid w:val="008D5EF7"/>
    <w:rsid w:val="008D6655"/>
    <w:rsid w:val="008D69E6"/>
    <w:rsid w:val="008D709A"/>
    <w:rsid w:val="008D72DB"/>
    <w:rsid w:val="008D7324"/>
    <w:rsid w:val="008D7FCD"/>
    <w:rsid w:val="008E028A"/>
    <w:rsid w:val="008E0B76"/>
    <w:rsid w:val="008E10B8"/>
    <w:rsid w:val="008E142A"/>
    <w:rsid w:val="008E1D88"/>
    <w:rsid w:val="008E2736"/>
    <w:rsid w:val="008E2AA2"/>
    <w:rsid w:val="008E337B"/>
    <w:rsid w:val="008E33D7"/>
    <w:rsid w:val="008E3BE5"/>
    <w:rsid w:val="008E3DED"/>
    <w:rsid w:val="008E488A"/>
    <w:rsid w:val="008E489B"/>
    <w:rsid w:val="008E48D3"/>
    <w:rsid w:val="008E48E4"/>
    <w:rsid w:val="008E4B20"/>
    <w:rsid w:val="008E50A8"/>
    <w:rsid w:val="008E5137"/>
    <w:rsid w:val="008E5B56"/>
    <w:rsid w:val="008E5FD9"/>
    <w:rsid w:val="008E5FEF"/>
    <w:rsid w:val="008E60CF"/>
    <w:rsid w:val="008E62BB"/>
    <w:rsid w:val="008E6627"/>
    <w:rsid w:val="008E719C"/>
    <w:rsid w:val="008E7231"/>
    <w:rsid w:val="008E7395"/>
    <w:rsid w:val="008E7596"/>
    <w:rsid w:val="008E778A"/>
    <w:rsid w:val="008E7F90"/>
    <w:rsid w:val="008F01C9"/>
    <w:rsid w:val="008F07DF"/>
    <w:rsid w:val="008F0BD1"/>
    <w:rsid w:val="008F0D52"/>
    <w:rsid w:val="008F0FFF"/>
    <w:rsid w:val="008F105D"/>
    <w:rsid w:val="008F193D"/>
    <w:rsid w:val="008F1CCA"/>
    <w:rsid w:val="008F2027"/>
    <w:rsid w:val="008F243B"/>
    <w:rsid w:val="008F29E8"/>
    <w:rsid w:val="008F2B54"/>
    <w:rsid w:val="008F2BD2"/>
    <w:rsid w:val="008F318B"/>
    <w:rsid w:val="008F35CC"/>
    <w:rsid w:val="008F3E93"/>
    <w:rsid w:val="008F3EBA"/>
    <w:rsid w:val="008F439A"/>
    <w:rsid w:val="008F4487"/>
    <w:rsid w:val="008F44AF"/>
    <w:rsid w:val="008F482B"/>
    <w:rsid w:val="008F4C34"/>
    <w:rsid w:val="008F4EE6"/>
    <w:rsid w:val="008F5A30"/>
    <w:rsid w:val="008F5E90"/>
    <w:rsid w:val="008F5E95"/>
    <w:rsid w:val="008F6486"/>
    <w:rsid w:val="008F64BD"/>
    <w:rsid w:val="008F64DE"/>
    <w:rsid w:val="008F657C"/>
    <w:rsid w:val="008F65BF"/>
    <w:rsid w:val="008F67FB"/>
    <w:rsid w:val="008F69FA"/>
    <w:rsid w:val="008F6EFF"/>
    <w:rsid w:val="008F6F4E"/>
    <w:rsid w:val="008F74DB"/>
    <w:rsid w:val="008F7855"/>
    <w:rsid w:val="008F799B"/>
    <w:rsid w:val="009006CD"/>
    <w:rsid w:val="00900814"/>
    <w:rsid w:val="009010C4"/>
    <w:rsid w:val="009019AC"/>
    <w:rsid w:val="009019CC"/>
    <w:rsid w:val="00901B5D"/>
    <w:rsid w:val="00901DBB"/>
    <w:rsid w:val="0090233C"/>
    <w:rsid w:val="009026C3"/>
    <w:rsid w:val="00902D4F"/>
    <w:rsid w:val="00902F16"/>
    <w:rsid w:val="0090338B"/>
    <w:rsid w:val="0090391B"/>
    <w:rsid w:val="00903A96"/>
    <w:rsid w:val="00903D40"/>
    <w:rsid w:val="00904C09"/>
    <w:rsid w:val="00904F48"/>
    <w:rsid w:val="00905438"/>
    <w:rsid w:val="0090558A"/>
    <w:rsid w:val="0090576D"/>
    <w:rsid w:val="00905AA3"/>
    <w:rsid w:val="009063DD"/>
    <w:rsid w:val="009066C5"/>
    <w:rsid w:val="0090679F"/>
    <w:rsid w:val="00906D50"/>
    <w:rsid w:val="00907735"/>
    <w:rsid w:val="00907F1A"/>
    <w:rsid w:val="00910152"/>
    <w:rsid w:val="009102D9"/>
    <w:rsid w:val="0091037B"/>
    <w:rsid w:val="009103B6"/>
    <w:rsid w:val="00911646"/>
    <w:rsid w:val="00911733"/>
    <w:rsid w:val="009119C9"/>
    <w:rsid w:val="00911D37"/>
    <w:rsid w:val="00911F8A"/>
    <w:rsid w:val="0091255A"/>
    <w:rsid w:val="00912791"/>
    <w:rsid w:val="00913118"/>
    <w:rsid w:val="009131A1"/>
    <w:rsid w:val="009135E9"/>
    <w:rsid w:val="00913657"/>
    <w:rsid w:val="00913B92"/>
    <w:rsid w:val="00913F4D"/>
    <w:rsid w:val="0091400C"/>
    <w:rsid w:val="009145BB"/>
    <w:rsid w:val="00914AD9"/>
    <w:rsid w:val="00914C6D"/>
    <w:rsid w:val="00914D6E"/>
    <w:rsid w:val="00914DDF"/>
    <w:rsid w:val="00914E6B"/>
    <w:rsid w:val="0091580D"/>
    <w:rsid w:val="0091674E"/>
    <w:rsid w:val="009167DF"/>
    <w:rsid w:val="00916D29"/>
    <w:rsid w:val="009172F7"/>
    <w:rsid w:val="00917B01"/>
    <w:rsid w:val="0092092B"/>
    <w:rsid w:val="00920B9E"/>
    <w:rsid w:val="00920BFD"/>
    <w:rsid w:val="00920C49"/>
    <w:rsid w:val="00920E1D"/>
    <w:rsid w:val="00920E8C"/>
    <w:rsid w:val="00921470"/>
    <w:rsid w:val="0092194B"/>
    <w:rsid w:val="00921A4C"/>
    <w:rsid w:val="00921ABA"/>
    <w:rsid w:val="00921BAB"/>
    <w:rsid w:val="00921E43"/>
    <w:rsid w:val="009222AC"/>
    <w:rsid w:val="00922518"/>
    <w:rsid w:val="009227A0"/>
    <w:rsid w:val="00922A18"/>
    <w:rsid w:val="00922B26"/>
    <w:rsid w:val="00923063"/>
    <w:rsid w:val="0092325F"/>
    <w:rsid w:val="00923780"/>
    <w:rsid w:val="009239A5"/>
    <w:rsid w:val="00923B3A"/>
    <w:rsid w:val="0092422C"/>
    <w:rsid w:val="009242FC"/>
    <w:rsid w:val="00924375"/>
    <w:rsid w:val="009247DB"/>
    <w:rsid w:val="00924A0F"/>
    <w:rsid w:val="00924A7F"/>
    <w:rsid w:val="00924B4C"/>
    <w:rsid w:val="00924D35"/>
    <w:rsid w:val="00924E76"/>
    <w:rsid w:val="00924EC2"/>
    <w:rsid w:val="00924FDE"/>
    <w:rsid w:val="00925925"/>
    <w:rsid w:val="00925CC1"/>
    <w:rsid w:val="00925E7C"/>
    <w:rsid w:val="00926417"/>
    <w:rsid w:val="0092692B"/>
    <w:rsid w:val="00926ABE"/>
    <w:rsid w:val="00926CA8"/>
    <w:rsid w:val="00926E20"/>
    <w:rsid w:val="009271AC"/>
    <w:rsid w:val="0092726E"/>
    <w:rsid w:val="009275A5"/>
    <w:rsid w:val="00927D95"/>
    <w:rsid w:val="00927E9D"/>
    <w:rsid w:val="00927F1D"/>
    <w:rsid w:val="00930092"/>
    <w:rsid w:val="0093041E"/>
    <w:rsid w:val="009309EF"/>
    <w:rsid w:val="009312A0"/>
    <w:rsid w:val="009316D0"/>
    <w:rsid w:val="009316E9"/>
    <w:rsid w:val="00932401"/>
    <w:rsid w:val="009329A3"/>
    <w:rsid w:val="00932C7A"/>
    <w:rsid w:val="0093305D"/>
    <w:rsid w:val="009331A5"/>
    <w:rsid w:val="009335CD"/>
    <w:rsid w:val="009337D8"/>
    <w:rsid w:val="009338BE"/>
    <w:rsid w:val="00933C36"/>
    <w:rsid w:val="00933E3A"/>
    <w:rsid w:val="009344A8"/>
    <w:rsid w:val="0093466B"/>
    <w:rsid w:val="00934877"/>
    <w:rsid w:val="00934AD3"/>
    <w:rsid w:val="00934D17"/>
    <w:rsid w:val="00934E18"/>
    <w:rsid w:val="00935066"/>
    <w:rsid w:val="00935491"/>
    <w:rsid w:val="00935586"/>
    <w:rsid w:val="009357A0"/>
    <w:rsid w:val="00935D43"/>
    <w:rsid w:val="0093613D"/>
    <w:rsid w:val="00936535"/>
    <w:rsid w:val="00936AC4"/>
    <w:rsid w:val="00936F51"/>
    <w:rsid w:val="00937498"/>
    <w:rsid w:val="0093760C"/>
    <w:rsid w:val="009377C8"/>
    <w:rsid w:val="009377DA"/>
    <w:rsid w:val="0094008C"/>
    <w:rsid w:val="0094019E"/>
    <w:rsid w:val="009401DA"/>
    <w:rsid w:val="0094044A"/>
    <w:rsid w:val="009405F6"/>
    <w:rsid w:val="009406D3"/>
    <w:rsid w:val="00940FB0"/>
    <w:rsid w:val="0094136B"/>
    <w:rsid w:val="009413E3"/>
    <w:rsid w:val="0094174A"/>
    <w:rsid w:val="009417D4"/>
    <w:rsid w:val="009419A4"/>
    <w:rsid w:val="00941BD2"/>
    <w:rsid w:val="009428D5"/>
    <w:rsid w:val="00942973"/>
    <w:rsid w:val="00942A6E"/>
    <w:rsid w:val="0094304C"/>
    <w:rsid w:val="00943474"/>
    <w:rsid w:val="009436FC"/>
    <w:rsid w:val="009439F1"/>
    <w:rsid w:val="00943A42"/>
    <w:rsid w:val="00943EF6"/>
    <w:rsid w:val="0094425B"/>
    <w:rsid w:val="009445F2"/>
    <w:rsid w:val="00944AAB"/>
    <w:rsid w:val="00944C66"/>
    <w:rsid w:val="00945350"/>
    <w:rsid w:val="0094548E"/>
    <w:rsid w:val="0094549A"/>
    <w:rsid w:val="009455DA"/>
    <w:rsid w:val="00945E2A"/>
    <w:rsid w:val="009460CC"/>
    <w:rsid w:val="00946949"/>
    <w:rsid w:val="00947001"/>
    <w:rsid w:val="009470EB"/>
    <w:rsid w:val="009474D1"/>
    <w:rsid w:val="00947A41"/>
    <w:rsid w:val="00947BD3"/>
    <w:rsid w:val="00950415"/>
    <w:rsid w:val="0095060D"/>
    <w:rsid w:val="0095063E"/>
    <w:rsid w:val="00950A1B"/>
    <w:rsid w:val="00950A2C"/>
    <w:rsid w:val="00950E7B"/>
    <w:rsid w:val="00950F43"/>
    <w:rsid w:val="00951834"/>
    <w:rsid w:val="00952264"/>
    <w:rsid w:val="009525EF"/>
    <w:rsid w:val="009526FF"/>
    <w:rsid w:val="0095281B"/>
    <w:rsid w:val="00952910"/>
    <w:rsid w:val="00952A8E"/>
    <w:rsid w:val="00952FCD"/>
    <w:rsid w:val="00952FDE"/>
    <w:rsid w:val="00953340"/>
    <w:rsid w:val="0095396B"/>
    <w:rsid w:val="00953A2B"/>
    <w:rsid w:val="00953ACF"/>
    <w:rsid w:val="00953F8A"/>
    <w:rsid w:val="009540EA"/>
    <w:rsid w:val="00954861"/>
    <w:rsid w:val="00955D14"/>
    <w:rsid w:val="00955D74"/>
    <w:rsid w:val="00956860"/>
    <w:rsid w:val="00956E06"/>
    <w:rsid w:val="00956E12"/>
    <w:rsid w:val="009570ED"/>
    <w:rsid w:val="0095720E"/>
    <w:rsid w:val="009574D9"/>
    <w:rsid w:val="009579BA"/>
    <w:rsid w:val="00957D1B"/>
    <w:rsid w:val="00960159"/>
    <w:rsid w:val="0096270B"/>
    <w:rsid w:val="00962771"/>
    <w:rsid w:val="00963B16"/>
    <w:rsid w:val="00964272"/>
    <w:rsid w:val="00964840"/>
    <w:rsid w:val="00964CD6"/>
    <w:rsid w:val="00964E47"/>
    <w:rsid w:val="00964FA5"/>
    <w:rsid w:val="009656D0"/>
    <w:rsid w:val="0096588B"/>
    <w:rsid w:val="00965A87"/>
    <w:rsid w:val="00965C10"/>
    <w:rsid w:val="009664E7"/>
    <w:rsid w:val="00966C6B"/>
    <w:rsid w:val="009675CC"/>
    <w:rsid w:val="009675DF"/>
    <w:rsid w:val="009676E6"/>
    <w:rsid w:val="00967A0B"/>
    <w:rsid w:val="00967B3D"/>
    <w:rsid w:val="00967F60"/>
    <w:rsid w:val="00970051"/>
    <w:rsid w:val="00970409"/>
    <w:rsid w:val="00970663"/>
    <w:rsid w:val="00971391"/>
    <w:rsid w:val="009723E5"/>
    <w:rsid w:val="009724D5"/>
    <w:rsid w:val="0097256B"/>
    <w:rsid w:val="009728FF"/>
    <w:rsid w:val="00972A24"/>
    <w:rsid w:val="00972C1E"/>
    <w:rsid w:val="00972D25"/>
    <w:rsid w:val="00972D33"/>
    <w:rsid w:val="00972F9B"/>
    <w:rsid w:val="009734F7"/>
    <w:rsid w:val="00973B74"/>
    <w:rsid w:val="00974152"/>
    <w:rsid w:val="0097423E"/>
    <w:rsid w:val="00974761"/>
    <w:rsid w:val="0097479B"/>
    <w:rsid w:val="00974CCB"/>
    <w:rsid w:val="0097501F"/>
    <w:rsid w:val="00975166"/>
    <w:rsid w:val="00975304"/>
    <w:rsid w:val="00975791"/>
    <w:rsid w:val="009759E3"/>
    <w:rsid w:val="00975DEB"/>
    <w:rsid w:val="00975EF4"/>
    <w:rsid w:val="00976010"/>
    <w:rsid w:val="009761F8"/>
    <w:rsid w:val="0097625F"/>
    <w:rsid w:val="00976402"/>
    <w:rsid w:val="009764DE"/>
    <w:rsid w:val="0097667C"/>
    <w:rsid w:val="0097684E"/>
    <w:rsid w:val="00976F12"/>
    <w:rsid w:val="00977959"/>
    <w:rsid w:val="00977C05"/>
    <w:rsid w:val="00980463"/>
    <w:rsid w:val="00980504"/>
    <w:rsid w:val="009806DA"/>
    <w:rsid w:val="00980752"/>
    <w:rsid w:val="00981BE3"/>
    <w:rsid w:val="009822D5"/>
    <w:rsid w:val="009823B2"/>
    <w:rsid w:val="009827D5"/>
    <w:rsid w:val="00982974"/>
    <w:rsid w:val="00982B90"/>
    <w:rsid w:val="009831D2"/>
    <w:rsid w:val="009832FA"/>
    <w:rsid w:val="0098355D"/>
    <w:rsid w:val="009836C7"/>
    <w:rsid w:val="009837C5"/>
    <w:rsid w:val="00983A1A"/>
    <w:rsid w:val="00983C18"/>
    <w:rsid w:val="00984113"/>
    <w:rsid w:val="0098470E"/>
    <w:rsid w:val="0098477D"/>
    <w:rsid w:val="00984798"/>
    <w:rsid w:val="00984A8E"/>
    <w:rsid w:val="00984C93"/>
    <w:rsid w:val="00985549"/>
    <w:rsid w:val="009855C0"/>
    <w:rsid w:val="00985EE8"/>
    <w:rsid w:val="00985FC3"/>
    <w:rsid w:val="00986078"/>
    <w:rsid w:val="00986133"/>
    <w:rsid w:val="00986312"/>
    <w:rsid w:val="009868C8"/>
    <w:rsid w:val="00986A11"/>
    <w:rsid w:val="00986DB7"/>
    <w:rsid w:val="009870D7"/>
    <w:rsid w:val="00987AFE"/>
    <w:rsid w:val="00987C81"/>
    <w:rsid w:val="00990091"/>
    <w:rsid w:val="00990897"/>
    <w:rsid w:val="00990AB7"/>
    <w:rsid w:val="00990D7F"/>
    <w:rsid w:val="00990F32"/>
    <w:rsid w:val="0099106E"/>
    <w:rsid w:val="00991438"/>
    <w:rsid w:val="00991634"/>
    <w:rsid w:val="00991D1D"/>
    <w:rsid w:val="00991D6B"/>
    <w:rsid w:val="00992164"/>
    <w:rsid w:val="009921C5"/>
    <w:rsid w:val="0099224B"/>
    <w:rsid w:val="0099233B"/>
    <w:rsid w:val="00992A1E"/>
    <w:rsid w:val="0099304A"/>
    <w:rsid w:val="00993915"/>
    <w:rsid w:val="009947B7"/>
    <w:rsid w:val="00994DD1"/>
    <w:rsid w:val="009950F5"/>
    <w:rsid w:val="0099525E"/>
    <w:rsid w:val="00995618"/>
    <w:rsid w:val="009956A6"/>
    <w:rsid w:val="00995ABD"/>
    <w:rsid w:val="00995C28"/>
    <w:rsid w:val="00996097"/>
    <w:rsid w:val="00996A56"/>
    <w:rsid w:val="009976F0"/>
    <w:rsid w:val="00997B6B"/>
    <w:rsid w:val="009A08C2"/>
    <w:rsid w:val="009A095B"/>
    <w:rsid w:val="009A0CCF"/>
    <w:rsid w:val="009A0E53"/>
    <w:rsid w:val="009A144E"/>
    <w:rsid w:val="009A14D9"/>
    <w:rsid w:val="009A152B"/>
    <w:rsid w:val="009A1A26"/>
    <w:rsid w:val="009A1ECF"/>
    <w:rsid w:val="009A202E"/>
    <w:rsid w:val="009A23AF"/>
    <w:rsid w:val="009A2CF0"/>
    <w:rsid w:val="009A2E46"/>
    <w:rsid w:val="009A2E78"/>
    <w:rsid w:val="009A3019"/>
    <w:rsid w:val="009A302A"/>
    <w:rsid w:val="009A31DC"/>
    <w:rsid w:val="009A364C"/>
    <w:rsid w:val="009A3F81"/>
    <w:rsid w:val="009A43F5"/>
    <w:rsid w:val="009A4597"/>
    <w:rsid w:val="009A46EE"/>
    <w:rsid w:val="009A4748"/>
    <w:rsid w:val="009A5049"/>
    <w:rsid w:val="009A5C4E"/>
    <w:rsid w:val="009A5EA5"/>
    <w:rsid w:val="009A6025"/>
    <w:rsid w:val="009A6269"/>
    <w:rsid w:val="009A630A"/>
    <w:rsid w:val="009A6523"/>
    <w:rsid w:val="009A6C8A"/>
    <w:rsid w:val="009A6D51"/>
    <w:rsid w:val="009A787B"/>
    <w:rsid w:val="009A7E78"/>
    <w:rsid w:val="009B0451"/>
    <w:rsid w:val="009B0634"/>
    <w:rsid w:val="009B0C03"/>
    <w:rsid w:val="009B0D10"/>
    <w:rsid w:val="009B10A7"/>
    <w:rsid w:val="009B15A5"/>
    <w:rsid w:val="009B29AB"/>
    <w:rsid w:val="009B2AAB"/>
    <w:rsid w:val="009B2C92"/>
    <w:rsid w:val="009B2E7B"/>
    <w:rsid w:val="009B34B8"/>
    <w:rsid w:val="009B34DF"/>
    <w:rsid w:val="009B36C4"/>
    <w:rsid w:val="009B3B4B"/>
    <w:rsid w:val="009B3B6A"/>
    <w:rsid w:val="009B3B9D"/>
    <w:rsid w:val="009B415D"/>
    <w:rsid w:val="009B442C"/>
    <w:rsid w:val="009B448C"/>
    <w:rsid w:val="009B467C"/>
    <w:rsid w:val="009B4689"/>
    <w:rsid w:val="009B475A"/>
    <w:rsid w:val="009B49BF"/>
    <w:rsid w:val="009B4B20"/>
    <w:rsid w:val="009B4BA4"/>
    <w:rsid w:val="009B4C80"/>
    <w:rsid w:val="009B611C"/>
    <w:rsid w:val="009B635A"/>
    <w:rsid w:val="009B6399"/>
    <w:rsid w:val="009B64B7"/>
    <w:rsid w:val="009B6D47"/>
    <w:rsid w:val="009B6E1D"/>
    <w:rsid w:val="009B6EB1"/>
    <w:rsid w:val="009B6F8C"/>
    <w:rsid w:val="009B722B"/>
    <w:rsid w:val="009B7387"/>
    <w:rsid w:val="009B793F"/>
    <w:rsid w:val="009B7951"/>
    <w:rsid w:val="009B7C5D"/>
    <w:rsid w:val="009B7EA5"/>
    <w:rsid w:val="009C05B1"/>
    <w:rsid w:val="009C05C2"/>
    <w:rsid w:val="009C06D6"/>
    <w:rsid w:val="009C073F"/>
    <w:rsid w:val="009C075A"/>
    <w:rsid w:val="009C07B7"/>
    <w:rsid w:val="009C0A62"/>
    <w:rsid w:val="009C0F70"/>
    <w:rsid w:val="009C1898"/>
    <w:rsid w:val="009C1D9E"/>
    <w:rsid w:val="009C1EC9"/>
    <w:rsid w:val="009C235A"/>
    <w:rsid w:val="009C24FF"/>
    <w:rsid w:val="009C2504"/>
    <w:rsid w:val="009C28E6"/>
    <w:rsid w:val="009C296D"/>
    <w:rsid w:val="009C2BCE"/>
    <w:rsid w:val="009C33A4"/>
    <w:rsid w:val="009C36FC"/>
    <w:rsid w:val="009C3EC7"/>
    <w:rsid w:val="009C3FAA"/>
    <w:rsid w:val="009C4224"/>
    <w:rsid w:val="009C42F4"/>
    <w:rsid w:val="009C4637"/>
    <w:rsid w:val="009C4788"/>
    <w:rsid w:val="009C47E8"/>
    <w:rsid w:val="009C4ACD"/>
    <w:rsid w:val="009C5054"/>
    <w:rsid w:val="009C51A7"/>
    <w:rsid w:val="009C69CE"/>
    <w:rsid w:val="009C6B2F"/>
    <w:rsid w:val="009C70BC"/>
    <w:rsid w:val="009C72F8"/>
    <w:rsid w:val="009C7532"/>
    <w:rsid w:val="009C794B"/>
    <w:rsid w:val="009D079F"/>
    <w:rsid w:val="009D19D4"/>
    <w:rsid w:val="009D1C15"/>
    <w:rsid w:val="009D1E2D"/>
    <w:rsid w:val="009D2132"/>
    <w:rsid w:val="009D2B18"/>
    <w:rsid w:val="009D2D34"/>
    <w:rsid w:val="009D310E"/>
    <w:rsid w:val="009D3182"/>
    <w:rsid w:val="009D353E"/>
    <w:rsid w:val="009D37AE"/>
    <w:rsid w:val="009D3CC4"/>
    <w:rsid w:val="009D3F7E"/>
    <w:rsid w:val="009D441C"/>
    <w:rsid w:val="009D44D4"/>
    <w:rsid w:val="009D451C"/>
    <w:rsid w:val="009D46DA"/>
    <w:rsid w:val="009D4A16"/>
    <w:rsid w:val="009D4E10"/>
    <w:rsid w:val="009D4ED2"/>
    <w:rsid w:val="009D4EF5"/>
    <w:rsid w:val="009D4FBB"/>
    <w:rsid w:val="009D4FEF"/>
    <w:rsid w:val="009D5237"/>
    <w:rsid w:val="009D5453"/>
    <w:rsid w:val="009D57AA"/>
    <w:rsid w:val="009D582F"/>
    <w:rsid w:val="009D6035"/>
    <w:rsid w:val="009D6630"/>
    <w:rsid w:val="009D6AC3"/>
    <w:rsid w:val="009D6BA0"/>
    <w:rsid w:val="009D6BD0"/>
    <w:rsid w:val="009D6EF4"/>
    <w:rsid w:val="009D71E3"/>
    <w:rsid w:val="009D7947"/>
    <w:rsid w:val="009D7987"/>
    <w:rsid w:val="009D7A82"/>
    <w:rsid w:val="009E021E"/>
    <w:rsid w:val="009E02FA"/>
    <w:rsid w:val="009E0C49"/>
    <w:rsid w:val="009E0D94"/>
    <w:rsid w:val="009E0F03"/>
    <w:rsid w:val="009E147A"/>
    <w:rsid w:val="009E18EB"/>
    <w:rsid w:val="009E1C9B"/>
    <w:rsid w:val="009E1DA2"/>
    <w:rsid w:val="009E1EB8"/>
    <w:rsid w:val="009E211E"/>
    <w:rsid w:val="009E2599"/>
    <w:rsid w:val="009E2A9F"/>
    <w:rsid w:val="009E33E3"/>
    <w:rsid w:val="009E366E"/>
    <w:rsid w:val="009E369F"/>
    <w:rsid w:val="009E3B44"/>
    <w:rsid w:val="009E47CD"/>
    <w:rsid w:val="009E4B1B"/>
    <w:rsid w:val="009E4D5E"/>
    <w:rsid w:val="009E5362"/>
    <w:rsid w:val="009E536B"/>
    <w:rsid w:val="009E5FBA"/>
    <w:rsid w:val="009E60CF"/>
    <w:rsid w:val="009E6807"/>
    <w:rsid w:val="009E6A54"/>
    <w:rsid w:val="009E6B0A"/>
    <w:rsid w:val="009E6B2D"/>
    <w:rsid w:val="009E6D86"/>
    <w:rsid w:val="009E6F9D"/>
    <w:rsid w:val="009E7057"/>
    <w:rsid w:val="009E7DBA"/>
    <w:rsid w:val="009E7E98"/>
    <w:rsid w:val="009E7F4D"/>
    <w:rsid w:val="009F00B2"/>
    <w:rsid w:val="009F00C0"/>
    <w:rsid w:val="009F03C5"/>
    <w:rsid w:val="009F0A1A"/>
    <w:rsid w:val="009F0D48"/>
    <w:rsid w:val="009F0DA6"/>
    <w:rsid w:val="009F1342"/>
    <w:rsid w:val="009F1C29"/>
    <w:rsid w:val="009F1F95"/>
    <w:rsid w:val="009F220D"/>
    <w:rsid w:val="009F2C64"/>
    <w:rsid w:val="009F306D"/>
    <w:rsid w:val="009F3446"/>
    <w:rsid w:val="009F3474"/>
    <w:rsid w:val="009F3800"/>
    <w:rsid w:val="009F3973"/>
    <w:rsid w:val="009F3AD4"/>
    <w:rsid w:val="009F409C"/>
    <w:rsid w:val="009F46AF"/>
    <w:rsid w:val="009F480F"/>
    <w:rsid w:val="009F4AA9"/>
    <w:rsid w:val="009F4BAC"/>
    <w:rsid w:val="009F5241"/>
    <w:rsid w:val="009F53FD"/>
    <w:rsid w:val="009F5464"/>
    <w:rsid w:val="009F54B7"/>
    <w:rsid w:val="009F55A0"/>
    <w:rsid w:val="009F584A"/>
    <w:rsid w:val="009F5A67"/>
    <w:rsid w:val="009F5C5C"/>
    <w:rsid w:val="009F5EF8"/>
    <w:rsid w:val="009F652A"/>
    <w:rsid w:val="009F65F2"/>
    <w:rsid w:val="009F6970"/>
    <w:rsid w:val="009F6A58"/>
    <w:rsid w:val="009F7648"/>
    <w:rsid w:val="009F7897"/>
    <w:rsid w:val="009F79DB"/>
    <w:rsid w:val="009F7ED2"/>
    <w:rsid w:val="009F7FB9"/>
    <w:rsid w:val="00A0003F"/>
    <w:rsid w:val="00A00A76"/>
    <w:rsid w:val="00A00B6A"/>
    <w:rsid w:val="00A00C3C"/>
    <w:rsid w:val="00A00C92"/>
    <w:rsid w:val="00A00E85"/>
    <w:rsid w:val="00A010D8"/>
    <w:rsid w:val="00A0179C"/>
    <w:rsid w:val="00A01BC9"/>
    <w:rsid w:val="00A01FC4"/>
    <w:rsid w:val="00A0248D"/>
    <w:rsid w:val="00A025E2"/>
    <w:rsid w:val="00A02605"/>
    <w:rsid w:val="00A02ADE"/>
    <w:rsid w:val="00A02AE4"/>
    <w:rsid w:val="00A02FCB"/>
    <w:rsid w:val="00A03C7C"/>
    <w:rsid w:val="00A04239"/>
    <w:rsid w:val="00A046A4"/>
    <w:rsid w:val="00A048F3"/>
    <w:rsid w:val="00A06D47"/>
    <w:rsid w:val="00A073BC"/>
    <w:rsid w:val="00A07B5C"/>
    <w:rsid w:val="00A07EA1"/>
    <w:rsid w:val="00A1049C"/>
    <w:rsid w:val="00A105EB"/>
    <w:rsid w:val="00A107FA"/>
    <w:rsid w:val="00A10DBA"/>
    <w:rsid w:val="00A1122F"/>
    <w:rsid w:val="00A112FA"/>
    <w:rsid w:val="00A116CE"/>
    <w:rsid w:val="00A11810"/>
    <w:rsid w:val="00A119BC"/>
    <w:rsid w:val="00A11BD1"/>
    <w:rsid w:val="00A11F87"/>
    <w:rsid w:val="00A120D4"/>
    <w:rsid w:val="00A12521"/>
    <w:rsid w:val="00A13269"/>
    <w:rsid w:val="00A13B03"/>
    <w:rsid w:val="00A141A4"/>
    <w:rsid w:val="00A146E7"/>
    <w:rsid w:val="00A15234"/>
    <w:rsid w:val="00A15488"/>
    <w:rsid w:val="00A155A0"/>
    <w:rsid w:val="00A1577D"/>
    <w:rsid w:val="00A157BC"/>
    <w:rsid w:val="00A15921"/>
    <w:rsid w:val="00A15C18"/>
    <w:rsid w:val="00A15C46"/>
    <w:rsid w:val="00A1604F"/>
    <w:rsid w:val="00A163C6"/>
    <w:rsid w:val="00A167FC"/>
    <w:rsid w:val="00A16AF5"/>
    <w:rsid w:val="00A16C34"/>
    <w:rsid w:val="00A16ECE"/>
    <w:rsid w:val="00A173C7"/>
    <w:rsid w:val="00A17BD2"/>
    <w:rsid w:val="00A17D55"/>
    <w:rsid w:val="00A201B8"/>
    <w:rsid w:val="00A2047E"/>
    <w:rsid w:val="00A209E6"/>
    <w:rsid w:val="00A216BC"/>
    <w:rsid w:val="00A21874"/>
    <w:rsid w:val="00A21A60"/>
    <w:rsid w:val="00A21F1E"/>
    <w:rsid w:val="00A2221E"/>
    <w:rsid w:val="00A22CEF"/>
    <w:rsid w:val="00A2355D"/>
    <w:rsid w:val="00A23938"/>
    <w:rsid w:val="00A23B3A"/>
    <w:rsid w:val="00A242BE"/>
    <w:rsid w:val="00A24389"/>
    <w:rsid w:val="00A24EE4"/>
    <w:rsid w:val="00A24F08"/>
    <w:rsid w:val="00A25476"/>
    <w:rsid w:val="00A259D9"/>
    <w:rsid w:val="00A25A52"/>
    <w:rsid w:val="00A25DED"/>
    <w:rsid w:val="00A26249"/>
    <w:rsid w:val="00A2642F"/>
    <w:rsid w:val="00A26861"/>
    <w:rsid w:val="00A27280"/>
    <w:rsid w:val="00A27776"/>
    <w:rsid w:val="00A27C95"/>
    <w:rsid w:val="00A30557"/>
    <w:rsid w:val="00A30B0C"/>
    <w:rsid w:val="00A30D8C"/>
    <w:rsid w:val="00A315B6"/>
    <w:rsid w:val="00A31AAF"/>
    <w:rsid w:val="00A31CC9"/>
    <w:rsid w:val="00A3220B"/>
    <w:rsid w:val="00A32492"/>
    <w:rsid w:val="00A32AC0"/>
    <w:rsid w:val="00A32BB7"/>
    <w:rsid w:val="00A32E70"/>
    <w:rsid w:val="00A32F6E"/>
    <w:rsid w:val="00A34461"/>
    <w:rsid w:val="00A34847"/>
    <w:rsid w:val="00A34CF8"/>
    <w:rsid w:val="00A35136"/>
    <w:rsid w:val="00A359B4"/>
    <w:rsid w:val="00A361BC"/>
    <w:rsid w:val="00A3647E"/>
    <w:rsid w:val="00A364EA"/>
    <w:rsid w:val="00A36561"/>
    <w:rsid w:val="00A36848"/>
    <w:rsid w:val="00A36B21"/>
    <w:rsid w:val="00A36C56"/>
    <w:rsid w:val="00A3706D"/>
    <w:rsid w:val="00A37180"/>
    <w:rsid w:val="00A37216"/>
    <w:rsid w:val="00A37576"/>
    <w:rsid w:val="00A3777B"/>
    <w:rsid w:val="00A37897"/>
    <w:rsid w:val="00A37E71"/>
    <w:rsid w:val="00A37EE4"/>
    <w:rsid w:val="00A40360"/>
    <w:rsid w:val="00A40477"/>
    <w:rsid w:val="00A40E3D"/>
    <w:rsid w:val="00A40EE7"/>
    <w:rsid w:val="00A410D2"/>
    <w:rsid w:val="00A410F0"/>
    <w:rsid w:val="00A41389"/>
    <w:rsid w:val="00A416F1"/>
    <w:rsid w:val="00A41897"/>
    <w:rsid w:val="00A4269A"/>
    <w:rsid w:val="00A42847"/>
    <w:rsid w:val="00A42CBB"/>
    <w:rsid w:val="00A4333F"/>
    <w:rsid w:val="00A43403"/>
    <w:rsid w:val="00A43507"/>
    <w:rsid w:val="00A436D6"/>
    <w:rsid w:val="00A4393F"/>
    <w:rsid w:val="00A43EC0"/>
    <w:rsid w:val="00A44088"/>
    <w:rsid w:val="00A4435F"/>
    <w:rsid w:val="00A443A5"/>
    <w:rsid w:val="00A443BE"/>
    <w:rsid w:val="00A44414"/>
    <w:rsid w:val="00A445DD"/>
    <w:rsid w:val="00A4460D"/>
    <w:rsid w:val="00A449DF"/>
    <w:rsid w:val="00A44BC2"/>
    <w:rsid w:val="00A44C4B"/>
    <w:rsid w:val="00A466C8"/>
    <w:rsid w:val="00A46C74"/>
    <w:rsid w:val="00A46CA0"/>
    <w:rsid w:val="00A46E53"/>
    <w:rsid w:val="00A46FC3"/>
    <w:rsid w:val="00A4713E"/>
    <w:rsid w:val="00A47892"/>
    <w:rsid w:val="00A47A5A"/>
    <w:rsid w:val="00A47FE7"/>
    <w:rsid w:val="00A50030"/>
    <w:rsid w:val="00A50146"/>
    <w:rsid w:val="00A50231"/>
    <w:rsid w:val="00A507EC"/>
    <w:rsid w:val="00A50B93"/>
    <w:rsid w:val="00A50D6C"/>
    <w:rsid w:val="00A51131"/>
    <w:rsid w:val="00A51234"/>
    <w:rsid w:val="00A51312"/>
    <w:rsid w:val="00A513AE"/>
    <w:rsid w:val="00A51712"/>
    <w:rsid w:val="00A51941"/>
    <w:rsid w:val="00A51B49"/>
    <w:rsid w:val="00A522A4"/>
    <w:rsid w:val="00A52373"/>
    <w:rsid w:val="00A52574"/>
    <w:rsid w:val="00A52D5A"/>
    <w:rsid w:val="00A52ECA"/>
    <w:rsid w:val="00A5373C"/>
    <w:rsid w:val="00A53AB4"/>
    <w:rsid w:val="00A53D5B"/>
    <w:rsid w:val="00A53DD3"/>
    <w:rsid w:val="00A5452A"/>
    <w:rsid w:val="00A546C2"/>
    <w:rsid w:val="00A54D17"/>
    <w:rsid w:val="00A550F1"/>
    <w:rsid w:val="00A5594C"/>
    <w:rsid w:val="00A5641C"/>
    <w:rsid w:val="00A56556"/>
    <w:rsid w:val="00A566AB"/>
    <w:rsid w:val="00A568FA"/>
    <w:rsid w:val="00A56E1A"/>
    <w:rsid w:val="00A56F22"/>
    <w:rsid w:val="00A56F99"/>
    <w:rsid w:val="00A57073"/>
    <w:rsid w:val="00A571D9"/>
    <w:rsid w:val="00A57383"/>
    <w:rsid w:val="00A60071"/>
    <w:rsid w:val="00A60202"/>
    <w:rsid w:val="00A60577"/>
    <w:rsid w:val="00A60A21"/>
    <w:rsid w:val="00A61E20"/>
    <w:rsid w:val="00A62762"/>
    <w:rsid w:val="00A62869"/>
    <w:rsid w:val="00A62979"/>
    <w:rsid w:val="00A62C5D"/>
    <w:rsid w:val="00A62E85"/>
    <w:rsid w:val="00A632C5"/>
    <w:rsid w:val="00A642AF"/>
    <w:rsid w:val="00A64FAA"/>
    <w:rsid w:val="00A6572E"/>
    <w:rsid w:val="00A65B06"/>
    <w:rsid w:val="00A65B3F"/>
    <w:rsid w:val="00A65BF2"/>
    <w:rsid w:val="00A65C1C"/>
    <w:rsid w:val="00A66090"/>
    <w:rsid w:val="00A66893"/>
    <w:rsid w:val="00A66F62"/>
    <w:rsid w:val="00A674A5"/>
    <w:rsid w:val="00A67A76"/>
    <w:rsid w:val="00A67EE0"/>
    <w:rsid w:val="00A700C1"/>
    <w:rsid w:val="00A702E7"/>
    <w:rsid w:val="00A7038D"/>
    <w:rsid w:val="00A706B5"/>
    <w:rsid w:val="00A70B37"/>
    <w:rsid w:val="00A71181"/>
    <w:rsid w:val="00A714BB"/>
    <w:rsid w:val="00A715EF"/>
    <w:rsid w:val="00A71A40"/>
    <w:rsid w:val="00A71C55"/>
    <w:rsid w:val="00A71C9C"/>
    <w:rsid w:val="00A7216E"/>
    <w:rsid w:val="00A72512"/>
    <w:rsid w:val="00A72629"/>
    <w:rsid w:val="00A72664"/>
    <w:rsid w:val="00A72705"/>
    <w:rsid w:val="00A731CB"/>
    <w:rsid w:val="00A7382B"/>
    <w:rsid w:val="00A73EE1"/>
    <w:rsid w:val="00A73FB8"/>
    <w:rsid w:val="00A741DE"/>
    <w:rsid w:val="00A74989"/>
    <w:rsid w:val="00A7548D"/>
    <w:rsid w:val="00A759A8"/>
    <w:rsid w:val="00A7646C"/>
    <w:rsid w:val="00A7650A"/>
    <w:rsid w:val="00A76A09"/>
    <w:rsid w:val="00A76AC4"/>
    <w:rsid w:val="00A76C38"/>
    <w:rsid w:val="00A7727F"/>
    <w:rsid w:val="00A77362"/>
    <w:rsid w:val="00A77801"/>
    <w:rsid w:val="00A779DF"/>
    <w:rsid w:val="00A77B66"/>
    <w:rsid w:val="00A77C58"/>
    <w:rsid w:val="00A77E06"/>
    <w:rsid w:val="00A8025F"/>
    <w:rsid w:val="00A805D0"/>
    <w:rsid w:val="00A80B01"/>
    <w:rsid w:val="00A81445"/>
    <w:rsid w:val="00A817C7"/>
    <w:rsid w:val="00A81AD3"/>
    <w:rsid w:val="00A81C99"/>
    <w:rsid w:val="00A8203B"/>
    <w:rsid w:val="00A824B1"/>
    <w:rsid w:val="00A82EDC"/>
    <w:rsid w:val="00A83D0E"/>
    <w:rsid w:val="00A83D37"/>
    <w:rsid w:val="00A83E75"/>
    <w:rsid w:val="00A83F55"/>
    <w:rsid w:val="00A843DF"/>
    <w:rsid w:val="00A84789"/>
    <w:rsid w:val="00A847AB"/>
    <w:rsid w:val="00A8509F"/>
    <w:rsid w:val="00A85150"/>
    <w:rsid w:val="00A8530E"/>
    <w:rsid w:val="00A85828"/>
    <w:rsid w:val="00A85EA1"/>
    <w:rsid w:val="00A85F51"/>
    <w:rsid w:val="00A85F60"/>
    <w:rsid w:val="00A862E9"/>
    <w:rsid w:val="00A86546"/>
    <w:rsid w:val="00A8683F"/>
    <w:rsid w:val="00A86BDB"/>
    <w:rsid w:val="00A87C15"/>
    <w:rsid w:val="00A87FDC"/>
    <w:rsid w:val="00A90220"/>
    <w:rsid w:val="00A904C8"/>
    <w:rsid w:val="00A90865"/>
    <w:rsid w:val="00A90C21"/>
    <w:rsid w:val="00A90C7D"/>
    <w:rsid w:val="00A915E5"/>
    <w:rsid w:val="00A91BFD"/>
    <w:rsid w:val="00A91CAD"/>
    <w:rsid w:val="00A9262A"/>
    <w:rsid w:val="00A929B3"/>
    <w:rsid w:val="00A92D60"/>
    <w:rsid w:val="00A9364A"/>
    <w:rsid w:val="00A93DB6"/>
    <w:rsid w:val="00A94590"/>
    <w:rsid w:val="00A949B3"/>
    <w:rsid w:val="00A95CD5"/>
    <w:rsid w:val="00A961C2"/>
    <w:rsid w:val="00A969F9"/>
    <w:rsid w:val="00A9720C"/>
    <w:rsid w:val="00A97A46"/>
    <w:rsid w:val="00A97BC5"/>
    <w:rsid w:val="00AA01EC"/>
    <w:rsid w:val="00AA06A6"/>
    <w:rsid w:val="00AA0A6F"/>
    <w:rsid w:val="00AA0B51"/>
    <w:rsid w:val="00AA0D0E"/>
    <w:rsid w:val="00AA100E"/>
    <w:rsid w:val="00AA1479"/>
    <w:rsid w:val="00AA1509"/>
    <w:rsid w:val="00AA173F"/>
    <w:rsid w:val="00AA18D5"/>
    <w:rsid w:val="00AA19AE"/>
    <w:rsid w:val="00AA2853"/>
    <w:rsid w:val="00AA2B8E"/>
    <w:rsid w:val="00AA2C05"/>
    <w:rsid w:val="00AA2E7D"/>
    <w:rsid w:val="00AA2F39"/>
    <w:rsid w:val="00AA3346"/>
    <w:rsid w:val="00AA3520"/>
    <w:rsid w:val="00AA37BF"/>
    <w:rsid w:val="00AA3B27"/>
    <w:rsid w:val="00AA3C12"/>
    <w:rsid w:val="00AA3EB8"/>
    <w:rsid w:val="00AA3F82"/>
    <w:rsid w:val="00AA45A4"/>
    <w:rsid w:val="00AA45E3"/>
    <w:rsid w:val="00AA486C"/>
    <w:rsid w:val="00AA4C17"/>
    <w:rsid w:val="00AA4FEE"/>
    <w:rsid w:val="00AA50AA"/>
    <w:rsid w:val="00AA5239"/>
    <w:rsid w:val="00AA5726"/>
    <w:rsid w:val="00AA5891"/>
    <w:rsid w:val="00AA589D"/>
    <w:rsid w:val="00AA5CB8"/>
    <w:rsid w:val="00AA6A2B"/>
    <w:rsid w:val="00AA6D3B"/>
    <w:rsid w:val="00AA6E8C"/>
    <w:rsid w:val="00AA75C7"/>
    <w:rsid w:val="00AA7645"/>
    <w:rsid w:val="00AB0944"/>
    <w:rsid w:val="00AB095D"/>
    <w:rsid w:val="00AB0ACA"/>
    <w:rsid w:val="00AB0D4E"/>
    <w:rsid w:val="00AB0FB1"/>
    <w:rsid w:val="00AB1277"/>
    <w:rsid w:val="00AB1A08"/>
    <w:rsid w:val="00AB1AB0"/>
    <w:rsid w:val="00AB1C30"/>
    <w:rsid w:val="00AB21BB"/>
    <w:rsid w:val="00AB22F3"/>
    <w:rsid w:val="00AB290C"/>
    <w:rsid w:val="00AB2BEF"/>
    <w:rsid w:val="00AB2F3F"/>
    <w:rsid w:val="00AB397D"/>
    <w:rsid w:val="00AB39C7"/>
    <w:rsid w:val="00AB3EFC"/>
    <w:rsid w:val="00AB3F8B"/>
    <w:rsid w:val="00AB3FB2"/>
    <w:rsid w:val="00AB41DF"/>
    <w:rsid w:val="00AB42B3"/>
    <w:rsid w:val="00AB454C"/>
    <w:rsid w:val="00AB491D"/>
    <w:rsid w:val="00AB4F39"/>
    <w:rsid w:val="00AB5285"/>
    <w:rsid w:val="00AB5439"/>
    <w:rsid w:val="00AB54C2"/>
    <w:rsid w:val="00AB55BD"/>
    <w:rsid w:val="00AB57D7"/>
    <w:rsid w:val="00AB5992"/>
    <w:rsid w:val="00AB5E61"/>
    <w:rsid w:val="00AB641F"/>
    <w:rsid w:val="00AB6669"/>
    <w:rsid w:val="00AB6B0A"/>
    <w:rsid w:val="00AB6B45"/>
    <w:rsid w:val="00AB6C6E"/>
    <w:rsid w:val="00AB6E8E"/>
    <w:rsid w:val="00AB7131"/>
    <w:rsid w:val="00AB72B5"/>
    <w:rsid w:val="00AB732E"/>
    <w:rsid w:val="00AC08C9"/>
    <w:rsid w:val="00AC09E3"/>
    <w:rsid w:val="00AC0D77"/>
    <w:rsid w:val="00AC0DDB"/>
    <w:rsid w:val="00AC183A"/>
    <w:rsid w:val="00AC1899"/>
    <w:rsid w:val="00AC2B06"/>
    <w:rsid w:val="00AC314E"/>
    <w:rsid w:val="00AC4D6F"/>
    <w:rsid w:val="00AC5105"/>
    <w:rsid w:val="00AC5186"/>
    <w:rsid w:val="00AC56A7"/>
    <w:rsid w:val="00AC655A"/>
    <w:rsid w:val="00AC6A9E"/>
    <w:rsid w:val="00AC6D13"/>
    <w:rsid w:val="00AC6D5D"/>
    <w:rsid w:val="00AC6FB1"/>
    <w:rsid w:val="00AC7AF3"/>
    <w:rsid w:val="00AC7C70"/>
    <w:rsid w:val="00AC7E89"/>
    <w:rsid w:val="00AD0135"/>
    <w:rsid w:val="00AD02F4"/>
    <w:rsid w:val="00AD049E"/>
    <w:rsid w:val="00AD089D"/>
    <w:rsid w:val="00AD097C"/>
    <w:rsid w:val="00AD09E4"/>
    <w:rsid w:val="00AD0C3C"/>
    <w:rsid w:val="00AD0CD7"/>
    <w:rsid w:val="00AD100F"/>
    <w:rsid w:val="00AD1255"/>
    <w:rsid w:val="00AD13FA"/>
    <w:rsid w:val="00AD16E6"/>
    <w:rsid w:val="00AD16F1"/>
    <w:rsid w:val="00AD17FD"/>
    <w:rsid w:val="00AD1D6A"/>
    <w:rsid w:val="00AD24DE"/>
    <w:rsid w:val="00AD25C2"/>
    <w:rsid w:val="00AD2647"/>
    <w:rsid w:val="00AD268A"/>
    <w:rsid w:val="00AD2CD9"/>
    <w:rsid w:val="00AD305B"/>
    <w:rsid w:val="00AD3181"/>
    <w:rsid w:val="00AD3554"/>
    <w:rsid w:val="00AD3558"/>
    <w:rsid w:val="00AD4214"/>
    <w:rsid w:val="00AD42E3"/>
    <w:rsid w:val="00AD4454"/>
    <w:rsid w:val="00AD4617"/>
    <w:rsid w:val="00AD4BED"/>
    <w:rsid w:val="00AD51BE"/>
    <w:rsid w:val="00AD52D6"/>
    <w:rsid w:val="00AD537C"/>
    <w:rsid w:val="00AD5AA6"/>
    <w:rsid w:val="00AD609A"/>
    <w:rsid w:val="00AD6796"/>
    <w:rsid w:val="00AD69D1"/>
    <w:rsid w:val="00AD732D"/>
    <w:rsid w:val="00AD7AD9"/>
    <w:rsid w:val="00AD7BAB"/>
    <w:rsid w:val="00AE050B"/>
    <w:rsid w:val="00AE050F"/>
    <w:rsid w:val="00AE1027"/>
    <w:rsid w:val="00AE11D9"/>
    <w:rsid w:val="00AE1451"/>
    <w:rsid w:val="00AE19F0"/>
    <w:rsid w:val="00AE1A00"/>
    <w:rsid w:val="00AE1A0B"/>
    <w:rsid w:val="00AE1A2C"/>
    <w:rsid w:val="00AE2246"/>
    <w:rsid w:val="00AE22D8"/>
    <w:rsid w:val="00AE234B"/>
    <w:rsid w:val="00AE23AF"/>
    <w:rsid w:val="00AE25FE"/>
    <w:rsid w:val="00AE2617"/>
    <w:rsid w:val="00AE281C"/>
    <w:rsid w:val="00AE3080"/>
    <w:rsid w:val="00AE42A2"/>
    <w:rsid w:val="00AE42F3"/>
    <w:rsid w:val="00AE4450"/>
    <w:rsid w:val="00AE46F9"/>
    <w:rsid w:val="00AE498D"/>
    <w:rsid w:val="00AE4BFF"/>
    <w:rsid w:val="00AE4D3F"/>
    <w:rsid w:val="00AE5160"/>
    <w:rsid w:val="00AE5AD8"/>
    <w:rsid w:val="00AE5B1A"/>
    <w:rsid w:val="00AE5BF3"/>
    <w:rsid w:val="00AE5D62"/>
    <w:rsid w:val="00AE6008"/>
    <w:rsid w:val="00AE62FF"/>
    <w:rsid w:val="00AE649D"/>
    <w:rsid w:val="00AE6A3B"/>
    <w:rsid w:val="00AE6F87"/>
    <w:rsid w:val="00AE70DE"/>
    <w:rsid w:val="00AE7A28"/>
    <w:rsid w:val="00AE7B5D"/>
    <w:rsid w:val="00AE7BEB"/>
    <w:rsid w:val="00AF0133"/>
    <w:rsid w:val="00AF03EF"/>
    <w:rsid w:val="00AF05B3"/>
    <w:rsid w:val="00AF0619"/>
    <w:rsid w:val="00AF09CA"/>
    <w:rsid w:val="00AF1162"/>
    <w:rsid w:val="00AF172A"/>
    <w:rsid w:val="00AF1E10"/>
    <w:rsid w:val="00AF2361"/>
    <w:rsid w:val="00AF2757"/>
    <w:rsid w:val="00AF27FE"/>
    <w:rsid w:val="00AF2932"/>
    <w:rsid w:val="00AF2ED7"/>
    <w:rsid w:val="00AF31AD"/>
    <w:rsid w:val="00AF3581"/>
    <w:rsid w:val="00AF359A"/>
    <w:rsid w:val="00AF385F"/>
    <w:rsid w:val="00AF3B33"/>
    <w:rsid w:val="00AF3C4B"/>
    <w:rsid w:val="00AF3E15"/>
    <w:rsid w:val="00AF40B4"/>
    <w:rsid w:val="00AF4591"/>
    <w:rsid w:val="00AF47FF"/>
    <w:rsid w:val="00AF4C42"/>
    <w:rsid w:val="00AF4CA5"/>
    <w:rsid w:val="00AF4D61"/>
    <w:rsid w:val="00AF5278"/>
    <w:rsid w:val="00AF52EC"/>
    <w:rsid w:val="00AF5937"/>
    <w:rsid w:val="00AF5AC8"/>
    <w:rsid w:val="00AF5FBE"/>
    <w:rsid w:val="00AF63E8"/>
    <w:rsid w:val="00AF676C"/>
    <w:rsid w:val="00AF6F7A"/>
    <w:rsid w:val="00AF7303"/>
    <w:rsid w:val="00AF75A3"/>
    <w:rsid w:val="00AF7B2A"/>
    <w:rsid w:val="00B003A5"/>
    <w:rsid w:val="00B003CB"/>
    <w:rsid w:val="00B009B6"/>
    <w:rsid w:val="00B00A44"/>
    <w:rsid w:val="00B00A5B"/>
    <w:rsid w:val="00B00EB8"/>
    <w:rsid w:val="00B01270"/>
    <w:rsid w:val="00B013DC"/>
    <w:rsid w:val="00B013E7"/>
    <w:rsid w:val="00B0148A"/>
    <w:rsid w:val="00B0157C"/>
    <w:rsid w:val="00B018CF"/>
    <w:rsid w:val="00B01955"/>
    <w:rsid w:val="00B01C8F"/>
    <w:rsid w:val="00B01D01"/>
    <w:rsid w:val="00B01DCD"/>
    <w:rsid w:val="00B0205D"/>
    <w:rsid w:val="00B02324"/>
    <w:rsid w:val="00B0243A"/>
    <w:rsid w:val="00B0276F"/>
    <w:rsid w:val="00B0287D"/>
    <w:rsid w:val="00B02985"/>
    <w:rsid w:val="00B02D60"/>
    <w:rsid w:val="00B033D9"/>
    <w:rsid w:val="00B035EC"/>
    <w:rsid w:val="00B0395C"/>
    <w:rsid w:val="00B03AE7"/>
    <w:rsid w:val="00B04023"/>
    <w:rsid w:val="00B04129"/>
    <w:rsid w:val="00B04502"/>
    <w:rsid w:val="00B046CC"/>
    <w:rsid w:val="00B04AE2"/>
    <w:rsid w:val="00B05423"/>
    <w:rsid w:val="00B05489"/>
    <w:rsid w:val="00B05556"/>
    <w:rsid w:val="00B05702"/>
    <w:rsid w:val="00B05943"/>
    <w:rsid w:val="00B05ABB"/>
    <w:rsid w:val="00B05D39"/>
    <w:rsid w:val="00B05EFD"/>
    <w:rsid w:val="00B06149"/>
    <w:rsid w:val="00B06299"/>
    <w:rsid w:val="00B06A56"/>
    <w:rsid w:val="00B06B76"/>
    <w:rsid w:val="00B07231"/>
    <w:rsid w:val="00B0768C"/>
    <w:rsid w:val="00B0778D"/>
    <w:rsid w:val="00B07CE6"/>
    <w:rsid w:val="00B07D40"/>
    <w:rsid w:val="00B100E9"/>
    <w:rsid w:val="00B101AE"/>
    <w:rsid w:val="00B1042B"/>
    <w:rsid w:val="00B106B2"/>
    <w:rsid w:val="00B106C4"/>
    <w:rsid w:val="00B10741"/>
    <w:rsid w:val="00B1078B"/>
    <w:rsid w:val="00B10B42"/>
    <w:rsid w:val="00B112CD"/>
    <w:rsid w:val="00B115AC"/>
    <w:rsid w:val="00B117D6"/>
    <w:rsid w:val="00B11A17"/>
    <w:rsid w:val="00B11C8C"/>
    <w:rsid w:val="00B12ADC"/>
    <w:rsid w:val="00B13798"/>
    <w:rsid w:val="00B13949"/>
    <w:rsid w:val="00B13C6B"/>
    <w:rsid w:val="00B13E23"/>
    <w:rsid w:val="00B14256"/>
    <w:rsid w:val="00B14275"/>
    <w:rsid w:val="00B1470F"/>
    <w:rsid w:val="00B14F6C"/>
    <w:rsid w:val="00B15106"/>
    <w:rsid w:val="00B165BE"/>
    <w:rsid w:val="00B16621"/>
    <w:rsid w:val="00B169EE"/>
    <w:rsid w:val="00B16A60"/>
    <w:rsid w:val="00B16AE3"/>
    <w:rsid w:val="00B1701B"/>
    <w:rsid w:val="00B1726E"/>
    <w:rsid w:val="00B173F8"/>
    <w:rsid w:val="00B17431"/>
    <w:rsid w:val="00B1744D"/>
    <w:rsid w:val="00B17A6C"/>
    <w:rsid w:val="00B17BA7"/>
    <w:rsid w:val="00B17D25"/>
    <w:rsid w:val="00B17D56"/>
    <w:rsid w:val="00B17F3C"/>
    <w:rsid w:val="00B2058C"/>
    <w:rsid w:val="00B21538"/>
    <w:rsid w:val="00B21AC0"/>
    <w:rsid w:val="00B21DC8"/>
    <w:rsid w:val="00B21DD4"/>
    <w:rsid w:val="00B22187"/>
    <w:rsid w:val="00B223B6"/>
    <w:rsid w:val="00B2245A"/>
    <w:rsid w:val="00B224F9"/>
    <w:rsid w:val="00B22823"/>
    <w:rsid w:val="00B228B1"/>
    <w:rsid w:val="00B22EDD"/>
    <w:rsid w:val="00B23760"/>
    <w:rsid w:val="00B23AA2"/>
    <w:rsid w:val="00B23B40"/>
    <w:rsid w:val="00B23BAA"/>
    <w:rsid w:val="00B23D75"/>
    <w:rsid w:val="00B24122"/>
    <w:rsid w:val="00B242ED"/>
    <w:rsid w:val="00B2453B"/>
    <w:rsid w:val="00B246B0"/>
    <w:rsid w:val="00B247B0"/>
    <w:rsid w:val="00B24A83"/>
    <w:rsid w:val="00B24B18"/>
    <w:rsid w:val="00B24C50"/>
    <w:rsid w:val="00B24DB9"/>
    <w:rsid w:val="00B24E34"/>
    <w:rsid w:val="00B24E8D"/>
    <w:rsid w:val="00B2517E"/>
    <w:rsid w:val="00B251E5"/>
    <w:rsid w:val="00B25751"/>
    <w:rsid w:val="00B2593A"/>
    <w:rsid w:val="00B25C4E"/>
    <w:rsid w:val="00B26073"/>
    <w:rsid w:val="00B2610C"/>
    <w:rsid w:val="00B26216"/>
    <w:rsid w:val="00B2656E"/>
    <w:rsid w:val="00B26661"/>
    <w:rsid w:val="00B267A6"/>
    <w:rsid w:val="00B267B8"/>
    <w:rsid w:val="00B26F18"/>
    <w:rsid w:val="00B274C0"/>
    <w:rsid w:val="00B27E2B"/>
    <w:rsid w:val="00B30336"/>
    <w:rsid w:val="00B30356"/>
    <w:rsid w:val="00B3042E"/>
    <w:rsid w:val="00B30A9A"/>
    <w:rsid w:val="00B31CE3"/>
    <w:rsid w:val="00B322CC"/>
    <w:rsid w:val="00B32335"/>
    <w:rsid w:val="00B32397"/>
    <w:rsid w:val="00B3264C"/>
    <w:rsid w:val="00B32B38"/>
    <w:rsid w:val="00B32EFA"/>
    <w:rsid w:val="00B33267"/>
    <w:rsid w:val="00B3364A"/>
    <w:rsid w:val="00B33767"/>
    <w:rsid w:val="00B3395E"/>
    <w:rsid w:val="00B33EE5"/>
    <w:rsid w:val="00B33F83"/>
    <w:rsid w:val="00B340F9"/>
    <w:rsid w:val="00B343FD"/>
    <w:rsid w:val="00B34A71"/>
    <w:rsid w:val="00B34CCA"/>
    <w:rsid w:val="00B34E5E"/>
    <w:rsid w:val="00B35049"/>
    <w:rsid w:val="00B354DB"/>
    <w:rsid w:val="00B35D4D"/>
    <w:rsid w:val="00B35E2C"/>
    <w:rsid w:val="00B371E1"/>
    <w:rsid w:val="00B3778F"/>
    <w:rsid w:val="00B37A5B"/>
    <w:rsid w:val="00B37B1C"/>
    <w:rsid w:val="00B37D76"/>
    <w:rsid w:val="00B37DC8"/>
    <w:rsid w:val="00B37E97"/>
    <w:rsid w:val="00B40656"/>
    <w:rsid w:val="00B40B6A"/>
    <w:rsid w:val="00B41191"/>
    <w:rsid w:val="00B41E1C"/>
    <w:rsid w:val="00B41F39"/>
    <w:rsid w:val="00B42229"/>
    <w:rsid w:val="00B42321"/>
    <w:rsid w:val="00B426D7"/>
    <w:rsid w:val="00B4284D"/>
    <w:rsid w:val="00B42950"/>
    <w:rsid w:val="00B440AA"/>
    <w:rsid w:val="00B44795"/>
    <w:rsid w:val="00B44798"/>
    <w:rsid w:val="00B44CCA"/>
    <w:rsid w:val="00B44D1C"/>
    <w:rsid w:val="00B44D59"/>
    <w:rsid w:val="00B45187"/>
    <w:rsid w:val="00B4617B"/>
    <w:rsid w:val="00B46290"/>
    <w:rsid w:val="00B46446"/>
    <w:rsid w:val="00B466FE"/>
    <w:rsid w:val="00B4699E"/>
    <w:rsid w:val="00B46F21"/>
    <w:rsid w:val="00B47303"/>
    <w:rsid w:val="00B47474"/>
    <w:rsid w:val="00B4757D"/>
    <w:rsid w:val="00B4797D"/>
    <w:rsid w:val="00B47B99"/>
    <w:rsid w:val="00B47CCA"/>
    <w:rsid w:val="00B47FCD"/>
    <w:rsid w:val="00B5050F"/>
    <w:rsid w:val="00B5063C"/>
    <w:rsid w:val="00B507AE"/>
    <w:rsid w:val="00B50E0A"/>
    <w:rsid w:val="00B515C8"/>
    <w:rsid w:val="00B519C7"/>
    <w:rsid w:val="00B524D7"/>
    <w:rsid w:val="00B527E9"/>
    <w:rsid w:val="00B52D03"/>
    <w:rsid w:val="00B52EBC"/>
    <w:rsid w:val="00B52EDA"/>
    <w:rsid w:val="00B53072"/>
    <w:rsid w:val="00B531F7"/>
    <w:rsid w:val="00B53258"/>
    <w:rsid w:val="00B5345C"/>
    <w:rsid w:val="00B535D4"/>
    <w:rsid w:val="00B536BB"/>
    <w:rsid w:val="00B536C3"/>
    <w:rsid w:val="00B53BB8"/>
    <w:rsid w:val="00B53C92"/>
    <w:rsid w:val="00B53CAA"/>
    <w:rsid w:val="00B5462E"/>
    <w:rsid w:val="00B54DA6"/>
    <w:rsid w:val="00B54F57"/>
    <w:rsid w:val="00B55338"/>
    <w:rsid w:val="00B55999"/>
    <w:rsid w:val="00B55E6D"/>
    <w:rsid w:val="00B5656A"/>
    <w:rsid w:val="00B56B46"/>
    <w:rsid w:val="00B56C1C"/>
    <w:rsid w:val="00B571CB"/>
    <w:rsid w:val="00B5753E"/>
    <w:rsid w:val="00B57A03"/>
    <w:rsid w:val="00B57CAE"/>
    <w:rsid w:val="00B60364"/>
    <w:rsid w:val="00B60515"/>
    <w:rsid w:val="00B60EF2"/>
    <w:rsid w:val="00B61058"/>
    <w:rsid w:val="00B61166"/>
    <w:rsid w:val="00B616D0"/>
    <w:rsid w:val="00B61D25"/>
    <w:rsid w:val="00B61FD9"/>
    <w:rsid w:val="00B6202A"/>
    <w:rsid w:val="00B620EB"/>
    <w:rsid w:val="00B62382"/>
    <w:rsid w:val="00B6245D"/>
    <w:rsid w:val="00B62496"/>
    <w:rsid w:val="00B62A6B"/>
    <w:rsid w:val="00B63057"/>
    <w:rsid w:val="00B63359"/>
    <w:rsid w:val="00B634C6"/>
    <w:rsid w:val="00B6363C"/>
    <w:rsid w:val="00B637B0"/>
    <w:rsid w:val="00B638E7"/>
    <w:rsid w:val="00B63D70"/>
    <w:rsid w:val="00B63E21"/>
    <w:rsid w:val="00B64317"/>
    <w:rsid w:val="00B64C61"/>
    <w:rsid w:val="00B6574F"/>
    <w:rsid w:val="00B659AE"/>
    <w:rsid w:val="00B65AC1"/>
    <w:rsid w:val="00B65B1F"/>
    <w:rsid w:val="00B65FE6"/>
    <w:rsid w:val="00B662BC"/>
    <w:rsid w:val="00B664CC"/>
    <w:rsid w:val="00B668D3"/>
    <w:rsid w:val="00B66AF4"/>
    <w:rsid w:val="00B66F40"/>
    <w:rsid w:val="00B670BE"/>
    <w:rsid w:val="00B671BD"/>
    <w:rsid w:val="00B67694"/>
    <w:rsid w:val="00B6796D"/>
    <w:rsid w:val="00B67D34"/>
    <w:rsid w:val="00B67F04"/>
    <w:rsid w:val="00B67F37"/>
    <w:rsid w:val="00B703BC"/>
    <w:rsid w:val="00B70611"/>
    <w:rsid w:val="00B70754"/>
    <w:rsid w:val="00B70884"/>
    <w:rsid w:val="00B70941"/>
    <w:rsid w:val="00B70BD3"/>
    <w:rsid w:val="00B714DF"/>
    <w:rsid w:val="00B71809"/>
    <w:rsid w:val="00B718E9"/>
    <w:rsid w:val="00B71D5F"/>
    <w:rsid w:val="00B72241"/>
    <w:rsid w:val="00B72245"/>
    <w:rsid w:val="00B72B99"/>
    <w:rsid w:val="00B73803"/>
    <w:rsid w:val="00B73E84"/>
    <w:rsid w:val="00B74B76"/>
    <w:rsid w:val="00B75251"/>
    <w:rsid w:val="00B759A2"/>
    <w:rsid w:val="00B75AE1"/>
    <w:rsid w:val="00B76465"/>
    <w:rsid w:val="00B765AA"/>
    <w:rsid w:val="00B769B6"/>
    <w:rsid w:val="00B76C49"/>
    <w:rsid w:val="00B76F22"/>
    <w:rsid w:val="00B771D8"/>
    <w:rsid w:val="00B778C0"/>
    <w:rsid w:val="00B77D0E"/>
    <w:rsid w:val="00B77E39"/>
    <w:rsid w:val="00B77F59"/>
    <w:rsid w:val="00B80215"/>
    <w:rsid w:val="00B807A6"/>
    <w:rsid w:val="00B807AF"/>
    <w:rsid w:val="00B80847"/>
    <w:rsid w:val="00B80B0D"/>
    <w:rsid w:val="00B80C81"/>
    <w:rsid w:val="00B80D39"/>
    <w:rsid w:val="00B80D66"/>
    <w:rsid w:val="00B80EE1"/>
    <w:rsid w:val="00B815B1"/>
    <w:rsid w:val="00B81E99"/>
    <w:rsid w:val="00B81EC6"/>
    <w:rsid w:val="00B82093"/>
    <w:rsid w:val="00B82236"/>
    <w:rsid w:val="00B82B41"/>
    <w:rsid w:val="00B82D6E"/>
    <w:rsid w:val="00B8332E"/>
    <w:rsid w:val="00B8338D"/>
    <w:rsid w:val="00B838CC"/>
    <w:rsid w:val="00B838F3"/>
    <w:rsid w:val="00B83E64"/>
    <w:rsid w:val="00B83F6B"/>
    <w:rsid w:val="00B8492C"/>
    <w:rsid w:val="00B85355"/>
    <w:rsid w:val="00B85F07"/>
    <w:rsid w:val="00B866F0"/>
    <w:rsid w:val="00B86CBC"/>
    <w:rsid w:val="00B87576"/>
    <w:rsid w:val="00B90209"/>
    <w:rsid w:val="00B902FD"/>
    <w:rsid w:val="00B9039C"/>
    <w:rsid w:val="00B90606"/>
    <w:rsid w:val="00B9063E"/>
    <w:rsid w:val="00B9082A"/>
    <w:rsid w:val="00B90A07"/>
    <w:rsid w:val="00B90D31"/>
    <w:rsid w:val="00B90E3E"/>
    <w:rsid w:val="00B914AA"/>
    <w:rsid w:val="00B91650"/>
    <w:rsid w:val="00B92161"/>
    <w:rsid w:val="00B92692"/>
    <w:rsid w:val="00B926A2"/>
    <w:rsid w:val="00B927E9"/>
    <w:rsid w:val="00B929E6"/>
    <w:rsid w:val="00B92D05"/>
    <w:rsid w:val="00B92E09"/>
    <w:rsid w:val="00B933E0"/>
    <w:rsid w:val="00B937FE"/>
    <w:rsid w:val="00B93B48"/>
    <w:rsid w:val="00B93DD0"/>
    <w:rsid w:val="00B94323"/>
    <w:rsid w:val="00B94758"/>
    <w:rsid w:val="00B9476D"/>
    <w:rsid w:val="00B94E12"/>
    <w:rsid w:val="00B94FC0"/>
    <w:rsid w:val="00B95028"/>
    <w:rsid w:val="00B9539D"/>
    <w:rsid w:val="00B95CFB"/>
    <w:rsid w:val="00B96108"/>
    <w:rsid w:val="00B9613A"/>
    <w:rsid w:val="00B96532"/>
    <w:rsid w:val="00B97068"/>
    <w:rsid w:val="00B975A6"/>
    <w:rsid w:val="00B9797B"/>
    <w:rsid w:val="00B979E4"/>
    <w:rsid w:val="00B97ACE"/>
    <w:rsid w:val="00B97C07"/>
    <w:rsid w:val="00BA005C"/>
    <w:rsid w:val="00BA0412"/>
    <w:rsid w:val="00BA045F"/>
    <w:rsid w:val="00BA0AF7"/>
    <w:rsid w:val="00BA13B4"/>
    <w:rsid w:val="00BA1609"/>
    <w:rsid w:val="00BA1957"/>
    <w:rsid w:val="00BA1970"/>
    <w:rsid w:val="00BA1B13"/>
    <w:rsid w:val="00BA2133"/>
    <w:rsid w:val="00BA23CE"/>
    <w:rsid w:val="00BA2463"/>
    <w:rsid w:val="00BA2501"/>
    <w:rsid w:val="00BA293D"/>
    <w:rsid w:val="00BA340D"/>
    <w:rsid w:val="00BA353B"/>
    <w:rsid w:val="00BA367C"/>
    <w:rsid w:val="00BA3958"/>
    <w:rsid w:val="00BA3A2A"/>
    <w:rsid w:val="00BA4E51"/>
    <w:rsid w:val="00BA505F"/>
    <w:rsid w:val="00BA517F"/>
    <w:rsid w:val="00BA51D0"/>
    <w:rsid w:val="00BA55A5"/>
    <w:rsid w:val="00BA585B"/>
    <w:rsid w:val="00BA5968"/>
    <w:rsid w:val="00BA5B44"/>
    <w:rsid w:val="00BA5E70"/>
    <w:rsid w:val="00BA6320"/>
    <w:rsid w:val="00BA656B"/>
    <w:rsid w:val="00BA6966"/>
    <w:rsid w:val="00BA6E59"/>
    <w:rsid w:val="00BA71E8"/>
    <w:rsid w:val="00BA77F9"/>
    <w:rsid w:val="00BB0199"/>
    <w:rsid w:val="00BB02D9"/>
    <w:rsid w:val="00BB0EC5"/>
    <w:rsid w:val="00BB1662"/>
    <w:rsid w:val="00BB195B"/>
    <w:rsid w:val="00BB19C5"/>
    <w:rsid w:val="00BB1A1A"/>
    <w:rsid w:val="00BB245E"/>
    <w:rsid w:val="00BB257F"/>
    <w:rsid w:val="00BB26BF"/>
    <w:rsid w:val="00BB2AE7"/>
    <w:rsid w:val="00BB2B82"/>
    <w:rsid w:val="00BB2B8A"/>
    <w:rsid w:val="00BB2BF0"/>
    <w:rsid w:val="00BB310A"/>
    <w:rsid w:val="00BB34D0"/>
    <w:rsid w:val="00BB38AD"/>
    <w:rsid w:val="00BB3CA8"/>
    <w:rsid w:val="00BB42DE"/>
    <w:rsid w:val="00BB449F"/>
    <w:rsid w:val="00BB453C"/>
    <w:rsid w:val="00BB4562"/>
    <w:rsid w:val="00BB4578"/>
    <w:rsid w:val="00BB4D3C"/>
    <w:rsid w:val="00BB4F9D"/>
    <w:rsid w:val="00BB4FB8"/>
    <w:rsid w:val="00BB53C0"/>
    <w:rsid w:val="00BB5450"/>
    <w:rsid w:val="00BB56EE"/>
    <w:rsid w:val="00BB57AA"/>
    <w:rsid w:val="00BB59D1"/>
    <w:rsid w:val="00BB681E"/>
    <w:rsid w:val="00BB6A5A"/>
    <w:rsid w:val="00BB6B45"/>
    <w:rsid w:val="00BB6DC5"/>
    <w:rsid w:val="00BB7237"/>
    <w:rsid w:val="00BB7D34"/>
    <w:rsid w:val="00BC0778"/>
    <w:rsid w:val="00BC0B16"/>
    <w:rsid w:val="00BC0DE4"/>
    <w:rsid w:val="00BC11DE"/>
    <w:rsid w:val="00BC13D5"/>
    <w:rsid w:val="00BC1793"/>
    <w:rsid w:val="00BC1917"/>
    <w:rsid w:val="00BC26BB"/>
    <w:rsid w:val="00BC29B5"/>
    <w:rsid w:val="00BC2C3A"/>
    <w:rsid w:val="00BC2C89"/>
    <w:rsid w:val="00BC2CB9"/>
    <w:rsid w:val="00BC3D00"/>
    <w:rsid w:val="00BC425F"/>
    <w:rsid w:val="00BC4898"/>
    <w:rsid w:val="00BC5170"/>
    <w:rsid w:val="00BC556C"/>
    <w:rsid w:val="00BC61F0"/>
    <w:rsid w:val="00BC66C3"/>
    <w:rsid w:val="00BC671F"/>
    <w:rsid w:val="00BC6AD0"/>
    <w:rsid w:val="00BC6B08"/>
    <w:rsid w:val="00BC6F20"/>
    <w:rsid w:val="00BD0216"/>
    <w:rsid w:val="00BD02B5"/>
    <w:rsid w:val="00BD03EA"/>
    <w:rsid w:val="00BD0693"/>
    <w:rsid w:val="00BD07C4"/>
    <w:rsid w:val="00BD0F64"/>
    <w:rsid w:val="00BD1040"/>
    <w:rsid w:val="00BD1180"/>
    <w:rsid w:val="00BD11E3"/>
    <w:rsid w:val="00BD1201"/>
    <w:rsid w:val="00BD124B"/>
    <w:rsid w:val="00BD1399"/>
    <w:rsid w:val="00BD1A25"/>
    <w:rsid w:val="00BD1AF2"/>
    <w:rsid w:val="00BD27CB"/>
    <w:rsid w:val="00BD29DE"/>
    <w:rsid w:val="00BD3011"/>
    <w:rsid w:val="00BD3022"/>
    <w:rsid w:val="00BD377A"/>
    <w:rsid w:val="00BD394E"/>
    <w:rsid w:val="00BD4397"/>
    <w:rsid w:val="00BD4C47"/>
    <w:rsid w:val="00BD4CC5"/>
    <w:rsid w:val="00BD4CEC"/>
    <w:rsid w:val="00BD4DC0"/>
    <w:rsid w:val="00BD50D0"/>
    <w:rsid w:val="00BD57E3"/>
    <w:rsid w:val="00BD5967"/>
    <w:rsid w:val="00BD5BC9"/>
    <w:rsid w:val="00BD5C0F"/>
    <w:rsid w:val="00BD5D9B"/>
    <w:rsid w:val="00BD5FAA"/>
    <w:rsid w:val="00BD600C"/>
    <w:rsid w:val="00BD60DD"/>
    <w:rsid w:val="00BD60F7"/>
    <w:rsid w:val="00BD6A9F"/>
    <w:rsid w:val="00BD70A3"/>
    <w:rsid w:val="00BD7F25"/>
    <w:rsid w:val="00BE0378"/>
    <w:rsid w:val="00BE0AB9"/>
    <w:rsid w:val="00BE12BF"/>
    <w:rsid w:val="00BE16D5"/>
    <w:rsid w:val="00BE1D37"/>
    <w:rsid w:val="00BE2085"/>
    <w:rsid w:val="00BE317D"/>
    <w:rsid w:val="00BE3267"/>
    <w:rsid w:val="00BE3351"/>
    <w:rsid w:val="00BE360C"/>
    <w:rsid w:val="00BE3FEB"/>
    <w:rsid w:val="00BE469F"/>
    <w:rsid w:val="00BE4995"/>
    <w:rsid w:val="00BE4D4F"/>
    <w:rsid w:val="00BE4E2B"/>
    <w:rsid w:val="00BE4E9F"/>
    <w:rsid w:val="00BE5756"/>
    <w:rsid w:val="00BE5ABF"/>
    <w:rsid w:val="00BE6228"/>
    <w:rsid w:val="00BE6728"/>
    <w:rsid w:val="00BE6AC1"/>
    <w:rsid w:val="00BE6D35"/>
    <w:rsid w:val="00BE6EA1"/>
    <w:rsid w:val="00BE6FFC"/>
    <w:rsid w:val="00BE701F"/>
    <w:rsid w:val="00BE7061"/>
    <w:rsid w:val="00BE7281"/>
    <w:rsid w:val="00BE7F8B"/>
    <w:rsid w:val="00BF07CD"/>
    <w:rsid w:val="00BF0BC9"/>
    <w:rsid w:val="00BF11F4"/>
    <w:rsid w:val="00BF1296"/>
    <w:rsid w:val="00BF12CB"/>
    <w:rsid w:val="00BF14C9"/>
    <w:rsid w:val="00BF19A9"/>
    <w:rsid w:val="00BF1B57"/>
    <w:rsid w:val="00BF1B70"/>
    <w:rsid w:val="00BF1C77"/>
    <w:rsid w:val="00BF282A"/>
    <w:rsid w:val="00BF2830"/>
    <w:rsid w:val="00BF2AFF"/>
    <w:rsid w:val="00BF2FE4"/>
    <w:rsid w:val="00BF3661"/>
    <w:rsid w:val="00BF4259"/>
    <w:rsid w:val="00BF4955"/>
    <w:rsid w:val="00BF564B"/>
    <w:rsid w:val="00BF56A0"/>
    <w:rsid w:val="00BF5B16"/>
    <w:rsid w:val="00BF5B31"/>
    <w:rsid w:val="00BF5BD3"/>
    <w:rsid w:val="00BF5DA8"/>
    <w:rsid w:val="00BF5E40"/>
    <w:rsid w:val="00BF5F69"/>
    <w:rsid w:val="00BF615F"/>
    <w:rsid w:val="00BF6537"/>
    <w:rsid w:val="00BF6866"/>
    <w:rsid w:val="00BF6A46"/>
    <w:rsid w:val="00BF6FBC"/>
    <w:rsid w:val="00BF773C"/>
    <w:rsid w:val="00BF7AAF"/>
    <w:rsid w:val="00C00024"/>
    <w:rsid w:val="00C00585"/>
    <w:rsid w:val="00C0080D"/>
    <w:rsid w:val="00C00DB6"/>
    <w:rsid w:val="00C020ED"/>
    <w:rsid w:val="00C025F0"/>
    <w:rsid w:val="00C02E11"/>
    <w:rsid w:val="00C02E56"/>
    <w:rsid w:val="00C02FBD"/>
    <w:rsid w:val="00C0382B"/>
    <w:rsid w:val="00C03B9D"/>
    <w:rsid w:val="00C03C7D"/>
    <w:rsid w:val="00C040C4"/>
    <w:rsid w:val="00C0422F"/>
    <w:rsid w:val="00C04A0F"/>
    <w:rsid w:val="00C0502D"/>
    <w:rsid w:val="00C053F0"/>
    <w:rsid w:val="00C05F67"/>
    <w:rsid w:val="00C065B9"/>
    <w:rsid w:val="00C0664B"/>
    <w:rsid w:val="00C07244"/>
    <w:rsid w:val="00C07EC2"/>
    <w:rsid w:val="00C10275"/>
    <w:rsid w:val="00C10A37"/>
    <w:rsid w:val="00C10D09"/>
    <w:rsid w:val="00C10EEF"/>
    <w:rsid w:val="00C11085"/>
    <w:rsid w:val="00C113CC"/>
    <w:rsid w:val="00C11548"/>
    <w:rsid w:val="00C117C8"/>
    <w:rsid w:val="00C11D6E"/>
    <w:rsid w:val="00C12A8E"/>
    <w:rsid w:val="00C1321F"/>
    <w:rsid w:val="00C13997"/>
    <w:rsid w:val="00C13AB6"/>
    <w:rsid w:val="00C13BEB"/>
    <w:rsid w:val="00C13C0F"/>
    <w:rsid w:val="00C1401E"/>
    <w:rsid w:val="00C140F0"/>
    <w:rsid w:val="00C1459E"/>
    <w:rsid w:val="00C1472B"/>
    <w:rsid w:val="00C14BC4"/>
    <w:rsid w:val="00C14E0E"/>
    <w:rsid w:val="00C1557B"/>
    <w:rsid w:val="00C15639"/>
    <w:rsid w:val="00C15E5D"/>
    <w:rsid w:val="00C16D5E"/>
    <w:rsid w:val="00C170D0"/>
    <w:rsid w:val="00C173CB"/>
    <w:rsid w:val="00C17E30"/>
    <w:rsid w:val="00C20190"/>
    <w:rsid w:val="00C208D0"/>
    <w:rsid w:val="00C20D4B"/>
    <w:rsid w:val="00C2159A"/>
    <w:rsid w:val="00C2165D"/>
    <w:rsid w:val="00C218AA"/>
    <w:rsid w:val="00C21EE8"/>
    <w:rsid w:val="00C220AF"/>
    <w:rsid w:val="00C2249D"/>
    <w:rsid w:val="00C2272F"/>
    <w:rsid w:val="00C22842"/>
    <w:rsid w:val="00C22AD2"/>
    <w:rsid w:val="00C22B90"/>
    <w:rsid w:val="00C22E82"/>
    <w:rsid w:val="00C2375F"/>
    <w:rsid w:val="00C23C1B"/>
    <w:rsid w:val="00C23E54"/>
    <w:rsid w:val="00C23E7C"/>
    <w:rsid w:val="00C23F75"/>
    <w:rsid w:val="00C240B8"/>
    <w:rsid w:val="00C247B0"/>
    <w:rsid w:val="00C24919"/>
    <w:rsid w:val="00C249F9"/>
    <w:rsid w:val="00C24D51"/>
    <w:rsid w:val="00C24D55"/>
    <w:rsid w:val="00C250F8"/>
    <w:rsid w:val="00C252F3"/>
    <w:rsid w:val="00C25300"/>
    <w:rsid w:val="00C25385"/>
    <w:rsid w:val="00C256A6"/>
    <w:rsid w:val="00C2579B"/>
    <w:rsid w:val="00C257D5"/>
    <w:rsid w:val="00C25B04"/>
    <w:rsid w:val="00C25C4F"/>
    <w:rsid w:val="00C25D50"/>
    <w:rsid w:val="00C26613"/>
    <w:rsid w:val="00C26D22"/>
    <w:rsid w:val="00C271A0"/>
    <w:rsid w:val="00C2736D"/>
    <w:rsid w:val="00C27A93"/>
    <w:rsid w:val="00C27C89"/>
    <w:rsid w:val="00C27D34"/>
    <w:rsid w:val="00C27EA6"/>
    <w:rsid w:val="00C27FD0"/>
    <w:rsid w:val="00C307FF"/>
    <w:rsid w:val="00C31138"/>
    <w:rsid w:val="00C3123E"/>
    <w:rsid w:val="00C31EEE"/>
    <w:rsid w:val="00C31F23"/>
    <w:rsid w:val="00C32235"/>
    <w:rsid w:val="00C3262A"/>
    <w:rsid w:val="00C32D4F"/>
    <w:rsid w:val="00C32DC8"/>
    <w:rsid w:val="00C32DCD"/>
    <w:rsid w:val="00C32F26"/>
    <w:rsid w:val="00C330E3"/>
    <w:rsid w:val="00C33BA0"/>
    <w:rsid w:val="00C33DF0"/>
    <w:rsid w:val="00C34166"/>
    <w:rsid w:val="00C3436B"/>
    <w:rsid w:val="00C347A6"/>
    <w:rsid w:val="00C34B75"/>
    <w:rsid w:val="00C35458"/>
    <w:rsid w:val="00C35645"/>
    <w:rsid w:val="00C35901"/>
    <w:rsid w:val="00C35BE3"/>
    <w:rsid w:val="00C35ED0"/>
    <w:rsid w:val="00C36159"/>
    <w:rsid w:val="00C36DF9"/>
    <w:rsid w:val="00C36FC2"/>
    <w:rsid w:val="00C36FE8"/>
    <w:rsid w:val="00C3726C"/>
    <w:rsid w:val="00C376EE"/>
    <w:rsid w:val="00C37ED9"/>
    <w:rsid w:val="00C407B9"/>
    <w:rsid w:val="00C40FAF"/>
    <w:rsid w:val="00C41216"/>
    <w:rsid w:val="00C41262"/>
    <w:rsid w:val="00C41895"/>
    <w:rsid w:val="00C41AD7"/>
    <w:rsid w:val="00C41DBB"/>
    <w:rsid w:val="00C41E8C"/>
    <w:rsid w:val="00C42221"/>
    <w:rsid w:val="00C42234"/>
    <w:rsid w:val="00C427E3"/>
    <w:rsid w:val="00C42F64"/>
    <w:rsid w:val="00C43528"/>
    <w:rsid w:val="00C43BA4"/>
    <w:rsid w:val="00C43CE1"/>
    <w:rsid w:val="00C43E29"/>
    <w:rsid w:val="00C4452B"/>
    <w:rsid w:val="00C44620"/>
    <w:rsid w:val="00C448AD"/>
    <w:rsid w:val="00C44AEE"/>
    <w:rsid w:val="00C44FBE"/>
    <w:rsid w:val="00C45E97"/>
    <w:rsid w:val="00C4647B"/>
    <w:rsid w:val="00C46620"/>
    <w:rsid w:val="00C467D1"/>
    <w:rsid w:val="00C46D1B"/>
    <w:rsid w:val="00C471FE"/>
    <w:rsid w:val="00C4770A"/>
    <w:rsid w:val="00C477B4"/>
    <w:rsid w:val="00C477FA"/>
    <w:rsid w:val="00C47926"/>
    <w:rsid w:val="00C50378"/>
    <w:rsid w:val="00C50485"/>
    <w:rsid w:val="00C50762"/>
    <w:rsid w:val="00C508E8"/>
    <w:rsid w:val="00C50C1F"/>
    <w:rsid w:val="00C50E25"/>
    <w:rsid w:val="00C51054"/>
    <w:rsid w:val="00C51AC8"/>
    <w:rsid w:val="00C51E67"/>
    <w:rsid w:val="00C52A4A"/>
    <w:rsid w:val="00C52D4F"/>
    <w:rsid w:val="00C53377"/>
    <w:rsid w:val="00C539F2"/>
    <w:rsid w:val="00C53C4B"/>
    <w:rsid w:val="00C53D58"/>
    <w:rsid w:val="00C53E59"/>
    <w:rsid w:val="00C54170"/>
    <w:rsid w:val="00C54687"/>
    <w:rsid w:val="00C559E5"/>
    <w:rsid w:val="00C55C68"/>
    <w:rsid w:val="00C565DC"/>
    <w:rsid w:val="00C56DFA"/>
    <w:rsid w:val="00C57503"/>
    <w:rsid w:val="00C6000B"/>
    <w:rsid w:val="00C601C2"/>
    <w:rsid w:val="00C60208"/>
    <w:rsid w:val="00C60964"/>
    <w:rsid w:val="00C60B6A"/>
    <w:rsid w:val="00C60E83"/>
    <w:rsid w:val="00C614D4"/>
    <w:rsid w:val="00C6169C"/>
    <w:rsid w:val="00C61743"/>
    <w:rsid w:val="00C61940"/>
    <w:rsid w:val="00C61E04"/>
    <w:rsid w:val="00C62053"/>
    <w:rsid w:val="00C62618"/>
    <w:rsid w:val="00C62741"/>
    <w:rsid w:val="00C6281D"/>
    <w:rsid w:val="00C62959"/>
    <w:rsid w:val="00C62ED0"/>
    <w:rsid w:val="00C63053"/>
    <w:rsid w:val="00C63063"/>
    <w:rsid w:val="00C63141"/>
    <w:rsid w:val="00C63DA3"/>
    <w:rsid w:val="00C63E73"/>
    <w:rsid w:val="00C6452C"/>
    <w:rsid w:val="00C645C7"/>
    <w:rsid w:val="00C647EF"/>
    <w:rsid w:val="00C6484D"/>
    <w:rsid w:val="00C648B5"/>
    <w:rsid w:val="00C648F5"/>
    <w:rsid w:val="00C64AF6"/>
    <w:rsid w:val="00C64B4F"/>
    <w:rsid w:val="00C64F9E"/>
    <w:rsid w:val="00C64FD9"/>
    <w:rsid w:val="00C651DB"/>
    <w:rsid w:val="00C657E7"/>
    <w:rsid w:val="00C6643A"/>
    <w:rsid w:val="00C66DF9"/>
    <w:rsid w:val="00C67013"/>
    <w:rsid w:val="00C67594"/>
    <w:rsid w:val="00C67A6B"/>
    <w:rsid w:val="00C67AD8"/>
    <w:rsid w:val="00C67B71"/>
    <w:rsid w:val="00C67C88"/>
    <w:rsid w:val="00C70279"/>
    <w:rsid w:val="00C70331"/>
    <w:rsid w:val="00C70B59"/>
    <w:rsid w:val="00C70D43"/>
    <w:rsid w:val="00C71841"/>
    <w:rsid w:val="00C71A54"/>
    <w:rsid w:val="00C71A60"/>
    <w:rsid w:val="00C72018"/>
    <w:rsid w:val="00C72065"/>
    <w:rsid w:val="00C72368"/>
    <w:rsid w:val="00C7253D"/>
    <w:rsid w:val="00C7312D"/>
    <w:rsid w:val="00C7342B"/>
    <w:rsid w:val="00C73ACD"/>
    <w:rsid w:val="00C73E0B"/>
    <w:rsid w:val="00C74338"/>
    <w:rsid w:val="00C7442D"/>
    <w:rsid w:val="00C74FFB"/>
    <w:rsid w:val="00C75105"/>
    <w:rsid w:val="00C75D0F"/>
    <w:rsid w:val="00C75E77"/>
    <w:rsid w:val="00C76A3C"/>
    <w:rsid w:val="00C76C33"/>
    <w:rsid w:val="00C76CFE"/>
    <w:rsid w:val="00C76D6A"/>
    <w:rsid w:val="00C771CD"/>
    <w:rsid w:val="00C77A78"/>
    <w:rsid w:val="00C77B0F"/>
    <w:rsid w:val="00C77EBF"/>
    <w:rsid w:val="00C802A9"/>
    <w:rsid w:val="00C80ECD"/>
    <w:rsid w:val="00C80F80"/>
    <w:rsid w:val="00C8154B"/>
    <w:rsid w:val="00C8190D"/>
    <w:rsid w:val="00C819EF"/>
    <w:rsid w:val="00C81BD1"/>
    <w:rsid w:val="00C81D12"/>
    <w:rsid w:val="00C82379"/>
    <w:rsid w:val="00C823C8"/>
    <w:rsid w:val="00C82426"/>
    <w:rsid w:val="00C82878"/>
    <w:rsid w:val="00C829B3"/>
    <w:rsid w:val="00C82A9D"/>
    <w:rsid w:val="00C83ABD"/>
    <w:rsid w:val="00C84001"/>
    <w:rsid w:val="00C85049"/>
    <w:rsid w:val="00C85BF7"/>
    <w:rsid w:val="00C85F39"/>
    <w:rsid w:val="00C86018"/>
    <w:rsid w:val="00C86035"/>
    <w:rsid w:val="00C865C9"/>
    <w:rsid w:val="00C86DA8"/>
    <w:rsid w:val="00C86E59"/>
    <w:rsid w:val="00C86EB7"/>
    <w:rsid w:val="00C8704A"/>
    <w:rsid w:val="00C870EB"/>
    <w:rsid w:val="00C87E80"/>
    <w:rsid w:val="00C87FD5"/>
    <w:rsid w:val="00C90242"/>
    <w:rsid w:val="00C90587"/>
    <w:rsid w:val="00C90C01"/>
    <w:rsid w:val="00C90ED8"/>
    <w:rsid w:val="00C90F7B"/>
    <w:rsid w:val="00C91652"/>
    <w:rsid w:val="00C91F36"/>
    <w:rsid w:val="00C92275"/>
    <w:rsid w:val="00C923B5"/>
    <w:rsid w:val="00C923C2"/>
    <w:rsid w:val="00C92542"/>
    <w:rsid w:val="00C9289D"/>
    <w:rsid w:val="00C92F14"/>
    <w:rsid w:val="00C9319D"/>
    <w:rsid w:val="00C9340D"/>
    <w:rsid w:val="00C93738"/>
    <w:rsid w:val="00C93796"/>
    <w:rsid w:val="00C93CEA"/>
    <w:rsid w:val="00C93EC5"/>
    <w:rsid w:val="00C93FD2"/>
    <w:rsid w:val="00C9482F"/>
    <w:rsid w:val="00C949B6"/>
    <w:rsid w:val="00C94A91"/>
    <w:rsid w:val="00C94D5A"/>
    <w:rsid w:val="00C94D60"/>
    <w:rsid w:val="00C953CB"/>
    <w:rsid w:val="00C95409"/>
    <w:rsid w:val="00C95453"/>
    <w:rsid w:val="00C95A00"/>
    <w:rsid w:val="00C95BEE"/>
    <w:rsid w:val="00C95F92"/>
    <w:rsid w:val="00C962B3"/>
    <w:rsid w:val="00C9643C"/>
    <w:rsid w:val="00C96718"/>
    <w:rsid w:val="00C96E1B"/>
    <w:rsid w:val="00C97109"/>
    <w:rsid w:val="00C97532"/>
    <w:rsid w:val="00C976BA"/>
    <w:rsid w:val="00C97CE5"/>
    <w:rsid w:val="00C97D5C"/>
    <w:rsid w:val="00CA0412"/>
    <w:rsid w:val="00CA0DDA"/>
    <w:rsid w:val="00CA106F"/>
    <w:rsid w:val="00CA136B"/>
    <w:rsid w:val="00CA18F3"/>
    <w:rsid w:val="00CA1A09"/>
    <w:rsid w:val="00CA2B22"/>
    <w:rsid w:val="00CA2B43"/>
    <w:rsid w:val="00CA2FDC"/>
    <w:rsid w:val="00CA305D"/>
    <w:rsid w:val="00CA31FF"/>
    <w:rsid w:val="00CA45FB"/>
    <w:rsid w:val="00CA51AE"/>
    <w:rsid w:val="00CA5925"/>
    <w:rsid w:val="00CA5A01"/>
    <w:rsid w:val="00CA5A68"/>
    <w:rsid w:val="00CA5AE5"/>
    <w:rsid w:val="00CA5B7B"/>
    <w:rsid w:val="00CA658A"/>
    <w:rsid w:val="00CA68E2"/>
    <w:rsid w:val="00CA6B68"/>
    <w:rsid w:val="00CA6BC1"/>
    <w:rsid w:val="00CA6F54"/>
    <w:rsid w:val="00CA7900"/>
    <w:rsid w:val="00CA7D85"/>
    <w:rsid w:val="00CA7EAA"/>
    <w:rsid w:val="00CA7FDD"/>
    <w:rsid w:val="00CB027E"/>
    <w:rsid w:val="00CB02E6"/>
    <w:rsid w:val="00CB0738"/>
    <w:rsid w:val="00CB0B26"/>
    <w:rsid w:val="00CB0F35"/>
    <w:rsid w:val="00CB0F6A"/>
    <w:rsid w:val="00CB10D6"/>
    <w:rsid w:val="00CB117A"/>
    <w:rsid w:val="00CB1652"/>
    <w:rsid w:val="00CB1703"/>
    <w:rsid w:val="00CB1EA8"/>
    <w:rsid w:val="00CB21BB"/>
    <w:rsid w:val="00CB2217"/>
    <w:rsid w:val="00CB2849"/>
    <w:rsid w:val="00CB28BD"/>
    <w:rsid w:val="00CB2C1E"/>
    <w:rsid w:val="00CB2F66"/>
    <w:rsid w:val="00CB319C"/>
    <w:rsid w:val="00CB3439"/>
    <w:rsid w:val="00CB3B7F"/>
    <w:rsid w:val="00CB3CB2"/>
    <w:rsid w:val="00CB419E"/>
    <w:rsid w:val="00CB4634"/>
    <w:rsid w:val="00CB471D"/>
    <w:rsid w:val="00CB5625"/>
    <w:rsid w:val="00CB572F"/>
    <w:rsid w:val="00CB57E3"/>
    <w:rsid w:val="00CB58B2"/>
    <w:rsid w:val="00CB58F9"/>
    <w:rsid w:val="00CB59D3"/>
    <w:rsid w:val="00CB5AEC"/>
    <w:rsid w:val="00CB6000"/>
    <w:rsid w:val="00CB6381"/>
    <w:rsid w:val="00CB680E"/>
    <w:rsid w:val="00CB6832"/>
    <w:rsid w:val="00CB72FF"/>
    <w:rsid w:val="00CB776C"/>
    <w:rsid w:val="00CB7C52"/>
    <w:rsid w:val="00CC09E6"/>
    <w:rsid w:val="00CC0B95"/>
    <w:rsid w:val="00CC0C96"/>
    <w:rsid w:val="00CC0D12"/>
    <w:rsid w:val="00CC0F5A"/>
    <w:rsid w:val="00CC0FFC"/>
    <w:rsid w:val="00CC1083"/>
    <w:rsid w:val="00CC14E7"/>
    <w:rsid w:val="00CC1C9A"/>
    <w:rsid w:val="00CC2465"/>
    <w:rsid w:val="00CC26F5"/>
    <w:rsid w:val="00CC2903"/>
    <w:rsid w:val="00CC2A6F"/>
    <w:rsid w:val="00CC2C12"/>
    <w:rsid w:val="00CC2FAE"/>
    <w:rsid w:val="00CC32C6"/>
    <w:rsid w:val="00CC332D"/>
    <w:rsid w:val="00CC3A3C"/>
    <w:rsid w:val="00CC3AC6"/>
    <w:rsid w:val="00CC4098"/>
    <w:rsid w:val="00CC4358"/>
    <w:rsid w:val="00CC4458"/>
    <w:rsid w:val="00CC4872"/>
    <w:rsid w:val="00CC49CA"/>
    <w:rsid w:val="00CC4B40"/>
    <w:rsid w:val="00CC52E6"/>
    <w:rsid w:val="00CC562C"/>
    <w:rsid w:val="00CC5F9F"/>
    <w:rsid w:val="00CC6246"/>
    <w:rsid w:val="00CC67CC"/>
    <w:rsid w:val="00CC6E22"/>
    <w:rsid w:val="00CC70D9"/>
    <w:rsid w:val="00CC720E"/>
    <w:rsid w:val="00CC753B"/>
    <w:rsid w:val="00CC7909"/>
    <w:rsid w:val="00CC7DC9"/>
    <w:rsid w:val="00CC7F15"/>
    <w:rsid w:val="00CD03FF"/>
    <w:rsid w:val="00CD046F"/>
    <w:rsid w:val="00CD084F"/>
    <w:rsid w:val="00CD08BE"/>
    <w:rsid w:val="00CD0903"/>
    <w:rsid w:val="00CD097A"/>
    <w:rsid w:val="00CD0994"/>
    <w:rsid w:val="00CD0B60"/>
    <w:rsid w:val="00CD0FD4"/>
    <w:rsid w:val="00CD192F"/>
    <w:rsid w:val="00CD196C"/>
    <w:rsid w:val="00CD1E3B"/>
    <w:rsid w:val="00CD2302"/>
    <w:rsid w:val="00CD237B"/>
    <w:rsid w:val="00CD2615"/>
    <w:rsid w:val="00CD3337"/>
    <w:rsid w:val="00CD3A1B"/>
    <w:rsid w:val="00CD3AE5"/>
    <w:rsid w:val="00CD404A"/>
    <w:rsid w:val="00CD46EA"/>
    <w:rsid w:val="00CD4E75"/>
    <w:rsid w:val="00CD4E93"/>
    <w:rsid w:val="00CD57B2"/>
    <w:rsid w:val="00CD5D35"/>
    <w:rsid w:val="00CD6141"/>
    <w:rsid w:val="00CD6242"/>
    <w:rsid w:val="00CD66E5"/>
    <w:rsid w:val="00CD6731"/>
    <w:rsid w:val="00CD6973"/>
    <w:rsid w:val="00CD6DDD"/>
    <w:rsid w:val="00CD6E5F"/>
    <w:rsid w:val="00CD7374"/>
    <w:rsid w:val="00CD7766"/>
    <w:rsid w:val="00CD785B"/>
    <w:rsid w:val="00CE0935"/>
    <w:rsid w:val="00CE0AF2"/>
    <w:rsid w:val="00CE105F"/>
    <w:rsid w:val="00CE130C"/>
    <w:rsid w:val="00CE1590"/>
    <w:rsid w:val="00CE165C"/>
    <w:rsid w:val="00CE1FE0"/>
    <w:rsid w:val="00CE21B9"/>
    <w:rsid w:val="00CE23A6"/>
    <w:rsid w:val="00CE2520"/>
    <w:rsid w:val="00CE2ADA"/>
    <w:rsid w:val="00CE2C3E"/>
    <w:rsid w:val="00CE2CC8"/>
    <w:rsid w:val="00CE31C5"/>
    <w:rsid w:val="00CE3219"/>
    <w:rsid w:val="00CE3902"/>
    <w:rsid w:val="00CE3AEE"/>
    <w:rsid w:val="00CE3ECB"/>
    <w:rsid w:val="00CE42B4"/>
    <w:rsid w:val="00CE436F"/>
    <w:rsid w:val="00CE46B7"/>
    <w:rsid w:val="00CE4E20"/>
    <w:rsid w:val="00CE51D6"/>
    <w:rsid w:val="00CE5608"/>
    <w:rsid w:val="00CE5710"/>
    <w:rsid w:val="00CE5949"/>
    <w:rsid w:val="00CE5DFD"/>
    <w:rsid w:val="00CE6B31"/>
    <w:rsid w:val="00CE6BE0"/>
    <w:rsid w:val="00CE75AB"/>
    <w:rsid w:val="00CE76D0"/>
    <w:rsid w:val="00CE77E5"/>
    <w:rsid w:val="00CE7A23"/>
    <w:rsid w:val="00CF0018"/>
    <w:rsid w:val="00CF00F3"/>
    <w:rsid w:val="00CF0992"/>
    <w:rsid w:val="00CF0C78"/>
    <w:rsid w:val="00CF0E00"/>
    <w:rsid w:val="00CF14DA"/>
    <w:rsid w:val="00CF170E"/>
    <w:rsid w:val="00CF234C"/>
    <w:rsid w:val="00CF25A3"/>
    <w:rsid w:val="00CF2776"/>
    <w:rsid w:val="00CF29D6"/>
    <w:rsid w:val="00CF2B46"/>
    <w:rsid w:val="00CF2DCF"/>
    <w:rsid w:val="00CF2EF9"/>
    <w:rsid w:val="00CF3012"/>
    <w:rsid w:val="00CF32DD"/>
    <w:rsid w:val="00CF33EA"/>
    <w:rsid w:val="00CF33F1"/>
    <w:rsid w:val="00CF347B"/>
    <w:rsid w:val="00CF3681"/>
    <w:rsid w:val="00CF3B43"/>
    <w:rsid w:val="00CF4280"/>
    <w:rsid w:val="00CF4599"/>
    <w:rsid w:val="00CF4634"/>
    <w:rsid w:val="00CF4771"/>
    <w:rsid w:val="00CF48A5"/>
    <w:rsid w:val="00CF4BE0"/>
    <w:rsid w:val="00CF53C2"/>
    <w:rsid w:val="00CF574B"/>
    <w:rsid w:val="00CF6561"/>
    <w:rsid w:val="00CF65F2"/>
    <w:rsid w:val="00CF6BAB"/>
    <w:rsid w:val="00CF7036"/>
    <w:rsid w:val="00CF773C"/>
    <w:rsid w:val="00CF7762"/>
    <w:rsid w:val="00D00A05"/>
    <w:rsid w:val="00D015FD"/>
    <w:rsid w:val="00D019D8"/>
    <w:rsid w:val="00D01A01"/>
    <w:rsid w:val="00D01AE5"/>
    <w:rsid w:val="00D02CC8"/>
    <w:rsid w:val="00D0309D"/>
    <w:rsid w:val="00D03255"/>
    <w:rsid w:val="00D03788"/>
    <w:rsid w:val="00D0387E"/>
    <w:rsid w:val="00D03C63"/>
    <w:rsid w:val="00D03E72"/>
    <w:rsid w:val="00D049B3"/>
    <w:rsid w:val="00D04A66"/>
    <w:rsid w:val="00D04A8A"/>
    <w:rsid w:val="00D04DDB"/>
    <w:rsid w:val="00D04F3C"/>
    <w:rsid w:val="00D053D4"/>
    <w:rsid w:val="00D05710"/>
    <w:rsid w:val="00D0588E"/>
    <w:rsid w:val="00D0661D"/>
    <w:rsid w:val="00D06AAB"/>
    <w:rsid w:val="00D06AD9"/>
    <w:rsid w:val="00D06C4B"/>
    <w:rsid w:val="00D06DF2"/>
    <w:rsid w:val="00D07034"/>
    <w:rsid w:val="00D07099"/>
    <w:rsid w:val="00D072ED"/>
    <w:rsid w:val="00D0773B"/>
    <w:rsid w:val="00D07928"/>
    <w:rsid w:val="00D07D12"/>
    <w:rsid w:val="00D07E0C"/>
    <w:rsid w:val="00D07EF0"/>
    <w:rsid w:val="00D10082"/>
    <w:rsid w:val="00D101F5"/>
    <w:rsid w:val="00D10AAE"/>
    <w:rsid w:val="00D10B75"/>
    <w:rsid w:val="00D10C6A"/>
    <w:rsid w:val="00D10E05"/>
    <w:rsid w:val="00D10EEF"/>
    <w:rsid w:val="00D11153"/>
    <w:rsid w:val="00D11198"/>
    <w:rsid w:val="00D1175E"/>
    <w:rsid w:val="00D11FD5"/>
    <w:rsid w:val="00D12413"/>
    <w:rsid w:val="00D12623"/>
    <w:rsid w:val="00D12742"/>
    <w:rsid w:val="00D1337F"/>
    <w:rsid w:val="00D134EB"/>
    <w:rsid w:val="00D135C6"/>
    <w:rsid w:val="00D13611"/>
    <w:rsid w:val="00D1364D"/>
    <w:rsid w:val="00D1394E"/>
    <w:rsid w:val="00D1457A"/>
    <w:rsid w:val="00D145EE"/>
    <w:rsid w:val="00D1488A"/>
    <w:rsid w:val="00D14919"/>
    <w:rsid w:val="00D14DA3"/>
    <w:rsid w:val="00D14EFA"/>
    <w:rsid w:val="00D15235"/>
    <w:rsid w:val="00D15C51"/>
    <w:rsid w:val="00D161E6"/>
    <w:rsid w:val="00D16953"/>
    <w:rsid w:val="00D16B3C"/>
    <w:rsid w:val="00D16BE0"/>
    <w:rsid w:val="00D16C57"/>
    <w:rsid w:val="00D16D47"/>
    <w:rsid w:val="00D17B0F"/>
    <w:rsid w:val="00D17B22"/>
    <w:rsid w:val="00D17CBE"/>
    <w:rsid w:val="00D20064"/>
    <w:rsid w:val="00D206B7"/>
    <w:rsid w:val="00D206E0"/>
    <w:rsid w:val="00D20963"/>
    <w:rsid w:val="00D20B27"/>
    <w:rsid w:val="00D20E22"/>
    <w:rsid w:val="00D20F3A"/>
    <w:rsid w:val="00D214F0"/>
    <w:rsid w:val="00D21533"/>
    <w:rsid w:val="00D2171F"/>
    <w:rsid w:val="00D21794"/>
    <w:rsid w:val="00D21970"/>
    <w:rsid w:val="00D219CB"/>
    <w:rsid w:val="00D21C3F"/>
    <w:rsid w:val="00D21CB5"/>
    <w:rsid w:val="00D21E61"/>
    <w:rsid w:val="00D21F3A"/>
    <w:rsid w:val="00D22161"/>
    <w:rsid w:val="00D222C2"/>
    <w:rsid w:val="00D22C01"/>
    <w:rsid w:val="00D22C57"/>
    <w:rsid w:val="00D234B7"/>
    <w:rsid w:val="00D23564"/>
    <w:rsid w:val="00D235D3"/>
    <w:rsid w:val="00D2363E"/>
    <w:rsid w:val="00D23863"/>
    <w:rsid w:val="00D243B6"/>
    <w:rsid w:val="00D24453"/>
    <w:rsid w:val="00D244FF"/>
    <w:rsid w:val="00D249AE"/>
    <w:rsid w:val="00D24C6F"/>
    <w:rsid w:val="00D251B2"/>
    <w:rsid w:val="00D25C41"/>
    <w:rsid w:val="00D26058"/>
    <w:rsid w:val="00D263C3"/>
    <w:rsid w:val="00D2661E"/>
    <w:rsid w:val="00D26EAC"/>
    <w:rsid w:val="00D26F2E"/>
    <w:rsid w:val="00D2740C"/>
    <w:rsid w:val="00D27909"/>
    <w:rsid w:val="00D27C53"/>
    <w:rsid w:val="00D27E1B"/>
    <w:rsid w:val="00D3022C"/>
    <w:rsid w:val="00D30322"/>
    <w:rsid w:val="00D30698"/>
    <w:rsid w:val="00D31028"/>
    <w:rsid w:val="00D31091"/>
    <w:rsid w:val="00D31A33"/>
    <w:rsid w:val="00D31A74"/>
    <w:rsid w:val="00D31CCB"/>
    <w:rsid w:val="00D31FB2"/>
    <w:rsid w:val="00D3233E"/>
    <w:rsid w:val="00D329F9"/>
    <w:rsid w:val="00D32BB8"/>
    <w:rsid w:val="00D331D3"/>
    <w:rsid w:val="00D332B0"/>
    <w:rsid w:val="00D33C8C"/>
    <w:rsid w:val="00D33D9A"/>
    <w:rsid w:val="00D3434E"/>
    <w:rsid w:val="00D347B3"/>
    <w:rsid w:val="00D34836"/>
    <w:rsid w:val="00D350D5"/>
    <w:rsid w:val="00D35449"/>
    <w:rsid w:val="00D354BC"/>
    <w:rsid w:val="00D35746"/>
    <w:rsid w:val="00D35F5D"/>
    <w:rsid w:val="00D368DC"/>
    <w:rsid w:val="00D368EB"/>
    <w:rsid w:val="00D36A29"/>
    <w:rsid w:val="00D36A84"/>
    <w:rsid w:val="00D36AD7"/>
    <w:rsid w:val="00D3705E"/>
    <w:rsid w:val="00D371C6"/>
    <w:rsid w:val="00D3751B"/>
    <w:rsid w:val="00D3789F"/>
    <w:rsid w:val="00D379C9"/>
    <w:rsid w:val="00D37B3A"/>
    <w:rsid w:val="00D40093"/>
    <w:rsid w:val="00D40332"/>
    <w:rsid w:val="00D40584"/>
    <w:rsid w:val="00D40598"/>
    <w:rsid w:val="00D40DDB"/>
    <w:rsid w:val="00D40E8B"/>
    <w:rsid w:val="00D40F2C"/>
    <w:rsid w:val="00D40FC2"/>
    <w:rsid w:val="00D41070"/>
    <w:rsid w:val="00D41A01"/>
    <w:rsid w:val="00D41D2B"/>
    <w:rsid w:val="00D422A3"/>
    <w:rsid w:val="00D427DD"/>
    <w:rsid w:val="00D429D9"/>
    <w:rsid w:val="00D42F63"/>
    <w:rsid w:val="00D43653"/>
    <w:rsid w:val="00D43725"/>
    <w:rsid w:val="00D44607"/>
    <w:rsid w:val="00D44781"/>
    <w:rsid w:val="00D44F0D"/>
    <w:rsid w:val="00D45A70"/>
    <w:rsid w:val="00D45B9E"/>
    <w:rsid w:val="00D45E63"/>
    <w:rsid w:val="00D45FEA"/>
    <w:rsid w:val="00D4637B"/>
    <w:rsid w:val="00D469B0"/>
    <w:rsid w:val="00D46A90"/>
    <w:rsid w:val="00D4703B"/>
    <w:rsid w:val="00D47A63"/>
    <w:rsid w:val="00D47A9C"/>
    <w:rsid w:val="00D5089B"/>
    <w:rsid w:val="00D508D4"/>
    <w:rsid w:val="00D50B78"/>
    <w:rsid w:val="00D50CAB"/>
    <w:rsid w:val="00D50FF1"/>
    <w:rsid w:val="00D510DA"/>
    <w:rsid w:val="00D51570"/>
    <w:rsid w:val="00D51FD2"/>
    <w:rsid w:val="00D5207E"/>
    <w:rsid w:val="00D523BB"/>
    <w:rsid w:val="00D52AEB"/>
    <w:rsid w:val="00D53095"/>
    <w:rsid w:val="00D5342B"/>
    <w:rsid w:val="00D53A2B"/>
    <w:rsid w:val="00D5401B"/>
    <w:rsid w:val="00D54E3C"/>
    <w:rsid w:val="00D5524F"/>
    <w:rsid w:val="00D556A1"/>
    <w:rsid w:val="00D55E0B"/>
    <w:rsid w:val="00D56A17"/>
    <w:rsid w:val="00D56F92"/>
    <w:rsid w:val="00D571B7"/>
    <w:rsid w:val="00D57AAA"/>
    <w:rsid w:val="00D57AFA"/>
    <w:rsid w:val="00D57BFC"/>
    <w:rsid w:val="00D600A0"/>
    <w:rsid w:val="00D60123"/>
    <w:rsid w:val="00D602C4"/>
    <w:rsid w:val="00D602EA"/>
    <w:rsid w:val="00D60396"/>
    <w:rsid w:val="00D6062D"/>
    <w:rsid w:val="00D60879"/>
    <w:rsid w:val="00D60A7A"/>
    <w:rsid w:val="00D60C4C"/>
    <w:rsid w:val="00D60DAB"/>
    <w:rsid w:val="00D60EA0"/>
    <w:rsid w:val="00D6122C"/>
    <w:rsid w:val="00D6194E"/>
    <w:rsid w:val="00D61D1B"/>
    <w:rsid w:val="00D6256E"/>
    <w:rsid w:val="00D62D99"/>
    <w:rsid w:val="00D62E3C"/>
    <w:rsid w:val="00D6330C"/>
    <w:rsid w:val="00D63367"/>
    <w:rsid w:val="00D63479"/>
    <w:rsid w:val="00D6361E"/>
    <w:rsid w:val="00D638A2"/>
    <w:rsid w:val="00D64730"/>
    <w:rsid w:val="00D64845"/>
    <w:rsid w:val="00D649BB"/>
    <w:rsid w:val="00D64BAE"/>
    <w:rsid w:val="00D64EFA"/>
    <w:rsid w:val="00D651C1"/>
    <w:rsid w:val="00D664B8"/>
    <w:rsid w:val="00D666D8"/>
    <w:rsid w:val="00D66A4F"/>
    <w:rsid w:val="00D66A67"/>
    <w:rsid w:val="00D66BD0"/>
    <w:rsid w:val="00D67F32"/>
    <w:rsid w:val="00D700CE"/>
    <w:rsid w:val="00D701EF"/>
    <w:rsid w:val="00D710BA"/>
    <w:rsid w:val="00D7154E"/>
    <w:rsid w:val="00D71999"/>
    <w:rsid w:val="00D71BDA"/>
    <w:rsid w:val="00D71E42"/>
    <w:rsid w:val="00D725C9"/>
    <w:rsid w:val="00D72B70"/>
    <w:rsid w:val="00D72D43"/>
    <w:rsid w:val="00D72D73"/>
    <w:rsid w:val="00D72FA3"/>
    <w:rsid w:val="00D73429"/>
    <w:rsid w:val="00D7359B"/>
    <w:rsid w:val="00D737C3"/>
    <w:rsid w:val="00D73BC4"/>
    <w:rsid w:val="00D7418E"/>
    <w:rsid w:val="00D74780"/>
    <w:rsid w:val="00D7484B"/>
    <w:rsid w:val="00D7487A"/>
    <w:rsid w:val="00D74CBB"/>
    <w:rsid w:val="00D74E4C"/>
    <w:rsid w:val="00D74F39"/>
    <w:rsid w:val="00D74F4A"/>
    <w:rsid w:val="00D75278"/>
    <w:rsid w:val="00D752B2"/>
    <w:rsid w:val="00D753F7"/>
    <w:rsid w:val="00D75723"/>
    <w:rsid w:val="00D75D07"/>
    <w:rsid w:val="00D75F1F"/>
    <w:rsid w:val="00D76166"/>
    <w:rsid w:val="00D761D4"/>
    <w:rsid w:val="00D7678F"/>
    <w:rsid w:val="00D76895"/>
    <w:rsid w:val="00D76998"/>
    <w:rsid w:val="00D769DC"/>
    <w:rsid w:val="00D76A0B"/>
    <w:rsid w:val="00D7702C"/>
    <w:rsid w:val="00D779C9"/>
    <w:rsid w:val="00D77D16"/>
    <w:rsid w:val="00D77D5A"/>
    <w:rsid w:val="00D77DAC"/>
    <w:rsid w:val="00D77DAF"/>
    <w:rsid w:val="00D77FE2"/>
    <w:rsid w:val="00D8010D"/>
    <w:rsid w:val="00D8044D"/>
    <w:rsid w:val="00D80817"/>
    <w:rsid w:val="00D808CC"/>
    <w:rsid w:val="00D80C67"/>
    <w:rsid w:val="00D81AE0"/>
    <w:rsid w:val="00D82AA4"/>
    <w:rsid w:val="00D82AB9"/>
    <w:rsid w:val="00D82B1C"/>
    <w:rsid w:val="00D82E43"/>
    <w:rsid w:val="00D82FFB"/>
    <w:rsid w:val="00D83454"/>
    <w:rsid w:val="00D8353E"/>
    <w:rsid w:val="00D8372B"/>
    <w:rsid w:val="00D83BD6"/>
    <w:rsid w:val="00D83E9E"/>
    <w:rsid w:val="00D841DB"/>
    <w:rsid w:val="00D84338"/>
    <w:rsid w:val="00D843ED"/>
    <w:rsid w:val="00D846E8"/>
    <w:rsid w:val="00D846EF"/>
    <w:rsid w:val="00D85B88"/>
    <w:rsid w:val="00D85CB8"/>
    <w:rsid w:val="00D85D8C"/>
    <w:rsid w:val="00D86085"/>
    <w:rsid w:val="00D86269"/>
    <w:rsid w:val="00D86296"/>
    <w:rsid w:val="00D86458"/>
    <w:rsid w:val="00D86708"/>
    <w:rsid w:val="00D86FEA"/>
    <w:rsid w:val="00D87A71"/>
    <w:rsid w:val="00D87F2F"/>
    <w:rsid w:val="00D9008D"/>
    <w:rsid w:val="00D90725"/>
    <w:rsid w:val="00D909CE"/>
    <w:rsid w:val="00D90C19"/>
    <w:rsid w:val="00D91064"/>
    <w:rsid w:val="00D919C8"/>
    <w:rsid w:val="00D91EA6"/>
    <w:rsid w:val="00D929AA"/>
    <w:rsid w:val="00D92DE5"/>
    <w:rsid w:val="00D93D55"/>
    <w:rsid w:val="00D93F1E"/>
    <w:rsid w:val="00D94502"/>
    <w:rsid w:val="00D9495E"/>
    <w:rsid w:val="00D94A2D"/>
    <w:rsid w:val="00D94A8E"/>
    <w:rsid w:val="00D95067"/>
    <w:rsid w:val="00D9545D"/>
    <w:rsid w:val="00D95AE5"/>
    <w:rsid w:val="00D95B49"/>
    <w:rsid w:val="00D95E23"/>
    <w:rsid w:val="00D96000"/>
    <w:rsid w:val="00D96218"/>
    <w:rsid w:val="00D96964"/>
    <w:rsid w:val="00D96A07"/>
    <w:rsid w:val="00D96D7A"/>
    <w:rsid w:val="00D96F48"/>
    <w:rsid w:val="00D973BC"/>
    <w:rsid w:val="00D976C7"/>
    <w:rsid w:val="00D97747"/>
    <w:rsid w:val="00D97866"/>
    <w:rsid w:val="00D97DF5"/>
    <w:rsid w:val="00D97FF6"/>
    <w:rsid w:val="00DA0FFB"/>
    <w:rsid w:val="00DA1250"/>
    <w:rsid w:val="00DA12DD"/>
    <w:rsid w:val="00DA1AE4"/>
    <w:rsid w:val="00DA1D93"/>
    <w:rsid w:val="00DA1FA8"/>
    <w:rsid w:val="00DA2093"/>
    <w:rsid w:val="00DA226F"/>
    <w:rsid w:val="00DA246C"/>
    <w:rsid w:val="00DA2651"/>
    <w:rsid w:val="00DA2799"/>
    <w:rsid w:val="00DA29E2"/>
    <w:rsid w:val="00DA2B54"/>
    <w:rsid w:val="00DA2DBD"/>
    <w:rsid w:val="00DA3149"/>
    <w:rsid w:val="00DA3274"/>
    <w:rsid w:val="00DA35A7"/>
    <w:rsid w:val="00DA394C"/>
    <w:rsid w:val="00DA3A5B"/>
    <w:rsid w:val="00DA3AA2"/>
    <w:rsid w:val="00DA3ECE"/>
    <w:rsid w:val="00DA4093"/>
    <w:rsid w:val="00DA430E"/>
    <w:rsid w:val="00DA44DC"/>
    <w:rsid w:val="00DA4CC5"/>
    <w:rsid w:val="00DA5272"/>
    <w:rsid w:val="00DA54A4"/>
    <w:rsid w:val="00DA5546"/>
    <w:rsid w:val="00DA5669"/>
    <w:rsid w:val="00DA60F6"/>
    <w:rsid w:val="00DA63A5"/>
    <w:rsid w:val="00DA6573"/>
    <w:rsid w:val="00DA7190"/>
    <w:rsid w:val="00DA7327"/>
    <w:rsid w:val="00DA74CD"/>
    <w:rsid w:val="00DA7906"/>
    <w:rsid w:val="00DA7B4C"/>
    <w:rsid w:val="00DB039E"/>
    <w:rsid w:val="00DB0B58"/>
    <w:rsid w:val="00DB0BE2"/>
    <w:rsid w:val="00DB0D7A"/>
    <w:rsid w:val="00DB0F88"/>
    <w:rsid w:val="00DB0FA6"/>
    <w:rsid w:val="00DB130E"/>
    <w:rsid w:val="00DB156E"/>
    <w:rsid w:val="00DB1683"/>
    <w:rsid w:val="00DB193A"/>
    <w:rsid w:val="00DB1CEE"/>
    <w:rsid w:val="00DB2013"/>
    <w:rsid w:val="00DB208E"/>
    <w:rsid w:val="00DB2190"/>
    <w:rsid w:val="00DB224E"/>
    <w:rsid w:val="00DB2C20"/>
    <w:rsid w:val="00DB32AB"/>
    <w:rsid w:val="00DB3392"/>
    <w:rsid w:val="00DB3749"/>
    <w:rsid w:val="00DB398F"/>
    <w:rsid w:val="00DB3A12"/>
    <w:rsid w:val="00DB4207"/>
    <w:rsid w:val="00DB474E"/>
    <w:rsid w:val="00DB4781"/>
    <w:rsid w:val="00DB4D58"/>
    <w:rsid w:val="00DB4DE9"/>
    <w:rsid w:val="00DB58AD"/>
    <w:rsid w:val="00DB598B"/>
    <w:rsid w:val="00DB599D"/>
    <w:rsid w:val="00DB5A4A"/>
    <w:rsid w:val="00DB5FC2"/>
    <w:rsid w:val="00DB6031"/>
    <w:rsid w:val="00DB65C4"/>
    <w:rsid w:val="00DB68A6"/>
    <w:rsid w:val="00DB6CF3"/>
    <w:rsid w:val="00DB6EFF"/>
    <w:rsid w:val="00DB6FA4"/>
    <w:rsid w:val="00DB704C"/>
    <w:rsid w:val="00DB7209"/>
    <w:rsid w:val="00DB73B9"/>
    <w:rsid w:val="00DB7513"/>
    <w:rsid w:val="00DB76AE"/>
    <w:rsid w:val="00DB76C4"/>
    <w:rsid w:val="00DB7C81"/>
    <w:rsid w:val="00DC0535"/>
    <w:rsid w:val="00DC0743"/>
    <w:rsid w:val="00DC08F2"/>
    <w:rsid w:val="00DC0950"/>
    <w:rsid w:val="00DC1436"/>
    <w:rsid w:val="00DC196A"/>
    <w:rsid w:val="00DC1BC6"/>
    <w:rsid w:val="00DC2259"/>
    <w:rsid w:val="00DC2684"/>
    <w:rsid w:val="00DC26C5"/>
    <w:rsid w:val="00DC2EBA"/>
    <w:rsid w:val="00DC323A"/>
    <w:rsid w:val="00DC3469"/>
    <w:rsid w:val="00DC37AA"/>
    <w:rsid w:val="00DC3833"/>
    <w:rsid w:val="00DC3F8D"/>
    <w:rsid w:val="00DC4817"/>
    <w:rsid w:val="00DC4874"/>
    <w:rsid w:val="00DC4A2F"/>
    <w:rsid w:val="00DC51C1"/>
    <w:rsid w:val="00DC52B8"/>
    <w:rsid w:val="00DC533A"/>
    <w:rsid w:val="00DC551F"/>
    <w:rsid w:val="00DC5A31"/>
    <w:rsid w:val="00DC5B15"/>
    <w:rsid w:val="00DC5C08"/>
    <w:rsid w:val="00DC5C39"/>
    <w:rsid w:val="00DC5E61"/>
    <w:rsid w:val="00DC5ED4"/>
    <w:rsid w:val="00DC60CB"/>
    <w:rsid w:val="00DC6183"/>
    <w:rsid w:val="00DC61ED"/>
    <w:rsid w:val="00DC6982"/>
    <w:rsid w:val="00DC736D"/>
    <w:rsid w:val="00DC73F7"/>
    <w:rsid w:val="00DC7CC8"/>
    <w:rsid w:val="00DC7E94"/>
    <w:rsid w:val="00DD034A"/>
    <w:rsid w:val="00DD054C"/>
    <w:rsid w:val="00DD0849"/>
    <w:rsid w:val="00DD0A4B"/>
    <w:rsid w:val="00DD0EBB"/>
    <w:rsid w:val="00DD1562"/>
    <w:rsid w:val="00DD17A6"/>
    <w:rsid w:val="00DD1DE1"/>
    <w:rsid w:val="00DD1E2E"/>
    <w:rsid w:val="00DD1F46"/>
    <w:rsid w:val="00DD1FD6"/>
    <w:rsid w:val="00DD2027"/>
    <w:rsid w:val="00DD20EF"/>
    <w:rsid w:val="00DD214B"/>
    <w:rsid w:val="00DD29AF"/>
    <w:rsid w:val="00DD2BB5"/>
    <w:rsid w:val="00DD2BDF"/>
    <w:rsid w:val="00DD2C7F"/>
    <w:rsid w:val="00DD2E1A"/>
    <w:rsid w:val="00DD2F58"/>
    <w:rsid w:val="00DD2F5E"/>
    <w:rsid w:val="00DD367D"/>
    <w:rsid w:val="00DD3816"/>
    <w:rsid w:val="00DD3A33"/>
    <w:rsid w:val="00DD3B7E"/>
    <w:rsid w:val="00DD3EFE"/>
    <w:rsid w:val="00DD4786"/>
    <w:rsid w:val="00DD49E2"/>
    <w:rsid w:val="00DD4B69"/>
    <w:rsid w:val="00DD516A"/>
    <w:rsid w:val="00DD5259"/>
    <w:rsid w:val="00DD659E"/>
    <w:rsid w:val="00DD667D"/>
    <w:rsid w:val="00DD6C74"/>
    <w:rsid w:val="00DD6F39"/>
    <w:rsid w:val="00DD76FB"/>
    <w:rsid w:val="00DD77D2"/>
    <w:rsid w:val="00DD7B55"/>
    <w:rsid w:val="00DD7BCB"/>
    <w:rsid w:val="00DD7C9B"/>
    <w:rsid w:val="00DD7E77"/>
    <w:rsid w:val="00DE00A9"/>
    <w:rsid w:val="00DE03CF"/>
    <w:rsid w:val="00DE07C8"/>
    <w:rsid w:val="00DE08A3"/>
    <w:rsid w:val="00DE0DE5"/>
    <w:rsid w:val="00DE0EC5"/>
    <w:rsid w:val="00DE10D9"/>
    <w:rsid w:val="00DE13D2"/>
    <w:rsid w:val="00DE1488"/>
    <w:rsid w:val="00DE25CA"/>
    <w:rsid w:val="00DE2647"/>
    <w:rsid w:val="00DE26ED"/>
    <w:rsid w:val="00DE27DD"/>
    <w:rsid w:val="00DE2B34"/>
    <w:rsid w:val="00DE3061"/>
    <w:rsid w:val="00DE34F5"/>
    <w:rsid w:val="00DE3657"/>
    <w:rsid w:val="00DE404A"/>
    <w:rsid w:val="00DE4327"/>
    <w:rsid w:val="00DE43EE"/>
    <w:rsid w:val="00DE4405"/>
    <w:rsid w:val="00DE4AE3"/>
    <w:rsid w:val="00DE561B"/>
    <w:rsid w:val="00DE5751"/>
    <w:rsid w:val="00DE5815"/>
    <w:rsid w:val="00DE6EF5"/>
    <w:rsid w:val="00DE7555"/>
    <w:rsid w:val="00DE792E"/>
    <w:rsid w:val="00DE7D04"/>
    <w:rsid w:val="00DF01D3"/>
    <w:rsid w:val="00DF040B"/>
    <w:rsid w:val="00DF04DC"/>
    <w:rsid w:val="00DF0552"/>
    <w:rsid w:val="00DF0F9A"/>
    <w:rsid w:val="00DF101C"/>
    <w:rsid w:val="00DF13A1"/>
    <w:rsid w:val="00DF14FA"/>
    <w:rsid w:val="00DF1DDF"/>
    <w:rsid w:val="00DF1E27"/>
    <w:rsid w:val="00DF25FA"/>
    <w:rsid w:val="00DF2CDA"/>
    <w:rsid w:val="00DF2ECC"/>
    <w:rsid w:val="00DF2F87"/>
    <w:rsid w:val="00DF3012"/>
    <w:rsid w:val="00DF3711"/>
    <w:rsid w:val="00DF3F5C"/>
    <w:rsid w:val="00DF403D"/>
    <w:rsid w:val="00DF47C4"/>
    <w:rsid w:val="00DF4861"/>
    <w:rsid w:val="00DF4932"/>
    <w:rsid w:val="00DF494B"/>
    <w:rsid w:val="00DF4E0F"/>
    <w:rsid w:val="00DF4E7C"/>
    <w:rsid w:val="00DF4FEE"/>
    <w:rsid w:val="00DF520D"/>
    <w:rsid w:val="00DF5264"/>
    <w:rsid w:val="00DF53FF"/>
    <w:rsid w:val="00DF59AA"/>
    <w:rsid w:val="00DF5B4E"/>
    <w:rsid w:val="00DF5BF1"/>
    <w:rsid w:val="00DF5F73"/>
    <w:rsid w:val="00DF6745"/>
    <w:rsid w:val="00DF68D3"/>
    <w:rsid w:val="00DF6900"/>
    <w:rsid w:val="00DF69A4"/>
    <w:rsid w:val="00DF69E4"/>
    <w:rsid w:val="00DF6B69"/>
    <w:rsid w:val="00DF6EBB"/>
    <w:rsid w:val="00DF744C"/>
    <w:rsid w:val="00DF7687"/>
    <w:rsid w:val="00DF7DBD"/>
    <w:rsid w:val="00DF7DF8"/>
    <w:rsid w:val="00E00145"/>
    <w:rsid w:val="00E00E29"/>
    <w:rsid w:val="00E00EDB"/>
    <w:rsid w:val="00E018AA"/>
    <w:rsid w:val="00E01FB8"/>
    <w:rsid w:val="00E02943"/>
    <w:rsid w:val="00E03075"/>
    <w:rsid w:val="00E03132"/>
    <w:rsid w:val="00E033FC"/>
    <w:rsid w:val="00E04068"/>
    <w:rsid w:val="00E04472"/>
    <w:rsid w:val="00E04753"/>
    <w:rsid w:val="00E0477F"/>
    <w:rsid w:val="00E04868"/>
    <w:rsid w:val="00E04E83"/>
    <w:rsid w:val="00E050BC"/>
    <w:rsid w:val="00E05F81"/>
    <w:rsid w:val="00E05FBF"/>
    <w:rsid w:val="00E0675E"/>
    <w:rsid w:val="00E070FE"/>
    <w:rsid w:val="00E071A5"/>
    <w:rsid w:val="00E0741B"/>
    <w:rsid w:val="00E075AA"/>
    <w:rsid w:val="00E07601"/>
    <w:rsid w:val="00E1000E"/>
    <w:rsid w:val="00E100C8"/>
    <w:rsid w:val="00E10450"/>
    <w:rsid w:val="00E10A2A"/>
    <w:rsid w:val="00E117AE"/>
    <w:rsid w:val="00E117DE"/>
    <w:rsid w:val="00E11A3C"/>
    <w:rsid w:val="00E11CBB"/>
    <w:rsid w:val="00E11CE4"/>
    <w:rsid w:val="00E11E7A"/>
    <w:rsid w:val="00E127A8"/>
    <w:rsid w:val="00E12A1D"/>
    <w:rsid w:val="00E12F83"/>
    <w:rsid w:val="00E13110"/>
    <w:rsid w:val="00E131EB"/>
    <w:rsid w:val="00E1360C"/>
    <w:rsid w:val="00E13920"/>
    <w:rsid w:val="00E1400F"/>
    <w:rsid w:val="00E140E0"/>
    <w:rsid w:val="00E14924"/>
    <w:rsid w:val="00E14A9D"/>
    <w:rsid w:val="00E14AAB"/>
    <w:rsid w:val="00E14B7B"/>
    <w:rsid w:val="00E14BBB"/>
    <w:rsid w:val="00E14CDC"/>
    <w:rsid w:val="00E14DF0"/>
    <w:rsid w:val="00E155BE"/>
    <w:rsid w:val="00E157F0"/>
    <w:rsid w:val="00E15C6A"/>
    <w:rsid w:val="00E15EB0"/>
    <w:rsid w:val="00E166B5"/>
    <w:rsid w:val="00E167F3"/>
    <w:rsid w:val="00E169EE"/>
    <w:rsid w:val="00E16A8B"/>
    <w:rsid w:val="00E16CE1"/>
    <w:rsid w:val="00E16D7E"/>
    <w:rsid w:val="00E172E6"/>
    <w:rsid w:val="00E174A5"/>
    <w:rsid w:val="00E1754D"/>
    <w:rsid w:val="00E17592"/>
    <w:rsid w:val="00E17649"/>
    <w:rsid w:val="00E177F0"/>
    <w:rsid w:val="00E17B16"/>
    <w:rsid w:val="00E17E9D"/>
    <w:rsid w:val="00E2016A"/>
    <w:rsid w:val="00E2077B"/>
    <w:rsid w:val="00E20A26"/>
    <w:rsid w:val="00E22247"/>
    <w:rsid w:val="00E226E1"/>
    <w:rsid w:val="00E22741"/>
    <w:rsid w:val="00E227AD"/>
    <w:rsid w:val="00E22A0D"/>
    <w:rsid w:val="00E2308F"/>
    <w:rsid w:val="00E2341C"/>
    <w:rsid w:val="00E23631"/>
    <w:rsid w:val="00E240F1"/>
    <w:rsid w:val="00E2412A"/>
    <w:rsid w:val="00E241FF"/>
    <w:rsid w:val="00E242C8"/>
    <w:rsid w:val="00E242DA"/>
    <w:rsid w:val="00E2434B"/>
    <w:rsid w:val="00E2441E"/>
    <w:rsid w:val="00E2468A"/>
    <w:rsid w:val="00E2473C"/>
    <w:rsid w:val="00E24F4A"/>
    <w:rsid w:val="00E25010"/>
    <w:rsid w:val="00E257E7"/>
    <w:rsid w:val="00E259C1"/>
    <w:rsid w:val="00E25AAB"/>
    <w:rsid w:val="00E263DC"/>
    <w:rsid w:val="00E2683C"/>
    <w:rsid w:val="00E26AB5"/>
    <w:rsid w:val="00E26C54"/>
    <w:rsid w:val="00E276FE"/>
    <w:rsid w:val="00E2783F"/>
    <w:rsid w:val="00E27B1D"/>
    <w:rsid w:val="00E27B38"/>
    <w:rsid w:val="00E27D7F"/>
    <w:rsid w:val="00E27EA4"/>
    <w:rsid w:val="00E3004E"/>
    <w:rsid w:val="00E300AF"/>
    <w:rsid w:val="00E30103"/>
    <w:rsid w:val="00E302BE"/>
    <w:rsid w:val="00E31061"/>
    <w:rsid w:val="00E3116A"/>
    <w:rsid w:val="00E31363"/>
    <w:rsid w:val="00E313DC"/>
    <w:rsid w:val="00E314E2"/>
    <w:rsid w:val="00E31864"/>
    <w:rsid w:val="00E31FB1"/>
    <w:rsid w:val="00E322D1"/>
    <w:rsid w:val="00E32E0E"/>
    <w:rsid w:val="00E32FEE"/>
    <w:rsid w:val="00E33350"/>
    <w:rsid w:val="00E334E8"/>
    <w:rsid w:val="00E3350F"/>
    <w:rsid w:val="00E335CF"/>
    <w:rsid w:val="00E33C56"/>
    <w:rsid w:val="00E342DF"/>
    <w:rsid w:val="00E3455D"/>
    <w:rsid w:val="00E347FB"/>
    <w:rsid w:val="00E34FEE"/>
    <w:rsid w:val="00E355C1"/>
    <w:rsid w:val="00E3647D"/>
    <w:rsid w:val="00E37049"/>
    <w:rsid w:val="00E37D7C"/>
    <w:rsid w:val="00E40096"/>
    <w:rsid w:val="00E40660"/>
    <w:rsid w:val="00E406FC"/>
    <w:rsid w:val="00E408D5"/>
    <w:rsid w:val="00E40D00"/>
    <w:rsid w:val="00E4129C"/>
    <w:rsid w:val="00E41ACC"/>
    <w:rsid w:val="00E425E5"/>
    <w:rsid w:val="00E42C90"/>
    <w:rsid w:val="00E434E4"/>
    <w:rsid w:val="00E43842"/>
    <w:rsid w:val="00E43975"/>
    <w:rsid w:val="00E439E4"/>
    <w:rsid w:val="00E43E95"/>
    <w:rsid w:val="00E444FB"/>
    <w:rsid w:val="00E44D86"/>
    <w:rsid w:val="00E44EBB"/>
    <w:rsid w:val="00E4593E"/>
    <w:rsid w:val="00E45CCF"/>
    <w:rsid w:val="00E4617E"/>
    <w:rsid w:val="00E46576"/>
    <w:rsid w:val="00E467EC"/>
    <w:rsid w:val="00E468B5"/>
    <w:rsid w:val="00E46D10"/>
    <w:rsid w:val="00E46D33"/>
    <w:rsid w:val="00E470FD"/>
    <w:rsid w:val="00E47121"/>
    <w:rsid w:val="00E47DE8"/>
    <w:rsid w:val="00E50F04"/>
    <w:rsid w:val="00E5131B"/>
    <w:rsid w:val="00E5139F"/>
    <w:rsid w:val="00E519D8"/>
    <w:rsid w:val="00E51A4E"/>
    <w:rsid w:val="00E526BB"/>
    <w:rsid w:val="00E52EF3"/>
    <w:rsid w:val="00E52FA0"/>
    <w:rsid w:val="00E531FA"/>
    <w:rsid w:val="00E5330E"/>
    <w:rsid w:val="00E542D8"/>
    <w:rsid w:val="00E54460"/>
    <w:rsid w:val="00E5455A"/>
    <w:rsid w:val="00E54726"/>
    <w:rsid w:val="00E549AD"/>
    <w:rsid w:val="00E54BAC"/>
    <w:rsid w:val="00E54D1B"/>
    <w:rsid w:val="00E55825"/>
    <w:rsid w:val="00E55BDB"/>
    <w:rsid w:val="00E55ED1"/>
    <w:rsid w:val="00E5614A"/>
    <w:rsid w:val="00E5634E"/>
    <w:rsid w:val="00E56614"/>
    <w:rsid w:val="00E56740"/>
    <w:rsid w:val="00E56DC9"/>
    <w:rsid w:val="00E5717C"/>
    <w:rsid w:val="00E57371"/>
    <w:rsid w:val="00E5754A"/>
    <w:rsid w:val="00E57629"/>
    <w:rsid w:val="00E57B9E"/>
    <w:rsid w:val="00E57E54"/>
    <w:rsid w:val="00E604BD"/>
    <w:rsid w:val="00E60750"/>
    <w:rsid w:val="00E60F60"/>
    <w:rsid w:val="00E61239"/>
    <w:rsid w:val="00E6146E"/>
    <w:rsid w:val="00E615A7"/>
    <w:rsid w:val="00E62732"/>
    <w:rsid w:val="00E62902"/>
    <w:rsid w:val="00E62BFC"/>
    <w:rsid w:val="00E63238"/>
    <w:rsid w:val="00E63C4D"/>
    <w:rsid w:val="00E63D53"/>
    <w:rsid w:val="00E64150"/>
    <w:rsid w:val="00E645E5"/>
    <w:rsid w:val="00E64BB3"/>
    <w:rsid w:val="00E65683"/>
    <w:rsid w:val="00E6594D"/>
    <w:rsid w:val="00E65A13"/>
    <w:rsid w:val="00E65A63"/>
    <w:rsid w:val="00E65D7D"/>
    <w:rsid w:val="00E661C8"/>
    <w:rsid w:val="00E66681"/>
    <w:rsid w:val="00E666E5"/>
    <w:rsid w:val="00E66D00"/>
    <w:rsid w:val="00E66F93"/>
    <w:rsid w:val="00E67161"/>
    <w:rsid w:val="00E677ED"/>
    <w:rsid w:val="00E67886"/>
    <w:rsid w:val="00E67989"/>
    <w:rsid w:val="00E67A12"/>
    <w:rsid w:val="00E70632"/>
    <w:rsid w:val="00E70A8B"/>
    <w:rsid w:val="00E70BB4"/>
    <w:rsid w:val="00E712E4"/>
    <w:rsid w:val="00E7264A"/>
    <w:rsid w:val="00E7272A"/>
    <w:rsid w:val="00E73688"/>
    <w:rsid w:val="00E73962"/>
    <w:rsid w:val="00E73CF7"/>
    <w:rsid w:val="00E73F8E"/>
    <w:rsid w:val="00E74308"/>
    <w:rsid w:val="00E74455"/>
    <w:rsid w:val="00E7462D"/>
    <w:rsid w:val="00E74657"/>
    <w:rsid w:val="00E74658"/>
    <w:rsid w:val="00E75184"/>
    <w:rsid w:val="00E753ED"/>
    <w:rsid w:val="00E75490"/>
    <w:rsid w:val="00E75559"/>
    <w:rsid w:val="00E75EC9"/>
    <w:rsid w:val="00E7613E"/>
    <w:rsid w:val="00E76200"/>
    <w:rsid w:val="00E767C4"/>
    <w:rsid w:val="00E76A41"/>
    <w:rsid w:val="00E76B56"/>
    <w:rsid w:val="00E76E27"/>
    <w:rsid w:val="00E76E3A"/>
    <w:rsid w:val="00E770C9"/>
    <w:rsid w:val="00E77681"/>
    <w:rsid w:val="00E77D26"/>
    <w:rsid w:val="00E800D8"/>
    <w:rsid w:val="00E8021C"/>
    <w:rsid w:val="00E80ED8"/>
    <w:rsid w:val="00E812B0"/>
    <w:rsid w:val="00E81446"/>
    <w:rsid w:val="00E81570"/>
    <w:rsid w:val="00E815CA"/>
    <w:rsid w:val="00E816BE"/>
    <w:rsid w:val="00E81774"/>
    <w:rsid w:val="00E821F9"/>
    <w:rsid w:val="00E827FB"/>
    <w:rsid w:val="00E8285A"/>
    <w:rsid w:val="00E82B87"/>
    <w:rsid w:val="00E82FF6"/>
    <w:rsid w:val="00E834E2"/>
    <w:rsid w:val="00E8395F"/>
    <w:rsid w:val="00E83BBC"/>
    <w:rsid w:val="00E83CA7"/>
    <w:rsid w:val="00E84213"/>
    <w:rsid w:val="00E8458E"/>
    <w:rsid w:val="00E84783"/>
    <w:rsid w:val="00E8479B"/>
    <w:rsid w:val="00E84819"/>
    <w:rsid w:val="00E84987"/>
    <w:rsid w:val="00E84E87"/>
    <w:rsid w:val="00E84EDA"/>
    <w:rsid w:val="00E85262"/>
    <w:rsid w:val="00E855ED"/>
    <w:rsid w:val="00E85B19"/>
    <w:rsid w:val="00E85BAA"/>
    <w:rsid w:val="00E86890"/>
    <w:rsid w:val="00E86CB4"/>
    <w:rsid w:val="00E86EB9"/>
    <w:rsid w:val="00E87227"/>
    <w:rsid w:val="00E87453"/>
    <w:rsid w:val="00E87981"/>
    <w:rsid w:val="00E879AC"/>
    <w:rsid w:val="00E87B5B"/>
    <w:rsid w:val="00E87B82"/>
    <w:rsid w:val="00E90127"/>
    <w:rsid w:val="00E91076"/>
    <w:rsid w:val="00E9141F"/>
    <w:rsid w:val="00E91F91"/>
    <w:rsid w:val="00E920F6"/>
    <w:rsid w:val="00E934D3"/>
    <w:rsid w:val="00E93B12"/>
    <w:rsid w:val="00E941DE"/>
    <w:rsid w:val="00E946C9"/>
    <w:rsid w:val="00E95E4B"/>
    <w:rsid w:val="00E96034"/>
    <w:rsid w:val="00E96152"/>
    <w:rsid w:val="00E968DB"/>
    <w:rsid w:val="00E96A32"/>
    <w:rsid w:val="00E96D1C"/>
    <w:rsid w:val="00E97509"/>
    <w:rsid w:val="00E975E9"/>
    <w:rsid w:val="00E9794A"/>
    <w:rsid w:val="00E97D95"/>
    <w:rsid w:val="00EA0438"/>
    <w:rsid w:val="00EA055D"/>
    <w:rsid w:val="00EA0C89"/>
    <w:rsid w:val="00EA0EC4"/>
    <w:rsid w:val="00EA1356"/>
    <w:rsid w:val="00EA18C4"/>
    <w:rsid w:val="00EA196D"/>
    <w:rsid w:val="00EA19AF"/>
    <w:rsid w:val="00EA1CB2"/>
    <w:rsid w:val="00EA440E"/>
    <w:rsid w:val="00EA4595"/>
    <w:rsid w:val="00EA4CA3"/>
    <w:rsid w:val="00EA5198"/>
    <w:rsid w:val="00EA58F1"/>
    <w:rsid w:val="00EA5BCE"/>
    <w:rsid w:val="00EA635C"/>
    <w:rsid w:val="00EA6FF4"/>
    <w:rsid w:val="00EA7453"/>
    <w:rsid w:val="00EA7858"/>
    <w:rsid w:val="00EA7DE8"/>
    <w:rsid w:val="00EA7E20"/>
    <w:rsid w:val="00EB0049"/>
    <w:rsid w:val="00EB02D6"/>
    <w:rsid w:val="00EB048B"/>
    <w:rsid w:val="00EB05BB"/>
    <w:rsid w:val="00EB05CD"/>
    <w:rsid w:val="00EB07CB"/>
    <w:rsid w:val="00EB0ADA"/>
    <w:rsid w:val="00EB0C7C"/>
    <w:rsid w:val="00EB0D78"/>
    <w:rsid w:val="00EB10B2"/>
    <w:rsid w:val="00EB1A6D"/>
    <w:rsid w:val="00EB231E"/>
    <w:rsid w:val="00EB28F4"/>
    <w:rsid w:val="00EB2CF9"/>
    <w:rsid w:val="00EB2EA6"/>
    <w:rsid w:val="00EB2ECF"/>
    <w:rsid w:val="00EB3015"/>
    <w:rsid w:val="00EB303E"/>
    <w:rsid w:val="00EB3185"/>
    <w:rsid w:val="00EB37A1"/>
    <w:rsid w:val="00EB3D32"/>
    <w:rsid w:val="00EB3F7A"/>
    <w:rsid w:val="00EB43BF"/>
    <w:rsid w:val="00EB46DA"/>
    <w:rsid w:val="00EB470A"/>
    <w:rsid w:val="00EB4EC3"/>
    <w:rsid w:val="00EB57FA"/>
    <w:rsid w:val="00EB58F4"/>
    <w:rsid w:val="00EB5CF2"/>
    <w:rsid w:val="00EB6320"/>
    <w:rsid w:val="00EB63E6"/>
    <w:rsid w:val="00EB645E"/>
    <w:rsid w:val="00EB660F"/>
    <w:rsid w:val="00EB67DF"/>
    <w:rsid w:val="00EB6C14"/>
    <w:rsid w:val="00EB6C3C"/>
    <w:rsid w:val="00EB70AD"/>
    <w:rsid w:val="00EB755A"/>
    <w:rsid w:val="00EB7A34"/>
    <w:rsid w:val="00EB7BFF"/>
    <w:rsid w:val="00EB7DBC"/>
    <w:rsid w:val="00EC00A7"/>
    <w:rsid w:val="00EC0164"/>
    <w:rsid w:val="00EC0277"/>
    <w:rsid w:val="00EC0373"/>
    <w:rsid w:val="00EC05AB"/>
    <w:rsid w:val="00EC0B0C"/>
    <w:rsid w:val="00EC17E8"/>
    <w:rsid w:val="00EC1C12"/>
    <w:rsid w:val="00EC20A7"/>
    <w:rsid w:val="00EC21DA"/>
    <w:rsid w:val="00EC232B"/>
    <w:rsid w:val="00EC2469"/>
    <w:rsid w:val="00EC25B1"/>
    <w:rsid w:val="00EC2923"/>
    <w:rsid w:val="00EC2AE7"/>
    <w:rsid w:val="00EC2C8E"/>
    <w:rsid w:val="00EC30FB"/>
    <w:rsid w:val="00EC32FF"/>
    <w:rsid w:val="00EC3698"/>
    <w:rsid w:val="00EC37A6"/>
    <w:rsid w:val="00EC39F0"/>
    <w:rsid w:val="00EC3B44"/>
    <w:rsid w:val="00EC3D4D"/>
    <w:rsid w:val="00EC3DAF"/>
    <w:rsid w:val="00EC3DB0"/>
    <w:rsid w:val="00EC4045"/>
    <w:rsid w:val="00EC4200"/>
    <w:rsid w:val="00EC4284"/>
    <w:rsid w:val="00EC456B"/>
    <w:rsid w:val="00EC4574"/>
    <w:rsid w:val="00EC45E0"/>
    <w:rsid w:val="00EC4822"/>
    <w:rsid w:val="00EC4842"/>
    <w:rsid w:val="00EC4DDC"/>
    <w:rsid w:val="00EC544D"/>
    <w:rsid w:val="00EC54DF"/>
    <w:rsid w:val="00EC5799"/>
    <w:rsid w:val="00EC5854"/>
    <w:rsid w:val="00EC586C"/>
    <w:rsid w:val="00EC5F6A"/>
    <w:rsid w:val="00EC6C98"/>
    <w:rsid w:val="00EC6F31"/>
    <w:rsid w:val="00EC7B88"/>
    <w:rsid w:val="00EC7C1B"/>
    <w:rsid w:val="00EC7F0B"/>
    <w:rsid w:val="00ED048F"/>
    <w:rsid w:val="00ED1089"/>
    <w:rsid w:val="00ED11B9"/>
    <w:rsid w:val="00ED1207"/>
    <w:rsid w:val="00ED128C"/>
    <w:rsid w:val="00ED140E"/>
    <w:rsid w:val="00ED1524"/>
    <w:rsid w:val="00ED1927"/>
    <w:rsid w:val="00ED20A0"/>
    <w:rsid w:val="00ED226A"/>
    <w:rsid w:val="00ED23B5"/>
    <w:rsid w:val="00ED255F"/>
    <w:rsid w:val="00ED2ED9"/>
    <w:rsid w:val="00ED3AB2"/>
    <w:rsid w:val="00ED4122"/>
    <w:rsid w:val="00ED532E"/>
    <w:rsid w:val="00ED56C2"/>
    <w:rsid w:val="00ED616E"/>
    <w:rsid w:val="00ED68A2"/>
    <w:rsid w:val="00ED691F"/>
    <w:rsid w:val="00ED6929"/>
    <w:rsid w:val="00ED6C80"/>
    <w:rsid w:val="00ED6D93"/>
    <w:rsid w:val="00ED6EC9"/>
    <w:rsid w:val="00ED71D8"/>
    <w:rsid w:val="00ED745E"/>
    <w:rsid w:val="00ED7469"/>
    <w:rsid w:val="00ED7873"/>
    <w:rsid w:val="00ED7C10"/>
    <w:rsid w:val="00ED7CF4"/>
    <w:rsid w:val="00EE007D"/>
    <w:rsid w:val="00EE007F"/>
    <w:rsid w:val="00EE0190"/>
    <w:rsid w:val="00EE0247"/>
    <w:rsid w:val="00EE04FB"/>
    <w:rsid w:val="00EE05CB"/>
    <w:rsid w:val="00EE07C7"/>
    <w:rsid w:val="00EE2203"/>
    <w:rsid w:val="00EE24D0"/>
    <w:rsid w:val="00EE24F8"/>
    <w:rsid w:val="00EE28E4"/>
    <w:rsid w:val="00EE2D5B"/>
    <w:rsid w:val="00EE2E4D"/>
    <w:rsid w:val="00EE2FAA"/>
    <w:rsid w:val="00EE31E2"/>
    <w:rsid w:val="00EE3BDF"/>
    <w:rsid w:val="00EE3C10"/>
    <w:rsid w:val="00EE4042"/>
    <w:rsid w:val="00EE44FD"/>
    <w:rsid w:val="00EE5195"/>
    <w:rsid w:val="00EE5660"/>
    <w:rsid w:val="00EE5A38"/>
    <w:rsid w:val="00EE6119"/>
    <w:rsid w:val="00EE61BD"/>
    <w:rsid w:val="00EE69EE"/>
    <w:rsid w:val="00EE6DCD"/>
    <w:rsid w:val="00EE7747"/>
    <w:rsid w:val="00EF0B35"/>
    <w:rsid w:val="00EF0BA6"/>
    <w:rsid w:val="00EF0C53"/>
    <w:rsid w:val="00EF122A"/>
    <w:rsid w:val="00EF1361"/>
    <w:rsid w:val="00EF1A57"/>
    <w:rsid w:val="00EF20E5"/>
    <w:rsid w:val="00EF2336"/>
    <w:rsid w:val="00EF2604"/>
    <w:rsid w:val="00EF2772"/>
    <w:rsid w:val="00EF28A3"/>
    <w:rsid w:val="00EF28D8"/>
    <w:rsid w:val="00EF2A5E"/>
    <w:rsid w:val="00EF2B5A"/>
    <w:rsid w:val="00EF348A"/>
    <w:rsid w:val="00EF34D3"/>
    <w:rsid w:val="00EF384D"/>
    <w:rsid w:val="00EF39B5"/>
    <w:rsid w:val="00EF3C25"/>
    <w:rsid w:val="00EF3CAA"/>
    <w:rsid w:val="00EF3CD0"/>
    <w:rsid w:val="00EF41EC"/>
    <w:rsid w:val="00EF45AD"/>
    <w:rsid w:val="00EF4974"/>
    <w:rsid w:val="00EF4FD5"/>
    <w:rsid w:val="00EF56D4"/>
    <w:rsid w:val="00EF5701"/>
    <w:rsid w:val="00EF5BCC"/>
    <w:rsid w:val="00EF5C77"/>
    <w:rsid w:val="00EF5F59"/>
    <w:rsid w:val="00EF61A8"/>
    <w:rsid w:val="00EF6CEF"/>
    <w:rsid w:val="00EF6E04"/>
    <w:rsid w:val="00EF706F"/>
    <w:rsid w:val="00EF7098"/>
    <w:rsid w:val="00EF71BE"/>
    <w:rsid w:val="00EF7425"/>
    <w:rsid w:val="00EF77C7"/>
    <w:rsid w:val="00EF7D04"/>
    <w:rsid w:val="00F002F0"/>
    <w:rsid w:val="00F00F97"/>
    <w:rsid w:val="00F00FA0"/>
    <w:rsid w:val="00F0149B"/>
    <w:rsid w:val="00F014B7"/>
    <w:rsid w:val="00F01AAB"/>
    <w:rsid w:val="00F01CAB"/>
    <w:rsid w:val="00F01E9D"/>
    <w:rsid w:val="00F02542"/>
    <w:rsid w:val="00F02562"/>
    <w:rsid w:val="00F02887"/>
    <w:rsid w:val="00F029A3"/>
    <w:rsid w:val="00F02A2E"/>
    <w:rsid w:val="00F035E9"/>
    <w:rsid w:val="00F037E9"/>
    <w:rsid w:val="00F039BD"/>
    <w:rsid w:val="00F03A32"/>
    <w:rsid w:val="00F03C8D"/>
    <w:rsid w:val="00F04279"/>
    <w:rsid w:val="00F042AF"/>
    <w:rsid w:val="00F04B1D"/>
    <w:rsid w:val="00F04CCE"/>
    <w:rsid w:val="00F04DF6"/>
    <w:rsid w:val="00F05F75"/>
    <w:rsid w:val="00F060EC"/>
    <w:rsid w:val="00F06101"/>
    <w:rsid w:val="00F063DE"/>
    <w:rsid w:val="00F064DB"/>
    <w:rsid w:val="00F06DA1"/>
    <w:rsid w:val="00F06EC0"/>
    <w:rsid w:val="00F07422"/>
    <w:rsid w:val="00F074DF"/>
    <w:rsid w:val="00F10005"/>
    <w:rsid w:val="00F1033C"/>
    <w:rsid w:val="00F1065D"/>
    <w:rsid w:val="00F10766"/>
    <w:rsid w:val="00F10805"/>
    <w:rsid w:val="00F10819"/>
    <w:rsid w:val="00F10DA8"/>
    <w:rsid w:val="00F11909"/>
    <w:rsid w:val="00F12374"/>
    <w:rsid w:val="00F127E8"/>
    <w:rsid w:val="00F128EF"/>
    <w:rsid w:val="00F1302C"/>
    <w:rsid w:val="00F13122"/>
    <w:rsid w:val="00F13154"/>
    <w:rsid w:val="00F13520"/>
    <w:rsid w:val="00F137B1"/>
    <w:rsid w:val="00F13A1F"/>
    <w:rsid w:val="00F13D6A"/>
    <w:rsid w:val="00F13F5D"/>
    <w:rsid w:val="00F14090"/>
    <w:rsid w:val="00F14095"/>
    <w:rsid w:val="00F14144"/>
    <w:rsid w:val="00F14234"/>
    <w:rsid w:val="00F14971"/>
    <w:rsid w:val="00F14B43"/>
    <w:rsid w:val="00F1515A"/>
    <w:rsid w:val="00F15393"/>
    <w:rsid w:val="00F154C4"/>
    <w:rsid w:val="00F154ED"/>
    <w:rsid w:val="00F15FD4"/>
    <w:rsid w:val="00F161AB"/>
    <w:rsid w:val="00F1622A"/>
    <w:rsid w:val="00F163FC"/>
    <w:rsid w:val="00F16AA6"/>
    <w:rsid w:val="00F17051"/>
    <w:rsid w:val="00F171F1"/>
    <w:rsid w:val="00F175CF"/>
    <w:rsid w:val="00F17891"/>
    <w:rsid w:val="00F2001B"/>
    <w:rsid w:val="00F2019D"/>
    <w:rsid w:val="00F203DA"/>
    <w:rsid w:val="00F207A5"/>
    <w:rsid w:val="00F20918"/>
    <w:rsid w:val="00F20CFB"/>
    <w:rsid w:val="00F20D19"/>
    <w:rsid w:val="00F20D80"/>
    <w:rsid w:val="00F20F46"/>
    <w:rsid w:val="00F20FA8"/>
    <w:rsid w:val="00F2140B"/>
    <w:rsid w:val="00F214ED"/>
    <w:rsid w:val="00F21C14"/>
    <w:rsid w:val="00F21C77"/>
    <w:rsid w:val="00F21DFC"/>
    <w:rsid w:val="00F22A7B"/>
    <w:rsid w:val="00F22B32"/>
    <w:rsid w:val="00F22CB4"/>
    <w:rsid w:val="00F23063"/>
    <w:rsid w:val="00F24090"/>
    <w:rsid w:val="00F2462F"/>
    <w:rsid w:val="00F24646"/>
    <w:rsid w:val="00F246F4"/>
    <w:rsid w:val="00F25534"/>
    <w:rsid w:val="00F2558F"/>
    <w:rsid w:val="00F25C98"/>
    <w:rsid w:val="00F25CE4"/>
    <w:rsid w:val="00F25D9D"/>
    <w:rsid w:val="00F25E9C"/>
    <w:rsid w:val="00F25FFC"/>
    <w:rsid w:val="00F260E5"/>
    <w:rsid w:val="00F26436"/>
    <w:rsid w:val="00F26507"/>
    <w:rsid w:val="00F26C69"/>
    <w:rsid w:val="00F26EAD"/>
    <w:rsid w:val="00F26F5C"/>
    <w:rsid w:val="00F27096"/>
    <w:rsid w:val="00F276AF"/>
    <w:rsid w:val="00F27ADE"/>
    <w:rsid w:val="00F300FA"/>
    <w:rsid w:val="00F3014A"/>
    <w:rsid w:val="00F30444"/>
    <w:rsid w:val="00F30533"/>
    <w:rsid w:val="00F305AA"/>
    <w:rsid w:val="00F30F30"/>
    <w:rsid w:val="00F310EA"/>
    <w:rsid w:val="00F31184"/>
    <w:rsid w:val="00F31718"/>
    <w:rsid w:val="00F31DBF"/>
    <w:rsid w:val="00F31F2D"/>
    <w:rsid w:val="00F32283"/>
    <w:rsid w:val="00F33185"/>
    <w:rsid w:val="00F33438"/>
    <w:rsid w:val="00F342D6"/>
    <w:rsid w:val="00F344E5"/>
    <w:rsid w:val="00F34550"/>
    <w:rsid w:val="00F34B8F"/>
    <w:rsid w:val="00F34BB1"/>
    <w:rsid w:val="00F34D6C"/>
    <w:rsid w:val="00F34EF2"/>
    <w:rsid w:val="00F34F3E"/>
    <w:rsid w:val="00F3512D"/>
    <w:rsid w:val="00F35BDD"/>
    <w:rsid w:val="00F35D0B"/>
    <w:rsid w:val="00F36C17"/>
    <w:rsid w:val="00F374C3"/>
    <w:rsid w:val="00F37E5B"/>
    <w:rsid w:val="00F409C7"/>
    <w:rsid w:val="00F409F8"/>
    <w:rsid w:val="00F40C3B"/>
    <w:rsid w:val="00F41E20"/>
    <w:rsid w:val="00F41ECD"/>
    <w:rsid w:val="00F41F0F"/>
    <w:rsid w:val="00F42218"/>
    <w:rsid w:val="00F4265F"/>
    <w:rsid w:val="00F42AEC"/>
    <w:rsid w:val="00F42D2E"/>
    <w:rsid w:val="00F430C7"/>
    <w:rsid w:val="00F43238"/>
    <w:rsid w:val="00F43271"/>
    <w:rsid w:val="00F43E98"/>
    <w:rsid w:val="00F44143"/>
    <w:rsid w:val="00F443FE"/>
    <w:rsid w:val="00F4466F"/>
    <w:rsid w:val="00F449EE"/>
    <w:rsid w:val="00F44DA2"/>
    <w:rsid w:val="00F44EE5"/>
    <w:rsid w:val="00F45EFF"/>
    <w:rsid w:val="00F4637C"/>
    <w:rsid w:val="00F463C0"/>
    <w:rsid w:val="00F46655"/>
    <w:rsid w:val="00F46DD6"/>
    <w:rsid w:val="00F46EC5"/>
    <w:rsid w:val="00F47045"/>
    <w:rsid w:val="00F47337"/>
    <w:rsid w:val="00F50B53"/>
    <w:rsid w:val="00F50BCB"/>
    <w:rsid w:val="00F513C5"/>
    <w:rsid w:val="00F513F3"/>
    <w:rsid w:val="00F51841"/>
    <w:rsid w:val="00F51875"/>
    <w:rsid w:val="00F51A4A"/>
    <w:rsid w:val="00F52822"/>
    <w:rsid w:val="00F529A3"/>
    <w:rsid w:val="00F531BA"/>
    <w:rsid w:val="00F539E9"/>
    <w:rsid w:val="00F53B2C"/>
    <w:rsid w:val="00F53C5F"/>
    <w:rsid w:val="00F53C95"/>
    <w:rsid w:val="00F53E65"/>
    <w:rsid w:val="00F541D6"/>
    <w:rsid w:val="00F543D1"/>
    <w:rsid w:val="00F545CD"/>
    <w:rsid w:val="00F548B0"/>
    <w:rsid w:val="00F5498C"/>
    <w:rsid w:val="00F54A76"/>
    <w:rsid w:val="00F553B9"/>
    <w:rsid w:val="00F55964"/>
    <w:rsid w:val="00F55B92"/>
    <w:rsid w:val="00F55CB7"/>
    <w:rsid w:val="00F55EE2"/>
    <w:rsid w:val="00F56167"/>
    <w:rsid w:val="00F5617F"/>
    <w:rsid w:val="00F56447"/>
    <w:rsid w:val="00F56F10"/>
    <w:rsid w:val="00F5713C"/>
    <w:rsid w:val="00F57198"/>
    <w:rsid w:val="00F57243"/>
    <w:rsid w:val="00F573AE"/>
    <w:rsid w:val="00F57BB6"/>
    <w:rsid w:val="00F60114"/>
    <w:rsid w:val="00F603F2"/>
    <w:rsid w:val="00F6050F"/>
    <w:rsid w:val="00F6054A"/>
    <w:rsid w:val="00F6094E"/>
    <w:rsid w:val="00F60A56"/>
    <w:rsid w:val="00F60B99"/>
    <w:rsid w:val="00F6104B"/>
    <w:rsid w:val="00F62299"/>
    <w:rsid w:val="00F62B8C"/>
    <w:rsid w:val="00F62F4C"/>
    <w:rsid w:val="00F63431"/>
    <w:rsid w:val="00F637C3"/>
    <w:rsid w:val="00F6405E"/>
    <w:rsid w:val="00F640ED"/>
    <w:rsid w:val="00F645E3"/>
    <w:rsid w:val="00F64AE5"/>
    <w:rsid w:val="00F65575"/>
    <w:rsid w:val="00F65C95"/>
    <w:rsid w:val="00F66342"/>
    <w:rsid w:val="00F66435"/>
    <w:rsid w:val="00F665A6"/>
    <w:rsid w:val="00F66C54"/>
    <w:rsid w:val="00F66F07"/>
    <w:rsid w:val="00F6700A"/>
    <w:rsid w:val="00F679FA"/>
    <w:rsid w:val="00F679FE"/>
    <w:rsid w:val="00F67A71"/>
    <w:rsid w:val="00F67AB6"/>
    <w:rsid w:val="00F67B2F"/>
    <w:rsid w:val="00F7006B"/>
    <w:rsid w:val="00F701BB"/>
    <w:rsid w:val="00F70BF3"/>
    <w:rsid w:val="00F7139A"/>
    <w:rsid w:val="00F71672"/>
    <w:rsid w:val="00F71877"/>
    <w:rsid w:val="00F719AD"/>
    <w:rsid w:val="00F726E2"/>
    <w:rsid w:val="00F72B86"/>
    <w:rsid w:val="00F72D6F"/>
    <w:rsid w:val="00F73694"/>
    <w:rsid w:val="00F736ED"/>
    <w:rsid w:val="00F7400B"/>
    <w:rsid w:val="00F7424B"/>
    <w:rsid w:val="00F743B8"/>
    <w:rsid w:val="00F74C78"/>
    <w:rsid w:val="00F74EE7"/>
    <w:rsid w:val="00F76463"/>
    <w:rsid w:val="00F76969"/>
    <w:rsid w:val="00F7750D"/>
    <w:rsid w:val="00F802ED"/>
    <w:rsid w:val="00F80768"/>
    <w:rsid w:val="00F81069"/>
    <w:rsid w:val="00F811D0"/>
    <w:rsid w:val="00F81209"/>
    <w:rsid w:val="00F81FED"/>
    <w:rsid w:val="00F820DF"/>
    <w:rsid w:val="00F82258"/>
    <w:rsid w:val="00F82348"/>
    <w:rsid w:val="00F82B33"/>
    <w:rsid w:val="00F8340F"/>
    <w:rsid w:val="00F83629"/>
    <w:rsid w:val="00F84067"/>
    <w:rsid w:val="00F840CE"/>
    <w:rsid w:val="00F84267"/>
    <w:rsid w:val="00F84326"/>
    <w:rsid w:val="00F84CAE"/>
    <w:rsid w:val="00F8501A"/>
    <w:rsid w:val="00F85652"/>
    <w:rsid w:val="00F8577E"/>
    <w:rsid w:val="00F85918"/>
    <w:rsid w:val="00F861E1"/>
    <w:rsid w:val="00F861F1"/>
    <w:rsid w:val="00F8638C"/>
    <w:rsid w:val="00F86585"/>
    <w:rsid w:val="00F867F5"/>
    <w:rsid w:val="00F8697F"/>
    <w:rsid w:val="00F86BF5"/>
    <w:rsid w:val="00F871DB"/>
    <w:rsid w:val="00F878C7"/>
    <w:rsid w:val="00F87963"/>
    <w:rsid w:val="00F87B12"/>
    <w:rsid w:val="00F90328"/>
    <w:rsid w:val="00F905C2"/>
    <w:rsid w:val="00F906DE"/>
    <w:rsid w:val="00F907FA"/>
    <w:rsid w:val="00F90881"/>
    <w:rsid w:val="00F90A3D"/>
    <w:rsid w:val="00F90B27"/>
    <w:rsid w:val="00F90DAF"/>
    <w:rsid w:val="00F90F9E"/>
    <w:rsid w:val="00F911E9"/>
    <w:rsid w:val="00F9176F"/>
    <w:rsid w:val="00F91BE7"/>
    <w:rsid w:val="00F91C5F"/>
    <w:rsid w:val="00F923C5"/>
    <w:rsid w:val="00F9272A"/>
    <w:rsid w:val="00F92B43"/>
    <w:rsid w:val="00F9300E"/>
    <w:rsid w:val="00F9317A"/>
    <w:rsid w:val="00F93EF8"/>
    <w:rsid w:val="00F943F5"/>
    <w:rsid w:val="00F9459D"/>
    <w:rsid w:val="00F950A1"/>
    <w:rsid w:val="00F951C6"/>
    <w:rsid w:val="00F95D48"/>
    <w:rsid w:val="00F95E00"/>
    <w:rsid w:val="00F962BD"/>
    <w:rsid w:val="00F96646"/>
    <w:rsid w:val="00F96BE4"/>
    <w:rsid w:val="00F97267"/>
    <w:rsid w:val="00F97437"/>
    <w:rsid w:val="00F975C7"/>
    <w:rsid w:val="00F97B39"/>
    <w:rsid w:val="00F97C19"/>
    <w:rsid w:val="00F97E8B"/>
    <w:rsid w:val="00FA08EE"/>
    <w:rsid w:val="00FA108A"/>
    <w:rsid w:val="00FA12AE"/>
    <w:rsid w:val="00FA13D2"/>
    <w:rsid w:val="00FA1831"/>
    <w:rsid w:val="00FA1BA0"/>
    <w:rsid w:val="00FA1C55"/>
    <w:rsid w:val="00FA1D87"/>
    <w:rsid w:val="00FA2271"/>
    <w:rsid w:val="00FA23A5"/>
    <w:rsid w:val="00FA2C80"/>
    <w:rsid w:val="00FA302D"/>
    <w:rsid w:val="00FA3103"/>
    <w:rsid w:val="00FA3BC4"/>
    <w:rsid w:val="00FA40C0"/>
    <w:rsid w:val="00FA4302"/>
    <w:rsid w:val="00FA4493"/>
    <w:rsid w:val="00FA4617"/>
    <w:rsid w:val="00FA4A04"/>
    <w:rsid w:val="00FA4A72"/>
    <w:rsid w:val="00FA4CCF"/>
    <w:rsid w:val="00FA51BA"/>
    <w:rsid w:val="00FA5473"/>
    <w:rsid w:val="00FA5A05"/>
    <w:rsid w:val="00FA623F"/>
    <w:rsid w:val="00FA644D"/>
    <w:rsid w:val="00FA6675"/>
    <w:rsid w:val="00FA6715"/>
    <w:rsid w:val="00FA70D7"/>
    <w:rsid w:val="00FA7BA1"/>
    <w:rsid w:val="00FA7D0E"/>
    <w:rsid w:val="00FA7ECA"/>
    <w:rsid w:val="00FB0461"/>
    <w:rsid w:val="00FB0853"/>
    <w:rsid w:val="00FB0D03"/>
    <w:rsid w:val="00FB2C9D"/>
    <w:rsid w:val="00FB3372"/>
    <w:rsid w:val="00FB35EB"/>
    <w:rsid w:val="00FB3712"/>
    <w:rsid w:val="00FB485D"/>
    <w:rsid w:val="00FB4967"/>
    <w:rsid w:val="00FB4C6A"/>
    <w:rsid w:val="00FB4CA0"/>
    <w:rsid w:val="00FB4F57"/>
    <w:rsid w:val="00FB5174"/>
    <w:rsid w:val="00FB51AF"/>
    <w:rsid w:val="00FB5BFE"/>
    <w:rsid w:val="00FB5C75"/>
    <w:rsid w:val="00FB5CC1"/>
    <w:rsid w:val="00FB5FA0"/>
    <w:rsid w:val="00FB6584"/>
    <w:rsid w:val="00FB6663"/>
    <w:rsid w:val="00FB68DA"/>
    <w:rsid w:val="00FB6E75"/>
    <w:rsid w:val="00FB720E"/>
    <w:rsid w:val="00FB7275"/>
    <w:rsid w:val="00FB76AD"/>
    <w:rsid w:val="00FB7815"/>
    <w:rsid w:val="00FB783E"/>
    <w:rsid w:val="00FC0268"/>
    <w:rsid w:val="00FC08DE"/>
    <w:rsid w:val="00FC1764"/>
    <w:rsid w:val="00FC2481"/>
    <w:rsid w:val="00FC2D44"/>
    <w:rsid w:val="00FC30CB"/>
    <w:rsid w:val="00FC3116"/>
    <w:rsid w:val="00FC382C"/>
    <w:rsid w:val="00FC3E40"/>
    <w:rsid w:val="00FC3EDF"/>
    <w:rsid w:val="00FC421A"/>
    <w:rsid w:val="00FC4251"/>
    <w:rsid w:val="00FC447B"/>
    <w:rsid w:val="00FC4509"/>
    <w:rsid w:val="00FC4631"/>
    <w:rsid w:val="00FC49F2"/>
    <w:rsid w:val="00FC4E2B"/>
    <w:rsid w:val="00FC4F64"/>
    <w:rsid w:val="00FC5281"/>
    <w:rsid w:val="00FC56B2"/>
    <w:rsid w:val="00FC5E53"/>
    <w:rsid w:val="00FC634B"/>
    <w:rsid w:val="00FC670D"/>
    <w:rsid w:val="00FC6D20"/>
    <w:rsid w:val="00FC70C8"/>
    <w:rsid w:val="00FC7238"/>
    <w:rsid w:val="00FC72D5"/>
    <w:rsid w:val="00FC76CD"/>
    <w:rsid w:val="00FC7767"/>
    <w:rsid w:val="00FD0298"/>
    <w:rsid w:val="00FD083C"/>
    <w:rsid w:val="00FD0C20"/>
    <w:rsid w:val="00FD101C"/>
    <w:rsid w:val="00FD14C2"/>
    <w:rsid w:val="00FD173A"/>
    <w:rsid w:val="00FD1F68"/>
    <w:rsid w:val="00FD2304"/>
    <w:rsid w:val="00FD2323"/>
    <w:rsid w:val="00FD2EF5"/>
    <w:rsid w:val="00FD3621"/>
    <w:rsid w:val="00FD4413"/>
    <w:rsid w:val="00FD463E"/>
    <w:rsid w:val="00FD4813"/>
    <w:rsid w:val="00FD49C0"/>
    <w:rsid w:val="00FD4D12"/>
    <w:rsid w:val="00FD58F9"/>
    <w:rsid w:val="00FD590F"/>
    <w:rsid w:val="00FD61E1"/>
    <w:rsid w:val="00FD6BF1"/>
    <w:rsid w:val="00FD7141"/>
    <w:rsid w:val="00FD797A"/>
    <w:rsid w:val="00FD7EFE"/>
    <w:rsid w:val="00FD7F78"/>
    <w:rsid w:val="00FE0696"/>
    <w:rsid w:val="00FE08E8"/>
    <w:rsid w:val="00FE0C9D"/>
    <w:rsid w:val="00FE0DAC"/>
    <w:rsid w:val="00FE0DC6"/>
    <w:rsid w:val="00FE1004"/>
    <w:rsid w:val="00FE127B"/>
    <w:rsid w:val="00FE15F0"/>
    <w:rsid w:val="00FE194F"/>
    <w:rsid w:val="00FE1991"/>
    <w:rsid w:val="00FE2158"/>
    <w:rsid w:val="00FE23E2"/>
    <w:rsid w:val="00FE25B7"/>
    <w:rsid w:val="00FE266E"/>
    <w:rsid w:val="00FE2AE3"/>
    <w:rsid w:val="00FE2C6C"/>
    <w:rsid w:val="00FE2E3A"/>
    <w:rsid w:val="00FE318E"/>
    <w:rsid w:val="00FE3221"/>
    <w:rsid w:val="00FE341D"/>
    <w:rsid w:val="00FE3B98"/>
    <w:rsid w:val="00FE3E53"/>
    <w:rsid w:val="00FE41D3"/>
    <w:rsid w:val="00FE43D4"/>
    <w:rsid w:val="00FE4888"/>
    <w:rsid w:val="00FE4B44"/>
    <w:rsid w:val="00FE4D46"/>
    <w:rsid w:val="00FE4D8E"/>
    <w:rsid w:val="00FE539D"/>
    <w:rsid w:val="00FE5842"/>
    <w:rsid w:val="00FE58E8"/>
    <w:rsid w:val="00FE5D5F"/>
    <w:rsid w:val="00FE60FD"/>
    <w:rsid w:val="00FE61E6"/>
    <w:rsid w:val="00FE64B7"/>
    <w:rsid w:val="00FE6878"/>
    <w:rsid w:val="00FE744B"/>
    <w:rsid w:val="00FE7EF8"/>
    <w:rsid w:val="00FF016E"/>
    <w:rsid w:val="00FF0283"/>
    <w:rsid w:val="00FF0496"/>
    <w:rsid w:val="00FF0790"/>
    <w:rsid w:val="00FF07BD"/>
    <w:rsid w:val="00FF09E0"/>
    <w:rsid w:val="00FF16EB"/>
    <w:rsid w:val="00FF1861"/>
    <w:rsid w:val="00FF2A11"/>
    <w:rsid w:val="00FF2C18"/>
    <w:rsid w:val="00FF3188"/>
    <w:rsid w:val="00FF320E"/>
    <w:rsid w:val="00FF3669"/>
    <w:rsid w:val="00FF4535"/>
    <w:rsid w:val="00FF4C08"/>
    <w:rsid w:val="00FF5297"/>
    <w:rsid w:val="00FF5929"/>
    <w:rsid w:val="00FF5BCE"/>
    <w:rsid w:val="00FF5CA4"/>
    <w:rsid w:val="00FF621D"/>
    <w:rsid w:val="00FF6EB9"/>
    <w:rsid w:val="00FF7362"/>
    <w:rsid w:val="00FF7593"/>
    <w:rsid w:val="00FF77DA"/>
    <w:rsid w:val="00FF77F1"/>
    <w:rsid w:val="00FF78D0"/>
    <w:rsid w:val="00FF7B7F"/>
    <w:rsid w:val="02FA082F"/>
    <w:rsid w:val="06500E91"/>
    <w:rsid w:val="0BE52852"/>
    <w:rsid w:val="11E701D0"/>
    <w:rsid w:val="13FD7219"/>
    <w:rsid w:val="17FF2B62"/>
    <w:rsid w:val="1DD51824"/>
    <w:rsid w:val="29781426"/>
    <w:rsid w:val="3B27770B"/>
    <w:rsid w:val="42B9333F"/>
    <w:rsid w:val="47B03BB8"/>
    <w:rsid w:val="49753D38"/>
    <w:rsid w:val="50897B79"/>
    <w:rsid w:val="54CD2C7A"/>
    <w:rsid w:val="56F163CC"/>
    <w:rsid w:val="58472D43"/>
    <w:rsid w:val="5CA078BF"/>
    <w:rsid w:val="5CF11E99"/>
    <w:rsid w:val="5E6F59DC"/>
    <w:rsid w:val="66CF4018"/>
    <w:rsid w:val="67882F1D"/>
    <w:rsid w:val="6BBA1643"/>
    <w:rsid w:val="6FB451DF"/>
    <w:rsid w:val="746A34F1"/>
    <w:rsid w:val="758807CB"/>
    <w:rsid w:val="77A92C7B"/>
    <w:rsid w:val="781011A2"/>
    <w:rsid w:val="7AA665E6"/>
    <w:rsid w:val="7DE05D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99" w:name="index 3"/>
    <w:lsdException w:qFormat="1"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name="Normal Indent"/>
    <w:lsdException w:uiPriority="99" w:name="footnote text"/>
    <w:lsdException w:qFormat="1" w:uiPriority="99" w:name="annotation text"/>
    <w:lsdException w:qFormat="1" w:uiPriority="0" w:semiHidden="0" w:name="header"/>
    <w:lsdException w:qFormat="1" w:uiPriority="0" w:semiHidden="0" w:name="footer"/>
    <w:lsdException w:uiPriority="99" w:name="index heading"/>
    <w:lsdException w:qFormat="1" w:uiPriority="0" w:name="caption"/>
    <w:lsdException w:uiPriority="0" w:name="table of figures"/>
    <w:lsdException w:uiPriority="99" w:name="envelope address"/>
    <w:lsdException w:uiPriority="99" w:name="envelope return"/>
    <w:lsdException w:uiPriority="0" w:name="footnote reference"/>
    <w:lsdException w:qFormat="1" w:unhideWhenUsed="0" w:uiPriority="0" w:semiHidden="0" w:name="annotation reference"/>
    <w:lsdException w:uiPriority="99" w:name="line number"/>
    <w:lsdException w:qFormat="1"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0" w:name="Salutation"/>
    <w:lsdException w:qFormat="1" w:uiPriority="0" w:name="Date"/>
    <w:lsdException w:uiPriority="99" w:name="Body Text First Indent"/>
    <w:lsdException w:qFormat="1" w:uiPriority="99" w:name="Body Text First Indent 2"/>
    <w:lsdException w:uiPriority="99" w:name="Note Heading"/>
    <w:lsdException w:qFormat="1" w:uiPriority="99"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22" w:semiHidden="0" w:name="Strong"/>
    <w:lsdException w:qFormat="1" w:unhideWhenUsed="0" w:uiPriority="20" w:semiHidden="0" w:name="Emphasis"/>
    <w:lsdException w:qFormat="1" w:uiPriority="0" w:name="Document Map"/>
    <w:lsdException w:qFormat="1" w:uiPriority="99"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0" w:name="HTML Preformatted"/>
    <w:lsdException w:uiPriority="99" w:name="HTML Sample"/>
    <w:lsdException w:uiPriority="99" w:name="HTML Typewriter"/>
    <w:lsdException w:uiPriority="99" w:name="HTML Variable"/>
    <w:lsdException w:qFormat="1" w:uiPriority="99" w:name="Normal Table"/>
    <w:lsdException w:qFormat="1"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w:hAnsi="Times New Roman" w:eastAsia="宋体" w:cs="Times New Roman"/>
      <w:kern w:val="2"/>
      <w:sz w:val="24"/>
      <w:szCs w:val="22"/>
      <w:lang w:val="en-US" w:eastAsia="zh-CN" w:bidi="ar-SA"/>
    </w:rPr>
  </w:style>
  <w:style w:type="paragraph" w:styleId="2">
    <w:name w:val="heading 1"/>
    <w:basedOn w:val="1"/>
    <w:next w:val="1"/>
    <w:link w:val="37"/>
    <w:qFormat/>
    <w:uiPriority w:val="0"/>
    <w:pPr>
      <w:spacing w:before="260" w:after="260"/>
      <w:outlineLvl w:val="0"/>
    </w:pPr>
    <w:rPr>
      <w:rFonts w:eastAsia="黑体"/>
      <w:bCs/>
      <w:sz w:val="30"/>
      <w:szCs w:val="44"/>
    </w:rPr>
  </w:style>
  <w:style w:type="paragraph" w:styleId="3">
    <w:name w:val="heading 2"/>
    <w:basedOn w:val="1"/>
    <w:next w:val="1"/>
    <w:link w:val="38"/>
    <w:qFormat/>
    <w:uiPriority w:val="0"/>
    <w:pPr>
      <w:wordWrap w:val="0"/>
      <w:jc w:val="center"/>
      <w:outlineLvl w:val="1"/>
    </w:pPr>
    <w:rPr>
      <w:b/>
      <w:bCs/>
      <w:sz w:val="36"/>
      <w:szCs w:val="32"/>
    </w:rPr>
  </w:style>
  <w:style w:type="paragraph" w:styleId="4">
    <w:name w:val="heading 3"/>
    <w:basedOn w:val="1"/>
    <w:next w:val="1"/>
    <w:link w:val="39"/>
    <w:qFormat/>
    <w:uiPriority w:val="0"/>
    <w:pPr>
      <w:numPr>
        <w:ilvl w:val="0"/>
        <w:numId w:val="1"/>
      </w:numPr>
      <w:wordWrap w:val="0"/>
      <w:outlineLvl w:val="2"/>
    </w:pPr>
    <w:rPr>
      <w:b/>
      <w:bCs/>
      <w:szCs w:val="32"/>
    </w:rPr>
  </w:style>
  <w:style w:type="paragraph" w:styleId="5">
    <w:name w:val="heading 4"/>
    <w:basedOn w:val="1"/>
    <w:next w:val="1"/>
    <w:link w:val="40"/>
    <w:qFormat/>
    <w:uiPriority w:val="0"/>
    <w:pPr>
      <w:keepNext/>
      <w:keepLines/>
      <w:outlineLvl w:val="3"/>
    </w:pPr>
    <w:rPr>
      <w:b/>
      <w:bCs/>
      <w:szCs w:val="28"/>
    </w:rPr>
  </w:style>
  <w:style w:type="paragraph" w:styleId="6">
    <w:name w:val="heading 5"/>
    <w:basedOn w:val="1"/>
    <w:next w:val="1"/>
    <w:link w:val="41"/>
    <w:unhideWhenUsed/>
    <w:qFormat/>
    <w:uiPriority w:val="0"/>
    <w:pPr>
      <w:keepNext/>
      <w:keepLines/>
      <w:spacing w:before="280" w:after="290" w:line="374" w:lineRule="auto"/>
      <w:outlineLvl w:val="4"/>
    </w:pPr>
    <w:rPr>
      <w:b/>
      <w:bCs/>
      <w:szCs w:val="28"/>
    </w:rPr>
  </w:style>
  <w:style w:type="paragraph" w:styleId="7">
    <w:name w:val="heading 6"/>
    <w:basedOn w:val="1"/>
    <w:next w:val="1"/>
    <w:link w:val="42"/>
    <w:qFormat/>
    <w:uiPriority w:val="0"/>
    <w:pPr>
      <w:keepNext/>
      <w:keepLines/>
      <w:widowControl/>
      <w:tabs>
        <w:tab w:val="left" w:pos="1440"/>
      </w:tabs>
      <w:spacing w:before="240" w:after="64" w:line="320" w:lineRule="auto"/>
      <w:ind w:left="1152" w:hanging="1152"/>
      <w:jc w:val="left"/>
      <w:outlineLvl w:val="5"/>
    </w:pPr>
    <w:rPr>
      <w:rFonts w:ascii="Arial" w:hAnsi="Arial" w:eastAsia="黑体"/>
      <w:b/>
      <w:bCs/>
      <w:kern w:val="0"/>
      <w:szCs w:val="24"/>
    </w:rPr>
  </w:style>
  <w:style w:type="paragraph" w:styleId="8">
    <w:name w:val="heading 7"/>
    <w:basedOn w:val="1"/>
    <w:next w:val="1"/>
    <w:link w:val="43"/>
    <w:qFormat/>
    <w:uiPriority w:val="0"/>
    <w:pPr>
      <w:keepNext/>
      <w:keepLines/>
      <w:widowControl/>
      <w:tabs>
        <w:tab w:val="left" w:pos="2520"/>
      </w:tabs>
      <w:spacing w:before="240" w:after="64" w:line="320" w:lineRule="auto"/>
      <w:ind w:left="1296" w:hanging="1296"/>
      <w:jc w:val="left"/>
      <w:outlineLvl w:val="6"/>
    </w:pPr>
    <w:rPr>
      <w:b/>
      <w:bCs/>
      <w:kern w:val="0"/>
      <w:szCs w:val="24"/>
    </w:rPr>
  </w:style>
  <w:style w:type="paragraph" w:styleId="9">
    <w:name w:val="heading 8"/>
    <w:basedOn w:val="1"/>
    <w:next w:val="1"/>
    <w:link w:val="44"/>
    <w:qFormat/>
    <w:uiPriority w:val="0"/>
    <w:pPr>
      <w:keepNext/>
      <w:keepLines/>
      <w:widowControl/>
      <w:tabs>
        <w:tab w:val="left" w:pos="1440"/>
      </w:tabs>
      <w:spacing w:before="240" w:after="64" w:line="320" w:lineRule="auto"/>
      <w:ind w:left="1440" w:hanging="1440"/>
      <w:jc w:val="left"/>
      <w:outlineLvl w:val="7"/>
    </w:pPr>
    <w:rPr>
      <w:rFonts w:ascii="Arial" w:hAnsi="Arial" w:eastAsia="黑体"/>
      <w:kern w:val="0"/>
      <w:szCs w:val="24"/>
    </w:rPr>
  </w:style>
  <w:style w:type="paragraph" w:styleId="10">
    <w:name w:val="heading 9"/>
    <w:basedOn w:val="1"/>
    <w:next w:val="1"/>
    <w:link w:val="45"/>
    <w:qFormat/>
    <w:uiPriority w:val="0"/>
    <w:pPr>
      <w:keepNext/>
      <w:keepLines/>
      <w:widowControl/>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line="240" w:lineRule="auto"/>
      <w:ind w:left="2520" w:leftChars="1200"/>
    </w:pPr>
    <w:rPr>
      <w:rFonts w:ascii="等线" w:hAnsi="等线" w:eastAsia="等线"/>
      <w:sz w:val="21"/>
    </w:rPr>
  </w:style>
  <w:style w:type="paragraph" w:styleId="12">
    <w:name w:val="annotation text"/>
    <w:basedOn w:val="1"/>
    <w:link w:val="71"/>
    <w:semiHidden/>
    <w:unhideWhenUsed/>
    <w:qFormat/>
    <w:uiPriority w:val="99"/>
    <w:pPr>
      <w:spacing w:line="240" w:lineRule="auto"/>
      <w:jc w:val="left"/>
    </w:pPr>
    <w:rPr>
      <w:kern w:val="0"/>
      <w:sz w:val="21"/>
      <w:szCs w:val="20"/>
    </w:rPr>
  </w:style>
  <w:style w:type="paragraph" w:styleId="13">
    <w:name w:val="Body Text"/>
    <w:basedOn w:val="1"/>
    <w:link w:val="49"/>
    <w:qFormat/>
    <w:uiPriority w:val="99"/>
    <w:pPr>
      <w:tabs>
        <w:tab w:val="left" w:pos="2020"/>
        <w:tab w:val="center" w:pos="4535"/>
      </w:tabs>
      <w:spacing w:line="500" w:lineRule="exact"/>
      <w:outlineLvl w:val="0"/>
    </w:pPr>
    <w:rPr>
      <w:rFonts w:ascii="华文彩云" w:hAnsi="宋体" w:eastAsia="华文彩云"/>
      <w:bCs/>
      <w:color w:val="000000"/>
      <w:sz w:val="28"/>
      <w:szCs w:val="24"/>
    </w:rPr>
  </w:style>
  <w:style w:type="paragraph" w:styleId="14">
    <w:name w:val="Body Text Indent"/>
    <w:basedOn w:val="1"/>
    <w:link w:val="62"/>
    <w:semiHidden/>
    <w:unhideWhenUsed/>
    <w:qFormat/>
    <w:uiPriority w:val="0"/>
    <w:pPr>
      <w:spacing w:after="120"/>
      <w:ind w:left="420" w:leftChars="200"/>
    </w:pPr>
  </w:style>
  <w:style w:type="paragraph" w:styleId="15">
    <w:name w:val="index 4"/>
    <w:basedOn w:val="1"/>
    <w:next w:val="1"/>
    <w:unhideWhenUsed/>
    <w:qFormat/>
    <w:uiPriority w:val="0"/>
    <w:pPr>
      <w:spacing w:line="240" w:lineRule="auto"/>
      <w:ind w:left="600" w:leftChars="600"/>
    </w:pPr>
    <w:rPr>
      <w:rFonts w:ascii="Calibri" w:hAnsi="Calibri"/>
      <w:sz w:val="21"/>
      <w:szCs w:val="24"/>
    </w:rPr>
  </w:style>
  <w:style w:type="paragraph" w:styleId="16">
    <w:name w:val="toc 5"/>
    <w:basedOn w:val="1"/>
    <w:next w:val="1"/>
    <w:unhideWhenUsed/>
    <w:qFormat/>
    <w:uiPriority w:val="39"/>
    <w:pPr>
      <w:spacing w:line="240" w:lineRule="auto"/>
      <w:ind w:left="1680" w:leftChars="800"/>
    </w:pPr>
    <w:rPr>
      <w:rFonts w:ascii="等线" w:hAnsi="等线" w:eastAsia="等线"/>
      <w:sz w:val="21"/>
    </w:rPr>
  </w:style>
  <w:style w:type="paragraph" w:styleId="17">
    <w:name w:val="toc 3"/>
    <w:basedOn w:val="1"/>
    <w:next w:val="1"/>
    <w:unhideWhenUsed/>
    <w:qFormat/>
    <w:uiPriority w:val="39"/>
    <w:pPr>
      <w:ind w:left="840" w:leftChars="400"/>
    </w:pPr>
  </w:style>
  <w:style w:type="paragraph" w:styleId="18">
    <w:name w:val="Plain Text"/>
    <w:basedOn w:val="1"/>
    <w:link w:val="55"/>
    <w:unhideWhenUsed/>
    <w:qFormat/>
    <w:uiPriority w:val="99"/>
    <w:pPr>
      <w:spacing w:line="240" w:lineRule="auto"/>
    </w:pPr>
    <w:rPr>
      <w:rFonts w:ascii="宋体" w:hAnsi="Courier New"/>
      <w:sz w:val="21"/>
      <w:szCs w:val="20"/>
    </w:rPr>
  </w:style>
  <w:style w:type="paragraph" w:styleId="19">
    <w:name w:val="toc 8"/>
    <w:basedOn w:val="1"/>
    <w:next w:val="1"/>
    <w:unhideWhenUsed/>
    <w:qFormat/>
    <w:uiPriority w:val="39"/>
    <w:pPr>
      <w:spacing w:line="240" w:lineRule="auto"/>
      <w:ind w:left="2940" w:leftChars="1400"/>
    </w:pPr>
    <w:rPr>
      <w:rFonts w:ascii="等线" w:hAnsi="等线" w:eastAsia="等线"/>
      <w:sz w:val="21"/>
    </w:rPr>
  </w:style>
  <w:style w:type="paragraph" w:styleId="20">
    <w:name w:val="Balloon Text"/>
    <w:basedOn w:val="1"/>
    <w:link w:val="72"/>
    <w:semiHidden/>
    <w:unhideWhenUsed/>
    <w:qFormat/>
    <w:uiPriority w:val="0"/>
    <w:pPr>
      <w:spacing w:line="240" w:lineRule="auto"/>
    </w:pPr>
    <w:rPr>
      <w:sz w:val="18"/>
      <w:szCs w:val="18"/>
    </w:rPr>
  </w:style>
  <w:style w:type="paragraph" w:styleId="21">
    <w:name w:val="footer"/>
    <w:basedOn w:val="1"/>
    <w:link w:val="47"/>
    <w:unhideWhenUsed/>
    <w:qFormat/>
    <w:uiPriority w:val="0"/>
    <w:pPr>
      <w:tabs>
        <w:tab w:val="center" w:pos="4153"/>
        <w:tab w:val="right" w:pos="8306"/>
      </w:tabs>
      <w:snapToGrid w:val="0"/>
      <w:spacing w:line="240" w:lineRule="auto"/>
      <w:jc w:val="left"/>
    </w:pPr>
    <w:rPr>
      <w:sz w:val="18"/>
      <w:szCs w:val="18"/>
    </w:rPr>
  </w:style>
  <w:style w:type="paragraph" w:styleId="22">
    <w:name w:val="header"/>
    <w:basedOn w:val="1"/>
    <w:link w:val="60"/>
    <w:unhideWhenUsed/>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23">
    <w:name w:val="toc 1"/>
    <w:basedOn w:val="1"/>
    <w:next w:val="1"/>
    <w:unhideWhenUsed/>
    <w:qFormat/>
    <w:uiPriority w:val="39"/>
    <w:pPr>
      <w:spacing w:line="1600" w:lineRule="exact"/>
    </w:pPr>
    <w:rPr>
      <w:sz w:val="28"/>
    </w:rPr>
  </w:style>
  <w:style w:type="paragraph" w:styleId="24">
    <w:name w:val="toc 4"/>
    <w:basedOn w:val="1"/>
    <w:next w:val="1"/>
    <w:unhideWhenUsed/>
    <w:qFormat/>
    <w:uiPriority w:val="39"/>
    <w:pPr>
      <w:spacing w:line="240" w:lineRule="auto"/>
      <w:ind w:left="1260" w:leftChars="600"/>
    </w:pPr>
    <w:rPr>
      <w:rFonts w:ascii="等线" w:hAnsi="等线" w:eastAsia="等线"/>
      <w:sz w:val="21"/>
    </w:rPr>
  </w:style>
  <w:style w:type="paragraph" w:styleId="25">
    <w:name w:val="toc 6"/>
    <w:basedOn w:val="1"/>
    <w:next w:val="1"/>
    <w:unhideWhenUsed/>
    <w:qFormat/>
    <w:uiPriority w:val="39"/>
    <w:pPr>
      <w:spacing w:line="240" w:lineRule="auto"/>
      <w:ind w:left="2100" w:leftChars="1000"/>
    </w:pPr>
    <w:rPr>
      <w:rFonts w:ascii="等线" w:hAnsi="等线" w:eastAsia="等线"/>
      <w:sz w:val="21"/>
    </w:rPr>
  </w:style>
  <w:style w:type="paragraph" w:styleId="26">
    <w:name w:val="toc 2"/>
    <w:basedOn w:val="1"/>
    <w:next w:val="1"/>
    <w:unhideWhenUsed/>
    <w:qFormat/>
    <w:uiPriority w:val="39"/>
    <w:pPr>
      <w:ind w:left="420" w:leftChars="200"/>
    </w:pPr>
  </w:style>
  <w:style w:type="paragraph" w:styleId="27">
    <w:name w:val="toc 9"/>
    <w:basedOn w:val="1"/>
    <w:next w:val="1"/>
    <w:unhideWhenUsed/>
    <w:qFormat/>
    <w:uiPriority w:val="39"/>
    <w:pPr>
      <w:spacing w:line="240" w:lineRule="auto"/>
      <w:ind w:left="3360" w:leftChars="1600"/>
    </w:pPr>
    <w:rPr>
      <w:rFonts w:ascii="等线" w:hAnsi="等线" w:eastAsia="等线"/>
      <w:sz w:val="21"/>
    </w:rPr>
  </w:style>
  <w:style w:type="paragraph" w:styleId="28">
    <w:name w:val="Body Text 2"/>
    <w:basedOn w:val="1"/>
    <w:link w:val="51"/>
    <w:semiHidden/>
    <w:unhideWhenUsed/>
    <w:qFormat/>
    <w:uiPriority w:val="99"/>
    <w:pPr>
      <w:spacing w:after="120" w:line="480" w:lineRule="auto"/>
    </w:pPr>
  </w:style>
  <w:style w:type="paragraph" w:styleId="29">
    <w:name w:val="Normal (Web)"/>
    <w:basedOn w:val="1"/>
    <w:unhideWhenUsed/>
    <w:qFormat/>
    <w:uiPriority w:val="0"/>
    <w:pPr>
      <w:widowControl/>
      <w:spacing w:before="100" w:beforeAutospacing="1" w:after="100" w:afterAutospacing="1" w:line="240" w:lineRule="auto"/>
      <w:jc w:val="left"/>
    </w:pPr>
    <w:rPr>
      <w:rFonts w:ascii="宋体" w:hAnsi="宋体" w:cs="宋体"/>
      <w:kern w:val="0"/>
      <w:szCs w:val="24"/>
    </w:rPr>
  </w:style>
  <w:style w:type="paragraph" w:styleId="30">
    <w:name w:val="Body Text First Indent 2"/>
    <w:basedOn w:val="14"/>
    <w:link w:val="63"/>
    <w:semiHidden/>
    <w:unhideWhenUsed/>
    <w:qFormat/>
    <w:uiPriority w:val="99"/>
    <w:pPr>
      <w:ind w:firstLine="420" w:firstLineChars="200"/>
    </w:pPr>
  </w:style>
  <w:style w:type="table" w:styleId="32">
    <w:name w:val="Table Grid"/>
    <w:basedOn w:val="3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Emphasis"/>
    <w:basedOn w:val="33"/>
    <w:qFormat/>
    <w:uiPriority w:val="20"/>
    <w:rPr>
      <w:i/>
      <w:iCs/>
    </w:rPr>
  </w:style>
  <w:style w:type="character" w:styleId="35">
    <w:name w:val="Hyperlink"/>
    <w:unhideWhenUsed/>
    <w:qFormat/>
    <w:uiPriority w:val="99"/>
    <w:rPr>
      <w:color w:val="0563C1"/>
      <w:u w:val="single"/>
    </w:rPr>
  </w:style>
  <w:style w:type="character" w:styleId="36">
    <w:name w:val="annotation reference"/>
    <w:basedOn w:val="33"/>
    <w:qFormat/>
    <w:uiPriority w:val="0"/>
    <w:rPr>
      <w:sz w:val="21"/>
      <w:szCs w:val="21"/>
    </w:rPr>
  </w:style>
  <w:style w:type="character" w:customStyle="1" w:styleId="37">
    <w:name w:val="标题 1 字符"/>
    <w:link w:val="2"/>
    <w:qFormat/>
    <w:uiPriority w:val="0"/>
    <w:rPr>
      <w:rFonts w:ascii="Times New Roman" w:hAnsi="Times New Roman" w:eastAsia="黑体"/>
      <w:bCs/>
      <w:kern w:val="2"/>
      <w:sz w:val="30"/>
      <w:szCs w:val="44"/>
    </w:rPr>
  </w:style>
  <w:style w:type="character" w:customStyle="1" w:styleId="38">
    <w:name w:val="标题 2 字符"/>
    <w:link w:val="3"/>
    <w:qFormat/>
    <w:uiPriority w:val="0"/>
    <w:rPr>
      <w:rFonts w:ascii="Times New Roman" w:hAnsi="Times New Roman"/>
      <w:b/>
      <w:bCs/>
      <w:kern w:val="2"/>
      <w:sz w:val="36"/>
      <w:szCs w:val="32"/>
    </w:rPr>
  </w:style>
  <w:style w:type="character" w:customStyle="1" w:styleId="39">
    <w:name w:val="标题 3 字符"/>
    <w:link w:val="4"/>
    <w:qFormat/>
    <w:uiPriority w:val="0"/>
    <w:rPr>
      <w:rFonts w:ascii="Times New Roman" w:hAnsi="Times New Roman"/>
      <w:b/>
      <w:bCs/>
      <w:kern w:val="2"/>
      <w:sz w:val="24"/>
      <w:szCs w:val="32"/>
    </w:rPr>
  </w:style>
  <w:style w:type="character" w:customStyle="1" w:styleId="40">
    <w:name w:val="标题 4 字符"/>
    <w:link w:val="5"/>
    <w:qFormat/>
    <w:uiPriority w:val="0"/>
    <w:rPr>
      <w:rFonts w:ascii="Times New Roman" w:hAnsi="Times New Roman"/>
      <w:b/>
      <w:bCs/>
      <w:kern w:val="2"/>
      <w:sz w:val="28"/>
      <w:szCs w:val="28"/>
    </w:rPr>
  </w:style>
  <w:style w:type="character" w:customStyle="1" w:styleId="41">
    <w:name w:val="标题 5 字符"/>
    <w:link w:val="6"/>
    <w:qFormat/>
    <w:uiPriority w:val="0"/>
    <w:rPr>
      <w:rFonts w:ascii="Times New Roman" w:hAnsi="Times New Roman"/>
      <w:b/>
      <w:bCs/>
      <w:kern w:val="2"/>
      <w:sz w:val="28"/>
      <w:szCs w:val="28"/>
    </w:rPr>
  </w:style>
  <w:style w:type="character" w:customStyle="1" w:styleId="42">
    <w:name w:val="标题 6 字符"/>
    <w:link w:val="7"/>
    <w:qFormat/>
    <w:uiPriority w:val="0"/>
    <w:rPr>
      <w:rFonts w:ascii="Arial" w:hAnsi="Arial" w:eastAsia="黑体"/>
      <w:b/>
      <w:bCs/>
      <w:sz w:val="24"/>
      <w:szCs w:val="24"/>
    </w:rPr>
  </w:style>
  <w:style w:type="character" w:customStyle="1" w:styleId="43">
    <w:name w:val="标题 7 字符"/>
    <w:link w:val="8"/>
    <w:qFormat/>
    <w:uiPriority w:val="0"/>
    <w:rPr>
      <w:rFonts w:ascii="Times New Roman" w:hAnsi="Times New Roman"/>
      <w:b/>
      <w:bCs/>
      <w:sz w:val="24"/>
      <w:szCs w:val="24"/>
    </w:rPr>
  </w:style>
  <w:style w:type="character" w:customStyle="1" w:styleId="44">
    <w:name w:val="标题 8 字符"/>
    <w:link w:val="9"/>
    <w:qFormat/>
    <w:uiPriority w:val="0"/>
    <w:rPr>
      <w:rFonts w:ascii="Arial" w:hAnsi="Arial" w:eastAsia="黑体"/>
      <w:sz w:val="24"/>
      <w:szCs w:val="24"/>
    </w:rPr>
  </w:style>
  <w:style w:type="character" w:customStyle="1" w:styleId="45">
    <w:name w:val="标题 9 字符"/>
    <w:link w:val="10"/>
    <w:qFormat/>
    <w:uiPriority w:val="0"/>
    <w:rPr>
      <w:rFonts w:ascii="Arial" w:hAnsi="Arial" w:eastAsia="黑体"/>
      <w:sz w:val="21"/>
      <w:szCs w:val="21"/>
    </w:rPr>
  </w:style>
  <w:style w:type="paragraph" w:customStyle="1" w:styleId="46">
    <w:name w:val="_Style 31"/>
    <w:unhideWhenUsed/>
    <w:qFormat/>
    <w:uiPriority w:val="99"/>
    <w:pPr>
      <w:widowControl w:val="0"/>
      <w:spacing w:line="360" w:lineRule="auto"/>
      <w:jc w:val="both"/>
    </w:pPr>
    <w:rPr>
      <w:rFonts w:ascii="Times New Roman" w:hAnsi="Times New Roman" w:eastAsia="宋体" w:cs="Times New Roman"/>
      <w:kern w:val="2"/>
      <w:sz w:val="24"/>
      <w:szCs w:val="22"/>
      <w:lang w:val="en-US" w:eastAsia="zh-CN" w:bidi="ar-SA"/>
    </w:rPr>
  </w:style>
  <w:style w:type="character" w:customStyle="1" w:styleId="47">
    <w:name w:val="页脚 字符"/>
    <w:link w:val="21"/>
    <w:qFormat/>
    <w:uiPriority w:val="0"/>
    <w:rPr>
      <w:rFonts w:ascii="Times New Roman" w:hAnsi="Times New Roman"/>
      <w:kern w:val="2"/>
      <w:sz w:val="18"/>
      <w:szCs w:val="18"/>
    </w:rPr>
  </w:style>
  <w:style w:type="paragraph" w:styleId="48">
    <w:name w:val="List Paragraph"/>
    <w:basedOn w:val="1"/>
    <w:qFormat/>
    <w:uiPriority w:val="0"/>
    <w:pPr>
      <w:ind w:firstLine="420" w:firstLineChars="200"/>
    </w:pPr>
  </w:style>
  <w:style w:type="character" w:customStyle="1" w:styleId="49">
    <w:name w:val="正文文本 字符"/>
    <w:basedOn w:val="33"/>
    <w:link w:val="13"/>
    <w:qFormat/>
    <w:uiPriority w:val="99"/>
    <w:rPr>
      <w:rFonts w:ascii="华文彩云" w:hAnsi="宋体" w:eastAsia="华文彩云"/>
      <w:bCs/>
      <w:color w:val="000000"/>
      <w:kern w:val="2"/>
      <w:sz w:val="28"/>
      <w:szCs w:val="24"/>
    </w:rPr>
  </w:style>
  <w:style w:type="character" w:customStyle="1" w:styleId="50">
    <w:name w:val="纯文本 字符"/>
    <w:basedOn w:val="33"/>
    <w:qFormat/>
    <w:uiPriority w:val="99"/>
    <w:rPr>
      <w:rFonts w:hAnsi="Courier New" w:cs="Courier New" w:asciiTheme="minorEastAsia" w:eastAsiaTheme="minorEastAsia"/>
      <w:kern w:val="2"/>
      <w:sz w:val="24"/>
      <w:szCs w:val="22"/>
    </w:rPr>
  </w:style>
  <w:style w:type="character" w:customStyle="1" w:styleId="51">
    <w:name w:val="正文文本 2 字符"/>
    <w:basedOn w:val="33"/>
    <w:link w:val="28"/>
    <w:semiHidden/>
    <w:qFormat/>
    <w:uiPriority w:val="99"/>
    <w:rPr>
      <w:rFonts w:ascii="Times New Roman" w:hAnsi="Times New Roman"/>
      <w:kern w:val="2"/>
      <w:sz w:val="24"/>
      <w:szCs w:val="22"/>
    </w:rPr>
  </w:style>
  <w:style w:type="table" w:customStyle="1" w:styleId="52">
    <w:name w:val="网格型1"/>
    <w:basedOn w:val="3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3">
    <w:name w:val="_Style 25"/>
    <w:unhideWhenUsed/>
    <w:qFormat/>
    <w:uiPriority w:val="99"/>
    <w:pPr>
      <w:widowControl w:val="0"/>
      <w:spacing w:line="360" w:lineRule="auto"/>
      <w:jc w:val="both"/>
    </w:pPr>
    <w:rPr>
      <w:rFonts w:ascii="Times New Roman" w:hAnsi="Times New Roman" w:eastAsia="宋体" w:cs="Times New Roman"/>
      <w:kern w:val="2"/>
      <w:sz w:val="24"/>
      <w:szCs w:val="22"/>
      <w:lang w:val="en-US" w:eastAsia="zh-CN" w:bidi="ar-SA"/>
    </w:rPr>
  </w:style>
  <w:style w:type="character" w:customStyle="1" w:styleId="54">
    <w:name w:val="NormalCharacter"/>
    <w:qFormat/>
    <w:uiPriority w:val="0"/>
  </w:style>
  <w:style w:type="character" w:customStyle="1" w:styleId="55">
    <w:name w:val="纯文本 字符1"/>
    <w:link w:val="18"/>
    <w:semiHidden/>
    <w:qFormat/>
    <w:locked/>
    <w:uiPriority w:val="0"/>
    <w:rPr>
      <w:rFonts w:ascii="宋体" w:hAnsi="Courier New"/>
      <w:kern w:val="2"/>
      <w:sz w:val="21"/>
    </w:rPr>
  </w:style>
  <w:style w:type="table" w:customStyle="1" w:styleId="56">
    <w:name w:val="Table Normal"/>
    <w:semiHidden/>
    <w:unhideWhenUsed/>
    <w:qFormat/>
    <w:uiPriority w:val="2"/>
    <w:pPr>
      <w:widowControl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57">
    <w:name w:val="普通正文"/>
    <w:basedOn w:val="1"/>
    <w:qFormat/>
    <w:uiPriority w:val="0"/>
    <w:pPr>
      <w:adjustRightInd w:val="0"/>
      <w:spacing w:before="120" w:after="120"/>
      <w:ind w:firstLine="480"/>
      <w:jc w:val="left"/>
      <w:textAlignment w:val="baseline"/>
    </w:pPr>
    <w:rPr>
      <w:rFonts w:ascii="Arial" w:hAnsi="Arial"/>
      <w:kern w:val="0"/>
      <w:szCs w:val="24"/>
    </w:rPr>
  </w:style>
  <w:style w:type="character" w:customStyle="1" w:styleId="58">
    <w:name w:val="rol95627"/>
    <w:basedOn w:val="33"/>
    <w:qFormat/>
    <w:uiPriority w:val="0"/>
  </w:style>
  <w:style w:type="table" w:customStyle="1" w:styleId="59">
    <w:name w:val="网格型2"/>
    <w:basedOn w:val="3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0">
    <w:name w:val="页眉 字符"/>
    <w:basedOn w:val="33"/>
    <w:link w:val="22"/>
    <w:qFormat/>
    <w:uiPriority w:val="0"/>
    <w:rPr>
      <w:rFonts w:ascii="Times New Roman" w:hAnsi="Times New Roman"/>
      <w:kern w:val="2"/>
      <w:sz w:val="18"/>
      <w:szCs w:val="18"/>
    </w:rPr>
  </w:style>
  <w:style w:type="paragraph" w:customStyle="1" w:styleId="61">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character" w:customStyle="1" w:styleId="62">
    <w:name w:val="正文文本缩进 字符"/>
    <w:basedOn w:val="33"/>
    <w:link w:val="14"/>
    <w:semiHidden/>
    <w:qFormat/>
    <w:uiPriority w:val="0"/>
    <w:rPr>
      <w:rFonts w:ascii="Times New Roman" w:hAnsi="Times New Roman"/>
      <w:kern w:val="2"/>
      <w:sz w:val="24"/>
      <w:szCs w:val="22"/>
    </w:rPr>
  </w:style>
  <w:style w:type="character" w:customStyle="1" w:styleId="63">
    <w:name w:val="正文首行缩进 2 字符"/>
    <w:basedOn w:val="62"/>
    <w:link w:val="30"/>
    <w:semiHidden/>
    <w:qFormat/>
    <w:uiPriority w:val="99"/>
    <w:rPr>
      <w:rFonts w:ascii="Times New Roman" w:hAnsi="Times New Roman"/>
      <w:kern w:val="2"/>
      <w:sz w:val="24"/>
      <w:szCs w:val="22"/>
    </w:rPr>
  </w:style>
  <w:style w:type="character" w:customStyle="1" w:styleId="64">
    <w:name w:val="custom-tag-placeholder-class"/>
    <w:basedOn w:val="33"/>
    <w:qFormat/>
    <w:uiPriority w:val="0"/>
  </w:style>
  <w:style w:type="table" w:customStyle="1" w:styleId="65">
    <w:name w:val="网格型3"/>
    <w:basedOn w:val="3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6">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table" w:customStyle="1" w:styleId="67">
    <w:name w:val="网格型21"/>
    <w:basedOn w:val="3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8">
    <w:name w:val="缺省文本"/>
    <w:basedOn w:val="1"/>
    <w:qFormat/>
    <w:uiPriority w:val="0"/>
    <w:pPr>
      <w:spacing w:line="240" w:lineRule="auto"/>
      <w:jc w:val="left"/>
    </w:pPr>
    <w:rPr>
      <w:kern w:val="0"/>
      <w:szCs w:val="20"/>
    </w:rPr>
  </w:style>
  <w:style w:type="paragraph" w:customStyle="1" w:styleId="69">
    <w:name w:val="reader-word-layer reader-word-s7-7"/>
    <w:basedOn w:val="1"/>
    <w:qFormat/>
    <w:uiPriority w:val="0"/>
    <w:pPr>
      <w:widowControl/>
      <w:spacing w:before="100" w:beforeAutospacing="1" w:after="100" w:afterAutospacing="1" w:line="240" w:lineRule="auto"/>
      <w:jc w:val="left"/>
    </w:pPr>
    <w:rPr>
      <w:rFonts w:ascii="宋体" w:hAnsi="宋体" w:cs="宋体"/>
      <w:kern w:val="0"/>
      <w:szCs w:val="20"/>
    </w:rPr>
  </w:style>
  <w:style w:type="paragraph" w:customStyle="1" w:styleId="70">
    <w:name w:val="reader-word-layer reader-word-s7-0"/>
    <w:basedOn w:val="1"/>
    <w:qFormat/>
    <w:uiPriority w:val="0"/>
    <w:pPr>
      <w:widowControl/>
      <w:spacing w:before="100" w:beforeAutospacing="1" w:after="100" w:afterAutospacing="1" w:line="240" w:lineRule="auto"/>
      <w:jc w:val="left"/>
    </w:pPr>
    <w:rPr>
      <w:rFonts w:ascii="宋体" w:hAnsi="宋体" w:cs="宋体"/>
      <w:kern w:val="0"/>
      <w:szCs w:val="20"/>
    </w:rPr>
  </w:style>
  <w:style w:type="character" w:customStyle="1" w:styleId="71">
    <w:name w:val="批注文字 字符"/>
    <w:basedOn w:val="33"/>
    <w:link w:val="12"/>
    <w:semiHidden/>
    <w:qFormat/>
    <w:uiPriority w:val="99"/>
    <w:rPr>
      <w:rFonts w:ascii="Times New Roman" w:hAnsi="Times New Roman"/>
      <w:sz w:val="21"/>
    </w:rPr>
  </w:style>
  <w:style w:type="character" w:customStyle="1" w:styleId="72">
    <w:name w:val="批注框文本 字符"/>
    <w:basedOn w:val="33"/>
    <w:link w:val="20"/>
    <w:semiHidden/>
    <w:qFormat/>
    <w:uiPriority w:val="0"/>
    <w:rPr>
      <w:rFonts w:ascii="Times New Roman" w:hAnsi="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1.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458EC2-1313-4E12-A93A-6D1D7C2CD1D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59</Pages>
  <Words>75</Words>
  <Characters>101</Characters>
  <Lines>254</Lines>
  <Paragraphs>71</Paragraphs>
  <TotalTime>18</TotalTime>
  <ScaleCrop>false</ScaleCrop>
  <LinksUpToDate>false</LinksUpToDate>
  <CharactersWithSpaces>107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2026-10-08T03:09:00Z</dcterms:created>
  <dc:creator>张峰</dc:creator>
  <cp:lastModifiedBy>Administrator</cp:lastModifiedBy>
  <cp:lastPrinted>2014-10-08T14:44:00Z</cp:lastPrinted>
  <dcterms:modified xsi:type="dcterms:W3CDTF">2026-10-20T02:33:10Z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6DC184CD284047AF982B520D6732BAEB</vt:lpwstr>
  </property>
  <property fmtid="{D5CDD505-2E9C-101B-9397-08002B2CF9AE}" pid="4" name="KSOTemplateDocerSaveRecord">
    <vt:lpwstr>eyJoZGlkIjoiMDAwYWRlMzM3NjBkMTAzYmQ0MmVjZWUwOGFmY2ZhMTYiLCJ1c2VySWQiOiIzNTg0MTc1ODEifQ==</vt:lpwstr>
  </property>
</Properties>
</file>