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淮安市长期护理保险选择保险服务机构</w:t>
      </w: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bCs/>
          <w:sz w:val="36"/>
          <w:szCs w:val="36"/>
        </w:rPr>
        <w:t xml:space="preserve">JSZC-320800-JZCG-G2026-0076</w:t>
      </w:r>
      <w:r>
        <w:rPr>
          <w:rFonts w:hint="eastAsia" w:ascii="黑体" w:hAnsi="黑体" w:eastAsia="黑体"/>
          <w:b/>
          <w:bCs/>
          <w:sz w:val="36"/>
          <w:szCs w:val="36"/>
        </w:rPr>
        <w:t xml:space="preserve"> </w:t>
      </w:r>
      <w:r>
        <w:rPr>
          <w:rFonts w:hint="eastAsia" w:ascii="黑体" w:hAnsi="黑体" w:eastAsia="黑体"/>
          <w:b/>
          <w:sz w:val="36"/>
        </w:rPr>
      </w:r>
      <w:r/>
    </w:p>
    <w:p>
      <w:pPr>
        <w:pStyle w:val="93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3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93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3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受淮安市社会医疗保险基金管理中心的委托，淮安市政府采购中心就淮安市长期护理保险选择保险服务机构政府采购项目进行公开招标采购，现邀请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8"/>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8"/>
                      </w:pPr>
                      <w:r/>
                      <w:r/>
                    </w:p>
                  </w:txbxContent>
                </v:textbox>
              </v:shape>
            </w:pict>
          </mc:Fallback>
        </mc:AlternateConten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ascii="FangSong" w:hAnsi="FangSong" w:eastAsia="FangSong" w:cs="FangSong"/>
          <w:color w:val="000000"/>
          <w:sz w:val="28"/>
        </w:rPr>
        <w:t xml:space="preserve">JSZC-320800-JZCG-G2026-0076</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（二）项目名称:淮安市长期护理保险选择保险服务机构</w:t>
      </w:r>
      <w:r>
        <w:rPr>
          <w:rFonts w:hint="eastAsia" w:ascii="仿宋" w:hAnsi="仿宋" w:eastAsia="仿宋"/>
          <w:bCs/>
          <w:sz w:val="28"/>
        </w:rPr>
        <w:t xml:space="preserve"> </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（三）预算金额:本项目资金来源由个人缴费、政府补助、职工基本医疗保险统筹基金划转部分组成，</w:t>
      </w:r>
      <w:r>
        <w:rPr>
          <w:rFonts w:hint="eastAsia" w:ascii="仿宋" w:hAnsi="仿宋" w:eastAsia="仿宋"/>
          <w:sz w:val="28"/>
          <w:szCs w:val="28"/>
          <w:lang w:val="en-US" w:eastAsia="zh-CN"/>
        </w:rPr>
        <w:t xml:space="preserve">61009.16</w:t>
      </w:r>
      <w:r>
        <w:rPr>
          <w:rFonts w:hint="eastAsia" w:ascii="仿宋" w:hAnsi="仿宋" w:eastAsia="仿宋"/>
          <w:sz w:val="28"/>
          <w:szCs w:val="28"/>
        </w:rPr>
        <w:t xml:space="preserve">万元</w:t>
      </w:r>
      <w:r>
        <w:rPr>
          <w:rFonts w:hint="eastAsia" w:ascii="仿宋" w:hAnsi="仿宋" w:eastAsia="仿宋"/>
          <w:sz w:val="28"/>
          <w:szCs w:val="28"/>
        </w:rPr>
        <w:t xml:space="preserve">。</w:t>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rPr>
        <w:t xml:space="preserve">年</w:t>
      </w:r>
      <w:r>
        <w:rPr>
          <w:rFonts w:hint="eastAsia" w:ascii="仿宋" w:hAnsi="仿宋" w:eastAsia="仿宋"/>
          <w:sz w:val="28"/>
          <w:szCs w:val="28"/>
        </w:rPr>
        <w:t xml:space="preserve">承办服务费不高于（≤）长护险年度基金总额5%。</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cs="Times New Roman"/>
          <w:sz w:val="28"/>
          <w:szCs w:val="28"/>
          <w:lang w:eastAsia="zh-CN"/>
        </w:rPr>
        <w:t xml:space="preserve">本次项目共分为</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val="en-US" w:eastAsia="zh-CN"/>
        </w:rPr>
        <w:t xml:space="preserve">采购包</w:t>
      </w:r>
      <w:r>
        <w:rPr>
          <w:rFonts w:hint="eastAsia" w:ascii="仿宋" w:hAnsi="仿宋" w:eastAsia="仿宋" w:cs="Times New Roman"/>
          <w:sz w:val="28"/>
          <w:szCs w:val="28"/>
          <w:lang w:eastAsia="zh-CN"/>
        </w:rPr>
        <w:t xml:space="preserve">，每个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确定一家商业保险公司，为淮安市</w:t>
      </w:r>
      <w:r>
        <w:rPr>
          <w:rFonts w:hint="eastAsia" w:ascii="仿宋" w:hAnsi="仿宋" w:eastAsia="仿宋" w:cs="Times New Roman"/>
          <w:sz w:val="28"/>
          <w:szCs w:val="28"/>
          <w:lang w:val="en-US" w:eastAsia="zh-CN"/>
        </w:rPr>
        <w:t xml:space="preserve">长期护理保险</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lang w:val="en-US" w:eastAsia="zh-CN"/>
        </w:rPr>
        <w:t xml:space="preserve">承办</w:t>
      </w:r>
      <w:r>
        <w:rPr>
          <w:rFonts w:hint="eastAsia" w:ascii="仿宋" w:hAnsi="仿宋" w:eastAsia="仿宋" w:cs="Times New Roman"/>
          <w:sz w:val="28"/>
          <w:szCs w:val="28"/>
          <w:lang w:eastAsia="zh-CN"/>
        </w:rPr>
        <w:t xml:space="preserve">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lang w:eastAsia="zh-CN"/>
        </w:rPr>
        <w:t xml:space="preserve">年。投标人可投其中一个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，也可投多个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，但只可中一个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。详见招标文件第五章。</w:t>
      </w:r>
      <w:r>
        <w:rPr>
          <w:rFonts w:hint="eastAsia" w:ascii="仿宋" w:hAnsi="仿宋" w:eastAsia="仿宋" w:cs="Times New Roman"/>
          <w:sz w:val="28"/>
          <w:szCs w:val="28"/>
          <w:lang w:eastAsia="zh-CN"/>
        </w:rPr>
      </w:r>
      <w:r/>
    </w:p>
    <w:p>
      <w:pPr>
        <w:pStyle w:val="938"/>
        <w:ind w:firstLine="565"/>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9个采购包3年筹资总额分别为：</w:t>
      </w:r>
      <w:r>
        <w:rPr>
          <w:rFonts w:hint="eastAsia" w:ascii="仿宋" w:hAnsi="仿宋" w:eastAsia="仿宋" w:cs="Times New Roman"/>
          <w:sz w:val="28"/>
          <w:szCs w:val="28"/>
          <w:lang w:val="en-US" w:eastAsia="zh-CN"/>
        </w:rPr>
      </w:r>
      <w:r/>
    </w:p>
    <w:tbl>
      <w:tblPr>
        <w:tblStyle w:val="977"/>
        <w:tblW w:w="86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64"/>
        <w:gridCol w:w="4162"/>
      </w:tblGrid>
      <w:tr>
        <w:trPr>
          <w:tblHeade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采购包号</w:t>
            </w:r>
            <w:r>
              <w:rPr>
                <w:rFonts w:ascii="仿宋" w:hAnsi="仿宋" w:eastAsia="仿宋" w:cs="Times New Roman"/>
                <w:b/>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承办区域</w:t>
            </w:r>
            <w:r>
              <w:rPr>
                <w:rFonts w:hint="eastAsia" w:ascii="仿宋" w:hAnsi="仿宋" w:eastAsia="仿宋" w:cs="Times New Roman"/>
                <w:b/>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筹资总额（万元）</w:t>
            </w:r>
            <w:r>
              <w:rPr>
                <w:rFonts w:hint="eastAsia" w:ascii="仿宋" w:hAnsi="仿宋" w:eastAsia="仿宋" w:cs="Times New Roman"/>
                <w:b/>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第一包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淮安区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10946.64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第二包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涟水县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10019.18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第三包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淮阴区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8684.06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第四包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盱眙县</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7837.31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第五包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市本级</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5776.80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第六包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清江浦区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5092.90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第七包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金湖县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4282.66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第八包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洪泽区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4227.37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第九包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开发区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4142.24 </w:t>
            </w:r>
            <w:r>
              <w:rPr>
                <w:rFonts w:hint="eastAsia" w:ascii="仿宋" w:hAnsi="仿宋" w:eastAsia="仿宋" w:cs="Times New Roman"/>
                <w:color w:val="000000"/>
                <w:sz w:val="28"/>
                <w:szCs w:val="28"/>
                <w:lang w:val="en-US" w:eastAsia="zh-CN"/>
              </w:rPr>
            </w:r>
            <w:r/>
          </w:p>
        </w:tc>
      </w:tr>
    </w:tbl>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本项目保险期限为3年。如长护险服务期限结束，采购人尚未招标确定新的长护险承办商业保险机构，中标人需继续帮助采购人做好长护险衔接工作。   </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（九个采购包均适用）</w:t>
      </w:r>
      <w:r>
        <w:rPr>
          <w:rFonts w:hint="eastAsia" w:ascii="仿宋" w:hAnsi="仿宋" w:eastAsia="仿宋"/>
          <w:sz w:val="28"/>
          <w:szCs w:val="28"/>
          <w:lang w:eastAsia="zh-CN"/>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3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投标人应为保险总公司，但经</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授权，地市级及以上分公司（支公司）等机构可以代表</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参加投标；同一保险总公司仅能授权其一家地市级及以上分公司（支公司）参与投标；</w:t>
      </w:r>
      <w:r>
        <w:rPr>
          <w:rFonts w:hint="eastAsia" w:ascii="仿宋" w:hAnsi="仿宋" w:eastAsia="仿宋"/>
          <w:sz w:val="28"/>
          <w:szCs w:val="28"/>
          <w:highlight w:val="none"/>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2、投标人须具有监管部门颁发的经营保险业务许可证；</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3、投标人符合监管部门规定的其他条件；</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3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年11月19日上午9:30</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名称:淮安市社会医疗保险基金管理中心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地址:淮安市政务服务中心翔宇中道150号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lang w:val="en-US" w:eastAsia="zh-CN"/>
        </w:rPr>
        <w:t xml:space="preserve">陈红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0517-83998600</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0517-80996108</w:t>
      </w:r>
      <w:r>
        <w:rPr>
          <w:rFonts w:ascii="仿宋" w:hAnsi="仿宋" w:eastAsia="仿宋"/>
          <w:sz w:val="28"/>
          <w:szCs w:val="28"/>
          <w:lang w:val="en-US" w:eastAsia="zh-CN"/>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38"/>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28"/>
          <w:szCs w:val="28"/>
          <w:lang w:eastAsia="zh-CN"/>
        </w:rPr>
        <w:t xml:space="preserve">（九个采购包均适用）</w:t>
      </w:r>
      <w:r>
        <w:rPr>
          <w:rFonts w:hint="eastAsia" w:ascii="仿宋" w:hAnsi="仿宋" w:eastAsia="仿宋"/>
          <w:b/>
          <w:bCs/>
          <w:sz w:val="36"/>
          <w:szCs w:val="36"/>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3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3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3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3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3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38"/>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3投标人所报</w:t>
      </w:r>
      <w:r>
        <w:rPr>
          <w:rFonts w:hint="eastAsia" w:ascii="仿宋" w:hAnsi="仿宋" w:eastAsia="仿宋"/>
          <w:sz w:val="28"/>
          <w:szCs w:val="28"/>
          <w:highlight w:val="none"/>
          <w:lang w:eastAsia="zh-CN"/>
        </w:rPr>
        <w:t xml:space="preserve">承办服务费报价大于5%的；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投标人未按照招标文件第五章“4.长护险服务：2)长期护理服务”中第⑪项a.b．c.的要求及“7.经办考核”、“12.信息系统管理及要求”逐条提供书面承诺函的；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3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3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3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3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59"/>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（本项目不收取）</w:t>
      </w:r>
      <w:r>
        <w:rPr>
          <w:rFonts w:hint="eastAsia" w:ascii="仿宋" w:hAnsi="仿宋" w:eastAsia="仿宋" w:cs="Times New Roman"/>
          <w:sz w:val="28"/>
          <w:szCs w:val="28"/>
          <w:lang w:val="en-US" w:eastAsia="zh-CN" w:bidi="ar-SA"/>
        </w:rPr>
      </w:r>
      <w:r/>
    </w:p>
    <w:p>
      <w:pPr>
        <w:pStyle w:val="93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3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3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7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7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val="en-US" w:eastAsia="zh-CN"/>
        </w:rPr>
        <w:t xml:space="preserve">9个包均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sz w:val="28"/>
          <w:szCs w:val="28"/>
        </w:rPr>
        <w:t xml:space="preserve">三、</w:t>
      </w:r>
      <w:r>
        <w:rPr>
          <w:rFonts w:hint="eastAsia" w:ascii="仿宋" w:hAnsi="仿宋" w:eastAsia="仿宋" w:cs="仿宋"/>
          <w:sz w:val="28"/>
          <w:szCs w:val="28"/>
          <w:lang w:val="en-US" w:eastAsia="zh-CN"/>
        </w:rPr>
        <w:t xml:space="preserve">评委会将依据下列评标标准进行评标，九个包评标标准的总分均为100分。各包按综合评审后得分由高到低顺序排列，每个包分别选取排名第一的投标人作为中标候选人，投标人可选择其中一个或多个采购包投标，但最多只能中一个包。选取中标候选人按照采购包顺序原则进行：如首先按照第一包综合评审得分排名第一的投标人确定为第一包中标候选人，确定后如该投标人同时投了其他八个包中的某个包或者多个包，则该投标人在后续采购包作无效投标处理，后续包按剩余投标人得分重新排序确定中标候选人，以此类推。若某包剩余投标人不足三家，则该包作废标处理。</w:t>
      </w:r>
      <w:r>
        <w:rPr>
          <w:rFonts w:hint="eastAsia"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得分相同的，按</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报价由低到高顺序排列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得分且</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报价相同的并列,由评标委员会通过随机抽取的方式确定中标候选人。</w:t>
      </w:r>
      <w:r>
        <w:rPr>
          <w:rFonts w:hint="eastAsia" w:ascii="仿宋" w:hAnsi="仿宋" w:eastAsia="仿宋" w:cs="仿宋"/>
          <w:sz w:val="28"/>
          <w:szCs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个</w:t>
      </w:r>
      <w:r>
        <w:rPr>
          <w:rFonts w:hint="eastAsia" w:ascii="仿宋" w:hAnsi="仿宋" w:eastAsia="仿宋"/>
          <w:sz w:val="28"/>
          <w:szCs w:val="28"/>
          <w:lang w:eastAsia="zh-CN"/>
        </w:rPr>
        <w:t xml:space="preserve">采购包</w:t>
      </w:r>
      <w:r>
        <w:rPr>
          <w:rFonts w:hint="eastAsia" w:ascii="仿宋" w:hAnsi="仿宋" w:eastAsia="仿宋"/>
          <w:sz w:val="28"/>
          <w:szCs w:val="28"/>
        </w:rPr>
        <w:t xml:space="preserve">均适用）</w:t>
      </w:r>
      <w:r>
        <w:rPr>
          <w:rFonts w:hint="eastAsia" w:ascii="仿宋" w:hAnsi="仿宋" w:eastAsia="仿宋"/>
          <w:sz w:val="28"/>
        </w:rPr>
      </w:r>
      <w:r/>
    </w:p>
    <w:p>
      <w:pPr>
        <w:pStyle w:val="93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971"/>
        <w:ind w:firstLine="562"/>
        <w:keepLines w:val="0"/>
        <w:keepNext w:val="0"/>
        <w:pageBreakBefore w:val="0"/>
        <w:spacing w:line="520" w:lineRule="exact"/>
        <w:rPr>
          <w:rFonts w:hint="eastAsia" w:ascii="仿宋" w:hAnsi="仿宋" w:eastAsia="仿宋"/>
          <w:b/>
          <w:bCs/>
        </w:rPr>
        <w:outlineLvl w:val="9"/>
      </w:pPr>
      <w:r>
        <w:rPr>
          <w:rFonts w:hint="eastAsia" w:ascii="仿宋" w:hAnsi="仿宋" w:eastAsia="仿宋"/>
          <w:b/>
          <w:bCs/>
        </w:rPr>
        <w:t xml:space="preserve">注：电子工程文件中承办服务费报价，请各投标人直接填写数字即可。如某投标人所投承办服务费报价3.45%，电子工程文件中报价填写3.45。</w:t>
      </w:r>
      <w:r>
        <w:rPr>
          <w:rFonts w:hint="eastAsia" w:ascii="仿宋" w:hAnsi="仿宋" w:eastAsia="仿宋"/>
          <w:b/>
          <w:bCs/>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56</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评委会根据投标人提供的方案进行评分，不提供分项方案或者经三分之二评委认定分项方案存在重大偏离的，分项方案不得分</w:t>
      </w:r>
      <w:r>
        <w:rPr>
          <w:rFonts w:hint="eastAsia" w:ascii="仿宋" w:hAnsi="仿宋" w:eastAsia="仿宋" w:cs="Times New Roman"/>
          <w:b/>
          <w:bCs/>
          <w:sz w:val="28"/>
          <w:szCs w:val="24"/>
          <w:lang w:val="en-US" w:eastAsia="zh-CN" w:bidi="ar-SA"/>
        </w:rPr>
        <w:t xml:space="preserve">（分项方案不得超过50页）。</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（1）失能评估工作方案：7分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评估机构管理及组织评估方案（包括评估的受理、上门评估及信息采集、评估结果公示、评估结果通知与送达、鉴定评估结论争议处理、鉴定评估案件内容统计分析、评估技能培训、评估工作时效规定、业务资料归档等方面）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（2）费用初审及基金管理方案:7分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根据投标人提供费用初审及基金管理方案（包括费用对账初审、基金风险管理、基金运行情况分析等）等进行综合评审。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（3）护理服务机构管理方案:7分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根据投标人提供的针对本项目的定点护理机构管理方案（包括定点护理机构管理、服务质量管理、档案管理、护理服务设施、开展的护理服务项目、收费价格、现场巡查方案等）进行综合评审。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（4）稽查监管工作方案：7分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根据投标人提供的稽核监管服务方案（包括但不限于对评估机构、评估人员、护理机构、护理人员及长护险待遇享受人的监督稽核及违规情况处理工作方案等）进行综合评审。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（5）项目实施方案：7分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围绕本招标书项目要求，提出经办工作整体思路、主要工作内容及阶段安排等并形成方案概要，满足与上一轮长护险承保公司平稳衔接。能结合实际，包括（但不限于）对参保人员提供的经办业务流程和管理制度；协助医保经办机构开展机构遴选、准入、考核、管理及年终考评工作；政策及业务咨询与答疑；信访接待；评定、待遇等方面争议申诉；异地失能人员评估、待遇支付；长护险运行情况统计分析等方面。对优化淮安长护经办工作有创新亮点，并可操作执行的，得7分；基本思路清晰但未能结合实际或创新性、操作性一般的，得3分；方案较差的不得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（6）宣传方案:7分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根据投标人提供的宣传工作方案（包括宣传方向、宣传方式、宣传渠道、宣传频率等）进行综合评审。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政策宣传方向正确，宣传合适，完全满足采购需求的得7分；政策宣传方向基本正确，宣传方案符合基本需求但存在不足的得5分；政策宣传服务方向略有偏差，宣传方案有欠缺之处的得2分。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（7）培训方案：7分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根据投标人提供的培训方案（包括长护服务机构、照护人员、评估机构、评估人员培训等）进行综合评审。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科学合理完整，阐述详细，可行性强，有针对性，且优于项目需求的得7分；方案较为完整，阐述较详细，但科学合理及可行性较强，满足项目需求的得5分；方案不完整，阐述不详细，且可行性欠缺，缺乏针对性，需求响应不全的得2分。</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（8）创新服务方案：7分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sz w:val="28"/>
          <w:szCs w:val="28"/>
        </w:rPr>
      </w:pPr>
      <w:r>
        <w:rPr>
          <w:rFonts w:hint="eastAsia" w:ascii="仿宋" w:hAnsi="仿宋" w:eastAsia="仿宋" w:cs="Times New Roman"/>
          <w:sz w:val="28"/>
          <w:szCs w:val="24"/>
          <w:lang w:val="en-US" w:eastAsia="zh-CN" w:bidi="ar-SA"/>
        </w:rPr>
        <w:t xml:space="preserve">投标人在创新性方面，特别是在利用互联网、大数据等先进技术对失能评估、护理服务、服务监管、技能培训等方面的应用及总体情况，创新性服务方案全面经验丰富，科学合理的得7分；创新性服务方案较全面合理，经验较好的得5分；创新性服务方案基本全面，经验欠缺，基本科学合理的得3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34</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（1）综合偿付能力：7分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根据投标人总公司2026年二季度末综合偿付能力充足率进行评分,本项最高得7分，没有不得分。</w:t>
      </w:r>
      <w:r>
        <w:rPr>
          <w:rFonts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综合偿付能力充足率≥190%，得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160%≤综合偿付能力充足率﹤190%，得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130%≤综合偿付能力充足率﹤160%，得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120%≤综合偿付能力充足率﹤130%，得 3分；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综合偿付能力充足率低于120%的不得分。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（2）核心偿付能力：7分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w:t>
      </w:r>
      <w:r>
        <w:rPr>
          <w:rFonts w:hint="eastAsia" w:ascii="仿宋" w:hAnsi="仿宋" w:eastAsia="仿宋" w:cs="仿宋"/>
          <w:color w:val="000000"/>
          <w:sz w:val="28"/>
          <w:szCs w:val="28"/>
          <w:highlight w:val="none"/>
          <w:lang w:val="en-US" w:eastAsia="zh-CN"/>
        </w:rPr>
        <w:t xml:space="preserve">2026年二季度末核</w:t>
      </w:r>
      <w:r>
        <w:rPr>
          <w:rFonts w:hint="eastAsia" w:ascii="仿宋" w:hAnsi="仿宋" w:eastAsia="仿宋" w:cs="仿宋"/>
          <w:color w:val="000000"/>
          <w:sz w:val="28"/>
          <w:szCs w:val="28"/>
          <w:highlight w:val="none"/>
          <w:lang w:val="en-US" w:eastAsia="zh-CN"/>
        </w:rPr>
        <w:t xml:space="preserve">心偿付能力充足率进行评分，本项最高得7分，没有不得分。</w:t>
      </w:r>
      <w:r>
        <w:rPr>
          <w:rFonts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核心偿付能力充足率≥150%，得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130%≤核心偿付能力充足率﹤150%，得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120%≤核心偿付能力充足率﹤130%，得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100%≤核心偿付能力充足率﹤120%，得 4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核心偿付能力充足率低于100%的不得分。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注：提供中国保险行业协会发布的2026年二季度末保险总公司综合偿付能力和核心偿付能力情况摘要截图（扫描件并加盖投标人电子签章）。</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（3）风险评级：4分</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根据投标人总公司2026年一季度风险综合评级（分类监管）为评分标准，评级为A A A 、AA 、A 的得 4 分，B B B 、B B 、B得 3分，评级为C或没有评级的不得分，本项最高得4分。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注：提供中国保险行业协会发布的2026年度保险总公司一季度的风险综合评级摘要截图（扫描件并加盖投标人电子签章）。</w:t>
      </w:r>
      <w:r>
        <w:rPr>
          <w:rFonts w:hint="eastAsia" w:ascii="仿宋" w:hAnsi="仿宋" w:eastAsia="仿宋" w:cs="仿宋"/>
          <w:color w:val="000000"/>
          <w:sz w:val="28"/>
          <w:szCs w:val="28"/>
          <w:highlight w:val="none"/>
          <w:lang w:val="en-US" w:eastAsia="zh-CN"/>
        </w:rPr>
      </w:r>
      <w:r/>
    </w:p>
    <w:p>
      <w:pPr>
        <w:pStyle w:val="1032"/>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区域服务能力：</w:t>
      </w:r>
      <w:r>
        <w:rPr>
          <w:rFonts w:hint="eastAsia" w:ascii="仿宋" w:hAnsi="仿宋" w:eastAsia="仿宋" w:cs="Times New Roman"/>
          <w:lang w:val="en-US" w:eastAsia="zh-CN"/>
        </w:rPr>
        <w:t xml:space="preserve">4</w:t>
      </w:r>
      <w:r>
        <w:rPr>
          <w:rFonts w:hint="eastAsia" w:ascii="仿宋" w:hAnsi="仿宋" w:eastAsia="仿宋" w:cs="Times New Roman"/>
        </w:rPr>
        <w:t xml:space="preserve">分</w:t>
      </w:r>
      <w:r>
        <w:rPr>
          <w:rFonts w:hint="eastAsia" w:ascii="仿宋" w:hAnsi="仿宋" w:eastAsia="仿宋" w:cs="Times New Roman"/>
        </w:rPr>
      </w:r>
      <w:r/>
    </w:p>
    <w:p>
      <w:pPr>
        <w:pStyle w:val="1032"/>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Times New Roman"/>
          <w:color w:val="000000"/>
          <w:lang w:val="en-US" w:eastAsia="zh-CN"/>
        </w:rPr>
        <w:t xml:space="preserve">a.</w:t>
      </w:r>
      <w:r>
        <w:rPr>
          <w:rFonts w:hint="eastAsia" w:ascii="仿宋" w:hAnsi="仿宋" w:eastAsia="仿宋" w:cs="Times New Roman"/>
          <w:color w:val="000000"/>
        </w:rPr>
        <w:t xml:space="preserve">投标人承诺中标后</w:t>
      </w:r>
      <w:r>
        <w:rPr>
          <w:rFonts w:hint="eastAsia" w:ascii="仿宋" w:hAnsi="仿宋" w:eastAsia="仿宋" w:cs="Times New Roman"/>
          <w:color w:val="000000"/>
          <w:lang w:val="en-US" w:eastAsia="zh-CN"/>
        </w:rPr>
        <w:t xml:space="preserve">设立长护险服务中心</w:t>
      </w:r>
      <w:r>
        <w:rPr>
          <w:rFonts w:hint="eastAsia" w:ascii="仿宋" w:hAnsi="仿宋" w:eastAsia="仿宋" w:cs="Times New Roman"/>
          <w:color w:val="000000"/>
        </w:rPr>
        <w:t xml:space="preserve">，</w:t>
      </w:r>
      <w:r>
        <w:rPr>
          <w:rFonts w:hint="eastAsia" w:ascii="仿宋" w:hAnsi="仿宋" w:eastAsia="仿宋" w:cs="仿宋"/>
          <w:color w:val="000000"/>
          <w:sz w:val="28"/>
          <w:szCs w:val="28"/>
          <w:highlight w:val="none"/>
          <w:lang w:val="en-US" w:eastAsia="zh-CN" w:bidi="ar-SA"/>
        </w:rPr>
        <w:t xml:space="preserve">办公设备（配备打印机、复印机等能够满足办公需求的办公设备，每人配备办公电脑，核查岗应按岗位要求配备便携电脑、执法记录仪、录音笔等记录核查设备）及车辆配置的得2分，不承诺不得分。</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0"/>
        <w:jc w:val="both"/>
        <w:spacing w:beforeAutospacing="0" w:afterAutospacing="0" w:line="48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b.投标人承诺在中标后30天内完成长护险服务中心建设、办公设备及车辆配置的得2分，不承诺不得分。</w:t>
      </w:r>
      <w:r>
        <w:rPr>
          <w:rFonts w:hint="eastAsia" w:ascii="仿宋" w:hAnsi="仿宋" w:eastAsia="仿宋" w:cs="仿宋"/>
          <w:color w:val="000000"/>
          <w:sz w:val="28"/>
          <w:szCs w:val="28"/>
          <w:highlight w:val="none"/>
          <w:lang w:val="en-US" w:eastAsia="zh-CN" w:bidi="ar-SA"/>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注：需在投标文件中提供加盖投标人电子签章的承诺书，格式自拟。</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（5）承办长护险项目合作经验:5分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经验和业务优势：所属的地市级及以上分公司（支公司）自2023年1月1日（以项目合同签订时间为准）及以来在全国范围内承办（经办）长护险、照护险、失能险项目（包括险种内容相同但名称不同），每有一个项目（合同）得1分，本项最高得5分，不提供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注：1）一个地级市内不论与市级单位签订的合同还是与县区级单位签订的合同都可以。</w:t>
      </w:r>
      <w:r>
        <w:rPr>
          <w:rFonts w:hint="eastAsia" w:ascii="仿宋" w:hAnsi="仿宋" w:eastAsia="仿宋" w:cs="仿宋"/>
          <w:b/>
          <w:bCs/>
          <w:color w:val="000000"/>
          <w:sz w:val="28"/>
          <w:szCs w:val="28"/>
          <w:highlight w:val="none"/>
          <w:lang w:val="en-US" w:eastAsia="zh-CN"/>
        </w:rPr>
        <w:t xml:space="preserve">但一个地级市内只认可一个项目（合同）。</w:t>
      </w:r>
      <w:r>
        <w:rPr>
          <w:rFonts w:ascii="仿宋" w:hAnsi="仿宋" w:eastAsia="仿宋" w:cs="仿宋"/>
          <w:b/>
          <w:bCs/>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2）需提供与医保主管行政部门或医疗保险经办机构签署的合作协议或合同（扫描件加盖投标人电子签章）、保险单（扫描件加盖投标人电子签章）。</w:t>
      </w:r>
      <w:r>
        <w:rPr>
          <w:rFonts w:hint="eastAsia" w:ascii="仿宋" w:hAnsi="仿宋" w:eastAsia="仿宋" w:cs="仿宋"/>
          <w:b/>
          <w:bCs/>
          <w:color w:val="000000"/>
          <w:sz w:val="28"/>
          <w:szCs w:val="28"/>
          <w:highlight w:val="none"/>
          <w:lang w:val="en-US" w:eastAsia="zh-CN"/>
        </w:rPr>
        <w:t xml:space="preserve">合同内容必须能够准确体现签订时间和项目相应服务内容。</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仿宋"/>
          <w:color w:val="0000ff"/>
          <w:sz w:val="28"/>
          <w:szCs w:val="28"/>
          <w:highlight w:val="none"/>
          <w:lang w:val="en-US" w:eastAsia="zh-CN"/>
        </w:rPr>
      </w:r>
      <w:r/>
    </w:p>
    <w:p>
      <w:pPr>
        <w:pStyle w:val="938"/>
        <w:numPr>
          <w:ilvl w:val="0"/>
          <w:numId w:val="7"/>
        </w:numPr>
        <w:ind w:firstLine="560"/>
        <w:jc w:val="both"/>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医保合作项目（5分）</w:t>
      </w:r>
      <w:r>
        <w:rPr>
          <w:rFonts w:hint="eastAsia" w:ascii="仿宋" w:hAnsi="仿宋" w:eastAsia="仿宋" w:cs="仿宋"/>
          <w:color w:val="000000"/>
          <w:sz w:val="28"/>
          <w:szCs w:val="28"/>
          <w:highlight w:val="none"/>
          <w:lang w:val="en-US" w:eastAsia="zh-CN" w:bidi="ar-SA"/>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Times New Roman"/>
          <w:color w:val="000000"/>
        </w:rPr>
        <w:t xml:space="preserve">投标人所属总公司或者总公司所属的分支机构自2023年1月1日（项目合同签订时间为准）以来承保医疗保险项目（包括职工大病保险、职工大额医疗补助保险、居民大病保险及险种内容相同但名称不同以及与基本医保相关的补充医疗保险项目，具体为与医保部门开展的基本医疗、大病保险、补充医疗等医保合作项目），每有一个得1分，</w:t>
      </w:r>
      <w:r>
        <w:rPr>
          <w:rFonts w:hint="eastAsia" w:ascii="仿宋" w:hAnsi="仿宋" w:eastAsia="仿宋" w:cs="Times New Roman"/>
          <w:color w:val="000000"/>
          <w:lang w:eastAsia="zh-CN"/>
        </w:rPr>
        <w:t xml:space="preserve">本项</w:t>
      </w:r>
      <w:r>
        <w:rPr>
          <w:rFonts w:hint="eastAsia" w:ascii="仿宋" w:hAnsi="仿宋" w:eastAsia="仿宋" w:cs="Times New Roman"/>
          <w:color w:val="000000"/>
        </w:rPr>
        <w:t xml:space="preserve">最高得</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rPr>
        <w:t xml:space="preserve">分</w:t>
      </w:r>
      <w:r>
        <w:rPr>
          <w:rFonts w:hint="eastAsia" w:ascii="仿宋" w:hAnsi="仿宋" w:eastAsia="仿宋" w:cs="Times New Roman"/>
          <w:color w:val="000000"/>
          <w:lang w:eastAsia="zh-CN"/>
        </w:rPr>
        <w:t xml:space="preserve">，不提供不得分</w:t>
      </w:r>
      <w:r>
        <w:rPr>
          <w:rFonts w:hint="eastAsia" w:ascii="仿宋" w:hAnsi="仿宋" w:eastAsia="仿宋" w:cs="Times New Roman"/>
          <w:color w:val="000000"/>
        </w:rPr>
        <w:t xml:space="preserve">。</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注：1.投标文件中须提供合同复印件或扫描件或电子件加盖投标人</w:t>
      </w:r>
      <w:r>
        <w:rPr>
          <w:rFonts w:hint="eastAsia" w:ascii="仿宋" w:hAnsi="仿宋" w:eastAsia="仿宋" w:cs="Times New Roman"/>
          <w:color w:val="000000"/>
          <w:lang w:eastAsia="zh-CN"/>
        </w:rPr>
        <w:t xml:space="preserve">电子签章</w:t>
      </w:r>
      <w:r>
        <w:rPr>
          <w:rFonts w:hint="eastAsia" w:ascii="仿宋" w:hAnsi="仿宋" w:eastAsia="仿宋" w:cs="Times New Roman"/>
          <w:color w:val="000000"/>
        </w:rPr>
        <w:t xml:space="preserve">，合同内容必须能够准确体现签订时间和项目相应服务内容。</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rPr>
        <w:t xml:space="preserve">2.相同项目在不同年度、同一直辖市/地级行政区内开展的经验分只计算一次。一个直辖市/地级市内不论与市级单位签订的合同还是与县区级单位签订的合同都可以，但一个直辖市/地级市内只认可一个项目（合同）。</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938"/>
        <w:ind w:left="0" w:right="0" w:firstLine="560"/>
        <w:keepLines w:val="0"/>
        <w:keepNext w:val="0"/>
        <w:pageBreakBefore w:val="0"/>
        <w:spacing w:line="520" w:lineRule="exact"/>
        <w:widowControl w:val="off"/>
        <w:rPr>
          <w:rFonts w:hint="eastAsia" w:ascii="宋体" w:hAnsi="宋体"/>
          <w:b/>
          <w:sz w:val="30"/>
          <w:szCs w:val="30"/>
        </w:rPr>
      </w:pPr>
      <w:r>
        <w:rPr>
          <w:rFonts w:hint="eastAsia" w:ascii="仿宋" w:hAnsi="仿宋" w:eastAsia="仿宋" w:cs="仿宋"/>
          <w:sz w:val="28"/>
          <w:szCs w:val="28"/>
          <w:highlight w:val="none"/>
          <w:lang w:val="en-US" w:eastAsia="zh-CN"/>
        </w:rPr>
        <w:t xml:space="preserve">投标人承诺如因长期护理保险发生政策性调整或因行政区划调整导致项目无法履行或需进行变更，投标人承诺服从采购人安排的得2分，不承诺不得分。（提供承诺函加盖投标人电子签章，格式由投标人自拟）</w:t>
      </w:r>
      <w:r>
        <w:rPr>
          <w:rFonts w:hint="eastAsia" w:ascii="宋体" w:hAnsi="宋体"/>
          <w:b/>
          <w:sz w:val="30"/>
          <w:szCs w:val="30"/>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3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3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5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5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5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（本项目不收取）</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3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3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59"/>
        <w:jc w:val="both"/>
        <w:keepLines w:val="0"/>
        <w:keepNext w:val="0"/>
        <w:pageBreakBefore w:val="0"/>
        <w:spacing w:line="520" w:lineRule="exact"/>
        <w:widowControl w:val="off"/>
        <w:rPr>
          <w:rFonts w:hint="eastAsia" w:ascii="仿宋" w:hAnsi="仿宋" w:eastAsia="仿宋"/>
          <w:b/>
          <w:bCs/>
          <w:sz w:val="36"/>
          <w:szCs w:val="36"/>
          <w:lang w:eastAsia="zh-CN"/>
        </w:rPr>
        <w:outlineLvl w:val="9"/>
      </w:pPr>
      <w:r>
        <w:rPr>
          <w:rFonts w:hint="eastAsia" w:ascii="仿宋" w:hAnsi="仿宋" w:eastAsia="仿宋"/>
          <w:b/>
          <w:bCs/>
          <w:sz w:val="36"/>
          <w:szCs w:val="36"/>
          <w:lang w:eastAsia="zh-CN"/>
        </w:rPr>
        <w:t xml:space="preserve">附件</w:t>
      </w:r>
      <w:r>
        <w:rPr>
          <w:rFonts w:hint="eastAsia" w:ascii="仿宋" w:hAnsi="仿宋" w:eastAsia="仿宋"/>
          <w:b/>
          <w:bCs/>
          <w:sz w:val="36"/>
          <w:szCs w:val="36"/>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根据《中华人民共和国政府采购法》《中华人民共和国民法典》以及</w:t>
      </w:r>
      <w:r>
        <w:rPr>
          <w:rFonts w:hint="eastAsia" w:ascii="仿宋" w:hAnsi="仿宋" w:eastAsia="仿宋" w:cs="仿宋"/>
          <w:color w:val="000000"/>
          <w:sz w:val="28"/>
          <w:szCs w:val="28"/>
        </w:rPr>
        <w:t xml:space="preserve">《市政府关于印发淮安市长期护理保险实施方案的通知》（淮政规〔2023〕2号）《淮安市长期护理保险实施细则（试行）》（淮医保发〔2023〕33号）</w:t>
      </w:r>
      <w:r>
        <w:rPr>
          <w:rFonts w:hint="eastAsia" w:ascii="仿宋" w:hAnsi="仿宋" w:eastAsia="仿宋" w:cs="仿宋"/>
          <w:color w:val="000000"/>
          <w:sz w:val="28"/>
          <w:szCs w:val="28"/>
          <w:lang w:val="en-US" w:eastAsia="zh-CN"/>
        </w:rPr>
        <w:t xml:space="preserve">《关于健全长期护理保险制度的通知》</w:t>
      </w:r>
      <w:r>
        <w:rPr>
          <w:rFonts w:hint="eastAsia" w:ascii="仿宋" w:hAnsi="仿宋" w:eastAsia="仿宋" w:cs="仿宋"/>
          <w:color w:val="000000"/>
          <w:sz w:val="28"/>
          <w:szCs w:val="28"/>
        </w:rPr>
        <w:t xml:space="preserve">（淮医保发〔202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16</w:t>
      </w:r>
      <w:r>
        <w:rPr>
          <w:rFonts w:hint="eastAsia" w:ascii="仿宋" w:hAnsi="仿宋" w:eastAsia="仿宋" w:cs="仿宋"/>
          <w:color w:val="000000"/>
          <w:sz w:val="28"/>
          <w:szCs w:val="28"/>
        </w:rPr>
        <w:t xml:space="preserve">号）等有关文件规定，为做好淮安市长期护理保险服务工作，甲方与通过淮安市公共资源交易中心（政府采购中心）招标选定的乙方经过协商，本着平等协作和诚实信用的原则，签订如下合同：</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w:t>
      </w:r>
      <w:r>
        <w:rPr>
          <w:rFonts w:hint="eastAsia" w:ascii="方正黑体_GBK" w:hAnsi="方正黑体_GBK" w:eastAsia="方正黑体_GBK" w:cs="方正黑体_GBK"/>
          <w:color w:val="000000"/>
          <w:sz w:val="32"/>
          <w:szCs w:val="32"/>
          <w:lang w:val="en-US" w:eastAsia="zh-CN"/>
        </w:rPr>
        <w:t xml:space="preserve">委托</w:t>
      </w:r>
      <w:r>
        <w:rPr>
          <w:rFonts w:hint="eastAsia" w:ascii="方正黑体_GBK" w:hAnsi="方正黑体_GBK" w:eastAsia="方正黑体_GBK" w:cs="方正黑体_GBK"/>
          <w:color w:val="000000"/>
          <w:sz w:val="32"/>
          <w:szCs w:val="32"/>
        </w:rPr>
        <w:t xml:space="preserve">事项</w:t>
      </w:r>
      <w:r>
        <w:rPr>
          <w:rFonts w:hint="eastAsia" w:ascii="方正黑体_GBK" w:hAnsi="方正黑体_GBK" w:eastAsia="方正黑体_GBK" w:cs="方正黑体_GBK"/>
          <w:color w:val="000000"/>
          <w:sz w:val="32"/>
          <w:szCs w:val="32"/>
        </w:rPr>
      </w:r>
      <w:r/>
    </w:p>
    <w:p>
      <w:pPr>
        <w:pStyle w:val="938"/>
        <w:ind w:firstLine="680"/>
        <w:spacing w:after="12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甲方作为长期护理保险（以下简称长护险）的经办机构，委托乙方承办服务区域</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经办管理相关事务。乙方根据本合同约定，接受甲方委托，开展失能评估、定点服务机构协议管理、费</w:t>
      </w:r>
      <w:r>
        <w:rPr>
          <w:rFonts w:hint="eastAsia" w:ascii="仿宋" w:hAnsi="仿宋" w:eastAsia="仿宋" w:cs="仿宋"/>
          <w:color w:val="000000"/>
          <w:sz w:val="28"/>
          <w:szCs w:val="28"/>
          <w:highlight w:val="none"/>
          <w:lang w:val="en-US" w:eastAsia="zh-CN"/>
        </w:rPr>
        <w:t xml:space="preserve">用明细初审</w:t>
      </w:r>
      <w:r>
        <w:rPr>
          <w:rFonts w:hint="eastAsia" w:ascii="仿宋" w:hAnsi="仿宋" w:eastAsia="仿宋" w:cs="仿宋"/>
          <w:color w:val="000000"/>
          <w:sz w:val="28"/>
          <w:szCs w:val="28"/>
          <w:highlight w:val="none"/>
        </w:rPr>
        <w:t xml:space="preserve">、稽核管理、政策宣传、业务培训、咨询回复、信访答</w:t>
      </w:r>
      <w:r>
        <w:rPr>
          <w:rFonts w:hint="eastAsia" w:ascii="仿宋" w:hAnsi="仿宋" w:eastAsia="仿宋" w:cs="仿宋"/>
          <w:color w:val="000000"/>
          <w:sz w:val="28"/>
          <w:szCs w:val="28"/>
        </w:rPr>
        <w:t xml:space="preserve">复、投诉处理、基金运行监测以及其他适合委托经办的业务。</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二、合同期限</w:t>
      </w:r>
      <w:r>
        <w:rPr>
          <w:rFonts w:hint="eastAsia" w:ascii="方正黑体_GBK" w:hAnsi="方正黑体_GBK" w:eastAsia="方正黑体_GBK" w:cs="方正黑体_GBK"/>
          <w:color w:val="000000"/>
          <w:sz w:val="32"/>
          <w:szCs w:val="32"/>
        </w:rPr>
      </w:r>
      <w:r/>
    </w:p>
    <w:p>
      <w:pPr>
        <w:pStyle w:val="938"/>
        <w:ind w:left="319" w:firstLine="280"/>
        <w:jc w:val="left"/>
        <w:keepLines w:val="0"/>
        <w:keepNext w:val="0"/>
        <w:pageBreakBefore w:val="0"/>
        <w:spacing w:after="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本合同期限</w:t>
      </w:r>
      <w:r>
        <w:rPr>
          <w:rFonts w:hint="eastAsia" w:ascii="仿宋" w:hAnsi="仿宋" w:eastAsia="仿宋" w:cs="仿宋"/>
          <w:color w:val="000000"/>
          <w:sz w:val="28"/>
          <w:szCs w:val="28"/>
          <w:u w:val="none"/>
          <w:lang w:val="en-US" w:eastAsia="zh-CN"/>
        </w:rPr>
        <w:t xml:space="preserve">为</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1月1</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三、</w:t>
      </w:r>
      <w:r>
        <w:rPr>
          <w:rFonts w:hint="eastAsia" w:ascii="方正黑体_GBK" w:hAnsi="方正黑体_GBK" w:eastAsia="方正黑体_GBK" w:cs="方正黑体_GBK"/>
          <w:b w:val="0"/>
          <w:bCs w:val="0"/>
          <w:color w:val="000000"/>
          <w:sz w:val="32"/>
          <w:szCs w:val="32"/>
          <w:lang w:val="en-US" w:eastAsia="zh-CN"/>
        </w:rPr>
        <w:t xml:space="preserve">合同金额和支付方式</w:t>
      </w:r>
      <w:r>
        <w:rPr>
          <w:rFonts w:hint="eastAsia" w:ascii="方正黑体_GBK" w:hAnsi="方正黑体_GBK" w:eastAsia="方正黑体_GBK" w:cs="方正黑体_GBK"/>
          <w:color w:val="000000"/>
          <w:sz w:val="32"/>
          <w:szCs w:val="32"/>
          <w:lang w:eastAsia="zh-CN"/>
        </w:rPr>
      </w:r>
      <w:r/>
    </w:p>
    <w:p>
      <w:pPr>
        <w:pStyle w:val="938"/>
        <w:ind w:firstLine="562"/>
        <w:jc w:val="both"/>
        <w:keepLines w:val="0"/>
        <w:keepNext w:val="0"/>
        <w:pageBreakBefore w:val="0"/>
        <w:spacing w:line="54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资金筹集。</w:t>
      </w:r>
      <w:r>
        <w:rPr>
          <w:rFonts w:hint="eastAsia" w:ascii="仿宋" w:hAnsi="仿宋" w:eastAsia="仿宋" w:cs="仿宋"/>
          <w:b/>
          <w:bCs/>
          <w:color w:val="000000"/>
          <w:sz w:val="28"/>
          <w:szCs w:val="28"/>
          <w:highlight w:val="none"/>
          <w:lang w:val="en-US" w:eastAsia="zh-CN" w:bidi="ar-SA"/>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参加职工医保的人员参加长护险（以下简称“职工长护险”），筹资按每人每年80元的标准筹集，其中个人缴纳20元，从职工医保统筹基金中划拨60元。</w:t>
      </w:r>
      <w:r>
        <w:rPr>
          <w:rFonts w:hint="eastAsia" w:ascii="仿宋" w:hAnsi="仿宋" w:eastAsia="仿宋" w:cs="仿宋"/>
          <w:color w:val="000000"/>
          <w:sz w:val="28"/>
          <w:szCs w:val="28"/>
          <w:lang w:eastAsia="zh-CN"/>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参加居民医保的人员参加长护险（以下简称“居民长护险”），筹资标准按4</w:t>
      </w:r>
      <w:r>
        <w:rPr>
          <w:rFonts w:hint="eastAsia" w:ascii="仿宋" w:hAnsi="仿宋" w:eastAsia="仿宋" w:cs="仿宋"/>
          <w:color w:val="000000"/>
          <w:sz w:val="28"/>
          <w:szCs w:val="28"/>
        </w:rPr>
        <w:t xml:space="preserve">0元/人·年标准筹集，其中个人缴费</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0元、市县（区）财政补助</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18周岁以下以及参加我市城乡居民基本医疗保险的在淮大中专院校在校学生享受长期护理保险待遇，暂不单独筹资。困难人员参加城乡居民长期护理保险的个人缴费部分参照我市医疗救助对象分类资助参保政策进行资助。</w:t>
      </w:r>
      <w:r>
        <w:rPr>
          <w:rFonts w:hint="eastAsia" w:ascii="仿宋" w:hAnsi="仿宋" w:eastAsia="仿宋" w:cs="仿宋"/>
          <w:color w:val="000000"/>
          <w:sz w:val="28"/>
          <w:szCs w:val="28"/>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如遇政策调整，以具体政策规定为准。</w:t>
      </w:r>
      <w:r>
        <w:rPr>
          <w:rFonts w:hint="eastAsia" w:ascii="仿宋" w:hAnsi="仿宋" w:eastAsia="仿宋" w:cs="仿宋"/>
          <w:color w:val="000000"/>
          <w:sz w:val="28"/>
          <w:szCs w:val="28"/>
          <w:lang w:val="en-US" w:eastAsia="zh-CN"/>
        </w:rPr>
      </w:r>
      <w:r/>
    </w:p>
    <w:p>
      <w:pPr>
        <w:pStyle w:val="938"/>
        <w:ind w:firstLine="680"/>
        <w:keepLines w:val="0"/>
        <w:keepNext w:val="0"/>
        <w:pageBreakBefore w:val="0"/>
        <w:spacing w:after="120" w:line="500" w:lineRule="exac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bidi="ar-SA"/>
        </w:rPr>
        <w:t xml:space="preserve">2.费用拨付。</w:t>
      </w:r>
      <w:r>
        <w:rPr>
          <w:rFonts w:hint="eastAsia" w:ascii="仿宋" w:hAnsi="仿宋" w:eastAsia="仿宋" w:cs="仿宋"/>
          <w:b w:val="0"/>
          <w:bCs w:val="0"/>
          <w:sz w:val="28"/>
          <w:szCs w:val="28"/>
          <w:highlight w:val="none"/>
          <w:lang w:val="en-US" w:eastAsia="zh-CN" w:bidi="ar-SA"/>
        </w:rPr>
        <w:t xml:space="preserve">（1）</w:t>
      </w:r>
      <w:r>
        <w:rPr>
          <w:rFonts w:hint="eastAsia" w:ascii="仿宋" w:hAnsi="仿宋" w:eastAsia="仿宋" w:cs="仿宋"/>
          <w:sz w:val="28"/>
          <w:szCs w:val="28"/>
          <w:highlight w:val="none"/>
        </w:rPr>
        <w:t xml:space="preserve">甲方</w:t>
      </w:r>
      <w:r>
        <w:rPr>
          <w:rFonts w:hint="eastAsia" w:ascii="仿宋" w:hAnsi="仿宋" w:eastAsia="仿宋" w:cs="仿宋"/>
          <w:sz w:val="28"/>
          <w:szCs w:val="28"/>
        </w:rPr>
        <w:t xml:space="preserve">按筹资标准及本服务区域</w:t>
      </w:r>
      <w:r>
        <w:rPr>
          <w:rFonts w:hint="eastAsia" w:ascii="仿宋" w:hAnsi="仿宋" w:eastAsia="仿宋" w:cs="仿宋"/>
          <w:color w:val="000000"/>
          <w:sz w:val="28"/>
          <w:szCs w:val="28"/>
          <w:lang w:val="en-US" w:eastAsia="zh-CN"/>
        </w:rPr>
        <w:t xml:space="preserve">期初</w:t>
      </w:r>
      <w:r>
        <w:rPr>
          <w:rFonts w:hint="eastAsia" w:ascii="仿宋" w:hAnsi="仿宋" w:eastAsia="仿宋" w:cs="仿宋"/>
          <w:color w:val="000000"/>
          <w:sz w:val="28"/>
          <w:szCs w:val="28"/>
        </w:rPr>
        <w:t xml:space="preserve">人数，计算长护险基金总额，其中承办服务费按招标确定的</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计提。</w:t>
      </w:r>
      <w:r>
        <w:rPr>
          <w:rFonts w:hint="eastAsia" w:ascii="仿宋" w:hAnsi="仿宋" w:eastAsia="仿宋" w:cs="仿宋"/>
          <w:sz w:val="28"/>
          <w:szCs w:val="28"/>
          <w:lang w:val="en-US" w:eastAsia="zh-CN" w:bidi="ar-SA"/>
        </w:rPr>
        <w:t xml:space="preserve">甲方预留承办服务费的5%作为履约保证金，剩余</w:t>
      </w:r>
      <w:r>
        <w:rPr>
          <w:rFonts w:hint="eastAsia" w:ascii="仿宋" w:hAnsi="仿宋" w:eastAsia="仿宋" w:cs="仿宋"/>
          <w:sz w:val="28"/>
          <w:szCs w:val="28"/>
        </w:rPr>
        <w:t xml:space="preserve">服务费</w:t>
      </w:r>
      <w:r>
        <w:rPr>
          <w:rFonts w:hint="eastAsia" w:ascii="仿宋" w:hAnsi="仿宋" w:eastAsia="仿宋" w:cs="仿宋"/>
          <w:sz w:val="28"/>
          <w:szCs w:val="28"/>
          <w:highlight w:val="none"/>
          <w:lang w:val="en-US" w:eastAsia="zh-CN" w:bidi="ar-SA"/>
        </w:rPr>
        <w:t xml:space="preserve">原则上于每季度首月</w:t>
      </w:r>
      <w:r>
        <w:rPr>
          <w:rFonts w:hint="eastAsia" w:ascii="仿宋" w:hAnsi="仿宋" w:eastAsia="仿宋" w:cs="仿宋"/>
          <w:sz w:val="28"/>
          <w:szCs w:val="28"/>
          <w:highlight w:val="none"/>
        </w:rPr>
        <w:t xml:space="preserve">划</w:t>
      </w:r>
      <w:r>
        <w:rPr>
          <w:rFonts w:hint="eastAsia" w:ascii="仿宋" w:hAnsi="仿宋" w:eastAsia="仿宋" w:cs="仿宋"/>
          <w:sz w:val="28"/>
          <w:szCs w:val="28"/>
        </w:rPr>
        <w:t xml:space="preserve">拨至</w:t>
      </w:r>
      <w:r>
        <w:rPr>
          <w:rFonts w:hint="eastAsia" w:ascii="仿宋" w:hAnsi="仿宋" w:eastAsia="仿宋" w:cs="仿宋"/>
          <w:sz w:val="28"/>
          <w:szCs w:val="28"/>
          <w:lang w:val="en-US" w:eastAsia="zh-CN"/>
        </w:rPr>
        <w:t xml:space="preserve">乙方</w:t>
      </w:r>
      <w:r>
        <w:rPr>
          <w:rFonts w:hint="eastAsia" w:ascii="仿宋" w:hAnsi="仿宋" w:eastAsia="仿宋" w:cs="仿宋"/>
          <w:sz w:val="28"/>
          <w:szCs w:val="28"/>
        </w:rPr>
        <w:t xml:space="preserve">指定账户</w:t>
      </w:r>
      <w:r>
        <w:rPr>
          <w:rFonts w:hint="eastAsia" w:ascii="仿宋" w:hAnsi="仿宋" w:eastAsia="仿宋" w:cs="仿宋"/>
          <w:sz w:val="28"/>
          <w:szCs w:val="28"/>
          <w:lang w:val="en-US" w:eastAsia="zh-CN"/>
        </w:rPr>
        <w:t xml:space="preserve">。</w:t>
      </w:r>
      <w:r>
        <w:rPr>
          <w:rFonts w:hint="eastAsia" w:ascii="仿宋" w:hAnsi="仿宋" w:eastAsia="仿宋" w:cs="仿宋"/>
          <w:sz w:val="28"/>
          <w:szCs w:val="28"/>
          <w:highlight w:val="none"/>
        </w:rPr>
      </w:r>
      <w:r/>
    </w:p>
    <w:p>
      <w:pPr>
        <w:pStyle w:val="973"/>
        <w:ind w:firstLine="560"/>
        <w:jc w:val="both"/>
        <w:keepLines w:val="0"/>
        <w:keepNext w:val="0"/>
        <w:pageBreakBefore w:val="0"/>
        <w:spacing w:beforeAutospacing="0" w:after="120" w:afterAutospacing="0"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z w:val="28"/>
          <w:szCs w:val="28"/>
          <w:lang w:val="en-US" w:eastAsia="zh-CN"/>
        </w:rPr>
        <w:t xml:space="preserve">（2）甲方按照</w:t>
      </w:r>
      <w:r>
        <w:rPr>
          <w:rFonts w:hint="eastAsia" w:ascii="仿宋" w:hAnsi="仿宋" w:eastAsia="仿宋" w:cs="仿宋"/>
          <w:sz w:val="28"/>
          <w:szCs w:val="28"/>
          <w:lang w:val="en-US" w:eastAsia="zh-CN" w:bidi="ar-SA"/>
        </w:rPr>
        <w:t xml:space="preserve">上年度第四季度长</w:t>
      </w:r>
      <w:r>
        <w:rPr>
          <w:rFonts w:hint="eastAsia" w:ascii="仿宋" w:hAnsi="仿宋" w:eastAsia="仿宋" w:cs="仿宋"/>
          <w:color w:val="000000"/>
          <w:sz w:val="28"/>
          <w:szCs w:val="28"/>
          <w:highlight w:val="none"/>
          <w:lang w:val="en-US" w:eastAsia="zh-CN" w:bidi="ar-SA"/>
        </w:rPr>
        <w:t xml:space="preserve">护险待遇发生数上浮10%（如拨付的保费不足以支付当季度待遇时，可根据实际情况调整上浮标准。</w:t>
      </w:r>
      <w:r>
        <w:rPr>
          <w:rFonts w:hint="eastAsia" w:ascii="仿宋" w:hAnsi="仿宋" w:eastAsia="仿宋" w:cs="仿宋"/>
          <w:color w:val="000000"/>
          <w:sz w:val="28"/>
          <w:szCs w:val="28"/>
          <w:highlight w:val="none"/>
          <w:lang w:val="en-US" w:eastAsia="zh-CN" w:bidi="ar-SA"/>
        </w:rPr>
        <w:t xml:space="preserve">当季度保费剩余部分计入下季度保费申请规模。</w:t>
      </w:r>
      <w:r>
        <w:rPr>
          <w:rFonts w:hint="eastAsia" w:ascii="仿宋" w:hAnsi="仿宋" w:eastAsia="仿宋" w:cs="仿宋"/>
          <w:color w:val="000000"/>
          <w:sz w:val="28"/>
          <w:szCs w:val="28"/>
          <w:highlight w:val="none"/>
          <w:lang w:val="en-US" w:eastAsia="zh-CN" w:bidi="ar-SA"/>
        </w:rPr>
        <w:t xml:space="preserve">）向财政部门申请当季度长护险保费</w:t>
      </w:r>
      <w:r>
        <w:rPr>
          <w:rFonts w:hint="eastAsia" w:ascii="仿宋" w:hAnsi="仿宋" w:eastAsia="仿宋" w:cs="仿宋"/>
          <w:color w:val="000000"/>
          <w:sz w:val="28"/>
          <w:szCs w:val="28"/>
          <w:highlight w:val="none"/>
          <w:lang w:val="en-US" w:eastAsia="zh-CN" w:bidi="ar-SA"/>
        </w:rPr>
        <w:t xml:space="preserve">，原则上</w:t>
      </w:r>
      <w:r>
        <w:rPr>
          <w:rFonts w:hint="eastAsia" w:ascii="仿宋" w:hAnsi="仿宋" w:eastAsia="仿宋" w:cs="仿宋"/>
          <w:color w:val="000000"/>
          <w:sz w:val="28"/>
          <w:szCs w:val="28"/>
          <w:highlight w:val="none"/>
          <w:lang w:val="en-US" w:eastAsia="zh-CN" w:bidi="ar-SA"/>
        </w:rPr>
        <w:t xml:space="preserve">于每季度首月划拨至乙方指定账户。</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3.结算管理。</w:t>
      </w:r>
      <w:r>
        <w:rPr>
          <w:rFonts w:hint="eastAsia" w:ascii="仿宋" w:hAnsi="仿宋" w:eastAsia="仿宋" w:cs="仿宋"/>
          <w:color w:val="000000"/>
          <w:sz w:val="28"/>
          <w:szCs w:val="28"/>
          <w:highlight w:val="none"/>
        </w:rPr>
        <w:t xml:space="preserve">乙方应在每月</w:t>
      </w:r>
      <w:r>
        <w:rPr>
          <w:rFonts w:hint="eastAsia" w:ascii="仿宋" w:hAnsi="仿宋" w:eastAsia="仿宋" w:cs="仿宋"/>
          <w:color w:val="000000"/>
          <w:sz w:val="28"/>
          <w:szCs w:val="28"/>
          <w:highlight w:val="none"/>
          <w:lang w:val="en-US" w:eastAsia="zh-CN"/>
        </w:rPr>
        <w:t xml:space="preserve">初8</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val="en-US" w:eastAsia="zh-CN" w:bidi="ar-SA"/>
        </w:rPr>
        <w:t xml:space="preserve">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r>
      <w:r/>
    </w:p>
    <w:p>
      <w:pPr>
        <w:pStyle w:val="973"/>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4.费用清算。</w:t>
      </w:r>
      <w:r>
        <w:rPr>
          <w:rFonts w:hint="eastAsia" w:ascii="仿宋" w:hAnsi="仿宋" w:eastAsia="仿宋" w:cs="仿宋"/>
          <w:color w:val="000000"/>
          <w:sz w:val="28"/>
          <w:szCs w:val="28"/>
          <w:highlight w:val="none"/>
          <w:lang w:val="en-US" w:eastAsia="zh-CN" w:bidi="ar-SA"/>
        </w:rPr>
        <w:t xml:space="preserve">届满甲方按合同期限内享受长护险待遇的实际人数、待遇支付情况与乙方进行保费清算，结余部分返还基金；如果超支，由甲方与乙方按本合同“九、风险调节”相关要求进行分担。</w:t>
      </w:r>
      <w:r>
        <w:rPr>
          <w:rFonts w:hint="eastAsia" w:ascii="仿宋" w:hAnsi="仿宋" w:eastAsia="仿宋" w:cs="仿宋"/>
          <w:color w:val="000000"/>
          <w:sz w:val="28"/>
          <w:szCs w:val="28"/>
          <w:highlight w:val="none"/>
          <w:lang w:val="en-US" w:eastAsia="zh-CN"/>
        </w:rPr>
        <w:t xml:space="preserve">届满</w:t>
      </w:r>
      <w:r>
        <w:rPr>
          <w:rFonts w:hint="eastAsia" w:ascii="仿宋" w:hAnsi="仿宋" w:eastAsia="仿宋" w:cs="仿宋"/>
          <w:color w:val="000000"/>
          <w:sz w:val="28"/>
          <w:szCs w:val="28"/>
          <w:highlight w:val="none"/>
          <w:lang w:val="en-US" w:eastAsia="zh-CN" w:bidi="ar-SA"/>
        </w:rPr>
        <w:t xml:space="preserve">甲方及时对乙方合同履行情况、承办服务质量开展考核，依据考核结果结算履约保证金。清算后结余部分返还基金，超支部分由乙方自行承担。</w:t>
      </w:r>
      <w:r>
        <w:rPr>
          <w:rFonts w:hint="eastAsia" w:ascii="仿宋" w:hAnsi="仿宋" w:eastAsia="仿宋" w:cs="仿宋"/>
          <w:color w:val="000000"/>
          <w:sz w:val="28"/>
          <w:szCs w:val="28"/>
          <w:highlight w:val="none"/>
          <w:lang w:val="en-US"/>
        </w:rPr>
      </w:r>
      <w:r/>
    </w:p>
    <w:p>
      <w:pPr>
        <w:pStyle w:val="938"/>
        <w:ind w:firstLine="562"/>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none"/>
        </w:rPr>
      </w:pPr>
      <w:r>
        <w:rPr>
          <w:rFonts w:hint="eastAsia" w:ascii="仿宋" w:hAnsi="仿宋" w:eastAsia="仿宋" w:cs="仿宋"/>
          <w:b/>
          <w:bCs/>
          <w:color w:val="000000"/>
          <w:sz w:val="28"/>
          <w:szCs w:val="28"/>
          <w:highlight w:val="none"/>
          <w:lang w:val="en-US" w:eastAsia="zh-CN"/>
        </w:rPr>
        <w:t xml:space="preserve">5.票据管理。</w:t>
      </w:r>
      <w:r>
        <w:rPr>
          <w:rFonts w:hint="eastAsia" w:ascii="仿宋" w:hAnsi="仿宋" w:eastAsia="仿宋" w:cs="仿宋"/>
          <w:color w:val="000000"/>
          <w:sz w:val="28"/>
          <w:szCs w:val="28"/>
          <w:highlight w:val="none"/>
        </w:rPr>
        <w:t xml:space="preserve">乙方收取</w:t>
      </w:r>
      <w:r>
        <w:rPr>
          <w:rFonts w:hint="eastAsia" w:ascii="仿宋" w:hAnsi="仿宋" w:eastAsia="仿宋" w:cs="仿宋"/>
          <w:color w:val="000000"/>
          <w:sz w:val="28"/>
          <w:szCs w:val="28"/>
          <w:highlight w:val="none"/>
          <w:lang w:val="en-US" w:eastAsia="zh-CN"/>
        </w:rPr>
        <w:t xml:space="preserve">预拨付的</w:t>
      </w:r>
      <w:r>
        <w:rPr>
          <w:rFonts w:hint="eastAsia" w:ascii="仿宋" w:hAnsi="仿宋" w:eastAsia="仿宋" w:cs="仿宋"/>
          <w:color w:val="000000"/>
          <w:sz w:val="28"/>
          <w:szCs w:val="28"/>
          <w:highlight w:val="none"/>
        </w:rPr>
        <w:t xml:space="preserve">承办费用</w:t>
      </w:r>
      <w:r>
        <w:rPr>
          <w:rFonts w:hint="eastAsia" w:ascii="仿宋" w:hAnsi="仿宋" w:eastAsia="仿宋" w:cs="仿宋"/>
          <w:color w:val="000000"/>
          <w:sz w:val="28"/>
          <w:szCs w:val="28"/>
          <w:highlight w:val="none"/>
          <w:lang w:val="en-US" w:eastAsia="zh-CN"/>
        </w:rPr>
        <w:t xml:space="preserve">后</w:t>
      </w:r>
      <w:r>
        <w:rPr>
          <w:rFonts w:hint="eastAsia" w:ascii="仿宋" w:hAnsi="仿宋" w:eastAsia="仿宋" w:cs="仿宋"/>
          <w:color w:val="000000"/>
          <w:sz w:val="28"/>
          <w:szCs w:val="28"/>
          <w:highlight w:val="none"/>
        </w:rPr>
        <w:t xml:space="preserve">，应向甲方开具准确合法且有效的发票。</w:t>
      </w:r>
      <w:r>
        <w:rPr>
          <w:rFonts w:hint="eastAsia" w:ascii="方正仿宋_GBK" w:hAnsi="方正仿宋_GBK" w:eastAsia="方正仿宋_GBK" w:cs="方正仿宋_GBK"/>
          <w:color w:val="000000"/>
          <w:sz w:val="32"/>
          <w:szCs w:val="32"/>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四、甲方权利</w:t>
      </w:r>
      <w:r>
        <w:rPr>
          <w:rFonts w:hint="eastAsia" w:ascii="方正黑体_GBK" w:hAnsi="方正黑体_GBK" w:eastAsia="方正黑体_GBK" w:cs="方正黑体_GBK"/>
          <w:sz w:val="32"/>
          <w:szCs w:val="32"/>
          <w:lang w:eastAsia="zh-CN"/>
        </w:rPr>
        <w:t xml:space="preserve">、</w:t>
      </w:r>
      <w:r>
        <w:rPr>
          <w:rFonts w:hint="eastAsia" w:ascii="方正黑体_GBK" w:hAnsi="方正黑体_GBK" w:eastAsia="方正黑体_GBK" w:cs="方正黑体_GBK"/>
          <w:sz w:val="32"/>
          <w:szCs w:val="32"/>
          <w:lang w:val="en-US" w:eastAsia="zh-CN"/>
        </w:rPr>
        <w:t xml:space="preserve">责任</w:t>
      </w:r>
      <w:r>
        <w:rPr>
          <w:rFonts w:hint="eastAsia" w:ascii="方正黑体_GBK" w:hAnsi="方正黑体_GBK" w:eastAsia="方正黑体_GBK" w:cs="方正黑体_GBK"/>
          <w:sz w:val="32"/>
          <w:szCs w:val="32"/>
        </w:rPr>
        <w:t xml:space="preserve">与义务</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.甲方应对合同规定范围内乙方的服务进行监督和检查，拥有监管权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建立以委托服务工作质量为核心的考核办法，包括经办质量、评估质量、制度建设、队伍建设、经办能力建设、协议管理能力建设和年度量化指标考核等。</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按规定对乙方进行考核，考核结果</w:t>
      </w:r>
      <w:r>
        <w:rPr>
          <w:rFonts w:hint="eastAsia" w:ascii="仿宋" w:hAnsi="仿宋" w:eastAsia="仿宋" w:cs="仿宋"/>
          <w:color w:val="000000"/>
          <w:sz w:val="28"/>
          <w:szCs w:val="28"/>
          <w:lang w:val="en-US" w:eastAsia="zh-CN"/>
        </w:rPr>
        <w:t xml:space="preserve">与结算</w:t>
      </w:r>
      <w:r>
        <w:rPr>
          <w:rFonts w:hint="eastAsia" w:ascii="仿宋" w:hAnsi="仿宋" w:eastAsia="仿宋" w:cs="仿宋"/>
          <w:color w:val="000000"/>
          <w:sz w:val="28"/>
          <w:szCs w:val="28"/>
        </w:rPr>
        <w:t xml:space="preserve">等挂钩。</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.甲方应向乙方提供长护险经办管理服务涉及的信息系统及长护险参保信息。</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.甲方应为乙方开展定点评估机构、定点护理机构核查工作提供所需支持。</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甲方应建立举报投诉、信息披露、基金监管、欺诈防范等监管机制，确保长护险基金平稳运行和安全有效。甲方应加强对乙方政策制度执行情况及业务经办情况等的督查，及时发现和纠正长护险实施过程中存在的问题。</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构建多维度立体监管体系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乙方应予以支持，落实监管主体责任。</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可以邀请相关专业机构组成考核小组对乙方相关工作进行考核评价。乙方认可考核小组的考核评价方法、工作流程及考核结果。如考核“不合格”，双方终止合同，乙方服务区域按照规定程序另行分配，由其他中标机构承接。</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.甲方应履行国家</w:t>
      </w:r>
      <w:r>
        <w:rPr>
          <w:rFonts w:hint="eastAsia" w:ascii="仿宋" w:hAnsi="仿宋" w:eastAsia="仿宋" w:cs="仿宋"/>
          <w:color w:val="000000"/>
          <w:sz w:val="28"/>
          <w:szCs w:val="28"/>
          <w:lang w:eastAsia="zh-CN"/>
        </w:rPr>
        <w:t xml:space="preserve">法律法规</w:t>
      </w:r>
      <w:r>
        <w:rPr>
          <w:rFonts w:hint="eastAsia" w:ascii="仿宋" w:hAnsi="仿宋" w:eastAsia="仿宋" w:cs="仿宋"/>
          <w:color w:val="000000"/>
          <w:sz w:val="28"/>
          <w:szCs w:val="28"/>
        </w:rPr>
        <w:t xml:space="preserve">所规定的由甲方承担的其他责任。</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五、乙方权利</w:t>
      </w:r>
      <w:r>
        <w:rPr>
          <w:rFonts w:hint="eastAsia" w:ascii="方正黑体_GBK" w:hAnsi="方正黑体_GBK" w:eastAsia="方正黑体_GBK" w:cs="方正黑体_GBK"/>
          <w:color w:val="000000"/>
          <w:sz w:val="32"/>
          <w:szCs w:val="32"/>
          <w:lang w:eastAsia="zh-CN"/>
        </w:rPr>
        <w:t xml:space="preserve">、</w:t>
      </w:r>
      <w:r>
        <w:rPr>
          <w:rFonts w:hint="eastAsia" w:ascii="方正黑体_GBK" w:hAnsi="方正黑体_GBK" w:eastAsia="方正黑体_GBK" w:cs="方正黑体_GBK"/>
          <w:color w:val="000000"/>
          <w:sz w:val="32"/>
          <w:szCs w:val="32"/>
          <w:lang w:val="en-US" w:eastAsia="zh-CN"/>
        </w:rPr>
        <w:t xml:space="preserve">责任</w:t>
      </w:r>
      <w:r>
        <w:rPr>
          <w:rFonts w:hint="eastAsia" w:ascii="方正黑体_GBK" w:hAnsi="方正黑体_GBK" w:eastAsia="方正黑体_GBK" w:cs="方正黑体_GBK"/>
          <w:color w:val="000000"/>
          <w:sz w:val="32"/>
          <w:szCs w:val="32"/>
        </w:rPr>
        <w:t xml:space="preserve">与义务</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1.根据甲方要求，承办</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业务，并明确组织管理机构，配备与业务量相适应的岗位人员、办公场所及办公设施。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乙方应在中标服务区域内成立长护险服务中心，用于开展长护险经办服务及内部综合管理等工作，办公地点由乙方自行选定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2）乙方应</w:t>
      </w:r>
      <w:r>
        <w:rPr>
          <w:rFonts w:hint="eastAsia" w:ascii="仿宋" w:hAnsi="仿宋" w:eastAsia="仿宋" w:cs="仿宋"/>
          <w:color w:val="000000"/>
          <w:sz w:val="28"/>
          <w:szCs w:val="28"/>
        </w:rPr>
        <w:t xml:space="preserve">配备开展各项业务且与工作量相适应的办公设施（包括车辆）等设备</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乙方应</w:t>
      </w:r>
      <w:r>
        <w:rPr>
          <w:rFonts w:hint="eastAsia" w:ascii="仿宋" w:hAnsi="仿宋" w:eastAsia="仿宋" w:cs="仿宋"/>
          <w:color w:val="000000"/>
          <w:sz w:val="28"/>
          <w:szCs w:val="28"/>
        </w:rPr>
        <w:t xml:space="preserve">按照参保人员每</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万人标准配备的长护险经办服务全职工作人员数量不少于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名，其中具有医学、康复、护理、信息、统计、财务等专业的人员比例不低于30%，保证人员的相对稳定性；超额配备的人员成本，由乙方另行承担</w:t>
      </w:r>
      <w:r>
        <w:rPr>
          <w:rFonts w:hint="eastAsia" w:ascii="仿宋" w:hAnsi="仿宋" w:eastAsia="仿宋" w:cs="仿宋"/>
          <w:color w:val="000000"/>
          <w:sz w:val="28"/>
          <w:szCs w:val="28"/>
          <w:lang w:eastAsia="zh-CN"/>
        </w:rPr>
        <w:t xml:space="preserve">。上述人员必须在合同生效之日起20日内配备到位。因工作需要，需派驻工作人员至医保经办机构共同办理长护险经办业务的要予以配合。</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4）乙方</w:t>
      </w:r>
      <w:r>
        <w:rPr>
          <w:rFonts w:hint="eastAsia" w:ascii="仿宋" w:hAnsi="仿宋" w:eastAsia="仿宋" w:cs="仿宋"/>
          <w:sz w:val="28"/>
          <w:szCs w:val="28"/>
        </w:rPr>
        <w:t xml:space="preserve">经办工作人员的招聘、培训、日常管理、考核等工作由乙方负责。</w:t>
      </w:r>
      <w:r>
        <w:rPr>
          <w:rFonts w:hint="eastAsia" w:ascii="仿宋" w:hAnsi="仿宋" w:eastAsia="仿宋" w:cs="仿宋"/>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政策宣传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咨询答复、投诉处理以及待遇享受人员跟踪回访、满意度调查及稽核调查</w:t>
      </w:r>
      <w:r>
        <w:rPr>
          <w:rFonts w:hint="eastAsia" w:ascii="仿宋" w:hAnsi="仿宋" w:eastAsia="仿宋" w:cs="仿宋"/>
          <w:color w:val="000000"/>
          <w:sz w:val="28"/>
          <w:szCs w:val="28"/>
          <w:highlight w:val="none"/>
          <w:lang w:val="en-US" w:eastAsia="zh-CN"/>
        </w:rPr>
        <w:t xml:space="preserve">工作。（1）</w:t>
      </w:r>
      <w:r>
        <w:rPr>
          <w:rFonts w:hint="eastAsia" w:ascii="仿宋" w:hAnsi="仿宋" w:eastAsia="仿宋" w:cs="仿宋"/>
          <w:color w:val="000000"/>
          <w:sz w:val="28"/>
          <w:szCs w:val="28"/>
          <w:highlight w:val="none"/>
          <w:lang w:val="en-US" w:eastAsia="zh-CN" w:bidi="ar"/>
        </w:rPr>
        <w:t xml:space="preserve">乙方应强化宣传工作，充分调动积极性和主动性，大力宣传长护险制度的重要意义和作用，</w:t>
      </w:r>
      <w:r>
        <w:rPr>
          <w:rFonts w:hint="eastAsia" w:ascii="仿宋" w:hAnsi="仿宋" w:eastAsia="仿宋" w:cs="仿宋"/>
          <w:color w:val="000000"/>
          <w:sz w:val="28"/>
          <w:szCs w:val="28"/>
          <w:highlight w:val="none"/>
          <w:lang w:val="en-US" w:eastAsia="zh-CN"/>
        </w:rPr>
        <w:t xml:space="preserve">精准开展宣传工作，有效提高宣传频次及成效，使参保群众能够及时了解参保和待遇政策。（2）</w:t>
      </w:r>
      <w:r>
        <w:rPr>
          <w:rFonts w:hint="eastAsia" w:ascii="仿宋" w:hAnsi="仿宋" w:eastAsia="仿宋" w:cs="仿宋"/>
          <w:color w:val="000000"/>
          <w:sz w:val="28"/>
          <w:szCs w:val="28"/>
          <w:highlight w:val="none"/>
        </w:rPr>
        <w:t xml:space="preserve">乙方应建立</w:t>
      </w:r>
      <w:r>
        <w:rPr>
          <w:rFonts w:hint="eastAsia" w:ascii="仿宋" w:hAnsi="仿宋" w:eastAsia="仿宋" w:cs="仿宋"/>
          <w:color w:val="000000"/>
          <w:sz w:val="28"/>
          <w:szCs w:val="28"/>
          <w:highlight w:val="none"/>
          <w:lang w:val="en-US" w:eastAsia="zh-CN"/>
        </w:rPr>
        <w:t xml:space="preserve">投诉处理</w:t>
      </w:r>
      <w:r>
        <w:rPr>
          <w:rFonts w:hint="eastAsia" w:ascii="仿宋" w:hAnsi="仿宋" w:eastAsia="仿宋" w:cs="仿宋"/>
          <w:color w:val="000000"/>
          <w:sz w:val="28"/>
          <w:szCs w:val="28"/>
          <w:highlight w:val="none"/>
        </w:rPr>
        <w:t xml:space="preserve">、内部控制、日常巡查、运行分析等管理制度，通过信息系统、抽查询访、满意度调查等途径，对评估结果、评估质量及待遇享受等情况进行跟踪管理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乙方对定点</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机构开展日常稽核、专项稽核和举报稽核等工作，采用调查、抽查等方式，监督检查其执行长护险政策规定、履行协议情况以及各项监管制度落实情况。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强化常态化</w:t>
      </w:r>
      <w:r>
        <w:rPr>
          <w:rFonts w:hint="eastAsia" w:ascii="仿宋" w:hAnsi="仿宋" w:eastAsia="仿宋" w:cs="仿宋"/>
          <w:color w:val="000000"/>
          <w:sz w:val="28"/>
          <w:szCs w:val="28"/>
          <w:highlight w:val="none"/>
          <w:lang w:val="en-US" w:eastAsia="zh-CN"/>
        </w:rPr>
        <w:t xml:space="preserve">走访</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乙方在承办区域内每月</w:t>
      </w:r>
      <w:r>
        <w:rPr>
          <w:rFonts w:hint="eastAsia" w:ascii="仿宋" w:hAnsi="仿宋" w:eastAsia="仿宋" w:cs="仿宋"/>
          <w:color w:val="000000"/>
          <w:sz w:val="28"/>
          <w:szCs w:val="28"/>
          <w:highlight w:val="none"/>
          <w:lang w:val="en-US" w:eastAsia="zh-CN"/>
        </w:rPr>
        <w:t xml:space="preserve">开展实地走访不低于4次，月走访总数占区域内失能人数的7%左右，年度实地走访率不低于80%。其中新准入失能人员30天内走访次数不少于1次，以及时了解失能人员和护理机构服务情况。（5）加强视频实时监管：视频抽查护理员实时服务情况，乙方服务区域内每周抽查护理员的护理服务次数不低于50次。线上抽查系统内护理服务照片，每月查看总数占区域内失能人员人数的50%。（6）建立全覆盖监管网：实地走访、电话回访和视频抽查，一个季度要覆盖区域内所有护理机构。异地居住的失能人员，每月需稽核一次，可通过微信视频、实地走访等方式开展。</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3.按照甲方要求，乙方应做好定点服务机构和人员管理。（1）</w:t>
      </w:r>
      <w:r>
        <w:rPr>
          <w:rFonts w:hint="eastAsia" w:ascii="仿宋" w:hAnsi="仿宋" w:eastAsia="仿宋" w:cs="仿宋"/>
          <w:color w:val="000000"/>
          <w:sz w:val="28"/>
          <w:szCs w:val="28"/>
          <w:highlight w:val="none"/>
        </w:rPr>
        <w:t xml:space="preserve">乙方应协助甲方进行本服务区域内评估机构和护理机构的遴选工作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乙方应建立评估人员、护理人员基本信息库，</w:t>
      </w:r>
      <w:r>
        <w:rPr>
          <w:rFonts w:hint="eastAsia" w:ascii="仿宋" w:hAnsi="仿宋" w:eastAsia="仿宋" w:cs="仿宋"/>
          <w:color w:val="000000"/>
          <w:sz w:val="28"/>
          <w:szCs w:val="28"/>
          <w:highlight w:val="none"/>
          <w:lang w:val="en-US" w:eastAsia="zh-CN"/>
        </w:rPr>
        <w:t xml:space="preserve">审核评估员和评估专家的资质，</w:t>
      </w:r>
      <w:r>
        <w:rPr>
          <w:rFonts w:hint="eastAsia" w:ascii="仿宋" w:hAnsi="仿宋" w:eastAsia="仿宋" w:cs="仿宋"/>
          <w:color w:val="000000"/>
          <w:sz w:val="28"/>
          <w:szCs w:val="28"/>
          <w:highlight w:val="none"/>
        </w:rPr>
        <w:t xml:space="preserve">将符合条件的评估人员录入信息系统，实行动态管理。</w:t>
      </w:r>
      <w:r>
        <w:rPr>
          <w:rFonts w:hint="eastAsia" w:ascii="仿宋" w:hAnsi="仿宋" w:eastAsia="仿宋" w:cs="仿宋"/>
          <w:color w:val="000000"/>
          <w:sz w:val="28"/>
          <w:szCs w:val="28"/>
          <w:highlight w:val="none"/>
          <w:lang w:val="en-US" w:eastAsia="zh-CN"/>
        </w:rPr>
        <w:t xml:space="preserve">对护理机构录入信息系统的护理人员资质进行审核，确保100%持证上岗。（3）定点服务机构的名称、法定代表人、主要负责人或者实际控制人、注册地址、机构性质等重大信息变更时，应当自有关部门批准之日起 30 个工作日内向甲方和乙方提出变更申请。从业人员构成等其他一般信息变更应当及时告知。</w:t>
      </w:r>
      <w:r>
        <w:rPr>
          <w:rFonts w:hint="eastAsia" w:ascii="仿宋" w:hAnsi="仿宋" w:eastAsia="仿宋" w:cs="仿宋"/>
          <w:color w:val="000000"/>
          <w:sz w:val="28"/>
          <w:szCs w:val="28"/>
          <w:highlight w:val="none"/>
          <w:lang w:val="en-US" w:eastAsia="zh-CN"/>
        </w:rPr>
      </w:r>
      <w:r/>
    </w:p>
    <w:p>
      <w:pPr>
        <w:pStyle w:val="938"/>
        <w:numPr>
          <w:ilvl w:val="0"/>
          <w:numId w:val="0"/>
        </w:numPr>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4.按照甲方要求，乙方应做好待遇保障管理。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1）乙方应做好</w:t>
      </w:r>
      <w:r>
        <w:rPr>
          <w:rFonts w:hint="eastAsia" w:ascii="仿宋" w:hAnsi="仿宋" w:eastAsia="仿宋" w:cs="仿宋"/>
          <w:color w:val="000000"/>
          <w:sz w:val="28"/>
          <w:szCs w:val="28"/>
          <w:highlight w:val="none"/>
        </w:rPr>
        <w:t xml:space="preserve">长护险待遇申请的受理、审核、评估任务派发、评估结果复核、评估结果做出和送达、复评申请审核及待遇享受人员跟踪回访等工作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乙方应开展对评估机构及评估人员监管，包括评估过程中协助审核参保人员身份、告知参保人员权益和义务以及护理服务合规性核查、异地失能人员评估、待遇支付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期满评估</w:t>
      </w:r>
      <w:r>
        <w:rPr>
          <w:rFonts w:hint="eastAsia" w:ascii="仿宋" w:hAnsi="仿宋" w:eastAsia="仿宋" w:cs="仿宋"/>
          <w:color w:val="000000"/>
          <w:sz w:val="28"/>
          <w:szCs w:val="28"/>
          <w:highlight w:val="none"/>
        </w:rPr>
        <w:t xml:space="preserve">及核查等行为，对其行为负责；乙方应定期对失能人员失能情况开展复查，每年内至少复查一次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复查费用由乙方承担。经复查不符合长护险待遇享受条件的失能人员，自复查结论作出的次日起停止长护险待遇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乙方应对定点护理机构进行协议管理、日常监督管理和考核，并对定点护理机构护理人员开展业务指导培训，提升护理服务质量；乙方应落实待遇人员的护理方式选择与变更、失能状态复核、生存状态认证工作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73"/>
        <w:ind w:firstLine="643"/>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基金支付费用的</w:t>
      </w:r>
      <w:r>
        <w:rPr>
          <w:rFonts w:hint="eastAsia" w:ascii="仿宋" w:hAnsi="仿宋" w:eastAsia="仿宋" w:cs="仿宋"/>
          <w:color w:val="000000"/>
          <w:sz w:val="28"/>
          <w:szCs w:val="28"/>
          <w:highlight w:val="none"/>
          <w:lang w:val="en-US" w:eastAsia="zh-CN"/>
        </w:rPr>
        <w:t xml:space="preserve">对账、核算及审核</w:t>
      </w:r>
      <w:r>
        <w:rPr>
          <w:rFonts w:hint="eastAsia" w:ascii="仿宋" w:hAnsi="仿宋" w:eastAsia="仿宋" w:cs="仿宋"/>
          <w:color w:val="000000"/>
          <w:sz w:val="28"/>
          <w:szCs w:val="28"/>
          <w:highlight w:val="none"/>
        </w:rPr>
        <w:t xml:space="preserve">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乙方如对淮安市长护险信息系统</w:t>
      </w:r>
      <w:r>
        <w:rPr>
          <w:rFonts w:hint="eastAsia" w:ascii="仿宋" w:hAnsi="仿宋" w:eastAsia="仿宋" w:cs="仿宋"/>
          <w:color w:val="000000"/>
          <w:sz w:val="28"/>
          <w:szCs w:val="28"/>
          <w:highlight w:val="none"/>
          <w:lang w:val="en-US" w:eastAsia="zh-CN"/>
        </w:rPr>
        <w:t xml:space="preserve">结算数据</w:t>
      </w:r>
      <w:r>
        <w:rPr>
          <w:rFonts w:hint="eastAsia" w:ascii="仿宋" w:hAnsi="仿宋" w:eastAsia="仿宋" w:cs="仿宋"/>
          <w:color w:val="000000"/>
          <w:sz w:val="28"/>
          <w:szCs w:val="28"/>
          <w:highlight w:val="none"/>
        </w:rPr>
        <w:t xml:space="preserve">或对甲方审核的费用等存有异议，可向甲方申请复核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失能人员在接受护理期间，符合《长护服务项目目录》</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按照规定由</w:t>
      </w:r>
      <w:r>
        <w:rPr>
          <w:rFonts w:hint="eastAsia" w:ascii="仿宋" w:hAnsi="仿宋" w:eastAsia="仿宋" w:cs="仿宋"/>
          <w:color w:val="000000"/>
          <w:sz w:val="28"/>
          <w:szCs w:val="28"/>
          <w:highlight w:val="none"/>
          <w:lang w:val="en-US" w:eastAsia="zh-CN"/>
        </w:rPr>
        <w:t xml:space="preserve">长护险基金</w:t>
      </w:r>
      <w:r>
        <w:rPr>
          <w:rFonts w:hint="eastAsia" w:ascii="仿宋" w:hAnsi="仿宋" w:eastAsia="仿宋" w:cs="仿宋"/>
          <w:color w:val="000000"/>
          <w:sz w:val="28"/>
          <w:szCs w:val="28"/>
          <w:highlight w:val="none"/>
        </w:rPr>
        <w:t xml:space="preserve">支付；超出《长护服务项目目录》范围的护理服务长护险基金不予支付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6.按照甲方要求，做好档案管理工作。</w:t>
      </w:r>
      <w:r>
        <w:rPr>
          <w:rFonts w:hint="eastAsia" w:ascii="仿宋" w:hAnsi="仿宋" w:eastAsia="仿宋" w:cs="仿宋"/>
          <w:color w:val="000000"/>
          <w:sz w:val="28"/>
          <w:szCs w:val="28"/>
          <w:highlight w:val="none"/>
        </w:rPr>
        <w:t xml:space="preserve">乙方应建立健全失能评估档案管理制度，妥善保管失能评估纸质、影像等档案资料，按“一人一档”要求整理归档，包括失能评估申请表、初次评估结论及佐证资料、复评结论及佐证资料等。定期移交甲方存档保管，同时做好信息安全管理。失能评估档案的保管期限不少于10年。</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长护险信息系统建设及</w:t>
      </w:r>
      <w:r>
        <w:rPr>
          <w:rFonts w:hint="eastAsia" w:ascii="仿宋" w:hAnsi="仿宋" w:eastAsia="仿宋" w:cs="仿宋"/>
          <w:color w:val="000000"/>
          <w:sz w:val="28"/>
          <w:szCs w:val="28"/>
          <w:highlight w:val="none"/>
        </w:rPr>
        <w:t xml:space="preserve">相关业务信息的统计、分析及上报工作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统一使用淮安市长护险信息系统经办业务，按要求配置计算机和网络系统，配备与长护险业务相适应的计算机管理人员，保障信息系统的连接和数据交换；信息系统费用（含软件开发、硬件设备、安全等级保护）以及期间因政策调整所需的软件开发及硬件设备投入等费用（含信息系统运维费用以及升级费用）均由乙方承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乙方应按月编报长护险运行分析报告，</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提交</w:t>
      </w:r>
      <w:r>
        <w:rPr>
          <w:rFonts w:hint="eastAsia" w:ascii="仿宋" w:hAnsi="仿宋" w:eastAsia="仿宋" w:cs="仿宋"/>
          <w:color w:val="000000"/>
          <w:sz w:val="28"/>
          <w:szCs w:val="28"/>
          <w:highlight w:val="none"/>
          <w:lang w:val="en-US" w:eastAsia="zh-CN"/>
        </w:rPr>
        <w:t xml:space="preserve">季度</w:t>
      </w:r>
      <w:r>
        <w:rPr>
          <w:rFonts w:hint="eastAsia" w:ascii="仿宋" w:hAnsi="仿宋" w:eastAsia="仿宋" w:cs="仿宋"/>
          <w:color w:val="000000"/>
          <w:sz w:val="28"/>
          <w:szCs w:val="28"/>
          <w:highlight w:val="none"/>
        </w:rPr>
        <w:t xml:space="preserve">基金运行分析报告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按考核年度提交总结报告。</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如保险期限结束，甲方尚未招标确定新的</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承办</w:t>
      </w:r>
      <w:r>
        <w:rPr>
          <w:rFonts w:hint="eastAsia" w:ascii="仿宋" w:hAnsi="仿宋" w:eastAsia="仿宋" w:cs="仿宋"/>
          <w:color w:val="000000"/>
          <w:sz w:val="28"/>
          <w:szCs w:val="28"/>
          <w:highlight w:val="none"/>
          <w:lang w:val="en-US" w:eastAsia="zh-CN"/>
        </w:rPr>
        <w:t xml:space="preserve">机构</w:t>
      </w:r>
      <w:r>
        <w:rPr>
          <w:rFonts w:hint="eastAsia" w:ascii="仿宋" w:hAnsi="仿宋" w:eastAsia="仿宋" w:cs="仿宋"/>
          <w:color w:val="000000"/>
          <w:sz w:val="28"/>
          <w:szCs w:val="28"/>
          <w:highlight w:val="none"/>
        </w:rPr>
        <w:t xml:space="preserve">，乙方需继续帮助甲方做好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衔接工作。</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规定和本合同约定的其他</w:t>
      </w:r>
      <w:r>
        <w:rPr>
          <w:rFonts w:hint="eastAsia" w:ascii="仿宋" w:hAnsi="仿宋" w:eastAsia="仿宋" w:cs="仿宋"/>
          <w:color w:val="000000"/>
          <w:sz w:val="28"/>
          <w:szCs w:val="28"/>
          <w:highlight w:val="none"/>
          <w:lang w:val="en-US" w:eastAsia="zh-CN"/>
        </w:rPr>
        <w:t xml:space="preserve">事项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未经甲方同意，乙方不得将本合同业务转让、分包给任何第三方。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甲方交办的其他与长护险相关的服务工作。</w:t>
      </w:r>
      <w:r>
        <w:rPr>
          <w:rFonts w:hint="eastAsia" w:ascii="方正仿宋_GBK" w:hAnsi="方正仿宋_GBK" w:eastAsia="方正仿宋_GBK" w:cs="方正仿宋_GBK"/>
          <w:sz w:val="32"/>
          <w:szCs w:val="32"/>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val="en-US" w:eastAsia="zh-CN"/>
        </w:rPr>
        <w:t xml:space="preserve">六</w:t>
      </w:r>
      <w:r>
        <w:rPr>
          <w:rFonts w:hint="eastAsia" w:ascii="方正黑体_GBK" w:hAnsi="方正黑体_GBK" w:eastAsia="方正黑体_GBK" w:cs="方正黑体_GBK"/>
          <w:color w:val="000000"/>
          <w:sz w:val="32"/>
          <w:szCs w:val="32"/>
        </w:rPr>
        <w:t xml:space="preserve">、共同责任</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.接受监督。甲乙双方签订</w:t>
      </w:r>
      <w:r>
        <w:rPr>
          <w:rFonts w:hint="eastAsia" w:ascii="仿宋" w:hAnsi="仿宋" w:eastAsia="仿宋" w:cs="仿宋"/>
          <w:color w:val="000000"/>
          <w:sz w:val="28"/>
          <w:szCs w:val="28"/>
          <w:lang w:val="en-US" w:eastAsia="zh-CN"/>
        </w:rPr>
        <w:t xml:space="preserve">合同</w:t>
      </w:r>
      <w:r>
        <w:rPr>
          <w:rFonts w:hint="eastAsia" w:ascii="仿宋" w:hAnsi="仿宋" w:eastAsia="仿宋" w:cs="仿宋"/>
          <w:color w:val="000000"/>
          <w:sz w:val="28"/>
          <w:szCs w:val="28"/>
        </w:rPr>
        <w:t xml:space="preserve">的情况，以及长护险收入、支出情况等定期按规定接受财政、审计、医保行政部门的监督。</w:t>
      </w:r>
      <w:r>
        <w:rPr>
          <w:rFonts w:hint="eastAsia" w:ascii="仿宋" w:hAnsi="仿宋" w:eastAsia="仿宋" w:cs="仿宋"/>
          <w:color w:val="000000"/>
          <w:sz w:val="28"/>
          <w:szCs w:val="28"/>
          <w:highlight w:val="none"/>
        </w:rPr>
        <w:t xml:space="preserve">本服务期限结束后，甲方委托有资质的第三方进行长护险基金运行审计并出具报告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2.相互沟通。本项目相关政策发生调整时，甲方及时告知乙方；乙方经办长护险业务中出现新情况或遭遇突发事件，要及时通报甲方。</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strike w:val="0"/>
          <w:color w:val="000000"/>
          <w:sz w:val="28"/>
          <w:szCs w:val="28"/>
        </w:rPr>
      </w:pPr>
      <w:r>
        <w:rPr>
          <w:rFonts w:hint="eastAsia" w:ascii="仿宋" w:hAnsi="仿宋" w:eastAsia="仿宋" w:cs="仿宋"/>
          <w:color w:val="000000"/>
          <w:sz w:val="28"/>
          <w:szCs w:val="28"/>
        </w:rPr>
        <w:t xml:space="preserve">3.共同管理。甲乙双方共同对定点评估机构、定点护理机构进行管理，</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应按</w:t>
      </w:r>
      <w:r>
        <w:rPr>
          <w:rFonts w:hint="eastAsia" w:ascii="仿宋" w:hAnsi="仿宋" w:eastAsia="仿宋" w:cs="仿宋"/>
          <w:color w:val="000000"/>
          <w:sz w:val="28"/>
          <w:szCs w:val="28"/>
          <w:lang w:val="en-US" w:eastAsia="zh-CN"/>
        </w:rPr>
        <w:t xml:space="preserve">考核办法</w:t>
      </w:r>
      <w:r>
        <w:rPr>
          <w:rFonts w:hint="eastAsia" w:ascii="仿宋" w:hAnsi="仿宋" w:eastAsia="仿宋" w:cs="仿宋"/>
          <w:color w:val="000000"/>
          <w:sz w:val="28"/>
          <w:szCs w:val="28"/>
        </w:rPr>
        <w:t xml:space="preserve">对定点评估机构、定点护理机构履行协议情况进行考核</w:t>
      </w:r>
      <w:r>
        <w:rPr>
          <w:rFonts w:hint="eastAsia" w:ascii="仿宋" w:hAnsi="仿宋" w:eastAsia="仿宋" w:cs="仿宋"/>
          <w:strike w:val="0"/>
          <w:color w:val="000000"/>
          <w:sz w:val="28"/>
          <w:szCs w:val="28"/>
        </w:rPr>
        <w:t xml:space="preserve">，可委托乙方具体负责</w:t>
      </w:r>
      <w:r>
        <w:rPr>
          <w:rFonts w:hint="eastAsia" w:ascii="仿宋" w:hAnsi="仿宋" w:eastAsia="仿宋" w:cs="仿宋"/>
          <w:strike w:val="0"/>
          <w:color w:val="000000"/>
          <w:sz w:val="28"/>
          <w:szCs w:val="28"/>
        </w:rPr>
        <w:t xml:space="preserve">。</w:t>
      </w:r>
      <w:r>
        <w:rPr>
          <w:rFonts w:hint="eastAsia" w:ascii="仿宋" w:hAnsi="仿宋" w:eastAsia="仿宋" w:cs="仿宋"/>
          <w:strike w:val="0"/>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4.强化培训。甲方对乙方开展长护险政策业务培训，乙方要对定点评估机构、定点护理机构、工作人员开展政策业务培训。</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yellow"/>
        </w:rPr>
      </w:pPr>
      <w:r>
        <w:rPr>
          <w:rFonts w:hint="eastAsia" w:ascii="仿宋" w:hAnsi="仿宋" w:eastAsia="仿宋" w:cs="仿宋"/>
          <w:color w:val="000000"/>
          <w:sz w:val="28"/>
          <w:szCs w:val="28"/>
        </w:rPr>
        <w:t xml:space="preserve">5.保证支付。</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结束或提前终止，但在</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有效期内已发生尚未结算的费用由乙方支付。</w:t>
      </w:r>
      <w:r>
        <w:rPr>
          <w:rFonts w:hint="eastAsia" w:ascii="方正仿宋_GBK" w:hAnsi="方正仿宋_GBK" w:eastAsia="方正仿宋_GBK" w:cs="方正仿宋_GBK"/>
          <w:color w:val="000000"/>
          <w:sz w:val="32"/>
          <w:szCs w:val="32"/>
          <w:highlight w:val="yellow"/>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七</w:t>
      </w:r>
      <w:r>
        <w:rPr>
          <w:rFonts w:hint="eastAsia" w:ascii="方正黑体_GBK" w:hAnsi="方正黑体_GBK" w:eastAsia="方正黑体_GBK" w:cs="方正黑体_GBK"/>
          <w:sz w:val="32"/>
          <w:szCs w:val="32"/>
        </w:rPr>
        <w:t xml:space="preserve">、保密条款</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lang w:val="en-US" w:eastAsia="zh-CN"/>
        </w:rPr>
      </w:pPr>
      <w:r>
        <w:rPr>
          <w:rFonts w:hint="eastAsia" w:ascii="仿宋" w:hAnsi="仿宋" w:eastAsia="仿宋" w:cs="仿宋"/>
          <w:sz w:val="28"/>
          <w:szCs w:val="28"/>
          <w:lang w:val="en-US" w:eastAsia="zh-CN"/>
        </w:rPr>
        <w:t xml:space="preserve">日常工作中涉及的参保人隐私信息以及相关资料等个人基本资料，乙方及乙方工作人员必须承担保密责任，不得用于其他用途，不得向第三方泄露。由于乙方工作人员泄露参保人员信息造成的相关后果，由乙方承担相应的法律责任。</w:t>
      </w:r>
      <w:r>
        <w:rPr>
          <w:rFonts w:hint="eastAsia" w:ascii="方正仿宋_GBK" w:hAnsi="方正仿宋_GBK" w:eastAsia="方正仿宋_GBK" w:cs="方正仿宋_GBK"/>
          <w:sz w:val="32"/>
          <w:szCs w:val="32"/>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八</w:t>
      </w:r>
      <w:r>
        <w:rPr>
          <w:rFonts w:hint="eastAsia" w:ascii="方正黑体_GBK" w:hAnsi="方正黑体_GBK" w:eastAsia="方正黑体_GBK" w:cs="方正黑体_GBK"/>
          <w:sz w:val="32"/>
          <w:szCs w:val="32"/>
        </w:rPr>
        <w:t xml:space="preserve">、违约责任</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甲乙双方因违反</w:t>
      </w:r>
      <w:r>
        <w:rPr>
          <w:rFonts w:hint="eastAsia" w:ascii="仿宋" w:hAnsi="仿宋" w:eastAsia="仿宋" w:cs="仿宋"/>
          <w:color w:val="000000"/>
          <w:sz w:val="28"/>
          <w:szCs w:val="28"/>
          <w:highlight w:val="none"/>
          <w:lang w:val="en-US" w:eastAsia="zh-CN"/>
        </w:rPr>
        <w:t xml:space="preserve">合同约定，或发生其他严重损害参保人权益的情况，合同双方可以提前终止或解除合作，并就违约情况提请有关部门依法追究责任。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乙方不得利用专业技术和行业信息优势之便，故意隐瞒或掩盖自身过失，违背投标承诺和未尽义务，如有发生，甲方可追究乙方的违约责任并索取赔偿，且不受合同时效的限制。</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乙方预留的履约保证金不足以赔偿甲方实际损失的，甲方有权要求乙方继续赔偿。</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乙方不按照合同规定履行的，甲方有权责令乙方立即改正，乙方拒不改正或已经造成不良社会影响的，甲方有权要求乙方承担责任。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乙方对定点评估机构、定点护理机构、工作人员或参保人员监管不严造成长护险基金流失的，由乙方先行垫付相关费用并负责追回，确实无法追回的，由乙方全额承担。</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val="en-US" w:eastAsia="zh-CN"/>
        </w:rPr>
        <w:t xml:space="preserve">九</w:t>
      </w:r>
      <w:r>
        <w:rPr>
          <w:rFonts w:hint="eastAsia" w:ascii="方正黑体_GBK" w:hAnsi="方正黑体_GBK" w:eastAsia="方正黑体_GBK" w:cs="方正黑体_GBK"/>
          <w:color w:val="000000"/>
          <w:sz w:val="32"/>
          <w:szCs w:val="32"/>
          <w:highlight w:val="none"/>
        </w:rPr>
        <w:t xml:space="preserve">、风险调节</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按照“以收定支、收支平衡、略有结余”的原则建立风险共担机制。长护险保费收支结余如出现亏损，亏损2%（含）以内的部分由乙方承担，2%以上的部分，由甲方和乙方各承担50%；如有结余，则结余部分全额返还基金。承办服务费结算后结余部分返还基金，超支部分由承办机构自行承担。</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结余率或亏损率计算公式：［（本期长护险实际保费-本期长护险待遇支出）／本期长护险实际保费］×100%。</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本期长护险实际保费＝本期长护险基金总额-本期长护险承办服务费。</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十、争议解决</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甲乙双方发生有关长护险争议时，可通过协商解决；协商不成，应提交甲方所在地有管辖权的人民法院处理。</w:t>
      </w:r>
      <w:r>
        <w:rPr>
          <w:rFonts w:hint="eastAsia" w:ascii="仿宋" w:hAnsi="仿宋" w:eastAsia="仿宋" w:cs="仿宋"/>
          <w:color w:val="000000"/>
          <w:sz w:val="28"/>
          <w:szCs w:val="28"/>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一</w:t>
      </w:r>
      <w:r>
        <w:rPr>
          <w:rFonts w:hint="eastAsia" w:ascii="方正黑体_GBK" w:hAnsi="方正黑体_GBK" w:eastAsia="方正黑体_GBK" w:cs="方正黑体_GBK"/>
          <w:color w:val="000000"/>
          <w:sz w:val="32"/>
          <w:szCs w:val="32"/>
          <w:highlight w:val="none"/>
        </w:rPr>
        <w:t xml:space="preserve">、违约处罚</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乙方有下列情形之一的，甲方取消其当期长护险业务承办资格：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1.发生服务能力严重不足、服务质量低下或其他严重影响长护险业务正常办理的重大情况；</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2.承办长护险结算业务过程中，出现挪用、截留、侵占长护险项目资金违法违规案件，严重损害参保群众合法利益；</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3.未经行业监管部门及淮安市医疗保障部门同意，单方中途退出长护险业务承办项目；</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4.履约考核验收结果为“不合格”；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5.其他严重影响长护险制度平稳运行的行为。</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二</w:t>
      </w:r>
      <w:r>
        <w:rPr>
          <w:rFonts w:hint="eastAsia" w:ascii="方正黑体_GBK" w:hAnsi="方正黑体_GBK" w:eastAsia="方正黑体_GBK" w:cs="方正黑体_GBK"/>
          <w:color w:val="000000"/>
          <w:sz w:val="32"/>
          <w:szCs w:val="32"/>
          <w:highlight w:val="none"/>
        </w:rPr>
        <w:t xml:space="preserve">、不可抗力</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三</w:t>
      </w:r>
      <w:r>
        <w:rPr>
          <w:rFonts w:hint="eastAsia" w:ascii="方正黑体_GBK" w:hAnsi="方正黑体_GBK" w:eastAsia="方正黑体_GBK" w:cs="方正黑体_GBK"/>
          <w:color w:val="000000"/>
          <w:sz w:val="32"/>
          <w:szCs w:val="32"/>
          <w:highlight w:val="none"/>
        </w:rPr>
        <w:t xml:space="preserve">、特殊情况处理</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如因乙方不能履行合同，影响了参保人权益，甲方按政策规定履行职能，扣留乙方的履约保证金，</w:t>
      </w:r>
      <w:r>
        <w:rPr>
          <w:rFonts w:hint="eastAsia" w:ascii="仿宋" w:hAnsi="仿宋" w:eastAsia="仿宋" w:cs="仿宋"/>
          <w:sz w:val="28"/>
          <w:szCs w:val="28"/>
          <w:lang w:val="en-US" w:eastAsia="zh-CN"/>
        </w:rPr>
        <w:t xml:space="preserve">并报相关部门追究其责任。</w:t>
      </w:r>
      <w:r>
        <w:rPr>
          <w:rFonts w:hint="eastAsia" w:ascii="仿宋" w:hAnsi="仿宋" w:eastAsia="仿宋" w:cs="仿宋"/>
          <w:sz w:val="28"/>
          <w:szCs w:val="28"/>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十</w:t>
      </w:r>
      <w:r>
        <w:rPr>
          <w:rFonts w:hint="eastAsia" w:ascii="方正黑体_GBK" w:hAnsi="方正黑体_GBK" w:eastAsia="方正黑体_GBK" w:cs="方正黑体_GBK"/>
          <w:sz w:val="32"/>
          <w:szCs w:val="32"/>
          <w:lang w:val="en-US" w:eastAsia="zh-CN"/>
        </w:rPr>
        <w:t xml:space="preserve">四</w:t>
      </w:r>
      <w:r>
        <w:rPr>
          <w:rFonts w:hint="eastAsia" w:ascii="方正黑体_GBK" w:hAnsi="方正黑体_GBK" w:eastAsia="方正黑体_GBK" w:cs="方正黑体_GBK"/>
          <w:sz w:val="32"/>
          <w:szCs w:val="32"/>
        </w:rPr>
        <w:t xml:space="preserve">、其它约定</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所有经双方签署确认的文件（包括会议纪要、补充协议、往来信函）、采购文件、要约文件和响应承诺文件、</w:t>
      </w:r>
      <w:r>
        <w:rPr>
          <w:rFonts w:hint="eastAsia" w:ascii="仿宋" w:hAnsi="仿宋" w:eastAsia="仿宋" w:cs="仿宋"/>
          <w:color w:val="000000"/>
          <w:sz w:val="28"/>
          <w:szCs w:val="28"/>
          <w:highlight w:val="none"/>
          <w:lang w:val="en-US" w:eastAsia="zh-CN"/>
        </w:rPr>
        <w:t xml:space="preserve">合同附件及《中标通知书》均为本合同不可分割的有效组成部分，与本合同具有同等的法律效力和履约义务，其生效日期为有效签署或盖章确认之日期。</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甲方制定的考核办法亦作为本合同附件之一，如遇与前文内容不一致的，以甲方确认的文件为准。</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五</w:t>
      </w:r>
      <w:r>
        <w:rPr>
          <w:rFonts w:hint="eastAsia" w:ascii="方正黑体_GBK" w:hAnsi="方正黑体_GBK" w:eastAsia="方正黑体_GBK" w:cs="方正黑体_GBK"/>
          <w:color w:val="000000"/>
          <w:sz w:val="32"/>
          <w:szCs w:val="32"/>
          <w:highlight w:val="none"/>
        </w:rPr>
        <w:t xml:space="preserve">、</w:t>
      </w:r>
      <w:r>
        <w:rPr>
          <w:rFonts w:hint="eastAsia" w:ascii="方正黑体_GBK" w:hAnsi="方正黑体_GBK" w:eastAsia="方正黑体_GBK" w:cs="方正黑体_GBK"/>
          <w:color w:val="000000"/>
          <w:sz w:val="32"/>
          <w:szCs w:val="32"/>
          <w:highlight w:val="none"/>
          <w:lang w:val="en-US" w:eastAsia="zh-CN"/>
        </w:rPr>
        <w:t xml:space="preserve">合同</w:t>
      </w:r>
      <w:r>
        <w:rPr>
          <w:rFonts w:hint="eastAsia" w:ascii="方正黑体_GBK" w:hAnsi="方正黑体_GBK" w:eastAsia="方正黑体_GBK" w:cs="方正黑体_GBK"/>
          <w:color w:val="000000"/>
          <w:sz w:val="32"/>
          <w:szCs w:val="32"/>
          <w:highlight w:val="none"/>
        </w:rPr>
        <w:t xml:space="preserve">生效</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本合同在甲乙双方法定代表人或其授权代表签字并加盖公章后生效。</w:t>
      </w:r>
      <w:r>
        <w:rPr>
          <w:rFonts w:hint="eastAsia" w:ascii="仿宋" w:hAnsi="仿宋" w:eastAsia="仿宋" w:cs="仿宋"/>
          <w:color w:val="000000"/>
          <w:sz w:val="28"/>
          <w:szCs w:val="28"/>
          <w:highlight w:val="none"/>
          <w:lang w:val="en-US" w:eastAsia="zh-CN"/>
        </w:rPr>
        <w:t xml:space="preserve">本合同一式五份，甲乙双方各执壹份，甲乙双方主管部门各备案壹份，具有同等法律效力。</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甲方（盖章）</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乙方（盖章）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法定代表人或授权代表：        法定代表人或授权代表：</w:t>
      </w:r>
      <w:r>
        <w:rPr>
          <w:rFonts w:hint="eastAsia" w:ascii="仿宋" w:hAnsi="仿宋" w:eastAsia="仿宋" w:cs="仿宋"/>
          <w:color w:val="000000"/>
          <w:sz w:val="28"/>
          <w:szCs w:val="28"/>
          <w:highlight w:val="none"/>
          <w:lang w:val="en-US" w:eastAsia="zh-CN"/>
        </w:rPr>
      </w:r>
      <w:r/>
    </w:p>
    <w:p>
      <w:pPr>
        <w:pStyle w:val="959"/>
        <w:jc w:val="center"/>
        <w:keepLines w:val="0"/>
        <w:keepNext w:val="0"/>
        <w:pageBreakBefore w:val="0"/>
        <w:spacing w:line="520" w:lineRule="exact"/>
        <w:widowControl w:val="off"/>
        <w:rPr>
          <w:rFonts w:hint="eastAsia" w:ascii="仿宋" w:hAnsi="仿宋" w:eastAsia="仿宋"/>
          <w:b/>
          <w:bCs/>
          <w:sz w:val="36"/>
          <w:szCs w:val="36"/>
          <w:lang w:val="zh-CN" w:eastAsia="zh-CN"/>
        </w:rPr>
        <w:outlineLvl w:val="9"/>
      </w:pPr>
      <w:r>
        <w:rPr>
          <w:rFonts w:hint="eastAsia" w:ascii="仿宋" w:hAnsi="仿宋" w:eastAsia="仿宋" w:cs="仿宋"/>
          <w:color w:val="000000"/>
          <w:sz w:val="28"/>
          <w:szCs w:val="28"/>
          <w:highlight w:val="none"/>
          <w:lang w:val="en-US" w:eastAsia="zh-CN"/>
        </w:rPr>
        <w:t xml:space="preserve">年   月   日               年   月   日</w:t>
      </w:r>
      <w:r>
        <w:rPr>
          <w:rFonts w:hint="eastAsia" w:ascii="仿宋" w:hAnsi="仿宋" w:eastAsia="仿宋" w:cs="仿宋"/>
          <w:color w:val="000000"/>
          <w:sz w:val="28"/>
          <w:szCs w:val="28"/>
          <w:highlight w:val="none"/>
          <w:lang w:val="en-US" w:eastAsia="zh-CN"/>
        </w:rPr>
        <w:tab/>
      </w: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eastAsia="zh-CN"/>
        </w:rPr>
        <w:t xml:space="preserve">（九个采购包均适用）</w:t>
      </w:r>
      <w:r>
        <w:rPr>
          <w:rFonts w:hint="eastAsia" w:ascii="仿宋" w:hAnsi="仿宋" w:eastAsia="仿宋"/>
          <w:b/>
          <w:bCs/>
          <w:sz w:val="36"/>
          <w:szCs w:val="36"/>
          <w:lang w:val="zh-CN"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项目背景</w:t>
      </w:r>
      <w:r>
        <w:rPr>
          <w:rFonts w:hint="eastAsia" w:ascii="仿宋" w:hAnsi="仿宋" w:eastAsia="仿宋" w:cs="仿宋"/>
          <w:b/>
          <w:bCs w:val="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为进一步健全我市长期护理保险制度体系，</w:t>
      </w:r>
      <w:r>
        <w:rPr>
          <w:rFonts w:hint="eastAsia" w:ascii="仿宋" w:hAnsi="仿宋" w:eastAsia="仿宋" w:cs="仿宋"/>
          <w:sz w:val="28"/>
          <w:szCs w:val="28"/>
          <w:highlight w:val="none"/>
          <w:lang w:val="en-US" w:eastAsia="zh-CN"/>
        </w:rPr>
        <w:t xml:space="preserve">保障</w:t>
      </w:r>
      <w:r>
        <w:rPr>
          <w:rFonts w:hint="eastAsia" w:ascii="仿宋" w:hAnsi="仿宋" w:eastAsia="仿宋" w:cs="仿宋"/>
          <w:sz w:val="28"/>
          <w:szCs w:val="28"/>
        </w:rPr>
        <w:t xml:space="preserve">失能参保人员合理护理需求，根据《国家医保局财政部关于扩大长期护理保险制度试点的指导意见》（医保发〔2020〕37号）、《江苏省医疗</w:t>
      </w:r>
      <w:r>
        <w:rPr>
          <w:rFonts w:hint="eastAsia" w:ascii="仿宋" w:hAnsi="仿宋" w:eastAsia="仿宋" w:cs="仿宋"/>
          <w:color w:val="000000"/>
          <w:sz w:val="28"/>
          <w:szCs w:val="28"/>
          <w:lang w:eastAsia="zh-CN"/>
        </w:rPr>
        <w:t xml:space="preserve">保</w:t>
      </w:r>
      <w:r>
        <w:rPr>
          <w:rFonts w:hint="eastAsia" w:ascii="仿宋" w:hAnsi="仿宋" w:eastAsia="仿宋" w:cs="仿宋"/>
          <w:color w:val="000000"/>
          <w:sz w:val="28"/>
          <w:szCs w:val="28"/>
          <w:lang w:val="en-US" w:eastAsia="zh-CN"/>
        </w:rPr>
        <w:t xml:space="preserve">障</w:t>
      </w:r>
      <w:r>
        <w:rPr>
          <w:rFonts w:hint="eastAsia" w:ascii="仿宋" w:hAnsi="仿宋" w:eastAsia="仿宋" w:cs="仿宋"/>
          <w:sz w:val="28"/>
          <w:szCs w:val="28"/>
        </w:rPr>
        <w:t xml:space="preserve">局江苏省财政厅转发国家医疗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局财政部关</w:t>
      </w:r>
      <w:r>
        <w:rPr>
          <w:rFonts w:hint="eastAsia" w:ascii="仿宋" w:hAnsi="仿宋" w:eastAsia="仿宋" w:cs="仿宋"/>
          <w:color w:val="000000"/>
          <w:sz w:val="28"/>
          <w:szCs w:val="28"/>
        </w:rPr>
        <w:t xml:space="preserve">于扩大长期护理保险制度试点指导意见的通知》（苏医保发〔2020〕109号）、</w:t>
      </w:r>
      <w:bookmarkStart w:id="36" w:name="_Hlk133414792"/>
      <w:r>
        <w:rPr>
          <w:rFonts w:hint="eastAsia" w:ascii="仿宋" w:hAnsi="仿宋" w:eastAsia="仿宋" w:cs="仿宋"/>
          <w:color w:val="000000"/>
          <w:sz w:val="28"/>
          <w:szCs w:val="28"/>
          <w:lang w:eastAsia="zh-CN"/>
        </w:rPr>
        <w:t xml:space="preserve">《江苏省长期护理保险护理服务机构定点管理实施细则(试行)》的通知（</w:t>
      </w:r>
      <w:r>
        <w:rPr>
          <w:rFonts w:hint="eastAsia" w:ascii="仿宋" w:hAnsi="仿宋" w:eastAsia="仿宋" w:cs="仿宋"/>
          <w:color w:val="000000"/>
          <w:sz w:val="28"/>
          <w:szCs w:val="28"/>
          <w:lang w:val="en-US" w:eastAsia="zh-CN"/>
        </w:rPr>
        <w:t xml:space="preserve">苏</w:t>
      </w:r>
      <w:r>
        <w:rPr>
          <w:rFonts w:hint="eastAsia" w:ascii="仿宋" w:hAnsi="仿宋" w:eastAsia="仿宋" w:cs="仿宋"/>
          <w:color w:val="000000"/>
          <w:sz w:val="28"/>
          <w:szCs w:val="28"/>
        </w:rPr>
        <w:t xml:space="preserve">医保发〔202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bookmarkStart w:id="37" w:name="_Hlk133400090"/>
      <w:r>
        <w:rPr>
          <w:rFonts w:hint="eastAsia" w:ascii="仿宋" w:hAnsi="仿宋" w:eastAsia="仿宋" w:cs="仿宋"/>
          <w:color w:val="000000"/>
          <w:sz w:val="28"/>
          <w:szCs w:val="28"/>
        </w:rPr>
        <w:t xml:space="preserve">淮安市长期护理保险实施方案</w:t>
      </w:r>
      <w:bookmarkEnd w:id="37"/>
      <w:r>
        <w:rPr>
          <w:rFonts w:hint="eastAsia" w:ascii="仿宋" w:hAnsi="仿宋" w:eastAsia="仿宋" w:cs="仿宋"/>
          <w:color w:val="000000"/>
          <w:sz w:val="28"/>
          <w:szCs w:val="28"/>
        </w:rPr>
        <w:t xml:space="preserve">》（淮</w:t>
      </w:r>
      <w:bookmarkStart w:id="38" w:name="_Hlk133400005"/>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bookmarkEnd w:id="38"/>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bookmarkEnd w:id="36"/>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关于健全长期护理保险制度的通知（淮医保发〔2026〕16号）</w:t>
      </w:r>
      <w:r>
        <w:rPr>
          <w:rFonts w:hint="eastAsia" w:ascii="仿宋" w:hAnsi="仿宋" w:eastAsia="仿宋" w:cs="仿宋"/>
          <w:color w:val="000000"/>
          <w:sz w:val="28"/>
          <w:szCs w:val="28"/>
        </w:rPr>
        <w:t xml:space="preserve">等文件规定，按照“以收定支、收支平衡、略有结余”的原则。结合我市实际，</w:t>
      </w:r>
      <w:r>
        <w:rPr>
          <w:rFonts w:hint="eastAsia" w:ascii="仿宋" w:hAnsi="仿宋" w:eastAsia="仿宋" w:cs="仿宋"/>
          <w:color w:val="000000"/>
          <w:sz w:val="28"/>
          <w:szCs w:val="28"/>
          <w:lang w:eastAsia="zh-CN"/>
        </w:rPr>
        <w:t xml:space="preserve">现</w:t>
      </w:r>
      <w:r>
        <w:rPr>
          <w:rFonts w:hint="eastAsia" w:ascii="仿宋" w:hAnsi="仿宋" w:eastAsia="仿宋" w:cs="仿宋"/>
          <w:color w:val="000000"/>
          <w:sz w:val="28"/>
          <w:szCs w:val="28"/>
        </w:rPr>
        <w:t xml:space="preserve">对淮安市长期护理保险项目（以下简称“本项目”）进行公开招标。</w:t>
      </w:r>
      <w:r>
        <w:rPr>
          <w:rFonts w:hint="eastAsia" w:ascii="仿宋" w:hAnsi="仿宋" w:eastAsia="仿宋" w:cs="仿宋"/>
          <w:sz w:val="28"/>
          <w:szCs w:val="28"/>
        </w:rPr>
      </w:r>
      <w:r/>
    </w:p>
    <w:p>
      <w:pPr>
        <w:pStyle w:val="938"/>
        <w:numPr>
          <w:ilvl w:val="0"/>
          <w:numId w:val="0"/>
        </w:numPr>
        <w:ind w:left="0" w:right="0"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政策依据</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938"/>
        <w:numPr>
          <w:ilvl w:val="0"/>
          <w:numId w:val="0"/>
        </w:numPr>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1.国家医保局办公室 民政部办公厅关于印发《长期护理失能等级评估标准(试行)》的通知(医保办发〔2021〕37号)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2.国家医疗保障局办公室关于印发《长期护理保险失能等级评估操作指南（试行）》的通知（医保办发〔2022〕1号）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3.国家医疗保障局办公室关于印发《长期护理保险经办规程（试行）》的通知（医保办发〔2024〕22号）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4.江苏省医疗保障局 江苏省财政厅印发《关于深化长期护理保险制度建设的指导意见》的通知（苏医保发〔2022〕85号）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5.江苏省医疗保障局关于贯彻落实规范长期护理保险服务项目管理工作的通知（苏医保发〔2025〕43号）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ff"/>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号）</w:t>
      </w:r>
      <w:r>
        <w:rPr>
          <w:rFonts w:hint="eastAsia" w:ascii="仿宋" w:hAnsi="仿宋" w:eastAsia="仿宋" w:cs="仿宋"/>
          <w:color w:val="0000ff"/>
          <w:sz w:val="28"/>
          <w:szCs w:val="28"/>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6.关于健全长期护理保险制度的通知（淮医保发〔2026〕16号）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rPr>
        <w:t xml:space="preserve">包括但不限于以上政策、经办文件，上述文件如有修订，以最新文件为准。</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rPr>
        <w:t xml:space="preserve">术语和定义</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以下术语和定义适用本采购文件</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tabs>
          <w:tab w:val="left" w:pos="630" w:leader="none"/>
        </w:tabs>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长期护理保险</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为达到规定失能等级的长期失能人员提供基本生活照料和与之密切相关的医疗护理提供保障的制度。</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号）及其配套文件所组成的制度框架内为特定人群提供的社会</w:t>
      </w:r>
      <w:r>
        <w:rPr>
          <w:rFonts w:hint="eastAsia" w:ascii="仿宋" w:hAnsi="仿宋" w:eastAsia="仿宋" w:cs="仿宋"/>
          <w:color w:val="000000"/>
          <w:sz w:val="28"/>
          <w:szCs w:val="28"/>
          <w:lang w:eastAsia="zh-CN"/>
        </w:rPr>
        <w:t xml:space="preserve">保险</w:t>
      </w:r>
      <w:r>
        <w:rPr>
          <w:rFonts w:hint="eastAsia" w:ascii="仿宋" w:hAnsi="仿宋" w:eastAsia="仿宋" w:cs="仿宋"/>
          <w:color w:val="000000"/>
          <w:sz w:val="28"/>
          <w:szCs w:val="28"/>
        </w:rPr>
        <w:t xml:space="preserve">制度，以下简称“长护险”</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rPr>
        <w:t xml:space="preserve">长护险基金：</w:t>
      </w:r>
      <w:r>
        <w:rPr>
          <w:rFonts w:hint="eastAsia" w:ascii="仿宋" w:hAnsi="仿宋" w:eastAsia="仿宋" w:cs="仿宋"/>
          <w:color w:val="000000"/>
          <w:sz w:val="28"/>
          <w:szCs w:val="28"/>
          <w:lang w:val="en-US" w:eastAsia="zh-CN"/>
        </w:rPr>
        <w:t xml:space="preserve">长护险基金是指在长期护理保险制度下，通过各种筹资渠道筹集而来，用于为经评定达到规定失能等级的长期失能人员，支付基本生活照料和与基本生活密切相关的医疗护理服务费用的专项基金。</w:t>
      </w:r>
      <w:r>
        <w:rPr>
          <w:rFonts w:hint="eastAsia" w:ascii="仿宋" w:hAnsi="仿宋" w:eastAsia="仿宋" w:cs="仿宋"/>
          <w:color w:val="000000"/>
          <w:sz w:val="28"/>
          <w:szCs w:val="28"/>
        </w:rPr>
        <w:t xml:space="preserve">主要用于</w:t>
      </w:r>
      <w:r>
        <w:rPr>
          <w:rFonts w:hint="eastAsia" w:ascii="仿宋" w:hAnsi="仿宋" w:eastAsia="仿宋" w:cs="仿宋"/>
          <w:color w:val="000000"/>
          <w:sz w:val="28"/>
          <w:szCs w:val="28"/>
          <w:lang w:val="en-US" w:eastAsia="zh-CN"/>
        </w:rPr>
        <w:t xml:space="preserve">护理服务</w:t>
      </w:r>
      <w:r>
        <w:rPr>
          <w:rFonts w:hint="eastAsia" w:ascii="仿宋" w:hAnsi="仿宋" w:eastAsia="仿宋" w:cs="仿宋"/>
          <w:color w:val="000000"/>
          <w:sz w:val="28"/>
          <w:szCs w:val="28"/>
        </w:rPr>
        <w:t xml:space="preserve">待遇支付、失能评估费用支付、承办服务费用、稽核检查(含履约管理)、培训宣传等支出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（三）承办服务</w:t>
      </w:r>
      <w:r>
        <w:rPr>
          <w:rFonts w:hint="eastAsia" w:ascii="仿宋" w:hAnsi="仿宋" w:eastAsia="仿宋" w:cs="仿宋"/>
          <w:b/>
          <w:bCs w:val="0"/>
          <w:color w:val="000000"/>
          <w:sz w:val="28"/>
          <w:szCs w:val="28"/>
        </w:rPr>
        <w:t xml:space="preserve">费用：</w:t>
      </w:r>
      <w:r>
        <w:rPr>
          <w:rFonts w:hint="eastAsia" w:ascii="仿宋" w:hAnsi="仿宋" w:eastAsia="仿宋" w:cs="仿宋"/>
          <w:color w:val="000000"/>
          <w:sz w:val="28"/>
          <w:szCs w:val="28"/>
        </w:rPr>
        <w:t xml:space="preserve">中标单位按照政策规定、采购需求及</w:t>
      </w:r>
      <w:r>
        <w:rPr>
          <w:rFonts w:hint="eastAsia" w:ascii="仿宋" w:hAnsi="仿宋" w:eastAsia="仿宋" w:cs="仿宋"/>
          <w:color w:val="000000"/>
          <w:sz w:val="28"/>
          <w:szCs w:val="28"/>
          <w:lang w:val="en-US" w:eastAsia="zh-CN"/>
        </w:rPr>
        <w:t xml:space="preserve">招标确定</w:t>
      </w:r>
      <w:r>
        <w:rPr>
          <w:rFonts w:hint="eastAsia" w:ascii="仿宋" w:hAnsi="仿宋" w:eastAsia="仿宋" w:cs="仿宋"/>
          <w:color w:val="000000"/>
          <w:sz w:val="28"/>
          <w:szCs w:val="28"/>
        </w:rPr>
        <w:t xml:space="preserve">等为做好长护险服务而实际发生的费用，含</w:t>
      </w:r>
      <w:r>
        <w:rPr>
          <w:rFonts w:hint="eastAsia" w:ascii="仿宋" w:hAnsi="仿宋" w:eastAsia="仿宋" w:cs="仿宋"/>
          <w:color w:val="000000"/>
          <w:sz w:val="28"/>
          <w:szCs w:val="28"/>
          <w:lang w:val="en-US" w:eastAsia="zh-CN"/>
        </w:rPr>
        <w:t xml:space="preserve">人员薪资、信息系统建设、办公设施、</w:t>
      </w:r>
      <w:r>
        <w:rPr>
          <w:rFonts w:hint="eastAsia" w:ascii="仿宋" w:hAnsi="仿宋" w:eastAsia="仿宋" w:cs="仿宋"/>
          <w:color w:val="000000"/>
          <w:sz w:val="28"/>
          <w:szCs w:val="28"/>
        </w:rPr>
        <w:t xml:space="preserve">宣传培训</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监督检查</w:t>
      </w:r>
      <w:r>
        <w:rPr>
          <w:rFonts w:hint="eastAsia" w:ascii="仿宋" w:hAnsi="仿宋" w:eastAsia="仿宋" w:cs="仿宋"/>
          <w:color w:val="000000"/>
          <w:sz w:val="28"/>
          <w:szCs w:val="28"/>
        </w:rPr>
        <w:t xml:space="preserve">等费用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bCs w:val="0"/>
          <w:color w:val="000000"/>
          <w:sz w:val="28"/>
          <w:szCs w:val="28"/>
          <w:lang w:val="en-US" w:eastAsia="zh-CN"/>
        </w:rPr>
        <w:t xml:space="preserve">（四）</w:t>
      </w:r>
      <w:r>
        <w:rPr>
          <w:rFonts w:hint="eastAsia" w:ascii="仿宋" w:hAnsi="仿宋" w:eastAsia="仿宋" w:cs="仿宋"/>
          <w:b/>
          <w:bCs w:val="0"/>
          <w:color w:val="000000"/>
          <w:sz w:val="28"/>
          <w:szCs w:val="28"/>
        </w:rPr>
        <w:t xml:space="preserve">采购人：</w:t>
      </w:r>
      <w:r>
        <w:rPr>
          <w:rFonts w:hint="eastAsia" w:ascii="仿宋" w:hAnsi="仿宋" w:eastAsia="仿宋" w:cs="仿宋"/>
          <w:color w:val="000000"/>
          <w:sz w:val="28"/>
          <w:szCs w:val="28"/>
        </w:rPr>
        <w:t xml:space="preserve">淮安市</w:t>
      </w:r>
      <w:r>
        <w:rPr>
          <w:rFonts w:hint="eastAsia" w:ascii="仿宋" w:hAnsi="仿宋" w:eastAsia="仿宋" w:cs="仿宋"/>
          <w:color w:val="000000"/>
          <w:sz w:val="28"/>
          <w:szCs w:val="28"/>
          <w:lang w:val="en-US" w:eastAsia="zh-CN"/>
        </w:rPr>
        <w:t xml:space="preserve">社会</w:t>
      </w:r>
      <w:r>
        <w:rPr>
          <w:rFonts w:hint="eastAsia" w:ascii="仿宋" w:hAnsi="仿宋" w:eastAsia="仿宋" w:cs="仿宋"/>
          <w:color w:val="000000"/>
          <w:sz w:val="28"/>
          <w:szCs w:val="28"/>
        </w:rPr>
        <w:t xml:space="preserve">医疗保</w:t>
      </w:r>
      <w:r>
        <w:rPr>
          <w:rFonts w:hint="eastAsia" w:ascii="仿宋" w:hAnsi="仿宋" w:eastAsia="仿宋" w:cs="仿宋"/>
          <w:color w:val="000000"/>
          <w:sz w:val="28"/>
          <w:szCs w:val="28"/>
          <w:lang w:val="en-US" w:eastAsia="zh-CN"/>
        </w:rPr>
        <w:t xml:space="preserve">险</w:t>
      </w:r>
      <w:r>
        <w:rPr>
          <w:rFonts w:hint="eastAsia" w:ascii="仿宋" w:hAnsi="仿宋" w:eastAsia="仿宋" w:cs="仿宋"/>
          <w:color w:val="000000"/>
          <w:sz w:val="28"/>
          <w:szCs w:val="28"/>
        </w:rPr>
        <w:t xml:space="preserve">基金管理中心</w:t>
      </w:r>
      <w:r>
        <w:rPr>
          <w:rFonts w:hint="eastAsia" w:ascii="仿宋" w:hAnsi="仿宋" w:eastAsia="仿宋" w:cs="仿宋"/>
          <w:color w:val="000000"/>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项目服务范围</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rPr>
        <w:t xml:space="preserve">项目</w:t>
      </w:r>
      <w:r>
        <w:rPr>
          <w:rFonts w:hint="eastAsia" w:ascii="仿宋" w:hAnsi="仿宋" w:eastAsia="仿宋" w:cs="仿宋"/>
          <w:b/>
          <w:bCs w:val="0"/>
          <w:color w:val="000000"/>
          <w:sz w:val="28"/>
          <w:szCs w:val="28"/>
          <w:lang w:eastAsia="zh-CN"/>
        </w:rPr>
        <w:t xml:space="preserve">概况</w:t>
      </w:r>
      <w:r>
        <w:rPr>
          <w:rFonts w:hint="eastAsia" w:ascii="仿宋" w:hAnsi="仿宋" w:eastAsia="仿宋" w:cs="仿宋"/>
          <w:b/>
          <w:bCs w:val="0"/>
          <w:color w:val="000000"/>
          <w:sz w:val="28"/>
          <w:szCs w:val="28"/>
          <w:lang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项目性质</w:t>
      </w:r>
      <w:r>
        <w:rPr>
          <w:rFonts w:hint="eastAsia" w:ascii="仿宋" w:hAnsi="仿宋" w:eastAsia="仿宋" w:cs="仿宋"/>
          <w:b/>
          <w:bCs w:val="0"/>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淮安市长护险公开招标后实行全市“统一管理、统一支付、分账核算”，按照统一的服务规范由中标商保机构分</w:t>
      </w:r>
      <w:r>
        <w:rPr>
          <w:rFonts w:hint="eastAsia" w:ascii="仿宋" w:hAnsi="仿宋" w:eastAsia="仿宋" w:cs="仿宋"/>
          <w:color w:val="000000"/>
          <w:sz w:val="28"/>
          <w:szCs w:val="28"/>
          <w:lang w:val="en-US" w:eastAsia="zh-CN"/>
        </w:rPr>
        <w:t xml:space="preserve">区域</w:t>
      </w:r>
      <w:r>
        <w:rPr>
          <w:rFonts w:hint="eastAsia" w:ascii="仿宋" w:hAnsi="仿宋" w:eastAsia="仿宋" w:cs="仿宋"/>
          <w:color w:val="000000"/>
          <w:sz w:val="28"/>
          <w:szCs w:val="28"/>
        </w:rPr>
        <w:t xml:space="preserve">独立开展服务工作。</w:t>
      </w:r>
      <w:r>
        <w:rPr>
          <w:rFonts w:hint="eastAsia" w:ascii="仿宋" w:hAnsi="仿宋" w:eastAsia="仿宋" w:cs="仿宋"/>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服务内容及相关要求</w:t>
      </w:r>
      <w:r>
        <w:rPr>
          <w:rFonts w:hint="eastAsia" w:ascii="仿宋" w:hAnsi="仿宋" w:eastAsia="仿宋" w:cs="仿宋"/>
          <w:b/>
          <w:bCs w:val="0"/>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1.</w:t>
      </w:r>
      <w:r>
        <w:rPr>
          <w:rFonts w:hint="eastAsia" w:ascii="仿宋" w:hAnsi="仿宋" w:eastAsia="仿宋" w:cs="仿宋"/>
          <w:b/>
          <w:bCs w:val="0"/>
          <w:color w:val="000000"/>
          <w:sz w:val="28"/>
          <w:szCs w:val="28"/>
        </w:rPr>
        <w:t xml:space="preserve">服务范围</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服务对象</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淮安市</w:t>
      </w:r>
      <w:r>
        <w:rPr>
          <w:rFonts w:hint="eastAsia" w:ascii="仿宋" w:hAnsi="仿宋" w:eastAsia="仿宋" w:cs="仿宋"/>
          <w:color w:val="000000"/>
          <w:sz w:val="28"/>
          <w:szCs w:val="28"/>
        </w:rPr>
        <w:t xml:space="preserve">行政区域范围内基本医疗保险参保人，具备基本医疗保险待遇资格且参加长护险的参保人员；</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2）参保人员因年老、疾病、伤残等导致失能、经过治疗病情稳定后，丧失生活自理能力持续6个月以上，需要长期护理的，经失能评估和资格认定为重度的,可享受长护险待遇；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）参保人不满足长护险享受条件的，停止享受长护险待遇。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32"/>
          <w:szCs w:val="32"/>
          <w:lang w:val="en-US" w:eastAsia="zh-CN"/>
        </w:rPr>
      </w:pPr>
      <w:r>
        <w:rPr>
          <w:rFonts w:hint="eastAsia" w:ascii="仿宋" w:hAnsi="仿宋" w:eastAsia="仿宋" w:cs="仿宋"/>
          <w:color w:val="000000"/>
          <w:sz w:val="28"/>
          <w:szCs w:val="28"/>
          <w:lang w:val="en-US" w:eastAsia="zh-CN"/>
        </w:rPr>
        <w:t xml:space="preserve">4）按照2026年6月底数据，全市基本医疗保险参保人数469.59万人，其中职工参保人数115.88万人、居民参保人数353.71万人。</w:t>
      </w:r>
      <w:r>
        <w:rPr>
          <w:rFonts w:hint="eastAsia" w:ascii="仿宋" w:hAnsi="仿宋" w:eastAsia="仿宋" w:cs="仿宋"/>
          <w:color w:val="000000"/>
          <w:sz w:val="32"/>
          <w:szCs w:val="32"/>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全市长护险参保人数</w:t>
      </w:r>
      <w:r>
        <w:rPr>
          <w:rFonts w:hint="eastAsia" w:ascii="仿宋" w:hAnsi="仿宋" w:eastAsia="仿宋" w:cs="仿宋"/>
          <w:color w:val="000000"/>
          <w:sz w:val="28"/>
          <w:szCs w:val="28"/>
          <w:highlight w:val="none"/>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单位：万人</w:t>
      </w:r>
      <w:r>
        <w:rPr>
          <w:rFonts w:hint="eastAsia" w:ascii="仿宋" w:hAnsi="仿宋" w:eastAsia="仿宋" w:cs="仿宋"/>
          <w:color w:val="000000"/>
          <w:sz w:val="28"/>
          <w:szCs w:val="28"/>
          <w:highlight w:val="none"/>
          <w:lang w:val="en-US" w:eastAsia="zh-CN"/>
        </w:rPr>
      </w:r>
      <w:r/>
    </w:p>
    <w:tbl>
      <w:tblPr>
        <w:tblW w:w="944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56"/>
        <w:gridCol w:w="900"/>
        <w:gridCol w:w="1068"/>
        <w:gridCol w:w="900"/>
        <w:gridCol w:w="852"/>
        <w:gridCol w:w="852"/>
        <w:gridCol w:w="900"/>
        <w:gridCol w:w="888"/>
        <w:gridCol w:w="959"/>
      </w:tblGrid>
      <w:tr>
        <w:trPr>
          <w:tblHeader/>
        </w:trPr>
        <w:tc>
          <w:tcPr>
            <w:tcMar>
              <w:left w:w="108" w:type="dxa"/>
              <w:right w:w="108" w:type="dxa"/>
            </w:tcMar>
            <w:tcW w:w="1072" w:type="dxa"/>
            <w:vAlign w:val="center"/>
            <w:vMerge w:val="restart"/>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color w:val="000000"/>
                <w:sz w:val="18"/>
                <w:szCs w:val="18"/>
                <w:lang w:val="en-US" w:eastAsia="zh-CN"/>
              </w:rPr>
              <w:t xml:space="preserve">采购包号</w:t>
            </w: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统筹区</w:t>
            </w:r>
            <w:r>
              <w:rPr>
                <w:rFonts w:hint="eastAsia" w:ascii="仿宋" w:hAnsi="仿宋" w:eastAsia="仿宋" w:cs="仿宋"/>
                <w:b/>
                <w:bCs/>
                <w:i w:val="0"/>
                <w:iCs w:val="0"/>
                <w:color w:val="000000"/>
                <w:sz w:val="18"/>
                <w:szCs w:val="18"/>
                <w:u w:val="none"/>
              </w:rPr>
            </w:r>
            <w:r/>
          </w:p>
        </w:tc>
        <w:tc>
          <w:tcPr>
            <w:gridSpan w:val="6"/>
            <w:tcMar>
              <w:left w:w="108" w:type="dxa"/>
              <w:right w:w="108" w:type="dxa"/>
            </w:tcMar>
            <w:tcW w:w="547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参保人数</w:t>
            </w:r>
            <w:r>
              <w:rPr>
                <w:rFonts w:hint="eastAsia" w:ascii="仿宋" w:hAnsi="仿宋" w:eastAsia="仿宋" w:cs="仿宋"/>
                <w:b/>
                <w:bCs/>
                <w:i w:val="0"/>
                <w:iCs w:val="0"/>
                <w:color w:val="000000"/>
                <w:sz w:val="18"/>
                <w:szCs w:val="18"/>
                <w:u w:val="none"/>
              </w:rPr>
            </w:r>
            <w:r/>
          </w:p>
        </w:tc>
        <w:tc>
          <w:tcPr>
            <w:gridSpan w:val="2"/>
            <w:tcMar>
              <w:left w:w="108" w:type="dxa"/>
              <w:right w:w="108" w:type="dxa"/>
            </w:tcMar>
            <w:tcW w:w="1847"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合计</w:t>
            </w: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职工参保人数</w:t>
            </w:r>
            <w:r>
              <w:rPr>
                <w:rFonts w:hint="eastAsia" w:ascii="仿宋" w:hAnsi="仿宋" w:eastAsia="仿宋" w:cs="仿宋"/>
                <w:b/>
                <w:bCs/>
                <w:i w:val="0"/>
                <w:iCs w:val="0"/>
                <w:color w:val="000000"/>
                <w:sz w:val="18"/>
                <w:szCs w:val="18"/>
                <w:u w:val="none"/>
              </w:rPr>
            </w:r>
            <w:r/>
          </w:p>
        </w:tc>
        <w:tc>
          <w:tcPr>
            <w:gridSpan w:val="4"/>
            <w:tcMar>
              <w:left w:w="108" w:type="dxa"/>
              <w:right w:w="108" w:type="dxa"/>
            </w:tcMar>
            <w:tcW w:w="3504" w:type="dxa"/>
            <w:vAlign w:val="center"/>
            <w:textDirection w:val="lrTb"/>
            <w:noWrap/>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居民参保人数</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职工筹资人数</w:t>
            </w: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总人数</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18周岁以上</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18周岁以下</w:t>
            </w: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大学生</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第一包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淮安区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88.99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74.15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12.61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第二包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涟水县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84.67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72.11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第三包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淮阴区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73.42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第四包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盱眙县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63.16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51.74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第五包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市本级</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第六包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清江浦区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43.57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32.17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10.58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第七包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金湖县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29.29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19.82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第八包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洪泽区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30.34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22.07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第九包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开发区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32.08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19.70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r>
      <w:tr>
        <w:trPr/>
        <w:tc>
          <w:tcPr>
            <w:gridSpan w:val="2"/>
            <w:tcMar>
              <w:left w:w="108" w:type="dxa"/>
              <w:right w:w="108" w:type="dxa"/>
            </w:tcMar>
            <w:tcW w:w="2128"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469.59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353.71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70.91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r>
    </w:tbl>
    <w:p>
      <w:pPr>
        <w:pStyle w:val="938"/>
        <w:numPr>
          <w:ilvl w:val="0"/>
          <w:numId w:val="0"/>
        </w:numPr>
        <w:jc w:val="both"/>
        <w:keepLines w:val="0"/>
        <w:keepNext w:val="0"/>
        <w:pageBreakBefore w:val="0"/>
        <w:spacing w:after="0" w:line="560" w:lineRule="exact"/>
        <w:rPr>
          <w:rFonts w:ascii="方正仿宋_GBK" w:hAnsi="方正仿宋_GBK" w:eastAsia="方正仿宋_GBK" w:cs="方正仿宋_GBK"/>
          <w:color w:val="000000"/>
          <w:sz w:val="32"/>
          <w:szCs w:val="32"/>
          <w:lang w:val="en-US" w:eastAsia="zh-CN"/>
        </w:rPr>
      </w:pPr>
      <w:r>
        <w:rPr>
          <w:rFonts w:hint="eastAsia" w:ascii="仿宋" w:hAnsi="仿宋" w:eastAsia="仿宋" w:cs="仿宋"/>
          <w:color w:val="000000"/>
          <w:sz w:val="28"/>
          <w:szCs w:val="28"/>
          <w:lang w:val="en-US" w:eastAsia="zh-CN"/>
        </w:rPr>
        <w:t xml:space="preserve">注：居民筹资总人数=居民参保人数-18周岁以下人员-在淮大中专院校代收代缴的在籍学生。</w:t>
      </w:r>
      <w:r>
        <w:rPr>
          <w:rFonts w:ascii="方正仿宋_GBK" w:hAnsi="方正仿宋_GBK" w:eastAsia="方正仿宋_GBK" w:cs="方正仿宋_GBK"/>
          <w:color w:val="000000"/>
          <w:sz w:val="32"/>
          <w:szCs w:val="32"/>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资金来源、保费标准与筹集方式</w:t>
      </w:r>
      <w:r>
        <w:rPr>
          <w:rFonts w:hint="eastAsia" w:ascii="仿宋" w:hAnsi="仿宋" w:eastAsia="仿宋" w:cs="仿宋"/>
          <w:b/>
          <w:bCs w:val="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长期护理保险基金按照“以收定支、收支平衡、略有结余”原则筹集。</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1）资金来源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个人缴费、政府补助、职工基本医疗保险统筹基金划转部分组成；</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2）保费标准</w:t>
      </w:r>
      <w:r>
        <w:rPr>
          <w:rFonts w:hint="eastAsia" w:ascii="仿宋" w:hAnsi="仿宋" w:eastAsia="仿宋" w:cs="仿宋"/>
          <w:sz w:val="28"/>
          <w:szCs w:val="28"/>
          <w:lang w:eastAsia="zh-CN"/>
        </w:rPr>
        <w:t xml:space="preserve">：依据</w:t>
      </w:r>
      <w:r>
        <w:rPr>
          <w:rFonts w:hint="eastAsia" w:ascii="仿宋" w:hAnsi="仿宋" w:eastAsia="仿宋" w:cs="仿宋"/>
          <w:sz w:val="28"/>
          <w:szCs w:val="28"/>
        </w:rPr>
        <w:t xml:space="preserve">市社会医疗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行政部门和财政部门公布的标准执行。</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职工长护险实行个人与职工医保基金合理分担，筹资标准为每人每年80元，其中职工医保统筹基金划转每人每年60元、个人缴费每人每年20元；城乡居民长护险实行个人缴费与政府补助合理分担，筹资标准为每人每年40元，其中政府补助每人每年20元、由同级财政承担，个人缴费每人每年20元，与城乡居民基本医疗保险费合并征收、分账管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3）基金筹集方式：按年度筹集，参保人员按年度一次性缴纳。</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lang w:val="en-US" w:eastAsia="zh-CN"/>
        </w:rPr>
        <w:t xml:space="preserve"> 长护险个人缴费：统一从个人账户划转，按全年缴费标准1月份由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从个人账户中一次性划转至市财政专户，个人账户余额不足的，在个人账户足额时按全年缴费标准代扣代缴。</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lang w:val="en-US" w:eastAsia="zh-CN"/>
        </w:rPr>
        <w:t xml:space="preserve">②财政补助部分：每年3月底前由市、县（区）财政部门按年度预算编制的长护险财政补助资金预算数将补助资金一次性划转至市财政专户。</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4.长护险服务</w:t>
      </w:r>
      <w:r>
        <w:rPr>
          <w:rFonts w:hint="eastAsia" w:ascii="仿宋" w:hAnsi="仿宋" w:eastAsia="仿宋" w:cs="仿宋"/>
          <w:b/>
          <w:bCs w:val="0"/>
          <w:sz w:val="28"/>
          <w:szCs w:val="28"/>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1）失能等级评估</w:t>
      </w:r>
      <w:r>
        <w:rPr>
          <w:rFonts w:hint="eastAsia" w:ascii="仿宋" w:hAnsi="仿宋" w:eastAsia="仿宋" w:cs="仿宋"/>
          <w:b/>
          <w:bCs/>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按照公开、公正、透明的原则，以需求为导向，依据国家、省、市失能等级评估管理办法等规定，对提出评估需求申请的参保人员进行疾病状况、自理能力等失能程度综合评估，具体要求如下：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①承办商保机构要严格控制失能等级评估质量，开展失能等级评估初筛工作。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ascii="仿宋" w:hAnsi="仿宋" w:eastAsia="仿宋" w:cs="仿宋"/>
          <w:sz w:val="28"/>
          <w:szCs w:val="28"/>
          <w:lang w:val="en-US" w:eastAsia="zh-CN"/>
        </w:rPr>
        <w:t xml:space="preserve">②</w:t>
      </w:r>
      <w:r>
        <w:rPr>
          <w:rFonts w:hint="eastAsia" w:ascii="仿宋" w:hAnsi="仿宋" w:eastAsia="仿宋" w:cs="仿宋"/>
          <w:sz w:val="28"/>
          <w:szCs w:val="28"/>
          <w:lang w:val="en-US" w:eastAsia="zh-CN"/>
        </w:rPr>
        <w:t xml:space="preserve">评估结果存在异议</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a.经公示有异议的，异议人应在公示期内向</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和承办商保机构实名举报。承办商保机构进行审核，符合复评要求的，在公示期满后10个工作日内组织复评；</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b.参保人员或监护人对评估结论有异议的，自公布之日起10个工作日内可以向原渠道申请评估的承办商保机构提出复评申请，并按要求携带相关资料到承办商保机构进行审核；</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c.经</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、承办商保机构抽查、监督发现参保人员不符合评估结论的，可要求组织复评。参保人员若不按要求配合做好复评工作，则暂缓或取消享受待遇。     </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复评工作由承办商保机构组织，复评原则上不少于2名评估专家参加，参加初次评估的定点评估机构和评估人员须回避。复评结论为最终结论，不再进行公示。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承办商保机构要严格按照评估流程进行管理，加强对评估机构评估工作监督，提高服务质量，及时认真妥善处理各类投诉咨询，将参保人员满意度调查、复评一致率等列入考核内容，履行对评估机构的监督管理职能。</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④评估机构对失能人员评估项的参数采集率达到100%。</w:t>
      </w:r>
      <w:r>
        <w:rPr>
          <w:rFonts w:hint="eastAsia" w:ascii="仿宋" w:hAnsi="仿宋" w:eastAsia="仿宋" w:cs="仿宋"/>
          <w:sz w:val="28"/>
          <w:szCs w:val="28"/>
          <w:lang w:val="en-US" w:eastAsia="zh-CN"/>
        </w:rPr>
      </w:r>
      <w:r/>
    </w:p>
    <w:p>
      <w:pPr>
        <w:pStyle w:val="938"/>
        <w:contextualSpacing/>
        <w:ind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⑤</w:t>
      </w:r>
      <w:r>
        <w:rPr>
          <w:rFonts w:hint="eastAsia" w:ascii="仿宋" w:hAnsi="仿宋" w:eastAsia="仿宋" w:cs="仿宋"/>
          <w:strike w:val="0"/>
          <w:color w:val="000000"/>
          <w:sz w:val="28"/>
          <w:szCs w:val="28"/>
          <w:lang w:val="en-US" w:eastAsia="zh-CN"/>
        </w:rPr>
        <w:t xml:space="preserve">承办机构定期对失能人员失能情况开展复查，每年至少复查一次。经复查不符合长护险待遇享受条件的失能人员，自复查结论作出的次日起停止长护险待遇，复查费用由承办机构承担。</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2）长期护理服务</w:t>
      </w:r>
      <w:r>
        <w:rPr>
          <w:rFonts w:hint="eastAsia" w:ascii="仿宋" w:hAnsi="仿宋" w:eastAsia="仿宋" w:cs="仿宋"/>
          <w:b/>
          <w:bCs w:val="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 服务主体</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本市范围内纳入长护险协议管理的医保定点康复、护理等医疗机构，各类养老服务机构、</w:t>
      </w:r>
      <w:bookmarkStart w:id="39" w:name="_Hlk136445688"/>
      <w:r>
        <w:rPr>
          <w:rFonts w:hint="eastAsia" w:ascii="仿宋" w:hAnsi="仿宋" w:eastAsia="仿宋" w:cs="仿宋"/>
          <w:sz w:val="28"/>
          <w:szCs w:val="28"/>
          <w:lang w:val="en-US" w:eastAsia="zh-CN"/>
        </w:rPr>
        <w:t xml:space="preserve">残疾人托养康复机构</w:t>
      </w:r>
      <w:bookmarkEnd w:id="39"/>
      <w:r>
        <w:rPr>
          <w:rFonts w:hint="eastAsia" w:ascii="仿宋" w:hAnsi="仿宋" w:eastAsia="仿宋" w:cs="仿宋"/>
          <w:sz w:val="28"/>
          <w:szCs w:val="28"/>
          <w:lang w:val="en-US" w:eastAsia="zh-CN"/>
        </w:rPr>
        <w:t xml:space="preserve">及能够提供居家护理服务的服务机构。</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 服务人员</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长期护理服务人员应当是受聘于护理服务机构的执业（助理）医师、注册护士、</w:t>
      </w:r>
      <w:r>
        <w:rPr>
          <w:rFonts w:hint="eastAsia" w:ascii="仿宋" w:hAnsi="仿宋" w:eastAsia="仿宋" w:cs="仿宋"/>
          <w:color w:val="000000"/>
          <w:sz w:val="28"/>
          <w:szCs w:val="28"/>
          <w:lang w:val="en-US" w:eastAsia="zh-CN"/>
        </w:rPr>
        <w:t xml:space="preserve">长期照护师</w:t>
      </w:r>
      <w:r>
        <w:rPr>
          <w:rFonts w:hint="eastAsia" w:ascii="仿宋" w:hAnsi="仿宋" w:eastAsia="仿宋" w:cs="仿宋"/>
          <w:color w:val="0000ff"/>
          <w:sz w:val="28"/>
          <w:szCs w:val="28"/>
          <w:lang w:val="en-US" w:eastAsia="zh-CN"/>
        </w:rPr>
        <w:t xml:space="preserve">、</w:t>
      </w:r>
      <w:r>
        <w:rPr>
          <w:rFonts w:hint="eastAsia" w:ascii="仿宋" w:hAnsi="仿宋" w:eastAsia="仿宋" w:cs="仿宋"/>
          <w:sz w:val="28"/>
          <w:szCs w:val="28"/>
          <w:lang w:val="en-US" w:eastAsia="zh-CN"/>
        </w:rPr>
        <w:t xml:space="preserve">养老护理员、医疗护理员、康复治疗师，以及参加养老护理员、健康护理等职业培训合格的人员，取得人社部门备案的护理员技能等级证书。</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服务形式</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根据《淮安市长期护理保险实施方案》（</w:t>
      </w:r>
      <w:r>
        <w:rPr>
          <w:rFonts w:hint="eastAsia" w:ascii="仿宋" w:hAnsi="仿宋" w:eastAsia="仿宋" w:cs="仿宋"/>
          <w:sz w:val="28"/>
          <w:szCs w:val="28"/>
          <w:highlight w:val="none"/>
          <w:lang w:val="en-US" w:eastAsia="zh-CN"/>
        </w:rPr>
        <w:t xml:space="preserve">淮政规</w:t>
      </w:r>
      <w:r>
        <w:rPr>
          <w:rFonts w:hint="eastAsia" w:ascii="仿宋" w:hAnsi="仿宋" w:eastAsia="仿宋" w:cs="仿宋"/>
          <w:sz w:val="28"/>
          <w:szCs w:val="28"/>
          <w:lang w:val="en-US" w:eastAsia="zh-CN"/>
        </w:rPr>
        <w:t xml:space="preserve">〔2023〕2号）、《淮安市长期护理保险实施细则</w:t>
      </w:r>
      <w:r>
        <w:rPr>
          <w:rFonts w:hint="eastAsia" w:ascii="仿宋" w:hAnsi="仿宋" w:eastAsia="仿宋" w:cs="仿宋"/>
          <w:sz w:val="28"/>
          <w:szCs w:val="28"/>
          <w:highlight w:val="none"/>
          <w:lang w:val="en-US" w:eastAsia="zh-CN"/>
        </w:rPr>
        <w:t xml:space="preserve">（试行）》</w:t>
      </w:r>
      <w:r>
        <w:rPr>
          <w:rFonts w:hint="eastAsia" w:ascii="仿宋" w:hAnsi="仿宋" w:eastAsia="仿宋" w:cs="仿宋"/>
          <w:sz w:val="28"/>
          <w:szCs w:val="28"/>
          <w:lang w:val="en-US" w:eastAsia="zh-CN"/>
        </w:rPr>
        <w:t xml:space="preserve">（淮医保发〔2023〕33号）、《关于健全长期护理保险制度的通知》（淮医保发〔2026〕16号）等文件规定，服务形</w:t>
      </w:r>
      <w:r>
        <w:rPr>
          <w:rFonts w:hint="eastAsia" w:ascii="仿宋" w:hAnsi="仿宋" w:eastAsia="仿宋" w:cs="仿宋"/>
          <w:color w:val="000000"/>
          <w:sz w:val="28"/>
          <w:szCs w:val="28"/>
          <w:lang w:val="en-US" w:eastAsia="zh-CN"/>
        </w:rPr>
        <w:t xml:space="preserve">式依据参保人员的护理需求，分为医疗机构住院护理、养老机构护理、社区护理、居家护理四类。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第一类：医疗机构住院护理是指医保定点康复、护理等医疗机构，为入住在其机构内护理床位的参保人员提供的长期护理服务。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第二类：养老机构护理是指养老服务机构、</w:t>
      </w:r>
      <w:bookmarkStart w:id="40" w:name="_Hlk136445811"/>
      <w:r>
        <w:rPr>
          <w:rFonts w:hint="eastAsia" w:ascii="仿宋" w:hAnsi="仿宋" w:eastAsia="仿宋" w:cs="仿宋"/>
          <w:sz w:val="28"/>
          <w:szCs w:val="28"/>
          <w:lang w:val="en-US" w:eastAsia="zh-CN"/>
        </w:rPr>
        <w:t xml:space="preserve">残疾人托养康复机构</w:t>
      </w:r>
      <w:bookmarkEnd w:id="40"/>
      <w:r>
        <w:rPr>
          <w:rFonts w:hint="eastAsia" w:ascii="仿宋" w:hAnsi="仿宋" w:eastAsia="仿宋" w:cs="仿宋"/>
          <w:sz w:val="28"/>
          <w:szCs w:val="28"/>
          <w:lang w:val="en-US" w:eastAsia="zh-CN"/>
        </w:rPr>
        <w:t xml:space="preserve">为入住其机构内护理床位的参保人员提供的长期护理服务。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第三类：社区护理是在社区服务机构接受日间护理服务。</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 xml:space="preserve">第四类：</w:t>
      </w:r>
      <w:r>
        <w:rPr>
          <w:rFonts w:hint="eastAsia" w:ascii="仿宋" w:hAnsi="仿宋" w:eastAsia="仿宋" w:cs="仿宋"/>
          <w:sz w:val="28"/>
          <w:szCs w:val="28"/>
          <w:highlight w:val="none"/>
          <w:lang w:val="en-US" w:eastAsia="zh-CN"/>
        </w:rPr>
        <w:t xml:space="preserve">居家护理是指护理服务机构为居家的参保人员，通过护理员上门提供的长期护理服务。</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符合条件的参保人员可按规定申办上述任一种护理服务形式，享受长护险待遇。</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 长护险待遇享受</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a.待遇保险范围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为失能人员提供生活照顾与基本生活密切相关的医疗护理服务。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b.护理形式及待遇支付标准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(b-1)机构护理形式及待遇支付标准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享受条件的长期失能参保人员，入住定点医疗机构护理病房接受护理服务的，由长护险基金按50元/天的标准与定点护理机构结算；入住定点非医疗机构的护理床位(如养老服务机构、残疾人托养康复机构等)接受护理服务的，由长护险基金按40/天的标准与定点护理机构结算；在社区服务机构接受日间护理服务的，根据服务范围和标准以及质量考核情况，由长护险基金按30元/天的标准与定点护理机构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(b-2)居家护理形式及待遇支付标准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护险定点服务机构提供规范的居家上门护理服务类型与待遇支付标准。其中接受定点护理机构安排人员提供居家护理服务的，每次服务时长1.5小时，每月服务次数不高于10次，按90元/次的标准与服务机构结算，月度限额900元。上门服务总次数不足10次的，根据当月实际服务次数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在市外(不含国外及国内港、澳、台地区)居住的失能人员，由长护险基金按20元/天的标准支付护理服务补助。</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b-3)参保人员死亡、恢复或部分恢复生活自理能力、基本医保和长护险中断及终止参保的，应及时停止享受长护险待遇；经举报查实、监督检查或数据比对等发现不符合享受相应的长护险待遇条件的，应立即停止或调整其长护险待遇，由承办商保机构追回已发放的长护险资金。</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（b-4）在未有新政策规定之前，参保人员入住基本医疗保险定点医疗机构住院治疗(接受住院护理服务的除外)时，长护险待遇停止发放。</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(b-5)不予支付范围: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b-5-1未参加本市长护险的；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b-5-2经医疗机构或康复机构规范诊疗、失能状态持续未满6个月的；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b-5-3不同意参加失能评估或自上一次失能评估结论作出之日起不</w:t>
      </w:r>
      <w:r>
        <w:rPr>
          <w:rFonts w:hint="eastAsia" w:ascii="仿宋" w:hAnsi="仿宋" w:eastAsia="仿宋" w:cs="仿宋"/>
          <w:color w:val="000000"/>
          <w:sz w:val="28"/>
          <w:szCs w:val="28"/>
          <w:highlight w:val="none"/>
          <w:lang w:val="en-US" w:eastAsia="zh-CN"/>
        </w:rPr>
        <w:t xml:space="preserve">满6个月的</w:t>
      </w:r>
      <w:r>
        <w:rPr>
          <w:rFonts w:hint="eastAsia" w:ascii="仿宋" w:hAnsi="仿宋" w:eastAsia="仿宋" w:cs="仿宋"/>
          <w:sz w:val="28"/>
          <w:szCs w:val="28"/>
          <w:highlight w:val="none"/>
          <w:lang w:val="en-US" w:eastAsia="zh-CN"/>
        </w:rPr>
        <w:t xml:space="preserve">（参保人员失能状态明显恶化的除外）；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b-5-4应当由第三人负担，属于医疗保险、工伤保险等社会保险责任范围，在境外（含港、澳、台地区）居住的；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b-5-5提供虚假材料的；</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b-5-6其他不符合受理条件的情形。</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建立长护险待遇动态调整机制。</w:t>
      </w:r>
      <w:r>
        <w:rPr>
          <w:rFonts w:hint="eastAsia" w:ascii="仿宋" w:hAnsi="仿宋" w:eastAsia="仿宋" w:cs="仿宋"/>
          <w:color w:val="000000"/>
          <w:sz w:val="28"/>
          <w:szCs w:val="28"/>
          <w:highlight w:val="none"/>
          <w:lang w:val="en-US" w:eastAsia="zh-CN"/>
        </w:rPr>
        <w:t xml:space="preserve">医保</w:t>
      </w:r>
      <w:r>
        <w:rPr>
          <w:rFonts w:hint="eastAsia" w:ascii="仿宋" w:hAnsi="仿宋" w:eastAsia="仿宋" w:cs="仿宋"/>
          <w:color w:val="000000"/>
          <w:sz w:val="28"/>
          <w:szCs w:val="28"/>
          <w:highlight w:val="none"/>
        </w:rPr>
        <w:t xml:space="preserve">行政部门可以根据长期护理服务供给能力、基金收支情况等因素，会同</w:t>
      </w:r>
      <w:r>
        <w:rPr>
          <w:rFonts w:hint="eastAsia" w:ascii="仿宋" w:hAnsi="仿宋" w:eastAsia="仿宋" w:cs="仿宋"/>
          <w:color w:val="000000"/>
          <w:sz w:val="28"/>
          <w:szCs w:val="28"/>
          <w:highlight w:val="none"/>
        </w:rPr>
        <w:t xml:space="preserve">市民政、财政</w:t>
      </w:r>
      <w:r>
        <w:rPr>
          <w:rFonts w:hint="eastAsia" w:ascii="仿宋" w:hAnsi="仿宋" w:eastAsia="仿宋" w:cs="仿宋"/>
          <w:color w:val="000000"/>
          <w:sz w:val="28"/>
          <w:szCs w:val="28"/>
          <w:highlight w:val="none"/>
        </w:rPr>
        <w:t xml:space="preserve">等行政部门适时调整待遇标准，报市政府批准后实施。</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⑤</w:t>
      </w:r>
      <w:r>
        <w:rPr>
          <w:rFonts w:hint="eastAsia" w:ascii="仿宋" w:hAnsi="仿宋" w:eastAsia="仿宋" w:cs="仿宋"/>
          <w:sz w:val="28"/>
          <w:szCs w:val="28"/>
          <w:highlight w:val="none"/>
          <w:lang w:val="en-US" w:eastAsia="zh-CN"/>
        </w:rPr>
        <w:t xml:space="preserve"> 保费管理</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长期护理保险基金管理参照现行社会保险基金有关制度执行，单独建账，单独核算，接受审计和社会监督。</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⑥</w:t>
      </w:r>
      <w:r>
        <w:rPr>
          <w:rFonts w:hint="eastAsia" w:ascii="仿宋" w:hAnsi="仿宋" w:eastAsia="仿宋" w:cs="仿宋"/>
          <w:sz w:val="28"/>
          <w:szCs w:val="28"/>
          <w:lang w:val="en-US" w:eastAsia="zh-CN"/>
        </w:rPr>
        <w:t xml:space="preserve"> 法律责任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估机构、定点护理服务机构、服务人员和参保人员在实施长护险工作中违反长护险政策和服务协议约定，由承办商保机构追回骗取的费用，按协议约定处理；涉及行政处罚的，移交社会医疗保险行政部门；涉及其他部门职责的，移交相关部门；构成犯罪的，移交司法机关追究刑事责任。</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⑦</w:t>
      </w:r>
      <w:r>
        <w:rPr>
          <w:rFonts w:hint="eastAsia" w:ascii="仿宋" w:hAnsi="仿宋" w:eastAsia="仿宋" w:cs="仿宋"/>
          <w:sz w:val="28"/>
          <w:szCs w:val="28"/>
          <w:lang w:val="en-US" w:eastAsia="zh-CN"/>
        </w:rPr>
        <w:t xml:space="preserve"> 护理服务机构管理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护理服务实行协议管理，由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与护理服务机构签订服务协议，明确双方的权利义务，约定服务范围、服务标准、支付价格和结算方式，实行分类管理，切实减轻参保人员负担。承办商保机构按照协议，对护理服务机构的服务质量、管理水平、费用控制、价格合理、参保人员满意度等协议执行情况进行日常监督检查和专项监督检查，协助经办机构对护理服务机构进行考核。</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⑧ </w:t>
      </w:r>
      <w:r>
        <w:rPr>
          <w:rFonts w:hint="eastAsia" w:ascii="仿宋" w:hAnsi="仿宋" w:eastAsia="仿宋" w:cs="仿宋"/>
          <w:sz w:val="28"/>
          <w:szCs w:val="28"/>
          <w:lang w:val="en-US" w:eastAsia="zh-CN"/>
        </w:rPr>
        <w:t xml:space="preserve">信息管理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trike w:val="0"/>
          <w:color w:val="000000"/>
          <w:sz w:val="28"/>
          <w:szCs w:val="28"/>
          <w:lang w:val="en-US" w:eastAsia="zh-CN"/>
        </w:rPr>
        <w:t xml:space="preserve">所有中标人统一纳入信息系统管理，按照合同要求建设长护险信息管理系统，按要求配置计算机和网络系统，配备与长护险业务相适应的计算机管理人员，实现长护险待遇申请、失能评估、护理服务、基金结算、经办管理、服务监督、风险控制等全流程信息化。建立评估人员、护理人员库，将符合条件的评估人员、护理人员信息录入信息系统，实行动态管理，并做好长护险信息系统各类用户的培训和指导工作。系统开发建设、日常维护以及今后因政策调整所需的软件开发及硬件设备投入费用等费用由承办机构共同承担。</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highlight w:val="none"/>
          <w:lang w:val="en-US" w:eastAsia="zh-CN"/>
        </w:rPr>
        <w:t xml:space="preserve">⑨</w:t>
      </w:r>
      <w:r>
        <w:rPr>
          <w:rFonts w:hint="eastAsia" w:ascii="仿宋" w:hAnsi="仿宋" w:eastAsia="仿宋" w:cs="仿宋"/>
          <w:color w:val="000000"/>
          <w:sz w:val="28"/>
          <w:szCs w:val="28"/>
        </w:rPr>
        <w:t xml:space="preserve">设置标准及要求</w:t>
      </w:r>
      <w:r>
        <w:rPr>
          <w:rFonts w:hint="eastAsia" w:ascii="仿宋" w:hAnsi="仿宋" w:eastAsia="仿宋" w:cs="仿宋"/>
          <w:b/>
          <w:bCs/>
          <w:color w:val="000000"/>
          <w:sz w:val="28"/>
          <w:szCs w:val="28"/>
          <w:lang w:eastAsia="zh-CN"/>
        </w:rPr>
        <w:t xml:space="preserve">（投标人按照以下</w:t>
      </w:r>
      <w:r>
        <w:rPr>
          <w:rFonts w:hint="eastAsia" w:ascii="仿宋" w:hAnsi="仿宋" w:eastAsia="仿宋" w:cs="仿宋"/>
          <w:b/>
          <w:bCs/>
          <w:color w:val="000000"/>
          <w:sz w:val="28"/>
          <w:szCs w:val="28"/>
          <w:lang w:val="en-US" w:eastAsia="zh-CN"/>
        </w:rPr>
        <w:t xml:space="preserve">a、b、c项</w:t>
      </w:r>
      <w:r>
        <w:rPr>
          <w:rFonts w:hint="eastAsia" w:ascii="仿宋" w:hAnsi="仿宋" w:eastAsia="仿宋" w:cs="仿宋"/>
          <w:b/>
          <w:bCs/>
          <w:color w:val="000000"/>
          <w:sz w:val="28"/>
          <w:szCs w:val="28"/>
          <w:lang w:eastAsia="zh-CN"/>
        </w:rPr>
        <w:t xml:space="preserve">要求逐项进行承诺，提供承诺函加盖投标人电子签章，不提供作无效投标处理）</w:t>
      </w:r>
      <w:r>
        <w:rPr>
          <w:rFonts w:hint="eastAsia" w:ascii="仿宋" w:hAnsi="仿宋" w:eastAsia="仿宋" w:cs="仿宋"/>
          <w:b/>
          <w:bCs/>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lang w:eastAsia="zh-CN"/>
        </w:rPr>
      </w:pPr>
      <w:r>
        <w:rPr>
          <w:rFonts w:hint="eastAsia" w:ascii="仿宋" w:hAnsi="仿宋" w:eastAsia="仿宋" w:cs="仿宋"/>
          <w:b/>
          <w:color w:val="000000"/>
          <w:sz w:val="28"/>
          <w:szCs w:val="28"/>
        </w:rPr>
        <w:t xml:space="preserve">a.</w:t>
      </w:r>
      <w:r>
        <w:rPr>
          <w:rFonts w:hint="eastAsia" w:ascii="仿宋" w:hAnsi="仿宋" w:eastAsia="仿宋" w:cs="仿宋"/>
          <w:b w:val="0"/>
          <w:bCs/>
          <w:color w:val="000000"/>
          <w:sz w:val="28"/>
          <w:szCs w:val="28"/>
          <w:lang w:val="en-US" w:eastAsia="zh-CN"/>
        </w:rPr>
        <w:t xml:space="preserve">长护险服务中心</w:t>
      </w:r>
      <w:r>
        <w:rPr>
          <w:rFonts w:hint="eastAsia" w:ascii="仿宋" w:hAnsi="仿宋" w:eastAsia="仿宋" w:cs="仿宋"/>
          <w:b/>
          <w:color w:val="333333"/>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ff0000"/>
          <w:sz w:val="28"/>
          <w:szCs w:val="28"/>
          <w:highlight w:val="yellow"/>
          <w:lang w:val="en-US" w:eastAsia="zh-CN"/>
        </w:rPr>
      </w:pPr>
      <w:r>
        <w:rPr>
          <w:rFonts w:hint="eastAsia" w:ascii="仿宋" w:hAnsi="仿宋" w:eastAsia="仿宋" w:cs="仿宋"/>
          <w:color w:val="000000"/>
          <w:sz w:val="28"/>
          <w:szCs w:val="28"/>
          <w:lang w:eastAsia="zh-CN"/>
        </w:rPr>
        <w:t xml:space="preserve">中标人必须在中标的承办区域内</w:t>
      </w:r>
      <w:r>
        <w:rPr>
          <w:rFonts w:hint="eastAsia" w:ascii="仿宋" w:hAnsi="仿宋" w:eastAsia="仿宋" w:cs="仿宋"/>
          <w:color w:val="000000"/>
          <w:sz w:val="28"/>
          <w:szCs w:val="28"/>
          <w:lang w:val="en-US" w:eastAsia="zh-CN"/>
        </w:rPr>
        <w:t xml:space="preserve">成立长护险服务中心，用于开展长护险经办服务及内部综合管理等工作。</w:t>
      </w:r>
      <w:r>
        <w:rPr>
          <w:rFonts w:hint="eastAsia" w:ascii="仿宋" w:hAnsi="仿宋" w:eastAsia="仿宋" w:cs="仿宋"/>
          <w:color w:val="ff0000"/>
          <w:sz w:val="28"/>
          <w:szCs w:val="28"/>
          <w:highlight w:val="yellow"/>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b．人员</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strike w:val="0"/>
          <w:color w:val="000000"/>
          <w:sz w:val="28"/>
          <w:szCs w:val="28"/>
          <w:lang w:val="en-US" w:eastAsia="zh-CN"/>
        </w:rPr>
        <w:t xml:space="preserve">中标人承诺本项目配备一名专职项目经理；此外，按照参保人员每3万人标准配备的长护险经办服务全职工作人员数量不少于1名，其中具有医学、康复、护理、信息、统计、财务等专业的人员比例不低于30%。上述人员必须在合同生效之日起20日内配备到位。</w:t>
      </w:r>
      <w:r>
        <w:rPr>
          <w:rFonts w:hint="eastAsia" w:ascii="仿宋" w:hAnsi="仿宋" w:eastAsia="仿宋" w:cs="仿宋"/>
          <w:b/>
          <w:bCs/>
          <w:strike w:val="0"/>
          <w:color w:val="000000"/>
          <w:sz w:val="28"/>
          <w:szCs w:val="28"/>
          <w:lang w:val="en-US" w:eastAsia="zh-CN"/>
        </w:rPr>
        <w:t xml:space="preserve">因工作需要，需派驻工作人员至</w:t>
      </w:r>
      <w:r>
        <w:rPr>
          <w:rFonts w:hint="eastAsia" w:ascii="仿宋" w:hAnsi="仿宋" w:eastAsia="仿宋" w:cs="仿宋"/>
          <w:b/>
          <w:bCs/>
          <w:color w:val="000000"/>
          <w:sz w:val="28"/>
          <w:szCs w:val="28"/>
          <w:highlight w:val="none"/>
          <w:lang w:val="en-US" w:eastAsia="zh-CN"/>
        </w:rPr>
        <w:t xml:space="preserve">医保经办机构</w:t>
      </w:r>
      <w:r>
        <w:rPr>
          <w:rFonts w:hint="eastAsia" w:ascii="仿宋" w:hAnsi="仿宋" w:eastAsia="仿宋" w:cs="仿宋"/>
          <w:b/>
          <w:bCs/>
          <w:strike w:val="0"/>
          <w:color w:val="000000"/>
          <w:sz w:val="28"/>
          <w:szCs w:val="28"/>
          <w:lang w:val="en-US" w:eastAsia="zh-CN"/>
        </w:rPr>
        <w:t xml:space="preserve">共同办理长护险经办业务的要予以配合。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p>
      <w:pPr>
        <w:pStyle w:val="938"/>
        <w:contextualSpacing/>
        <w:ind w:left="0" w:right="0" w:firstLine="560"/>
        <w:jc w:val="center"/>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各采购包统筹区长护险经办服务工作人员配备明细表</w:t>
      </w:r>
      <w:r>
        <w:rPr>
          <w:rFonts w:ascii="仿宋" w:hAnsi="仿宋" w:eastAsia="仿宋" w:cs="仿宋"/>
          <w:color w:val="000000"/>
          <w:sz w:val="28"/>
          <w:szCs w:val="28"/>
          <w:lang w:val="en-US" w:eastAsia="zh-CN"/>
        </w:rPr>
      </w:r>
      <w:r/>
    </w:p>
    <w:tbl>
      <w:tblPr>
        <w:tblStyle w:val="977"/>
        <w:tblW w:w="8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4368"/>
        <w:gridCol w:w="2970"/>
      </w:tblGrid>
      <w:tr>
        <w:trPr>
          <w:tblHeader/>
        </w:trPr>
        <w:tc>
          <w:tcPr>
            <w:tcW w:w="1564" w:type="dxa"/>
            <w:vAlign w:val="center"/>
            <w:textDirection w:val="lrTb"/>
            <w:noWrap w:val="false"/>
          </w:tcPr>
          <w:p>
            <w:pPr>
              <w:pStyle w:val="938"/>
              <w:ind w:left="0" w:right="0" w:firstLine="0"/>
              <w:jc w:val="center"/>
              <w:rPr>
                <w:rFonts w:hint="eastAsia" w:ascii="仿宋" w:hAnsi="仿宋" w:eastAsia="仿宋" w:cs="仿宋"/>
                <w:b/>
                <w:i w:val="0"/>
                <w:iCs w:val="0"/>
                <w:color w:val="000000"/>
                <w:sz w:val="21"/>
                <w:szCs w:val="21"/>
                <w:u w:val="none"/>
                <w:lang w:val="en-US" w:eastAsia="zh-CN" w:bidi="ar-SA"/>
              </w:rPr>
            </w:pPr>
            <w:r>
              <w:rPr>
                <w:rFonts w:hint="eastAsia" w:ascii="仿宋" w:hAnsi="仿宋" w:eastAsia="仿宋" w:cs="仿宋"/>
                <w:b/>
                <w:color w:val="000000"/>
                <w:sz w:val="21"/>
                <w:szCs w:val="21"/>
                <w:lang w:val="en-US" w:eastAsia="zh-CN"/>
              </w:rPr>
              <w:t xml:space="preserve">采购包号</w:t>
            </w:r>
            <w:r>
              <w:rPr>
                <w:rFonts w:hint="eastAsia" w:ascii="仿宋" w:hAnsi="仿宋" w:eastAsia="仿宋" w:cs="仿宋"/>
                <w:b/>
                <w:i w:val="0"/>
                <w:iCs w:val="0"/>
                <w:color w:val="000000"/>
                <w:sz w:val="21"/>
                <w:szCs w:val="21"/>
                <w:u w:val="none"/>
                <w:lang w:val="en-US" w:eastAsia="zh-CN" w:bidi="ar-SA"/>
              </w:rPr>
            </w:r>
            <w:r/>
          </w:p>
        </w:tc>
        <w:tc>
          <w:tcPr>
            <w:tcW w:w="4368"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统筹区</w:t>
            </w:r>
            <w:r>
              <w:rPr>
                <w:rFonts w:hint="eastAsia" w:ascii="仿宋" w:hAnsi="仿宋" w:eastAsia="仿宋" w:cs="仿宋"/>
                <w:b/>
                <w:bCs/>
                <w:i w:val="0"/>
                <w:iCs w:val="0"/>
                <w:color w:val="000000"/>
                <w:sz w:val="21"/>
                <w:szCs w:val="21"/>
                <w:u w:val="none"/>
                <w:lang w:val="en-US" w:eastAsia="zh-CN" w:bidi="ar-SA"/>
              </w:rPr>
            </w:r>
            <w:r/>
          </w:p>
        </w:tc>
        <w:tc>
          <w:tcPr>
            <w:tcW w:w="2970" w:type="dxa"/>
            <w:vAlign w:val="center"/>
            <w:textDirection w:val="lrTb"/>
            <w:noWrap w:val="false"/>
          </w:tcPr>
          <w:p>
            <w:pPr>
              <w:pStyle w:val="938"/>
              <w:contextualSpacing/>
              <w:ind w:left="0" w:right="0" w:firstLine="0"/>
              <w:jc w:val="center"/>
              <w:keepLines w:val="0"/>
              <w:keepNext w:val="0"/>
              <w:pageBreakBefore w:val="0"/>
              <w:spacing w:line="240" w:lineRule="auto"/>
              <w:rPr>
                <w:rFonts w:ascii="仿宋" w:hAnsi="仿宋" w:eastAsia="仿宋" w:cs="仿宋"/>
                <w:b/>
                <w:color w:val="0000ff"/>
                <w:sz w:val="21"/>
                <w:szCs w:val="21"/>
                <w:vertAlign w:val="baseline"/>
                <w:lang w:val="en-US" w:eastAsia="zh-CN"/>
              </w:rPr>
            </w:pPr>
            <w:r>
              <w:rPr>
                <w:rFonts w:hint="eastAsia" w:ascii="仿宋" w:hAnsi="仿宋" w:eastAsia="仿宋" w:cs="仿宋"/>
                <w:b/>
                <w:color w:val="000000"/>
                <w:sz w:val="21"/>
                <w:szCs w:val="21"/>
                <w:lang w:val="en-US" w:eastAsia="zh-CN"/>
              </w:rPr>
              <w:t xml:space="preserve">配备人数（人）</w:t>
            </w:r>
            <w:r>
              <w:rPr>
                <w:rFonts w:ascii="仿宋" w:hAnsi="仿宋" w:eastAsia="仿宋" w:cs="仿宋"/>
                <w:b/>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第一包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淮安区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第二包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涟水县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第三包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淮阴区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第四包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盱眙县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第五包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市本级</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第六包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清江浦区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第七包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金湖县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第八包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洪泽区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第九包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开发区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color w:val="0000ff"/>
                <w:sz w:val="21"/>
                <w:szCs w:val="21"/>
                <w:vertAlign w:val="baseline"/>
                <w:lang w:val="en-US" w:eastAsia="zh-CN"/>
              </w:rPr>
            </w:r>
            <w:r/>
          </w:p>
        </w:tc>
      </w:tr>
      <w:tr>
        <w:trPr/>
        <w:tc>
          <w:tcPr>
            <w:gridSpan w:val="2"/>
            <w:tcW w:w="5932" w:type="dxa"/>
            <w:vAlign w:val="center"/>
            <w:textDirection w:val="lrTb"/>
            <w:noWrap w:val="false"/>
          </w:tcPr>
          <w:p>
            <w:pPr>
              <w:pStyle w:val="938"/>
              <w:ind w:left="0" w:right="0" w:firstLine="0"/>
              <w:jc w:val="center"/>
              <w:keepLines w:val="0"/>
              <w:keepNext w:val="0"/>
              <w:widowControl/>
              <w:rPr>
                <w:rFonts w:hint="eastAsia" w:ascii="仿宋" w:hAnsi="仿宋" w:eastAsia="仿宋" w:cs="仿宋"/>
                <w:b/>
                <w:i w:val="0"/>
                <w:iCs w:val="0"/>
                <w:color w:val="000000"/>
                <w:sz w:val="21"/>
                <w:szCs w:val="21"/>
                <w:u w:val="none"/>
                <w:lang w:val="en-US" w:eastAsia="zh-CN" w:bidi="ar-SA"/>
              </w:rPr>
              <w:suppressLineNumbers w:val="0"/>
            </w:pPr>
            <w:r>
              <w:rPr>
                <w:rFonts w:hint="eastAsia" w:ascii="仿宋" w:hAnsi="仿宋" w:eastAsia="仿宋" w:cs="仿宋"/>
                <w:b/>
                <w:i w:val="0"/>
                <w:iCs w:val="0"/>
                <w:color w:val="000000"/>
                <w:sz w:val="21"/>
                <w:szCs w:val="21"/>
                <w:u w:val="none"/>
                <w:lang w:val="en-US" w:eastAsia="zh-CN" w:bidi="ar-SA"/>
              </w:rPr>
              <w:t xml:space="preserve">合计</w:t>
            </w:r>
            <w:r>
              <w:rPr>
                <w:rFonts w:hint="eastAsia" w:ascii="仿宋" w:hAnsi="仿宋" w:eastAsia="仿宋" w:cs="仿宋"/>
                <w:b/>
                <w:i w:val="0"/>
                <w:iCs w:val="0"/>
                <w:color w:val="000000"/>
                <w:sz w:val="21"/>
                <w:szCs w:val="21"/>
                <w:u w:val="none"/>
                <w:lang w:val="en-US" w:eastAsia="zh-CN" w:bidi="ar-SA"/>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b/>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157</w:t>
            </w:r>
            <w:r>
              <w:rPr>
                <w:rFonts w:hint="eastAsia" w:ascii="仿宋" w:hAnsi="仿宋" w:eastAsia="仿宋" w:cs="仿宋"/>
                <w:b/>
                <w:color w:val="0000ff"/>
                <w:sz w:val="21"/>
                <w:szCs w:val="21"/>
                <w:vertAlign w:val="baseline"/>
                <w:lang w:val="en-US" w:eastAsia="zh-CN"/>
              </w:rPr>
            </w:r>
            <w:r/>
          </w:p>
        </w:tc>
      </w:tr>
    </w:tbl>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c.车辆与设施</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中标人必须配备</w:t>
      </w:r>
      <w:r>
        <w:rPr>
          <w:rFonts w:hint="eastAsia" w:ascii="仿宋" w:hAnsi="仿宋" w:eastAsia="仿宋" w:cs="仿宋"/>
          <w:sz w:val="28"/>
          <w:szCs w:val="28"/>
        </w:rPr>
        <w:t xml:space="preserve">开展本项目业务且与工作量相适应的办公设施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包括车辆</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设备。</w:t>
      </w:r>
      <w:r>
        <w:rPr>
          <w:rFonts w:hint="eastAsia" w:ascii="仿宋" w:hAnsi="仿宋" w:eastAsia="仿宋" w:cs="仿宋"/>
          <w:sz w:val="28"/>
          <w:szCs w:val="28"/>
        </w:rPr>
      </w:r>
      <w:r/>
    </w:p>
    <w:p>
      <w:pPr>
        <w:pStyle w:val="957"/>
        <w:ind w:left="0" w:right="0" w:firstLine="562"/>
        <w:keepLines w:val="0"/>
        <w:keepNext w:val="0"/>
        <w:pageBreakBefore w:val="0"/>
        <w:spacing w:line="5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.保险期限</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本项目保险期限</w:t>
      </w:r>
      <w:r>
        <w:rPr>
          <w:rFonts w:hint="eastAsia" w:ascii="仿宋" w:hAnsi="仿宋" w:eastAsia="仿宋" w:cs="仿宋"/>
          <w:color w:val="000000"/>
          <w:sz w:val="28"/>
          <w:szCs w:val="28"/>
          <w:lang w:val="en-US" w:eastAsia="zh-CN"/>
        </w:rPr>
        <w:t xml:space="preserve">3年。</w:t>
      </w:r>
      <w:r>
        <w:rPr>
          <w:rFonts w:hint="eastAsia" w:ascii="仿宋" w:hAnsi="仿宋" w:eastAsia="仿宋" w:cs="仿宋"/>
          <w:color w:val="000000"/>
          <w:sz w:val="28"/>
          <w:szCs w:val="28"/>
        </w:rPr>
        <w:t xml:space="preserve">自2027年1月1日起至2029年12月31日止，分为三个独立且连续的服务周期，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2027年1月1日至2027年12月31日为第一期，2028年1月1日至2028年12月31日为第二期，2029年1月1日至2029年12月31日为第三期），合同一期一签，每期通过考核后，可续签下一期合同。 </w:t>
      </w:r>
      <w:r>
        <w:rPr>
          <w:rFonts w:hint="eastAsia" w:ascii="仿宋" w:hAnsi="仿宋" w:eastAsia="仿宋" w:cs="仿宋"/>
          <w:color w:val="000000"/>
          <w:sz w:val="28"/>
          <w:szCs w:val="28"/>
        </w:rPr>
      </w:r>
      <w:r/>
    </w:p>
    <w:p>
      <w:pPr>
        <w:pStyle w:val="938"/>
        <w:ind w:left="0" w:right="0" w:firstLine="560"/>
        <w:jc w:val="left"/>
        <w:keepLines w:val="0"/>
        <w:keepNext w:val="0"/>
        <w:pageBreakBefore w:val="0"/>
        <w:spacing w:line="520" w:lineRule="exact"/>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合同期内，因考核不合格、经办管理模式发生重大变化或因国家、省、市重大政策调整等原因</w:t>
      </w:r>
      <w:r>
        <w:rPr>
          <w:rFonts w:hint="eastAsia" w:ascii="仿宋" w:hAnsi="仿宋" w:eastAsia="仿宋" w:cs="仿宋"/>
          <w:color w:val="000000"/>
          <w:sz w:val="28"/>
          <w:szCs w:val="28"/>
          <w:highlight w:val="none"/>
        </w:rPr>
        <w:t xml:space="preserve">，采购人有权</w:t>
      </w:r>
      <w:r>
        <w:rPr>
          <w:rFonts w:hint="eastAsia" w:ascii="仿宋" w:hAnsi="仿宋" w:eastAsia="仿宋" w:cs="仿宋"/>
          <w:color w:val="000000"/>
          <w:sz w:val="28"/>
          <w:szCs w:val="28"/>
          <w:highlight w:val="none"/>
          <w:lang w:eastAsia="zh-CN"/>
        </w:rPr>
        <w:t xml:space="preserve">追究中标人法律责任</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lang w:val="en-US" w:eastAsia="zh-CN"/>
        </w:rPr>
      </w:r>
      <w:r/>
    </w:p>
    <w:p>
      <w:pPr>
        <w:pStyle w:val="938"/>
        <w:contextualSpacing/>
        <w:ind w:right="0" w:firstLine="281"/>
        <w:keepLines w:val="0"/>
        <w:keepNext w:val="0"/>
        <w:pageBreakBefore w:val="0"/>
        <w:spacing w:line="520" w:lineRule="exact"/>
        <w:widowControl w:val="off"/>
        <w:rPr>
          <w:rFonts w:hint="eastAsia" w:ascii="仿宋" w:hAnsi="仿宋" w:eastAsia="仿宋" w:cs="仿宋"/>
          <w:b/>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.商保机构服务要求，包括但不限于以下内容：</w:t>
      </w:r>
      <w:r>
        <w:rPr>
          <w:rFonts w:hint="eastAsia" w:ascii="仿宋" w:hAnsi="仿宋" w:eastAsia="仿宋" w:cs="仿宋"/>
          <w:b/>
          <w:sz w:val="28"/>
          <w:szCs w:val="28"/>
        </w:rPr>
      </w:r>
      <w:r/>
    </w:p>
    <w:p>
      <w:pPr>
        <w:pStyle w:val="938"/>
        <w:contextualSpacing/>
        <w:ind w:left="0" w:right="0" w:firstLine="562"/>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（1）服务内容要求</w:t>
      </w:r>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长护险政策宣传、咨询和解释工</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w:t>
      </w:r>
      <w:r>
        <w:rPr>
          <w:rFonts w:hint="eastAsia" w:ascii="仿宋" w:hAnsi="仿宋" w:eastAsia="仿宋" w:cs="仿宋"/>
          <w:sz w:val="28"/>
          <w:szCs w:val="28"/>
          <w:lang w:val="en-US" w:eastAsia="zh-CN"/>
        </w:rPr>
        <w:t xml:space="preserve">失能评估人员和护理机构及护理人员的</w:t>
      </w:r>
      <w:r>
        <w:rPr>
          <w:rFonts w:hint="eastAsia" w:ascii="仿宋" w:hAnsi="仿宋" w:eastAsia="仿宋" w:cs="仿宋"/>
          <w:sz w:val="28"/>
          <w:szCs w:val="28"/>
        </w:rPr>
        <w:t xml:space="preserve">培训；</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3）协助</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开展评估机构和护理机构的遴选工作；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长护险失能等级评估申请的受理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审核、评估任务派发、评估短信推送、评估结果复核、评估结果做出和送达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复评申请审核</w:t>
      </w:r>
      <w:r>
        <w:rPr>
          <w:rFonts w:hint="eastAsia" w:ascii="仿宋" w:hAnsi="仿宋" w:eastAsia="仿宋" w:cs="仿宋"/>
          <w:sz w:val="28"/>
          <w:szCs w:val="28"/>
        </w:rPr>
        <w:t xml:space="preserve">及待遇享受人员跟踪随访；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长护险协议护理服务机构和协议评估机构的日常管理、监督考核和违规处理</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rPr>
        <w:t xml:space="preserve">以及长护险费用和评估费用的</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对护理人员护理行为的监督检查和护理质量的跟踪回访</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对长护险数据的统计、分析和监测，并按</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rPr>
        <w:t xml:space="preserve">提交</w:t>
      </w:r>
      <w:r>
        <w:rPr>
          <w:rFonts w:hint="eastAsia" w:ascii="仿宋" w:hAnsi="仿宋" w:eastAsia="仿宋" w:cs="仿宋"/>
          <w:sz w:val="28"/>
          <w:szCs w:val="28"/>
          <w:lang w:val="en-US" w:eastAsia="zh-CN"/>
        </w:rPr>
        <w:t xml:space="preserve">长护险</w:t>
      </w:r>
      <w:r>
        <w:rPr>
          <w:rFonts w:hint="eastAsia" w:ascii="仿宋" w:hAnsi="仿宋" w:eastAsia="仿宋" w:cs="仿宋"/>
          <w:sz w:val="28"/>
          <w:szCs w:val="28"/>
        </w:rPr>
        <w:t xml:space="preserve">运行分析报告至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长护险业务档案资料的整理和保存，并及时归档至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）配合采购人进行本项目结报计算和保费年度清算；</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）采购人交办的其他与长护险相关的服务工作。</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（2）协议机构的考核要求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1)长护险服务（评估机构及护理服务机构）质量监督和管理及跟踪回访；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2)长护险协议评估机构与护理服务机构的日常管理、监督检查、协议考核和违规处理。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（3）待遇及评估费用付款要求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长护险相关费用（失能评估与护理费</w:t>
      </w:r>
      <w:r>
        <w:rPr>
          <w:rFonts w:hint="eastAsia" w:ascii="仿宋" w:hAnsi="仿宋" w:eastAsia="仿宋" w:cs="仿宋"/>
          <w:color w:val="000000"/>
          <w:sz w:val="28"/>
          <w:szCs w:val="28"/>
        </w:rPr>
        <w:t xml:space="preserve">用）</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加强对长护险费用稽核管理，建立长护险费用结算运行监控制度。</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7</w:t>
      </w:r>
      <w:r>
        <w:rPr>
          <w:rFonts w:hint="eastAsia" w:ascii="仿宋" w:hAnsi="仿宋" w:eastAsia="仿宋" w:cs="仿宋"/>
          <w:b/>
          <w:color w:val="000000"/>
          <w:sz w:val="28"/>
          <w:szCs w:val="28"/>
        </w:rPr>
        <w:t xml:space="preserve">.经办考核</w:t>
      </w:r>
      <w:r>
        <w:rPr>
          <w:rFonts w:hint="eastAsia" w:ascii="仿宋" w:hAnsi="仿宋" w:eastAsia="仿宋" w:cs="仿宋"/>
          <w:b/>
          <w:bCs/>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建立以委托服务工作质量为核心的考核办法，包括经办质量、评估质量、制度建设、队伍建设、经办能力建设、协议管理能力建设和年度量化指标考核等方面。具体以考核办法为准</w:t>
      </w: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1）采购人制定对中标单位的考核办法，并组织考核；</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2）承办商保机构承诺</w:t>
      </w:r>
      <w:r>
        <w:rPr>
          <w:rFonts w:hint="eastAsia" w:ascii="仿宋" w:hAnsi="仿宋" w:eastAsia="仿宋" w:cs="仿宋"/>
          <w:color w:val="000000"/>
          <w:sz w:val="28"/>
          <w:szCs w:val="28"/>
          <w:highlight w:val="none"/>
        </w:rPr>
        <w:t xml:space="preserve">将</w:t>
      </w:r>
      <w:r>
        <w:rPr>
          <w:rFonts w:hint="eastAsia" w:ascii="仿宋" w:hAnsi="仿宋" w:eastAsia="仿宋" w:cs="仿宋"/>
          <w:color w:val="000000"/>
          <w:sz w:val="28"/>
          <w:szCs w:val="28"/>
          <w:highlight w:val="none"/>
          <w:lang w:val="en-US" w:eastAsia="zh-CN"/>
        </w:rPr>
        <w:t xml:space="preserve">承办服务费预留5%作为</w:t>
      </w:r>
      <w:r>
        <w:rPr>
          <w:rFonts w:hint="eastAsia" w:ascii="仿宋" w:hAnsi="仿宋" w:eastAsia="仿宋" w:cs="仿宋"/>
          <w:sz w:val="28"/>
          <w:szCs w:val="28"/>
          <w:highlight w:val="none"/>
          <w:lang w:val="en-US" w:eastAsia="zh-CN"/>
        </w:rPr>
        <w:t xml:space="preserve">考核预留款</w:t>
      </w:r>
      <w:r>
        <w:rPr>
          <w:rFonts w:hint="eastAsia" w:ascii="仿宋" w:hAnsi="仿宋" w:eastAsia="仿宋" w:cs="仿宋"/>
          <w:b/>
          <w:bCs/>
          <w:sz w:val="28"/>
          <w:szCs w:val="28"/>
          <w:highlight w:val="none"/>
          <w:lang w:val="en-US" w:eastAsia="zh-CN"/>
        </w:rPr>
        <w:t xml:space="preserve">（提供承诺函加盖投标人电子签章，格式由投标人自定，不提供作无效投标处理）；</w:t>
      </w:r>
      <w:r>
        <w:rPr>
          <w:rFonts w:hint="eastAsia" w:ascii="仿宋" w:hAnsi="仿宋" w:eastAsia="仿宋" w:cs="仿宋"/>
          <w:b/>
          <w:bCs/>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）承办商保机构年度考核总分在70分以下的，考核为不合格，考核预留款不予结付，终止长期护理保险结算关系，解除</w:t>
      </w:r>
      <w:r>
        <w:rPr>
          <w:rFonts w:hint="eastAsia" w:ascii="仿宋" w:hAnsi="仿宋" w:eastAsia="仿宋" w:cs="仿宋"/>
          <w:sz w:val="28"/>
          <w:szCs w:val="28"/>
          <w:lang w:val="en-US" w:eastAsia="zh-CN"/>
        </w:rPr>
        <w:t xml:space="preserve">承办</w:t>
      </w:r>
      <w:r>
        <w:rPr>
          <w:rFonts w:hint="eastAsia" w:ascii="仿宋" w:hAnsi="仿宋" w:eastAsia="仿宋" w:cs="仿宋"/>
          <w:sz w:val="28"/>
          <w:szCs w:val="28"/>
        </w:rPr>
        <w:t xml:space="preserve">合同，清算保费，向社会公布，经医保行政、</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研究决定，所在</w:t>
      </w:r>
      <w:r>
        <w:rPr>
          <w:rFonts w:hint="eastAsia" w:ascii="仿宋" w:hAnsi="仿宋" w:eastAsia="仿宋" w:cs="仿宋"/>
          <w:sz w:val="28"/>
          <w:szCs w:val="28"/>
          <w:lang w:val="en-US" w:eastAsia="zh-CN"/>
        </w:rPr>
        <w:t xml:space="preserve">区域</w:t>
      </w:r>
      <w:r>
        <w:rPr>
          <w:rFonts w:hint="eastAsia" w:ascii="仿宋" w:hAnsi="仿宋" w:eastAsia="仿宋" w:cs="仿宋"/>
          <w:sz w:val="28"/>
          <w:szCs w:val="28"/>
        </w:rPr>
        <w:t xml:space="preserve">由其他承办商保机构接管。</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三年内不受理该商保机构和同一集团公司的其他商保机构纳入长期护理保险</w:t>
      </w:r>
      <w:r>
        <w:rPr>
          <w:rFonts w:hint="eastAsia" w:ascii="仿宋" w:hAnsi="仿宋" w:eastAsia="仿宋" w:cs="仿宋"/>
          <w:sz w:val="28"/>
          <w:szCs w:val="28"/>
          <w:lang w:val="en-US" w:eastAsia="zh-CN"/>
        </w:rPr>
        <w:t xml:space="preserve">承办机构</w:t>
      </w:r>
      <w:r>
        <w:rPr>
          <w:rFonts w:hint="eastAsia" w:ascii="仿宋" w:hAnsi="仿宋" w:eastAsia="仿宋" w:cs="仿宋"/>
          <w:sz w:val="28"/>
          <w:szCs w:val="28"/>
        </w:rPr>
        <w:t xml:space="preserve">的申请。</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ff0000"/>
          <w:sz w:val="28"/>
          <w:szCs w:val="28"/>
          <w:highlight w:val="none"/>
          <w:lang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.费用结算</w:t>
      </w:r>
      <w:r>
        <w:rPr>
          <w:rFonts w:hint="eastAsia" w:ascii="仿宋" w:hAnsi="仿宋" w:eastAsia="仿宋" w:cs="仿宋"/>
          <w:b/>
          <w:color w:val="ff0000"/>
          <w:sz w:val="28"/>
          <w:szCs w:val="28"/>
          <w:highlight w:val="none"/>
          <w:lang w:eastAsia="zh-CN"/>
        </w:rPr>
      </w:r>
      <w:r/>
    </w:p>
    <w:p>
      <w:pPr>
        <w:pStyle w:val="938"/>
        <w:ind w:left="0" w:right="0" w:firstLine="562"/>
        <w:keepLines w:val="0"/>
        <w:keepNext w:val="0"/>
        <w:pageBreakBefore w:val="0"/>
        <w:spacing w:line="520" w:lineRule="exact"/>
        <w:rPr>
          <w:rFonts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费用支付方式</w:t>
      </w:r>
      <w:r>
        <w:rPr>
          <w:rFonts w:ascii="仿宋" w:hAnsi="仿宋" w:eastAsia="仿宋" w:cs="仿宋"/>
          <w:sz w:val="28"/>
          <w:szCs w:val="28"/>
          <w:highlight w:val="none"/>
          <w:lang w:val="en-US" w:eastAsia="zh-CN"/>
        </w:rPr>
      </w:r>
      <w:r/>
    </w:p>
    <w:p>
      <w:pPr>
        <w:pStyle w:val="1033"/>
        <w:ind w:firstLine="560"/>
        <w:jc w:val="both"/>
        <w:spacing w:before="0" w:beforeAutospacing="0" w:after="0" w:afterAutospacing="0" w:line="560" w:lineRule="exact"/>
        <w:widowControl w:val="off"/>
        <w:rPr>
          <w:rFonts w:hint="eastAsia" w:ascii="仿宋" w:hAnsi="仿宋" w:eastAsia="仿宋" w:cs="仿宋"/>
          <w:strike w:val="0"/>
          <w:color w:val="000000"/>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根据</w:t>
      </w:r>
      <w:r>
        <w:rPr>
          <w:rFonts w:hint="eastAsia" w:ascii="仿宋" w:hAnsi="仿宋" w:eastAsia="仿宋" w:cs="仿宋"/>
          <w:color w:val="000000"/>
          <w:sz w:val="28"/>
          <w:szCs w:val="28"/>
          <w:highlight w:val="none"/>
          <w:lang w:val="en-US" w:eastAsia="zh-CN"/>
        </w:rPr>
        <w:t xml:space="preserve">上年度第四季度长护险待遇发生数上浮10%（如拨付的保费不足以支付当季度待遇时，可根据实际情况调整上浮标准。当季度保费剩余部分计入下季度保费申请规模）。</w:t>
      </w:r>
      <w:r>
        <w:rPr>
          <w:rFonts w:hint="eastAsia" w:ascii="仿宋" w:hAnsi="仿宋" w:eastAsia="仿宋" w:cs="仿宋"/>
          <w:strike w:val="0"/>
          <w:color w:val="000000"/>
          <w:sz w:val="28"/>
          <w:szCs w:val="28"/>
          <w:lang w:val="en-US" w:eastAsia="zh-CN" w:bidi="ar-SA"/>
        </w:rPr>
        <w:t xml:space="preserve">于每季度首月向财政部门申请当季度长护险保费。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预留年度承办服务费的5%作为考核金，剩余承办服务费于每季度首月进行申请。每季度保费和承办服务费到账后，</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及时拨付至各承办机构。</w:t>
      </w:r>
      <w:r>
        <w:rPr>
          <w:rFonts w:hint="eastAsia" w:ascii="仿宋" w:hAnsi="仿宋" w:eastAsia="仿宋" w:cs="仿宋"/>
          <w:strike w:val="0"/>
          <w:color w:val="000000"/>
          <w:sz w:val="28"/>
          <w:szCs w:val="28"/>
          <w:lang w:val="en-US" w:eastAsia="zh-CN" w:bidi="ar-SA"/>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（2）护理</w:t>
      </w:r>
      <w:r>
        <w:rPr>
          <w:rFonts w:hint="eastAsia" w:ascii="仿宋" w:hAnsi="仿宋" w:eastAsia="仿宋" w:cs="仿宋"/>
          <w:b/>
          <w:color w:val="000000"/>
          <w:sz w:val="28"/>
          <w:szCs w:val="28"/>
          <w:lang w:val="en-US" w:eastAsia="zh-CN"/>
        </w:rPr>
        <w:t xml:space="preserve">及评估</w:t>
      </w:r>
      <w:r>
        <w:rPr>
          <w:rFonts w:hint="eastAsia" w:ascii="仿宋" w:hAnsi="仿宋" w:eastAsia="仿宋" w:cs="仿宋"/>
          <w:b/>
          <w:color w:val="000000"/>
          <w:sz w:val="28"/>
          <w:szCs w:val="28"/>
        </w:rPr>
        <w:t xml:space="preserve">费用</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val="0"/>
          <w:color w:val="000000"/>
          <w:sz w:val="28"/>
          <w:szCs w:val="28"/>
          <w:lang w:val="en-US" w:eastAsia="zh-CN" w:bidi="ar-SA"/>
        </w:rPr>
      </w:pPr>
      <w:r>
        <w:rPr>
          <w:rFonts w:hint="eastAsia" w:ascii="仿宋" w:hAnsi="仿宋" w:eastAsia="仿宋" w:cs="仿宋"/>
          <w:strike w:val="0"/>
          <w:color w:val="000000"/>
          <w:sz w:val="28"/>
          <w:szCs w:val="28"/>
          <w:lang w:val="en-US" w:eastAsia="zh-CN" w:bidi="ar-SA"/>
        </w:rPr>
        <w:t xml:space="preserve">由护理机构、评估机构按月向承办商保机构申报，承办机构应在每月初8个工作日内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strike w:val="0"/>
          <w:color w:val="000000"/>
          <w:sz w:val="28"/>
          <w:szCs w:val="28"/>
          <w:lang w:val="en-US" w:eastAsia="zh-CN" w:bidi="ar-SA"/>
        </w:rPr>
      </w:r>
      <w:r/>
    </w:p>
    <w:p>
      <w:pPr>
        <w:pStyle w:val="938"/>
        <w:ind w:left="0" w:right="0" w:firstLine="562"/>
        <w:jc w:val="left"/>
        <w:keepLines w:val="0"/>
        <w:keepNext w:val="0"/>
        <w:pageBreakBefore w:val="0"/>
        <w:spacing w:line="520" w:lineRule="exact"/>
        <w:widowControl/>
        <w:rPr>
          <w:rFonts w:hint="eastAsia" w:ascii="仿宋" w:hAnsi="仿宋" w:eastAsia="仿宋" w:cs="仿宋"/>
          <w:b/>
          <w:bCs/>
          <w:strike/>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承</w:t>
      </w:r>
      <w:r>
        <w:rPr>
          <w:rFonts w:hint="eastAsia" w:ascii="仿宋" w:hAnsi="仿宋" w:eastAsia="仿宋" w:cs="仿宋"/>
          <w:b/>
          <w:bCs/>
          <w:sz w:val="28"/>
          <w:szCs w:val="28"/>
        </w:rPr>
        <w:t xml:space="preserve">办费用</w:t>
      </w:r>
      <w:r>
        <w:rPr>
          <w:rFonts w:hint="eastAsia" w:ascii="仿宋" w:hAnsi="仿宋" w:eastAsia="仿宋" w:cs="仿宋"/>
          <w:b/>
          <w:bCs/>
          <w:strike/>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承</w:t>
      </w:r>
      <w:r>
        <w:rPr>
          <w:rFonts w:hint="eastAsia" w:ascii="仿宋" w:hAnsi="仿宋" w:eastAsia="仿宋" w:cs="仿宋"/>
          <w:sz w:val="28"/>
          <w:szCs w:val="28"/>
        </w:rPr>
        <w:t xml:space="preserve">办</w:t>
      </w:r>
      <w:r>
        <w:rPr>
          <w:rFonts w:hint="eastAsia" w:ascii="仿宋" w:hAnsi="仿宋" w:eastAsia="仿宋" w:cs="仿宋"/>
          <w:sz w:val="28"/>
          <w:szCs w:val="28"/>
          <w:lang w:val="en-US" w:eastAsia="zh-CN"/>
        </w:rPr>
        <w:t xml:space="preserve">服务费计提比例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招标确定，采购人按照中标确定的服务费比例，最终以</w:t>
      </w:r>
      <w:r>
        <w:rPr>
          <w:rFonts w:hint="eastAsia" w:ascii="仿宋" w:hAnsi="仿宋" w:eastAsia="仿宋" w:cs="仿宋"/>
          <w:color w:val="000000"/>
          <w:sz w:val="28"/>
          <w:szCs w:val="28"/>
          <w:highlight w:val="none"/>
          <w:lang w:eastAsia="zh-CN"/>
        </w:rPr>
        <w:t xml:space="preserve">九个采购包</w:t>
      </w:r>
      <w:r>
        <w:rPr>
          <w:rFonts w:hint="eastAsia" w:ascii="仿宋" w:hAnsi="仿宋" w:eastAsia="仿宋" w:cs="仿宋"/>
          <w:color w:val="000000"/>
          <w:sz w:val="28"/>
          <w:szCs w:val="28"/>
          <w:highlight w:val="none"/>
        </w:rPr>
        <w:t xml:space="preserve">中标单位报价平均值确定承办服务费计提标准。</w:t>
      </w:r>
      <w:r>
        <w:rPr>
          <w:rFonts w:hint="eastAsia" w:ascii="仿宋" w:hAnsi="仿宋" w:eastAsia="仿宋" w:cs="仿宋"/>
          <w:color w:val="00000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b/>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承办服务费计算及划拨</w:t>
      </w:r>
      <w:r>
        <w:rPr>
          <w:rFonts w:hint="eastAsia" w:ascii="仿宋" w:hAnsi="仿宋" w:eastAsia="仿宋" w:cs="仿宋"/>
          <w:b/>
          <w:color w:val="000000"/>
          <w:sz w:val="28"/>
          <w:szCs w:val="28"/>
          <w:highlight w:val="none"/>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长护险基金筹资总额乘以计提比例，计算承办服务费。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按照年度承办服务费的95％按季度划拨至承办机构指定账户，用于承办机构支付包括但不限于长护险经办人员薪资、信息系统开发及建设、办公经费、稽查稽核费用、培训宣传费等。</w:t>
      </w:r>
      <w:r>
        <w:rPr>
          <w:rFonts w:hint="eastAsia" w:ascii="仿宋" w:hAnsi="仿宋" w:eastAsia="仿宋" w:cs="仿宋"/>
          <w:sz w:val="28"/>
          <w:szCs w:val="28"/>
          <w:lang w:val="en-US" w:eastAsia="zh-CN"/>
        </w:rPr>
        <w:t xml:space="preserve">次年根据合同履约情况、承办服务质量进行年度结算。结算后结余部分返还基金，超支部分由承办机构自行承担</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rPr>
        <w:t xml:space="preserve">.年度清算</w:t>
      </w:r>
      <w:r>
        <w:rPr>
          <w:rFonts w:hint="eastAsia" w:ascii="仿宋" w:hAnsi="仿宋" w:eastAsia="仿宋" w:cs="仿宋"/>
          <w:b/>
          <w:bCs/>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次年</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对承办机构完成上年度考核后，按上年度评估人数、享受长护险待遇的实际人数、考核结果，与承办机构进行保费清算，结算考核预留款与保费余额。如有结余，承办机构在考核结束后将结余部分全额上缴至市财政专户；如果超支，风险共担，具体见第10点风险控制部分内容。</w:t>
      </w:r>
      <w:r>
        <w:rPr>
          <w:rFonts w:hint="eastAsia" w:ascii="仿宋" w:hAnsi="仿宋" w:eastAsia="仿宋" w:cs="仿宋"/>
          <w:color w:val="ff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color w:val="000000"/>
          <w:sz w:val="28"/>
          <w:szCs w:val="28"/>
          <w:lang w:val="en-US" w:eastAsia="zh-CN"/>
        </w:rPr>
        <w:t xml:space="preserve">10.风险</w:t>
      </w:r>
      <w:r>
        <w:rPr>
          <w:rFonts w:hint="eastAsia" w:ascii="仿宋" w:hAnsi="仿宋" w:eastAsia="仿宋" w:cs="仿宋"/>
          <w:b/>
          <w:color w:val="000000"/>
          <w:sz w:val="28"/>
          <w:szCs w:val="28"/>
        </w:rPr>
        <w:t xml:space="preserve">控制</w:t>
      </w:r>
      <w:r>
        <w:rPr>
          <w:rFonts w:hint="eastAsia" w:ascii="仿宋" w:hAnsi="仿宋" w:eastAsia="仿宋" w:cs="仿宋"/>
          <w:b/>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b w:val="0"/>
          <w:bCs/>
          <w:color w:val="ff0000"/>
          <w:sz w:val="28"/>
          <w:szCs w:val="28"/>
          <w:lang w:val="en-US" w:eastAsia="zh-CN"/>
        </w:rPr>
      </w:pPr>
      <w:r>
        <w:rPr>
          <w:rFonts w:hint="eastAsia" w:ascii="仿宋" w:hAnsi="仿宋" w:eastAsia="仿宋" w:cs="仿宋"/>
          <w:b w:val="0"/>
          <w:bCs/>
          <w:color w:val="000000"/>
          <w:sz w:val="28"/>
          <w:szCs w:val="28"/>
          <w:lang w:val="en-US" w:eastAsia="zh-CN"/>
        </w:rPr>
        <w:t xml:space="preserve">长期护理</w:t>
      </w:r>
      <w:r>
        <w:rPr>
          <w:rFonts w:hint="eastAsia" w:ascii="仿宋" w:hAnsi="仿宋" w:eastAsia="仿宋" w:cs="仿宋"/>
          <w:b w:val="0"/>
          <w:bCs/>
          <w:color w:val="000000"/>
          <w:sz w:val="28"/>
          <w:szCs w:val="28"/>
          <w:lang w:val="en-US" w:eastAsia="en-US"/>
        </w:rPr>
        <w:t xml:space="preserve">保险按照“收支平衡、保本微利”的原则建立风险共担机制。</w:t>
      </w:r>
      <w:r>
        <w:rPr>
          <w:rFonts w:hint="eastAsia" w:ascii="仿宋" w:hAnsi="仿宋" w:eastAsia="仿宋" w:cs="仿宋"/>
          <w:b w:val="0"/>
          <w:bCs/>
          <w:color w:val="000000"/>
          <w:sz w:val="28"/>
          <w:szCs w:val="28"/>
          <w:lang w:val="en-US" w:eastAsia="en-US"/>
        </w:rPr>
        <w:t xml:space="preserve">保费收支结余如出现亏损，亏损2%（含）以内的部分由</w:t>
      </w:r>
      <w:r>
        <w:rPr>
          <w:rFonts w:hint="eastAsia" w:ascii="仿宋" w:hAnsi="仿宋" w:eastAsia="仿宋" w:cs="仿宋"/>
          <w:b w:val="0"/>
          <w:bCs/>
          <w:color w:val="000000"/>
          <w:sz w:val="28"/>
          <w:szCs w:val="28"/>
          <w:lang w:val="en-US" w:eastAsia="zh-CN"/>
        </w:rPr>
        <w:t xml:space="preserve">承办机构</w:t>
      </w:r>
      <w:r>
        <w:rPr>
          <w:rFonts w:hint="eastAsia" w:ascii="仿宋" w:hAnsi="仿宋" w:eastAsia="仿宋" w:cs="仿宋"/>
          <w:b w:val="0"/>
          <w:bCs/>
          <w:color w:val="000000"/>
          <w:sz w:val="28"/>
          <w:szCs w:val="28"/>
          <w:lang w:val="en-US" w:eastAsia="en-US"/>
        </w:rPr>
        <w:t xml:space="preserve">承担，2％以上的部分，由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b w:val="0"/>
          <w:bCs/>
          <w:color w:val="000000"/>
          <w:sz w:val="28"/>
          <w:szCs w:val="28"/>
          <w:lang w:val="en-US" w:eastAsia="zh-CN"/>
        </w:rPr>
        <w:t xml:space="preserve">和承办机构各</w:t>
      </w:r>
      <w:r>
        <w:rPr>
          <w:rFonts w:hint="eastAsia" w:ascii="仿宋" w:hAnsi="仿宋" w:eastAsia="仿宋" w:cs="仿宋"/>
          <w:b w:val="0"/>
          <w:bCs/>
          <w:color w:val="000000"/>
          <w:sz w:val="28"/>
          <w:szCs w:val="28"/>
          <w:lang w:val="en-US" w:eastAsia="en-US"/>
        </w:rPr>
        <w:t xml:space="preserve">承担</w:t>
      </w:r>
      <w:r>
        <w:rPr>
          <w:rFonts w:hint="eastAsia" w:ascii="仿宋" w:hAnsi="仿宋" w:eastAsia="仿宋" w:cs="仿宋"/>
          <w:b w:val="0"/>
          <w:bCs/>
          <w:color w:val="000000"/>
          <w:sz w:val="28"/>
          <w:szCs w:val="28"/>
          <w:lang w:val="en-US" w:eastAsia="zh-CN"/>
        </w:rPr>
        <w:t xml:space="preserve">50%</w:t>
      </w:r>
      <w:r>
        <w:rPr>
          <w:rFonts w:hint="eastAsia" w:ascii="仿宋" w:hAnsi="仿宋" w:eastAsia="仿宋" w:cs="仿宋"/>
          <w:b w:val="0"/>
          <w:bCs/>
          <w:color w:val="000000"/>
          <w:sz w:val="28"/>
          <w:szCs w:val="28"/>
          <w:lang w:val="en-US" w:eastAsia="en-US"/>
        </w:rPr>
        <w:t xml:space="preserve">；如有</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，则</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部分全额返还基金</w:t>
      </w:r>
      <w:r>
        <w:rPr>
          <w:rFonts w:hint="eastAsia" w:ascii="仿宋" w:hAnsi="仿宋" w:eastAsia="仿宋" w:cs="仿宋"/>
          <w:b w:val="0"/>
          <w:bCs/>
          <w:color w:val="000000"/>
          <w:sz w:val="28"/>
          <w:szCs w:val="28"/>
          <w:lang w:val="en-US" w:eastAsia="zh-CN"/>
        </w:rPr>
        <w:t xml:space="preserve">。</w:t>
      </w:r>
      <w:r>
        <w:rPr>
          <w:rFonts w:hint="eastAsia" w:ascii="仿宋" w:hAnsi="仿宋" w:eastAsia="仿宋" w:cs="仿宋"/>
          <w:b w:val="0"/>
          <w:bCs/>
          <w:color w:val="ff0000"/>
          <w:sz w:val="28"/>
          <w:szCs w:val="28"/>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11</w:t>
      </w:r>
      <w:r>
        <w:rPr>
          <w:rFonts w:hint="eastAsia" w:ascii="仿宋" w:hAnsi="仿宋" w:eastAsia="仿宋" w:cs="仿宋"/>
          <w:b/>
          <w:color w:val="000000"/>
          <w:sz w:val="28"/>
          <w:szCs w:val="28"/>
        </w:rPr>
        <w:t xml:space="preserve">.项目审计</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本项目合同期满后，承办商保机构接受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或受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委托的审计单位审计，且不受合同期限</w:t>
      </w:r>
      <w:r>
        <w:rPr>
          <w:rFonts w:hint="eastAsia" w:ascii="仿宋" w:hAnsi="仿宋" w:eastAsia="仿宋" w:cs="仿宋"/>
          <w:sz w:val="28"/>
          <w:szCs w:val="28"/>
          <w:lang w:val="en-US" w:eastAsia="zh-CN"/>
        </w:rPr>
        <w:t xml:space="preserve">限制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numPr>
          <w:ilvl w:val="0"/>
          <w:numId w:val="0"/>
        </w:numPr>
        <w:ind w:left="0" w:right="0" w:firstLine="562"/>
        <w:jc w:val="left"/>
        <w:keepLines w:val="0"/>
        <w:keepNext w:val="0"/>
        <w:pageBreakBefore w:val="0"/>
        <w:spacing w:line="52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12.信息系统管理及要求</w:t>
      </w:r>
      <w:r>
        <w:rPr>
          <w:rFonts w:hint="eastAsia" w:ascii="仿宋" w:hAnsi="仿宋" w:eastAsia="仿宋" w:cs="仿宋"/>
          <w:b/>
          <w:color w:val="000000"/>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应用全市统一的长护险信息管理系统，实现长护险失能等级评估、服务提供、协议管理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基金支出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监督管理</w:t>
      </w:r>
      <w:r>
        <w:rPr>
          <w:rFonts w:hint="eastAsia" w:ascii="仿宋" w:hAnsi="仿宋" w:eastAsia="仿宋" w:cs="仿宋"/>
          <w:color w:val="000000"/>
          <w:sz w:val="28"/>
          <w:szCs w:val="28"/>
        </w:rPr>
        <w:t xml:space="preserve">等经办</w:t>
      </w:r>
      <w:r>
        <w:rPr>
          <w:rFonts w:hint="eastAsia" w:ascii="仿宋" w:hAnsi="仿宋" w:eastAsia="仿宋" w:cs="仿宋"/>
          <w:color w:val="000000"/>
          <w:sz w:val="28"/>
          <w:szCs w:val="28"/>
          <w:lang w:val="en-US" w:eastAsia="zh-CN"/>
        </w:rPr>
        <w:t xml:space="preserve">监管</w:t>
      </w:r>
      <w:r>
        <w:rPr>
          <w:rFonts w:hint="eastAsia" w:ascii="仿宋" w:hAnsi="仿宋" w:eastAsia="仿宋" w:cs="仿宋"/>
          <w:color w:val="000000"/>
          <w:sz w:val="28"/>
          <w:szCs w:val="28"/>
        </w:rPr>
        <w:t xml:space="preserve">全流程的信息管理。</w:t>
      </w:r>
      <w:r>
        <w:rPr>
          <w:rFonts w:hint="eastAsia" w:ascii="仿宋" w:hAnsi="仿宋" w:eastAsia="仿宋" w:cs="仿宋"/>
          <w:color w:val="000000"/>
          <w:sz w:val="28"/>
          <w:szCs w:val="28"/>
        </w:rPr>
      </w:r>
      <w:r/>
    </w:p>
    <w:p>
      <w:pPr>
        <w:pStyle w:val="938"/>
        <w:numPr>
          <w:ilvl w:val="0"/>
          <w:numId w:val="0"/>
        </w:numPr>
        <w:contextualSpacing/>
        <w:ind w:left="0" w:right="0" w:firstLine="562"/>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★投标人承诺承担</w:t>
      </w:r>
      <w:r>
        <w:rPr>
          <w:rFonts w:hint="eastAsia" w:ascii="仿宋" w:hAnsi="仿宋" w:eastAsia="仿宋" w:cs="仿宋"/>
          <w:b/>
          <w:bCs/>
          <w:sz w:val="28"/>
          <w:szCs w:val="28"/>
          <w:highlight w:val="none"/>
          <w:lang w:val="en-US" w:eastAsia="zh-CN" w:bidi="ar-SA"/>
        </w:rPr>
        <w:t xml:space="preserve">长护险信息系统开发建设及后期维护费用的</w:t>
      </w:r>
      <w:r>
        <w:rPr>
          <w:rFonts w:hint="eastAsia" w:ascii="仿宋" w:hAnsi="仿宋" w:eastAsia="仿宋" w:cs="仿宋"/>
          <w:b/>
          <w:bCs/>
          <w:sz w:val="28"/>
          <w:szCs w:val="28"/>
          <w:highlight w:val="none"/>
          <w:lang w:val="en-US" w:eastAsia="zh-CN"/>
        </w:rPr>
        <w:t xml:space="preserve">书面承诺函加盖投标人电子签章，未提供作无效投标处理。</w:t>
      </w:r>
      <w:r>
        <w:rPr>
          <w:rFonts w:hint="eastAsia" w:ascii="仿宋" w:hAnsi="仿宋" w:eastAsia="仿宋" w:cs="仿宋"/>
          <w:sz w:val="28"/>
          <w:szCs w:val="28"/>
          <w:highlight w:val="none"/>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四、</w:t>
      </w:r>
      <w:r>
        <w:rPr>
          <w:rFonts w:hint="eastAsia" w:ascii="仿宋" w:hAnsi="仿宋" w:eastAsia="仿宋" w:cs="仿宋"/>
          <w:b/>
          <w:bCs w:val="0"/>
          <w:sz w:val="28"/>
          <w:szCs w:val="28"/>
        </w:rPr>
        <w:t xml:space="preserve">承办方式的相关约定</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sz w:val="28"/>
          <w:szCs w:val="28"/>
        </w:rPr>
        <w:outlineLvl w:val="0"/>
      </w:pPr>
      <w:r/>
      <w:bookmarkStart w:id="41" w:name="_Toc19604"/>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运作模式</w:t>
      </w:r>
      <w:bookmarkEnd w:id="41"/>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sz w:val="28"/>
          <w:szCs w:val="28"/>
        </w:rPr>
      </w:pPr>
      <w:r>
        <w:rPr>
          <w:rFonts w:hint="eastAsia" w:ascii="仿宋" w:hAnsi="仿宋" w:eastAsia="仿宋" w:cs="仿宋"/>
          <w:strike w:val="0"/>
          <w:sz w:val="28"/>
          <w:szCs w:val="28"/>
          <w:lang w:val="en-US" w:eastAsia="zh-CN"/>
        </w:rPr>
        <w:t xml:space="preserve">各片区</w:t>
      </w:r>
      <w:r>
        <w:rPr>
          <w:rFonts w:hint="eastAsia" w:ascii="仿宋" w:hAnsi="仿宋" w:eastAsia="仿宋" w:cs="仿宋"/>
          <w:strike w:val="0"/>
          <w:sz w:val="28"/>
          <w:szCs w:val="28"/>
        </w:rPr>
        <w:t xml:space="preserve">承</w:t>
      </w:r>
      <w:r>
        <w:rPr>
          <w:rFonts w:hint="eastAsia" w:ascii="仿宋" w:hAnsi="仿宋" w:eastAsia="仿宋" w:cs="仿宋"/>
          <w:strike w:val="0"/>
          <w:sz w:val="28"/>
          <w:szCs w:val="28"/>
          <w:lang w:val="en-US" w:eastAsia="zh-CN"/>
        </w:rPr>
        <w:t xml:space="preserve">办</w:t>
      </w:r>
      <w:r>
        <w:rPr>
          <w:rFonts w:hint="eastAsia" w:ascii="仿宋" w:hAnsi="仿宋" w:eastAsia="仿宋" w:cs="仿宋"/>
          <w:strike w:val="0"/>
          <w:sz w:val="28"/>
          <w:szCs w:val="28"/>
        </w:rPr>
        <w:t xml:space="preserve">商保机构各自独立开展服务工作。</w:t>
      </w:r>
      <w:r>
        <w:rPr>
          <w:rFonts w:hint="eastAsia" w:ascii="仿宋" w:hAnsi="仿宋" w:eastAsia="仿宋" w:cs="仿宋"/>
          <w:strike/>
          <w:sz w:val="28"/>
          <w:szCs w:val="28"/>
        </w:rPr>
      </w:r>
      <w:r/>
    </w:p>
    <w:p>
      <w:pPr>
        <w:pStyle w:val="938"/>
        <w:ind w:left="0" w:right="0" w:firstLine="562"/>
        <w:keepLines w:val="0"/>
        <w:keepNext w:val="0"/>
        <w:pageBreakBefore w:val="0"/>
        <w:spacing w:line="520" w:lineRule="exact"/>
        <w:rPr>
          <w:rFonts w:hint="eastAsia" w:ascii="仿宋" w:hAnsi="仿宋" w:eastAsia="仿宋" w:cs="仿宋"/>
          <w:b/>
          <w:color w:val="000000"/>
          <w:sz w:val="28"/>
          <w:szCs w:val="28"/>
        </w:rPr>
        <w:outlineLvl w:val="0"/>
      </w:pPr>
      <w:r/>
      <w:bookmarkStart w:id="42" w:name="_Toc8620"/>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w:t>
      </w:r>
      <w:r>
        <w:rPr>
          <w:rFonts w:hint="eastAsia" w:ascii="仿宋" w:hAnsi="仿宋" w:eastAsia="仿宋" w:cs="仿宋"/>
          <w:b/>
          <w:color w:val="000000"/>
          <w:sz w:val="28"/>
          <w:szCs w:val="28"/>
        </w:rPr>
        <w:t xml:space="preserve">行业自律</w:t>
      </w:r>
      <w:bookmarkEnd w:id="42"/>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商保机构在合同有效期内，应接受采购人定期或不定期的检查考核以及本项目履约管理机构的履约管理。如发现中标商保机构有送礼、回扣、贬损他人、不及时上报相关资料等行为或一年内发生多次有效投诉、情节严重的，一经查实，应取消承保人的资格。如有违规、违纪、违法行为的，按有关规定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bCs w:val="0"/>
          <w:sz w:val="28"/>
          <w:szCs w:val="28"/>
          <w:lang w:val="en-US" w:eastAsia="zh-CN"/>
        </w:rPr>
        <w:t xml:space="preserve">3.</w:t>
      </w:r>
      <w:r>
        <w:rPr>
          <w:rFonts w:hint="eastAsia" w:ascii="仿宋" w:hAnsi="仿宋" w:eastAsia="仿宋" w:cs="仿宋"/>
          <w:b/>
          <w:color w:val="000000"/>
          <w:sz w:val="28"/>
          <w:szCs w:val="28"/>
        </w:rPr>
        <w:t xml:space="preserve">运营报告</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中标单位于每季度首月初提交上季度长护险运行分析报告和次年首月月底前提交上年度长护险运行分析报告报采购人。</w:t>
      </w:r>
      <w:r>
        <w:rPr>
          <w:rFonts w:hint="eastAsia" w:ascii="仿宋" w:hAnsi="仿宋" w:eastAsia="仿宋" w:cs="仿宋"/>
          <w:sz w:val="28"/>
          <w:szCs w:val="28"/>
        </w:rPr>
      </w:r>
      <w:r/>
    </w:p>
    <w:p>
      <w:pPr>
        <w:pStyle w:val="938"/>
        <w:numPr>
          <w:ilvl w:val="0"/>
          <w:numId w:val="0"/>
        </w:numPr>
        <w:ind w:right="0" w:firstLine="562"/>
        <w:keepLines w:val="0"/>
        <w:keepNext w:val="0"/>
        <w:pageBreakBefore w:val="0"/>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六、其他要求</w:t>
      </w:r>
      <w:r>
        <w:rPr>
          <w:rFonts w:hint="eastAsia" w:ascii="仿宋" w:hAnsi="仿宋" w:eastAsia="仿宋"/>
          <w:b/>
          <w:bCs/>
          <w:sz w:val="28"/>
          <w:szCs w:val="28"/>
          <w:highlight w:val="none"/>
          <w:lang w:val="en-US" w:eastAsia="zh-CN"/>
        </w:rPr>
      </w:r>
      <w:r/>
    </w:p>
    <w:p>
      <w:pPr>
        <w:pStyle w:val="1034"/>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bookmarkStart w:id="43" w:name="_Toc10598"/>
      <w:r>
        <w:rPr>
          <w:rFonts w:hint="eastAsia" w:ascii="仿宋" w:hAnsi="仿宋" w:eastAsia="仿宋" w:cs="仿宋"/>
          <w:b w:val="0"/>
          <w:bCs w:val="0"/>
          <w:color w:val="000000"/>
          <w:sz w:val="28"/>
          <w:szCs w:val="28"/>
          <w:lang w:val="en-US" w:eastAsia="zh-CN" w:bidi="ar-SA"/>
        </w:rPr>
        <w:t xml:space="preserve">1.中标单位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bookmarkEnd w:id="43"/>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ascii="仿宋" w:hAnsi="仿宋" w:eastAsia="仿宋"/>
          <w:sz w:val="28"/>
          <w:szCs w:val="28"/>
          <w:highlight w:val="none"/>
        </w:rPr>
        <w:t xml:space="preserve">、商务部分</w:t>
      </w:r>
      <w:r>
        <w:rPr>
          <w:rFonts w:ascii="仿宋" w:hAnsi="仿宋" w:eastAsia="仿宋"/>
          <w:sz w:val="28"/>
          <w:szCs w:val="28"/>
          <w:highlight w:val="none"/>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★1、服务时间:本项目保险期限为3年。如长护险服务期限结束，采购人尚未招标确定新的长护险承办商业保险机构，中标人需继续帮助采购人做好长护险衔接工作。</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2、服务地点:采购人指定</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3、付款方式: 采购人于合同签订之日起按合同约定定期向中标人拨付保费和服务费，中标人应出具相应合法有效的票据凭证。</w:t>
      </w:r>
      <w:r>
        <w:rPr>
          <w:rFonts w:hint="eastAsia" w:ascii="仿宋" w:hAnsi="仿宋" w:eastAsia="仿宋" w:cs="仿宋"/>
          <w:b w:val="0"/>
          <w:bCs w:val="0"/>
          <w:color w:val="000000"/>
          <w:sz w:val="28"/>
          <w:szCs w:val="28"/>
          <w:lang w:val="en-US" w:eastAsia="zh-CN" w:bidi="ar-SA"/>
        </w:rPr>
      </w:r>
      <w:r/>
    </w:p>
    <w:p>
      <w:pPr>
        <w:pStyle w:val="957"/>
        <w:ind w:left="0" w:firstLine="0"/>
        <w:rPr>
          <w:rFonts w:hint="eastAsia"/>
        </w:rPr>
      </w:pPr>
      <w:r>
        <w:rPr>
          <w:rFonts w:hint="eastAsia"/>
        </w:rPr>
      </w:r>
      <w:r/>
    </w:p>
    <w:p>
      <w:pPr>
        <w:pStyle w:val="938"/>
        <w:jc w:val="center"/>
        <w:keepLines w:val="0"/>
        <w:keepNext w:val="0"/>
        <w:pageBreakBefore w:val="0"/>
        <w:spacing w:line="400" w:lineRule="exact"/>
        <w:widowControl w:val="off"/>
        <w:rPr>
          <w:rFonts w:hint="eastAsia" w:ascii="黑体" w:hAnsi="黑体" w:eastAsia="黑体"/>
          <w:b/>
          <w:bCs/>
          <w:sz w:val="36"/>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938"/>
        <w:jc w:val="center"/>
        <w:keepLines w:val="0"/>
        <w:keepNext w:val="0"/>
        <w:pageBreakBefore w:val="0"/>
        <w:spacing w:line="400" w:lineRule="exact"/>
        <w:widowControl w:val="off"/>
        <w:rPr>
          <w:rFonts w:hint="eastAsia" w:ascii="黑体" w:hAnsi="黑体" w:eastAsia="黑体"/>
          <w:b/>
          <w:bCs/>
          <w:sz w:val="36"/>
          <w:lang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（九个采购包均适用）</w:t>
      </w:r>
      <w:r>
        <w:rPr>
          <w:rFonts w:hint="eastAsia" w:ascii="黑体" w:hAnsi="黑体" w:eastAsia="黑体"/>
          <w:b/>
          <w:bCs/>
          <w:sz w:val="36"/>
          <w:lang w:eastAsia="zh-CN"/>
        </w:rPr>
      </w:r>
      <w:r/>
    </w:p>
    <w:p>
      <w:pPr>
        <w:pStyle w:val="95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3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5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5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1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3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3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1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1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1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3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5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（小写）承办服务费报价 </w:t>
            </w:r>
            <w:r>
              <w:rPr>
                <w:rFonts w:ascii="FangSong" w:hAnsi="FangSong" w:eastAsia="FangSong" w:cs="FangSong"/>
                <w:color w:val="000000"/>
                <w:sz w:val="28"/>
                <w:u w:val="single"/>
              </w:rPr>
              <w:t xml:space="preserve">       %</w:t>
            </w:r>
            <w:r/>
          </w:p>
          <w:p>
            <w:r>
              <w:rPr>
                <w:rFonts w:ascii="FangSong" w:hAnsi="FangSong" w:eastAsia="FangSong" w:cs="FangSong"/>
                <w:color w:val="000000"/>
                <w:sz w:val="28"/>
              </w:rPr>
              <w:t xml:space="preserve">（大写）承办服务费报价</w:t>
            </w:r>
            <w:r>
              <w:rPr>
                <w:rFonts w:ascii="FangSong" w:hAnsi="FangSong" w:eastAsia="FangSong" w:cs="FangSong"/>
                <w:color w:val="000000"/>
                <w:sz w:val="28"/>
                <w:u w:val="single"/>
              </w:rPr>
              <w:t xml:space="preserve">        </w:t>
            </w:r>
            <w:r/>
          </w:p>
        </w:tc>
      </w:tr>
      <w:tr>
        <w:trPr>
          <w:cantSplit/>
          <w:trHeight w:val="1273"/>
        </w:trPr>
        <w:tc>
          <w:tcPr>
            <w:tcW w:w="1701" w:type="dxa"/>
            <w:vAlign w:val="center"/>
            <w:textDirection w:val="lrTb"/>
            <w:noWrap w:val="false"/>
          </w:tcPr>
          <w:p>
            <w:pPr>
              <w:pStyle w:val="93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93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59"/>
        <w:keepLines w:val="0"/>
        <w:keepNext w:val="0"/>
        <w:pageBreakBefore w:val="0"/>
        <w:rPr>
          <w:rFonts w:hint="eastAsia" w:hAnsi="宋体"/>
          <w:b/>
          <w:sz w:val="32"/>
          <w:szCs w:val="32"/>
        </w:rPr>
        <w:outlineLvl w:val="9"/>
      </w:pPr>
      <w:r/>
      <w:bookmarkStart w:id="44" w:name="_Toc157775468"/>
      <w:r>
        <w:rPr>
          <w:rFonts w:hint="eastAsia" w:hAnsi="宋体"/>
          <w:b/>
          <w:sz w:val="32"/>
          <w:szCs w:val="32"/>
        </w:rPr>
      </w:r>
      <w:r/>
    </w:p>
    <w:p>
      <w:pPr>
        <w:pStyle w:val="95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ind w:left="0" w:right="0" w:firstLine="0"/>
        <w:jc w:val="left"/>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151"/>
        <w:gridCol w:w="1382"/>
        <w:gridCol w:w="1050"/>
        <w:gridCol w:w="1235"/>
        <w:gridCol w:w="2239"/>
      </w:tblGrid>
      <w:tr>
        <w:trPr>
          <w:trHeight w:val="54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w:t>
            </w:r>
            <w:r/>
          </w:p>
        </w:tc>
      </w:tr>
      <w:tr>
        <w:trPr>
          <w:trHeight w:val="5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年服务费报价（费率：%）</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本采购包中提供的符合本国产品标准的服务成本之和占该采购包提供的全部服务成本之和的比例为</w:t>
            </w:r>
            <w:r>
              <w:rPr>
                <w:rFonts w:ascii="Arial" w:hAnsi="Arial" w:eastAsia="Arial" w:cs="Arial"/>
                <w:b/>
                <w:color w:val="000000"/>
                <w:sz w:val="28"/>
                <w:u w:val="single"/>
              </w:rPr>
              <w:t xml:space="preserve">      </w:t>
            </w:r>
            <w:r>
              <w:rPr>
                <w:rFonts w:ascii="Arial" w:hAnsi="Arial" w:eastAsia="Arial" w:cs="Arial"/>
                <w:b/>
                <w:color w:val="000000"/>
                <w:sz w:val="28"/>
              </w:rPr>
              <w:t xml:space="preserve">%。</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“投标分项报价表”中“年服务费报价”数额应当与“开标一览表”中“投标总报价”数额一致。</w:t>
      </w:r>
      <w:r/>
    </w:p>
    <w:p>
      <w:pPr>
        <w:pStyle w:val="95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w:t>
            </w:r>
            <w:r>
              <w:rPr>
                <w:rFonts w:hint="eastAsia" w:ascii="仿宋" w:hAnsi="仿宋" w:eastAsia="仿宋" w:cs="Arial"/>
                <w:sz w:val="24"/>
                <w:lang w:eastAsia="zh-CN"/>
              </w:rPr>
              <w:t xml:space="preserve">条款</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93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3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59"/>
        <w:ind w:firstLine="0"/>
        <w:jc w:val="center"/>
        <w:keepLines w:val="0"/>
        <w:keepNext w:val="0"/>
        <w:pageBreakBefore w:val="0"/>
        <w:spacing w:line="520" w:lineRule="exact"/>
        <w:widowControl w:val="off"/>
        <w:rPr>
          <w:rFonts w:hint="eastAsia" w:ascii="仿宋" w:hAnsi="仿宋" w:eastAsia="仿宋"/>
          <w:b/>
          <w:bCs/>
          <w:sz w:val="32"/>
        </w:rPr>
        <w:sectPr>
          <w:footerReference w:type="default" r:id="rId12"/>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End w:id="44"/>
      <w:r>
        <w:rPr>
          <w:rFonts w:hint="eastAsia" w:ascii="仿宋" w:hAnsi="仿宋" w:eastAsia="仿宋"/>
          <w:b/>
          <w:bCs/>
          <w:sz w:val="32"/>
        </w:rPr>
      </w:r>
      <w:r/>
    </w:p>
    <w:p>
      <w:pPr>
        <w:pStyle w:val="95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951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77"/>
        <w:gridCol w:w="1132"/>
        <w:gridCol w:w="1663"/>
        <w:gridCol w:w="1432"/>
        <w:gridCol w:w="1432"/>
        <w:gridCol w:w="1537"/>
      </w:tblGrid>
      <w:tr>
        <w:trPr>
          <w:trHeight w:val="439"/>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938"/>
              <w:jc w:val="left"/>
              <w:spacing w:line="600" w:lineRule="exact"/>
              <w:tabs>
                <w:tab w:val="left" w:pos="595" w:leader="none"/>
              </w:tabs>
              <w:rPr>
                <w:rFonts w:hint="eastAsia" w:eastAsia="仿宋" w:cs="Times New Roman"/>
                <w:color w:val="000000"/>
                <w:sz w:val="24"/>
                <w:highlight w:val="none"/>
                <w:lang w:eastAsia="zh-CN"/>
              </w:rPr>
            </w:pPr>
            <w:r>
              <w:rPr>
                <w:rFonts w:hint="eastAsia" w:eastAsia="仿宋" w:cs="Times New Roman"/>
                <w:color w:val="000000"/>
                <w:sz w:val="24"/>
                <w:highlight w:val="none"/>
                <w:lang w:eastAsia="zh-CN"/>
              </w:rPr>
              <w:tab/>
            </w:r>
            <w:r>
              <w:rPr>
                <w:rFonts w:hint="eastAsia" w:eastAsia="仿宋" w:cs="Times New Roman"/>
                <w:color w:val="000000"/>
                <w:sz w:val="24"/>
                <w:highlight w:val="none"/>
                <w:lang w:eastAsia="zh-CN"/>
              </w:rPr>
              <w:t xml:space="preserve">专业</w:t>
            </w:r>
            <w:r>
              <w:rPr>
                <w:rFonts w:hint="eastAsia" w:eastAsia="仿宋" w:cs="Times New Roman"/>
                <w:color w:val="000000"/>
                <w:sz w:val="24"/>
                <w:highlight w:val="none"/>
                <w:lang w:eastAsia="zh-CN"/>
              </w:rPr>
            </w:r>
            <w:r/>
          </w:p>
        </w:tc>
        <w:tc>
          <w:tcPr>
            <w:tcW w:w="1432"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38"/>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5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5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3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（1）投标人应为保险总公司</w:t>
      </w:r>
      <w:r>
        <w:rPr>
          <w:rFonts w:hint="eastAsia" w:ascii="仿宋" w:hAnsi="仿宋" w:eastAsia="仿宋"/>
          <w:color w:val="000000"/>
          <w:sz w:val="28"/>
          <w:szCs w:val="28"/>
          <w:lang w:eastAsia="zh-CN"/>
        </w:rPr>
        <w:t xml:space="preserve">（提供总公司的营业执照扫描件加盖投标人电子签章）</w:t>
      </w:r>
      <w:r>
        <w:rPr>
          <w:rFonts w:hint="eastAsia" w:ascii="仿宋" w:hAnsi="仿宋" w:eastAsia="仿宋"/>
          <w:color w:val="000000"/>
          <w:sz w:val="28"/>
          <w:szCs w:val="28"/>
        </w:rPr>
        <w:t xml:space="preserve">，但经</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授权，地市级及以上分公司（支公司）等机构可以代表</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参加投标</w:t>
      </w:r>
      <w:r>
        <w:rPr>
          <w:rFonts w:hint="eastAsia" w:ascii="仿宋" w:hAnsi="仿宋" w:eastAsia="仿宋"/>
          <w:color w:val="000000"/>
          <w:sz w:val="28"/>
          <w:szCs w:val="28"/>
          <w:lang w:eastAsia="zh-CN"/>
        </w:rPr>
        <w:t xml:space="preserve">（提供总公司出具的授权书扫描件加盖投标人电子签章）</w:t>
      </w:r>
      <w:r>
        <w:rPr>
          <w:rFonts w:hint="eastAsia" w:ascii="仿宋" w:hAnsi="仿宋" w:eastAsia="仿宋"/>
          <w:color w:val="000000"/>
          <w:sz w:val="28"/>
          <w:szCs w:val="28"/>
        </w:rPr>
        <w:t xml:space="preserve">；同一保险总公司仅能授权其一家地市级及以上分公司（支公司）参与投标；</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投标人须具有监管部门颁发的经营保险业务许可证</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投标人符合监管部门规定的其他条件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38"/>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5"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3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3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sz w:val="22"/>
        </w:rPr>
      </w:r>
      <w:r/>
    </w:p>
    <w:p>
      <w:pPr>
        <w:pStyle w:val="938"/>
        <w:keepLines w:val="0"/>
        <w:keepNext w:val="0"/>
        <w:pageBreakBefore w:val="0"/>
        <w:spacing w:line="44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3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38"/>
        <w:ind w:firstLine="2891"/>
        <w:keepLines w:val="0"/>
        <w:keepNext w:val="0"/>
        <w:pageBreakBefore w:val="0"/>
        <w:spacing w:line="640" w:lineRule="exact"/>
        <w:rPr>
          <w:rFonts w:ascii="仿宋" w:hAnsi="仿宋" w:eastAsia="仿宋" w:cs="楷体_GB2312"/>
          <w:b/>
          <w:bCs/>
          <w:sz w:val="32"/>
          <w:szCs w:val="32"/>
          <w:lang w:val="zh-CN"/>
        </w:rPr>
        <w:outlineLvl w:val="9"/>
      </w:pPr>
      <w:r/>
      <w:bookmarkEnd w:id="45"/>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3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3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3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3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3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3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3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11"/>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3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3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3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3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3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3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3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3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4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3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3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3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3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4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4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3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4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46"/>
        <w:ind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b/>
          <w:sz w:val="32"/>
          <w:szCs w:val="32"/>
          <w:lang w:val="en-US" w:eastAsia="zh-CN"/>
        </w:rPr>
        <w:t xml:space="preserve">(本项目不涉及）</w:t>
      </w:r>
      <w:r>
        <w:rPr>
          <w:rFonts w:hint="eastAsia" w:ascii="仿宋" w:hAnsi="仿宋" w:eastAsia="仿宋" w:cs="Times New Roman"/>
          <w:bCs/>
          <w:color w:val="000000"/>
          <w:sz w:val="28"/>
          <w:szCs w:val="28"/>
          <w:lang w:val="en-US" w:eastAsia="zh-CN"/>
        </w:rPr>
      </w:r>
      <w:r/>
    </w:p>
    <w:p>
      <w:pPr>
        <w:pStyle w:val="94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4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4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2"/>
      <w:isLgl w:val="false"/>
      <w:suff w:val="nothing"/>
      <w:lvlText w:val="第%1章"/>
      <w:lvlJc w:val="left"/>
      <w:pPr>
        <w:pStyle w:val="938"/>
        <w:ind w:left="640" w:firstLine="0"/>
      </w:pPr>
      <w:rPr>
        <w:rFonts w:hint="eastAsia"/>
      </w:rPr>
    </w:lvl>
    <w:lvl w:ilvl="1">
      <w:start w:val="1"/>
      <w:numFmt w:val="decimal"/>
      <w:isLgl w:val="false"/>
      <w:suff w:val="nothing"/>
      <w:lvlText w:val=""/>
      <w:lvlJc w:val="left"/>
      <w:pPr>
        <w:pStyle w:val="938"/>
        <w:ind w:left="640" w:firstLine="0"/>
      </w:pPr>
      <w:rPr>
        <w:rFonts w:hint="eastAsia"/>
      </w:rPr>
    </w:lvl>
    <w:lvl w:ilvl="2">
      <w:start w:val="1"/>
      <w:numFmt w:val="decimal"/>
      <w:isLgl w:val="false"/>
      <w:suff w:val="nothing"/>
      <w:lvlText w:val=""/>
      <w:lvlJc w:val="left"/>
      <w:pPr>
        <w:pStyle w:val="938"/>
        <w:ind w:left="640" w:firstLine="0"/>
      </w:pPr>
      <w:rPr>
        <w:rFonts w:hint="eastAsia"/>
      </w:rPr>
    </w:lvl>
    <w:lvl w:ilvl="3">
      <w:start w:val="1"/>
      <w:numFmt w:val="decimal"/>
      <w:isLgl w:val="false"/>
      <w:suff w:val="nothing"/>
      <w:lvlText w:val=""/>
      <w:lvlJc w:val="left"/>
      <w:pPr>
        <w:pStyle w:val="938"/>
        <w:ind w:left="640" w:firstLine="0"/>
      </w:pPr>
      <w:rPr>
        <w:rFonts w:hint="eastAsia"/>
      </w:rPr>
    </w:lvl>
    <w:lvl w:ilvl="4">
      <w:start w:val="1"/>
      <w:numFmt w:val="decimal"/>
      <w:isLgl w:val="false"/>
      <w:suff w:val="nothing"/>
      <w:lvlText w:val=""/>
      <w:lvlJc w:val="left"/>
      <w:pPr>
        <w:pStyle w:val="938"/>
        <w:ind w:left="640" w:firstLine="0"/>
      </w:pPr>
      <w:rPr>
        <w:rFonts w:hint="eastAsia"/>
      </w:rPr>
    </w:lvl>
    <w:lvl w:ilvl="5">
      <w:start w:val="1"/>
      <w:numFmt w:val="decimal"/>
      <w:isLgl w:val="false"/>
      <w:suff w:val="nothing"/>
      <w:lvlText w:val=""/>
      <w:lvlJc w:val="left"/>
      <w:pPr>
        <w:pStyle w:val="938"/>
        <w:ind w:left="640" w:firstLine="0"/>
      </w:pPr>
      <w:rPr>
        <w:rFonts w:hint="eastAsia"/>
      </w:rPr>
    </w:lvl>
    <w:lvl w:ilvl="6">
      <w:start w:val="1"/>
      <w:numFmt w:val="decimal"/>
      <w:isLgl w:val="false"/>
      <w:suff w:val="nothing"/>
      <w:lvlText w:val=""/>
      <w:lvlJc w:val="left"/>
      <w:pPr>
        <w:pStyle w:val="938"/>
        <w:ind w:left="640" w:firstLine="0"/>
      </w:pPr>
      <w:rPr>
        <w:rFonts w:hint="eastAsia"/>
      </w:rPr>
    </w:lvl>
    <w:lvl w:ilvl="7">
      <w:start w:val="1"/>
      <w:numFmt w:val="decimal"/>
      <w:isLgl w:val="false"/>
      <w:suff w:val="nothing"/>
      <w:lvlText w:val=""/>
      <w:lvlJc w:val="left"/>
      <w:pPr>
        <w:pStyle w:val="938"/>
        <w:ind w:left="640" w:firstLine="0"/>
      </w:pPr>
      <w:rPr>
        <w:rFonts w:hint="eastAsia"/>
      </w:rPr>
    </w:lvl>
    <w:lvl w:ilvl="8">
      <w:start w:val="1"/>
      <w:numFmt w:val="decimal"/>
      <w:isLgl w:val="false"/>
      <w:suff w:val="nothing"/>
      <w:lvlText w:val=""/>
      <w:lvlJc w:val="left"/>
      <w:pPr>
        <w:pStyle w:val="938"/>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2"/>
      <w:isLgl w:val="false"/>
      <w:suff w:val="tab"/>
      <w:lvlText w:val="%1、"/>
      <w:lvlJc w:val="left"/>
      <w:pPr>
        <w:pStyle w:val="938"/>
        <w:ind w:left="420" w:hanging="420"/>
        <w:tabs>
          <w:tab w:val="num" w:pos="420" w:leader="none"/>
        </w:tabs>
      </w:pPr>
      <w:rPr>
        <w:rFonts w:hint="eastAsia"/>
        <w:b/>
        <w:i w:val="0"/>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5">
    <w:multiLevelType w:val="hybridMultilevel"/>
    <w:lvl w:ilvl="0">
      <w:start w:val="1"/>
      <w:numFmt w:val="chineseCountingThousand"/>
      <w:pStyle w:val="1034"/>
      <w:isLgl w:val="false"/>
      <w:suff w:val="tab"/>
      <w:lvlText w:val="第%1章 "/>
      <w:lvlJc w:val="left"/>
      <w:pPr>
        <w:pStyle w:val="938"/>
        <w:ind w:left="420" w:hanging="420"/>
      </w:pPr>
      <w:rPr>
        <w:rFonts w:hint="eastAsia"/>
      </w:rPr>
    </w:lvl>
    <w:lvl w:ilvl="1">
      <w:start w:val="1"/>
      <w:numFmt w:val="decimal"/>
      <w:isLgl w:val="false"/>
      <w:suff w:val="space"/>
      <w:lvlText w:val="%1.%2."/>
      <w:lvlJc w:val="left"/>
      <w:pPr>
        <w:pStyle w:val="938"/>
        <w:ind w:left="425" w:hanging="425"/>
      </w:pPr>
      <w:rPr>
        <w:rFonts w:hint="eastAsia"/>
      </w:rPr>
    </w:lvl>
    <w:lvl w:ilvl="2">
      <w:start w:val="1"/>
      <w:numFmt w:val="decimal"/>
      <w:isLgl w:val="false"/>
      <w:suff w:val="space"/>
      <w:lvlText w:val="%1.%2.%3."/>
      <w:lvlJc w:val="left"/>
      <w:pPr>
        <w:pStyle w:val="938"/>
        <w:ind w:left="425" w:hanging="425"/>
      </w:pPr>
      <w:rPr>
        <w:rFonts w:hint="eastAsia"/>
      </w:rPr>
    </w:lvl>
    <w:lvl w:ilvl="3">
      <w:start w:val="1"/>
      <w:numFmt w:val="decimal"/>
      <w:isLgl w:val="false"/>
      <w:suff w:val="tab"/>
      <w:lvlText w:val="%1.%2.%3.%4."/>
      <w:lvlJc w:val="left"/>
      <w:pPr>
        <w:pStyle w:val="938"/>
        <w:ind w:left="210" w:hanging="425"/>
      </w:pPr>
      <w:rPr>
        <w:rFonts w:hint="eastAsia"/>
      </w:rPr>
    </w:lvl>
    <w:lvl w:ilvl="4">
      <w:start w:val="1"/>
      <w:numFmt w:val="decimal"/>
      <w:isLgl w:val="false"/>
      <w:suff w:val="tab"/>
      <w:lvlText w:val="%1.%2.%3.%4.%5."/>
      <w:lvlJc w:val="left"/>
      <w:pPr>
        <w:pStyle w:val="938"/>
        <w:ind w:left="425" w:hanging="425"/>
      </w:pPr>
      <w:rPr>
        <w:rFonts w:hint="eastAsia"/>
      </w:rPr>
    </w:lvl>
    <w:lvl w:ilvl="5">
      <w:start w:val="1"/>
      <w:numFmt w:val="decimal"/>
      <w:isLgl w:val="false"/>
      <w:suff w:val="tab"/>
      <w:lvlText w:val="%1.%2.%3.%4.%5.%6."/>
      <w:lvlJc w:val="left"/>
      <w:pPr>
        <w:pStyle w:val="938"/>
        <w:ind w:left="840" w:hanging="425"/>
      </w:pPr>
      <w:rPr>
        <w:rFonts w:hint="eastAsia"/>
      </w:rPr>
    </w:lvl>
    <w:lvl w:ilvl="6">
      <w:start w:val="1"/>
      <w:numFmt w:val="decimal"/>
      <w:isLgl w:val="false"/>
      <w:suff w:val="tab"/>
      <w:lvlText w:val="%1.%2.%3.%4.%5.%6.%7."/>
      <w:lvlJc w:val="left"/>
      <w:pPr>
        <w:pStyle w:val="938"/>
        <w:ind w:left="0" w:hanging="425"/>
      </w:pPr>
      <w:rPr>
        <w:rFonts w:hint="eastAsia"/>
      </w:rPr>
    </w:lvl>
    <w:lvl w:ilvl="7">
      <w:start w:val="1"/>
      <w:numFmt w:val="decimal"/>
      <w:isLgl w:val="false"/>
      <w:suff w:val="tab"/>
      <w:lvlText w:val="%1.%2.%3.%4.%5.%6.%7.%8."/>
      <w:lvlJc w:val="left"/>
      <w:pPr>
        <w:pStyle w:val="938"/>
        <w:ind w:left="840" w:hanging="425"/>
      </w:pPr>
      <w:rPr>
        <w:rFonts w:hint="eastAsia"/>
      </w:rPr>
    </w:lvl>
    <w:lvl w:ilvl="8">
      <w:start w:val="1"/>
      <w:numFmt w:val="decimal"/>
      <w:isLgl w:val="false"/>
      <w:suff w:val="tab"/>
      <w:lvlText w:val="%1.%2.%3.%4.%5.%6.%7.%8.%9."/>
      <w:lvlJc w:val="left"/>
      <w:pPr>
        <w:pStyle w:val="938"/>
        <w:ind w:left="425" w:hanging="425"/>
      </w:pPr>
      <w:rPr>
        <w:rFonts w:hint="eastAsia"/>
      </w:rPr>
    </w:lvl>
  </w:abstractNum>
  <w:abstractNum w:abstractNumId="6">
    <w:multiLevelType w:val="hybridMultilevel"/>
    <w:lvl w:ilvl="0">
      <w:start w:val="2"/>
      <w:numFmt w:val="chineseCountingThousand"/>
      <w:pStyle w:val="1018"/>
      <w:isLgl w:val="false"/>
      <w:suff w:val="nothing"/>
      <w:lvlText w:val="第%1部分"/>
      <w:lvlJc w:val="center"/>
      <w:pPr>
        <w:pStyle w:val="938"/>
        <w:ind w:left="432" w:firstLine="288"/>
      </w:pPr>
      <w:rPr>
        <w:rFonts w:hint="eastAsia"/>
        <w:sz w:val="28"/>
        <w:szCs w:val="28"/>
        <w:lang w:val="en-US"/>
      </w:rPr>
    </w:lvl>
    <w:lvl w:ilvl="1">
      <w:start w:val="1"/>
      <w:numFmt w:val="chineseCountingThousand"/>
      <w:isLgl w:val="false"/>
      <w:suff w:val="nothing"/>
      <w:lvlText w:val="%2、"/>
      <w:lvlJc w:val="left"/>
      <w:pPr>
        <w:pStyle w:val="938"/>
        <w:ind w:left="360" w:firstLine="0"/>
      </w:pPr>
      <w:rPr>
        <w:rFonts w:hint="eastAsia"/>
        <w:lang w:val="en-US"/>
      </w:rPr>
    </w:lvl>
    <w:lvl w:ilvl="2">
      <w:start w:val="1"/>
      <w:numFmt w:val="chineseCountingThousand"/>
      <w:isLgl w:val="false"/>
      <w:suff w:val="nothing"/>
      <w:lvlText w:val="(%3)"/>
      <w:lvlJc w:val="left"/>
      <w:pPr>
        <w:pStyle w:val="938"/>
        <w:ind w:left="0" w:firstLine="0"/>
      </w:pPr>
      <w:rPr>
        <w:rFonts w:hint="eastAsia"/>
      </w:rPr>
    </w:lvl>
    <w:lvl w:ilvl="3">
      <w:start w:val="1"/>
      <w:numFmt w:val="decimal"/>
      <w:isLgl w:val="false"/>
      <w:suff w:val="nothing"/>
      <w:lvlText w:val="%4、"/>
      <w:lvlJc w:val="left"/>
      <w:pPr>
        <w:pStyle w:val="938"/>
        <w:ind w:left="0" w:firstLine="0"/>
      </w:pPr>
      <w:rPr>
        <w:rFonts w:hint="eastAsia"/>
      </w:rPr>
    </w:lvl>
    <w:lvl w:ilvl="4">
      <w:start w:val="1"/>
      <w:numFmt w:val="upperLetter"/>
      <w:isLgl w:val="false"/>
      <w:suff w:val="nothing"/>
      <w:lvlText w:val="%5、"/>
      <w:lvlJc w:val="left"/>
      <w:pPr>
        <w:pStyle w:val="938"/>
        <w:ind w:left="0" w:firstLine="0"/>
      </w:pPr>
      <w:rPr>
        <w:rFonts w:hint="eastAsia"/>
      </w:rPr>
    </w:lvl>
    <w:lvl w:ilvl="5">
      <w:start w:val="1"/>
      <w:numFmt w:val="decimal"/>
      <w:isLgl w:val="false"/>
      <w:suff w:val="nothing"/>
      <w:lvlText w:val=""/>
      <w:lvlJc w:val="left"/>
      <w:pPr>
        <w:pStyle w:val="938"/>
        <w:ind w:left="0" w:firstLine="0"/>
      </w:pPr>
      <w:rPr>
        <w:rFonts w:hint="eastAsia"/>
      </w:rPr>
    </w:lvl>
    <w:lvl w:ilvl="6">
      <w:start w:val="1"/>
      <w:numFmt w:val="decimal"/>
      <w:isLgl w:val="false"/>
      <w:suff w:val="nothing"/>
      <w:lvlText w:val=""/>
      <w:lvlJc w:val="left"/>
      <w:pPr>
        <w:pStyle w:val="938"/>
        <w:ind w:left="0" w:firstLine="0"/>
      </w:pPr>
      <w:rPr>
        <w:rFonts w:hint="eastAsia"/>
      </w:rPr>
    </w:lvl>
    <w:lvl w:ilvl="7">
      <w:start w:val="1"/>
      <w:numFmt w:val="decimal"/>
      <w:isLgl w:val="false"/>
      <w:suff w:val="nothing"/>
      <w:lvlText w:val=""/>
      <w:lvlJc w:val="left"/>
      <w:pPr>
        <w:pStyle w:val="938"/>
        <w:ind w:left="0" w:firstLine="0"/>
      </w:pPr>
      <w:rPr>
        <w:rFonts w:hint="eastAsia"/>
      </w:rPr>
    </w:lvl>
    <w:lvl w:ilvl="8">
      <w:start w:val="1"/>
      <w:numFmt w:val="decimal"/>
      <w:isLgl w:val="false"/>
      <w:suff w:val="nothing"/>
      <w:lvlText w:val=""/>
      <w:lvlJc w:val="left"/>
      <w:pPr>
        <w:pStyle w:val="938"/>
        <w:ind w:left="0" w:firstLine="0"/>
      </w:pPr>
      <w:rPr>
        <w:rFonts w:hint="eastAsia"/>
      </w:rPr>
    </w:lvl>
  </w:abstractNum>
  <w:abstractNum w:abstractNumId="7">
    <w:multiLevelType w:val="hybridMultilevel"/>
    <w:lvl w:ilvl="0">
      <w:start w:val="6"/>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38"/>
    <w:uiPriority w:val="9"/>
    <w:qFormat/>
    <w:pPr>
      <w:keepLines/>
      <w:keepNext/>
      <w:spacing w:before="340" w:after="330" w:line="578" w:lineRule="auto"/>
      <w:outlineLvl w:val="0"/>
    </w:pPr>
    <w:rPr>
      <w:b/>
      <w:bCs/>
      <w:sz w:val="44"/>
      <w:szCs w:val="44"/>
    </w:rPr>
  </w:style>
  <w:style w:type="paragraph" w:styleId="940">
    <w:name w:val="标题 2"/>
    <w:basedOn w:val="938"/>
    <w:next w:val="946"/>
    <w:link w:val="938"/>
    <w:uiPriority w:val="9"/>
    <w:qFormat/>
    <w:pPr>
      <w:keepLines/>
      <w:keepNext/>
      <w:spacing w:before="260" w:after="260" w:line="413" w:lineRule="auto"/>
      <w:outlineLvl w:val="1"/>
    </w:pPr>
    <w:rPr>
      <w:rFonts w:ascii="Arial" w:hAnsi="Arial" w:eastAsia="黑体"/>
      <w:b/>
      <w:sz w:val="32"/>
      <w:szCs w:val="20"/>
    </w:rPr>
  </w:style>
  <w:style w:type="paragraph" w:styleId="941">
    <w:name w:val="标题 3"/>
    <w:basedOn w:val="938"/>
    <w:next w:val="938"/>
    <w:link w:val="938"/>
    <w:uiPriority w:val="9"/>
    <w:qFormat/>
    <w:pPr>
      <w:keepLines/>
      <w:keepNext/>
      <w:spacing w:before="260" w:after="260" w:line="413" w:lineRule="auto"/>
      <w:outlineLvl w:val="2"/>
    </w:pPr>
    <w:rPr>
      <w:rFonts w:ascii="Arial" w:hAnsi="Arial"/>
      <w:b/>
      <w:sz w:val="32"/>
      <w:szCs w:val="20"/>
    </w:rPr>
  </w:style>
  <w:style w:type="paragraph" w:styleId="942">
    <w:name w:val="标题 4"/>
    <w:basedOn w:val="938"/>
    <w:next w:val="938"/>
    <w:link w:val="948"/>
    <w:uiPriority w:val="9"/>
    <w:qFormat/>
    <w:pPr>
      <w:keepLines/>
      <w:keepNext/>
      <w:spacing w:before="280" w:after="290" w:line="376" w:lineRule="auto"/>
      <w:outlineLvl w:val="3"/>
    </w:pPr>
    <w:rPr>
      <w:rFonts w:ascii="Cambria" w:hAnsi="Cambria"/>
      <w:b/>
      <w:bCs/>
      <w:sz w:val="28"/>
      <w:szCs w:val="28"/>
    </w:rPr>
  </w:style>
  <w:style w:type="paragraph" w:styleId="943">
    <w:name w:val="标题 5"/>
    <w:basedOn w:val="938"/>
    <w:next w:val="938"/>
    <w:link w:val="949"/>
    <w:uiPriority w:val="9"/>
    <w:qFormat/>
    <w:pPr>
      <w:keepLines/>
      <w:keepNext/>
      <w:spacing w:before="280" w:after="290" w:line="376" w:lineRule="auto"/>
      <w:outlineLvl w:val="4"/>
    </w:pPr>
    <w:rPr>
      <w:b/>
      <w:bCs/>
      <w:sz w:val="28"/>
      <w:szCs w:val="28"/>
    </w:rPr>
  </w:style>
  <w:style w:type="character" w:styleId="944">
    <w:name w:val="默认段落字体"/>
    <w:next w:val="944"/>
    <w:link w:val="938"/>
    <w:semiHidden/>
  </w:style>
  <w:style w:type="table" w:styleId="945">
    <w:name w:val="普通表格"/>
    <w:next w:val="945"/>
    <w:link w:val="93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46">
    <w:name w:val="正文缩进"/>
    <w:basedOn w:val="938"/>
    <w:next w:val="946"/>
    <w:link w:val="947"/>
    <w:pPr>
      <w:ind w:firstLine="420"/>
    </w:pPr>
    <w:rPr>
      <w:szCs w:val="20"/>
    </w:rPr>
  </w:style>
  <w:style w:type="character" w:styleId="947">
    <w:name w:val="正文缩进 Char"/>
    <w:next w:val="947"/>
    <w:link w:val="946"/>
    <w:rPr>
      <w:sz w:val="21"/>
    </w:rPr>
  </w:style>
  <w:style w:type="character" w:styleId="948">
    <w:name w:val="标题 4 Char"/>
    <w:next w:val="948"/>
    <w:link w:val="942"/>
    <w:uiPriority w:val="9"/>
    <w:rPr>
      <w:rFonts w:ascii="Cambria" w:hAnsi="Cambria"/>
      <w:b/>
      <w:bCs/>
      <w:sz w:val="28"/>
      <w:szCs w:val="28"/>
    </w:rPr>
  </w:style>
  <w:style w:type="character" w:styleId="949">
    <w:name w:val="标题 5 Char"/>
    <w:next w:val="949"/>
    <w:link w:val="943"/>
    <w:uiPriority w:val="9"/>
    <w:rPr>
      <w:b/>
      <w:bCs/>
      <w:sz w:val="28"/>
      <w:szCs w:val="28"/>
    </w:rPr>
  </w:style>
  <w:style w:type="paragraph" w:styleId="950">
    <w:name w:val="题注"/>
    <w:basedOn w:val="938"/>
    <w:next w:val="938"/>
    <w:link w:val="938"/>
    <w:uiPriority w:val="35"/>
    <w:qFormat/>
    <w:pPr>
      <w:jc w:val="center"/>
      <w:spacing w:before="156" w:after="156" w:line="360" w:lineRule="auto"/>
    </w:pPr>
    <w:rPr>
      <w:rFonts w:ascii="Arial" w:hAnsi="Arial" w:cs="Arial"/>
      <w:sz w:val="24"/>
      <w:szCs w:val="20"/>
    </w:rPr>
  </w:style>
  <w:style w:type="paragraph" w:styleId="951">
    <w:name w:val="文档结构图"/>
    <w:basedOn w:val="938"/>
    <w:next w:val="951"/>
    <w:link w:val="938"/>
    <w:semiHidden/>
    <w:pPr>
      <w:shd w:val="clear" w:color="auto" w:fill="000080"/>
    </w:pPr>
  </w:style>
  <w:style w:type="paragraph" w:styleId="952">
    <w:name w:val="批注文字"/>
    <w:basedOn w:val="938"/>
    <w:next w:val="952"/>
    <w:link w:val="953"/>
    <w:uiPriority w:val="99"/>
    <w:unhideWhenUsed/>
    <w:pPr>
      <w:jc w:val="left"/>
    </w:pPr>
  </w:style>
  <w:style w:type="character" w:styleId="953">
    <w:name w:val="批注文字 Char"/>
    <w:next w:val="953"/>
    <w:link w:val="952"/>
    <w:uiPriority w:val="99"/>
    <w:rPr>
      <w:sz w:val="21"/>
      <w:szCs w:val="24"/>
    </w:rPr>
  </w:style>
  <w:style w:type="paragraph" w:styleId="954">
    <w:name w:val="正文文本 3"/>
    <w:basedOn w:val="938"/>
    <w:next w:val="954"/>
    <w:link w:val="938"/>
    <w:rPr>
      <w:rFonts w:ascii="楷体_GB2312" w:hAnsi="Arial" w:eastAsia="楷体_GB2312" w:cs="Arial"/>
      <w:b/>
      <w:bCs/>
      <w:color w:val="000000"/>
      <w:sz w:val="24"/>
    </w:rPr>
  </w:style>
  <w:style w:type="paragraph" w:styleId="955">
    <w:name w:val="正文文本"/>
    <w:basedOn w:val="938"/>
    <w:next w:val="955"/>
    <w:link w:val="93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name w:val="正文文本缩进"/>
    <w:basedOn w:val="938"/>
    <w:next w:val="956"/>
    <w:link w:val="938"/>
    <w:pPr>
      <w:ind w:firstLine="630"/>
    </w:pPr>
    <w:rPr>
      <w:rFonts w:ascii="楷体_GB2312" w:eastAsia="楷体_GB2312"/>
      <w:sz w:val="32"/>
      <w:szCs w:val="20"/>
    </w:rPr>
  </w:style>
  <w:style w:type="paragraph" w:styleId="957">
    <w:name w:val="文本块"/>
    <w:basedOn w:val="938"/>
    <w:next w:val="957"/>
    <w:link w:val="938"/>
    <w:pPr>
      <w:ind w:left="420" w:right="33"/>
      <w:jc w:val="left"/>
    </w:pPr>
    <w:rPr>
      <w:sz w:val="24"/>
      <w:szCs w:val="20"/>
    </w:rPr>
  </w:style>
  <w:style w:type="paragraph" w:styleId="958">
    <w:name w:val="目录 3"/>
    <w:basedOn w:val="938"/>
    <w:next w:val="938"/>
    <w:link w:val="938"/>
    <w:semiHidden/>
    <w:pPr>
      <w:ind w:left="840"/>
      <w:spacing w:line="300" w:lineRule="auto"/>
      <w:tabs>
        <w:tab w:val="right" w:pos="9344" w:leader="dot"/>
      </w:tabs>
    </w:pPr>
    <w:rPr>
      <w:rFonts w:ascii="Arial" w:hAnsi="Arial" w:cs="Arial"/>
      <w:szCs w:val="21"/>
    </w:rPr>
  </w:style>
  <w:style w:type="paragraph" w:styleId="959">
    <w:name w:val="纯文本"/>
    <w:basedOn w:val="938"/>
    <w:next w:val="959"/>
    <w:link w:val="960"/>
    <w:rPr>
      <w:rFonts w:ascii="宋体" w:hAnsi="Courier New"/>
      <w:szCs w:val="20"/>
    </w:rPr>
  </w:style>
  <w:style w:type="character" w:styleId="960">
    <w:name w:val="纯文本 Char"/>
    <w:next w:val="960"/>
    <w:link w:val="959"/>
    <w:rPr>
      <w:rFonts w:ascii="宋体" w:hAnsi="Courier New" w:eastAsia="宋体"/>
      <w:sz w:val="21"/>
      <w:lang w:val="en-US" w:eastAsia="zh-CN" w:bidi="ar-SA"/>
    </w:rPr>
  </w:style>
  <w:style w:type="paragraph" w:styleId="961">
    <w:name w:val="正文文本缩进 2"/>
    <w:basedOn w:val="938"/>
    <w:next w:val="961"/>
    <w:link w:val="938"/>
    <w:pPr>
      <w:ind w:left="420"/>
      <w:spacing w:after="120" w:line="480" w:lineRule="auto"/>
    </w:pPr>
  </w:style>
  <w:style w:type="paragraph" w:styleId="962">
    <w:name w:val="批注框文本"/>
    <w:basedOn w:val="938"/>
    <w:next w:val="962"/>
    <w:link w:val="963"/>
    <w:rPr>
      <w:sz w:val="18"/>
      <w:szCs w:val="18"/>
    </w:rPr>
  </w:style>
  <w:style w:type="character" w:styleId="963">
    <w:name w:val="批注框文本 Char"/>
    <w:next w:val="963"/>
    <w:link w:val="962"/>
    <w:rPr>
      <w:sz w:val="18"/>
      <w:szCs w:val="18"/>
    </w:rPr>
  </w:style>
  <w:style w:type="paragraph" w:styleId="964">
    <w:name w:val="页脚"/>
    <w:basedOn w:val="938"/>
    <w:next w:val="964"/>
    <w:link w:val="965"/>
    <w:pPr>
      <w:jc w:val="left"/>
      <w:tabs>
        <w:tab w:val="center" w:pos="4153" w:leader="none"/>
        <w:tab w:val="right" w:pos="8306" w:leader="none"/>
      </w:tabs>
    </w:pPr>
    <w:rPr>
      <w:sz w:val="18"/>
      <w:szCs w:val="18"/>
    </w:rPr>
  </w:style>
  <w:style w:type="character" w:styleId="965">
    <w:name w:val="页脚 Char"/>
    <w:next w:val="965"/>
    <w:link w:val="964"/>
    <w:rPr>
      <w:sz w:val="18"/>
      <w:szCs w:val="18"/>
    </w:rPr>
  </w:style>
  <w:style w:type="paragraph" w:styleId="966">
    <w:name w:val="页眉"/>
    <w:basedOn w:val="938"/>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sz w:val="18"/>
      <w:szCs w:val="18"/>
    </w:rPr>
  </w:style>
  <w:style w:type="paragraph" w:styleId="968">
    <w:name w:val="目录 1"/>
    <w:basedOn w:val="938"/>
    <w:next w:val="938"/>
    <w:link w:val="938"/>
    <w:semiHidden/>
  </w:style>
  <w:style w:type="paragraph" w:styleId="969">
    <w:name w:val="正文文本缩进 3"/>
    <w:basedOn w:val="938"/>
    <w:next w:val="969"/>
    <w:link w:val="938"/>
    <w:uiPriority w:val="99"/>
    <w:pPr>
      <w:ind w:firstLine="420"/>
    </w:pPr>
    <w:rPr>
      <w:rFonts w:eastAsia="楷体_GB2312"/>
    </w:rPr>
  </w:style>
  <w:style w:type="paragraph" w:styleId="970">
    <w:name w:val="目录 2"/>
    <w:basedOn w:val="938"/>
    <w:next w:val="938"/>
    <w:link w:val="938"/>
    <w:semiHidden/>
    <w:pPr>
      <w:ind w:left="420"/>
    </w:pPr>
    <w:rPr>
      <w:szCs w:val="20"/>
    </w:rPr>
  </w:style>
  <w:style w:type="paragraph" w:styleId="971">
    <w:name w:val="正文文本 2"/>
    <w:basedOn w:val="938"/>
    <w:next w:val="971"/>
    <w:link w:val="972"/>
    <w:pPr>
      <w:spacing w:line="440" w:lineRule="exact"/>
    </w:pPr>
    <w:rPr>
      <w:rFonts w:ascii="楷体_GB2312" w:eastAsia="楷体_GB2312"/>
      <w:sz w:val="28"/>
    </w:rPr>
  </w:style>
  <w:style w:type="character" w:styleId="972">
    <w:name w:val="正文文本 2 Char"/>
    <w:next w:val="972"/>
    <w:link w:val="971"/>
    <w:rPr>
      <w:rFonts w:ascii="楷体_GB2312" w:eastAsia="楷体_GB2312"/>
      <w:sz w:val="28"/>
      <w:szCs w:val="24"/>
    </w:rPr>
  </w:style>
  <w:style w:type="paragraph" w:styleId="973">
    <w:name w:val="普通(网站)"/>
    <w:basedOn w:val="938"/>
    <w:next w:val="973"/>
    <w:link w:val="938"/>
    <w:unhideWhenUsed/>
    <w:qFormat/>
    <w:pPr>
      <w:jc w:val="left"/>
      <w:spacing w:before="100" w:beforeAutospacing="1" w:after="100" w:afterAutospacing="1"/>
      <w:widowControl/>
    </w:pPr>
    <w:rPr>
      <w:rFonts w:ascii="宋体" w:hAnsi="宋体" w:cs="宋体"/>
      <w:sz w:val="24"/>
    </w:rPr>
  </w:style>
  <w:style w:type="paragraph" w:styleId="974">
    <w:name w:val="批注主题"/>
    <w:basedOn w:val="952"/>
    <w:next w:val="952"/>
    <w:link w:val="975"/>
    <w:rPr>
      <w:b/>
      <w:bCs/>
    </w:rPr>
  </w:style>
  <w:style w:type="character" w:styleId="975">
    <w:name w:val="批注主题 Char"/>
    <w:next w:val="975"/>
    <w:link w:val="974"/>
    <w:rPr>
      <w:b/>
      <w:bCs/>
      <w:sz w:val="21"/>
      <w:szCs w:val="24"/>
    </w:rPr>
  </w:style>
  <w:style w:type="paragraph" w:styleId="976">
    <w:name w:val="正文首行缩进 2"/>
    <w:basedOn w:val="956"/>
    <w:next w:val="976"/>
    <w:link w:val="938"/>
    <w:pPr>
      <w:ind w:left="420" w:firstLine="420"/>
      <w:spacing w:after="120"/>
      <w:widowControl/>
    </w:pPr>
    <w:rPr>
      <w:rFonts w:ascii="仿宋_GB2312" w:eastAsia="仿宋_GB2312"/>
      <w:color w:val="ff6600"/>
      <w:sz w:val="21"/>
    </w:rPr>
  </w:style>
  <w:style w:type="table" w:styleId="977">
    <w:name w:val="网格型"/>
    <w:basedOn w:val="945"/>
    <w:next w:val="977"/>
    <w:link w:val="93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8">
    <w:name w:val="要点"/>
    <w:next w:val="978"/>
    <w:link w:val="938"/>
    <w:qFormat/>
    <w:rPr>
      <w:b w:val="0"/>
      <w:i w:val="0"/>
    </w:rPr>
  </w:style>
  <w:style w:type="character" w:styleId="979">
    <w:name w:val="页码"/>
    <w:next w:val="979"/>
    <w:link w:val="938"/>
  </w:style>
  <w:style w:type="character" w:styleId="980">
    <w:name w:val="已访问的超链接"/>
    <w:next w:val="980"/>
    <w:link w:val="938"/>
    <w:rPr>
      <w:color w:val="800080"/>
      <w:u w:val="none"/>
    </w:rPr>
  </w:style>
  <w:style w:type="character" w:styleId="981">
    <w:name w:val="强调"/>
    <w:next w:val="981"/>
    <w:link w:val="938"/>
    <w:qFormat/>
    <w:rPr>
      <w:b w:val="0"/>
      <w:i w:val="0"/>
    </w:rPr>
  </w:style>
  <w:style w:type="character" w:styleId="982">
    <w:name w:val="HTML 定义"/>
    <w:next w:val="982"/>
    <w:link w:val="938"/>
    <w:rPr>
      <w:b w:val="0"/>
      <w:i w:val="0"/>
    </w:rPr>
  </w:style>
  <w:style w:type="character" w:styleId="983">
    <w:name w:val="HTML 打字机"/>
    <w:next w:val="983"/>
    <w:link w:val="938"/>
    <w:rPr>
      <w:rFonts w:ascii="monospace" w:hAnsi="monospace" w:eastAsia="monospace" w:cs="monospace"/>
      <w:sz w:val="20"/>
    </w:rPr>
  </w:style>
  <w:style w:type="character" w:styleId="984">
    <w:name w:val="HTML 缩写"/>
    <w:next w:val="984"/>
    <w:link w:val="938"/>
  </w:style>
  <w:style w:type="character" w:styleId="985">
    <w:name w:val="HTML 变量"/>
    <w:next w:val="985"/>
    <w:link w:val="938"/>
    <w:rPr>
      <w:b w:val="0"/>
      <w:i w:val="0"/>
    </w:rPr>
  </w:style>
  <w:style w:type="character" w:styleId="986">
    <w:name w:val="超链接"/>
    <w:next w:val="986"/>
    <w:link w:val="938"/>
    <w:rPr>
      <w:color w:val="0000ff"/>
      <w:u w:val="none"/>
    </w:rPr>
  </w:style>
  <w:style w:type="character" w:styleId="987">
    <w:name w:val="HTML 代码"/>
    <w:next w:val="987"/>
    <w:link w:val="938"/>
    <w:rPr>
      <w:rFonts w:ascii="monospace" w:hAnsi="monospace" w:eastAsia="monospace" w:cs="monospace"/>
      <w:b w:val="0"/>
      <w:i w:val="0"/>
      <w:sz w:val="20"/>
    </w:rPr>
  </w:style>
  <w:style w:type="character" w:styleId="988">
    <w:name w:val="批注引用"/>
    <w:next w:val="988"/>
    <w:link w:val="938"/>
    <w:rPr>
      <w:sz w:val="21"/>
      <w:szCs w:val="21"/>
    </w:rPr>
  </w:style>
  <w:style w:type="character" w:styleId="989">
    <w:name w:val="HTML 引文"/>
    <w:next w:val="989"/>
    <w:link w:val="938"/>
    <w:rPr>
      <w:b w:val="0"/>
      <w:i w:val="0"/>
    </w:rPr>
  </w:style>
  <w:style w:type="character" w:styleId="990">
    <w:name w:val="HTML 键盘"/>
    <w:next w:val="990"/>
    <w:link w:val="938"/>
    <w:rPr>
      <w:rFonts w:ascii="monospace" w:hAnsi="monospace" w:eastAsia="monospace" w:cs="monospace"/>
      <w:sz w:val="20"/>
    </w:rPr>
  </w:style>
  <w:style w:type="character" w:styleId="991">
    <w:name w:val="HTML 样本"/>
    <w:next w:val="991"/>
    <w:link w:val="938"/>
    <w:rPr>
      <w:rFonts w:ascii="monospace" w:hAnsi="monospace" w:eastAsia="monospace" w:cs="monospace"/>
    </w:rPr>
  </w:style>
  <w:style w:type="character" w:styleId="992">
    <w:name w:val="Font Style30"/>
    <w:next w:val="992"/>
    <w:link w:val="938"/>
    <w:rPr>
      <w:rFonts w:ascii="宋体" w:eastAsia="宋体" w:cs="宋体"/>
      <w:sz w:val="14"/>
      <w:szCs w:val="14"/>
    </w:rPr>
  </w:style>
  <w:style w:type="character" w:styleId="993">
    <w:name w:val="glyphicon"/>
    <w:next w:val="993"/>
    <w:link w:val="938"/>
  </w:style>
  <w:style w:type="character" w:styleId="994">
    <w:name w:val="Font Style36"/>
    <w:next w:val="994"/>
    <w:link w:val="938"/>
    <w:rPr>
      <w:rFonts w:ascii="宋体" w:eastAsia="宋体" w:cs="宋体"/>
      <w:sz w:val="16"/>
      <w:szCs w:val="16"/>
    </w:rPr>
  </w:style>
  <w:style w:type="character" w:styleId="995">
    <w:name w:val="hour_am"/>
    <w:next w:val="995"/>
    <w:link w:val="938"/>
  </w:style>
  <w:style w:type="character" w:styleId="996">
    <w:name w:val="old"/>
    <w:next w:val="996"/>
    <w:link w:val="938"/>
    <w:rPr>
      <w:color w:val="999999"/>
    </w:rPr>
  </w:style>
  <w:style w:type="character" w:styleId="997">
    <w:name w:val="标题 2 Char,节 Char,Heading 2 Hidden Char,Heading 2 CCBS Char,H2 Char,sect 1.2 Char,H21 Char,sect 1.21 Char,H22 Char,sect 1.22 Char,H211 Char,sect 1.211 Char,H23 Char,sect 1.23 Char,H212 Char,sect 1.212 Char,2nd level Char,h2 Char,2 Char,Header 2 Char"/>
    <w:next w:val="997"/>
    <w:link w:val="938"/>
    <w:rPr>
      <w:rFonts w:ascii="Arial" w:hAnsi="Arial" w:eastAsia="黑体"/>
      <w:b/>
      <w:sz w:val="32"/>
      <w:lang w:val="en-US" w:eastAsia="zh-CN"/>
    </w:rPr>
  </w:style>
  <w:style w:type="character" w:styleId="998">
    <w:name w:val="hover"/>
    <w:next w:val="998"/>
    <w:link w:val="938"/>
    <w:rPr>
      <w:shd w:val="clear" w:color="auto" w:fill="eeeeee"/>
    </w:rPr>
  </w:style>
  <w:style w:type="character" w:styleId="999">
    <w:name w:val="hour_pm"/>
    <w:next w:val="999"/>
    <w:link w:val="938"/>
  </w:style>
  <w:style w:type="character" w:styleId="1000">
    <w:name w:val="Font Style28"/>
    <w:next w:val="1000"/>
    <w:link w:val="938"/>
    <w:rPr>
      <w:rFonts w:ascii="Constantia" w:hAnsi="Constantia" w:cs="Constantia"/>
      <w:sz w:val="28"/>
      <w:szCs w:val="28"/>
    </w:rPr>
  </w:style>
  <w:style w:type="character" w:styleId="1001">
    <w:name w:val="Font Style29"/>
    <w:next w:val="1001"/>
    <w:link w:val="938"/>
    <w:rPr>
      <w:rFonts w:ascii="Arial" w:hAnsi="Arial" w:cs="Arial"/>
      <w:sz w:val="14"/>
      <w:szCs w:val="14"/>
    </w:rPr>
  </w:style>
  <w:style w:type="character" w:styleId="1002">
    <w:name w:val="Font Style37"/>
    <w:next w:val="1002"/>
    <w:link w:val="938"/>
    <w:rPr>
      <w:rFonts w:ascii="Arial" w:hAnsi="Arial" w:cs="Arial"/>
      <w:sz w:val="16"/>
      <w:szCs w:val="16"/>
    </w:rPr>
  </w:style>
  <w:style w:type="character" w:styleId="1003">
    <w:name w:val="Plain Text Char"/>
    <w:next w:val="1003"/>
    <w:link w:val="938"/>
    <w:rPr>
      <w:rFonts w:ascii="宋体" w:hAnsi="Courier New" w:eastAsia="宋体"/>
      <w:sz w:val="21"/>
      <w:lang w:val="en-US" w:eastAsia="zh-CN" w:bidi="ar-SA"/>
    </w:rPr>
  </w:style>
  <w:style w:type="paragraph" w:styleId="1004">
    <w:name w:val="Default"/>
    <w:next w:val="1004"/>
    <w:link w:val="938"/>
    <w:pPr>
      <w:widowControl w:val="off"/>
    </w:pPr>
    <w:rPr>
      <w:rFonts w:ascii="仿宋" w:eastAsia="仿宋" w:cs="仿宋"/>
      <w:color w:val="000000"/>
      <w:sz w:val="24"/>
      <w:szCs w:val="24"/>
      <w:lang w:val="en-US" w:eastAsia="zh-CN" w:bidi="ar-SA"/>
    </w:rPr>
  </w:style>
  <w:style w:type="paragraph" w:styleId="1005">
    <w:name w:val="默认段落字体 Para Char Char Char Char Char Char Char Char Char1 Char Char Char Char Char Char Char"/>
    <w:basedOn w:val="951"/>
    <w:next w:val="1005"/>
    <w:link w:val="938"/>
    <w:rPr>
      <w:rFonts w:ascii="Tahoma" w:hAnsi="Tahoma"/>
      <w:sz w:val="24"/>
    </w:rPr>
  </w:style>
  <w:style w:type="paragraph" w:styleId="1006">
    <w:name w:val="Style9"/>
    <w:basedOn w:val="938"/>
    <w:next w:val="1006"/>
    <w:link w:val="938"/>
    <w:pPr>
      <w:jc w:val="left"/>
    </w:pPr>
    <w:rPr>
      <w:rFonts w:ascii="宋体"/>
      <w:sz w:val="24"/>
    </w:rPr>
  </w:style>
  <w:style w:type="paragraph" w:styleId="1007">
    <w:name w:val="Char"/>
    <w:basedOn w:val="938"/>
    <w:next w:val="1007"/>
    <w:link w:val="938"/>
    <w:pPr>
      <w:tabs>
        <w:tab w:val="left" w:pos="360" w:leader="none"/>
      </w:tabs>
    </w:pPr>
    <w:rPr>
      <w:sz w:val="24"/>
    </w:rPr>
  </w:style>
  <w:style w:type="paragraph" w:styleId="1008">
    <w:name w:val=" Char Char Char1 Char Char Char Char"/>
    <w:basedOn w:val="938"/>
    <w:next w:val="1008"/>
    <w:link w:val="938"/>
    <w:pPr>
      <w:jc w:val="left"/>
      <w:spacing w:after="160" w:line="240" w:lineRule="exact"/>
      <w:widowControl/>
    </w:pPr>
    <w:rPr>
      <w:rFonts w:ascii="宋体" w:hAnsi="宋体"/>
      <w:b/>
      <w:sz w:val="28"/>
      <w:szCs w:val="28"/>
    </w:rPr>
  </w:style>
  <w:style w:type="paragraph" w:styleId="1009">
    <w:name w:val="Style10"/>
    <w:basedOn w:val="938"/>
    <w:next w:val="1009"/>
    <w:link w:val="938"/>
    <w:pPr>
      <w:jc w:val="left"/>
    </w:pPr>
    <w:rPr>
      <w:rFonts w:ascii="宋体"/>
      <w:sz w:val="24"/>
    </w:rPr>
  </w:style>
  <w:style w:type="paragraph" w:styleId="1010">
    <w:name w:val="首行缩进"/>
    <w:basedOn w:val="938"/>
    <w:next w:val="1010"/>
    <w:link w:val="938"/>
    <w:qFormat/>
    <w:pPr>
      <w:ind w:firstLine="420"/>
      <w:spacing w:line="360" w:lineRule="auto"/>
    </w:pPr>
    <w:rPr>
      <w:sz w:val="20"/>
    </w:rPr>
  </w:style>
  <w:style w:type="paragraph" w:styleId="1011">
    <w:name w:val="普通正文"/>
    <w:basedOn w:val="938"/>
    <w:next w:val="1011"/>
    <w:link w:val="938"/>
    <w:pPr>
      <w:ind w:firstLine="480"/>
      <w:jc w:val="left"/>
      <w:spacing w:before="120" w:after="120" w:line="360" w:lineRule="auto"/>
    </w:pPr>
    <w:rPr>
      <w:rFonts w:ascii="Arial" w:hAnsi="Arial"/>
      <w:sz w:val="24"/>
    </w:rPr>
  </w:style>
  <w:style w:type="paragraph" w:styleId="1012">
    <w:name w:val="要点标题"/>
    <w:basedOn w:val="938"/>
    <w:next w:val="1012"/>
    <w:link w:val="938"/>
    <w:pPr>
      <w:numPr>
        <w:ilvl w:val="0"/>
        <w:numId w:val="1"/>
      </w:numPr>
      <w:jc w:val="left"/>
      <w:tabs>
        <w:tab w:val="left" w:pos="420" w:leader="none"/>
      </w:tabs>
    </w:pPr>
    <w:rPr>
      <w:rFonts w:ascii="宋体" w:hAnsi="宋体"/>
      <w:b/>
      <w:sz w:val="24"/>
    </w:rPr>
  </w:style>
  <w:style w:type="paragraph" w:styleId="1013">
    <w:name w:val="文档正文"/>
    <w:basedOn w:val="938"/>
    <w:next w:val="1013"/>
    <w:link w:val="938"/>
    <w:pPr>
      <w:ind w:firstLine="567"/>
      <w:spacing w:line="480" w:lineRule="atLeast"/>
    </w:pPr>
    <w:rPr>
      <w:rFonts w:ascii="仿宋_GB2312"/>
      <w:szCs w:val="20"/>
    </w:rPr>
  </w:style>
  <w:style w:type="paragraph" w:styleId="1014">
    <w:name w:val="Char Char Char Char"/>
    <w:basedOn w:val="951"/>
    <w:next w:val="1014"/>
    <w:link w:val="938"/>
    <w:pPr>
      <w:spacing w:line="360" w:lineRule="auto"/>
    </w:pPr>
    <w:rPr>
      <w:rFonts w:ascii="Tahoma" w:hAnsi="Tahoma"/>
      <w:sz w:val="24"/>
    </w:rPr>
  </w:style>
  <w:style w:type="paragraph" w:styleId="1015">
    <w:name w:val=" Char"/>
    <w:basedOn w:val="938"/>
    <w:next w:val="1015"/>
    <w:link w:val="938"/>
    <w:pPr>
      <w:ind w:left="420" w:hanging="420"/>
      <w:jc w:val="left"/>
      <w:tabs>
        <w:tab w:val="left" w:pos="420" w:leader="none"/>
      </w:tabs>
    </w:pPr>
    <w:rPr>
      <w:szCs w:val="20"/>
    </w:rPr>
  </w:style>
  <w:style w:type="paragraph" w:styleId="1016">
    <w:name w:val="正文（无缩进）"/>
    <w:basedOn w:val="938"/>
    <w:next w:val="1016"/>
    <w:link w:val="938"/>
    <w:qFormat/>
    <w:pPr>
      <w:spacing w:line="360" w:lineRule="auto"/>
    </w:pPr>
    <w:rPr>
      <w:rFonts w:ascii="Calibri" w:hAnsi="Calibri"/>
      <w:sz w:val="24"/>
      <w:szCs w:val="21"/>
    </w:rPr>
  </w:style>
  <w:style w:type="paragraph" w:styleId="1017">
    <w:name w:val="Style11"/>
    <w:basedOn w:val="938"/>
    <w:next w:val="1017"/>
    <w:link w:val="938"/>
    <w:pPr>
      <w:jc w:val="left"/>
      <w:spacing w:line="446" w:lineRule="exact"/>
    </w:pPr>
    <w:rPr>
      <w:rFonts w:ascii="宋体"/>
      <w:sz w:val="24"/>
    </w:rPr>
  </w:style>
  <w:style w:type="paragraph" w:styleId="1018">
    <w:name w:val="样式1"/>
    <w:basedOn w:val="938"/>
    <w:next w:val="1018"/>
    <w:link w:val="938"/>
    <w:pPr>
      <w:numPr>
        <w:ilvl w:val="0"/>
        <w:numId w:val="2"/>
      </w:numPr>
      <w:tabs>
        <w:tab w:val="left" w:pos="1110" w:leader="none"/>
      </w:tabs>
    </w:pPr>
    <w:rPr>
      <w:rFonts w:ascii="宋体" w:hAnsi="宋体"/>
      <w:szCs w:val="21"/>
    </w:rPr>
  </w:style>
  <w:style w:type="paragraph" w:styleId="1019">
    <w:name w:val="_Style 56"/>
    <w:basedOn w:val="951"/>
    <w:next w:val="1019"/>
    <w:link w:val="938"/>
    <w:pPr>
      <w:spacing w:line="436" w:lineRule="exact"/>
    </w:pPr>
    <w:rPr>
      <w:szCs w:val="20"/>
    </w:rPr>
  </w:style>
  <w:style w:type="paragraph" w:styleId="1020">
    <w:name w:val="Char Char1 Char Char Char Char Char Char"/>
    <w:basedOn w:val="938"/>
    <w:next w:val="1020"/>
    <w:link w:val="938"/>
    <w:pPr>
      <w:jc w:val="center"/>
      <w:widowControl/>
    </w:pPr>
    <w:rPr>
      <w:rFonts w:ascii="宋体" w:hAnsi="宋体"/>
      <w:b/>
      <w:sz w:val="24"/>
      <w:lang w:eastAsia="en-US"/>
    </w:rPr>
  </w:style>
  <w:style w:type="paragraph" w:styleId="1021">
    <w:name w:val="Char1"/>
    <w:basedOn w:val="938"/>
    <w:next w:val="1021"/>
    <w:link w:val="938"/>
    <w:pPr>
      <w:ind w:left="840" w:hanging="420"/>
      <w:tabs>
        <w:tab w:val="left" w:pos="840" w:leader="none"/>
      </w:tabs>
    </w:pPr>
    <w:rPr>
      <w:sz w:val="24"/>
    </w:rPr>
  </w:style>
  <w:style w:type="paragraph" w:styleId="1022">
    <w:name w:val="我的样式"/>
    <w:basedOn w:val="939"/>
    <w:next w:val="938"/>
    <w:link w:val="938"/>
    <w:pPr>
      <w:numPr>
        <w:ilvl w:val="0"/>
        <w:numId w:val="3"/>
      </w:numPr>
      <w:spacing w:line="360" w:lineRule="auto"/>
    </w:pPr>
    <w:rPr>
      <w:rFonts w:ascii="仿宋_GB2312" w:eastAsia="仿宋_GB2312"/>
      <w:sz w:val="32"/>
      <w:szCs w:val="30"/>
    </w:rPr>
  </w:style>
  <w:style w:type="paragraph" w:styleId="1023">
    <w:name w:val="表格正文"/>
    <w:next w:val="1023"/>
    <w:link w:val="938"/>
    <w:pPr>
      <w:spacing w:line="0" w:lineRule="atLeast"/>
    </w:pPr>
    <w:rPr>
      <w:sz w:val="24"/>
      <w:szCs w:val="24"/>
      <w:lang w:val="en-US" w:eastAsia="zh-CN" w:bidi="he-IL"/>
    </w:rPr>
  </w:style>
  <w:style w:type="paragraph" w:styleId="1024">
    <w:name w:val=" Char Char Char Char Char Char Char Char Char Char Char Char Char"/>
    <w:basedOn w:val="938"/>
    <w:next w:val="1024"/>
    <w:link w:val="938"/>
    <w:pPr>
      <w:jc w:val="left"/>
      <w:spacing w:after="160" w:line="240" w:lineRule="exact"/>
      <w:widowControl/>
    </w:pPr>
    <w:rPr>
      <w:rFonts w:ascii="Verdana" w:hAnsi="Verdana"/>
      <w:sz w:val="20"/>
      <w:szCs w:val="20"/>
      <w:lang w:eastAsia="en-US"/>
    </w:rPr>
  </w:style>
  <w:style w:type="paragraph" w:styleId="1025">
    <w:name w:val="标题1"/>
    <w:basedOn w:val="939"/>
    <w:next w:val="938"/>
    <w:link w:val="938"/>
    <w:pPr>
      <w:numPr>
        <w:ilvl w:val="0"/>
        <w:numId w:val="2"/>
      </w:numPr>
      <w:jc w:val="left"/>
      <w:spacing w:line="578" w:lineRule="atLeast"/>
    </w:pPr>
  </w:style>
  <w:style w:type="paragraph" w:styleId="1026">
    <w:name w:val="正文（缩进） Char1"/>
    <w:basedOn w:val="938"/>
    <w:next w:val="1026"/>
    <w:link w:val="938"/>
    <w:pPr>
      <w:ind w:firstLine="480"/>
      <w:spacing w:before="156" w:after="156" w:line="360" w:lineRule="auto"/>
    </w:pPr>
    <w:rPr>
      <w:sz w:val="24"/>
    </w:rPr>
  </w:style>
  <w:style w:type="paragraph" w:styleId="1027">
    <w:name w:val="修订"/>
    <w:next w:val="1027"/>
    <w:link w:val="938"/>
    <w:uiPriority w:val="99"/>
    <w:semiHidden/>
    <w:rPr>
      <w:sz w:val="21"/>
      <w:szCs w:val="24"/>
      <w:lang w:val="en-US" w:eastAsia="zh-CN" w:bidi="ar-SA"/>
    </w:rPr>
  </w:style>
  <w:style w:type="paragraph" w:styleId="1028">
    <w:name w:val="Style12"/>
    <w:basedOn w:val="938"/>
    <w:next w:val="1028"/>
    <w:link w:val="938"/>
    <w:pPr>
      <w:jc w:val="left"/>
    </w:pPr>
    <w:rPr>
      <w:rFonts w:ascii="宋体"/>
      <w:sz w:val="24"/>
    </w:rPr>
  </w:style>
  <w:style w:type="paragraph" w:styleId="1029">
    <w:name w:val="正文首行缩进 21"/>
    <w:basedOn w:val="1030"/>
    <w:next w:val="938"/>
    <w:link w:val="938"/>
    <w:qFormat/>
    <w:pPr>
      <w:ind w:firstLine="420"/>
      <w:spacing w:line="360" w:lineRule="auto"/>
    </w:pPr>
    <w:rPr>
      <w:rFonts w:ascii="宋体" w:hAnsi="宋体" w:eastAsia="宋体"/>
      <w:sz w:val="21"/>
      <w:szCs w:val="20"/>
    </w:rPr>
  </w:style>
  <w:style w:type="paragraph" w:styleId="1030">
    <w:name w:val="正文文本缩进1"/>
    <w:basedOn w:val="938"/>
    <w:next w:val="1031"/>
    <w:link w:val="938"/>
    <w:qFormat/>
    <w:pPr>
      <w:ind w:firstLine="645"/>
    </w:pPr>
    <w:rPr>
      <w:rFonts w:ascii="楷体_GB2312" w:eastAsia="楷体_GB2312"/>
      <w:sz w:val="32"/>
      <w:szCs w:val="32"/>
    </w:rPr>
  </w:style>
  <w:style w:type="paragraph" w:styleId="1031">
    <w:name w:val="寄信人地址1"/>
    <w:basedOn w:val="938"/>
    <w:next w:val="1031"/>
    <w:link w:val="938"/>
    <w:qFormat/>
    <w:rPr>
      <w:rFonts w:ascii="Arial" w:hAnsi="Arial"/>
    </w:rPr>
  </w:style>
  <w:style w:type="paragraph" w:styleId="1032">
    <w:name w:val="正文文本 21"/>
    <w:basedOn w:val="938"/>
    <w:next w:val="1032"/>
    <w:link w:val="938"/>
    <w:qFormat/>
    <w:pPr>
      <w:spacing w:line="440" w:lineRule="exact"/>
    </w:pPr>
    <w:rPr>
      <w:rFonts w:ascii="楷体_GB2312" w:eastAsia="楷体_GB2312"/>
      <w:sz w:val="28"/>
    </w:rPr>
  </w:style>
  <w:style w:type="paragraph" w:styleId="1033">
    <w:name w:val="p17"/>
    <w:basedOn w:val="938"/>
    <w:next w:val="1033"/>
    <w:link w:val="938"/>
    <w:qFormat/>
    <w:pPr>
      <w:jc w:val="left"/>
      <w:spacing w:before="100" w:beforeAutospacing="1" w:after="100" w:afterAutospacing="1"/>
      <w:widowControl/>
    </w:pPr>
    <w:rPr>
      <w:rFonts w:ascii="宋体" w:hAnsi="宋体" w:cs="宋体"/>
      <w:sz w:val="24"/>
    </w:rPr>
  </w:style>
  <w:style w:type="paragraph" w:styleId="1034">
    <w:name w:val="标题一"/>
    <w:basedOn w:val="1035"/>
    <w:next w:val="1036"/>
    <w:link w:val="938"/>
    <w:uiPriority w:val="1"/>
    <w:qFormat/>
    <w:pPr>
      <w:numPr>
        <w:ilvl w:val="0"/>
        <w:numId w:val="4"/>
      </w:numPr>
      <w:ind w:firstLine="0"/>
      <w:outlineLvl w:val="0"/>
    </w:pPr>
    <w:rPr>
      <w:rFonts w:ascii="宋体" w:hAnsi="宋体" w:eastAsia="宋体"/>
      <w:b/>
      <w:bCs/>
      <w:sz w:val="28"/>
      <w:szCs w:val="28"/>
    </w:rPr>
  </w:style>
  <w:style w:type="paragraph" w:styleId="1035">
    <w:name w:val="List Paragraph"/>
    <w:basedOn w:val="938"/>
    <w:next w:val="1035"/>
    <w:link w:val="938"/>
    <w:qFormat/>
    <w:pPr>
      <w:ind w:firstLine="420"/>
    </w:pPr>
    <w:rPr>
      <w:rFonts w:ascii="Calibri" w:hAnsi="Calibri"/>
    </w:rPr>
  </w:style>
  <w:style w:type="paragraph" w:styleId="1036">
    <w:name w:val="正文部分"/>
    <w:basedOn w:val="938"/>
    <w:next w:val="1036"/>
    <w:link w:val="938"/>
    <w:qFormat/>
    <w:pPr>
      <w:ind w:firstLine="480"/>
    </w:pPr>
    <w:rPr>
      <w:rFonts w:ascii="宋体" w:hAnsi="宋体" w:eastAsia="宋体"/>
      <w:sz w:val="24"/>
      <w:szCs w:val="24"/>
    </w:rPr>
  </w:style>
  <w:style w:type="paragraph" w:styleId="1037">
    <w:name w:val="纯文本1"/>
    <w:basedOn w:val="938"/>
    <w:next w:val="1037"/>
    <w:link w:val="938"/>
    <w:qFormat/>
    <w:rPr>
      <w:rFonts w:ascii="宋体" w:hAnsi="Courier New"/>
      <w:szCs w:val="2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6</cp:revision>
  <dcterms:created xsi:type="dcterms:W3CDTF">2024-01-08T08:47:00Z</dcterms:created>
  <dcterms:modified xsi:type="dcterms:W3CDTF">2026-10-30T07:38:04Z</dcterms:modified>
</cp:coreProperties>
</file>